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Ansi="宋体"/>
          <w:b/>
          <w:spacing w:val="20"/>
          <w:sz w:val="28"/>
          <w:szCs w:val="28"/>
        </w:rPr>
      </w:pPr>
    </w:p>
    <w:p>
      <w:pPr>
        <w:autoSpaceDE w:val="0"/>
        <w:autoSpaceDN w:val="0"/>
        <w:adjustRightInd w:val="0"/>
        <w:jc w:val="center"/>
        <w:rPr>
          <w:rFonts w:hAnsi="宋体" w:cs="黑体"/>
          <w:b/>
          <w:spacing w:val="60"/>
          <w:szCs w:val="21"/>
        </w:rPr>
      </w:pPr>
      <w:r>
        <w:rPr>
          <w:rFonts w:hint="eastAsia"/>
          <w:b/>
          <w:bCs/>
          <w:sz w:val="44"/>
          <w:szCs w:val="44"/>
        </w:rPr>
        <w:t>长葛市老城镇“绿满长葛”绿化工程</w:t>
      </w:r>
    </w:p>
    <w:p>
      <w:pPr>
        <w:pStyle w:val="2"/>
        <w:ind w:firstLine="340"/>
      </w:pPr>
    </w:p>
    <w:p>
      <w:pPr>
        <w:autoSpaceDE w:val="0"/>
        <w:autoSpaceDN w:val="0"/>
        <w:adjustRightInd w:val="0"/>
        <w:jc w:val="center"/>
        <w:rPr>
          <w:b/>
          <w:sz w:val="52"/>
          <w:szCs w:val="52"/>
        </w:rPr>
      </w:pPr>
      <w:r>
        <w:rPr>
          <w:rFonts w:hint="eastAsia"/>
          <w:b/>
          <w:sz w:val="52"/>
          <w:szCs w:val="52"/>
        </w:rPr>
        <w:t xml:space="preserve"> 施工招标文件</w:t>
      </w:r>
    </w:p>
    <w:p>
      <w:pPr>
        <w:autoSpaceDE w:val="0"/>
        <w:autoSpaceDN w:val="0"/>
        <w:adjustRightInd w:val="0"/>
        <w:jc w:val="center"/>
        <w:rPr>
          <w:b/>
          <w:sz w:val="21"/>
          <w:szCs w:val="21"/>
        </w:rPr>
      </w:pPr>
    </w:p>
    <w:p>
      <w:pPr>
        <w:autoSpaceDE w:val="0"/>
        <w:autoSpaceDN w:val="0"/>
        <w:adjustRightInd w:val="0"/>
        <w:jc w:val="center"/>
        <w:rPr>
          <w:rFonts w:hAnsi="宋体" w:cs="黑体"/>
          <w:sz w:val="44"/>
          <w:szCs w:val="44"/>
        </w:rPr>
      </w:pPr>
      <w:r>
        <w:rPr>
          <w:rFonts w:hint="eastAsia" w:hAnsi="宋体"/>
          <w:b/>
          <w:sz w:val="32"/>
          <w:szCs w:val="32"/>
        </w:rPr>
        <w:t>项目编号：长交建【2019】GZ173号</w:t>
      </w:r>
    </w:p>
    <w:p>
      <w:pPr>
        <w:autoSpaceDE w:val="0"/>
        <w:autoSpaceDN w:val="0"/>
        <w:adjustRightInd w:val="0"/>
        <w:jc w:val="center"/>
        <w:rPr>
          <w:rFonts w:hAnsi="宋体" w:cs="黑体"/>
          <w:sz w:val="44"/>
          <w:szCs w:val="44"/>
        </w:rPr>
      </w:pPr>
    </w:p>
    <w:p>
      <w:pPr>
        <w:pStyle w:val="10"/>
        <w:ind w:left="0" w:leftChars="0" w:firstLine="0" w:firstLineChars="0"/>
      </w:pPr>
    </w:p>
    <w:p>
      <w:pPr>
        <w:pStyle w:val="10"/>
        <w:ind w:left="0" w:leftChars="0" w:firstLine="0" w:firstLineChars="0"/>
        <w:jc w:val="center"/>
      </w:pPr>
      <w:r>
        <w:rPr>
          <w:rFonts w:hint="eastAsia"/>
        </w:rPr>
        <w:drawing>
          <wp:inline distT="0" distB="0" distL="114300" distR="114300">
            <wp:extent cx="1725295" cy="1828800"/>
            <wp:effectExtent l="0" t="0" r="8255" b="0"/>
            <wp:docPr id="2" name="图片 2" descr="微信图片_20190704092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704092505"/>
                    <pic:cNvPicPr>
                      <a:picLocks noChangeAspect="1"/>
                    </pic:cNvPicPr>
                  </pic:nvPicPr>
                  <pic:blipFill>
                    <a:blip r:embed="rId7"/>
                    <a:stretch>
                      <a:fillRect/>
                    </a:stretch>
                  </pic:blipFill>
                  <pic:spPr>
                    <a:xfrm>
                      <a:off x="0" y="0"/>
                      <a:ext cx="1725295" cy="1828800"/>
                    </a:xfrm>
                    <a:prstGeom prst="rect">
                      <a:avLst/>
                    </a:prstGeom>
                  </pic:spPr>
                </pic:pic>
              </a:graphicData>
            </a:graphic>
          </wp:inline>
        </w:drawing>
      </w:r>
    </w:p>
    <w:p>
      <w:pPr>
        <w:pStyle w:val="10"/>
        <w:ind w:left="0" w:leftChars="0" w:firstLine="0" w:firstLineChars="0"/>
        <w:rPr>
          <w:rFonts w:hAnsi="宋体" w:cs="黑体"/>
          <w:sz w:val="44"/>
          <w:szCs w:val="44"/>
        </w:rPr>
      </w:pPr>
    </w:p>
    <w:p/>
    <w:p>
      <w:pPr>
        <w:spacing w:line="720" w:lineRule="auto"/>
        <w:ind w:left="479" w:leftChars="141"/>
        <w:jc w:val="left"/>
        <w:rPr>
          <w:rFonts w:hAnsi="宋体"/>
          <w:b/>
          <w:bCs/>
          <w:sz w:val="32"/>
          <w:szCs w:val="32"/>
        </w:rPr>
      </w:pPr>
      <w:r>
        <w:rPr>
          <w:rFonts w:hint="eastAsia" w:hAnsi="宋体"/>
          <w:b/>
          <w:bCs/>
          <w:sz w:val="32"/>
          <w:szCs w:val="32"/>
        </w:rPr>
        <w:t xml:space="preserve">   招   标   人：长葛市老城镇人民政府</w:t>
      </w:r>
    </w:p>
    <w:p>
      <w:pPr>
        <w:spacing w:line="720" w:lineRule="auto"/>
        <w:ind w:left="479" w:leftChars="141"/>
        <w:jc w:val="left"/>
        <w:rPr>
          <w:rFonts w:hAnsi="宋体"/>
          <w:b/>
          <w:bCs/>
          <w:sz w:val="36"/>
          <w:szCs w:val="36"/>
        </w:rPr>
      </w:pPr>
      <w:r>
        <w:rPr>
          <w:rFonts w:hint="eastAsia" w:hAnsi="宋体"/>
          <w:b/>
          <w:bCs/>
          <w:sz w:val="32"/>
          <w:szCs w:val="32"/>
        </w:rPr>
        <w:t xml:space="preserve">       招标代理机构：中科经纬工程技术有限公司</w:t>
      </w:r>
    </w:p>
    <w:p>
      <w:pPr>
        <w:spacing w:line="720" w:lineRule="auto"/>
        <w:jc w:val="center"/>
        <w:rPr>
          <w:rFonts w:hAnsi="宋体" w:cs="黑体"/>
          <w:b/>
          <w:sz w:val="32"/>
          <w:szCs w:val="32"/>
        </w:rPr>
      </w:pPr>
      <w:r>
        <w:rPr>
          <w:rFonts w:hint="eastAsia" w:hAnsi="宋体"/>
          <w:b/>
          <w:bCs/>
          <w:sz w:val="36"/>
          <w:szCs w:val="36"/>
        </w:rPr>
        <w:t>二〇一九年十二月</w:t>
      </w:r>
    </w:p>
    <w:p>
      <w:pPr>
        <w:jc w:val="center"/>
        <w:rPr>
          <w:rFonts w:hAnsi="宋体" w:cs="黑体"/>
          <w:b/>
          <w:sz w:val="32"/>
          <w:szCs w:val="32"/>
        </w:rPr>
      </w:pPr>
      <w:r>
        <w:rPr>
          <w:rFonts w:hint="eastAsia" w:hAnsi="宋体" w:cs="黑体"/>
          <w:b/>
          <w:sz w:val="32"/>
          <w:szCs w:val="32"/>
        </w:rPr>
        <w:br w:type="page"/>
      </w:r>
    </w:p>
    <w:p>
      <w:pPr>
        <w:jc w:val="center"/>
        <w:rPr>
          <w:rFonts w:ascii="黑体" w:hAnsi="宋体" w:eastAsia="黑体"/>
          <w:b/>
          <w:sz w:val="44"/>
        </w:rPr>
      </w:pPr>
      <w:r>
        <w:rPr>
          <w:rFonts w:hint="eastAsia" w:ascii="黑体" w:hAnsi="宋体" w:eastAsia="黑体"/>
          <w:b/>
          <w:sz w:val="44"/>
        </w:rPr>
        <w:t>目  录</w:t>
      </w:r>
    </w:p>
    <w:p>
      <w:pPr>
        <w:jc w:val="center"/>
        <w:rPr>
          <w:rFonts w:hAnsi="宋体"/>
          <w:b/>
          <w:sz w:val="32"/>
        </w:rPr>
      </w:pP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第一章  招标公告</w:t>
      </w:r>
      <w:r>
        <w:rPr>
          <w:rFonts w:ascii="黑体" w:hAnsi="宋体" w:eastAsia="黑体"/>
          <w:b/>
          <w:sz w:val="28"/>
        </w:rPr>
        <w:tab/>
      </w:r>
      <w:r>
        <w:rPr>
          <w:rFonts w:hint="eastAsia"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第二章  投标须知</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图  纸</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技术标准和要求</w:t>
      </w:r>
      <w:r>
        <w:rPr>
          <w:rFonts w:ascii="黑体" w:hAnsi="宋体" w:eastAsia="黑体"/>
          <w:b/>
          <w:sz w:val="28"/>
        </w:rPr>
        <w:tab/>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第八章  投标文件格式</w:t>
      </w:r>
      <w:r>
        <w:rPr>
          <w:rFonts w:ascii="黑体" w:hAnsi="宋体" w:eastAsia="黑体"/>
          <w:b/>
          <w:sz w:val="28"/>
        </w:rPr>
        <w:tab/>
      </w:r>
    </w:p>
    <w:p>
      <w:pPr>
        <w:autoSpaceDE w:val="0"/>
        <w:autoSpaceDN w:val="0"/>
        <w:adjustRightInd w:val="0"/>
        <w:spacing w:line="360" w:lineRule="auto"/>
        <w:jc w:val="center"/>
        <w:rPr>
          <w:rFonts w:hAnsi="宋体" w:cs="黑体"/>
          <w:b/>
          <w:sz w:val="36"/>
          <w:szCs w:val="36"/>
        </w:rPr>
      </w:pPr>
      <w:bookmarkStart w:id="0" w:name="_Toc215282124"/>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snapToGrid w:val="0"/>
        <w:spacing w:beforeLines="50"/>
        <w:rPr>
          <w:rFonts w:hAnsi="宋体" w:cs="黑体"/>
          <w:b/>
          <w:sz w:val="36"/>
          <w:szCs w:val="36"/>
        </w:rPr>
      </w:pPr>
    </w:p>
    <w:p>
      <w:pPr>
        <w:snapToGrid w:val="0"/>
        <w:spacing w:beforeLines="50"/>
        <w:rPr>
          <w:rFonts w:hint="eastAsia" w:hAnsi="宋体" w:cs="黑体"/>
          <w:b/>
          <w:sz w:val="36"/>
          <w:szCs w:val="36"/>
        </w:rPr>
      </w:pPr>
    </w:p>
    <w:p>
      <w:pPr>
        <w:pStyle w:val="2"/>
        <w:ind w:firstLine="340"/>
      </w:pPr>
    </w:p>
    <w:p>
      <w:pPr>
        <w:adjustRightInd w:val="0"/>
        <w:snapToGrid w:val="0"/>
        <w:spacing w:line="450" w:lineRule="exact"/>
        <w:jc w:val="center"/>
        <w:rPr>
          <w:rFonts w:hAnsi="宋体" w:cs="宋体"/>
          <w:b/>
          <w:bCs/>
          <w:sz w:val="24"/>
          <w:szCs w:val="24"/>
        </w:rPr>
      </w:pPr>
      <w:r>
        <w:rPr>
          <w:rFonts w:hint="eastAsia" w:hAnsi="宋体" w:cs="宋体"/>
          <w:b/>
          <w:bCs/>
          <w:sz w:val="24"/>
          <w:szCs w:val="24"/>
        </w:rPr>
        <w:t>投标人失信行为惩戒告知</w:t>
      </w:r>
    </w:p>
    <w:p>
      <w:pPr>
        <w:adjustRightInd w:val="0"/>
        <w:snapToGrid w:val="0"/>
        <w:spacing w:line="430" w:lineRule="exact"/>
        <w:ind w:firstLine="480" w:firstLineChars="200"/>
        <w:rPr>
          <w:rFonts w:hAnsi="宋体" w:cs="宋体"/>
          <w:sz w:val="24"/>
          <w:szCs w:val="24"/>
        </w:rPr>
      </w:pPr>
      <w:r>
        <w:rPr>
          <w:rFonts w:hint="eastAsia" w:hAnsi="宋体" w:cs="宋体"/>
          <w:sz w:val="24"/>
          <w:szCs w:val="24"/>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pPr>
        <w:adjustRightInd w:val="0"/>
        <w:snapToGrid w:val="0"/>
        <w:spacing w:line="430" w:lineRule="exact"/>
        <w:ind w:firstLine="480" w:firstLineChars="200"/>
        <w:rPr>
          <w:rFonts w:hAnsi="宋体" w:cs="宋体"/>
          <w:sz w:val="24"/>
          <w:szCs w:val="24"/>
        </w:rPr>
      </w:pPr>
      <w:r>
        <w:rPr>
          <w:rFonts w:hint="eastAsia" w:hAnsi="宋体" w:cs="宋体"/>
          <w:sz w:val="24"/>
          <w:szCs w:val="24"/>
        </w:rPr>
        <w:t>一、投标人（供应商）的质疑投诉活动经调查有下列情形之一的，将实施“一案双查”，限制其一定期限内参与区域内公共资源交易活动，并在全国公共资源交易平台网上公示。</w:t>
      </w:r>
    </w:p>
    <w:p>
      <w:pPr>
        <w:adjustRightInd w:val="0"/>
        <w:snapToGrid w:val="0"/>
        <w:spacing w:line="430" w:lineRule="exact"/>
        <w:ind w:firstLine="480" w:firstLineChars="200"/>
        <w:rPr>
          <w:rFonts w:hAnsi="宋体" w:cs="宋体"/>
          <w:sz w:val="24"/>
          <w:szCs w:val="24"/>
        </w:rPr>
      </w:pPr>
      <w:r>
        <w:rPr>
          <w:rFonts w:hint="eastAsia" w:hAnsi="宋体" w:cs="宋体"/>
          <w:sz w:val="24"/>
          <w:szCs w:val="24"/>
        </w:rPr>
        <w:t>1. 不符合投诉（举报）受理条件，被告知后仍进行重复投诉（举报），或多头投诉（举报）的。</w:t>
      </w:r>
    </w:p>
    <w:p>
      <w:pPr>
        <w:adjustRightInd w:val="0"/>
        <w:snapToGrid w:val="0"/>
        <w:spacing w:line="430" w:lineRule="exact"/>
        <w:ind w:firstLine="480" w:firstLineChars="200"/>
        <w:rPr>
          <w:rFonts w:hAnsi="宋体" w:cs="宋体"/>
          <w:sz w:val="24"/>
          <w:szCs w:val="24"/>
        </w:rPr>
      </w:pPr>
      <w:r>
        <w:rPr>
          <w:rFonts w:hint="eastAsia" w:hAnsi="宋体" w:cs="宋体"/>
          <w:sz w:val="24"/>
          <w:szCs w:val="24"/>
        </w:rPr>
        <w:t>2. 行政监督部门受理投诉（举报）处理期间，投诉（举报）人仍就同一内容、事项向其他部门另行投诉（举报）的；同一投诉（举报）人以不同名义多次、重复投诉（举报）的。</w:t>
      </w:r>
    </w:p>
    <w:p>
      <w:pPr>
        <w:adjustRightInd w:val="0"/>
        <w:snapToGrid w:val="0"/>
        <w:spacing w:line="430" w:lineRule="exact"/>
        <w:ind w:firstLine="480" w:firstLineChars="200"/>
        <w:rPr>
          <w:rFonts w:hAnsi="宋体" w:cs="宋体"/>
          <w:sz w:val="24"/>
          <w:szCs w:val="24"/>
        </w:rPr>
      </w:pPr>
      <w:r>
        <w:rPr>
          <w:rFonts w:hint="eastAsia" w:hAnsi="宋体" w:cs="宋体"/>
          <w:sz w:val="24"/>
          <w:szCs w:val="24"/>
        </w:rPr>
        <w:t>3.其他虚假恶意投诉（举报）情况。</w:t>
      </w:r>
    </w:p>
    <w:p>
      <w:pPr>
        <w:adjustRightInd w:val="0"/>
        <w:snapToGrid w:val="0"/>
        <w:spacing w:line="430" w:lineRule="exact"/>
        <w:ind w:firstLine="480" w:firstLineChars="200"/>
        <w:rPr>
          <w:rFonts w:hAnsi="宋体" w:cs="宋体"/>
          <w:sz w:val="24"/>
          <w:szCs w:val="24"/>
        </w:rPr>
      </w:pPr>
      <w:r>
        <w:rPr>
          <w:rFonts w:hint="eastAsia" w:hAnsi="宋体" w:cs="宋体"/>
          <w:sz w:val="24"/>
          <w:szCs w:val="24"/>
        </w:rPr>
        <w:t>二、对以谋取私利为目的，采用要挟、敲诈、逼迫竞争对手支付费用或以质疑（异议）、投诉（举报）为名排斥竞争对手，进行虚假、恶意投诉（举报），阻碍公共资源交易活动正常进行的投标人（供应商），由行政监督部门查实后按照诚信体系建设相关规定认定为不良行为，记入诚信档案，并将问题线索移交公安机关处理。</w:t>
      </w:r>
    </w:p>
    <w:p>
      <w:pPr>
        <w:adjustRightInd w:val="0"/>
        <w:snapToGrid w:val="0"/>
        <w:spacing w:line="430" w:lineRule="exact"/>
        <w:ind w:firstLine="480" w:firstLineChars="200"/>
        <w:rPr>
          <w:rFonts w:hAnsi="宋体" w:cs="宋体"/>
          <w:sz w:val="24"/>
          <w:szCs w:val="24"/>
        </w:rPr>
      </w:pPr>
      <w:r>
        <w:rPr>
          <w:rFonts w:hint="eastAsia" w:hAnsi="宋体" w:cs="宋体"/>
          <w:sz w:val="24"/>
          <w:szCs w:val="24"/>
        </w:rPr>
        <w:t>三、投标人（供应商）及其从业人员的不良行为记录期限一般为6—24个月。</w:t>
      </w:r>
    </w:p>
    <w:p>
      <w:pPr>
        <w:adjustRightInd w:val="0"/>
        <w:snapToGrid w:val="0"/>
        <w:spacing w:line="430" w:lineRule="exact"/>
        <w:ind w:firstLine="480" w:firstLineChars="200"/>
        <w:rPr>
          <w:rFonts w:hAnsi="宋体" w:cs="宋体"/>
          <w:b/>
          <w:bCs/>
          <w:sz w:val="24"/>
          <w:szCs w:val="24"/>
        </w:rPr>
      </w:pPr>
      <w:r>
        <w:rPr>
          <w:rFonts w:hint="eastAsia" w:hAnsi="宋体" w:cs="宋体"/>
          <w:b/>
          <w:bCs/>
          <w:sz w:val="24"/>
          <w:szCs w:val="24"/>
        </w:rPr>
        <w:t>（一）存在下列行为之一的，记录期限为6个月：</w:t>
      </w:r>
    </w:p>
    <w:p>
      <w:pPr>
        <w:adjustRightInd w:val="0"/>
        <w:snapToGrid w:val="0"/>
        <w:spacing w:line="430" w:lineRule="exact"/>
        <w:ind w:firstLine="480" w:firstLineChars="200"/>
        <w:rPr>
          <w:rFonts w:hAnsi="宋体" w:cs="宋体"/>
          <w:sz w:val="24"/>
          <w:szCs w:val="24"/>
        </w:rPr>
      </w:pPr>
      <w:r>
        <w:rPr>
          <w:rFonts w:hint="eastAsia" w:hAnsi="宋体" w:cs="宋体"/>
          <w:sz w:val="24"/>
          <w:szCs w:val="24"/>
        </w:rPr>
        <w:t>1.采用不正当手段干扰交易活动正常进行的；</w:t>
      </w:r>
    </w:p>
    <w:p>
      <w:pPr>
        <w:adjustRightInd w:val="0"/>
        <w:snapToGrid w:val="0"/>
        <w:spacing w:line="430" w:lineRule="exact"/>
        <w:ind w:firstLine="480" w:firstLineChars="200"/>
        <w:rPr>
          <w:rFonts w:hAnsi="宋体" w:cs="宋体"/>
          <w:sz w:val="24"/>
          <w:szCs w:val="24"/>
        </w:rPr>
      </w:pPr>
      <w:r>
        <w:rPr>
          <w:rFonts w:hint="eastAsia" w:hAnsi="宋体" w:cs="宋体"/>
          <w:sz w:val="24"/>
          <w:szCs w:val="24"/>
        </w:rPr>
        <w:t>2.不服从现场工作人员管理，扰乱开评标秩序的；</w:t>
      </w:r>
    </w:p>
    <w:p>
      <w:pPr>
        <w:adjustRightInd w:val="0"/>
        <w:snapToGrid w:val="0"/>
        <w:spacing w:line="430" w:lineRule="exact"/>
        <w:ind w:firstLine="480" w:firstLineChars="200"/>
        <w:rPr>
          <w:rFonts w:hAnsi="宋体" w:cs="宋体"/>
          <w:sz w:val="24"/>
          <w:szCs w:val="24"/>
        </w:rPr>
      </w:pPr>
      <w:r>
        <w:rPr>
          <w:rFonts w:hint="eastAsia" w:hAnsi="宋体" w:cs="宋体"/>
          <w:sz w:val="24"/>
          <w:szCs w:val="24"/>
        </w:rPr>
        <w:t>3.在投标截止时间后撤回投标文件的；</w:t>
      </w:r>
    </w:p>
    <w:p>
      <w:pPr>
        <w:adjustRightInd w:val="0"/>
        <w:snapToGrid w:val="0"/>
        <w:spacing w:line="430" w:lineRule="exact"/>
        <w:ind w:firstLine="480" w:firstLineChars="200"/>
        <w:rPr>
          <w:rFonts w:hAnsi="宋体" w:cs="宋体"/>
          <w:sz w:val="24"/>
          <w:szCs w:val="24"/>
        </w:rPr>
      </w:pPr>
      <w:r>
        <w:rPr>
          <w:rFonts w:hint="eastAsia" w:hAnsi="宋体" w:cs="宋体"/>
          <w:sz w:val="24"/>
          <w:szCs w:val="24"/>
        </w:rPr>
        <w:t>4.质疑（异议）、投诉提供的证据证明系非法取得的。</w:t>
      </w:r>
    </w:p>
    <w:p>
      <w:pPr>
        <w:adjustRightInd w:val="0"/>
        <w:snapToGrid w:val="0"/>
        <w:spacing w:line="430" w:lineRule="exact"/>
        <w:ind w:firstLine="480" w:firstLineChars="200"/>
        <w:rPr>
          <w:rFonts w:hAnsi="宋体" w:cs="宋体"/>
          <w:sz w:val="24"/>
          <w:szCs w:val="24"/>
        </w:rPr>
      </w:pPr>
      <w:r>
        <w:rPr>
          <w:rFonts w:hint="eastAsia" w:hAnsi="宋体" w:cs="宋体"/>
          <w:sz w:val="24"/>
          <w:szCs w:val="24"/>
        </w:rPr>
        <w:t>5.一年内投标人质疑（异议）后无故撤销质疑（异议）2次（含2次）以上的；</w:t>
      </w:r>
    </w:p>
    <w:p>
      <w:pPr>
        <w:adjustRightInd w:val="0"/>
        <w:snapToGrid w:val="0"/>
        <w:spacing w:line="430" w:lineRule="exact"/>
        <w:ind w:firstLine="480" w:firstLineChars="200"/>
        <w:rPr>
          <w:rFonts w:hAnsi="宋体" w:cs="宋体"/>
          <w:b/>
          <w:bCs/>
          <w:sz w:val="24"/>
          <w:szCs w:val="24"/>
        </w:rPr>
      </w:pPr>
      <w:r>
        <w:rPr>
          <w:rFonts w:hint="eastAsia" w:hAnsi="宋体" w:cs="宋体"/>
          <w:b/>
          <w:bCs/>
          <w:sz w:val="24"/>
          <w:szCs w:val="24"/>
        </w:rPr>
        <w:t>（二）存在下列行为之一的，记录期限为12个月：</w:t>
      </w:r>
    </w:p>
    <w:p>
      <w:pPr>
        <w:adjustRightInd w:val="0"/>
        <w:snapToGrid w:val="0"/>
        <w:spacing w:line="430" w:lineRule="exact"/>
        <w:ind w:firstLine="480" w:firstLineChars="200"/>
        <w:rPr>
          <w:rFonts w:hAnsi="宋体" w:cs="宋体"/>
          <w:b/>
          <w:bCs/>
          <w:sz w:val="24"/>
          <w:szCs w:val="24"/>
        </w:rPr>
      </w:pPr>
      <w:r>
        <w:rPr>
          <w:rFonts w:hint="eastAsia" w:hAnsi="宋体" w:cs="宋体"/>
          <w:b/>
          <w:bCs/>
          <w:sz w:val="24"/>
          <w:szCs w:val="24"/>
        </w:rPr>
        <w:t>1.捏造、歪曲事实或提供虚假不实的证据恶意投诉，影响交易活动正常进行的；</w:t>
      </w:r>
    </w:p>
    <w:p>
      <w:pPr>
        <w:adjustRightInd w:val="0"/>
        <w:snapToGrid w:val="0"/>
        <w:spacing w:line="430" w:lineRule="exact"/>
        <w:ind w:firstLine="480" w:firstLineChars="200"/>
        <w:rPr>
          <w:rFonts w:hAnsi="宋体" w:cs="宋体"/>
          <w:b/>
          <w:bCs/>
          <w:sz w:val="24"/>
          <w:szCs w:val="24"/>
        </w:rPr>
      </w:pPr>
      <w:r>
        <w:rPr>
          <w:rFonts w:hint="eastAsia" w:hAnsi="宋体" w:cs="宋体"/>
          <w:b/>
          <w:bCs/>
          <w:sz w:val="24"/>
          <w:szCs w:val="24"/>
        </w:rPr>
        <w:t>2.质疑（异议）投诉（举报）双方当事人无正当理由拒不配合调查处理或不参加质证的；</w:t>
      </w:r>
    </w:p>
    <w:p>
      <w:pPr>
        <w:adjustRightInd w:val="0"/>
        <w:snapToGrid w:val="0"/>
        <w:spacing w:line="430" w:lineRule="exact"/>
        <w:ind w:firstLine="480" w:firstLineChars="200"/>
        <w:rPr>
          <w:rFonts w:hAnsi="宋体" w:cs="宋体"/>
          <w:b/>
          <w:bCs/>
          <w:sz w:val="24"/>
          <w:szCs w:val="24"/>
        </w:rPr>
      </w:pPr>
      <w:r>
        <w:rPr>
          <w:rFonts w:hint="eastAsia" w:hAnsi="宋体" w:cs="宋体"/>
          <w:b/>
          <w:bCs/>
          <w:sz w:val="24"/>
          <w:szCs w:val="24"/>
        </w:rPr>
        <w:t>3.未提供有效证明材料支持其主张，经行政监督部门2次及以上书面答复，仍缠诉或多方投诉的；</w:t>
      </w:r>
    </w:p>
    <w:p>
      <w:pPr>
        <w:adjustRightInd w:val="0"/>
        <w:snapToGrid w:val="0"/>
        <w:spacing w:line="430" w:lineRule="exact"/>
        <w:ind w:firstLine="480" w:firstLineChars="200"/>
        <w:rPr>
          <w:rFonts w:hAnsi="宋体" w:cs="宋体"/>
          <w:sz w:val="24"/>
          <w:szCs w:val="24"/>
        </w:rPr>
      </w:pPr>
      <w:r>
        <w:rPr>
          <w:rFonts w:hint="eastAsia" w:hAnsi="宋体" w:cs="宋体"/>
          <w:sz w:val="24"/>
          <w:szCs w:val="24"/>
        </w:rPr>
        <w:t>4.未按交易文件主要内容签订合同的；</w:t>
      </w:r>
    </w:p>
    <w:p>
      <w:pPr>
        <w:adjustRightInd w:val="0"/>
        <w:snapToGrid w:val="0"/>
        <w:spacing w:line="430" w:lineRule="exact"/>
        <w:ind w:firstLine="480" w:firstLineChars="200"/>
        <w:rPr>
          <w:rFonts w:hAnsi="宋体" w:cs="宋体"/>
          <w:sz w:val="24"/>
          <w:szCs w:val="24"/>
        </w:rPr>
      </w:pPr>
      <w:r>
        <w:rPr>
          <w:rFonts w:hint="eastAsia" w:hAnsi="宋体" w:cs="宋体"/>
          <w:sz w:val="24"/>
          <w:szCs w:val="24"/>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pPr>
        <w:adjustRightInd w:val="0"/>
        <w:snapToGrid w:val="0"/>
        <w:spacing w:line="430" w:lineRule="exact"/>
        <w:ind w:firstLine="480" w:firstLineChars="200"/>
        <w:rPr>
          <w:rFonts w:hAnsi="宋体" w:cs="宋体"/>
          <w:b/>
          <w:bCs/>
          <w:sz w:val="24"/>
          <w:szCs w:val="24"/>
        </w:rPr>
      </w:pPr>
      <w:r>
        <w:rPr>
          <w:rFonts w:hint="eastAsia" w:hAnsi="宋体" w:cs="宋体"/>
          <w:b/>
          <w:bCs/>
          <w:sz w:val="24"/>
          <w:szCs w:val="24"/>
        </w:rPr>
        <w:t>（三）存在下列行为之一的，记录期限为18个月：</w:t>
      </w:r>
    </w:p>
    <w:p>
      <w:pPr>
        <w:adjustRightInd w:val="0"/>
        <w:snapToGrid w:val="0"/>
        <w:spacing w:line="430" w:lineRule="exact"/>
        <w:ind w:firstLine="480" w:firstLineChars="200"/>
        <w:rPr>
          <w:rFonts w:hAnsi="宋体" w:cs="宋体"/>
          <w:sz w:val="24"/>
          <w:szCs w:val="24"/>
        </w:rPr>
      </w:pPr>
      <w:r>
        <w:rPr>
          <w:rFonts w:hint="eastAsia" w:hAnsi="宋体" w:cs="宋体"/>
          <w:sz w:val="24"/>
          <w:szCs w:val="24"/>
        </w:rPr>
        <w:t>1.在确定中标人之前就投标价格、投标方案等实质性内容与招标人（采购人）进行合同谈判的；</w:t>
      </w:r>
    </w:p>
    <w:p>
      <w:pPr>
        <w:adjustRightInd w:val="0"/>
        <w:snapToGrid w:val="0"/>
        <w:spacing w:line="430" w:lineRule="exact"/>
        <w:ind w:firstLine="480" w:firstLineChars="200"/>
        <w:rPr>
          <w:rFonts w:hAnsi="宋体" w:cs="宋体"/>
          <w:sz w:val="24"/>
          <w:szCs w:val="24"/>
        </w:rPr>
      </w:pPr>
      <w:r>
        <w:rPr>
          <w:rFonts w:hint="eastAsia" w:hAnsi="宋体" w:cs="宋体"/>
          <w:sz w:val="24"/>
          <w:szCs w:val="24"/>
        </w:rPr>
        <w:t>2.无正当理由放弃中标（成交）资格的；</w:t>
      </w:r>
    </w:p>
    <w:p>
      <w:pPr>
        <w:adjustRightInd w:val="0"/>
        <w:snapToGrid w:val="0"/>
        <w:spacing w:line="430" w:lineRule="exact"/>
        <w:ind w:firstLine="480" w:firstLineChars="200"/>
        <w:rPr>
          <w:rFonts w:hAnsi="宋体" w:cs="宋体"/>
          <w:sz w:val="24"/>
          <w:szCs w:val="24"/>
        </w:rPr>
      </w:pPr>
      <w:r>
        <w:rPr>
          <w:rFonts w:hint="eastAsia" w:hAnsi="宋体" w:cs="宋体"/>
          <w:sz w:val="24"/>
          <w:szCs w:val="24"/>
        </w:rPr>
        <w:t>3.中标（成交）后，不按招标文件规定提交履约担保的；</w:t>
      </w:r>
    </w:p>
    <w:p>
      <w:pPr>
        <w:adjustRightInd w:val="0"/>
        <w:snapToGrid w:val="0"/>
        <w:spacing w:line="430" w:lineRule="exact"/>
        <w:ind w:firstLine="480" w:firstLineChars="200"/>
        <w:rPr>
          <w:rFonts w:hAnsi="宋体" w:cs="宋体"/>
          <w:sz w:val="24"/>
          <w:szCs w:val="24"/>
        </w:rPr>
      </w:pPr>
      <w:r>
        <w:rPr>
          <w:rFonts w:hint="eastAsia" w:hAnsi="宋体" w:cs="宋体"/>
          <w:sz w:val="24"/>
          <w:szCs w:val="24"/>
        </w:rPr>
        <w:t>4.中标（成交）后，无正当理由未在规定期限内与招标人签订合同的；</w:t>
      </w:r>
    </w:p>
    <w:p>
      <w:pPr>
        <w:adjustRightInd w:val="0"/>
        <w:snapToGrid w:val="0"/>
        <w:spacing w:line="430" w:lineRule="exact"/>
        <w:ind w:firstLine="480" w:firstLineChars="200"/>
        <w:rPr>
          <w:rFonts w:hAnsi="宋体" w:cs="宋体"/>
          <w:sz w:val="24"/>
          <w:szCs w:val="24"/>
        </w:rPr>
      </w:pPr>
      <w:r>
        <w:rPr>
          <w:rFonts w:hint="eastAsia" w:hAnsi="宋体" w:cs="宋体"/>
          <w:sz w:val="24"/>
          <w:szCs w:val="24"/>
        </w:rPr>
        <w:t>5.拒绝接受或者阻挠公管办和行政监督部门依法进行监督检查的。</w:t>
      </w:r>
    </w:p>
    <w:p>
      <w:pPr>
        <w:adjustRightInd w:val="0"/>
        <w:snapToGrid w:val="0"/>
        <w:spacing w:line="430" w:lineRule="exact"/>
        <w:ind w:firstLine="480" w:firstLineChars="200"/>
        <w:rPr>
          <w:rFonts w:hAnsi="宋体" w:cs="宋体"/>
          <w:b/>
          <w:bCs/>
          <w:sz w:val="24"/>
          <w:szCs w:val="24"/>
        </w:rPr>
      </w:pPr>
      <w:r>
        <w:rPr>
          <w:rFonts w:hint="eastAsia" w:hAnsi="宋体" w:cs="宋体"/>
          <w:b/>
          <w:bCs/>
          <w:sz w:val="24"/>
          <w:szCs w:val="24"/>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pPr>
        <w:adjustRightInd w:val="0"/>
        <w:snapToGrid w:val="0"/>
        <w:spacing w:line="430" w:lineRule="exact"/>
        <w:ind w:firstLine="480" w:firstLineChars="200"/>
        <w:rPr>
          <w:rFonts w:hAnsi="宋体" w:cs="宋体"/>
          <w:sz w:val="24"/>
          <w:szCs w:val="24"/>
        </w:rPr>
      </w:pPr>
      <w:r>
        <w:rPr>
          <w:rFonts w:hint="eastAsia" w:hAnsi="宋体" w:cs="宋体"/>
          <w:sz w:val="24"/>
          <w:szCs w:val="24"/>
        </w:rPr>
        <w:t>1.投标人互相串通投标或者与招标人串通投标，投标人以向招标人或者评标委员会成员行贿的手段谋取中标的；</w:t>
      </w:r>
    </w:p>
    <w:p>
      <w:pPr>
        <w:adjustRightInd w:val="0"/>
        <w:snapToGrid w:val="0"/>
        <w:spacing w:line="430" w:lineRule="exact"/>
        <w:ind w:firstLine="480" w:firstLineChars="200"/>
        <w:rPr>
          <w:rFonts w:hAnsi="宋体" w:cs="宋体"/>
          <w:sz w:val="24"/>
          <w:szCs w:val="24"/>
        </w:rPr>
      </w:pPr>
      <w:r>
        <w:rPr>
          <w:rFonts w:hint="eastAsia" w:hAnsi="宋体" w:cs="宋体"/>
          <w:sz w:val="24"/>
          <w:szCs w:val="24"/>
        </w:rPr>
        <w:t>2.投标时提供虚假材料，或以受让、借用、涂改、盗用、伪造资质证书或年检记录、图章、签名，使用虚假身份证件以及其他弄虚作假的方式参与投标的；</w:t>
      </w:r>
    </w:p>
    <w:p>
      <w:pPr>
        <w:adjustRightInd w:val="0"/>
        <w:snapToGrid w:val="0"/>
        <w:spacing w:line="430" w:lineRule="exact"/>
        <w:ind w:firstLine="480" w:firstLineChars="200"/>
        <w:rPr>
          <w:rFonts w:hAnsi="宋体" w:cs="宋体"/>
          <w:sz w:val="24"/>
          <w:szCs w:val="24"/>
        </w:rPr>
      </w:pPr>
      <w:r>
        <w:rPr>
          <w:rFonts w:hint="eastAsia" w:hAnsi="宋体" w:cs="宋体"/>
          <w:sz w:val="24"/>
          <w:szCs w:val="24"/>
        </w:rPr>
        <w:t>3.投标人以他人名义投标或者以其他方式弄虚作假，骗取中标的；以挂靠、被挂靠或其他方式允许他人以企业员工名义参与投标的；出让、出借资质，或借用其他单位资质参与投标的；经查实中标候选人项目经理有在建项目的；</w:t>
      </w:r>
    </w:p>
    <w:p>
      <w:pPr>
        <w:adjustRightInd w:val="0"/>
        <w:snapToGrid w:val="0"/>
        <w:spacing w:line="430" w:lineRule="exact"/>
        <w:ind w:firstLine="480" w:firstLineChars="200"/>
        <w:rPr>
          <w:rFonts w:hAnsi="宋体" w:cs="宋体"/>
          <w:sz w:val="24"/>
          <w:szCs w:val="24"/>
        </w:rPr>
      </w:pPr>
      <w:r>
        <w:rPr>
          <w:rFonts w:hint="eastAsia" w:hAnsi="宋体" w:cs="宋体"/>
          <w:sz w:val="24"/>
          <w:szCs w:val="24"/>
        </w:rPr>
        <w:t>4.中标企业将工程转包或者违法分包的；中标人将中标项目转让给他人，将中标项目肢解后分别转让给他人的，违反法律规定将中标项目的部分主体、关键性工作分包给他人的，或者分包人再次分包的；</w:t>
      </w:r>
    </w:p>
    <w:p>
      <w:pPr>
        <w:adjustRightInd w:val="0"/>
        <w:snapToGrid w:val="0"/>
        <w:spacing w:line="430" w:lineRule="exact"/>
        <w:ind w:firstLine="480" w:firstLineChars="200"/>
        <w:rPr>
          <w:rFonts w:hAnsi="宋体" w:cs="宋体"/>
          <w:sz w:val="24"/>
          <w:szCs w:val="24"/>
        </w:rPr>
      </w:pPr>
      <w:r>
        <w:rPr>
          <w:rFonts w:hint="eastAsia" w:hAnsi="宋体" w:cs="宋体"/>
          <w:sz w:val="24"/>
          <w:szCs w:val="24"/>
        </w:rPr>
        <w:t>5.中标人不按照与招标人订立的合同履行义务，情节严重的；</w:t>
      </w:r>
    </w:p>
    <w:p>
      <w:pPr>
        <w:adjustRightInd w:val="0"/>
        <w:snapToGrid w:val="0"/>
        <w:spacing w:line="430" w:lineRule="exact"/>
        <w:ind w:firstLine="480" w:firstLineChars="200"/>
        <w:rPr>
          <w:rFonts w:hAnsi="宋体" w:cs="宋体"/>
          <w:sz w:val="24"/>
          <w:szCs w:val="24"/>
        </w:rPr>
      </w:pPr>
      <w:r>
        <w:rPr>
          <w:rFonts w:hint="eastAsia" w:hAnsi="宋体" w:cs="宋体"/>
          <w:sz w:val="24"/>
          <w:szCs w:val="24"/>
        </w:rPr>
        <w:t>6.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pPr>
        <w:adjustRightInd w:val="0"/>
        <w:snapToGrid w:val="0"/>
        <w:spacing w:line="430" w:lineRule="exact"/>
        <w:ind w:firstLine="480" w:firstLineChars="200"/>
        <w:rPr>
          <w:rFonts w:hAnsi="宋体" w:cs="宋体"/>
          <w:sz w:val="24"/>
          <w:szCs w:val="24"/>
        </w:rPr>
      </w:pPr>
      <w:r>
        <w:rPr>
          <w:rFonts w:hint="eastAsia" w:hAnsi="宋体" w:cs="宋体"/>
          <w:sz w:val="24"/>
          <w:szCs w:val="24"/>
        </w:rPr>
        <w:t xml:space="preserve">7.其它违反诚信原则或公共资源交易管理规定影响恶劣的行为。 </w:t>
      </w:r>
    </w:p>
    <w:p>
      <w:pPr>
        <w:autoSpaceDE w:val="0"/>
        <w:autoSpaceDN w:val="0"/>
        <w:adjustRightInd w:val="0"/>
        <w:spacing w:line="400" w:lineRule="exact"/>
        <w:jc w:val="center"/>
        <w:rPr>
          <w:rFonts w:hAnsi="宋体" w:cs="宋体"/>
          <w:b/>
          <w:sz w:val="24"/>
          <w:szCs w:val="24"/>
        </w:rPr>
      </w:pPr>
    </w:p>
    <w:p>
      <w:pPr>
        <w:adjustRightInd w:val="0"/>
        <w:snapToGrid w:val="0"/>
        <w:spacing w:line="276" w:lineRule="auto"/>
        <w:jc w:val="center"/>
        <w:rPr>
          <w:rFonts w:hint="eastAsia" w:hAnsi="宋体"/>
          <w:b/>
          <w:sz w:val="44"/>
          <w:szCs w:val="44"/>
        </w:rPr>
      </w:pPr>
    </w:p>
    <w:p>
      <w:pPr>
        <w:adjustRightInd w:val="0"/>
        <w:snapToGrid w:val="0"/>
        <w:spacing w:line="276" w:lineRule="auto"/>
        <w:jc w:val="center"/>
        <w:rPr>
          <w:rFonts w:hAnsi="宋体"/>
          <w:b/>
          <w:sz w:val="44"/>
          <w:szCs w:val="44"/>
        </w:rPr>
      </w:pPr>
      <w:r>
        <w:rPr>
          <w:rFonts w:hint="eastAsia" w:hAnsi="宋体"/>
          <w:b/>
          <w:sz w:val="44"/>
          <w:szCs w:val="44"/>
        </w:rPr>
        <w:t>第一章  招标公告</w:t>
      </w:r>
    </w:p>
    <w:p>
      <w:pPr>
        <w:adjustRightInd w:val="0"/>
        <w:snapToGrid w:val="0"/>
        <w:spacing w:line="276" w:lineRule="auto"/>
        <w:jc w:val="center"/>
        <w:rPr>
          <w:rFonts w:hAnsi="宋体"/>
          <w:b/>
          <w:sz w:val="30"/>
          <w:szCs w:val="30"/>
        </w:rPr>
      </w:pPr>
      <w:r>
        <w:rPr>
          <w:rFonts w:hint="eastAsia" w:hAnsi="宋体"/>
          <w:b/>
          <w:sz w:val="30"/>
          <w:szCs w:val="30"/>
        </w:rPr>
        <w:t>长葛市老城镇“绿满长葛”绿化工程招标公告</w:t>
      </w:r>
    </w:p>
    <w:p>
      <w:pPr>
        <w:adjustRightInd w:val="0"/>
        <w:snapToGrid w:val="0"/>
        <w:spacing w:line="360" w:lineRule="auto"/>
        <w:rPr>
          <w:rFonts w:hAnsi="宋体"/>
          <w:b/>
          <w:sz w:val="24"/>
          <w:szCs w:val="24"/>
        </w:rPr>
      </w:pPr>
      <w:r>
        <w:rPr>
          <w:rFonts w:hint="eastAsia" w:hAnsi="宋体"/>
          <w:b/>
          <w:sz w:val="24"/>
          <w:szCs w:val="24"/>
        </w:rPr>
        <w:t>1.招标条件</w:t>
      </w:r>
    </w:p>
    <w:p>
      <w:pPr>
        <w:adjustRightInd w:val="0"/>
        <w:snapToGrid w:val="0"/>
        <w:spacing w:line="360" w:lineRule="auto"/>
        <w:ind w:firstLine="506" w:firstLineChars="211"/>
        <w:rPr>
          <w:rFonts w:hAnsi="宋体"/>
          <w:b/>
          <w:sz w:val="24"/>
          <w:szCs w:val="24"/>
          <w:u w:val="single"/>
        </w:rPr>
      </w:pPr>
      <w:r>
        <w:rPr>
          <w:rFonts w:hint="eastAsia" w:hAnsi="宋体"/>
          <w:sz w:val="24"/>
          <w:szCs w:val="24"/>
        </w:rPr>
        <w:t>本招标项目长葛市老城镇“绿满长葛”绿化工程，已由长葛市发展和改革委员会以长发改城市【2019】68号文件批准建设。招标人为长葛市老城镇人民政府，建设资金来自财政投资，招标代理机构为中科经纬工程技术有限公司。项目已具备招标条件，现对本项目的施工进行公开招标。</w:t>
      </w:r>
    </w:p>
    <w:p>
      <w:pPr>
        <w:adjustRightInd w:val="0"/>
        <w:snapToGrid w:val="0"/>
        <w:spacing w:line="360" w:lineRule="auto"/>
        <w:rPr>
          <w:rFonts w:hAnsi="宋体"/>
          <w:b/>
          <w:sz w:val="24"/>
          <w:szCs w:val="24"/>
        </w:rPr>
      </w:pPr>
      <w:r>
        <w:rPr>
          <w:rFonts w:hint="eastAsia" w:hAnsi="宋体"/>
          <w:b/>
          <w:sz w:val="24"/>
          <w:szCs w:val="24"/>
        </w:rPr>
        <w:t>2.项目概况与招标内容</w:t>
      </w:r>
    </w:p>
    <w:p>
      <w:pPr>
        <w:adjustRightInd w:val="0"/>
        <w:snapToGrid w:val="0"/>
        <w:spacing w:line="360" w:lineRule="auto"/>
        <w:ind w:firstLine="506" w:firstLineChars="211"/>
        <w:rPr>
          <w:rFonts w:hAnsi="宋体"/>
          <w:sz w:val="24"/>
          <w:szCs w:val="24"/>
        </w:rPr>
      </w:pPr>
      <w:r>
        <w:rPr>
          <w:rFonts w:hint="eastAsia" w:hAnsi="宋体"/>
          <w:sz w:val="24"/>
          <w:szCs w:val="24"/>
        </w:rPr>
        <w:t>2.1项目编号：长交建【2019】GZ173号。</w:t>
      </w:r>
    </w:p>
    <w:p>
      <w:pPr>
        <w:adjustRightInd w:val="0"/>
        <w:snapToGrid w:val="0"/>
        <w:spacing w:line="360" w:lineRule="auto"/>
        <w:ind w:firstLine="506" w:firstLineChars="211"/>
        <w:rPr>
          <w:rFonts w:hAnsi="宋体"/>
          <w:sz w:val="24"/>
          <w:szCs w:val="24"/>
        </w:rPr>
      </w:pPr>
      <w:r>
        <w:rPr>
          <w:rFonts w:hint="eastAsia" w:hAnsi="宋体"/>
          <w:sz w:val="24"/>
          <w:szCs w:val="24"/>
        </w:rPr>
        <w:t>2.2项目名称：长葛市老城镇“绿满长葛”绿化工程</w:t>
      </w:r>
    </w:p>
    <w:p>
      <w:pPr>
        <w:adjustRightInd w:val="0"/>
        <w:snapToGrid w:val="0"/>
        <w:spacing w:line="360" w:lineRule="auto"/>
        <w:ind w:firstLine="506" w:firstLineChars="211"/>
        <w:rPr>
          <w:rFonts w:hAnsi="宋体"/>
          <w:sz w:val="24"/>
          <w:szCs w:val="24"/>
        </w:rPr>
      </w:pPr>
      <w:r>
        <w:rPr>
          <w:rFonts w:hint="eastAsia" w:hAnsi="宋体"/>
          <w:sz w:val="24"/>
          <w:szCs w:val="24"/>
        </w:rPr>
        <w:t>2.3项目概况：该工程位于长葛市尹家堂、双庙、槐树陈、打绳赵，道路两侧各50m宽范围内种植乔木，该项目种植的乔木种类有雪松、臭椿、香花槐、大叶女贞、金叶复叶槭、五角枫、栾树、白蜡等乔木，对其不符合现场平整条件的区域进行回填找平等工作内容。</w:t>
      </w:r>
    </w:p>
    <w:p>
      <w:pPr>
        <w:adjustRightInd w:val="0"/>
        <w:snapToGrid w:val="0"/>
        <w:spacing w:line="360" w:lineRule="auto"/>
        <w:ind w:firstLine="506" w:firstLineChars="211"/>
        <w:rPr>
          <w:rFonts w:hAnsi="宋体"/>
          <w:sz w:val="24"/>
          <w:szCs w:val="24"/>
        </w:rPr>
      </w:pPr>
      <w:r>
        <w:rPr>
          <w:rFonts w:hint="eastAsia" w:hAnsi="宋体"/>
          <w:sz w:val="24"/>
          <w:szCs w:val="24"/>
        </w:rPr>
        <w:t>2.4建设地点：老城镇段。</w:t>
      </w:r>
    </w:p>
    <w:p>
      <w:pPr>
        <w:adjustRightInd w:val="0"/>
        <w:snapToGrid w:val="0"/>
        <w:spacing w:line="360" w:lineRule="auto"/>
        <w:ind w:firstLine="506" w:firstLineChars="211"/>
        <w:rPr>
          <w:rFonts w:hAnsi="宋体"/>
          <w:sz w:val="24"/>
          <w:szCs w:val="24"/>
        </w:rPr>
      </w:pPr>
      <w:r>
        <w:rPr>
          <w:rFonts w:hint="eastAsia" w:hAnsi="宋体"/>
          <w:sz w:val="24"/>
          <w:szCs w:val="24"/>
        </w:rPr>
        <w:t>2.5招标范围：施工招标文件、施工图纸、工程量清单、答疑纪要和补充文件（如有）范围内的所有建设内容。</w:t>
      </w:r>
    </w:p>
    <w:p>
      <w:pPr>
        <w:adjustRightInd w:val="0"/>
        <w:snapToGrid w:val="0"/>
        <w:spacing w:line="360" w:lineRule="auto"/>
        <w:ind w:firstLine="506" w:firstLineChars="211"/>
        <w:rPr>
          <w:rFonts w:hAnsi="宋体"/>
          <w:sz w:val="24"/>
          <w:szCs w:val="24"/>
        </w:rPr>
      </w:pPr>
      <w:r>
        <w:rPr>
          <w:rFonts w:hint="eastAsia" w:hAnsi="宋体"/>
          <w:sz w:val="24"/>
          <w:szCs w:val="24"/>
        </w:rPr>
        <w:t>2.6标段划分：本项目共划分为两个标段一个施工标段一个监理标段；</w:t>
      </w:r>
    </w:p>
    <w:p>
      <w:pPr>
        <w:adjustRightInd w:val="0"/>
        <w:snapToGrid w:val="0"/>
        <w:spacing w:line="360" w:lineRule="auto"/>
        <w:ind w:firstLine="983" w:firstLineChars="410"/>
        <w:rPr>
          <w:rFonts w:hAnsi="宋体"/>
          <w:sz w:val="24"/>
          <w:szCs w:val="24"/>
        </w:rPr>
      </w:pPr>
      <w:r>
        <w:rPr>
          <w:rFonts w:hint="eastAsia" w:hAnsi="宋体"/>
          <w:sz w:val="24"/>
          <w:szCs w:val="24"/>
        </w:rPr>
        <w:t>第一标段（施工）：长葛市老城镇“绿满长葛”绿化工程</w:t>
      </w:r>
    </w:p>
    <w:p>
      <w:pPr>
        <w:adjustRightInd w:val="0"/>
        <w:snapToGrid w:val="0"/>
        <w:spacing w:line="360" w:lineRule="auto"/>
        <w:ind w:firstLine="983" w:firstLineChars="410"/>
        <w:rPr>
          <w:rFonts w:hAnsi="宋体"/>
          <w:sz w:val="24"/>
          <w:szCs w:val="24"/>
        </w:rPr>
      </w:pPr>
      <w:r>
        <w:rPr>
          <w:rFonts w:hint="eastAsia" w:hAnsi="宋体"/>
          <w:sz w:val="24"/>
          <w:szCs w:val="24"/>
        </w:rPr>
        <w:t>第二标段（监理）：本项目的全过程监理服务。</w:t>
      </w:r>
    </w:p>
    <w:p>
      <w:pPr>
        <w:adjustRightInd w:val="0"/>
        <w:snapToGrid w:val="0"/>
        <w:spacing w:line="360" w:lineRule="auto"/>
        <w:ind w:firstLine="506" w:firstLineChars="211"/>
        <w:rPr>
          <w:rFonts w:hAnsi="宋体"/>
          <w:sz w:val="24"/>
          <w:szCs w:val="24"/>
        </w:rPr>
      </w:pPr>
      <w:r>
        <w:rPr>
          <w:rFonts w:hint="eastAsia" w:hAnsi="宋体"/>
          <w:sz w:val="24"/>
          <w:szCs w:val="24"/>
        </w:rPr>
        <w:t>2.7招标控制价：一标段：12265792.42元。二标段：122650.00元。</w:t>
      </w:r>
    </w:p>
    <w:p>
      <w:pPr>
        <w:adjustRightInd w:val="0"/>
        <w:snapToGrid w:val="0"/>
        <w:spacing w:line="360" w:lineRule="auto"/>
        <w:ind w:firstLine="480" w:firstLineChars="200"/>
        <w:rPr>
          <w:rFonts w:hAnsi="宋体"/>
          <w:sz w:val="24"/>
          <w:szCs w:val="24"/>
        </w:rPr>
      </w:pPr>
      <w:r>
        <w:rPr>
          <w:rFonts w:hint="eastAsia" w:hAnsi="宋体"/>
          <w:sz w:val="24"/>
          <w:szCs w:val="24"/>
        </w:rPr>
        <w:t>2.8质量目标：合格（符合国家现行的验收规范和标准）。</w:t>
      </w:r>
    </w:p>
    <w:p>
      <w:pPr>
        <w:adjustRightInd w:val="0"/>
        <w:snapToGrid w:val="0"/>
        <w:spacing w:line="360" w:lineRule="auto"/>
        <w:ind w:firstLine="506" w:firstLineChars="211"/>
        <w:rPr>
          <w:rFonts w:hAnsi="宋体"/>
          <w:color w:val="FF0000"/>
          <w:sz w:val="24"/>
          <w:szCs w:val="24"/>
        </w:rPr>
      </w:pPr>
      <w:r>
        <w:rPr>
          <w:rFonts w:hint="eastAsia" w:hAnsi="宋体"/>
          <w:color w:val="FF0000"/>
          <w:sz w:val="24"/>
          <w:szCs w:val="24"/>
        </w:rPr>
        <w:t>2.9工期要求：一标段（施工）：90日历天，保修养护期：1年。</w:t>
      </w:r>
    </w:p>
    <w:p>
      <w:pPr>
        <w:adjustRightInd w:val="0"/>
        <w:snapToGrid w:val="0"/>
        <w:spacing w:line="360" w:lineRule="auto"/>
        <w:rPr>
          <w:rFonts w:hAnsi="宋体"/>
          <w:bCs/>
          <w:color w:val="FF0000"/>
          <w:sz w:val="24"/>
          <w:szCs w:val="24"/>
        </w:rPr>
      </w:pPr>
      <w:r>
        <w:rPr>
          <w:rFonts w:hint="eastAsia" w:hAnsi="宋体"/>
          <w:bCs/>
          <w:color w:val="FF0000"/>
          <w:sz w:val="24"/>
          <w:szCs w:val="24"/>
        </w:rPr>
        <w:t xml:space="preserve">  二标段（监理）：同施工工期及养护期。</w:t>
      </w:r>
    </w:p>
    <w:p>
      <w:pPr>
        <w:adjustRightInd w:val="0"/>
        <w:snapToGrid w:val="0"/>
        <w:spacing w:line="360" w:lineRule="auto"/>
        <w:rPr>
          <w:rFonts w:hAnsi="宋体"/>
          <w:b/>
          <w:sz w:val="24"/>
          <w:szCs w:val="24"/>
        </w:rPr>
      </w:pPr>
      <w:r>
        <w:rPr>
          <w:rFonts w:hint="eastAsia" w:hAnsi="宋体"/>
          <w:b/>
          <w:sz w:val="24"/>
          <w:szCs w:val="24"/>
        </w:rPr>
        <w:t>3.投标人资格要求</w:t>
      </w:r>
    </w:p>
    <w:p>
      <w:pPr>
        <w:widowControl/>
        <w:adjustRightInd w:val="0"/>
        <w:snapToGrid w:val="0"/>
        <w:spacing w:line="360" w:lineRule="auto"/>
        <w:ind w:firstLine="360" w:firstLineChars="150"/>
        <w:jc w:val="left"/>
        <w:outlineLvl w:val="0"/>
        <w:rPr>
          <w:rFonts w:hAnsi="宋体"/>
          <w:sz w:val="24"/>
          <w:szCs w:val="24"/>
        </w:rPr>
      </w:pPr>
      <w:r>
        <w:rPr>
          <w:rFonts w:hint="eastAsia" w:hAnsi="宋体"/>
          <w:sz w:val="24"/>
          <w:szCs w:val="24"/>
        </w:rPr>
        <w:t>3.1一标段：投标人须具备独立的法人资格和有效的营业执照(经营范围须含园林绿化或林木种植等相关内容)，并在人员、设备、资金等方面具有相应的施工能力。拟派项目负责人须具有园林绿化或相关专业中级及以上技术职称，且未担任其它在施建设工程项目的项目负责人并出具无在建承诺书。</w:t>
      </w:r>
    </w:p>
    <w:p>
      <w:pPr>
        <w:widowControl/>
        <w:adjustRightInd w:val="0"/>
        <w:snapToGrid w:val="0"/>
        <w:spacing w:line="360" w:lineRule="auto"/>
        <w:ind w:firstLine="600" w:firstLineChars="250"/>
        <w:jc w:val="left"/>
        <w:outlineLvl w:val="0"/>
        <w:rPr>
          <w:color w:val="FF0000"/>
          <w:sz w:val="24"/>
          <w:szCs w:val="24"/>
        </w:rPr>
      </w:pPr>
      <w:r>
        <w:rPr>
          <w:rFonts w:hint="eastAsia"/>
          <w:color w:val="FF0000"/>
          <w:sz w:val="24"/>
          <w:szCs w:val="24"/>
        </w:rPr>
        <w:t>二标段：投标人须具备独立法人资格，并具备建设行政主管部门颁发的市政公用工程监理专业乙级（含）以上资质或工程监理综合资质；拟派项目总监理工程师须具备市政公用工程专业注册监理工程师资格。</w:t>
      </w:r>
    </w:p>
    <w:p>
      <w:pPr>
        <w:widowControl/>
        <w:adjustRightInd w:val="0"/>
        <w:snapToGrid w:val="0"/>
        <w:spacing w:line="360" w:lineRule="auto"/>
        <w:ind w:firstLine="360" w:firstLineChars="150"/>
        <w:jc w:val="left"/>
        <w:outlineLvl w:val="0"/>
        <w:rPr>
          <w:rFonts w:hAnsi="宋体"/>
          <w:sz w:val="24"/>
          <w:szCs w:val="24"/>
        </w:rPr>
      </w:pPr>
      <w:r>
        <w:rPr>
          <w:rFonts w:hAnsi="宋体"/>
          <w:sz w:val="24"/>
          <w:szCs w:val="24"/>
        </w:rPr>
        <w:t>3.</w:t>
      </w:r>
      <w:r>
        <w:rPr>
          <w:rFonts w:hint="eastAsia" w:hAnsi="宋体"/>
          <w:sz w:val="24"/>
          <w:szCs w:val="24"/>
        </w:rPr>
        <w:t>2</w:t>
      </w:r>
      <w:r>
        <w:rPr>
          <w:rFonts w:hAnsi="宋体"/>
          <w:sz w:val="24"/>
          <w:szCs w:val="24"/>
        </w:rPr>
        <w:t>本项目不接受联合体投标</w:t>
      </w:r>
      <w:r>
        <w:rPr>
          <w:rFonts w:hint="eastAsia" w:hAnsi="宋体"/>
          <w:sz w:val="24"/>
          <w:szCs w:val="24"/>
        </w:rPr>
        <w:t>，不得转包、挂靠及违法分包</w:t>
      </w:r>
      <w:r>
        <w:rPr>
          <w:rFonts w:hAnsi="宋体"/>
          <w:sz w:val="24"/>
          <w:szCs w:val="24"/>
        </w:rPr>
        <w:t>。</w:t>
      </w:r>
    </w:p>
    <w:p>
      <w:pPr>
        <w:widowControl/>
        <w:adjustRightInd w:val="0"/>
        <w:snapToGrid w:val="0"/>
        <w:spacing w:line="360" w:lineRule="auto"/>
        <w:ind w:firstLine="360" w:firstLineChars="150"/>
        <w:jc w:val="left"/>
        <w:outlineLvl w:val="0"/>
        <w:rPr>
          <w:rFonts w:hAnsi="宋体"/>
          <w:sz w:val="24"/>
          <w:szCs w:val="24"/>
        </w:rPr>
      </w:pPr>
      <w:r>
        <w:rPr>
          <w:rFonts w:hAnsi="宋体"/>
          <w:sz w:val="24"/>
          <w:szCs w:val="24"/>
        </w:rPr>
        <w:t>3.</w:t>
      </w:r>
      <w:r>
        <w:rPr>
          <w:rFonts w:hint="eastAsia" w:hAnsi="宋体"/>
          <w:sz w:val="24"/>
          <w:szCs w:val="24"/>
        </w:rPr>
        <w:t>3</w:t>
      </w:r>
      <w:r>
        <w:rPr>
          <w:rFonts w:hAnsi="宋体"/>
          <w:sz w:val="24"/>
          <w:szCs w:val="24"/>
        </w:rPr>
        <w:t>与招标人存在利害关系可能影响招标公正性的法人、其他组织或者个人，不得参加投标；单位负责人为同一人或者存在控股、管理关系的不同单位，不得参加同一标段投标或者未划分标段的同一招标项目投标。</w:t>
      </w:r>
    </w:p>
    <w:p>
      <w:pPr>
        <w:widowControl/>
        <w:wordWrap w:val="0"/>
        <w:adjustRightInd w:val="0"/>
        <w:snapToGrid w:val="0"/>
        <w:spacing w:line="360" w:lineRule="auto"/>
        <w:ind w:firstLine="360" w:firstLineChars="150"/>
        <w:jc w:val="left"/>
        <w:outlineLvl w:val="0"/>
        <w:rPr>
          <w:rFonts w:hAnsi="宋体"/>
          <w:b/>
          <w:sz w:val="24"/>
          <w:szCs w:val="24"/>
        </w:rPr>
      </w:pPr>
      <w:r>
        <w:rPr>
          <w:rFonts w:hint="eastAsia" w:hAnsi="宋体"/>
          <w:b/>
          <w:sz w:val="24"/>
          <w:szCs w:val="24"/>
        </w:rPr>
        <w:t>3.4未被列入“信用中国”/“信用河南”网站信用信息栏黑名单，“国家企业信用信息公示系统”经营异常名录和严重失信黑名单，无行贿犯罪记录的投标人；</w:t>
      </w:r>
    </w:p>
    <w:p>
      <w:pPr>
        <w:adjustRightInd w:val="0"/>
        <w:snapToGrid w:val="0"/>
        <w:spacing w:line="360" w:lineRule="auto"/>
        <w:rPr>
          <w:rFonts w:hAnsi="宋体"/>
          <w:b/>
          <w:sz w:val="24"/>
          <w:szCs w:val="24"/>
        </w:rPr>
      </w:pPr>
      <w:r>
        <w:rPr>
          <w:rFonts w:hint="eastAsia" w:hAnsi="宋体"/>
          <w:b/>
          <w:sz w:val="24"/>
          <w:szCs w:val="24"/>
        </w:rPr>
        <w:t>4、投标报名</w:t>
      </w:r>
    </w:p>
    <w:p>
      <w:pPr>
        <w:adjustRightInd w:val="0"/>
        <w:snapToGrid w:val="0"/>
        <w:spacing w:line="360" w:lineRule="auto"/>
        <w:rPr>
          <w:rFonts w:hAnsi="宋体"/>
          <w:b/>
          <w:sz w:val="24"/>
          <w:szCs w:val="24"/>
        </w:rPr>
      </w:pPr>
      <w:r>
        <w:rPr>
          <w:rFonts w:hint="eastAsia" w:hAnsi="宋体" w:cs="Arial"/>
          <w:sz w:val="24"/>
          <w:szCs w:val="24"/>
        </w:rPr>
        <w:t>4.1报名时间：</w:t>
      </w:r>
      <w:r>
        <w:rPr>
          <w:rFonts w:hint="eastAsia" w:hAnsi="宋体"/>
          <w:b/>
          <w:sz w:val="24"/>
          <w:szCs w:val="24"/>
          <w:u w:val="single"/>
        </w:rPr>
        <w:t>投标截止时间前均可报名。</w:t>
      </w:r>
    </w:p>
    <w:p>
      <w:pPr>
        <w:adjustRightInd w:val="0"/>
        <w:snapToGrid w:val="0"/>
        <w:spacing w:line="360" w:lineRule="auto"/>
        <w:ind w:firstLine="480" w:firstLineChars="200"/>
        <w:rPr>
          <w:rFonts w:hAnsi="宋体" w:cs="Arial"/>
          <w:sz w:val="24"/>
          <w:szCs w:val="24"/>
        </w:rPr>
      </w:pPr>
      <w:r>
        <w:rPr>
          <w:rFonts w:hint="eastAsia" w:hAnsi="宋体" w:cs="Arial"/>
          <w:sz w:val="24"/>
          <w:szCs w:val="24"/>
        </w:rPr>
        <w:t>4.2报名方式：网上报名。</w:t>
      </w:r>
    </w:p>
    <w:p>
      <w:pPr>
        <w:wordWrap w:val="0"/>
        <w:adjustRightInd w:val="0"/>
        <w:snapToGrid w:val="0"/>
        <w:spacing w:line="360" w:lineRule="auto"/>
        <w:ind w:firstLine="480" w:firstLineChars="200"/>
        <w:rPr>
          <w:rFonts w:hAnsi="宋体" w:cs="Arial"/>
          <w:sz w:val="24"/>
          <w:szCs w:val="24"/>
        </w:rPr>
      </w:pPr>
      <w:r>
        <w:rPr>
          <w:rFonts w:hint="eastAsia" w:hAnsi="宋体" w:cs="Arial"/>
          <w:sz w:val="24"/>
          <w:szCs w:val="24"/>
        </w:rPr>
        <w:t>（1）注册：持CA数字认证证书，登录【全国公共资源交易平台（河南省•许昌市）】“系统用户注册”入口（http://221.14.6.70:8088/ggzy/eps/public/RegistAllJcxx.html）进行免费注册登记（详见网站首页“常见问题解答-诚信库网上注册相关资料下载”）；</w:t>
      </w:r>
    </w:p>
    <w:p>
      <w:pPr>
        <w:adjustRightInd w:val="0"/>
        <w:snapToGrid w:val="0"/>
        <w:spacing w:line="360" w:lineRule="auto"/>
        <w:ind w:firstLine="480" w:firstLineChars="200"/>
        <w:rPr>
          <w:rFonts w:hAnsi="宋体" w:cs="Arial"/>
          <w:sz w:val="24"/>
          <w:szCs w:val="24"/>
        </w:rPr>
      </w:pPr>
      <w:r>
        <w:rPr>
          <w:rFonts w:hint="eastAsia" w:hAnsi="宋体" w:cs="Arial"/>
          <w:sz w:val="24"/>
          <w:szCs w:val="24"/>
        </w:rPr>
        <w:t>（2）报名：登录【全国公共资源交易平台（河南省•许昌市）】“投标人/供应商登录”入口（http://221.14.6.70:8088/ggzy/），在报名期限内报名。（详见网站首页“常见问题解答-交易系统操作手册”）。</w:t>
      </w:r>
    </w:p>
    <w:p>
      <w:pPr>
        <w:adjustRightInd w:val="0"/>
        <w:snapToGrid w:val="0"/>
        <w:spacing w:line="360" w:lineRule="auto"/>
        <w:rPr>
          <w:rFonts w:hAnsi="宋体"/>
          <w:b/>
          <w:sz w:val="24"/>
          <w:szCs w:val="24"/>
        </w:rPr>
      </w:pPr>
      <w:r>
        <w:rPr>
          <w:rFonts w:hint="eastAsia" w:hAnsi="宋体"/>
          <w:b/>
          <w:sz w:val="24"/>
          <w:szCs w:val="24"/>
        </w:rPr>
        <w:t>5、招标文件和施工图纸的获取</w:t>
      </w:r>
    </w:p>
    <w:p>
      <w:pPr>
        <w:adjustRightInd w:val="0"/>
        <w:snapToGrid w:val="0"/>
        <w:spacing w:line="360" w:lineRule="auto"/>
        <w:ind w:firstLine="480" w:firstLineChars="200"/>
        <w:rPr>
          <w:rFonts w:hAnsi="宋体" w:cs="Arial"/>
          <w:sz w:val="24"/>
          <w:szCs w:val="24"/>
        </w:rPr>
      </w:pPr>
      <w:r>
        <w:rPr>
          <w:rFonts w:hint="eastAsia" w:hAnsi="宋体" w:cs="Arial"/>
          <w:sz w:val="24"/>
          <w:szCs w:val="24"/>
        </w:rPr>
        <w:t>5.1招标文件和工程量清单的下载：投标</w:t>
      </w:r>
      <w:r>
        <w:rPr>
          <w:rFonts w:hint="eastAsia" w:hAnsi="宋体" w:cs="宋体"/>
          <w:sz w:val="24"/>
          <w:szCs w:val="24"/>
        </w:rPr>
        <w:t>文件递交截止时间前均可</w:t>
      </w:r>
      <w:r>
        <w:rPr>
          <w:rFonts w:hint="eastAsia" w:hAnsi="宋体" w:cs="Arial"/>
          <w:sz w:val="24"/>
          <w:szCs w:val="24"/>
        </w:rPr>
        <w:t>登录《全国公共资源交易平台（河南省•许昌市）》</w:t>
      </w:r>
      <w:r>
        <w:rPr>
          <w:rFonts w:hint="eastAsia" w:hAnsi="宋体"/>
          <w:bCs/>
          <w:sz w:val="24"/>
        </w:rPr>
        <w:t>（</w:t>
      </w:r>
      <w:r>
        <w:fldChar w:fldCharType="begin"/>
      </w:r>
      <w:r>
        <w:instrText xml:space="preserve"> HYPERLINK </w:instrText>
      </w:r>
      <w:r>
        <w:fldChar w:fldCharType="separate"/>
      </w:r>
      <w:r>
        <w:rPr>
          <w:rStyle w:val="14"/>
          <w:rFonts w:hint="eastAsia" w:hAnsi="宋体"/>
          <w:bCs/>
          <w:color w:val="auto"/>
          <w:sz w:val="24"/>
        </w:rPr>
        <w:t>http://</w:t>
      </w:r>
      <w:r>
        <w:rPr>
          <w:rStyle w:val="14"/>
          <w:rFonts w:hAnsi="宋体"/>
          <w:bCs/>
          <w:color w:val="auto"/>
          <w:sz w:val="24"/>
        </w:rPr>
        <w:t>http://www.xcggzy.gov.cn</w:t>
      </w:r>
      <w:r>
        <w:rPr>
          <w:rStyle w:val="14"/>
          <w:rFonts w:hint="eastAsia" w:hAnsi="宋体"/>
          <w:bCs/>
          <w:color w:val="auto"/>
          <w:sz w:val="24"/>
        </w:rPr>
        <w:t>/</w:t>
      </w:r>
      <w:r>
        <w:rPr>
          <w:rStyle w:val="14"/>
          <w:rFonts w:hint="eastAsia" w:hAnsi="宋体"/>
          <w:bCs/>
          <w:color w:val="auto"/>
          <w:sz w:val="24"/>
        </w:rPr>
        <w:fldChar w:fldCharType="end"/>
      </w:r>
      <w:r>
        <w:rPr>
          <w:rFonts w:hint="eastAsia" w:hAnsi="宋体"/>
          <w:bCs/>
          <w:sz w:val="24"/>
        </w:rPr>
        <w:t>）</w:t>
      </w:r>
      <w:r>
        <w:rPr>
          <w:rFonts w:hint="eastAsia" w:hAnsi="宋体" w:cs="Arial"/>
          <w:sz w:val="24"/>
          <w:szCs w:val="24"/>
        </w:rPr>
        <w:t>，通过“投标人/供应商登录” 入口自行下载本项目招标文件、工程量清单。</w:t>
      </w:r>
    </w:p>
    <w:p>
      <w:pPr>
        <w:adjustRightInd w:val="0"/>
        <w:snapToGrid w:val="0"/>
        <w:spacing w:line="360" w:lineRule="auto"/>
        <w:ind w:firstLine="480" w:firstLineChars="200"/>
        <w:rPr>
          <w:rFonts w:hAnsi="宋体" w:cs="Arial"/>
          <w:sz w:val="24"/>
          <w:szCs w:val="24"/>
        </w:rPr>
      </w:pPr>
      <w:r>
        <w:rPr>
          <w:rFonts w:hint="eastAsia" w:hAnsi="宋体" w:cs="Arial"/>
          <w:sz w:val="24"/>
          <w:szCs w:val="24"/>
        </w:rPr>
        <w:t>5.2施工图纸下载：按照招标文件中第二章投标人须知前附表所给的网址自行下载。</w:t>
      </w:r>
    </w:p>
    <w:p>
      <w:pPr>
        <w:adjustRightInd w:val="0"/>
        <w:snapToGrid w:val="0"/>
        <w:spacing w:line="360" w:lineRule="auto"/>
        <w:ind w:firstLine="480" w:firstLineChars="200"/>
        <w:rPr>
          <w:rFonts w:hAnsi="宋体" w:cs="Arial"/>
          <w:sz w:val="24"/>
          <w:szCs w:val="24"/>
        </w:rPr>
      </w:pPr>
      <w:r>
        <w:rPr>
          <w:rFonts w:hint="eastAsia" w:hAnsi="宋体" w:cs="Arial"/>
          <w:sz w:val="24"/>
          <w:szCs w:val="24"/>
        </w:rPr>
        <w:t>5.3招标文件费用：投标人在递交纸制投标文件时向代理公司缴纳招标文件费用，本项目招标文件费用为300元</w:t>
      </w:r>
      <w:r>
        <w:rPr>
          <w:rFonts w:hint="eastAsia" w:hAnsi="宋体" w:cs="宋体"/>
          <w:sz w:val="24"/>
          <w:szCs w:val="28"/>
        </w:rPr>
        <w:t>/套</w:t>
      </w:r>
      <w:r>
        <w:rPr>
          <w:rFonts w:hint="eastAsia" w:hAnsi="宋体" w:cs="Arial"/>
          <w:sz w:val="24"/>
          <w:szCs w:val="24"/>
        </w:rPr>
        <w:t>，售后不退。</w:t>
      </w:r>
    </w:p>
    <w:p>
      <w:pPr>
        <w:adjustRightInd w:val="0"/>
        <w:snapToGrid w:val="0"/>
        <w:spacing w:line="360" w:lineRule="auto"/>
        <w:ind w:firstLine="480" w:firstLineChars="200"/>
        <w:rPr>
          <w:rFonts w:hAnsi="宋体" w:cs="Arial"/>
          <w:sz w:val="24"/>
          <w:szCs w:val="24"/>
        </w:rPr>
      </w:pPr>
      <w:r>
        <w:rPr>
          <w:rFonts w:hint="eastAsia" w:hAnsi="宋体" w:cs="Arial"/>
          <w:sz w:val="24"/>
          <w:szCs w:val="24"/>
        </w:rPr>
        <w:t>5.4本项目实行资格后审，资格后审所需资料详见招标文件。</w:t>
      </w:r>
    </w:p>
    <w:p>
      <w:pPr>
        <w:numPr>
          <w:ilvl w:val="0"/>
          <w:numId w:val="1"/>
        </w:numPr>
        <w:adjustRightInd w:val="0"/>
        <w:snapToGrid w:val="0"/>
        <w:spacing w:line="360" w:lineRule="auto"/>
        <w:rPr>
          <w:rFonts w:hAnsi="宋体"/>
          <w:b/>
          <w:sz w:val="24"/>
          <w:szCs w:val="24"/>
        </w:rPr>
      </w:pPr>
      <w:r>
        <w:rPr>
          <w:rFonts w:hint="eastAsia" w:hAnsi="宋体"/>
          <w:b/>
          <w:sz w:val="24"/>
          <w:szCs w:val="24"/>
        </w:rPr>
        <w:t>投标文件的递交：</w:t>
      </w:r>
    </w:p>
    <w:p>
      <w:pPr>
        <w:adjustRightInd w:val="0"/>
        <w:snapToGrid w:val="0"/>
        <w:spacing w:line="360" w:lineRule="auto"/>
        <w:ind w:firstLine="480" w:firstLineChars="200"/>
        <w:rPr>
          <w:rFonts w:hAnsi="宋体" w:cs="Arial"/>
          <w:sz w:val="24"/>
          <w:szCs w:val="24"/>
        </w:rPr>
      </w:pPr>
      <w:r>
        <w:rPr>
          <w:rFonts w:hint="eastAsia" w:hAnsi="宋体" w:cs="Arial"/>
          <w:sz w:val="24"/>
          <w:szCs w:val="24"/>
        </w:rPr>
        <w:t>6.1、本项目为全流程电子化交易项目，须提交电子投标文件和纸质投标文件（正本1份、副本1份）。</w:t>
      </w:r>
    </w:p>
    <w:p>
      <w:pPr>
        <w:adjustRightInd w:val="0"/>
        <w:snapToGrid w:val="0"/>
        <w:spacing w:line="360" w:lineRule="auto"/>
        <w:ind w:firstLine="480" w:firstLineChars="200"/>
        <w:rPr>
          <w:rFonts w:hAnsi="宋体" w:cs="Arial"/>
          <w:sz w:val="24"/>
          <w:szCs w:val="24"/>
        </w:rPr>
      </w:pPr>
      <w:r>
        <w:rPr>
          <w:rFonts w:hint="eastAsia" w:hAnsi="宋体" w:cs="Arial"/>
          <w:sz w:val="24"/>
          <w:szCs w:val="24"/>
        </w:rPr>
        <w:t>6.2、投标文件提交截止时间及开标时间：</w:t>
      </w:r>
      <w:r>
        <w:rPr>
          <w:rFonts w:hint="eastAsia" w:hAnsi="宋体" w:cs="仿宋"/>
          <w:b/>
          <w:color w:val="FF0000"/>
          <w:sz w:val="24"/>
          <w:szCs w:val="24"/>
          <w:u w:val="single"/>
        </w:rPr>
        <w:t xml:space="preserve"> </w:t>
      </w:r>
      <w:r>
        <w:rPr>
          <w:rFonts w:hint="eastAsia" w:hAnsi="宋体" w:cs="仿宋"/>
          <w:b/>
          <w:color w:val="FF0000"/>
          <w:sz w:val="24"/>
          <w:szCs w:val="24"/>
          <w:u w:val="single"/>
          <w:lang w:val="en-US" w:eastAsia="zh-CN"/>
        </w:rPr>
        <w:t>2020</w:t>
      </w:r>
      <w:r>
        <w:rPr>
          <w:rFonts w:hint="eastAsia" w:hAnsi="宋体" w:cs="仿宋"/>
          <w:b/>
          <w:color w:val="FF0000"/>
          <w:sz w:val="24"/>
          <w:szCs w:val="24"/>
          <w:u w:val="single"/>
        </w:rPr>
        <w:t xml:space="preserve"> </w:t>
      </w:r>
      <w:r>
        <w:rPr>
          <w:rFonts w:hint="eastAsia" w:hAnsi="宋体" w:cs="仿宋"/>
          <w:b/>
          <w:color w:val="FF0000"/>
          <w:sz w:val="24"/>
          <w:szCs w:val="24"/>
        </w:rPr>
        <w:t>年</w:t>
      </w:r>
      <w:r>
        <w:rPr>
          <w:rFonts w:hint="eastAsia" w:hAnsi="宋体" w:cs="仿宋"/>
          <w:b/>
          <w:color w:val="FF0000"/>
          <w:sz w:val="24"/>
          <w:szCs w:val="24"/>
          <w:u w:val="single"/>
        </w:rPr>
        <w:t xml:space="preserve"> </w:t>
      </w:r>
      <w:r>
        <w:rPr>
          <w:rFonts w:hint="eastAsia" w:hAnsi="宋体" w:cs="仿宋"/>
          <w:b/>
          <w:color w:val="FF0000"/>
          <w:sz w:val="24"/>
          <w:szCs w:val="24"/>
          <w:u w:val="single"/>
          <w:lang w:val="en-US" w:eastAsia="zh-CN"/>
        </w:rPr>
        <w:t>1</w:t>
      </w:r>
      <w:r>
        <w:rPr>
          <w:rFonts w:hint="eastAsia" w:hAnsi="宋体" w:cs="仿宋"/>
          <w:b/>
          <w:color w:val="FF0000"/>
          <w:sz w:val="24"/>
          <w:szCs w:val="24"/>
          <w:u w:val="single"/>
        </w:rPr>
        <w:t xml:space="preserve">  </w:t>
      </w:r>
      <w:r>
        <w:rPr>
          <w:rFonts w:hint="eastAsia" w:hAnsi="宋体" w:cs="仿宋"/>
          <w:b/>
          <w:color w:val="FF0000"/>
          <w:sz w:val="24"/>
          <w:szCs w:val="24"/>
        </w:rPr>
        <w:t>月</w:t>
      </w:r>
      <w:r>
        <w:rPr>
          <w:rFonts w:hint="eastAsia" w:hAnsi="宋体" w:cs="仿宋"/>
          <w:b/>
          <w:color w:val="FF0000"/>
          <w:sz w:val="24"/>
          <w:szCs w:val="24"/>
          <w:u w:val="single"/>
        </w:rPr>
        <w:t xml:space="preserve"> </w:t>
      </w:r>
      <w:r>
        <w:rPr>
          <w:rFonts w:hint="eastAsia" w:hAnsi="宋体" w:cs="仿宋"/>
          <w:b/>
          <w:color w:val="FF0000"/>
          <w:sz w:val="24"/>
          <w:szCs w:val="24"/>
          <w:u w:val="single"/>
          <w:lang w:val="en-US" w:eastAsia="zh-CN"/>
        </w:rPr>
        <w:t>6</w:t>
      </w:r>
      <w:r>
        <w:rPr>
          <w:rFonts w:hint="eastAsia" w:hAnsi="宋体" w:cs="仿宋"/>
          <w:b/>
          <w:color w:val="FF0000"/>
          <w:sz w:val="24"/>
          <w:szCs w:val="24"/>
          <w:u w:val="single"/>
        </w:rPr>
        <w:t xml:space="preserve">  </w:t>
      </w:r>
      <w:r>
        <w:rPr>
          <w:rFonts w:hint="eastAsia" w:hAnsi="宋体" w:cs="仿宋"/>
          <w:b/>
          <w:color w:val="FF0000"/>
          <w:sz w:val="24"/>
          <w:szCs w:val="24"/>
        </w:rPr>
        <w:t>日</w:t>
      </w:r>
      <w:r>
        <w:rPr>
          <w:rFonts w:hint="eastAsia" w:hAnsi="宋体" w:cs="仿宋"/>
          <w:b/>
          <w:color w:val="FF0000"/>
          <w:sz w:val="24"/>
          <w:szCs w:val="24"/>
          <w:u w:val="single"/>
        </w:rPr>
        <w:t xml:space="preserve"> </w:t>
      </w:r>
      <w:r>
        <w:rPr>
          <w:rFonts w:hint="eastAsia" w:hAnsi="宋体" w:cs="仿宋"/>
          <w:b/>
          <w:color w:val="FF0000"/>
          <w:sz w:val="24"/>
          <w:szCs w:val="24"/>
          <w:u w:val="single"/>
          <w:lang w:val="en-US" w:eastAsia="zh-CN"/>
        </w:rPr>
        <w:t>9</w:t>
      </w:r>
      <w:r>
        <w:rPr>
          <w:rFonts w:hint="eastAsia" w:hAnsi="宋体" w:cs="仿宋"/>
          <w:b/>
          <w:color w:val="FF0000"/>
          <w:sz w:val="24"/>
          <w:szCs w:val="24"/>
          <w:u w:val="single"/>
        </w:rPr>
        <w:t xml:space="preserve">  </w:t>
      </w:r>
      <w:r>
        <w:rPr>
          <w:rFonts w:hint="eastAsia" w:hAnsi="宋体" w:cs="仿宋"/>
          <w:b/>
          <w:color w:val="FF0000"/>
          <w:sz w:val="24"/>
          <w:szCs w:val="24"/>
        </w:rPr>
        <w:t>时</w:t>
      </w:r>
      <w:r>
        <w:rPr>
          <w:rFonts w:hint="eastAsia" w:hAnsi="宋体" w:cs="仿宋"/>
          <w:b/>
          <w:color w:val="FF0000"/>
          <w:sz w:val="24"/>
          <w:szCs w:val="24"/>
          <w:u w:val="single"/>
        </w:rPr>
        <w:t xml:space="preserve"> </w:t>
      </w:r>
      <w:r>
        <w:rPr>
          <w:rFonts w:hint="eastAsia" w:hAnsi="宋体" w:cs="仿宋"/>
          <w:b/>
          <w:color w:val="FF0000"/>
          <w:sz w:val="24"/>
          <w:szCs w:val="24"/>
          <w:u w:val="single"/>
          <w:lang w:val="en-US" w:eastAsia="zh-CN"/>
        </w:rPr>
        <w:t>30</w:t>
      </w:r>
      <w:r>
        <w:rPr>
          <w:rFonts w:hint="eastAsia" w:hAnsi="宋体" w:cs="仿宋"/>
          <w:b/>
          <w:color w:val="FF0000"/>
          <w:sz w:val="24"/>
          <w:szCs w:val="24"/>
          <w:u w:val="single"/>
        </w:rPr>
        <w:t xml:space="preserve"> </w:t>
      </w:r>
      <w:r>
        <w:rPr>
          <w:rFonts w:hint="eastAsia" w:hAnsi="宋体" w:cs="仿宋"/>
          <w:b/>
          <w:color w:val="FF0000"/>
          <w:sz w:val="24"/>
          <w:szCs w:val="24"/>
        </w:rPr>
        <w:t>分</w:t>
      </w:r>
      <w:r>
        <w:rPr>
          <w:rFonts w:hint="eastAsia" w:hAnsi="宋体" w:cs="仿宋"/>
          <w:b/>
          <w:color w:val="FF0000"/>
          <w:sz w:val="24"/>
          <w:szCs w:val="24"/>
          <w:lang w:eastAsia="zh-CN"/>
        </w:rPr>
        <w:t>（北京时间）</w:t>
      </w:r>
      <w:r>
        <w:rPr>
          <w:rFonts w:hint="eastAsia" w:hAnsi="宋体" w:cs="Arial"/>
          <w:b/>
          <w:color w:val="FF0000"/>
          <w:sz w:val="24"/>
          <w:szCs w:val="24"/>
        </w:rPr>
        <w:t>。</w:t>
      </w:r>
    </w:p>
    <w:p>
      <w:pPr>
        <w:adjustRightInd w:val="0"/>
        <w:snapToGrid w:val="0"/>
        <w:spacing w:line="360" w:lineRule="auto"/>
        <w:ind w:firstLine="480" w:firstLineChars="200"/>
        <w:rPr>
          <w:rFonts w:hAnsi="宋体" w:cs="Arial"/>
          <w:sz w:val="24"/>
          <w:szCs w:val="24"/>
        </w:rPr>
      </w:pPr>
      <w:r>
        <w:rPr>
          <w:rFonts w:hint="eastAsia" w:hAnsi="宋体" w:cs="Arial"/>
          <w:sz w:val="24"/>
          <w:szCs w:val="24"/>
        </w:rPr>
        <w:t>6.3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adjustRightInd w:val="0"/>
        <w:snapToGrid w:val="0"/>
        <w:spacing w:line="360" w:lineRule="auto"/>
        <w:ind w:firstLine="480" w:firstLineChars="200"/>
        <w:rPr>
          <w:rFonts w:hAnsi="宋体" w:cs="Arial"/>
          <w:sz w:val="24"/>
          <w:szCs w:val="24"/>
        </w:rPr>
      </w:pPr>
      <w:r>
        <w:rPr>
          <w:rFonts w:hint="eastAsia" w:hAnsi="宋体" w:cs="Arial"/>
          <w:sz w:val="24"/>
          <w:szCs w:val="24"/>
        </w:rPr>
        <w:t>6.4、纸质投标文件提交地点：长葛市公共资源交易中心（长葛市葛天大道东段商务区6号楼</w:t>
      </w:r>
      <w:r>
        <w:rPr>
          <w:rFonts w:hint="eastAsia" w:hAnsi="宋体" w:cs="Arial"/>
          <w:sz w:val="24"/>
          <w:szCs w:val="24"/>
          <w:u w:val="single"/>
        </w:rPr>
        <w:t xml:space="preserve"> </w:t>
      </w:r>
      <w:r>
        <w:rPr>
          <w:rFonts w:hint="eastAsia" w:hAnsi="宋体" w:cs="Arial"/>
          <w:sz w:val="24"/>
          <w:szCs w:val="24"/>
          <w:u w:val="single"/>
          <w:lang w:val="en-US" w:eastAsia="zh-CN"/>
        </w:rPr>
        <w:t>5</w:t>
      </w:r>
      <w:r>
        <w:rPr>
          <w:rFonts w:hint="eastAsia" w:hAnsi="宋体" w:cs="Arial"/>
          <w:sz w:val="24"/>
          <w:szCs w:val="24"/>
          <w:u w:val="single"/>
        </w:rPr>
        <w:t xml:space="preserve"> </w:t>
      </w:r>
      <w:r>
        <w:rPr>
          <w:rFonts w:hint="eastAsia" w:hAnsi="宋体" w:cs="Arial"/>
          <w:sz w:val="24"/>
          <w:szCs w:val="24"/>
        </w:rPr>
        <w:t xml:space="preserve">楼开 </w:t>
      </w:r>
      <w:r>
        <w:rPr>
          <w:rFonts w:hint="eastAsia" w:hAnsi="宋体" w:cs="Arial"/>
          <w:sz w:val="24"/>
          <w:szCs w:val="24"/>
          <w:lang w:eastAsia="zh-CN"/>
        </w:rPr>
        <w:t>一</w:t>
      </w:r>
      <w:r>
        <w:rPr>
          <w:rFonts w:hint="eastAsia" w:hAnsi="宋体" w:cs="Arial"/>
          <w:sz w:val="24"/>
          <w:szCs w:val="24"/>
        </w:rPr>
        <w:t xml:space="preserve"> 室）。</w:t>
      </w:r>
    </w:p>
    <w:p>
      <w:pPr>
        <w:adjustRightInd w:val="0"/>
        <w:snapToGrid w:val="0"/>
        <w:spacing w:line="360" w:lineRule="auto"/>
        <w:ind w:firstLine="480" w:firstLineChars="200"/>
        <w:rPr>
          <w:rFonts w:hAnsi="宋体" w:cs="Arial"/>
          <w:sz w:val="24"/>
          <w:szCs w:val="24"/>
        </w:rPr>
      </w:pPr>
      <w:r>
        <w:rPr>
          <w:rFonts w:hint="eastAsia" w:hAnsi="宋体" w:cs="Arial"/>
          <w:sz w:val="24"/>
          <w:szCs w:val="24"/>
        </w:rPr>
        <w:t>6.5、逾期送达的或者未按照招标文件要求密封的纸质投标文件、及仅提供纸质投标文件的，招标人不予受理。</w:t>
      </w:r>
    </w:p>
    <w:p>
      <w:pPr>
        <w:adjustRightInd w:val="0"/>
        <w:snapToGrid w:val="0"/>
        <w:spacing w:line="360" w:lineRule="auto"/>
        <w:ind w:firstLine="480" w:firstLineChars="200"/>
        <w:rPr>
          <w:rFonts w:hAnsi="宋体" w:cs="Arial"/>
          <w:sz w:val="24"/>
          <w:szCs w:val="24"/>
        </w:rPr>
      </w:pPr>
      <w:r>
        <w:rPr>
          <w:rFonts w:hint="eastAsia" w:hAnsi="宋体" w:cs="Arial"/>
          <w:sz w:val="24"/>
          <w:szCs w:val="24"/>
        </w:rPr>
        <w:t>6.5、未通过全国公共资源交易平台（河南省▪许昌市）下载招标文件的投标人，其投标文件不予受理。</w:t>
      </w:r>
    </w:p>
    <w:p>
      <w:pPr>
        <w:adjustRightInd w:val="0"/>
        <w:snapToGrid w:val="0"/>
        <w:spacing w:line="360" w:lineRule="auto"/>
        <w:rPr>
          <w:rFonts w:hAnsi="宋体"/>
          <w:b/>
          <w:sz w:val="24"/>
          <w:szCs w:val="24"/>
        </w:rPr>
      </w:pPr>
      <w:r>
        <w:rPr>
          <w:rFonts w:hint="eastAsia" w:hAnsi="宋体"/>
          <w:b/>
          <w:sz w:val="24"/>
          <w:szCs w:val="24"/>
        </w:rPr>
        <w:t>7、发布公告的媒介</w:t>
      </w:r>
    </w:p>
    <w:p>
      <w:pPr>
        <w:tabs>
          <w:tab w:val="left" w:pos="7095"/>
        </w:tabs>
        <w:adjustRightInd w:val="0"/>
        <w:snapToGrid w:val="0"/>
        <w:spacing w:line="360" w:lineRule="auto"/>
        <w:ind w:firstLine="352" w:firstLineChars="147"/>
        <w:rPr>
          <w:rFonts w:hAnsi="宋体" w:cs="Arial"/>
          <w:sz w:val="24"/>
          <w:szCs w:val="24"/>
        </w:rPr>
      </w:pPr>
      <w:r>
        <w:rPr>
          <w:rFonts w:hAnsi="宋体" w:cs="Arial"/>
          <w:sz w:val="24"/>
          <w:szCs w:val="24"/>
        </w:rPr>
        <w:t>本招标公告同时在</w:t>
      </w:r>
      <w:r>
        <w:rPr>
          <w:rFonts w:hint="eastAsia" w:hAnsi="宋体" w:cs="Arial"/>
          <w:sz w:val="24"/>
          <w:szCs w:val="24"/>
        </w:rPr>
        <w:t>《河南省电子招标投标公共服务平台》、</w:t>
      </w:r>
      <w:r>
        <w:rPr>
          <w:rFonts w:hAnsi="宋体" w:cs="Arial"/>
          <w:sz w:val="24"/>
          <w:szCs w:val="24"/>
        </w:rPr>
        <w:t>《全国公共资源交易平台（河南省·许昌市）》</w:t>
      </w:r>
      <w:r>
        <w:rPr>
          <w:rFonts w:hint="eastAsia" w:hAnsi="宋体" w:cs="Arial"/>
          <w:sz w:val="24"/>
          <w:szCs w:val="24"/>
        </w:rPr>
        <w:t>、《长葛市人民政府门户网站》</w:t>
      </w:r>
      <w:r>
        <w:rPr>
          <w:rFonts w:hAnsi="宋体" w:cs="Arial"/>
          <w:sz w:val="24"/>
          <w:szCs w:val="24"/>
        </w:rPr>
        <w:t>上发布。</w:t>
      </w:r>
    </w:p>
    <w:p>
      <w:pPr>
        <w:adjustRightInd w:val="0"/>
        <w:snapToGrid w:val="0"/>
        <w:spacing w:line="360" w:lineRule="auto"/>
        <w:rPr>
          <w:rFonts w:hAnsi="宋体"/>
          <w:b/>
          <w:sz w:val="24"/>
          <w:szCs w:val="24"/>
        </w:rPr>
      </w:pPr>
      <w:r>
        <w:rPr>
          <w:rFonts w:hint="eastAsia" w:hAnsi="宋体"/>
          <w:b/>
          <w:sz w:val="24"/>
          <w:szCs w:val="24"/>
        </w:rPr>
        <w:t>8.招标人及代理机构</w:t>
      </w:r>
    </w:p>
    <w:p>
      <w:pPr>
        <w:adjustRightInd w:val="0"/>
        <w:snapToGrid w:val="0"/>
        <w:spacing w:line="360" w:lineRule="auto"/>
        <w:ind w:firstLine="240" w:firstLineChars="100"/>
        <w:rPr>
          <w:rFonts w:hAnsi="宋体"/>
          <w:sz w:val="24"/>
          <w:szCs w:val="24"/>
        </w:rPr>
      </w:pPr>
      <w:r>
        <w:rPr>
          <w:rFonts w:hint="eastAsia" w:hAnsi="宋体"/>
          <w:sz w:val="24"/>
          <w:szCs w:val="24"/>
        </w:rPr>
        <w:t>招 标 人：长葛市老城镇人民政府</w:t>
      </w:r>
    </w:p>
    <w:p>
      <w:pPr>
        <w:adjustRightInd w:val="0"/>
        <w:snapToGrid w:val="0"/>
        <w:spacing w:line="360" w:lineRule="auto"/>
        <w:ind w:firstLine="240" w:firstLineChars="100"/>
        <w:rPr>
          <w:rFonts w:hAnsi="宋体"/>
          <w:sz w:val="24"/>
          <w:szCs w:val="24"/>
        </w:rPr>
      </w:pPr>
      <w:r>
        <w:rPr>
          <w:rFonts w:hint="eastAsia" w:hAnsi="宋体"/>
          <w:sz w:val="24"/>
          <w:szCs w:val="24"/>
        </w:rPr>
        <w:t xml:space="preserve">联 系 人：张先生  联系电话：  13608436336   </w:t>
      </w:r>
    </w:p>
    <w:p>
      <w:pPr>
        <w:adjustRightInd w:val="0"/>
        <w:snapToGrid w:val="0"/>
        <w:spacing w:line="360" w:lineRule="auto"/>
        <w:ind w:firstLine="240" w:firstLineChars="100"/>
        <w:rPr>
          <w:rFonts w:hAnsi="宋体"/>
          <w:sz w:val="24"/>
          <w:szCs w:val="24"/>
        </w:rPr>
      </w:pPr>
      <w:r>
        <w:rPr>
          <w:rFonts w:hint="eastAsia" w:hAnsi="宋体"/>
          <w:sz w:val="24"/>
          <w:szCs w:val="24"/>
        </w:rPr>
        <w:t>代理机构：中科经纬工程技术有限公司</w:t>
      </w:r>
    </w:p>
    <w:p>
      <w:pPr>
        <w:adjustRightInd w:val="0"/>
        <w:snapToGrid w:val="0"/>
        <w:spacing w:line="360" w:lineRule="auto"/>
        <w:ind w:firstLine="240" w:firstLineChars="100"/>
        <w:rPr>
          <w:rFonts w:hAnsi="宋体"/>
          <w:sz w:val="24"/>
          <w:szCs w:val="24"/>
        </w:rPr>
      </w:pPr>
      <w:r>
        <w:rPr>
          <w:rFonts w:hint="eastAsia" w:hAnsi="宋体"/>
          <w:sz w:val="24"/>
          <w:szCs w:val="24"/>
        </w:rPr>
        <w:t>联 系 人：王女士   联系电话：16638625885</w:t>
      </w:r>
    </w:p>
    <w:p>
      <w:pPr>
        <w:adjustRightInd w:val="0"/>
        <w:snapToGrid w:val="0"/>
        <w:spacing w:line="360" w:lineRule="auto"/>
        <w:rPr>
          <w:rFonts w:hAnsi="宋体"/>
          <w:b/>
          <w:sz w:val="24"/>
          <w:szCs w:val="24"/>
        </w:rPr>
      </w:pPr>
      <w:r>
        <w:rPr>
          <w:rFonts w:hint="eastAsia" w:hAnsi="宋体"/>
          <w:b/>
          <w:sz w:val="24"/>
          <w:szCs w:val="24"/>
        </w:rPr>
        <w:t>9、特别提示：</w:t>
      </w:r>
    </w:p>
    <w:p>
      <w:pPr>
        <w:autoSpaceDE w:val="0"/>
        <w:autoSpaceDN w:val="0"/>
        <w:adjustRightInd w:val="0"/>
        <w:snapToGrid w:val="0"/>
        <w:spacing w:line="360" w:lineRule="auto"/>
        <w:ind w:firstLine="480"/>
        <w:jc w:val="left"/>
        <w:rPr>
          <w:rFonts w:hAnsi="宋体"/>
          <w:b/>
          <w:sz w:val="24"/>
          <w:szCs w:val="24"/>
        </w:rPr>
      </w:pPr>
      <w:r>
        <w:rPr>
          <w:rFonts w:hint="eastAsia" w:hAnsi="宋体"/>
          <w:b/>
          <w:sz w:val="24"/>
          <w:szCs w:val="24"/>
        </w:rPr>
        <w:t>1、所有投标单位请时刻关注《全国公共资源交易平台（河南省·许昌市）》，澄清、答疑、变更均在《全国公共资源交易平台（河南省·许昌市）》发布，不再另行通知。如未及时查看影响其投标，后果自负。</w:t>
      </w:r>
    </w:p>
    <w:p>
      <w:pPr>
        <w:autoSpaceDE w:val="0"/>
        <w:autoSpaceDN w:val="0"/>
        <w:adjustRightInd w:val="0"/>
        <w:snapToGrid w:val="0"/>
        <w:spacing w:line="360" w:lineRule="auto"/>
        <w:ind w:firstLine="480"/>
        <w:jc w:val="left"/>
        <w:rPr>
          <w:rFonts w:hAnsi="宋体"/>
          <w:b/>
          <w:sz w:val="24"/>
          <w:szCs w:val="24"/>
        </w:rPr>
      </w:pPr>
      <w:r>
        <w:rPr>
          <w:rFonts w:hint="eastAsia" w:hAnsi="宋体"/>
          <w:b/>
          <w:sz w:val="24"/>
          <w:szCs w:val="24"/>
        </w:rPr>
        <w:t>2、各投标人对代理公司提供的服务不满意，或认为代理公司在服务过程中有不当行为的，可致电长葛市公共资源交易管理委员会办公室监管股（0374-6189576），经查实后将视情况作出处理。</w:t>
      </w:r>
    </w:p>
    <w:p>
      <w:pPr>
        <w:autoSpaceDE w:val="0"/>
        <w:autoSpaceDN w:val="0"/>
        <w:adjustRightInd w:val="0"/>
        <w:snapToGrid w:val="0"/>
        <w:spacing w:line="360" w:lineRule="auto"/>
        <w:jc w:val="left"/>
        <w:rPr>
          <w:rFonts w:hAnsi="宋体"/>
          <w:b/>
          <w:sz w:val="30"/>
          <w:szCs w:val="30"/>
        </w:rPr>
      </w:pPr>
      <w:r>
        <w:rPr>
          <w:rFonts w:hint="eastAsia" w:hAnsi="宋体"/>
          <w:b/>
          <w:sz w:val="30"/>
          <w:szCs w:val="30"/>
        </w:rPr>
        <w:t>温馨提示：</w:t>
      </w:r>
    </w:p>
    <w:p>
      <w:pPr>
        <w:autoSpaceDE w:val="0"/>
        <w:autoSpaceDN w:val="0"/>
        <w:adjustRightInd w:val="0"/>
        <w:snapToGrid w:val="0"/>
        <w:spacing w:line="360" w:lineRule="auto"/>
        <w:ind w:firstLine="480"/>
        <w:jc w:val="left"/>
        <w:rPr>
          <w:rFonts w:hAnsi="宋体"/>
          <w:b/>
          <w:sz w:val="24"/>
          <w:szCs w:val="24"/>
        </w:rPr>
      </w:pPr>
      <w:r>
        <w:rPr>
          <w:rFonts w:hint="eastAsia" w:hAnsi="宋体"/>
          <w:b/>
          <w:sz w:val="24"/>
          <w:szCs w:val="24"/>
        </w:rPr>
        <w:t>本项目为全流程电子化交易项目，请认真阅读招标文件，并注意以下事项。</w:t>
      </w:r>
    </w:p>
    <w:p>
      <w:pPr>
        <w:autoSpaceDE w:val="0"/>
        <w:autoSpaceDN w:val="0"/>
        <w:adjustRightInd w:val="0"/>
        <w:snapToGrid w:val="0"/>
        <w:spacing w:line="360" w:lineRule="auto"/>
        <w:ind w:firstLine="480"/>
        <w:jc w:val="left"/>
        <w:rPr>
          <w:rFonts w:hAnsi="宋体"/>
          <w:b/>
          <w:sz w:val="24"/>
          <w:szCs w:val="24"/>
        </w:rPr>
      </w:pPr>
      <w:r>
        <w:rPr>
          <w:rFonts w:hint="eastAsia" w:hAnsi="宋体"/>
          <w:b/>
          <w:sz w:val="24"/>
          <w:szCs w:val="24"/>
        </w:rPr>
        <w:t>1.投标人应按招标文件规定下载、编制、提交电子投标文件和纸质投标文件。开、评标现场不接受投标人递交的电子投标文件和纸质投标文件以外的其他资料。</w:t>
      </w:r>
    </w:p>
    <w:p>
      <w:pPr>
        <w:autoSpaceDE w:val="0"/>
        <w:autoSpaceDN w:val="0"/>
        <w:adjustRightInd w:val="0"/>
        <w:snapToGrid w:val="0"/>
        <w:spacing w:line="360" w:lineRule="auto"/>
        <w:ind w:firstLine="480"/>
        <w:jc w:val="left"/>
        <w:rPr>
          <w:rFonts w:hAnsi="宋体"/>
          <w:b/>
          <w:sz w:val="24"/>
          <w:szCs w:val="24"/>
        </w:rPr>
      </w:pPr>
      <w:r>
        <w:rPr>
          <w:rFonts w:hint="eastAsia" w:hAnsi="宋体"/>
          <w:b/>
          <w:sz w:val="24"/>
          <w:szCs w:val="24"/>
        </w:rPr>
        <w:t>2.电子文件下载、制作、提交期间和开标（电子投标文件的解密）环节，</w:t>
      </w:r>
      <w:r>
        <w:rPr>
          <w:rFonts w:hint="eastAsia" w:hAnsi="宋体" w:cs="宋体"/>
          <w:b/>
          <w:bCs/>
          <w:sz w:val="24"/>
          <w:szCs w:val="24"/>
        </w:rPr>
        <w:t>投标人</w:t>
      </w:r>
      <w:r>
        <w:rPr>
          <w:rFonts w:hint="eastAsia" w:hAnsi="宋体"/>
          <w:b/>
          <w:sz w:val="24"/>
          <w:szCs w:val="24"/>
        </w:rPr>
        <w:t>须使用CA数字证书（证书须在有效期内）。</w:t>
      </w:r>
    </w:p>
    <w:p>
      <w:pPr>
        <w:autoSpaceDE w:val="0"/>
        <w:autoSpaceDN w:val="0"/>
        <w:adjustRightInd w:val="0"/>
        <w:snapToGrid w:val="0"/>
        <w:spacing w:line="360" w:lineRule="auto"/>
        <w:ind w:firstLine="480"/>
        <w:jc w:val="left"/>
        <w:rPr>
          <w:rFonts w:hAnsi="宋体"/>
          <w:b/>
          <w:sz w:val="24"/>
          <w:szCs w:val="24"/>
        </w:rPr>
      </w:pPr>
      <w:r>
        <w:rPr>
          <w:rFonts w:hint="eastAsia" w:hAnsi="宋体"/>
          <w:b/>
          <w:sz w:val="24"/>
          <w:szCs w:val="24"/>
        </w:rPr>
        <w:t>3.电子投标文件的制作</w:t>
      </w:r>
    </w:p>
    <w:p>
      <w:pPr>
        <w:autoSpaceDE w:val="0"/>
        <w:autoSpaceDN w:val="0"/>
        <w:adjustRightInd w:val="0"/>
        <w:snapToGrid w:val="0"/>
        <w:spacing w:line="360" w:lineRule="auto"/>
        <w:ind w:firstLine="480"/>
        <w:jc w:val="left"/>
        <w:rPr>
          <w:rFonts w:hAnsi="宋体"/>
          <w:sz w:val="24"/>
          <w:szCs w:val="24"/>
        </w:rPr>
      </w:pPr>
      <w:r>
        <w:rPr>
          <w:rFonts w:hint="eastAsia" w:hAnsi="宋体"/>
          <w:sz w:val="24"/>
          <w:szCs w:val="24"/>
        </w:rPr>
        <w:t>3.1 投标人登录【全国公共资源交易平台(河南省▪许昌市)】公共资源交易系统（http://221.14.6.70:8088/ggzy/）下载“许昌投标文件制作系统SEARUN V1.1”，按招标文件要求制作电子投标文件。</w:t>
      </w:r>
    </w:p>
    <w:p>
      <w:pPr>
        <w:autoSpaceDE w:val="0"/>
        <w:autoSpaceDN w:val="0"/>
        <w:adjustRightInd w:val="0"/>
        <w:snapToGrid w:val="0"/>
        <w:spacing w:line="360" w:lineRule="auto"/>
        <w:ind w:firstLine="480"/>
        <w:jc w:val="left"/>
        <w:rPr>
          <w:rFonts w:hAnsi="宋体"/>
          <w:sz w:val="24"/>
          <w:szCs w:val="24"/>
        </w:rPr>
      </w:pPr>
      <w:r>
        <w:rPr>
          <w:rFonts w:hint="eastAsia" w:hAnsi="宋体"/>
          <w:sz w:val="24"/>
          <w:szCs w:val="24"/>
        </w:rPr>
        <w:t>电子投标文件的制作，参考【全国公共资源交易平台(河南省▪许昌市)】公共资源交易系统——组件下载——交易系统操作手册（投标人、供应商）。</w:t>
      </w:r>
    </w:p>
    <w:p>
      <w:pPr>
        <w:autoSpaceDE w:val="0"/>
        <w:autoSpaceDN w:val="0"/>
        <w:adjustRightInd w:val="0"/>
        <w:snapToGrid w:val="0"/>
        <w:spacing w:line="360" w:lineRule="auto"/>
        <w:ind w:firstLine="480"/>
        <w:jc w:val="left"/>
        <w:rPr>
          <w:rFonts w:hAnsi="宋体"/>
          <w:sz w:val="24"/>
          <w:szCs w:val="24"/>
        </w:rPr>
      </w:pPr>
      <w:r>
        <w:rPr>
          <w:rFonts w:hint="eastAsia" w:hAnsi="宋体"/>
          <w:sz w:val="24"/>
          <w:szCs w:val="24"/>
        </w:rPr>
        <w:t>3.2 投标人须将招标文件要求的资质、业绩、荣誉及相关人员证明材料等资料原件扫描件（或图片）制作到所提交的电子投标文件中。</w:t>
      </w:r>
    </w:p>
    <w:p>
      <w:pPr>
        <w:autoSpaceDE w:val="0"/>
        <w:autoSpaceDN w:val="0"/>
        <w:adjustRightInd w:val="0"/>
        <w:snapToGrid w:val="0"/>
        <w:spacing w:line="360" w:lineRule="auto"/>
        <w:ind w:firstLine="480"/>
        <w:jc w:val="left"/>
        <w:rPr>
          <w:rFonts w:hAnsi="宋体"/>
          <w:sz w:val="24"/>
          <w:szCs w:val="24"/>
        </w:rPr>
      </w:pPr>
      <w:r>
        <w:rPr>
          <w:rFonts w:hint="eastAsia" w:hAnsi="宋体"/>
          <w:sz w:val="24"/>
          <w:szCs w:val="24"/>
        </w:rPr>
        <w:t>3.3投标人对同一项目多个标段进行投标的，应分别下载所投标段的招标文件，按标段制作电子投标文件，并按招标文件要求在相应位置加盖投标人电子印章和法人电子印章。</w:t>
      </w:r>
    </w:p>
    <w:p>
      <w:pPr>
        <w:autoSpaceDE w:val="0"/>
        <w:autoSpaceDN w:val="0"/>
        <w:adjustRightInd w:val="0"/>
        <w:snapToGrid w:val="0"/>
        <w:spacing w:line="360" w:lineRule="auto"/>
        <w:ind w:firstLine="480"/>
        <w:jc w:val="left"/>
        <w:rPr>
          <w:rFonts w:hAnsi="宋体"/>
          <w:sz w:val="24"/>
          <w:szCs w:val="24"/>
        </w:rPr>
      </w:pPr>
      <w:r>
        <w:rPr>
          <w:rFonts w:hint="eastAsia" w:hAnsi="宋体"/>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autoSpaceDE w:val="0"/>
        <w:autoSpaceDN w:val="0"/>
        <w:adjustRightInd w:val="0"/>
        <w:snapToGrid w:val="0"/>
        <w:spacing w:line="360" w:lineRule="auto"/>
        <w:ind w:firstLine="480"/>
        <w:jc w:val="left"/>
        <w:rPr>
          <w:rFonts w:hAnsi="宋体"/>
          <w:b/>
          <w:sz w:val="24"/>
          <w:szCs w:val="24"/>
        </w:rPr>
      </w:pPr>
      <w:r>
        <w:rPr>
          <w:rFonts w:hint="eastAsia" w:hAnsi="宋体"/>
          <w:b/>
          <w:sz w:val="24"/>
          <w:szCs w:val="24"/>
        </w:rPr>
        <w:t>4.电子投标文件的提交</w:t>
      </w:r>
    </w:p>
    <w:p>
      <w:pPr>
        <w:autoSpaceDE w:val="0"/>
        <w:autoSpaceDN w:val="0"/>
        <w:adjustRightInd w:val="0"/>
        <w:snapToGrid w:val="0"/>
        <w:spacing w:line="360" w:lineRule="auto"/>
        <w:ind w:firstLine="480"/>
        <w:jc w:val="left"/>
        <w:rPr>
          <w:rFonts w:hAnsi="宋体"/>
          <w:sz w:val="24"/>
          <w:szCs w:val="24"/>
        </w:rPr>
      </w:pPr>
      <w:r>
        <w:rPr>
          <w:rFonts w:hint="eastAsia" w:hAnsi="宋体"/>
          <w:sz w:val="24"/>
          <w:szCs w:val="24"/>
        </w:rPr>
        <w:t>4.1电子投标文件应在招标文件规定的投标文件提交截止时间（开标时间）之前成功提交至【全国公共资源交易平台(河南省▪许昌市)】公共资源交易系统（http://221.14.6.70:8088/ggzy/）。</w:t>
      </w:r>
    </w:p>
    <w:p>
      <w:pPr>
        <w:autoSpaceDE w:val="0"/>
        <w:autoSpaceDN w:val="0"/>
        <w:adjustRightInd w:val="0"/>
        <w:snapToGrid w:val="0"/>
        <w:spacing w:line="360" w:lineRule="auto"/>
        <w:ind w:firstLine="480"/>
        <w:jc w:val="left"/>
        <w:rPr>
          <w:rFonts w:hAnsi="宋体"/>
          <w:sz w:val="24"/>
          <w:szCs w:val="24"/>
        </w:rPr>
      </w:pPr>
      <w:r>
        <w:rPr>
          <w:rFonts w:hint="eastAsia" w:hAnsi="宋体"/>
          <w:sz w:val="24"/>
          <w:szCs w:val="24"/>
        </w:rPr>
        <w:t>投标人应充分考虑并预留技术处理和上传数据所需时间。</w:t>
      </w:r>
    </w:p>
    <w:p>
      <w:pPr>
        <w:autoSpaceDE w:val="0"/>
        <w:autoSpaceDN w:val="0"/>
        <w:adjustRightInd w:val="0"/>
        <w:snapToGrid w:val="0"/>
        <w:spacing w:line="360" w:lineRule="auto"/>
        <w:ind w:firstLine="480"/>
        <w:jc w:val="left"/>
        <w:rPr>
          <w:rFonts w:hAnsi="宋体"/>
          <w:sz w:val="24"/>
          <w:szCs w:val="24"/>
        </w:rPr>
      </w:pPr>
      <w:r>
        <w:rPr>
          <w:rFonts w:hint="eastAsia" w:hAnsi="宋体"/>
          <w:sz w:val="24"/>
          <w:szCs w:val="24"/>
        </w:rPr>
        <w:t>4.2 投标人对同一项目多个标段进行投标的，电子投标文件应按标段分别提交。</w:t>
      </w:r>
    </w:p>
    <w:p>
      <w:pPr>
        <w:autoSpaceDE w:val="0"/>
        <w:autoSpaceDN w:val="0"/>
        <w:adjustRightInd w:val="0"/>
        <w:snapToGrid w:val="0"/>
        <w:spacing w:line="360" w:lineRule="auto"/>
        <w:ind w:firstLine="480"/>
        <w:jc w:val="left"/>
        <w:rPr>
          <w:rFonts w:hAnsi="宋体"/>
          <w:sz w:val="24"/>
          <w:szCs w:val="24"/>
        </w:rPr>
      </w:pPr>
      <w:r>
        <w:rPr>
          <w:rFonts w:hint="eastAsia" w:hAnsi="宋体"/>
          <w:sz w:val="24"/>
          <w:szCs w:val="24"/>
        </w:rPr>
        <w:t>4.3 电子投标文件成功提交后，投标人应打印“投标文件提交回执单”，供开标现场备查。</w:t>
      </w:r>
    </w:p>
    <w:p>
      <w:pPr>
        <w:autoSpaceDE w:val="0"/>
        <w:autoSpaceDN w:val="0"/>
        <w:adjustRightInd w:val="0"/>
        <w:snapToGrid w:val="0"/>
        <w:spacing w:line="360" w:lineRule="auto"/>
        <w:ind w:firstLine="480"/>
        <w:jc w:val="left"/>
        <w:rPr>
          <w:rFonts w:hAnsi="宋体"/>
          <w:b/>
          <w:sz w:val="24"/>
          <w:szCs w:val="24"/>
        </w:rPr>
      </w:pPr>
      <w:r>
        <w:rPr>
          <w:rFonts w:hint="eastAsia" w:hAnsi="宋体"/>
          <w:b/>
          <w:sz w:val="24"/>
          <w:szCs w:val="24"/>
        </w:rPr>
        <w:t>5.评标依据</w:t>
      </w:r>
    </w:p>
    <w:p>
      <w:pPr>
        <w:autoSpaceDE w:val="0"/>
        <w:autoSpaceDN w:val="0"/>
        <w:adjustRightInd w:val="0"/>
        <w:snapToGrid w:val="0"/>
        <w:spacing w:line="360" w:lineRule="auto"/>
        <w:ind w:firstLine="720" w:firstLineChars="300"/>
        <w:jc w:val="left"/>
        <w:rPr>
          <w:rFonts w:hAnsi="宋体"/>
          <w:sz w:val="24"/>
          <w:szCs w:val="24"/>
        </w:rPr>
      </w:pPr>
      <w:r>
        <w:rPr>
          <w:rFonts w:hint="eastAsia" w:hAnsi="宋体"/>
          <w:sz w:val="24"/>
          <w:szCs w:val="24"/>
        </w:rPr>
        <w:t>采用全流程电子化交易评标时，评标委员会以电子投标文件为依据评标。</w:t>
      </w:r>
    </w:p>
    <w:p>
      <w:pPr>
        <w:autoSpaceDE w:val="0"/>
        <w:autoSpaceDN w:val="0"/>
        <w:adjustRightInd w:val="0"/>
        <w:snapToGrid w:val="0"/>
        <w:spacing w:line="360" w:lineRule="auto"/>
        <w:ind w:firstLine="480"/>
        <w:jc w:val="left"/>
        <w:rPr>
          <w:rFonts w:hAnsi="宋体" w:cs="黑体"/>
          <w:b/>
          <w:sz w:val="36"/>
          <w:szCs w:val="36"/>
        </w:rPr>
      </w:pPr>
      <w:r>
        <w:rPr>
          <w:rFonts w:hAnsi="宋体"/>
          <w:b/>
          <w:sz w:val="24"/>
          <w:szCs w:val="24"/>
        </w:rPr>
        <w:br w:type="page"/>
      </w:r>
      <w:r>
        <w:rPr>
          <w:rFonts w:hint="eastAsia" w:hAnsi="宋体" w:cs="黑体"/>
          <w:b/>
          <w:sz w:val="36"/>
          <w:szCs w:val="36"/>
        </w:rPr>
        <w:t xml:space="preserve">                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11"/>
        <w:tblW w:w="9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57"/>
        <w:gridCol w:w="63"/>
        <w:gridCol w:w="1938"/>
        <w:gridCol w:w="6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53" w:type="dxa"/>
            <w:vAlign w:val="center"/>
          </w:tcPr>
          <w:p>
            <w:pPr>
              <w:autoSpaceDE w:val="0"/>
              <w:autoSpaceDN w:val="0"/>
              <w:adjustRightInd w:val="0"/>
              <w:spacing w:line="420" w:lineRule="exact"/>
              <w:jc w:val="center"/>
              <w:rPr>
                <w:rFonts w:hAnsi="宋体" w:cs="黑体"/>
                <w:color w:val="000000"/>
                <w:sz w:val="24"/>
                <w:szCs w:val="24"/>
              </w:rPr>
            </w:pPr>
            <w:bookmarkStart w:id="2" w:name="_Toc283559947"/>
            <w:r>
              <w:rPr>
                <w:rFonts w:hint="eastAsia" w:hAnsi="宋体" w:cs="仿宋_GB2312"/>
                <w:color w:val="000000"/>
                <w:sz w:val="24"/>
                <w:szCs w:val="24"/>
              </w:rPr>
              <w:t>条款号</w:t>
            </w:r>
          </w:p>
        </w:tc>
        <w:tc>
          <w:tcPr>
            <w:tcW w:w="2058"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条款名称</w:t>
            </w:r>
          </w:p>
        </w:tc>
        <w:tc>
          <w:tcPr>
            <w:tcW w:w="6694" w:type="dxa"/>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53" w:type="dxa"/>
            <w:vAlign w:val="center"/>
          </w:tcPr>
          <w:p>
            <w:pPr>
              <w:autoSpaceDE w:val="0"/>
              <w:autoSpaceDN w:val="0"/>
              <w:adjustRightInd w:val="0"/>
              <w:spacing w:line="420" w:lineRule="exact"/>
              <w:jc w:val="center"/>
              <w:rPr>
                <w:rFonts w:hAnsi="宋体" w:cs="黑体"/>
                <w:color w:val="000000"/>
                <w:sz w:val="24"/>
                <w:szCs w:val="24"/>
              </w:rPr>
            </w:pPr>
            <w:r>
              <w:rPr>
                <w:rFonts w:hint="eastAsia" w:hAnsi="宋体" w:cs="黑体"/>
                <w:color w:val="000000"/>
                <w:sz w:val="24"/>
                <w:szCs w:val="24"/>
              </w:rPr>
              <w:t>1.1.1</w:t>
            </w:r>
          </w:p>
        </w:tc>
        <w:tc>
          <w:tcPr>
            <w:tcW w:w="2058"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招标编号</w:t>
            </w:r>
          </w:p>
        </w:tc>
        <w:tc>
          <w:tcPr>
            <w:tcW w:w="6694" w:type="dxa"/>
          </w:tcPr>
          <w:p>
            <w:pPr>
              <w:spacing w:line="360" w:lineRule="auto"/>
              <w:rPr>
                <w:rFonts w:hAnsi="宋体"/>
                <w:color w:val="000000"/>
                <w:sz w:val="24"/>
                <w:szCs w:val="24"/>
              </w:rPr>
            </w:pPr>
            <w:r>
              <w:rPr>
                <w:rFonts w:hint="eastAsia" w:hAnsi="宋体"/>
                <w:color w:val="000000"/>
                <w:sz w:val="24"/>
                <w:szCs w:val="24"/>
              </w:rPr>
              <w:t>长交建【2019】GZ1173号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053"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1.1.2</w:t>
            </w:r>
          </w:p>
        </w:tc>
        <w:tc>
          <w:tcPr>
            <w:tcW w:w="2058"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招标人</w:t>
            </w:r>
          </w:p>
        </w:tc>
        <w:tc>
          <w:tcPr>
            <w:tcW w:w="6694" w:type="dxa"/>
          </w:tcPr>
          <w:p>
            <w:pPr>
              <w:autoSpaceDE w:val="0"/>
              <w:autoSpaceDN w:val="0"/>
              <w:adjustRightInd w:val="0"/>
              <w:snapToGrid w:val="0"/>
              <w:spacing w:line="276" w:lineRule="auto"/>
              <w:ind w:left="720" w:hanging="720" w:hangingChars="300"/>
              <w:rPr>
                <w:rFonts w:hAnsi="宋体" w:cs="仿宋_GB2312"/>
                <w:sz w:val="24"/>
                <w:szCs w:val="24"/>
              </w:rPr>
            </w:pPr>
            <w:r>
              <w:rPr>
                <w:rFonts w:hint="eastAsia" w:hAnsi="宋体" w:cs="仿宋_GB2312"/>
                <w:sz w:val="24"/>
                <w:szCs w:val="24"/>
              </w:rPr>
              <w:t>招 标 人：长葛老城镇人民政府</w:t>
            </w:r>
          </w:p>
          <w:p>
            <w:pPr>
              <w:autoSpaceDE w:val="0"/>
              <w:autoSpaceDN w:val="0"/>
              <w:adjustRightInd w:val="0"/>
              <w:snapToGrid w:val="0"/>
              <w:spacing w:line="276" w:lineRule="auto"/>
              <w:ind w:left="720" w:hanging="720" w:hangingChars="300"/>
              <w:rPr>
                <w:rFonts w:hAnsi="宋体"/>
                <w:sz w:val="24"/>
                <w:szCs w:val="24"/>
              </w:rPr>
            </w:pPr>
            <w:r>
              <w:rPr>
                <w:rFonts w:hint="eastAsia" w:hAnsi="宋体" w:cs="仿宋_GB2312"/>
                <w:sz w:val="24"/>
                <w:szCs w:val="24"/>
              </w:rPr>
              <w:t>联 系 人：</w:t>
            </w:r>
            <w:r>
              <w:rPr>
                <w:rFonts w:hint="eastAsia" w:hAnsi="宋体"/>
                <w:sz w:val="24"/>
                <w:szCs w:val="24"/>
              </w:rPr>
              <w:t>张先生</w:t>
            </w:r>
          </w:p>
          <w:p>
            <w:pPr>
              <w:spacing w:line="420" w:lineRule="exact"/>
              <w:jc w:val="left"/>
              <w:rPr>
                <w:rFonts w:hAnsi="宋体" w:cs="仿宋_GB2312"/>
                <w:color w:val="000000"/>
                <w:sz w:val="24"/>
                <w:szCs w:val="24"/>
              </w:rPr>
            </w:pPr>
            <w:r>
              <w:rPr>
                <w:rFonts w:hint="eastAsia" w:hAnsi="宋体"/>
                <w:sz w:val="24"/>
                <w:szCs w:val="24"/>
              </w:rPr>
              <w:t xml:space="preserve">联系电话：  13608436336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53"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1.1.3</w:t>
            </w:r>
          </w:p>
        </w:tc>
        <w:tc>
          <w:tcPr>
            <w:tcW w:w="2058"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olor w:val="000000"/>
                <w:sz w:val="24"/>
                <w:szCs w:val="24"/>
                <w:shd w:val="clear" w:color="auto" w:fill="FFFFFF"/>
              </w:rPr>
              <w:t>招标代理机构</w:t>
            </w:r>
          </w:p>
        </w:tc>
        <w:tc>
          <w:tcPr>
            <w:tcW w:w="6694" w:type="dxa"/>
          </w:tcPr>
          <w:p>
            <w:pPr>
              <w:autoSpaceDE w:val="0"/>
              <w:autoSpaceDN w:val="0"/>
              <w:adjustRightInd w:val="0"/>
              <w:snapToGrid w:val="0"/>
              <w:spacing w:line="276" w:lineRule="auto"/>
              <w:ind w:left="720" w:hanging="720" w:hangingChars="300"/>
              <w:rPr>
                <w:rFonts w:hAnsi="宋体" w:cs="仿宋_GB2312"/>
                <w:sz w:val="24"/>
                <w:szCs w:val="24"/>
              </w:rPr>
            </w:pPr>
            <w:r>
              <w:rPr>
                <w:rFonts w:hint="eastAsia" w:hAnsi="宋体" w:cs="仿宋_GB2312"/>
                <w:sz w:val="24"/>
                <w:szCs w:val="24"/>
              </w:rPr>
              <w:t>代理机构：中科经纬工程技术有限公司</w:t>
            </w:r>
          </w:p>
          <w:p>
            <w:pPr>
              <w:autoSpaceDE w:val="0"/>
              <w:autoSpaceDN w:val="0"/>
              <w:adjustRightInd w:val="0"/>
              <w:snapToGrid w:val="0"/>
              <w:spacing w:line="276" w:lineRule="auto"/>
              <w:ind w:left="720" w:hanging="720" w:hangingChars="300"/>
              <w:rPr>
                <w:rFonts w:hAnsi="宋体" w:cs="仿宋_GB2312"/>
                <w:sz w:val="24"/>
                <w:szCs w:val="24"/>
              </w:rPr>
            </w:pPr>
            <w:r>
              <w:rPr>
                <w:rFonts w:hint="eastAsia" w:hAnsi="宋体" w:cs="仿宋_GB2312"/>
                <w:sz w:val="24"/>
                <w:szCs w:val="24"/>
              </w:rPr>
              <w:t>联 系 人：王女士</w:t>
            </w:r>
          </w:p>
          <w:p>
            <w:pPr>
              <w:spacing w:line="420" w:lineRule="exact"/>
              <w:jc w:val="left"/>
              <w:rPr>
                <w:rFonts w:hAnsi="宋体"/>
                <w:sz w:val="24"/>
                <w:szCs w:val="24"/>
              </w:rPr>
            </w:pPr>
            <w:r>
              <w:rPr>
                <w:rFonts w:hint="eastAsia" w:hAnsi="宋体" w:cs="仿宋_GB2312"/>
                <w:sz w:val="24"/>
                <w:szCs w:val="24"/>
              </w:rPr>
              <w:t>联系电话：</w:t>
            </w:r>
            <w:r>
              <w:rPr>
                <w:rFonts w:hint="eastAsia" w:hAnsi="宋体"/>
                <w:sz w:val="24"/>
                <w:szCs w:val="24"/>
              </w:rPr>
              <w:t>16638625885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053" w:type="dxa"/>
            <w:vAlign w:val="center"/>
          </w:tcPr>
          <w:p>
            <w:pPr>
              <w:autoSpaceDE w:val="0"/>
              <w:autoSpaceDN w:val="0"/>
              <w:adjustRightInd w:val="0"/>
              <w:spacing w:line="440" w:lineRule="exact"/>
              <w:jc w:val="center"/>
              <w:rPr>
                <w:rFonts w:hAnsi="宋体" w:cs="黑体"/>
                <w:color w:val="000000"/>
                <w:sz w:val="24"/>
                <w:szCs w:val="24"/>
              </w:rPr>
            </w:pPr>
            <w:r>
              <w:rPr>
                <w:rFonts w:hAnsi="宋体" w:cs="TimesNewRomanPSMT"/>
                <w:color w:val="000000"/>
                <w:sz w:val="24"/>
                <w:szCs w:val="24"/>
              </w:rPr>
              <w:t>1.1.4</w:t>
            </w:r>
          </w:p>
        </w:tc>
        <w:tc>
          <w:tcPr>
            <w:tcW w:w="2058" w:type="dxa"/>
            <w:gridSpan w:val="3"/>
            <w:vAlign w:val="center"/>
          </w:tcPr>
          <w:p>
            <w:pPr>
              <w:autoSpaceDE w:val="0"/>
              <w:autoSpaceDN w:val="0"/>
              <w:adjustRightInd w:val="0"/>
              <w:spacing w:line="440" w:lineRule="exact"/>
              <w:jc w:val="center"/>
              <w:rPr>
                <w:rFonts w:hAnsi="宋体" w:cs="黑体"/>
                <w:color w:val="000000"/>
                <w:sz w:val="24"/>
                <w:szCs w:val="24"/>
              </w:rPr>
            </w:pPr>
            <w:r>
              <w:rPr>
                <w:rFonts w:hint="eastAsia" w:hAnsi="宋体" w:cs="黑体"/>
                <w:color w:val="000000"/>
                <w:sz w:val="24"/>
                <w:szCs w:val="24"/>
              </w:rPr>
              <w:t>项目名称</w:t>
            </w:r>
          </w:p>
        </w:tc>
        <w:tc>
          <w:tcPr>
            <w:tcW w:w="6694" w:type="dxa"/>
            <w:vAlign w:val="center"/>
          </w:tcPr>
          <w:p>
            <w:pPr>
              <w:rPr>
                <w:rFonts w:hAnsi="宋体"/>
                <w:sz w:val="24"/>
                <w:szCs w:val="24"/>
              </w:rPr>
            </w:pPr>
            <w:r>
              <w:rPr>
                <w:rFonts w:hint="eastAsia" w:hAnsi="宋体" w:cs="仿宋_GB2312"/>
                <w:sz w:val="24"/>
                <w:szCs w:val="22"/>
              </w:rPr>
              <w:t>长葛市老城镇“绿满长葛”绿化工程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53" w:type="dxa"/>
            <w:vAlign w:val="center"/>
          </w:tcPr>
          <w:p>
            <w:pPr>
              <w:autoSpaceDE w:val="0"/>
              <w:autoSpaceDN w:val="0"/>
              <w:adjustRightInd w:val="0"/>
              <w:spacing w:line="440" w:lineRule="exact"/>
              <w:jc w:val="center"/>
              <w:rPr>
                <w:rFonts w:hAnsi="宋体" w:cs="黑体"/>
                <w:color w:val="000000"/>
                <w:sz w:val="24"/>
                <w:szCs w:val="24"/>
              </w:rPr>
            </w:pPr>
            <w:r>
              <w:rPr>
                <w:rFonts w:hAnsi="宋体" w:cs="TimesNewRomanPSMT"/>
                <w:color w:val="000000"/>
                <w:sz w:val="24"/>
                <w:szCs w:val="24"/>
              </w:rPr>
              <w:t>1.1.5</w:t>
            </w:r>
          </w:p>
        </w:tc>
        <w:tc>
          <w:tcPr>
            <w:tcW w:w="2058" w:type="dxa"/>
            <w:gridSpan w:val="3"/>
            <w:vAlign w:val="center"/>
          </w:tcPr>
          <w:p>
            <w:pPr>
              <w:autoSpaceDE w:val="0"/>
              <w:autoSpaceDN w:val="0"/>
              <w:adjustRightInd w:val="0"/>
              <w:spacing w:line="440" w:lineRule="exact"/>
              <w:jc w:val="center"/>
              <w:rPr>
                <w:rFonts w:hAnsi="宋体" w:cs="黑体"/>
                <w:color w:val="000000"/>
                <w:sz w:val="24"/>
                <w:szCs w:val="24"/>
              </w:rPr>
            </w:pPr>
            <w:r>
              <w:rPr>
                <w:rFonts w:hint="eastAsia" w:hAnsi="宋体" w:cs="黑体"/>
                <w:color w:val="000000"/>
                <w:sz w:val="24"/>
                <w:szCs w:val="24"/>
              </w:rPr>
              <w:t>建设地点</w:t>
            </w:r>
          </w:p>
        </w:tc>
        <w:tc>
          <w:tcPr>
            <w:tcW w:w="6694" w:type="dxa"/>
            <w:vAlign w:val="center"/>
          </w:tcPr>
          <w:p>
            <w:pPr>
              <w:autoSpaceDE w:val="0"/>
              <w:autoSpaceDN w:val="0"/>
              <w:adjustRightInd w:val="0"/>
              <w:spacing w:line="440" w:lineRule="exact"/>
              <w:rPr>
                <w:rFonts w:hAnsi="宋体"/>
                <w:sz w:val="24"/>
                <w:szCs w:val="24"/>
              </w:rPr>
            </w:pPr>
            <w:r>
              <w:rPr>
                <w:rFonts w:hint="eastAsia" w:hAnsi="宋体" w:cs="仿宋_GB2312"/>
                <w:sz w:val="24"/>
                <w:szCs w:val="22"/>
              </w:rPr>
              <w:t>长葛市老城镇段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053" w:type="dxa"/>
            <w:vAlign w:val="center"/>
          </w:tcPr>
          <w:p>
            <w:pPr>
              <w:autoSpaceDE w:val="0"/>
              <w:autoSpaceDN w:val="0"/>
              <w:adjustRightInd w:val="0"/>
              <w:spacing w:line="440" w:lineRule="exact"/>
              <w:jc w:val="center"/>
              <w:rPr>
                <w:rFonts w:hAnsi="宋体" w:cs="黑体"/>
                <w:color w:val="000000"/>
                <w:sz w:val="24"/>
                <w:szCs w:val="24"/>
              </w:rPr>
            </w:pPr>
            <w:r>
              <w:rPr>
                <w:rFonts w:hAnsi="宋体" w:cs="TimesNewRomanPSMT"/>
                <w:color w:val="000000"/>
                <w:sz w:val="24"/>
                <w:szCs w:val="24"/>
              </w:rPr>
              <w:t>1.2.1</w:t>
            </w:r>
          </w:p>
        </w:tc>
        <w:tc>
          <w:tcPr>
            <w:tcW w:w="2058" w:type="dxa"/>
            <w:gridSpan w:val="3"/>
            <w:vAlign w:val="center"/>
          </w:tcPr>
          <w:p>
            <w:pPr>
              <w:autoSpaceDE w:val="0"/>
              <w:autoSpaceDN w:val="0"/>
              <w:adjustRightInd w:val="0"/>
              <w:spacing w:line="440" w:lineRule="exact"/>
              <w:jc w:val="center"/>
              <w:rPr>
                <w:rFonts w:hAnsi="宋体" w:cs="黑体"/>
                <w:color w:val="000000"/>
                <w:sz w:val="24"/>
                <w:szCs w:val="24"/>
              </w:rPr>
            </w:pPr>
            <w:r>
              <w:rPr>
                <w:rFonts w:hint="eastAsia" w:hAnsi="宋体" w:cs="仿宋_GB2312"/>
                <w:color w:val="000000"/>
                <w:sz w:val="24"/>
                <w:szCs w:val="24"/>
              </w:rPr>
              <w:t>资金来源</w:t>
            </w:r>
          </w:p>
        </w:tc>
        <w:tc>
          <w:tcPr>
            <w:tcW w:w="6694" w:type="dxa"/>
          </w:tcPr>
          <w:p>
            <w:pPr>
              <w:autoSpaceDE w:val="0"/>
              <w:autoSpaceDN w:val="0"/>
              <w:adjustRightInd w:val="0"/>
              <w:spacing w:line="440" w:lineRule="exact"/>
              <w:rPr>
                <w:rFonts w:hAnsi="宋体"/>
                <w:sz w:val="24"/>
                <w:szCs w:val="24"/>
              </w:rPr>
            </w:pPr>
            <w:r>
              <w:rPr>
                <w:rFonts w:hint="eastAsia" w:hAnsi="宋体"/>
                <w:sz w:val="24"/>
                <w:szCs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053"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1.2.2</w:t>
            </w:r>
          </w:p>
        </w:tc>
        <w:tc>
          <w:tcPr>
            <w:tcW w:w="2058"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出资比例</w:t>
            </w:r>
          </w:p>
        </w:tc>
        <w:tc>
          <w:tcPr>
            <w:tcW w:w="6694" w:type="dxa"/>
          </w:tcPr>
          <w:p>
            <w:pPr>
              <w:autoSpaceDE w:val="0"/>
              <w:autoSpaceDN w:val="0"/>
              <w:adjustRightInd w:val="0"/>
              <w:spacing w:line="420" w:lineRule="exact"/>
              <w:rPr>
                <w:rFonts w:hAnsi="宋体" w:cs="仿宋_GB2312"/>
                <w:color w:val="000000"/>
                <w:sz w:val="24"/>
                <w:szCs w:val="24"/>
              </w:rPr>
            </w:pPr>
            <w:r>
              <w:rPr>
                <w:rFonts w:hint="eastAsia" w:hAnsi="宋体" w:cs="黑体"/>
                <w:color w:val="00000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053" w:type="dxa"/>
            <w:vAlign w:val="center"/>
          </w:tcPr>
          <w:p>
            <w:pPr>
              <w:autoSpaceDE w:val="0"/>
              <w:autoSpaceDN w:val="0"/>
              <w:adjustRightInd w:val="0"/>
              <w:spacing w:line="440" w:lineRule="exact"/>
              <w:jc w:val="center"/>
              <w:rPr>
                <w:rFonts w:hAnsi="宋体" w:cs="TimesNewRomanPSMT"/>
                <w:color w:val="000000"/>
                <w:sz w:val="24"/>
                <w:szCs w:val="24"/>
              </w:rPr>
            </w:pPr>
            <w:r>
              <w:rPr>
                <w:rFonts w:hint="eastAsia" w:hAnsi="宋体" w:cs="TimesNewRomanPSMT"/>
                <w:color w:val="000000"/>
                <w:sz w:val="24"/>
                <w:szCs w:val="24"/>
              </w:rPr>
              <w:t>1.2.3</w:t>
            </w:r>
          </w:p>
        </w:tc>
        <w:tc>
          <w:tcPr>
            <w:tcW w:w="2058" w:type="dxa"/>
            <w:gridSpan w:val="3"/>
            <w:vAlign w:val="center"/>
          </w:tcPr>
          <w:p>
            <w:pPr>
              <w:autoSpaceDE w:val="0"/>
              <w:autoSpaceDN w:val="0"/>
              <w:adjustRightInd w:val="0"/>
              <w:spacing w:line="440" w:lineRule="exact"/>
              <w:jc w:val="center"/>
              <w:rPr>
                <w:rFonts w:hAnsi="宋体" w:cs="仿宋_GB2312"/>
                <w:bCs/>
                <w:color w:val="000000"/>
                <w:sz w:val="24"/>
                <w:szCs w:val="24"/>
              </w:rPr>
            </w:pPr>
            <w:r>
              <w:rPr>
                <w:rFonts w:hint="eastAsia" w:hAnsi="宋体" w:cs="仿宋_GB2312"/>
                <w:color w:val="000000"/>
                <w:sz w:val="24"/>
                <w:szCs w:val="24"/>
              </w:rPr>
              <w:t>招标控制价</w:t>
            </w:r>
          </w:p>
        </w:tc>
        <w:tc>
          <w:tcPr>
            <w:tcW w:w="6694" w:type="dxa"/>
            <w:tcBorders>
              <w:bottom w:val="single" w:color="auto" w:sz="4" w:space="0"/>
            </w:tcBorders>
            <w:vAlign w:val="center"/>
          </w:tcPr>
          <w:p>
            <w:pPr>
              <w:autoSpaceDE w:val="0"/>
              <w:autoSpaceDN w:val="0"/>
              <w:adjustRightInd w:val="0"/>
              <w:spacing w:line="440" w:lineRule="exact"/>
              <w:jc w:val="left"/>
              <w:rPr>
                <w:rFonts w:hAnsi="宋体"/>
                <w:b/>
                <w:bCs/>
                <w:color w:val="000000"/>
                <w:sz w:val="24"/>
                <w:szCs w:val="24"/>
              </w:rPr>
            </w:pPr>
            <w:r>
              <w:rPr>
                <w:rFonts w:hint="eastAsia"/>
                <w:b/>
                <w:bCs/>
                <w:sz w:val="24"/>
                <w:szCs w:val="22"/>
              </w:rPr>
              <w:t>12265792.42元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053" w:type="dxa"/>
            <w:vAlign w:val="center"/>
          </w:tcPr>
          <w:p>
            <w:pPr>
              <w:autoSpaceDE w:val="0"/>
              <w:autoSpaceDN w:val="0"/>
              <w:adjustRightInd w:val="0"/>
              <w:spacing w:line="440" w:lineRule="exact"/>
              <w:jc w:val="center"/>
              <w:rPr>
                <w:rFonts w:hAnsi="宋体" w:cs="黑体"/>
                <w:color w:val="000000"/>
                <w:sz w:val="24"/>
                <w:szCs w:val="24"/>
              </w:rPr>
            </w:pPr>
            <w:r>
              <w:rPr>
                <w:rFonts w:hAnsi="宋体" w:cs="TimesNewRomanPSMT"/>
                <w:color w:val="000000"/>
                <w:sz w:val="24"/>
                <w:szCs w:val="24"/>
              </w:rPr>
              <w:t>1.3.1</w:t>
            </w:r>
          </w:p>
        </w:tc>
        <w:tc>
          <w:tcPr>
            <w:tcW w:w="2058" w:type="dxa"/>
            <w:gridSpan w:val="3"/>
            <w:vAlign w:val="center"/>
          </w:tcPr>
          <w:p>
            <w:pPr>
              <w:autoSpaceDE w:val="0"/>
              <w:autoSpaceDN w:val="0"/>
              <w:adjustRightInd w:val="0"/>
              <w:spacing w:line="440" w:lineRule="exact"/>
              <w:jc w:val="center"/>
              <w:rPr>
                <w:rFonts w:hAnsi="宋体" w:cs="黑体"/>
                <w:color w:val="000000"/>
                <w:sz w:val="24"/>
                <w:szCs w:val="24"/>
              </w:rPr>
            </w:pPr>
            <w:r>
              <w:rPr>
                <w:rFonts w:hint="eastAsia" w:hAnsi="宋体" w:cs="仿宋_GB2312"/>
                <w:color w:val="000000"/>
                <w:sz w:val="24"/>
                <w:szCs w:val="24"/>
              </w:rPr>
              <w:t>招标范围</w:t>
            </w:r>
          </w:p>
        </w:tc>
        <w:tc>
          <w:tcPr>
            <w:tcW w:w="6694" w:type="dxa"/>
            <w:tcBorders>
              <w:bottom w:val="single" w:color="auto" w:sz="4" w:space="0"/>
            </w:tcBorders>
          </w:tcPr>
          <w:p>
            <w:pPr>
              <w:autoSpaceDE w:val="0"/>
              <w:autoSpaceDN w:val="0"/>
              <w:adjustRightInd w:val="0"/>
              <w:snapToGrid w:val="0"/>
              <w:spacing w:line="276" w:lineRule="auto"/>
              <w:jc w:val="left"/>
              <w:rPr>
                <w:rFonts w:hAnsi="宋体" w:cs="仿宋_GB2312"/>
                <w:color w:val="000000"/>
                <w:sz w:val="24"/>
                <w:szCs w:val="24"/>
              </w:rPr>
            </w:pPr>
            <w:r>
              <w:rPr>
                <w:rFonts w:hint="eastAsia" w:hAnsi="宋体"/>
                <w:sz w:val="24"/>
                <w:szCs w:val="24"/>
              </w:rPr>
              <w:t>本工程施工招标文件、施工图纸、工程量清单、答疑纪要和补充文件（如有）范围内的所有建设内容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053" w:type="dxa"/>
            <w:vAlign w:val="center"/>
          </w:tcPr>
          <w:p>
            <w:pPr>
              <w:autoSpaceDE w:val="0"/>
              <w:autoSpaceDN w:val="0"/>
              <w:adjustRightInd w:val="0"/>
              <w:spacing w:line="440" w:lineRule="exact"/>
              <w:jc w:val="center"/>
              <w:rPr>
                <w:rFonts w:hAnsi="宋体" w:cs="黑体"/>
                <w:color w:val="000000"/>
                <w:sz w:val="24"/>
                <w:szCs w:val="24"/>
              </w:rPr>
            </w:pPr>
            <w:r>
              <w:rPr>
                <w:rFonts w:hAnsi="宋体" w:cs="TimesNewRomanPSMT"/>
                <w:color w:val="000000"/>
                <w:sz w:val="24"/>
                <w:szCs w:val="24"/>
              </w:rPr>
              <w:t>1.3.2</w:t>
            </w:r>
          </w:p>
        </w:tc>
        <w:tc>
          <w:tcPr>
            <w:tcW w:w="2058" w:type="dxa"/>
            <w:gridSpan w:val="3"/>
            <w:tcBorders>
              <w:right w:val="single" w:color="auto" w:sz="4" w:space="0"/>
            </w:tcBorders>
            <w:vAlign w:val="center"/>
          </w:tcPr>
          <w:p>
            <w:pPr>
              <w:autoSpaceDE w:val="0"/>
              <w:autoSpaceDN w:val="0"/>
              <w:adjustRightInd w:val="0"/>
              <w:spacing w:line="440" w:lineRule="exact"/>
              <w:jc w:val="center"/>
              <w:rPr>
                <w:rFonts w:hAnsi="宋体" w:cs="仿宋_GB2312"/>
                <w:color w:val="000000"/>
                <w:sz w:val="24"/>
                <w:szCs w:val="24"/>
              </w:rPr>
            </w:pPr>
            <w:r>
              <w:rPr>
                <w:rFonts w:hint="eastAsia" w:hAnsi="宋体" w:cs="仿宋_GB2312"/>
                <w:color w:val="000000"/>
                <w:sz w:val="24"/>
                <w:szCs w:val="24"/>
              </w:rPr>
              <w:t>计划工期</w:t>
            </w:r>
          </w:p>
        </w:tc>
        <w:tc>
          <w:tcPr>
            <w:tcW w:w="66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left"/>
              <w:rPr>
                <w:rFonts w:hAnsi="宋体" w:cs="黑体"/>
                <w:color w:val="FF0000"/>
                <w:sz w:val="24"/>
              </w:rPr>
            </w:pPr>
            <w:r>
              <w:rPr>
                <w:rFonts w:hint="eastAsia" w:hAnsi="宋体" w:cs="黑体"/>
                <w:color w:val="FF0000"/>
                <w:sz w:val="24"/>
              </w:rPr>
              <w:t>一标段：90日历天，养护期：1年。</w:t>
            </w:r>
          </w:p>
          <w:p>
            <w:pPr>
              <w:autoSpaceDE w:val="0"/>
              <w:autoSpaceDN w:val="0"/>
              <w:adjustRightInd w:val="0"/>
              <w:spacing w:line="400" w:lineRule="exact"/>
              <w:rPr>
                <w:rFonts w:hAnsi="宋体" w:cs="仿宋_GB2312"/>
                <w:color w:val="000000"/>
                <w:sz w:val="24"/>
                <w:szCs w:val="24"/>
              </w:rPr>
            </w:pPr>
            <w:r>
              <w:rPr>
                <w:rFonts w:hint="eastAsia" w:hAnsi="宋体" w:cs="黑体"/>
                <w:color w:val="FF0000"/>
                <w:sz w:val="24"/>
              </w:rPr>
              <w:t>二标段：同施工工期及养护期。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053"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1.3.3</w:t>
            </w:r>
          </w:p>
        </w:tc>
        <w:tc>
          <w:tcPr>
            <w:tcW w:w="2058"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质量要求</w:t>
            </w:r>
          </w:p>
        </w:tc>
        <w:tc>
          <w:tcPr>
            <w:tcW w:w="6694" w:type="dxa"/>
            <w:tcBorders>
              <w:top w:val="single" w:color="auto" w:sz="4" w:space="0"/>
            </w:tcBorders>
            <w:vAlign w:val="center"/>
          </w:tcPr>
          <w:p>
            <w:pPr>
              <w:autoSpaceDE w:val="0"/>
              <w:autoSpaceDN w:val="0"/>
              <w:adjustRightInd w:val="0"/>
              <w:spacing w:line="420" w:lineRule="exact"/>
              <w:rPr>
                <w:rFonts w:hAnsi="宋体" w:cs="黑体"/>
                <w:color w:val="000000"/>
                <w:sz w:val="24"/>
                <w:szCs w:val="24"/>
              </w:rPr>
            </w:pPr>
            <w:r>
              <w:rPr>
                <w:rFonts w:hint="eastAsia" w:hAnsi="宋体"/>
                <w:sz w:val="24"/>
                <w:szCs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053"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1.4.1</w:t>
            </w:r>
          </w:p>
        </w:tc>
        <w:tc>
          <w:tcPr>
            <w:tcW w:w="2058" w:type="dxa"/>
            <w:gridSpan w:val="3"/>
            <w:vAlign w:val="center"/>
          </w:tcPr>
          <w:p>
            <w:pPr>
              <w:autoSpaceDE w:val="0"/>
              <w:autoSpaceDN w:val="0"/>
              <w:adjustRightInd w:val="0"/>
              <w:spacing w:line="420" w:lineRule="exact"/>
              <w:jc w:val="center"/>
              <w:rPr>
                <w:rFonts w:hAnsi="宋体" w:cs="仿宋_GB2312"/>
                <w:color w:val="000000"/>
                <w:sz w:val="24"/>
                <w:szCs w:val="24"/>
              </w:rPr>
            </w:pPr>
            <w:r>
              <w:rPr>
                <w:rFonts w:hint="eastAsia" w:hAnsi="宋体" w:cs="仿宋_GB2312"/>
                <w:color w:val="000000"/>
                <w:sz w:val="24"/>
                <w:szCs w:val="24"/>
              </w:rPr>
              <w:t>投标人资质条件</w:t>
            </w:r>
          </w:p>
        </w:tc>
        <w:tc>
          <w:tcPr>
            <w:tcW w:w="6694" w:type="dxa"/>
          </w:tcPr>
          <w:p>
            <w:pPr>
              <w:autoSpaceDE w:val="0"/>
              <w:autoSpaceDN w:val="0"/>
              <w:adjustRightInd w:val="0"/>
              <w:snapToGrid w:val="0"/>
              <w:spacing w:line="276" w:lineRule="auto"/>
              <w:jc w:val="left"/>
              <w:rPr>
                <w:rFonts w:hAnsi="宋体"/>
                <w:color w:val="FF0000"/>
                <w:sz w:val="24"/>
                <w:szCs w:val="24"/>
              </w:rPr>
            </w:pPr>
            <w:r>
              <w:rPr>
                <w:rFonts w:hint="eastAsia" w:hAnsi="宋体"/>
                <w:color w:val="FF0000"/>
                <w:sz w:val="24"/>
                <w:szCs w:val="24"/>
              </w:rPr>
              <w:t>1、一标段：投标人须具备独立的法人资格和有效的营业执照(经营范围须含园林绿化或林木种植等相关内容)，并在人员、设备、资金等方面具有相应的施工能力。拟派项目负责人须具有园林绿化或相关专业中级及以上技术职称，且未担任其它在施建设工程项目的项目负责人并出具无在建承诺书。</w:t>
            </w:r>
          </w:p>
          <w:p>
            <w:pPr>
              <w:autoSpaceDE w:val="0"/>
              <w:autoSpaceDN w:val="0"/>
              <w:adjustRightInd w:val="0"/>
              <w:snapToGrid w:val="0"/>
              <w:spacing w:line="276" w:lineRule="auto"/>
              <w:jc w:val="left"/>
              <w:rPr>
                <w:rFonts w:hAnsi="宋体"/>
                <w:sz w:val="24"/>
                <w:szCs w:val="24"/>
              </w:rPr>
            </w:pPr>
            <w:r>
              <w:rPr>
                <w:rFonts w:hint="eastAsia" w:hAnsi="宋体"/>
                <w:sz w:val="24"/>
                <w:szCs w:val="24"/>
              </w:rPr>
              <w:t>2、本项目不接受联合体投标，不得转包、挂靠及违法分包。</w:t>
            </w:r>
          </w:p>
          <w:p>
            <w:pPr>
              <w:autoSpaceDE w:val="0"/>
              <w:autoSpaceDN w:val="0"/>
              <w:adjustRightInd w:val="0"/>
              <w:snapToGrid w:val="0"/>
              <w:spacing w:line="276" w:lineRule="auto"/>
              <w:jc w:val="left"/>
              <w:rPr>
                <w:rFonts w:hAnsi="宋体"/>
                <w:sz w:val="24"/>
                <w:szCs w:val="24"/>
              </w:rPr>
            </w:pPr>
            <w:r>
              <w:rPr>
                <w:rFonts w:hint="eastAsia" w:hAnsi="宋体"/>
                <w:sz w:val="24"/>
                <w:szCs w:val="24"/>
              </w:rPr>
              <w:t>3、与招标人存在利害关系可能影响招标公正性的法人、其他组织或者个人，不得参加投标；单位负责人为同一人或者存在控股、管理关系的不同单位，不得参加同一标段投标或者未划分标段的同一招标项目投标。</w:t>
            </w:r>
          </w:p>
          <w:p>
            <w:pPr>
              <w:autoSpaceDE w:val="0"/>
              <w:autoSpaceDN w:val="0"/>
              <w:adjustRightInd w:val="0"/>
              <w:spacing w:line="440" w:lineRule="exact"/>
              <w:jc w:val="left"/>
              <w:rPr>
                <w:rFonts w:hAnsi="宋体" w:cs="宋体"/>
                <w:color w:val="000000"/>
                <w:sz w:val="24"/>
                <w:szCs w:val="24"/>
              </w:rPr>
            </w:pPr>
            <w:r>
              <w:rPr>
                <w:rFonts w:hint="eastAsia" w:hAnsi="宋体"/>
                <w:b/>
                <w:bCs/>
                <w:sz w:val="24"/>
                <w:szCs w:val="24"/>
              </w:rPr>
              <w:t>4、未被列入“信用中国”/“信用河南”网站信用信息栏黑名单，“国家企业信用信息公示系统”经营异常名录和严重失信黑名单，无行贿犯罪记录的投标人。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53"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1.4.2</w:t>
            </w:r>
          </w:p>
        </w:tc>
        <w:tc>
          <w:tcPr>
            <w:tcW w:w="2058"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是否接受联合体投标</w:t>
            </w:r>
          </w:p>
        </w:tc>
        <w:tc>
          <w:tcPr>
            <w:tcW w:w="6694" w:type="dxa"/>
          </w:tcPr>
          <w:p>
            <w:pPr>
              <w:autoSpaceDE w:val="0"/>
              <w:autoSpaceDN w:val="0"/>
              <w:adjustRightInd w:val="0"/>
              <w:spacing w:line="420" w:lineRule="exact"/>
              <w:jc w:val="left"/>
              <w:rPr>
                <w:rFonts w:hAnsi="宋体" w:cs="黑体"/>
                <w:color w:val="000000"/>
                <w:sz w:val="24"/>
                <w:szCs w:val="24"/>
              </w:rPr>
            </w:pPr>
            <w:r>
              <w:rPr>
                <w:rFonts w:hint="eastAsia" w:hAnsi="宋体" w:cs="仿宋_GB2312"/>
                <w:color w:val="000000"/>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53"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1.9.1</w:t>
            </w:r>
          </w:p>
        </w:tc>
        <w:tc>
          <w:tcPr>
            <w:tcW w:w="2058"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踏勘现场</w:t>
            </w:r>
          </w:p>
        </w:tc>
        <w:tc>
          <w:tcPr>
            <w:tcW w:w="6694" w:type="dxa"/>
          </w:tcPr>
          <w:p>
            <w:pPr>
              <w:autoSpaceDE w:val="0"/>
              <w:autoSpaceDN w:val="0"/>
              <w:adjustRightInd w:val="0"/>
              <w:spacing w:line="420" w:lineRule="exact"/>
              <w:jc w:val="left"/>
              <w:rPr>
                <w:rFonts w:hAnsi="宋体" w:cs="仿宋_GB2312"/>
                <w:color w:val="000000"/>
                <w:sz w:val="24"/>
                <w:szCs w:val="24"/>
              </w:rPr>
            </w:pPr>
            <w:r>
              <w:rPr>
                <w:rFonts w:hint="eastAsia" w:hAnsi="宋体" w:cs="仿宋_GB2312"/>
                <w:color w:val="000000"/>
                <w:sz w:val="24"/>
                <w:szCs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53"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1.10.1</w:t>
            </w:r>
          </w:p>
        </w:tc>
        <w:tc>
          <w:tcPr>
            <w:tcW w:w="2058"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投标预备会</w:t>
            </w:r>
          </w:p>
        </w:tc>
        <w:tc>
          <w:tcPr>
            <w:tcW w:w="6694" w:type="dxa"/>
          </w:tcPr>
          <w:p>
            <w:pPr>
              <w:autoSpaceDE w:val="0"/>
              <w:autoSpaceDN w:val="0"/>
              <w:adjustRightInd w:val="0"/>
              <w:spacing w:line="420" w:lineRule="exact"/>
              <w:jc w:val="left"/>
              <w:rPr>
                <w:rFonts w:hAnsi="宋体" w:cs="仿宋_GB2312"/>
                <w:color w:val="000000"/>
                <w:sz w:val="24"/>
                <w:szCs w:val="24"/>
              </w:rPr>
            </w:pPr>
            <w:r>
              <w:rPr>
                <w:rFonts w:hint="eastAsia" w:hAnsi="宋体" w:cs="仿宋_GB2312"/>
                <w:color w:val="000000"/>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53" w:type="dxa"/>
            <w:vAlign w:val="center"/>
          </w:tcPr>
          <w:p>
            <w:pPr>
              <w:autoSpaceDE w:val="0"/>
              <w:autoSpaceDN w:val="0"/>
              <w:adjustRightInd w:val="0"/>
              <w:spacing w:line="420" w:lineRule="exact"/>
              <w:jc w:val="center"/>
              <w:rPr>
                <w:rFonts w:hAnsi="宋体" w:cs="TimesNewRomanPSMT"/>
                <w:color w:val="000000"/>
                <w:sz w:val="24"/>
                <w:szCs w:val="24"/>
              </w:rPr>
            </w:pPr>
            <w:r>
              <w:rPr>
                <w:rFonts w:hAnsi="宋体" w:cs="TimesNewRomanPSMT"/>
                <w:color w:val="000000"/>
                <w:sz w:val="24"/>
                <w:szCs w:val="24"/>
              </w:rPr>
              <w:t>1.10.</w:t>
            </w:r>
            <w:r>
              <w:rPr>
                <w:rFonts w:hint="eastAsia" w:hAnsi="宋体" w:cs="TimesNewRomanPSMT"/>
                <w:color w:val="000000"/>
                <w:sz w:val="24"/>
                <w:szCs w:val="24"/>
              </w:rPr>
              <w:t>2</w:t>
            </w:r>
          </w:p>
        </w:tc>
        <w:tc>
          <w:tcPr>
            <w:tcW w:w="2058" w:type="dxa"/>
            <w:gridSpan w:val="3"/>
            <w:vAlign w:val="center"/>
          </w:tcPr>
          <w:p>
            <w:pPr>
              <w:autoSpaceDE w:val="0"/>
              <w:autoSpaceDN w:val="0"/>
              <w:adjustRightInd w:val="0"/>
              <w:spacing w:line="420" w:lineRule="exact"/>
              <w:jc w:val="center"/>
              <w:rPr>
                <w:rFonts w:hAnsi="宋体" w:cs="仿宋_GB2312"/>
                <w:color w:val="000000"/>
                <w:sz w:val="24"/>
                <w:szCs w:val="24"/>
              </w:rPr>
            </w:pPr>
            <w:r>
              <w:rPr>
                <w:rFonts w:hint="eastAsia" w:hAnsi="宋体" w:cs="仿宋_GB2312"/>
                <w:color w:val="000000"/>
                <w:sz w:val="24"/>
                <w:szCs w:val="24"/>
              </w:rPr>
              <w:t>投标人提出问题的截止时间</w:t>
            </w:r>
          </w:p>
        </w:tc>
        <w:tc>
          <w:tcPr>
            <w:tcW w:w="6694" w:type="dxa"/>
          </w:tcPr>
          <w:p>
            <w:pPr>
              <w:autoSpaceDE w:val="0"/>
              <w:autoSpaceDN w:val="0"/>
              <w:adjustRightInd w:val="0"/>
              <w:spacing w:line="420" w:lineRule="exact"/>
              <w:jc w:val="left"/>
              <w:rPr>
                <w:rFonts w:hAnsi="宋体" w:cs="TimesNewRomanPSMT"/>
                <w:color w:val="000000"/>
                <w:sz w:val="24"/>
                <w:szCs w:val="24"/>
              </w:rPr>
            </w:pPr>
            <w:r>
              <w:rPr>
                <w:rFonts w:hint="eastAsia" w:hAnsi="宋体" w:cs="黑体"/>
                <w:color w:val="000000"/>
                <w:sz w:val="24"/>
                <w:szCs w:val="24"/>
              </w:rPr>
              <w:t>投标人对招标文件有异议的应当在投标截止时间10日前提出，招标人应当自收到异议之日起3日内作出答复，作出答复前，应当暂停招标投标活动。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53" w:type="dxa"/>
            <w:vAlign w:val="center"/>
          </w:tcPr>
          <w:p>
            <w:pPr>
              <w:jc w:val="center"/>
              <w:rPr>
                <w:rFonts w:hAnsi="宋体"/>
                <w:color w:val="000000"/>
                <w:sz w:val="24"/>
                <w:szCs w:val="24"/>
              </w:rPr>
            </w:pPr>
            <w:r>
              <w:rPr>
                <w:rFonts w:hint="eastAsia" w:hAnsi="宋体"/>
                <w:color w:val="000000"/>
                <w:sz w:val="24"/>
                <w:szCs w:val="24"/>
              </w:rPr>
              <w:t>1.10.3</w:t>
            </w:r>
          </w:p>
        </w:tc>
        <w:tc>
          <w:tcPr>
            <w:tcW w:w="2058" w:type="dxa"/>
            <w:gridSpan w:val="3"/>
            <w:vAlign w:val="center"/>
          </w:tcPr>
          <w:p>
            <w:pPr>
              <w:jc w:val="center"/>
              <w:rPr>
                <w:rFonts w:hAnsi="宋体"/>
                <w:color w:val="000000"/>
                <w:sz w:val="24"/>
                <w:szCs w:val="24"/>
              </w:rPr>
            </w:pPr>
            <w:r>
              <w:rPr>
                <w:rFonts w:hint="eastAsia" w:hAnsi="宋体"/>
                <w:color w:val="000000"/>
                <w:sz w:val="24"/>
                <w:szCs w:val="24"/>
              </w:rPr>
              <w:t>招标人书面澄清的时间</w:t>
            </w:r>
          </w:p>
        </w:tc>
        <w:tc>
          <w:tcPr>
            <w:tcW w:w="6694" w:type="dxa"/>
            <w:vAlign w:val="center"/>
          </w:tcPr>
          <w:p>
            <w:pPr>
              <w:rPr>
                <w:rFonts w:hAnsi="宋体"/>
                <w:color w:val="000000"/>
                <w:sz w:val="24"/>
                <w:szCs w:val="24"/>
              </w:rPr>
            </w:pPr>
            <w:r>
              <w:rPr>
                <w:rFonts w:hint="eastAsia" w:ascii="新宋体" w:hAnsi="新宋体" w:eastAsia="新宋体"/>
                <w:sz w:val="24"/>
                <w:szCs w:val="24"/>
              </w:rPr>
              <w:t>投标截止时间15日前，在</w:t>
            </w:r>
            <w:r>
              <w:rPr>
                <w:rFonts w:hint="eastAsia" w:cs="Arial"/>
                <w:sz w:val="24"/>
                <w:szCs w:val="24"/>
              </w:rPr>
              <w:t>【全国公共资源交易平台（河南省•许昌市）】上发出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53"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1.11</w:t>
            </w:r>
          </w:p>
        </w:tc>
        <w:tc>
          <w:tcPr>
            <w:tcW w:w="2058"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分包</w:t>
            </w:r>
          </w:p>
        </w:tc>
        <w:tc>
          <w:tcPr>
            <w:tcW w:w="6694" w:type="dxa"/>
          </w:tcPr>
          <w:p>
            <w:pPr>
              <w:autoSpaceDE w:val="0"/>
              <w:autoSpaceDN w:val="0"/>
              <w:adjustRightInd w:val="0"/>
              <w:spacing w:line="420" w:lineRule="exact"/>
              <w:jc w:val="left"/>
              <w:rPr>
                <w:rFonts w:hAnsi="宋体" w:cs="仿宋_GB2312"/>
                <w:color w:val="000000"/>
                <w:sz w:val="24"/>
                <w:szCs w:val="24"/>
              </w:rPr>
            </w:pPr>
            <w:r>
              <w:rPr>
                <w:rFonts w:hint="eastAsia" w:hAnsi="宋体" w:cs="仿宋_GB2312"/>
                <w:color w:val="00000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53"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 xml:space="preserve">1.12 </w:t>
            </w:r>
          </w:p>
        </w:tc>
        <w:tc>
          <w:tcPr>
            <w:tcW w:w="2058"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偏离</w:t>
            </w:r>
          </w:p>
        </w:tc>
        <w:tc>
          <w:tcPr>
            <w:tcW w:w="6694" w:type="dxa"/>
          </w:tcPr>
          <w:p>
            <w:pPr>
              <w:autoSpaceDE w:val="0"/>
              <w:autoSpaceDN w:val="0"/>
              <w:adjustRightInd w:val="0"/>
              <w:spacing w:line="420" w:lineRule="exact"/>
              <w:jc w:val="left"/>
              <w:rPr>
                <w:rFonts w:hAnsi="宋体" w:cs="仿宋_GB2312"/>
                <w:color w:val="000000"/>
                <w:sz w:val="24"/>
                <w:szCs w:val="24"/>
              </w:rPr>
            </w:pPr>
            <w:r>
              <w:rPr>
                <w:rFonts w:hint="eastAsia" w:hAnsi="宋体" w:cs="仿宋_GB2312"/>
                <w:color w:val="00000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53" w:type="dxa"/>
            <w:vAlign w:val="center"/>
          </w:tcPr>
          <w:p>
            <w:pPr>
              <w:autoSpaceDE w:val="0"/>
              <w:autoSpaceDN w:val="0"/>
              <w:adjustRightInd w:val="0"/>
              <w:spacing w:line="420" w:lineRule="exact"/>
              <w:jc w:val="center"/>
              <w:rPr>
                <w:rFonts w:hAnsi="宋体" w:cs="仿宋_GB2312"/>
                <w:color w:val="000000"/>
                <w:sz w:val="24"/>
                <w:szCs w:val="24"/>
              </w:rPr>
            </w:pPr>
            <w:r>
              <w:rPr>
                <w:rFonts w:hAnsi="宋体" w:cs="仿宋_GB2312"/>
                <w:color w:val="000000"/>
                <w:sz w:val="24"/>
                <w:szCs w:val="24"/>
              </w:rPr>
              <w:t xml:space="preserve">2.1 </w:t>
            </w:r>
          </w:p>
        </w:tc>
        <w:tc>
          <w:tcPr>
            <w:tcW w:w="2058" w:type="dxa"/>
            <w:gridSpan w:val="3"/>
            <w:vAlign w:val="center"/>
          </w:tcPr>
          <w:p>
            <w:pPr>
              <w:autoSpaceDE w:val="0"/>
              <w:autoSpaceDN w:val="0"/>
              <w:adjustRightInd w:val="0"/>
              <w:snapToGrid w:val="0"/>
              <w:jc w:val="center"/>
              <w:rPr>
                <w:rFonts w:hAnsi="宋体" w:cs="仿宋_GB2312"/>
                <w:color w:val="000000"/>
                <w:sz w:val="24"/>
                <w:szCs w:val="24"/>
              </w:rPr>
            </w:pPr>
            <w:r>
              <w:rPr>
                <w:rFonts w:hint="eastAsia" w:hAnsi="宋体" w:cs="仿宋_GB2312"/>
                <w:color w:val="000000"/>
                <w:sz w:val="24"/>
                <w:szCs w:val="24"/>
              </w:rPr>
              <w:t>招标文件及图纸的获取</w:t>
            </w:r>
          </w:p>
        </w:tc>
        <w:tc>
          <w:tcPr>
            <w:tcW w:w="6694" w:type="dxa"/>
            <w:vAlign w:val="center"/>
          </w:tcPr>
          <w:p>
            <w:pPr>
              <w:rPr>
                <w:rFonts w:hint="eastAsia" w:eastAsia="宋体"/>
                <w:sz w:val="24"/>
                <w:szCs w:val="24"/>
                <w:lang w:eastAsia="zh-CN"/>
              </w:rPr>
            </w:pPr>
            <w:r>
              <w:rPr>
                <w:rFonts w:hint="eastAsia" w:hAnsi="宋体" w:cs="仿宋_GB2312"/>
                <w:color w:val="000000"/>
                <w:sz w:val="24"/>
                <w:szCs w:val="24"/>
              </w:rPr>
              <w:t>在《全国公共资源交易平台（河南省 许昌市）》网上下载招标文件。</w:t>
            </w:r>
            <w:r>
              <w:rPr>
                <w:rFonts w:hint="eastAsia"/>
                <w:sz w:val="24"/>
                <w:szCs w:val="24"/>
                <w:lang w:eastAsia="zh-CN"/>
              </w:rPr>
              <w:t>图纸下载地址：</w:t>
            </w:r>
          </w:p>
          <w:p>
            <w:pPr>
              <w:autoSpaceDE w:val="0"/>
              <w:autoSpaceDN w:val="0"/>
              <w:adjustRightInd w:val="0"/>
              <w:spacing w:line="420" w:lineRule="exact"/>
              <w:jc w:val="left"/>
              <w:rPr>
                <w:rFonts w:hAnsi="宋体" w:cs="仿宋_GB2312"/>
                <w:color w:val="000000"/>
                <w:sz w:val="24"/>
                <w:szCs w:val="24"/>
              </w:rPr>
            </w:pPr>
            <w:r>
              <w:rPr>
                <w:rFonts w:hint="eastAsia"/>
                <w:sz w:val="24"/>
                <w:szCs w:val="24"/>
                <w:lang w:eastAsia="zh-CN"/>
              </w:rPr>
              <w:t xml:space="preserve">链接:https://pan.baidu.com/s/1fgnY4Gbzmqce9mCEV3MWhw 提取码:aa9a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53" w:type="dxa"/>
            <w:vAlign w:val="center"/>
          </w:tcPr>
          <w:p>
            <w:pPr>
              <w:autoSpaceDE w:val="0"/>
              <w:autoSpaceDN w:val="0"/>
              <w:adjustRightInd w:val="0"/>
              <w:spacing w:line="420" w:lineRule="exact"/>
              <w:jc w:val="center"/>
              <w:rPr>
                <w:rFonts w:hAnsi="宋体" w:cs="仿宋_GB2312"/>
                <w:color w:val="000000"/>
                <w:sz w:val="24"/>
                <w:szCs w:val="24"/>
              </w:rPr>
            </w:pPr>
            <w:r>
              <w:rPr>
                <w:rFonts w:hint="eastAsia" w:hAnsi="宋体" w:cs="仿宋_GB2312"/>
                <w:color w:val="000000"/>
                <w:sz w:val="24"/>
                <w:szCs w:val="24"/>
              </w:rPr>
              <w:t>2.2</w:t>
            </w:r>
          </w:p>
        </w:tc>
        <w:tc>
          <w:tcPr>
            <w:tcW w:w="2058" w:type="dxa"/>
            <w:gridSpan w:val="3"/>
            <w:vAlign w:val="center"/>
          </w:tcPr>
          <w:p>
            <w:pPr>
              <w:autoSpaceDE w:val="0"/>
              <w:autoSpaceDN w:val="0"/>
              <w:adjustRightInd w:val="0"/>
              <w:spacing w:line="420" w:lineRule="exact"/>
              <w:jc w:val="center"/>
              <w:rPr>
                <w:rFonts w:hAnsi="宋体" w:cs="仿宋_GB2312"/>
                <w:color w:val="000000"/>
                <w:sz w:val="24"/>
                <w:szCs w:val="24"/>
              </w:rPr>
            </w:pPr>
            <w:r>
              <w:rPr>
                <w:rFonts w:hint="eastAsia" w:hAnsi="宋体" w:cs="仿宋_GB2312"/>
                <w:color w:val="000000"/>
                <w:sz w:val="24"/>
                <w:szCs w:val="24"/>
              </w:rPr>
              <w:t>构成招标文件的其他材料</w:t>
            </w:r>
          </w:p>
        </w:tc>
        <w:tc>
          <w:tcPr>
            <w:tcW w:w="6694" w:type="dxa"/>
            <w:vAlign w:val="center"/>
          </w:tcPr>
          <w:p>
            <w:pPr>
              <w:autoSpaceDE w:val="0"/>
              <w:autoSpaceDN w:val="0"/>
              <w:adjustRightInd w:val="0"/>
              <w:spacing w:line="420" w:lineRule="exact"/>
              <w:jc w:val="left"/>
              <w:rPr>
                <w:rFonts w:hAnsi="宋体" w:cs="仿宋_GB2312"/>
                <w:color w:val="000000"/>
                <w:sz w:val="24"/>
                <w:szCs w:val="24"/>
              </w:rPr>
            </w:pPr>
            <w:r>
              <w:rPr>
                <w:rFonts w:hint="eastAsia" w:hAnsi="宋体" w:cs="仿宋_GB2312"/>
                <w:color w:val="000000"/>
                <w:sz w:val="24"/>
                <w:szCs w:val="24"/>
              </w:rPr>
              <w:t>答疑，经备案的招标文件的补充和修改文件（如有）。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53"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2.2.1</w:t>
            </w:r>
          </w:p>
        </w:tc>
        <w:tc>
          <w:tcPr>
            <w:tcW w:w="2058"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黑体"/>
                <w:color w:val="000000"/>
                <w:sz w:val="24"/>
                <w:szCs w:val="24"/>
              </w:rPr>
              <w:t>投标人要求澄清招标文件的截止时间</w:t>
            </w:r>
          </w:p>
        </w:tc>
        <w:tc>
          <w:tcPr>
            <w:tcW w:w="6694" w:type="dxa"/>
            <w:vAlign w:val="center"/>
          </w:tcPr>
          <w:p>
            <w:pPr>
              <w:autoSpaceDE w:val="0"/>
              <w:autoSpaceDN w:val="0"/>
              <w:adjustRightInd w:val="0"/>
              <w:spacing w:line="420" w:lineRule="exact"/>
              <w:rPr>
                <w:rFonts w:hAnsi="宋体" w:cs="黑体"/>
                <w:color w:val="000000"/>
                <w:sz w:val="24"/>
                <w:szCs w:val="24"/>
              </w:rPr>
            </w:pPr>
            <w:r>
              <w:rPr>
                <w:rFonts w:hint="eastAsia" w:hAnsi="宋体" w:cs="黑体"/>
                <w:color w:val="000000"/>
                <w:sz w:val="24"/>
                <w:szCs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53"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2.2.2</w:t>
            </w:r>
          </w:p>
        </w:tc>
        <w:tc>
          <w:tcPr>
            <w:tcW w:w="2058"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投标截止时间</w:t>
            </w:r>
          </w:p>
        </w:tc>
        <w:tc>
          <w:tcPr>
            <w:tcW w:w="6694" w:type="dxa"/>
          </w:tcPr>
          <w:p>
            <w:pPr>
              <w:adjustRightInd w:val="0"/>
              <w:snapToGrid w:val="0"/>
              <w:spacing w:line="360" w:lineRule="auto"/>
              <w:rPr>
                <w:rFonts w:hAnsi="宋体" w:cs="黑体"/>
                <w:b/>
                <w:color w:val="000000"/>
                <w:sz w:val="24"/>
                <w:szCs w:val="24"/>
              </w:rPr>
            </w:pPr>
            <w:r>
              <w:rPr>
                <w:rFonts w:hint="eastAsia" w:hAnsi="宋体" w:cs="仿宋"/>
                <w:b/>
                <w:color w:val="FF0000"/>
                <w:sz w:val="24"/>
                <w:szCs w:val="24"/>
                <w:u w:val="single"/>
                <w:lang w:val="en-US" w:eastAsia="zh-CN"/>
              </w:rPr>
              <w:t>2020</w:t>
            </w:r>
            <w:r>
              <w:rPr>
                <w:rFonts w:hint="eastAsia" w:hAnsi="宋体" w:cs="仿宋"/>
                <w:b/>
                <w:color w:val="FF0000"/>
                <w:sz w:val="24"/>
                <w:szCs w:val="24"/>
                <w:u w:val="single"/>
              </w:rPr>
              <w:t xml:space="preserve"> </w:t>
            </w:r>
            <w:r>
              <w:rPr>
                <w:rFonts w:hint="eastAsia" w:hAnsi="宋体" w:cs="仿宋"/>
                <w:b/>
                <w:color w:val="FF0000"/>
                <w:sz w:val="24"/>
                <w:szCs w:val="24"/>
              </w:rPr>
              <w:t>年</w:t>
            </w:r>
            <w:r>
              <w:rPr>
                <w:rFonts w:hint="eastAsia" w:hAnsi="宋体" w:cs="仿宋"/>
                <w:b/>
                <w:color w:val="FF0000"/>
                <w:sz w:val="24"/>
                <w:szCs w:val="24"/>
                <w:u w:val="single"/>
              </w:rPr>
              <w:t xml:space="preserve"> </w:t>
            </w:r>
            <w:r>
              <w:rPr>
                <w:rFonts w:hint="eastAsia" w:hAnsi="宋体" w:cs="仿宋"/>
                <w:b/>
                <w:color w:val="FF0000"/>
                <w:sz w:val="24"/>
                <w:szCs w:val="24"/>
                <w:u w:val="single"/>
                <w:lang w:val="en-US" w:eastAsia="zh-CN"/>
              </w:rPr>
              <w:t>1</w:t>
            </w:r>
            <w:r>
              <w:rPr>
                <w:rFonts w:hint="eastAsia" w:hAnsi="宋体" w:cs="仿宋"/>
                <w:b/>
                <w:color w:val="FF0000"/>
                <w:sz w:val="24"/>
                <w:szCs w:val="24"/>
                <w:u w:val="single"/>
              </w:rPr>
              <w:t xml:space="preserve">  </w:t>
            </w:r>
            <w:r>
              <w:rPr>
                <w:rFonts w:hint="eastAsia" w:hAnsi="宋体" w:cs="仿宋"/>
                <w:b/>
                <w:color w:val="FF0000"/>
                <w:sz w:val="24"/>
                <w:szCs w:val="24"/>
              </w:rPr>
              <w:t>月</w:t>
            </w:r>
            <w:r>
              <w:rPr>
                <w:rFonts w:hint="eastAsia" w:hAnsi="宋体" w:cs="仿宋"/>
                <w:b/>
                <w:color w:val="FF0000"/>
                <w:sz w:val="24"/>
                <w:szCs w:val="24"/>
                <w:u w:val="single"/>
              </w:rPr>
              <w:t xml:space="preserve"> </w:t>
            </w:r>
            <w:r>
              <w:rPr>
                <w:rFonts w:hint="eastAsia" w:hAnsi="宋体" w:cs="仿宋"/>
                <w:b/>
                <w:color w:val="FF0000"/>
                <w:sz w:val="24"/>
                <w:szCs w:val="24"/>
                <w:u w:val="single"/>
                <w:lang w:val="en-US" w:eastAsia="zh-CN"/>
              </w:rPr>
              <w:t>6</w:t>
            </w:r>
            <w:r>
              <w:rPr>
                <w:rFonts w:hint="eastAsia" w:hAnsi="宋体" w:cs="仿宋"/>
                <w:b/>
                <w:color w:val="FF0000"/>
                <w:sz w:val="24"/>
                <w:szCs w:val="24"/>
                <w:u w:val="single"/>
              </w:rPr>
              <w:t xml:space="preserve">  </w:t>
            </w:r>
            <w:r>
              <w:rPr>
                <w:rFonts w:hint="eastAsia" w:hAnsi="宋体" w:cs="仿宋"/>
                <w:b/>
                <w:color w:val="FF0000"/>
                <w:sz w:val="24"/>
                <w:szCs w:val="24"/>
              </w:rPr>
              <w:t>日</w:t>
            </w:r>
            <w:r>
              <w:rPr>
                <w:rFonts w:hint="eastAsia" w:hAnsi="宋体" w:cs="仿宋"/>
                <w:b/>
                <w:color w:val="FF0000"/>
                <w:sz w:val="24"/>
                <w:szCs w:val="24"/>
                <w:u w:val="single"/>
              </w:rPr>
              <w:t xml:space="preserve"> </w:t>
            </w:r>
            <w:r>
              <w:rPr>
                <w:rFonts w:hint="eastAsia" w:hAnsi="宋体" w:cs="仿宋"/>
                <w:b/>
                <w:color w:val="FF0000"/>
                <w:sz w:val="24"/>
                <w:szCs w:val="24"/>
                <w:u w:val="single"/>
                <w:lang w:val="en-US" w:eastAsia="zh-CN"/>
              </w:rPr>
              <w:t>9</w:t>
            </w:r>
            <w:r>
              <w:rPr>
                <w:rFonts w:hint="eastAsia" w:hAnsi="宋体" w:cs="仿宋"/>
                <w:b/>
                <w:color w:val="FF0000"/>
                <w:sz w:val="24"/>
                <w:szCs w:val="24"/>
                <w:u w:val="single"/>
              </w:rPr>
              <w:t xml:space="preserve">  </w:t>
            </w:r>
            <w:r>
              <w:rPr>
                <w:rFonts w:hint="eastAsia" w:hAnsi="宋体" w:cs="仿宋"/>
                <w:b/>
                <w:color w:val="FF0000"/>
                <w:sz w:val="24"/>
                <w:szCs w:val="24"/>
              </w:rPr>
              <w:t>时</w:t>
            </w:r>
            <w:r>
              <w:rPr>
                <w:rFonts w:hint="eastAsia" w:hAnsi="宋体" w:cs="仿宋"/>
                <w:b/>
                <w:color w:val="FF0000"/>
                <w:sz w:val="24"/>
                <w:szCs w:val="24"/>
                <w:u w:val="single"/>
              </w:rPr>
              <w:t xml:space="preserve"> </w:t>
            </w:r>
            <w:r>
              <w:rPr>
                <w:rFonts w:hint="eastAsia" w:hAnsi="宋体" w:cs="仿宋"/>
                <w:b/>
                <w:color w:val="FF0000"/>
                <w:sz w:val="24"/>
                <w:szCs w:val="24"/>
                <w:u w:val="single"/>
                <w:lang w:val="en-US" w:eastAsia="zh-CN"/>
              </w:rPr>
              <w:t>30</w:t>
            </w:r>
            <w:r>
              <w:rPr>
                <w:rFonts w:hint="eastAsia" w:hAnsi="宋体" w:cs="仿宋"/>
                <w:b/>
                <w:color w:val="FF0000"/>
                <w:sz w:val="24"/>
                <w:szCs w:val="24"/>
                <w:u w:val="single"/>
              </w:rPr>
              <w:t xml:space="preserve"> </w:t>
            </w:r>
            <w:r>
              <w:rPr>
                <w:rFonts w:hint="eastAsia" w:hAnsi="宋体" w:cs="仿宋"/>
                <w:b/>
                <w:color w:val="FF0000"/>
                <w:sz w:val="24"/>
                <w:szCs w:val="24"/>
              </w:rPr>
              <w:t>分</w:t>
            </w:r>
            <w:r>
              <w:rPr>
                <w:rFonts w:hint="eastAsia" w:hAnsi="宋体" w:cs="仿宋"/>
                <w:b/>
                <w:color w:val="FF0000"/>
                <w:sz w:val="24"/>
                <w:szCs w:val="24"/>
                <w:lang w:eastAsia="zh-CN"/>
              </w:rPr>
              <w:t>（北京时间）</w:t>
            </w:r>
            <w:r>
              <w:rPr>
                <w:rFonts w:hint="eastAsia" w:hAnsi="宋体" w:cs="Arial"/>
                <w:b/>
                <w:color w:val="FF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53"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2.2.3</w:t>
            </w:r>
          </w:p>
        </w:tc>
        <w:tc>
          <w:tcPr>
            <w:tcW w:w="2058" w:type="dxa"/>
            <w:gridSpan w:val="3"/>
            <w:vAlign w:val="center"/>
          </w:tcPr>
          <w:p>
            <w:pPr>
              <w:autoSpaceDE w:val="0"/>
              <w:autoSpaceDN w:val="0"/>
              <w:adjustRightInd w:val="0"/>
              <w:jc w:val="center"/>
              <w:rPr>
                <w:rFonts w:hAnsi="宋体" w:cs="黑体"/>
                <w:color w:val="FF0000"/>
                <w:sz w:val="24"/>
                <w:szCs w:val="24"/>
              </w:rPr>
            </w:pPr>
            <w:r>
              <w:rPr>
                <w:rFonts w:hint="eastAsia" w:hAnsi="宋体" w:cs="仿宋_GB2312"/>
                <w:color w:val="FF0000"/>
                <w:sz w:val="24"/>
                <w:szCs w:val="24"/>
              </w:rPr>
              <w:t>投标人确认收到招标文件澄清的时间</w:t>
            </w:r>
          </w:p>
        </w:tc>
        <w:tc>
          <w:tcPr>
            <w:tcW w:w="6694" w:type="dxa"/>
            <w:vAlign w:val="center"/>
          </w:tcPr>
          <w:p>
            <w:pPr>
              <w:autoSpaceDE w:val="0"/>
              <w:autoSpaceDN w:val="0"/>
              <w:adjustRightInd w:val="0"/>
              <w:rPr>
                <w:rFonts w:hAnsi="宋体" w:cs="宋体"/>
                <w:color w:val="FF0000"/>
                <w:sz w:val="24"/>
                <w:szCs w:val="24"/>
              </w:rPr>
            </w:pPr>
            <w:r>
              <w:rPr>
                <w:rFonts w:hint="eastAsia" w:hAnsi="宋体" w:cs="宋体"/>
                <w:color w:val="FF0000"/>
                <w:sz w:val="24"/>
              </w:rPr>
              <w:t>在收到相应澄清文件后24小时内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53"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2.3.2</w:t>
            </w:r>
          </w:p>
        </w:tc>
        <w:tc>
          <w:tcPr>
            <w:tcW w:w="2058" w:type="dxa"/>
            <w:gridSpan w:val="3"/>
            <w:vAlign w:val="center"/>
          </w:tcPr>
          <w:p>
            <w:pPr>
              <w:autoSpaceDE w:val="0"/>
              <w:autoSpaceDN w:val="0"/>
              <w:adjustRightInd w:val="0"/>
              <w:jc w:val="center"/>
              <w:rPr>
                <w:rFonts w:hAnsi="宋体" w:cs="黑体"/>
                <w:color w:val="FF0000"/>
                <w:sz w:val="24"/>
                <w:szCs w:val="24"/>
              </w:rPr>
            </w:pPr>
            <w:r>
              <w:rPr>
                <w:rFonts w:hint="eastAsia" w:hAnsi="宋体" w:cs="仿宋_GB2312"/>
                <w:color w:val="FF0000"/>
                <w:sz w:val="24"/>
                <w:szCs w:val="24"/>
              </w:rPr>
              <w:t>投标人确认收到招标文件修改的时间</w:t>
            </w:r>
          </w:p>
        </w:tc>
        <w:tc>
          <w:tcPr>
            <w:tcW w:w="6694" w:type="dxa"/>
            <w:vAlign w:val="center"/>
          </w:tcPr>
          <w:p>
            <w:pPr>
              <w:autoSpaceDE w:val="0"/>
              <w:autoSpaceDN w:val="0"/>
              <w:adjustRightInd w:val="0"/>
              <w:rPr>
                <w:rFonts w:hAnsi="宋体" w:cs="宋体"/>
                <w:color w:val="FF0000"/>
                <w:sz w:val="24"/>
                <w:szCs w:val="24"/>
                <w:u w:val="single"/>
              </w:rPr>
            </w:pPr>
            <w:r>
              <w:rPr>
                <w:rFonts w:hint="eastAsia" w:hAnsi="宋体" w:cs="宋体"/>
                <w:color w:val="FF0000"/>
                <w:sz w:val="24"/>
              </w:rPr>
              <w:t>在收到相应修改文件后24小时内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053"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3.1.1</w:t>
            </w:r>
          </w:p>
        </w:tc>
        <w:tc>
          <w:tcPr>
            <w:tcW w:w="2058"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构成投标文件的其他材料</w:t>
            </w:r>
          </w:p>
        </w:tc>
        <w:tc>
          <w:tcPr>
            <w:tcW w:w="6694" w:type="dxa"/>
            <w:vAlign w:val="center"/>
          </w:tcPr>
          <w:p>
            <w:pPr>
              <w:autoSpaceDE w:val="0"/>
              <w:autoSpaceDN w:val="0"/>
              <w:adjustRightInd w:val="0"/>
              <w:spacing w:line="420" w:lineRule="exact"/>
              <w:rPr>
                <w:rFonts w:hAnsi="宋体" w:cs="黑体"/>
                <w:color w:val="000000"/>
                <w:sz w:val="24"/>
                <w:szCs w:val="24"/>
              </w:rPr>
            </w:pPr>
            <w:r>
              <w:rPr>
                <w:rFonts w:hint="eastAsia" w:hAnsi="宋体" w:cs="黑体"/>
                <w:color w:val="000000"/>
                <w:sz w:val="24"/>
                <w:szCs w:val="24"/>
              </w:rPr>
              <w:t>（1）投标人认为其它需要补充的内容</w:t>
            </w:r>
          </w:p>
          <w:p>
            <w:pPr>
              <w:autoSpaceDE w:val="0"/>
              <w:autoSpaceDN w:val="0"/>
              <w:adjustRightInd w:val="0"/>
              <w:spacing w:line="420" w:lineRule="exact"/>
              <w:rPr>
                <w:rFonts w:hAnsi="宋体" w:cs="黑体"/>
                <w:color w:val="000000"/>
                <w:sz w:val="24"/>
                <w:szCs w:val="24"/>
              </w:rPr>
            </w:pPr>
            <w:r>
              <w:rPr>
                <w:rFonts w:hint="eastAsia" w:hAnsi="宋体" w:cs="黑体"/>
                <w:color w:val="000000"/>
                <w:sz w:val="24"/>
                <w:szCs w:val="24"/>
              </w:rPr>
              <w:t>（2）本项目发出的补遗书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53"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3.3.1</w:t>
            </w:r>
          </w:p>
        </w:tc>
        <w:tc>
          <w:tcPr>
            <w:tcW w:w="2058"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投标有效期</w:t>
            </w:r>
          </w:p>
        </w:tc>
        <w:tc>
          <w:tcPr>
            <w:tcW w:w="6694" w:type="dxa"/>
          </w:tcPr>
          <w:p>
            <w:pPr>
              <w:autoSpaceDE w:val="0"/>
              <w:autoSpaceDN w:val="0"/>
              <w:adjustRightInd w:val="0"/>
              <w:spacing w:line="420" w:lineRule="exact"/>
              <w:jc w:val="left"/>
              <w:rPr>
                <w:rFonts w:hAnsi="宋体" w:cs="黑体"/>
                <w:color w:val="000000"/>
                <w:sz w:val="24"/>
                <w:szCs w:val="24"/>
              </w:rPr>
            </w:pPr>
            <w:r>
              <w:rPr>
                <w:rFonts w:hint="eastAsia" w:hAnsi="宋体" w:cs="宋体"/>
                <w:sz w:val="24"/>
                <w:szCs w:val="24"/>
              </w:rPr>
              <w:t>自投标截止时间起</w:t>
            </w:r>
            <w:r>
              <w:rPr>
                <w:rFonts w:hint="eastAsia" w:hAnsi="宋体" w:cs="宋体"/>
                <w:sz w:val="24"/>
                <w:szCs w:val="24"/>
                <w:u w:val="single"/>
              </w:rPr>
              <w:t>60</w:t>
            </w:r>
            <w:r>
              <w:rPr>
                <w:rFonts w:hint="eastAsia" w:hAnsi="宋体" w:cs="宋体"/>
                <w:sz w:val="24"/>
                <w:szCs w:val="24"/>
              </w:rPr>
              <w:t>日历天，投标人应当在投标有效期内办理相关事宜。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053"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3.4.1</w:t>
            </w:r>
          </w:p>
        </w:tc>
        <w:tc>
          <w:tcPr>
            <w:tcW w:w="2058"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投标担保</w:t>
            </w:r>
          </w:p>
        </w:tc>
        <w:tc>
          <w:tcPr>
            <w:tcW w:w="6694" w:type="dxa"/>
          </w:tcPr>
          <w:p>
            <w:pPr>
              <w:rPr>
                <w:rFonts w:hAnsi="宋体"/>
                <w:sz w:val="24"/>
                <w:szCs w:val="24"/>
              </w:rPr>
            </w:pPr>
            <w:r>
              <w:rPr>
                <w:rFonts w:hint="eastAsia" w:hAnsi="宋体"/>
                <w:sz w:val="24"/>
                <w:szCs w:val="24"/>
              </w:rPr>
              <w:t>1.投标保证金递交截止时间：</w:t>
            </w:r>
            <w:r>
              <w:rPr>
                <w:rFonts w:hint="eastAsia" w:cs="仿宋_GB2312"/>
                <w:sz w:val="24"/>
                <w:szCs w:val="24"/>
              </w:rPr>
              <w:t>同投标截止时间</w:t>
            </w:r>
            <w:r>
              <w:rPr>
                <w:rFonts w:hint="eastAsia" w:hAnsi="宋体"/>
                <w:sz w:val="24"/>
                <w:szCs w:val="24"/>
              </w:rPr>
              <w:t>。</w:t>
            </w:r>
          </w:p>
          <w:p>
            <w:pPr>
              <w:adjustRightInd w:val="0"/>
              <w:snapToGrid w:val="0"/>
              <w:spacing w:line="276" w:lineRule="auto"/>
              <w:rPr>
                <w:rFonts w:hAnsi="宋体" w:cs="仿宋_GB2312"/>
                <w:b/>
                <w:color w:val="FF0000"/>
                <w:sz w:val="24"/>
                <w:szCs w:val="24"/>
              </w:rPr>
            </w:pPr>
            <w:r>
              <w:rPr>
                <w:rFonts w:hint="eastAsia" w:hAnsi="宋体"/>
                <w:sz w:val="24"/>
                <w:szCs w:val="24"/>
              </w:rPr>
              <w:t>2.金额：</w:t>
            </w:r>
            <w:bookmarkStart w:id="228" w:name="_GoBack"/>
            <w:bookmarkEnd w:id="228"/>
            <w:r>
              <w:rPr>
                <w:rFonts w:hint="eastAsia" w:hAnsi="宋体" w:cs="仿宋_GB2312"/>
                <w:b/>
                <w:color w:val="FF0000"/>
                <w:sz w:val="24"/>
                <w:szCs w:val="24"/>
              </w:rPr>
              <w:t>贰拾肆万伍仟元整（￥245000.00元）</w:t>
            </w:r>
          </w:p>
          <w:p>
            <w:pPr>
              <w:rPr>
                <w:rFonts w:hAnsi="宋体"/>
                <w:sz w:val="24"/>
                <w:szCs w:val="24"/>
              </w:rPr>
            </w:pPr>
            <w:r>
              <w:rPr>
                <w:rFonts w:hint="eastAsia" w:hAnsi="宋体"/>
                <w:sz w:val="24"/>
                <w:szCs w:val="24"/>
              </w:rPr>
              <w:t>3.递交方式：银行转账、银行电汇（均需从投标人的基本账户汇出），不接受以现金方式缴纳的投标保证金。</w:t>
            </w:r>
            <w:r>
              <w:rPr>
                <w:rFonts w:hint="eastAsia" w:hAnsi="宋体"/>
                <w:b/>
                <w:bCs/>
                <w:sz w:val="24"/>
                <w:szCs w:val="24"/>
              </w:rPr>
              <w:t>凡以现金方式缴纳投标保证金而影响其投标结果的，由投标人自行负责。</w:t>
            </w:r>
          </w:p>
          <w:p>
            <w:pPr>
              <w:rPr>
                <w:rFonts w:hAnsi="宋体"/>
                <w:sz w:val="24"/>
                <w:szCs w:val="24"/>
              </w:rPr>
            </w:pPr>
            <w:r>
              <w:rPr>
                <w:rFonts w:hint="eastAsia" w:hAnsi="宋体"/>
                <w:sz w:val="24"/>
                <w:szCs w:val="24"/>
              </w:rPr>
              <w:t>使用银行转账方式的，于截止时间前通过投标人基本账户将款项一次足额递交、成功绑定，以收款人到账时间为准，在途资金无效，视为未按时交纳。同时投标人应承担节假日银行系统不能支付的风险。</w:t>
            </w:r>
          </w:p>
          <w:p>
            <w:pPr>
              <w:rPr>
                <w:rFonts w:hAnsi="宋体"/>
                <w:sz w:val="24"/>
                <w:szCs w:val="24"/>
              </w:rPr>
            </w:pPr>
            <w:r>
              <w:rPr>
                <w:rFonts w:hint="eastAsia" w:hAnsi="宋体"/>
                <w:sz w:val="24"/>
                <w:szCs w:val="24"/>
              </w:rPr>
              <w:t>4.基本户备案：自文件发布之日起，投标人需进行基本户备案；已备案的基本户，其开户银行及账户发生变化的，须在投标保证金缴纳前办理变更手续。</w:t>
            </w:r>
          </w:p>
          <w:p>
            <w:pPr>
              <w:rPr>
                <w:rFonts w:hAnsi="宋体"/>
                <w:sz w:val="24"/>
                <w:szCs w:val="24"/>
              </w:rPr>
            </w:pPr>
            <w:r>
              <w:rPr>
                <w:rFonts w:hint="eastAsia" w:hAnsi="宋体"/>
                <w:sz w:val="24"/>
                <w:szCs w:val="24"/>
              </w:rPr>
              <w:t>5.其他事项详见本招标文件投标人须知。</w:t>
            </w:r>
          </w:p>
          <w:p>
            <w:pPr>
              <w:rPr>
                <w:rFonts w:hAnsi="宋体"/>
                <w:sz w:val="24"/>
                <w:szCs w:val="24"/>
              </w:rPr>
            </w:pPr>
            <w:r>
              <w:rPr>
                <w:rFonts w:hint="eastAsia" w:hAnsi="宋体"/>
                <w:sz w:val="24"/>
                <w:szCs w:val="24"/>
              </w:rPr>
              <w:t>6. 投标人（供应商）如需了解投标保证金退还情况，请持授权委托书及个人身份证件到中心业务受理部查询，不接受电话查询。</w:t>
            </w:r>
          </w:p>
          <w:p>
            <w:pPr>
              <w:autoSpaceDE w:val="0"/>
              <w:autoSpaceDN w:val="0"/>
              <w:adjustRightInd w:val="0"/>
              <w:spacing w:line="400" w:lineRule="exact"/>
              <w:rPr>
                <w:rFonts w:hAnsi="宋体" w:cs="仿宋_GB2312"/>
                <w:sz w:val="24"/>
                <w:szCs w:val="24"/>
              </w:rPr>
            </w:pPr>
            <w:r>
              <w:rPr>
                <w:rFonts w:hint="eastAsia" w:hAnsi="宋体"/>
                <w:sz w:val="24"/>
                <w:szCs w:val="24"/>
              </w:rPr>
              <w:t>保证金缴纳绑定问题咨询电话:0374-296159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053" w:type="dxa"/>
            <w:vAlign w:val="center"/>
          </w:tcPr>
          <w:p>
            <w:pPr>
              <w:spacing w:line="400" w:lineRule="atLeast"/>
              <w:jc w:val="center"/>
              <w:rPr>
                <w:rFonts w:hAnsi="宋体"/>
                <w:color w:val="000000"/>
                <w:sz w:val="24"/>
                <w:szCs w:val="24"/>
              </w:rPr>
            </w:pPr>
            <w:r>
              <w:rPr>
                <w:rFonts w:hint="eastAsia" w:hAnsi="宋体"/>
                <w:color w:val="000000"/>
                <w:sz w:val="24"/>
                <w:szCs w:val="24"/>
              </w:rPr>
              <w:t>3.5.2</w:t>
            </w:r>
          </w:p>
        </w:tc>
        <w:tc>
          <w:tcPr>
            <w:tcW w:w="2058" w:type="dxa"/>
            <w:gridSpan w:val="3"/>
            <w:vAlign w:val="center"/>
          </w:tcPr>
          <w:p>
            <w:pPr>
              <w:spacing w:line="440" w:lineRule="exact"/>
              <w:jc w:val="center"/>
              <w:rPr>
                <w:rFonts w:hAnsi="宋体"/>
                <w:color w:val="000000"/>
                <w:sz w:val="24"/>
                <w:szCs w:val="24"/>
              </w:rPr>
            </w:pPr>
            <w:r>
              <w:rPr>
                <w:rFonts w:hint="eastAsia" w:hAnsi="宋体"/>
                <w:color w:val="000000"/>
                <w:sz w:val="24"/>
                <w:szCs w:val="24"/>
              </w:rPr>
              <w:t>近年财务状况的年份要求</w:t>
            </w:r>
          </w:p>
        </w:tc>
        <w:tc>
          <w:tcPr>
            <w:tcW w:w="6694" w:type="dxa"/>
            <w:vAlign w:val="center"/>
          </w:tcPr>
          <w:p>
            <w:pPr>
              <w:spacing w:line="440" w:lineRule="exact"/>
              <w:rPr>
                <w:rFonts w:hAnsi="宋体"/>
                <w:color w:val="000000"/>
                <w:sz w:val="24"/>
                <w:szCs w:val="24"/>
              </w:rPr>
            </w:pPr>
            <w:r>
              <w:rPr>
                <w:rFonts w:hint="eastAsia" w:hAnsi="宋体" w:cs="仿宋_GB2312"/>
                <w:color w:val="000000"/>
                <w:sz w:val="24"/>
                <w:szCs w:val="24"/>
              </w:rPr>
              <w:t>2016年、2017年、2018年（若公司成立未满三年，需提供从成立至今的年度财务状况）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053" w:type="dxa"/>
            <w:vAlign w:val="center"/>
          </w:tcPr>
          <w:p>
            <w:pPr>
              <w:spacing w:line="400" w:lineRule="atLeast"/>
              <w:jc w:val="center"/>
              <w:rPr>
                <w:rFonts w:hAnsi="宋体"/>
                <w:color w:val="000000"/>
                <w:sz w:val="24"/>
                <w:szCs w:val="24"/>
              </w:rPr>
            </w:pPr>
            <w:r>
              <w:rPr>
                <w:rFonts w:hint="eastAsia" w:hAnsi="宋体"/>
                <w:color w:val="000000"/>
                <w:sz w:val="24"/>
                <w:szCs w:val="24"/>
              </w:rPr>
              <w:t>3.5.3</w:t>
            </w:r>
          </w:p>
        </w:tc>
        <w:tc>
          <w:tcPr>
            <w:tcW w:w="2058" w:type="dxa"/>
            <w:gridSpan w:val="3"/>
            <w:vAlign w:val="center"/>
          </w:tcPr>
          <w:p>
            <w:pPr>
              <w:jc w:val="center"/>
              <w:rPr>
                <w:rFonts w:hAnsi="宋体"/>
                <w:color w:val="000000"/>
                <w:sz w:val="24"/>
                <w:szCs w:val="24"/>
              </w:rPr>
            </w:pPr>
            <w:r>
              <w:rPr>
                <w:rFonts w:hint="eastAsia" w:hAnsi="宋体"/>
                <w:color w:val="000000"/>
                <w:sz w:val="24"/>
                <w:szCs w:val="24"/>
              </w:rPr>
              <w:t>近年完成的类似项目的年份要求</w:t>
            </w:r>
          </w:p>
        </w:tc>
        <w:tc>
          <w:tcPr>
            <w:tcW w:w="6694" w:type="dxa"/>
            <w:vAlign w:val="center"/>
          </w:tcPr>
          <w:p>
            <w:pPr>
              <w:spacing w:line="440" w:lineRule="exact"/>
              <w:rPr>
                <w:rFonts w:hAnsi="宋体"/>
                <w:color w:val="000000"/>
                <w:sz w:val="24"/>
                <w:szCs w:val="24"/>
              </w:rPr>
            </w:pPr>
            <w:r>
              <w:rPr>
                <w:rFonts w:hint="eastAsia" w:hAnsi="宋体" w:cs="宋体"/>
                <w:color w:val="000000"/>
                <w:sz w:val="24"/>
                <w:szCs w:val="24"/>
              </w:rPr>
              <w:t>2016年1月以来，以合同签订时间为准。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053" w:type="dxa"/>
            <w:vAlign w:val="center"/>
          </w:tcPr>
          <w:p>
            <w:pPr>
              <w:spacing w:line="400" w:lineRule="atLeast"/>
              <w:jc w:val="center"/>
              <w:rPr>
                <w:rFonts w:hAnsi="宋体"/>
                <w:color w:val="000000"/>
                <w:sz w:val="24"/>
                <w:szCs w:val="24"/>
              </w:rPr>
            </w:pPr>
            <w:r>
              <w:rPr>
                <w:rFonts w:hint="eastAsia" w:hAnsi="宋体"/>
                <w:color w:val="000000"/>
                <w:sz w:val="24"/>
                <w:szCs w:val="24"/>
              </w:rPr>
              <w:t>3.5.4</w:t>
            </w:r>
          </w:p>
        </w:tc>
        <w:tc>
          <w:tcPr>
            <w:tcW w:w="2058" w:type="dxa"/>
            <w:gridSpan w:val="3"/>
            <w:vAlign w:val="center"/>
          </w:tcPr>
          <w:p>
            <w:pPr>
              <w:spacing w:line="440" w:lineRule="exact"/>
              <w:jc w:val="center"/>
              <w:rPr>
                <w:rFonts w:hAnsi="宋体"/>
                <w:color w:val="000000"/>
                <w:sz w:val="24"/>
                <w:szCs w:val="24"/>
              </w:rPr>
            </w:pPr>
            <w:r>
              <w:rPr>
                <w:rFonts w:hint="eastAsia" w:hAnsi="宋体"/>
                <w:color w:val="000000"/>
                <w:sz w:val="24"/>
                <w:szCs w:val="24"/>
              </w:rPr>
              <w:t>近年发生的诉讼及仲裁情况的年份要求</w:t>
            </w:r>
          </w:p>
        </w:tc>
        <w:tc>
          <w:tcPr>
            <w:tcW w:w="6694" w:type="dxa"/>
            <w:vAlign w:val="center"/>
          </w:tcPr>
          <w:p>
            <w:pPr>
              <w:spacing w:line="440" w:lineRule="exact"/>
              <w:rPr>
                <w:rFonts w:hAnsi="宋体"/>
                <w:color w:val="000000"/>
                <w:sz w:val="24"/>
                <w:szCs w:val="24"/>
              </w:rPr>
            </w:pPr>
            <w:r>
              <w:rPr>
                <w:rFonts w:hint="eastAsia" w:hAnsi="宋体" w:cs="宋体"/>
                <w:color w:val="000000"/>
                <w:sz w:val="24"/>
                <w:szCs w:val="24"/>
              </w:rPr>
              <w:t>2016年1月以来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53" w:type="dxa"/>
            <w:vAlign w:val="center"/>
          </w:tcPr>
          <w:p>
            <w:pPr>
              <w:autoSpaceDE w:val="0"/>
              <w:autoSpaceDN w:val="0"/>
              <w:adjustRightInd w:val="0"/>
              <w:spacing w:line="420" w:lineRule="exact"/>
              <w:jc w:val="center"/>
              <w:rPr>
                <w:rFonts w:hAnsi="宋体" w:cs="TimesNewRomanPSMT"/>
                <w:color w:val="000000"/>
                <w:sz w:val="24"/>
                <w:szCs w:val="24"/>
              </w:rPr>
            </w:pPr>
            <w:r>
              <w:rPr>
                <w:rFonts w:hint="eastAsia" w:hAnsi="宋体" w:cs="TimesNewRomanPSMT"/>
                <w:color w:val="000000"/>
                <w:sz w:val="24"/>
                <w:szCs w:val="24"/>
              </w:rPr>
              <w:t>3.6</w:t>
            </w:r>
          </w:p>
        </w:tc>
        <w:tc>
          <w:tcPr>
            <w:tcW w:w="2058"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是否允许递交备选投标方案</w:t>
            </w:r>
          </w:p>
        </w:tc>
        <w:tc>
          <w:tcPr>
            <w:tcW w:w="6694" w:type="dxa"/>
            <w:vAlign w:val="center"/>
          </w:tcPr>
          <w:p>
            <w:pPr>
              <w:autoSpaceDE w:val="0"/>
              <w:autoSpaceDN w:val="0"/>
              <w:adjustRightInd w:val="0"/>
              <w:spacing w:line="420" w:lineRule="exact"/>
              <w:rPr>
                <w:rFonts w:hAnsi="宋体" w:cs="仿宋_GB2312"/>
                <w:color w:val="000000"/>
                <w:sz w:val="24"/>
                <w:szCs w:val="24"/>
              </w:rPr>
            </w:pPr>
            <w:r>
              <w:rPr>
                <w:rFonts w:hint="eastAsia" w:hAnsi="宋体" w:cs="仿宋_GB2312"/>
                <w:color w:val="00000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053"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3.7.3</w:t>
            </w:r>
          </w:p>
        </w:tc>
        <w:tc>
          <w:tcPr>
            <w:tcW w:w="2058"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投标文件签字或盖章要求</w:t>
            </w:r>
          </w:p>
        </w:tc>
        <w:tc>
          <w:tcPr>
            <w:tcW w:w="6694" w:type="dxa"/>
          </w:tcPr>
          <w:p>
            <w:pPr>
              <w:pStyle w:val="6"/>
              <w:topLinePunct/>
              <w:spacing w:line="276" w:lineRule="auto"/>
              <w:rPr>
                <w:rFonts w:hAnsi="宋体" w:cs="宋体"/>
                <w:color w:val="000000"/>
                <w:sz w:val="24"/>
                <w:szCs w:val="24"/>
              </w:rPr>
            </w:pPr>
            <w:r>
              <w:rPr>
                <w:rFonts w:hint="eastAsia" w:hAnsi="宋体" w:cs="宋体"/>
                <w:color w:val="000000"/>
                <w:sz w:val="24"/>
                <w:szCs w:val="24"/>
              </w:rPr>
              <w:t>纸质投标文件：正本按招标文件要求签字盖章（无需逐页签字盖章），副本应与正本保持一致（可为正本的复印件）。正本与副本不一致的，以正本为准。</w:t>
            </w:r>
          </w:p>
          <w:p>
            <w:pPr>
              <w:spacing w:line="360" w:lineRule="exact"/>
              <w:rPr>
                <w:rFonts w:hAnsi="宋体"/>
                <w:color w:val="000000"/>
                <w:sz w:val="24"/>
                <w:szCs w:val="24"/>
              </w:rPr>
            </w:pPr>
            <w:r>
              <w:rPr>
                <w:rFonts w:hint="eastAsia" w:hAnsi="宋体" w:cs="宋体"/>
                <w:color w:val="000000"/>
                <w:sz w:val="24"/>
                <w:szCs w:val="24"/>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1053"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3.7.4</w:t>
            </w:r>
          </w:p>
        </w:tc>
        <w:tc>
          <w:tcPr>
            <w:tcW w:w="2058"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投标文件份数及其它要求</w:t>
            </w:r>
          </w:p>
        </w:tc>
        <w:tc>
          <w:tcPr>
            <w:tcW w:w="6694" w:type="dxa"/>
            <w:vAlign w:val="center"/>
          </w:tcPr>
          <w:p>
            <w:pPr>
              <w:adjustRightInd w:val="0"/>
              <w:snapToGrid w:val="0"/>
              <w:spacing w:line="276" w:lineRule="auto"/>
              <w:rPr>
                <w:rFonts w:hAnsi="宋体" w:cs="仿宋_GB2312"/>
                <w:b/>
                <w:sz w:val="24"/>
              </w:rPr>
            </w:pPr>
            <w:r>
              <w:rPr>
                <w:rFonts w:hint="eastAsia" w:hAnsi="宋体" w:cs="仿宋_GB2312"/>
                <w:b/>
                <w:sz w:val="24"/>
              </w:rPr>
              <w:t>1、电子投标文件</w:t>
            </w:r>
          </w:p>
          <w:p>
            <w:pPr>
              <w:adjustRightInd w:val="0"/>
              <w:snapToGrid w:val="0"/>
              <w:spacing w:line="276" w:lineRule="auto"/>
              <w:rPr>
                <w:rFonts w:hAnsi="宋体" w:cs="仿宋_GB2312"/>
                <w:b/>
                <w:sz w:val="24"/>
              </w:rPr>
            </w:pPr>
            <w:r>
              <w:rPr>
                <w:rFonts w:hint="eastAsia" w:hAnsi="宋体" w:cs="仿宋_GB2312"/>
                <w:b/>
                <w:sz w:val="24"/>
              </w:rPr>
              <w:t>（1）成功上传至【全国公共资源交易平台（河南省•许昌市）】公共资源交易系统电子投标文件1份（文件格式为：XX公司XXX项目编号.file）。</w:t>
            </w:r>
          </w:p>
          <w:p>
            <w:pPr>
              <w:adjustRightInd w:val="0"/>
              <w:snapToGrid w:val="0"/>
              <w:spacing w:line="276" w:lineRule="auto"/>
              <w:rPr>
                <w:rFonts w:hAnsi="宋体" w:cs="仿宋_GB2312"/>
                <w:b/>
                <w:sz w:val="24"/>
              </w:rPr>
            </w:pPr>
            <w:r>
              <w:rPr>
                <w:rFonts w:hint="eastAsia" w:hAnsi="宋体" w:cs="仿宋_GB2312"/>
                <w:b/>
                <w:sz w:val="24"/>
              </w:rPr>
              <w:t>（2）使用电子介质存储的投标文件1份文件格式为：xxx公司XXX（项目编号）.bin）。</w:t>
            </w:r>
          </w:p>
          <w:p>
            <w:pPr>
              <w:adjustRightInd w:val="0"/>
              <w:snapToGrid w:val="0"/>
              <w:spacing w:line="276" w:lineRule="auto"/>
              <w:rPr>
                <w:rFonts w:hAnsi="宋体" w:cs="仿宋_GB2312"/>
                <w:b/>
                <w:sz w:val="24"/>
              </w:rPr>
            </w:pPr>
            <w:r>
              <w:rPr>
                <w:rFonts w:hint="eastAsia" w:hAnsi="宋体" w:cs="仿宋_GB2312"/>
                <w:b/>
                <w:sz w:val="24"/>
              </w:rPr>
              <w:t>2、纸质投标文件</w:t>
            </w:r>
          </w:p>
          <w:p>
            <w:pPr>
              <w:adjustRightInd w:val="0"/>
              <w:snapToGrid w:val="0"/>
              <w:spacing w:line="276" w:lineRule="auto"/>
              <w:rPr>
                <w:rFonts w:hAnsi="宋体" w:cs="仿宋_GB2312"/>
                <w:b/>
                <w:sz w:val="24"/>
              </w:rPr>
            </w:pPr>
            <w:r>
              <w:rPr>
                <w:rFonts w:hint="eastAsia" w:hAnsi="宋体" w:cs="仿宋_GB2312"/>
                <w:b/>
                <w:sz w:val="24"/>
              </w:rPr>
              <w:t>商务标：正本1份，副本1份；</w:t>
            </w:r>
          </w:p>
          <w:p>
            <w:pPr>
              <w:adjustRightInd w:val="0"/>
              <w:snapToGrid w:val="0"/>
              <w:spacing w:line="276" w:lineRule="auto"/>
              <w:rPr>
                <w:rFonts w:hAnsi="宋体" w:cs="仿宋_GB2312"/>
                <w:b/>
                <w:sz w:val="24"/>
              </w:rPr>
            </w:pPr>
            <w:r>
              <w:rPr>
                <w:rFonts w:hint="eastAsia" w:hAnsi="宋体" w:cs="仿宋_GB2312"/>
                <w:b/>
                <w:sz w:val="24"/>
              </w:rPr>
              <w:t xml:space="preserve">综合标：正本1份，副本1份； </w:t>
            </w:r>
          </w:p>
          <w:p>
            <w:pPr>
              <w:adjustRightInd w:val="0"/>
              <w:snapToGrid w:val="0"/>
              <w:spacing w:line="276" w:lineRule="auto"/>
              <w:rPr>
                <w:rFonts w:hAnsi="宋体" w:cs="仿宋_GB2312"/>
                <w:b/>
                <w:sz w:val="24"/>
              </w:rPr>
            </w:pPr>
            <w:r>
              <w:rPr>
                <w:rFonts w:hint="eastAsia" w:hAnsi="宋体" w:cs="仿宋_GB2312"/>
                <w:b/>
                <w:sz w:val="24"/>
              </w:rPr>
              <w:t>技术标：正本1份，副本1份。</w:t>
            </w:r>
          </w:p>
          <w:p>
            <w:pPr>
              <w:adjustRightInd w:val="0"/>
              <w:snapToGrid w:val="0"/>
              <w:spacing w:line="276" w:lineRule="auto"/>
              <w:rPr>
                <w:rFonts w:hAnsi="宋体" w:cs="仿宋_GB2312"/>
                <w:b/>
                <w:sz w:val="24"/>
              </w:rPr>
            </w:pPr>
            <w:r>
              <w:rPr>
                <w:rFonts w:hint="eastAsia" w:hAnsi="宋体" w:cs="仿宋_GB2312"/>
                <w:b/>
                <w:sz w:val="24"/>
              </w:rPr>
              <w:t>3、电子投标文件和纸质投标文件的内容、格式、水印码、电子签章应一致。</w:t>
            </w:r>
          </w:p>
          <w:p>
            <w:pPr>
              <w:rPr>
                <w:rFonts w:hAnsi="宋体"/>
                <w:sz w:val="24"/>
                <w:szCs w:val="24"/>
              </w:rPr>
            </w:pPr>
            <w:r>
              <w:rPr>
                <w:rFonts w:hint="eastAsia" w:hAnsi="宋体" w:cs="仿宋_GB2312"/>
                <w:b/>
                <w:sz w:val="24"/>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3"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3.7.5</w:t>
            </w:r>
          </w:p>
        </w:tc>
        <w:tc>
          <w:tcPr>
            <w:tcW w:w="2058"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装订要求</w:t>
            </w:r>
          </w:p>
        </w:tc>
        <w:tc>
          <w:tcPr>
            <w:tcW w:w="6694" w:type="dxa"/>
            <w:vAlign w:val="center"/>
          </w:tcPr>
          <w:p>
            <w:pPr>
              <w:spacing w:line="288" w:lineRule="auto"/>
              <w:rPr>
                <w:rFonts w:hAnsi="宋体"/>
                <w:color w:val="000000"/>
                <w:sz w:val="24"/>
                <w:szCs w:val="24"/>
              </w:rPr>
            </w:pPr>
            <w:r>
              <w:rPr>
                <w:rFonts w:hint="eastAsia" w:hAnsi="宋体" w:cs="仿宋_GB2312"/>
                <w:color w:val="000000"/>
                <w:sz w:val="24"/>
                <w:szCs w:val="24"/>
              </w:rPr>
              <w:t>正、副本分开装订。采用胶装方式装订，装订应牢固、不易拆散和换页，不得采用活页装订。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053"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4.1.2</w:t>
            </w:r>
          </w:p>
        </w:tc>
        <w:tc>
          <w:tcPr>
            <w:tcW w:w="2058"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封套上写明</w:t>
            </w:r>
          </w:p>
        </w:tc>
        <w:tc>
          <w:tcPr>
            <w:tcW w:w="6694" w:type="dxa"/>
          </w:tcPr>
          <w:p>
            <w:pPr>
              <w:autoSpaceDE w:val="0"/>
              <w:autoSpaceDN w:val="0"/>
              <w:adjustRightInd w:val="0"/>
              <w:spacing w:line="340" w:lineRule="exact"/>
              <w:rPr>
                <w:rFonts w:hAnsi="宋体"/>
                <w:color w:val="000000"/>
                <w:sz w:val="24"/>
                <w:szCs w:val="24"/>
              </w:rPr>
            </w:pPr>
            <w:r>
              <w:rPr>
                <w:rFonts w:hint="eastAsia" w:hAnsi="宋体"/>
                <w:color w:val="000000"/>
                <w:sz w:val="24"/>
                <w:szCs w:val="24"/>
              </w:rPr>
              <w:t>招标人名称：</w:t>
            </w:r>
          </w:p>
          <w:p>
            <w:pPr>
              <w:autoSpaceDE w:val="0"/>
              <w:autoSpaceDN w:val="0"/>
              <w:adjustRightInd w:val="0"/>
              <w:spacing w:line="340" w:lineRule="exact"/>
              <w:rPr>
                <w:rFonts w:hAnsi="宋体"/>
                <w:color w:val="000000"/>
                <w:sz w:val="24"/>
                <w:szCs w:val="24"/>
              </w:rPr>
            </w:pPr>
            <w:r>
              <w:rPr>
                <w:rFonts w:hint="eastAsia" w:hAnsi="宋体"/>
                <w:color w:val="000000"/>
                <w:sz w:val="24"/>
                <w:szCs w:val="24"/>
              </w:rPr>
              <w:t>项目名称：</w:t>
            </w:r>
            <w:r>
              <w:rPr>
                <w:rFonts w:hint="eastAsia" w:hAnsi="宋体" w:cs="仿宋_GB2312"/>
                <w:color w:val="000000"/>
                <w:sz w:val="24"/>
                <w:szCs w:val="24"/>
                <w:u w:val="single"/>
              </w:rPr>
              <w:t xml:space="preserve">（项目名称及标段）  </w:t>
            </w:r>
          </w:p>
          <w:p>
            <w:pPr>
              <w:autoSpaceDE w:val="0"/>
              <w:autoSpaceDN w:val="0"/>
              <w:adjustRightInd w:val="0"/>
              <w:spacing w:line="340" w:lineRule="exact"/>
              <w:rPr>
                <w:rFonts w:hAnsi="宋体"/>
                <w:color w:val="000000"/>
                <w:sz w:val="24"/>
                <w:szCs w:val="24"/>
                <w:u w:val="single"/>
              </w:rPr>
            </w:pPr>
            <w:r>
              <w:rPr>
                <w:rFonts w:hint="eastAsia" w:hAnsi="宋体"/>
                <w:color w:val="000000"/>
                <w:sz w:val="24"/>
                <w:szCs w:val="24"/>
              </w:rPr>
              <w:t>投标单位名称：（加盖投标人公章）</w:t>
            </w:r>
          </w:p>
          <w:p>
            <w:pPr>
              <w:autoSpaceDE w:val="0"/>
              <w:autoSpaceDN w:val="0"/>
              <w:adjustRightInd w:val="0"/>
              <w:spacing w:line="340" w:lineRule="exact"/>
              <w:rPr>
                <w:rFonts w:hAnsi="宋体"/>
                <w:color w:val="000000"/>
                <w:sz w:val="24"/>
                <w:szCs w:val="24"/>
              </w:rPr>
            </w:pPr>
            <w:r>
              <w:rPr>
                <w:rFonts w:hint="eastAsia" w:hAnsi="宋体"/>
                <w:color w:val="000000"/>
                <w:sz w:val="24"/>
                <w:szCs w:val="24"/>
              </w:rPr>
              <w:t>在</w:t>
            </w:r>
            <w:r>
              <w:rPr>
                <w:rFonts w:hint="eastAsia" w:hAnsi="宋体"/>
                <w:sz w:val="24"/>
                <w:szCs w:val="24"/>
              </w:rPr>
              <w:t>年月日时分前</w:t>
            </w:r>
            <w:r>
              <w:rPr>
                <w:rFonts w:hint="eastAsia" w:hAnsi="宋体"/>
                <w:color w:val="000000"/>
                <w:sz w:val="24"/>
                <w:szCs w:val="24"/>
              </w:rPr>
              <w:t>不得开启，不得邮寄。</w:t>
            </w:r>
          </w:p>
          <w:p>
            <w:pPr>
              <w:autoSpaceDE w:val="0"/>
              <w:autoSpaceDN w:val="0"/>
              <w:adjustRightInd w:val="0"/>
              <w:spacing w:line="360" w:lineRule="exact"/>
              <w:jc w:val="left"/>
              <w:rPr>
                <w:rFonts w:hAnsi="宋体" w:cs="黑体"/>
                <w:color w:val="000000"/>
                <w:sz w:val="24"/>
                <w:szCs w:val="24"/>
              </w:rPr>
            </w:pPr>
            <w:r>
              <w:rPr>
                <w:rFonts w:hint="eastAsia" w:hAnsi="宋体"/>
                <w:color w:val="000000"/>
                <w:sz w:val="24"/>
                <w:szCs w:val="24"/>
              </w:rPr>
              <w:t>（投标文件包封开口处应以密封条密封，并加盖骑缝章。）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053"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4.2.2</w:t>
            </w:r>
          </w:p>
        </w:tc>
        <w:tc>
          <w:tcPr>
            <w:tcW w:w="2058"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递交投标文件地点</w:t>
            </w:r>
          </w:p>
        </w:tc>
        <w:tc>
          <w:tcPr>
            <w:tcW w:w="6694" w:type="dxa"/>
            <w:vAlign w:val="center"/>
          </w:tcPr>
          <w:p>
            <w:pPr>
              <w:ind w:left="480" w:hanging="480" w:hangingChars="200"/>
              <w:rPr>
                <w:rFonts w:hAnsi="宋体"/>
                <w:color w:val="FF0000"/>
                <w:sz w:val="24"/>
                <w:szCs w:val="24"/>
              </w:rPr>
            </w:pPr>
            <w:r>
              <w:rPr>
                <w:rFonts w:hint="eastAsia" w:hAnsi="宋体"/>
                <w:color w:val="FF0000"/>
                <w:sz w:val="24"/>
                <w:szCs w:val="24"/>
              </w:rPr>
              <w:t>长葛市公共资源交易中心</w:t>
            </w:r>
          </w:p>
          <w:p>
            <w:pPr>
              <w:autoSpaceDE w:val="0"/>
              <w:autoSpaceDN w:val="0"/>
              <w:adjustRightInd w:val="0"/>
              <w:spacing w:line="420" w:lineRule="exact"/>
              <w:rPr>
                <w:rFonts w:hAnsi="宋体"/>
                <w:sz w:val="24"/>
                <w:szCs w:val="24"/>
              </w:rPr>
            </w:pPr>
            <w:r>
              <w:rPr>
                <w:rFonts w:hint="eastAsia" w:hAnsi="宋体"/>
                <w:color w:val="FF0000"/>
                <w:sz w:val="24"/>
                <w:szCs w:val="24"/>
              </w:rPr>
              <w:t xml:space="preserve">（长葛市葛天大道东段商务区 6 号楼 </w:t>
            </w:r>
            <w:r>
              <w:rPr>
                <w:rFonts w:hint="eastAsia" w:hAnsi="宋体"/>
                <w:color w:val="FF0000"/>
                <w:sz w:val="24"/>
                <w:szCs w:val="24"/>
                <w:lang w:val="en-US" w:eastAsia="zh-CN"/>
              </w:rPr>
              <w:t>5</w:t>
            </w:r>
            <w:r>
              <w:rPr>
                <w:rFonts w:hint="eastAsia" w:hAnsi="宋体"/>
                <w:color w:val="FF0000"/>
                <w:sz w:val="24"/>
                <w:szCs w:val="24"/>
              </w:rPr>
              <w:t xml:space="preserve"> 楼开标</w:t>
            </w:r>
            <w:r>
              <w:rPr>
                <w:rFonts w:hint="eastAsia" w:hAnsi="宋体"/>
                <w:color w:val="FF0000"/>
                <w:sz w:val="24"/>
                <w:szCs w:val="24"/>
                <w:lang w:eastAsia="zh-CN"/>
              </w:rPr>
              <w:t>一</w:t>
            </w:r>
            <w:r>
              <w:rPr>
                <w:rFonts w:hint="eastAsia" w:hAnsi="宋体"/>
                <w:color w:val="FF0000"/>
                <w:sz w:val="24"/>
                <w:szCs w:val="24"/>
              </w:rPr>
              <w:t>室）</w:t>
            </w:r>
            <w:r>
              <w:rPr>
                <w:rFonts w:hint="eastAsia"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53"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4.2.3</w:t>
            </w:r>
          </w:p>
        </w:tc>
        <w:tc>
          <w:tcPr>
            <w:tcW w:w="2058"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是否退还投标文件</w:t>
            </w:r>
          </w:p>
        </w:tc>
        <w:tc>
          <w:tcPr>
            <w:tcW w:w="6694" w:type="dxa"/>
            <w:vAlign w:val="center"/>
          </w:tcPr>
          <w:p>
            <w:pPr>
              <w:autoSpaceDE w:val="0"/>
              <w:autoSpaceDN w:val="0"/>
              <w:adjustRightInd w:val="0"/>
              <w:spacing w:line="420" w:lineRule="exact"/>
              <w:jc w:val="left"/>
              <w:rPr>
                <w:rFonts w:hAnsi="宋体"/>
                <w:sz w:val="24"/>
                <w:szCs w:val="24"/>
              </w:rPr>
            </w:pPr>
            <w:r>
              <w:rPr>
                <w:rFonts w:hint="eastAsia" w:hAnsi="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053"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5.1</w:t>
            </w:r>
          </w:p>
        </w:tc>
        <w:tc>
          <w:tcPr>
            <w:tcW w:w="2058"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开标时间和地点</w:t>
            </w:r>
          </w:p>
        </w:tc>
        <w:tc>
          <w:tcPr>
            <w:tcW w:w="6694" w:type="dxa"/>
          </w:tcPr>
          <w:p>
            <w:pPr>
              <w:textAlignment w:val="center"/>
              <w:rPr>
                <w:rFonts w:hAnsi="宋体"/>
                <w:color w:val="FF0000"/>
                <w:sz w:val="24"/>
                <w:szCs w:val="24"/>
              </w:rPr>
            </w:pPr>
            <w:r>
              <w:rPr>
                <w:rFonts w:hint="eastAsia" w:hAnsi="宋体"/>
                <w:color w:val="FF0000"/>
                <w:sz w:val="24"/>
                <w:szCs w:val="24"/>
              </w:rPr>
              <w:t>开标时间：同投标截止时间</w:t>
            </w:r>
          </w:p>
          <w:p>
            <w:pPr>
              <w:ind w:left="480" w:hanging="480" w:hangingChars="200"/>
              <w:rPr>
                <w:rFonts w:hAnsi="宋体"/>
                <w:color w:val="FF0000"/>
                <w:sz w:val="24"/>
                <w:szCs w:val="24"/>
              </w:rPr>
            </w:pPr>
            <w:r>
              <w:rPr>
                <w:rFonts w:hint="eastAsia" w:hAnsi="宋体"/>
                <w:color w:val="FF0000"/>
                <w:sz w:val="24"/>
                <w:szCs w:val="24"/>
              </w:rPr>
              <w:t>长葛市公共资源交易中心</w:t>
            </w:r>
          </w:p>
          <w:p>
            <w:pPr>
              <w:autoSpaceDE w:val="0"/>
              <w:autoSpaceDN w:val="0"/>
              <w:adjustRightInd w:val="0"/>
              <w:spacing w:line="420" w:lineRule="exact"/>
              <w:jc w:val="left"/>
              <w:rPr>
                <w:rFonts w:hAnsi="宋体"/>
                <w:sz w:val="24"/>
                <w:szCs w:val="24"/>
              </w:rPr>
            </w:pPr>
            <w:r>
              <w:rPr>
                <w:rFonts w:hint="eastAsia" w:hAnsi="宋体"/>
                <w:color w:val="FF0000"/>
                <w:sz w:val="24"/>
                <w:szCs w:val="24"/>
              </w:rPr>
              <w:t xml:space="preserve">（长葛市葛天大道东段商务区6号楼 </w:t>
            </w:r>
            <w:r>
              <w:rPr>
                <w:rFonts w:hint="eastAsia" w:hAnsi="宋体"/>
                <w:color w:val="FF0000"/>
                <w:sz w:val="24"/>
                <w:szCs w:val="24"/>
                <w:lang w:val="en-US" w:eastAsia="zh-CN"/>
              </w:rPr>
              <w:t>5</w:t>
            </w:r>
            <w:r>
              <w:rPr>
                <w:rFonts w:hint="eastAsia" w:hAnsi="宋体"/>
                <w:color w:val="FF0000"/>
                <w:sz w:val="24"/>
                <w:szCs w:val="24"/>
              </w:rPr>
              <w:t xml:space="preserve"> 楼开标 </w:t>
            </w:r>
            <w:r>
              <w:rPr>
                <w:rFonts w:hint="eastAsia" w:hAnsi="宋体"/>
                <w:color w:val="FF0000"/>
                <w:sz w:val="24"/>
                <w:szCs w:val="24"/>
                <w:lang w:eastAsia="zh-CN"/>
              </w:rPr>
              <w:t>一</w:t>
            </w:r>
            <w:r>
              <w:rPr>
                <w:rFonts w:hint="eastAsia" w:hAnsi="宋体"/>
                <w:color w:val="FF0000"/>
                <w:sz w:val="24"/>
                <w:szCs w:val="24"/>
              </w:rPr>
              <w:t>室）</w:t>
            </w:r>
            <w:r>
              <w:rPr>
                <w:rFonts w:hint="eastAsia"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53"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 xml:space="preserve">5.2 </w:t>
            </w:r>
          </w:p>
        </w:tc>
        <w:tc>
          <w:tcPr>
            <w:tcW w:w="2058"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开标程序</w:t>
            </w:r>
          </w:p>
        </w:tc>
        <w:tc>
          <w:tcPr>
            <w:tcW w:w="6694" w:type="dxa"/>
            <w:vAlign w:val="center"/>
          </w:tcPr>
          <w:p>
            <w:pPr>
              <w:spacing w:line="300" w:lineRule="auto"/>
              <w:rPr>
                <w:rFonts w:hAnsi="宋体" w:cs="宋体"/>
                <w:sz w:val="24"/>
              </w:rPr>
            </w:pPr>
            <w:r>
              <w:rPr>
                <w:rFonts w:hint="eastAsia" w:hAnsi="宋体" w:cs="宋体"/>
                <w:sz w:val="24"/>
              </w:rPr>
              <w:t>密封情况检查：由投标人代表检查其投标文件是否密封完好。</w:t>
            </w:r>
          </w:p>
          <w:p>
            <w:pPr>
              <w:autoSpaceDE w:val="0"/>
              <w:autoSpaceDN w:val="0"/>
              <w:adjustRightInd w:val="0"/>
              <w:spacing w:line="420" w:lineRule="exact"/>
              <w:rPr>
                <w:rFonts w:hAnsi="宋体" w:cs="仿宋_GB2312"/>
                <w:color w:val="000000"/>
                <w:sz w:val="24"/>
                <w:szCs w:val="24"/>
              </w:rPr>
            </w:pPr>
            <w:r>
              <w:rPr>
                <w:rFonts w:hint="eastAsia" w:hAnsi="宋体" w:cs="宋体"/>
                <w:sz w:val="24"/>
              </w:rPr>
              <w:t>开标顺序：按送达投标文件顺序的逆顺序开标。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053"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 xml:space="preserve">6.1.1 </w:t>
            </w:r>
          </w:p>
        </w:tc>
        <w:tc>
          <w:tcPr>
            <w:tcW w:w="2058"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评标委员会的组建</w:t>
            </w:r>
          </w:p>
        </w:tc>
        <w:tc>
          <w:tcPr>
            <w:tcW w:w="6694" w:type="dxa"/>
            <w:vAlign w:val="center"/>
          </w:tcPr>
          <w:p>
            <w:pPr>
              <w:autoSpaceDE w:val="0"/>
              <w:autoSpaceDN w:val="0"/>
              <w:adjustRightInd w:val="0"/>
              <w:spacing w:line="420" w:lineRule="exact"/>
              <w:jc w:val="left"/>
              <w:rPr>
                <w:rFonts w:hAnsi="宋体" w:cs="仿宋_GB2312"/>
                <w:color w:val="000000"/>
                <w:sz w:val="24"/>
                <w:szCs w:val="24"/>
              </w:rPr>
            </w:pPr>
            <w:r>
              <w:rPr>
                <w:rFonts w:hint="eastAsia" w:hAnsi="宋体"/>
                <w:sz w:val="24"/>
                <w:szCs w:val="24"/>
              </w:rPr>
              <w:t>评标委员会构成：7人，其中招标人代表2人，其余5人由经济、技术类专家组成，具有注册造价工程师资格的评委应不少于2人，开标前从河南省综合评标专家库中抽取，评标委员会主任通过现场随机抽取方式确立（其中招标人代表不能作为评标委员会主任），与投标人有利害关系的人不得进入评标委员会。</w:t>
            </w:r>
            <w:r>
              <w:rPr>
                <w:rFonts w:hint="eastAsia" w:hAnsi="宋体"/>
                <w:b/>
                <w:bCs/>
                <w:sz w:val="24"/>
                <w:szCs w:val="24"/>
              </w:rPr>
              <w:t>注：评标（评审）委员会成员在评标（评审）过程中有不良行为的，按《许昌市公共资源交易当事人不良行为管理暂行办法》记录其不良行为6—18个月；情节严重的，由主管部门取消评标（评审）专家资格。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053"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7.1</w:t>
            </w:r>
          </w:p>
        </w:tc>
        <w:tc>
          <w:tcPr>
            <w:tcW w:w="2058"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是否授权评标委员会确定中标人</w:t>
            </w:r>
          </w:p>
        </w:tc>
        <w:tc>
          <w:tcPr>
            <w:tcW w:w="6694" w:type="dxa"/>
            <w:vAlign w:val="center"/>
          </w:tcPr>
          <w:p>
            <w:pPr>
              <w:autoSpaceDE w:val="0"/>
              <w:autoSpaceDN w:val="0"/>
              <w:adjustRightInd w:val="0"/>
              <w:spacing w:line="420" w:lineRule="exact"/>
              <w:rPr>
                <w:rFonts w:hAnsi="宋体" w:cs="黑体"/>
                <w:color w:val="000000"/>
                <w:sz w:val="24"/>
                <w:szCs w:val="24"/>
              </w:rPr>
            </w:pPr>
            <w:r>
              <w:rPr>
                <w:rFonts w:hint="eastAsia" w:hAnsi="宋体" w:cs="仿宋_GB2312"/>
                <w:color w:val="000000"/>
                <w:sz w:val="24"/>
                <w:szCs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9805" w:type="dxa"/>
            <w:gridSpan w:val="5"/>
            <w:vAlign w:val="center"/>
          </w:tcPr>
          <w:p>
            <w:pPr>
              <w:autoSpaceDE w:val="0"/>
              <w:autoSpaceDN w:val="0"/>
              <w:adjustRightInd w:val="0"/>
              <w:spacing w:line="420" w:lineRule="exact"/>
              <w:jc w:val="left"/>
              <w:rPr>
                <w:rFonts w:hAnsi="宋体" w:cs="仿宋_GB2312"/>
                <w:color w:val="000000"/>
                <w:sz w:val="24"/>
                <w:szCs w:val="24"/>
              </w:rPr>
            </w:pPr>
            <w:r>
              <w:rPr>
                <w:rFonts w:hint="eastAsia" w:hAnsi="宋体" w:cs="TimesNewRomanPSMT"/>
                <w:color w:val="000000"/>
                <w:sz w:val="24"/>
                <w:szCs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9805" w:type="dxa"/>
            <w:gridSpan w:val="5"/>
            <w:vAlign w:val="center"/>
          </w:tcPr>
          <w:p>
            <w:pPr>
              <w:autoSpaceDE w:val="0"/>
              <w:autoSpaceDN w:val="0"/>
              <w:adjustRightInd w:val="0"/>
              <w:spacing w:line="360" w:lineRule="exact"/>
              <w:jc w:val="left"/>
              <w:rPr>
                <w:rFonts w:hAnsi="宋体" w:cs="TimesNewRomanPSMT"/>
                <w:color w:val="000000"/>
                <w:sz w:val="24"/>
                <w:szCs w:val="24"/>
              </w:rPr>
            </w:pPr>
            <w:r>
              <w:rPr>
                <w:rFonts w:hint="eastAsia" w:hAnsi="宋体" w:cs="TimesNewRomanPSMT"/>
                <w:color w:val="000000"/>
                <w:sz w:val="24"/>
                <w:szCs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053" w:type="dxa"/>
            <w:vAlign w:val="center"/>
          </w:tcPr>
          <w:p>
            <w:pPr>
              <w:autoSpaceDE w:val="0"/>
              <w:autoSpaceDN w:val="0"/>
              <w:adjustRightInd w:val="0"/>
              <w:spacing w:line="360" w:lineRule="exact"/>
              <w:jc w:val="center"/>
              <w:rPr>
                <w:rFonts w:hAnsi="宋体" w:cs="TimesNewRomanPSMT"/>
                <w:color w:val="FF0000"/>
                <w:sz w:val="24"/>
                <w:szCs w:val="24"/>
              </w:rPr>
            </w:pPr>
            <w:r>
              <w:rPr>
                <w:rFonts w:hint="eastAsia" w:hAnsi="宋体" w:cs="TimesNewRomanPSMT"/>
                <w:color w:val="FF0000"/>
                <w:sz w:val="24"/>
                <w:szCs w:val="24"/>
              </w:rPr>
              <w:t>10.1.1</w:t>
            </w:r>
          </w:p>
        </w:tc>
        <w:tc>
          <w:tcPr>
            <w:tcW w:w="2058" w:type="dxa"/>
            <w:gridSpan w:val="3"/>
            <w:vAlign w:val="center"/>
          </w:tcPr>
          <w:p>
            <w:pPr>
              <w:autoSpaceDE w:val="0"/>
              <w:autoSpaceDN w:val="0"/>
              <w:adjustRightInd w:val="0"/>
              <w:spacing w:line="360" w:lineRule="exact"/>
              <w:jc w:val="left"/>
              <w:rPr>
                <w:rFonts w:hAnsi="宋体" w:cs="TimesNewRomanPSMT"/>
                <w:color w:val="FF0000"/>
                <w:sz w:val="24"/>
                <w:szCs w:val="24"/>
              </w:rPr>
            </w:pPr>
            <w:r>
              <w:rPr>
                <w:rFonts w:hint="eastAsia" w:hAnsi="宋体" w:cs="TimesNewRomanPSMT"/>
                <w:color w:val="FF0000"/>
                <w:sz w:val="24"/>
                <w:szCs w:val="24"/>
              </w:rPr>
              <w:t>类似项目</w:t>
            </w:r>
          </w:p>
        </w:tc>
        <w:tc>
          <w:tcPr>
            <w:tcW w:w="6694" w:type="dxa"/>
            <w:vAlign w:val="center"/>
          </w:tcPr>
          <w:p>
            <w:pPr>
              <w:widowControl/>
              <w:spacing w:line="400" w:lineRule="exact"/>
              <w:jc w:val="left"/>
              <w:rPr>
                <w:rFonts w:hAnsi="宋体"/>
                <w:color w:val="FF0000"/>
                <w:sz w:val="24"/>
                <w:szCs w:val="24"/>
              </w:rPr>
            </w:pPr>
            <w:r>
              <w:rPr>
                <w:rFonts w:hint="eastAsia" w:hAnsi="宋体"/>
                <w:color w:val="FF0000"/>
                <w:sz w:val="24"/>
                <w:szCs w:val="24"/>
              </w:rPr>
              <w:t>指2016年1月1日以来承接的绿化工程项目。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053" w:type="dxa"/>
            <w:vAlign w:val="center"/>
          </w:tcPr>
          <w:p>
            <w:pPr>
              <w:autoSpaceDE w:val="0"/>
              <w:autoSpaceDN w:val="0"/>
              <w:adjustRightInd w:val="0"/>
              <w:spacing w:line="360" w:lineRule="exact"/>
              <w:jc w:val="center"/>
              <w:rPr>
                <w:rFonts w:hAnsi="宋体" w:cs="TimesNewRomanPSMT"/>
                <w:color w:val="FF0000"/>
                <w:sz w:val="24"/>
                <w:szCs w:val="24"/>
              </w:rPr>
            </w:pPr>
            <w:r>
              <w:rPr>
                <w:rFonts w:hint="eastAsia" w:hAnsi="宋体" w:cs="TimesNewRomanPSMT"/>
                <w:color w:val="FF0000"/>
                <w:sz w:val="24"/>
                <w:szCs w:val="24"/>
              </w:rPr>
              <w:t>10.1.2</w:t>
            </w:r>
          </w:p>
        </w:tc>
        <w:tc>
          <w:tcPr>
            <w:tcW w:w="2058" w:type="dxa"/>
            <w:gridSpan w:val="3"/>
            <w:vAlign w:val="center"/>
          </w:tcPr>
          <w:p>
            <w:pPr>
              <w:autoSpaceDE w:val="0"/>
              <w:autoSpaceDN w:val="0"/>
              <w:adjustRightInd w:val="0"/>
              <w:spacing w:line="360" w:lineRule="exact"/>
              <w:jc w:val="left"/>
              <w:rPr>
                <w:rFonts w:hAnsi="宋体" w:cs="TimesNewRomanPSMT"/>
                <w:color w:val="FF0000"/>
                <w:sz w:val="24"/>
                <w:szCs w:val="24"/>
              </w:rPr>
            </w:pPr>
            <w:r>
              <w:rPr>
                <w:rFonts w:hint="eastAsia" w:hAnsi="宋体" w:cs="TimesNewRomanPSMT"/>
                <w:color w:val="FF0000"/>
                <w:sz w:val="24"/>
                <w:szCs w:val="24"/>
              </w:rPr>
              <w:t>不良行为记录</w:t>
            </w:r>
          </w:p>
        </w:tc>
        <w:tc>
          <w:tcPr>
            <w:tcW w:w="6694" w:type="dxa"/>
            <w:vAlign w:val="center"/>
          </w:tcPr>
          <w:p>
            <w:pPr>
              <w:widowControl/>
              <w:spacing w:line="400" w:lineRule="exact"/>
              <w:jc w:val="left"/>
              <w:rPr>
                <w:rFonts w:hAnsi="宋体"/>
                <w:color w:val="FF0000"/>
                <w:sz w:val="24"/>
                <w:szCs w:val="24"/>
              </w:rPr>
            </w:pPr>
            <w:r>
              <w:rPr>
                <w:rFonts w:hint="eastAsia" w:hAnsi="宋体"/>
                <w:sz w:val="24"/>
                <w:szCs w:val="24"/>
              </w:rPr>
              <w:t>投标人因质量、安全事故、拖欠农民工工资及招标投标中出具虚假资料等受到县级以上建设行政主管部门或招投标监督部门查实和行政处罚，形成的不良记录。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805" w:type="dxa"/>
            <w:gridSpan w:val="5"/>
            <w:vAlign w:val="center"/>
          </w:tcPr>
          <w:p>
            <w:pPr>
              <w:spacing w:line="360" w:lineRule="exact"/>
              <w:rPr>
                <w:rFonts w:hAnsi="宋体"/>
                <w:color w:val="000000"/>
                <w:sz w:val="24"/>
                <w:szCs w:val="24"/>
              </w:rPr>
            </w:pPr>
            <w:r>
              <w:rPr>
                <w:rFonts w:hint="eastAsia" w:hAnsi="宋体"/>
                <w:color w:val="000000"/>
                <w:sz w:val="24"/>
                <w:szCs w:val="24"/>
              </w:rPr>
              <w:t>10.2投标人代表出席开标会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053" w:type="dxa"/>
            <w:vAlign w:val="center"/>
          </w:tcPr>
          <w:p>
            <w:pPr>
              <w:autoSpaceDE w:val="0"/>
              <w:autoSpaceDN w:val="0"/>
              <w:adjustRightInd w:val="0"/>
              <w:spacing w:line="360" w:lineRule="exact"/>
              <w:jc w:val="left"/>
              <w:rPr>
                <w:rFonts w:hAnsi="宋体" w:cs="TimesNewRomanPSMT"/>
                <w:color w:val="000000"/>
                <w:sz w:val="24"/>
                <w:szCs w:val="24"/>
              </w:rPr>
            </w:pPr>
          </w:p>
        </w:tc>
        <w:tc>
          <w:tcPr>
            <w:tcW w:w="8752" w:type="dxa"/>
            <w:gridSpan w:val="4"/>
            <w:vAlign w:val="center"/>
          </w:tcPr>
          <w:p>
            <w:pPr>
              <w:spacing w:line="276" w:lineRule="auto"/>
              <w:ind w:firstLine="480" w:firstLineChars="200"/>
              <w:rPr>
                <w:rFonts w:hAnsi="宋体" w:cs="宋体"/>
                <w:sz w:val="24"/>
              </w:rPr>
            </w:pPr>
            <w:r>
              <w:rPr>
                <w:rFonts w:hint="eastAsia" w:hAnsi="宋体" w:cs="宋体"/>
                <w:sz w:val="24"/>
              </w:rPr>
              <w:t>投标人法定代表人应持法人代表证明和有效身份证参加开标会议；委托他人参加的，须持有效委托书原件和有效的本企业职工身份证明，委托书应当载明委托事项权限及有效期等主要内容。</w:t>
            </w:r>
          </w:p>
          <w:p>
            <w:pPr>
              <w:spacing w:line="360" w:lineRule="exact"/>
              <w:ind w:firstLine="480" w:firstLineChars="200"/>
              <w:rPr>
                <w:rFonts w:hAnsi="宋体" w:cs="仿宋_GB2312"/>
                <w:color w:val="000000"/>
                <w:sz w:val="24"/>
                <w:szCs w:val="24"/>
              </w:rPr>
            </w:pPr>
            <w:r>
              <w:rPr>
                <w:rFonts w:hint="eastAsia" w:hAnsi="宋体" w:cs="宋体"/>
                <w:sz w:val="24"/>
              </w:rPr>
              <w:t>法定代表人（或授权代表）不按规定参加开标会议的，视为放弃投标。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805" w:type="dxa"/>
            <w:gridSpan w:val="5"/>
            <w:vAlign w:val="center"/>
          </w:tcPr>
          <w:p>
            <w:pPr>
              <w:spacing w:line="360" w:lineRule="exact"/>
              <w:rPr>
                <w:rFonts w:hAnsi="宋体" w:cs="宋体"/>
                <w:sz w:val="24"/>
              </w:rPr>
            </w:pPr>
            <w:r>
              <w:rPr>
                <w:rFonts w:hint="eastAsia" w:hAnsi="宋体" w:cs="TimesNewRomanPSMT"/>
                <w:color w:val="000000"/>
                <w:sz w:val="24"/>
                <w:szCs w:val="24"/>
              </w:rPr>
              <w:t>10.3</w:t>
            </w:r>
            <w:r>
              <w:rPr>
                <w:rFonts w:hint="eastAsia"/>
                <w:sz w:val="24"/>
                <w:szCs w:val="24"/>
              </w:rPr>
              <w:t>授权函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053" w:type="dxa"/>
            <w:vAlign w:val="center"/>
          </w:tcPr>
          <w:p>
            <w:pPr>
              <w:autoSpaceDE w:val="0"/>
              <w:autoSpaceDN w:val="0"/>
              <w:adjustRightInd w:val="0"/>
              <w:spacing w:line="360" w:lineRule="exact"/>
              <w:jc w:val="left"/>
              <w:rPr>
                <w:rFonts w:hAnsi="宋体" w:cs="TimesNewRomanPSMT"/>
                <w:color w:val="000000"/>
                <w:sz w:val="24"/>
                <w:szCs w:val="24"/>
              </w:rPr>
            </w:pPr>
          </w:p>
        </w:tc>
        <w:tc>
          <w:tcPr>
            <w:tcW w:w="8752" w:type="dxa"/>
            <w:gridSpan w:val="4"/>
            <w:vAlign w:val="center"/>
          </w:tcPr>
          <w:p>
            <w:pPr>
              <w:spacing w:line="276" w:lineRule="auto"/>
              <w:ind w:firstLine="480" w:firstLineChars="200"/>
              <w:rPr>
                <w:rFonts w:hAnsi="宋体" w:cs="宋体"/>
                <w:sz w:val="24"/>
              </w:rPr>
            </w:pPr>
            <w:r>
              <w:rPr>
                <w:rFonts w:hint="eastAsia" w:hAnsi="宋体" w:cs="宋体"/>
                <w:sz w:val="24"/>
              </w:rPr>
              <w:t>招标人单位委派代表参加开标会议，或者作为招标人代表进入评标委员会的，须向招标代理机构出具由招标人法定代表人签字并加盖单位公章的有明确授权事项的授权函。</w:t>
            </w:r>
          </w:p>
          <w:p>
            <w:pPr>
              <w:spacing w:line="276" w:lineRule="auto"/>
              <w:ind w:firstLine="480" w:firstLineChars="200"/>
              <w:rPr>
                <w:rFonts w:hAnsi="宋体" w:cs="宋体"/>
                <w:sz w:val="24"/>
              </w:rPr>
            </w:pPr>
            <w:r>
              <w:rPr>
                <w:rFonts w:hint="eastAsia" w:hAnsi="宋体" w:cs="宋体"/>
                <w:sz w:val="24"/>
              </w:rPr>
              <w:t>除授权代表外，招标人单位委派纪检监察人员对评标过程实施监督的，须进入长葛市公共资源交易中心监控大厅，并向招标代理机构出具授权函，且不得超过2人。纪检监察人员对评审工作实施监督，并签字登记备案、备查，监督人员应切实履行监督责任</w:t>
            </w:r>
            <w:r>
              <w:rPr>
                <w:rFonts w:hint="eastAsia"/>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9805" w:type="dxa"/>
            <w:gridSpan w:val="5"/>
            <w:vAlign w:val="center"/>
          </w:tcPr>
          <w:p>
            <w:pPr>
              <w:rPr>
                <w:rFonts w:hAnsi="宋体"/>
                <w:color w:val="000000"/>
                <w:sz w:val="24"/>
                <w:szCs w:val="24"/>
              </w:rPr>
            </w:pPr>
            <w:r>
              <w:rPr>
                <w:rFonts w:hint="eastAsia" w:hAnsi="宋体"/>
                <w:color w:val="000000"/>
                <w:sz w:val="24"/>
                <w:szCs w:val="24"/>
              </w:rPr>
              <w:t>10.4中标公示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9" w:hRule="atLeast"/>
          <w:jc w:val="center"/>
        </w:trPr>
        <w:tc>
          <w:tcPr>
            <w:tcW w:w="1053" w:type="dxa"/>
            <w:vAlign w:val="center"/>
          </w:tcPr>
          <w:p>
            <w:pPr>
              <w:spacing w:line="312" w:lineRule="auto"/>
              <w:rPr>
                <w:rFonts w:hAnsi="宋体"/>
                <w:color w:val="000000"/>
                <w:sz w:val="24"/>
                <w:szCs w:val="24"/>
              </w:rPr>
            </w:pPr>
          </w:p>
        </w:tc>
        <w:tc>
          <w:tcPr>
            <w:tcW w:w="8752" w:type="dxa"/>
            <w:gridSpan w:val="4"/>
            <w:vAlign w:val="center"/>
          </w:tcPr>
          <w:p>
            <w:pPr>
              <w:spacing w:line="360" w:lineRule="exact"/>
              <w:ind w:firstLine="360" w:firstLineChars="150"/>
              <w:rPr>
                <w:rFonts w:hAnsi="宋体"/>
                <w:sz w:val="24"/>
                <w:szCs w:val="24"/>
              </w:rPr>
            </w:pPr>
            <w:r>
              <w:rPr>
                <w:rFonts w:hint="eastAsia" w:hAnsi="宋体"/>
                <w:sz w:val="24"/>
                <w:szCs w:val="24"/>
              </w:rPr>
              <w:t>1、在中标通知书发出前，招标人将中标候选人的情况在“河南省电子招标投标公共服务平台”、“全国公共资源交易平台（河南省•许昌市）”、“长葛市人民政府门户网站”上发布，公示期不少于3日。</w:t>
            </w:r>
          </w:p>
          <w:p>
            <w:pPr>
              <w:spacing w:line="360" w:lineRule="exact"/>
              <w:ind w:firstLine="360" w:firstLineChars="150"/>
              <w:rPr>
                <w:rFonts w:hAnsi="宋体"/>
                <w:sz w:val="24"/>
                <w:szCs w:val="24"/>
              </w:rPr>
            </w:pPr>
            <w:r>
              <w:rPr>
                <w:rFonts w:hint="eastAsia" w:hAnsi="宋体"/>
                <w:sz w:val="24"/>
                <w:szCs w:val="24"/>
              </w:rPr>
              <w:t>2在评标结果公示期满且无异议后的5个工作日内，排名第一的中标候选人，其在投标文件中约定的拟任项目总监，应持以下证明材料，到项目招标单位接受资格核验：1、总监理工程师证原件、身份证原件；2、投标文件中列明的所有证书、证件、证明材料原件（包括资质资格、业绩、社保等）。审核结果的真实性由招标人负责，并将结果（招标人法定代表人签字并加盖单位公章）书面告知公共资源交易中心业务科室，业务科室依据核验结果按照相关程序协助招标人发出中标通知书。</w:t>
            </w:r>
          </w:p>
          <w:p>
            <w:pPr>
              <w:spacing w:line="360" w:lineRule="exact"/>
              <w:ind w:firstLine="360" w:firstLineChars="150"/>
              <w:rPr>
                <w:rFonts w:hAnsi="宋体"/>
                <w:sz w:val="24"/>
                <w:szCs w:val="24"/>
              </w:rPr>
            </w:pPr>
            <w:r>
              <w:rPr>
                <w:rFonts w:hint="eastAsia" w:hAnsi="宋体"/>
                <w:sz w:val="24"/>
                <w:szCs w:val="24"/>
              </w:rPr>
              <w:t>核验中发现其存在弄虚作假、围标串标、挂靠借用资质等骗取中标行为的；或者被查实存在影响中标结果的违法行为等情形，不符合中标条件的；或逾期未按约定接受核验（视为放弃中标）的，招标人有权取消其中标资格。招标人将经法定代表人签字并加盖单位公章的核验结果书面告知公共资源交易中心业务科室和公管办监管股。</w:t>
            </w:r>
          </w:p>
          <w:p>
            <w:pPr>
              <w:spacing w:line="360" w:lineRule="exact"/>
              <w:ind w:firstLine="360" w:firstLineChars="150"/>
              <w:rPr>
                <w:rFonts w:hAnsi="宋体"/>
                <w:sz w:val="24"/>
                <w:szCs w:val="24"/>
              </w:rPr>
            </w:pPr>
            <w:r>
              <w:rPr>
                <w:rFonts w:hint="eastAsia" w:hAnsi="宋体"/>
                <w:sz w:val="24"/>
                <w:szCs w:val="24"/>
              </w:rPr>
              <w:t>招标人可以按照评标委员会提出的中标候选人名单排序依次确定其他中标候选人为中标人。依次确定其他中标候选人与招标人预期差距较大，或者对招标人明显不利的，招标人可以重新招标。</w:t>
            </w:r>
          </w:p>
          <w:p>
            <w:pPr>
              <w:spacing w:line="360" w:lineRule="exact"/>
              <w:ind w:firstLine="360" w:firstLineChars="150"/>
              <w:rPr>
                <w:rFonts w:hAnsi="宋体"/>
                <w:sz w:val="24"/>
                <w:szCs w:val="24"/>
              </w:rPr>
            </w:pPr>
            <w:r>
              <w:rPr>
                <w:rFonts w:hint="eastAsia" w:hAnsi="宋体"/>
                <w:sz w:val="24"/>
                <w:szCs w:val="24"/>
              </w:rPr>
              <w:t>3、招标人和中标人应当自中标通知书发出之日起三十日内，依照《中华人民共和国招标投标法》及其实施条例的规定签订书面合同，合同的标的、价款、质量、履行期限等主要条款应当与招标文件和中标人的投标文件的内容一致。招标人和中标人不得再行订立背离合同实质性内容的其他协议。</w:t>
            </w:r>
          </w:p>
          <w:p>
            <w:pPr>
              <w:spacing w:line="360" w:lineRule="exact"/>
              <w:ind w:firstLine="360" w:firstLineChars="150"/>
              <w:rPr>
                <w:rFonts w:hAnsi="宋体"/>
                <w:sz w:val="24"/>
                <w:szCs w:val="24"/>
              </w:rPr>
            </w:pPr>
            <w:r>
              <w:rPr>
                <w:rFonts w:hint="eastAsia" w:hAnsi="宋体"/>
                <w:sz w:val="24"/>
                <w:szCs w:val="24"/>
              </w:rPr>
              <w:t>招标人和中标人不按照招标文件和中标人的投标文件订立合同，合同的主要条款与招标文件、中标人的投标文件的内容不一致，或者招标人、中标人订立背离合同实质性内容的协议的，按《中华人民共和国招标投标法》及其实施条例、配套部门规章的规定处理。</w:t>
            </w:r>
          </w:p>
          <w:p>
            <w:pPr>
              <w:spacing w:line="360" w:lineRule="exact"/>
              <w:ind w:firstLine="360" w:firstLineChars="150"/>
              <w:rPr>
                <w:rFonts w:hAnsi="宋体"/>
                <w:sz w:val="24"/>
                <w:szCs w:val="24"/>
              </w:rPr>
            </w:pPr>
            <w:r>
              <w:rPr>
                <w:rFonts w:hint="eastAsia" w:hAnsi="宋体"/>
                <w:sz w:val="24"/>
                <w:szCs w:val="24"/>
              </w:rPr>
              <w:t>中标人无正当理由不与招标人订立合同，在签订合同时向招标人提出附加条件，或者不按照招标文件要求提交履约保证金的，取消其中标资格，投标保证金不予退还。</w:t>
            </w:r>
          </w:p>
          <w:p>
            <w:pPr>
              <w:spacing w:line="360" w:lineRule="exact"/>
              <w:ind w:firstLine="360" w:firstLineChars="150"/>
              <w:rPr>
                <w:rFonts w:hAnsi="宋体"/>
                <w:sz w:val="24"/>
                <w:szCs w:val="24"/>
              </w:rPr>
            </w:pPr>
            <w:r>
              <w:rPr>
                <w:rFonts w:hint="eastAsia" w:hAnsi="宋体"/>
                <w:sz w:val="24"/>
                <w:szCs w:val="24"/>
              </w:rPr>
              <w:t>中标人不履行与招标人订立的合同的，履约保证金不予退还，给招标人造成的损失超过履约保证金数额的，还应当对超过部分予以赔偿；没有提交履约保证金的，应当对招标人的损失承担赔偿责任。</w:t>
            </w:r>
          </w:p>
          <w:p>
            <w:pPr>
              <w:spacing w:line="312" w:lineRule="auto"/>
              <w:ind w:firstLine="480" w:firstLineChars="200"/>
              <w:rPr>
                <w:rFonts w:hAnsi="宋体"/>
                <w:color w:val="000000"/>
                <w:sz w:val="24"/>
                <w:szCs w:val="24"/>
              </w:rPr>
            </w:pPr>
            <w:r>
              <w:rPr>
                <w:rFonts w:hint="eastAsia" w:hAnsi="宋体"/>
                <w:sz w:val="24"/>
                <w:szCs w:val="24"/>
              </w:rPr>
              <w:t>投标人的投标活动属于“国家发展改革委等２４部委《关于对公共资源交易领域严重失信主体开展联合惩戒的备忘录》（发改法规〔2018〕457号）”十九种行为，或《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界定的不良行为的，按相关文件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9805" w:type="dxa"/>
            <w:gridSpan w:val="5"/>
            <w:vAlign w:val="center"/>
          </w:tcPr>
          <w:p>
            <w:pPr>
              <w:spacing w:line="312" w:lineRule="auto"/>
              <w:ind w:left="240" w:hanging="240" w:hangingChars="100"/>
              <w:rPr>
                <w:rFonts w:hAnsi="宋体"/>
                <w:color w:val="000000"/>
                <w:sz w:val="24"/>
                <w:szCs w:val="24"/>
              </w:rPr>
            </w:pPr>
            <w:r>
              <w:rPr>
                <w:rFonts w:hint="eastAsia" w:hAnsi="宋体"/>
                <w:color w:val="000000"/>
                <w:sz w:val="24"/>
                <w:szCs w:val="24"/>
              </w:rPr>
              <w:t>10.5知识产权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053" w:type="dxa"/>
            <w:vAlign w:val="center"/>
          </w:tcPr>
          <w:p>
            <w:pPr>
              <w:spacing w:line="312" w:lineRule="auto"/>
              <w:rPr>
                <w:rFonts w:hAnsi="宋体"/>
                <w:color w:val="000000"/>
                <w:sz w:val="24"/>
                <w:szCs w:val="24"/>
              </w:rPr>
            </w:pPr>
          </w:p>
        </w:tc>
        <w:tc>
          <w:tcPr>
            <w:tcW w:w="8752" w:type="dxa"/>
            <w:gridSpan w:val="4"/>
            <w:vAlign w:val="center"/>
          </w:tcPr>
          <w:p>
            <w:pPr>
              <w:spacing w:line="312" w:lineRule="auto"/>
              <w:rPr>
                <w:rFonts w:hAnsi="宋体"/>
                <w:color w:val="000000"/>
                <w:sz w:val="24"/>
                <w:szCs w:val="24"/>
              </w:rPr>
            </w:pPr>
            <w:r>
              <w:rPr>
                <w:rFonts w:hint="eastAsia" w:hAnsi="宋体"/>
                <w:color w:val="000000"/>
                <w:sz w:val="24"/>
                <w:szCs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9805" w:type="dxa"/>
            <w:gridSpan w:val="5"/>
            <w:vAlign w:val="center"/>
          </w:tcPr>
          <w:p>
            <w:pPr>
              <w:rPr>
                <w:rFonts w:hAnsi="宋体"/>
                <w:color w:val="000000"/>
                <w:sz w:val="24"/>
                <w:szCs w:val="24"/>
              </w:rPr>
            </w:pPr>
            <w:r>
              <w:rPr>
                <w:rFonts w:hint="eastAsia" w:hAnsi="宋体"/>
                <w:color w:val="000000"/>
                <w:sz w:val="24"/>
                <w:szCs w:val="24"/>
              </w:rPr>
              <w:t>10.6重新招标的其他情形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053" w:type="dxa"/>
            <w:vAlign w:val="center"/>
          </w:tcPr>
          <w:p>
            <w:pPr>
              <w:rPr>
                <w:rFonts w:hAnsi="宋体"/>
                <w:color w:val="000000"/>
                <w:sz w:val="24"/>
                <w:szCs w:val="24"/>
              </w:rPr>
            </w:pPr>
          </w:p>
        </w:tc>
        <w:tc>
          <w:tcPr>
            <w:tcW w:w="8752" w:type="dxa"/>
            <w:gridSpan w:val="4"/>
            <w:vAlign w:val="center"/>
          </w:tcPr>
          <w:p>
            <w:pPr>
              <w:rPr>
                <w:rFonts w:hAnsi="宋体"/>
                <w:color w:val="000000"/>
                <w:sz w:val="24"/>
                <w:szCs w:val="24"/>
              </w:rPr>
            </w:pPr>
            <w:r>
              <w:rPr>
                <w:rFonts w:hint="eastAsia" w:hAnsi="宋体"/>
                <w:color w:val="000000"/>
                <w:sz w:val="24"/>
                <w:szCs w:val="24"/>
              </w:rPr>
              <w:t>除投标人须知正文第8条规定的情形外，除非已经产生中标候选人，在投标有效期内同意延长投标有效期的投标人少于三个的， 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9805" w:type="dxa"/>
            <w:gridSpan w:val="5"/>
            <w:vAlign w:val="center"/>
          </w:tcPr>
          <w:p>
            <w:pPr>
              <w:spacing w:line="312" w:lineRule="auto"/>
              <w:ind w:left="240" w:hanging="240" w:hangingChars="100"/>
              <w:rPr>
                <w:rFonts w:hAnsi="宋体"/>
                <w:color w:val="000000"/>
                <w:sz w:val="24"/>
                <w:szCs w:val="24"/>
              </w:rPr>
            </w:pPr>
            <w:r>
              <w:rPr>
                <w:rFonts w:hint="eastAsia" w:hAnsi="宋体"/>
                <w:color w:val="000000"/>
                <w:sz w:val="24"/>
                <w:szCs w:val="24"/>
              </w:rPr>
              <w:t>10.7同义词语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053" w:type="dxa"/>
            <w:vAlign w:val="center"/>
          </w:tcPr>
          <w:p>
            <w:pPr>
              <w:rPr>
                <w:rFonts w:hAnsi="宋体"/>
                <w:color w:val="000000"/>
                <w:sz w:val="24"/>
                <w:szCs w:val="24"/>
              </w:rPr>
            </w:pPr>
          </w:p>
        </w:tc>
        <w:tc>
          <w:tcPr>
            <w:tcW w:w="8752" w:type="dxa"/>
            <w:gridSpan w:val="4"/>
            <w:vAlign w:val="center"/>
          </w:tcPr>
          <w:p>
            <w:pPr>
              <w:rPr>
                <w:rFonts w:hAnsi="宋体"/>
                <w:color w:val="000000"/>
                <w:sz w:val="24"/>
                <w:szCs w:val="24"/>
              </w:rPr>
            </w:pPr>
            <w:r>
              <w:rPr>
                <w:rFonts w:hint="eastAsia" w:hAnsi="宋体"/>
                <w:color w:val="000000"/>
                <w:sz w:val="24"/>
                <w:szCs w:val="24"/>
              </w:rPr>
              <w:t>构成招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9805" w:type="dxa"/>
            <w:gridSpan w:val="5"/>
            <w:vAlign w:val="center"/>
          </w:tcPr>
          <w:p>
            <w:pPr>
              <w:spacing w:line="312" w:lineRule="auto"/>
              <w:ind w:left="240" w:hanging="240" w:hangingChars="100"/>
              <w:rPr>
                <w:rFonts w:hAnsi="宋体"/>
                <w:color w:val="000000"/>
                <w:sz w:val="24"/>
                <w:szCs w:val="24"/>
              </w:rPr>
            </w:pPr>
            <w:r>
              <w:rPr>
                <w:rFonts w:hint="eastAsia" w:hAnsi="宋体"/>
                <w:color w:val="000000"/>
                <w:sz w:val="24"/>
                <w:szCs w:val="24"/>
              </w:rPr>
              <w:t>10.8监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053" w:type="dxa"/>
            <w:vAlign w:val="center"/>
          </w:tcPr>
          <w:p>
            <w:pPr>
              <w:spacing w:line="312" w:lineRule="auto"/>
              <w:ind w:left="240" w:hanging="240" w:hangingChars="100"/>
              <w:rPr>
                <w:rFonts w:hAnsi="宋体"/>
                <w:color w:val="000000"/>
                <w:sz w:val="24"/>
                <w:szCs w:val="24"/>
              </w:rPr>
            </w:pPr>
          </w:p>
        </w:tc>
        <w:tc>
          <w:tcPr>
            <w:tcW w:w="8752" w:type="dxa"/>
            <w:gridSpan w:val="4"/>
            <w:vAlign w:val="center"/>
          </w:tcPr>
          <w:p>
            <w:pPr>
              <w:spacing w:line="312" w:lineRule="auto"/>
              <w:ind w:left="115" w:leftChars="34"/>
              <w:rPr>
                <w:rFonts w:hAnsi="宋体"/>
                <w:color w:val="000000"/>
                <w:sz w:val="24"/>
                <w:szCs w:val="24"/>
              </w:rPr>
            </w:pPr>
            <w:r>
              <w:rPr>
                <w:rFonts w:hint="eastAsia" w:hAnsi="宋体"/>
                <w:color w:val="000000"/>
                <w:sz w:val="24"/>
                <w:szCs w:val="24"/>
              </w:rPr>
              <w:t>本项目的招标投标活动及其相关当事人应当接受有管辖权的招标投标行政监督部门依法实施的监督。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9805" w:type="dxa"/>
            <w:gridSpan w:val="5"/>
            <w:vAlign w:val="center"/>
          </w:tcPr>
          <w:p>
            <w:pPr>
              <w:spacing w:line="312" w:lineRule="auto"/>
              <w:ind w:left="240" w:hanging="240" w:hangingChars="100"/>
              <w:rPr>
                <w:rFonts w:hAnsi="宋体"/>
                <w:color w:val="000000"/>
                <w:sz w:val="24"/>
                <w:szCs w:val="24"/>
              </w:rPr>
            </w:pPr>
            <w:r>
              <w:rPr>
                <w:rFonts w:hint="eastAsia" w:hAnsi="宋体"/>
                <w:color w:val="000000"/>
                <w:sz w:val="24"/>
                <w:szCs w:val="24"/>
              </w:rPr>
              <w:t>10.9解释权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0" w:hRule="atLeast"/>
          <w:jc w:val="center"/>
        </w:trPr>
        <w:tc>
          <w:tcPr>
            <w:tcW w:w="1053" w:type="dxa"/>
            <w:vAlign w:val="center"/>
          </w:tcPr>
          <w:p>
            <w:pPr>
              <w:spacing w:line="312" w:lineRule="auto"/>
              <w:rPr>
                <w:rFonts w:hAnsi="宋体"/>
                <w:color w:val="000000"/>
                <w:sz w:val="24"/>
                <w:szCs w:val="24"/>
              </w:rPr>
            </w:pPr>
          </w:p>
        </w:tc>
        <w:tc>
          <w:tcPr>
            <w:tcW w:w="8752" w:type="dxa"/>
            <w:gridSpan w:val="4"/>
            <w:vAlign w:val="center"/>
          </w:tcPr>
          <w:p>
            <w:pPr>
              <w:spacing w:line="312" w:lineRule="auto"/>
              <w:rPr>
                <w:rFonts w:hAnsi="宋体"/>
                <w:color w:val="000000"/>
                <w:sz w:val="24"/>
                <w:szCs w:val="24"/>
              </w:rPr>
            </w:pPr>
            <w:r>
              <w:rPr>
                <w:rFonts w:hint="eastAsia" w:hAnsi="宋体"/>
                <w:color w:val="000000"/>
                <w:sz w:val="24"/>
                <w:szCs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9805" w:type="dxa"/>
            <w:gridSpan w:val="5"/>
            <w:vAlign w:val="center"/>
          </w:tcPr>
          <w:p>
            <w:pPr>
              <w:autoSpaceDE w:val="0"/>
              <w:autoSpaceDN w:val="0"/>
              <w:adjustRightInd w:val="0"/>
              <w:spacing w:line="360" w:lineRule="exact"/>
              <w:jc w:val="left"/>
              <w:rPr>
                <w:rFonts w:hAnsi="宋体"/>
                <w:color w:val="000000"/>
                <w:sz w:val="24"/>
                <w:szCs w:val="24"/>
              </w:rPr>
            </w:pPr>
            <w:r>
              <w:rPr>
                <w:rFonts w:hint="eastAsia" w:hAnsi="宋体"/>
                <w:color w:val="000000"/>
                <w:sz w:val="24"/>
                <w:szCs w:val="24"/>
              </w:rPr>
              <w:t>10.10</w:t>
            </w:r>
            <w:r>
              <w:rPr>
                <w:rFonts w:hint="eastAsia" w:hAnsi="宋体" w:cs="宋体"/>
                <w:color w:val="000000"/>
                <w:sz w:val="24"/>
                <w:szCs w:val="24"/>
              </w:rPr>
              <w:t>投标文件的拒收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4" w:hRule="atLeast"/>
          <w:jc w:val="center"/>
        </w:trPr>
        <w:tc>
          <w:tcPr>
            <w:tcW w:w="1053" w:type="dxa"/>
            <w:vAlign w:val="center"/>
          </w:tcPr>
          <w:p>
            <w:pPr>
              <w:spacing w:line="360" w:lineRule="exact"/>
              <w:rPr>
                <w:rFonts w:hAnsi="宋体"/>
                <w:color w:val="000000"/>
                <w:sz w:val="24"/>
                <w:szCs w:val="24"/>
              </w:rPr>
            </w:pPr>
          </w:p>
        </w:tc>
        <w:tc>
          <w:tcPr>
            <w:tcW w:w="8752" w:type="dxa"/>
            <w:gridSpan w:val="4"/>
            <w:vAlign w:val="center"/>
          </w:tcPr>
          <w:p>
            <w:pPr>
              <w:autoSpaceDE w:val="0"/>
              <w:autoSpaceDN w:val="0"/>
              <w:spacing w:line="460" w:lineRule="exact"/>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1、逾期送达的或未按照招标文件要求密封的纸质投标文件、及仅提供纸质投标文件的，招标人不予受理；</w:t>
            </w:r>
          </w:p>
          <w:p>
            <w:pPr>
              <w:autoSpaceDE w:val="0"/>
              <w:autoSpaceDN w:val="0"/>
              <w:spacing w:line="460" w:lineRule="exact"/>
              <w:contextualSpacing/>
              <w:jc w:val="left"/>
              <w:outlineLvl w:val="0"/>
              <w:rPr>
                <w:rFonts w:ascii="新宋体" w:hAnsi="新宋体" w:eastAsia="新宋体" w:cs="宋体"/>
                <w:sz w:val="24"/>
                <w:szCs w:val="24"/>
              </w:rPr>
            </w:pPr>
            <w:r>
              <w:rPr>
                <w:rFonts w:ascii="新宋体" w:hAnsi="新宋体" w:eastAsia="新宋体" w:cs="宋体"/>
                <w:sz w:val="24"/>
                <w:szCs w:val="24"/>
              </w:rPr>
              <w:t>2</w:t>
            </w:r>
            <w:r>
              <w:rPr>
                <w:rFonts w:hint="eastAsia" w:ascii="新宋体" w:hAnsi="新宋体" w:eastAsia="新宋体" w:cs="宋体"/>
                <w:sz w:val="24"/>
                <w:szCs w:val="24"/>
              </w:rPr>
              <w:t>、未按招标文件要求缴纳投标保证金的；</w:t>
            </w:r>
          </w:p>
          <w:p>
            <w:pPr>
              <w:autoSpaceDE w:val="0"/>
              <w:autoSpaceDN w:val="0"/>
              <w:spacing w:line="440" w:lineRule="exact"/>
              <w:jc w:val="left"/>
              <w:outlineLvl w:val="0"/>
              <w:rPr>
                <w:rFonts w:hAnsi="宋体" w:cs="宋体"/>
                <w:color w:val="000000"/>
                <w:sz w:val="24"/>
                <w:szCs w:val="24"/>
              </w:rPr>
            </w:pPr>
            <w:r>
              <w:rPr>
                <w:rFonts w:ascii="新宋体" w:hAnsi="新宋体" w:eastAsia="新宋体" w:cs="宋体"/>
                <w:sz w:val="24"/>
                <w:szCs w:val="24"/>
              </w:rPr>
              <w:t>3</w:t>
            </w:r>
            <w:r>
              <w:rPr>
                <w:rFonts w:hint="eastAsia" w:ascii="新宋体" w:hAnsi="新宋体" w:eastAsia="新宋体" w:cs="宋体"/>
                <w:sz w:val="24"/>
                <w:szCs w:val="24"/>
              </w:rPr>
              <w:t>、开标时，法定代表人或其授权委托人（持有效的授权委托书）未携带本人身份证到开标现场并签到的。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9805" w:type="dxa"/>
            <w:gridSpan w:val="5"/>
          </w:tcPr>
          <w:p>
            <w:pPr>
              <w:autoSpaceDE w:val="0"/>
              <w:autoSpaceDN w:val="0"/>
              <w:spacing w:line="360" w:lineRule="exact"/>
              <w:jc w:val="left"/>
              <w:outlineLvl w:val="0"/>
              <w:rPr>
                <w:rFonts w:hAnsi="宋体" w:cs="宋体"/>
                <w:color w:val="000000"/>
                <w:sz w:val="24"/>
                <w:szCs w:val="24"/>
              </w:rPr>
            </w:pPr>
            <w:bookmarkStart w:id="3" w:name="_Toc397605799"/>
            <w:bookmarkStart w:id="4" w:name="_Toc397507517"/>
            <w:bookmarkStart w:id="5" w:name="_Toc397507930"/>
            <w:r>
              <w:rPr>
                <w:rFonts w:hint="eastAsia" w:hAnsi="宋体"/>
                <w:color w:val="000000"/>
                <w:sz w:val="24"/>
                <w:szCs w:val="24"/>
              </w:rPr>
              <w:t xml:space="preserve">10.11 </w:t>
            </w:r>
            <w:bookmarkEnd w:id="3"/>
            <w:bookmarkEnd w:id="4"/>
            <w:bookmarkEnd w:id="5"/>
            <w:r>
              <w:rPr>
                <w:rFonts w:hint="eastAsia" w:hAnsi="宋体"/>
                <w:color w:val="000000"/>
                <w:sz w:val="24"/>
                <w:szCs w:val="24"/>
              </w:rPr>
              <w:t>招标代理费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053" w:type="dxa"/>
            <w:vAlign w:val="center"/>
          </w:tcPr>
          <w:p>
            <w:pPr>
              <w:spacing w:line="360" w:lineRule="exact"/>
              <w:rPr>
                <w:rFonts w:hAnsi="宋体"/>
                <w:color w:val="000000"/>
                <w:sz w:val="24"/>
                <w:szCs w:val="24"/>
              </w:rPr>
            </w:pPr>
          </w:p>
        </w:tc>
        <w:tc>
          <w:tcPr>
            <w:tcW w:w="8752" w:type="dxa"/>
            <w:gridSpan w:val="4"/>
          </w:tcPr>
          <w:p>
            <w:pPr>
              <w:autoSpaceDE w:val="0"/>
              <w:autoSpaceDN w:val="0"/>
              <w:spacing w:line="360" w:lineRule="exact"/>
              <w:jc w:val="left"/>
              <w:outlineLvl w:val="0"/>
              <w:rPr>
                <w:rFonts w:hAnsi="宋体"/>
                <w:color w:val="000000"/>
                <w:sz w:val="24"/>
                <w:szCs w:val="24"/>
              </w:rPr>
            </w:pPr>
            <w:r>
              <w:rPr>
                <w:rFonts w:hAnsi="宋体" w:cs="仿宋_GB2312"/>
                <w:color w:val="000000"/>
                <w:sz w:val="24"/>
                <w:szCs w:val="24"/>
              </w:rPr>
              <w:t>招标代理服务费由</w:t>
            </w:r>
            <w:r>
              <w:rPr>
                <w:rFonts w:hint="eastAsia" w:hAnsi="宋体" w:cs="仿宋_GB2312"/>
                <w:color w:val="000000"/>
                <w:sz w:val="24"/>
                <w:szCs w:val="24"/>
              </w:rPr>
              <w:t>中标</w:t>
            </w:r>
            <w:r>
              <w:rPr>
                <w:rFonts w:hAnsi="宋体" w:cs="仿宋_GB2312"/>
                <w:color w:val="000000"/>
                <w:sz w:val="24"/>
                <w:szCs w:val="24"/>
              </w:rPr>
              <w:t>人</w:t>
            </w:r>
            <w:r>
              <w:rPr>
                <w:rFonts w:hint="eastAsia" w:hAnsi="宋体" w:cs="仿宋_GB2312"/>
                <w:color w:val="000000"/>
                <w:sz w:val="24"/>
                <w:szCs w:val="24"/>
              </w:rPr>
              <w:t>向招标代理机构</w:t>
            </w:r>
            <w:r>
              <w:rPr>
                <w:rFonts w:hAnsi="宋体" w:cs="仿宋_GB2312"/>
                <w:color w:val="000000"/>
                <w:sz w:val="24"/>
                <w:szCs w:val="24"/>
              </w:rPr>
              <w:t>支付</w:t>
            </w:r>
            <w:r>
              <w:rPr>
                <w:rFonts w:hint="eastAsia" w:hAnsi="宋体" w:cs="仿宋_GB2312"/>
                <w:color w:val="000000"/>
                <w:sz w:val="24"/>
                <w:szCs w:val="24"/>
              </w:rPr>
              <w:t>，采用差额定率累进计价法。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9805" w:type="dxa"/>
            <w:gridSpan w:val="5"/>
            <w:vAlign w:val="center"/>
          </w:tcPr>
          <w:p>
            <w:pPr>
              <w:spacing w:line="360" w:lineRule="exact"/>
              <w:rPr>
                <w:rFonts w:hAnsi="宋体"/>
                <w:color w:val="000000"/>
                <w:sz w:val="24"/>
                <w:szCs w:val="24"/>
              </w:rPr>
            </w:pPr>
            <w:r>
              <w:rPr>
                <w:rFonts w:hint="eastAsia" w:hAnsi="宋体"/>
                <w:color w:val="000000"/>
                <w:sz w:val="24"/>
                <w:szCs w:val="24"/>
              </w:rPr>
              <w:t>10.12招标文件费用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173" w:type="dxa"/>
            <w:gridSpan w:val="3"/>
            <w:vAlign w:val="center"/>
          </w:tcPr>
          <w:p>
            <w:pPr>
              <w:spacing w:line="360" w:lineRule="exact"/>
              <w:rPr>
                <w:rFonts w:hAnsi="宋体"/>
                <w:color w:val="000000"/>
                <w:sz w:val="24"/>
                <w:szCs w:val="24"/>
              </w:rPr>
            </w:pPr>
          </w:p>
        </w:tc>
        <w:tc>
          <w:tcPr>
            <w:tcW w:w="8632" w:type="dxa"/>
            <w:gridSpan w:val="2"/>
          </w:tcPr>
          <w:p>
            <w:pPr>
              <w:autoSpaceDE w:val="0"/>
              <w:autoSpaceDN w:val="0"/>
              <w:spacing w:line="360" w:lineRule="exact"/>
              <w:jc w:val="left"/>
              <w:outlineLvl w:val="0"/>
              <w:rPr>
                <w:rFonts w:hAnsi="宋体"/>
                <w:color w:val="000000"/>
                <w:sz w:val="24"/>
                <w:szCs w:val="24"/>
              </w:rPr>
            </w:pPr>
            <w:bookmarkStart w:id="6" w:name="_Toc4662"/>
            <w:r>
              <w:rPr>
                <w:rFonts w:hint="eastAsia" w:hAnsi="宋体"/>
                <w:color w:val="000000"/>
                <w:sz w:val="24"/>
                <w:szCs w:val="24"/>
              </w:rPr>
              <w:t>1、招标文件费用</w:t>
            </w:r>
            <w:r>
              <w:rPr>
                <w:rFonts w:hint="eastAsia" w:hAnsi="宋体"/>
                <w:b/>
                <w:color w:val="000000"/>
                <w:sz w:val="24"/>
                <w:szCs w:val="24"/>
              </w:rPr>
              <w:t>300元/</w:t>
            </w:r>
            <w:r>
              <w:rPr>
                <w:rFonts w:hint="eastAsia" w:hAnsi="宋体"/>
                <w:color w:val="000000"/>
                <w:sz w:val="24"/>
                <w:szCs w:val="24"/>
              </w:rPr>
              <w:t>标段，售后不退；</w:t>
            </w:r>
            <w:bookmarkEnd w:id="6"/>
          </w:p>
          <w:p>
            <w:pPr>
              <w:autoSpaceDE w:val="0"/>
              <w:autoSpaceDN w:val="0"/>
              <w:spacing w:line="360" w:lineRule="exact"/>
              <w:jc w:val="left"/>
              <w:outlineLvl w:val="0"/>
              <w:rPr>
                <w:rFonts w:hAnsi="宋体"/>
                <w:color w:val="000000"/>
                <w:sz w:val="24"/>
                <w:szCs w:val="24"/>
              </w:rPr>
            </w:pPr>
            <w:bookmarkStart w:id="7" w:name="_Toc22741"/>
            <w:r>
              <w:rPr>
                <w:rFonts w:hint="eastAsia" w:hAnsi="宋体" w:cs="宋体"/>
                <w:color w:val="000000"/>
                <w:sz w:val="24"/>
                <w:szCs w:val="24"/>
              </w:rPr>
              <w:t>2、</w:t>
            </w:r>
            <w:r>
              <w:rPr>
                <w:rFonts w:hint="eastAsia" w:hAnsi="宋体"/>
                <w:color w:val="000000"/>
                <w:sz w:val="24"/>
                <w:szCs w:val="24"/>
              </w:rPr>
              <w:t>投标人在递交纸质投标文件时交纳招标文件费用。</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9805" w:type="dxa"/>
            <w:gridSpan w:val="5"/>
            <w:vAlign w:val="center"/>
          </w:tcPr>
          <w:p>
            <w:pPr>
              <w:autoSpaceDE w:val="0"/>
              <w:autoSpaceDN w:val="0"/>
              <w:spacing w:line="360" w:lineRule="exact"/>
              <w:jc w:val="left"/>
              <w:outlineLvl w:val="0"/>
              <w:rPr>
                <w:rFonts w:hAnsi="宋体"/>
                <w:color w:val="000000"/>
                <w:sz w:val="24"/>
                <w:szCs w:val="24"/>
              </w:rPr>
            </w:pPr>
            <w:bookmarkStart w:id="8" w:name="_Toc397507521"/>
            <w:bookmarkStart w:id="9" w:name="_Toc397605803"/>
            <w:bookmarkStart w:id="10" w:name="_Toc397507934"/>
            <w:r>
              <w:rPr>
                <w:rFonts w:hint="eastAsia" w:hAnsi="宋体"/>
                <w:color w:val="000000"/>
                <w:sz w:val="24"/>
                <w:szCs w:val="24"/>
              </w:rPr>
              <w:t>10.13 工程结算方法</w:t>
            </w:r>
            <w:bookmarkEnd w:id="8"/>
            <w:bookmarkEnd w:id="9"/>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173" w:type="dxa"/>
            <w:gridSpan w:val="3"/>
            <w:vAlign w:val="center"/>
          </w:tcPr>
          <w:p>
            <w:pPr>
              <w:spacing w:line="360" w:lineRule="exact"/>
              <w:rPr>
                <w:rFonts w:hAnsi="宋体"/>
                <w:color w:val="000000"/>
                <w:sz w:val="24"/>
                <w:szCs w:val="24"/>
              </w:rPr>
            </w:pPr>
          </w:p>
        </w:tc>
        <w:tc>
          <w:tcPr>
            <w:tcW w:w="8632" w:type="dxa"/>
            <w:gridSpan w:val="2"/>
          </w:tcPr>
          <w:p>
            <w:pPr>
              <w:autoSpaceDE w:val="0"/>
              <w:autoSpaceDN w:val="0"/>
              <w:spacing w:line="360" w:lineRule="exact"/>
              <w:jc w:val="left"/>
              <w:outlineLvl w:val="0"/>
              <w:rPr>
                <w:rFonts w:hAnsi="宋体"/>
                <w:b/>
                <w:color w:val="000000"/>
                <w:sz w:val="24"/>
                <w:szCs w:val="24"/>
              </w:rPr>
            </w:pPr>
            <w:bookmarkStart w:id="11" w:name="_Toc397507522"/>
            <w:bookmarkStart w:id="12" w:name="_Toc397605804"/>
            <w:bookmarkStart w:id="13" w:name="_Toc397507935"/>
            <w:r>
              <w:rPr>
                <w:rFonts w:hint="eastAsia" w:hAnsi="宋体" w:cs="仿宋_GB2312"/>
                <w:color w:val="000000"/>
                <w:sz w:val="24"/>
                <w:szCs w:val="24"/>
              </w:rPr>
              <w:t>本工程按合同约定方式付款。</w:t>
            </w:r>
            <w:bookmarkEnd w:id="11"/>
            <w:bookmarkEnd w:id="12"/>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805" w:type="dxa"/>
            <w:gridSpan w:val="5"/>
            <w:vAlign w:val="center"/>
          </w:tcPr>
          <w:p>
            <w:pPr>
              <w:autoSpaceDE w:val="0"/>
              <w:autoSpaceDN w:val="0"/>
              <w:spacing w:line="360" w:lineRule="exact"/>
              <w:jc w:val="left"/>
              <w:outlineLvl w:val="0"/>
              <w:rPr>
                <w:rFonts w:hAnsi="宋体" w:cs="仿宋_GB2312"/>
                <w:color w:val="000000"/>
                <w:sz w:val="24"/>
                <w:szCs w:val="24"/>
              </w:rPr>
            </w:pPr>
            <w:bookmarkStart w:id="14" w:name="_Toc397507523"/>
            <w:bookmarkStart w:id="15" w:name="_Toc397507936"/>
            <w:bookmarkStart w:id="16" w:name="_Toc397605805"/>
            <w:r>
              <w:rPr>
                <w:rFonts w:hint="eastAsia" w:hAnsi="宋体" w:cs="仿宋_GB2312"/>
                <w:color w:val="000000"/>
                <w:sz w:val="24"/>
                <w:szCs w:val="24"/>
              </w:rPr>
              <w:t xml:space="preserve">10.14 </w:t>
            </w:r>
            <w:r>
              <w:rPr>
                <w:rFonts w:hAnsi="宋体"/>
                <w:color w:val="000000"/>
                <w:sz w:val="24"/>
                <w:szCs w:val="24"/>
              </w:rPr>
              <w:t>履约</w:t>
            </w:r>
            <w:bookmarkEnd w:id="14"/>
            <w:bookmarkEnd w:id="15"/>
            <w:bookmarkEnd w:id="16"/>
            <w:r>
              <w:rPr>
                <w:rFonts w:hint="eastAsia" w:hAnsi="宋体"/>
                <w:color w:val="000000"/>
                <w:sz w:val="24"/>
                <w:szCs w:val="24"/>
              </w:rPr>
              <w:t>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jc w:val="center"/>
        </w:trPr>
        <w:tc>
          <w:tcPr>
            <w:tcW w:w="1173" w:type="dxa"/>
            <w:gridSpan w:val="3"/>
            <w:vAlign w:val="center"/>
          </w:tcPr>
          <w:p>
            <w:pPr>
              <w:spacing w:line="360" w:lineRule="exact"/>
              <w:rPr>
                <w:rFonts w:hAnsi="宋体"/>
                <w:color w:val="000000"/>
                <w:sz w:val="24"/>
                <w:szCs w:val="24"/>
              </w:rPr>
            </w:pPr>
          </w:p>
        </w:tc>
        <w:tc>
          <w:tcPr>
            <w:tcW w:w="8632" w:type="dxa"/>
            <w:gridSpan w:val="2"/>
            <w:vAlign w:val="center"/>
          </w:tcPr>
          <w:p>
            <w:pPr>
              <w:autoSpaceDE w:val="0"/>
              <w:autoSpaceDN w:val="0"/>
              <w:spacing w:line="440" w:lineRule="exact"/>
              <w:jc w:val="left"/>
              <w:outlineLvl w:val="0"/>
            </w:pPr>
          </w:p>
          <w:p>
            <w:pPr>
              <w:autoSpaceDE w:val="0"/>
              <w:autoSpaceDN w:val="0"/>
              <w:spacing w:line="440" w:lineRule="exact"/>
              <w:jc w:val="left"/>
              <w:outlineLvl w:val="0"/>
              <w:rPr>
                <w:sz w:val="24"/>
                <w:szCs w:val="24"/>
              </w:rPr>
            </w:pPr>
            <w:r>
              <w:rPr>
                <w:rFonts w:hint="eastAsia"/>
                <w:sz w:val="24"/>
                <w:szCs w:val="24"/>
              </w:rPr>
              <w:t>开户行：河南长葛农村商业银行股份有限公司营业部</w:t>
            </w:r>
          </w:p>
          <w:p>
            <w:pPr>
              <w:autoSpaceDE w:val="0"/>
              <w:autoSpaceDN w:val="0"/>
              <w:spacing w:line="440" w:lineRule="exact"/>
              <w:jc w:val="left"/>
              <w:outlineLvl w:val="0"/>
              <w:rPr>
                <w:sz w:val="24"/>
                <w:szCs w:val="24"/>
              </w:rPr>
            </w:pPr>
            <w:r>
              <w:rPr>
                <w:rFonts w:hint="eastAsia"/>
                <w:sz w:val="24"/>
                <w:szCs w:val="24"/>
              </w:rPr>
              <w:t>户  名：长葛市公共资源交易中心</w:t>
            </w:r>
          </w:p>
          <w:p>
            <w:pPr>
              <w:autoSpaceDE w:val="0"/>
              <w:autoSpaceDN w:val="0"/>
              <w:spacing w:line="440" w:lineRule="exact"/>
              <w:jc w:val="left"/>
              <w:outlineLvl w:val="0"/>
              <w:rPr>
                <w:sz w:val="24"/>
                <w:szCs w:val="24"/>
              </w:rPr>
            </w:pPr>
            <w:r>
              <w:rPr>
                <w:rFonts w:hint="eastAsia"/>
                <w:sz w:val="24"/>
                <w:szCs w:val="24"/>
              </w:rPr>
              <w:t>账  号：13201001800000552</w:t>
            </w:r>
          </w:p>
          <w:p>
            <w:pPr>
              <w:autoSpaceDE w:val="0"/>
              <w:autoSpaceDN w:val="0"/>
              <w:spacing w:line="440" w:lineRule="exact"/>
              <w:jc w:val="left"/>
              <w:outlineLvl w:val="0"/>
              <w:rPr>
                <w:sz w:val="24"/>
                <w:szCs w:val="24"/>
              </w:rPr>
            </w:pPr>
            <w:r>
              <w:rPr>
                <w:rFonts w:hint="eastAsia"/>
                <w:sz w:val="24"/>
                <w:szCs w:val="24"/>
              </w:rPr>
              <w:t>履约保证金的形式：基本户转账，在中标人签订合同前办理。</w:t>
            </w:r>
          </w:p>
          <w:p>
            <w:pPr>
              <w:autoSpaceDE w:val="0"/>
              <w:autoSpaceDN w:val="0"/>
              <w:spacing w:line="440" w:lineRule="exact"/>
              <w:jc w:val="left"/>
              <w:outlineLvl w:val="0"/>
              <w:rPr>
                <w:sz w:val="24"/>
                <w:szCs w:val="24"/>
              </w:rPr>
            </w:pPr>
            <w:r>
              <w:rPr>
                <w:rFonts w:hint="eastAsia"/>
                <w:sz w:val="24"/>
                <w:szCs w:val="24"/>
              </w:rPr>
              <w:t>履约保证金的金额：中标金额的10%。</w:t>
            </w:r>
          </w:p>
          <w:p>
            <w:pPr>
              <w:pStyle w:val="3"/>
              <w:rPr>
                <w:sz w:val="24"/>
                <w:szCs w:val="24"/>
              </w:rPr>
            </w:pPr>
            <w:r>
              <w:rPr>
                <w:rFonts w:hint="eastAsia"/>
                <w:sz w:val="24"/>
                <w:szCs w:val="24"/>
              </w:rPr>
              <w:t>中标人无正当理由不与招标人订立合同，在签订合同时向招标人提出附加条件，或者不按照招标文件要求提交履约保证金的，取消其中标资格，投标保证金不予退还。</w:t>
            </w:r>
          </w:p>
          <w:p>
            <w:pPr>
              <w:autoSpaceDE w:val="0"/>
              <w:autoSpaceDN w:val="0"/>
              <w:spacing w:line="360" w:lineRule="exact"/>
              <w:outlineLvl w:val="0"/>
              <w:rPr>
                <w:sz w:val="24"/>
                <w:szCs w:val="24"/>
              </w:rPr>
            </w:pPr>
            <w:r>
              <w:rPr>
                <w:rFonts w:hint="eastAsia"/>
                <w:sz w:val="24"/>
                <w:szCs w:val="24"/>
              </w:rPr>
              <w:t>注：缴纳履约担保时需备注项目编号：长交建【</w:t>
            </w:r>
            <w:r>
              <w:rPr>
                <w:rFonts w:hint="eastAsia"/>
                <w:sz w:val="24"/>
                <w:szCs w:val="24"/>
                <w:lang w:val="en-US" w:eastAsia="zh-CN"/>
              </w:rPr>
              <w:t>2019</w:t>
            </w:r>
            <w:r>
              <w:rPr>
                <w:rFonts w:hint="eastAsia"/>
                <w:sz w:val="24"/>
                <w:szCs w:val="24"/>
              </w:rPr>
              <w:t>】 GZ</w:t>
            </w:r>
            <w:r>
              <w:rPr>
                <w:rFonts w:hint="eastAsia"/>
                <w:sz w:val="24"/>
                <w:szCs w:val="24"/>
                <w:lang w:val="en-US" w:eastAsia="zh-CN"/>
              </w:rPr>
              <w:t>173</w:t>
            </w:r>
            <w:r>
              <w:rPr>
                <w:rFonts w:hint="eastAsia"/>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805" w:type="dxa"/>
            <w:gridSpan w:val="5"/>
            <w:vAlign w:val="center"/>
          </w:tcPr>
          <w:p>
            <w:pPr>
              <w:autoSpaceDE w:val="0"/>
              <w:autoSpaceDN w:val="0"/>
              <w:adjustRightInd w:val="0"/>
              <w:spacing w:line="400" w:lineRule="exact"/>
              <w:rPr>
                <w:rFonts w:hAnsi="宋体" w:cs="仿宋_GB2312"/>
                <w:color w:val="000000"/>
                <w:sz w:val="24"/>
                <w:szCs w:val="24"/>
              </w:rPr>
            </w:pPr>
            <w:r>
              <w:rPr>
                <w:rFonts w:hint="eastAsia" w:hAnsi="宋体" w:cs="仿宋_GB2312"/>
                <w:b/>
                <w:bCs/>
                <w:color w:val="000000"/>
                <w:sz w:val="24"/>
                <w:szCs w:val="24"/>
              </w:rPr>
              <w:t>10.15招标人、投标人不得有下列行为：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110" w:type="dxa"/>
            <w:gridSpan w:val="2"/>
            <w:vAlign w:val="center"/>
          </w:tcPr>
          <w:p>
            <w:pPr>
              <w:autoSpaceDE w:val="0"/>
              <w:autoSpaceDN w:val="0"/>
              <w:adjustRightInd w:val="0"/>
              <w:spacing w:line="400" w:lineRule="exact"/>
              <w:rPr>
                <w:rFonts w:hAnsi="宋体" w:cs="仿宋_GB2312"/>
                <w:b/>
                <w:bCs/>
                <w:color w:val="000000"/>
                <w:sz w:val="24"/>
                <w:szCs w:val="24"/>
              </w:rPr>
            </w:pPr>
          </w:p>
        </w:tc>
        <w:tc>
          <w:tcPr>
            <w:tcW w:w="8695" w:type="dxa"/>
            <w:gridSpan w:val="3"/>
            <w:vAlign w:val="center"/>
          </w:tcPr>
          <w:p>
            <w:pPr>
              <w:autoSpaceDE w:val="0"/>
              <w:autoSpaceDN w:val="0"/>
              <w:adjustRightInd w:val="0"/>
              <w:spacing w:line="400" w:lineRule="exact"/>
              <w:rPr>
                <w:rFonts w:hAnsi="宋体" w:cs="仿宋_GB2312"/>
                <w:b/>
                <w:color w:val="000000"/>
                <w:sz w:val="24"/>
                <w:szCs w:val="24"/>
              </w:rPr>
            </w:pPr>
            <w:r>
              <w:rPr>
                <w:rFonts w:hint="eastAsia" w:hAnsi="宋体" w:cs="仿宋_GB2312"/>
                <w:b/>
                <w:color w:val="000000"/>
                <w:sz w:val="24"/>
                <w:szCs w:val="24"/>
              </w:rPr>
              <w:t xml:space="preserve">《中华人民共和国招标投标法》第三十二条： </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谋取中标。</w:t>
            </w:r>
          </w:p>
          <w:p>
            <w:pPr>
              <w:autoSpaceDE w:val="0"/>
              <w:autoSpaceDN w:val="0"/>
              <w:adjustRightInd w:val="0"/>
              <w:spacing w:line="400" w:lineRule="exact"/>
              <w:rPr>
                <w:rFonts w:hAnsi="宋体" w:cs="仿宋_GB2312"/>
                <w:color w:val="000000"/>
                <w:sz w:val="24"/>
                <w:szCs w:val="24"/>
              </w:rPr>
            </w:pPr>
            <w:r>
              <w:rPr>
                <w:rFonts w:hint="eastAsia" w:hAnsi="宋体" w:cs="仿宋_GB2312"/>
                <w:b/>
                <w:color w:val="000000"/>
                <w:sz w:val="24"/>
                <w:szCs w:val="24"/>
              </w:rPr>
              <w:t>《中华人民共和国招标投标法》第三十三条：</w:t>
            </w:r>
            <w:r>
              <w:rPr>
                <w:rFonts w:hint="eastAsia" w:hAnsi="宋体" w:cs="仿宋_GB2312"/>
                <w:color w:val="000000"/>
                <w:sz w:val="24"/>
                <w:szCs w:val="24"/>
              </w:rPr>
              <w:t xml:space="preserve"> 投标人不得以低于成本的报价竞标，也不得以他人名义投标或者以其他方式弄虚作假，骗取中标。</w:t>
            </w:r>
          </w:p>
          <w:p>
            <w:pPr>
              <w:autoSpaceDE w:val="0"/>
              <w:autoSpaceDN w:val="0"/>
              <w:adjustRightInd w:val="0"/>
              <w:spacing w:line="400" w:lineRule="exact"/>
              <w:rPr>
                <w:rFonts w:hAnsi="宋体" w:cs="仿宋_GB2312"/>
                <w:b/>
                <w:color w:val="000000"/>
                <w:sz w:val="24"/>
                <w:szCs w:val="24"/>
              </w:rPr>
            </w:pPr>
            <w:r>
              <w:rPr>
                <w:rFonts w:hint="eastAsia" w:hAnsi="宋体" w:cs="仿宋_GB2312"/>
                <w:b/>
                <w:color w:val="000000"/>
                <w:sz w:val="24"/>
                <w:szCs w:val="24"/>
              </w:rPr>
              <w:t xml:space="preserve">《中华人民共和国招标投标法实施条例》第三十九条： </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 xml:space="preserve"> 禁止投标人相互串通投标</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有下列情形之一的，属于投标人相互串通投标：</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（一）投标人之间协商投标报价等投标文件的实质性内容；</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（二）投标人之间约定中标人；</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（三）投标人之间约定部分投标人放弃投标或者中标；</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（四）属于同一集团、协会、商会等组织成员的投标人按照该组织要求协同投标；</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（五）投标人之间为谋取中标或者排斥特定投标人而采取的其他联合行动。</w:t>
            </w:r>
          </w:p>
          <w:p>
            <w:pPr>
              <w:autoSpaceDE w:val="0"/>
              <w:autoSpaceDN w:val="0"/>
              <w:adjustRightInd w:val="0"/>
              <w:spacing w:line="400" w:lineRule="exact"/>
              <w:rPr>
                <w:rFonts w:hAnsi="宋体" w:cs="仿宋_GB2312"/>
                <w:b/>
                <w:color w:val="000000"/>
                <w:sz w:val="24"/>
                <w:szCs w:val="24"/>
              </w:rPr>
            </w:pPr>
            <w:r>
              <w:rPr>
                <w:rFonts w:hint="eastAsia" w:hAnsi="宋体" w:cs="仿宋_GB2312"/>
                <w:b/>
                <w:color w:val="000000"/>
                <w:sz w:val="24"/>
                <w:szCs w:val="24"/>
              </w:rPr>
              <w:t xml:space="preserve">《中华人民共和国招标投标法实施条例》第四十条： </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 xml:space="preserve"> 有下列情形之一的，视为投标人相互串通投标：</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（一）不同投标人的投标文件由同一单位或者个人编制；</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（二）不同投标人委托同一单位或者个人办理投标事宜；</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（三）不同投标人的投标文件载明的项目管理成员为同一人；</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（四）不同投标人的投标文件异常一致或者投标报价呈规律性差异；</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（五）不同投标人的投标文件相互混装；</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（六）不同投标人的投标保证金从同一单位或者个人的账户转出。</w:t>
            </w:r>
          </w:p>
          <w:p>
            <w:pPr>
              <w:autoSpaceDE w:val="0"/>
              <w:autoSpaceDN w:val="0"/>
              <w:adjustRightInd w:val="0"/>
              <w:spacing w:line="400" w:lineRule="exact"/>
              <w:rPr>
                <w:rFonts w:hAnsi="宋体" w:cs="仿宋_GB2312"/>
                <w:b/>
                <w:color w:val="000000"/>
                <w:sz w:val="24"/>
                <w:szCs w:val="24"/>
              </w:rPr>
            </w:pPr>
            <w:r>
              <w:rPr>
                <w:rFonts w:hint="eastAsia" w:hAnsi="宋体" w:cs="仿宋_GB2312"/>
                <w:b/>
                <w:color w:val="000000"/>
                <w:sz w:val="24"/>
                <w:szCs w:val="24"/>
              </w:rPr>
              <w:t xml:space="preserve">《中华人民共和国招标投标法实施条例》第四十一条： </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 xml:space="preserve"> 禁止招标人与投标人串通投标。</w:t>
            </w:r>
          </w:p>
          <w:p>
            <w:pPr>
              <w:autoSpaceDE w:val="0"/>
              <w:autoSpaceDN w:val="0"/>
              <w:adjustRightInd w:val="0"/>
              <w:spacing w:line="400" w:lineRule="exact"/>
              <w:ind w:firstLine="120" w:firstLineChars="50"/>
              <w:rPr>
                <w:rFonts w:hAnsi="宋体" w:cs="仿宋_GB2312"/>
                <w:color w:val="000000"/>
                <w:sz w:val="24"/>
                <w:szCs w:val="24"/>
              </w:rPr>
            </w:pPr>
            <w:r>
              <w:rPr>
                <w:rFonts w:hint="eastAsia" w:hAnsi="宋体" w:cs="仿宋_GB2312"/>
                <w:color w:val="000000"/>
                <w:sz w:val="24"/>
                <w:szCs w:val="24"/>
              </w:rPr>
              <w:t>有下列情形之一的，属于招标人与投标人串通投标：</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（一）招标人在开标前开启投标文件并将有关信息泄露给其他投标人;</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（二）招标人直接或者间接向投标人泄露标底、评标委员会成员等信息；</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（三）招标人明示或者暗示投标人压低或者抬高投标报价；</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（四）招标人授意投标人撤换、修改投标文件；</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（五）招标人明示或者暗示投标人为特定投标人中标提供方便；</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（六）招标人与投标人为谋求特定投标人中标而采取的其他串通行为。</w:t>
            </w:r>
          </w:p>
          <w:p>
            <w:pPr>
              <w:autoSpaceDE w:val="0"/>
              <w:autoSpaceDN w:val="0"/>
              <w:adjustRightInd w:val="0"/>
              <w:spacing w:line="400" w:lineRule="exact"/>
              <w:rPr>
                <w:rFonts w:hAnsi="宋体" w:cs="仿宋_GB2312"/>
                <w:b/>
                <w:color w:val="000000"/>
                <w:sz w:val="24"/>
                <w:szCs w:val="24"/>
              </w:rPr>
            </w:pPr>
            <w:r>
              <w:rPr>
                <w:rFonts w:hint="eastAsia" w:hAnsi="宋体" w:cs="仿宋_GB2312"/>
                <w:b/>
                <w:color w:val="000000"/>
                <w:sz w:val="24"/>
                <w:szCs w:val="24"/>
              </w:rPr>
              <w:t>《中华人民共和国招标投标法实施条例》第四十二条：</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 xml:space="preserve">  使用通过受让或者租借等方式获取的资格、资质证书投标的，属于招标投标法第三十三条规定的以他人名义投标。</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投标人有下列情形之一的，属于招标投标法第三十三条规定的以其他方式弄虚作假的行为：</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（一）使用伪造、变造的许可证件；</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（二）提供虚假的财务状况或者业绩；</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（三）提供虚假的项目负责人或者主要技术人员简历、劳动关系证明；</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（四）提供虚假的信用状况；</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（五）其他弄虚作假的行为。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805" w:type="dxa"/>
            <w:gridSpan w:val="5"/>
            <w:vAlign w:val="center"/>
          </w:tcPr>
          <w:p>
            <w:pPr>
              <w:autoSpaceDE w:val="0"/>
              <w:autoSpaceDN w:val="0"/>
              <w:adjustRightInd w:val="0"/>
              <w:spacing w:line="400" w:lineRule="exact"/>
              <w:rPr>
                <w:rFonts w:hAnsi="宋体" w:cs="仿宋_GB2312"/>
                <w:b/>
                <w:color w:val="000000"/>
                <w:sz w:val="24"/>
                <w:szCs w:val="24"/>
              </w:rPr>
            </w:pPr>
            <w:r>
              <w:rPr>
                <w:rFonts w:hint="eastAsia" w:hAnsi="宋体" w:cs="仿宋_GB2312"/>
                <w:b/>
                <w:color w:val="000000"/>
                <w:sz w:val="24"/>
                <w:szCs w:val="24"/>
              </w:rPr>
              <w:t>10.16</w:t>
            </w:r>
            <w:r>
              <w:rPr>
                <w:rFonts w:hint="eastAsia" w:hAnsi="宋体" w:cs="仿宋_GB2312"/>
                <w:b/>
                <w:bCs/>
                <w:color w:val="000000"/>
                <w:sz w:val="24"/>
                <w:szCs w:val="24"/>
              </w:rPr>
              <w:t>特别提醒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110" w:type="dxa"/>
            <w:gridSpan w:val="2"/>
            <w:vAlign w:val="center"/>
          </w:tcPr>
          <w:p>
            <w:pPr>
              <w:autoSpaceDE w:val="0"/>
              <w:autoSpaceDN w:val="0"/>
              <w:adjustRightInd w:val="0"/>
              <w:spacing w:line="400" w:lineRule="exact"/>
              <w:rPr>
                <w:rFonts w:hAnsi="宋体" w:cs="仿宋_GB2312"/>
                <w:b/>
                <w:bCs/>
                <w:color w:val="000000"/>
                <w:sz w:val="24"/>
                <w:szCs w:val="24"/>
              </w:rPr>
            </w:pPr>
          </w:p>
        </w:tc>
        <w:tc>
          <w:tcPr>
            <w:tcW w:w="8695" w:type="dxa"/>
            <w:gridSpan w:val="3"/>
            <w:vAlign w:val="center"/>
          </w:tcPr>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2、潜在投标人如对招标文件有异议，请在规定时间内在《全国公共资源交易平台（河南省·许昌市）》公共资源交易系统中提出，以其他方式递交的异议不予接受。</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3、投标人在投标截止时间前应随时关注《全国公共资源交易平台（河南省·许昌市）》公共资源交易系统发出的有关本项目的答疑、修改等相关内容。</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4、本项目试行全流程电子化交易，如因交易系统异常情况无法完成，将以人工方式进行。</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5、投标文件依据最终的招标文件进行编制。如果招标文件发生变更，投标人应以招标人最终发出的电子招标文件为准，编制投标文件，务请投标人随时关注项目变更信息。</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6、投标人电子投标文件成功提交后，应打印“投标文件提交回执单”，供开标现场备查。</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7、商务标投标文件制作注意事项：</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7.1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7.2 商务标投标文件制作技术咨询：0374-2961598。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110" w:type="dxa"/>
            <w:gridSpan w:val="2"/>
            <w:vAlign w:val="center"/>
          </w:tcPr>
          <w:p>
            <w:pPr>
              <w:autoSpaceDE w:val="0"/>
              <w:autoSpaceDN w:val="0"/>
              <w:adjustRightInd w:val="0"/>
              <w:spacing w:line="420" w:lineRule="exact"/>
              <w:jc w:val="center"/>
              <w:rPr>
                <w:rFonts w:hAnsi="宋体" w:cs="仿宋_GB2312"/>
                <w:color w:val="000000"/>
                <w:sz w:val="24"/>
                <w:szCs w:val="24"/>
              </w:rPr>
            </w:pPr>
            <w:r>
              <w:rPr>
                <w:rFonts w:hint="eastAsia" w:hAnsi="宋体" w:cs="仿宋_GB2312"/>
                <w:color w:val="000000"/>
                <w:sz w:val="24"/>
                <w:szCs w:val="24"/>
              </w:rPr>
              <w:t>11</w:t>
            </w:r>
          </w:p>
        </w:tc>
        <w:tc>
          <w:tcPr>
            <w:tcW w:w="8695" w:type="dxa"/>
            <w:gridSpan w:val="3"/>
            <w:vAlign w:val="center"/>
          </w:tcPr>
          <w:p>
            <w:pPr>
              <w:autoSpaceDE w:val="0"/>
              <w:autoSpaceDN w:val="0"/>
              <w:adjustRightInd w:val="0"/>
              <w:spacing w:line="420" w:lineRule="exact"/>
              <w:rPr>
                <w:rFonts w:hAnsi="宋体" w:cs="仿宋_GB2312"/>
                <w:color w:val="000000"/>
                <w:sz w:val="24"/>
                <w:szCs w:val="24"/>
              </w:rPr>
            </w:pPr>
            <w:r>
              <w:rPr>
                <w:rFonts w:hint="eastAsia" w:hAnsi="宋体" w:cs="仿宋_GB2312"/>
                <w:color w:val="000000"/>
                <w:sz w:val="24"/>
                <w:szCs w:val="24"/>
              </w:rPr>
              <w:t>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805" w:type="dxa"/>
            <w:gridSpan w:val="5"/>
            <w:vAlign w:val="center"/>
          </w:tcPr>
          <w:p>
            <w:pPr>
              <w:autoSpaceDE w:val="0"/>
              <w:autoSpaceDN w:val="0"/>
              <w:spacing w:line="360" w:lineRule="exact"/>
              <w:jc w:val="left"/>
              <w:outlineLvl w:val="0"/>
              <w:rPr>
                <w:rFonts w:hAnsi="宋体" w:cs="仿宋_GB2312"/>
                <w:color w:val="000000"/>
                <w:sz w:val="24"/>
                <w:szCs w:val="24"/>
              </w:rPr>
            </w:pPr>
            <w:r>
              <w:rPr>
                <w:rFonts w:hint="eastAsia" w:hAnsi="宋体"/>
                <w:color w:val="000000"/>
                <w:position w:val="6"/>
                <w:sz w:val="24"/>
                <w:szCs w:val="24"/>
              </w:rPr>
              <w:t>未尽事宜，按国家有关规定执行。</w:t>
            </w:r>
          </w:p>
        </w:tc>
      </w:tr>
    </w:tbl>
    <w:p>
      <w:pPr>
        <w:autoSpaceDE w:val="0"/>
        <w:autoSpaceDN w:val="0"/>
        <w:spacing w:line="420" w:lineRule="exact"/>
        <w:jc w:val="left"/>
        <w:outlineLvl w:val="0"/>
        <w:rPr>
          <w:rFonts w:hAnsi="宋体" w:cs="宋体"/>
          <w:b/>
          <w:sz w:val="28"/>
          <w:szCs w:val="28"/>
        </w:rPr>
      </w:pPr>
      <w:r>
        <w:rPr>
          <w:rFonts w:hint="eastAsia" w:hAnsi="宋体" w:cs="宋体"/>
          <w:b/>
          <w:sz w:val="28"/>
          <w:szCs w:val="28"/>
        </w:rPr>
        <w:t>1. 总则</w:t>
      </w:r>
    </w:p>
    <w:p>
      <w:pPr>
        <w:autoSpaceDE w:val="0"/>
        <w:autoSpaceDN w:val="0"/>
        <w:spacing w:line="42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1.1.3 本招标项目招标代理机构：见投标人须知前附表。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本招标项目地点：见投标人须知前附表。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1.1.5 本标段建设地点：见投标人须知前附表。</w:t>
      </w:r>
    </w:p>
    <w:p>
      <w:pPr>
        <w:autoSpaceDE w:val="0"/>
        <w:autoSpaceDN w:val="0"/>
        <w:spacing w:line="42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1.2.2本招标项目的资金落实情况：见投标人须知前附表。</w:t>
      </w:r>
    </w:p>
    <w:p>
      <w:pPr>
        <w:autoSpaceDE w:val="0"/>
        <w:autoSpaceDN w:val="0"/>
        <w:spacing w:line="42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20" w:lineRule="exact"/>
        <w:jc w:val="left"/>
        <w:outlineLvl w:val="0"/>
        <w:rPr>
          <w:rFonts w:hAnsi="宋体" w:cs="宋体"/>
          <w:b/>
          <w:sz w:val="24"/>
        </w:rPr>
      </w:pPr>
      <w:r>
        <w:rPr>
          <w:rFonts w:hint="eastAsia" w:hAnsi="宋体" w:cs="宋体"/>
          <w:b/>
          <w:sz w:val="24"/>
        </w:rPr>
        <w:t>1.4 投标人及</w:t>
      </w:r>
      <w:r>
        <w:rPr>
          <w:rFonts w:hint="eastAsia" w:hAnsi="宋体" w:cs="宋体"/>
          <w:b/>
          <w:sz w:val="24"/>
          <w:szCs w:val="22"/>
        </w:rPr>
        <w:t>项目经理资</w:t>
      </w:r>
      <w:r>
        <w:rPr>
          <w:rFonts w:hint="eastAsia" w:hAnsi="宋体" w:cs="宋体"/>
          <w:b/>
          <w:sz w:val="24"/>
        </w:rPr>
        <w:t>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hAnsi="宋体"/>
          <w:sz w:val="24"/>
          <w:szCs w:val="24"/>
        </w:rPr>
        <w:t>项目经理</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1.4.3投标人不得存在下列情形之一：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（13）被国家发改委等部门列入联合惩戒备忘录（黑名单）的。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1.4.4单位负责人为同一人或存在控股、管理关系的不同单位，不得同时参加本项目投标。</w:t>
      </w:r>
    </w:p>
    <w:p>
      <w:pPr>
        <w:autoSpaceDE w:val="0"/>
        <w:autoSpaceDN w:val="0"/>
        <w:spacing w:line="420" w:lineRule="exact"/>
        <w:jc w:val="left"/>
        <w:outlineLvl w:val="0"/>
        <w:rPr>
          <w:rFonts w:hAnsi="宋体" w:cs="宋体"/>
          <w:b/>
          <w:sz w:val="24"/>
        </w:rPr>
      </w:pPr>
      <w:bookmarkStart w:id="17" w:name="_Toc152042311"/>
      <w:bookmarkStart w:id="18" w:name="_Toc152045535"/>
      <w:bookmarkStart w:id="19" w:name="_Toc179632552"/>
      <w:bookmarkStart w:id="20" w:name="_Toc144974503"/>
      <w:r>
        <w:rPr>
          <w:rFonts w:hint="eastAsia" w:hAnsi="宋体" w:cs="宋体"/>
          <w:b/>
          <w:sz w:val="24"/>
        </w:rPr>
        <w:t>1.5 费用承担</w:t>
      </w:r>
      <w:bookmarkEnd w:id="17"/>
      <w:bookmarkEnd w:id="18"/>
      <w:bookmarkEnd w:id="19"/>
      <w:bookmarkEnd w:id="20"/>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20" w:lineRule="exact"/>
        <w:jc w:val="left"/>
        <w:outlineLvl w:val="0"/>
        <w:rPr>
          <w:rFonts w:hAnsi="宋体" w:cs="宋体"/>
          <w:b/>
          <w:sz w:val="24"/>
        </w:rPr>
      </w:pPr>
      <w:bookmarkStart w:id="21" w:name="_Toc144974504"/>
      <w:bookmarkStart w:id="22" w:name="_Toc152042312"/>
      <w:bookmarkStart w:id="23" w:name="_Toc152045536"/>
      <w:bookmarkStart w:id="24" w:name="_Toc179632553"/>
      <w:r>
        <w:rPr>
          <w:rFonts w:hint="eastAsia" w:hAnsi="宋体" w:cs="宋体"/>
          <w:b/>
          <w:sz w:val="24"/>
        </w:rPr>
        <w:t>1.6 保密</w:t>
      </w:r>
      <w:bookmarkEnd w:id="21"/>
      <w:bookmarkEnd w:id="22"/>
      <w:bookmarkEnd w:id="23"/>
      <w:bookmarkEnd w:id="24"/>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20" w:lineRule="exact"/>
        <w:jc w:val="left"/>
        <w:outlineLvl w:val="0"/>
        <w:rPr>
          <w:rFonts w:hAnsi="宋体" w:cs="宋体"/>
          <w:b/>
          <w:sz w:val="24"/>
        </w:rPr>
      </w:pPr>
      <w:bookmarkStart w:id="25" w:name="_Toc144974505"/>
      <w:bookmarkStart w:id="26" w:name="_Toc152042313"/>
      <w:bookmarkStart w:id="27" w:name="_Toc179632554"/>
      <w:bookmarkStart w:id="28" w:name="_Toc152045537"/>
      <w:r>
        <w:rPr>
          <w:rFonts w:hint="eastAsia" w:hAnsi="宋体" w:cs="宋体"/>
          <w:b/>
          <w:sz w:val="24"/>
        </w:rPr>
        <w:t>1.7 语言</w:t>
      </w:r>
      <w:bookmarkEnd w:id="25"/>
      <w:r>
        <w:rPr>
          <w:rFonts w:hint="eastAsia" w:hAnsi="宋体" w:cs="宋体"/>
          <w:b/>
          <w:sz w:val="24"/>
        </w:rPr>
        <w:t>文字</w:t>
      </w:r>
      <w:bookmarkEnd w:id="26"/>
      <w:bookmarkEnd w:id="27"/>
      <w:bookmarkEnd w:id="28"/>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20" w:lineRule="exact"/>
        <w:jc w:val="left"/>
        <w:outlineLvl w:val="0"/>
        <w:rPr>
          <w:rFonts w:hAnsi="宋体" w:cs="宋体"/>
          <w:b/>
          <w:sz w:val="24"/>
        </w:rPr>
      </w:pPr>
      <w:bookmarkStart w:id="29" w:name="_Toc144974506"/>
      <w:bookmarkStart w:id="30" w:name="_Toc152042314"/>
      <w:bookmarkStart w:id="31" w:name="_Toc152045538"/>
      <w:bookmarkStart w:id="32" w:name="_Toc179632555"/>
      <w:r>
        <w:rPr>
          <w:rFonts w:hint="eastAsia" w:hAnsi="宋体" w:cs="宋体"/>
          <w:b/>
          <w:sz w:val="24"/>
        </w:rPr>
        <w:t>1.8 计量单位</w:t>
      </w:r>
      <w:bookmarkEnd w:id="29"/>
      <w:bookmarkEnd w:id="30"/>
      <w:bookmarkEnd w:id="31"/>
      <w:bookmarkEnd w:id="32"/>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2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2"/>
    </w:p>
    <w:p>
      <w:pPr>
        <w:autoSpaceDE w:val="0"/>
        <w:autoSpaceDN w:val="0"/>
        <w:spacing w:line="420" w:lineRule="exact"/>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组织。</w:t>
      </w:r>
    </w:p>
    <w:p>
      <w:pPr>
        <w:autoSpaceDE w:val="0"/>
        <w:autoSpaceDN w:val="0"/>
        <w:spacing w:line="420" w:lineRule="exact"/>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20" w:lineRule="exact"/>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20" w:lineRule="exact"/>
        <w:jc w:val="left"/>
        <w:outlineLvl w:val="0"/>
        <w:rPr>
          <w:rFonts w:hAnsi="宋体" w:cs="宋体"/>
          <w:b/>
          <w:sz w:val="24"/>
        </w:rPr>
      </w:pPr>
      <w:bookmarkStart w:id="33" w:name="_Toc283559948"/>
      <w:r>
        <w:rPr>
          <w:rFonts w:hAnsi="宋体" w:cs="宋体"/>
          <w:b/>
          <w:sz w:val="24"/>
        </w:rPr>
        <w:t xml:space="preserve">1.10 </w:t>
      </w:r>
      <w:r>
        <w:rPr>
          <w:rFonts w:hint="eastAsia" w:hAnsi="宋体" w:cs="宋体"/>
          <w:b/>
          <w:sz w:val="24"/>
        </w:rPr>
        <w:t>投标预备会</w:t>
      </w:r>
      <w:bookmarkEnd w:id="33"/>
    </w:p>
    <w:p>
      <w:pPr>
        <w:autoSpaceDE w:val="0"/>
        <w:autoSpaceDN w:val="0"/>
        <w:spacing w:line="420" w:lineRule="exact"/>
        <w:ind w:firstLine="470" w:firstLineChars="196"/>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2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2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20" w:lineRule="exact"/>
        <w:jc w:val="left"/>
        <w:outlineLvl w:val="0"/>
        <w:rPr>
          <w:rFonts w:hAnsi="宋体" w:cs="宋体"/>
          <w:b/>
          <w:sz w:val="24"/>
        </w:rPr>
      </w:pPr>
      <w:bookmarkStart w:id="34" w:name="_Toc283559949"/>
      <w:r>
        <w:rPr>
          <w:rFonts w:hAnsi="宋体" w:cs="宋体"/>
          <w:b/>
          <w:sz w:val="24"/>
        </w:rPr>
        <w:t xml:space="preserve">1.11 </w:t>
      </w:r>
      <w:r>
        <w:rPr>
          <w:rFonts w:hint="eastAsia" w:hAnsi="宋体" w:cs="宋体"/>
          <w:b/>
          <w:sz w:val="24"/>
        </w:rPr>
        <w:t>分包</w:t>
      </w:r>
      <w:bookmarkEnd w:id="34"/>
    </w:p>
    <w:p>
      <w:pPr>
        <w:autoSpaceDE w:val="0"/>
        <w:autoSpaceDN w:val="0"/>
        <w:spacing w:line="42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20" w:lineRule="exact"/>
        <w:jc w:val="left"/>
        <w:outlineLvl w:val="0"/>
        <w:rPr>
          <w:rFonts w:hAnsi="宋体" w:cs="宋体"/>
          <w:b/>
          <w:sz w:val="24"/>
        </w:rPr>
      </w:pPr>
      <w:bookmarkStart w:id="35" w:name="_Toc283559950"/>
      <w:r>
        <w:rPr>
          <w:rFonts w:hAnsi="宋体" w:cs="宋体"/>
          <w:b/>
          <w:sz w:val="24"/>
        </w:rPr>
        <w:t xml:space="preserve">1.12 </w:t>
      </w:r>
      <w:r>
        <w:rPr>
          <w:rFonts w:hint="eastAsia" w:hAnsi="宋体" w:cs="宋体"/>
          <w:b/>
          <w:sz w:val="24"/>
        </w:rPr>
        <w:t>偏离</w:t>
      </w:r>
      <w:bookmarkEnd w:id="35"/>
    </w:p>
    <w:p>
      <w:pPr>
        <w:autoSpaceDE w:val="0"/>
        <w:autoSpaceDN w:val="0"/>
        <w:adjustRightInd w:val="0"/>
        <w:spacing w:line="42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15"/>
        <w:spacing w:line="420" w:lineRule="exact"/>
        <w:jc w:val="both"/>
        <w:outlineLvl w:val="0"/>
        <w:rPr>
          <w:rFonts w:hAnsi="宋体"/>
          <w:b/>
          <w:color w:val="auto"/>
        </w:rPr>
      </w:pPr>
      <w:bookmarkStart w:id="36" w:name="_Toc283559951"/>
      <w:r>
        <w:rPr>
          <w:rFonts w:hAnsi="宋体"/>
          <w:b/>
          <w:color w:val="auto"/>
        </w:rPr>
        <w:t xml:space="preserve">2. </w:t>
      </w:r>
      <w:r>
        <w:rPr>
          <w:rFonts w:hint="eastAsia" w:hAnsi="宋体"/>
          <w:b/>
          <w:color w:val="auto"/>
        </w:rPr>
        <w:t>招标文件</w:t>
      </w:r>
      <w:bookmarkEnd w:id="36"/>
    </w:p>
    <w:p>
      <w:pPr>
        <w:autoSpaceDE w:val="0"/>
        <w:autoSpaceDN w:val="0"/>
        <w:spacing w:line="420" w:lineRule="exact"/>
        <w:jc w:val="left"/>
        <w:outlineLvl w:val="0"/>
        <w:rPr>
          <w:rFonts w:hAnsi="宋体" w:cs="宋体"/>
          <w:b/>
          <w:sz w:val="24"/>
        </w:rPr>
      </w:pPr>
      <w:bookmarkStart w:id="37" w:name="_Toc283559952"/>
      <w:r>
        <w:rPr>
          <w:rFonts w:hAnsi="宋体" w:cs="宋体"/>
          <w:b/>
          <w:sz w:val="24"/>
        </w:rPr>
        <w:t xml:space="preserve">2.1 </w:t>
      </w:r>
      <w:r>
        <w:rPr>
          <w:rFonts w:hint="eastAsia" w:hAnsi="宋体" w:cs="宋体"/>
          <w:b/>
          <w:sz w:val="24"/>
        </w:rPr>
        <w:t>招标文件的组成</w:t>
      </w:r>
      <w:bookmarkEnd w:id="37"/>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本招标文件包括：</w:t>
      </w:r>
    </w:p>
    <w:p>
      <w:pPr>
        <w:spacing w:line="420" w:lineRule="exact"/>
        <w:ind w:firstLine="410" w:firstLineChars="171"/>
        <w:rPr>
          <w:sz w:val="24"/>
        </w:rPr>
      </w:pPr>
      <w:r>
        <w:rPr>
          <w:rFonts w:hint="eastAsia"/>
          <w:sz w:val="24"/>
        </w:rPr>
        <w:t>（1）招标公告；</w:t>
      </w:r>
    </w:p>
    <w:p>
      <w:pPr>
        <w:spacing w:line="420" w:lineRule="exact"/>
        <w:ind w:firstLine="410" w:firstLineChars="171"/>
        <w:rPr>
          <w:sz w:val="24"/>
        </w:rPr>
      </w:pPr>
      <w:r>
        <w:rPr>
          <w:rFonts w:hint="eastAsia"/>
          <w:sz w:val="24"/>
        </w:rPr>
        <w:t>（2）投标人须知；</w:t>
      </w:r>
    </w:p>
    <w:p>
      <w:pPr>
        <w:spacing w:line="420" w:lineRule="exact"/>
        <w:ind w:firstLine="410" w:firstLineChars="171"/>
        <w:rPr>
          <w:sz w:val="24"/>
        </w:rPr>
      </w:pPr>
      <w:r>
        <w:rPr>
          <w:rFonts w:hint="eastAsia"/>
          <w:sz w:val="24"/>
        </w:rPr>
        <w:t>（3）评标办法；</w:t>
      </w:r>
    </w:p>
    <w:p>
      <w:pPr>
        <w:spacing w:line="420" w:lineRule="exact"/>
        <w:ind w:firstLine="410" w:firstLineChars="171"/>
        <w:rPr>
          <w:sz w:val="24"/>
        </w:rPr>
      </w:pPr>
      <w:r>
        <w:rPr>
          <w:rFonts w:hint="eastAsia"/>
          <w:sz w:val="24"/>
        </w:rPr>
        <w:t>（4）合同条款及格式；</w:t>
      </w:r>
    </w:p>
    <w:p>
      <w:pPr>
        <w:spacing w:line="420" w:lineRule="exact"/>
        <w:ind w:firstLine="410" w:firstLineChars="171"/>
        <w:rPr>
          <w:sz w:val="24"/>
        </w:rPr>
      </w:pPr>
      <w:r>
        <w:rPr>
          <w:rFonts w:hint="eastAsia"/>
          <w:sz w:val="24"/>
        </w:rPr>
        <w:t xml:space="preserve">（5）工程量清单； </w:t>
      </w:r>
    </w:p>
    <w:p>
      <w:pPr>
        <w:spacing w:line="420" w:lineRule="exact"/>
        <w:ind w:firstLine="410" w:firstLineChars="171"/>
        <w:rPr>
          <w:sz w:val="24"/>
        </w:rPr>
      </w:pPr>
      <w:r>
        <w:rPr>
          <w:rFonts w:hint="eastAsia"/>
          <w:sz w:val="24"/>
        </w:rPr>
        <w:t xml:space="preserve">（6）图纸； </w:t>
      </w:r>
    </w:p>
    <w:p>
      <w:pPr>
        <w:spacing w:line="420" w:lineRule="exact"/>
        <w:ind w:firstLine="410" w:firstLineChars="171"/>
        <w:rPr>
          <w:sz w:val="24"/>
        </w:rPr>
      </w:pPr>
      <w:r>
        <w:rPr>
          <w:rFonts w:hint="eastAsia"/>
          <w:sz w:val="24"/>
        </w:rPr>
        <w:t>（7）技术标准和要求；</w:t>
      </w:r>
    </w:p>
    <w:p>
      <w:pPr>
        <w:spacing w:line="420" w:lineRule="exact"/>
        <w:ind w:firstLine="410" w:firstLineChars="171"/>
        <w:rPr>
          <w:sz w:val="24"/>
        </w:rPr>
      </w:pPr>
      <w:r>
        <w:rPr>
          <w:rFonts w:hint="eastAsia"/>
          <w:sz w:val="24"/>
        </w:rPr>
        <w:t>（8）投标文件格式；</w:t>
      </w:r>
    </w:p>
    <w:p>
      <w:pPr>
        <w:spacing w:line="420" w:lineRule="exact"/>
        <w:ind w:firstLine="410" w:firstLineChars="171"/>
        <w:rPr>
          <w:sz w:val="24"/>
        </w:rPr>
      </w:pPr>
      <w:r>
        <w:rPr>
          <w:rFonts w:hint="eastAsia"/>
          <w:sz w:val="24"/>
        </w:rPr>
        <w:t>（9）投标人须知前附表规定的其他材料；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20" w:lineRule="exact"/>
        <w:jc w:val="left"/>
        <w:outlineLvl w:val="0"/>
        <w:rPr>
          <w:rFonts w:hAnsi="宋体" w:cs="宋体"/>
          <w:b/>
          <w:sz w:val="24"/>
        </w:rPr>
      </w:pPr>
      <w:bookmarkStart w:id="38" w:name="_Toc283559953"/>
      <w:r>
        <w:rPr>
          <w:rFonts w:hAnsi="宋体" w:cs="宋体"/>
          <w:b/>
          <w:sz w:val="24"/>
        </w:rPr>
        <w:t xml:space="preserve">2.2 </w:t>
      </w:r>
      <w:r>
        <w:rPr>
          <w:rFonts w:hint="eastAsia" w:hAnsi="宋体" w:cs="宋体"/>
          <w:b/>
          <w:sz w:val="24"/>
        </w:rPr>
        <w:t>招标文件的澄清</w:t>
      </w:r>
      <w:bookmarkEnd w:id="38"/>
    </w:p>
    <w:p>
      <w:pPr>
        <w:autoSpaceDE w:val="0"/>
        <w:autoSpaceDN w:val="0"/>
        <w:adjustRightInd w:val="0"/>
        <w:spacing w:line="420" w:lineRule="exact"/>
        <w:ind w:firstLine="616" w:firstLineChars="257"/>
        <w:jc w:val="left"/>
        <w:rPr>
          <w:rFonts w:ascii="新宋体" w:hAnsi="新宋体" w:eastAsia="新宋体" w:cs="仿宋_GB2312"/>
          <w:sz w:val="24"/>
        </w:rPr>
      </w:pPr>
      <w:bookmarkStart w:id="39" w:name="_Toc283559954"/>
      <w:r>
        <w:rPr>
          <w:rFonts w:ascii="新宋体" w:hAnsi="新宋体" w:eastAsia="新宋体" w:cs="TimesNewRomanPSMT"/>
          <w:sz w:val="24"/>
        </w:rPr>
        <w:t xml:space="preserve">2.2.1 </w:t>
      </w:r>
      <w:r>
        <w:rPr>
          <w:rFonts w:hint="eastAsia" w:ascii="新宋体" w:hAnsi="新宋体" w:eastAsia="新宋体" w:cs="仿宋_GB2312"/>
          <w:sz w:val="24"/>
        </w:rPr>
        <w:t>投标人应仔细阅读和检查招标文件的全部内容。如发现缺页或附件不全，应及时向招标人提出，以便补齐。如有疑问，应在投标人须知前附表规定的时间要求招标人对招标文件予以澄清。</w:t>
      </w:r>
      <w:r>
        <w:rPr>
          <w:rFonts w:hint="eastAsia" w:ascii="新宋体" w:hAnsi="新宋体" w:eastAsia="新宋体" w:cs="仿宋_GB2312"/>
          <w:b/>
          <w:bCs/>
          <w:sz w:val="24"/>
        </w:rPr>
        <w:t>如未提出异议，视为全面接受。</w:t>
      </w:r>
    </w:p>
    <w:p>
      <w:pPr>
        <w:autoSpaceDE w:val="0"/>
        <w:autoSpaceDN w:val="0"/>
        <w:adjustRightInd w:val="0"/>
        <w:spacing w:line="420" w:lineRule="exact"/>
        <w:ind w:firstLine="616" w:firstLineChars="257"/>
        <w:jc w:val="left"/>
        <w:rPr>
          <w:rFonts w:ascii="新宋体" w:hAnsi="新宋体" w:eastAsia="新宋体" w:cs="仿宋_GB2312"/>
          <w:sz w:val="24"/>
        </w:rPr>
      </w:pPr>
      <w:r>
        <w:rPr>
          <w:rFonts w:ascii="新宋体" w:hAnsi="新宋体" w:eastAsia="新宋体" w:cs="TimesNewRomanPSMT"/>
          <w:sz w:val="24"/>
        </w:rPr>
        <w:t xml:space="preserve">2.2.2 </w:t>
      </w:r>
      <w:r>
        <w:rPr>
          <w:rFonts w:hint="eastAsia" w:ascii="新宋体" w:hAnsi="新宋体" w:eastAsia="新宋体" w:cs="仿宋_GB2312"/>
          <w:sz w:val="24"/>
        </w:rPr>
        <w:t>招标文件的澄清将在投标人须知前附表规定的投标截止时间</w:t>
      </w:r>
      <w:r>
        <w:rPr>
          <w:rFonts w:ascii="新宋体" w:hAnsi="新宋体" w:eastAsia="新宋体" w:cs="TimesNewRomanPSMT"/>
          <w:sz w:val="24"/>
        </w:rPr>
        <w:t>15</w:t>
      </w:r>
      <w:r>
        <w:rPr>
          <w:rFonts w:hint="eastAsia" w:ascii="新宋体" w:hAnsi="新宋体" w:eastAsia="新宋体" w:cs="仿宋_GB2312"/>
          <w:sz w:val="24"/>
        </w:rPr>
        <w:t>天前通过公共资源交易系统电子平台发出，但不指明澄清问题的来源。如果澄清发出的时间距投标截止时间不足</w:t>
      </w:r>
      <w:r>
        <w:rPr>
          <w:rFonts w:ascii="新宋体" w:hAnsi="新宋体" w:eastAsia="新宋体" w:cs="TimesNewRomanPSMT"/>
          <w:sz w:val="24"/>
        </w:rPr>
        <w:t>15</w:t>
      </w:r>
      <w:r>
        <w:rPr>
          <w:rFonts w:hint="eastAsia" w:ascii="新宋体" w:hAnsi="新宋体" w:eastAsia="新宋体" w:cs="仿宋_GB2312"/>
          <w:sz w:val="24"/>
        </w:rPr>
        <w:t>天，相应延长投标截止时间。</w:t>
      </w:r>
    </w:p>
    <w:p>
      <w:pPr>
        <w:autoSpaceDE w:val="0"/>
        <w:autoSpaceDN w:val="0"/>
        <w:adjustRightInd w:val="0"/>
        <w:spacing w:line="420" w:lineRule="exact"/>
        <w:ind w:firstLine="616" w:firstLineChars="257"/>
        <w:jc w:val="left"/>
        <w:rPr>
          <w:rFonts w:ascii="新宋体" w:hAnsi="新宋体" w:eastAsia="新宋体" w:cs="仿宋_GB2312"/>
          <w:sz w:val="24"/>
        </w:rPr>
      </w:pPr>
      <w:r>
        <w:rPr>
          <w:rFonts w:ascii="新宋体" w:hAnsi="新宋体" w:eastAsia="新宋体" w:cs="TimesNewRomanPSMT"/>
          <w:sz w:val="24"/>
        </w:rPr>
        <w:t xml:space="preserve">2.2.3 </w:t>
      </w:r>
      <w:r>
        <w:rPr>
          <w:rFonts w:hint="eastAsia" w:ascii="新宋体" w:hAnsi="新宋体" w:eastAsia="新宋体" w:cs="仿宋_GB2312"/>
          <w:sz w:val="24"/>
        </w:rPr>
        <w:t>所有澄清、答疑全部以公共资源交易系统电子平台发出的为准，不再接受书面形式的递交。</w:t>
      </w:r>
    </w:p>
    <w:p>
      <w:pPr>
        <w:autoSpaceDE w:val="0"/>
        <w:autoSpaceDN w:val="0"/>
        <w:spacing w:line="42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9"/>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40" w:name="_Toc144974514"/>
      <w:bookmarkStart w:id="41" w:name="_Toc152042322"/>
      <w:bookmarkStart w:id="42" w:name="_Toc152045546"/>
      <w:bookmarkStart w:id="43" w:name="_Toc179632564"/>
      <w:r>
        <w:rPr>
          <w:rFonts w:hint="eastAsia" w:hAnsi="宋体" w:cs="宋体"/>
          <w:b/>
          <w:sz w:val="24"/>
        </w:rPr>
        <w:t>3. 投标文件</w:t>
      </w:r>
      <w:bookmarkEnd w:id="40"/>
      <w:bookmarkEnd w:id="41"/>
      <w:bookmarkEnd w:id="42"/>
      <w:bookmarkEnd w:id="43"/>
    </w:p>
    <w:p>
      <w:pPr>
        <w:autoSpaceDE w:val="0"/>
        <w:autoSpaceDN w:val="0"/>
        <w:spacing w:line="420" w:lineRule="exact"/>
        <w:jc w:val="left"/>
        <w:outlineLvl w:val="0"/>
        <w:rPr>
          <w:rFonts w:hAnsi="宋体" w:cs="宋体"/>
          <w:b/>
          <w:sz w:val="24"/>
        </w:rPr>
      </w:pPr>
      <w:bookmarkStart w:id="44"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3.1.1商务标组成：</w:t>
      </w:r>
    </w:p>
    <w:p>
      <w:pPr>
        <w:autoSpaceDE w:val="0"/>
        <w:autoSpaceDN w:val="0"/>
        <w:spacing w:line="420" w:lineRule="exact"/>
        <w:ind w:firstLine="480" w:firstLineChars="200"/>
        <w:jc w:val="left"/>
        <w:outlineLvl w:val="0"/>
        <w:rPr>
          <w:rFonts w:hAnsi="宋体" w:cs="宋体"/>
          <w:sz w:val="24"/>
        </w:rPr>
      </w:pPr>
      <w:r>
        <w:rPr>
          <w:rFonts w:hint="eastAsia" w:hAnsi="宋体" w:eastAsia="新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（1）投标函及投标函附录；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（2）法定代表人身份证明或附有法定代表人身份证明的授权委托书；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（3）投标保证金；</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 xml:space="preserve">（4）项目管理机构配备情况； </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（5）投标单位基本信息表；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（6）资格证明文件；</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（7）近年财务状况；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（8）近年完成的类似项目情况；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（9）正在施工的和新承接的项目情况；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（10）近年发生的诉讼及仲裁情况；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（11）承诺书（农民工工资保障金承诺书，不挂靠、不转包、不违法分包专项承诺书）；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（12）其它材料；</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3.1.3  技术标组成：</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（1）内容完整性；</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（2）主要施工方案和技术措施；</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（3）质量管理体系与措施；</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（4）安全管理体系与措施；</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（5）文明施工、环境保护管理体系及施工现场扬尘治理措施；</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（6）工期保证措施；</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（7）拟投入资源配备计划；</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（8）施工进度表与网络计划图；</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（9）施工总平面图布置；</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（10）技术创新的应用实施措施；</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（11）采用新工艺、新技术、新设备、新材料、BIM等的程度；</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（12）施工现场实施信息化监控和数据处理；</w:t>
      </w:r>
    </w:p>
    <w:p>
      <w:pPr>
        <w:tabs>
          <w:tab w:val="left" w:pos="1260"/>
        </w:tabs>
        <w:autoSpaceDE w:val="0"/>
        <w:autoSpaceDN w:val="0"/>
        <w:adjustRightInd w:val="0"/>
        <w:spacing w:line="420" w:lineRule="exact"/>
        <w:ind w:firstLine="480" w:firstLineChars="200"/>
        <w:jc w:val="left"/>
        <w:rPr>
          <w:rFonts w:ascii="新宋体" w:hAnsi="新宋体" w:eastAsia="新宋体" w:cs="仿宋_GB2312"/>
          <w:sz w:val="24"/>
        </w:rPr>
      </w:pPr>
      <w:r>
        <w:rPr>
          <w:rFonts w:hint="eastAsia" w:hAnsi="宋体" w:cs="宋体"/>
          <w:sz w:val="24"/>
        </w:rPr>
        <w:t>（13）风险管理措施。</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20" w:lineRule="exact"/>
        <w:ind w:firstLine="480" w:firstLineChars="200"/>
        <w:jc w:val="left"/>
        <w:rPr>
          <w:rFonts w:ascii="新宋体" w:hAnsi="新宋体" w:eastAsia="新宋体" w:cs="仿宋_GB2312"/>
          <w:sz w:val="24"/>
        </w:rPr>
      </w:pPr>
      <w:bookmarkStart w:id="45" w:name="OLE_LINK21"/>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2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bookmarkEnd w:id="45"/>
    <w:p>
      <w:pPr>
        <w:tabs>
          <w:tab w:val="left" w:pos="1260"/>
        </w:tabs>
        <w:wordWrap w:val="0"/>
        <w:autoSpaceDE w:val="0"/>
        <w:autoSpaceDN w:val="0"/>
        <w:adjustRightInd w:val="0"/>
        <w:spacing w:line="420" w:lineRule="exact"/>
        <w:ind w:firstLine="482"/>
        <w:jc w:val="left"/>
        <w:rPr>
          <w:rFonts w:hAnsi="宋体" w:cs="宋体"/>
          <w:b/>
          <w:sz w:val="24"/>
          <w:szCs w:val="24"/>
          <w:highlight w:val="yellow"/>
        </w:rPr>
      </w:pPr>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安全文明施工措施费、暂列金额与专业暂估价、增值税计入投标总报价，并在投标函、投标函附录中单列，不参与商务标评审。</w:t>
      </w:r>
    </w:p>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44"/>
    </w:p>
    <w:p>
      <w:pPr>
        <w:tabs>
          <w:tab w:val="left" w:pos="1260"/>
        </w:tabs>
        <w:autoSpaceDE w:val="0"/>
        <w:autoSpaceDN w:val="0"/>
        <w:adjustRightInd w:val="0"/>
        <w:spacing w:line="42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2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sz w:val="24"/>
        </w:rPr>
      </w:pPr>
      <w:bookmarkStart w:id="46" w:name="_Toc283559960"/>
      <w:r>
        <w:rPr>
          <w:rFonts w:hAnsi="宋体" w:cs="宋体"/>
          <w:b/>
          <w:bCs/>
          <w:sz w:val="24"/>
        </w:rPr>
        <w:t xml:space="preserve">3.4 </w:t>
      </w:r>
      <w:r>
        <w:rPr>
          <w:rFonts w:hint="eastAsia" w:hAnsi="宋体" w:cs="宋体"/>
          <w:b/>
          <w:bCs/>
          <w:sz w:val="24"/>
        </w:rPr>
        <w:t>投标担保</w:t>
      </w:r>
    </w:p>
    <w:p>
      <w:pPr>
        <w:autoSpaceDE w:val="0"/>
        <w:autoSpaceDN w:val="0"/>
        <w:adjustRightInd w:val="0"/>
        <w:snapToGrid w:val="0"/>
        <w:spacing w:line="420" w:lineRule="exact"/>
        <w:jc w:val="left"/>
        <w:outlineLvl w:val="0"/>
        <w:rPr>
          <w:sz w:val="24"/>
          <w:szCs w:val="24"/>
        </w:rPr>
      </w:pPr>
      <w:r>
        <w:rPr>
          <w:rFonts w:hint="eastAsia"/>
          <w:sz w:val="24"/>
          <w:szCs w:val="24"/>
        </w:rPr>
        <w:t xml:space="preserve">    3.4.1投标保证金递交截止时间及金额见投标人须知前附表。</w:t>
      </w:r>
    </w:p>
    <w:p>
      <w:pPr>
        <w:autoSpaceDE w:val="0"/>
        <w:autoSpaceDN w:val="0"/>
        <w:adjustRightInd w:val="0"/>
        <w:snapToGrid w:val="0"/>
        <w:spacing w:line="420" w:lineRule="exact"/>
        <w:jc w:val="left"/>
        <w:outlineLvl w:val="0"/>
        <w:rPr>
          <w:sz w:val="24"/>
          <w:szCs w:val="24"/>
        </w:rPr>
      </w:pPr>
      <w:r>
        <w:rPr>
          <w:rFonts w:hint="eastAsia"/>
          <w:sz w:val="24"/>
          <w:szCs w:val="24"/>
        </w:rPr>
        <w:t xml:space="preserve">    3.4.2投标保证金缴纳方式：银行转账、银行电汇（均需从投标人的基本账户汇出），不接受以现金方式缴纳的投标保证金。凡以现金方式缴纳投标保证金而影响其投标结果的，由投标人自行负责。</w:t>
      </w:r>
    </w:p>
    <w:p>
      <w:pPr>
        <w:autoSpaceDE w:val="0"/>
        <w:autoSpaceDN w:val="0"/>
        <w:adjustRightInd w:val="0"/>
        <w:snapToGrid w:val="0"/>
        <w:spacing w:line="420" w:lineRule="exact"/>
        <w:jc w:val="left"/>
        <w:outlineLvl w:val="0"/>
        <w:rPr>
          <w:sz w:val="24"/>
          <w:szCs w:val="24"/>
        </w:rPr>
      </w:pPr>
      <w:r>
        <w:rPr>
          <w:rFonts w:hint="eastAsia"/>
          <w:sz w:val="24"/>
          <w:szCs w:val="24"/>
        </w:rPr>
        <w:t xml:space="preserve">    （1）投标人网上报名后，登录http://221.14.6.70:8088/ggzy </w:t>
      </w:r>
    </w:p>
    <w:p>
      <w:pPr>
        <w:autoSpaceDE w:val="0"/>
        <w:autoSpaceDN w:val="0"/>
        <w:adjustRightInd w:val="0"/>
        <w:snapToGrid w:val="0"/>
        <w:spacing w:line="420" w:lineRule="exact"/>
        <w:jc w:val="left"/>
        <w:outlineLvl w:val="0"/>
        <w:rPr>
          <w:sz w:val="24"/>
          <w:szCs w:val="24"/>
        </w:rPr>
      </w:pPr>
      <w:r>
        <w:rPr>
          <w:rFonts w:hint="eastAsia"/>
          <w:sz w:val="24"/>
          <w:szCs w:val="24"/>
        </w:rPr>
        <w:t>系统，依次点击“会员向导”→“参与投标”→“费用缴纳说明”→“保证金缴纳说明单”，获取缴费说明单，根据每个标段的缴纳说明单在缴纳截止时间前缴纳；</w:t>
      </w:r>
    </w:p>
    <w:p>
      <w:pPr>
        <w:autoSpaceDE w:val="0"/>
        <w:autoSpaceDN w:val="0"/>
        <w:adjustRightInd w:val="0"/>
        <w:snapToGrid w:val="0"/>
        <w:spacing w:line="420" w:lineRule="exact"/>
        <w:ind w:firstLine="480"/>
        <w:jc w:val="left"/>
        <w:outlineLvl w:val="0"/>
        <w:rPr>
          <w:sz w:val="24"/>
          <w:szCs w:val="24"/>
        </w:rPr>
      </w:pPr>
      <w:r>
        <w:rPr>
          <w:rFonts w:hint="eastAsia"/>
          <w:sz w:val="24"/>
          <w:szCs w:val="24"/>
        </w:rPr>
        <w:t>（2）成功缴纳后重新登录前述系统，依次点击“会员向导”→“参与投标”→“保证金绑定”→“绑定”进行投标保证金绑定。</w:t>
      </w:r>
    </w:p>
    <w:p>
      <w:pPr>
        <w:autoSpaceDE w:val="0"/>
        <w:autoSpaceDN w:val="0"/>
        <w:adjustRightInd w:val="0"/>
        <w:snapToGrid w:val="0"/>
        <w:spacing w:line="420" w:lineRule="exact"/>
        <w:ind w:firstLine="480"/>
        <w:jc w:val="left"/>
        <w:outlineLvl w:val="0"/>
        <w:rPr>
          <w:sz w:val="24"/>
          <w:szCs w:val="24"/>
        </w:rPr>
      </w:pPr>
      <w:r>
        <w:rPr>
          <w:rFonts w:hint="eastAsia"/>
          <w:sz w:val="24"/>
          <w:szCs w:val="24"/>
        </w:rPr>
        <w:t>（3）投标人要严格按照“保证金缴纳说明单”内容缴纳、成功绑定投标保证金。未绑定标段的投标保证金，视为未按时交纳。并将缴纳凭证“长葛市公共资源交易中心保证金缴纳回执”附于投标文件中，同时在开标现场提供一份，以备查询。</w:t>
      </w:r>
    </w:p>
    <w:p>
      <w:pPr>
        <w:autoSpaceDE w:val="0"/>
        <w:autoSpaceDN w:val="0"/>
        <w:adjustRightInd w:val="0"/>
        <w:snapToGrid w:val="0"/>
        <w:spacing w:line="420" w:lineRule="exact"/>
        <w:ind w:firstLine="480"/>
        <w:jc w:val="left"/>
        <w:outlineLvl w:val="0"/>
        <w:rPr>
          <w:sz w:val="24"/>
          <w:szCs w:val="24"/>
        </w:rPr>
      </w:pPr>
      <w:r>
        <w:rPr>
          <w:rFonts w:hint="eastAsia"/>
          <w:sz w:val="24"/>
          <w:szCs w:val="24"/>
        </w:rPr>
        <w:t>（4）每个投标人每个项目每个标段只有唯一缴纳账号，切勿重复缴纳或错误缴纳。</w:t>
      </w:r>
    </w:p>
    <w:p>
      <w:pPr>
        <w:autoSpaceDE w:val="0"/>
        <w:autoSpaceDN w:val="0"/>
        <w:adjustRightInd w:val="0"/>
        <w:snapToGrid w:val="0"/>
        <w:spacing w:line="420" w:lineRule="exact"/>
        <w:ind w:firstLine="480"/>
        <w:jc w:val="left"/>
        <w:outlineLvl w:val="0"/>
        <w:rPr>
          <w:sz w:val="24"/>
          <w:szCs w:val="24"/>
        </w:rPr>
      </w:pPr>
      <w:r>
        <w:rPr>
          <w:rFonts w:hint="eastAsia"/>
          <w:sz w:val="24"/>
          <w:szCs w:val="24"/>
        </w:rPr>
        <w:t>3.4.3未按上述规定操作引起的无效投标，由投标人自行负责。</w:t>
      </w:r>
    </w:p>
    <w:p>
      <w:pPr>
        <w:autoSpaceDE w:val="0"/>
        <w:autoSpaceDN w:val="0"/>
        <w:adjustRightInd w:val="0"/>
        <w:snapToGrid w:val="0"/>
        <w:spacing w:line="420" w:lineRule="exact"/>
        <w:ind w:firstLine="480"/>
        <w:jc w:val="left"/>
        <w:outlineLvl w:val="0"/>
        <w:rPr>
          <w:sz w:val="24"/>
          <w:szCs w:val="24"/>
        </w:rPr>
      </w:pPr>
      <w:r>
        <w:rPr>
          <w:rFonts w:hint="eastAsia"/>
          <w:sz w:val="24"/>
          <w:szCs w:val="24"/>
        </w:rPr>
        <w:t>3.4.4汇款凭证无须备注项目编号和项目名称。</w:t>
      </w:r>
    </w:p>
    <w:p>
      <w:pPr>
        <w:autoSpaceDE w:val="0"/>
        <w:autoSpaceDN w:val="0"/>
        <w:adjustRightInd w:val="0"/>
        <w:snapToGrid w:val="0"/>
        <w:spacing w:line="420" w:lineRule="exact"/>
        <w:ind w:firstLine="480"/>
        <w:jc w:val="left"/>
        <w:outlineLvl w:val="0"/>
        <w:rPr>
          <w:sz w:val="24"/>
          <w:szCs w:val="24"/>
        </w:rPr>
      </w:pPr>
      <w:r>
        <w:rPr>
          <w:rFonts w:hint="eastAsia"/>
          <w:sz w:val="24"/>
          <w:szCs w:val="24"/>
        </w:rPr>
        <w:t>3.4.5出现以下情形造成的投标保证金无效，由投标人自行负责。</w:t>
      </w:r>
    </w:p>
    <w:p>
      <w:pPr>
        <w:autoSpaceDE w:val="0"/>
        <w:autoSpaceDN w:val="0"/>
        <w:adjustRightInd w:val="0"/>
        <w:snapToGrid w:val="0"/>
        <w:spacing w:line="420" w:lineRule="exact"/>
        <w:ind w:firstLine="480"/>
        <w:jc w:val="left"/>
        <w:outlineLvl w:val="0"/>
        <w:rPr>
          <w:sz w:val="24"/>
          <w:szCs w:val="24"/>
        </w:rPr>
      </w:pPr>
      <w:r>
        <w:rPr>
          <w:rFonts w:hint="eastAsia"/>
          <w:sz w:val="24"/>
          <w:szCs w:val="24"/>
        </w:rPr>
        <w:t>(1)投标保证金未从投标人的基本账户转出；</w:t>
      </w:r>
    </w:p>
    <w:p>
      <w:pPr>
        <w:autoSpaceDE w:val="0"/>
        <w:autoSpaceDN w:val="0"/>
        <w:adjustRightInd w:val="0"/>
        <w:snapToGrid w:val="0"/>
        <w:spacing w:line="420" w:lineRule="exact"/>
        <w:ind w:firstLine="480"/>
        <w:jc w:val="left"/>
        <w:outlineLvl w:val="0"/>
        <w:rPr>
          <w:sz w:val="24"/>
          <w:szCs w:val="24"/>
        </w:rPr>
      </w:pPr>
      <w:r>
        <w:rPr>
          <w:rFonts w:hint="eastAsia"/>
          <w:sz w:val="24"/>
          <w:szCs w:val="24"/>
        </w:rPr>
        <w:t>(2)投标保证金未按照招标文件划分的标段转账。</w:t>
      </w:r>
    </w:p>
    <w:p>
      <w:pPr>
        <w:autoSpaceDE w:val="0"/>
        <w:autoSpaceDN w:val="0"/>
        <w:adjustRightInd w:val="0"/>
        <w:snapToGrid w:val="0"/>
        <w:spacing w:line="420" w:lineRule="exact"/>
        <w:ind w:firstLine="480"/>
        <w:jc w:val="left"/>
        <w:outlineLvl w:val="0"/>
        <w:rPr>
          <w:sz w:val="24"/>
          <w:szCs w:val="24"/>
        </w:rPr>
      </w:pPr>
      <w:r>
        <w:rPr>
          <w:rFonts w:hint="eastAsia"/>
          <w:sz w:val="24"/>
          <w:szCs w:val="24"/>
        </w:rPr>
        <w:t>3.4.6《保证金缴纳绑定操作指南》获取方法：</w:t>
      </w:r>
    </w:p>
    <w:p>
      <w:pPr>
        <w:autoSpaceDE w:val="0"/>
        <w:autoSpaceDN w:val="0"/>
        <w:adjustRightInd w:val="0"/>
        <w:snapToGrid w:val="0"/>
        <w:spacing w:line="420" w:lineRule="exact"/>
        <w:ind w:firstLine="480"/>
        <w:jc w:val="left"/>
        <w:outlineLvl w:val="0"/>
        <w:rPr>
          <w:sz w:val="24"/>
          <w:szCs w:val="24"/>
        </w:rPr>
      </w:pPr>
      <w:r>
        <w:rPr>
          <w:rFonts w:hint="eastAsia"/>
          <w:sz w:val="24"/>
          <w:szCs w:val="24"/>
        </w:rPr>
        <w:t>登录《全国公共资源交易平台（河南省•许昌市）》系统-组件下载-《保证金缴纳绑定操作指南》。</w:t>
      </w:r>
    </w:p>
    <w:p>
      <w:pPr>
        <w:autoSpaceDE w:val="0"/>
        <w:autoSpaceDN w:val="0"/>
        <w:adjustRightInd w:val="0"/>
        <w:snapToGrid w:val="0"/>
        <w:spacing w:line="420" w:lineRule="exact"/>
        <w:ind w:firstLine="480"/>
        <w:jc w:val="left"/>
        <w:outlineLvl w:val="0"/>
        <w:rPr>
          <w:sz w:val="24"/>
          <w:szCs w:val="24"/>
        </w:rPr>
      </w:pPr>
      <w:r>
        <w:rPr>
          <w:rFonts w:hint="eastAsia"/>
          <w:sz w:val="24"/>
          <w:szCs w:val="24"/>
        </w:rPr>
        <w:t>保证金缴纳绑定问题咨询电话:0374-2961598</w:t>
      </w:r>
    </w:p>
    <w:p>
      <w:pPr>
        <w:autoSpaceDE w:val="0"/>
        <w:autoSpaceDN w:val="0"/>
        <w:adjustRightInd w:val="0"/>
        <w:snapToGrid w:val="0"/>
        <w:spacing w:line="420" w:lineRule="exact"/>
        <w:ind w:firstLine="480"/>
        <w:jc w:val="left"/>
        <w:outlineLvl w:val="0"/>
        <w:rPr>
          <w:sz w:val="24"/>
          <w:szCs w:val="24"/>
        </w:rPr>
      </w:pPr>
      <w:r>
        <w:rPr>
          <w:rFonts w:hint="eastAsia"/>
          <w:sz w:val="24"/>
          <w:szCs w:val="24"/>
        </w:rPr>
        <w:t>3.4.7基本户备案</w:t>
      </w:r>
    </w:p>
    <w:p>
      <w:pPr>
        <w:autoSpaceDE w:val="0"/>
        <w:autoSpaceDN w:val="0"/>
        <w:adjustRightInd w:val="0"/>
        <w:snapToGrid w:val="0"/>
        <w:spacing w:line="420" w:lineRule="exact"/>
        <w:ind w:firstLine="480"/>
        <w:jc w:val="left"/>
        <w:outlineLvl w:val="0"/>
        <w:rPr>
          <w:sz w:val="24"/>
          <w:szCs w:val="24"/>
        </w:rPr>
      </w:pPr>
      <w:r>
        <w:rPr>
          <w:rFonts w:hint="eastAsia"/>
          <w:sz w:val="24"/>
          <w:szCs w:val="24"/>
        </w:rPr>
        <w:t>（1） 自文件发布之日起，投标人需进行基本户备案，已备案的基本户开户银行、账户发生变化的，须在投标保证金缴纳前办理变更手续。</w:t>
      </w:r>
    </w:p>
    <w:p>
      <w:pPr>
        <w:autoSpaceDE w:val="0"/>
        <w:autoSpaceDN w:val="0"/>
        <w:adjustRightInd w:val="0"/>
        <w:snapToGrid w:val="0"/>
        <w:spacing w:line="420" w:lineRule="exact"/>
        <w:ind w:firstLine="480"/>
        <w:jc w:val="left"/>
        <w:outlineLvl w:val="0"/>
        <w:rPr>
          <w:sz w:val="24"/>
          <w:szCs w:val="24"/>
        </w:rPr>
      </w:pPr>
      <w:r>
        <w:rPr>
          <w:rFonts w:hint="eastAsia"/>
          <w:sz w:val="24"/>
          <w:szCs w:val="24"/>
        </w:rPr>
        <w:t>（2）基本户备案流程： 工程建设项目的投标人登录注册网址进行系统用户注册（http://221.14.6.70:8088/ggzy/），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napToGrid w:val="0"/>
        <w:spacing w:line="420" w:lineRule="exact"/>
        <w:ind w:firstLine="480"/>
        <w:jc w:val="left"/>
        <w:outlineLvl w:val="0"/>
        <w:rPr>
          <w:sz w:val="24"/>
          <w:szCs w:val="24"/>
        </w:rPr>
      </w:pPr>
      <w:r>
        <w:rPr>
          <w:rFonts w:hint="eastAsia"/>
          <w:sz w:val="24"/>
          <w:szCs w:val="24"/>
        </w:rPr>
        <w:t>（3） 因投标人的原因无法及时退还投标保证金、滞留三年以上的，投标保证金上缴同级国库。</w:t>
      </w:r>
    </w:p>
    <w:p>
      <w:pPr>
        <w:autoSpaceDE w:val="0"/>
        <w:autoSpaceDN w:val="0"/>
        <w:adjustRightInd w:val="0"/>
        <w:snapToGrid w:val="0"/>
        <w:spacing w:line="420" w:lineRule="exact"/>
        <w:ind w:firstLine="480"/>
        <w:jc w:val="left"/>
        <w:outlineLvl w:val="0"/>
        <w:rPr>
          <w:sz w:val="24"/>
          <w:szCs w:val="24"/>
        </w:rPr>
      </w:pPr>
      <w:r>
        <w:rPr>
          <w:rFonts w:hint="eastAsia"/>
          <w:sz w:val="24"/>
          <w:szCs w:val="24"/>
        </w:rPr>
        <w:t>3.4.8投标保证金的退还：</w:t>
      </w:r>
    </w:p>
    <w:p>
      <w:pPr>
        <w:autoSpaceDE w:val="0"/>
        <w:autoSpaceDN w:val="0"/>
        <w:adjustRightInd w:val="0"/>
        <w:snapToGrid w:val="0"/>
        <w:spacing w:line="420" w:lineRule="exact"/>
        <w:ind w:firstLine="480"/>
        <w:jc w:val="left"/>
        <w:outlineLvl w:val="0"/>
        <w:rPr>
          <w:b/>
          <w:sz w:val="24"/>
          <w:szCs w:val="24"/>
        </w:rPr>
      </w:pPr>
      <w:r>
        <w:rPr>
          <w:rFonts w:hint="eastAsia"/>
          <w:b/>
          <w:sz w:val="24"/>
          <w:szCs w:val="24"/>
        </w:rPr>
        <w:t>投标人如需了解投标保证金退还情况，请持授权委托书及个人身份证到中心业务受理部查询，不接受电话查询。</w:t>
      </w:r>
    </w:p>
    <w:p>
      <w:pPr>
        <w:autoSpaceDE w:val="0"/>
        <w:autoSpaceDN w:val="0"/>
        <w:adjustRightInd w:val="0"/>
        <w:snapToGrid w:val="0"/>
        <w:spacing w:line="420" w:lineRule="exact"/>
        <w:ind w:firstLine="480"/>
        <w:jc w:val="left"/>
        <w:outlineLvl w:val="0"/>
        <w:rPr>
          <w:sz w:val="24"/>
          <w:szCs w:val="24"/>
        </w:rPr>
      </w:pPr>
      <w:r>
        <w:rPr>
          <w:rFonts w:hint="eastAsia"/>
          <w:sz w:val="24"/>
          <w:szCs w:val="24"/>
        </w:rPr>
        <w:t>（1） 中标候选人公示期满后没有质疑或投诉的，退还非中标候选人投标保证金及银行同期存款利息；在书面合同签订后5日内向中标人（携带其中标通知书和合同原件）和其他中标候选人退还投标保证金及银行同期存款利息。</w:t>
      </w:r>
    </w:p>
    <w:p>
      <w:pPr>
        <w:autoSpaceDE w:val="0"/>
        <w:autoSpaceDN w:val="0"/>
        <w:adjustRightInd w:val="0"/>
        <w:snapToGrid w:val="0"/>
        <w:spacing w:line="420" w:lineRule="exact"/>
        <w:ind w:firstLine="480"/>
        <w:jc w:val="left"/>
        <w:outlineLvl w:val="0"/>
        <w:rPr>
          <w:sz w:val="24"/>
          <w:szCs w:val="24"/>
        </w:rPr>
      </w:pPr>
      <w:r>
        <w:rPr>
          <w:rFonts w:hint="eastAsia"/>
          <w:sz w:val="24"/>
          <w:szCs w:val="24"/>
        </w:rPr>
        <w:t>电话：</w:t>
      </w:r>
      <w:r>
        <w:rPr>
          <w:sz w:val="24"/>
          <w:szCs w:val="24"/>
        </w:rPr>
        <w:t>0374-</w:t>
      </w:r>
      <w:r>
        <w:rPr>
          <w:rFonts w:hint="eastAsia"/>
          <w:sz w:val="24"/>
          <w:szCs w:val="24"/>
        </w:rPr>
        <w:t>6189526</w:t>
      </w:r>
    </w:p>
    <w:p>
      <w:pPr>
        <w:autoSpaceDE w:val="0"/>
        <w:autoSpaceDN w:val="0"/>
        <w:adjustRightInd w:val="0"/>
        <w:snapToGrid w:val="0"/>
        <w:spacing w:line="420" w:lineRule="exact"/>
        <w:ind w:firstLine="480"/>
        <w:jc w:val="left"/>
        <w:outlineLvl w:val="0"/>
        <w:rPr>
          <w:sz w:val="24"/>
          <w:szCs w:val="24"/>
        </w:rPr>
      </w:pPr>
      <w:r>
        <w:rPr>
          <w:rFonts w:hint="eastAsia"/>
          <w:sz w:val="24"/>
          <w:szCs w:val="24"/>
        </w:rPr>
        <w:t>（2）法定期限内未签订书面合同的，按照有关规定向中标人和其他中标候选人退还投标保证金及银行同期活期存款利息。</w:t>
      </w:r>
    </w:p>
    <w:p>
      <w:pPr>
        <w:autoSpaceDE w:val="0"/>
        <w:autoSpaceDN w:val="0"/>
        <w:adjustRightInd w:val="0"/>
        <w:snapToGrid w:val="0"/>
        <w:spacing w:line="420" w:lineRule="exact"/>
        <w:ind w:firstLine="480"/>
        <w:jc w:val="left"/>
        <w:outlineLvl w:val="0"/>
        <w:rPr>
          <w:sz w:val="24"/>
          <w:szCs w:val="24"/>
        </w:rPr>
      </w:pPr>
      <w:r>
        <w:rPr>
          <w:rFonts w:hint="eastAsia"/>
          <w:sz w:val="24"/>
          <w:szCs w:val="24"/>
        </w:rPr>
        <w:t>（3） 项目废标或招标人终止招标的，在此后5个工作日内退还投标保证金及银行同期活期存利息。</w:t>
      </w:r>
    </w:p>
    <w:p>
      <w:pPr>
        <w:autoSpaceDE w:val="0"/>
        <w:autoSpaceDN w:val="0"/>
        <w:adjustRightInd w:val="0"/>
        <w:snapToGrid w:val="0"/>
        <w:spacing w:line="420" w:lineRule="exact"/>
        <w:ind w:firstLine="480"/>
        <w:jc w:val="left"/>
        <w:outlineLvl w:val="0"/>
        <w:rPr>
          <w:sz w:val="24"/>
          <w:szCs w:val="24"/>
        </w:rPr>
      </w:pPr>
      <w:r>
        <w:rPr>
          <w:rFonts w:hint="eastAsia"/>
          <w:sz w:val="24"/>
          <w:szCs w:val="24"/>
        </w:rPr>
        <w:t>（4） 投标活动中出现质疑、投诉的，中标候选人、质疑人和被质疑人、投诉人和被投诉人的投标保证金暂停退还。</w:t>
      </w:r>
    </w:p>
    <w:p>
      <w:pPr>
        <w:autoSpaceDE w:val="0"/>
        <w:autoSpaceDN w:val="0"/>
        <w:adjustRightInd w:val="0"/>
        <w:snapToGrid w:val="0"/>
        <w:spacing w:line="420" w:lineRule="exact"/>
        <w:ind w:firstLine="480"/>
        <w:jc w:val="left"/>
        <w:outlineLvl w:val="0"/>
        <w:rPr>
          <w:sz w:val="24"/>
          <w:szCs w:val="24"/>
        </w:rPr>
      </w:pPr>
      <w:r>
        <w:rPr>
          <w:rFonts w:hint="eastAsia"/>
          <w:sz w:val="24"/>
          <w:szCs w:val="24"/>
        </w:rPr>
        <w:t>（5） 相关投标人有违法违规行为的项目，其投标保证金暂不退还，待行政监督部门对相关情况处置后，按照有关规定办理。</w:t>
      </w:r>
    </w:p>
    <w:p>
      <w:pPr>
        <w:autoSpaceDE w:val="0"/>
        <w:autoSpaceDN w:val="0"/>
        <w:adjustRightInd w:val="0"/>
        <w:snapToGrid w:val="0"/>
        <w:spacing w:line="420" w:lineRule="exact"/>
        <w:ind w:firstLine="480"/>
        <w:jc w:val="left"/>
        <w:outlineLvl w:val="0"/>
        <w:rPr>
          <w:sz w:val="24"/>
          <w:szCs w:val="24"/>
        </w:rPr>
      </w:pPr>
      <w:r>
        <w:rPr>
          <w:rFonts w:hint="eastAsia"/>
          <w:sz w:val="24"/>
          <w:szCs w:val="24"/>
        </w:rPr>
        <w:t>（6）因投标人的原因无法及时退还投标（竞买）保证金、滞留三年以上的，投标（竞买）保证金上缴同级国库。</w:t>
      </w:r>
    </w:p>
    <w:p>
      <w:pPr>
        <w:autoSpaceDE w:val="0"/>
        <w:autoSpaceDN w:val="0"/>
        <w:adjustRightInd w:val="0"/>
        <w:snapToGrid w:val="0"/>
        <w:spacing w:line="420" w:lineRule="exact"/>
        <w:ind w:firstLine="480"/>
        <w:jc w:val="left"/>
        <w:outlineLvl w:val="0"/>
        <w:rPr>
          <w:sz w:val="24"/>
          <w:szCs w:val="24"/>
        </w:rPr>
      </w:pPr>
      <w:r>
        <w:rPr>
          <w:rFonts w:hint="eastAsia"/>
          <w:sz w:val="24"/>
          <w:szCs w:val="24"/>
        </w:rPr>
        <w:t>（7）退还投标保证金，除另有规定外，一般以转账方式一次性退还至投标保证金的原提交账户。</w:t>
      </w:r>
    </w:p>
    <w:p>
      <w:pPr>
        <w:autoSpaceDE w:val="0"/>
        <w:autoSpaceDN w:val="0"/>
        <w:adjustRightInd w:val="0"/>
        <w:snapToGrid w:val="0"/>
        <w:spacing w:line="420" w:lineRule="exact"/>
        <w:ind w:firstLine="480"/>
        <w:jc w:val="left"/>
        <w:outlineLvl w:val="0"/>
        <w:rPr>
          <w:sz w:val="24"/>
          <w:szCs w:val="24"/>
        </w:rPr>
      </w:pPr>
      <w:r>
        <w:rPr>
          <w:rFonts w:hint="eastAsia"/>
          <w:sz w:val="24"/>
          <w:szCs w:val="24"/>
        </w:rPr>
        <w:t>3.4.9特殊情况处理</w:t>
      </w:r>
    </w:p>
    <w:p>
      <w:pPr>
        <w:autoSpaceDE w:val="0"/>
        <w:autoSpaceDN w:val="0"/>
        <w:adjustRightInd w:val="0"/>
        <w:snapToGrid w:val="0"/>
        <w:spacing w:line="420" w:lineRule="exact"/>
        <w:ind w:firstLine="480"/>
        <w:jc w:val="left"/>
        <w:outlineLvl w:val="0"/>
        <w:rPr>
          <w:sz w:val="24"/>
          <w:szCs w:val="24"/>
        </w:rPr>
      </w:pPr>
      <w:r>
        <w:rPr>
          <w:rFonts w:hint="eastAsia"/>
          <w:sz w:val="24"/>
          <w:szCs w:val="24"/>
        </w:rPr>
        <w:t>投标人投标过程中因账户开户银行、银行账号发生变化，不能按照来款途径原路返还投标保证金的，投标人须提供原账户开户银行相关证明及新开账户开户许可证，到长葛市公共资源交易中心业务受理部办理退款手续（长葛市葛天大道东段商务区6号楼4楼406室）。</w:t>
      </w:r>
    </w:p>
    <w:p>
      <w:pPr>
        <w:autoSpaceDE w:val="0"/>
        <w:autoSpaceDN w:val="0"/>
        <w:adjustRightInd w:val="0"/>
        <w:snapToGrid w:val="0"/>
        <w:spacing w:line="420" w:lineRule="exact"/>
        <w:ind w:firstLine="480"/>
        <w:jc w:val="left"/>
        <w:outlineLvl w:val="0"/>
        <w:rPr>
          <w:sz w:val="24"/>
          <w:szCs w:val="24"/>
        </w:rPr>
      </w:pPr>
      <w:r>
        <w:rPr>
          <w:rFonts w:hint="eastAsia"/>
          <w:sz w:val="24"/>
          <w:szCs w:val="24"/>
        </w:rPr>
        <w:t>电话：0374-6175225。</w:t>
      </w:r>
    </w:p>
    <w:p>
      <w:pPr>
        <w:autoSpaceDE w:val="0"/>
        <w:autoSpaceDN w:val="0"/>
        <w:adjustRightInd w:val="0"/>
        <w:snapToGrid w:val="0"/>
        <w:spacing w:line="420" w:lineRule="exact"/>
        <w:ind w:firstLine="480"/>
        <w:jc w:val="left"/>
        <w:outlineLvl w:val="0"/>
        <w:rPr>
          <w:sz w:val="24"/>
          <w:szCs w:val="24"/>
        </w:rPr>
      </w:pPr>
      <w:r>
        <w:rPr>
          <w:rFonts w:hint="eastAsia"/>
          <w:sz w:val="24"/>
          <w:szCs w:val="24"/>
        </w:rPr>
        <w:t>3.4.10投标人有下列情形之一的，投标保证金不予退还：</w:t>
      </w:r>
    </w:p>
    <w:p>
      <w:pPr>
        <w:autoSpaceDE w:val="0"/>
        <w:autoSpaceDN w:val="0"/>
        <w:adjustRightInd w:val="0"/>
        <w:snapToGrid w:val="0"/>
        <w:spacing w:line="420" w:lineRule="exact"/>
        <w:ind w:firstLine="480"/>
        <w:jc w:val="left"/>
        <w:outlineLvl w:val="0"/>
        <w:rPr>
          <w:sz w:val="24"/>
          <w:szCs w:val="24"/>
        </w:rPr>
      </w:pPr>
      <w:r>
        <w:rPr>
          <w:rFonts w:hint="eastAsia"/>
          <w:sz w:val="24"/>
          <w:szCs w:val="24"/>
        </w:rPr>
        <w:t xml:space="preserve">3.4.10.1中标人无正当理由不与招标人订立合同，在签订合同时向招标人提出附加条件，或者不按照招标文件要求提交履约担保的，取消其中标资格，投标保证金不予退还。 </w:t>
      </w:r>
    </w:p>
    <w:p>
      <w:pPr>
        <w:autoSpaceDE w:val="0"/>
        <w:autoSpaceDN w:val="0"/>
        <w:adjustRightInd w:val="0"/>
        <w:snapToGrid w:val="0"/>
        <w:spacing w:line="420" w:lineRule="exact"/>
        <w:ind w:firstLine="480"/>
        <w:jc w:val="left"/>
        <w:outlineLvl w:val="0"/>
        <w:rPr>
          <w:sz w:val="24"/>
          <w:szCs w:val="24"/>
        </w:rPr>
      </w:pPr>
      <w:r>
        <w:rPr>
          <w:rFonts w:hint="eastAsia"/>
          <w:sz w:val="24"/>
          <w:szCs w:val="24"/>
        </w:rPr>
        <w:t>3.4.10.2投标人有违法违规行为，其投标保证金暂不退还，待行政监督部门对相关情况处置后，按照有关规定办理。</w:t>
      </w:r>
    </w:p>
    <w:p>
      <w:pPr>
        <w:autoSpaceDE w:val="0"/>
        <w:autoSpaceDN w:val="0"/>
        <w:adjustRightInd w:val="0"/>
        <w:snapToGrid w:val="0"/>
        <w:spacing w:line="420" w:lineRule="exact"/>
        <w:ind w:firstLine="480"/>
        <w:jc w:val="left"/>
        <w:outlineLvl w:val="0"/>
        <w:rPr>
          <w:b/>
          <w:bCs/>
          <w:sz w:val="24"/>
          <w:szCs w:val="24"/>
        </w:rPr>
      </w:pPr>
      <w:r>
        <w:rPr>
          <w:rFonts w:hint="eastAsia"/>
          <w:b/>
          <w:bCs/>
          <w:sz w:val="24"/>
          <w:szCs w:val="24"/>
        </w:rPr>
        <w:t>3.4.10.3凡投标人投标保证金交纳至同一标段相同子账号的，保证金暂不予退还，并依照《许昌市公共资源交易当事人不良行为管理暂行办法》（许公管委〔2017〕1号）规定，进行调查、认定、记录、公示、公告。对涉嫌串通投标等违规行为的，移交有关部门进行查处。经调查核实后，按有关规定处理。不予退还的保证金上缴国库。</w:t>
      </w:r>
    </w:p>
    <w:p>
      <w:pPr>
        <w:autoSpaceDE w:val="0"/>
        <w:autoSpaceDN w:val="0"/>
        <w:adjustRightInd w:val="0"/>
        <w:snapToGrid w:val="0"/>
        <w:spacing w:line="420" w:lineRule="exact"/>
        <w:ind w:firstLine="480"/>
        <w:jc w:val="left"/>
        <w:outlineLvl w:val="0"/>
        <w:rPr>
          <w:rFonts w:hAnsi="宋体" w:cs="宋体"/>
          <w:sz w:val="24"/>
          <w:szCs w:val="24"/>
        </w:rPr>
      </w:pPr>
      <w:r>
        <w:rPr>
          <w:rFonts w:hint="eastAsia"/>
          <w:sz w:val="24"/>
          <w:szCs w:val="24"/>
        </w:rPr>
        <w:t>3.4.10.4相关法律、法规规定不予退还的其它情形。</w:t>
      </w:r>
    </w:p>
    <w:p>
      <w:pPr>
        <w:autoSpaceDE w:val="0"/>
        <w:autoSpaceDN w:val="0"/>
        <w:adjustRightInd w:val="0"/>
        <w:snapToGrid w:val="0"/>
        <w:spacing w:line="420" w:lineRule="exact"/>
        <w:jc w:val="left"/>
        <w:outlineLvl w:val="0"/>
        <w:rPr>
          <w:rFonts w:hAnsi="宋体" w:cs="宋体"/>
          <w:sz w:val="24"/>
        </w:rPr>
      </w:pPr>
      <w:r>
        <w:rPr>
          <w:rFonts w:hint="eastAsia" w:hAnsi="宋体" w:cs="宋体"/>
          <w:sz w:val="24"/>
        </w:rPr>
        <w:t>3.5 资格审查资料</w:t>
      </w:r>
    </w:p>
    <w:p>
      <w:pPr>
        <w:tabs>
          <w:tab w:val="left" w:pos="1260"/>
        </w:tabs>
        <w:autoSpaceDE w:val="0"/>
        <w:autoSpaceDN w:val="0"/>
        <w:adjustRightInd w:val="0"/>
        <w:snapToGrid w:val="0"/>
        <w:spacing w:line="42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3.5.1 “投标人的基本情况表”后应附投标人的法人营业执照等材料的原件扫描件（或图片）。</w:t>
      </w:r>
    </w:p>
    <w:p>
      <w:pPr>
        <w:autoSpaceDE w:val="0"/>
        <w:autoSpaceDN w:val="0"/>
        <w:adjustRightInd w:val="0"/>
        <w:snapToGrid w:val="0"/>
        <w:spacing w:line="420" w:lineRule="exact"/>
        <w:jc w:val="left"/>
        <w:rPr>
          <w:rFonts w:ascii="新宋体" w:hAnsi="新宋体" w:eastAsia="新宋体" w:cs="仿宋_GB2312"/>
          <w:sz w:val="24"/>
        </w:rPr>
      </w:pPr>
      <w:r>
        <w:rPr>
          <w:rFonts w:hint="eastAsia" w:ascii="新宋体" w:hAnsi="新宋体" w:eastAsia="新宋体" w:cs="仿宋_GB2312"/>
          <w:sz w:val="24"/>
        </w:rPr>
        <w:t xml:space="preserve">    3.5.2 “近年财务状况表”应附经会计师事务所或审计机构审计的财务会计报表，包括资产负债表、现金流量表、利润表等</w:t>
      </w:r>
      <w:r>
        <w:rPr>
          <w:rFonts w:hint="eastAsia" w:hAnsi="宋体" w:cs="宋体"/>
          <w:sz w:val="24"/>
        </w:rPr>
        <w:t>原件扫描件</w:t>
      </w:r>
      <w:r>
        <w:rPr>
          <w:rFonts w:hint="eastAsia" w:hAnsi="宋体" w:cs="宋体"/>
          <w:sz w:val="24"/>
          <w:szCs w:val="24"/>
        </w:rPr>
        <w:t>（或图片）</w:t>
      </w:r>
      <w:r>
        <w:rPr>
          <w:rFonts w:hint="eastAsia" w:ascii="新宋体" w:hAnsi="新宋体" w:eastAsia="新宋体" w:cs="仿宋_GB2312"/>
          <w:sz w:val="24"/>
        </w:rPr>
        <w:t>，具体年份要求见投标人须知前附表。若公司成立未满三年，需提供从成立至今的年度财务状况。</w:t>
      </w:r>
    </w:p>
    <w:p>
      <w:pPr>
        <w:autoSpaceDE w:val="0"/>
        <w:autoSpaceDN w:val="0"/>
        <w:adjustRightInd w:val="0"/>
        <w:snapToGrid w:val="0"/>
        <w:spacing w:line="420" w:lineRule="exact"/>
        <w:jc w:val="left"/>
        <w:rPr>
          <w:rFonts w:ascii="新宋体" w:hAnsi="新宋体" w:eastAsia="新宋体" w:cs="仿宋_GB2312"/>
          <w:sz w:val="24"/>
        </w:rPr>
      </w:pPr>
      <w:r>
        <w:rPr>
          <w:rFonts w:hint="eastAsia" w:ascii="新宋体" w:hAnsi="新宋体" w:eastAsia="新宋体" w:cs="仿宋_GB2312"/>
          <w:sz w:val="24"/>
        </w:rPr>
        <w:t xml:space="preserve">    3.5.3 “近年完成的类似项目情况表”应附</w:t>
      </w:r>
      <w:r>
        <w:rPr>
          <w:rFonts w:hint="eastAsia" w:hAnsi="宋体"/>
          <w:sz w:val="24"/>
          <w:szCs w:val="24"/>
        </w:rPr>
        <w:t>法定媒介中标公示网页截图、合同</w:t>
      </w:r>
      <w:r>
        <w:rPr>
          <w:rFonts w:hint="eastAsia" w:ascii="新宋体" w:hAnsi="新宋体" w:eastAsia="新宋体" w:cs="仿宋_GB2312"/>
          <w:sz w:val="24"/>
        </w:rPr>
        <w:t>协议书</w:t>
      </w:r>
      <w:r>
        <w:rPr>
          <w:rFonts w:hint="eastAsia" w:hAnsi="宋体"/>
          <w:sz w:val="24"/>
          <w:szCs w:val="24"/>
        </w:rPr>
        <w:t>、中标通知书【或法定媒介中标公示网页截图、合同</w:t>
      </w:r>
      <w:r>
        <w:rPr>
          <w:rFonts w:hint="eastAsia" w:ascii="新宋体" w:hAnsi="新宋体" w:eastAsia="新宋体" w:cs="仿宋_GB2312"/>
          <w:sz w:val="24"/>
        </w:rPr>
        <w:t>协议书</w:t>
      </w:r>
      <w:r>
        <w:rPr>
          <w:rFonts w:hint="eastAsia" w:hAnsi="宋体"/>
          <w:sz w:val="24"/>
          <w:szCs w:val="24"/>
        </w:rPr>
        <w:t>、</w:t>
      </w:r>
      <w:r>
        <w:rPr>
          <w:rFonts w:hint="eastAsia"/>
          <w:sz w:val="24"/>
          <w:szCs w:val="24"/>
        </w:rPr>
        <w:t>工程竣工验收备案表（或工程竣工验收证书）</w:t>
      </w:r>
      <w:r>
        <w:rPr>
          <w:rFonts w:hint="eastAsia" w:hAnsi="宋体"/>
          <w:sz w:val="24"/>
          <w:szCs w:val="24"/>
        </w:rPr>
        <w:t>】</w:t>
      </w:r>
      <w:r>
        <w:rPr>
          <w:rFonts w:hint="eastAsia" w:ascii="新宋体" w:hAnsi="新宋体" w:eastAsia="新宋体" w:cs="仿宋_GB2312"/>
          <w:sz w:val="24"/>
        </w:rPr>
        <w:t>的</w:t>
      </w:r>
      <w:r>
        <w:rPr>
          <w:rFonts w:hint="eastAsia" w:hAnsi="宋体" w:cs="宋体"/>
          <w:sz w:val="24"/>
        </w:rPr>
        <w:t>原件扫描件</w:t>
      </w:r>
      <w:r>
        <w:rPr>
          <w:rFonts w:hint="eastAsia" w:hAnsi="宋体" w:cs="宋体"/>
          <w:sz w:val="24"/>
          <w:szCs w:val="24"/>
        </w:rPr>
        <w:t>（或图片）</w:t>
      </w:r>
      <w:r>
        <w:rPr>
          <w:rFonts w:hint="eastAsia" w:ascii="新宋体" w:hAnsi="新宋体" w:eastAsia="新宋体" w:cs="仿宋_GB2312"/>
          <w:sz w:val="24"/>
        </w:rPr>
        <w:t>，具体年份要求见投标人须知前附表。每张表格只填写一个项目，并标明序号。</w:t>
      </w:r>
    </w:p>
    <w:p>
      <w:pPr>
        <w:autoSpaceDE w:val="0"/>
        <w:autoSpaceDN w:val="0"/>
        <w:adjustRightInd w:val="0"/>
        <w:snapToGrid w:val="0"/>
        <w:spacing w:line="420" w:lineRule="exact"/>
        <w:jc w:val="left"/>
        <w:rPr>
          <w:rFonts w:ascii="新宋体" w:hAnsi="新宋体" w:eastAsia="新宋体" w:cs="仿宋_GB2312"/>
          <w:sz w:val="24"/>
        </w:rPr>
      </w:pPr>
      <w:r>
        <w:rPr>
          <w:rFonts w:hint="eastAsia" w:ascii="新宋体" w:hAnsi="新宋体" w:eastAsia="新宋体" w:cs="仿宋_GB2312"/>
          <w:sz w:val="24"/>
        </w:rPr>
        <w:t xml:space="preserve">    3.5.4 “正在施工和新承接的项目情况表”应附</w:t>
      </w:r>
      <w:r>
        <w:rPr>
          <w:rFonts w:hint="eastAsia" w:hAnsi="宋体"/>
          <w:sz w:val="24"/>
          <w:szCs w:val="24"/>
        </w:rPr>
        <w:t>法定媒介中标公示网页截图、</w:t>
      </w:r>
      <w:r>
        <w:rPr>
          <w:rFonts w:hint="eastAsia" w:ascii="新宋体" w:hAnsi="新宋体" w:eastAsia="新宋体" w:cs="仿宋_GB2312"/>
          <w:sz w:val="24"/>
        </w:rPr>
        <w:t>合同协议书和中标通知书的</w:t>
      </w:r>
      <w:r>
        <w:rPr>
          <w:rFonts w:hint="eastAsia" w:hAnsi="宋体" w:cs="宋体"/>
          <w:sz w:val="24"/>
        </w:rPr>
        <w:t>原件扫描件</w:t>
      </w:r>
      <w:r>
        <w:rPr>
          <w:rFonts w:hint="eastAsia" w:hAnsi="宋体" w:cs="宋体"/>
          <w:sz w:val="24"/>
          <w:szCs w:val="24"/>
        </w:rPr>
        <w:t>（或图片）</w:t>
      </w:r>
      <w:r>
        <w:rPr>
          <w:rFonts w:hint="eastAsia" w:ascii="新宋体" w:hAnsi="新宋体" w:eastAsia="新宋体" w:cs="仿宋_GB2312"/>
          <w:sz w:val="24"/>
        </w:rPr>
        <w:t>。每张表格只填写一个项目，并标明序号。</w:t>
      </w:r>
    </w:p>
    <w:p>
      <w:pPr>
        <w:autoSpaceDE w:val="0"/>
        <w:autoSpaceDN w:val="0"/>
        <w:adjustRightInd w:val="0"/>
        <w:snapToGrid w:val="0"/>
        <w:spacing w:line="420" w:lineRule="exact"/>
        <w:ind w:firstLine="480"/>
        <w:jc w:val="left"/>
        <w:rPr>
          <w:rFonts w:ascii="新宋体" w:hAnsi="新宋体" w:eastAsia="新宋体" w:cs="仿宋_GB2312"/>
          <w:sz w:val="24"/>
        </w:rPr>
      </w:pPr>
      <w:r>
        <w:rPr>
          <w:rFonts w:hint="eastAsia" w:ascii="新宋体" w:hAnsi="新宋体" w:eastAsia="新宋体" w:cs="仿宋_GB2312"/>
          <w:sz w:val="24"/>
        </w:rPr>
        <w:t>3.5.5 “近年发生的诉讼及仲裁情况”应说明相关情况，并附法院或仲裁机构作出的判决、裁决等有关法律文书</w:t>
      </w:r>
      <w:r>
        <w:rPr>
          <w:rFonts w:hint="eastAsia" w:hAnsi="宋体" w:cs="宋体"/>
          <w:sz w:val="24"/>
        </w:rPr>
        <w:t>原件扫描件</w:t>
      </w:r>
      <w:r>
        <w:rPr>
          <w:rFonts w:hint="eastAsia" w:hAnsi="宋体" w:cs="宋体"/>
          <w:sz w:val="24"/>
          <w:szCs w:val="24"/>
        </w:rPr>
        <w:t>（或图片）</w:t>
      </w:r>
      <w:r>
        <w:rPr>
          <w:rFonts w:hint="eastAsia" w:ascii="新宋体" w:hAnsi="新宋体" w:eastAsia="新宋体" w:cs="仿宋_GB2312"/>
          <w:sz w:val="24"/>
        </w:rPr>
        <w:t>，具体年份要求见投标人须知前附表。</w:t>
      </w:r>
    </w:p>
    <w:p>
      <w:pPr>
        <w:autoSpaceDE w:val="0"/>
        <w:autoSpaceDN w:val="0"/>
        <w:adjustRightInd w:val="0"/>
        <w:snapToGrid w:val="0"/>
        <w:spacing w:line="420" w:lineRule="exact"/>
        <w:ind w:firstLine="480"/>
        <w:jc w:val="left"/>
        <w:rPr>
          <w:rFonts w:ascii="新宋体" w:hAnsi="新宋体" w:eastAsia="新宋体" w:cs="仿宋_GB2312"/>
          <w:sz w:val="24"/>
        </w:rPr>
      </w:pPr>
      <w:r>
        <w:rPr>
          <w:rFonts w:hint="eastAsia" w:ascii="新宋体" w:hAnsi="新宋体" w:eastAsia="新宋体" w:cs="仿宋_GB2312"/>
          <w:sz w:val="24"/>
        </w:rPr>
        <w:t>3.5.6 被列入失信被执行人名单的投标人，其投标将被拒绝。</w:t>
      </w:r>
    </w:p>
    <w:p>
      <w:pPr>
        <w:autoSpaceDE w:val="0"/>
        <w:autoSpaceDN w:val="0"/>
        <w:adjustRightInd w:val="0"/>
        <w:snapToGrid w:val="0"/>
        <w:spacing w:line="420" w:lineRule="exact"/>
        <w:ind w:firstLine="480"/>
        <w:jc w:val="left"/>
        <w:rPr>
          <w:rFonts w:ascii="新宋体" w:hAnsi="新宋体" w:eastAsia="新宋体" w:cs="仿宋_GB2312"/>
          <w:sz w:val="24"/>
        </w:rPr>
      </w:pPr>
      <w:r>
        <w:rPr>
          <w:rFonts w:hint="eastAsia" w:ascii="新宋体" w:hAnsi="新宋体" w:eastAsia="新宋体" w:cs="仿宋_GB2312"/>
          <w:sz w:val="24"/>
        </w:rPr>
        <w:t>招标项目开标结束后、评标开始前，招标人（或招标代理机构）对投标人信用记录进行现场查询，并将查询结果随项目开标资料一并送入评标室，由专家进行评判。</w:t>
      </w:r>
    </w:p>
    <w:p>
      <w:pPr>
        <w:autoSpaceDE w:val="0"/>
        <w:autoSpaceDN w:val="0"/>
        <w:adjustRightInd w:val="0"/>
        <w:snapToGrid w:val="0"/>
        <w:spacing w:line="420" w:lineRule="exact"/>
        <w:ind w:firstLine="480"/>
        <w:jc w:val="left"/>
        <w:rPr>
          <w:rFonts w:ascii="新宋体" w:hAnsi="新宋体" w:eastAsia="新宋体" w:cs="仿宋_GB2312"/>
          <w:sz w:val="24"/>
        </w:rPr>
      </w:pPr>
      <w:r>
        <w:rPr>
          <w:rFonts w:hint="eastAsia" w:ascii="新宋体" w:hAnsi="新宋体" w:eastAsia="新宋体" w:cs="仿宋_GB2312"/>
          <w:sz w:val="24"/>
        </w:rPr>
        <w:t>信用信息查询记录和证据留存具体方式：经评标委员会确认的查询结果网页截图作为查询记录和证据，与其他文件一并存档。</w:t>
      </w:r>
    </w:p>
    <w:p>
      <w:pPr>
        <w:autoSpaceDE w:val="0"/>
        <w:autoSpaceDN w:val="0"/>
        <w:adjustRightInd w:val="0"/>
        <w:snapToGrid w:val="0"/>
        <w:spacing w:line="420" w:lineRule="exact"/>
        <w:jc w:val="left"/>
        <w:rPr>
          <w:rFonts w:hAnsi="宋体" w:cs="宋体"/>
          <w:b/>
          <w:sz w:val="24"/>
        </w:rPr>
      </w:pPr>
      <w:r>
        <w:rPr>
          <w:rFonts w:hint="eastAsia" w:hAnsi="宋体" w:cs="宋体"/>
          <w:b/>
          <w:sz w:val="24"/>
        </w:rPr>
        <w:t xml:space="preserve">3.6 </w:t>
      </w:r>
      <w:bookmarkStart w:id="47" w:name="_Toc179632571"/>
      <w:bookmarkStart w:id="48" w:name="_Toc144974521"/>
      <w:bookmarkStart w:id="49" w:name="_Toc152042329"/>
      <w:bookmarkStart w:id="50" w:name="_Toc152045553"/>
      <w:r>
        <w:rPr>
          <w:rFonts w:hint="eastAsia" w:hAnsi="宋体" w:cs="宋体"/>
          <w:b/>
          <w:sz w:val="24"/>
        </w:rPr>
        <w:t>备选投标方案</w:t>
      </w:r>
    </w:p>
    <w:bookmarkEnd w:id="47"/>
    <w:bookmarkEnd w:id="48"/>
    <w:bookmarkEnd w:id="49"/>
    <w:bookmarkEnd w:id="50"/>
    <w:p>
      <w:pPr>
        <w:autoSpaceDE w:val="0"/>
        <w:autoSpaceDN w:val="0"/>
        <w:adjustRightInd w:val="0"/>
        <w:snapToGrid w:val="0"/>
        <w:spacing w:line="42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adjustRightInd w:val="0"/>
        <w:snapToGrid w:val="0"/>
        <w:spacing w:line="420" w:lineRule="exact"/>
        <w:jc w:val="left"/>
        <w:outlineLvl w:val="0"/>
        <w:rPr>
          <w:rFonts w:hAnsi="宋体" w:cs="宋体"/>
          <w:b/>
          <w:sz w:val="24"/>
        </w:rPr>
      </w:pPr>
      <w:r>
        <w:rPr>
          <w:rFonts w:hAnsi="宋体" w:cs="宋体"/>
          <w:b/>
          <w:sz w:val="24"/>
        </w:rPr>
        <w:t>3.</w:t>
      </w:r>
      <w:r>
        <w:rPr>
          <w:rFonts w:hint="eastAsia" w:hAnsi="宋体" w:cs="宋体"/>
          <w:b/>
          <w:sz w:val="24"/>
        </w:rPr>
        <w:t>7 投标文件的编制</w:t>
      </w:r>
      <w:bookmarkEnd w:id="46"/>
    </w:p>
    <w:p>
      <w:pPr>
        <w:adjustRightInd w:val="0"/>
        <w:snapToGrid w:val="0"/>
        <w:spacing w:line="420" w:lineRule="exact"/>
        <w:ind w:firstLine="480" w:firstLineChars="200"/>
        <w:rPr>
          <w:sz w:val="24"/>
        </w:rPr>
      </w:pPr>
      <w:r>
        <w:rPr>
          <w:rFonts w:hint="eastAsia"/>
          <w:sz w:val="24"/>
        </w:rPr>
        <w:t>3.7.1投标文件应按第八章“投标文件格式”进行编写，如有必要，可以增加附页，作为投标文件的组成部分。其中，投标函附录在满足招标文件要求的基础上，可以提出比招标文件要求更有利于招标人的承诺。</w:t>
      </w:r>
      <w:r>
        <w:rPr>
          <w:sz w:val="24"/>
        </w:rPr>
        <w:t>投标人编制</w:t>
      </w:r>
      <w:r>
        <w:rPr>
          <w:rFonts w:hint="eastAsia"/>
          <w:sz w:val="24"/>
        </w:rPr>
        <w:t>的投标文件</w:t>
      </w:r>
      <w:r>
        <w:rPr>
          <w:sz w:val="24"/>
        </w:rPr>
        <w:t>应当满足招标文件规定的基本格式要求</w:t>
      </w:r>
      <w:r>
        <w:rPr>
          <w:rFonts w:hint="eastAsia"/>
          <w:sz w:val="24"/>
        </w:rPr>
        <w:t>。</w:t>
      </w:r>
    </w:p>
    <w:p>
      <w:pPr>
        <w:autoSpaceDE w:val="0"/>
        <w:autoSpaceDN w:val="0"/>
        <w:spacing w:line="420" w:lineRule="exact"/>
        <w:ind w:firstLine="480" w:firstLineChars="200"/>
        <w:jc w:val="left"/>
        <w:outlineLvl w:val="0"/>
        <w:rPr>
          <w:rFonts w:hAnsi="宋体" w:cs="宋体"/>
          <w:sz w:val="24"/>
        </w:rPr>
      </w:pPr>
      <w:r>
        <w:rPr>
          <w:rFonts w:hAnsi="宋体" w:cs="宋体"/>
          <w:sz w:val="24"/>
        </w:rPr>
        <w:t>3.</w:t>
      </w:r>
      <w:r>
        <w:rPr>
          <w:rFonts w:hint="eastAsia" w:hAnsi="宋体" w:cs="宋体"/>
          <w:sz w:val="24"/>
        </w:rPr>
        <w:t>7</w:t>
      </w:r>
      <w:r>
        <w:rPr>
          <w:rFonts w:hAnsi="宋体" w:cs="宋体"/>
          <w:sz w:val="24"/>
        </w:rPr>
        <w:t xml:space="preserve">.2 </w:t>
      </w:r>
      <w:r>
        <w:rPr>
          <w:rFonts w:hint="eastAsia" w:hAnsi="宋体" w:cs="宋体"/>
          <w:sz w:val="24"/>
        </w:rPr>
        <w:t>投标文件应当对招标文件有关工期、投标有效期、质量要求、招标范围等内容作出响应。</w:t>
      </w:r>
    </w:p>
    <w:p>
      <w:pPr>
        <w:pStyle w:val="15"/>
        <w:spacing w:line="420" w:lineRule="exact"/>
        <w:ind w:firstLine="480" w:firstLineChars="200"/>
        <w:outlineLvl w:val="0"/>
        <w:rPr>
          <w:rFonts w:hAnsi="宋体"/>
          <w:color w:val="auto"/>
          <w:szCs w:val="20"/>
        </w:rPr>
      </w:pPr>
      <w:bookmarkStart w:id="51" w:name="_Toc283559961"/>
      <w:r>
        <w:rPr>
          <w:rFonts w:hint="eastAsia" w:hAnsi="宋体"/>
          <w:color w:val="auto"/>
          <w:szCs w:val="20"/>
        </w:rPr>
        <w:t>3.7.3 投标人编制的投标文件应分为商务标、综合标和技术标。</w:t>
      </w:r>
    </w:p>
    <w:p>
      <w:pPr>
        <w:pStyle w:val="15"/>
        <w:spacing w:line="420" w:lineRule="exact"/>
        <w:ind w:firstLine="480" w:firstLineChars="200"/>
        <w:outlineLvl w:val="0"/>
        <w:rPr>
          <w:rFonts w:hAnsi="宋体"/>
          <w:color w:val="auto"/>
          <w:szCs w:val="20"/>
        </w:rPr>
      </w:pPr>
      <w:r>
        <w:rPr>
          <w:rFonts w:hint="eastAsia" w:hAnsi="宋体"/>
          <w:color w:val="auto"/>
          <w:szCs w:val="20"/>
        </w:rPr>
        <w:t>3.7.4 投标人登录许昌公共资源交易系统下载“许昌投标文件制作系统SEARUN V1.1”，按招标文件要求制作电子投标文件</w:t>
      </w:r>
      <w:r>
        <w:rPr>
          <w:rFonts w:hint="eastAsia" w:hAnsi="宋体"/>
          <w:b/>
          <w:color w:val="auto"/>
          <w:szCs w:val="20"/>
        </w:rPr>
        <w:t>（包括含工程量清单的商务标投标文件）</w:t>
      </w:r>
      <w:r>
        <w:rPr>
          <w:rFonts w:hint="eastAsia" w:hAnsi="宋体"/>
          <w:color w:val="auto"/>
          <w:szCs w:val="20"/>
        </w:rPr>
        <w:t>。</w:t>
      </w:r>
    </w:p>
    <w:p>
      <w:pPr>
        <w:pStyle w:val="15"/>
        <w:spacing w:line="420" w:lineRule="exact"/>
        <w:ind w:firstLine="480" w:firstLineChars="200"/>
        <w:outlineLvl w:val="0"/>
        <w:rPr>
          <w:rFonts w:hAnsi="宋体"/>
          <w:color w:val="auto"/>
          <w:szCs w:val="20"/>
        </w:rPr>
      </w:pPr>
      <w:r>
        <w:rPr>
          <w:rFonts w:hint="eastAsia" w:hAnsi="宋体"/>
          <w:color w:val="auto"/>
          <w:szCs w:val="20"/>
        </w:rPr>
        <w:t>3.7.5 使用电子介质存储的备份文件1份。</w:t>
      </w:r>
    </w:p>
    <w:p>
      <w:pPr>
        <w:pStyle w:val="15"/>
        <w:spacing w:line="420" w:lineRule="exact"/>
        <w:ind w:firstLine="480" w:firstLineChars="200"/>
        <w:outlineLvl w:val="0"/>
        <w:rPr>
          <w:rFonts w:hAnsi="宋体"/>
          <w:color w:val="auto"/>
          <w:szCs w:val="20"/>
        </w:rPr>
      </w:pPr>
      <w:r>
        <w:rPr>
          <w:rFonts w:hint="eastAsia" w:hAnsi="宋体"/>
          <w:color w:val="auto"/>
          <w:szCs w:val="20"/>
        </w:rPr>
        <w:t>3.7.6 同时生成与电子投标文件内容、水印码、电子签章一致的PDF文件,用于打印纸质文件。</w:t>
      </w:r>
    </w:p>
    <w:p>
      <w:pPr>
        <w:pStyle w:val="15"/>
        <w:spacing w:line="420" w:lineRule="exact"/>
        <w:ind w:firstLine="480" w:firstLineChars="200"/>
        <w:outlineLvl w:val="0"/>
        <w:rPr>
          <w:rFonts w:hAnsi="宋体"/>
          <w:color w:val="auto"/>
          <w:szCs w:val="20"/>
        </w:rPr>
      </w:pPr>
      <w:r>
        <w:rPr>
          <w:rFonts w:hint="eastAsia" w:hAnsi="宋体"/>
          <w:color w:val="auto"/>
          <w:szCs w:val="20"/>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pPr>
        <w:pStyle w:val="15"/>
        <w:spacing w:line="420" w:lineRule="exact"/>
        <w:ind w:firstLine="480" w:firstLineChars="200"/>
        <w:outlineLvl w:val="0"/>
        <w:rPr>
          <w:rFonts w:hAnsi="宋体"/>
          <w:color w:val="auto"/>
          <w:szCs w:val="20"/>
        </w:rPr>
      </w:pPr>
      <w:r>
        <w:rPr>
          <w:rFonts w:hint="eastAsia" w:hAnsi="宋体"/>
          <w:color w:val="auto"/>
          <w:szCs w:val="20"/>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pStyle w:val="15"/>
        <w:spacing w:line="420" w:lineRule="exact"/>
        <w:ind w:firstLine="480" w:firstLineChars="200"/>
        <w:jc w:val="both"/>
        <w:outlineLvl w:val="0"/>
        <w:rPr>
          <w:rFonts w:hAnsi="宋体"/>
          <w:color w:val="auto"/>
          <w:szCs w:val="20"/>
        </w:rPr>
      </w:pPr>
      <w:r>
        <w:rPr>
          <w:rFonts w:hint="eastAsia" w:hAnsi="宋体"/>
          <w:color w:val="auto"/>
          <w:szCs w:val="20"/>
        </w:rPr>
        <w:t>3.7.9 纸质投标文件的正本与副本应分别装订成册，并编制目录，具体装订要求见投标人须知前附表规定。</w:t>
      </w:r>
    </w:p>
    <w:p>
      <w:pPr>
        <w:pStyle w:val="15"/>
        <w:spacing w:line="420" w:lineRule="exact"/>
        <w:ind w:firstLine="480" w:firstLineChars="200"/>
        <w:outlineLvl w:val="0"/>
        <w:rPr>
          <w:rFonts w:hAnsi="宋体"/>
          <w:b/>
          <w:color w:val="auto"/>
          <w:szCs w:val="20"/>
        </w:rPr>
      </w:pPr>
      <w:r>
        <w:rPr>
          <w:rFonts w:hint="eastAsia" w:hAnsi="宋体"/>
          <w:b/>
          <w:color w:val="auto"/>
          <w:szCs w:val="20"/>
        </w:rPr>
        <w:t>3.7.10 商务标投标文件制作注意事项：</w:t>
      </w:r>
    </w:p>
    <w:p>
      <w:pPr>
        <w:pStyle w:val="15"/>
        <w:spacing w:line="420" w:lineRule="exact"/>
        <w:ind w:firstLine="480" w:firstLineChars="200"/>
        <w:outlineLvl w:val="0"/>
        <w:rPr>
          <w:rFonts w:hAnsi="宋体"/>
          <w:b/>
          <w:color w:val="auto"/>
          <w:szCs w:val="20"/>
        </w:rPr>
      </w:pPr>
      <w:r>
        <w:rPr>
          <w:rFonts w:hint="eastAsia" w:hAnsi="宋体"/>
          <w:b/>
          <w:color w:val="auto"/>
          <w:szCs w:val="20"/>
        </w:rPr>
        <w:t>3.7.10.1投标人登录《全国公共资源交易平台（河南省•许昌市）》公共资源交易系统下载“许昌投标文件制作系统SEARUN V1.1” 和操作手册（工程项目），按招标文件要求制作商务标投标文件。</w:t>
      </w:r>
    </w:p>
    <w:p>
      <w:pPr>
        <w:pStyle w:val="15"/>
        <w:spacing w:line="420" w:lineRule="exact"/>
        <w:ind w:firstLine="480" w:firstLineChars="200"/>
        <w:outlineLvl w:val="0"/>
        <w:rPr>
          <w:rFonts w:hAnsi="宋体"/>
          <w:b/>
          <w:color w:val="auto"/>
          <w:szCs w:val="20"/>
        </w:rPr>
      </w:pPr>
      <w:r>
        <w:rPr>
          <w:rFonts w:hint="eastAsia" w:hAnsi="宋体"/>
          <w:b/>
          <w:color w:val="auto"/>
          <w:szCs w:val="20"/>
        </w:rPr>
        <w:t>3.7.10.2 商务标投标文件制作技术咨询：0374-2961598。</w:t>
      </w:r>
    </w:p>
    <w:p>
      <w:pPr>
        <w:pStyle w:val="15"/>
        <w:spacing w:line="420" w:lineRule="exact"/>
        <w:ind w:firstLine="480" w:firstLineChars="200"/>
        <w:outlineLvl w:val="0"/>
        <w:rPr>
          <w:rFonts w:hAnsi="宋体"/>
          <w:b/>
          <w:color w:val="auto"/>
          <w:szCs w:val="20"/>
        </w:rPr>
      </w:pPr>
      <w:r>
        <w:rPr>
          <w:rFonts w:hint="eastAsia" w:hAnsi="宋体"/>
          <w:b/>
          <w:color w:val="auto"/>
          <w:szCs w:val="20"/>
        </w:rPr>
        <w:t>依据最终的商务标招标文件进行编制。如果招标文件商务标部分发生变更，投标单位应以招标人最终发出的商务标招标文件为准，编制投标文件，请投标单位关注项目变更信息。</w:t>
      </w:r>
    </w:p>
    <w:p>
      <w:pPr>
        <w:pStyle w:val="15"/>
        <w:spacing w:line="42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51"/>
    </w:p>
    <w:p>
      <w:pPr>
        <w:autoSpaceDE w:val="0"/>
        <w:autoSpaceDN w:val="0"/>
        <w:adjustRightInd w:val="0"/>
        <w:spacing w:line="420" w:lineRule="exact"/>
        <w:jc w:val="left"/>
        <w:outlineLvl w:val="0"/>
        <w:rPr>
          <w:rFonts w:hAnsi="宋体" w:cs="宋体"/>
          <w:b/>
          <w:sz w:val="24"/>
        </w:rPr>
      </w:pPr>
      <w:bookmarkStart w:id="52" w:name="_Toc283559962"/>
      <w:r>
        <w:rPr>
          <w:rFonts w:hAnsi="宋体" w:cs="宋体"/>
          <w:b/>
          <w:sz w:val="24"/>
        </w:rPr>
        <w:t xml:space="preserve">4.1 </w:t>
      </w:r>
      <w:r>
        <w:rPr>
          <w:rFonts w:hint="eastAsia" w:hAnsi="宋体" w:cs="宋体"/>
          <w:b/>
          <w:sz w:val="24"/>
        </w:rPr>
        <w:t>投标文件的密封和标记</w:t>
      </w:r>
      <w:bookmarkEnd w:id="52"/>
    </w:p>
    <w:p>
      <w:pPr>
        <w:spacing w:line="420" w:lineRule="exact"/>
        <w:ind w:firstLine="480" w:firstLineChars="200"/>
        <w:rPr>
          <w:rFonts w:ascii="新宋体" w:hAnsi="新宋体" w:eastAsia="新宋体" w:cs="TimesNewRomanPSMT"/>
          <w:sz w:val="24"/>
        </w:rPr>
      </w:pPr>
      <w:bookmarkStart w:id="53" w:name="_Toc283559963"/>
      <w:r>
        <w:rPr>
          <w:rFonts w:hint="eastAsia" w:ascii="新宋体" w:hAnsi="新宋体" w:eastAsia="新宋体" w:cs="TimesNewRomanPSMT"/>
          <w:sz w:val="24"/>
        </w:rPr>
        <w:t xml:space="preserve">4.1.1 纸质投标文件的正本、副本应分开包装，加贴封条，并在封套的封口处加盖投标人公章，密封不符合要求的不予受理。 </w:t>
      </w:r>
    </w:p>
    <w:p>
      <w:pPr>
        <w:spacing w:line="420" w:lineRule="exact"/>
        <w:ind w:firstLine="480" w:firstLineChars="200"/>
        <w:rPr>
          <w:rFonts w:ascii="新宋体" w:hAnsi="新宋体" w:eastAsia="新宋体" w:cs="TimesNewRomanPSMT"/>
          <w:sz w:val="24"/>
        </w:rPr>
      </w:pPr>
      <w:r>
        <w:rPr>
          <w:rFonts w:hint="eastAsia" w:ascii="新宋体" w:hAnsi="新宋体" w:eastAsia="新宋体" w:cs="TimesNewRomanPSMT"/>
          <w:sz w:val="24"/>
        </w:rPr>
        <w:t>4.1.2使用电子介质存储的投标文件应和纸质投标文件密封在一起，在投标截止时间前随纸质投标文件一并递交。</w:t>
      </w:r>
    </w:p>
    <w:p>
      <w:pPr>
        <w:spacing w:line="420" w:lineRule="exact"/>
        <w:ind w:firstLine="480" w:firstLineChars="200"/>
        <w:rPr>
          <w:rFonts w:ascii="新宋体" w:hAnsi="新宋体" w:eastAsia="新宋体" w:cs="TimesNewRomanPSMT"/>
          <w:sz w:val="24"/>
        </w:rPr>
      </w:pPr>
      <w:r>
        <w:rPr>
          <w:rFonts w:hint="eastAsia" w:ascii="新宋体" w:hAnsi="新宋体" w:eastAsia="新宋体" w:cs="TimesNewRomanPSMT"/>
          <w:sz w:val="24"/>
        </w:rPr>
        <w:t>4.1.3 投标文件的封套上应写明的其他内容见投标人须知前附表。</w:t>
      </w:r>
    </w:p>
    <w:p>
      <w:pPr>
        <w:spacing w:line="420" w:lineRule="exact"/>
        <w:ind w:firstLine="480" w:firstLineChars="200"/>
        <w:rPr>
          <w:rFonts w:ascii="新宋体" w:hAnsi="新宋体" w:eastAsia="新宋体"/>
          <w:sz w:val="24"/>
        </w:rPr>
      </w:pPr>
      <w:r>
        <w:rPr>
          <w:rFonts w:hint="eastAsia" w:ascii="新宋体" w:hAnsi="新宋体" w:eastAsia="新宋体" w:cs="TimesNewRomanPSMT"/>
          <w:sz w:val="24"/>
        </w:rPr>
        <w:t>4.1.4 未按本章第4.1.1项或第4.1.2项或4.1.3项要求密封和加写标记的投标文件，招标人不予受理。</w:t>
      </w:r>
    </w:p>
    <w:p>
      <w:pPr>
        <w:autoSpaceDE w:val="0"/>
        <w:autoSpaceDN w:val="0"/>
        <w:spacing w:line="42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投标文件的递交</w:t>
      </w:r>
      <w:bookmarkEnd w:id="53"/>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4.2.1投标人应在投标人须知前附表中规定的投标截止时间前成功上传电子投标文件和现场提交纸质投标文件、电子介质存储的投标文件。</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4.2.2 投标人提交纸质投标文件及电子介质存储的投标文件地点：见投标人须知前附表。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4.2.3 除投标人须知前附表另有规定外，投标人所递交的电子投标文件、纸质投标文件及电子介质存储的投标文件不予退还。</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4.2.4 逾期送达的或者未送达指定地点的纸质投标文件及仅提供纸质投标文件的，招标人不予受理。</w:t>
      </w:r>
    </w:p>
    <w:p>
      <w:pPr>
        <w:autoSpaceDE w:val="0"/>
        <w:autoSpaceDN w:val="0"/>
        <w:spacing w:line="420" w:lineRule="exact"/>
        <w:jc w:val="left"/>
        <w:outlineLvl w:val="0"/>
        <w:rPr>
          <w:rFonts w:hAnsi="宋体" w:cs="宋体"/>
          <w:b/>
          <w:sz w:val="24"/>
        </w:rPr>
      </w:pPr>
      <w:bookmarkStart w:id="54" w:name="_Toc283559964"/>
      <w:r>
        <w:rPr>
          <w:rFonts w:hAnsi="宋体" w:cs="宋体"/>
          <w:b/>
          <w:sz w:val="24"/>
        </w:rPr>
        <w:t xml:space="preserve">4.3 </w:t>
      </w:r>
      <w:r>
        <w:rPr>
          <w:rFonts w:hint="eastAsia" w:hAnsi="宋体" w:cs="宋体"/>
          <w:b/>
          <w:sz w:val="24"/>
        </w:rPr>
        <w:t>投标文件的修改与撤回</w:t>
      </w:r>
      <w:bookmarkEnd w:id="54"/>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项规定的投标截止时间前，投标人可以修改或撤回已递交的投标文件，但应以书面形式通知招标人。</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4.3.2 投标人修改或撤回已递交投标文件的书面通知应按照本章第3.7.3 项的要求签字或盖章。招标人收到书面通知后，向投标人出具签收凭证。</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4.3.3 修改的内容为投标文件的组成部分。修改的投标文件应按照本章第3条、第4条规定进行编制、密封、标记和递交，并标明“修改”字样。</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15"/>
        <w:spacing w:line="420" w:lineRule="exact"/>
        <w:jc w:val="both"/>
        <w:outlineLvl w:val="0"/>
        <w:rPr>
          <w:rFonts w:hAnsi="宋体"/>
          <w:b/>
          <w:color w:val="auto"/>
        </w:rPr>
      </w:pPr>
      <w:bookmarkStart w:id="55" w:name="_Toc283559967"/>
      <w:r>
        <w:rPr>
          <w:rFonts w:hAnsi="宋体"/>
          <w:b/>
          <w:color w:val="auto"/>
        </w:rPr>
        <w:t xml:space="preserve">5. </w:t>
      </w:r>
      <w:r>
        <w:rPr>
          <w:rFonts w:hint="eastAsia" w:hAnsi="宋体"/>
          <w:b/>
          <w:color w:val="auto"/>
        </w:rPr>
        <w:t>开标</w:t>
      </w:r>
      <w:bookmarkEnd w:id="55"/>
    </w:p>
    <w:p>
      <w:pPr>
        <w:autoSpaceDE w:val="0"/>
        <w:autoSpaceDN w:val="0"/>
        <w:adjustRightInd w:val="0"/>
        <w:spacing w:line="420" w:lineRule="exact"/>
        <w:jc w:val="left"/>
        <w:outlineLvl w:val="0"/>
        <w:rPr>
          <w:rFonts w:hAnsi="宋体" w:cs="宋体"/>
          <w:b/>
          <w:sz w:val="24"/>
        </w:rPr>
      </w:pPr>
      <w:bookmarkStart w:id="56" w:name="_Toc283559968"/>
      <w:r>
        <w:rPr>
          <w:rFonts w:hAnsi="宋体" w:cs="宋体"/>
          <w:b/>
          <w:sz w:val="24"/>
        </w:rPr>
        <w:t xml:space="preserve">5.1 </w:t>
      </w:r>
      <w:r>
        <w:rPr>
          <w:rFonts w:hint="eastAsia" w:hAnsi="宋体" w:cs="宋体"/>
          <w:b/>
          <w:sz w:val="24"/>
        </w:rPr>
        <w:t>开标时间和地点</w:t>
      </w:r>
      <w:bookmarkEnd w:id="56"/>
    </w:p>
    <w:p>
      <w:pPr>
        <w:spacing w:line="420" w:lineRule="exact"/>
        <w:ind w:firstLine="480" w:firstLineChars="200"/>
        <w:rPr>
          <w:sz w:val="24"/>
        </w:rPr>
      </w:pPr>
      <w:r>
        <w:rPr>
          <w:rFonts w:hint="eastAsia"/>
          <w:sz w:val="24"/>
        </w:rPr>
        <w:t>招标人在投标人须知前附表第2.2.2项规定的投标截止时间（开标时间）和投标人须知前附表规定的地点公开开标，并邀请所有投标人的法定代表人或其被授权委托人准时参加。</w:t>
      </w:r>
    </w:p>
    <w:p>
      <w:pPr>
        <w:spacing w:line="420" w:lineRule="exact"/>
        <w:rPr>
          <w:rFonts w:hAnsi="宋体" w:cs="宋体"/>
          <w:b/>
          <w:sz w:val="24"/>
        </w:rPr>
      </w:pPr>
      <w:bookmarkStart w:id="57" w:name="_Toc283559970"/>
      <w:r>
        <w:rPr>
          <w:rFonts w:hint="eastAsia" w:hAnsi="宋体" w:cs="宋体"/>
          <w:b/>
          <w:sz w:val="24"/>
        </w:rPr>
        <w:t>5.2 开标、解密、唱标程序</w:t>
      </w:r>
    </w:p>
    <w:p>
      <w:pPr>
        <w:spacing w:line="420" w:lineRule="exact"/>
        <w:ind w:firstLine="480" w:firstLineChars="200"/>
        <w:rPr>
          <w:rFonts w:hAnsi="宋体" w:cs="宋体"/>
          <w:sz w:val="24"/>
        </w:rPr>
      </w:pPr>
      <w:r>
        <w:rPr>
          <w:rFonts w:hint="eastAsia" w:hAnsi="宋体" w:cs="宋体"/>
          <w:sz w:val="24"/>
        </w:rPr>
        <w:t>5.2.1主持人按下列程序进行开标：</w:t>
      </w:r>
    </w:p>
    <w:p>
      <w:pPr>
        <w:spacing w:line="42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20" w:lineRule="exact"/>
        <w:ind w:firstLine="480" w:firstLineChars="200"/>
        <w:rPr>
          <w:rFonts w:hAnsi="宋体" w:cs="宋体"/>
          <w:sz w:val="24"/>
        </w:rPr>
      </w:pPr>
      <w:r>
        <w:rPr>
          <w:rFonts w:hint="eastAsia" w:hAnsi="宋体" w:cs="宋体"/>
          <w:sz w:val="24"/>
        </w:rPr>
        <w:t xml:space="preserve">（2）宣布开标纪律； </w:t>
      </w:r>
    </w:p>
    <w:p>
      <w:pPr>
        <w:spacing w:line="42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20" w:lineRule="exact"/>
        <w:ind w:firstLine="480" w:firstLineChars="200"/>
        <w:rPr>
          <w:rFonts w:hAnsi="宋体" w:cs="宋体"/>
          <w:sz w:val="24"/>
        </w:rPr>
      </w:pPr>
      <w:r>
        <w:rPr>
          <w:rFonts w:hint="eastAsia" w:hAnsi="宋体" w:cs="宋体"/>
          <w:sz w:val="24"/>
        </w:rPr>
        <w:t>（4）检查投标文件的密封情况；</w:t>
      </w:r>
    </w:p>
    <w:p>
      <w:pPr>
        <w:spacing w:line="420" w:lineRule="exact"/>
        <w:ind w:firstLine="480" w:firstLineChars="200"/>
        <w:rPr>
          <w:rFonts w:hAnsi="宋体" w:cs="宋体"/>
          <w:sz w:val="24"/>
        </w:rPr>
      </w:pPr>
      <w:r>
        <w:rPr>
          <w:rFonts w:hint="eastAsia" w:hAnsi="宋体" w:cs="宋体"/>
          <w:sz w:val="24"/>
        </w:rPr>
        <w:t>（5）电子投标文件解密；</w:t>
      </w:r>
    </w:p>
    <w:p>
      <w:pPr>
        <w:spacing w:line="420" w:lineRule="exact"/>
        <w:ind w:firstLine="480" w:firstLineChars="200"/>
        <w:rPr>
          <w:rFonts w:hAnsi="宋体" w:cs="宋体"/>
          <w:sz w:val="24"/>
        </w:rPr>
      </w:pPr>
      <w:r>
        <w:rPr>
          <w:rFonts w:hint="eastAsia" w:hAnsi="宋体" w:cs="宋体"/>
          <w:sz w:val="24"/>
        </w:rPr>
        <w:t>（6）宣布唱标顺序，按已定顺序唱标，唱标内容为：投标人名称、投标报价、质量目标、工期及其他内容，并记录；</w:t>
      </w:r>
    </w:p>
    <w:p>
      <w:pPr>
        <w:spacing w:line="420" w:lineRule="exact"/>
        <w:ind w:firstLine="480" w:firstLineChars="200"/>
        <w:rPr>
          <w:rFonts w:hAnsi="宋体" w:cs="宋体"/>
          <w:sz w:val="24"/>
        </w:rPr>
      </w:pPr>
      <w:r>
        <w:rPr>
          <w:rFonts w:hint="eastAsia" w:hAnsi="宋体" w:cs="宋体"/>
          <w:sz w:val="24"/>
        </w:rPr>
        <w:t>（7）现场抽取参与计算评标基准价的K值并宣布，同时公布招标控制价；</w:t>
      </w:r>
    </w:p>
    <w:p>
      <w:pPr>
        <w:spacing w:line="420" w:lineRule="exact"/>
        <w:ind w:firstLine="480" w:firstLineChars="200"/>
        <w:rPr>
          <w:rFonts w:hAnsi="宋体" w:cs="宋体"/>
          <w:sz w:val="24"/>
        </w:rPr>
      </w:pPr>
      <w:r>
        <w:rPr>
          <w:rFonts w:hint="eastAsia" w:hAnsi="宋体" w:cs="宋体"/>
          <w:sz w:val="24"/>
        </w:rPr>
        <w:t>（8）投标人代表、招标人代表、监标人、记录人等有关人员在开标记录上签字确认；</w:t>
      </w:r>
    </w:p>
    <w:p>
      <w:pPr>
        <w:spacing w:line="420" w:lineRule="exact"/>
        <w:ind w:firstLine="480" w:firstLineChars="200"/>
        <w:rPr>
          <w:rFonts w:hAnsi="宋体" w:cs="宋体"/>
          <w:sz w:val="24"/>
        </w:rPr>
      </w:pPr>
      <w:r>
        <w:rPr>
          <w:rFonts w:hint="eastAsia" w:hAnsi="宋体" w:cs="宋体"/>
          <w:sz w:val="24"/>
        </w:rPr>
        <w:t>（9）开标结束。</w:t>
      </w:r>
    </w:p>
    <w:p>
      <w:pPr>
        <w:spacing w:line="420" w:lineRule="exact"/>
        <w:ind w:firstLine="480" w:firstLineChars="200"/>
        <w:rPr>
          <w:rFonts w:hAnsi="宋体" w:cs="宋体"/>
          <w:sz w:val="24"/>
        </w:rPr>
      </w:pPr>
      <w:r>
        <w:rPr>
          <w:rFonts w:hint="eastAsia" w:hAnsi="宋体" w:cs="宋体"/>
          <w:sz w:val="24"/>
        </w:rPr>
        <w:t>5.2.2 电子投标文件的解密</w:t>
      </w:r>
    </w:p>
    <w:p>
      <w:pPr>
        <w:spacing w:line="420" w:lineRule="exact"/>
        <w:ind w:firstLine="480" w:firstLineChars="200"/>
        <w:rPr>
          <w:rFonts w:hAnsi="宋体" w:cs="宋体"/>
          <w:sz w:val="24"/>
        </w:rPr>
      </w:pPr>
      <w:r>
        <w:rPr>
          <w:rFonts w:hint="eastAsia" w:hAnsi="宋体" w:cs="宋体"/>
          <w:sz w:val="24"/>
        </w:rPr>
        <w:t>5.2.2.1本项目为全流程电子化交易项目，电子投标文件采用双重加密。在投标截止时间到达后，分标段进行解密。</w:t>
      </w:r>
    </w:p>
    <w:p>
      <w:pPr>
        <w:spacing w:line="420" w:lineRule="exact"/>
        <w:ind w:firstLine="480" w:firstLineChars="200"/>
        <w:rPr>
          <w:rFonts w:hAnsi="宋体" w:cs="宋体"/>
          <w:sz w:val="24"/>
        </w:rPr>
      </w:pPr>
      <w:r>
        <w:rPr>
          <w:rFonts w:hint="eastAsia" w:hAnsi="宋体" w:cs="宋体"/>
          <w:sz w:val="24"/>
        </w:rPr>
        <w:t>(1)投标人解密：投标人使用本单位CA数字证书远程或现场进行解密。需现场使用一体机进行解密的，请在代理机构引导下进行。</w:t>
      </w:r>
    </w:p>
    <w:p>
      <w:pPr>
        <w:spacing w:line="420" w:lineRule="exact"/>
        <w:ind w:firstLine="480" w:firstLineChars="200"/>
        <w:rPr>
          <w:rFonts w:hAnsi="宋体" w:cs="宋体"/>
          <w:sz w:val="24"/>
        </w:rPr>
      </w:pPr>
      <w:r>
        <w:rPr>
          <w:rFonts w:hint="eastAsia" w:hAnsi="宋体" w:cs="宋体"/>
          <w:sz w:val="24"/>
        </w:rPr>
        <w:t>(2)代理机构解密：代理机构按电子投标文件到达交易系统的先后顺序，使用本单位CA数字证书进行再次解密。</w:t>
      </w:r>
    </w:p>
    <w:p>
      <w:pPr>
        <w:spacing w:line="420" w:lineRule="exact"/>
        <w:ind w:firstLine="480" w:firstLineChars="200"/>
        <w:rPr>
          <w:rFonts w:hAnsi="宋体" w:cs="宋体"/>
          <w:sz w:val="24"/>
        </w:rPr>
      </w:pPr>
      <w:r>
        <w:rPr>
          <w:rFonts w:hint="eastAsia" w:hAnsi="宋体" w:cs="宋体"/>
          <w:sz w:val="24"/>
        </w:rPr>
        <w:t>5.2.2.2电子投标文件解密异常情况处理</w:t>
      </w:r>
    </w:p>
    <w:p>
      <w:pPr>
        <w:spacing w:line="420" w:lineRule="exact"/>
        <w:ind w:firstLine="480" w:firstLineChars="200"/>
        <w:rPr>
          <w:sz w:val="24"/>
        </w:rPr>
      </w:pPr>
      <w:r>
        <w:rPr>
          <w:rFonts w:hint="eastAsia" w:hAnsi="宋体" w:cs="宋体"/>
          <w:sz w:val="24"/>
        </w:rPr>
        <w:t>（1）</w:t>
      </w:r>
      <w:r>
        <w:rPr>
          <w:rFonts w:hint="eastAsia" w:ascii="Calibri" w:hAnsi="宋体" w:cs="宋体"/>
          <w:kern w:val="2"/>
          <w:sz w:val="24"/>
          <w:szCs w:val="24"/>
        </w:rPr>
        <w:t>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15"/>
        <w:spacing w:line="42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57"/>
    </w:p>
    <w:p>
      <w:pPr>
        <w:autoSpaceDE w:val="0"/>
        <w:autoSpaceDN w:val="0"/>
        <w:adjustRightInd w:val="0"/>
        <w:spacing w:line="420" w:lineRule="exact"/>
        <w:jc w:val="left"/>
        <w:outlineLvl w:val="0"/>
        <w:rPr>
          <w:rFonts w:hAnsi="宋体" w:cs="宋体"/>
          <w:b/>
          <w:sz w:val="24"/>
        </w:rPr>
      </w:pPr>
      <w:bookmarkStart w:id="58" w:name="_Toc283559971"/>
      <w:r>
        <w:rPr>
          <w:rFonts w:hAnsi="宋体" w:cs="宋体"/>
          <w:b/>
          <w:sz w:val="24"/>
        </w:rPr>
        <w:t xml:space="preserve">6.1 </w:t>
      </w:r>
      <w:r>
        <w:rPr>
          <w:rFonts w:hint="eastAsia" w:hAnsi="宋体" w:cs="宋体"/>
          <w:b/>
          <w:sz w:val="24"/>
        </w:rPr>
        <w:t>评标委员会</w:t>
      </w:r>
      <w:bookmarkEnd w:id="58"/>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）投标人或投标人的主要负责人的近亲属；</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6.1.3评标过程中，评标委员会成员有回避事由、擅离职守或因健康原因未能继续评标的应当及时更换。被更换的评标委员会成员作出的评审结论无效，由更改后的评标会员成员重新进行评审。</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6.1.4评标委员会成员应严格按照招标文件要求查看“硬件特征码”相关信息并进行评审，在评标报告中显示“不同投标人电子投标文件制作硬件特征码”是否雷同的分析及判定结果。</w:t>
      </w:r>
    </w:p>
    <w:p>
      <w:pPr>
        <w:autoSpaceDE w:val="0"/>
        <w:autoSpaceDN w:val="0"/>
        <w:spacing w:line="420" w:lineRule="exact"/>
        <w:ind w:firstLine="480" w:firstLineChars="200"/>
        <w:jc w:val="left"/>
        <w:outlineLvl w:val="0"/>
        <w:rPr>
          <w:rFonts w:hAnsi="宋体" w:cs="宋体"/>
          <w:sz w:val="24"/>
        </w:rPr>
      </w:pPr>
      <w:r>
        <w:rPr>
          <w:rFonts w:hint="eastAsia" w:hAnsi="宋体"/>
          <w:sz w:val="24"/>
          <w:szCs w:val="24"/>
        </w:rPr>
        <w:t>6.1.5评标（评审）委员会成员在评标（评审）过程中有不良行为的，按《许昌市公共资源交易当事人不良行为管理暂行办法》和《长葛市公共资源交易管理委员会关于印发长葛市公共资源交易失信主体失信行为惩戒暂行办法（试行）的通知》（长公管委〔2018〕1号）记录其不良行为6—18个月；情节严重的，由主管部门取消评标（评审）专家资格。</w:t>
      </w:r>
    </w:p>
    <w:p>
      <w:pPr>
        <w:autoSpaceDE w:val="0"/>
        <w:autoSpaceDN w:val="0"/>
        <w:spacing w:line="420" w:lineRule="exact"/>
        <w:jc w:val="left"/>
        <w:outlineLvl w:val="0"/>
        <w:rPr>
          <w:rFonts w:hAnsi="宋体" w:cs="宋体"/>
          <w:b/>
          <w:sz w:val="24"/>
        </w:rPr>
      </w:pPr>
      <w:bookmarkStart w:id="59" w:name="_Toc283559972"/>
      <w:r>
        <w:rPr>
          <w:rFonts w:hAnsi="宋体" w:cs="宋体"/>
          <w:b/>
          <w:sz w:val="24"/>
        </w:rPr>
        <w:t xml:space="preserve">6.2 </w:t>
      </w:r>
      <w:r>
        <w:rPr>
          <w:rFonts w:hint="eastAsia" w:hAnsi="宋体" w:cs="宋体"/>
          <w:b/>
          <w:sz w:val="24"/>
        </w:rPr>
        <w:t>评标原则</w:t>
      </w:r>
      <w:bookmarkEnd w:id="59"/>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20" w:lineRule="exact"/>
        <w:jc w:val="left"/>
        <w:outlineLvl w:val="0"/>
        <w:rPr>
          <w:rFonts w:hAnsi="宋体" w:cs="宋体"/>
          <w:b/>
          <w:sz w:val="24"/>
        </w:rPr>
      </w:pPr>
      <w:bookmarkStart w:id="60" w:name="_Toc283559973"/>
      <w:r>
        <w:rPr>
          <w:rFonts w:hAnsi="宋体" w:cs="宋体"/>
          <w:b/>
          <w:sz w:val="24"/>
        </w:rPr>
        <w:t xml:space="preserve">6.3 </w:t>
      </w:r>
      <w:r>
        <w:rPr>
          <w:rFonts w:hint="eastAsia" w:hAnsi="宋体" w:cs="宋体"/>
          <w:b/>
          <w:sz w:val="24"/>
        </w:rPr>
        <w:t>评标</w:t>
      </w:r>
      <w:bookmarkEnd w:id="60"/>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15"/>
        <w:spacing w:line="420" w:lineRule="exact"/>
        <w:jc w:val="both"/>
        <w:outlineLvl w:val="0"/>
        <w:rPr>
          <w:rFonts w:hAnsi="宋体"/>
          <w:b/>
          <w:color w:val="auto"/>
        </w:rPr>
      </w:pPr>
      <w:bookmarkStart w:id="61" w:name="_Toc283559974"/>
      <w:r>
        <w:rPr>
          <w:rFonts w:hAnsi="宋体"/>
          <w:b/>
          <w:color w:val="auto"/>
        </w:rPr>
        <w:t xml:space="preserve">7. </w:t>
      </w:r>
      <w:r>
        <w:rPr>
          <w:rFonts w:hint="eastAsia" w:hAnsi="宋体"/>
          <w:b/>
          <w:color w:val="auto"/>
        </w:rPr>
        <w:t>合同授予</w:t>
      </w:r>
      <w:bookmarkEnd w:id="61"/>
    </w:p>
    <w:p>
      <w:pPr>
        <w:autoSpaceDE w:val="0"/>
        <w:autoSpaceDN w:val="0"/>
        <w:spacing w:line="420" w:lineRule="exact"/>
        <w:jc w:val="left"/>
        <w:outlineLvl w:val="0"/>
        <w:rPr>
          <w:rFonts w:hAnsi="宋体" w:cs="宋体"/>
          <w:b/>
          <w:sz w:val="24"/>
        </w:rPr>
      </w:pPr>
      <w:bookmarkStart w:id="62" w:name="_Toc283559975"/>
      <w:r>
        <w:rPr>
          <w:rFonts w:hAnsi="宋体" w:cs="宋体"/>
          <w:b/>
          <w:sz w:val="24"/>
        </w:rPr>
        <w:t xml:space="preserve">7.1 </w:t>
      </w:r>
      <w:r>
        <w:rPr>
          <w:rFonts w:hint="eastAsia" w:hAnsi="宋体" w:cs="宋体"/>
          <w:b/>
          <w:sz w:val="24"/>
        </w:rPr>
        <w:t>定标方式</w:t>
      </w:r>
      <w:bookmarkEnd w:id="62"/>
    </w:p>
    <w:p>
      <w:pPr>
        <w:spacing w:line="42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20" w:lineRule="exact"/>
        <w:jc w:val="left"/>
        <w:outlineLvl w:val="0"/>
        <w:rPr>
          <w:rFonts w:hAnsi="宋体" w:cs="宋体"/>
          <w:b/>
          <w:sz w:val="24"/>
        </w:rPr>
      </w:pPr>
      <w:bookmarkStart w:id="63" w:name="_Toc283559976"/>
      <w:r>
        <w:rPr>
          <w:rFonts w:hAnsi="宋体" w:cs="宋体"/>
          <w:b/>
          <w:sz w:val="24"/>
        </w:rPr>
        <w:t>7.</w:t>
      </w:r>
      <w:r>
        <w:rPr>
          <w:rFonts w:hint="eastAsia" w:hAnsi="宋体" w:cs="宋体"/>
          <w:b/>
          <w:sz w:val="24"/>
        </w:rPr>
        <w:t>2中标通知</w:t>
      </w:r>
      <w:bookmarkEnd w:id="63"/>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64" w:name="_Toc144974537"/>
      <w:bookmarkStart w:id="65" w:name="_Toc152042345"/>
      <w:bookmarkStart w:id="66" w:name="_Toc152045569"/>
      <w:bookmarkStart w:id="67" w:name="_Toc179632587"/>
    </w:p>
    <w:p>
      <w:pPr>
        <w:autoSpaceDE w:val="0"/>
        <w:autoSpaceDN w:val="0"/>
        <w:spacing w:line="420" w:lineRule="exact"/>
        <w:jc w:val="left"/>
        <w:outlineLvl w:val="0"/>
        <w:rPr>
          <w:rFonts w:hAnsi="宋体" w:cs="宋体"/>
          <w:b/>
          <w:sz w:val="24"/>
        </w:rPr>
      </w:pPr>
      <w:r>
        <w:rPr>
          <w:rFonts w:hint="eastAsia" w:hAnsi="宋体" w:cs="宋体"/>
          <w:b/>
          <w:sz w:val="24"/>
        </w:rPr>
        <w:t>7.3履约担保</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7.3.1 在签订合同前，中标人应按投标人须知前附表的规定向招标人提交履约担保。</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7.3.2 中标人不能按本章第7.3.1项要求提交履约担保的，视为放弃中标，其投标保证金不予退还，给招标人造成的损失超过投标保证金数额的，中标人还应当对超过部分予以赔偿。</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7.3.3 中标人不履行与招标人订立的合同的，履约担保不予退还，给招标人造成的损失超过履约担保数额的，还应当对超过部分予以赔偿；没有提交履约担保的，应当对招标人的损失承担赔偿责任。招标人不履行与中标人订立的合同的，应当返还中标人的履约担保，并承担相应的赔偿责任；没有提交履约担保的，应当对中标人的损失承担赔偿责任。</w:t>
      </w:r>
    </w:p>
    <w:p>
      <w:pPr>
        <w:autoSpaceDE w:val="0"/>
        <w:autoSpaceDN w:val="0"/>
        <w:spacing w:line="420" w:lineRule="exact"/>
        <w:jc w:val="left"/>
        <w:outlineLvl w:val="0"/>
        <w:rPr>
          <w:rFonts w:hAnsi="宋体" w:cs="宋体"/>
          <w:b/>
          <w:sz w:val="24"/>
        </w:rPr>
      </w:pPr>
      <w:r>
        <w:rPr>
          <w:rFonts w:hint="eastAsia" w:hAnsi="宋体" w:cs="宋体"/>
          <w:b/>
          <w:sz w:val="24"/>
        </w:rPr>
        <w:t>7.</w:t>
      </w:r>
      <w:bookmarkEnd w:id="64"/>
      <w:bookmarkEnd w:id="65"/>
      <w:bookmarkEnd w:id="66"/>
      <w:bookmarkEnd w:id="67"/>
      <w:bookmarkStart w:id="68" w:name="_Toc283559977"/>
      <w:r>
        <w:rPr>
          <w:rFonts w:hint="eastAsia" w:hAnsi="宋体" w:cs="宋体"/>
          <w:b/>
          <w:sz w:val="24"/>
        </w:rPr>
        <w:t>4签订合同</w:t>
      </w:r>
      <w:bookmarkEnd w:id="68"/>
    </w:p>
    <w:p>
      <w:pPr>
        <w:autoSpaceDE w:val="0"/>
        <w:autoSpaceDN w:val="0"/>
        <w:spacing w:line="420" w:lineRule="exact"/>
        <w:ind w:firstLine="480" w:firstLineChars="200"/>
        <w:jc w:val="left"/>
        <w:outlineLvl w:val="0"/>
        <w:rPr>
          <w:rFonts w:hAnsi="宋体" w:cs="宋体"/>
          <w:sz w:val="24"/>
        </w:rPr>
      </w:pPr>
      <w:r>
        <w:rPr>
          <w:rFonts w:hAnsi="宋体" w:cs="宋体"/>
          <w:sz w:val="24"/>
        </w:rPr>
        <w:t>7.</w:t>
      </w:r>
      <w:r>
        <w:rPr>
          <w:rFonts w:hint="eastAsia" w:hAnsi="宋体" w:cs="宋体"/>
          <w:sz w:val="24"/>
        </w:rPr>
        <w:t>4</w:t>
      </w:r>
      <w:r>
        <w:rPr>
          <w:rFonts w:hAnsi="宋体" w:cs="宋体"/>
          <w:sz w:val="24"/>
        </w:rPr>
        <w:t xml:space="preserve">.1 </w:t>
      </w:r>
      <w:r>
        <w:rPr>
          <w:rFonts w:hint="eastAsia" w:hAnsi="宋体" w:cs="宋体"/>
          <w:sz w:val="24"/>
        </w:rPr>
        <w:t>招标人和中标人应当自中标通知书发出之日起</w:t>
      </w:r>
      <w:r>
        <w:rPr>
          <w:rFonts w:hAnsi="宋体" w:cs="宋体"/>
          <w:sz w:val="24"/>
        </w:rPr>
        <w:t xml:space="preserve">30 </w:t>
      </w:r>
      <w:r>
        <w:rPr>
          <w:rFonts w:hint="eastAsia" w:hAnsi="宋体" w:cs="宋体"/>
          <w:sz w:val="24"/>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20" w:lineRule="exact"/>
        <w:ind w:firstLine="480" w:firstLineChars="200"/>
        <w:jc w:val="left"/>
        <w:outlineLvl w:val="0"/>
        <w:rPr>
          <w:rFonts w:hAnsi="宋体" w:cs="宋体"/>
          <w:sz w:val="24"/>
        </w:rPr>
      </w:pPr>
      <w:r>
        <w:rPr>
          <w:rFonts w:hAnsi="宋体" w:cs="宋体"/>
          <w:sz w:val="24"/>
        </w:rPr>
        <w:t>7.</w:t>
      </w:r>
      <w:r>
        <w:rPr>
          <w:rFonts w:hint="eastAsia" w:hAnsi="宋体" w:cs="宋体"/>
          <w:sz w:val="24"/>
        </w:rPr>
        <w:t>4</w:t>
      </w:r>
      <w:r>
        <w:rPr>
          <w:rFonts w:hAnsi="宋体" w:cs="宋体"/>
          <w:sz w:val="24"/>
        </w:rPr>
        <w:t xml:space="preserve">.2 </w:t>
      </w:r>
      <w:r>
        <w:rPr>
          <w:rFonts w:hint="eastAsia" w:hAnsi="宋体" w:cs="宋体"/>
          <w:sz w:val="24"/>
        </w:rPr>
        <w:t>发出中标通知书后，招标人无正当理由拒签合同的，招标人向中标人退还投标保证金；给中标人造成损失的，还应当赔偿损失。</w:t>
      </w:r>
    </w:p>
    <w:p>
      <w:pPr>
        <w:autoSpaceDE w:val="0"/>
        <w:autoSpaceDN w:val="0"/>
        <w:spacing w:line="420" w:lineRule="exact"/>
        <w:jc w:val="left"/>
        <w:outlineLvl w:val="0"/>
        <w:rPr>
          <w:rFonts w:hAnsi="宋体" w:cs="宋体"/>
          <w:b/>
          <w:sz w:val="24"/>
        </w:rPr>
      </w:pPr>
      <w:bookmarkStart w:id="69" w:name="_Toc283559978"/>
      <w:r>
        <w:rPr>
          <w:rFonts w:hAnsi="宋体" w:cs="宋体"/>
          <w:b/>
          <w:sz w:val="24"/>
        </w:rPr>
        <w:t xml:space="preserve">8. </w:t>
      </w:r>
      <w:r>
        <w:rPr>
          <w:rFonts w:hint="eastAsia" w:hAnsi="宋体" w:cs="宋体"/>
          <w:b/>
          <w:sz w:val="24"/>
        </w:rPr>
        <w:t>重新招标和不再招标</w:t>
      </w:r>
      <w:bookmarkEnd w:id="69"/>
    </w:p>
    <w:p>
      <w:pPr>
        <w:autoSpaceDE w:val="0"/>
        <w:autoSpaceDN w:val="0"/>
        <w:adjustRightInd w:val="0"/>
        <w:spacing w:line="420" w:lineRule="exact"/>
        <w:jc w:val="left"/>
        <w:outlineLvl w:val="0"/>
        <w:rPr>
          <w:rFonts w:hAnsi="宋体" w:cs="宋体"/>
          <w:b/>
          <w:sz w:val="24"/>
        </w:rPr>
      </w:pPr>
      <w:bookmarkStart w:id="70" w:name="_Toc283559979"/>
      <w:r>
        <w:rPr>
          <w:rFonts w:hAnsi="宋体" w:cs="宋体"/>
          <w:b/>
          <w:sz w:val="24"/>
        </w:rPr>
        <w:t xml:space="preserve">8.1 </w:t>
      </w:r>
      <w:r>
        <w:rPr>
          <w:rFonts w:hint="eastAsia" w:hAnsi="宋体" w:cs="宋体"/>
          <w:b/>
          <w:sz w:val="24"/>
        </w:rPr>
        <w:t>重新招标</w:t>
      </w:r>
      <w:bookmarkEnd w:id="70"/>
    </w:p>
    <w:p>
      <w:pPr>
        <w:autoSpaceDE w:val="0"/>
        <w:autoSpaceDN w:val="0"/>
        <w:adjustRightInd w:val="0"/>
        <w:spacing w:line="42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2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 xml:space="preserve">3 </w:t>
      </w:r>
      <w:r>
        <w:rPr>
          <w:rFonts w:hint="eastAsia" w:hAnsi="宋体" w:cs="宋体"/>
          <w:sz w:val="24"/>
        </w:rPr>
        <w:t>个的；</w:t>
      </w:r>
    </w:p>
    <w:p>
      <w:pPr>
        <w:autoSpaceDE w:val="0"/>
        <w:autoSpaceDN w:val="0"/>
        <w:adjustRightInd w:val="0"/>
        <w:spacing w:line="42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20" w:lineRule="exact"/>
        <w:jc w:val="left"/>
        <w:outlineLvl w:val="0"/>
        <w:rPr>
          <w:rFonts w:hAnsi="宋体" w:cs="宋体"/>
          <w:b/>
          <w:sz w:val="24"/>
        </w:rPr>
      </w:pPr>
      <w:bookmarkStart w:id="71" w:name="_Toc283559980"/>
      <w:r>
        <w:rPr>
          <w:rFonts w:hAnsi="宋体" w:cs="宋体"/>
          <w:b/>
          <w:sz w:val="24"/>
        </w:rPr>
        <w:t xml:space="preserve">8.2 </w:t>
      </w:r>
      <w:r>
        <w:rPr>
          <w:rFonts w:hint="eastAsia" w:hAnsi="宋体" w:cs="宋体"/>
          <w:b/>
          <w:sz w:val="24"/>
        </w:rPr>
        <w:t>不再招标</w:t>
      </w:r>
      <w:bookmarkEnd w:id="71"/>
    </w:p>
    <w:p>
      <w:pPr>
        <w:autoSpaceDE w:val="0"/>
        <w:autoSpaceDN w:val="0"/>
        <w:adjustRightInd w:val="0"/>
        <w:spacing w:line="42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15"/>
        <w:spacing w:line="420" w:lineRule="exact"/>
        <w:jc w:val="both"/>
        <w:outlineLvl w:val="0"/>
        <w:rPr>
          <w:rFonts w:hAnsi="宋体"/>
          <w:b/>
          <w:color w:val="auto"/>
        </w:rPr>
      </w:pPr>
      <w:bookmarkStart w:id="72" w:name="_Toc283559981"/>
      <w:r>
        <w:rPr>
          <w:rFonts w:hAnsi="宋体"/>
          <w:b/>
          <w:color w:val="auto"/>
        </w:rPr>
        <w:t xml:space="preserve">9. </w:t>
      </w:r>
      <w:r>
        <w:rPr>
          <w:rFonts w:hint="eastAsia" w:hAnsi="宋体"/>
          <w:b/>
          <w:color w:val="auto"/>
        </w:rPr>
        <w:t>纪律和监督</w:t>
      </w:r>
      <w:bookmarkEnd w:id="72"/>
    </w:p>
    <w:p>
      <w:pPr>
        <w:autoSpaceDE w:val="0"/>
        <w:autoSpaceDN w:val="0"/>
        <w:adjustRightInd w:val="0"/>
        <w:spacing w:line="420" w:lineRule="exact"/>
        <w:jc w:val="left"/>
        <w:outlineLvl w:val="0"/>
        <w:rPr>
          <w:rFonts w:hAnsi="宋体" w:cs="宋体"/>
          <w:b/>
          <w:sz w:val="24"/>
        </w:rPr>
      </w:pPr>
      <w:bookmarkStart w:id="73" w:name="_Toc283559982"/>
      <w:r>
        <w:rPr>
          <w:rFonts w:hAnsi="宋体" w:cs="宋体"/>
          <w:b/>
          <w:sz w:val="24"/>
        </w:rPr>
        <w:t xml:space="preserve">9.1 </w:t>
      </w:r>
      <w:r>
        <w:rPr>
          <w:rFonts w:hint="eastAsia" w:hAnsi="宋体" w:cs="宋体"/>
          <w:b/>
          <w:sz w:val="24"/>
        </w:rPr>
        <w:t>对招标人的纪律要求</w:t>
      </w:r>
      <w:bookmarkEnd w:id="73"/>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20" w:lineRule="exact"/>
        <w:jc w:val="left"/>
        <w:outlineLvl w:val="0"/>
        <w:rPr>
          <w:rFonts w:hAnsi="宋体" w:cs="宋体"/>
          <w:b/>
          <w:sz w:val="24"/>
        </w:rPr>
      </w:pPr>
      <w:bookmarkStart w:id="74" w:name="_Toc283559983"/>
      <w:r>
        <w:rPr>
          <w:rFonts w:hAnsi="宋体" w:cs="宋体"/>
          <w:b/>
          <w:sz w:val="24"/>
        </w:rPr>
        <w:t xml:space="preserve">9.2 </w:t>
      </w:r>
      <w:r>
        <w:rPr>
          <w:rFonts w:hint="eastAsia" w:hAnsi="宋体" w:cs="宋体"/>
          <w:b/>
          <w:sz w:val="24"/>
        </w:rPr>
        <w:t>对投标人的纪律要求</w:t>
      </w:r>
      <w:bookmarkEnd w:id="74"/>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20" w:lineRule="exact"/>
        <w:jc w:val="left"/>
        <w:outlineLvl w:val="0"/>
        <w:rPr>
          <w:rFonts w:hAnsi="宋体" w:cs="宋体"/>
          <w:b/>
          <w:sz w:val="24"/>
        </w:rPr>
      </w:pPr>
      <w:bookmarkStart w:id="75" w:name="_Toc283559984"/>
      <w:r>
        <w:rPr>
          <w:rFonts w:hAnsi="宋体" w:cs="宋体"/>
          <w:b/>
          <w:sz w:val="24"/>
        </w:rPr>
        <w:t xml:space="preserve">9.3 </w:t>
      </w:r>
      <w:r>
        <w:rPr>
          <w:rFonts w:hint="eastAsia" w:hAnsi="宋体" w:cs="宋体"/>
          <w:b/>
          <w:sz w:val="24"/>
        </w:rPr>
        <w:t>对评标委员会成员的纪律要求</w:t>
      </w:r>
      <w:bookmarkEnd w:id="75"/>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20" w:lineRule="exact"/>
        <w:jc w:val="left"/>
        <w:outlineLvl w:val="0"/>
        <w:rPr>
          <w:rFonts w:hAnsi="宋体" w:cs="宋体"/>
          <w:b/>
          <w:sz w:val="24"/>
        </w:rPr>
      </w:pPr>
      <w:bookmarkStart w:id="76" w:name="_Toc283559985"/>
      <w:r>
        <w:rPr>
          <w:rFonts w:hAnsi="宋体" w:cs="宋体"/>
          <w:b/>
          <w:sz w:val="24"/>
        </w:rPr>
        <w:t xml:space="preserve">9.4 </w:t>
      </w:r>
      <w:r>
        <w:rPr>
          <w:rFonts w:hint="eastAsia" w:hAnsi="宋体" w:cs="宋体"/>
          <w:b/>
          <w:sz w:val="24"/>
        </w:rPr>
        <w:t>对与评标活动有关的工作人员的纪律要求</w:t>
      </w:r>
      <w:bookmarkEnd w:id="76"/>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20" w:lineRule="exact"/>
        <w:jc w:val="left"/>
        <w:outlineLvl w:val="0"/>
        <w:rPr>
          <w:rFonts w:hAnsi="宋体" w:cs="宋体"/>
          <w:b/>
          <w:sz w:val="24"/>
        </w:rPr>
      </w:pPr>
      <w:bookmarkStart w:id="77" w:name="_Toc283559986"/>
      <w:r>
        <w:rPr>
          <w:rFonts w:hAnsi="宋体" w:cs="宋体"/>
          <w:b/>
          <w:sz w:val="24"/>
        </w:rPr>
        <w:t xml:space="preserve">9.5 </w:t>
      </w:r>
      <w:r>
        <w:rPr>
          <w:rFonts w:hint="eastAsia" w:hAnsi="宋体" w:cs="宋体"/>
          <w:b/>
          <w:sz w:val="24"/>
        </w:rPr>
        <w:t>投诉</w:t>
      </w:r>
      <w:bookmarkEnd w:id="77"/>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投标人提起投诉应当符合《中华人民共和国招标投标法》及其实施条例、《工程建设项目招标投标活动投诉处理办法》（七部委11号令；九部委23号令于2013年3月11日修改）规定。</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投标人的投诉活动存在不良行为的，相关部门将按照《长葛市公共资源交易管理委员会关于印发长葛市公共资源交易失信主体失信行为惩戒暂行办法（试行）的通知》（长公管委〔2018〕1号）及有关规定进行处置。</w:t>
      </w:r>
    </w:p>
    <w:p>
      <w:pPr>
        <w:pStyle w:val="15"/>
        <w:spacing w:line="420" w:lineRule="exact"/>
        <w:jc w:val="both"/>
        <w:outlineLvl w:val="0"/>
        <w:rPr>
          <w:rFonts w:hAnsi="宋体"/>
          <w:b/>
          <w:color w:val="auto"/>
        </w:rPr>
      </w:pPr>
      <w:bookmarkStart w:id="78" w:name="_Toc283559987"/>
      <w:r>
        <w:rPr>
          <w:rFonts w:hAnsi="宋体"/>
          <w:b/>
          <w:color w:val="auto"/>
        </w:rPr>
        <w:t xml:space="preserve">10. </w:t>
      </w:r>
      <w:r>
        <w:rPr>
          <w:rFonts w:hint="eastAsia" w:hAnsi="宋体"/>
          <w:b/>
          <w:color w:val="auto"/>
        </w:rPr>
        <w:t>需要补充的其他内容</w:t>
      </w:r>
      <w:bookmarkEnd w:id="78"/>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10.1需要补充的其他内容：见投标人须知前附表。</w:t>
      </w:r>
    </w:p>
    <w:p>
      <w:pPr>
        <w:autoSpaceDE w:val="0"/>
        <w:autoSpaceDN w:val="0"/>
        <w:adjustRightInd w:val="0"/>
        <w:spacing w:line="380" w:lineRule="exact"/>
        <w:jc w:val="left"/>
        <w:rPr>
          <w:rFonts w:hAnsi="宋体" w:cs="宋体"/>
          <w:b/>
          <w:sz w:val="24"/>
          <w:szCs w:val="24"/>
        </w:rPr>
      </w:pPr>
    </w:p>
    <w:p>
      <w:pPr>
        <w:spacing w:afterLines="50" w:line="440" w:lineRule="exact"/>
        <w:jc w:val="left"/>
        <w:rPr>
          <w:rFonts w:ascii="黑体" w:eastAsia="黑体"/>
          <w:sz w:val="24"/>
        </w:rPr>
      </w:pPr>
      <w:r>
        <w:rPr>
          <w:rFonts w:ascii="黑体" w:eastAsia="黑体"/>
          <w:sz w:val="24"/>
        </w:rPr>
        <w:br w:type="page"/>
      </w:r>
      <w:r>
        <w:rPr>
          <w:rFonts w:hint="eastAsia" w:ascii="黑体" w:eastAsia="黑体"/>
          <w:sz w:val="24"/>
        </w:rPr>
        <w:t>附件一：问题澄清通知</w:t>
      </w:r>
    </w:p>
    <w:p>
      <w:pPr>
        <w:spacing w:beforeLines="100" w:afterLines="100" w:line="400" w:lineRule="exact"/>
        <w:jc w:val="center"/>
        <w:rPr>
          <w:rFonts w:ascii="黑体" w:eastAsia="黑体"/>
          <w:sz w:val="28"/>
          <w:szCs w:val="28"/>
        </w:rPr>
      </w:pPr>
      <w:r>
        <w:rPr>
          <w:rFonts w:hint="eastAsia" w:ascii="黑体" w:eastAsia="黑体"/>
          <w:sz w:val="28"/>
          <w:szCs w:val="28"/>
        </w:rPr>
        <w:t>问题澄清通知</w:t>
      </w:r>
    </w:p>
    <w:p>
      <w:pPr>
        <w:spacing w:line="400" w:lineRule="exact"/>
        <w:rPr>
          <w:u w:val="single"/>
        </w:rPr>
      </w:pPr>
      <w:r>
        <w:rPr>
          <w:rFonts w:hint="eastAsia"/>
        </w:rPr>
        <w:t xml:space="preserve">                                        编号：</w:t>
      </w:r>
    </w:p>
    <w:p>
      <w:pPr>
        <w:spacing w:line="480" w:lineRule="exact"/>
        <w:ind w:firstLine="480" w:firstLineChars="200"/>
        <w:rPr>
          <w:sz w:val="24"/>
          <w:szCs w:val="24"/>
        </w:rPr>
      </w:pPr>
      <w:r>
        <w:rPr>
          <w:rFonts w:hint="eastAsia"/>
          <w:sz w:val="24"/>
          <w:szCs w:val="24"/>
        </w:rPr>
        <w:t>（投标人名称）：</w:t>
      </w:r>
    </w:p>
    <w:p>
      <w:pPr>
        <w:spacing w:line="480" w:lineRule="exact"/>
        <w:ind w:firstLine="480" w:firstLineChars="200"/>
        <w:rPr>
          <w:sz w:val="24"/>
          <w:szCs w:val="24"/>
        </w:rPr>
      </w:pPr>
      <w:r>
        <w:rPr>
          <w:rFonts w:hint="eastAsia"/>
          <w:sz w:val="24"/>
          <w:szCs w:val="24"/>
        </w:rPr>
        <w:t>（项目名称）</w:t>
      </w:r>
      <w:r>
        <w:rPr>
          <w:rFonts w:hint="eastAsia"/>
          <w:sz w:val="24"/>
          <w:szCs w:val="24"/>
          <w:u w:val="single"/>
        </w:rPr>
        <w:t xml:space="preserve">        标</w:t>
      </w:r>
      <w:r>
        <w:rPr>
          <w:rFonts w:hint="eastAsia"/>
          <w:sz w:val="24"/>
          <w:szCs w:val="24"/>
        </w:rPr>
        <w:t>段施工招标的评标委员会，对你方的投标文件进行了仔细的审查，现需你方对本通知所附质疑问卷中的问题以书面形式予以澄清、说明或者补正。</w:t>
      </w:r>
    </w:p>
    <w:p>
      <w:pPr>
        <w:spacing w:line="480" w:lineRule="exact"/>
        <w:ind w:firstLine="480" w:firstLineChars="200"/>
        <w:rPr>
          <w:sz w:val="24"/>
          <w:szCs w:val="24"/>
        </w:rPr>
      </w:pPr>
      <w:r>
        <w:rPr>
          <w:rFonts w:hint="eastAsia"/>
          <w:sz w:val="24"/>
          <w:szCs w:val="24"/>
        </w:rPr>
        <w:t>请将上述问题的澄清、说明或者补正于年月日时前密封递交至（详细地址）。</w:t>
      </w:r>
    </w:p>
    <w:p>
      <w:pPr>
        <w:spacing w:line="480" w:lineRule="exact"/>
        <w:rPr>
          <w:sz w:val="24"/>
          <w:szCs w:val="24"/>
        </w:rPr>
      </w:pPr>
    </w:p>
    <w:p>
      <w:pPr>
        <w:spacing w:line="480" w:lineRule="exact"/>
        <w:rPr>
          <w:sz w:val="24"/>
          <w:szCs w:val="24"/>
        </w:rPr>
      </w:pPr>
      <w:r>
        <w:rPr>
          <w:rFonts w:hint="eastAsia"/>
          <w:sz w:val="24"/>
          <w:szCs w:val="24"/>
        </w:rPr>
        <w:t>附件：质疑问卷</w:t>
      </w:r>
    </w:p>
    <w:p>
      <w:pPr>
        <w:spacing w:line="480" w:lineRule="exact"/>
        <w:ind w:firstLine="4080" w:firstLineChars="1700"/>
        <w:rPr>
          <w:sz w:val="24"/>
          <w:szCs w:val="24"/>
          <w:u w:val="single"/>
        </w:rPr>
      </w:pPr>
    </w:p>
    <w:p>
      <w:pPr>
        <w:spacing w:line="480" w:lineRule="exact"/>
        <w:ind w:firstLine="4080" w:firstLineChars="1700"/>
        <w:rPr>
          <w:sz w:val="24"/>
          <w:szCs w:val="24"/>
          <w:u w:val="single"/>
        </w:rPr>
      </w:pPr>
    </w:p>
    <w:p>
      <w:pPr>
        <w:spacing w:line="480" w:lineRule="exact"/>
        <w:ind w:firstLine="4080" w:firstLineChars="1700"/>
        <w:rPr>
          <w:sz w:val="24"/>
          <w:szCs w:val="24"/>
          <w:u w:val="single"/>
        </w:rPr>
      </w:pPr>
    </w:p>
    <w:p>
      <w:pPr>
        <w:spacing w:line="480" w:lineRule="exact"/>
        <w:ind w:firstLine="4080" w:firstLineChars="1700"/>
        <w:rPr>
          <w:sz w:val="24"/>
          <w:szCs w:val="24"/>
          <w:u w:val="single"/>
        </w:rPr>
      </w:pPr>
    </w:p>
    <w:p>
      <w:pPr>
        <w:spacing w:line="480" w:lineRule="exact"/>
        <w:ind w:firstLine="4080" w:firstLineChars="1700"/>
        <w:rPr>
          <w:sz w:val="24"/>
          <w:szCs w:val="24"/>
          <w:u w:val="single"/>
        </w:rPr>
      </w:pPr>
    </w:p>
    <w:p>
      <w:pPr>
        <w:spacing w:line="480" w:lineRule="exact"/>
        <w:ind w:firstLine="4080" w:firstLineChars="1700"/>
        <w:rPr>
          <w:sz w:val="24"/>
          <w:szCs w:val="24"/>
          <w:u w:val="single"/>
        </w:rPr>
      </w:pPr>
    </w:p>
    <w:p>
      <w:pPr>
        <w:spacing w:line="480" w:lineRule="exact"/>
        <w:ind w:firstLine="4080" w:firstLineChars="1700"/>
        <w:rPr>
          <w:sz w:val="24"/>
          <w:szCs w:val="24"/>
          <w:u w:val="single"/>
        </w:rPr>
      </w:pPr>
    </w:p>
    <w:p>
      <w:pPr>
        <w:spacing w:line="480" w:lineRule="exact"/>
        <w:ind w:firstLine="4080" w:firstLineChars="1700"/>
        <w:rPr>
          <w:sz w:val="24"/>
          <w:szCs w:val="24"/>
          <w:u w:val="single"/>
        </w:rPr>
      </w:pPr>
    </w:p>
    <w:p>
      <w:pPr>
        <w:spacing w:line="480" w:lineRule="exact"/>
        <w:ind w:firstLine="4080" w:firstLineChars="1700"/>
        <w:rPr>
          <w:sz w:val="24"/>
          <w:szCs w:val="24"/>
          <w:u w:val="single"/>
        </w:rPr>
      </w:pPr>
    </w:p>
    <w:p>
      <w:pPr>
        <w:spacing w:line="480" w:lineRule="exact"/>
        <w:ind w:firstLine="4080" w:firstLineChars="1700"/>
        <w:rPr>
          <w:sz w:val="24"/>
          <w:szCs w:val="24"/>
          <w:u w:val="single"/>
        </w:rPr>
      </w:pPr>
    </w:p>
    <w:p>
      <w:pPr>
        <w:spacing w:line="480" w:lineRule="exact"/>
        <w:ind w:firstLine="4080" w:firstLineChars="1700"/>
        <w:rPr>
          <w:sz w:val="24"/>
          <w:szCs w:val="24"/>
        </w:rPr>
      </w:pPr>
      <w:r>
        <w:rPr>
          <w:rFonts w:hint="eastAsia"/>
          <w:sz w:val="24"/>
          <w:szCs w:val="24"/>
        </w:rPr>
        <w:t xml:space="preserve"> （项目名称）</w:t>
      </w:r>
      <w:r>
        <w:rPr>
          <w:rFonts w:hint="eastAsia" w:ascii="黑体" w:eastAsia="黑体"/>
          <w:sz w:val="24"/>
          <w:szCs w:val="24"/>
        </w:rPr>
        <w:t>标段施工招标评标委员会</w:t>
      </w:r>
    </w:p>
    <w:p>
      <w:pPr>
        <w:spacing w:line="480" w:lineRule="exact"/>
        <w:jc w:val="left"/>
        <w:rPr>
          <w:sz w:val="24"/>
          <w:szCs w:val="24"/>
        </w:rPr>
      </w:pPr>
      <w:r>
        <w:rPr>
          <w:rFonts w:hint="eastAsia"/>
          <w:sz w:val="24"/>
          <w:szCs w:val="24"/>
        </w:rPr>
        <w:t xml:space="preserve">                    （经评标委员会授权的招标人代表签字或招标人加盖单位章）</w:t>
      </w:r>
    </w:p>
    <w:p>
      <w:pPr>
        <w:spacing w:line="480" w:lineRule="exact"/>
        <w:ind w:firstLine="5280" w:firstLineChars="2200"/>
        <w:rPr>
          <w:sz w:val="24"/>
          <w:szCs w:val="24"/>
        </w:rPr>
      </w:pPr>
      <w:r>
        <w:rPr>
          <w:rFonts w:hint="eastAsia"/>
          <w:sz w:val="24"/>
          <w:szCs w:val="24"/>
        </w:rPr>
        <w:t>年月日</w:t>
      </w:r>
    </w:p>
    <w:p>
      <w:pPr>
        <w:spacing w:line="480" w:lineRule="exact"/>
        <w:rPr>
          <w:rFonts w:ascii="黑体" w:eastAsia="黑体"/>
          <w:sz w:val="24"/>
        </w:rPr>
      </w:pPr>
      <w:r>
        <w:rPr>
          <w:sz w:val="24"/>
          <w:szCs w:val="24"/>
        </w:rPr>
        <w:br w:type="page"/>
      </w:r>
      <w:r>
        <w:rPr>
          <w:rFonts w:hint="eastAsia" w:ascii="黑体" w:eastAsia="黑体"/>
          <w:sz w:val="24"/>
        </w:rPr>
        <w:t>附件二：问题的澄清</w:t>
      </w:r>
    </w:p>
    <w:p>
      <w:pPr>
        <w:spacing w:beforeLines="100" w:afterLines="100" w:line="480" w:lineRule="exact"/>
        <w:jc w:val="center"/>
        <w:rPr>
          <w:rFonts w:ascii="黑体" w:eastAsia="黑体"/>
          <w:sz w:val="28"/>
          <w:szCs w:val="28"/>
        </w:rPr>
      </w:pPr>
      <w:r>
        <w:rPr>
          <w:rFonts w:hint="eastAsia" w:ascii="黑体" w:eastAsia="黑体"/>
          <w:sz w:val="28"/>
          <w:szCs w:val="28"/>
        </w:rPr>
        <w:t>问题的澄清、说明或补正</w:t>
      </w:r>
    </w:p>
    <w:p>
      <w:pPr>
        <w:spacing w:line="400" w:lineRule="exact"/>
        <w:rPr>
          <w:sz w:val="24"/>
          <w:szCs w:val="24"/>
          <w:u w:val="single"/>
        </w:rPr>
      </w:pPr>
      <w:r>
        <w:rPr>
          <w:rFonts w:hint="eastAsia"/>
          <w:sz w:val="24"/>
          <w:szCs w:val="24"/>
        </w:rPr>
        <w:t xml:space="preserve">         编号：</w:t>
      </w:r>
    </w:p>
    <w:p>
      <w:pPr>
        <w:spacing w:line="480" w:lineRule="exact"/>
        <w:rPr>
          <w:sz w:val="24"/>
          <w:szCs w:val="24"/>
        </w:rPr>
      </w:pPr>
      <w:r>
        <w:rPr>
          <w:rFonts w:hint="eastAsia"/>
          <w:sz w:val="24"/>
          <w:szCs w:val="24"/>
        </w:rPr>
        <w:t>（项目名称）标段施工招标评标委员会：</w:t>
      </w:r>
    </w:p>
    <w:p>
      <w:pPr>
        <w:spacing w:line="480" w:lineRule="exact"/>
        <w:ind w:firstLine="480" w:firstLineChars="200"/>
        <w:rPr>
          <w:sz w:val="24"/>
          <w:szCs w:val="24"/>
        </w:rPr>
      </w:pPr>
      <w:r>
        <w:rPr>
          <w:rFonts w:hint="eastAsia"/>
          <w:sz w:val="24"/>
          <w:szCs w:val="24"/>
        </w:rPr>
        <w:t>问题澄清通知（编号：）已收悉，现澄清、说明或者补正如下：</w:t>
      </w:r>
    </w:p>
    <w:p>
      <w:pPr>
        <w:spacing w:line="480" w:lineRule="exact"/>
        <w:ind w:firstLine="480" w:firstLineChars="200"/>
        <w:rPr>
          <w:sz w:val="24"/>
          <w:szCs w:val="24"/>
        </w:rPr>
      </w:pPr>
      <w:r>
        <w:rPr>
          <w:rFonts w:hint="eastAsia"/>
          <w:sz w:val="24"/>
          <w:szCs w:val="24"/>
        </w:rPr>
        <w:t>1.</w:t>
      </w:r>
    </w:p>
    <w:p>
      <w:pPr>
        <w:spacing w:line="480" w:lineRule="exact"/>
        <w:ind w:firstLine="480" w:firstLineChars="200"/>
        <w:rPr>
          <w:sz w:val="24"/>
          <w:szCs w:val="24"/>
        </w:rPr>
      </w:pPr>
      <w:r>
        <w:rPr>
          <w:rFonts w:hint="eastAsia"/>
          <w:sz w:val="24"/>
          <w:szCs w:val="24"/>
        </w:rPr>
        <w:t>2.</w:t>
      </w:r>
    </w:p>
    <w:p>
      <w:pPr>
        <w:spacing w:line="480" w:lineRule="exact"/>
        <w:ind w:firstLine="480" w:firstLineChars="200"/>
        <w:rPr>
          <w:sz w:val="24"/>
          <w:szCs w:val="24"/>
        </w:rPr>
      </w:pPr>
    </w:p>
    <w:p>
      <w:pPr>
        <w:spacing w:line="480" w:lineRule="exact"/>
        <w:ind w:firstLine="480" w:firstLineChars="200"/>
        <w:rPr>
          <w:sz w:val="24"/>
          <w:szCs w:val="24"/>
        </w:rPr>
      </w:pPr>
      <w:r>
        <w:rPr>
          <w:rFonts w:hint="eastAsia"/>
          <w:sz w:val="24"/>
          <w:szCs w:val="24"/>
        </w:rPr>
        <w:t>……</w:t>
      </w:r>
    </w:p>
    <w:p>
      <w:pPr>
        <w:spacing w:line="480" w:lineRule="exact"/>
        <w:ind w:firstLine="480" w:firstLineChars="200"/>
        <w:rPr>
          <w:sz w:val="24"/>
          <w:szCs w:val="24"/>
        </w:rPr>
      </w:pPr>
    </w:p>
    <w:p>
      <w:pPr>
        <w:spacing w:line="480" w:lineRule="exact"/>
        <w:ind w:firstLine="480" w:firstLineChars="200"/>
        <w:rPr>
          <w:sz w:val="24"/>
          <w:szCs w:val="24"/>
        </w:rPr>
      </w:pPr>
    </w:p>
    <w:p>
      <w:pPr>
        <w:spacing w:line="480" w:lineRule="exact"/>
        <w:ind w:firstLine="480" w:firstLineChars="200"/>
        <w:rPr>
          <w:sz w:val="24"/>
          <w:szCs w:val="24"/>
        </w:rPr>
      </w:pPr>
    </w:p>
    <w:p>
      <w:pPr>
        <w:spacing w:line="480" w:lineRule="exact"/>
        <w:ind w:firstLine="480" w:firstLineChars="200"/>
        <w:rPr>
          <w:sz w:val="24"/>
          <w:szCs w:val="24"/>
        </w:rPr>
      </w:pPr>
    </w:p>
    <w:p>
      <w:pPr>
        <w:spacing w:line="480" w:lineRule="exact"/>
        <w:ind w:firstLine="480" w:firstLineChars="200"/>
        <w:rPr>
          <w:sz w:val="24"/>
          <w:szCs w:val="24"/>
        </w:rPr>
      </w:pPr>
    </w:p>
    <w:p>
      <w:pPr>
        <w:spacing w:line="480" w:lineRule="exact"/>
        <w:ind w:firstLine="480" w:firstLineChars="200"/>
        <w:rPr>
          <w:sz w:val="24"/>
          <w:szCs w:val="24"/>
        </w:rPr>
      </w:pPr>
    </w:p>
    <w:p>
      <w:pPr>
        <w:wordWrap w:val="0"/>
        <w:spacing w:line="480" w:lineRule="exact"/>
        <w:ind w:firstLine="480" w:firstLineChars="200"/>
        <w:jc w:val="right"/>
        <w:rPr>
          <w:sz w:val="24"/>
          <w:szCs w:val="24"/>
        </w:rPr>
      </w:pPr>
      <w:r>
        <w:rPr>
          <w:rFonts w:hint="eastAsia" w:ascii="黑体" w:eastAsia="黑体"/>
          <w:sz w:val="24"/>
          <w:szCs w:val="24"/>
        </w:rPr>
        <w:t>投标人：</w:t>
      </w:r>
      <w:r>
        <w:rPr>
          <w:rFonts w:hint="eastAsia"/>
          <w:sz w:val="24"/>
          <w:szCs w:val="24"/>
        </w:rPr>
        <w:t xml:space="preserve">（盖单位章） </w:t>
      </w:r>
    </w:p>
    <w:p>
      <w:pPr>
        <w:wordWrap w:val="0"/>
        <w:spacing w:beforeLines="50" w:afterLines="50" w:line="480" w:lineRule="exact"/>
        <w:ind w:right="210"/>
        <w:jc w:val="right"/>
        <w:rPr>
          <w:sz w:val="24"/>
          <w:szCs w:val="24"/>
        </w:rPr>
      </w:pPr>
      <w:r>
        <w:rPr>
          <w:rFonts w:hint="eastAsia" w:ascii="黑体" w:eastAsia="黑体"/>
          <w:sz w:val="24"/>
          <w:szCs w:val="24"/>
        </w:rPr>
        <w:t xml:space="preserve">               法定代表人或其委托代理人：</w:t>
      </w:r>
      <w:r>
        <w:rPr>
          <w:rFonts w:hint="eastAsia"/>
          <w:sz w:val="24"/>
          <w:szCs w:val="24"/>
        </w:rPr>
        <w:t>（签字）</w:t>
      </w:r>
    </w:p>
    <w:p>
      <w:pPr>
        <w:spacing w:line="480" w:lineRule="exact"/>
        <w:ind w:firstLine="6600" w:firstLineChars="2750"/>
        <w:rPr>
          <w:sz w:val="24"/>
          <w:szCs w:val="24"/>
        </w:rPr>
      </w:pPr>
      <w:r>
        <w:rPr>
          <w:rFonts w:hint="eastAsia"/>
          <w:sz w:val="24"/>
          <w:szCs w:val="24"/>
        </w:rPr>
        <w:t>年月日</w:t>
      </w:r>
    </w:p>
    <w:p>
      <w:pPr>
        <w:snapToGrid w:val="0"/>
        <w:spacing w:line="360" w:lineRule="auto"/>
        <w:jc w:val="center"/>
        <w:rPr>
          <w:rFonts w:ascii="新宋体" w:hAnsi="新宋体" w:eastAsia="新宋体" w:cs="新宋体"/>
          <w:sz w:val="24"/>
        </w:rPr>
      </w:pPr>
      <w:r>
        <w:rPr>
          <w:sz w:val="24"/>
          <w:szCs w:val="24"/>
        </w:rPr>
        <w:br w:type="page"/>
      </w:r>
      <w:r>
        <w:rPr>
          <w:rFonts w:hint="eastAsia" w:ascii="新宋体" w:hAnsi="新宋体" w:eastAsia="新宋体" w:cs="新宋体"/>
          <w:b/>
          <w:bCs/>
          <w:sz w:val="36"/>
          <w:szCs w:val="36"/>
        </w:rPr>
        <w:t>第三章 评标办法（综合计分法）</w:t>
      </w:r>
    </w:p>
    <w:p>
      <w:pPr>
        <w:spacing w:line="460" w:lineRule="exact"/>
        <w:ind w:firstLine="480" w:firstLineChars="200"/>
        <w:contextualSpacing/>
        <w:rPr>
          <w:b/>
          <w:bCs/>
          <w:sz w:val="24"/>
          <w:szCs w:val="24"/>
        </w:rPr>
      </w:pPr>
      <w:r>
        <w:rPr>
          <w:rFonts w:hint="eastAsia" w:hAnsi="宋体"/>
          <w:b/>
          <w:bCs/>
          <w:sz w:val="24"/>
          <w:szCs w:val="24"/>
        </w:rPr>
        <w:t>一、评标应遵循公正、公平、科学和择优的原则严格按照招标文件进行。</w:t>
      </w:r>
    </w:p>
    <w:p>
      <w:pPr>
        <w:autoSpaceDE w:val="0"/>
        <w:autoSpaceDN w:val="0"/>
        <w:spacing w:line="460" w:lineRule="exact"/>
        <w:ind w:firstLine="480" w:firstLineChars="200"/>
        <w:contextualSpacing/>
        <w:jc w:val="left"/>
        <w:outlineLvl w:val="0"/>
        <w:rPr>
          <w:rFonts w:ascii="新宋体" w:hAnsi="新宋体" w:eastAsia="新宋体" w:cs="宋体"/>
          <w:b/>
          <w:bCs/>
          <w:sz w:val="24"/>
          <w:szCs w:val="24"/>
        </w:rPr>
      </w:pPr>
      <w:bookmarkStart w:id="79" w:name="_Toc397507673"/>
      <w:bookmarkEnd w:id="79"/>
      <w:bookmarkStart w:id="80" w:name="_Toc464824712"/>
      <w:bookmarkEnd w:id="80"/>
      <w:bookmarkStart w:id="81" w:name="_Toc397605955"/>
      <w:bookmarkEnd w:id="81"/>
      <w:bookmarkStart w:id="82" w:name="_Toc397508086"/>
      <w:bookmarkEnd w:id="82"/>
      <w:bookmarkStart w:id="83" w:name="_Toc20191"/>
      <w:r>
        <w:rPr>
          <w:rFonts w:hint="eastAsia" w:ascii="新宋体" w:hAnsi="新宋体" w:eastAsia="新宋体" w:cs="宋体"/>
          <w:b/>
          <w:bCs/>
          <w:sz w:val="24"/>
          <w:szCs w:val="24"/>
        </w:rPr>
        <w:t>二、评标由招标人依法组建的评标委员会负责。</w:t>
      </w:r>
      <w:bookmarkEnd w:id="83"/>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84" w:name="_Toc464824713"/>
      <w:bookmarkEnd w:id="84"/>
      <w:r>
        <w:rPr>
          <w:rFonts w:hint="eastAsia" w:ascii="新宋体" w:hAnsi="新宋体" w:eastAsia="新宋体" w:cs="宋体"/>
          <w:sz w:val="24"/>
          <w:szCs w:val="24"/>
        </w:rPr>
        <w:t>（一）评标委员会的组成：</w:t>
      </w:r>
    </w:p>
    <w:p>
      <w:pPr>
        <w:autoSpaceDE w:val="0"/>
        <w:autoSpaceDN w:val="0"/>
        <w:spacing w:line="460" w:lineRule="exact"/>
        <w:ind w:firstLine="480" w:firstLineChars="200"/>
        <w:contextualSpacing/>
        <w:jc w:val="left"/>
        <w:outlineLvl w:val="0"/>
        <w:rPr>
          <w:rFonts w:ascii="新宋体" w:hAnsi="新宋体" w:eastAsia="新宋体" w:cs="宋体"/>
          <w:color w:val="FF0000"/>
          <w:sz w:val="24"/>
          <w:szCs w:val="24"/>
        </w:rPr>
      </w:pPr>
      <w:r>
        <w:rPr>
          <w:rFonts w:hint="eastAsia" w:ascii="新宋体" w:hAnsi="新宋体" w:eastAsia="新宋体" w:cs="宋体"/>
          <w:color w:val="FF0000"/>
          <w:sz w:val="24"/>
          <w:szCs w:val="24"/>
        </w:rPr>
        <w:t>1、评标委员会为7人，其中招标人代表2人，其余5人由经济、技术类专家组成，</w:t>
      </w:r>
      <w:r>
        <w:rPr>
          <w:rFonts w:hint="eastAsia" w:ascii="新宋体" w:hAnsi="新宋体" w:eastAsia="新宋体"/>
          <w:color w:val="FF0000"/>
          <w:sz w:val="24"/>
        </w:rPr>
        <w:t>具有注册造价工程师资格的评委应不少于2人</w:t>
      </w:r>
      <w:r>
        <w:rPr>
          <w:rFonts w:hint="eastAsia" w:ascii="新宋体" w:hAnsi="新宋体" w:eastAsia="新宋体" w:cs="宋体"/>
          <w:color w:val="FF0000"/>
          <w:sz w:val="24"/>
          <w:szCs w:val="24"/>
        </w:rPr>
        <w:t>，开标前从河南省综合评标专家库中抽取，评标委员会主任通过现场随机抽取方式确立（招标人代表不得担任评标委员会主任），与投标人有利害关系的人不得进入评标委员会。评标委员会成员中的招标人代表应持招标单位有明确授权事项的授权书、身份证和身份证复印件（须加盖招标单位公章）经监督人员审验并履行相关程序后进入指定评标室。</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2、评标（评审）委员会成员在评标（评审）过程中有不良行为的，按《许昌市公共资源交易当事人不良行为管理暂行办法》和《长葛市公共资源交易管理委员会关于印发长葛市公共资源交易失信主体失信行为惩戒暂行办法（试行）的通知》（长公管委〔2018〕1号）记录其不良行为6—18个月；情节严重的，由主管部门取消评标（评审）专家资格。</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（二）评标委员会成员的回避：</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 xml:space="preserve">有下列情形之一的，不得担任评标委员会成员：   </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1、投标人或者投标人主要负责人的近亲属；</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2、项目主管部门或者行政监督部门的人员；</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3、与投标人有经济利益关系，可能影响对投标公正评审的；</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4、曾因在招标、评标以及其他与招标投标有关活动中从事违法行为而受过行政处罚或刑事处罚的。</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评标委员会成员有前款规定情形之一的，应当主动提出回避</w:t>
      </w:r>
    </w:p>
    <w:p>
      <w:pPr>
        <w:autoSpaceDE w:val="0"/>
        <w:autoSpaceDN w:val="0"/>
        <w:spacing w:line="460" w:lineRule="exact"/>
        <w:ind w:firstLine="480" w:firstLineChars="200"/>
        <w:contextualSpacing/>
        <w:jc w:val="left"/>
        <w:outlineLvl w:val="0"/>
        <w:rPr>
          <w:rFonts w:ascii="新宋体" w:hAnsi="新宋体" w:eastAsia="新宋体" w:cs="宋体"/>
          <w:b/>
          <w:sz w:val="24"/>
          <w:szCs w:val="24"/>
        </w:rPr>
      </w:pPr>
      <w:r>
        <w:rPr>
          <w:rFonts w:hint="eastAsia" w:ascii="新宋体" w:hAnsi="新宋体" w:eastAsia="新宋体" w:cs="宋体"/>
          <w:b/>
          <w:sz w:val="24"/>
          <w:szCs w:val="24"/>
        </w:rPr>
        <w:t>关于交易中心全电子系统的说明（特别提示）</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全电子系统电子招标文件制作生成后，若出现全电子系统制作的电子招标文件关于投标文件格式及其他部分与附件上传的招标文件和纸质版的招标文件不一致的地方，则以通过全电子系统制作自动生成的电子招标文件为准，特此说明。</w:t>
      </w:r>
    </w:p>
    <w:p>
      <w:pPr>
        <w:autoSpaceDE w:val="0"/>
        <w:autoSpaceDN w:val="0"/>
        <w:spacing w:line="460" w:lineRule="exact"/>
        <w:ind w:firstLine="480" w:firstLineChars="200"/>
        <w:contextualSpacing/>
        <w:jc w:val="left"/>
        <w:outlineLvl w:val="0"/>
        <w:rPr>
          <w:rFonts w:ascii="新宋体" w:hAnsi="新宋体" w:eastAsia="新宋体" w:cs="宋体"/>
          <w:b/>
          <w:bCs/>
          <w:sz w:val="24"/>
          <w:szCs w:val="24"/>
        </w:rPr>
      </w:pPr>
      <w:r>
        <w:rPr>
          <w:rFonts w:hint="eastAsia" w:ascii="新宋体" w:hAnsi="新宋体" w:eastAsia="新宋体" w:cs="宋体"/>
          <w:b/>
          <w:bCs/>
          <w:sz w:val="24"/>
          <w:szCs w:val="24"/>
        </w:rPr>
        <w:t>评标专家应严格按照招标文件要求查看“硬件特征码”相关信息并进行评审，在评标报告中显示“不同投标人电子投标文件制作硬件特征码”是否雷同的分析及判定结果。</w:t>
      </w:r>
    </w:p>
    <w:p>
      <w:pPr>
        <w:autoSpaceDE w:val="0"/>
        <w:autoSpaceDN w:val="0"/>
        <w:spacing w:line="460" w:lineRule="exact"/>
        <w:ind w:firstLine="480" w:firstLineChars="200"/>
        <w:contextualSpacing/>
        <w:jc w:val="left"/>
        <w:outlineLvl w:val="0"/>
        <w:rPr>
          <w:rFonts w:ascii="新宋体" w:hAnsi="新宋体" w:eastAsia="新宋体" w:cs="宋体"/>
          <w:b/>
          <w:bCs/>
          <w:sz w:val="24"/>
          <w:szCs w:val="24"/>
        </w:rPr>
      </w:pPr>
      <w:r>
        <w:rPr>
          <w:rFonts w:hint="eastAsia" w:ascii="新宋体" w:hAnsi="新宋体" w:eastAsia="新宋体" w:cs="宋体"/>
          <w:b/>
          <w:bCs/>
          <w:sz w:val="24"/>
          <w:szCs w:val="24"/>
        </w:rPr>
        <w:t>投标文件中有含义不明确的内容、明显文字或者计算错误，评标委员会认为需要投标人作出必要澄清、说明的，应当书面通知该投标人。投标人的澄清、说明应当采用书面形式,并不得超出投标文件的范围或者改变投标文件的实质性内容，除此之外，评标开始后，评标委员会不得再接受场外递交的任何材料。</w:t>
      </w:r>
    </w:p>
    <w:p>
      <w:pPr>
        <w:autoSpaceDE w:val="0"/>
        <w:autoSpaceDN w:val="0"/>
        <w:spacing w:line="460" w:lineRule="exact"/>
        <w:ind w:firstLine="480" w:firstLineChars="200"/>
        <w:contextualSpacing/>
        <w:jc w:val="left"/>
        <w:outlineLvl w:val="0"/>
        <w:rPr>
          <w:rFonts w:ascii="新宋体" w:hAnsi="新宋体" w:eastAsia="新宋体" w:cs="宋体"/>
          <w:b/>
          <w:bCs/>
          <w:sz w:val="24"/>
          <w:szCs w:val="24"/>
        </w:rPr>
      </w:pPr>
      <w:r>
        <w:rPr>
          <w:rFonts w:hint="eastAsia" w:ascii="新宋体" w:hAnsi="新宋体" w:eastAsia="新宋体" w:cs="宋体"/>
          <w:b/>
          <w:bCs/>
          <w:sz w:val="24"/>
          <w:szCs w:val="24"/>
        </w:rPr>
        <w:t>评标委员会不得暗示或者诱导投标人作出澄清、说明，不得接受投标人主动提出的澄清、说明。</w:t>
      </w:r>
    </w:p>
    <w:p>
      <w:pPr>
        <w:autoSpaceDE w:val="0"/>
        <w:autoSpaceDN w:val="0"/>
        <w:spacing w:line="460" w:lineRule="exact"/>
        <w:ind w:firstLine="480" w:firstLineChars="200"/>
        <w:contextualSpacing/>
        <w:jc w:val="left"/>
        <w:outlineLvl w:val="0"/>
        <w:rPr>
          <w:rFonts w:ascii="新宋体" w:hAnsi="新宋体" w:eastAsia="新宋体" w:cs="宋体"/>
          <w:b/>
          <w:bCs/>
          <w:sz w:val="24"/>
          <w:szCs w:val="24"/>
        </w:rPr>
      </w:pPr>
      <w:r>
        <w:rPr>
          <w:rFonts w:hint="eastAsia" w:ascii="新宋体" w:hAnsi="新宋体" w:eastAsia="新宋体" w:cs="宋体"/>
          <w:b/>
          <w:bCs/>
          <w:sz w:val="24"/>
          <w:szCs w:val="24"/>
        </w:rPr>
        <w:t>三、评标采用综合计分法。</w:t>
      </w:r>
    </w:p>
    <w:p>
      <w:pPr>
        <w:autoSpaceDE w:val="0"/>
        <w:autoSpaceDN w:val="0"/>
        <w:spacing w:line="430" w:lineRule="exact"/>
        <w:ind w:firstLine="480" w:firstLineChars="200"/>
        <w:contextualSpacing/>
        <w:jc w:val="left"/>
        <w:outlineLvl w:val="0"/>
        <w:rPr>
          <w:rFonts w:ascii="新宋体" w:hAnsi="新宋体" w:eastAsia="新宋体" w:cs="新宋体"/>
          <w:b/>
          <w:bCs/>
          <w:sz w:val="24"/>
        </w:rPr>
      </w:pPr>
      <w:r>
        <w:rPr>
          <w:rFonts w:hint="eastAsia" w:ascii="新宋体" w:hAnsi="新宋体" w:eastAsia="新宋体" w:cs="新宋体"/>
          <w:b/>
          <w:bCs/>
          <w:sz w:val="24"/>
        </w:rPr>
        <w:t>四、评标委员会应按下列原则进行评分汇总统计：</w:t>
      </w:r>
    </w:p>
    <w:p>
      <w:pPr>
        <w:autoSpaceDE w:val="0"/>
        <w:autoSpaceDN w:val="0"/>
        <w:spacing w:line="430" w:lineRule="exact"/>
        <w:ind w:firstLine="480" w:firstLineChars="200"/>
        <w:contextualSpacing/>
        <w:jc w:val="left"/>
        <w:outlineLvl w:val="0"/>
        <w:rPr>
          <w:rFonts w:ascii="新宋体" w:hAnsi="新宋体" w:eastAsia="新宋体" w:cs="新宋体"/>
          <w:sz w:val="24"/>
        </w:rPr>
      </w:pPr>
      <w:bookmarkStart w:id="85" w:name="_Toc397507674"/>
      <w:bookmarkEnd w:id="85"/>
      <w:bookmarkStart w:id="86" w:name="_Toc397508098"/>
      <w:bookmarkEnd w:id="86"/>
      <w:bookmarkStart w:id="87" w:name="_Toc397605956"/>
      <w:bookmarkEnd w:id="87"/>
      <w:bookmarkStart w:id="88" w:name="_Toc397605967"/>
      <w:bookmarkEnd w:id="88"/>
      <w:bookmarkStart w:id="89" w:name="_Toc397507685"/>
      <w:bookmarkEnd w:id="89"/>
      <w:bookmarkStart w:id="90" w:name="_Toc464824714"/>
      <w:bookmarkEnd w:id="90"/>
      <w:bookmarkStart w:id="91" w:name="_Toc397508087"/>
      <w:r>
        <w:rPr>
          <w:rFonts w:hint="eastAsia" w:ascii="新宋体" w:hAnsi="新宋体" w:eastAsia="新宋体" w:cs="新宋体"/>
          <w:sz w:val="24"/>
        </w:rPr>
        <w:t>4.1</w:t>
      </w:r>
      <w:bookmarkEnd w:id="91"/>
      <w:r>
        <w:rPr>
          <w:rFonts w:hint="eastAsia" w:ascii="新宋体" w:hAnsi="新宋体" w:eastAsia="新宋体" w:cs="新宋体"/>
          <w:sz w:val="24"/>
        </w:rPr>
        <w:t xml:space="preserve">评标委员会完成对技术标、综合（信用）标的汇总后，评标委员会取所有评委评分的平均值作为该投标人的最终得分。投标人最终得分=技术标平均得分+商务标得分+综合（信用）标平均得分。计算分值均四舍五入保留两位小数。 </w:t>
      </w:r>
    </w:p>
    <w:p>
      <w:pPr>
        <w:adjustRightInd w:val="0"/>
        <w:snapToGrid w:val="0"/>
        <w:spacing w:line="430" w:lineRule="exact"/>
        <w:ind w:firstLine="480" w:firstLineChars="200"/>
        <w:rPr>
          <w:rFonts w:hAnsi="宋体"/>
          <w:sz w:val="24"/>
          <w:szCs w:val="24"/>
        </w:rPr>
      </w:pPr>
      <w:r>
        <w:rPr>
          <w:rFonts w:hint="eastAsia" w:hAnsi="宋体"/>
          <w:sz w:val="24"/>
          <w:szCs w:val="24"/>
        </w:rPr>
        <w:t>4.2评标委员会人数在5人以上时，去掉一个最高分和一个最低分取平均值；评标委员会人数在5人时，取所有评委评分的平均值。</w:t>
      </w:r>
    </w:p>
    <w:p>
      <w:pPr>
        <w:autoSpaceDE w:val="0"/>
        <w:autoSpaceDN w:val="0"/>
        <w:spacing w:line="460" w:lineRule="exact"/>
        <w:ind w:firstLine="480" w:firstLineChars="200"/>
        <w:contextualSpacing/>
        <w:jc w:val="left"/>
        <w:outlineLvl w:val="0"/>
        <w:rPr>
          <w:rFonts w:hAnsi="宋体"/>
          <w:b/>
          <w:bCs/>
          <w:sz w:val="24"/>
          <w:szCs w:val="24"/>
        </w:rPr>
      </w:pPr>
      <w:r>
        <w:rPr>
          <w:rFonts w:hint="eastAsia" w:hAnsi="宋体"/>
          <w:b/>
          <w:bCs/>
          <w:sz w:val="24"/>
          <w:szCs w:val="24"/>
        </w:rPr>
        <w:t>五、评标程序为：</w:t>
      </w:r>
    </w:p>
    <w:p>
      <w:pPr>
        <w:autoSpaceDE w:val="0"/>
        <w:autoSpaceDN w:val="0"/>
        <w:spacing w:line="460" w:lineRule="exact"/>
        <w:ind w:firstLine="480" w:firstLineChars="200"/>
        <w:contextualSpacing/>
        <w:jc w:val="left"/>
        <w:outlineLvl w:val="0"/>
        <w:rPr>
          <w:rFonts w:hAnsi="宋体"/>
          <w:sz w:val="24"/>
          <w:szCs w:val="24"/>
        </w:rPr>
      </w:pPr>
      <w:bookmarkStart w:id="92" w:name="_Toc397507676"/>
      <w:bookmarkEnd w:id="92"/>
      <w:bookmarkStart w:id="93" w:name="_Toc397508089"/>
      <w:bookmarkEnd w:id="93"/>
      <w:bookmarkStart w:id="94" w:name="_Toc29178"/>
      <w:bookmarkEnd w:id="94"/>
      <w:bookmarkStart w:id="95" w:name="_Toc397508088"/>
      <w:bookmarkEnd w:id="95"/>
      <w:bookmarkStart w:id="96" w:name="_Toc397605957"/>
      <w:bookmarkEnd w:id="96"/>
      <w:bookmarkStart w:id="97" w:name="_Toc31655"/>
      <w:bookmarkEnd w:id="97"/>
      <w:bookmarkStart w:id="98" w:name="_Toc464824715"/>
      <w:bookmarkEnd w:id="98"/>
      <w:bookmarkStart w:id="99" w:name="_Toc464824716"/>
      <w:bookmarkEnd w:id="99"/>
      <w:r>
        <w:rPr>
          <w:rFonts w:hint="eastAsia" w:hAnsi="宋体"/>
          <w:sz w:val="24"/>
          <w:szCs w:val="24"/>
        </w:rPr>
        <w:t>（1）清标；</w:t>
      </w:r>
    </w:p>
    <w:p>
      <w:pPr>
        <w:autoSpaceDE w:val="0"/>
        <w:autoSpaceDN w:val="0"/>
        <w:spacing w:line="460" w:lineRule="exact"/>
        <w:ind w:firstLine="480" w:firstLineChars="200"/>
        <w:contextualSpacing/>
        <w:jc w:val="left"/>
        <w:outlineLvl w:val="0"/>
        <w:rPr>
          <w:rFonts w:hAnsi="宋体"/>
          <w:sz w:val="24"/>
          <w:szCs w:val="24"/>
        </w:rPr>
      </w:pPr>
      <w:r>
        <w:rPr>
          <w:rFonts w:hint="eastAsia" w:hAnsi="宋体"/>
          <w:sz w:val="24"/>
          <w:szCs w:val="24"/>
        </w:rPr>
        <w:t>（2）初步评审；</w:t>
      </w:r>
    </w:p>
    <w:p>
      <w:pPr>
        <w:autoSpaceDE w:val="0"/>
        <w:autoSpaceDN w:val="0"/>
        <w:spacing w:line="460" w:lineRule="exact"/>
        <w:ind w:firstLine="480" w:firstLineChars="200"/>
        <w:contextualSpacing/>
        <w:jc w:val="left"/>
        <w:outlineLvl w:val="0"/>
        <w:rPr>
          <w:rFonts w:hAnsi="宋体"/>
          <w:sz w:val="24"/>
          <w:szCs w:val="24"/>
        </w:rPr>
      </w:pPr>
      <w:r>
        <w:rPr>
          <w:rFonts w:hint="eastAsia" w:hAnsi="宋体"/>
          <w:sz w:val="24"/>
          <w:szCs w:val="24"/>
        </w:rPr>
        <w:t>（3）详细评审；</w:t>
      </w:r>
    </w:p>
    <w:p>
      <w:pPr>
        <w:autoSpaceDE w:val="0"/>
        <w:autoSpaceDN w:val="0"/>
        <w:spacing w:line="460" w:lineRule="exact"/>
        <w:ind w:firstLine="480" w:firstLineChars="200"/>
        <w:contextualSpacing/>
        <w:jc w:val="left"/>
        <w:outlineLvl w:val="0"/>
        <w:rPr>
          <w:rFonts w:hAnsi="宋体"/>
          <w:sz w:val="24"/>
          <w:szCs w:val="24"/>
        </w:rPr>
      </w:pPr>
      <w:r>
        <w:rPr>
          <w:rFonts w:hint="eastAsia" w:hAnsi="宋体"/>
          <w:sz w:val="24"/>
          <w:szCs w:val="24"/>
        </w:rPr>
        <w:t>（4）问题的澄清、说明或补正；</w:t>
      </w:r>
    </w:p>
    <w:p>
      <w:pPr>
        <w:autoSpaceDE w:val="0"/>
        <w:autoSpaceDN w:val="0"/>
        <w:spacing w:line="460" w:lineRule="exact"/>
        <w:ind w:firstLine="480" w:firstLineChars="200"/>
        <w:contextualSpacing/>
        <w:jc w:val="left"/>
        <w:outlineLvl w:val="0"/>
        <w:rPr>
          <w:rFonts w:hAnsi="宋体"/>
          <w:sz w:val="24"/>
          <w:szCs w:val="24"/>
        </w:rPr>
      </w:pPr>
      <w:r>
        <w:rPr>
          <w:rFonts w:hint="eastAsia" w:hAnsi="宋体"/>
          <w:sz w:val="24"/>
          <w:szCs w:val="24"/>
        </w:rPr>
        <w:t>（5）推荐中标候选人；</w:t>
      </w:r>
    </w:p>
    <w:p>
      <w:pPr>
        <w:autoSpaceDE w:val="0"/>
        <w:autoSpaceDN w:val="0"/>
        <w:spacing w:line="460" w:lineRule="exact"/>
        <w:ind w:firstLine="480" w:firstLineChars="200"/>
        <w:contextualSpacing/>
        <w:jc w:val="left"/>
        <w:outlineLvl w:val="0"/>
        <w:rPr>
          <w:rFonts w:hAnsi="宋体"/>
          <w:sz w:val="24"/>
          <w:szCs w:val="24"/>
        </w:rPr>
      </w:pPr>
      <w:r>
        <w:rPr>
          <w:rFonts w:hint="eastAsia" w:hAnsi="宋体"/>
          <w:sz w:val="24"/>
          <w:szCs w:val="24"/>
        </w:rPr>
        <w:t>（6）评标现场宣布中标候选人确定结果并在指定媒体上进行公示。</w:t>
      </w:r>
    </w:p>
    <w:p>
      <w:pPr>
        <w:autoSpaceDE w:val="0"/>
        <w:autoSpaceDN w:val="0"/>
        <w:spacing w:line="460" w:lineRule="exact"/>
        <w:ind w:firstLine="480" w:firstLineChars="200"/>
        <w:contextualSpacing/>
        <w:jc w:val="left"/>
        <w:outlineLvl w:val="0"/>
        <w:rPr>
          <w:rFonts w:hAnsi="宋体"/>
          <w:b/>
          <w:bCs/>
          <w:sz w:val="24"/>
          <w:szCs w:val="24"/>
        </w:rPr>
      </w:pPr>
      <w:r>
        <w:rPr>
          <w:rFonts w:hint="eastAsia" w:hAnsi="宋体"/>
          <w:b/>
          <w:bCs/>
          <w:sz w:val="24"/>
          <w:szCs w:val="24"/>
        </w:rPr>
        <w:t>六、清标</w:t>
      </w:r>
    </w:p>
    <w:p>
      <w:pPr>
        <w:autoSpaceDE w:val="0"/>
        <w:autoSpaceDN w:val="0"/>
        <w:spacing w:line="460" w:lineRule="exact"/>
        <w:ind w:firstLine="480" w:firstLineChars="200"/>
        <w:contextualSpacing/>
        <w:jc w:val="left"/>
        <w:outlineLvl w:val="0"/>
        <w:rPr>
          <w:rFonts w:hAnsi="宋体"/>
          <w:b/>
          <w:bCs/>
          <w:sz w:val="24"/>
          <w:szCs w:val="24"/>
        </w:rPr>
      </w:pPr>
      <w:r>
        <w:rPr>
          <w:rFonts w:hint="eastAsia" w:hAnsi="宋体"/>
          <w:b/>
          <w:bCs/>
          <w:sz w:val="24"/>
          <w:szCs w:val="24"/>
        </w:rPr>
        <w:t>先由评标委员会在商务标清标系统的辅助下对投标文件进行基础性数据分析和整理（清标内容见下表），形成清标成果。</w:t>
      </w:r>
    </w:p>
    <w:p>
      <w:pPr>
        <w:spacing w:line="460" w:lineRule="exact"/>
        <w:ind w:firstLine="480" w:firstLineChars="200"/>
        <w:contextualSpacing/>
        <w:rPr>
          <w:rFonts w:hAnsi="宋体"/>
          <w:sz w:val="24"/>
          <w:szCs w:val="24"/>
        </w:rPr>
      </w:pPr>
      <w:r>
        <w:rPr>
          <w:rFonts w:hint="eastAsia" w:hAnsi="宋体"/>
          <w:sz w:val="24"/>
          <w:szCs w:val="24"/>
        </w:rPr>
        <w:t>出现否定事项的，评标委员会不再对其质询，直接作为无效投标处理（但法律法规规定的细微偏差除外）。</w:t>
      </w:r>
    </w:p>
    <w:p>
      <w:pPr>
        <w:spacing w:line="460" w:lineRule="exact"/>
        <w:ind w:firstLine="480" w:firstLineChars="200"/>
        <w:contextualSpacing/>
        <w:rPr>
          <w:rFonts w:hAnsi="宋体"/>
          <w:sz w:val="24"/>
          <w:szCs w:val="24"/>
        </w:rPr>
      </w:pPr>
      <w:r>
        <w:rPr>
          <w:rFonts w:hint="eastAsia" w:hAnsi="宋体"/>
          <w:sz w:val="24"/>
          <w:szCs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460" w:lineRule="exact"/>
        <w:ind w:firstLine="480" w:firstLineChars="200"/>
        <w:contextualSpacing/>
        <w:rPr>
          <w:rFonts w:hAnsi="宋体"/>
          <w:sz w:val="24"/>
          <w:szCs w:val="24"/>
        </w:rPr>
      </w:pPr>
      <w:r>
        <w:rPr>
          <w:rFonts w:hint="eastAsia" w:hAnsi="宋体"/>
          <w:sz w:val="24"/>
          <w:szCs w:val="24"/>
        </w:rPr>
        <w:t>评标委员会应当书面要求存在细微偏差的投标人在评标结束前予以补正。拒不补正的，在详细评审时评标委员会将否决其投标。</w:t>
      </w:r>
    </w:p>
    <w:p>
      <w:pPr>
        <w:spacing w:line="460" w:lineRule="exact"/>
        <w:ind w:firstLine="480" w:firstLineChars="200"/>
        <w:contextualSpacing/>
        <w:rPr>
          <w:rFonts w:hAnsi="宋体"/>
          <w:sz w:val="24"/>
          <w:szCs w:val="24"/>
        </w:rPr>
      </w:pPr>
      <w:r>
        <w:rPr>
          <w:rFonts w:hint="eastAsia" w:hAnsi="宋体"/>
          <w:sz w:val="24"/>
          <w:szCs w:val="24"/>
        </w:rPr>
        <w:t>投标文件存在下列情形之一的，按废标处理：</w:t>
      </w:r>
    </w:p>
    <w:p>
      <w:pPr>
        <w:spacing w:line="460" w:lineRule="exact"/>
        <w:ind w:firstLine="480" w:firstLineChars="200"/>
        <w:contextualSpacing/>
        <w:jc w:val="left"/>
        <w:rPr>
          <w:rFonts w:hAnsi="宋体"/>
          <w:sz w:val="24"/>
          <w:szCs w:val="24"/>
        </w:rPr>
      </w:pPr>
      <w:r>
        <w:rPr>
          <w:rFonts w:hint="eastAsia" w:hAnsi="宋体"/>
          <w:sz w:val="24"/>
          <w:szCs w:val="24"/>
        </w:rPr>
        <w:t>1.未按招标文件规定编制各项报价的；</w:t>
      </w:r>
    </w:p>
    <w:p>
      <w:pPr>
        <w:spacing w:line="460" w:lineRule="exact"/>
        <w:ind w:firstLine="480" w:firstLineChars="200"/>
        <w:contextualSpacing/>
        <w:jc w:val="left"/>
        <w:rPr>
          <w:rFonts w:hAnsi="宋体"/>
          <w:sz w:val="24"/>
          <w:szCs w:val="24"/>
        </w:rPr>
      </w:pPr>
      <w:r>
        <w:rPr>
          <w:rFonts w:hint="eastAsia" w:hAnsi="宋体"/>
          <w:sz w:val="24"/>
          <w:szCs w:val="24"/>
        </w:rPr>
        <w:t>2.投标总报价与其组成部分、工程量清单项目合价与综合单价、综合单价与人材机用量相互矛盾，致使评标委员会无法正常评审判定的；</w:t>
      </w:r>
    </w:p>
    <w:p>
      <w:pPr>
        <w:spacing w:line="460" w:lineRule="exact"/>
        <w:ind w:firstLine="480" w:firstLineChars="200"/>
        <w:contextualSpacing/>
        <w:jc w:val="left"/>
        <w:rPr>
          <w:rFonts w:hAnsi="宋体"/>
          <w:sz w:val="24"/>
          <w:szCs w:val="24"/>
        </w:rPr>
      </w:pPr>
      <w:r>
        <w:rPr>
          <w:rFonts w:hint="eastAsia" w:hAnsi="宋体"/>
          <w:sz w:val="24"/>
          <w:szCs w:val="24"/>
        </w:rPr>
        <w:t>3.规费和税金、安全文明施工措施费违背工程造价管理规定的；</w:t>
      </w:r>
    </w:p>
    <w:p>
      <w:pPr>
        <w:spacing w:line="460" w:lineRule="exact"/>
        <w:ind w:firstLine="480" w:firstLineChars="200"/>
        <w:contextualSpacing/>
        <w:jc w:val="left"/>
        <w:rPr>
          <w:rFonts w:hAnsi="宋体"/>
          <w:sz w:val="24"/>
          <w:szCs w:val="24"/>
        </w:rPr>
      </w:pPr>
      <w:r>
        <w:rPr>
          <w:rFonts w:hint="eastAsia" w:hAnsi="宋体"/>
          <w:sz w:val="24"/>
          <w:szCs w:val="24"/>
        </w:rPr>
        <w:t>4.分部分项工程项目、措施项目报价中的项目编码、项目名称、项目特征、计量单位和工程量与招标文件的清单不一致的；</w:t>
      </w:r>
    </w:p>
    <w:p>
      <w:pPr>
        <w:spacing w:line="460" w:lineRule="exact"/>
        <w:ind w:firstLine="480" w:firstLineChars="200"/>
        <w:contextualSpacing/>
        <w:jc w:val="left"/>
        <w:rPr>
          <w:rFonts w:hAnsi="宋体"/>
          <w:sz w:val="24"/>
          <w:szCs w:val="24"/>
        </w:rPr>
      </w:pPr>
      <w:r>
        <w:rPr>
          <w:rFonts w:hint="eastAsia" w:hAnsi="宋体"/>
          <w:sz w:val="24"/>
          <w:szCs w:val="24"/>
        </w:rPr>
        <w:t>5.未按照暂列金额或者暂估价编制投标报价的。</w:t>
      </w:r>
    </w:p>
    <w:p>
      <w:pPr>
        <w:spacing w:line="440" w:lineRule="exact"/>
        <w:ind w:firstLine="480" w:firstLineChars="200"/>
        <w:rPr>
          <w:rFonts w:hAnsi="宋体"/>
          <w:sz w:val="24"/>
          <w:szCs w:val="24"/>
        </w:rPr>
      </w:pPr>
      <w:r>
        <w:rPr>
          <w:rFonts w:hint="eastAsia" w:hAnsi="宋体"/>
          <w:sz w:val="24"/>
          <w:szCs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460" w:lineRule="exact"/>
        <w:ind w:firstLine="480" w:firstLineChars="200"/>
        <w:contextualSpacing/>
        <w:jc w:val="center"/>
        <w:rPr>
          <w:rFonts w:ascii="新宋体" w:hAnsi="新宋体" w:eastAsia="新宋体"/>
          <w:b/>
          <w:bCs/>
          <w:sz w:val="24"/>
          <w:szCs w:val="24"/>
        </w:rPr>
      </w:pPr>
      <w:r>
        <w:rPr>
          <w:rFonts w:hint="eastAsia" w:ascii="新宋体" w:hAnsi="新宋体" w:eastAsia="新宋体"/>
          <w:b/>
          <w:bCs/>
          <w:sz w:val="24"/>
          <w:szCs w:val="24"/>
        </w:rPr>
        <w:t>商务标清标内容</w:t>
      </w:r>
    </w:p>
    <w:tbl>
      <w:tblPr>
        <w:tblStyle w:val="11"/>
        <w:tblW w:w="9871" w:type="dxa"/>
        <w:jc w:val="center"/>
        <w:tblLayout w:type="fixed"/>
        <w:tblCellMar>
          <w:top w:w="0" w:type="dxa"/>
          <w:left w:w="108" w:type="dxa"/>
          <w:bottom w:w="0" w:type="dxa"/>
          <w:right w:w="108" w:type="dxa"/>
        </w:tblCellMar>
      </w:tblPr>
      <w:tblGrid>
        <w:gridCol w:w="525"/>
        <w:gridCol w:w="645"/>
        <w:gridCol w:w="2901"/>
        <w:gridCol w:w="4442"/>
        <w:gridCol w:w="698"/>
        <w:gridCol w:w="660"/>
      </w:tblGrid>
      <w:tr>
        <w:tblPrEx>
          <w:tblCellMar>
            <w:top w:w="0" w:type="dxa"/>
            <w:left w:w="108" w:type="dxa"/>
            <w:bottom w:w="0" w:type="dxa"/>
            <w:right w:w="108" w:type="dxa"/>
          </w:tblCellMar>
        </w:tblPrEx>
        <w:trPr>
          <w:trHeight w:val="282" w:hRule="atLeast"/>
          <w:jc w:val="center"/>
        </w:trPr>
        <w:tc>
          <w:tcPr>
            <w:tcW w:w="1170"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4"/>
              </w:rPr>
            </w:pPr>
            <w:bookmarkStart w:id="100" w:name="_Toc464824721"/>
            <w:bookmarkEnd w:id="100"/>
            <w:bookmarkStart w:id="101" w:name="_Toc31423"/>
            <w:r>
              <w:rPr>
                <w:rFonts w:hint="eastAsia" w:ascii="新宋体" w:hAnsi="新宋体" w:eastAsia="新宋体"/>
                <w:sz w:val="24"/>
              </w:rPr>
              <w:t>序号</w:t>
            </w:r>
          </w:p>
        </w:tc>
        <w:tc>
          <w:tcPr>
            <w:tcW w:w="2901" w:type="dxa"/>
            <w:vMerge w:val="restart"/>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ascii="新宋体" w:hAnsi="新宋体" w:eastAsia="新宋体"/>
                <w:sz w:val="24"/>
              </w:rPr>
            </w:pPr>
            <w:r>
              <w:rPr>
                <w:rFonts w:hint="eastAsia" w:ascii="新宋体" w:hAnsi="新宋体" w:eastAsia="新宋体"/>
                <w:sz w:val="24"/>
              </w:rPr>
              <w:t>清标项目</w:t>
            </w:r>
          </w:p>
        </w:tc>
        <w:tc>
          <w:tcPr>
            <w:tcW w:w="4442" w:type="dxa"/>
            <w:vMerge w:val="restart"/>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ascii="新宋体" w:hAnsi="新宋体" w:eastAsia="新宋体"/>
                <w:sz w:val="24"/>
              </w:rPr>
            </w:pPr>
            <w:r>
              <w:rPr>
                <w:rFonts w:hint="eastAsia" w:ascii="新宋体" w:hAnsi="新宋体" w:eastAsia="新宋体"/>
                <w:sz w:val="24"/>
              </w:rPr>
              <w:t>清标内容</w:t>
            </w:r>
          </w:p>
        </w:tc>
        <w:tc>
          <w:tcPr>
            <w:tcW w:w="1358" w:type="dxa"/>
            <w:gridSpan w:val="2"/>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4"/>
              </w:rPr>
            </w:pPr>
            <w:r>
              <w:rPr>
                <w:rFonts w:hint="eastAsia" w:ascii="新宋体" w:hAnsi="新宋体" w:eastAsia="新宋体"/>
                <w:sz w:val="24"/>
              </w:rPr>
              <w:t>清标结果</w:t>
            </w:r>
          </w:p>
        </w:tc>
      </w:tr>
      <w:tr>
        <w:tblPrEx>
          <w:tblCellMar>
            <w:top w:w="0" w:type="dxa"/>
            <w:left w:w="108" w:type="dxa"/>
            <w:bottom w:w="0" w:type="dxa"/>
            <w:right w:w="108" w:type="dxa"/>
          </w:tblCellMar>
        </w:tblPrEx>
        <w:trPr>
          <w:trHeight w:val="204" w:hRule="atLeast"/>
          <w:jc w:val="center"/>
        </w:trPr>
        <w:tc>
          <w:tcPr>
            <w:tcW w:w="1170"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440" w:lineRule="exact"/>
              <w:ind w:firstLine="480" w:firstLineChars="200"/>
              <w:jc w:val="center"/>
              <w:rPr>
                <w:rFonts w:ascii="新宋体" w:hAnsi="新宋体" w:eastAsia="新宋体"/>
                <w:sz w:val="24"/>
              </w:rPr>
            </w:pPr>
          </w:p>
        </w:tc>
        <w:tc>
          <w:tcPr>
            <w:tcW w:w="2901" w:type="dxa"/>
            <w:vMerge w:val="continue"/>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ascii="新宋体" w:hAnsi="新宋体" w:eastAsia="新宋体"/>
                <w:sz w:val="24"/>
              </w:rPr>
            </w:pPr>
          </w:p>
        </w:tc>
        <w:tc>
          <w:tcPr>
            <w:tcW w:w="4442" w:type="dxa"/>
            <w:vMerge w:val="continue"/>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ascii="新宋体" w:hAnsi="新宋体" w:eastAsia="新宋体"/>
                <w:sz w:val="24"/>
              </w:rPr>
            </w:pPr>
          </w:p>
        </w:tc>
        <w:tc>
          <w:tcPr>
            <w:tcW w:w="698"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4"/>
              </w:rPr>
            </w:pPr>
            <w:r>
              <w:rPr>
                <w:rFonts w:hint="eastAsia" w:ascii="新宋体" w:hAnsi="新宋体" w:eastAsia="新宋体"/>
                <w:sz w:val="24"/>
              </w:rPr>
              <w:t>是</w:t>
            </w:r>
          </w:p>
        </w:tc>
        <w:tc>
          <w:tcPr>
            <w:tcW w:w="660"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4"/>
              </w:rPr>
            </w:pPr>
            <w:r>
              <w:rPr>
                <w:rFonts w:hint="eastAsia" w:ascii="新宋体" w:hAnsi="新宋体" w:eastAsia="新宋体"/>
                <w:sz w:val="24"/>
              </w:rPr>
              <w:t>否</w:t>
            </w:r>
          </w:p>
        </w:tc>
      </w:tr>
      <w:tr>
        <w:tblPrEx>
          <w:tblCellMar>
            <w:top w:w="0" w:type="dxa"/>
            <w:left w:w="108" w:type="dxa"/>
            <w:bottom w:w="0" w:type="dxa"/>
            <w:right w:w="108" w:type="dxa"/>
          </w:tblCellMar>
        </w:tblPrEx>
        <w:trPr>
          <w:trHeight w:val="539" w:hRule="atLeast"/>
          <w:jc w:val="center"/>
        </w:trPr>
        <w:tc>
          <w:tcPr>
            <w:tcW w:w="525"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4"/>
              </w:rPr>
            </w:pPr>
            <w:r>
              <w:rPr>
                <w:rFonts w:hint="eastAsia" w:ascii="新宋体" w:hAnsi="新宋体" w:eastAsia="新宋体"/>
                <w:sz w:val="24"/>
              </w:rPr>
              <w:t>1</w:t>
            </w: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4"/>
              </w:rPr>
            </w:pPr>
            <w:r>
              <w:rPr>
                <w:rFonts w:hint="eastAsia" w:ascii="新宋体" w:hAnsi="新宋体" w:eastAsia="新宋体"/>
                <w:sz w:val="24"/>
              </w:rPr>
              <w:t>1.1</w:t>
            </w:r>
          </w:p>
        </w:tc>
        <w:tc>
          <w:tcPr>
            <w:tcW w:w="2901" w:type="dxa"/>
            <w:tcBorders>
              <w:top w:val="single" w:color="auto" w:sz="4" w:space="0"/>
              <w:left w:val="nil"/>
              <w:bottom w:val="single" w:color="auto" w:sz="4" w:space="0"/>
              <w:right w:val="single" w:color="auto" w:sz="4" w:space="0"/>
            </w:tcBorders>
            <w:vAlign w:val="center"/>
          </w:tcPr>
          <w:p>
            <w:pPr>
              <w:spacing w:line="440" w:lineRule="exact"/>
              <w:ind w:firstLine="480" w:firstLineChars="200"/>
              <w:rPr>
                <w:rFonts w:ascii="新宋体" w:hAnsi="新宋体" w:eastAsia="新宋体"/>
                <w:sz w:val="24"/>
              </w:rPr>
            </w:pPr>
            <w:r>
              <w:rPr>
                <w:rFonts w:hint="eastAsia" w:ascii="新宋体" w:hAnsi="新宋体" w:eastAsia="新宋体"/>
                <w:sz w:val="24"/>
              </w:rPr>
              <w:t>项目总报价</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ascii="新宋体" w:hAnsi="新宋体" w:eastAsia="新宋体"/>
                <w:sz w:val="24"/>
              </w:rPr>
            </w:pPr>
            <w:r>
              <w:rPr>
                <w:rFonts w:hint="eastAsia" w:ascii="新宋体" w:hAnsi="新宋体" w:eastAsia="新宋体"/>
                <w:sz w:val="24"/>
              </w:rPr>
              <w:t>是否等于各单项工程造价之和</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ascii="新宋体" w:hAnsi="新宋体" w:eastAsia="新宋体"/>
                <w:sz w:val="24"/>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ascii="新宋体" w:hAnsi="新宋体" w:eastAsia="新宋体"/>
                <w:sz w:val="24"/>
              </w:rPr>
            </w:pPr>
          </w:p>
        </w:tc>
      </w:tr>
      <w:tr>
        <w:tblPrEx>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80" w:firstLineChars="200"/>
              <w:jc w:val="center"/>
              <w:rPr>
                <w:rFonts w:ascii="新宋体" w:hAnsi="新宋体" w:eastAsia="新宋体"/>
                <w:sz w:val="24"/>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4"/>
              </w:rPr>
            </w:pPr>
            <w:r>
              <w:rPr>
                <w:rFonts w:hint="eastAsia" w:ascii="新宋体" w:hAnsi="新宋体" w:eastAsia="新宋体"/>
                <w:sz w:val="24"/>
              </w:rPr>
              <w:t>1.2</w:t>
            </w:r>
          </w:p>
        </w:tc>
        <w:tc>
          <w:tcPr>
            <w:tcW w:w="2901" w:type="dxa"/>
            <w:tcBorders>
              <w:top w:val="single" w:color="auto" w:sz="4" w:space="0"/>
              <w:left w:val="nil"/>
              <w:bottom w:val="single" w:color="auto" w:sz="4" w:space="0"/>
              <w:right w:val="single" w:color="auto" w:sz="4" w:space="0"/>
            </w:tcBorders>
            <w:vAlign w:val="center"/>
          </w:tcPr>
          <w:p>
            <w:pPr>
              <w:spacing w:line="440" w:lineRule="exact"/>
              <w:ind w:firstLine="480" w:firstLineChars="200"/>
              <w:rPr>
                <w:rFonts w:ascii="新宋体" w:hAnsi="新宋体" w:eastAsia="新宋体"/>
                <w:sz w:val="24"/>
              </w:rPr>
            </w:pPr>
            <w:r>
              <w:rPr>
                <w:rFonts w:hint="eastAsia" w:ascii="新宋体" w:hAnsi="新宋体" w:eastAsia="新宋体"/>
                <w:sz w:val="24"/>
              </w:rPr>
              <w:t>单项工程费</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ascii="新宋体" w:hAnsi="新宋体" w:eastAsia="新宋体"/>
                <w:sz w:val="24"/>
              </w:rPr>
            </w:pPr>
            <w:r>
              <w:rPr>
                <w:rFonts w:hint="eastAsia" w:ascii="新宋体" w:hAnsi="新宋体" w:eastAsia="新宋体"/>
                <w:sz w:val="24"/>
              </w:rPr>
              <w:t>是否等于各单位工程造价之和</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ascii="新宋体" w:hAnsi="新宋体" w:eastAsia="新宋体"/>
                <w:sz w:val="24"/>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ascii="新宋体" w:hAnsi="新宋体" w:eastAsia="新宋体"/>
                <w:sz w:val="24"/>
              </w:rPr>
            </w:pPr>
          </w:p>
        </w:tc>
      </w:tr>
      <w:tr>
        <w:tblPrEx>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80" w:firstLineChars="200"/>
              <w:jc w:val="center"/>
              <w:rPr>
                <w:rFonts w:ascii="新宋体" w:hAnsi="新宋体" w:eastAsia="新宋体"/>
                <w:sz w:val="24"/>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4"/>
              </w:rPr>
            </w:pPr>
            <w:r>
              <w:rPr>
                <w:rFonts w:hint="eastAsia" w:ascii="新宋体" w:hAnsi="新宋体" w:eastAsia="新宋体"/>
                <w:sz w:val="24"/>
              </w:rPr>
              <w:t>1.3</w:t>
            </w:r>
          </w:p>
        </w:tc>
        <w:tc>
          <w:tcPr>
            <w:tcW w:w="2901" w:type="dxa"/>
            <w:tcBorders>
              <w:top w:val="single" w:color="auto" w:sz="4" w:space="0"/>
              <w:left w:val="nil"/>
              <w:bottom w:val="single" w:color="auto" w:sz="4" w:space="0"/>
              <w:right w:val="single" w:color="auto" w:sz="4" w:space="0"/>
            </w:tcBorders>
            <w:vAlign w:val="center"/>
          </w:tcPr>
          <w:p>
            <w:pPr>
              <w:spacing w:line="440" w:lineRule="exact"/>
              <w:ind w:firstLine="480" w:firstLineChars="200"/>
              <w:rPr>
                <w:rFonts w:ascii="新宋体" w:hAnsi="新宋体" w:eastAsia="新宋体"/>
                <w:sz w:val="24"/>
              </w:rPr>
            </w:pPr>
            <w:r>
              <w:rPr>
                <w:rFonts w:hint="eastAsia" w:ascii="新宋体" w:hAnsi="新宋体" w:eastAsia="新宋体"/>
                <w:sz w:val="24"/>
              </w:rPr>
              <w:t>单位工程费</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ascii="新宋体" w:hAnsi="新宋体" w:eastAsia="新宋体"/>
                <w:sz w:val="24"/>
              </w:rPr>
            </w:pPr>
            <w:r>
              <w:rPr>
                <w:rFonts w:hint="eastAsia" w:ascii="新宋体" w:hAnsi="新宋体" w:eastAsia="新宋体"/>
                <w:sz w:val="24"/>
              </w:rPr>
              <w:t>是否等于分部分项工程费+措施项目费+其它项目费+规费+税金之和</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ascii="新宋体" w:hAnsi="新宋体" w:eastAsia="新宋体"/>
                <w:sz w:val="24"/>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ascii="新宋体" w:hAnsi="新宋体" w:eastAsia="新宋体"/>
                <w:sz w:val="24"/>
              </w:rPr>
            </w:pPr>
          </w:p>
        </w:tc>
      </w:tr>
      <w:tr>
        <w:tblPrEx>
          <w:tblCellMar>
            <w:top w:w="0" w:type="dxa"/>
            <w:left w:w="108" w:type="dxa"/>
            <w:bottom w:w="0" w:type="dxa"/>
            <w:right w:w="108" w:type="dxa"/>
          </w:tblCellMar>
        </w:tblPrEx>
        <w:trPr>
          <w:trHeight w:val="539" w:hRule="atLeast"/>
          <w:jc w:val="center"/>
        </w:trPr>
        <w:tc>
          <w:tcPr>
            <w:tcW w:w="525"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4"/>
              </w:rPr>
            </w:pPr>
            <w:r>
              <w:rPr>
                <w:rFonts w:hint="eastAsia" w:ascii="新宋体" w:hAnsi="新宋体" w:eastAsia="新宋体"/>
                <w:sz w:val="24"/>
              </w:rPr>
              <w:t>2</w:t>
            </w: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4"/>
              </w:rPr>
            </w:pPr>
            <w:r>
              <w:rPr>
                <w:rFonts w:hint="eastAsia" w:ascii="新宋体" w:hAnsi="新宋体" w:eastAsia="新宋体"/>
                <w:sz w:val="24"/>
              </w:rPr>
              <w:t>2.1</w:t>
            </w:r>
          </w:p>
        </w:tc>
        <w:tc>
          <w:tcPr>
            <w:tcW w:w="2901"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4"/>
              </w:rPr>
            </w:pPr>
            <w:r>
              <w:rPr>
                <w:rFonts w:hint="eastAsia" w:ascii="新宋体" w:hAnsi="新宋体" w:eastAsia="新宋体"/>
                <w:sz w:val="24"/>
              </w:rPr>
              <w:t>分部分项工程费及单价措施费</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ascii="新宋体" w:hAnsi="新宋体" w:eastAsia="新宋体"/>
                <w:sz w:val="24"/>
              </w:rPr>
            </w:pPr>
            <w:r>
              <w:rPr>
                <w:rFonts w:hint="eastAsia" w:ascii="新宋体" w:hAnsi="新宋体" w:eastAsia="新宋体"/>
                <w:sz w:val="24"/>
              </w:rPr>
              <w:t>是否等于各分部分项清单（含单价措施项目）费之和</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ascii="新宋体" w:hAnsi="新宋体" w:eastAsia="新宋体"/>
                <w:sz w:val="24"/>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ascii="新宋体" w:hAnsi="新宋体" w:eastAsia="新宋体"/>
                <w:sz w:val="24"/>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80" w:firstLineChars="200"/>
              <w:jc w:val="center"/>
              <w:rPr>
                <w:rFonts w:ascii="新宋体" w:hAnsi="新宋体" w:eastAsia="新宋体"/>
                <w:sz w:val="24"/>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4"/>
              </w:rPr>
            </w:pPr>
            <w:r>
              <w:rPr>
                <w:rFonts w:hint="eastAsia" w:ascii="新宋体" w:hAnsi="新宋体" w:eastAsia="新宋体"/>
                <w:sz w:val="24"/>
              </w:rPr>
              <w:t>2.2</w:t>
            </w:r>
          </w:p>
        </w:tc>
        <w:tc>
          <w:tcPr>
            <w:tcW w:w="2901" w:type="dxa"/>
            <w:tcBorders>
              <w:top w:val="single" w:color="auto" w:sz="4" w:space="0"/>
              <w:left w:val="nil"/>
              <w:bottom w:val="single" w:color="auto" w:sz="4" w:space="0"/>
              <w:right w:val="single" w:color="auto" w:sz="4" w:space="0"/>
            </w:tcBorders>
            <w:vAlign w:val="center"/>
          </w:tcPr>
          <w:p>
            <w:pPr>
              <w:spacing w:line="440" w:lineRule="exact"/>
              <w:rPr>
                <w:rFonts w:ascii="新宋体" w:hAnsi="新宋体" w:eastAsia="新宋体"/>
                <w:sz w:val="24"/>
              </w:rPr>
            </w:pPr>
            <w:r>
              <w:rPr>
                <w:rFonts w:hint="eastAsia" w:ascii="新宋体" w:hAnsi="新宋体" w:eastAsia="新宋体"/>
                <w:sz w:val="24"/>
              </w:rPr>
              <w:t>分部分项及单价措施项目编码</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ascii="新宋体" w:hAnsi="新宋体" w:eastAsia="新宋体"/>
                <w:sz w:val="24"/>
              </w:rPr>
            </w:pPr>
            <w:r>
              <w:rPr>
                <w:rFonts w:hint="eastAsia" w:ascii="新宋体" w:hAnsi="新宋体" w:eastAsia="新宋体"/>
                <w:sz w:val="24"/>
              </w:rPr>
              <w:t>不得修改招标人清单</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ascii="新宋体" w:hAnsi="新宋体" w:eastAsia="新宋体"/>
                <w:sz w:val="24"/>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ascii="新宋体" w:hAnsi="新宋体" w:eastAsia="新宋体"/>
                <w:sz w:val="24"/>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80" w:firstLineChars="200"/>
              <w:jc w:val="center"/>
              <w:rPr>
                <w:rFonts w:ascii="新宋体" w:hAnsi="新宋体" w:eastAsia="新宋体"/>
                <w:sz w:val="24"/>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4"/>
              </w:rPr>
            </w:pPr>
            <w:r>
              <w:rPr>
                <w:rFonts w:hint="eastAsia" w:ascii="新宋体" w:hAnsi="新宋体" w:eastAsia="新宋体"/>
                <w:sz w:val="24"/>
              </w:rPr>
              <w:t>2.3</w:t>
            </w:r>
          </w:p>
        </w:tc>
        <w:tc>
          <w:tcPr>
            <w:tcW w:w="2901" w:type="dxa"/>
            <w:tcBorders>
              <w:top w:val="single" w:color="auto" w:sz="4" w:space="0"/>
              <w:left w:val="nil"/>
              <w:bottom w:val="single" w:color="auto" w:sz="4" w:space="0"/>
              <w:right w:val="single" w:color="auto" w:sz="4" w:space="0"/>
            </w:tcBorders>
            <w:vAlign w:val="center"/>
          </w:tcPr>
          <w:p>
            <w:pPr>
              <w:spacing w:line="440" w:lineRule="exact"/>
              <w:rPr>
                <w:rFonts w:ascii="新宋体" w:hAnsi="新宋体" w:eastAsia="新宋体"/>
                <w:sz w:val="24"/>
              </w:rPr>
            </w:pPr>
            <w:r>
              <w:rPr>
                <w:rFonts w:hint="eastAsia" w:ascii="新宋体" w:hAnsi="新宋体" w:eastAsia="新宋体"/>
                <w:sz w:val="24"/>
              </w:rPr>
              <w:t>分部分项及单价措施项目名称</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ascii="新宋体" w:hAnsi="新宋体" w:eastAsia="新宋体"/>
                <w:sz w:val="24"/>
              </w:rPr>
            </w:pPr>
            <w:r>
              <w:rPr>
                <w:rFonts w:hint="eastAsia" w:ascii="新宋体" w:hAnsi="新宋体" w:eastAsia="新宋体"/>
                <w:sz w:val="24"/>
              </w:rPr>
              <w:t>不得修改招标人清单</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ascii="新宋体" w:hAnsi="新宋体" w:eastAsia="新宋体"/>
                <w:sz w:val="24"/>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ascii="新宋体" w:hAnsi="新宋体" w:eastAsia="新宋体"/>
                <w:sz w:val="24"/>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80" w:firstLineChars="200"/>
              <w:jc w:val="center"/>
              <w:rPr>
                <w:rFonts w:ascii="新宋体" w:hAnsi="新宋体" w:eastAsia="新宋体"/>
                <w:sz w:val="24"/>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4"/>
              </w:rPr>
            </w:pPr>
            <w:r>
              <w:rPr>
                <w:rFonts w:hint="eastAsia" w:ascii="新宋体" w:hAnsi="新宋体" w:eastAsia="新宋体"/>
                <w:sz w:val="24"/>
              </w:rPr>
              <w:t>2.4</w:t>
            </w:r>
          </w:p>
        </w:tc>
        <w:tc>
          <w:tcPr>
            <w:tcW w:w="2901" w:type="dxa"/>
            <w:tcBorders>
              <w:top w:val="single" w:color="auto" w:sz="4" w:space="0"/>
              <w:left w:val="nil"/>
              <w:bottom w:val="single" w:color="auto" w:sz="4" w:space="0"/>
              <w:right w:val="single" w:color="auto" w:sz="4" w:space="0"/>
            </w:tcBorders>
            <w:vAlign w:val="center"/>
          </w:tcPr>
          <w:p>
            <w:pPr>
              <w:spacing w:line="440" w:lineRule="exact"/>
              <w:rPr>
                <w:rFonts w:ascii="新宋体" w:hAnsi="新宋体" w:eastAsia="新宋体"/>
                <w:sz w:val="24"/>
              </w:rPr>
            </w:pPr>
            <w:r>
              <w:rPr>
                <w:rFonts w:hint="eastAsia" w:ascii="新宋体" w:hAnsi="新宋体" w:eastAsia="新宋体"/>
                <w:sz w:val="24"/>
              </w:rPr>
              <w:t>分部分项及单价措施项目特征</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ascii="新宋体" w:hAnsi="新宋体" w:eastAsia="新宋体"/>
                <w:sz w:val="24"/>
              </w:rPr>
            </w:pPr>
            <w:r>
              <w:rPr>
                <w:rFonts w:hint="eastAsia" w:ascii="新宋体" w:hAnsi="新宋体" w:eastAsia="新宋体"/>
                <w:sz w:val="24"/>
              </w:rPr>
              <w:t>不得修改招标人清单</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ascii="新宋体" w:hAnsi="新宋体" w:eastAsia="新宋体"/>
                <w:sz w:val="24"/>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ascii="新宋体" w:hAnsi="新宋体" w:eastAsia="新宋体"/>
                <w:sz w:val="24"/>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80" w:firstLineChars="200"/>
              <w:jc w:val="center"/>
              <w:rPr>
                <w:rFonts w:ascii="新宋体" w:hAnsi="新宋体" w:eastAsia="新宋体"/>
                <w:sz w:val="24"/>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4"/>
              </w:rPr>
            </w:pPr>
            <w:r>
              <w:rPr>
                <w:rFonts w:hint="eastAsia" w:ascii="新宋体" w:hAnsi="新宋体" w:eastAsia="新宋体"/>
                <w:sz w:val="24"/>
              </w:rPr>
              <w:t>2.5</w:t>
            </w:r>
          </w:p>
        </w:tc>
        <w:tc>
          <w:tcPr>
            <w:tcW w:w="2901" w:type="dxa"/>
            <w:tcBorders>
              <w:top w:val="single" w:color="auto" w:sz="4" w:space="0"/>
              <w:left w:val="nil"/>
              <w:bottom w:val="single" w:color="auto" w:sz="4" w:space="0"/>
              <w:right w:val="single" w:color="auto" w:sz="4" w:space="0"/>
            </w:tcBorders>
            <w:vAlign w:val="center"/>
          </w:tcPr>
          <w:p>
            <w:pPr>
              <w:spacing w:line="440" w:lineRule="exact"/>
              <w:rPr>
                <w:rFonts w:ascii="新宋体" w:hAnsi="新宋体" w:eastAsia="新宋体"/>
                <w:sz w:val="24"/>
              </w:rPr>
            </w:pPr>
            <w:r>
              <w:rPr>
                <w:rFonts w:hint="eastAsia" w:ascii="新宋体" w:hAnsi="新宋体" w:eastAsia="新宋体"/>
                <w:sz w:val="24"/>
              </w:rPr>
              <w:t>分部分项及单价措施项目计量单位</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ascii="新宋体" w:hAnsi="新宋体" w:eastAsia="新宋体"/>
                <w:sz w:val="24"/>
              </w:rPr>
            </w:pPr>
            <w:r>
              <w:rPr>
                <w:rFonts w:hint="eastAsia" w:ascii="新宋体" w:hAnsi="新宋体" w:eastAsia="新宋体"/>
                <w:sz w:val="24"/>
              </w:rPr>
              <w:t>不得修改招标人清单</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ascii="新宋体" w:hAnsi="新宋体" w:eastAsia="新宋体"/>
                <w:sz w:val="24"/>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ascii="新宋体" w:hAnsi="新宋体" w:eastAsia="新宋体"/>
                <w:sz w:val="24"/>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80" w:firstLineChars="200"/>
              <w:jc w:val="center"/>
              <w:rPr>
                <w:rFonts w:ascii="新宋体" w:hAnsi="新宋体" w:eastAsia="新宋体"/>
                <w:sz w:val="24"/>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4"/>
              </w:rPr>
            </w:pPr>
            <w:r>
              <w:rPr>
                <w:rFonts w:hint="eastAsia" w:ascii="新宋体" w:hAnsi="新宋体" w:eastAsia="新宋体"/>
                <w:sz w:val="24"/>
              </w:rPr>
              <w:t>2.6</w:t>
            </w:r>
          </w:p>
        </w:tc>
        <w:tc>
          <w:tcPr>
            <w:tcW w:w="2901" w:type="dxa"/>
            <w:tcBorders>
              <w:top w:val="single" w:color="auto" w:sz="4" w:space="0"/>
              <w:left w:val="nil"/>
              <w:bottom w:val="single" w:color="auto" w:sz="4" w:space="0"/>
              <w:right w:val="single" w:color="auto" w:sz="4" w:space="0"/>
            </w:tcBorders>
            <w:vAlign w:val="center"/>
          </w:tcPr>
          <w:p>
            <w:pPr>
              <w:spacing w:line="440" w:lineRule="exact"/>
              <w:rPr>
                <w:rFonts w:ascii="新宋体" w:hAnsi="新宋体" w:eastAsia="新宋体"/>
                <w:sz w:val="24"/>
              </w:rPr>
            </w:pPr>
            <w:r>
              <w:rPr>
                <w:rFonts w:hint="eastAsia" w:ascii="新宋体" w:hAnsi="新宋体" w:eastAsia="新宋体"/>
                <w:sz w:val="24"/>
              </w:rPr>
              <w:t>分部分项及单价措施项目工程量</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ascii="新宋体" w:hAnsi="新宋体" w:eastAsia="新宋体"/>
                <w:sz w:val="24"/>
              </w:rPr>
            </w:pPr>
            <w:r>
              <w:rPr>
                <w:rFonts w:hint="eastAsia" w:ascii="新宋体" w:hAnsi="新宋体" w:eastAsia="新宋体"/>
                <w:sz w:val="24"/>
              </w:rPr>
              <w:t>不得修改招标人清单</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ascii="新宋体" w:hAnsi="新宋体" w:eastAsia="新宋体"/>
                <w:sz w:val="24"/>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ascii="新宋体" w:hAnsi="新宋体" w:eastAsia="新宋体"/>
                <w:sz w:val="24"/>
              </w:rPr>
            </w:pPr>
          </w:p>
        </w:tc>
      </w:tr>
      <w:tr>
        <w:tblPrEx>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80" w:firstLineChars="200"/>
              <w:jc w:val="center"/>
              <w:rPr>
                <w:rFonts w:ascii="新宋体" w:hAnsi="新宋体" w:eastAsia="新宋体"/>
                <w:sz w:val="24"/>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4"/>
              </w:rPr>
            </w:pPr>
            <w:r>
              <w:rPr>
                <w:rFonts w:hint="eastAsia" w:ascii="新宋体" w:hAnsi="新宋体" w:eastAsia="新宋体"/>
                <w:sz w:val="24"/>
              </w:rPr>
              <w:t>2.7</w:t>
            </w:r>
          </w:p>
        </w:tc>
        <w:tc>
          <w:tcPr>
            <w:tcW w:w="2901"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4"/>
              </w:rPr>
            </w:pPr>
            <w:r>
              <w:rPr>
                <w:rFonts w:hint="eastAsia" w:ascii="新宋体" w:hAnsi="新宋体" w:eastAsia="新宋体"/>
                <w:sz w:val="24"/>
              </w:rPr>
              <w:t>分部分项工程费及单价措施费清单综合单价</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ascii="新宋体" w:hAnsi="新宋体" w:eastAsia="新宋体"/>
                <w:sz w:val="24"/>
              </w:rPr>
            </w:pPr>
            <w:r>
              <w:rPr>
                <w:rFonts w:hint="eastAsia" w:ascii="新宋体" w:hAnsi="新宋体" w:eastAsia="新宋体"/>
                <w:sz w:val="24"/>
              </w:rPr>
              <w:t>综合单价＝人工费+材料费+机械费+管理费+利润之和</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ascii="新宋体" w:hAnsi="新宋体" w:eastAsia="新宋体"/>
                <w:sz w:val="24"/>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ascii="新宋体" w:hAnsi="新宋体" w:eastAsia="新宋体"/>
                <w:sz w:val="24"/>
              </w:rPr>
            </w:pPr>
          </w:p>
        </w:tc>
      </w:tr>
      <w:tr>
        <w:tblPrEx>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80" w:firstLineChars="200"/>
              <w:jc w:val="center"/>
              <w:rPr>
                <w:rFonts w:ascii="新宋体" w:hAnsi="新宋体" w:eastAsia="新宋体"/>
                <w:sz w:val="24"/>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4"/>
              </w:rPr>
            </w:pPr>
            <w:r>
              <w:rPr>
                <w:rFonts w:hint="eastAsia" w:ascii="新宋体" w:hAnsi="新宋体" w:eastAsia="新宋体"/>
                <w:sz w:val="24"/>
              </w:rPr>
              <w:t>2.8</w:t>
            </w:r>
          </w:p>
        </w:tc>
        <w:tc>
          <w:tcPr>
            <w:tcW w:w="2901"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4"/>
              </w:rPr>
            </w:pPr>
            <w:r>
              <w:rPr>
                <w:rFonts w:hint="eastAsia" w:ascii="新宋体" w:hAnsi="新宋体" w:eastAsia="新宋体"/>
                <w:sz w:val="24"/>
              </w:rPr>
              <w:t>材料单价</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ascii="新宋体" w:hAnsi="新宋体" w:eastAsia="新宋体"/>
                <w:sz w:val="24"/>
              </w:rPr>
            </w:pPr>
            <w:r>
              <w:rPr>
                <w:rFonts w:hint="eastAsia" w:ascii="新宋体" w:hAnsi="新宋体" w:eastAsia="新宋体"/>
                <w:sz w:val="24"/>
              </w:rPr>
              <w:t>材料表中的单价与组成清单单价中的综合单价必须一致</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ascii="新宋体" w:hAnsi="新宋体" w:eastAsia="新宋体"/>
                <w:sz w:val="24"/>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ascii="新宋体" w:hAnsi="新宋体" w:eastAsia="新宋体"/>
                <w:sz w:val="24"/>
              </w:rPr>
            </w:pPr>
          </w:p>
        </w:tc>
      </w:tr>
      <w:tr>
        <w:tblPrEx>
          <w:tblCellMar>
            <w:top w:w="0" w:type="dxa"/>
            <w:left w:w="108" w:type="dxa"/>
            <w:bottom w:w="0" w:type="dxa"/>
            <w:right w:w="108" w:type="dxa"/>
          </w:tblCellMar>
        </w:tblPrEx>
        <w:trPr>
          <w:trHeight w:val="539" w:hRule="atLeast"/>
          <w:jc w:val="center"/>
        </w:trPr>
        <w:tc>
          <w:tcPr>
            <w:tcW w:w="525"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4"/>
              </w:rPr>
            </w:pPr>
            <w:r>
              <w:rPr>
                <w:rFonts w:hint="eastAsia" w:ascii="新宋体" w:hAnsi="新宋体" w:eastAsia="新宋体"/>
                <w:sz w:val="24"/>
              </w:rPr>
              <w:t>3</w:t>
            </w: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4"/>
              </w:rPr>
            </w:pPr>
            <w:r>
              <w:rPr>
                <w:rFonts w:hint="eastAsia" w:ascii="新宋体" w:hAnsi="新宋体" w:eastAsia="新宋体"/>
                <w:sz w:val="24"/>
              </w:rPr>
              <w:t>3.1</w:t>
            </w:r>
          </w:p>
        </w:tc>
        <w:tc>
          <w:tcPr>
            <w:tcW w:w="2901" w:type="dxa"/>
            <w:tcBorders>
              <w:top w:val="single" w:color="auto" w:sz="4" w:space="0"/>
              <w:left w:val="nil"/>
              <w:bottom w:val="single" w:color="auto" w:sz="4" w:space="0"/>
              <w:right w:val="single" w:color="auto" w:sz="4" w:space="0"/>
            </w:tcBorders>
            <w:vAlign w:val="center"/>
          </w:tcPr>
          <w:p>
            <w:pPr>
              <w:spacing w:line="440" w:lineRule="exact"/>
              <w:ind w:firstLine="480" w:firstLineChars="200"/>
              <w:rPr>
                <w:rFonts w:ascii="新宋体" w:hAnsi="新宋体" w:eastAsia="新宋体"/>
                <w:sz w:val="24"/>
              </w:rPr>
            </w:pPr>
            <w:r>
              <w:rPr>
                <w:rFonts w:hint="eastAsia" w:ascii="新宋体" w:hAnsi="新宋体" w:eastAsia="新宋体"/>
                <w:sz w:val="24"/>
              </w:rPr>
              <w:t>安全文明施工费</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ascii="新宋体" w:hAnsi="新宋体" w:eastAsia="新宋体"/>
                <w:sz w:val="24"/>
              </w:rPr>
            </w:pPr>
            <w:r>
              <w:rPr>
                <w:rFonts w:hint="eastAsia" w:ascii="新宋体" w:hAnsi="新宋体" w:eastAsia="新宋体"/>
                <w:sz w:val="24"/>
              </w:rPr>
              <w:t>根据河南省计价依据规定计算</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ascii="新宋体" w:hAnsi="新宋体" w:eastAsia="新宋体"/>
                <w:sz w:val="24"/>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ascii="新宋体" w:hAnsi="新宋体" w:eastAsia="新宋体"/>
                <w:sz w:val="24"/>
              </w:rPr>
            </w:pPr>
          </w:p>
        </w:tc>
      </w:tr>
      <w:tr>
        <w:tblPrEx>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80" w:firstLineChars="200"/>
              <w:jc w:val="center"/>
              <w:rPr>
                <w:rFonts w:ascii="新宋体" w:hAnsi="新宋体" w:eastAsia="新宋体"/>
                <w:sz w:val="24"/>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4"/>
              </w:rPr>
            </w:pPr>
            <w:r>
              <w:rPr>
                <w:rFonts w:hint="eastAsia" w:ascii="新宋体" w:hAnsi="新宋体" w:eastAsia="新宋体"/>
                <w:sz w:val="24"/>
              </w:rPr>
              <w:t>3.2</w:t>
            </w:r>
          </w:p>
        </w:tc>
        <w:tc>
          <w:tcPr>
            <w:tcW w:w="2901"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4"/>
              </w:rPr>
            </w:pPr>
            <w:r>
              <w:rPr>
                <w:rFonts w:hint="eastAsia" w:ascii="新宋体" w:hAnsi="新宋体" w:eastAsia="新宋体"/>
                <w:sz w:val="24"/>
              </w:rPr>
              <w:t>其他措施费（费率类）项目</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ascii="新宋体" w:hAnsi="新宋体" w:eastAsia="新宋体"/>
                <w:sz w:val="24"/>
              </w:rPr>
            </w:pPr>
            <w:r>
              <w:rPr>
                <w:rFonts w:hint="eastAsia" w:ascii="新宋体" w:hAnsi="新宋体" w:eastAsia="新宋体"/>
                <w:sz w:val="24"/>
              </w:rPr>
              <w:t>根据招标文件要求自主报价</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ascii="新宋体" w:hAnsi="新宋体" w:eastAsia="新宋体"/>
                <w:sz w:val="24"/>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ascii="新宋体" w:hAnsi="新宋体" w:eastAsia="新宋体"/>
                <w:sz w:val="24"/>
              </w:rPr>
            </w:pPr>
          </w:p>
        </w:tc>
      </w:tr>
      <w:tr>
        <w:tblPrEx>
          <w:tblCellMar>
            <w:top w:w="0" w:type="dxa"/>
            <w:left w:w="108" w:type="dxa"/>
            <w:bottom w:w="0" w:type="dxa"/>
            <w:right w:w="108" w:type="dxa"/>
          </w:tblCellMar>
        </w:tblPrEx>
        <w:trPr>
          <w:trHeight w:val="539" w:hRule="atLeast"/>
          <w:jc w:val="center"/>
        </w:trPr>
        <w:tc>
          <w:tcPr>
            <w:tcW w:w="525"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4"/>
              </w:rPr>
            </w:pPr>
            <w:r>
              <w:rPr>
                <w:rFonts w:hint="eastAsia" w:ascii="新宋体" w:hAnsi="新宋体" w:eastAsia="新宋体"/>
                <w:sz w:val="24"/>
              </w:rPr>
              <w:t>4</w:t>
            </w: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4"/>
              </w:rPr>
            </w:pPr>
            <w:r>
              <w:rPr>
                <w:rFonts w:hint="eastAsia" w:ascii="新宋体" w:hAnsi="新宋体" w:eastAsia="新宋体"/>
                <w:sz w:val="24"/>
              </w:rPr>
              <w:t>4.1</w:t>
            </w:r>
          </w:p>
        </w:tc>
        <w:tc>
          <w:tcPr>
            <w:tcW w:w="2901" w:type="dxa"/>
            <w:tcBorders>
              <w:top w:val="single" w:color="auto" w:sz="4" w:space="0"/>
              <w:left w:val="nil"/>
              <w:bottom w:val="single" w:color="auto" w:sz="4" w:space="0"/>
              <w:right w:val="single" w:color="auto" w:sz="4" w:space="0"/>
            </w:tcBorders>
            <w:vAlign w:val="center"/>
          </w:tcPr>
          <w:p>
            <w:pPr>
              <w:spacing w:line="440" w:lineRule="exact"/>
              <w:ind w:firstLine="480" w:firstLineChars="200"/>
              <w:rPr>
                <w:rFonts w:ascii="新宋体" w:hAnsi="新宋体" w:eastAsia="新宋体"/>
                <w:sz w:val="24"/>
              </w:rPr>
            </w:pPr>
            <w:r>
              <w:rPr>
                <w:rFonts w:hint="eastAsia" w:ascii="新宋体" w:hAnsi="新宋体" w:eastAsia="新宋体"/>
                <w:sz w:val="24"/>
              </w:rPr>
              <w:t>其它项目费</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ascii="新宋体" w:hAnsi="新宋体" w:eastAsia="新宋体"/>
                <w:sz w:val="24"/>
              </w:rPr>
            </w:pPr>
            <w:r>
              <w:rPr>
                <w:rFonts w:hint="eastAsia" w:ascii="新宋体" w:hAnsi="新宋体" w:eastAsia="新宋体"/>
                <w:sz w:val="24"/>
              </w:rPr>
              <w:t>各组成部分之和（暂列金额+专业暂估价+计日工费+总承包服务费）</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ascii="新宋体" w:hAnsi="新宋体" w:eastAsia="新宋体"/>
                <w:sz w:val="24"/>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ascii="新宋体" w:hAnsi="新宋体" w:eastAsia="新宋体"/>
                <w:sz w:val="24"/>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80" w:firstLineChars="200"/>
              <w:jc w:val="center"/>
              <w:rPr>
                <w:rFonts w:ascii="新宋体" w:hAnsi="新宋体" w:eastAsia="新宋体"/>
                <w:sz w:val="24"/>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4"/>
              </w:rPr>
            </w:pPr>
            <w:r>
              <w:rPr>
                <w:rFonts w:hint="eastAsia" w:ascii="新宋体" w:hAnsi="新宋体" w:eastAsia="新宋体"/>
                <w:sz w:val="24"/>
              </w:rPr>
              <w:t>4.2</w:t>
            </w:r>
          </w:p>
        </w:tc>
        <w:tc>
          <w:tcPr>
            <w:tcW w:w="2901" w:type="dxa"/>
            <w:tcBorders>
              <w:top w:val="single" w:color="auto" w:sz="4" w:space="0"/>
              <w:left w:val="nil"/>
              <w:bottom w:val="single" w:color="auto" w:sz="4" w:space="0"/>
              <w:right w:val="single" w:color="auto" w:sz="4" w:space="0"/>
            </w:tcBorders>
            <w:vAlign w:val="center"/>
          </w:tcPr>
          <w:p>
            <w:pPr>
              <w:spacing w:line="440" w:lineRule="exact"/>
              <w:ind w:firstLine="480" w:firstLineChars="200"/>
              <w:rPr>
                <w:rFonts w:ascii="新宋体" w:hAnsi="新宋体" w:eastAsia="新宋体"/>
                <w:sz w:val="24"/>
              </w:rPr>
            </w:pPr>
            <w:r>
              <w:rPr>
                <w:rFonts w:hint="eastAsia" w:ascii="新宋体" w:hAnsi="新宋体" w:eastAsia="新宋体"/>
                <w:sz w:val="24"/>
              </w:rPr>
              <w:t>暂列金额</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ascii="新宋体" w:hAnsi="新宋体" w:eastAsia="新宋体"/>
                <w:sz w:val="24"/>
              </w:rPr>
            </w:pPr>
            <w:r>
              <w:rPr>
                <w:rFonts w:hint="eastAsia" w:ascii="新宋体" w:hAnsi="新宋体" w:eastAsia="新宋体"/>
                <w:sz w:val="24"/>
              </w:rPr>
              <w:t>应与招标人价格一致</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ascii="新宋体" w:hAnsi="新宋体" w:eastAsia="新宋体"/>
                <w:sz w:val="24"/>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ascii="新宋体" w:hAnsi="新宋体" w:eastAsia="新宋体"/>
                <w:sz w:val="24"/>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80" w:firstLineChars="200"/>
              <w:jc w:val="center"/>
              <w:rPr>
                <w:rFonts w:ascii="新宋体" w:hAnsi="新宋体" w:eastAsia="新宋体"/>
                <w:sz w:val="24"/>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4"/>
              </w:rPr>
            </w:pPr>
            <w:r>
              <w:rPr>
                <w:rFonts w:hint="eastAsia" w:ascii="新宋体" w:hAnsi="新宋体" w:eastAsia="新宋体"/>
                <w:sz w:val="24"/>
              </w:rPr>
              <w:t>4.3</w:t>
            </w:r>
          </w:p>
        </w:tc>
        <w:tc>
          <w:tcPr>
            <w:tcW w:w="2901" w:type="dxa"/>
            <w:tcBorders>
              <w:top w:val="single" w:color="auto" w:sz="4" w:space="0"/>
              <w:left w:val="nil"/>
              <w:bottom w:val="single" w:color="auto" w:sz="4" w:space="0"/>
              <w:right w:val="single" w:color="auto" w:sz="4" w:space="0"/>
            </w:tcBorders>
            <w:vAlign w:val="center"/>
          </w:tcPr>
          <w:p>
            <w:pPr>
              <w:spacing w:line="440" w:lineRule="exact"/>
              <w:ind w:firstLine="480" w:firstLineChars="200"/>
              <w:rPr>
                <w:rFonts w:ascii="新宋体" w:hAnsi="新宋体" w:eastAsia="新宋体"/>
                <w:sz w:val="24"/>
              </w:rPr>
            </w:pPr>
            <w:r>
              <w:rPr>
                <w:rFonts w:hint="eastAsia" w:ascii="新宋体" w:hAnsi="新宋体" w:eastAsia="新宋体"/>
                <w:sz w:val="24"/>
              </w:rPr>
              <w:t>专业工程暂估价</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ascii="新宋体" w:hAnsi="新宋体" w:eastAsia="新宋体"/>
                <w:sz w:val="24"/>
              </w:rPr>
            </w:pPr>
            <w:r>
              <w:rPr>
                <w:rFonts w:hint="eastAsia" w:ascii="新宋体" w:hAnsi="新宋体" w:eastAsia="新宋体"/>
                <w:sz w:val="24"/>
              </w:rPr>
              <w:t>应与招标人价格一致</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ascii="新宋体" w:hAnsi="新宋体" w:eastAsia="新宋体"/>
                <w:sz w:val="24"/>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ascii="新宋体" w:hAnsi="新宋体" w:eastAsia="新宋体"/>
                <w:sz w:val="24"/>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80" w:firstLineChars="200"/>
              <w:jc w:val="center"/>
              <w:rPr>
                <w:rFonts w:ascii="新宋体" w:hAnsi="新宋体" w:eastAsia="新宋体"/>
                <w:sz w:val="24"/>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4"/>
              </w:rPr>
            </w:pPr>
            <w:r>
              <w:rPr>
                <w:rFonts w:hint="eastAsia" w:ascii="新宋体" w:hAnsi="新宋体" w:eastAsia="新宋体"/>
                <w:sz w:val="24"/>
              </w:rPr>
              <w:t>4.4</w:t>
            </w:r>
          </w:p>
        </w:tc>
        <w:tc>
          <w:tcPr>
            <w:tcW w:w="2901" w:type="dxa"/>
            <w:tcBorders>
              <w:top w:val="single" w:color="auto" w:sz="4" w:space="0"/>
              <w:left w:val="nil"/>
              <w:bottom w:val="single" w:color="auto" w:sz="4" w:space="0"/>
              <w:right w:val="single" w:color="auto" w:sz="4" w:space="0"/>
            </w:tcBorders>
            <w:vAlign w:val="center"/>
          </w:tcPr>
          <w:p>
            <w:pPr>
              <w:spacing w:line="440" w:lineRule="exact"/>
              <w:ind w:firstLine="480" w:firstLineChars="200"/>
              <w:rPr>
                <w:rFonts w:ascii="新宋体" w:hAnsi="新宋体" w:eastAsia="新宋体"/>
                <w:sz w:val="24"/>
              </w:rPr>
            </w:pPr>
            <w:r>
              <w:rPr>
                <w:rFonts w:hint="eastAsia" w:ascii="新宋体" w:hAnsi="新宋体" w:eastAsia="新宋体"/>
                <w:sz w:val="24"/>
              </w:rPr>
              <w:t>计日工</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ascii="新宋体" w:hAnsi="新宋体" w:eastAsia="新宋体"/>
                <w:sz w:val="24"/>
              </w:rPr>
            </w:pPr>
            <w:r>
              <w:rPr>
                <w:rFonts w:hint="eastAsia" w:ascii="新宋体" w:hAnsi="新宋体" w:eastAsia="新宋体"/>
                <w:sz w:val="24"/>
              </w:rPr>
              <w:t>应与招标人数量一致</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ascii="新宋体" w:hAnsi="新宋体" w:eastAsia="新宋体"/>
                <w:sz w:val="24"/>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ascii="新宋体" w:hAnsi="新宋体" w:eastAsia="新宋体"/>
                <w:sz w:val="24"/>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80" w:firstLineChars="200"/>
              <w:jc w:val="center"/>
              <w:rPr>
                <w:rFonts w:ascii="新宋体" w:hAnsi="新宋体" w:eastAsia="新宋体"/>
                <w:sz w:val="24"/>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4"/>
              </w:rPr>
            </w:pPr>
            <w:r>
              <w:rPr>
                <w:rFonts w:hint="eastAsia" w:ascii="新宋体" w:hAnsi="新宋体" w:eastAsia="新宋体"/>
                <w:sz w:val="24"/>
              </w:rPr>
              <w:t>4.5</w:t>
            </w:r>
          </w:p>
        </w:tc>
        <w:tc>
          <w:tcPr>
            <w:tcW w:w="2901" w:type="dxa"/>
            <w:tcBorders>
              <w:top w:val="single" w:color="auto" w:sz="4" w:space="0"/>
              <w:left w:val="nil"/>
              <w:bottom w:val="single" w:color="auto" w:sz="4" w:space="0"/>
              <w:right w:val="single" w:color="auto" w:sz="4" w:space="0"/>
            </w:tcBorders>
            <w:vAlign w:val="center"/>
          </w:tcPr>
          <w:p>
            <w:pPr>
              <w:spacing w:line="440" w:lineRule="exact"/>
              <w:ind w:firstLine="480" w:firstLineChars="200"/>
              <w:rPr>
                <w:rFonts w:ascii="新宋体" w:hAnsi="新宋体" w:eastAsia="新宋体"/>
                <w:sz w:val="24"/>
              </w:rPr>
            </w:pPr>
            <w:r>
              <w:rPr>
                <w:rFonts w:hint="eastAsia" w:ascii="新宋体" w:hAnsi="新宋体" w:eastAsia="新宋体"/>
                <w:sz w:val="24"/>
              </w:rPr>
              <w:t>总承包服务费</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ascii="新宋体" w:hAnsi="新宋体" w:eastAsia="新宋体"/>
                <w:sz w:val="24"/>
              </w:rPr>
            </w:pPr>
            <w:r>
              <w:rPr>
                <w:rFonts w:hint="eastAsia" w:ascii="新宋体" w:hAnsi="新宋体" w:eastAsia="新宋体"/>
                <w:sz w:val="24"/>
              </w:rPr>
              <w:t>是否按招标文件要求计算</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ascii="新宋体" w:hAnsi="新宋体" w:eastAsia="新宋体"/>
                <w:sz w:val="24"/>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ascii="新宋体" w:hAnsi="新宋体" w:eastAsia="新宋体"/>
                <w:sz w:val="24"/>
              </w:rPr>
            </w:pPr>
          </w:p>
        </w:tc>
      </w:tr>
      <w:tr>
        <w:tblPrEx>
          <w:tblCellMar>
            <w:top w:w="0" w:type="dxa"/>
            <w:left w:w="108" w:type="dxa"/>
            <w:bottom w:w="0" w:type="dxa"/>
            <w:right w:w="108" w:type="dxa"/>
          </w:tblCellMar>
        </w:tblPrEx>
        <w:trPr>
          <w:trHeight w:val="454" w:hRule="exact"/>
          <w:jc w:val="center"/>
        </w:trPr>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4"/>
              </w:rPr>
            </w:pPr>
            <w:r>
              <w:rPr>
                <w:rFonts w:hint="eastAsia" w:ascii="新宋体" w:hAnsi="新宋体" w:eastAsia="新宋体"/>
                <w:sz w:val="24"/>
              </w:rPr>
              <w:t>5</w:t>
            </w:r>
          </w:p>
        </w:tc>
        <w:tc>
          <w:tcPr>
            <w:tcW w:w="645"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ascii="新宋体" w:hAnsi="新宋体" w:eastAsia="新宋体"/>
                <w:sz w:val="24"/>
              </w:rPr>
            </w:pPr>
          </w:p>
        </w:tc>
        <w:tc>
          <w:tcPr>
            <w:tcW w:w="2901"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ascii="新宋体" w:hAnsi="新宋体" w:eastAsia="新宋体"/>
                <w:sz w:val="24"/>
              </w:rPr>
            </w:pPr>
            <w:r>
              <w:rPr>
                <w:rFonts w:hint="eastAsia" w:ascii="新宋体" w:hAnsi="新宋体" w:eastAsia="新宋体"/>
                <w:sz w:val="24"/>
              </w:rPr>
              <w:t>规费</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ascii="新宋体" w:hAnsi="新宋体" w:eastAsia="新宋体"/>
                <w:sz w:val="24"/>
              </w:rPr>
            </w:pPr>
            <w:r>
              <w:rPr>
                <w:rFonts w:hint="eastAsia" w:ascii="新宋体" w:hAnsi="新宋体" w:eastAsia="新宋体"/>
                <w:sz w:val="24"/>
              </w:rPr>
              <w:t>根据河南省计价依据规定计算</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ascii="新宋体" w:hAnsi="新宋体" w:eastAsia="新宋体"/>
                <w:sz w:val="24"/>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ascii="新宋体" w:hAnsi="新宋体" w:eastAsia="新宋体"/>
                <w:sz w:val="24"/>
              </w:rPr>
            </w:pPr>
          </w:p>
        </w:tc>
      </w:tr>
      <w:tr>
        <w:tblPrEx>
          <w:tblCellMar>
            <w:top w:w="0" w:type="dxa"/>
            <w:left w:w="108" w:type="dxa"/>
            <w:bottom w:w="0" w:type="dxa"/>
            <w:right w:w="108" w:type="dxa"/>
          </w:tblCellMar>
        </w:tblPrEx>
        <w:trPr>
          <w:trHeight w:val="454" w:hRule="exact"/>
          <w:jc w:val="center"/>
        </w:trPr>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4"/>
              </w:rPr>
            </w:pPr>
            <w:r>
              <w:rPr>
                <w:rFonts w:hint="eastAsia" w:ascii="新宋体" w:hAnsi="新宋体" w:eastAsia="新宋体"/>
                <w:sz w:val="24"/>
              </w:rPr>
              <w:t>6</w:t>
            </w:r>
          </w:p>
        </w:tc>
        <w:tc>
          <w:tcPr>
            <w:tcW w:w="645"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ascii="新宋体" w:hAnsi="新宋体" w:eastAsia="新宋体"/>
                <w:sz w:val="24"/>
              </w:rPr>
            </w:pPr>
          </w:p>
        </w:tc>
        <w:tc>
          <w:tcPr>
            <w:tcW w:w="2901"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ascii="新宋体" w:hAnsi="新宋体" w:eastAsia="新宋体"/>
                <w:sz w:val="24"/>
              </w:rPr>
            </w:pPr>
            <w:r>
              <w:rPr>
                <w:rFonts w:hint="eastAsia" w:ascii="新宋体" w:hAnsi="新宋体" w:eastAsia="新宋体"/>
                <w:sz w:val="24"/>
              </w:rPr>
              <w:t>增值税</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ascii="新宋体" w:hAnsi="新宋体" w:eastAsia="新宋体"/>
                <w:sz w:val="24"/>
              </w:rPr>
            </w:pPr>
            <w:r>
              <w:rPr>
                <w:rFonts w:hint="eastAsia" w:ascii="新宋体" w:hAnsi="新宋体" w:eastAsia="新宋体"/>
                <w:sz w:val="24"/>
              </w:rPr>
              <w:t>根据河南省计价依据规定计算</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ascii="新宋体" w:hAnsi="新宋体" w:eastAsia="新宋体"/>
                <w:sz w:val="24"/>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ascii="新宋体" w:hAnsi="新宋体" w:eastAsia="新宋体"/>
                <w:sz w:val="24"/>
              </w:rPr>
            </w:pPr>
          </w:p>
        </w:tc>
      </w:tr>
      <w:tr>
        <w:tblPrEx>
          <w:tblCellMar>
            <w:top w:w="0" w:type="dxa"/>
            <w:left w:w="108" w:type="dxa"/>
            <w:bottom w:w="0" w:type="dxa"/>
            <w:right w:w="108" w:type="dxa"/>
          </w:tblCellMar>
        </w:tblPrEx>
        <w:trPr>
          <w:trHeight w:val="471" w:hRule="exact"/>
          <w:jc w:val="center"/>
        </w:trPr>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4"/>
              </w:rPr>
            </w:pPr>
            <w:r>
              <w:rPr>
                <w:rFonts w:hint="eastAsia" w:ascii="新宋体" w:hAnsi="新宋体" w:eastAsia="新宋体"/>
                <w:sz w:val="24"/>
              </w:rPr>
              <w:t>7</w:t>
            </w:r>
          </w:p>
        </w:tc>
        <w:tc>
          <w:tcPr>
            <w:tcW w:w="645"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ascii="新宋体" w:hAnsi="新宋体" w:eastAsia="新宋体"/>
                <w:sz w:val="24"/>
              </w:rPr>
            </w:pPr>
          </w:p>
        </w:tc>
        <w:tc>
          <w:tcPr>
            <w:tcW w:w="7343" w:type="dxa"/>
            <w:gridSpan w:val="2"/>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ascii="新宋体" w:hAnsi="新宋体" w:eastAsia="新宋体"/>
                <w:sz w:val="24"/>
              </w:rPr>
            </w:pPr>
            <w:r>
              <w:rPr>
                <w:rFonts w:hint="eastAsia" w:ascii="新宋体" w:hAnsi="新宋体" w:eastAsia="新宋体"/>
                <w:sz w:val="24"/>
              </w:rPr>
              <w:t>不违反法律、法规、规章、规范性文件规定的其它情况</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ascii="新宋体" w:hAnsi="新宋体" w:eastAsia="新宋体"/>
                <w:sz w:val="24"/>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ascii="新宋体" w:hAnsi="新宋体" w:eastAsia="新宋体"/>
                <w:sz w:val="24"/>
              </w:rPr>
            </w:pPr>
          </w:p>
        </w:tc>
      </w:tr>
      <w:bookmarkEnd w:id="101"/>
    </w:tbl>
    <w:p>
      <w:pPr>
        <w:autoSpaceDE w:val="0"/>
        <w:autoSpaceDN w:val="0"/>
        <w:spacing w:line="460" w:lineRule="exact"/>
        <w:ind w:firstLine="480" w:firstLineChars="200"/>
        <w:contextualSpacing/>
        <w:jc w:val="left"/>
        <w:outlineLvl w:val="0"/>
        <w:rPr>
          <w:rFonts w:hAnsi="宋体" w:eastAsia="新宋体"/>
          <w:b/>
          <w:bCs/>
          <w:sz w:val="24"/>
          <w:szCs w:val="24"/>
        </w:rPr>
      </w:pPr>
      <w:r>
        <w:rPr>
          <w:rFonts w:hint="eastAsia" w:hAnsi="宋体" w:eastAsia="新宋体"/>
          <w:b/>
          <w:bCs/>
          <w:sz w:val="24"/>
          <w:szCs w:val="24"/>
        </w:rPr>
        <w:t>注：不在上述范围内且不具有实质性影响的内容，均不能作为清标的依据或理由。</w:t>
      </w:r>
    </w:p>
    <w:p>
      <w:pPr>
        <w:autoSpaceDE w:val="0"/>
        <w:autoSpaceDN w:val="0"/>
        <w:spacing w:line="400" w:lineRule="exact"/>
        <w:ind w:firstLine="480" w:firstLineChars="200"/>
        <w:contextualSpacing/>
        <w:jc w:val="left"/>
        <w:outlineLvl w:val="0"/>
        <w:rPr>
          <w:rFonts w:ascii="新宋体" w:hAnsi="新宋体" w:eastAsia="新宋体" w:cs="宋体"/>
          <w:b/>
          <w:bCs/>
          <w:sz w:val="24"/>
          <w:szCs w:val="24"/>
        </w:rPr>
      </w:pPr>
      <w:r>
        <w:rPr>
          <w:rFonts w:hint="eastAsia" w:ascii="新宋体" w:hAnsi="新宋体" w:eastAsia="新宋体" w:cs="宋体"/>
          <w:b/>
          <w:bCs/>
          <w:sz w:val="24"/>
          <w:szCs w:val="24"/>
        </w:rPr>
        <w:t>七、初步评审</w:t>
      </w:r>
    </w:p>
    <w:p>
      <w:pPr>
        <w:autoSpaceDE w:val="0"/>
        <w:autoSpaceDN w:val="0"/>
        <w:spacing w:line="400" w:lineRule="exact"/>
        <w:ind w:firstLine="480" w:firstLineChars="200"/>
        <w:contextualSpacing/>
        <w:jc w:val="left"/>
        <w:outlineLvl w:val="0"/>
        <w:rPr>
          <w:rFonts w:ascii="新宋体" w:hAnsi="新宋体" w:eastAsia="新宋体" w:cs="宋体"/>
          <w:sz w:val="24"/>
          <w:szCs w:val="24"/>
        </w:rPr>
      </w:pPr>
      <w:bookmarkStart w:id="102" w:name="_Toc464824722"/>
      <w:bookmarkEnd w:id="102"/>
      <w:r>
        <w:rPr>
          <w:rFonts w:hint="eastAsia" w:ascii="新宋体" w:hAnsi="新宋体" w:eastAsia="新宋体" w:cs="宋体"/>
          <w:sz w:val="24"/>
          <w:szCs w:val="24"/>
        </w:rPr>
        <w:t>招标人依法组织的评标委员会首先对投标人进行初步评审，只有通过初步评审的投标人才能进入下步评审。初步评审的内容：</w:t>
      </w:r>
    </w:p>
    <w:p>
      <w:pPr>
        <w:autoSpaceDE w:val="0"/>
        <w:autoSpaceDN w:val="0"/>
        <w:spacing w:line="400" w:lineRule="exact"/>
        <w:contextualSpacing/>
        <w:jc w:val="left"/>
        <w:outlineLvl w:val="0"/>
        <w:rPr>
          <w:sz w:val="24"/>
          <w:szCs w:val="24"/>
        </w:rPr>
      </w:pPr>
      <w:r>
        <w:rPr>
          <w:rFonts w:hint="eastAsia"/>
          <w:sz w:val="24"/>
          <w:szCs w:val="24"/>
        </w:rPr>
        <w:t>1</w:t>
      </w:r>
      <w:r>
        <w:rPr>
          <w:rFonts w:hint="eastAsia" w:hAnsi="宋体"/>
          <w:sz w:val="24"/>
          <w:szCs w:val="24"/>
        </w:rPr>
        <w:t>、投标文件未经投标单位盖章和单位负责人签字；</w:t>
      </w:r>
    </w:p>
    <w:p>
      <w:pPr>
        <w:autoSpaceDE w:val="0"/>
        <w:autoSpaceDN w:val="0"/>
        <w:spacing w:line="400" w:lineRule="exact"/>
        <w:contextualSpacing/>
        <w:jc w:val="left"/>
        <w:outlineLvl w:val="0"/>
        <w:rPr>
          <w:sz w:val="24"/>
          <w:szCs w:val="24"/>
        </w:rPr>
      </w:pPr>
      <w:r>
        <w:rPr>
          <w:rFonts w:hint="eastAsia"/>
          <w:sz w:val="24"/>
          <w:szCs w:val="24"/>
        </w:rPr>
        <w:t>2</w:t>
      </w:r>
      <w:r>
        <w:rPr>
          <w:rFonts w:hint="eastAsia" w:hAnsi="宋体"/>
          <w:sz w:val="24"/>
          <w:szCs w:val="24"/>
        </w:rPr>
        <w:t xml:space="preserve">、投标人不符合国家或者招标文件规定的资格条件；                                                 </w:t>
      </w:r>
      <w:r>
        <w:rPr>
          <w:rFonts w:hint="eastAsia"/>
          <w:sz w:val="24"/>
          <w:szCs w:val="24"/>
        </w:rPr>
        <w:t>3</w:t>
      </w:r>
      <w:r>
        <w:rPr>
          <w:rFonts w:hint="eastAsia" w:hAnsi="宋体"/>
          <w:sz w:val="24"/>
          <w:szCs w:val="24"/>
        </w:rPr>
        <w:t>、同一投标人提交两个以上不同的投标文件或者投标报价，但招标文件要求提交备选投标的除外；</w:t>
      </w:r>
    </w:p>
    <w:p>
      <w:pPr>
        <w:spacing w:line="400" w:lineRule="exact"/>
        <w:contextualSpacing/>
        <w:rPr>
          <w:sz w:val="24"/>
          <w:szCs w:val="24"/>
        </w:rPr>
      </w:pPr>
      <w:r>
        <w:rPr>
          <w:rFonts w:hint="eastAsia"/>
          <w:sz w:val="24"/>
          <w:szCs w:val="24"/>
        </w:rPr>
        <w:t>4.</w:t>
      </w:r>
      <w:r>
        <w:rPr>
          <w:rFonts w:hint="eastAsia" w:hAnsi="宋体"/>
          <w:sz w:val="24"/>
          <w:szCs w:val="24"/>
        </w:rPr>
        <w:t>投标报价高于招标文件设定的最高投标限价；</w:t>
      </w:r>
    </w:p>
    <w:p>
      <w:pPr>
        <w:spacing w:line="400" w:lineRule="exact"/>
        <w:contextualSpacing/>
        <w:rPr>
          <w:sz w:val="24"/>
          <w:szCs w:val="24"/>
        </w:rPr>
      </w:pPr>
      <w:r>
        <w:rPr>
          <w:rFonts w:hint="eastAsia"/>
          <w:sz w:val="24"/>
          <w:szCs w:val="24"/>
        </w:rPr>
        <w:t>5.</w:t>
      </w:r>
      <w:r>
        <w:rPr>
          <w:rFonts w:hint="eastAsia" w:hAnsi="宋体"/>
          <w:sz w:val="24"/>
          <w:szCs w:val="24"/>
        </w:rPr>
        <w:t>投标标的物、工期、工程质量、付款方式不符合招标文件规定；</w:t>
      </w:r>
      <w:r>
        <w:rPr>
          <w:rFonts w:hint="eastAsia"/>
          <w:sz w:val="24"/>
          <w:szCs w:val="24"/>
        </w:rPr>
        <w:br w:type="textWrapping"/>
      </w:r>
      <w:r>
        <w:rPr>
          <w:rFonts w:hint="eastAsia"/>
          <w:sz w:val="24"/>
          <w:szCs w:val="24"/>
        </w:rPr>
        <w:t>6.</w:t>
      </w:r>
      <w:r>
        <w:rPr>
          <w:rFonts w:hint="eastAsia" w:hAnsi="宋体"/>
          <w:sz w:val="24"/>
          <w:szCs w:val="24"/>
        </w:rPr>
        <w:t>投标人有串通投标、弄虚作假等违法行为；</w:t>
      </w:r>
    </w:p>
    <w:p>
      <w:pPr>
        <w:spacing w:line="400" w:lineRule="exact"/>
        <w:contextualSpacing/>
        <w:rPr>
          <w:rFonts w:ascii="新宋体" w:hAnsi="新宋体" w:eastAsia="新宋体" w:cs="宋体"/>
          <w:b/>
          <w:bCs/>
          <w:sz w:val="24"/>
          <w:szCs w:val="24"/>
          <w:lang w:val="zh-CN"/>
        </w:rPr>
      </w:pPr>
      <w:r>
        <w:rPr>
          <w:rFonts w:hint="eastAsia" w:ascii="新宋体" w:hAnsi="新宋体" w:eastAsia="新宋体" w:cs="宋体"/>
          <w:b/>
          <w:bCs/>
          <w:sz w:val="24"/>
          <w:szCs w:val="24"/>
        </w:rPr>
        <w:t>7.</w:t>
      </w:r>
      <w:r>
        <w:rPr>
          <w:rFonts w:hint="eastAsia" w:ascii="新宋体" w:hAnsi="新宋体" w:eastAsia="新宋体" w:cs="宋体"/>
          <w:b/>
          <w:bCs/>
          <w:sz w:val="24"/>
          <w:szCs w:val="24"/>
          <w:lang w:val="zh-CN"/>
        </w:rPr>
        <w:t>按照《关于推进全流程电子化交易和在线监管工作有关问题的通知》（许公管办[2019]3号）规定：</w:t>
      </w:r>
    </w:p>
    <w:p>
      <w:pPr>
        <w:spacing w:line="400" w:lineRule="exact"/>
        <w:ind w:firstLine="480" w:firstLineChars="200"/>
        <w:contextualSpacing/>
        <w:rPr>
          <w:rFonts w:ascii="新宋体" w:hAnsi="新宋体" w:eastAsia="新宋体" w:cs="宋体"/>
          <w:b/>
          <w:bCs/>
          <w:sz w:val="24"/>
          <w:szCs w:val="24"/>
        </w:rPr>
      </w:pPr>
      <w:r>
        <w:rPr>
          <w:rFonts w:hint="eastAsia" w:ascii="新宋体" w:hAnsi="新宋体" w:eastAsia="新宋体" w:cs="宋体"/>
          <w:b/>
          <w:bCs/>
          <w:sz w:val="24"/>
          <w:szCs w:val="24"/>
        </w:rPr>
        <w:t>不同投标人电子投标文件记录的网卡MAC地址、CPU序号、硬盘序列号等硬件特征码均相同时，视为‘不同投标人的投标文件由同一单位或者个人编制’或‘不同投标人委托同一单位或者个人办理投标事宜’，其‘投标无效’的条款；评标专家应严格按照招标文件要求查看“硬件特征码”相关信息并进行评审，在评标报告中显示“不同投标人电子投标文件制作硬件特征码”是否雷同的分析及判定结果。</w:t>
      </w:r>
    </w:p>
    <w:p>
      <w:pPr>
        <w:spacing w:line="400" w:lineRule="exact"/>
        <w:contextualSpacing/>
        <w:rPr>
          <w:rFonts w:ascii="新宋体" w:hAnsi="新宋体" w:eastAsia="新宋体" w:cs="宋体"/>
          <w:sz w:val="24"/>
          <w:szCs w:val="24"/>
        </w:rPr>
      </w:pPr>
      <w:r>
        <w:rPr>
          <w:rFonts w:hint="eastAsia" w:ascii="新宋体" w:hAnsi="新宋体" w:eastAsia="新宋体" w:cs="宋体"/>
          <w:sz w:val="24"/>
          <w:szCs w:val="24"/>
        </w:rPr>
        <w:t>8</w:t>
      </w:r>
      <w:r>
        <w:rPr>
          <w:rFonts w:ascii="新宋体" w:hAnsi="新宋体" w:eastAsia="新宋体" w:cs="宋体"/>
          <w:sz w:val="24"/>
          <w:szCs w:val="24"/>
        </w:rPr>
        <w:t>.</w:t>
      </w:r>
      <w:r>
        <w:rPr>
          <w:rFonts w:hint="eastAsia" w:ascii="新宋体" w:hAnsi="新宋体" w:eastAsia="新宋体" w:cs="宋体"/>
          <w:sz w:val="24"/>
          <w:szCs w:val="24"/>
        </w:rPr>
        <w:t>被列入失信被执行人名单的投标人，其投标将被拒绝。（招标项目开标结束后、评标开始前，招标人（或招标代理机构）对投标人信用记录进行现场查询，并将查询结果随项目开标资料一并送入评标室，由专家进行评判。信用信息查询记录和证据留存具体方式：经评标委员会确认的查询结果网页截图作为查询记录和证据，与其他文件一并存档）。</w:t>
      </w:r>
    </w:p>
    <w:p>
      <w:pPr>
        <w:spacing w:line="460" w:lineRule="exact"/>
        <w:ind w:firstLine="480" w:firstLineChars="200"/>
        <w:contextualSpacing/>
        <w:rPr>
          <w:sz w:val="24"/>
          <w:szCs w:val="24"/>
        </w:rPr>
      </w:pPr>
      <w:r>
        <w:rPr>
          <w:rFonts w:hint="eastAsia"/>
          <w:sz w:val="24"/>
          <w:szCs w:val="24"/>
        </w:rPr>
        <w:t>投标人须提供以下网站的公示信息查询结果截图：</w:t>
      </w:r>
    </w:p>
    <w:p>
      <w:pPr>
        <w:spacing w:line="460" w:lineRule="exact"/>
        <w:ind w:firstLine="480" w:firstLineChars="200"/>
        <w:contextualSpacing/>
        <w:rPr>
          <w:sz w:val="24"/>
          <w:szCs w:val="24"/>
        </w:rPr>
      </w:pPr>
      <w:r>
        <w:rPr>
          <w:rFonts w:hint="eastAsia"/>
          <w:sz w:val="24"/>
          <w:szCs w:val="24"/>
        </w:rPr>
        <w:t>（1）“信用中国”（www.creditchina.gov.cn）“失信被执行人”、“重大税收违法案件当事人名单”网页查询结果截图。查询对象为投标人；</w:t>
      </w:r>
    </w:p>
    <w:p>
      <w:pPr>
        <w:spacing w:line="460" w:lineRule="exact"/>
        <w:ind w:firstLine="480" w:firstLineChars="200"/>
        <w:contextualSpacing/>
        <w:rPr>
          <w:sz w:val="24"/>
          <w:szCs w:val="24"/>
        </w:rPr>
      </w:pPr>
      <w:r>
        <w:rPr>
          <w:rFonts w:hint="eastAsia"/>
          <w:sz w:val="24"/>
          <w:szCs w:val="24"/>
        </w:rPr>
        <w:t>“信用河南”（www.xyhn.gov.cn）黑名单查询截图。查询内容包括：严重失信债务人名单，国家人社部-拖欠农民工工资黑名单。查询对象为投标人；</w:t>
      </w:r>
    </w:p>
    <w:p>
      <w:pPr>
        <w:spacing w:line="460" w:lineRule="exact"/>
        <w:ind w:firstLine="480" w:firstLineChars="200"/>
        <w:contextualSpacing/>
        <w:rPr>
          <w:sz w:val="24"/>
          <w:szCs w:val="24"/>
        </w:rPr>
      </w:pPr>
      <w:r>
        <w:rPr>
          <w:rFonts w:hint="eastAsia"/>
          <w:sz w:val="24"/>
          <w:szCs w:val="24"/>
        </w:rPr>
        <w:t>（2）“全国企业信用信息公示系统”（www.gsxt.gov.cn）“经营异常名录/严重违法失信企业名单”网页查询结果截图；</w:t>
      </w:r>
    </w:p>
    <w:p>
      <w:pPr>
        <w:spacing w:line="460" w:lineRule="exact"/>
        <w:ind w:firstLine="480" w:firstLineChars="200"/>
        <w:contextualSpacing/>
        <w:rPr>
          <w:sz w:val="24"/>
          <w:szCs w:val="24"/>
        </w:rPr>
      </w:pPr>
      <w:r>
        <w:rPr>
          <w:rFonts w:hint="eastAsia"/>
          <w:sz w:val="24"/>
          <w:szCs w:val="24"/>
        </w:rPr>
        <w:t>（3）“中国裁判文书网”（wenshu.court.gov.cn）行贿犯罪网页查询结果截图。查询对象投标人。</w:t>
      </w:r>
    </w:p>
    <w:p>
      <w:pPr>
        <w:spacing w:line="460" w:lineRule="exact"/>
        <w:contextualSpacing/>
        <w:rPr>
          <w:sz w:val="24"/>
          <w:szCs w:val="24"/>
        </w:rPr>
      </w:pPr>
      <w:r>
        <w:rPr>
          <w:sz w:val="24"/>
          <w:szCs w:val="24"/>
        </w:rPr>
        <w:t>9</w:t>
      </w:r>
      <w:r>
        <w:rPr>
          <w:rFonts w:hint="eastAsia" w:hAnsi="宋体"/>
          <w:sz w:val="24"/>
          <w:szCs w:val="24"/>
        </w:rPr>
        <w:t>.招标人在招标文件列入的其它内容</w:t>
      </w:r>
    </w:p>
    <w:p>
      <w:pPr>
        <w:spacing w:line="460" w:lineRule="exact"/>
        <w:contextualSpacing/>
        <w:rPr>
          <w:sz w:val="24"/>
          <w:szCs w:val="24"/>
        </w:rPr>
      </w:pPr>
      <w:r>
        <w:rPr>
          <w:rFonts w:hint="eastAsia" w:hAnsi="宋体"/>
          <w:sz w:val="24"/>
          <w:szCs w:val="24"/>
        </w:rPr>
        <w:t>（一）投标人名称与营业执照、资质证书等证件名称不一致；</w:t>
      </w:r>
    </w:p>
    <w:p>
      <w:pPr>
        <w:spacing w:line="460" w:lineRule="exact"/>
        <w:contextualSpacing/>
        <w:rPr>
          <w:sz w:val="24"/>
          <w:szCs w:val="24"/>
        </w:rPr>
      </w:pPr>
      <w:r>
        <w:rPr>
          <w:rFonts w:hint="eastAsia" w:hAnsi="宋体"/>
          <w:sz w:val="24"/>
          <w:szCs w:val="24"/>
        </w:rPr>
        <w:t>（二）近三年财务是否无亏损</w:t>
      </w:r>
      <w:r>
        <w:rPr>
          <w:rFonts w:hint="eastAsia"/>
          <w:sz w:val="24"/>
          <w:szCs w:val="24"/>
        </w:rPr>
        <w:t>(</w:t>
      </w:r>
      <w:r>
        <w:rPr>
          <w:rFonts w:hint="eastAsia" w:hAnsi="宋体"/>
          <w:sz w:val="24"/>
          <w:szCs w:val="24"/>
        </w:rPr>
        <w:t>至少有一年盈利），且没有被接管、冻结、破产状态（以经会计师事务所或审计机构审计的有效的财务会计报表扫描件为准。若公司成立未满三年，需提供从成立至今的年度财务状况）；</w:t>
      </w:r>
    </w:p>
    <w:p>
      <w:pPr>
        <w:spacing w:line="460" w:lineRule="exact"/>
        <w:contextualSpacing/>
        <w:rPr>
          <w:sz w:val="24"/>
          <w:szCs w:val="24"/>
        </w:rPr>
      </w:pPr>
      <w:r>
        <w:rPr>
          <w:rFonts w:hint="eastAsia" w:hAnsi="宋体"/>
          <w:sz w:val="24"/>
          <w:szCs w:val="24"/>
        </w:rPr>
        <w:t>（三）与投标文件中拟派的项目负责人姓名不一致，没有项目负责人无在建承诺书；</w:t>
      </w:r>
    </w:p>
    <w:p>
      <w:pPr>
        <w:spacing w:line="460" w:lineRule="exact"/>
        <w:contextualSpacing/>
        <w:rPr>
          <w:sz w:val="24"/>
          <w:szCs w:val="24"/>
        </w:rPr>
      </w:pPr>
      <w:r>
        <w:rPr>
          <w:rFonts w:hint="eastAsia" w:hAnsi="宋体"/>
          <w:sz w:val="24"/>
          <w:szCs w:val="24"/>
        </w:rPr>
        <w:t>（四）未提供由企业住所地人社部门出具的授权委托人、项目负责人（截止开标时间前连续六个月的社会保险缴纳证明（或相关缴纳凭证）；</w:t>
      </w:r>
    </w:p>
    <w:p>
      <w:pPr>
        <w:spacing w:line="460" w:lineRule="exact"/>
        <w:contextualSpacing/>
        <w:rPr>
          <w:sz w:val="24"/>
          <w:szCs w:val="24"/>
        </w:rPr>
      </w:pPr>
      <w:r>
        <w:rPr>
          <w:rFonts w:hint="eastAsia" w:hAnsi="宋体"/>
          <w:sz w:val="24"/>
          <w:szCs w:val="24"/>
        </w:rPr>
        <w:t>（五）没有专项承诺</w:t>
      </w:r>
    </w:p>
    <w:p>
      <w:pPr>
        <w:spacing w:line="460" w:lineRule="exact"/>
        <w:contextualSpacing/>
        <w:rPr>
          <w:sz w:val="24"/>
          <w:szCs w:val="24"/>
        </w:rPr>
      </w:pPr>
      <w:r>
        <w:rPr>
          <w:rFonts w:hint="eastAsia"/>
          <w:sz w:val="24"/>
          <w:szCs w:val="24"/>
        </w:rPr>
        <w:t>1</w:t>
      </w:r>
      <w:r>
        <w:rPr>
          <w:rFonts w:hint="eastAsia" w:hAnsi="宋体"/>
          <w:sz w:val="24"/>
          <w:szCs w:val="24"/>
        </w:rPr>
        <w:t>、 投标单位没有出具“农民工工资”的专项承诺；</w:t>
      </w:r>
    </w:p>
    <w:p>
      <w:pPr>
        <w:spacing w:line="460" w:lineRule="exact"/>
        <w:contextualSpacing/>
        <w:rPr>
          <w:sz w:val="24"/>
          <w:szCs w:val="24"/>
        </w:rPr>
      </w:pPr>
      <w:r>
        <w:rPr>
          <w:rFonts w:hint="eastAsia"/>
          <w:sz w:val="24"/>
          <w:szCs w:val="24"/>
        </w:rPr>
        <w:t>2</w:t>
      </w:r>
      <w:r>
        <w:rPr>
          <w:rFonts w:hint="eastAsia" w:hAnsi="宋体"/>
          <w:sz w:val="24"/>
          <w:szCs w:val="24"/>
        </w:rPr>
        <w:t>、投标单位没有出具“不挂靠、不转包、不违法分包”的专项承诺。</w:t>
      </w:r>
    </w:p>
    <w:p>
      <w:pPr>
        <w:numPr>
          <w:ilvl w:val="0"/>
          <w:numId w:val="2"/>
        </w:numPr>
        <w:spacing w:line="460" w:lineRule="exact"/>
        <w:contextualSpacing/>
        <w:rPr>
          <w:rFonts w:ascii="新宋体" w:hAnsi="新宋体" w:eastAsia="新宋体" w:cs="宋体"/>
          <w:sz w:val="24"/>
          <w:szCs w:val="24"/>
        </w:rPr>
      </w:pPr>
      <w:r>
        <w:rPr>
          <w:rFonts w:hint="eastAsia" w:hAnsi="宋体"/>
          <w:sz w:val="24"/>
          <w:szCs w:val="24"/>
        </w:rPr>
        <w:t>施工单位没有出具扬尘污染防治承诺书。</w:t>
      </w:r>
    </w:p>
    <w:p>
      <w:pPr>
        <w:spacing w:line="460" w:lineRule="exact"/>
        <w:contextualSpacing/>
        <w:rPr>
          <w:rFonts w:ascii="新宋体" w:hAnsi="新宋体" w:eastAsia="新宋体" w:cs="宋体"/>
          <w:b/>
          <w:sz w:val="24"/>
          <w:szCs w:val="24"/>
        </w:rPr>
      </w:pPr>
      <w:r>
        <w:rPr>
          <w:rFonts w:ascii="新宋体" w:hAnsi="新宋体" w:eastAsia="新宋体" w:cs="宋体"/>
          <w:b/>
          <w:sz w:val="24"/>
          <w:szCs w:val="24"/>
        </w:rPr>
        <w:t>10.</w:t>
      </w:r>
      <w:r>
        <w:rPr>
          <w:rFonts w:hint="eastAsia" w:ascii="新宋体" w:hAnsi="新宋体" w:eastAsia="新宋体" w:cs="宋体"/>
          <w:b/>
          <w:sz w:val="24"/>
          <w:szCs w:val="24"/>
        </w:rPr>
        <w:t>注：开标不再接收原件，一律以投标文件电子档中电子扫描件为准。</w:t>
      </w:r>
    </w:p>
    <w:p>
      <w:pPr>
        <w:spacing w:line="460" w:lineRule="exact"/>
        <w:contextualSpacing/>
        <w:rPr>
          <w:rFonts w:ascii="新宋体" w:hAnsi="新宋体" w:eastAsia="新宋体" w:cs="宋体"/>
          <w:sz w:val="24"/>
          <w:szCs w:val="24"/>
        </w:rPr>
      </w:pPr>
      <w:r>
        <w:rPr>
          <w:rFonts w:hint="eastAsia" w:ascii="新宋体" w:hAnsi="新宋体" w:eastAsia="新宋体" w:cs="宋体"/>
          <w:b/>
          <w:bCs/>
          <w:sz w:val="24"/>
          <w:szCs w:val="24"/>
        </w:rPr>
        <w:t>八、详细评审</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03" w:name="_Toc9786"/>
      <w:bookmarkEnd w:id="103"/>
      <w:r>
        <w:rPr>
          <w:rFonts w:hint="eastAsia" w:ascii="新宋体" w:hAnsi="新宋体" w:eastAsia="新宋体" w:cs="宋体"/>
          <w:sz w:val="24"/>
          <w:szCs w:val="24"/>
        </w:rPr>
        <w:t>评标委员会根据招标文件要求对技术标、商务标、综合（信用）标三部分进行综合评审。技术标的权重占2</w:t>
      </w:r>
      <w:r>
        <w:rPr>
          <w:rFonts w:ascii="新宋体" w:hAnsi="新宋体" w:eastAsia="新宋体" w:cs="宋体"/>
          <w:sz w:val="24"/>
          <w:szCs w:val="24"/>
        </w:rPr>
        <w:t>5</w:t>
      </w:r>
      <w:r>
        <w:rPr>
          <w:rFonts w:hint="eastAsia" w:ascii="新宋体" w:hAnsi="新宋体" w:eastAsia="新宋体" w:cs="宋体"/>
          <w:sz w:val="24"/>
          <w:szCs w:val="24"/>
        </w:rPr>
        <w:t>%，商务标的权重占</w:t>
      </w:r>
      <w:r>
        <w:rPr>
          <w:rFonts w:ascii="新宋体" w:hAnsi="新宋体" w:eastAsia="新宋体" w:cs="宋体"/>
          <w:sz w:val="24"/>
          <w:szCs w:val="24"/>
        </w:rPr>
        <w:t>5</w:t>
      </w:r>
      <w:r>
        <w:rPr>
          <w:rFonts w:hint="eastAsia" w:ascii="新宋体" w:hAnsi="新宋体" w:eastAsia="新宋体" w:cs="宋体"/>
          <w:sz w:val="24"/>
          <w:szCs w:val="24"/>
        </w:rPr>
        <w:t>0%，综合（信用）标的权重占2</w:t>
      </w:r>
      <w:r>
        <w:rPr>
          <w:rFonts w:ascii="新宋体" w:hAnsi="新宋体" w:eastAsia="新宋体" w:cs="宋体"/>
          <w:sz w:val="24"/>
          <w:szCs w:val="24"/>
        </w:rPr>
        <w:t>5</w:t>
      </w:r>
      <w:r>
        <w:rPr>
          <w:rFonts w:hint="eastAsia" w:ascii="新宋体" w:hAnsi="新宋体" w:eastAsia="新宋体" w:cs="宋体"/>
          <w:sz w:val="24"/>
          <w:szCs w:val="24"/>
        </w:rPr>
        <w:t>%。</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04" w:name="_Toc10320"/>
      <w:bookmarkEnd w:id="104"/>
      <w:r>
        <w:rPr>
          <w:rFonts w:hint="eastAsia" w:ascii="新宋体" w:hAnsi="新宋体" w:eastAsia="新宋体" w:cs="宋体"/>
          <w:sz w:val="24"/>
          <w:szCs w:val="24"/>
        </w:rPr>
        <w:t xml:space="preserve">   （一）工程量清单报价评标基准价计算公式为：</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05" w:name="_Toc280"/>
      <w:bookmarkEnd w:id="105"/>
      <w:bookmarkStart w:id="106" w:name="_Toc27922"/>
      <w:bookmarkEnd w:id="106"/>
      <w:r>
        <w:rPr>
          <w:rFonts w:hint="eastAsia" w:ascii="新宋体" w:hAnsi="新宋体" w:eastAsia="新宋体" w:cs="宋体"/>
          <w:sz w:val="24"/>
          <w:szCs w:val="24"/>
        </w:rPr>
        <w:t>评标基准价＝最高投标限价×K+投标报价×（1－K）</w:t>
      </w:r>
    </w:p>
    <w:p>
      <w:pPr>
        <w:autoSpaceDE w:val="0"/>
        <w:autoSpaceDN w:val="0"/>
        <w:spacing w:line="460" w:lineRule="exact"/>
        <w:ind w:left="340" w:leftChars="100" w:firstLine="240" w:firstLineChars="100"/>
        <w:contextualSpacing/>
        <w:jc w:val="left"/>
        <w:outlineLvl w:val="0"/>
        <w:rPr>
          <w:rFonts w:ascii="新宋体" w:hAnsi="新宋体" w:eastAsia="新宋体" w:cs="宋体"/>
          <w:color w:val="FF0000"/>
          <w:sz w:val="24"/>
          <w:szCs w:val="24"/>
        </w:rPr>
      </w:pPr>
      <w:bookmarkStart w:id="107" w:name="_Toc5078"/>
      <w:bookmarkEnd w:id="107"/>
      <w:r>
        <w:rPr>
          <w:rFonts w:hint="eastAsia" w:ascii="新宋体" w:hAnsi="新宋体" w:eastAsia="新宋体" w:cs="宋体"/>
          <w:color w:val="FF0000"/>
          <w:sz w:val="24"/>
          <w:szCs w:val="24"/>
        </w:rPr>
        <w:t>其中：K为最高投标限价权重系数，取值范围为0.3≤K≤0</w:t>
      </w:r>
      <w:r>
        <w:rPr>
          <w:rFonts w:ascii="新宋体" w:hAnsi="新宋体" w:eastAsia="新宋体" w:cs="宋体"/>
          <w:color w:val="FF0000"/>
          <w:sz w:val="24"/>
          <w:szCs w:val="24"/>
        </w:rPr>
        <w:t>.5,</w:t>
      </w:r>
      <w:r>
        <w:rPr>
          <w:rFonts w:hint="eastAsia" w:ascii="新宋体" w:hAnsi="新宋体" w:eastAsia="新宋体" w:cs="宋体"/>
          <w:color w:val="FF0000"/>
          <w:sz w:val="24"/>
          <w:szCs w:val="24"/>
        </w:rPr>
        <w:t>在开标现场随机抽取。投标报价为各投标人有效投标报价去掉一个最高和最低报价后的算术平均值。当有效投标报价少于5家时（不含5家），则以所有有效投标报价的算术平均值作为投标报价。上述最高投标限价、投标报价、有效投标报价在参与评标基准价计算时，均不含：规费、安全文明施工措施费、暂列金额与专业暂估价、增值税。</w:t>
      </w:r>
    </w:p>
    <w:p>
      <w:pPr>
        <w:autoSpaceDE w:val="0"/>
        <w:autoSpaceDN w:val="0"/>
        <w:spacing w:line="460" w:lineRule="exact"/>
        <w:ind w:firstLine="480" w:firstLineChars="200"/>
        <w:contextualSpacing/>
        <w:jc w:val="left"/>
        <w:outlineLvl w:val="0"/>
        <w:rPr>
          <w:rFonts w:ascii="新宋体" w:hAnsi="新宋体" w:eastAsia="新宋体" w:cs="宋体"/>
          <w:color w:val="0000FF"/>
          <w:sz w:val="24"/>
          <w:szCs w:val="24"/>
        </w:rPr>
      </w:pPr>
      <w:bookmarkStart w:id="108" w:name="_Toc5578"/>
      <w:bookmarkEnd w:id="108"/>
      <w:r>
        <w:rPr>
          <w:rFonts w:hint="eastAsia" w:ascii="新宋体" w:hAnsi="新宋体" w:eastAsia="新宋体" w:cs="宋体"/>
          <w:color w:val="0000FF"/>
          <w:sz w:val="24"/>
          <w:szCs w:val="24"/>
        </w:rPr>
        <w:t>K为最高投标限价权重系数，K值为</w:t>
      </w:r>
      <w:r>
        <w:rPr>
          <w:rFonts w:ascii="新宋体" w:hAnsi="新宋体" w:eastAsia="新宋体" w:cs="宋体"/>
          <w:color w:val="0000FF"/>
          <w:sz w:val="24"/>
          <w:szCs w:val="24"/>
        </w:rPr>
        <w:t>0.3</w:t>
      </w:r>
      <w:r>
        <w:rPr>
          <w:rFonts w:hint="eastAsia" w:ascii="新宋体" w:hAnsi="新宋体" w:eastAsia="新宋体" w:cs="宋体"/>
          <w:color w:val="0000FF"/>
          <w:sz w:val="24"/>
          <w:szCs w:val="24"/>
        </w:rPr>
        <w:t>、</w:t>
      </w:r>
      <w:r>
        <w:rPr>
          <w:rFonts w:ascii="新宋体" w:hAnsi="新宋体" w:eastAsia="新宋体" w:cs="宋体"/>
          <w:color w:val="0000FF"/>
          <w:sz w:val="24"/>
          <w:szCs w:val="24"/>
        </w:rPr>
        <w:t>0.35</w:t>
      </w:r>
      <w:r>
        <w:rPr>
          <w:rFonts w:hint="eastAsia" w:ascii="新宋体" w:hAnsi="新宋体" w:eastAsia="新宋体" w:cs="宋体"/>
          <w:color w:val="0000FF"/>
          <w:sz w:val="24"/>
          <w:szCs w:val="24"/>
        </w:rPr>
        <w:t>、</w:t>
      </w:r>
      <w:r>
        <w:rPr>
          <w:rFonts w:ascii="新宋体" w:hAnsi="新宋体" w:eastAsia="新宋体" w:cs="宋体"/>
          <w:color w:val="0000FF"/>
          <w:sz w:val="24"/>
          <w:szCs w:val="24"/>
        </w:rPr>
        <w:t>0.4</w:t>
      </w:r>
      <w:r>
        <w:rPr>
          <w:rFonts w:hint="eastAsia" w:ascii="新宋体" w:hAnsi="新宋体" w:eastAsia="新宋体" w:cs="宋体"/>
          <w:color w:val="0000FF"/>
          <w:sz w:val="24"/>
          <w:szCs w:val="24"/>
        </w:rPr>
        <w:t>、</w:t>
      </w:r>
      <w:r>
        <w:rPr>
          <w:rFonts w:ascii="新宋体" w:hAnsi="新宋体" w:eastAsia="新宋体" w:cs="宋体"/>
          <w:color w:val="0000FF"/>
          <w:sz w:val="24"/>
          <w:szCs w:val="24"/>
        </w:rPr>
        <w:t>0.45</w:t>
      </w:r>
      <w:r>
        <w:rPr>
          <w:rFonts w:hint="eastAsia" w:ascii="新宋体" w:hAnsi="新宋体" w:eastAsia="新宋体" w:cs="宋体"/>
          <w:color w:val="0000FF"/>
          <w:sz w:val="24"/>
          <w:szCs w:val="24"/>
        </w:rPr>
        <w:t>、</w:t>
      </w:r>
      <w:r>
        <w:rPr>
          <w:rFonts w:ascii="新宋体" w:hAnsi="新宋体" w:eastAsia="新宋体" w:cs="宋体"/>
          <w:color w:val="0000FF"/>
          <w:sz w:val="24"/>
          <w:szCs w:val="24"/>
        </w:rPr>
        <w:t>0.5</w:t>
      </w:r>
      <w:r>
        <w:rPr>
          <w:rFonts w:hint="eastAsia" w:ascii="新宋体" w:hAnsi="新宋体" w:eastAsia="新宋体" w:cs="宋体"/>
          <w:color w:val="0000FF"/>
          <w:sz w:val="24"/>
          <w:szCs w:val="24"/>
        </w:rPr>
        <w:t>，在开标现场随机抽取。</w:t>
      </w:r>
    </w:p>
    <w:p>
      <w:pPr>
        <w:autoSpaceDE w:val="0"/>
        <w:autoSpaceDN w:val="0"/>
        <w:spacing w:line="460" w:lineRule="exact"/>
        <w:ind w:firstLine="480" w:firstLineChars="200"/>
        <w:contextualSpacing/>
        <w:jc w:val="left"/>
        <w:outlineLvl w:val="0"/>
        <w:rPr>
          <w:rFonts w:ascii="新宋体" w:hAnsi="新宋体" w:eastAsia="新宋体" w:cs="宋体"/>
          <w:b/>
          <w:bCs/>
          <w:sz w:val="24"/>
          <w:szCs w:val="24"/>
        </w:rPr>
      </w:pPr>
      <w:r>
        <w:rPr>
          <w:rFonts w:hint="eastAsia" w:ascii="新宋体" w:hAnsi="新宋体" w:eastAsia="新宋体" w:cs="宋体"/>
          <w:b/>
          <w:bCs/>
          <w:sz w:val="24"/>
          <w:szCs w:val="24"/>
        </w:rPr>
        <w:t>（二）商务标的评标分值50分</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1.投标报价的评审，共计30分。</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2.分部分项工程项目清单单价的评审，共计10分。</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从最高投标限价中分部分项工程项目权重最大的前10-30项清单项目中抽取15项，在剩余的分部分项工程项目清单项目中抽取5项。</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综合单价基准值是以各有效投标报价中（当有效投标人5名及以上时，去掉1个最高、1个最低值）对应抽取清单项目综合单价的算术平均值。</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投标人报价在综合单价基准值95%—103%范围内（不含95%和103%）的，每项得0.5分；在综合单价评标基准值90%—95%范围内（含90%和95%）每项得0.25分；满分共计10分。超出该范围的不得分。</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3.措施项目费的评审（不含安全文明措施费），共计5分。</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措施项目费基准值是在最高投标限价中措施项目费用的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基本分3分基础上扣0.2分，扣完为止。</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4.主要材料单价的评审，共计5分。</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从最高投标限价中材料总价权重最大的前10-</w:t>
      </w:r>
      <w:r>
        <w:rPr>
          <w:rFonts w:ascii="新宋体" w:hAnsi="新宋体" w:eastAsia="新宋体" w:cs="宋体"/>
          <w:sz w:val="24"/>
          <w:szCs w:val="24"/>
        </w:rPr>
        <w:t>20</w:t>
      </w:r>
      <w:r>
        <w:rPr>
          <w:rFonts w:hint="eastAsia" w:ascii="新宋体" w:hAnsi="新宋体" w:eastAsia="新宋体" w:cs="宋体"/>
          <w:sz w:val="24"/>
          <w:szCs w:val="24"/>
        </w:rPr>
        <w:t>项材料中抽取</w:t>
      </w:r>
      <w:r>
        <w:rPr>
          <w:rFonts w:ascii="新宋体" w:hAnsi="新宋体" w:eastAsia="新宋体" w:cs="宋体"/>
          <w:sz w:val="24"/>
          <w:szCs w:val="24"/>
        </w:rPr>
        <w:t>6</w:t>
      </w:r>
      <w:r>
        <w:rPr>
          <w:rFonts w:hint="eastAsia" w:ascii="新宋体" w:hAnsi="新宋体" w:eastAsia="新宋体" w:cs="宋体"/>
          <w:sz w:val="24"/>
          <w:szCs w:val="24"/>
        </w:rPr>
        <w:t>项，在剩余材料中抽取</w:t>
      </w:r>
      <w:r>
        <w:rPr>
          <w:rFonts w:ascii="新宋体" w:hAnsi="新宋体" w:eastAsia="新宋体" w:cs="宋体"/>
          <w:sz w:val="24"/>
          <w:szCs w:val="24"/>
        </w:rPr>
        <w:t>4</w:t>
      </w:r>
      <w:r>
        <w:rPr>
          <w:rFonts w:hint="eastAsia" w:ascii="新宋体" w:hAnsi="新宋体" w:eastAsia="新宋体" w:cs="宋体"/>
          <w:sz w:val="24"/>
          <w:szCs w:val="24"/>
        </w:rPr>
        <w:t>项。</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主要材料单价基准值是以各有效投标报价中（当有效投标人5名及以上时，去掉1个最高、1个最低值）对应抽取材料单价的算术平均值。</w:t>
      </w:r>
    </w:p>
    <w:p>
      <w:pPr>
        <w:autoSpaceDE w:val="0"/>
        <w:autoSpaceDN w:val="0"/>
        <w:spacing w:line="460" w:lineRule="exact"/>
        <w:ind w:firstLine="480" w:firstLineChars="200"/>
        <w:contextualSpacing/>
        <w:jc w:val="left"/>
        <w:outlineLvl w:val="0"/>
        <w:rPr>
          <w:rFonts w:ascii="新宋体" w:hAnsi="新宋体" w:eastAsia="新宋体" w:cs="宋体"/>
          <w:b/>
          <w:bCs/>
          <w:sz w:val="24"/>
          <w:szCs w:val="24"/>
        </w:rPr>
      </w:pPr>
      <w:r>
        <w:rPr>
          <w:rFonts w:hint="eastAsia" w:ascii="新宋体" w:hAnsi="新宋体" w:eastAsia="新宋体" w:cs="宋体"/>
          <w:sz w:val="24"/>
          <w:szCs w:val="24"/>
        </w:rPr>
        <w:t>当投标人报价在材料单价基准值95%—103%范围内（不含95%和103%）每项得0.5分，在材料单价基准值90%—95%范围内（含90%和95%）每项得0.25分。超出该范围的不得分。</w:t>
      </w:r>
    </w:p>
    <w:p>
      <w:pPr>
        <w:autoSpaceDE w:val="0"/>
        <w:autoSpaceDN w:val="0"/>
        <w:spacing w:line="460" w:lineRule="exact"/>
        <w:ind w:firstLine="480" w:firstLineChars="200"/>
        <w:contextualSpacing/>
        <w:jc w:val="left"/>
        <w:outlineLvl w:val="0"/>
        <w:rPr>
          <w:rFonts w:hAnsi="宋体"/>
          <w:b/>
          <w:bCs/>
          <w:sz w:val="24"/>
          <w:szCs w:val="24"/>
        </w:rPr>
      </w:pPr>
      <w:r>
        <w:rPr>
          <w:rFonts w:hint="eastAsia" w:ascii="新宋体" w:hAnsi="新宋体" w:eastAsia="新宋体" w:cs="宋体"/>
          <w:b/>
          <w:bCs/>
          <w:sz w:val="24"/>
          <w:szCs w:val="24"/>
        </w:rPr>
        <w:t>（三）技术标的评标分值2</w:t>
      </w:r>
      <w:r>
        <w:rPr>
          <w:rFonts w:ascii="新宋体" w:hAnsi="新宋体" w:eastAsia="新宋体" w:cs="宋体"/>
          <w:b/>
          <w:bCs/>
          <w:sz w:val="24"/>
          <w:szCs w:val="24"/>
        </w:rPr>
        <w:t>5</w:t>
      </w:r>
      <w:r>
        <w:rPr>
          <w:rFonts w:hint="eastAsia" w:ascii="新宋体" w:hAnsi="新宋体" w:eastAsia="新宋体" w:cs="宋体"/>
          <w:b/>
          <w:bCs/>
          <w:sz w:val="24"/>
          <w:szCs w:val="24"/>
        </w:rPr>
        <w:t>分</w:t>
      </w:r>
    </w:p>
    <w:tbl>
      <w:tblPr>
        <w:tblStyle w:val="11"/>
        <w:tblW w:w="9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7"/>
        <w:gridCol w:w="1276"/>
        <w:gridCol w:w="1175"/>
        <w:gridCol w:w="5204"/>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Align w:val="center"/>
          </w:tcPr>
          <w:p>
            <w:pPr>
              <w:jc w:val="center"/>
              <w:rPr>
                <w:rFonts w:hAnsi="宋体" w:cs="宋体"/>
                <w:sz w:val="24"/>
                <w:szCs w:val="24"/>
              </w:rPr>
            </w:pPr>
            <w:r>
              <w:rPr>
                <w:rFonts w:hint="eastAsia" w:hAnsi="宋体" w:cs="宋体"/>
                <w:sz w:val="24"/>
                <w:szCs w:val="24"/>
              </w:rPr>
              <w:t>序号</w:t>
            </w:r>
          </w:p>
        </w:tc>
        <w:tc>
          <w:tcPr>
            <w:tcW w:w="1276" w:type="dxa"/>
            <w:vAlign w:val="center"/>
          </w:tcPr>
          <w:p>
            <w:pPr>
              <w:jc w:val="center"/>
              <w:rPr>
                <w:rFonts w:hAnsi="宋体" w:cs="宋体"/>
                <w:sz w:val="24"/>
                <w:szCs w:val="24"/>
              </w:rPr>
            </w:pPr>
            <w:r>
              <w:rPr>
                <w:rFonts w:hint="eastAsia" w:hAnsi="宋体" w:cs="宋体"/>
                <w:sz w:val="24"/>
                <w:szCs w:val="24"/>
              </w:rPr>
              <w:t>内容</w:t>
            </w:r>
          </w:p>
        </w:tc>
        <w:tc>
          <w:tcPr>
            <w:tcW w:w="1175" w:type="dxa"/>
            <w:vAlign w:val="center"/>
          </w:tcPr>
          <w:p>
            <w:pPr>
              <w:jc w:val="center"/>
              <w:rPr>
                <w:rFonts w:hAnsi="宋体" w:cs="宋体"/>
                <w:sz w:val="24"/>
                <w:szCs w:val="24"/>
              </w:rPr>
            </w:pPr>
            <w:r>
              <w:rPr>
                <w:rFonts w:hint="eastAsia" w:hAnsi="宋体" w:cs="宋体"/>
                <w:sz w:val="24"/>
                <w:szCs w:val="24"/>
              </w:rPr>
              <w:t>分值</w:t>
            </w:r>
          </w:p>
        </w:tc>
        <w:tc>
          <w:tcPr>
            <w:tcW w:w="5204" w:type="dxa"/>
            <w:vAlign w:val="center"/>
          </w:tcPr>
          <w:p>
            <w:pPr>
              <w:jc w:val="center"/>
              <w:rPr>
                <w:rFonts w:hAnsi="宋体" w:cs="宋体"/>
                <w:sz w:val="24"/>
                <w:szCs w:val="24"/>
              </w:rPr>
            </w:pPr>
            <w:r>
              <w:rPr>
                <w:rFonts w:hint="eastAsia" w:hAnsi="宋体" w:cs="宋体"/>
                <w:sz w:val="24"/>
                <w:szCs w:val="24"/>
              </w:rPr>
              <w:t>评审标准</w:t>
            </w:r>
          </w:p>
        </w:tc>
        <w:tc>
          <w:tcPr>
            <w:tcW w:w="1683" w:type="dxa"/>
            <w:vAlign w:val="center"/>
          </w:tcPr>
          <w:p>
            <w:pPr>
              <w:jc w:val="center"/>
              <w:rPr>
                <w:rFonts w:hAnsi="宋体" w:cs="宋体"/>
                <w:sz w:val="24"/>
                <w:szCs w:val="24"/>
              </w:rPr>
            </w:pPr>
            <w:r>
              <w:rPr>
                <w:rFonts w:hint="eastAsia" w:hAnsi="宋体" w:cs="宋体"/>
                <w:sz w:val="24"/>
                <w:szCs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w:t>
            </w:r>
          </w:p>
        </w:tc>
        <w:tc>
          <w:tcPr>
            <w:tcW w:w="1276" w:type="dxa"/>
            <w:vMerge w:val="restart"/>
            <w:vAlign w:val="center"/>
          </w:tcPr>
          <w:p>
            <w:pPr>
              <w:jc w:val="center"/>
              <w:rPr>
                <w:rFonts w:hAnsi="宋体" w:cs="宋体"/>
                <w:sz w:val="24"/>
                <w:szCs w:val="24"/>
              </w:rPr>
            </w:pPr>
            <w:r>
              <w:rPr>
                <w:rFonts w:hint="eastAsia" w:hAnsi="宋体" w:cs="宋体"/>
                <w:sz w:val="24"/>
                <w:szCs w:val="24"/>
              </w:rPr>
              <w:t>内容完整性</w:t>
            </w:r>
          </w:p>
        </w:tc>
        <w:tc>
          <w:tcPr>
            <w:tcW w:w="1175" w:type="dxa"/>
            <w:vMerge w:val="restart"/>
            <w:vAlign w:val="center"/>
          </w:tcPr>
          <w:p>
            <w:pPr>
              <w:jc w:val="center"/>
              <w:rPr>
                <w:rFonts w:hAnsi="宋体" w:cs="宋体"/>
                <w:sz w:val="24"/>
                <w:szCs w:val="24"/>
              </w:rPr>
            </w:pPr>
            <w:r>
              <w:rPr>
                <w:rFonts w:hint="eastAsia" w:hAnsi="宋体" w:cs="宋体"/>
                <w:sz w:val="24"/>
                <w:szCs w:val="24"/>
              </w:rPr>
              <w:t>0-0.5分</w:t>
            </w:r>
          </w:p>
        </w:tc>
        <w:tc>
          <w:tcPr>
            <w:tcW w:w="5204" w:type="dxa"/>
            <w:vAlign w:val="center"/>
          </w:tcPr>
          <w:p>
            <w:pPr>
              <w:jc w:val="center"/>
              <w:rPr>
                <w:rFonts w:hAnsi="宋体" w:cs="宋体"/>
                <w:sz w:val="24"/>
                <w:szCs w:val="24"/>
              </w:rPr>
            </w:pPr>
            <w:r>
              <w:rPr>
                <w:rFonts w:hint="eastAsia" w:hAnsi="宋体" w:cs="宋体"/>
                <w:sz w:val="24"/>
                <w:szCs w:val="24"/>
              </w:rPr>
              <w:t>技术标的主要内容具有完整性，符合招标文件的要求。</w:t>
            </w:r>
          </w:p>
        </w:tc>
        <w:tc>
          <w:tcPr>
            <w:tcW w:w="1683" w:type="dxa"/>
            <w:vAlign w:val="center"/>
          </w:tcPr>
          <w:p>
            <w:pPr>
              <w:jc w:val="center"/>
              <w:rPr>
                <w:rFonts w:hAnsi="宋体" w:cs="宋体"/>
                <w:sz w:val="24"/>
                <w:szCs w:val="24"/>
              </w:rPr>
            </w:pPr>
            <w:r>
              <w:rPr>
                <w:rFonts w:hint="eastAsia" w:hAnsi="宋体" w:cs="宋体"/>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jc w:val="center"/>
              <w:rPr>
                <w:rFonts w:hAnsi="宋体" w:cs="宋体"/>
                <w:sz w:val="24"/>
                <w:szCs w:val="24"/>
              </w:rPr>
            </w:pPr>
            <w:r>
              <w:rPr>
                <w:rFonts w:hint="eastAsia" w:hAnsi="宋体" w:cs="宋体"/>
                <w:sz w:val="24"/>
                <w:szCs w:val="24"/>
              </w:rPr>
              <w:t>技术标不符合招标文件要求。</w:t>
            </w:r>
          </w:p>
        </w:tc>
        <w:tc>
          <w:tcPr>
            <w:tcW w:w="1683" w:type="dxa"/>
            <w:vAlign w:val="center"/>
          </w:tcPr>
          <w:p>
            <w:pPr>
              <w:jc w:val="center"/>
              <w:rPr>
                <w:rFonts w:hAnsi="宋体" w:cs="宋体"/>
                <w:sz w:val="24"/>
                <w:szCs w:val="24"/>
              </w:rPr>
            </w:pPr>
            <w:r>
              <w:rPr>
                <w:rFonts w:hint="eastAsia" w:hAnsi="宋体" w:cs="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2</w:t>
            </w:r>
          </w:p>
        </w:tc>
        <w:tc>
          <w:tcPr>
            <w:tcW w:w="1276" w:type="dxa"/>
            <w:vMerge w:val="restart"/>
            <w:vAlign w:val="center"/>
          </w:tcPr>
          <w:p>
            <w:pPr>
              <w:jc w:val="left"/>
              <w:rPr>
                <w:rFonts w:hAnsi="宋体" w:cs="宋体"/>
                <w:sz w:val="24"/>
                <w:szCs w:val="24"/>
              </w:rPr>
            </w:pPr>
            <w:r>
              <w:rPr>
                <w:rFonts w:hint="eastAsia" w:hAnsi="宋体" w:cs="宋体"/>
                <w:sz w:val="24"/>
                <w:szCs w:val="24"/>
              </w:rPr>
              <w:t>主要施工方案与技术措施</w:t>
            </w:r>
          </w:p>
        </w:tc>
        <w:tc>
          <w:tcPr>
            <w:tcW w:w="1175" w:type="dxa"/>
            <w:vMerge w:val="restart"/>
            <w:vAlign w:val="center"/>
          </w:tcPr>
          <w:p>
            <w:pPr>
              <w:jc w:val="center"/>
              <w:rPr>
                <w:rFonts w:hAnsi="宋体" w:cs="宋体"/>
                <w:sz w:val="24"/>
                <w:szCs w:val="24"/>
              </w:rPr>
            </w:pPr>
            <w:r>
              <w:rPr>
                <w:rFonts w:hint="eastAsia" w:hAnsi="宋体" w:cs="宋体"/>
                <w:sz w:val="24"/>
                <w:szCs w:val="24"/>
              </w:rPr>
              <w:t xml:space="preserve"> 1-3分</w:t>
            </w:r>
          </w:p>
        </w:tc>
        <w:tc>
          <w:tcPr>
            <w:tcW w:w="5204" w:type="dxa"/>
            <w:vAlign w:val="center"/>
          </w:tcPr>
          <w:p>
            <w:pPr>
              <w:rPr>
                <w:rFonts w:hAnsi="宋体" w:cs="宋体"/>
                <w:sz w:val="24"/>
                <w:szCs w:val="24"/>
              </w:rPr>
            </w:pPr>
            <w:r>
              <w:rPr>
                <w:rFonts w:hint="eastAsia" w:hAnsi="宋体" w:cs="宋体"/>
                <w:sz w:val="24"/>
                <w:szCs w:val="24"/>
              </w:rPr>
              <w:t>施工方案（含工程特点、施工重点与难点及绿色施工）总体安排合理，运用先进、合理的施工工艺、施工机械；对施工难点有先进和合理的建议。</w:t>
            </w:r>
          </w:p>
        </w:tc>
        <w:tc>
          <w:tcPr>
            <w:tcW w:w="1683" w:type="dxa"/>
            <w:vAlign w:val="center"/>
          </w:tcPr>
          <w:p>
            <w:pPr>
              <w:jc w:val="center"/>
              <w:rPr>
                <w:rFonts w:hAnsi="宋体" w:cs="宋体"/>
                <w:sz w:val="24"/>
                <w:szCs w:val="24"/>
              </w:rPr>
            </w:pPr>
            <w:r>
              <w:rPr>
                <w:rFonts w:hint="eastAsia" w:hAnsi="宋体" w:cs="宋体"/>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施工方案（含工程特点、施工重点与难点及绿色施工）总体安排合理，施工工艺、施工机械合理、可行；对施工难点有合理的建议。</w:t>
            </w:r>
          </w:p>
        </w:tc>
        <w:tc>
          <w:tcPr>
            <w:tcW w:w="1683" w:type="dxa"/>
            <w:vAlign w:val="center"/>
          </w:tcPr>
          <w:p>
            <w:pPr>
              <w:jc w:val="center"/>
              <w:rPr>
                <w:rFonts w:hAnsi="宋体" w:cs="宋体"/>
                <w:sz w:val="24"/>
                <w:szCs w:val="24"/>
              </w:rPr>
            </w:pPr>
            <w:r>
              <w:rPr>
                <w:rFonts w:hint="eastAsia" w:hAnsi="宋体" w:cs="宋体"/>
                <w:sz w:val="24"/>
                <w:szCs w:val="24"/>
              </w:rPr>
              <w:t xml:space="preserve"> 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3</w:t>
            </w:r>
          </w:p>
        </w:tc>
        <w:tc>
          <w:tcPr>
            <w:tcW w:w="1276" w:type="dxa"/>
            <w:vMerge w:val="restart"/>
            <w:vAlign w:val="center"/>
          </w:tcPr>
          <w:p>
            <w:pPr>
              <w:jc w:val="left"/>
              <w:rPr>
                <w:rFonts w:hAnsi="宋体" w:cs="宋体"/>
                <w:sz w:val="24"/>
                <w:szCs w:val="24"/>
              </w:rPr>
            </w:pPr>
            <w:r>
              <w:rPr>
                <w:rFonts w:hint="eastAsia" w:hAnsi="宋体" w:cs="宋体"/>
                <w:sz w:val="24"/>
                <w:szCs w:val="24"/>
              </w:rPr>
              <w:t>质量管理体系与措施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spacing w:line="360" w:lineRule="exact"/>
              <w:rPr>
                <w:rFonts w:hAnsi="宋体" w:cs="宋体"/>
                <w:sz w:val="24"/>
                <w:szCs w:val="24"/>
              </w:rPr>
            </w:pPr>
            <w:r>
              <w:rPr>
                <w:rFonts w:hint="eastAsia" w:hAnsi="宋体" w:cs="宋体"/>
                <w:sz w:val="24"/>
                <w:szCs w:val="24"/>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60" w:lineRule="exact"/>
              <w:rPr>
                <w:rFonts w:hAnsi="宋体" w:cs="宋体"/>
                <w:sz w:val="24"/>
                <w:szCs w:val="24"/>
              </w:rPr>
            </w:pPr>
            <w:r>
              <w:rPr>
                <w:rFonts w:hint="eastAsia" w:hAnsi="宋体" w:cs="宋体"/>
                <w:sz w:val="24"/>
                <w:szCs w:val="24"/>
              </w:rPr>
              <w:t>组织机构形式基本合理，指挥系统、质量监控系统、联络协调系统，具体措施可行。主体结构质量保证措施经济、安全、基本可行。主体结构、装饰装修符合工程建设强制性标准，不得偷工减料。</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4</w:t>
            </w:r>
          </w:p>
        </w:tc>
        <w:tc>
          <w:tcPr>
            <w:tcW w:w="1276" w:type="dxa"/>
            <w:vMerge w:val="restart"/>
            <w:vAlign w:val="center"/>
          </w:tcPr>
          <w:p>
            <w:pPr>
              <w:jc w:val="left"/>
              <w:rPr>
                <w:rFonts w:hAnsi="宋体" w:cs="宋体"/>
                <w:sz w:val="24"/>
                <w:szCs w:val="24"/>
              </w:rPr>
            </w:pPr>
            <w:r>
              <w:rPr>
                <w:rFonts w:hint="eastAsia" w:hAnsi="宋体" w:cs="宋体"/>
                <w:sz w:val="24"/>
                <w:szCs w:val="24"/>
              </w:rPr>
              <w:t>安全管理体系与措施</w:t>
            </w:r>
          </w:p>
        </w:tc>
        <w:tc>
          <w:tcPr>
            <w:tcW w:w="1175" w:type="dxa"/>
            <w:vMerge w:val="restart"/>
            <w:vAlign w:val="center"/>
          </w:tcPr>
          <w:p>
            <w:pPr>
              <w:jc w:val="center"/>
              <w:rPr>
                <w:rFonts w:hAnsi="宋体" w:cs="宋体"/>
                <w:sz w:val="24"/>
                <w:szCs w:val="24"/>
              </w:rPr>
            </w:pPr>
            <w:r>
              <w:rPr>
                <w:rFonts w:hint="eastAsia" w:hAnsi="宋体" w:cs="宋体"/>
                <w:sz w:val="24"/>
                <w:szCs w:val="24"/>
              </w:rPr>
              <w:t xml:space="preserve"> 1-2分</w:t>
            </w:r>
          </w:p>
        </w:tc>
        <w:tc>
          <w:tcPr>
            <w:tcW w:w="5204" w:type="dxa"/>
            <w:vAlign w:val="center"/>
          </w:tcPr>
          <w:p>
            <w:pPr>
              <w:spacing w:line="360" w:lineRule="exact"/>
              <w:rPr>
                <w:rFonts w:hAnsi="宋体" w:cs="宋体"/>
                <w:sz w:val="24"/>
                <w:szCs w:val="24"/>
              </w:rPr>
            </w:pPr>
            <w:r>
              <w:rPr>
                <w:rFonts w:hint="eastAsia" w:hAnsi="宋体" w:cs="宋体"/>
                <w:sz w:val="24"/>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40" w:lineRule="exact"/>
              <w:rPr>
                <w:rFonts w:hAnsi="宋体" w:cs="宋体"/>
                <w:sz w:val="24"/>
                <w:szCs w:val="24"/>
              </w:rPr>
            </w:pPr>
            <w:r>
              <w:rPr>
                <w:rFonts w:hint="eastAsia" w:hAnsi="宋体" w:cs="宋体"/>
                <w:sz w:val="24"/>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5</w:t>
            </w:r>
          </w:p>
        </w:tc>
        <w:tc>
          <w:tcPr>
            <w:tcW w:w="1276" w:type="dxa"/>
            <w:vMerge w:val="restart"/>
            <w:vAlign w:val="center"/>
          </w:tcPr>
          <w:p>
            <w:pPr>
              <w:jc w:val="left"/>
              <w:rPr>
                <w:rFonts w:hAnsi="宋体" w:cs="宋体"/>
                <w:sz w:val="24"/>
                <w:szCs w:val="24"/>
              </w:rPr>
            </w:pPr>
            <w:r>
              <w:rPr>
                <w:rFonts w:hint="eastAsia" w:hAnsi="宋体" w:cs="宋体"/>
                <w:sz w:val="24"/>
                <w:szCs w:val="24"/>
              </w:rPr>
              <w:t xml:space="preserve">文明施工、环境保护管理体系及施工现场扬尘治理措施  </w:t>
            </w:r>
          </w:p>
        </w:tc>
        <w:tc>
          <w:tcPr>
            <w:tcW w:w="1175" w:type="dxa"/>
            <w:vMerge w:val="restart"/>
            <w:vAlign w:val="center"/>
          </w:tcPr>
          <w:p>
            <w:pPr>
              <w:jc w:val="center"/>
              <w:rPr>
                <w:rFonts w:hAnsi="宋体" w:cs="宋体"/>
                <w:sz w:val="24"/>
                <w:szCs w:val="24"/>
              </w:rPr>
            </w:pPr>
            <w:r>
              <w:rPr>
                <w:rFonts w:hint="eastAsia" w:hAnsi="宋体" w:cs="宋体"/>
                <w:sz w:val="24"/>
                <w:szCs w:val="24"/>
              </w:rPr>
              <w:t>1-3分</w:t>
            </w:r>
          </w:p>
        </w:tc>
        <w:tc>
          <w:tcPr>
            <w:tcW w:w="5204" w:type="dxa"/>
            <w:vAlign w:val="center"/>
          </w:tcPr>
          <w:p>
            <w:pPr>
              <w:spacing w:line="300" w:lineRule="exact"/>
              <w:rPr>
                <w:rFonts w:hAnsi="宋体" w:cs="宋体"/>
                <w:sz w:val="24"/>
                <w:szCs w:val="24"/>
              </w:rPr>
            </w:pPr>
            <w:r>
              <w:rPr>
                <w:rFonts w:hint="eastAsia" w:hAnsi="宋体" w:cs="宋体"/>
                <w:sz w:val="24"/>
                <w:szCs w:val="24"/>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1683" w:type="dxa"/>
            <w:vAlign w:val="center"/>
          </w:tcPr>
          <w:p>
            <w:pPr>
              <w:jc w:val="center"/>
              <w:rPr>
                <w:rFonts w:hAnsi="宋体" w:cs="宋体"/>
                <w:sz w:val="24"/>
                <w:szCs w:val="24"/>
              </w:rPr>
            </w:pPr>
            <w:r>
              <w:rPr>
                <w:rFonts w:hint="eastAsia" w:hAnsi="宋体" w:cs="宋体"/>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p>
        </w:tc>
        <w:tc>
          <w:tcPr>
            <w:tcW w:w="1683"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6</w:t>
            </w:r>
          </w:p>
        </w:tc>
        <w:tc>
          <w:tcPr>
            <w:tcW w:w="1276" w:type="dxa"/>
            <w:vMerge w:val="restart"/>
            <w:vAlign w:val="center"/>
          </w:tcPr>
          <w:p>
            <w:pPr>
              <w:jc w:val="left"/>
              <w:rPr>
                <w:rFonts w:hAnsi="宋体" w:cs="宋体"/>
                <w:sz w:val="24"/>
                <w:szCs w:val="24"/>
              </w:rPr>
            </w:pPr>
            <w:r>
              <w:rPr>
                <w:rFonts w:hint="eastAsia" w:hAnsi="宋体" w:cs="宋体"/>
                <w:sz w:val="24"/>
                <w:szCs w:val="24"/>
              </w:rPr>
              <w:t>工期保证措施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spacing w:line="300" w:lineRule="exact"/>
              <w:rPr>
                <w:rFonts w:hAnsi="宋体" w:cs="宋体"/>
                <w:sz w:val="24"/>
                <w:szCs w:val="24"/>
              </w:rPr>
            </w:pPr>
            <w:r>
              <w:rPr>
                <w:rFonts w:hint="eastAsia" w:hAnsi="宋体" w:cs="宋体"/>
                <w:sz w:val="24"/>
                <w:szCs w:val="24"/>
              </w:rPr>
              <w:t>工期承诺满足招标文件要求，工期保证措施合理且有针对性，有具体的违约责任承诺。</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工期承诺满足招标文件要求，工期保证措施基本合理，有具体的违约责任承诺。</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7</w:t>
            </w:r>
          </w:p>
        </w:tc>
        <w:tc>
          <w:tcPr>
            <w:tcW w:w="1276" w:type="dxa"/>
            <w:vMerge w:val="restart"/>
            <w:vAlign w:val="center"/>
          </w:tcPr>
          <w:p>
            <w:pPr>
              <w:jc w:val="center"/>
              <w:rPr>
                <w:rFonts w:hAnsi="宋体" w:cs="宋体"/>
                <w:sz w:val="24"/>
                <w:szCs w:val="24"/>
              </w:rPr>
            </w:pPr>
            <w:r>
              <w:rPr>
                <w:rFonts w:hint="eastAsia" w:hAnsi="宋体" w:cs="宋体"/>
                <w:sz w:val="24"/>
                <w:szCs w:val="24"/>
              </w:rPr>
              <w:t>拟投入资源配备计划</w:t>
            </w:r>
          </w:p>
        </w:tc>
        <w:tc>
          <w:tcPr>
            <w:tcW w:w="1175" w:type="dxa"/>
            <w:vMerge w:val="restart"/>
            <w:vAlign w:val="center"/>
          </w:tcPr>
          <w:p>
            <w:pPr>
              <w:jc w:val="center"/>
              <w:rPr>
                <w:rFonts w:hAnsi="宋体" w:cs="宋体"/>
                <w:sz w:val="24"/>
                <w:szCs w:val="24"/>
              </w:rPr>
            </w:pPr>
            <w:r>
              <w:rPr>
                <w:rFonts w:hint="eastAsia" w:hAnsi="宋体" w:cs="宋体"/>
                <w:sz w:val="24"/>
                <w:szCs w:val="24"/>
              </w:rPr>
              <w:t>0.5-2分</w:t>
            </w:r>
          </w:p>
        </w:tc>
        <w:tc>
          <w:tcPr>
            <w:tcW w:w="5204" w:type="dxa"/>
            <w:vAlign w:val="center"/>
          </w:tcPr>
          <w:p>
            <w:pPr>
              <w:spacing w:line="300" w:lineRule="exact"/>
              <w:rPr>
                <w:rFonts w:hAnsi="宋体" w:cs="宋体"/>
                <w:sz w:val="24"/>
                <w:szCs w:val="24"/>
              </w:rPr>
            </w:pPr>
            <w:r>
              <w:rPr>
                <w:rFonts w:hint="eastAsia" w:hAnsi="宋体" w:cs="宋体"/>
                <w:sz w:val="24"/>
                <w:szCs w:val="24"/>
              </w:rPr>
              <w:t>1.机械：投入计划与进度计划呼应，采用先进机械设备且配置合理、先进，满足安全技术规范和施工进度需要；PC构件运输、安装设备满足施工要求；</w:t>
            </w:r>
          </w:p>
          <w:p>
            <w:pPr>
              <w:spacing w:line="300" w:lineRule="exact"/>
              <w:rPr>
                <w:rFonts w:hAnsi="宋体" w:cs="宋体"/>
                <w:sz w:val="24"/>
                <w:szCs w:val="24"/>
              </w:rPr>
            </w:pPr>
            <w:r>
              <w:rPr>
                <w:rFonts w:hint="eastAsia" w:hAnsi="宋体" w:cs="宋体"/>
                <w:sz w:val="24"/>
                <w:szCs w:val="24"/>
              </w:rPr>
              <w:t>2.劳动力：投入计划与进度计划呼应，较好满足施工需要，调配投入计划合理、准确；</w:t>
            </w:r>
          </w:p>
          <w:p>
            <w:pPr>
              <w:spacing w:line="300" w:lineRule="exact"/>
              <w:rPr>
                <w:rFonts w:hAnsi="宋体" w:cs="宋体"/>
                <w:sz w:val="24"/>
                <w:szCs w:val="24"/>
              </w:rPr>
            </w:pPr>
            <w:r>
              <w:rPr>
                <w:rFonts w:hint="eastAsia" w:hAnsi="宋体" w:cs="宋体"/>
                <w:sz w:val="24"/>
                <w:szCs w:val="24"/>
              </w:rPr>
              <w:t>3.主要物资计划：主要物资（含PC构件的供应需求）投入计划与进度计划呼应，较好满足施工需要，调配投入计划合理、准确。</w:t>
            </w:r>
          </w:p>
        </w:tc>
        <w:tc>
          <w:tcPr>
            <w:tcW w:w="1683"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1.机械：投入计划与进度计划呼应，机械设备配置基本合理，满足安全技术规范和施工进度需要；</w:t>
            </w:r>
          </w:p>
          <w:p>
            <w:pPr>
              <w:spacing w:line="300" w:lineRule="exact"/>
              <w:rPr>
                <w:rFonts w:hAnsi="宋体" w:cs="宋体"/>
                <w:sz w:val="24"/>
                <w:szCs w:val="24"/>
              </w:rPr>
            </w:pPr>
            <w:r>
              <w:rPr>
                <w:rFonts w:hint="eastAsia" w:hAnsi="宋体" w:cs="宋体"/>
                <w:sz w:val="24"/>
                <w:szCs w:val="24"/>
              </w:rPr>
              <w:t>2.劳动力：投入计划与进度计划呼应，基本满足施工需要，调配投入计划基本合理；</w:t>
            </w:r>
          </w:p>
          <w:p>
            <w:pPr>
              <w:spacing w:line="300" w:lineRule="exact"/>
              <w:rPr>
                <w:rFonts w:hAnsi="宋体" w:cs="宋体"/>
                <w:spacing w:val="-4"/>
                <w:sz w:val="24"/>
                <w:szCs w:val="24"/>
              </w:rPr>
            </w:pPr>
            <w:r>
              <w:rPr>
                <w:rFonts w:hint="eastAsia" w:hAnsi="宋体" w:cs="宋体"/>
                <w:spacing w:val="-4"/>
                <w:sz w:val="24"/>
                <w:szCs w:val="24"/>
              </w:rPr>
              <w:t>3.主要物资计划：主要物资（含PC构件的供应需求）投入计划与进度计划呼应，基本满足施工需要，调配投入计划基本合理。</w:t>
            </w:r>
          </w:p>
        </w:tc>
        <w:tc>
          <w:tcPr>
            <w:tcW w:w="1683" w:type="dxa"/>
            <w:vAlign w:val="center"/>
          </w:tcPr>
          <w:p>
            <w:pPr>
              <w:jc w:val="center"/>
              <w:rPr>
                <w:rFonts w:hAnsi="宋体" w:cs="宋体"/>
                <w:sz w:val="24"/>
                <w:szCs w:val="24"/>
              </w:rPr>
            </w:pPr>
            <w:r>
              <w:rPr>
                <w:rFonts w:hint="eastAsia" w:hAnsi="宋体" w:cs="宋体"/>
                <w:sz w:val="24"/>
                <w:szCs w:val="24"/>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8</w:t>
            </w:r>
          </w:p>
        </w:tc>
        <w:tc>
          <w:tcPr>
            <w:tcW w:w="1276" w:type="dxa"/>
            <w:vMerge w:val="restart"/>
            <w:vAlign w:val="center"/>
          </w:tcPr>
          <w:p>
            <w:pPr>
              <w:jc w:val="left"/>
              <w:rPr>
                <w:rFonts w:hAnsi="宋体" w:cs="宋体"/>
                <w:sz w:val="24"/>
                <w:szCs w:val="24"/>
              </w:rPr>
            </w:pPr>
            <w:r>
              <w:rPr>
                <w:rFonts w:hint="eastAsia" w:hAnsi="宋体" w:cs="宋体"/>
                <w:sz w:val="24"/>
                <w:szCs w:val="24"/>
              </w:rPr>
              <w:t>施工进度表与网络计划图</w:t>
            </w:r>
          </w:p>
        </w:tc>
        <w:tc>
          <w:tcPr>
            <w:tcW w:w="1175" w:type="dxa"/>
            <w:vMerge w:val="restart"/>
            <w:vAlign w:val="center"/>
          </w:tcPr>
          <w:p>
            <w:pPr>
              <w:jc w:val="center"/>
              <w:rPr>
                <w:rFonts w:hAnsi="宋体" w:cs="宋体"/>
                <w:sz w:val="24"/>
                <w:szCs w:val="24"/>
              </w:rPr>
            </w:pPr>
            <w:r>
              <w:rPr>
                <w:rFonts w:hint="eastAsia" w:hAnsi="宋体" w:cs="宋体"/>
                <w:sz w:val="24"/>
                <w:szCs w:val="24"/>
              </w:rPr>
              <w:t>0.5-2分</w:t>
            </w:r>
          </w:p>
        </w:tc>
        <w:tc>
          <w:tcPr>
            <w:tcW w:w="5204" w:type="dxa"/>
            <w:vAlign w:val="center"/>
          </w:tcPr>
          <w:p>
            <w:pPr>
              <w:spacing w:line="300" w:lineRule="exact"/>
              <w:rPr>
                <w:rFonts w:hAnsi="宋体" w:cs="宋体"/>
                <w:sz w:val="24"/>
                <w:szCs w:val="24"/>
              </w:rPr>
            </w:pPr>
            <w:r>
              <w:rPr>
                <w:rFonts w:hint="eastAsia" w:hAnsi="宋体" w:cs="宋体"/>
                <w:sz w:val="24"/>
                <w:szCs w:val="24"/>
              </w:rPr>
              <w:t>关键线路清晰、准确、完整、计划编制合理、可行、满足招标文件对工期的要求。</w:t>
            </w:r>
          </w:p>
        </w:tc>
        <w:tc>
          <w:tcPr>
            <w:tcW w:w="1683"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关键线路基本准确，计划编制基本可行。</w:t>
            </w:r>
          </w:p>
        </w:tc>
        <w:tc>
          <w:tcPr>
            <w:tcW w:w="1683" w:type="dxa"/>
            <w:vAlign w:val="center"/>
          </w:tcPr>
          <w:p>
            <w:pPr>
              <w:jc w:val="center"/>
              <w:rPr>
                <w:rFonts w:hAnsi="宋体" w:cs="宋体"/>
                <w:sz w:val="24"/>
                <w:szCs w:val="24"/>
              </w:rPr>
            </w:pPr>
            <w:r>
              <w:rPr>
                <w:rFonts w:hint="eastAsia" w:hAnsi="宋体" w:cs="宋体"/>
                <w:sz w:val="24"/>
                <w:szCs w:val="24"/>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9</w:t>
            </w:r>
          </w:p>
        </w:tc>
        <w:tc>
          <w:tcPr>
            <w:tcW w:w="1276" w:type="dxa"/>
            <w:vMerge w:val="restart"/>
            <w:vAlign w:val="center"/>
          </w:tcPr>
          <w:p>
            <w:pPr>
              <w:jc w:val="left"/>
              <w:rPr>
                <w:rFonts w:hAnsi="宋体" w:cs="宋体"/>
                <w:sz w:val="24"/>
                <w:szCs w:val="24"/>
              </w:rPr>
            </w:pPr>
            <w:r>
              <w:rPr>
                <w:rFonts w:hint="eastAsia" w:hAnsi="宋体" w:cs="宋体"/>
                <w:sz w:val="24"/>
                <w:szCs w:val="24"/>
              </w:rPr>
              <w:t>施工总平面图布置</w:t>
            </w:r>
          </w:p>
        </w:tc>
        <w:tc>
          <w:tcPr>
            <w:tcW w:w="1175" w:type="dxa"/>
            <w:vMerge w:val="restart"/>
            <w:vAlign w:val="center"/>
          </w:tcPr>
          <w:p>
            <w:pPr>
              <w:jc w:val="center"/>
              <w:rPr>
                <w:rFonts w:hAnsi="宋体" w:cs="宋体"/>
                <w:sz w:val="24"/>
                <w:szCs w:val="24"/>
              </w:rPr>
            </w:pPr>
            <w:r>
              <w:rPr>
                <w:rFonts w:hint="eastAsia" w:hAnsi="宋体" w:cs="宋体"/>
                <w:sz w:val="24"/>
                <w:szCs w:val="24"/>
              </w:rPr>
              <w:t>0.5-1分</w:t>
            </w:r>
          </w:p>
        </w:tc>
        <w:tc>
          <w:tcPr>
            <w:tcW w:w="5204" w:type="dxa"/>
            <w:vAlign w:val="center"/>
          </w:tcPr>
          <w:p>
            <w:pPr>
              <w:spacing w:line="300" w:lineRule="exact"/>
              <w:rPr>
                <w:rFonts w:hAnsi="宋体" w:cs="宋体"/>
                <w:sz w:val="24"/>
                <w:szCs w:val="24"/>
              </w:rPr>
            </w:pPr>
            <w:r>
              <w:rPr>
                <w:rFonts w:hint="eastAsia" w:hAnsi="宋体" w:cs="宋体"/>
                <w:sz w:val="24"/>
                <w:szCs w:val="24"/>
              </w:rPr>
              <w:t>总体布置有针对性、合理、能较好满足施工需要，符合安全、文明施工要求；材料堆放有序。</w:t>
            </w:r>
          </w:p>
        </w:tc>
        <w:tc>
          <w:tcPr>
            <w:tcW w:w="1683" w:type="dxa"/>
            <w:vAlign w:val="center"/>
          </w:tcPr>
          <w:p>
            <w:pPr>
              <w:jc w:val="center"/>
              <w:rPr>
                <w:rFonts w:hAnsi="宋体" w:cs="宋体"/>
                <w:sz w:val="24"/>
                <w:szCs w:val="24"/>
              </w:rPr>
            </w:pPr>
            <w:r>
              <w:rPr>
                <w:rFonts w:hint="eastAsia" w:hAnsi="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总体布置基本合理、基本满足施工需要。</w:t>
            </w:r>
          </w:p>
        </w:tc>
        <w:tc>
          <w:tcPr>
            <w:tcW w:w="1683" w:type="dxa"/>
            <w:vAlign w:val="center"/>
          </w:tcPr>
          <w:p>
            <w:pPr>
              <w:jc w:val="center"/>
              <w:rPr>
                <w:rFonts w:hAnsi="宋体" w:cs="宋体"/>
                <w:sz w:val="24"/>
                <w:szCs w:val="24"/>
              </w:rPr>
            </w:pPr>
            <w:r>
              <w:rPr>
                <w:rFonts w:hint="eastAsia" w:hAnsi="宋体" w:cs="宋体"/>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10</w:t>
            </w:r>
          </w:p>
        </w:tc>
        <w:tc>
          <w:tcPr>
            <w:tcW w:w="1276" w:type="dxa"/>
            <w:vMerge w:val="restart"/>
            <w:vAlign w:val="center"/>
          </w:tcPr>
          <w:p>
            <w:pPr>
              <w:jc w:val="left"/>
              <w:rPr>
                <w:rFonts w:hAnsi="宋体" w:cs="宋体"/>
                <w:sz w:val="24"/>
                <w:szCs w:val="24"/>
              </w:rPr>
            </w:pPr>
            <w:r>
              <w:rPr>
                <w:rFonts w:hint="eastAsia" w:hAnsi="宋体" w:cs="宋体"/>
                <w:sz w:val="24"/>
                <w:szCs w:val="24"/>
              </w:rPr>
              <w:t>技术创新的应用实施措施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spacing w:line="300" w:lineRule="exact"/>
              <w:rPr>
                <w:rFonts w:hAnsi="宋体" w:cs="宋体"/>
                <w:sz w:val="24"/>
                <w:szCs w:val="24"/>
              </w:rPr>
            </w:pPr>
            <w:r>
              <w:rPr>
                <w:rFonts w:hint="eastAsia" w:hAnsi="宋体" w:cs="宋体"/>
                <w:sz w:val="24"/>
                <w:szCs w:val="24"/>
              </w:rPr>
              <w:t>（1）节能减排、（2）绿色施工、（3）工艺创新、（4）装配式等技术创新的应用实施措施符合工程情况，具有针对性、可行性、经济适用性。</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pacing w:val="-8"/>
                <w:sz w:val="24"/>
                <w:szCs w:val="24"/>
              </w:rPr>
              <w:t>（1）节能减排、（2）绿色施工、（3）工艺创新、（4）装配式建筑等技术创新的应用实施措施基本符合工程情况，具有针</w:t>
            </w:r>
            <w:r>
              <w:rPr>
                <w:rFonts w:hint="eastAsia" w:hAnsi="宋体" w:cs="宋体"/>
                <w:sz w:val="24"/>
                <w:szCs w:val="24"/>
              </w:rPr>
              <w:t>对性。</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11</w:t>
            </w:r>
          </w:p>
        </w:tc>
        <w:tc>
          <w:tcPr>
            <w:tcW w:w="1276" w:type="dxa"/>
            <w:vMerge w:val="restart"/>
            <w:vAlign w:val="center"/>
          </w:tcPr>
          <w:p>
            <w:pPr>
              <w:jc w:val="center"/>
              <w:rPr>
                <w:rFonts w:hAnsi="宋体" w:cs="宋体"/>
                <w:sz w:val="24"/>
                <w:szCs w:val="24"/>
              </w:rPr>
            </w:pPr>
            <w:r>
              <w:rPr>
                <w:rFonts w:hint="eastAsia" w:hAnsi="宋体" w:cs="宋体"/>
                <w:sz w:val="24"/>
                <w:szCs w:val="24"/>
              </w:rPr>
              <w:t>采用新工艺、新技术、新设备、新材料、BIM等的程度</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rPr>
                <w:rFonts w:hAnsi="宋体" w:cs="宋体"/>
                <w:sz w:val="24"/>
                <w:szCs w:val="24"/>
              </w:rPr>
            </w:pPr>
            <w:r>
              <w:rPr>
                <w:rFonts w:hint="eastAsia" w:hAnsi="宋体" w:cs="宋体"/>
                <w:sz w:val="24"/>
                <w:szCs w:val="24"/>
              </w:rPr>
              <w:t>采用新工艺、新技术、新设备、新材料、BIM等的程度满足设计要求，符合施工需要和相应技术标准等规定，经济适用。</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采用新工艺、新技术、新设备、新材料、BIM等的程度满足设计要求， 基本符合施工要求和相应技术标准等规定。</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12</w:t>
            </w:r>
          </w:p>
        </w:tc>
        <w:tc>
          <w:tcPr>
            <w:tcW w:w="1276" w:type="dxa"/>
            <w:vMerge w:val="restart"/>
            <w:vAlign w:val="center"/>
          </w:tcPr>
          <w:p>
            <w:pPr>
              <w:jc w:val="center"/>
              <w:rPr>
                <w:rFonts w:hAnsi="宋体" w:cs="宋体"/>
                <w:sz w:val="24"/>
                <w:szCs w:val="24"/>
              </w:rPr>
            </w:pPr>
            <w:r>
              <w:rPr>
                <w:rFonts w:hint="eastAsia" w:hAnsi="宋体" w:cs="宋体"/>
                <w:sz w:val="24"/>
                <w:szCs w:val="24"/>
              </w:rPr>
              <w:t>施工现场实施信息化监控和数据处理</w:t>
            </w:r>
          </w:p>
        </w:tc>
        <w:tc>
          <w:tcPr>
            <w:tcW w:w="1175" w:type="dxa"/>
            <w:vMerge w:val="restart"/>
            <w:vAlign w:val="center"/>
          </w:tcPr>
          <w:p>
            <w:pPr>
              <w:jc w:val="center"/>
              <w:rPr>
                <w:rFonts w:hAnsi="宋体" w:cs="宋体"/>
                <w:sz w:val="24"/>
                <w:szCs w:val="24"/>
              </w:rPr>
            </w:pPr>
            <w:r>
              <w:rPr>
                <w:rFonts w:hint="eastAsia" w:hAnsi="宋体" w:cs="宋体"/>
                <w:sz w:val="24"/>
                <w:szCs w:val="24"/>
              </w:rPr>
              <w:t>0.5-1.5分</w:t>
            </w:r>
          </w:p>
        </w:tc>
        <w:tc>
          <w:tcPr>
            <w:tcW w:w="5204" w:type="dxa"/>
            <w:vAlign w:val="center"/>
          </w:tcPr>
          <w:p>
            <w:pPr>
              <w:rPr>
                <w:rFonts w:hAnsi="宋体" w:cs="宋体"/>
                <w:sz w:val="24"/>
                <w:szCs w:val="24"/>
              </w:rPr>
            </w:pPr>
            <w:r>
              <w:rPr>
                <w:rFonts w:hint="eastAsia" w:hAnsi="宋体" w:cs="宋体"/>
                <w:sz w:val="24"/>
                <w:szCs w:val="24"/>
              </w:rPr>
              <w:t>施工现场实施信息化监控和数据处理系统布置合理，满足需要。</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施工现场实施信息化监控和数据处理系统布置基本符合需要。</w:t>
            </w:r>
          </w:p>
        </w:tc>
        <w:tc>
          <w:tcPr>
            <w:tcW w:w="1683" w:type="dxa"/>
            <w:vAlign w:val="center"/>
          </w:tcPr>
          <w:p>
            <w:pPr>
              <w:jc w:val="center"/>
              <w:rPr>
                <w:rFonts w:hAnsi="宋体" w:cs="宋体"/>
                <w:sz w:val="24"/>
                <w:szCs w:val="24"/>
              </w:rPr>
            </w:pPr>
            <w:r>
              <w:rPr>
                <w:rFonts w:hint="eastAsia" w:hAnsi="宋体" w:cs="宋体"/>
                <w:sz w:val="24"/>
                <w:szCs w:val="24"/>
              </w:rPr>
              <w:t xml:space="preserve">0.5＜得分≤1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13</w:t>
            </w:r>
          </w:p>
        </w:tc>
        <w:tc>
          <w:tcPr>
            <w:tcW w:w="1276" w:type="dxa"/>
            <w:vMerge w:val="restart"/>
            <w:vAlign w:val="center"/>
          </w:tcPr>
          <w:p>
            <w:pPr>
              <w:jc w:val="center"/>
              <w:rPr>
                <w:rFonts w:hAnsi="宋体" w:cs="宋体"/>
                <w:sz w:val="24"/>
                <w:szCs w:val="24"/>
              </w:rPr>
            </w:pPr>
            <w:r>
              <w:rPr>
                <w:rFonts w:hint="eastAsia" w:hAnsi="宋体" w:cs="宋体"/>
                <w:sz w:val="24"/>
                <w:szCs w:val="24"/>
              </w:rPr>
              <w:t>风险管理措施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rPr>
                <w:rFonts w:hAnsi="宋体" w:cs="宋体"/>
                <w:sz w:val="24"/>
                <w:szCs w:val="24"/>
              </w:rPr>
            </w:pPr>
            <w:r>
              <w:rPr>
                <w:rFonts w:hint="eastAsia" w:hAnsi="宋体" w:cs="宋体"/>
                <w:sz w:val="24"/>
                <w:szCs w:val="24"/>
              </w:rPr>
              <w:t>风险防控管理措施齐全，风险预控符合规范要求，风险控制要点定位准确，各阶段风险控制及应急措施得力。</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风险防控管理措施基本齐全，风险预控符合规范要求，风险控制要点定位基本准确，有各阶段风险控制及应急措施。</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43" w:type="dxa"/>
            <w:gridSpan w:val="2"/>
            <w:vAlign w:val="center"/>
          </w:tcPr>
          <w:p>
            <w:pPr>
              <w:jc w:val="center"/>
              <w:rPr>
                <w:rFonts w:hAnsi="宋体" w:cs="宋体"/>
                <w:sz w:val="24"/>
                <w:szCs w:val="24"/>
              </w:rPr>
            </w:pPr>
            <w:r>
              <w:rPr>
                <w:rFonts w:hint="eastAsia" w:hAnsi="宋体" w:cs="宋体"/>
                <w:sz w:val="24"/>
                <w:szCs w:val="24"/>
              </w:rPr>
              <w:t>合计</w:t>
            </w:r>
          </w:p>
        </w:tc>
        <w:tc>
          <w:tcPr>
            <w:tcW w:w="1175" w:type="dxa"/>
            <w:vAlign w:val="center"/>
          </w:tcPr>
          <w:p>
            <w:pPr>
              <w:jc w:val="center"/>
              <w:rPr>
                <w:rFonts w:hAnsi="宋体" w:cs="宋体"/>
                <w:sz w:val="24"/>
                <w:szCs w:val="24"/>
              </w:rPr>
            </w:pPr>
            <w:r>
              <w:rPr>
                <w:rFonts w:hint="eastAsia" w:hAnsi="宋体" w:cs="宋体"/>
                <w:sz w:val="24"/>
                <w:szCs w:val="24"/>
              </w:rPr>
              <w:t>10-25分</w:t>
            </w:r>
          </w:p>
        </w:tc>
        <w:tc>
          <w:tcPr>
            <w:tcW w:w="5204" w:type="dxa"/>
            <w:vAlign w:val="center"/>
          </w:tcPr>
          <w:p>
            <w:pPr>
              <w:rPr>
                <w:rFonts w:hAnsi="宋体" w:cs="宋体"/>
                <w:sz w:val="24"/>
                <w:szCs w:val="24"/>
              </w:rPr>
            </w:pPr>
          </w:p>
        </w:tc>
        <w:tc>
          <w:tcPr>
            <w:tcW w:w="1683" w:type="dxa"/>
            <w:vAlign w:val="center"/>
          </w:tcPr>
          <w:p>
            <w:pPr>
              <w:jc w:val="center"/>
              <w:rPr>
                <w:rFonts w:hAnsi="宋体" w:cs="宋体"/>
                <w:sz w:val="24"/>
                <w:szCs w:val="24"/>
              </w:rPr>
            </w:pPr>
            <w:r>
              <w:rPr>
                <w:rFonts w:hint="eastAsia" w:hAnsi="宋体" w:cs="宋体"/>
                <w:sz w:val="24"/>
                <w:szCs w:val="24"/>
              </w:rPr>
              <w:t>10≤得分≤25</w:t>
            </w:r>
          </w:p>
        </w:tc>
      </w:tr>
    </w:tbl>
    <w:p>
      <w:pPr>
        <w:autoSpaceDE w:val="0"/>
        <w:autoSpaceDN w:val="0"/>
        <w:spacing w:line="460" w:lineRule="exact"/>
        <w:contextualSpacing/>
        <w:jc w:val="left"/>
        <w:outlineLvl w:val="0"/>
        <w:rPr>
          <w:rFonts w:ascii="新宋体" w:hAnsi="新宋体" w:eastAsia="新宋体" w:cs="宋体"/>
          <w:b/>
          <w:bCs/>
          <w:sz w:val="24"/>
          <w:szCs w:val="24"/>
        </w:rPr>
      </w:pPr>
    </w:p>
    <w:p>
      <w:pPr>
        <w:autoSpaceDE w:val="0"/>
        <w:autoSpaceDN w:val="0"/>
        <w:spacing w:line="460" w:lineRule="exact"/>
        <w:ind w:firstLine="480" w:firstLineChars="200"/>
        <w:contextualSpacing/>
        <w:jc w:val="left"/>
        <w:outlineLvl w:val="0"/>
        <w:rPr>
          <w:rFonts w:ascii="新宋体" w:hAnsi="新宋体" w:eastAsia="新宋体" w:cs="宋体"/>
          <w:b/>
          <w:bCs/>
          <w:sz w:val="24"/>
          <w:szCs w:val="24"/>
        </w:rPr>
      </w:pPr>
      <w:r>
        <w:rPr>
          <w:rFonts w:hint="eastAsia" w:ascii="新宋体" w:hAnsi="新宋体" w:eastAsia="新宋体" w:cs="宋体"/>
          <w:b/>
          <w:bCs/>
          <w:sz w:val="24"/>
          <w:szCs w:val="24"/>
        </w:rPr>
        <w:t>（四）综合（信用）标的评标分值2</w:t>
      </w:r>
      <w:r>
        <w:rPr>
          <w:rFonts w:ascii="新宋体" w:hAnsi="新宋体" w:eastAsia="新宋体" w:cs="宋体"/>
          <w:b/>
          <w:bCs/>
          <w:sz w:val="24"/>
          <w:szCs w:val="24"/>
        </w:rPr>
        <w:t>5</w:t>
      </w:r>
      <w:r>
        <w:rPr>
          <w:rFonts w:hint="eastAsia" w:ascii="新宋体" w:hAnsi="新宋体" w:eastAsia="新宋体" w:cs="宋体"/>
          <w:b/>
          <w:bCs/>
          <w:sz w:val="24"/>
          <w:szCs w:val="24"/>
        </w:rPr>
        <w:t>分</w:t>
      </w:r>
    </w:p>
    <w:tbl>
      <w:tblPr>
        <w:tblStyle w:val="11"/>
        <w:tblW w:w="9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17"/>
        <w:gridCol w:w="5699"/>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30" w:type="dxa"/>
            <w:vAlign w:val="center"/>
          </w:tcPr>
          <w:p>
            <w:pPr>
              <w:jc w:val="center"/>
              <w:rPr>
                <w:rFonts w:hAnsi="宋体" w:cs="宋体"/>
                <w:sz w:val="24"/>
                <w:szCs w:val="24"/>
              </w:rPr>
            </w:pPr>
            <w:r>
              <w:rPr>
                <w:rFonts w:hint="eastAsia" w:hAnsi="宋体" w:cs="宋体"/>
                <w:sz w:val="24"/>
                <w:szCs w:val="24"/>
              </w:rPr>
              <w:t>序号</w:t>
            </w:r>
          </w:p>
        </w:tc>
        <w:tc>
          <w:tcPr>
            <w:tcW w:w="1417" w:type="dxa"/>
            <w:vAlign w:val="center"/>
          </w:tcPr>
          <w:p>
            <w:pPr>
              <w:jc w:val="center"/>
              <w:rPr>
                <w:rFonts w:hAnsi="宋体" w:cs="宋体"/>
                <w:sz w:val="24"/>
                <w:szCs w:val="24"/>
              </w:rPr>
            </w:pPr>
            <w:r>
              <w:rPr>
                <w:rFonts w:hint="eastAsia" w:hAnsi="宋体" w:cs="宋体"/>
                <w:sz w:val="24"/>
                <w:szCs w:val="24"/>
              </w:rPr>
              <w:t>项     目</w:t>
            </w:r>
          </w:p>
        </w:tc>
        <w:tc>
          <w:tcPr>
            <w:tcW w:w="5699" w:type="dxa"/>
            <w:vAlign w:val="center"/>
          </w:tcPr>
          <w:p>
            <w:pPr>
              <w:jc w:val="center"/>
              <w:rPr>
                <w:rFonts w:hAnsi="宋体" w:cs="宋体"/>
                <w:sz w:val="24"/>
                <w:szCs w:val="24"/>
              </w:rPr>
            </w:pPr>
            <w:r>
              <w:rPr>
                <w:rFonts w:hint="eastAsia" w:hAnsi="宋体" w:cs="宋体"/>
                <w:sz w:val="24"/>
                <w:szCs w:val="24"/>
              </w:rPr>
              <w:t>评  审   标   准</w:t>
            </w:r>
          </w:p>
        </w:tc>
        <w:tc>
          <w:tcPr>
            <w:tcW w:w="1691" w:type="dxa"/>
            <w:vAlign w:val="center"/>
          </w:tcPr>
          <w:p>
            <w:pPr>
              <w:jc w:val="center"/>
              <w:rPr>
                <w:rFonts w:hAnsi="宋体" w:cs="宋体"/>
                <w:sz w:val="24"/>
                <w:szCs w:val="24"/>
              </w:rPr>
            </w:pPr>
            <w:r>
              <w:rPr>
                <w:rFonts w:hint="eastAsia" w:hAnsi="宋体" w:cs="宋体"/>
                <w:sz w:val="24"/>
                <w:szCs w:val="24"/>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730" w:type="dxa"/>
            <w:vAlign w:val="center"/>
          </w:tcPr>
          <w:p>
            <w:pPr>
              <w:jc w:val="center"/>
              <w:rPr>
                <w:rFonts w:hAnsi="宋体" w:cs="宋体"/>
                <w:sz w:val="24"/>
                <w:szCs w:val="24"/>
              </w:rPr>
            </w:pPr>
            <w:r>
              <w:rPr>
                <w:rFonts w:hint="eastAsia" w:hAnsi="宋体" w:cs="宋体"/>
                <w:sz w:val="24"/>
                <w:szCs w:val="24"/>
              </w:rPr>
              <w:t>1</w:t>
            </w:r>
          </w:p>
        </w:tc>
        <w:tc>
          <w:tcPr>
            <w:tcW w:w="1417" w:type="dxa"/>
            <w:vAlign w:val="center"/>
          </w:tcPr>
          <w:p>
            <w:pPr>
              <w:jc w:val="center"/>
              <w:rPr>
                <w:rFonts w:hAnsi="宋体" w:cs="宋体"/>
                <w:sz w:val="24"/>
                <w:szCs w:val="24"/>
              </w:rPr>
            </w:pPr>
            <w:r>
              <w:rPr>
                <w:rFonts w:hint="eastAsia" w:hAnsi="宋体" w:cs="宋体"/>
                <w:sz w:val="24"/>
                <w:szCs w:val="24"/>
              </w:rPr>
              <w:t>企业业绩</w:t>
            </w:r>
          </w:p>
        </w:tc>
        <w:tc>
          <w:tcPr>
            <w:tcW w:w="5699" w:type="dxa"/>
            <w:vAlign w:val="center"/>
          </w:tcPr>
          <w:p>
            <w:pPr>
              <w:spacing w:line="300" w:lineRule="exact"/>
              <w:jc w:val="left"/>
              <w:rPr>
                <w:rFonts w:hAnsi="宋体" w:cs="宋体"/>
                <w:sz w:val="24"/>
                <w:szCs w:val="24"/>
              </w:rPr>
            </w:pPr>
            <w:r>
              <w:rPr>
                <w:rFonts w:hint="eastAsia" w:hAnsi="宋体" w:cs="宋体"/>
                <w:sz w:val="24"/>
                <w:szCs w:val="24"/>
              </w:rPr>
              <w:t>2016年1月1日以来，投标人承担过的类似项目业绩，每项得2分，本项最高得4分。（应提供法定媒介中标（成交）公示网页截图、合同、中标通知书（或竣工备案表）缺一项不得分。）</w:t>
            </w:r>
          </w:p>
        </w:tc>
        <w:tc>
          <w:tcPr>
            <w:tcW w:w="1691" w:type="dxa"/>
            <w:vAlign w:val="center"/>
          </w:tcPr>
          <w:p>
            <w:pPr>
              <w:jc w:val="center"/>
              <w:rPr>
                <w:rFonts w:hAnsi="宋体" w:cs="宋体"/>
                <w:sz w:val="24"/>
                <w:szCs w:val="24"/>
              </w:rPr>
            </w:pPr>
            <w:r>
              <w:rPr>
                <w:rFonts w:hint="eastAsia" w:hAnsi="宋体" w:cs="宋体"/>
                <w:sz w:val="24"/>
                <w:szCs w:val="24"/>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30" w:type="dxa"/>
            <w:vAlign w:val="center"/>
          </w:tcPr>
          <w:p>
            <w:pPr>
              <w:jc w:val="center"/>
              <w:rPr>
                <w:rFonts w:hAnsi="宋体" w:cs="宋体"/>
                <w:sz w:val="24"/>
                <w:szCs w:val="24"/>
              </w:rPr>
            </w:pPr>
            <w:r>
              <w:rPr>
                <w:rFonts w:hint="eastAsia" w:hAnsi="宋体" w:cs="宋体"/>
                <w:sz w:val="24"/>
                <w:szCs w:val="24"/>
              </w:rPr>
              <w:t>2</w:t>
            </w:r>
          </w:p>
        </w:tc>
        <w:tc>
          <w:tcPr>
            <w:tcW w:w="1417" w:type="dxa"/>
            <w:vAlign w:val="center"/>
          </w:tcPr>
          <w:p>
            <w:pPr>
              <w:jc w:val="center"/>
              <w:rPr>
                <w:rFonts w:hAnsi="宋体" w:cs="宋体"/>
                <w:sz w:val="24"/>
                <w:szCs w:val="24"/>
              </w:rPr>
            </w:pPr>
            <w:r>
              <w:rPr>
                <w:rFonts w:hint="eastAsia" w:hAnsi="宋体"/>
                <w:sz w:val="24"/>
                <w:szCs w:val="24"/>
              </w:rPr>
              <w:t>项目负责人</w:t>
            </w:r>
            <w:r>
              <w:rPr>
                <w:rFonts w:hint="eastAsia" w:hAnsi="宋体" w:cs="宋体"/>
                <w:sz w:val="24"/>
                <w:szCs w:val="24"/>
              </w:rPr>
              <w:t>业绩</w:t>
            </w:r>
          </w:p>
        </w:tc>
        <w:tc>
          <w:tcPr>
            <w:tcW w:w="5699" w:type="dxa"/>
            <w:vAlign w:val="center"/>
          </w:tcPr>
          <w:p>
            <w:pPr>
              <w:spacing w:line="300" w:lineRule="exact"/>
              <w:jc w:val="left"/>
              <w:rPr>
                <w:rFonts w:hAnsi="宋体" w:cs="宋体"/>
                <w:sz w:val="24"/>
                <w:szCs w:val="24"/>
              </w:rPr>
            </w:pPr>
            <w:r>
              <w:rPr>
                <w:rFonts w:hint="eastAsia" w:hAnsi="宋体" w:cs="宋体"/>
                <w:sz w:val="24"/>
                <w:szCs w:val="24"/>
              </w:rPr>
              <w:t>拟派项目负责人2016年1月1日以来，承担过类似项目业绩的，得2分，本项最高得6分。（应提供法定媒介中标（成交）公示网页截图、合同、中标通知书（或竣工备案表）缺一项不得分。）</w:t>
            </w:r>
          </w:p>
        </w:tc>
        <w:tc>
          <w:tcPr>
            <w:tcW w:w="1691" w:type="dxa"/>
            <w:vAlign w:val="center"/>
          </w:tcPr>
          <w:p>
            <w:pPr>
              <w:jc w:val="center"/>
              <w:rPr>
                <w:rFonts w:hAnsi="宋体" w:cs="宋体"/>
                <w:sz w:val="24"/>
                <w:szCs w:val="24"/>
              </w:rPr>
            </w:pPr>
            <w:r>
              <w:rPr>
                <w:rFonts w:hint="eastAsia" w:hAnsi="宋体" w:cs="宋体"/>
                <w:sz w:val="24"/>
                <w:szCs w:val="24"/>
              </w:rPr>
              <w:t>0＜得分≤6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30" w:type="dxa"/>
            <w:vMerge w:val="restart"/>
            <w:vAlign w:val="center"/>
          </w:tcPr>
          <w:p>
            <w:pPr>
              <w:jc w:val="center"/>
              <w:rPr>
                <w:rFonts w:hAnsi="宋体" w:cs="宋体"/>
                <w:sz w:val="24"/>
                <w:szCs w:val="24"/>
              </w:rPr>
            </w:pPr>
            <w:r>
              <w:rPr>
                <w:rFonts w:hint="eastAsia" w:hAnsi="宋体" w:cs="宋体"/>
                <w:sz w:val="24"/>
                <w:szCs w:val="24"/>
              </w:rPr>
              <w:t>3</w:t>
            </w:r>
          </w:p>
        </w:tc>
        <w:tc>
          <w:tcPr>
            <w:tcW w:w="1417" w:type="dxa"/>
            <w:vMerge w:val="restart"/>
            <w:vAlign w:val="center"/>
          </w:tcPr>
          <w:p>
            <w:pPr>
              <w:jc w:val="center"/>
              <w:rPr>
                <w:rFonts w:hAnsi="宋体" w:cs="宋体"/>
                <w:sz w:val="24"/>
                <w:szCs w:val="24"/>
              </w:rPr>
            </w:pPr>
            <w:r>
              <w:rPr>
                <w:rFonts w:hint="eastAsia" w:hAnsi="宋体" w:cs="宋体"/>
                <w:sz w:val="24"/>
                <w:szCs w:val="24"/>
              </w:rPr>
              <w:t>优惠承诺</w:t>
            </w:r>
          </w:p>
        </w:tc>
        <w:tc>
          <w:tcPr>
            <w:tcW w:w="5699" w:type="dxa"/>
            <w:vAlign w:val="center"/>
          </w:tcPr>
          <w:p>
            <w:pPr>
              <w:spacing w:line="300" w:lineRule="exact"/>
              <w:jc w:val="left"/>
              <w:rPr>
                <w:rFonts w:hAnsi="宋体" w:cs="宋体"/>
                <w:sz w:val="24"/>
                <w:szCs w:val="24"/>
              </w:rPr>
            </w:pPr>
            <w:r>
              <w:rPr>
                <w:rFonts w:hint="eastAsia" w:hAnsi="宋体" w:cs="宋体"/>
                <w:sz w:val="24"/>
                <w:szCs w:val="24"/>
              </w:rPr>
              <w:t>优惠承诺应是书面的符合工程实际情况，确保依法依规，优惠合理，详实可行。</w:t>
            </w:r>
          </w:p>
        </w:tc>
        <w:tc>
          <w:tcPr>
            <w:tcW w:w="1691" w:type="dxa"/>
            <w:vAlign w:val="center"/>
          </w:tcPr>
          <w:p>
            <w:pPr>
              <w:jc w:val="center"/>
              <w:rPr>
                <w:rFonts w:hAnsi="宋体" w:cs="宋体"/>
                <w:sz w:val="24"/>
                <w:szCs w:val="24"/>
              </w:rPr>
            </w:pPr>
            <w:r>
              <w:rPr>
                <w:rFonts w:hint="eastAsia" w:hAnsi="宋体" w:cs="宋体"/>
                <w:sz w:val="24"/>
                <w:szCs w:val="24"/>
              </w:rPr>
              <w:t>3＜得分≤4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30" w:type="dxa"/>
            <w:vMerge w:val="continue"/>
            <w:vAlign w:val="center"/>
          </w:tcPr>
          <w:p>
            <w:pPr>
              <w:jc w:val="left"/>
              <w:rPr>
                <w:rFonts w:hAnsi="宋体" w:cs="宋体"/>
                <w:sz w:val="24"/>
                <w:szCs w:val="24"/>
              </w:rPr>
            </w:pPr>
          </w:p>
        </w:tc>
        <w:tc>
          <w:tcPr>
            <w:tcW w:w="1417" w:type="dxa"/>
            <w:vMerge w:val="continue"/>
            <w:vAlign w:val="center"/>
          </w:tcPr>
          <w:p>
            <w:pPr>
              <w:jc w:val="left"/>
              <w:rPr>
                <w:rFonts w:hAnsi="宋体" w:cs="宋体"/>
                <w:sz w:val="24"/>
                <w:szCs w:val="24"/>
              </w:rPr>
            </w:pPr>
          </w:p>
        </w:tc>
        <w:tc>
          <w:tcPr>
            <w:tcW w:w="5699" w:type="dxa"/>
            <w:vAlign w:val="center"/>
          </w:tcPr>
          <w:p>
            <w:pPr>
              <w:spacing w:line="300" w:lineRule="exact"/>
              <w:jc w:val="left"/>
              <w:rPr>
                <w:rFonts w:hAnsi="宋体" w:cs="宋体"/>
                <w:sz w:val="24"/>
                <w:szCs w:val="24"/>
              </w:rPr>
            </w:pPr>
            <w:r>
              <w:rPr>
                <w:rFonts w:hint="eastAsia" w:hAnsi="宋体" w:cs="宋体"/>
                <w:sz w:val="24"/>
                <w:szCs w:val="24"/>
              </w:rPr>
              <w:t>优惠承诺符合工程实际情况，确保依法依规，优惠基本合理，基本详实可行。</w:t>
            </w:r>
          </w:p>
        </w:tc>
        <w:tc>
          <w:tcPr>
            <w:tcW w:w="1691" w:type="dxa"/>
            <w:vAlign w:val="center"/>
          </w:tcPr>
          <w:p>
            <w:pPr>
              <w:jc w:val="center"/>
              <w:rPr>
                <w:rFonts w:hAnsi="宋体" w:cs="宋体"/>
                <w:sz w:val="24"/>
                <w:szCs w:val="24"/>
              </w:rPr>
            </w:pPr>
            <w:r>
              <w:rPr>
                <w:rFonts w:hint="eastAsia" w:hAnsi="宋体" w:cs="宋体"/>
                <w:sz w:val="24"/>
                <w:szCs w:val="24"/>
              </w:rPr>
              <w:t>1≤得分≤3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30" w:type="dxa"/>
            <w:vMerge w:val="restart"/>
            <w:vAlign w:val="center"/>
          </w:tcPr>
          <w:p>
            <w:pPr>
              <w:jc w:val="center"/>
              <w:rPr>
                <w:rFonts w:hAnsi="宋体" w:cs="宋体"/>
                <w:sz w:val="24"/>
                <w:szCs w:val="24"/>
              </w:rPr>
            </w:pPr>
            <w:r>
              <w:rPr>
                <w:rFonts w:hint="eastAsia" w:hAnsi="宋体" w:cs="宋体"/>
                <w:sz w:val="24"/>
                <w:szCs w:val="24"/>
              </w:rPr>
              <w:t>4</w:t>
            </w:r>
          </w:p>
        </w:tc>
        <w:tc>
          <w:tcPr>
            <w:tcW w:w="1417" w:type="dxa"/>
            <w:vMerge w:val="restart"/>
            <w:vAlign w:val="center"/>
          </w:tcPr>
          <w:p>
            <w:pPr>
              <w:jc w:val="center"/>
              <w:rPr>
                <w:rFonts w:hAnsi="宋体" w:cs="宋体"/>
                <w:sz w:val="24"/>
                <w:szCs w:val="24"/>
              </w:rPr>
            </w:pPr>
            <w:r>
              <w:rPr>
                <w:rFonts w:hint="eastAsia" w:hAnsi="宋体" w:cs="宋体"/>
                <w:sz w:val="24"/>
                <w:szCs w:val="24"/>
              </w:rPr>
              <w:t>履职尽责承诺</w:t>
            </w:r>
          </w:p>
        </w:tc>
        <w:tc>
          <w:tcPr>
            <w:tcW w:w="5699" w:type="dxa"/>
            <w:vAlign w:val="center"/>
          </w:tcPr>
          <w:p>
            <w:pPr>
              <w:spacing w:line="300" w:lineRule="exact"/>
              <w:jc w:val="left"/>
              <w:rPr>
                <w:rFonts w:hAnsi="宋体" w:cs="宋体"/>
                <w:sz w:val="24"/>
                <w:szCs w:val="24"/>
              </w:rPr>
            </w:pPr>
            <w:r>
              <w:rPr>
                <w:rFonts w:hint="eastAsia" w:hAnsi="宋体" w:cs="宋体"/>
                <w:sz w:val="24"/>
                <w:szCs w:val="24"/>
              </w:rPr>
              <w:t>具有全面、详实、可行、合法有效的书面保证技术措施落实到位的承诺和落实不到位的处理承诺，其中包括各关键岗位人员（</w:t>
            </w:r>
            <w:r>
              <w:rPr>
                <w:rFonts w:hint="eastAsia" w:hAnsi="宋体"/>
                <w:sz w:val="24"/>
                <w:szCs w:val="24"/>
              </w:rPr>
              <w:t>项目负责人</w:t>
            </w:r>
            <w:r>
              <w:rPr>
                <w:rFonts w:hint="eastAsia" w:hAnsi="宋体" w:cs="宋体"/>
                <w:sz w:val="24"/>
                <w:szCs w:val="24"/>
              </w:rPr>
              <w:t>、技术负责人及相关技术人员、质量员、安全员、材料员、施工员等）的在岗、更换等履职尽责承诺，提供承包商履约保证。</w:t>
            </w:r>
          </w:p>
        </w:tc>
        <w:tc>
          <w:tcPr>
            <w:tcW w:w="1691" w:type="dxa"/>
            <w:vAlign w:val="center"/>
          </w:tcPr>
          <w:p>
            <w:pPr>
              <w:jc w:val="center"/>
              <w:rPr>
                <w:rFonts w:hAnsi="宋体" w:cs="宋体"/>
                <w:sz w:val="24"/>
                <w:szCs w:val="24"/>
              </w:rPr>
            </w:pPr>
            <w:r>
              <w:rPr>
                <w:rFonts w:hint="eastAsia" w:hAnsi="宋体" w:cs="宋体"/>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30" w:type="dxa"/>
            <w:vMerge w:val="continue"/>
            <w:vAlign w:val="center"/>
          </w:tcPr>
          <w:p>
            <w:pPr>
              <w:jc w:val="left"/>
              <w:rPr>
                <w:rFonts w:hAnsi="宋体" w:cs="宋体"/>
                <w:sz w:val="24"/>
                <w:szCs w:val="24"/>
              </w:rPr>
            </w:pPr>
          </w:p>
        </w:tc>
        <w:tc>
          <w:tcPr>
            <w:tcW w:w="1417" w:type="dxa"/>
            <w:vMerge w:val="continue"/>
            <w:vAlign w:val="center"/>
          </w:tcPr>
          <w:p>
            <w:pPr>
              <w:jc w:val="left"/>
              <w:rPr>
                <w:rFonts w:hAnsi="宋体" w:cs="宋体"/>
                <w:sz w:val="24"/>
                <w:szCs w:val="24"/>
              </w:rPr>
            </w:pPr>
          </w:p>
        </w:tc>
        <w:tc>
          <w:tcPr>
            <w:tcW w:w="5699" w:type="dxa"/>
            <w:vAlign w:val="center"/>
          </w:tcPr>
          <w:p>
            <w:pPr>
              <w:spacing w:line="300" w:lineRule="exact"/>
              <w:jc w:val="left"/>
              <w:rPr>
                <w:rFonts w:hAnsi="宋体" w:cs="宋体"/>
                <w:sz w:val="24"/>
                <w:szCs w:val="24"/>
              </w:rPr>
            </w:pPr>
            <w:r>
              <w:rPr>
                <w:rFonts w:hint="eastAsia" w:hAnsi="宋体" w:cs="宋体"/>
                <w:sz w:val="24"/>
                <w:szCs w:val="24"/>
              </w:rPr>
              <w:t>具有可行、合法有效的书面保证技术措施落实到位的承诺和落实不到位的处理承诺，其中包括各关键岗位人员（</w:t>
            </w:r>
            <w:r>
              <w:rPr>
                <w:rFonts w:hint="eastAsia" w:hAnsi="宋体"/>
                <w:sz w:val="24"/>
                <w:szCs w:val="24"/>
              </w:rPr>
              <w:t>项目负责人</w:t>
            </w:r>
            <w:r>
              <w:rPr>
                <w:rFonts w:hint="eastAsia" w:hAnsi="宋体" w:cs="宋体"/>
                <w:sz w:val="24"/>
                <w:szCs w:val="24"/>
              </w:rPr>
              <w:t>、技术负责人及相关技术人员、质量员、安全员、材料员、施工员等）的在岗、更换等履职尽责承诺，提供承包商履约保证。</w:t>
            </w:r>
          </w:p>
        </w:tc>
        <w:tc>
          <w:tcPr>
            <w:tcW w:w="1691"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30" w:type="dxa"/>
            <w:vAlign w:val="center"/>
          </w:tcPr>
          <w:p>
            <w:pPr>
              <w:jc w:val="center"/>
              <w:rPr>
                <w:rFonts w:hAnsi="宋体" w:cs="宋体"/>
                <w:sz w:val="24"/>
                <w:szCs w:val="24"/>
              </w:rPr>
            </w:pPr>
            <w:r>
              <w:rPr>
                <w:rFonts w:hint="eastAsia" w:hAnsi="宋体" w:cs="宋体"/>
                <w:sz w:val="24"/>
                <w:szCs w:val="24"/>
              </w:rPr>
              <w:t>5</w:t>
            </w:r>
          </w:p>
        </w:tc>
        <w:tc>
          <w:tcPr>
            <w:tcW w:w="1417" w:type="dxa"/>
            <w:vAlign w:val="center"/>
          </w:tcPr>
          <w:p>
            <w:pPr>
              <w:jc w:val="center"/>
              <w:rPr>
                <w:rFonts w:hAnsi="宋体" w:cs="宋体"/>
                <w:sz w:val="24"/>
                <w:szCs w:val="24"/>
              </w:rPr>
            </w:pPr>
            <w:r>
              <w:rPr>
                <w:rFonts w:hint="eastAsia" w:hAnsi="宋体" w:cs="宋体"/>
                <w:sz w:val="24"/>
                <w:szCs w:val="24"/>
              </w:rPr>
              <w:t>企业信用</w:t>
            </w:r>
          </w:p>
        </w:tc>
        <w:tc>
          <w:tcPr>
            <w:tcW w:w="5699" w:type="dxa"/>
            <w:vAlign w:val="center"/>
          </w:tcPr>
          <w:p>
            <w:pPr>
              <w:spacing w:line="340" w:lineRule="exact"/>
              <w:jc w:val="left"/>
              <w:rPr>
                <w:rFonts w:hAnsi="宋体" w:cs="宋体"/>
                <w:sz w:val="24"/>
                <w:szCs w:val="24"/>
              </w:rPr>
            </w:pPr>
            <w:r>
              <w:rPr>
                <w:rFonts w:hint="eastAsia" w:hAnsi="宋体" w:cs="宋体"/>
                <w:sz w:val="24"/>
                <w:szCs w:val="24"/>
              </w:rPr>
              <w:t>2016年1月1日以来企业获得过市级安全文明工地，一项得1分；省级级以上安全文明工地，一项得2分，没有不得分，本项最高得4分。</w:t>
            </w:r>
          </w:p>
          <w:p>
            <w:pPr>
              <w:spacing w:line="340" w:lineRule="exact"/>
              <w:jc w:val="left"/>
              <w:rPr>
                <w:rFonts w:hAnsi="宋体" w:cs="宋体"/>
                <w:sz w:val="24"/>
                <w:szCs w:val="24"/>
              </w:rPr>
            </w:pPr>
            <w:r>
              <w:rPr>
                <w:rFonts w:hint="eastAsia" w:hAnsi="宋体" w:cs="宋体"/>
                <w:sz w:val="24"/>
                <w:szCs w:val="24"/>
              </w:rPr>
              <w:t>（</w:t>
            </w:r>
            <w:r>
              <w:rPr>
                <w:rFonts w:hint="eastAsia" w:hAnsi="宋体" w:cs="宋体"/>
                <w:b/>
                <w:bCs/>
                <w:sz w:val="24"/>
                <w:szCs w:val="24"/>
              </w:rPr>
              <w:t>具体企业信用详见本章附件1）</w:t>
            </w:r>
          </w:p>
        </w:tc>
        <w:tc>
          <w:tcPr>
            <w:tcW w:w="1691" w:type="dxa"/>
            <w:vAlign w:val="center"/>
          </w:tcPr>
          <w:p>
            <w:pPr>
              <w:jc w:val="center"/>
              <w:rPr>
                <w:rFonts w:hAnsi="宋体" w:cs="宋体"/>
                <w:sz w:val="24"/>
                <w:szCs w:val="24"/>
              </w:rPr>
            </w:pPr>
            <w:r>
              <w:rPr>
                <w:rFonts w:hint="eastAsia" w:hAnsi="宋体" w:cs="宋体"/>
                <w:sz w:val="24"/>
                <w:szCs w:val="24"/>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vAlign w:val="center"/>
          </w:tcPr>
          <w:p>
            <w:pPr>
              <w:jc w:val="center"/>
              <w:rPr>
                <w:rFonts w:hAnsi="宋体" w:cs="宋体"/>
                <w:sz w:val="24"/>
                <w:szCs w:val="24"/>
              </w:rPr>
            </w:pPr>
            <w:r>
              <w:rPr>
                <w:rFonts w:hint="eastAsia" w:hAnsi="宋体" w:cs="宋体"/>
                <w:sz w:val="24"/>
                <w:szCs w:val="24"/>
              </w:rPr>
              <w:t>6</w:t>
            </w:r>
          </w:p>
        </w:tc>
        <w:tc>
          <w:tcPr>
            <w:tcW w:w="1417" w:type="dxa"/>
            <w:vAlign w:val="center"/>
          </w:tcPr>
          <w:p>
            <w:pPr>
              <w:jc w:val="center"/>
              <w:rPr>
                <w:rFonts w:hAnsi="宋体" w:cs="宋体"/>
                <w:sz w:val="24"/>
                <w:szCs w:val="24"/>
              </w:rPr>
            </w:pPr>
            <w:r>
              <w:rPr>
                <w:rFonts w:hint="eastAsia" w:hAnsi="宋体"/>
                <w:sz w:val="24"/>
                <w:szCs w:val="24"/>
              </w:rPr>
              <w:t>项目负责人</w:t>
            </w:r>
            <w:r>
              <w:rPr>
                <w:rFonts w:hint="eastAsia" w:hAnsi="宋体" w:cs="宋体"/>
                <w:sz w:val="24"/>
                <w:szCs w:val="24"/>
              </w:rPr>
              <w:t>信用</w:t>
            </w:r>
          </w:p>
        </w:tc>
        <w:tc>
          <w:tcPr>
            <w:tcW w:w="5699" w:type="dxa"/>
            <w:vAlign w:val="center"/>
          </w:tcPr>
          <w:p>
            <w:pPr>
              <w:spacing w:line="340" w:lineRule="exact"/>
              <w:jc w:val="left"/>
              <w:rPr>
                <w:rFonts w:hAnsi="宋体" w:cs="宋体"/>
                <w:sz w:val="24"/>
                <w:szCs w:val="24"/>
              </w:rPr>
            </w:pPr>
            <w:r>
              <w:rPr>
                <w:rFonts w:hint="eastAsia" w:hAnsi="宋体" w:cs="宋体"/>
                <w:sz w:val="24"/>
                <w:szCs w:val="24"/>
              </w:rPr>
              <w:t>2016年1月1日以来</w:t>
            </w:r>
            <w:r>
              <w:rPr>
                <w:rFonts w:hint="eastAsia" w:hAnsi="宋体"/>
                <w:sz w:val="24"/>
                <w:szCs w:val="24"/>
              </w:rPr>
              <w:t>项目负责人</w:t>
            </w:r>
            <w:r>
              <w:rPr>
                <w:rFonts w:hint="eastAsia" w:hAnsi="宋体" w:cs="宋体"/>
                <w:sz w:val="24"/>
                <w:szCs w:val="24"/>
              </w:rPr>
              <w:t>曾获得过市级安全文明工地，一项得1分；省级及以上安全文明工地，一项得2分，没有不得分，本项最高得2分。</w:t>
            </w:r>
          </w:p>
          <w:p>
            <w:pPr>
              <w:spacing w:line="300" w:lineRule="exact"/>
              <w:jc w:val="left"/>
              <w:rPr>
                <w:rFonts w:hAnsi="宋体" w:cs="宋体"/>
                <w:sz w:val="24"/>
                <w:szCs w:val="24"/>
              </w:rPr>
            </w:pPr>
            <w:r>
              <w:rPr>
                <w:rFonts w:hint="eastAsia" w:hAnsi="宋体" w:cs="宋体"/>
                <w:sz w:val="24"/>
                <w:szCs w:val="24"/>
              </w:rPr>
              <w:t>（</w:t>
            </w:r>
            <w:r>
              <w:rPr>
                <w:rFonts w:hint="eastAsia" w:hAnsi="宋体" w:cs="宋体"/>
                <w:b/>
                <w:bCs/>
                <w:sz w:val="24"/>
                <w:szCs w:val="24"/>
              </w:rPr>
              <w:t>具体项目负责人信用详见本章附件2）</w:t>
            </w:r>
          </w:p>
        </w:tc>
        <w:tc>
          <w:tcPr>
            <w:tcW w:w="1691" w:type="dxa"/>
            <w:vAlign w:val="center"/>
          </w:tcPr>
          <w:p>
            <w:pPr>
              <w:jc w:val="center"/>
              <w:rPr>
                <w:rFonts w:hAnsi="宋体" w:cs="宋体"/>
                <w:sz w:val="24"/>
                <w:szCs w:val="24"/>
              </w:rPr>
            </w:pPr>
            <w:r>
              <w:rPr>
                <w:rFonts w:hint="eastAsia" w:hAnsi="宋体" w:cs="宋体"/>
                <w:sz w:val="24"/>
                <w:szCs w:val="24"/>
              </w:rPr>
              <w:t>0≤得分≤2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tcPr>
          <w:p>
            <w:pPr>
              <w:jc w:val="center"/>
              <w:rPr>
                <w:rFonts w:hAnsi="宋体" w:cs="宋体"/>
                <w:sz w:val="24"/>
                <w:szCs w:val="24"/>
              </w:rPr>
            </w:pPr>
            <w:r>
              <w:rPr>
                <w:rFonts w:hint="eastAsia" w:hAnsi="宋体" w:cs="宋体"/>
                <w:sz w:val="24"/>
                <w:szCs w:val="24"/>
              </w:rPr>
              <w:t>7</w:t>
            </w:r>
          </w:p>
        </w:tc>
        <w:tc>
          <w:tcPr>
            <w:tcW w:w="1417" w:type="dxa"/>
            <w:vAlign w:val="center"/>
          </w:tcPr>
          <w:p>
            <w:pPr>
              <w:jc w:val="center"/>
              <w:rPr>
                <w:rFonts w:hAnsi="宋体" w:cs="宋体"/>
                <w:sz w:val="24"/>
                <w:szCs w:val="24"/>
              </w:rPr>
            </w:pPr>
            <w:r>
              <w:rPr>
                <w:rFonts w:hint="eastAsia" w:hAnsi="宋体" w:cs="宋体"/>
                <w:sz w:val="24"/>
                <w:szCs w:val="24"/>
              </w:rPr>
              <w:t>招标人意见</w:t>
            </w:r>
          </w:p>
        </w:tc>
        <w:tc>
          <w:tcPr>
            <w:tcW w:w="5699" w:type="dxa"/>
            <w:vAlign w:val="center"/>
          </w:tcPr>
          <w:p>
            <w:pPr>
              <w:rPr>
                <w:rFonts w:hAnsi="宋体" w:cs="宋体"/>
                <w:sz w:val="24"/>
                <w:szCs w:val="24"/>
              </w:rPr>
            </w:pPr>
            <w:r>
              <w:rPr>
                <w:rFonts w:hint="eastAsia" w:hAnsi="宋体" w:cs="宋体"/>
                <w:sz w:val="24"/>
                <w:szCs w:val="24"/>
              </w:rPr>
              <w:t>各投标人得分均按2分计算。</w:t>
            </w:r>
          </w:p>
        </w:tc>
        <w:tc>
          <w:tcPr>
            <w:tcW w:w="1691" w:type="dxa"/>
            <w:vAlign w:val="center"/>
          </w:tcPr>
          <w:p>
            <w:pPr>
              <w:jc w:val="center"/>
              <w:rPr>
                <w:rFonts w:hAnsi="宋体" w:cs="宋体"/>
                <w:sz w:val="24"/>
                <w:szCs w:val="24"/>
              </w:rPr>
            </w:pPr>
            <w:r>
              <w:rPr>
                <w:rFonts w:hint="eastAsia" w:hAnsi="宋体" w:cs="宋体"/>
                <w:sz w:val="24"/>
                <w:szCs w:val="24"/>
              </w:rPr>
              <w:t>0≤得分≤2分</w:t>
            </w:r>
          </w:p>
        </w:tc>
      </w:tr>
    </w:tbl>
    <w:p>
      <w:pPr>
        <w:autoSpaceDE w:val="0"/>
        <w:autoSpaceDN w:val="0"/>
        <w:spacing w:line="460" w:lineRule="exact"/>
        <w:ind w:firstLine="480" w:firstLineChars="200"/>
        <w:contextualSpacing/>
        <w:jc w:val="left"/>
        <w:outlineLvl w:val="0"/>
        <w:rPr>
          <w:rFonts w:ascii="新宋体" w:hAnsi="新宋体" w:eastAsia="新宋体" w:cs="宋体"/>
          <w:b/>
          <w:sz w:val="24"/>
          <w:szCs w:val="24"/>
        </w:rPr>
      </w:pPr>
      <w:r>
        <w:rPr>
          <w:rFonts w:hint="eastAsia" w:ascii="新宋体" w:hAnsi="新宋体" w:eastAsia="新宋体" w:cs="宋体"/>
          <w:b/>
          <w:sz w:val="24"/>
          <w:szCs w:val="24"/>
        </w:rPr>
        <w:t>注：1）业绩合同以合同签订日期为准。</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（五）投标人综合得分按下列公式计算：评标委员会完成对技术标、综合（信用）标的汇总后，评标委员会取所有评委评分的平均值作为该投标人的最终得分。</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投标人最终得分=技术标平均得分+商务标得分+综合（信用）标平均得分</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计算分值均四舍五入保留两位小数。</w:t>
      </w:r>
      <w:bookmarkStart w:id="109" w:name="_Toc21547"/>
      <w:bookmarkEnd w:id="109"/>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（六）投标人的最终得分及中标候选人排序</w:t>
      </w:r>
    </w:p>
    <w:p>
      <w:pPr>
        <w:autoSpaceDE w:val="0"/>
        <w:autoSpaceDN w:val="0"/>
        <w:spacing w:line="460" w:lineRule="exact"/>
        <w:ind w:firstLine="720" w:firstLineChars="300"/>
        <w:contextualSpacing/>
        <w:jc w:val="left"/>
        <w:outlineLvl w:val="0"/>
        <w:rPr>
          <w:rFonts w:ascii="新宋体" w:hAnsi="新宋体" w:eastAsia="新宋体" w:cs="宋体"/>
          <w:sz w:val="24"/>
          <w:szCs w:val="24"/>
        </w:rPr>
      </w:pPr>
      <w:bookmarkStart w:id="110" w:name="_Toc22631"/>
      <w:bookmarkEnd w:id="110"/>
      <w:r>
        <w:rPr>
          <w:rFonts w:hint="eastAsia" w:ascii="新宋体" w:hAnsi="新宋体" w:eastAsia="新宋体" w:cs="宋体"/>
          <w:sz w:val="24"/>
          <w:szCs w:val="24"/>
        </w:rPr>
        <w:t>评标委员会按照投标人的得分，由高到低排序，向招标人推荐1-3名中标候选人。当得分相等时，依次以商务标、综合（信用）标、技术标得分高低进行排序；若三项得分均相等时，可以通过公开随机抽取方式确定中标候选人的</w:t>
      </w:r>
    </w:p>
    <w:p>
      <w:pPr>
        <w:autoSpaceDE w:val="0"/>
        <w:autoSpaceDN w:val="0"/>
        <w:spacing w:line="460" w:lineRule="exact"/>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排序。</w:t>
      </w:r>
      <w:r>
        <w:rPr>
          <w:rFonts w:hint="eastAsia" w:ascii="新宋体" w:hAnsi="新宋体" w:eastAsia="新宋体" w:cs="宋体"/>
          <w:b/>
          <w:bCs/>
          <w:sz w:val="24"/>
          <w:szCs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bookmarkStart w:id="111" w:name="_Toc272833454"/>
      <w:bookmarkEnd w:id="111"/>
      <w:bookmarkStart w:id="112" w:name="_Toc397508135"/>
      <w:bookmarkEnd w:id="112"/>
      <w:bookmarkStart w:id="113" w:name="_Toc17480"/>
      <w:bookmarkEnd w:id="113"/>
      <w:bookmarkStart w:id="114" w:name="_Toc270931535"/>
      <w:bookmarkEnd w:id="114"/>
      <w:bookmarkStart w:id="115" w:name="_Toc273546399"/>
      <w:bookmarkEnd w:id="115"/>
      <w:bookmarkStart w:id="116" w:name="_Toc464824745"/>
      <w:bookmarkEnd w:id="116"/>
      <w:bookmarkStart w:id="117" w:name="_Toc295572536"/>
      <w:bookmarkEnd w:id="117"/>
      <w:bookmarkStart w:id="118" w:name="_Toc397606004"/>
      <w:bookmarkEnd w:id="118"/>
      <w:bookmarkStart w:id="119" w:name="_Toc397507722"/>
      <w:bookmarkEnd w:id="119"/>
    </w:p>
    <w:p>
      <w:pPr>
        <w:autoSpaceDE w:val="0"/>
        <w:autoSpaceDN w:val="0"/>
        <w:spacing w:line="460" w:lineRule="exact"/>
        <w:contextualSpacing/>
        <w:jc w:val="left"/>
        <w:outlineLvl w:val="0"/>
        <w:rPr>
          <w:rFonts w:ascii="新宋体" w:hAnsi="新宋体" w:eastAsia="新宋体" w:cs="宋体"/>
          <w:sz w:val="24"/>
          <w:szCs w:val="24"/>
        </w:rPr>
      </w:pPr>
      <w:r>
        <w:rPr>
          <w:rFonts w:hint="eastAsia" w:ascii="新宋体" w:hAnsi="新宋体" w:eastAsia="新宋体" w:cs="宋体"/>
          <w:b/>
          <w:bCs/>
          <w:sz w:val="24"/>
          <w:szCs w:val="24"/>
        </w:rPr>
        <w:t>九、澄清和说明</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20" w:name="_Toc464824746"/>
      <w:bookmarkEnd w:id="120"/>
      <w:bookmarkStart w:id="121" w:name="_Toc18189"/>
      <w:r>
        <w:rPr>
          <w:rFonts w:hint="eastAsia" w:ascii="新宋体" w:hAnsi="新宋体" w:eastAsia="新宋体" w:cs="宋体"/>
          <w:sz w:val="24"/>
          <w:szCs w:val="24"/>
        </w:rPr>
        <w:t>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bookmarkEnd w:id="121"/>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22" w:name="_Toc8308"/>
      <w:bookmarkEnd w:id="122"/>
      <w:bookmarkStart w:id="123" w:name="_Toc464824747"/>
      <w:r>
        <w:rPr>
          <w:rFonts w:hint="eastAsia" w:ascii="新宋体" w:hAnsi="新宋体" w:eastAsia="新宋体" w:cs="宋体"/>
          <w:sz w:val="24"/>
          <w:szCs w:val="24"/>
        </w:rPr>
        <w:t>投标文件中的大写金额和小写金额不一致的，以大写金额为准；总价金额与单价金额不一致的，以单价金额为准，但单价金额小数点有明显错误的除外；对不同文字文本投标文件的解释发生异议的，以中文文本为准。</w:t>
      </w:r>
      <w:bookmarkEnd w:id="123"/>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24" w:name="_Toc4170"/>
      <w:bookmarkEnd w:id="124"/>
      <w:bookmarkStart w:id="125" w:name="_Toc464824748"/>
      <w:r>
        <w:rPr>
          <w:rFonts w:hint="eastAsia" w:ascii="新宋体" w:hAnsi="新宋体" w:eastAsia="新宋体" w:cs="宋体"/>
          <w:sz w:val="24"/>
          <w:szCs w:val="24"/>
        </w:rPr>
        <w:t>调整后的报价经投标人确认后产生约束力，投标人不接受修正价格的，其投标将被否决。</w:t>
      </w:r>
      <w:bookmarkEnd w:id="125"/>
    </w:p>
    <w:p>
      <w:pPr>
        <w:autoSpaceDE w:val="0"/>
        <w:autoSpaceDN w:val="0"/>
        <w:spacing w:line="460" w:lineRule="exact"/>
        <w:contextualSpacing/>
        <w:jc w:val="left"/>
        <w:outlineLvl w:val="0"/>
        <w:rPr>
          <w:rFonts w:ascii="新宋体" w:hAnsi="新宋体" w:eastAsia="新宋体" w:cs="宋体"/>
          <w:b/>
          <w:bCs/>
          <w:sz w:val="24"/>
          <w:szCs w:val="24"/>
        </w:rPr>
      </w:pPr>
      <w:bookmarkStart w:id="126" w:name="_Toc464824749"/>
      <w:bookmarkEnd w:id="126"/>
      <w:bookmarkStart w:id="127" w:name="_Toc10515"/>
      <w:r>
        <w:rPr>
          <w:rFonts w:hint="eastAsia" w:ascii="新宋体" w:hAnsi="新宋体" w:eastAsia="新宋体" w:cs="宋体"/>
          <w:b/>
          <w:bCs/>
          <w:sz w:val="24"/>
          <w:szCs w:val="24"/>
        </w:rPr>
        <w:t>十、关于低价投标</w:t>
      </w:r>
      <w:bookmarkEnd w:id="127"/>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28" w:name="_Toc464824750"/>
      <w:bookmarkEnd w:id="128"/>
      <w:bookmarkStart w:id="129" w:name="_Toc20615"/>
      <w:r>
        <w:rPr>
          <w:rFonts w:hint="eastAsia" w:ascii="新宋体" w:hAnsi="新宋体" w:eastAsia="新宋体" w:cs="宋体"/>
          <w:sz w:val="24"/>
          <w:szCs w:val="24"/>
        </w:rPr>
        <w:t>在评标过程中，评标委员会发现投标人的报价明显低于其他投标报价或者在设有标底时明显低于标底，使得其投标报价可能低于其个别成本的，应当要求该投标人作出书面说明并提供相关证明材料。投标人不能合理说明或者不能提供相关证明材料的，由评标委员会认定该投标人以低于成本报价竞标，应当否决其投标。</w:t>
      </w:r>
      <w:bookmarkEnd w:id="129"/>
    </w:p>
    <w:p>
      <w:pPr>
        <w:autoSpaceDE w:val="0"/>
        <w:autoSpaceDN w:val="0"/>
        <w:spacing w:line="460" w:lineRule="exact"/>
        <w:contextualSpacing/>
        <w:jc w:val="left"/>
        <w:outlineLvl w:val="0"/>
        <w:rPr>
          <w:rFonts w:ascii="新宋体" w:hAnsi="新宋体" w:eastAsia="新宋体" w:cs="宋体"/>
          <w:b/>
          <w:bCs/>
          <w:sz w:val="24"/>
          <w:szCs w:val="24"/>
        </w:rPr>
      </w:pPr>
      <w:bookmarkStart w:id="130" w:name="_Toc17583"/>
      <w:bookmarkEnd w:id="130"/>
      <w:bookmarkStart w:id="131" w:name="_Toc464824751"/>
      <w:r>
        <w:rPr>
          <w:rFonts w:hint="eastAsia" w:ascii="新宋体" w:hAnsi="新宋体" w:eastAsia="新宋体" w:cs="宋体"/>
          <w:b/>
          <w:bCs/>
          <w:sz w:val="24"/>
          <w:szCs w:val="24"/>
        </w:rPr>
        <w:t>十一、投标文件的修正</w:t>
      </w:r>
      <w:bookmarkEnd w:id="131"/>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32" w:name="_Toc464824752"/>
      <w:bookmarkEnd w:id="132"/>
      <w:bookmarkStart w:id="133" w:name="_Toc10463"/>
      <w:r>
        <w:rPr>
          <w:rFonts w:hint="eastAsia" w:ascii="新宋体" w:hAnsi="新宋体" w:eastAsia="新宋体" w:cs="宋体"/>
          <w:sz w:val="24"/>
          <w:szCs w:val="24"/>
        </w:rPr>
        <w:t>投标文件不响应招标文件的实质性要求和条件的，评标委员会不得允许投标人通过修正或撤销其不符合要求的差异或保留，使之成为具有响应性的投标。</w:t>
      </w:r>
      <w:bookmarkEnd w:id="133"/>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34" w:name="_Toc31173"/>
      <w:bookmarkEnd w:id="134"/>
      <w:bookmarkStart w:id="135" w:name="_Toc464824753"/>
      <w:r>
        <w:rPr>
          <w:rFonts w:hint="eastAsia" w:ascii="新宋体" w:hAnsi="新宋体" w:eastAsia="新宋体" w:cs="宋体"/>
          <w:sz w:val="24"/>
          <w:szCs w:val="24"/>
        </w:rPr>
        <w:t>投标报价有算术错误的，评标委员会按以下原则进行修正：</w:t>
      </w:r>
      <w:bookmarkEnd w:id="135"/>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36" w:name="_Toc464824754"/>
      <w:bookmarkEnd w:id="136"/>
      <w:bookmarkStart w:id="137" w:name="_Toc4197"/>
      <w:r>
        <w:rPr>
          <w:rFonts w:hint="eastAsia" w:ascii="新宋体" w:hAnsi="新宋体" w:eastAsia="新宋体" w:cs="宋体"/>
          <w:sz w:val="24"/>
          <w:szCs w:val="24"/>
        </w:rPr>
        <w:t>（一）用数字表示的数额与用文字表示的数额不一致时，以文字数额为准；</w:t>
      </w:r>
      <w:bookmarkEnd w:id="137"/>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38" w:name="_Toc27518"/>
      <w:bookmarkEnd w:id="138"/>
      <w:bookmarkStart w:id="139" w:name="_Toc464824755"/>
      <w:r>
        <w:rPr>
          <w:rFonts w:hint="eastAsia" w:ascii="新宋体" w:hAnsi="新宋体" w:eastAsia="新宋体" w:cs="宋体"/>
          <w:sz w:val="24"/>
          <w:szCs w:val="24"/>
        </w:rPr>
        <w:t>（二）单价与工程量的乘积与总价之间不一致时，以单价为准。若单价有明显的小数点错位，应以总价为准，并修改单价。</w:t>
      </w:r>
      <w:bookmarkEnd w:id="139"/>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40" w:name="_Toc464824756"/>
      <w:bookmarkEnd w:id="140"/>
      <w:bookmarkStart w:id="141" w:name="_Toc3190"/>
      <w:r>
        <w:rPr>
          <w:rFonts w:hint="eastAsia" w:ascii="新宋体" w:hAnsi="新宋体" w:eastAsia="新宋体" w:cs="宋体"/>
          <w:sz w:val="24"/>
          <w:szCs w:val="24"/>
        </w:rPr>
        <w:t>调整后的报价经投标人确认后产生约束力，投标人不接受修正价格的，其投标将被否决。</w:t>
      </w:r>
      <w:bookmarkEnd w:id="141"/>
    </w:p>
    <w:p>
      <w:pPr>
        <w:autoSpaceDE w:val="0"/>
        <w:autoSpaceDN w:val="0"/>
        <w:spacing w:line="460" w:lineRule="exact"/>
        <w:contextualSpacing/>
        <w:jc w:val="left"/>
        <w:outlineLvl w:val="0"/>
        <w:rPr>
          <w:rFonts w:ascii="新宋体" w:hAnsi="新宋体" w:eastAsia="新宋体" w:cs="宋体"/>
          <w:b/>
          <w:bCs/>
          <w:sz w:val="24"/>
          <w:szCs w:val="24"/>
        </w:rPr>
      </w:pPr>
      <w:bookmarkStart w:id="142" w:name="_Toc9528"/>
      <w:bookmarkEnd w:id="142"/>
      <w:bookmarkStart w:id="143" w:name="_Toc464824757"/>
      <w:r>
        <w:rPr>
          <w:rFonts w:hint="eastAsia" w:ascii="新宋体" w:hAnsi="新宋体" w:eastAsia="新宋体" w:cs="宋体"/>
          <w:b/>
          <w:bCs/>
          <w:sz w:val="24"/>
          <w:szCs w:val="24"/>
        </w:rPr>
        <w:t>十二、投标文件的偏差</w:t>
      </w:r>
      <w:bookmarkEnd w:id="143"/>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44" w:name="_Toc464824758"/>
      <w:bookmarkEnd w:id="144"/>
      <w:bookmarkStart w:id="145" w:name="_Toc28835"/>
      <w:r>
        <w:rPr>
          <w:rFonts w:hint="eastAsia" w:ascii="新宋体" w:hAnsi="新宋体" w:eastAsia="新宋体" w:cs="宋体"/>
          <w:sz w:val="24"/>
          <w:szCs w:val="24"/>
        </w:rPr>
        <w:t>评标委员会应当根据招标文件，审查并逐项列出投标文件的全部投标偏差。投标偏差分为重大偏差和细微偏差。</w:t>
      </w:r>
      <w:bookmarkEnd w:id="145"/>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46" w:name="_Toc29503"/>
      <w:bookmarkEnd w:id="146"/>
      <w:bookmarkStart w:id="147" w:name="_Toc464824759"/>
      <w:r>
        <w:rPr>
          <w:rFonts w:hint="eastAsia" w:ascii="新宋体" w:hAnsi="新宋体" w:eastAsia="新宋体" w:cs="宋体"/>
          <w:sz w:val="24"/>
          <w:szCs w:val="24"/>
        </w:rPr>
        <w:t>下列情况属于重大偏差：</w:t>
      </w:r>
      <w:bookmarkEnd w:id="147"/>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48" w:name="_Toc464824760"/>
      <w:bookmarkEnd w:id="148"/>
      <w:bookmarkStart w:id="149" w:name="_Toc2817"/>
      <w:r>
        <w:rPr>
          <w:rFonts w:hint="eastAsia" w:ascii="新宋体" w:hAnsi="新宋体" w:eastAsia="新宋体" w:cs="宋体"/>
          <w:sz w:val="24"/>
          <w:szCs w:val="24"/>
        </w:rPr>
        <w:t>(一)没有按照招标文件要求提供投标</w:t>
      </w:r>
      <w:r>
        <w:rPr>
          <w:rFonts w:hint="eastAsia" w:hAnsi="宋体" w:cs="宋体"/>
          <w:sz w:val="24"/>
          <w:szCs w:val="24"/>
        </w:rPr>
        <w:t>保证金</w:t>
      </w:r>
      <w:r>
        <w:rPr>
          <w:rFonts w:hint="eastAsia" w:ascii="新宋体" w:hAnsi="新宋体" w:eastAsia="新宋体" w:cs="宋体"/>
          <w:sz w:val="24"/>
          <w:szCs w:val="24"/>
        </w:rPr>
        <w:t>或者所提供的投标</w:t>
      </w:r>
      <w:r>
        <w:rPr>
          <w:rFonts w:hint="eastAsia" w:hAnsi="宋体" w:cs="宋体"/>
          <w:sz w:val="24"/>
          <w:szCs w:val="24"/>
        </w:rPr>
        <w:t>保证金</w:t>
      </w:r>
      <w:r>
        <w:rPr>
          <w:rFonts w:hint="eastAsia" w:ascii="新宋体" w:hAnsi="新宋体" w:eastAsia="新宋体" w:cs="宋体"/>
          <w:sz w:val="24"/>
          <w:szCs w:val="24"/>
        </w:rPr>
        <w:t>有瑕疵；</w:t>
      </w:r>
      <w:bookmarkEnd w:id="149"/>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50" w:name="_Toc14952"/>
      <w:bookmarkEnd w:id="150"/>
      <w:bookmarkStart w:id="151" w:name="_Toc464824761"/>
      <w:r>
        <w:rPr>
          <w:rFonts w:hint="eastAsia" w:ascii="新宋体" w:hAnsi="新宋体" w:eastAsia="新宋体" w:cs="宋体"/>
          <w:sz w:val="24"/>
          <w:szCs w:val="24"/>
        </w:rPr>
        <w:t>(二)投标文件没有法定代表人或其委托代理人签字或盖章，并加盖单位公章；</w:t>
      </w:r>
      <w:bookmarkEnd w:id="151"/>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52" w:name="_Toc2013"/>
      <w:bookmarkEnd w:id="152"/>
      <w:bookmarkStart w:id="153" w:name="_Toc464824762"/>
      <w:r>
        <w:rPr>
          <w:rFonts w:hint="eastAsia" w:ascii="新宋体" w:hAnsi="新宋体" w:eastAsia="新宋体" w:cs="宋体"/>
          <w:sz w:val="24"/>
          <w:szCs w:val="24"/>
        </w:rPr>
        <w:t>(三)投标文件载明的招标项目完成期限超过招标文件规定的期限；</w:t>
      </w:r>
      <w:bookmarkEnd w:id="153"/>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54" w:name="_Toc3437"/>
      <w:bookmarkEnd w:id="154"/>
      <w:bookmarkStart w:id="155" w:name="_Toc464824763"/>
      <w:r>
        <w:rPr>
          <w:rFonts w:hint="eastAsia" w:ascii="新宋体" w:hAnsi="新宋体" w:eastAsia="新宋体" w:cs="宋体"/>
          <w:sz w:val="24"/>
          <w:szCs w:val="24"/>
        </w:rPr>
        <w:t>(四)明显不符合技术规格、技术标准的要求；</w:t>
      </w:r>
      <w:bookmarkEnd w:id="155"/>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56" w:name="_Toc28709"/>
      <w:bookmarkEnd w:id="156"/>
      <w:bookmarkStart w:id="157" w:name="_Toc464824764"/>
      <w:r>
        <w:rPr>
          <w:rFonts w:hint="eastAsia" w:ascii="新宋体" w:hAnsi="新宋体" w:eastAsia="新宋体" w:cs="宋体"/>
          <w:sz w:val="24"/>
          <w:szCs w:val="24"/>
        </w:rPr>
        <w:t>(五)投标文件载明的货物包装方式、检验标准和方法等不符合招标文件的要求；</w:t>
      </w:r>
      <w:bookmarkEnd w:id="157"/>
    </w:p>
    <w:p>
      <w:pPr>
        <w:autoSpaceDE w:val="0"/>
        <w:autoSpaceDN w:val="0"/>
        <w:spacing w:line="460" w:lineRule="exact"/>
        <w:contextualSpacing/>
        <w:jc w:val="left"/>
        <w:outlineLvl w:val="0"/>
        <w:rPr>
          <w:rFonts w:ascii="新宋体" w:hAnsi="新宋体" w:eastAsia="新宋体" w:cs="宋体"/>
          <w:sz w:val="24"/>
          <w:szCs w:val="24"/>
        </w:rPr>
      </w:pPr>
      <w:bookmarkStart w:id="158" w:name="_Toc464824765"/>
      <w:bookmarkEnd w:id="158"/>
      <w:bookmarkStart w:id="159" w:name="_Toc30262"/>
      <w:r>
        <w:rPr>
          <w:rFonts w:hint="eastAsia" w:ascii="新宋体" w:hAnsi="新宋体" w:eastAsia="新宋体" w:cs="宋体"/>
          <w:sz w:val="24"/>
          <w:szCs w:val="24"/>
        </w:rPr>
        <w:t>(六)投标文件附有招标人不能接受的条件；</w:t>
      </w:r>
      <w:bookmarkEnd w:id="159"/>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60" w:name="_Toc7"/>
      <w:bookmarkEnd w:id="160"/>
      <w:bookmarkStart w:id="161" w:name="_Toc464824766"/>
      <w:r>
        <w:rPr>
          <w:rFonts w:hint="eastAsia" w:ascii="新宋体" w:hAnsi="新宋体" w:eastAsia="新宋体" w:cs="宋体"/>
          <w:sz w:val="24"/>
          <w:szCs w:val="24"/>
        </w:rPr>
        <w:t>(七)不符合招标文件中规定的其他实质性要求。</w:t>
      </w:r>
      <w:bookmarkEnd w:id="161"/>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62" w:name="_Toc464824767"/>
      <w:bookmarkEnd w:id="162"/>
      <w:bookmarkStart w:id="163" w:name="_Toc23164"/>
      <w:r>
        <w:rPr>
          <w:rFonts w:hint="eastAsia" w:ascii="新宋体" w:hAnsi="新宋体" w:eastAsia="新宋体" w:cs="宋体"/>
          <w:sz w:val="24"/>
          <w:szCs w:val="24"/>
        </w:rPr>
        <w:t>投标文件有上述情形之一的，为未能对招标文件作出实质性响应，并作否决投标处理。招标文件初审列明的内容均为重大偏差。</w:t>
      </w:r>
      <w:bookmarkEnd w:id="163"/>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64" w:name="_Toc464824768"/>
      <w:bookmarkEnd w:id="164"/>
      <w:bookmarkStart w:id="165" w:name="_Toc16273"/>
      <w:r>
        <w:rPr>
          <w:rFonts w:hint="eastAsia" w:ascii="新宋体" w:hAnsi="新宋体" w:eastAsia="新宋体" w:cs="宋体"/>
          <w:sz w:val="24"/>
          <w:szCs w:val="24"/>
        </w:rPr>
        <w:t>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w:t>
      </w:r>
      <w:bookmarkEnd w:id="165"/>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66" w:name="_Toc464824769"/>
      <w:bookmarkEnd w:id="166"/>
      <w:bookmarkStart w:id="167" w:name="_Toc24165"/>
      <w:r>
        <w:rPr>
          <w:rFonts w:hint="eastAsia" w:ascii="新宋体" w:hAnsi="新宋体" w:eastAsia="新宋体" w:cs="宋体"/>
          <w:sz w:val="24"/>
          <w:szCs w:val="24"/>
        </w:rPr>
        <w:t>评标委员会应当书面要求存在细微偏差的投标人在评标结束前予以补正。拒不补正的，在详细评审时可以对细微偏差作不利于该投标人的量化。</w:t>
      </w:r>
      <w:bookmarkEnd w:id="167"/>
    </w:p>
    <w:p>
      <w:pPr>
        <w:spacing w:line="460" w:lineRule="exact"/>
        <w:contextualSpacing/>
        <w:rPr>
          <w:rFonts w:hAnsi="宋体"/>
          <w:b/>
          <w:bCs/>
          <w:color w:val="000000"/>
          <w:sz w:val="24"/>
          <w:szCs w:val="24"/>
        </w:rPr>
      </w:pPr>
      <w:r>
        <w:rPr>
          <w:rFonts w:hint="eastAsia" w:hAnsi="宋体"/>
          <w:b/>
          <w:bCs/>
          <w:color w:val="000000"/>
          <w:sz w:val="24"/>
          <w:szCs w:val="24"/>
        </w:rPr>
        <w:t>十三、评标报告</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460" w:lineRule="exact"/>
        <w:ind w:firstLine="480" w:firstLineChars="200"/>
        <w:contextualSpacing/>
        <w:rPr>
          <w:rFonts w:ascii="新宋体" w:hAnsi="新宋体" w:eastAsia="新宋体"/>
          <w:color w:val="000000"/>
          <w:sz w:val="24"/>
          <w:szCs w:val="24"/>
        </w:rPr>
      </w:pPr>
      <w:r>
        <w:rPr>
          <w:rFonts w:hint="eastAsia" w:ascii="新宋体" w:hAnsi="新宋体" w:eastAsia="新宋体"/>
          <w:color w:val="000000"/>
          <w:sz w:val="24"/>
          <w:szCs w:val="24"/>
        </w:rPr>
        <w:t>评标委员会根据投标人须知前附表7.1条的规定向招标人提交评标报告。评标报告应当由全体评标委员会成员签字，并于评标结束时抄送有关行政监督部门。</w:t>
      </w:r>
    </w:p>
    <w:p>
      <w:pPr>
        <w:spacing w:line="460" w:lineRule="exact"/>
        <w:ind w:firstLine="480" w:firstLineChars="200"/>
        <w:contextualSpacing/>
        <w:rPr>
          <w:sz w:val="24"/>
          <w:szCs w:val="24"/>
        </w:rPr>
      </w:pPr>
      <w:bookmarkStart w:id="168" w:name="_Toc273546400"/>
      <w:bookmarkEnd w:id="168"/>
      <w:bookmarkStart w:id="169" w:name="_Toc295572537"/>
      <w:bookmarkEnd w:id="169"/>
      <w:bookmarkStart w:id="170" w:name="_Toc270931536"/>
      <w:bookmarkEnd w:id="170"/>
      <w:bookmarkStart w:id="171" w:name="_Toc272833455"/>
      <w:r>
        <w:rPr>
          <w:rFonts w:hint="eastAsia" w:hAnsi="宋体"/>
          <w:sz w:val="24"/>
          <w:szCs w:val="24"/>
        </w:rPr>
        <w:t>招标人应当自确定中标人之日起</w:t>
      </w:r>
      <w:r>
        <w:rPr>
          <w:rFonts w:hint="eastAsia"/>
          <w:sz w:val="24"/>
          <w:szCs w:val="24"/>
        </w:rPr>
        <w:t>15</w:t>
      </w:r>
      <w:r>
        <w:rPr>
          <w:rFonts w:hint="eastAsia" w:hAnsi="宋体"/>
          <w:sz w:val="24"/>
          <w:szCs w:val="24"/>
        </w:rPr>
        <w:t>日内，向有关行政监督部门提交招标投标情况的书面报告。书面报告应当包括以下内容：</w:t>
      </w:r>
      <w:bookmarkEnd w:id="171"/>
    </w:p>
    <w:p>
      <w:pPr>
        <w:spacing w:line="460" w:lineRule="exact"/>
        <w:contextualSpacing/>
        <w:rPr>
          <w:rFonts w:hAnsi="宋体"/>
          <w:sz w:val="24"/>
          <w:szCs w:val="24"/>
        </w:rPr>
      </w:pPr>
      <w:r>
        <w:rPr>
          <w:rFonts w:hint="eastAsia" w:hAnsi="宋体"/>
          <w:sz w:val="24"/>
          <w:szCs w:val="24"/>
        </w:rPr>
        <w:t>（1）基本情况和数据表；</w:t>
      </w:r>
    </w:p>
    <w:p>
      <w:pPr>
        <w:spacing w:line="460" w:lineRule="exact"/>
        <w:contextualSpacing/>
        <w:rPr>
          <w:rFonts w:hAnsi="宋体"/>
          <w:sz w:val="24"/>
          <w:szCs w:val="24"/>
        </w:rPr>
      </w:pPr>
      <w:r>
        <w:rPr>
          <w:rFonts w:hint="eastAsia" w:hAnsi="宋体"/>
          <w:sz w:val="24"/>
          <w:szCs w:val="24"/>
        </w:rPr>
        <w:t>（2）评标委员会成员名单，负责人姓名；</w:t>
      </w:r>
    </w:p>
    <w:p>
      <w:pPr>
        <w:spacing w:line="460" w:lineRule="exact"/>
        <w:contextualSpacing/>
        <w:rPr>
          <w:rFonts w:hAnsi="宋体"/>
          <w:sz w:val="24"/>
          <w:szCs w:val="24"/>
        </w:rPr>
      </w:pPr>
      <w:r>
        <w:rPr>
          <w:rFonts w:hint="eastAsia" w:hAnsi="宋体"/>
          <w:sz w:val="24"/>
          <w:szCs w:val="24"/>
        </w:rPr>
        <w:t>（3）开标记录；</w:t>
      </w:r>
    </w:p>
    <w:p>
      <w:pPr>
        <w:spacing w:line="460" w:lineRule="exact"/>
        <w:contextualSpacing/>
        <w:rPr>
          <w:rFonts w:hAnsi="宋体"/>
          <w:sz w:val="24"/>
          <w:szCs w:val="24"/>
        </w:rPr>
      </w:pPr>
      <w:r>
        <w:rPr>
          <w:rFonts w:hint="eastAsia" w:hAnsi="宋体"/>
          <w:sz w:val="24"/>
          <w:szCs w:val="24"/>
        </w:rPr>
        <w:t>（4）符合要求的投标一览表；</w:t>
      </w:r>
    </w:p>
    <w:p>
      <w:pPr>
        <w:spacing w:line="460" w:lineRule="exact"/>
        <w:contextualSpacing/>
        <w:rPr>
          <w:rFonts w:hAnsi="宋体"/>
          <w:sz w:val="24"/>
          <w:szCs w:val="24"/>
        </w:rPr>
      </w:pPr>
      <w:r>
        <w:rPr>
          <w:rFonts w:hint="eastAsia" w:hAnsi="宋体"/>
          <w:sz w:val="24"/>
          <w:szCs w:val="24"/>
        </w:rPr>
        <w:t>（5）否决投标情况说明；</w:t>
      </w:r>
    </w:p>
    <w:p>
      <w:pPr>
        <w:spacing w:line="460" w:lineRule="exact"/>
        <w:contextualSpacing/>
        <w:rPr>
          <w:rFonts w:hAnsi="宋体"/>
          <w:sz w:val="24"/>
          <w:szCs w:val="24"/>
        </w:rPr>
      </w:pPr>
      <w:r>
        <w:rPr>
          <w:rFonts w:hint="eastAsia" w:hAnsi="宋体"/>
          <w:sz w:val="24"/>
          <w:szCs w:val="24"/>
        </w:rPr>
        <w:t>（6）评标标准、评标办法或者评标因素一览表；</w:t>
      </w:r>
    </w:p>
    <w:p>
      <w:pPr>
        <w:spacing w:line="460" w:lineRule="exact"/>
        <w:contextualSpacing/>
        <w:rPr>
          <w:rFonts w:hAnsi="宋体"/>
          <w:sz w:val="24"/>
          <w:szCs w:val="24"/>
        </w:rPr>
      </w:pPr>
      <w:r>
        <w:rPr>
          <w:rFonts w:hint="eastAsia" w:hAnsi="宋体"/>
          <w:sz w:val="24"/>
          <w:szCs w:val="24"/>
        </w:rPr>
        <w:t>（7）经评审的评标表格（包括评标委员会在评标过程中所形成的所有记载评标结果、结论的表格、说明、记录等文件）</w:t>
      </w:r>
    </w:p>
    <w:p>
      <w:pPr>
        <w:spacing w:line="460" w:lineRule="exact"/>
        <w:contextualSpacing/>
        <w:rPr>
          <w:rFonts w:hAnsi="宋体"/>
          <w:sz w:val="24"/>
          <w:szCs w:val="24"/>
        </w:rPr>
      </w:pPr>
      <w:r>
        <w:rPr>
          <w:rFonts w:hint="eastAsia" w:hAnsi="宋体"/>
          <w:sz w:val="24"/>
          <w:szCs w:val="24"/>
        </w:rPr>
        <w:t>（8）经评审的投标人排序；</w:t>
      </w:r>
    </w:p>
    <w:p>
      <w:pPr>
        <w:spacing w:line="460" w:lineRule="exact"/>
        <w:contextualSpacing/>
        <w:rPr>
          <w:rFonts w:hAnsi="宋体"/>
          <w:sz w:val="24"/>
          <w:szCs w:val="24"/>
        </w:rPr>
      </w:pPr>
      <w:r>
        <w:rPr>
          <w:rFonts w:hint="eastAsia" w:hAnsi="宋体"/>
          <w:sz w:val="24"/>
          <w:szCs w:val="24"/>
        </w:rPr>
        <w:t>（9）推荐的中标候选人名单与签订合同前要处理的事宜；</w:t>
      </w:r>
    </w:p>
    <w:p>
      <w:pPr>
        <w:spacing w:line="460" w:lineRule="exact"/>
        <w:contextualSpacing/>
        <w:rPr>
          <w:rFonts w:hAnsi="宋体"/>
          <w:sz w:val="24"/>
          <w:szCs w:val="24"/>
        </w:rPr>
      </w:pPr>
      <w:r>
        <w:rPr>
          <w:rFonts w:hint="eastAsia" w:hAnsi="宋体"/>
          <w:sz w:val="24"/>
          <w:szCs w:val="24"/>
        </w:rPr>
        <w:t>（10）澄清、说明、补正事项纪要。</w:t>
      </w:r>
    </w:p>
    <w:p>
      <w:pPr>
        <w:autoSpaceDE w:val="0"/>
        <w:autoSpaceDN w:val="0"/>
        <w:spacing w:line="460" w:lineRule="exact"/>
        <w:contextualSpacing/>
        <w:jc w:val="left"/>
        <w:outlineLvl w:val="0"/>
        <w:rPr>
          <w:rFonts w:ascii="新宋体" w:hAnsi="新宋体" w:eastAsia="新宋体" w:cs="宋体"/>
          <w:b/>
          <w:bCs/>
          <w:sz w:val="24"/>
          <w:szCs w:val="24"/>
        </w:rPr>
      </w:pPr>
      <w:bookmarkStart w:id="172" w:name="_Toc464824770"/>
      <w:bookmarkEnd w:id="172"/>
      <w:bookmarkStart w:id="173" w:name="_Toc21854"/>
      <w:r>
        <w:rPr>
          <w:rFonts w:hint="eastAsia" w:ascii="新宋体" w:hAnsi="新宋体" w:eastAsia="新宋体" w:cs="宋体"/>
          <w:b/>
          <w:bCs/>
          <w:sz w:val="24"/>
          <w:szCs w:val="24"/>
        </w:rPr>
        <w:t>十四、中标人的确立</w:t>
      </w:r>
      <w:bookmarkEnd w:id="173"/>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74" w:name="_Toc32004"/>
      <w:bookmarkEnd w:id="174"/>
      <w:bookmarkStart w:id="175" w:name="_Toc464824771"/>
      <w:r>
        <w:rPr>
          <w:rFonts w:hint="eastAsia" w:ascii="新宋体" w:hAnsi="新宋体" w:eastAsia="新宋体" w:cs="宋体"/>
          <w:sz w:val="24"/>
          <w:szCs w:val="24"/>
        </w:rPr>
        <w:t>国有资金占控股或者主导地位的依法必须进行招标的项目，招标人应当确定排名第一的中标候选人为中标人。排名第一的中标候选人放弃中标、因不可抗力提出不能履行合同、不按照招标文件的要求提交履约担保，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bookmarkEnd w:id="175"/>
    </w:p>
    <w:p>
      <w:pPr>
        <w:spacing w:line="460" w:lineRule="exact"/>
        <w:contextualSpacing/>
        <w:rPr>
          <w:rFonts w:ascii="新宋体" w:hAnsi="新宋体" w:eastAsia="新宋体"/>
          <w:color w:val="000000"/>
          <w:spacing w:val="-3"/>
          <w:sz w:val="24"/>
          <w:szCs w:val="24"/>
        </w:rPr>
      </w:pPr>
      <w:r>
        <w:rPr>
          <w:rFonts w:hint="eastAsia" w:hAnsi="宋体"/>
          <w:b/>
          <w:bCs/>
          <w:sz w:val="24"/>
          <w:szCs w:val="24"/>
        </w:rPr>
        <w:t>十五、公示</w:t>
      </w:r>
    </w:p>
    <w:p>
      <w:pPr>
        <w:spacing w:line="460" w:lineRule="exact"/>
        <w:ind w:firstLine="352" w:firstLineChars="147"/>
        <w:contextualSpacing/>
        <w:outlineLvl w:val="0"/>
        <w:rPr>
          <w:rFonts w:ascii="新宋体" w:hAnsi="新宋体" w:eastAsia="新宋体"/>
          <w:color w:val="000000"/>
          <w:sz w:val="24"/>
          <w:szCs w:val="24"/>
        </w:rPr>
      </w:pPr>
      <w:bookmarkStart w:id="176" w:name="_Toc464824774"/>
      <w:bookmarkEnd w:id="176"/>
      <w:bookmarkStart w:id="177" w:name="_Toc397508137"/>
      <w:bookmarkEnd w:id="177"/>
      <w:bookmarkStart w:id="178" w:name="_Toc414"/>
      <w:bookmarkEnd w:id="178"/>
      <w:bookmarkStart w:id="179" w:name="_Toc397507724"/>
      <w:bookmarkEnd w:id="179"/>
      <w:bookmarkStart w:id="180" w:name="_Toc397606006"/>
      <w:bookmarkEnd w:id="180"/>
      <w:bookmarkStart w:id="181" w:name="_Toc2959"/>
      <w:bookmarkEnd w:id="181"/>
      <w:bookmarkStart w:id="182" w:name="_Toc464824772"/>
      <w:r>
        <w:rPr>
          <w:rFonts w:hint="eastAsia" w:ascii="新宋体" w:hAnsi="新宋体" w:eastAsia="新宋体"/>
          <w:color w:val="000000"/>
          <w:sz w:val="24"/>
          <w:szCs w:val="24"/>
        </w:rPr>
        <w:t>中标人确定后，应当在招标公告发布的同一媒介上进行公示，</w:t>
      </w:r>
      <w:bookmarkEnd w:id="182"/>
      <w:r>
        <w:rPr>
          <w:rFonts w:hint="eastAsia" w:ascii="新宋体" w:hAnsi="新宋体" w:eastAsia="新宋体"/>
          <w:color w:val="000000"/>
          <w:sz w:val="24"/>
          <w:szCs w:val="24"/>
        </w:rPr>
        <w:t>公示期不得少于3日。公示期满后，招标人应当将招标投标情况书面报告提交行政主管部门备案，向中标人发出中标通知书，并向所有合格投标人告知中标结果。</w:t>
      </w:r>
    </w:p>
    <w:p>
      <w:pPr>
        <w:spacing w:line="460" w:lineRule="exact"/>
        <w:ind w:firstLine="352" w:firstLineChars="147"/>
        <w:contextualSpacing/>
        <w:outlineLvl w:val="0"/>
        <w:rPr>
          <w:rFonts w:ascii="新宋体" w:hAnsi="新宋体" w:eastAsia="新宋体"/>
          <w:color w:val="000000"/>
          <w:sz w:val="24"/>
          <w:szCs w:val="24"/>
        </w:rPr>
      </w:pPr>
      <w:bookmarkStart w:id="183" w:name="_Toc464824773"/>
      <w:bookmarkEnd w:id="183"/>
      <w:bookmarkStart w:id="184" w:name="_Toc3561"/>
      <w:r>
        <w:rPr>
          <w:rFonts w:hint="eastAsia" w:ascii="新宋体" w:hAnsi="新宋体" w:eastAsia="新宋体"/>
          <w:color w:val="000000"/>
          <w:sz w:val="24"/>
          <w:szCs w:val="24"/>
        </w:rPr>
        <w:t>依法必须进行招标的项目，中标候选人公示时，应当同时公示以下信息：项目概况、开标时间、开标记录、评审情况、中标候选人排名、公示期、联系方式、评标委员会成员对中标候选人的综合评估分和各分项评估分、投标文件中填报的项目负责人业绩名称及</w:t>
      </w:r>
      <w:bookmarkEnd w:id="184"/>
      <w:r>
        <w:rPr>
          <w:rFonts w:hint="eastAsia" w:ascii="新宋体" w:hAnsi="新宋体" w:eastAsia="新宋体"/>
          <w:color w:val="000000"/>
          <w:sz w:val="24"/>
          <w:szCs w:val="24"/>
        </w:rPr>
        <w:t>填报的单位项目业绩名称。</w:t>
      </w:r>
    </w:p>
    <w:p>
      <w:pPr>
        <w:spacing w:line="460" w:lineRule="exact"/>
        <w:contextualSpacing/>
        <w:outlineLvl w:val="0"/>
        <w:rPr>
          <w:rFonts w:ascii="新宋体" w:hAnsi="新宋体" w:eastAsia="新宋体"/>
          <w:b/>
          <w:bCs/>
          <w:sz w:val="24"/>
          <w:szCs w:val="24"/>
        </w:rPr>
      </w:pPr>
      <w:r>
        <w:rPr>
          <w:rFonts w:hint="eastAsia" w:ascii="新宋体" w:hAnsi="新宋体" w:eastAsia="新宋体"/>
          <w:b/>
          <w:bCs/>
          <w:sz w:val="24"/>
          <w:szCs w:val="24"/>
        </w:rPr>
        <w:t>十六、 特殊情况的处置程序</w:t>
      </w:r>
    </w:p>
    <w:p>
      <w:pPr>
        <w:spacing w:line="460" w:lineRule="exact"/>
        <w:ind w:firstLine="352" w:firstLineChars="147"/>
        <w:contextualSpacing/>
        <w:outlineLvl w:val="0"/>
        <w:rPr>
          <w:rFonts w:ascii="新宋体" w:hAnsi="新宋体" w:eastAsia="新宋体"/>
          <w:b/>
          <w:bCs/>
          <w:sz w:val="24"/>
          <w:szCs w:val="24"/>
        </w:rPr>
      </w:pPr>
      <w:bookmarkStart w:id="185" w:name="_Toc397508138"/>
      <w:bookmarkEnd w:id="185"/>
      <w:bookmarkStart w:id="186" w:name="_Toc397606007"/>
      <w:bookmarkEnd w:id="186"/>
      <w:bookmarkStart w:id="187" w:name="_Toc464824775"/>
      <w:bookmarkEnd w:id="187"/>
      <w:bookmarkStart w:id="188" w:name="_Toc26658"/>
      <w:bookmarkEnd w:id="188"/>
      <w:bookmarkStart w:id="189" w:name="_Toc397507725"/>
      <w:r>
        <w:rPr>
          <w:rFonts w:hint="eastAsia" w:ascii="新宋体" w:hAnsi="新宋体" w:eastAsia="新宋体"/>
          <w:b/>
          <w:bCs/>
          <w:sz w:val="24"/>
          <w:szCs w:val="24"/>
        </w:rPr>
        <w:t>1</w:t>
      </w:r>
      <w:r>
        <w:rPr>
          <w:rFonts w:ascii="新宋体" w:hAnsi="新宋体" w:eastAsia="新宋体"/>
          <w:b/>
          <w:bCs/>
          <w:sz w:val="24"/>
          <w:szCs w:val="24"/>
        </w:rPr>
        <w:t>6</w:t>
      </w:r>
      <w:r>
        <w:rPr>
          <w:rFonts w:hint="eastAsia" w:ascii="新宋体" w:hAnsi="新宋体" w:eastAsia="新宋体"/>
          <w:b/>
          <w:bCs/>
          <w:sz w:val="24"/>
          <w:szCs w:val="24"/>
        </w:rPr>
        <w:t>.1关于评标活动暂停</w:t>
      </w:r>
      <w:bookmarkEnd w:id="189"/>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1</w:t>
      </w:r>
      <w:r>
        <w:rPr>
          <w:rFonts w:ascii="新宋体" w:hAnsi="新宋体" w:eastAsia="新宋体"/>
          <w:sz w:val="24"/>
          <w:szCs w:val="24"/>
        </w:rPr>
        <w:t>6.</w:t>
      </w:r>
      <w:r>
        <w:rPr>
          <w:rFonts w:hint="eastAsia" w:ascii="新宋体" w:hAnsi="新宋体" w:eastAsia="新宋体"/>
          <w:sz w:val="24"/>
          <w:szCs w:val="24"/>
        </w:rPr>
        <w:t>1.1评标委员会应当执行连续评标的原则，按评标办法中规定的程序、内容、方法、标准完成全部评标工作。只有发生不可抗力导致评标工作无法继续时，评标活动方可暂停。</w:t>
      </w:r>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1</w:t>
      </w:r>
      <w:r>
        <w:rPr>
          <w:rFonts w:ascii="新宋体" w:hAnsi="新宋体" w:eastAsia="新宋体"/>
          <w:sz w:val="24"/>
          <w:szCs w:val="24"/>
        </w:rPr>
        <w:t>6</w:t>
      </w:r>
      <w:r>
        <w:rPr>
          <w:rFonts w:hint="eastAsia" w:ascii="新宋体" w:hAnsi="新宋体" w:eastAsia="新宋体"/>
          <w:sz w:val="24"/>
          <w:szCs w:val="24"/>
        </w:rPr>
        <w:t>.1.2发生评标暂停情况时，评标委员会应当封存全部投标文件和评标记录，待不可抗力的影响结束且具备继续评标的条件时，由原评标委员会继续评标。</w:t>
      </w:r>
    </w:p>
    <w:p>
      <w:pPr>
        <w:spacing w:line="460" w:lineRule="exact"/>
        <w:ind w:firstLine="352" w:firstLineChars="147"/>
        <w:contextualSpacing/>
        <w:outlineLvl w:val="0"/>
        <w:rPr>
          <w:rFonts w:ascii="新宋体" w:hAnsi="新宋体" w:eastAsia="新宋体"/>
          <w:b/>
          <w:bCs/>
          <w:sz w:val="24"/>
          <w:szCs w:val="24"/>
        </w:rPr>
      </w:pPr>
      <w:bookmarkStart w:id="190" w:name="_Toc464824776"/>
      <w:bookmarkEnd w:id="190"/>
      <w:bookmarkStart w:id="191" w:name="_Toc6616"/>
      <w:bookmarkEnd w:id="191"/>
      <w:bookmarkStart w:id="192" w:name="_Toc397508139"/>
      <w:bookmarkEnd w:id="192"/>
      <w:bookmarkStart w:id="193" w:name="_Toc397606008"/>
      <w:bookmarkEnd w:id="193"/>
      <w:bookmarkStart w:id="194" w:name="_Toc397507726"/>
      <w:r>
        <w:rPr>
          <w:rFonts w:hint="eastAsia" w:ascii="新宋体" w:hAnsi="新宋体" w:eastAsia="新宋体"/>
          <w:b/>
          <w:bCs/>
          <w:sz w:val="24"/>
          <w:szCs w:val="24"/>
        </w:rPr>
        <w:t>1</w:t>
      </w:r>
      <w:r>
        <w:rPr>
          <w:rFonts w:ascii="新宋体" w:hAnsi="新宋体" w:eastAsia="新宋体"/>
          <w:b/>
          <w:bCs/>
          <w:sz w:val="24"/>
          <w:szCs w:val="24"/>
        </w:rPr>
        <w:t>6</w:t>
      </w:r>
      <w:r>
        <w:rPr>
          <w:rFonts w:hint="eastAsia" w:ascii="新宋体" w:hAnsi="新宋体" w:eastAsia="新宋体"/>
          <w:b/>
          <w:bCs/>
          <w:sz w:val="24"/>
          <w:szCs w:val="24"/>
        </w:rPr>
        <w:t>.2关于评标中途更换评标委员会成员</w:t>
      </w:r>
      <w:bookmarkEnd w:id="194"/>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1</w:t>
      </w:r>
      <w:r>
        <w:rPr>
          <w:rFonts w:ascii="新宋体" w:hAnsi="新宋体" w:eastAsia="新宋体"/>
          <w:sz w:val="24"/>
          <w:szCs w:val="24"/>
        </w:rPr>
        <w:t>6</w:t>
      </w:r>
      <w:r>
        <w:rPr>
          <w:rFonts w:hint="eastAsia" w:ascii="新宋体" w:hAnsi="新宋体" w:eastAsia="新宋体"/>
          <w:sz w:val="24"/>
          <w:szCs w:val="24"/>
        </w:rPr>
        <w:t>.2.1  除非发生下列情况之一，评标委员会成员不得在评标中途更换：</w:t>
      </w:r>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（1）因不可抗拒的客观原因，不能到场或需在评标中途退出评标活动。</w:t>
      </w:r>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（2）根据法律法规规定，某个或某几个评标委员会成员需要回避。</w:t>
      </w:r>
    </w:p>
    <w:p>
      <w:pPr>
        <w:spacing w:line="460" w:lineRule="exact"/>
        <w:ind w:firstLine="480" w:firstLineChars="200"/>
        <w:contextualSpacing/>
        <w:rPr>
          <w:rFonts w:ascii="新宋体" w:hAnsi="新宋体" w:eastAsia="新宋体"/>
          <w:sz w:val="24"/>
          <w:szCs w:val="24"/>
        </w:rPr>
      </w:pPr>
      <w:r>
        <w:rPr>
          <w:rFonts w:ascii="新宋体" w:hAnsi="新宋体" w:eastAsia="新宋体"/>
          <w:sz w:val="24"/>
          <w:szCs w:val="24"/>
        </w:rPr>
        <w:t>16</w:t>
      </w:r>
      <w:r>
        <w:rPr>
          <w:rFonts w:hint="eastAsia" w:ascii="新宋体" w:hAnsi="新宋体" w:eastAsia="新宋体"/>
          <w:sz w:val="24"/>
          <w:szCs w:val="24"/>
        </w:rPr>
        <w:t>.2.2  退出评标的评标委员会成员，其已完成的评标行为无效。由招标人根据本招标文件规定的评标委员会成员产生方式另行确定替代者进行评标。</w:t>
      </w:r>
    </w:p>
    <w:p>
      <w:pPr>
        <w:spacing w:line="460" w:lineRule="exact"/>
        <w:ind w:firstLine="352" w:firstLineChars="147"/>
        <w:contextualSpacing/>
        <w:outlineLvl w:val="0"/>
        <w:rPr>
          <w:rFonts w:ascii="新宋体" w:hAnsi="新宋体" w:eastAsia="新宋体"/>
          <w:b/>
          <w:bCs/>
          <w:sz w:val="24"/>
          <w:szCs w:val="24"/>
        </w:rPr>
      </w:pPr>
      <w:bookmarkStart w:id="195" w:name="_Toc5729"/>
      <w:bookmarkEnd w:id="195"/>
      <w:bookmarkStart w:id="196" w:name="_Toc397507727"/>
      <w:bookmarkEnd w:id="196"/>
      <w:bookmarkStart w:id="197" w:name="_Toc464824777"/>
      <w:bookmarkEnd w:id="197"/>
      <w:bookmarkStart w:id="198" w:name="_Toc397508140"/>
      <w:bookmarkEnd w:id="198"/>
      <w:bookmarkStart w:id="199" w:name="_Toc397606009"/>
      <w:r>
        <w:rPr>
          <w:rFonts w:hint="eastAsia" w:ascii="新宋体" w:hAnsi="新宋体" w:eastAsia="新宋体"/>
          <w:b/>
          <w:bCs/>
          <w:sz w:val="24"/>
          <w:szCs w:val="24"/>
        </w:rPr>
        <w:t>1</w:t>
      </w:r>
      <w:r>
        <w:rPr>
          <w:rFonts w:ascii="新宋体" w:hAnsi="新宋体" w:eastAsia="新宋体"/>
          <w:b/>
          <w:bCs/>
          <w:sz w:val="24"/>
          <w:szCs w:val="24"/>
        </w:rPr>
        <w:t>6</w:t>
      </w:r>
      <w:r>
        <w:rPr>
          <w:rFonts w:hint="eastAsia" w:ascii="新宋体" w:hAnsi="新宋体" w:eastAsia="新宋体"/>
          <w:b/>
          <w:bCs/>
          <w:sz w:val="24"/>
          <w:szCs w:val="24"/>
        </w:rPr>
        <w:t>.3记名投票</w:t>
      </w:r>
      <w:bookmarkEnd w:id="199"/>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在任何评标环节中，需评标委员会就某项定性的评审结论做出表决的，由评标委员会全体成员按照少数服从多数的原则，以记名投票方式表决。</w:t>
      </w:r>
    </w:p>
    <w:p>
      <w:pPr>
        <w:spacing w:line="460" w:lineRule="exact"/>
        <w:ind w:firstLine="480" w:firstLineChars="200"/>
        <w:contextualSpacing/>
        <w:rPr>
          <w:rFonts w:ascii="新宋体" w:hAnsi="新宋体" w:eastAsia="新宋体"/>
          <w:b/>
          <w:bCs/>
          <w:sz w:val="24"/>
          <w:szCs w:val="24"/>
        </w:rPr>
      </w:pPr>
      <w:r>
        <w:rPr>
          <w:rFonts w:hint="eastAsia" w:ascii="新宋体" w:hAnsi="新宋体" w:eastAsia="新宋体"/>
          <w:b/>
          <w:bCs/>
          <w:sz w:val="24"/>
          <w:szCs w:val="24"/>
        </w:rPr>
        <w:t>1</w:t>
      </w:r>
      <w:r>
        <w:rPr>
          <w:rFonts w:ascii="新宋体" w:hAnsi="新宋体" w:eastAsia="新宋体"/>
          <w:b/>
          <w:bCs/>
          <w:sz w:val="24"/>
          <w:szCs w:val="24"/>
        </w:rPr>
        <w:t>6</w:t>
      </w:r>
      <w:r>
        <w:rPr>
          <w:rFonts w:hint="eastAsia" w:ascii="新宋体" w:hAnsi="新宋体" w:eastAsia="新宋体"/>
          <w:b/>
          <w:bCs/>
          <w:sz w:val="24"/>
          <w:szCs w:val="24"/>
        </w:rPr>
        <w:t>.4评标委员会成员对评标结论持有异议的</w:t>
      </w:r>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pPr>
        <w:adjustRightInd w:val="0"/>
        <w:snapToGrid w:val="0"/>
        <w:spacing w:line="440" w:lineRule="exact"/>
        <w:jc w:val="left"/>
        <w:rPr>
          <w:rFonts w:hAnsi="宋体" w:cs="黑体"/>
          <w:b/>
          <w:sz w:val="36"/>
          <w:szCs w:val="36"/>
        </w:rPr>
      </w:pPr>
      <w:bookmarkStart w:id="200" w:name="_Toc283559990"/>
    </w:p>
    <w:p>
      <w:pPr>
        <w:adjustRightInd w:val="0"/>
        <w:snapToGrid w:val="0"/>
        <w:spacing w:line="440" w:lineRule="exact"/>
        <w:jc w:val="left"/>
        <w:rPr>
          <w:rFonts w:hAnsi="宋体" w:cs="黑体"/>
          <w:b/>
          <w:sz w:val="36"/>
          <w:szCs w:val="36"/>
        </w:rPr>
      </w:pPr>
    </w:p>
    <w:p>
      <w:pPr>
        <w:adjustRightInd w:val="0"/>
        <w:snapToGrid w:val="0"/>
        <w:spacing w:line="440" w:lineRule="exact"/>
        <w:jc w:val="left"/>
        <w:rPr>
          <w:rFonts w:hAnsi="宋体" w:cs="黑体"/>
          <w:b/>
          <w:sz w:val="36"/>
          <w:szCs w:val="36"/>
        </w:rPr>
      </w:pPr>
    </w:p>
    <w:p>
      <w:pPr>
        <w:adjustRightInd w:val="0"/>
        <w:snapToGrid w:val="0"/>
        <w:spacing w:line="440" w:lineRule="exact"/>
        <w:jc w:val="left"/>
        <w:rPr>
          <w:rFonts w:hAnsi="宋体" w:cs="黑体"/>
          <w:b/>
          <w:sz w:val="36"/>
          <w:szCs w:val="36"/>
        </w:rPr>
      </w:pPr>
    </w:p>
    <w:p>
      <w:pPr>
        <w:adjustRightInd w:val="0"/>
        <w:snapToGrid w:val="0"/>
        <w:spacing w:line="440" w:lineRule="exact"/>
        <w:jc w:val="left"/>
        <w:rPr>
          <w:rFonts w:hAnsi="宋体" w:cs="黑体"/>
          <w:b/>
          <w:sz w:val="32"/>
          <w:szCs w:val="32"/>
        </w:rPr>
      </w:pPr>
      <w:r>
        <w:rPr>
          <w:rFonts w:hint="eastAsia" w:hAnsi="宋体" w:cs="黑体"/>
          <w:b/>
          <w:sz w:val="32"/>
          <w:szCs w:val="32"/>
        </w:rPr>
        <w:t>附件一</w:t>
      </w:r>
    </w:p>
    <w:p>
      <w:pPr>
        <w:pStyle w:val="17"/>
        <w:keepNext/>
        <w:keepLines/>
        <w:shd w:val="clear" w:color="auto" w:fill="auto"/>
        <w:spacing w:before="0"/>
        <w:ind w:left="260"/>
      </w:pPr>
      <w:bookmarkStart w:id="201" w:name="bookmark2"/>
      <w:r>
        <w:t>投标企业良好信用信息采集项</w:t>
      </w:r>
      <w:bookmarkEnd w:id="201"/>
    </w:p>
    <w:p>
      <w:pPr>
        <w:adjustRightInd w:val="0"/>
        <w:snapToGrid w:val="0"/>
        <w:spacing w:line="440" w:lineRule="exact"/>
        <w:ind w:firstLine="680" w:firstLineChars="200"/>
      </w:pPr>
    </w:p>
    <w:tbl>
      <w:tblPr>
        <w:tblStyle w:val="11"/>
        <w:tblW w:w="9136" w:type="dxa"/>
        <w:jc w:val="center"/>
        <w:tblLayout w:type="fixed"/>
        <w:tblCellMar>
          <w:top w:w="0" w:type="dxa"/>
          <w:left w:w="10" w:type="dxa"/>
          <w:bottom w:w="0" w:type="dxa"/>
          <w:right w:w="10" w:type="dxa"/>
        </w:tblCellMar>
      </w:tblPr>
      <w:tblGrid>
        <w:gridCol w:w="1886"/>
        <w:gridCol w:w="5184"/>
        <w:gridCol w:w="2066"/>
      </w:tblGrid>
      <w:tr>
        <w:tblPrEx>
          <w:tblCellMar>
            <w:top w:w="0" w:type="dxa"/>
            <w:left w:w="10" w:type="dxa"/>
            <w:bottom w:w="0" w:type="dxa"/>
            <w:right w:w="10" w:type="dxa"/>
          </w:tblCellMar>
        </w:tblPrEx>
        <w:trPr>
          <w:trHeight w:val="684" w:hRule="exact"/>
          <w:jc w:val="center"/>
        </w:trPr>
        <w:tc>
          <w:tcPr>
            <w:tcW w:w="1886" w:type="dxa"/>
            <w:tcBorders>
              <w:top w:val="single" w:color="auto" w:sz="4" w:space="0"/>
              <w:left w:val="single" w:color="auto" w:sz="4" w:space="0"/>
            </w:tcBorders>
            <w:shd w:val="clear" w:color="auto" w:fill="FFFFFF"/>
            <w:vAlign w:val="center"/>
          </w:tcPr>
          <w:p>
            <w:pPr>
              <w:pStyle w:val="18"/>
              <w:shd w:val="clear" w:color="auto" w:fill="auto"/>
              <w:spacing w:after="0" w:line="190" w:lineRule="exact"/>
              <w:ind w:right="40"/>
            </w:pPr>
            <w:r>
              <w:rPr>
                <w:rStyle w:val="19"/>
                <w:color w:val="auto"/>
              </w:rPr>
              <w:t>信用类别</w:t>
            </w:r>
          </w:p>
        </w:tc>
        <w:tc>
          <w:tcPr>
            <w:tcW w:w="5184" w:type="dxa"/>
            <w:tcBorders>
              <w:top w:val="single" w:color="auto" w:sz="4" w:space="0"/>
              <w:left w:val="single" w:color="auto" w:sz="4" w:space="0"/>
            </w:tcBorders>
            <w:shd w:val="clear" w:color="auto" w:fill="FFFFFF"/>
            <w:vAlign w:val="center"/>
          </w:tcPr>
          <w:p>
            <w:pPr>
              <w:pStyle w:val="18"/>
              <w:shd w:val="clear" w:color="auto" w:fill="auto"/>
              <w:spacing w:after="0" w:line="190" w:lineRule="exact"/>
            </w:pPr>
            <w:r>
              <w:rPr>
                <w:rStyle w:val="19"/>
                <w:color w:val="auto"/>
              </w:rPr>
              <w:t>良好信用</w:t>
            </w:r>
          </w:p>
        </w:tc>
        <w:tc>
          <w:tcPr>
            <w:tcW w:w="2066" w:type="dxa"/>
            <w:tcBorders>
              <w:top w:val="single" w:color="auto" w:sz="4" w:space="0"/>
              <w:left w:val="single" w:color="auto" w:sz="4" w:space="0"/>
              <w:right w:val="single" w:color="auto" w:sz="4" w:space="0"/>
            </w:tcBorders>
            <w:shd w:val="clear" w:color="auto" w:fill="FFFFFF"/>
            <w:vAlign w:val="center"/>
          </w:tcPr>
          <w:p>
            <w:pPr>
              <w:pStyle w:val="18"/>
              <w:shd w:val="clear" w:color="auto" w:fill="auto"/>
              <w:spacing w:after="0" w:line="190" w:lineRule="exact"/>
              <w:ind w:left="80"/>
            </w:pPr>
            <w:r>
              <w:rPr>
                <w:rStyle w:val="19"/>
                <w:color w:val="auto"/>
              </w:rPr>
              <w:t>周期</w:t>
            </w:r>
          </w:p>
        </w:tc>
      </w:tr>
      <w:tr>
        <w:tblPrEx>
          <w:tblCellMar>
            <w:top w:w="0" w:type="dxa"/>
            <w:left w:w="10" w:type="dxa"/>
            <w:bottom w:w="0" w:type="dxa"/>
            <w:right w:w="10" w:type="dxa"/>
          </w:tblCellMar>
        </w:tblPrEx>
        <w:trPr>
          <w:trHeight w:val="792" w:hRule="exact"/>
          <w:jc w:val="center"/>
        </w:trPr>
        <w:tc>
          <w:tcPr>
            <w:tcW w:w="1886" w:type="dxa"/>
            <w:vMerge w:val="restart"/>
            <w:tcBorders>
              <w:top w:val="single" w:color="auto" w:sz="4" w:space="0"/>
              <w:left w:val="single" w:color="auto" w:sz="4" w:space="0"/>
            </w:tcBorders>
            <w:shd w:val="clear" w:color="auto" w:fill="FFFFFF"/>
            <w:vAlign w:val="center"/>
          </w:tcPr>
          <w:p>
            <w:pPr>
              <w:pStyle w:val="18"/>
              <w:shd w:val="clear" w:color="auto" w:fill="auto"/>
              <w:spacing w:after="0" w:line="190" w:lineRule="exact"/>
              <w:ind w:right="40"/>
            </w:pPr>
            <w:r>
              <w:rPr>
                <w:rStyle w:val="19"/>
                <w:color w:val="auto"/>
              </w:rPr>
              <w:t>工程质量获奖</w:t>
            </w:r>
          </w:p>
        </w:tc>
        <w:tc>
          <w:tcPr>
            <w:tcW w:w="5184" w:type="dxa"/>
            <w:tcBorders>
              <w:top w:val="single" w:color="auto" w:sz="4" w:space="0"/>
              <w:left w:val="single" w:color="auto" w:sz="4" w:space="0"/>
            </w:tcBorders>
            <w:shd w:val="clear" w:color="auto" w:fill="FFFFFF"/>
            <w:vAlign w:val="center"/>
          </w:tcPr>
          <w:p>
            <w:pPr>
              <w:pStyle w:val="18"/>
              <w:shd w:val="clear" w:color="auto" w:fill="auto"/>
              <w:spacing w:after="0" w:line="252" w:lineRule="exact"/>
              <w:ind w:right="140"/>
              <w:jc w:val="both"/>
            </w:pPr>
            <w:r>
              <w:rPr>
                <w:rStyle w:val="19"/>
                <w:color w:val="auto"/>
              </w:rPr>
              <w:t>中国建设工程鲁班奖（国家优质工程）、中国钢结构金奖、 中国土木工程詹天佑奖</w:t>
            </w:r>
          </w:p>
        </w:tc>
        <w:tc>
          <w:tcPr>
            <w:tcW w:w="2066" w:type="dxa"/>
            <w:tcBorders>
              <w:top w:val="single" w:color="auto" w:sz="4" w:space="0"/>
              <w:left w:val="single" w:color="auto" w:sz="4" w:space="0"/>
              <w:right w:val="single" w:color="auto" w:sz="4" w:space="0"/>
            </w:tcBorders>
            <w:shd w:val="clear" w:color="auto" w:fill="FFFFFF"/>
            <w:vAlign w:val="center"/>
          </w:tcPr>
          <w:p>
            <w:pPr>
              <w:pStyle w:val="18"/>
              <w:shd w:val="clear" w:color="auto" w:fill="auto"/>
              <w:spacing w:after="0" w:line="190" w:lineRule="exact"/>
              <w:ind w:left="80"/>
            </w:pPr>
            <w:r>
              <w:rPr>
                <w:rStyle w:val="19"/>
                <w:color w:val="auto"/>
              </w:rPr>
              <w:t>3年</w:t>
            </w:r>
          </w:p>
        </w:tc>
      </w:tr>
      <w:tr>
        <w:tblPrEx>
          <w:tblCellMar>
            <w:top w:w="0" w:type="dxa"/>
            <w:left w:w="10" w:type="dxa"/>
            <w:bottom w:w="0" w:type="dxa"/>
            <w:right w:w="10" w:type="dxa"/>
          </w:tblCellMar>
        </w:tblPrEx>
        <w:trPr>
          <w:trHeight w:val="785" w:hRule="exact"/>
          <w:jc w:val="center"/>
        </w:trPr>
        <w:tc>
          <w:tcPr>
            <w:tcW w:w="1886" w:type="dxa"/>
            <w:vMerge w:val="continue"/>
            <w:tcBorders>
              <w:left w:val="single" w:color="auto" w:sz="4" w:space="0"/>
            </w:tcBorders>
            <w:shd w:val="clear" w:color="auto" w:fill="FFFFFF"/>
            <w:vAlign w:val="center"/>
          </w:tcPr>
          <w:p>
            <w:pPr>
              <w:pStyle w:val="18"/>
              <w:shd w:val="clear" w:color="auto" w:fill="auto"/>
              <w:spacing w:after="0" w:line="190" w:lineRule="exact"/>
              <w:ind w:right="40"/>
              <w:jc w:val="both"/>
            </w:pPr>
          </w:p>
        </w:tc>
        <w:tc>
          <w:tcPr>
            <w:tcW w:w="5184" w:type="dxa"/>
            <w:tcBorders>
              <w:top w:val="single" w:color="auto" w:sz="4" w:space="0"/>
              <w:left w:val="single" w:color="auto" w:sz="4" w:space="0"/>
            </w:tcBorders>
            <w:shd w:val="clear" w:color="auto" w:fill="FFFFFF"/>
            <w:vAlign w:val="center"/>
          </w:tcPr>
          <w:p>
            <w:pPr>
              <w:pStyle w:val="18"/>
              <w:shd w:val="clear" w:color="auto" w:fill="auto"/>
              <w:spacing w:after="0" w:line="259" w:lineRule="exact"/>
              <w:ind w:right="140"/>
              <w:jc w:val="both"/>
            </w:pPr>
            <w:r>
              <w:rPr>
                <w:rStyle w:val="19"/>
                <w:color w:val="auto"/>
              </w:rPr>
              <w:t>中国建筑工程装饰奖（公共建筑装饰、建筑幕墙、公共建 筑装饰设计）</w:t>
            </w:r>
          </w:p>
        </w:tc>
        <w:tc>
          <w:tcPr>
            <w:tcW w:w="2066" w:type="dxa"/>
            <w:tcBorders>
              <w:top w:val="single" w:color="auto" w:sz="4" w:space="0"/>
              <w:left w:val="single" w:color="auto" w:sz="4" w:space="0"/>
              <w:right w:val="single" w:color="auto" w:sz="4" w:space="0"/>
            </w:tcBorders>
            <w:shd w:val="clear" w:color="auto" w:fill="FFFFFF"/>
            <w:vAlign w:val="center"/>
          </w:tcPr>
          <w:p>
            <w:pPr>
              <w:pStyle w:val="18"/>
              <w:shd w:val="clear" w:color="auto" w:fill="auto"/>
              <w:spacing w:after="0" w:line="190" w:lineRule="exact"/>
              <w:ind w:left="80"/>
            </w:pPr>
            <w:r>
              <w:rPr>
                <w:rStyle w:val="19"/>
                <w:color w:val="auto"/>
              </w:rPr>
              <w:t>3年</w:t>
            </w:r>
          </w:p>
        </w:tc>
      </w:tr>
      <w:tr>
        <w:tblPrEx>
          <w:tblCellMar>
            <w:top w:w="0" w:type="dxa"/>
            <w:left w:w="10" w:type="dxa"/>
            <w:bottom w:w="0" w:type="dxa"/>
            <w:right w:w="10" w:type="dxa"/>
          </w:tblCellMar>
        </w:tblPrEx>
        <w:trPr>
          <w:trHeight w:val="569" w:hRule="exact"/>
          <w:jc w:val="center"/>
        </w:trPr>
        <w:tc>
          <w:tcPr>
            <w:tcW w:w="1886" w:type="dxa"/>
            <w:vMerge w:val="continue"/>
            <w:tcBorders>
              <w:left w:val="single" w:color="auto" w:sz="4" w:space="0"/>
            </w:tcBorders>
            <w:shd w:val="clear" w:color="auto" w:fill="FFFFFF"/>
            <w:vAlign w:val="center"/>
          </w:tcPr>
          <w:p>
            <w:pPr>
              <w:rPr>
                <w:sz w:val="10"/>
                <w:szCs w:val="10"/>
              </w:rPr>
            </w:pPr>
          </w:p>
        </w:tc>
        <w:tc>
          <w:tcPr>
            <w:tcW w:w="5184" w:type="dxa"/>
            <w:tcBorders>
              <w:top w:val="single" w:color="auto" w:sz="4" w:space="0"/>
              <w:left w:val="single" w:color="auto" w:sz="4" w:space="0"/>
            </w:tcBorders>
            <w:shd w:val="clear" w:color="auto" w:fill="FFFFFF"/>
            <w:vAlign w:val="center"/>
          </w:tcPr>
          <w:p>
            <w:pPr>
              <w:pStyle w:val="18"/>
              <w:shd w:val="clear" w:color="auto" w:fill="auto"/>
              <w:spacing w:after="0" w:line="190" w:lineRule="exact"/>
              <w:jc w:val="both"/>
            </w:pPr>
            <w:r>
              <w:rPr>
                <w:rStyle w:val="19"/>
                <w:color w:val="auto"/>
              </w:rPr>
              <w:t>河南省长质量奖</w:t>
            </w:r>
          </w:p>
        </w:tc>
        <w:tc>
          <w:tcPr>
            <w:tcW w:w="2066" w:type="dxa"/>
            <w:tcBorders>
              <w:top w:val="single" w:color="auto" w:sz="4" w:space="0"/>
              <w:left w:val="single" w:color="auto" w:sz="4" w:space="0"/>
              <w:right w:val="single" w:color="auto" w:sz="4" w:space="0"/>
            </w:tcBorders>
            <w:shd w:val="clear" w:color="auto" w:fill="FFFFFF"/>
            <w:vAlign w:val="center"/>
          </w:tcPr>
          <w:p>
            <w:pPr>
              <w:pStyle w:val="18"/>
              <w:shd w:val="clear" w:color="auto" w:fill="auto"/>
              <w:spacing w:after="0" w:line="190" w:lineRule="exact"/>
              <w:ind w:left="80"/>
            </w:pPr>
            <w:r>
              <w:rPr>
                <w:rStyle w:val="19"/>
                <w:color w:val="auto"/>
              </w:rPr>
              <w:t>3年</w:t>
            </w:r>
          </w:p>
        </w:tc>
      </w:tr>
      <w:tr>
        <w:tblPrEx>
          <w:tblCellMar>
            <w:top w:w="0" w:type="dxa"/>
            <w:left w:w="10" w:type="dxa"/>
            <w:bottom w:w="0" w:type="dxa"/>
            <w:right w:w="10" w:type="dxa"/>
          </w:tblCellMar>
        </w:tblPrEx>
        <w:trPr>
          <w:trHeight w:val="626" w:hRule="exact"/>
          <w:jc w:val="center"/>
        </w:trPr>
        <w:tc>
          <w:tcPr>
            <w:tcW w:w="1886" w:type="dxa"/>
            <w:vMerge w:val="continue"/>
            <w:tcBorders>
              <w:left w:val="single" w:color="auto" w:sz="4" w:space="0"/>
            </w:tcBorders>
            <w:shd w:val="clear" w:color="auto" w:fill="FFFFFF"/>
            <w:vAlign w:val="center"/>
          </w:tcPr>
          <w:p>
            <w:pPr>
              <w:rPr>
                <w:sz w:val="10"/>
                <w:szCs w:val="10"/>
              </w:rPr>
            </w:pPr>
          </w:p>
        </w:tc>
        <w:tc>
          <w:tcPr>
            <w:tcW w:w="5184" w:type="dxa"/>
            <w:tcBorders>
              <w:top w:val="single" w:color="auto" w:sz="4" w:space="0"/>
              <w:left w:val="single" w:color="auto" w:sz="4" w:space="0"/>
            </w:tcBorders>
            <w:shd w:val="clear" w:color="auto" w:fill="FFFFFF"/>
          </w:tcPr>
          <w:p>
            <w:pPr>
              <w:pStyle w:val="18"/>
              <w:shd w:val="clear" w:color="auto" w:fill="auto"/>
              <w:spacing w:after="0" w:line="252" w:lineRule="exact"/>
              <w:ind w:right="140"/>
              <w:jc w:val="both"/>
            </w:pPr>
            <w:r>
              <w:rPr>
                <w:rStyle w:val="19"/>
                <w:color w:val="auto"/>
              </w:rPr>
              <w:t>河南省逑设工程“中州杯”奖（省优质工程）等柝级主管部 门颁发的质量奖项</w:t>
            </w:r>
          </w:p>
        </w:tc>
        <w:tc>
          <w:tcPr>
            <w:tcW w:w="2066" w:type="dxa"/>
            <w:tcBorders>
              <w:top w:val="single" w:color="auto" w:sz="4" w:space="0"/>
              <w:left w:val="single" w:color="auto" w:sz="4" w:space="0"/>
              <w:right w:val="single" w:color="auto" w:sz="4" w:space="0"/>
            </w:tcBorders>
            <w:shd w:val="clear" w:color="auto" w:fill="FFFFFF"/>
            <w:vAlign w:val="center"/>
          </w:tcPr>
          <w:p>
            <w:pPr>
              <w:pStyle w:val="18"/>
              <w:shd w:val="clear" w:color="auto" w:fill="auto"/>
              <w:spacing w:after="0" w:line="190" w:lineRule="exact"/>
              <w:ind w:left="80"/>
            </w:pPr>
            <w:r>
              <w:rPr>
                <w:rStyle w:val="19"/>
                <w:color w:val="auto"/>
              </w:rPr>
              <w:t>3年</w:t>
            </w:r>
          </w:p>
        </w:tc>
      </w:tr>
      <w:tr>
        <w:tblPrEx>
          <w:tblCellMar>
            <w:top w:w="0" w:type="dxa"/>
            <w:left w:w="10" w:type="dxa"/>
            <w:bottom w:w="0" w:type="dxa"/>
            <w:right w:w="10" w:type="dxa"/>
          </w:tblCellMar>
        </w:tblPrEx>
        <w:trPr>
          <w:trHeight w:val="583" w:hRule="exact"/>
          <w:jc w:val="center"/>
        </w:trPr>
        <w:tc>
          <w:tcPr>
            <w:tcW w:w="1886" w:type="dxa"/>
            <w:vMerge w:val="restart"/>
            <w:tcBorders>
              <w:top w:val="single" w:color="auto" w:sz="4" w:space="0"/>
              <w:left w:val="single" w:color="auto" w:sz="4" w:space="0"/>
            </w:tcBorders>
            <w:shd w:val="clear" w:color="auto" w:fill="FFFFFF"/>
            <w:vAlign w:val="center"/>
          </w:tcPr>
          <w:p>
            <w:pPr>
              <w:pStyle w:val="18"/>
              <w:shd w:val="clear" w:color="auto" w:fill="auto"/>
              <w:spacing w:after="0" w:line="190" w:lineRule="exact"/>
              <w:ind w:left="340"/>
              <w:jc w:val="left"/>
            </w:pPr>
            <w:r>
              <w:rPr>
                <w:rStyle w:val="19"/>
                <w:color w:val="auto"/>
              </w:rPr>
              <w:t>一般性通报表彰</w:t>
            </w:r>
          </w:p>
        </w:tc>
        <w:tc>
          <w:tcPr>
            <w:tcW w:w="5184" w:type="dxa"/>
            <w:tcBorders>
              <w:top w:val="single" w:color="auto" w:sz="4" w:space="0"/>
              <w:left w:val="single" w:color="auto" w:sz="4" w:space="0"/>
            </w:tcBorders>
            <w:shd w:val="clear" w:color="auto" w:fill="FFFFFF"/>
            <w:vAlign w:val="center"/>
          </w:tcPr>
          <w:p>
            <w:pPr>
              <w:pStyle w:val="18"/>
              <w:shd w:val="clear" w:color="auto" w:fill="auto"/>
              <w:spacing w:after="0" w:line="190" w:lineRule="exact"/>
              <w:jc w:val="both"/>
            </w:pPr>
            <w:r>
              <w:rPr>
                <w:rStyle w:val="19"/>
                <w:color w:val="auto"/>
              </w:rPr>
              <w:t>住房城乡建设部、河南省人民政府的表彰</w:t>
            </w:r>
          </w:p>
        </w:tc>
        <w:tc>
          <w:tcPr>
            <w:tcW w:w="2066" w:type="dxa"/>
            <w:tcBorders>
              <w:top w:val="single" w:color="auto" w:sz="4" w:space="0"/>
              <w:left w:val="single" w:color="auto" w:sz="4" w:space="0"/>
              <w:right w:val="single" w:color="auto" w:sz="4" w:space="0"/>
            </w:tcBorders>
            <w:shd w:val="clear" w:color="auto" w:fill="FFFFFF"/>
            <w:vAlign w:val="center"/>
          </w:tcPr>
          <w:p>
            <w:pPr>
              <w:pStyle w:val="18"/>
              <w:shd w:val="clear" w:color="auto" w:fill="auto"/>
              <w:spacing w:after="0" w:line="190" w:lineRule="exact"/>
              <w:ind w:left="80"/>
            </w:pPr>
            <w:r>
              <w:rPr>
                <w:rStyle w:val="19"/>
                <w:color w:val="auto"/>
              </w:rPr>
              <w:t>3年</w:t>
            </w:r>
          </w:p>
        </w:tc>
      </w:tr>
      <w:tr>
        <w:tblPrEx>
          <w:tblCellMar>
            <w:top w:w="0" w:type="dxa"/>
            <w:left w:w="10" w:type="dxa"/>
            <w:bottom w:w="0" w:type="dxa"/>
            <w:right w:w="10" w:type="dxa"/>
          </w:tblCellMar>
        </w:tblPrEx>
        <w:trPr>
          <w:trHeight w:val="569" w:hRule="exact"/>
          <w:jc w:val="center"/>
        </w:trPr>
        <w:tc>
          <w:tcPr>
            <w:tcW w:w="1886" w:type="dxa"/>
            <w:vMerge w:val="continue"/>
            <w:tcBorders>
              <w:left w:val="single" w:color="auto" w:sz="4" w:space="0"/>
            </w:tcBorders>
            <w:shd w:val="clear" w:color="auto" w:fill="FFFFFF"/>
            <w:vAlign w:val="center"/>
          </w:tcPr>
          <w:p/>
        </w:tc>
        <w:tc>
          <w:tcPr>
            <w:tcW w:w="5184" w:type="dxa"/>
            <w:tcBorders>
              <w:top w:val="single" w:color="auto" w:sz="4" w:space="0"/>
              <w:left w:val="single" w:color="auto" w:sz="4" w:space="0"/>
            </w:tcBorders>
            <w:shd w:val="clear" w:color="auto" w:fill="FFFFFF"/>
            <w:vAlign w:val="center"/>
          </w:tcPr>
          <w:p>
            <w:pPr>
              <w:pStyle w:val="18"/>
              <w:shd w:val="clear" w:color="auto" w:fill="auto"/>
              <w:spacing w:after="0" w:line="190" w:lineRule="exact"/>
              <w:jc w:val="both"/>
            </w:pPr>
            <w:r>
              <w:rPr>
                <w:rStyle w:val="19"/>
                <w:color w:val="auto"/>
              </w:rPr>
              <w:t>县级以上人民政府或住房城乡建设主管部门的表彰</w:t>
            </w:r>
          </w:p>
        </w:tc>
        <w:tc>
          <w:tcPr>
            <w:tcW w:w="2066" w:type="dxa"/>
            <w:tcBorders>
              <w:top w:val="single" w:color="auto" w:sz="4" w:space="0"/>
              <w:left w:val="single" w:color="auto" w:sz="4" w:space="0"/>
              <w:right w:val="single" w:color="auto" w:sz="4" w:space="0"/>
            </w:tcBorders>
            <w:shd w:val="clear" w:color="auto" w:fill="FFFFFF"/>
            <w:vAlign w:val="center"/>
          </w:tcPr>
          <w:p>
            <w:pPr>
              <w:pStyle w:val="18"/>
              <w:shd w:val="clear" w:color="auto" w:fill="auto"/>
              <w:spacing w:after="0" w:line="190" w:lineRule="exact"/>
              <w:ind w:left="80"/>
            </w:pPr>
            <w:r>
              <w:rPr>
                <w:rStyle w:val="19"/>
                <w:color w:val="auto"/>
              </w:rPr>
              <w:t>3年</w:t>
            </w:r>
          </w:p>
        </w:tc>
      </w:tr>
      <w:tr>
        <w:tblPrEx>
          <w:tblCellMar>
            <w:top w:w="0" w:type="dxa"/>
            <w:left w:w="10" w:type="dxa"/>
            <w:bottom w:w="0" w:type="dxa"/>
            <w:right w:w="10" w:type="dxa"/>
          </w:tblCellMar>
        </w:tblPrEx>
        <w:trPr>
          <w:trHeight w:val="576" w:hRule="exact"/>
          <w:jc w:val="center"/>
        </w:trPr>
        <w:tc>
          <w:tcPr>
            <w:tcW w:w="1886" w:type="dxa"/>
            <w:vMerge w:val="restart"/>
            <w:tcBorders>
              <w:top w:val="single" w:color="auto" w:sz="4" w:space="0"/>
              <w:left w:val="single" w:color="auto" w:sz="4" w:space="0"/>
            </w:tcBorders>
            <w:shd w:val="clear" w:color="auto" w:fill="FFFFFF"/>
            <w:vAlign w:val="center"/>
          </w:tcPr>
          <w:p>
            <w:pPr>
              <w:pStyle w:val="18"/>
              <w:shd w:val="clear" w:color="auto" w:fill="auto"/>
              <w:spacing w:after="0" w:line="190" w:lineRule="exact"/>
              <w:ind w:right="40"/>
            </w:pPr>
            <w:r>
              <w:rPr>
                <w:rStyle w:val="19"/>
                <w:color w:val="auto"/>
              </w:rPr>
              <w:t>科技创新</w:t>
            </w:r>
          </w:p>
          <w:p>
            <w:pPr>
              <w:pStyle w:val="18"/>
              <w:shd w:val="clear" w:color="auto" w:fill="auto"/>
              <w:spacing w:after="0" w:line="190" w:lineRule="exact"/>
              <w:ind w:right="40"/>
            </w:pPr>
            <w:r>
              <w:rPr>
                <w:rStyle w:val="19"/>
                <w:color w:val="auto"/>
              </w:rPr>
              <w:t>（建筑类）</w:t>
            </w:r>
          </w:p>
        </w:tc>
        <w:tc>
          <w:tcPr>
            <w:tcW w:w="5184" w:type="dxa"/>
            <w:tcBorders>
              <w:top w:val="single" w:color="auto" w:sz="4" w:space="0"/>
              <w:left w:val="single" w:color="auto" w:sz="4" w:space="0"/>
            </w:tcBorders>
            <w:shd w:val="clear" w:color="auto" w:fill="FFFFFF"/>
          </w:tcPr>
          <w:p>
            <w:pPr>
              <w:pStyle w:val="18"/>
              <w:shd w:val="clear" w:color="auto" w:fill="auto"/>
              <w:spacing w:after="0" w:line="238" w:lineRule="exact"/>
              <w:ind w:right="140"/>
              <w:jc w:val="both"/>
            </w:pPr>
            <w:r>
              <w:rPr>
                <w:rStyle w:val="19"/>
                <w:color w:val="auto"/>
              </w:rPr>
              <w:t>企业参与标准、定额、工法编制：（丨）国家级；</w:t>
            </w:r>
            <w:r>
              <w:rPr>
                <w:rStyle w:val="19"/>
                <w:color w:val="auto"/>
                <w:lang w:val="en-US" w:bidi="en-US"/>
              </w:rPr>
              <w:t>（2）</w:t>
            </w:r>
            <w:r>
              <w:rPr>
                <w:rStyle w:val="19"/>
                <w:color w:val="auto"/>
              </w:rPr>
              <w:t>省 级。</w:t>
            </w:r>
          </w:p>
        </w:tc>
        <w:tc>
          <w:tcPr>
            <w:tcW w:w="2066" w:type="dxa"/>
            <w:tcBorders>
              <w:top w:val="single" w:color="auto" w:sz="4" w:space="0"/>
              <w:left w:val="single" w:color="auto" w:sz="4" w:space="0"/>
              <w:right w:val="single" w:color="auto" w:sz="4" w:space="0"/>
            </w:tcBorders>
            <w:shd w:val="clear" w:color="auto" w:fill="FFFFFF"/>
            <w:vAlign w:val="center"/>
          </w:tcPr>
          <w:p>
            <w:pPr>
              <w:pStyle w:val="18"/>
              <w:shd w:val="clear" w:color="auto" w:fill="auto"/>
              <w:spacing w:after="0" w:line="190" w:lineRule="exact"/>
              <w:ind w:left="80"/>
            </w:pPr>
            <w:r>
              <w:rPr>
                <w:rStyle w:val="19"/>
                <w:color w:val="auto"/>
              </w:rPr>
              <w:t>3年</w:t>
            </w:r>
          </w:p>
        </w:tc>
      </w:tr>
      <w:tr>
        <w:tblPrEx>
          <w:tblCellMar>
            <w:top w:w="0" w:type="dxa"/>
            <w:left w:w="10" w:type="dxa"/>
            <w:bottom w:w="0" w:type="dxa"/>
            <w:right w:w="10" w:type="dxa"/>
          </w:tblCellMar>
        </w:tblPrEx>
        <w:trPr>
          <w:trHeight w:val="569" w:hRule="exact"/>
          <w:jc w:val="center"/>
        </w:trPr>
        <w:tc>
          <w:tcPr>
            <w:tcW w:w="1886" w:type="dxa"/>
            <w:vMerge w:val="continue"/>
            <w:tcBorders>
              <w:left w:val="single" w:color="auto" w:sz="4" w:space="0"/>
            </w:tcBorders>
            <w:shd w:val="clear" w:color="auto" w:fill="FFFFFF"/>
          </w:tcPr>
          <w:p>
            <w:pPr>
              <w:rPr>
                <w:sz w:val="10"/>
                <w:szCs w:val="10"/>
              </w:rPr>
            </w:pPr>
          </w:p>
        </w:tc>
        <w:tc>
          <w:tcPr>
            <w:tcW w:w="5184" w:type="dxa"/>
            <w:tcBorders>
              <w:top w:val="single" w:color="auto" w:sz="4" w:space="0"/>
              <w:left w:val="single" w:color="auto" w:sz="4" w:space="0"/>
            </w:tcBorders>
            <w:shd w:val="clear" w:color="auto" w:fill="FFFFFF"/>
            <w:vAlign w:val="center"/>
          </w:tcPr>
          <w:p>
            <w:pPr>
              <w:pStyle w:val="18"/>
              <w:shd w:val="clear" w:color="auto" w:fill="auto"/>
              <w:spacing w:after="0" w:line="190" w:lineRule="exact"/>
              <w:jc w:val="both"/>
            </w:pPr>
            <w:r>
              <w:rPr>
                <w:rStyle w:val="19"/>
                <w:color w:val="auto"/>
              </w:rPr>
              <w:t>科技示范工程：</w:t>
            </w:r>
            <w:r>
              <w:rPr>
                <w:rStyle w:val="19"/>
                <w:color w:val="auto"/>
                <w:lang w:val="en-US" w:bidi="en-US"/>
              </w:rPr>
              <w:t>（1）</w:t>
            </w:r>
            <w:r>
              <w:rPr>
                <w:rStyle w:val="19"/>
                <w:color w:val="auto"/>
              </w:rPr>
              <w:t>住房城乡建设部；</w:t>
            </w:r>
            <w:r>
              <w:rPr>
                <w:rStyle w:val="19"/>
                <w:color w:val="auto"/>
                <w:lang w:val="en-US" w:bidi="en-US"/>
              </w:rPr>
              <w:t>（2）</w:t>
            </w:r>
            <w:r>
              <w:rPr>
                <w:rStyle w:val="19"/>
                <w:color w:val="auto"/>
              </w:rPr>
              <w:t>省级。</w:t>
            </w:r>
          </w:p>
        </w:tc>
        <w:tc>
          <w:tcPr>
            <w:tcW w:w="2066" w:type="dxa"/>
            <w:tcBorders>
              <w:top w:val="single" w:color="auto" w:sz="4" w:space="0"/>
              <w:left w:val="single" w:color="auto" w:sz="4" w:space="0"/>
              <w:right w:val="single" w:color="auto" w:sz="4" w:space="0"/>
            </w:tcBorders>
            <w:shd w:val="clear" w:color="auto" w:fill="FFFFFF"/>
            <w:vAlign w:val="center"/>
          </w:tcPr>
          <w:p>
            <w:pPr>
              <w:pStyle w:val="18"/>
              <w:shd w:val="clear" w:color="auto" w:fill="auto"/>
              <w:spacing w:after="0" w:line="190" w:lineRule="exact"/>
              <w:ind w:left="80"/>
            </w:pPr>
            <w:r>
              <w:rPr>
                <w:rStyle w:val="19"/>
                <w:color w:val="auto"/>
              </w:rPr>
              <w:t>3年</w:t>
            </w:r>
          </w:p>
        </w:tc>
      </w:tr>
      <w:tr>
        <w:tblPrEx>
          <w:tblCellMar>
            <w:top w:w="0" w:type="dxa"/>
            <w:left w:w="10" w:type="dxa"/>
            <w:bottom w:w="0" w:type="dxa"/>
            <w:right w:w="10" w:type="dxa"/>
          </w:tblCellMar>
        </w:tblPrEx>
        <w:trPr>
          <w:trHeight w:val="576" w:hRule="exact"/>
          <w:jc w:val="center"/>
        </w:trPr>
        <w:tc>
          <w:tcPr>
            <w:tcW w:w="1886" w:type="dxa"/>
            <w:vMerge w:val="continue"/>
            <w:tcBorders>
              <w:left w:val="single" w:color="auto" w:sz="4" w:space="0"/>
            </w:tcBorders>
            <w:shd w:val="clear" w:color="auto" w:fill="FFFFFF"/>
            <w:vAlign w:val="bottom"/>
          </w:tcPr>
          <w:p>
            <w:pPr>
              <w:pStyle w:val="18"/>
              <w:shd w:val="clear" w:color="auto" w:fill="auto"/>
              <w:spacing w:after="0" w:line="190" w:lineRule="exact"/>
              <w:ind w:right="40"/>
            </w:pPr>
          </w:p>
        </w:tc>
        <w:tc>
          <w:tcPr>
            <w:tcW w:w="5184" w:type="dxa"/>
            <w:tcBorders>
              <w:top w:val="single" w:color="auto" w:sz="4" w:space="0"/>
              <w:left w:val="single" w:color="auto" w:sz="4" w:space="0"/>
            </w:tcBorders>
            <w:shd w:val="clear" w:color="auto" w:fill="FFFFFF"/>
            <w:vAlign w:val="center"/>
          </w:tcPr>
          <w:p>
            <w:pPr>
              <w:pStyle w:val="18"/>
              <w:shd w:val="clear" w:color="auto" w:fill="auto"/>
              <w:spacing w:after="0" w:line="190" w:lineRule="exact"/>
              <w:jc w:val="both"/>
            </w:pPr>
            <w:r>
              <w:rPr>
                <w:rStyle w:val="19"/>
                <w:color w:val="auto"/>
              </w:rPr>
              <w:t>企业专利：</w:t>
            </w:r>
            <w:r>
              <w:rPr>
                <w:rStyle w:val="19"/>
                <w:color w:val="auto"/>
                <w:lang w:val="en-US" w:bidi="en-US"/>
              </w:rPr>
              <w:t>（1）</w:t>
            </w:r>
            <w:r>
              <w:rPr>
                <w:rStyle w:val="19"/>
                <w:color w:val="auto"/>
              </w:rPr>
              <w:t>发明专利；</w:t>
            </w:r>
            <w:r>
              <w:rPr>
                <w:rStyle w:val="19"/>
                <w:color w:val="auto"/>
                <w:lang w:val="en-US" w:bidi="en-US"/>
              </w:rPr>
              <w:t>（2）</w:t>
            </w:r>
            <w:r>
              <w:rPr>
                <w:rStyle w:val="19"/>
                <w:color w:val="auto"/>
              </w:rPr>
              <w:t>实用新型专利。</w:t>
            </w:r>
          </w:p>
        </w:tc>
        <w:tc>
          <w:tcPr>
            <w:tcW w:w="2066" w:type="dxa"/>
            <w:tcBorders>
              <w:top w:val="single" w:color="auto" w:sz="4" w:space="0"/>
              <w:left w:val="single" w:color="auto" w:sz="4" w:space="0"/>
              <w:right w:val="single" w:color="auto" w:sz="4" w:space="0"/>
            </w:tcBorders>
            <w:shd w:val="clear" w:color="auto" w:fill="FFFFFF"/>
            <w:vAlign w:val="center"/>
          </w:tcPr>
          <w:p>
            <w:pPr>
              <w:pStyle w:val="18"/>
              <w:shd w:val="clear" w:color="auto" w:fill="auto"/>
              <w:spacing w:after="0" w:line="190" w:lineRule="exact"/>
              <w:ind w:left="80"/>
            </w:pPr>
            <w:r>
              <w:rPr>
                <w:rStyle w:val="19"/>
                <w:color w:val="auto"/>
              </w:rPr>
              <w:t>3年</w:t>
            </w:r>
          </w:p>
        </w:tc>
      </w:tr>
      <w:tr>
        <w:tblPrEx>
          <w:tblCellMar>
            <w:top w:w="0" w:type="dxa"/>
            <w:left w:w="10" w:type="dxa"/>
            <w:bottom w:w="0" w:type="dxa"/>
            <w:right w:w="10" w:type="dxa"/>
          </w:tblCellMar>
        </w:tblPrEx>
        <w:trPr>
          <w:trHeight w:val="634" w:hRule="exact"/>
          <w:jc w:val="center"/>
        </w:trPr>
        <w:tc>
          <w:tcPr>
            <w:tcW w:w="1886" w:type="dxa"/>
            <w:vMerge w:val="continue"/>
            <w:tcBorders>
              <w:left w:val="single" w:color="auto" w:sz="4" w:space="0"/>
            </w:tcBorders>
            <w:shd w:val="clear" w:color="auto" w:fill="FFFFFF"/>
          </w:tcPr>
          <w:p>
            <w:pPr>
              <w:pStyle w:val="18"/>
              <w:shd w:val="clear" w:color="auto" w:fill="auto"/>
              <w:spacing w:after="0" w:line="190" w:lineRule="exact"/>
              <w:ind w:right="40"/>
            </w:pPr>
          </w:p>
        </w:tc>
        <w:tc>
          <w:tcPr>
            <w:tcW w:w="5184" w:type="dxa"/>
            <w:tcBorders>
              <w:top w:val="single" w:color="auto" w:sz="4" w:space="0"/>
              <w:left w:val="single" w:color="auto" w:sz="4" w:space="0"/>
            </w:tcBorders>
            <w:shd w:val="clear" w:color="auto" w:fill="FFFFFF"/>
          </w:tcPr>
          <w:p>
            <w:pPr>
              <w:pStyle w:val="18"/>
              <w:shd w:val="clear" w:color="auto" w:fill="auto"/>
              <w:spacing w:after="0" w:line="245" w:lineRule="exact"/>
              <w:ind w:right="140"/>
              <w:jc w:val="both"/>
            </w:pPr>
            <w:r>
              <w:rPr>
                <w:rStyle w:val="19"/>
                <w:color w:val="auto"/>
              </w:rPr>
              <w:t>企业科技开发或科技进步奖：</w:t>
            </w:r>
            <w:r>
              <w:rPr>
                <w:rStyle w:val="19"/>
                <w:color w:val="auto"/>
                <w:lang w:val="en-US" w:bidi="en-US"/>
              </w:rPr>
              <w:t>（1）</w:t>
            </w:r>
            <w:r>
              <w:rPr>
                <w:rStyle w:val="19"/>
                <w:color w:val="auto"/>
              </w:rPr>
              <w:t>国家级；</w:t>
            </w:r>
            <w:r>
              <w:rPr>
                <w:rStyle w:val="19"/>
                <w:color w:val="auto"/>
                <w:lang w:val="en-US" w:bidi="en-US"/>
              </w:rPr>
              <w:t>（2）</w:t>
            </w:r>
            <w:r>
              <w:rPr>
                <w:rStyle w:val="19"/>
                <w:color w:val="auto"/>
              </w:rPr>
              <w:t>省级科 技成果或科技进步奖。</w:t>
            </w:r>
          </w:p>
        </w:tc>
        <w:tc>
          <w:tcPr>
            <w:tcW w:w="2066" w:type="dxa"/>
            <w:tcBorders>
              <w:top w:val="single" w:color="auto" w:sz="4" w:space="0"/>
              <w:left w:val="single" w:color="auto" w:sz="4" w:space="0"/>
              <w:right w:val="single" w:color="auto" w:sz="4" w:space="0"/>
            </w:tcBorders>
            <w:shd w:val="clear" w:color="auto" w:fill="FFFFFF"/>
            <w:vAlign w:val="center"/>
          </w:tcPr>
          <w:p>
            <w:pPr>
              <w:pStyle w:val="18"/>
              <w:shd w:val="clear" w:color="auto" w:fill="auto"/>
              <w:spacing w:after="0" w:line="190" w:lineRule="exact"/>
              <w:ind w:left="80"/>
            </w:pPr>
            <w:r>
              <w:rPr>
                <w:rStyle w:val="19"/>
                <w:color w:val="auto"/>
              </w:rPr>
              <w:t>3年</w:t>
            </w:r>
          </w:p>
        </w:tc>
      </w:tr>
      <w:tr>
        <w:tblPrEx>
          <w:tblCellMar>
            <w:top w:w="0" w:type="dxa"/>
            <w:left w:w="10" w:type="dxa"/>
            <w:bottom w:w="0" w:type="dxa"/>
            <w:right w:w="10" w:type="dxa"/>
          </w:tblCellMar>
        </w:tblPrEx>
        <w:trPr>
          <w:trHeight w:val="576" w:hRule="exact"/>
          <w:jc w:val="center"/>
        </w:trPr>
        <w:tc>
          <w:tcPr>
            <w:tcW w:w="1886" w:type="dxa"/>
            <w:vMerge w:val="continue"/>
            <w:tcBorders>
              <w:left w:val="single" w:color="auto" w:sz="4" w:space="0"/>
            </w:tcBorders>
            <w:shd w:val="clear" w:color="auto" w:fill="FFFFFF"/>
          </w:tcPr>
          <w:p>
            <w:pPr>
              <w:rPr>
                <w:sz w:val="10"/>
                <w:szCs w:val="10"/>
              </w:rPr>
            </w:pPr>
          </w:p>
        </w:tc>
        <w:tc>
          <w:tcPr>
            <w:tcW w:w="5184" w:type="dxa"/>
            <w:tcBorders>
              <w:top w:val="single" w:color="auto" w:sz="4" w:space="0"/>
              <w:left w:val="single" w:color="auto" w:sz="4" w:space="0"/>
            </w:tcBorders>
            <w:shd w:val="clear" w:color="auto" w:fill="FFFFFF"/>
            <w:vAlign w:val="center"/>
          </w:tcPr>
          <w:p>
            <w:pPr>
              <w:pStyle w:val="18"/>
              <w:shd w:val="clear" w:color="auto" w:fill="auto"/>
              <w:spacing w:after="0" w:line="190" w:lineRule="exact"/>
              <w:jc w:val="both"/>
            </w:pPr>
            <w:r>
              <w:rPr>
                <w:rStyle w:val="19"/>
                <w:color w:val="auto"/>
              </w:rPr>
              <w:t>企业科技项目：</w:t>
            </w:r>
            <w:r>
              <w:rPr>
                <w:rStyle w:val="19"/>
                <w:color w:val="auto"/>
                <w:lang w:val="en-US" w:bidi="en-US"/>
              </w:rPr>
              <w:t>（1）</w:t>
            </w:r>
            <w:r>
              <w:rPr>
                <w:rStyle w:val="19"/>
                <w:color w:val="auto"/>
              </w:rPr>
              <w:t>国家级；</w:t>
            </w:r>
            <w:r>
              <w:rPr>
                <w:rStyle w:val="19"/>
                <w:color w:val="auto"/>
                <w:lang w:val="en-US" w:bidi="en-US"/>
              </w:rPr>
              <w:t>（2）</w:t>
            </w:r>
            <w:r>
              <w:rPr>
                <w:rStyle w:val="19"/>
                <w:color w:val="auto"/>
              </w:rPr>
              <w:t>省级。</w:t>
            </w:r>
          </w:p>
        </w:tc>
        <w:tc>
          <w:tcPr>
            <w:tcW w:w="2066" w:type="dxa"/>
            <w:tcBorders>
              <w:top w:val="single" w:color="auto" w:sz="4" w:space="0"/>
              <w:left w:val="single" w:color="auto" w:sz="4" w:space="0"/>
              <w:right w:val="single" w:color="auto" w:sz="4" w:space="0"/>
            </w:tcBorders>
            <w:shd w:val="clear" w:color="auto" w:fill="FFFFFF"/>
            <w:vAlign w:val="center"/>
          </w:tcPr>
          <w:p>
            <w:pPr>
              <w:pStyle w:val="18"/>
              <w:shd w:val="clear" w:color="auto" w:fill="auto"/>
              <w:spacing w:after="0" w:line="190" w:lineRule="exact"/>
              <w:ind w:left="80"/>
            </w:pPr>
            <w:r>
              <w:rPr>
                <w:rStyle w:val="19"/>
                <w:color w:val="auto"/>
              </w:rPr>
              <w:t>3年</w:t>
            </w:r>
          </w:p>
        </w:tc>
      </w:tr>
      <w:tr>
        <w:tblPrEx>
          <w:tblCellMar>
            <w:top w:w="0" w:type="dxa"/>
            <w:left w:w="10" w:type="dxa"/>
            <w:bottom w:w="0" w:type="dxa"/>
            <w:right w:w="10" w:type="dxa"/>
          </w:tblCellMar>
        </w:tblPrEx>
        <w:trPr>
          <w:trHeight w:val="576" w:hRule="exact"/>
          <w:jc w:val="center"/>
        </w:trPr>
        <w:tc>
          <w:tcPr>
            <w:tcW w:w="1886" w:type="dxa"/>
            <w:vMerge w:val="continue"/>
            <w:tcBorders>
              <w:left w:val="single" w:color="auto" w:sz="4" w:space="0"/>
            </w:tcBorders>
            <w:shd w:val="clear" w:color="auto" w:fill="FFFFFF"/>
          </w:tcPr>
          <w:p>
            <w:pPr>
              <w:rPr>
                <w:sz w:val="10"/>
                <w:szCs w:val="10"/>
              </w:rPr>
            </w:pPr>
          </w:p>
        </w:tc>
        <w:tc>
          <w:tcPr>
            <w:tcW w:w="5184" w:type="dxa"/>
            <w:tcBorders>
              <w:top w:val="single" w:color="auto" w:sz="4" w:space="0"/>
              <w:left w:val="single" w:color="auto" w:sz="4" w:space="0"/>
            </w:tcBorders>
            <w:shd w:val="clear" w:color="auto" w:fill="FFFFFF"/>
            <w:vAlign w:val="center"/>
          </w:tcPr>
          <w:p>
            <w:pPr>
              <w:pStyle w:val="18"/>
              <w:shd w:val="clear" w:color="auto" w:fill="auto"/>
              <w:spacing w:after="0" w:line="190" w:lineRule="exact"/>
              <w:jc w:val="both"/>
            </w:pPr>
            <w:r>
              <w:rPr>
                <w:rStyle w:val="19"/>
                <w:color w:val="auto"/>
              </w:rPr>
              <w:t>科研平台或企业技术中心：</w:t>
            </w:r>
            <w:r>
              <w:rPr>
                <w:rStyle w:val="19"/>
                <w:color w:val="auto"/>
                <w:lang w:val="en-US" w:bidi="en-US"/>
              </w:rPr>
              <w:t>（1）</w:t>
            </w:r>
            <w:r>
              <w:rPr>
                <w:rStyle w:val="19"/>
                <w:color w:val="auto"/>
              </w:rPr>
              <w:t>国家级；</w:t>
            </w:r>
            <w:r>
              <w:rPr>
                <w:rStyle w:val="19"/>
                <w:color w:val="auto"/>
                <w:lang w:val="en-US" w:bidi="en-US"/>
              </w:rPr>
              <w:t>（2）</w:t>
            </w:r>
            <w:r>
              <w:rPr>
                <w:rStyle w:val="19"/>
                <w:color w:val="auto"/>
              </w:rPr>
              <w:t>省级。</w:t>
            </w:r>
          </w:p>
        </w:tc>
        <w:tc>
          <w:tcPr>
            <w:tcW w:w="2066" w:type="dxa"/>
            <w:tcBorders>
              <w:top w:val="single" w:color="auto" w:sz="4" w:space="0"/>
              <w:left w:val="single" w:color="auto" w:sz="4" w:space="0"/>
            </w:tcBorders>
            <w:shd w:val="clear" w:color="auto" w:fill="FFFFFF"/>
            <w:vAlign w:val="center"/>
          </w:tcPr>
          <w:p>
            <w:pPr>
              <w:pStyle w:val="18"/>
              <w:shd w:val="clear" w:color="auto" w:fill="auto"/>
              <w:spacing w:after="0" w:line="190" w:lineRule="exact"/>
              <w:ind w:left="80"/>
            </w:pPr>
            <w:r>
              <w:rPr>
                <w:rStyle w:val="19"/>
                <w:color w:val="auto"/>
              </w:rPr>
              <w:t>1年</w:t>
            </w:r>
          </w:p>
        </w:tc>
      </w:tr>
      <w:tr>
        <w:tblPrEx>
          <w:tblCellMar>
            <w:top w:w="0" w:type="dxa"/>
            <w:left w:w="10" w:type="dxa"/>
            <w:bottom w:w="0" w:type="dxa"/>
            <w:right w:w="10" w:type="dxa"/>
          </w:tblCellMar>
        </w:tblPrEx>
        <w:trPr>
          <w:trHeight w:val="634" w:hRule="exact"/>
          <w:jc w:val="center"/>
        </w:trPr>
        <w:tc>
          <w:tcPr>
            <w:tcW w:w="1886" w:type="dxa"/>
            <w:tcBorders>
              <w:top w:val="single" w:color="auto" w:sz="4" w:space="0"/>
              <w:left w:val="single" w:color="auto" w:sz="4" w:space="0"/>
            </w:tcBorders>
            <w:shd w:val="clear" w:color="auto" w:fill="FFFFFF"/>
            <w:vAlign w:val="center"/>
          </w:tcPr>
          <w:p>
            <w:pPr>
              <w:pStyle w:val="18"/>
              <w:shd w:val="clear" w:color="auto" w:fill="auto"/>
              <w:spacing w:after="0" w:line="190" w:lineRule="exact"/>
              <w:ind w:left="340"/>
              <w:jc w:val="left"/>
            </w:pPr>
            <w:r>
              <w:rPr>
                <w:rStyle w:val="19"/>
                <w:color w:val="auto"/>
              </w:rPr>
              <w:t>安全文明工地</w:t>
            </w:r>
          </w:p>
        </w:tc>
        <w:tc>
          <w:tcPr>
            <w:tcW w:w="5184" w:type="dxa"/>
            <w:tcBorders>
              <w:top w:val="single" w:color="auto" w:sz="4" w:space="0"/>
              <w:left w:val="single" w:color="auto" w:sz="4" w:space="0"/>
            </w:tcBorders>
            <w:shd w:val="clear" w:color="auto" w:fill="FFFFFF"/>
          </w:tcPr>
          <w:p>
            <w:pPr>
              <w:pStyle w:val="18"/>
              <w:shd w:val="clear" w:color="auto" w:fill="auto"/>
              <w:spacing w:after="0" w:line="245" w:lineRule="exact"/>
              <w:ind w:right="140"/>
              <w:jc w:val="both"/>
            </w:pPr>
            <w:r>
              <w:rPr>
                <w:rStyle w:val="19"/>
                <w:color w:val="auto"/>
              </w:rPr>
              <w:t>（1）国家</w:t>
            </w:r>
            <w:r>
              <w:rPr>
                <w:rStyle w:val="19"/>
                <w:color w:val="auto"/>
                <w:lang w:val="en-US" w:bidi="en-US"/>
              </w:rPr>
              <w:t>AAA</w:t>
            </w:r>
            <w:r>
              <w:rPr>
                <w:rStyle w:val="19"/>
                <w:color w:val="auto"/>
              </w:rPr>
              <w:t>级安全文明标准化工地；</w:t>
            </w:r>
            <w:r>
              <w:rPr>
                <w:rStyle w:val="19"/>
                <w:color w:val="auto"/>
                <w:lang w:val="en-US" w:bidi="en-US"/>
              </w:rPr>
              <w:t>（2）</w:t>
            </w:r>
            <w:r>
              <w:rPr>
                <w:rStyle w:val="19"/>
                <w:color w:val="auto"/>
              </w:rPr>
              <w:t>省级安全 文明工地；</w:t>
            </w:r>
            <w:r>
              <w:rPr>
                <w:rStyle w:val="19"/>
                <w:color w:val="auto"/>
                <w:lang w:val="en-US" w:bidi="en-US"/>
              </w:rPr>
              <w:t>（3）</w:t>
            </w:r>
            <w:r>
              <w:rPr>
                <w:rStyle w:val="19"/>
                <w:color w:val="auto"/>
              </w:rPr>
              <w:t>市级安全文明工地</w:t>
            </w:r>
          </w:p>
        </w:tc>
        <w:tc>
          <w:tcPr>
            <w:tcW w:w="2066" w:type="dxa"/>
            <w:tcBorders>
              <w:top w:val="single" w:color="auto" w:sz="4" w:space="0"/>
              <w:left w:val="single" w:color="auto" w:sz="4" w:space="0"/>
            </w:tcBorders>
            <w:shd w:val="clear" w:color="auto" w:fill="FFFFFF"/>
            <w:vAlign w:val="center"/>
          </w:tcPr>
          <w:p>
            <w:pPr>
              <w:pStyle w:val="18"/>
              <w:shd w:val="clear" w:color="auto" w:fill="auto"/>
              <w:spacing w:after="0" w:line="190" w:lineRule="exact"/>
              <w:ind w:left="80"/>
            </w:pPr>
            <w:r>
              <w:rPr>
                <w:rStyle w:val="19"/>
                <w:color w:val="auto"/>
              </w:rPr>
              <w:t>3年</w:t>
            </w:r>
          </w:p>
        </w:tc>
      </w:tr>
      <w:tr>
        <w:tblPrEx>
          <w:tblCellMar>
            <w:top w:w="0" w:type="dxa"/>
            <w:left w:w="10" w:type="dxa"/>
            <w:bottom w:w="0" w:type="dxa"/>
            <w:right w:w="10" w:type="dxa"/>
          </w:tblCellMar>
        </w:tblPrEx>
        <w:trPr>
          <w:trHeight w:val="641" w:hRule="exact"/>
          <w:jc w:val="center"/>
        </w:trPr>
        <w:tc>
          <w:tcPr>
            <w:tcW w:w="1886" w:type="dxa"/>
            <w:tcBorders>
              <w:top w:val="single" w:color="auto" w:sz="4" w:space="0"/>
              <w:left w:val="single" w:color="auto" w:sz="4" w:space="0"/>
            </w:tcBorders>
            <w:shd w:val="clear" w:color="auto" w:fill="FFFFFF"/>
          </w:tcPr>
          <w:p>
            <w:pPr>
              <w:pStyle w:val="18"/>
              <w:shd w:val="clear" w:color="auto" w:fill="auto"/>
              <w:spacing w:after="0" w:line="245" w:lineRule="exact"/>
              <w:ind w:right="40"/>
            </w:pPr>
            <w:r>
              <w:rPr>
                <w:rStyle w:val="19"/>
                <w:color w:val="auto"/>
              </w:rPr>
              <w:t>列入重点扶持优势 企业名单</w:t>
            </w:r>
          </w:p>
        </w:tc>
        <w:tc>
          <w:tcPr>
            <w:tcW w:w="5184" w:type="dxa"/>
            <w:tcBorders>
              <w:top w:val="single" w:color="auto" w:sz="4" w:space="0"/>
              <w:left w:val="single" w:color="auto" w:sz="4" w:space="0"/>
            </w:tcBorders>
            <w:shd w:val="clear" w:color="auto" w:fill="FFFFFF"/>
            <w:vAlign w:val="center"/>
          </w:tcPr>
          <w:p>
            <w:pPr>
              <w:pStyle w:val="18"/>
              <w:shd w:val="clear" w:color="auto" w:fill="auto"/>
              <w:spacing w:after="0" w:line="190" w:lineRule="exact"/>
              <w:jc w:val="both"/>
            </w:pPr>
            <w:r>
              <w:rPr>
                <w:rStyle w:val="19"/>
                <w:color w:val="auto"/>
                <w:lang w:val="en-US" w:bidi="en-US"/>
              </w:rPr>
              <w:t>（1）</w:t>
            </w:r>
            <w:r>
              <w:rPr>
                <w:rStyle w:val="19"/>
                <w:color w:val="auto"/>
              </w:rPr>
              <w:t>省级重点扶持企业：</w:t>
            </w:r>
            <w:r>
              <w:rPr>
                <w:rStyle w:val="19"/>
                <w:color w:val="auto"/>
                <w:lang w:val="en-US" w:bidi="en-US"/>
              </w:rPr>
              <w:t>（2）</w:t>
            </w:r>
            <w:r>
              <w:rPr>
                <w:rStyle w:val="19"/>
                <w:color w:val="auto"/>
              </w:rPr>
              <w:t>市级重点扶持企业。</w:t>
            </w:r>
          </w:p>
        </w:tc>
        <w:tc>
          <w:tcPr>
            <w:tcW w:w="2066" w:type="dxa"/>
            <w:tcBorders>
              <w:top w:val="single" w:color="auto" w:sz="4" w:space="0"/>
              <w:left w:val="single" w:color="auto" w:sz="4" w:space="0"/>
            </w:tcBorders>
            <w:shd w:val="clear" w:color="auto" w:fill="FFFFFF"/>
            <w:vAlign w:val="center"/>
          </w:tcPr>
          <w:p>
            <w:pPr>
              <w:pStyle w:val="18"/>
              <w:shd w:val="clear" w:color="auto" w:fill="auto"/>
              <w:spacing w:after="0" w:line="190" w:lineRule="exact"/>
              <w:ind w:left="80"/>
            </w:pPr>
            <w:r>
              <w:rPr>
                <w:rStyle w:val="19"/>
                <w:color w:val="auto"/>
              </w:rPr>
              <w:t>3年</w:t>
            </w:r>
          </w:p>
        </w:tc>
      </w:tr>
      <w:tr>
        <w:tblPrEx>
          <w:tblCellMar>
            <w:top w:w="0" w:type="dxa"/>
            <w:left w:w="10" w:type="dxa"/>
            <w:bottom w:w="0" w:type="dxa"/>
            <w:right w:w="10" w:type="dxa"/>
          </w:tblCellMar>
        </w:tblPrEx>
        <w:trPr>
          <w:trHeight w:val="756" w:hRule="exact"/>
          <w:jc w:val="center"/>
        </w:trPr>
        <w:tc>
          <w:tcPr>
            <w:tcW w:w="1886" w:type="dxa"/>
            <w:tcBorders>
              <w:top w:val="single" w:color="auto" w:sz="4" w:space="0"/>
              <w:left w:val="single" w:color="auto" w:sz="4" w:space="0"/>
              <w:bottom w:val="single" w:color="auto" w:sz="4" w:space="0"/>
            </w:tcBorders>
            <w:shd w:val="clear" w:color="auto" w:fill="FFFFFF"/>
            <w:vAlign w:val="center"/>
          </w:tcPr>
          <w:p>
            <w:pPr>
              <w:pStyle w:val="18"/>
              <w:shd w:val="clear" w:color="auto" w:fill="auto"/>
              <w:spacing w:after="0" w:line="190" w:lineRule="exact"/>
              <w:ind w:left="340"/>
              <w:jc w:val="left"/>
            </w:pPr>
            <w:r>
              <w:rPr>
                <w:rStyle w:val="19"/>
                <w:color w:val="auto"/>
              </w:rPr>
              <w:t>外埠市场开拓</w:t>
            </w:r>
          </w:p>
        </w:tc>
        <w:tc>
          <w:tcPr>
            <w:tcW w:w="5184" w:type="dxa"/>
            <w:tcBorders>
              <w:top w:val="single" w:color="auto" w:sz="4" w:space="0"/>
              <w:left w:val="single" w:color="auto" w:sz="4" w:space="0"/>
              <w:bottom w:val="single" w:color="auto" w:sz="4" w:space="0"/>
            </w:tcBorders>
            <w:shd w:val="clear" w:color="auto" w:fill="FFFFFF"/>
          </w:tcPr>
          <w:p>
            <w:pPr>
              <w:pStyle w:val="18"/>
              <w:shd w:val="clear" w:color="auto" w:fill="auto"/>
              <w:spacing w:after="0" w:line="238" w:lineRule="exact"/>
              <w:jc w:val="both"/>
            </w:pPr>
            <w:r>
              <w:rPr>
                <w:rStyle w:val="19"/>
                <w:color w:val="auto"/>
              </w:rPr>
              <w:t>本竹企业在省外工柷施工中获得县级以上有关部门给予的</w:t>
            </w:r>
          </w:p>
          <w:p>
            <w:pPr>
              <w:pStyle w:val="18"/>
              <w:shd w:val="clear" w:color="auto" w:fill="auto"/>
              <w:spacing w:after="0" w:line="238" w:lineRule="exact"/>
              <w:ind w:right="140"/>
              <w:jc w:val="both"/>
            </w:pPr>
            <w:r>
              <w:rPr>
                <w:rStyle w:val="19"/>
                <w:color w:val="auto"/>
              </w:rPr>
              <w:t>有关质量、安全文明施工、科技创新、通报报表彰等奖项 和奖励</w:t>
            </w:r>
          </w:p>
        </w:tc>
        <w:tc>
          <w:tcPr>
            <w:tcW w:w="2066" w:type="dxa"/>
            <w:tcBorders>
              <w:top w:val="single" w:color="auto" w:sz="4" w:space="0"/>
              <w:left w:val="single" w:color="auto" w:sz="4" w:space="0"/>
              <w:bottom w:val="single" w:color="auto" w:sz="4" w:space="0"/>
            </w:tcBorders>
            <w:shd w:val="clear" w:color="auto" w:fill="FFFFFF"/>
            <w:vAlign w:val="center"/>
          </w:tcPr>
          <w:p>
            <w:pPr>
              <w:pStyle w:val="18"/>
              <w:shd w:val="clear" w:color="auto" w:fill="auto"/>
              <w:spacing w:after="0" w:line="190" w:lineRule="exact"/>
              <w:ind w:left="80"/>
            </w:pPr>
            <w:r>
              <w:rPr>
                <w:rStyle w:val="19"/>
                <w:color w:val="auto"/>
              </w:rPr>
              <w:t>3年</w:t>
            </w:r>
          </w:p>
        </w:tc>
      </w:tr>
    </w:tbl>
    <w:p>
      <w:pPr>
        <w:pStyle w:val="10"/>
        <w:ind w:left="2900" w:hanging="1200"/>
      </w:pPr>
    </w:p>
    <w:p>
      <w:pPr>
        <w:pStyle w:val="10"/>
        <w:ind w:left="2900" w:hanging="1200"/>
        <w:rPr>
          <w:rFonts w:ascii="新宋体" w:hAnsi="新宋体" w:eastAsia="新宋体"/>
        </w:rPr>
      </w:pPr>
    </w:p>
    <w:p>
      <w:pPr>
        <w:rPr>
          <w:rFonts w:ascii="新宋体" w:hAnsi="新宋体" w:eastAsia="新宋体"/>
          <w:sz w:val="24"/>
        </w:rPr>
      </w:pPr>
    </w:p>
    <w:p>
      <w:pPr>
        <w:pStyle w:val="10"/>
        <w:ind w:left="2900" w:hanging="1200"/>
        <w:rPr>
          <w:rFonts w:ascii="新宋体" w:hAnsi="新宋体" w:eastAsia="新宋体"/>
        </w:rPr>
      </w:pPr>
    </w:p>
    <w:p>
      <w:pPr>
        <w:pStyle w:val="17"/>
        <w:keepNext/>
        <w:keepLines/>
        <w:shd w:val="clear" w:color="auto" w:fill="auto"/>
        <w:spacing w:before="0"/>
        <w:ind w:left="260"/>
        <w:jc w:val="left"/>
        <w:rPr>
          <w:rFonts w:eastAsia="宋体"/>
          <w:b/>
          <w:bCs/>
        </w:rPr>
      </w:pPr>
      <w:bookmarkStart w:id="202" w:name="bookmark3"/>
      <w:r>
        <w:rPr>
          <w:rFonts w:hint="eastAsia" w:eastAsia="宋体"/>
          <w:b/>
          <w:bCs/>
        </w:rPr>
        <w:t>附件二</w:t>
      </w:r>
    </w:p>
    <w:p>
      <w:pPr>
        <w:pStyle w:val="17"/>
        <w:keepNext/>
        <w:keepLines/>
        <w:shd w:val="clear" w:color="auto" w:fill="auto"/>
        <w:spacing w:before="0"/>
        <w:ind w:left="260"/>
        <w:jc w:val="left"/>
        <w:rPr>
          <w:rFonts w:eastAsia="宋体"/>
          <w:b/>
          <w:bCs/>
        </w:rPr>
      </w:pPr>
    </w:p>
    <w:p>
      <w:pPr>
        <w:pStyle w:val="17"/>
        <w:keepNext/>
        <w:keepLines/>
        <w:shd w:val="clear" w:color="auto" w:fill="auto"/>
        <w:spacing w:before="0"/>
        <w:ind w:left="260"/>
      </w:pPr>
      <w:r>
        <w:t>项目经理良好信用信息采集项</w:t>
      </w:r>
      <w:bookmarkEnd w:id="202"/>
    </w:p>
    <w:tbl>
      <w:tblPr>
        <w:tblStyle w:val="11"/>
        <w:tblW w:w="8538" w:type="dxa"/>
        <w:jc w:val="right"/>
        <w:tblLayout w:type="fixed"/>
        <w:tblCellMar>
          <w:top w:w="0" w:type="dxa"/>
          <w:left w:w="10" w:type="dxa"/>
          <w:bottom w:w="0" w:type="dxa"/>
          <w:right w:w="10" w:type="dxa"/>
        </w:tblCellMar>
      </w:tblPr>
      <w:tblGrid>
        <w:gridCol w:w="1238"/>
        <w:gridCol w:w="5594"/>
        <w:gridCol w:w="1706"/>
      </w:tblGrid>
      <w:tr>
        <w:tblPrEx>
          <w:tblCellMar>
            <w:top w:w="0" w:type="dxa"/>
            <w:left w:w="10" w:type="dxa"/>
            <w:bottom w:w="0" w:type="dxa"/>
            <w:right w:w="10" w:type="dxa"/>
          </w:tblCellMar>
        </w:tblPrEx>
        <w:trPr>
          <w:trHeight w:val="677" w:hRule="exact"/>
          <w:jc w:val="right"/>
        </w:trPr>
        <w:tc>
          <w:tcPr>
            <w:tcW w:w="1238" w:type="dxa"/>
            <w:tcBorders>
              <w:top w:val="single" w:color="auto" w:sz="4" w:space="0"/>
              <w:left w:val="single" w:color="auto" w:sz="4" w:space="0"/>
            </w:tcBorders>
            <w:shd w:val="clear" w:color="auto" w:fill="FFFFFF"/>
            <w:vAlign w:val="center"/>
          </w:tcPr>
          <w:p>
            <w:pPr>
              <w:pStyle w:val="18"/>
              <w:shd w:val="clear" w:color="auto" w:fill="auto"/>
              <w:spacing w:after="0" w:line="190" w:lineRule="exact"/>
              <w:ind w:left="220"/>
              <w:jc w:val="both"/>
            </w:pPr>
            <w:r>
              <w:rPr>
                <w:rStyle w:val="19"/>
                <w:color w:val="auto"/>
              </w:rPr>
              <w:t>信用类别</w:t>
            </w:r>
          </w:p>
        </w:tc>
        <w:tc>
          <w:tcPr>
            <w:tcW w:w="5594" w:type="dxa"/>
            <w:tcBorders>
              <w:top w:val="single" w:color="auto" w:sz="4" w:space="0"/>
              <w:left w:val="single" w:color="auto" w:sz="4" w:space="0"/>
            </w:tcBorders>
            <w:shd w:val="clear" w:color="auto" w:fill="FFFFFF"/>
            <w:vAlign w:val="center"/>
          </w:tcPr>
          <w:p>
            <w:pPr>
              <w:pStyle w:val="18"/>
              <w:shd w:val="clear" w:color="auto" w:fill="auto"/>
              <w:spacing w:after="0" w:line="190" w:lineRule="exact"/>
            </w:pPr>
            <w:r>
              <w:rPr>
                <w:rStyle w:val="19"/>
                <w:color w:val="auto"/>
              </w:rPr>
              <w:t>良好信用</w:t>
            </w:r>
          </w:p>
        </w:tc>
        <w:tc>
          <w:tcPr>
            <w:tcW w:w="1706" w:type="dxa"/>
            <w:tcBorders>
              <w:top w:val="single" w:color="auto" w:sz="4" w:space="0"/>
              <w:left w:val="single" w:color="auto" w:sz="4" w:space="0"/>
              <w:right w:val="single" w:color="auto" w:sz="4" w:space="0"/>
            </w:tcBorders>
            <w:shd w:val="clear" w:color="auto" w:fill="FFFFFF"/>
            <w:vAlign w:val="center"/>
          </w:tcPr>
          <w:p>
            <w:pPr>
              <w:pStyle w:val="18"/>
              <w:shd w:val="clear" w:color="auto" w:fill="auto"/>
              <w:spacing w:after="0" w:line="190" w:lineRule="exact"/>
              <w:ind w:left="20"/>
            </w:pPr>
            <w:r>
              <w:rPr>
                <w:rStyle w:val="19"/>
                <w:color w:val="auto"/>
              </w:rPr>
              <w:t>周期</w:t>
            </w:r>
          </w:p>
        </w:tc>
      </w:tr>
      <w:tr>
        <w:tblPrEx>
          <w:tblCellMar>
            <w:top w:w="0" w:type="dxa"/>
            <w:left w:w="10" w:type="dxa"/>
            <w:bottom w:w="0" w:type="dxa"/>
            <w:right w:w="10" w:type="dxa"/>
          </w:tblCellMar>
        </w:tblPrEx>
        <w:trPr>
          <w:trHeight w:val="1404" w:hRule="exact"/>
          <w:jc w:val="right"/>
        </w:trPr>
        <w:tc>
          <w:tcPr>
            <w:tcW w:w="1238" w:type="dxa"/>
            <w:vMerge w:val="restart"/>
            <w:tcBorders>
              <w:top w:val="single" w:color="auto" w:sz="4" w:space="0"/>
              <w:left w:val="single" w:color="auto" w:sz="4" w:space="0"/>
            </w:tcBorders>
            <w:shd w:val="clear" w:color="auto" w:fill="FFFFFF"/>
            <w:vAlign w:val="center"/>
          </w:tcPr>
          <w:p>
            <w:pPr>
              <w:pStyle w:val="18"/>
              <w:shd w:val="clear" w:color="auto" w:fill="auto"/>
              <w:spacing w:after="0" w:line="190" w:lineRule="exact"/>
              <w:ind w:left="220"/>
            </w:pPr>
            <w:r>
              <w:rPr>
                <w:rStyle w:val="19"/>
                <w:color w:val="auto"/>
              </w:rPr>
              <w:t>奖励荣誉</w:t>
            </w:r>
          </w:p>
        </w:tc>
        <w:tc>
          <w:tcPr>
            <w:tcW w:w="5594" w:type="dxa"/>
            <w:tcBorders>
              <w:top w:val="single" w:color="auto" w:sz="4" w:space="0"/>
              <w:left w:val="single" w:color="auto" w:sz="4" w:space="0"/>
            </w:tcBorders>
            <w:shd w:val="clear" w:color="auto" w:fill="FFFFFF"/>
            <w:vAlign w:val="center"/>
          </w:tcPr>
          <w:p>
            <w:pPr>
              <w:pStyle w:val="18"/>
              <w:shd w:val="clear" w:color="auto" w:fill="auto"/>
              <w:spacing w:after="0" w:line="238" w:lineRule="exact"/>
              <w:jc w:val="both"/>
            </w:pPr>
            <w:r>
              <w:rPr>
                <w:rStyle w:val="19"/>
                <w:color w:val="auto"/>
              </w:rPr>
              <w:t>国家级奖项/荣誉（包括鲁班奖、詹天佑奖、梁思成奖、华夏建 设科学技术奖、绿色建筑创新奖、全国建筑工程装饰奖、中国 建筑工程“钢结构金奖”、工程项目管理优秀奖、工程总承包奖 等）、国家</w:t>
            </w:r>
            <w:r>
              <w:rPr>
                <w:rStyle w:val="19"/>
                <w:color w:val="auto"/>
                <w:lang w:val="en-US" w:bidi="en-US"/>
              </w:rPr>
              <w:t>AAA</w:t>
            </w:r>
            <w:r>
              <w:rPr>
                <w:rStyle w:val="19"/>
                <w:color w:val="auto"/>
              </w:rPr>
              <w:t>级安全文明工地奖。</w:t>
            </w:r>
          </w:p>
        </w:tc>
        <w:tc>
          <w:tcPr>
            <w:tcW w:w="1706" w:type="dxa"/>
            <w:tcBorders>
              <w:top w:val="single" w:color="auto" w:sz="4" w:space="0"/>
              <w:left w:val="single" w:color="auto" w:sz="4" w:space="0"/>
              <w:right w:val="single" w:color="auto" w:sz="4" w:space="0"/>
            </w:tcBorders>
            <w:shd w:val="clear" w:color="auto" w:fill="FFFFFF"/>
            <w:vAlign w:val="center"/>
          </w:tcPr>
          <w:p>
            <w:pPr>
              <w:pStyle w:val="18"/>
              <w:shd w:val="clear" w:color="auto" w:fill="auto"/>
              <w:spacing w:after="0" w:line="190" w:lineRule="exact"/>
              <w:ind w:left="20"/>
            </w:pPr>
            <w:r>
              <w:rPr>
                <w:rStyle w:val="19"/>
                <w:color w:val="auto"/>
              </w:rPr>
              <w:t>3年</w:t>
            </w:r>
          </w:p>
        </w:tc>
      </w:tr>
      <w:tr>
        <w:tblPrEx>
          <w:tblCellMar>
            <w:top w:w="0" w:type="dxa"/>
            <w:left w:w="10" w:type="dxa"/>
            <w:bottom w:w="0" w:type="dxa"/>
            <w:right w:w="10" w:type="dxa"/>
          </w:tblCellMar>
        </w:tblPrEx>
        <w:trPr>
          <w:trHeight w:val="670" w:hRule="exact"/>
          <w:jc w:val="right"/>
        </w:trPr>
        <w:tc>
          <w:tcPr>
            <w:tcW w:w="1238" w:type="dxa"/>
            <w:vMerge w:val="continue"/>
            <w:tcBorders>
              <w:left w:val="single" w:color="auto" w:sz="4" w:space="0"/>
            </w:tcBorders>
            <w:shd w:val="clear" w:color="auto" w:fill="FFFFFF"/>
            <w:vAlign w:val="bottom"/>
          </w:tcPr>
          <w:p/>
        </w:tc>
        <w:tc>
          <w:tcPr>
            <w:tcW w:w="5594" w:type="dxa"/>
            <w:tcBorders>
              <w:top w:val="single" w:color="auto" w:sz="4" w:space="0"/>
              <w:left w:val="single" w:color="auto" w:sz="4" w:space="0"/>
            </w:tcBorders>
            <w:shd w:val="clear" w:color="auto" w:fill="FFFFFF"/>
            <w:vAlign w:val="center"/>
          </w:tcPr>
          <w:p>
            <w:pPr>
              <w:pStyle w:val="18"/>
              <w:shd w:val="clear" w:color="auto" w:fill="auto"/>
              <w:spacing w:after="0" w:line="190" w:lineRule="exact"/>
              <w:jc w:val="both"/>
            </w:pPr>
            <w:r>
              <w:rPr>
                <w:rStyle w:val="19"/>
                <w:color w:val="auto"/>
              </w:rPr>
              <w:t>省部级奖项/荣誉（中州杯等）、省安全文明标准化工地奖。</w:t>
            </w:r>
          </w:p>
        </w:tc>
        <w:tc>
          <w:tcPr>
            <w:tcW w:w="1706" w:type="dxa"/>
            <w:tcBorders>
              <w:top w:val="single" w:color="auto" w:sz="4" w:space="0"/>
              <w:left w:val="single" w:color="auto" w:sz="4" w:space="0"/>
              <w:right w:val="single" w:color="auto" w:sz="4" w:space="0"/>
            </w:tcBorders>
            <w:shd w:val="clear" w:color="auto" w:fill="FFFFFF"/>
            <w:vAlign w:val="center"/>
          </w:tcPr>
          <w:p>
            <w:pPr>
              <w:pStyle w:val="18"/>
              <w:shd w:val="clear" w:color="auto" w:fill="auto"/>
              <w:spacing w:after="0" w:line="190" w:lineRule="exact"/>
              <w:ind w:left="20"/>
            </w:pPr>
            <w:r>
              <w:rPr>
                <w:rStyle w:val="19"/>
                <w:color w:val="auto"/>
              </w:rPr>
              <w:t>3年</w:t>
            </w:r>
          </w:p>
        </w:tc>
      </w:tr>
      <w:tr>
        <w:tblPrEx>
          <w:tblCellMar>
            <w:top w:w="0" w:type="dxa"/>
            <w:left w:w="10" w:type="dxa"/>
            <w:bottom w:w="0" w:type="dxa"/>
            <w:right w:w="10" w:type="dxa"/>
          </w:tblCellMar>
        </w:tblPrEx>
        <w:trPr>
          <w:trHeight w:val="886" w:hRule="exact"/>
          <w:jc w:val="right"/>
        </w:trPr>
        <w:tc>
          <w:tcPr>
            <w:tcW w:w="1238" w:type="dxa"/>
            <w:vMerge w:val="continue"/>
            <w:tcBorders>
              <w:left w:val="single" w:color="auto" w:sz="4" w:space="0"/>
            </w:tcBorders>
            <w:shd w:val="clear" w:color="auto" w:fill="FFFFFF"/>
          </w:tcPr>
          <w:p>
            <w:pPr>
              <w:rPr>
                <w:sz w:val="10"/>
                <w:szCs w:val="10"/>
              </w:rPr>
            </w:pPr>
          </w:p>
        </w:tc>
        <w:tc>
          <w:tcPr>
            <w:tcW w:w="5594" w:type="dxa"/>
            <w:tcBorders>
              <w:top w:val="single" w:color="auto" w:sz="4" w:space="0"/>
              <w:left w:val="single" w:color="auto" w:sz="4" w:space="0"/>
            </w:tcBorders>
            <w:shd w:val="clear" w:color="auto" w:fill="FFFFFF"/>
            <w:vAlign w:val="center"/>
          </w:tcPr>
          <w:p>
            <w:pPr>
              <w:pStyle w:val="18"/>
              <w:shd w:val="clear" w:color="auto" w:fill="auto"/>
              <w:spacing w:after="0" w:line="190" w:lineRule="exact"/>
              <w:jc w:val="both"/>
            </w:pPr>
            <w:r>
              <w:rPr>
                <w:rStyle w:val="19"/>
                <w:color w:val="auto"/>
              </w:rPr>
              <w:t>市级奖项/荣誉（商鼎杯等）、安全文明际准化工地奖。</w:t>
            </w:r>
          </w:p>
        </w:tc>
        <w:tc>
          <w:tcPr>
            <w:tcW w:w="1706" w:type="dxa"/>
            <w:tcBorders>
              <w:top w:val="single" w:color="auto" w:sz="4" w:space="0"/>
              <w:left w:val="single" w:color="auto" w:sz="4" w:space="0"/>
              <w:right w:val="single" w:color="auto" w:sz="4" w:space="0"/>
            </w:tcBorders>
            <w:shd w:val="clear" w:color="auto" w:fill="FFFFFF"/>
            <w:vAlign w:val="center"/>
          </w:tcPr>
          <w:p>
            <w:pPr>
              <w:pStyle w:val="18"/>
              <w:shd w:val="clear" w:color="auto" w:fill="auto"/>
              <w:spacing w:after="0" w:line="190" w:lineRule="exact"/>
              <w:ind w:left="20"/>
            </w:pPr>
            <w:r>
              <w:rPr>
                <w:rStyle w:val="19"/>
                <w:color w:val="auto"/>
              </w:rPr>
              <w:t>3年</w:t>
            </w:r>
          </w:p>
        </w:tc>
      </w:tr>
      <w:tr>
        <w:tblPrEx>
          <w:tblCellMar>
            <w:top w:w="0" w:type="dxa"/>
            <w:left w:w="10" w:type="dxa"/>
            <w:bottom w:w="0" w:type="dxa"/>
            <w:right w:w="10" w:type="dxa"/>
          </w:tblCellMar>
        </w:tblPrEx>
        <w:trPr>
          <w:trHeight w:val="850" w:hRule="exact"/>
          <w:jc w:val="right"/>
        </w:trPr>
        <w:tc>
          <w:tcPr>
            <w:tcW w:w="1238" w:type="dxa"/>
            <w:vMerge w:val="restart"/>
            <w:tcBorders>
              <w:top w:val="single" w:color="auto" w:sz="4" w:space="0"/>
              <w:left w:val="single" w:color="auto" w:sz="4" w:space="0"/>
            </w:tcBorders>
            <w:shd w:val="clear" w:color="auto" w:fill="FFFFFF"/>
            <w:vAlign w:val="center"/>
          </w:tcPr>
          <w:p>
            <w:pPr>
              <w:pStyle w:val="18"/>
              <w:shd w:val="clear" w:color="auto" w:fill="auto"/>
              <w:spacing w:after="0" w:line="238" w:lineRule="exact"/>
              <w:ind w:right="40"/>
            </w:pPr>
            <w:r>
              <w:rPr>
                <w:rStyle w:val="19"/>
                <w:color w:val="auto"/>
              </w:rPr>
              <w:t>科技创新 （建筑类）</w:t>
            </w:r>
          </w:p>
        </w:tc>
        <w:tc>
          <w:tcPr>
            <w:tcW w:w="5594" w:type="dxa"/>
            <w:tcBorders>
              <w:top w:val="single" w:color="auto" w:sz="4" w:space="0"/>
              <w:left w:val="single" w:color="auto" w:sz="4" w:space="0"/>
            </w:tcBorders>
            <w:shd w:val="clear" w:color="auto" w:fill="FFFFFF"/>
            <w:vAlign w:val="center"/>
          </w:tcPr>
          <w:p>
            <w:pPr>
              <w:pStyle w:val="18"/>
              <w:shd w:val="clear" w:color="auto" w:fill="auto"/>
              <w:spacing w:after="0" w:line="190" w:lineRule="exact"/>
              <w:jc w:val="both"/>
            </w:pPr>
            <w:r>
              <w:rPr>
                <w:rStyle w:val="19"/>
                <w:color w:val="auto"/>
              </w:rPr>
              <w:t>发明专利，包括发明型专利、实用新型专利</w:t>
            </w:r>
          </w:p>
        </w:tc>
        <w:tc>
          <w:tcPr>
            <w:tcW w:w="1706" w:type="dxa"/>
            <w:tcBorders>
              <w:top w:val="single" w:color="auto" w:sz="4" w:space="0"/>
              <w:left w:val="single" w:color="auto" w:sz="4" w:space="0"/>
              <w:right w:val="single" w:color="auto" w:sz="4" w:space="0"/>
            </w:tcBorders>
            <w:shd w:val="clear" w:color="auto" w:fill="FFFFFF"/>
            <w:vAlign w:val="center"/>
          </w:tcPr>
          <w:p>
            <w:pPr>
              <w:pStyle w:val="18"/>
              <w:shd w:val="clear" w:color="auto" w:fill="auto"/>
              <w:spacing w:after="0" w:line="190" w:lineRule="exact"/>
              <w:ind w:left="20"/>
            </w:pPr>
            <w:r>
              <w:rPr>
                <w:rStyle w:val="19"/>
                <w:color w:val="auto"/>
              </w:rPr>
              <w:t>3年</w:t>
            </w:r>
          </w:p>
        </w:tc>
      </w:tr>
      <w:tr>
        <w:tblPrEx>
          <w:tblCellMar>
            <w:top w:w="0" w:type="dxa"/>
            <w:left w:w="10" w:type="dxa"/>
            <w:bottom w:w="0" w:type="dxa"/>
            <w:right w:w="10" w:type="dxa"/>
          </w:tblCellMar>
        </w:tblPrEx>
        <w:trPr>
          <w:trHeight w:val="749" w:hRule="exact"/>
          <w:jc w:val="right"/>
        </w:trPr>
        <w:tc>
          <w:tcPr>
            <w:tcW w:w="1238" w:type="dxa"/>
            <w:vMerge w:val="continue"/>
            <w:tcBorders>
              <w:left w:val="single" w:color="auto" w:sz="4" w:space="0"/>
            </w:tcBorders>
            <w:shd w:val="clear" w:color="auto" w:fill="FFFFFF"/>
          </w:tcPr>
          <w:p>
            <w:pPr>
              <w:rPr>
                <w:sz w:val="10"/>
                <w:szCs w:val="10"/>
              </w:rPr>
            </w:pPr>
          </w:p>
        </w:tc>
        <w:tc>
          <w:tcPr>
            <w:tcW w:w="5594" w:type="dxa"/>
            <w:tcBorders>
              <w:top w:val="single" w:color="auto" w:sz="4" w:space="0"/>
              <w:left w:val="single" w:color="auto" w:sz="4" w:space="0"/>
            </w:tcBorders>
            <w:shd w:val="clear" w:color="auto" w:fill="FFFFFF"/>
            <w:vAlign w:val="center"/>
          </w:tcPr>
          <w:p>
            <w:pPr>
              <w:pStyle w:val="18"/>
              <w:shd w:val="clear" w:color="auto" w:fill="auto"/>
              <w:spacing w:after="0" w:line="190" w:lineRule="exact"/>
              <w:jc w:val="both"/>
            </w:pPr>
            <w:r>
              <w:rPr>
                <w:rStyle w:val="19"/>
                <w:color w:val="auto"/>
              </w:rPr>
              <w:t>参与工法编制，包括国家级和省部级。</w:t>
            </w:r>
          </w:p>
        </w:tc>
        <w:tc>
          <w:tcPr>
            <w:tcW w:w="1706" w:type="dxa"/>
            <w:tcBorders>
              <w:top w:val="single" w:color="auto" w:sz="4" w:space="0"/>
              <w:left w:val="single" w:color="auto" w:sz="4" w:space="0"/>
              <w:right w:val="single" w:color="auto" w:sz="4" w:space="0"/>
            </w:tcBorders>
            <w:shd w:val="clear" w:color="auto" w:fill="FFFFFF"/>
            <w:vAlign w:val="center"/>
          </w:tcPr>
          <w:p>
            <w:pPr>
              <w:pStyle w:val="18"/>
              <w:shd w:val="clear" w:color="auto" w:fill="auto"/>
              <w:spacing w:after="0" w:line="190" w:lineRule="exact"/>
              <w:ind w:left="20"/>
            </w:pPr>
            <w:r>
              <w:rPr>
                <w:rStyle w:val="19"/>
                <w:color w:val="auto"/>
              </w:rPr>
              <w:t>3年</w:t>
            </w:r>
          </w:p>
        </w:tc>
      </w:tr>
      <w:tr>
        <w:tblPrEx>
          <w:tblCellMar>
            <w:top w:w="0" w:type="dxa"/>
            <w:left w:w="10" w:type="dxa"/>
            <w:bottom w:w="0" w:type="dxa"/>
            <w:right w:w="10" w:type="dxa"/>
          </w:tblCellMar>
        </w:tblPrEx>
        <w:trPr>
          <w:trHeight w:val="734" w:hRule="exact"/>
          <w:jc w:val="right"/>
        </w:trPr>
        <w:tc>
          <w:tcPr>
            <w:tcW w:w="1238" w:type="dxa"/>
            <w:vMerge w:val="continue"/>
            <w:tcBorders>
              <w:left w:val="single" w:color="auto" w:sz="4" w:space="0"/>
            </w:tcBorders>
            <w:shd w:val="clear" w:color="auto" w:fill="FFFFFF"/>
          </w:tcPr>
          <w:p>
            <w:pPr>
              <w:pStyle w:val="18"/>
              <w:shd w:val="clear" w:color="auto" w:fill="auto"/>
              <w:spacing w:after="0" w:line="238" w:lineRule="exact"/>
              <w:ind w:right="40"/>
            </w:pPr>
          </w:p>
        </w:tc>
        <w:tc>
          <w:tcPr>
            <w:tcW w:w="5594" w:type="dxa"/>
            <w:tcBorders>
              <w:top w:val="single" w:color="auto" w:sz="4" w:space="0"/>
              <w:left w:val="single" w:color="auto" w:sz="4" w:space="0"/>
            </w:tcBorders>
            <w:shd w:val="clear" w:color="auto" w:fill="FFFFFF"/>
            <w:vAlign w:val="center"/>
          </w:tcPr>
          <w:p>
            <w:pPr>
              <w:pStyle w:val="18"/>
              <w:shd w:val="clear" w:color="auto" w:fill="auto"/>
              <w:spacing w:after="0" w:line="245" w:lineRule="exact"/>
              <w:jc w:val="left"/>
            </w:pPr>
            <w:r>
              <w:rPr>
                <w:rStyle w:val="19"/>
                <w:color w:val="auto"/>
              </w:rPr>
              <w:t>参与工程建设标准、定额制定，包括国家或行业标准、定额、 地方（省级）标准、定额。</w:t>
            </w:r>
          </w:p>
        </w:tc>
        <w:tc>
          <w:tcPr>
            <w:tcW w:w="1706" w:type="dxa"/>
            <w:tcBorders>
              <w:top w:val="single" w:color="auto" w:sz="4" w:space="0"/>
              <w:left w:val="single" w:color="auto" w:sz="4" w:space="0"/>
              <w:right w:val="single" w:color="auto" w:sz="4" w:space="0"/>
            </w:tcBorders>
            <w:shd w:val="clear" w:color="auto" w:fill="FFFFFF"/>
            <w:vAlign w:val="center"/>
          </w:tcPr>
          <w:p>
            <w:pPr>
              <w:pStyle w:val="18"/>
              <w:shd w:val="clear" w:color="auto" w:fill="auto"/>
              <w:spacing w:after="0" w:line="190" w:lineRule="exact"/>
              <w:ind w:left="20"/>
            </w:pPr>
            <w:r>
              <w:rPr>
                <w:rStyle w:val="19"/>
                <w:color w:val="auto"/>
              </w:rPr>
              <w:t>3年</w:t>
            </w:r>
          </w:p>
        </w:tc>
      </w:tr>
      <w:tr>
        <w:tblPrEx>
          <w:tblCellMar>
            <w:top w:w="0" w:type="dxa"/>
            <w:left w:w="10" w:type="dxa"/>
            <w:bottom w:w="0" w:type="dxa"/>
            <w:right w:w="10" w:type="dxa"/>
          </w:tblCellMar>
        </w:tblPrEx>
        <w:trPr>
          <w:trHeight w:val="1361" w:hRule="exact"/>
          <w:jc w:val="right"/>
        </w:trPr>
        <w:tc>
          <w:tcPr>
            <w:tcW w:w="1238" w:type="dxa"/>
            <w:vMerge w:val="continue"/>
            <w:tcBorders>
              <w:left w:val="single" w:color="auto" w:sz="4" w:space="0"/>
            </w:tcBorders>
            <w:shd w:val="clear" w:color="auto" w:fill="FFFFFF"/>
          </w:tcPr>
          <w:p>
            <w:pPr>
              <w:rPr>
                <w:sz w:val="10"/>
                <w:szCs w:val="10"/>
              </w:rPr>
            </w:pPr>
          </w:p>
        </w:tc>
        <w:tc>
          <w:tcPr>
            <w:tcW w:w="5594" w:type="dxa"/>
            <w:tcBorders>
              <w:top w:val="single" w:color="auto" w:sz="4" w:space="0"/>
              <w:left w:val="single" w:color="auto" w:sz="4" w:space="0"/>
            </w:tcBorders>
            <w:shd w:val="clear" w:color="auto" w:fill="FFFFFF"/>
            <w:vAlign w:val="center"/>
          </w:tcPr>
          <w:p>
            <w:pPr>
              <w:pStyle w:val="18"/>
              <w:shd w:val="clear" w:color="auto" w:fill="auto"/>
              <w:spacing w:after="0" w:line="238" w:lineRule="exact"/>
              <w:jc w:val="both"/>
            </w:pPr>
            <w:r>
              <w:rPr>
                <w:rStyle w:val="19"/>
                <w:color w:val="auto"/>
              </w:rPr>
              <w:t>个人获得科技进步奖，包括国家级科技进步奖一等奖、二等奖， 河南省级科技进步奖一等奖、二等奖、厅级科技进步奖等。</w:t>
            </w:r>
          </w:p>
        </w:tc>
        <w:tc>
          <w:tcPr>
            <w:tcW w:w="1706" w:type="dxa"/>
            <w:tcBorders>
              <w:top w:val="single" w:color="auto" w:sz="4" w:space="0"/>
              <w:left w:val="single" w:color="auto" w:sz="4" w:space="0"/>
              <w:right w:val="single" w:color="auto" w:sz="4" w:space="0"/>
            </w:tcBorders>
            <w:shd w:val="clear" w:color="auto" w:fill="FFFFFF"/>
            <w:vAlign w:val="center"/>
          </w:tcPr>
          <w:p>
            <w:pPr>
              <w:pStyle w:val="18"/>
              <w:shd w:val="clear" w:color="auto" w:fill="auto"/>
              <w:spacing w:after="0" w:line="190" w:lineRule="exact"/>
              <w:ind w:left="20"/>
            </w:pPr>
            <w:r>
              <w:rPr>
                <w:rStyle w:val="19"/>
                <w:color w:val="auto"/>
              </w:rPr>
              <w:t>3年</w:t>
            </w:r>
          </w:p>
        </w:tc>
      </w:tr>
      <w:tr>
        <w:tblPrEx>
          <w:tblCellMar>
            <w:top w:w="0" w:type="dxa"/>
            <w:left w:w="10" w:type="dxa"/>
            <w:bottom w:w="0" w:type="dxa"/>
            <w:right w:w="10" w:type="dxa"/>
          </w:tblCellMar>
        </w:tblPrEx>
        <w:trPr>
          <w:trHeight w:val="1390" w:hRule="exact"/>
          <w:jc w:val="right"/>
        </w:trPr>
        <w:tc>
          <w:tcPr>
            <w:tcW w:w="1238" w:type="dxa"/>
            <w:tcBorders>
              <w:top w:val="single" w:color="auto" w:sz="4" w:space="0"/>
              <w:left w:val="single" w:color="auto" w:sz="4" w:space="0"/>
              <w:bottom w:val="single" w:color="auto" w:sz="4" w:space="0"/>
            </w:tcBorders>
            <w:shd w:val="clear" w:color="auto" w:fill="FFFFFF"/>
            <w:vAlign w:val="center"/>
          </w:tcPr>
          <w:p>
            <w:pPr>
              <w:pStyle w:val="18"/>
              <w:shd w:val="clear" w:color="auto" w:fill="auto"/>
              <w:spacing w:after="0" w:line="238" w:lineRule="exact"/>
              <w:ind w:right="40"/>
            </w:pPr>
            <w:r>
              <w:rPr>
                <w:rStyle w:val="19"/>
                <w:color w:val="auto"/>
              </w:rPr>
              <w:t>外埠市场开 拓</w:t>
            </w:r>
          </w:p>
        </w:tc>
        <w:tc>
          <w:tcPr>
            <w:tcW w:w="5594" w:type="dxa"/>
            <w:tcBorders>
              <w:top w:val="single" w:color="auto" w:sz="4" w:space="0"/>
              <w:left w:val="single" w:color="auto" w:sz="4" w:space="0"/>
              <w:bottom w:val="single" w:color="auto" w:sz="4" w:space="0"/>
            </w:tcBorders>
            <w:shd w:val="clear" w:color="auto" w:fill="FFFFFF"/>
            <w:vAlign w:val="center"/>
          </w:tcPr>
          <w:p>
            <w:pPr>
              <w:pStyle w:val="18"/>
              <w:shd w:val="clear" w:color="auto" w:fill="auto"/>
              <w:spacing w:after="0" w:line="245" w:lineRule="exact"/>
              <w:jc w:val="left"/>
            </w:pPr>
            <w:r>
              <w:rPr>
                <w:rStyle w:val="19"/>
                <w:color w:val="auto"/>
              </w:rPr>
              <w:t>个人在省外工程施工中获得县级以上有关部门给予的有关质 量、安全文明施工、科技创新、通报表彰等奖项和奖励。</w:t>
            </w:r>
          </w:p>
        </w:tc>
        <w:tc>
          <w:tcPr>
            <w:tcW w:w="170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8"/>
              <w:shd w:val="clear" w:color="auto" w:fill="auto"/>
              <w:spacing w:after="0" w:line="190" w:lineRule="exact"/>
              <w:ind w:left="20"/>
            </w:pPr>
            <w:r>
              <w:rPr>
                <w:rStyle w:val="19"/>
                <w:color w:val="auto"/>
              </w:rPr>
              <w:t>3年</w:t>
            </w:r>
          </w:p>
        </w:tc>
      </w:tr>
    </w:tbl>
    <w:p>
      <w:pPr>
        <w:pStyle w:val="10"/>
        <w:ind w:left="2900" w:hanging="1200"/>
      </w:pPr>
    </w:p>
    <w:p>
      <w:pPr>
        <w:adjustRightInd w:val="0"/>
        <w:snapToGrid w:val="0"/>
        <w:spacing w:line="440" w:lineRule="exact"/>
        <w:jc w:val="center"/>
        <w:rPr>
          <w:rFonts w:ascii="新宋体" w:hAnsi="新宋体" w:eastAsia="新宋体"/>
          <w:sz w:val="24"/>
        </w:rPr>
      </w:pPr>
    </w:p>
    <w:p>
      <w:pPr>
        <w:adjustRightInd w:val="0"/>
        <w:snapToGrid w:val="0"/>
        <w:spacing w:line="440" w:lineRule="exact"/>
        <w:jc w:val="center"/>
        <w:rPr>
          <w:rFonts w:ascii="新宋体" w:hAnsi="新宋体" w:eastAsia="新宋体"/>
          <w:sz w:val="24"/>
        </w:rPr>
      </w:pPr>
    </w:p>
    <w:p>
      <w:pPr>
        <w:adjustRightInd w:val="0"/>
        <w:snapToGrid w:val="0"/>
        <w:spacing w:line="440" w:lineRule="exact"/>
        <w:jc w:val="center"/>
        <w:rPr>
          <w:rFonts w:ascii="新宋体" w:hAnsi="新宋体" w:eastAsia="新宋体"/>
          <w:sz w:val="24"/>
        </w:rPr>
      </w:pPr>
    </w:p>
    <w:p>
      <w:pPr>
        <w:adjustRightInd w:val="0"/>
        <w:snapToGrid w:val="0"/>
        <w:spacing w:line="440" w:lineRule="exact"/>
        <w:jc w:val="center"/>
        <w:rPr>
          <w:rFonts w:ascii="新宋体" w:hAnsi="新宋体" w:eastAsia="新宋体"/>
          <w:sz w:val="24"/>
        </w:rPr>
      </w:pPr>
    </w:p>
    <w:p>
      <w:pPr>
        <w:adjustRightInd w:val="0"/>
        <w:snapToGrid w:val="0"/>
        <w:spacing w:line="440" w:lineRule="exact"/>
        <w:jc w:val="center"/>
        <w:rPr>
          <w:rFonts w:ascii="新宋体" w:hAnsi="新宋体" w:eastAsia="新宋体"/>
          <w:sz w:val="24"/>
        </w:rPr>
      </w:pPr>
    </w:p>
    <w:p>
      <w:pPr>
        <w:adjustRightInd w:val="0"/>
        <w:snapToGrid w:val="0"/>
        <w:spacing w:line="440" w:lineRule="exact"/>
        <w:jc w:val="center"/>
        <w:rPr>
          <w:rFonts w:ascii="新宋体" w:hAnsi="新宋体" w:eastAsia="新宋体"/>
          <w:sz w:val="24"/>
        </w:rPr>
      </w:pPr>
    </w:p>
    <w:p>
      <w:pPr>
        <w:adjustRightInd w:val="0"/>
        <w:snapToGrid w:val="0"/>
        <w:spacing w:line="440" w:lineRule="exact"/>
        <w:jc w:val="center"/>
        <w:rPr>
          <w:rFonts w:ascii="新宋体" w:hAnsi="新宋体" w:eastAsia="新宋体"/>
          <w:sz w:val="24"/>
        </w:rPr>
      </w:pPr>
    </w:p>
    <w:p>
      <w:pPr>
        <w:adjustRightInd w:val="0"/>
        <w:snapToGrid w:val="0"/>
        <w:spacing w:line="440" w:lineRule="exact"/>
        <w:jc w:val="center"/>
        <w:rPr>
          <w:rFonts w:ascii="新宋体" w:hAnsi="新宋体" w:eastAsia="新宋体"/>
          <w:sz w:val="24"/>
        </w:rPr>
      </w:pPr>
    </w:p>
    <w:p>
      <w:pPr>
        <w:rPr>
          <w:rFonts w:ascii="新宋体" w:hAnsi="新宋体" w:eastAsia="新宋体"/>
          <w:sz w:val="24"/>
        </w:rPr>
      </w:pPr>
    </w:p>
    <w:p>
      <w:pPr>
        <w:adjustRightInd w:val="0"/>
        <w:snapToGrid w:val="0"/>
        <w:spacing w:line="440" w:lineRule="exact"/>
        <w:jc w:val="center"/>
        <w:rPr>
          <w:b/>
          <w:spacing w:val="-3"/>
          <w:sz w:val="24"/>
        </w:rPr>
      </w:pPr>
      <w:r>
        <w:rPr>
          <w:rFonts w:hint="eastAsia" w:hAnsi="宋体" w:cs="黑体"/>
          <w:b/>
          <w:sz w:val="36"/>
          <w:szCs w:val="36"/>
        </w:rPr>
        <w:t>第四章合同条款及格式</w:t>
      </w:r>
      <w:bookmarkEnd w:id="200"/>
    </w:p>
    <w:p>
      <w:pPr>
        <w:tabs>
          <w:tab w:val="left" w:pos="5000"/>
        </w:tabs>
        <w:spacing w:line="360" w:lineRule="auto"/>
        <w:ind w:firstLine="490"/>
        <w:rPr>
          <w:rFonts w:hAnsi="宋体" w:cs="黑体"/>
          <w:b/>
          <w:sz w:val="32"/>
          <w:szCs w:val="32"/>
        </w:rPr>
      </w:pPr>
      <w:bookmarkStart w:id="203" w:name="_Toc278443514"/>
    </w:p>
    <w:p>
      <w:pPr>
        <w:tabs>
          <w:tab w:val="left" w:pos="5000"/>
        </w:tabs>
        <w:spacing w:line="360" w:lineRule="auto"/>
        <w:ind w:firstLine="490"/>
        <w:rPr>
          <w:rFonts w:hAnsi="宋体" w:cs="黑体"/>
          <w:b/>
          <w:sz w:val="32"/>
          <w:szCs w:val="32"/>
        </w:rPr>
      </w:pPr>
      <w:r>
        <w:rPr>
          <w:rFonts w:hint="eastAsia" w:hAnsi="宋体" w:cs="黑体"/>
          <w:b/>
          <w:sz w:val="32"/>
          <w:szCs w:val="32"/>
        </w:rPr>
        <w:t xml:space="preserve"> 采用由中华人民共和国住房和城乡建设部与国家工商行政管理局联合制定的《建设工程施工合同》(GF2017-0201)签订合</w:t>
      </w:r>
      <w:bookmarkEnd w:id="203"/>
      <w:bookmarkStart w:id="204"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ind w:firstLine="882" w:firstLineChars="245"/>
        <w:outlineLvl w:val="0"/>
        <w:rPr>
          <w:rFonts w:hAnsi="宋体" w:cs="黑体"/>
          <w:b/>
          <w:sz w:val="36"/>
          <w:szCs w:val="36"/>
        </w:rPr>
      </w:pPr>
      <w:r>
        <w:rPr>
          <w:rFonts w:hAnsi="宋体" w:cs="黑体"/>
          <w:b/>
          <w:sz w:val="36"/>
          <w:szCs w:val="36"/>
        </w:rPr>
        <w:br w:type="page"/>
      </w:r>
      <w:r>
        <w:rPr>
          <w:rFonts w:hint="eastAsia" w:hAnsi="宋体" w:cs="黑体"/>
          <w:b/>
          <w:sz w:val="36"/>
          <w:szCs w:val="36"/>
        </w:rPr>
        <w:t xml:space="preserve">            第五章 工程量清单编制要求</w:t>
      </w:r>
    </w:p>
    <w:p>
      <w:pPr>
        <w:autoSpaceDE w:val="0"/>
        <w:autoSpaceDN w:val="0"/>
        <w:adjustRightInd w:val="0"/>
        <w:spacing w:line="400" w:lineRule="exact"/>
        <w:jc w:val="left"/>
        <w:outlineLvl w:val="0"/>
        <w:rPr>
          <w:rFonts w:ascii="宋体" w:hAnsi="宋体" w:cs="TimesNewRomanPSMT"/>
          <w:b/>
          <w:kern w:val="0"/>
          <w:sz w:val="24"/>
          <w:szCs w:val="24"/>
        </w:rPr>
      </w:pPr>
      <w:bookmarkStart w:id="205" w:name="_Toc464824785"/>
      <w:bookmarkStart w:id="206" w:name="_Toc397606012"/>
      <w:bookmarkStart w:id="207" w:name="_Toc397507816"/>
      <w:bookmarkStart w:id="208" w:name="_Toc397508143"/>
      <w:bookmarkStart w:id="209" w:name="_Toc1952"/>
      <w:bookmarkStart w:id="210" w:name="_Toc215282225"/>
      <w:bookmarkStart w:id="211" w:name="_Toc344934500"/>
      <w:r>
        <w:rPr>
          <w:rFonts w:ascii="宋体" w:hAnsi="宋体" w:cs="TimesNewRomanPSMT"/>
          <w:b/>
          <w:kern w:val="0"/>
          <w:sz w:val="24"/>
          <w:szCs w:val="24"/>
        </w:rPr>
        <w:t xml:space="preserve">1. </w:t>
      </w:r>
      <w:r>
        <w:rPr>
          <w:rFonts w:hint="eastAsia" w:ascii="宋体" w:hAnsi="宋体" w:cs="TimesNewRomanPSMT"/>
          <w:b/>
          <w:kern w:val="0"/>
          <w:sz w:val="24"/>
          <w:szCs w:val="24"/>
        </w:rPr>
        <w:t>工程量清单说明</w:t>
      </w:r>
      <w:bookmarkEnd w:id="205"/>
      <w:bookmarkEnd w:id="206"/>
      <w:bookmarkEnd w:id="207"/>
      <w:bookmarkEnd w:id="208"/>
      <w:bookmarkEnd w:id="209"/>
      <w:bookmarkEnd w:id="210"/>
      <w:bookmarkEnd w:id="211"/>
    </w:p>
    <w:p>
      <w:pPr>
        <w:autoSpaceDE w:val="0"/>
        <w:autoSpaceDN w:val="0"/>
        <w:adjustRightInd w:val="0"/>
        <w:spacing w:line="340" w:lineRule="exact"/>
        <w:ind w:firstLine="410" w:firstLineChars="171"/>
        <w:jc w:val="left"/>
        <w:rPr>
          <w:rFonts w:ascii="宋体" w:hAnsi="宋体" w:cs="仿宋_GB2312"/>
          <w:kern w:val="0"/>
          <w:sz w:val="24"/>
          <w:szCs w:val="24"/>
        </w:rPr>
      </w:pPr>
      <w:r>
        <w:rPr>
          <w:rFonts w:ascii="宋体" w:hAnsi="宋体" w:cs="TimesNewRomanPSMT"/>
          <w:kern w:val="0"/>
          <w:sz w:val="24"/>
          <w:szCs w:val="24"/>
        </w:rPr>
        <w:t xml:space="preserve">1.1 </w:t>
      </w:r>
      <w:r>
        <w:rPr>
          <w:rFonts w:hint="eastAsia" w:ascii="宋体" w:hAnsi="宋体" w:cs="仿宋_GB2312"/>
          <w:kern w:val="0"/>
          <w:sz w:val="24"/>
          <w:szCs w:val="24"/>
        </w:rPr>
        <w:t>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autoSpaceDE w:val="0"/>
        <w:autoSpaceDN w:val="0"/>
        <w:adjustRightInd w:val="0"/>
        <w:spacing w:line="340" w:lineRule="exact"/>
        <w:ind w:firstLine="410" w:firstLineChars="171"/>
        <w:jc w:val="left"/>
        <w:rPr>
          <w:rFonts w:ascii="宋体" w:hAnsi="宋体" w:cs="仿宋_GB2312"/>
          <w:kern w:val="0"/>
          <w:sz w:val="24"/>
          <w:szCs w:val="24"/>
        </w:rPr>
      </w:pPr>
      <w:r>
        <w:rPr>
          <w:rFonts w:ascii="宋体" w:hAnsi="宋体" w:cs="TimesNewRomanPSMT"/>
          <w:kern w:val="0"/>
          <w:sz w:val="24"/>
          <w:szCs w:val="24"/>
        </w:rPr>
        <w:t xml:space="preserve">1.2 </w:t>
      </w:r>
      <w:r>
        <w:rPr>
          <w:rFonts w:hint="eastAsia" w:ascii="宋体" w:hAnsi="宋体" w:cs="仿宋_GB2312"/>
          <w:kern w:val="0"/>
          <w:sz w:val="24"/>
          <w:szCs w:val="24"/>
        </w:rPr>
        <w:t>本工程量清单应与招标文件中的投标人须知、通用合同条款、专用合同条款、技术标准和要求及图纸等一起阅读和理解。</w:t>
      </w:r>
    </w:p>
    <w:p>
      <w:pPr>
        <w:autoSpaceDE w:val="0"/>
        <w:autoSpaceDN w:val="0"/>
        <w:adjustRightInd w:val="0"/>
        <w:spacing w:line="340" w:lineRule="exact"/>
        <w:ind w:firstLine="410" w:firstLineChars="171"/>
        <w:jc w:val="left"/>
        <w:rPr>
          <w:rFonts w:hint="eastAsia" w:ascii="宋体" w:hAnsi="宋体" w:cs="仿宋_GB2312"/>
          <w:kern w:val="0"/>
          <w:sz w:val="24"/>
          <w:szCs w:val="24"/>
        </w:rPr>
      </w:pPr>
      <w:r>
        <w:rPr>
          <w:rFonts w:ascii="宋体" w:hAnsi="宋体" w:cs="TimesNewRomanPSMT"/>
          <w:kern w:val="0"/>
          <w:sz w:val="24"/>
          <w:szCs w:val="24"/>
        </w:rPr>
        <w:t xml:space="preserve">1.3 </w:t>
      </w:r>
      <w:r>
        <w:rPr>
          <w:rFonts w:hint="eastAsia" w:ascii="宋体" w:hAnsi="宋体" w:cs="仿宋_GB2312"/>
          <w:kern w:val="0"/>
          <w:sz w:val="24"/>
          <w:szCs w:val="24"/>
        </w:rPr>
        <w:t>本工程量清单仅是投标报价的共同基础，实际工程计量和工程价款的支付应遵循合同条款的约定和第七章“技术标准和要求”的有关规定。</w:t>
      </w:r>
    </w:p>
    <w:p>
      <w:pPr>
        <w:numPr>
          <w:ilvl w:val="0"/>
          <w:numId w:val="3"/>
        </w:numPr>
        <w:autoSpaceDE w:val="0"/>
        <w:autoSpaceDN w:val="0"/>
        <w:adjustRightInd w:val="0"/>
        <w:spacing w:line="400" w:lineRule="exact"/>
        <w:jc w:val="left"/>
        <w:outlineLvl w:val="0"/>
        <w:rPr>
          <w:rFonts w:hint="eastAsia" w:ascii="宋体" w:hAnsi="宋体"/>
          <w:bCs/>
          <w:sz w:val="24"/>
          <w:szCs w:val="24"/>
        </w:rPr>
      </w:pPr>
      <w:bookmarkStart w:id="212" w:name="_Toc397508144"/>
      <w:bookmarkStart w:id="213" w:name="_Toc215282226"/>
      <w:bookmarkStart w:id="214" w:name="_Toc464824786"/>
      <w:bookmarkStart w:id="215" w:name="_Toc397606013"/>
      <w:bookmarkStart w:id="216" w:name="_Toc213230751"/>
      <w:bookmarkStart w:id="217" w:name="_Toc397507817"/>
      <w:bookmarkStart w:id="218" w:name="_Toc344934501"/>
      <w:bookmarkStart w:id="219" w:name="_Toc6254"/>
      <w:r>
        <w:rPr>
          <w:rFonts w:hint="eastAsia" w:ascii="宋体" w:hAnsi="宋体" w:cs="TimesNewRomanPSMT"/>
          <w:b/>
          <w:kern w:val="0"/>
          <w:sz w:val="24"/>
          <w:szCs w:val="24"/>
        </w:rPr>
        <w:t>投标报价依据说明</w:t>
      </w:r>
      <w:bookmarkEnd w:id="212"/>
      <w:bookmarkEnd w:id="213"/>
      <w:bookmarkEnd w:id="214"/>
      <w:bookmarkEnd w:id="215"/>
      <w:bookmarkEnd w:id="216"/>
      <w:bookmarkEnd w:id="217"/>
      <w:bookmarkEnd w:id="218"/>
      <w:bookmarkEnd w:id="219"/>
    </w:p>
    <w:p>
      <w:pPr>
        <w:spacing w:line="400" w:lineRule="exact"/>
        <w:ind w:firstLine="480" w:firstLineChars="200"/>
        <w:rPr>
          <w:rFonts w:hint="eastAsia" w:ascii="宋体" w:hAnsi="宋体"/>
          <w:bCs/>
          <w:sz w:val="24"/>
          <w:szCs w:val="24"/>
        </w:rPr>
      </w:pPr>
      <w:r>
        <w:rPr>
          <w:rFonts w:hint="eastAsia" w:ascii="宋体" w:hAnsi="宋体"/>
          <w:bCs/>
          <w:sz w:val="24"/>
          <w:szCs w:val="24"/>
        </w:rPr>
        <w:t>2.1.依据建设单位提供的施工图纸及补充说明：</w:t>
      </w:r>
    </w:p>
    <w:p>
      <w:pPr>
        <w:spacing w:line="400" w:lineRule="exact"/>
        <w:ind w:firstLine="480" w:firstLineChars="200"/>
        <w:rPr>
          <w:rFonts w:hint="eastAsia" w:ascii="宋体" w:hAnsi="宋体"/>
          <w:bCs/>
          <w:sz w:val="24"/>
          <w:szCs w:val="24"/>
        </w:rPr>
      </w:pPr>
      <w:r>
        <w:rPr>
          <w:rFonts w:hint="eastAsia" w:ascii="宋体" w:hAnsi="宋体"/>
          <w:bCs/>
          <w:sz w:val="24"/>
          <w:szCs w:val="24"/>
        </w:rPr>
        <w:t>2.2.工程量清单依据《建设工程工程量清单计价规范》（2013版）；</w:t>
      </w:r>
    </w:p>
    <w:p>
      <w:pPr>
        <w:spacing w:line="460" w:lineRule="exact"/>
        <w:ind w:firstLine="480" w:firstLineChars="200"/>
        <w:rPr>
          <w:rFonts w:hint="eastAsia" w:ascii="宋体" w:hAnsi="宋体" w:eastAsia="宋体"/>
          <w:bCs/>
          <w:sz w:val="24"/>
          <w:szCs w:val="24"/>
          <w:lang w:eastAsia="zh-CN"/>
        </w:rPr>
      </w:pPr>
      <w:r>
        <w:rPr>
          <w:rFonts w:hint="eastAsia" w:ascii="宋体" w:hAnsi="宋体"/>
          <w:bCs/>
          <w:sz w:val="24"/>
          <w:szCs w:val="24"/>
        </w:rPr>
        <w:t>2.3.</w:t>
      </w:r>
      <w:r>
        <w:rPr>
          <w:rFonts w:hint="eastAsia" w:ascii="宋体" w:hAnsi="宋体"/>
          <w:sz w:val="24"/>
          <w:szCs w:val="24"/>
        </w:rPr>
        <w:t>定额依据《河南省</w:t>
      </w:r>
      <w:r>
        <w:rPr>
          <w:rFonts w:hint="eastAsia" w:hAnsi="宋体"/>
          <w:sz w:val="24"/>
          <w:szCs w:val="24"/>
          <w:lang w:eastAsia="zh-CN"/>
        </w:rPr>
        <w:t>建设工程工程量清单综合单价</w:t>
      </w:r>
      <w:r>
        <w:rPr>
          <w:rFonts w:hint="eastAsia" w:ascii="宋体" w:hAnsi="宋体"/>
          <w:sz w:val="24"/>
          <w:szCs w:val="24"/>
        </w:rPr>
        <w:t>》（</w:t>
      </w:r>
      <w:r>
        <w:rPr>
          <w:rFonts w:hint="eastAsia" w:hAnsi="宋体"/>
          <w:sz w:val="24"/>
          <w:szCs w:val="24"/>
          <w:lang w:val="en-US" w:eastAsia="zh-CN"/>
        </w:rPr>
        <w:t>2008</w:t>
      </w:r>
      <w:r>
        <w:rPr>
          <w:rFonts w:hint="eastAsia" w:ascii="宋体" w:hAnsi="宋体"/>
          <w:sz w:val="24"/>
          <w:szCs w:val="24"/>
        </w:rPr>
        <w:t>）</w:t>
      </w:r>
      <w:r>
        <w:rPr>
          <w:rFonts w:hint="eastAsia" w:hAnsi="宋体"/>
          <w:sz w:val="24"/>
          <w:szCs w:val="24"/>
          <w:lang w:eastAsia="zh-CN"/>
        </w:rPr>
        <w:t>（园林）、（市政）及相关配套文件得规定；</w:t>
      </w:r>
    </w:p>
    <w:p>
      <w:pPr>
        <w:spacing w:line="400" w:lineRule="exact"/>
        <w:ind w:firstLine="480" w:firstLineChars="200"/>
        <w:rPr>
          <w:rFonts w:hint="eastAsia" w:ascii="宋体" w:hAnsi="宋体"/>
          <w:bCs/>
          <w:sz w:val="24"/>
          <w:szCs w:val="24"/>
        </w:rPr>
      </w:pPr>
      <w:r>
        <w:rPr>
          <w:rFonts w:hint="eastAsia" w:ascii="宋体" w:hAnsi="宋体"/>
          <w:bCs/>
          <w:sz w:val="24"/>
          <w:szCs w:val="24"/>
        </w:rPr>
        <w:t>2.4.材料价格依据2019年第</w:t>
      </w:r>
      <w:r>
        <w:rPr>
          <w:rFonts w:hint="eastAsia" w:hAnsi="宋体"/>
          <w:bCs/>
          <w:sz w:val="24"/>
          <w:szCs w:val="24"/>
          <w:lang w:val="en-US" w:eastAsia="zh-CN"/>
        </w:rPr>
        <w:t>5</w:t>
      </w:r>
      <w:r>
        <w:rPr>
          <w:rFonts w:hint="eastAsia" w:ascii="宋体" w:hAnsi="宋体"/>
          <w:bCs/>
          <w:sz w:val="24"/>
          <w:szCs w:val="24"/>
        </w:rPr>
        <w:t>期《许昌工程造价信息》，未包含的材料价格参考市场价。</w:t>
      </w:r>
    </w:p>
    <w:p>
      <w:pPr>
        <w:spacing w:line="400" w:lineRule="exact"/>
        <w:ind w:firstLine="480" w:firstLineChars="200"/>
        <w:rPr>
          <w:rFonts w:hint="eastAsia" w:ascii="宋体" w:hAnsi="宋体"/>
          <w:bCs/>
          <w:sz w:val="24"/>
          <w:szCs w:val="24"/>
        </w:rPr>
      </w:pPr>
      <w:r>
        <w:rPr>
          <w:rFonts w:hint="eastAsia" w:ascii="宋体" w:hAnsi="宋体"/>
          <w:bCs/>
          <w:sz w:val="24"/>
          <w:szCs w:val="24"/>
        </w:rPr>
        <w:t>2.5.税金调整依据建办标函[2019]193号文，按9%计取；</w:t>
      </w:r>
    </w:p>
    <w:p>
      <w:pPr>
        <w:spacing w:line="400" w:lineRule="exact"/>
        <w:ind w:firstLine="480" w:firstLineChars="200"/>
        <w:rPr>
          <w:rFonts w:hint="eastAsia" w:hAnsi="宋体"/>
          <w:bCs/>
          <w:sz w:val="24"/>
          <w:szCs w:val="24"/>
          <w:lang w:eastAsia="zh-CN"/>
        </w:rPr>
      </w:pPr>
      <w:r>
        <w:rPr>
          <w:rFonts w:hint="eastAsia" w:ascii="宋体" w:hAnsi="宋体"/>
          <w:bCs/>
          <w:sz w:val="24"/>
          <w:szCs w:val="24"/>
        </w:rPr>
        <w:t>2.6.人工费依据豫建标定[2019]26号文发布的人工费指数进行调整</w:t>
      </w:r>
      <w:r>
        <w:rPr>
          <w:rFonts w:hint="eastAsia" w:hAnsi="宋体"/>
          <w:bCs/>
          <w:sz w:val="24"/>
          <w:szCs w:val="24"/>
          <w:lang w:eastAsia="zh-CN"/>
        </w:rPr>
        <w:t>；</w:t>
      </w:r>
    </w:p>
    <w:p>
      <w:pPr>
        <w:spacing w:line="400" w:lineRule="exact"/>
        <w:ind w:firstLine="480" w:firstLineChars="200"/>
        <w:rPr>
          <w:rFonts w:hint="eastAsia" w:ascii="宋体" w:hAnsi="宋体"/>
          <w:bCs/>
          <w:sz w:val="24"/>
          <w:szCs w:val="24"/>
          <w:lang w:val="en-US" w:eastAsia="zh-CN"/>
        </w:rPr>
      </w:pPr>
      <w:r>
        <w:rPr>
          <w:rFonts w:hint="eastAsia" w:hAnsi="宋体"/>
          <w:bCs/>
          <w:sz w:val="24"/>
          <w:szCs w:val="24"/>
          <w:lang w:val="en-US" w:eastAsia="zh-CN"/>
        </w:rPr>
        <w:t>2</w:t>
      </w:r>
      <w:r>
        <w:rPr>
          <w:rFonts w:hint="eastAsia" w:ascii="宋体" w:hAnsi="宋体"/>
          <w:bCs/>
          <w:sz w:val="24"/>
          <w:szCs w:val="24"/>
          <w:lang w:val="en-US" w:eastAsia="zh-CN"/>
        </w:rPr>
        <w:t>.7.安全文明施工费执行豫建设标（2014）57号文；</w:t>
      </w:r>
    </w:p>
    <w:p>
      <w:pPr>
        <w:spacing w:line="400" w:lineRule="exact"/>
        <w:ind w:firstLine="480" w:firstLineChars="200"/>
        <w:rPr>
          <w:rFonts w:hint="default"/>
          <w:lang w:val="en-US" w:eastAsia="zh-CN"/>
        </w:rPr>
      </w:pPr>
      <w:r>
        <w:rPr>
          <w:rFonts w:hint="eastAsia" w:ascii="宋体" w:hAnsi="宋体"/>
          <w:bCs/>
          <w:sz w:val="24"/>
          <w:szCs w:val="24"/>
          <w:lang w:val="en-US" w:eastAsia="zh-CN"/>
        </w:rPr>
        <w:t>2.8.施工现场扬尘污染防治费执行豫建设标（2016）47号文。</w:t>
      </w:r>
    </w:p>
    <w:p>
      <w:pPr>
        <w:spacing w:line="400" w:lineRule="exact"/>
        <w:rPr>
          <w:rFonts w:hint="eastAsia" w:hAnsi="宋体" w:cs="宋体"/>
          <w:b/>
          <w:sz w:val="24"/>
        </w:rPr>
      </w:pPr>
      <w:bookmarkStart w:id="220" w:name="_Toc464824787"/>
      <w:bookmarkStart w:id="221" w:name="_Toc24583"/>
      <w:r>
        <w:rPr>
          <w:rFonts w:hint="eastAsia" w:ascii="宋体" w:hAnsi="宋体"/>
          <w:b/>
          <w:bCs/>
          <w:sz w:val="24"/>
          <w:szCs w:val="24"/>
        </w:rPr>
        <w:t>3.投标人应当根据招标文件提供的商务标招标文件（工程量清单）、招标控制价、招标文件相关要求及有关规定编制投标报价。</w:t>
      </w:r>
      <w:bookmarkEnd w:id="220"/>
      <w:bookmarkEnd w:id="221"/>
    </w:p>
    <w:p>
      <w:pPr>
        <w:spacing w:line="360" w:lineRule="auto"/>
        <w:rPr>
          <w:rFonts w:hAnsi="宋体" w:cs="宋体"/>
          <w:b/>
          <w:sz w:val="24"/>
        </w:rPr>
      </w:pPr>
      <w:r>
        <w:rPr>
          <w:rFonts w:hint="eastAsia" w:hAnsi="宋体" w:cs="宋体"/>
          <w:b/>
          <w:sz w:val="24"/>
        </w:rPr>
        <w:t>4．工程量清单</w:t>
      </w:r>
    </w:p>
    <w:p>
      <w:pPr>
        <w:wordWrap w:val="0"/>
        <w:spacing w:line="360" w:lineRule="auto"/>
        <w:ind w:firstLine="480" w:firstLineChars="200"/>
        <w:rPr>
          <w:rFonts w:hAnsi="宋体" w:cs="宋体"/>
          <w:sz w:val="24"/>
          <w:u w:val="single"/>
        </w:rPr>
      </w:pPr>
      <w:r>
        <w:rPr>
          <w:rFonts w:hint="eastAsia" w:ascii="新宋体" w:hAnsi="新宋体" w:eastAsia="新宋体"/>
          <w:sz w:val="24"/>
          <w:u w:val="single"/>
        </w:rPr>
        <w:t>工程量清单在【全国公共资源交易平台(河南省</w:t>
      </w:r>
      <w:r>
        <w:rPr>
          <w:rFonts w:hint="eastAsia" w:ascii="MS Mincho" w:hAnsi="MS Mincho" w:eastAsia="MS Mincho" w:cs="MS Mincho"/>
          <w:sz w:val="24"/>
          <w:u w:val="single"/>
        </w:rPr>
        <w:t>▪</w:t>
      </w:r>
      <w:r>
        <w:rPr>
          <w:rFonts w:hint="eastAsia" w:ascii="新宋体" w:hAnsi="新宋体" w:eastAsia="新宋体" w:cs="新宋体"/>
          <w:sz w:val="24"/>
          <w:u w:val="single"/>
        </w:rPr>
        <w:t>许昌市</w:t>
      </w:r>
      <w:r>
        <w:rPr>
          <w:rFonts w:hint="eastAsia" w:ascii="新宋体" w:hAnsi="新宋体" w:eastAsia="新宋体"/>
          <w:sz w:val="24"/>
          <w:u w:val="single"/>
        </w:rPr>
        <w:t>)】（</w:t>
      </w:r>
      <w:r>
        <w:rPr>
          <w:rFonts w:ascii="新宋体" w:hAnsi="新宋体" w:eastAsia="新宋体"/>
          <w:sz w:val="24"/>
          <w:u w:val="single"/>
        </w:rPr>
        <w:t>http://ggzy.xuchang.gov.cn/</w:t>
      </w:r>
      <w:r>
        <w:rPr>
          <w:rFonts w:hint="eastAsia" w:ascii="新宋体" w:hAnsi="新宋体" w:eastAsia="新宋体"/>
          <w:sz w:val="24"/>
          <w:u w:val="single"/>
        </w:rPr>
        <w:t>），通过“投标人/供应商登录”后自行下载</w:t>
      </w:r>
      <w:r>
        <w:rPr>
          <w:rFonts w:hint="eastAsia" w:hAnsi="宋体" w:cs="宋体"/>
          <w:sz w:val="24"/>
          <w:u w:val="single"/>
        </w:rPr>
        <w:t>。</w:t>
      </w:r>
    </w:p>
    <w:p>
      <w:pPr>
        <w:spacing w:line="360" w:lineRule="auto"/>
        <w:rPr>
          <w:rFonts w:hAnsi="宋体" w:cs="宋体"/>
          <w:sz w:val="36"/>
          <w:szCs w:val="36"/>
          <w:u w:val="single"/>
        </w:rPr>
      </w:pPr>
    </w:p>
    <w:p>
      <w:pPr>
        <w:spacing w:line="360" w:lineRule="auto"/>
        <w:rPr>
          <w:rFonts w:hAnsi="宋体" w:cs="宋体"/>
          <w:sz w:val="36"/>
          <w:szCs w:val="36"/>
          <w:u w:val="single"/>
        </w:rPr>
      </w:pPr>
    </w:p>
    <w:p>
      <w:pPr>
        <w:spacing w:line="360" w:lineRule="auto"/>
        <w:rPr>
          <w:rFonts w:hAnsi="宋体" w:cs="宋体"/>
          <w:sz w:val="36"/>
          <w:szCs w:val="36"/>
          <w:u w:val="single"/>
        </w:rPr>
      </w:pPr>
    </w:p>
    <w:p>
      <w:pPr>
        <w:spacing w:line="360" w:lineRule="auto"/>
        <w:rPr>
          <w:rFonts w:hAnsi="宋体" w:cs="宋体"/>
          <w:sz w:val="36"/>
          <w:szCs w:val="36"/>
          <w:u w:val="single"/>
        </w:rPr>
      </w:pPr>
    </w:p>
    <w:p>
      <w:pPr>
        <w:pStyle w:val="2"/>
        <w:ind w:left="0" w:leftChars="0" w:firstLine="0" w:firstLineChars="0"/>
        <w:rPr>
          <w:rFonts w:hAnsi="宋体" w:cs="宋体"/>
          <w:sz w:val="36"/>
          <w:szCs w:val="36"/>
          <w:u w:val="single"/>
        </w:rPr>
      </w:pPr>
    </w:p>
    <w:p>
      <w:pPr>
        <w:pStyle w:val="2"/>
        <w:ind w:firstLine="360"/>
        <w:rPr>
          <w:rFonts w:hAnsi="宋体" w:cs="宋体"/>
          <w:sz w:val="36"/>
          <w:szCs w:val="36"/>
          <w:u w:val="single"/>
        </w:rPr>
      </w:pPr>
    </w:p>
    <w:p>
      <w:pPr>
        <w:spacing w:line="440" w:lineRule="exact"/>
        <w:rPr>
          <w:rFonts w:ascii="新宋体" w:hAnsi="新宋体" w:eastAsia="新宋体"/>
          <w:sz w:val="36"/>
          <w:szCs w:val="36"/>
          <w:u w:val="single"/>
        </w:rPr>
      </w:pPr>
    </w:p>
    <w:p>
      <w:pPr>
        <w:autoSpaceDE w:val="0"/>
        <w:autoSpaceDN w:val="0"/>
        <w:adjustRightInd w:val="0"/>
        <w:jc w:val="center"/>
        <w:outlineLvl w:val="0"/>
        <w:rPr>
          <w:rFonts w:hAnsi="宋体" w:cs="黑体"/>
          <w:b/>
          <w:sz w:val="36"/>
          <w:szCs w:val="36"/>
        </w:rPr>
      </w:pPr>
      <w:r>
        <w:rPr>
          <w:rFonts w:hint="eastAsia" w:hAnsi="宋体" w:cs="黑体"/>
          <w:b/>
          <w:sz w:val="36"/>
          <w:szCs w:val="36"/>
        </w:rPr>
        <w:t>第六章图纸</w:t>
      </w:r>
      <w:bookmarkEnd w:id="204"/>
    </w:p>
    <w:p>
      <w:pPr>
        <w:autoSpaceDE w:val="0"/>
        <w:autoSpaceDN w:val="0"/>
        <w:adjustRightInd w:val="0"/>
        <w:jc w:val="center"/>
        <w:outlineLvl w:val="0"/>
        <w:rPr>
          <w:rFonts w:hAnsi="宋体" w:cs="黑体"/>
          <w:b/>
          <w:sz w:val="24"/>
        </w:rPr>
      </w:pPr>
    </w:p>
    <w:p>
      <w:pPr>
        <w:autoSpaceDE w:val="0"/>
        <w:autoSpaceDN w:val="0"/>
        <w:adjustRightInd w:val="0"/>
        <w:spacing w:line="420" w:lineRule="exact"/>
        <w:jc w:val="center"/>
        <w:rPr>
          <w:rFonts w:hAnsi="宋体" w:cs="黑体"/>
          <w:sz w:val="28"/>
          <w:szCs w:val="28"/>
        </w:rPr>
      </w:pPr>
      <w:r>
        <w:rPr>
          <w:rFonts w:hint="eastAsia" w:hAnsi="宋体" w:cs="黑体"/>
          <w:sz w:val="28"/>
          <w:szCs w:val="28"/>
        </w:rPr>
        <w:t>无</w:t>
      </w:r>
    </w:p>
    <w:p>
      <w:pPr>
        <w:autoSpaceDE w:val="0"/>
        <w:autoSpaceDN w:val="0"/>
        <w:adjustRightInd w:val="0"/>
        <w:jc w:val="center"/>
        <w:outlineLvl w:val="0"/>
        <w:rPr>
          <w:rFonts w:hAnsi="宋体" w:cs="黑体"/>
          <w:b/>
          <w:sz w:val="36"/>
          <w:szCs w:val="36"/>
        </w:rPr>
      </w:pPr>
      <w:bookmarkStart w:id="222" w:name="_Toc278443522"/>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第七章技术标准和要求</w:t>
      </w:r>
      <w:bookmarkEnd w:id="222"/>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1、本工程技术标准和要求以本工程施工图纸和适用的国家、行业以及地方规范、标准和规程为准。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jc w:val="center"/>
        <w:outlineLvl w:val="0"/>
        <w:rPr>
          <w:rFonts w:hAnsi="宋体" w:cs="黑体"/>
          <w:b/>
          <w:sz w:val="44"/>
          <w:szCs w:val="44"/>
        </w:rPr>
      </w:pPr>
      <w:bookmarkStart w:id="223" w:name="_Toc278443525"/>
    </w:p>
    <w:p>
      <w:pPr>
        <w:autoSpaceDE w:val="0"/>
        <w:autoSpaceDN w:val="0"/>
        <w:adjustRightInd w:val="0"/>
        <w:spacing w:beforeLines="100" w:afterLines="100"/>
        <w:jc w:val="center"/>
        <w:outlineLvl w:val="0"/>
        <w:rPr>
          <w:rFonts w:hAnsi="宋体" w:cs="黑体"/>
          <w:b/>
          <w:sz w:val="44"/>
          <w:szCs w:val="44"/>
        </w:rPr>
      </w:pPr>
      <w:r>
        <w:rPr>
          <w:rFonts w:hAnsi="宋体" w:cs="黑体"/>
          <w:b/>
          <w:sz w:val="44"/>
          <w:szCs w:val="44"/>
        </w:rPr>
        <w:br w:type="page"/>
      </w:r>
      <w:r>
        <w:rPr>
          <w:rFonts w:hint="eastAsia" w:hAnsi="宋体" w:cs="黑体"/>
          <w:b/>
          <w:sz w:val="44"/>
          <w:szCs w:val="44"/>
        </w:rPr>
        <w:t>第八章投标文件格式</w:t>
      </w:r>
      <w:bookmarkEnd w:id="223"/>
    </w:p>
    <w:p>
      <w:pPr>
        <w:tabs>
          <w:tab w:val="center" w:pos="4739"/>
        </w:tabs>
        <w:spacing w:beforeLines="100" w:afterLines="100"/>
        <w:jc w:val="right"/>
        <w:rPr>
          <w:sz w:val="32"/>
          <w:szCs w:val="32"/>
        </w:rPr>
      </w:pPr>
      <w:r>
        <w:rPr>
          <w:rFonts w:hint="eastAsia"/>
          <w:sz w:val="32"/>
          <w:szCs w:val="32"/>
        </w:rPr>
        <w:t>正（副）本</w:t>
      </w:r>
    </w:p>
    <w:p>
      <w:pPr>
        <w:autoSpaceDE w:val="0"/>
        <w:autoSpaceDN w:val="0"/>
        <w:adjustRightInd w:val="0"/>
        <w:jc w:val="center"/>
        <w:rPr>
          <w:rFonts w:hAnsi="宋体" w:cs="黑体"/>
          <w:b/>
          <w:spacing w:val="60"/>
          <w:sz w:val="52"/>
          <w:szCs w:val="52"/>
        </w:rPr>
      </w:pPr>
      <w:r>
        <w:rPr>
          <w:rFonts w:hint="eastAsia" w:ascii="黑体" w:eastAsia="黑体"/>
          <w:b/>
          <w:sz w:val="36"/>
          <w:szCs w:val="36"/>
          <w:u w:val="single"/>
        </w:rPr>
        <w:t xml:space="preserve">                    (项目名称)       </w:t>
      </w:r>
    </w:p>
    <w:p>
      <w:pPr>
        <w:tabs>
          <w:tab w:val="center" w:pos="4739"/>
        </w:tabs>
        <w:ind w:left="180"/>
        <w:jc w:val="center"/>
        <w:rPr>
          <w:rFonts w:ascii="黑体" w:eastAsia="黑体"/>
          <w:b/>
          <w:sz w:val="36"/>
          <w:szCs w:val="36"/>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firstLine="3520" w:firstLineChars="1100"/>
        <w:rPr>
          <w:b/>
          <w:sz w:val="32"/>
          <w:szCs w:val="32"/>
        </w:rPr>
      </w:pPr>
      <w:r>
        <w:rPr>
          <w:rFonts w:hint="eastAsia"/>
          <w:b/>
          <w:sz w:val="32"/>
          <w:szCs w:val="32"/>
        </w:rPr>
        <w:t>（商务标）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hint="eastAsia" w:ascii="黑体" w:eastAsia="黑体"/>
          <w:b/>
          <w:sz w:val="32"/>
        </w:rPr>
      </w:pPr>
      <w:r>
        <w:rPr>
          <w:rFonts w:hint="eastAsia" w:ascii="黑体" w:eastAsia="黑体"/>
          <w:b/>
          <w:sz w:val="32"/>
        </w:rPr>
        <w:t xml:space="preserve">  </w:t>
      </w:r>
    </w:p>
    <w:p>
      <w:pPr>
        <w:tabs>
          <w:tab w:val="center" w:pos="4739"/>
        </w:tabs>
        <w:ind w:left="180"/>
        <w:jc w:val="center"/>
        <w:rPr>
          <w:rFonts w:hint="eastAsia" w:ascii="黑体" w:eastAsia="黑体"/>
          <w:b/>
          <w:sz w:val="32"/>
        </w:rPr>
      </w:pPr>
    </w:p>
    <w:p>
      <w:pPr>
        <w:tabs>
          <w:tab w:val="center" w:pos="4739"/>
        </w:tabs>
        <w:ind w:firstLine="2240" w:firstLineChars="700"/>
        <w:jc w:val="both"/>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w:t>
      </w:r>
      <w:r>
        <w:rPr>
          <w:rFonts w:hint="eastAsia" w:ascii="黑体" w:eastAsia="黑体"/>
          <w:b/>
          <w:sz w:val="32"/>
          <w:lang w:val="en-US" w:eastAsia="zh-CN"/>
        </w:rPr>
        <w:t xml:space="preserve">  </w:t>
      </w:r>
      <w:r>
        <w:rPr>
          <w:rFonts w:hint="eastAsia" w:ascii="黑体" w:eastAsia="黑体"/>
          <w:b/>
          <w:sz w:val="32"/>
        </w:rPr>
        <w:t>月</w:t>
      </w:r>
      <w:r>
        <w:rPr>
          <w:rFonts w:hint="eastAsia" w:ascii="黑体" w:eastAsia="黑体"/>
          <w:b/>
          <w:sz w:val="32"/>
          <w:lang w:val="en-US" w:eastAsia="zh-CN"/>
        </w:rPr>
        <w:t xml:space="preserve">  </w:t>
      </w:r>
      <w:r>
        <w:rPr>
          <w:rFonts w:hint="eastAsia" w:ascii="黑体" w:eastAsia="黑体"/>
          <w:b/>
          <w:sz w:val="32"/>
        </w:rPr>
        <w:t>日</w:t>
      </w: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sz w:val="32"/>
        </w:rPr>
      </w:pPr>
      <w:r>
        <w:rPr>
          <w:rFonts w:hint="eastAsia" w:hAnsi="宋体" w:eastAsia="新宋体" w:cs="宋体"/>
          <w:sz w:val="24"/>
        </w:rPr>
        <w:t xml:space="preserve">  （</w:t>
      </w:r>
      <w:r>
        <w:rPr>
          <w:rFonts w:hint="eastAsia" w:ascii="新宋体" w:hAnsi="新宋体" w:eastAsia="新宋体" w:cs="仿宋_GB2312"/>
          <w:sz w:val="24"/>
        </w:rPr>
        <w:t>按所发放的工程量清单编制）</w:t>
      </w: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tabs>
          <w:tab w:val="center" w:pos="4739"/>
        </w:tabs>
        <w:spacing w:beforeLines="100" w:afterLines="100"/>
        <w:jc w:val="right"/>
        <w:rPr>
          <w:rFonts w:hint="eastAsia"/>
          <w:sz w:val="32"/>
          <w:szCs w:val="32"/>
        </w:rPr>
      </w:pPr>
    </w:p>
    <w:p>
      <w:pPr>
        <w:tabs>
          <w:tab w:val="center" w:pos="4739"/>
        </w:tabs>
        <w:spacing w:beforeLines="100" w:afterLines="100"/>
        <w:jc w:val="right"/>
        <w:rPr>
          <w:sz w:val="32"/>
          <w:szCs w:val="32"/>
        </w:rPr>
      </w:pPr>
      <w:r>
        <w:rPr>
          <w:rFonts w:hint="eastAsia"/>
          <w:sz w:val="32"/>
          <w:szCs w:val="32"/>
        </w:rPr>
        <w:t>正（副）本</w:t>
      </w:r>
    </w:p>
    <w:p>
      <w:pPr>
        <w:tabs>
          <w:tab w:val="center" w:pos="4739"/>
        </w:tabs>
        <w:ind w:left="180"/>
        <w:jc w:val="center"/>
        <w:rPr>
          <w:rFonts w:ascii="黑体" w:eastAsia="黑体"/>
          <w:b/>
          <w:sz w:val="36"/>
          <w:szCs w:val="36"/>
        </w:rPr>
      </w:pPr>
      <w:r>
        <w:rPr>
          <w:rFonts w:hint="eastAsia" w:ascii="黑体" w:eastAsia="黑体"/>
          <w:b/>
          <w:sz w:val="36"/>
          <w:szCs w:val="36"/>
          <w:u w:val="single"/>
        </w:rPr>
        <w:t xml:space="preserve">                    (项目名称)     </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jc w:val="center"/>
        <w:rPr>
          <w:b/>
          <w:sz w:val="32"/>
          <w:szCs w:val="32"/>
        </w:rPr>
      </w:pPr>
      <w:r>
        <w:rPr>
          <w:rFonts w:hint="eastAsia"/>
          <w:b/>
          <w:sz w:val="32"/>
          <w:szCs w:val="32"/>
        </w:rPr>
        <w:t>综合信用标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jc w:val="both"/>
        <w:rPr>
          <w:rFonts w:hint="eastAsia" w:ascii="黑体" w:eastAsia="黑体"/>
          <w:b/>
          <w:sz w:val="32"/>
        </w:rPr>
      </w:pPr>
    </w:p>
    <w:p>
      <w:pPr>
        <w:tabs>
          <w:tab w:val="center" w:pos="4739"/>
        </w:tabs>
        <w:ind w:left="180"/>
        <w:jc w:val="center"/>
        <w:rPr>
          <w:rFonts w:ascii="黑体" w:eastAsia="黑体"/>
          <w:b/>
          <w:sz w:val="32"/>
        </w:rPr>
      </w:pPr>
      <w:r>
        <w:rPr>
          <w:rFonts w:hint="eastAsia" w:ascii="黑体" w:eastAsia="黑体"/>
          <w:b/>
          <w:sz w:val="32"/>
        </w:rPr>
        <w:t xml:space="preserve"> 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w:t>
      </w:r>
      <w:r>
        <w:rPr>
          <w:rFonts w:hint="eastAsia" w:ascii="黑体" w:eastAsia="黑体"/>
          <w:b/>
          <w:sz w:val="32"/>
          <w:lang w:val="en-US" w:eastAsia="zh-CN"/>
        </w:rPr>
        <w:t xml:space="preserve">   </w:t>
      </w:r>
      <w:r>
        <w:rPr>
          <w:rFonts w:hint="eastAsia" w:ascii="黑体" w:eastAsia="黑体"/>
          <w:b/>
          <w:sz w:val="32"/>
        </w:rPr>
        <w:t>月</w:t>
      </w:r>
      <w:r>
        <w:rPr>
          <w:rFonts w:hint="eastAsia" w:ascii="黑体" w:eastAsia="黑体"/>
          <w:b/>
          <w:sz w:val="32"/>
          <w:lang w:val="en-US" w:eastAsia="zh-CN"/>
        </w:rPr>
        <w:t xml:space="preserve">  </w:t>
      </w:r>
      <w:r>
        <w:rPr>
          <w:rFonts w:hint="eastAsia" w:ascii="黑体" w:eastAsia="黑体"/>
          <w:b/>
          <w:sz w:val="32"/>
        </w:rPr>
        <w:t>日</w:t>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jc w:val="center"/>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一、投标函及投标函附录；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二、法定代表人身份证明或附有法定代表人证明的授权委托书；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三、投标担保；</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七、近年财务状况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八、近年完成的类似项目情况；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十、近年发生的诉讼及仲裁情况；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十一、承诺书；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十二、其它材料；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tabs>
          <w:tab w:val="center" w:pos="4739"/>
        </w:tabs>
        <w:adjustRightInd w:val="0"/>
        <w:snapToGrid w:val="0"/>
        <w:spacing w:line="440" w:lineRule="exact"/>
        <w:ind w:left="180"/>
        <w:jc w:val="center"/>
        <w:rPr>
          <w:rFonts w:hAnsi="宋体"/>
          <w:b/>
          <w:sz w:val="32"/>
        </w:rPr>
      </w:pPr>
      <w:r>
        <w:rPr>
          <w:rFonts w:hAnsi="宋体"/>
          <w:b/>
          <w:sz w:val="32"/>
        </w:rPr>
        <w:br w:type="page"/>
      </w:r>
      <w:r>
        <w:rPr>
          <w:rFonts w:hint="eastAsia" w:hAnsi="宋体"/>
          <w:b/>
          <w:sz w:val="32"/>
        </w:rPr>
        <w:t>一、投标函及投标函附录</w:t>
      </w:r>
    </w:p>
    <w:p>
      <w:pPr>
        <w:adjustRightInd w:val="0"/>
        <w:snapToGrid w:val="0"/>
        <w:spacing w:beforeLines="100" w:afterLines="50" w:line="440" w:lineRule="exact"/>
        <w:jc w:val="center"/>
        <w:rPr>
          <w:rFonts w:ascii="黑体" w:eastAsia="黑体"/>
          <w:sz w:val="28"/>
          <w:szCs w:val="28"/>
        </w:rPr>
      </w:pPr>
      <w:bookmarkStart w:id="224" w:name="_Toc271787730"/>
      <w:r>
        <w:rPr>
          <w:rFonts w:hint="eastAsia" w:ascii="黑体" w:eastAsia="黑体"/>
          <w:sz w:val="28"/>
          <w:szCs w:val="28"/>
        </w:rPr>
        <w:t>（一）投标函</w:t>
      </w:r>
    </w:p>
    <w:p>
      <w:pPr>
        <w:spacing w:line="440" w:lineRule="exact"/>
        <w:rPr>
          <w:rFonts w:hint="eastAsia" w:ascii="宋体" w:hAnsi="宋体"/>
          <w:sz w:val="24"/>
          <w:szCs w:val="24"/>
        </w:rPr>
      </w:pPr>
      <w:bookmarkStart w:id="225" w:name="_Toc250616672"/>
      <w:r>
        <w:rPr>
          <w:rFonts w:hint="eastAsia" w:ascii="宋体" w:hAnsi="宋体"/>
          <w:sz w:val="24"/>
          <w:szCs w:val="24"/>
        </w:rPr>
        <w:t>致：</w:t>
      </w:r>
      <w:r>
        <w:rPr>
          <w:rFonts w:hint="eastAsia" w:ascii="宋体" w:hAnsi="宋体"/>
          <w:sz w:val="24"/>
          <w:szCs w:val="24"/>
          <w:u w:val="single"/>
        </w:rPr>
        <w:t xml:space="preserve">            </w:t>
      </w:r>
      <w:r>
        <w:rPr>
          <w:rFonts w:hint="eastAsia" w:ascii="宋体" w:hAnsi="宋体"/>
          <w:sz w:val="24"/>
          <w:szCs w:val="24"/>
        </w:rPr>
        <w:t>（招标人名称）</w:t>
      </w:r>
    </w:p>
    <w:p>
      <w:pPr>
        <w:spacing w:line="440" w:lineRule="exact"/>
        <w:ind w:firstLine="480" w:firstLineChars="200"/>
        <w:rPr>
          <w:rFonts w:hint="eastAsia" w:ascii="宋体" w:hAnsi="宋体"/>
          <w:sz w:val="24"/>
          <w:szCs w:val="24"/>
        </w:rPr>
      </w:pPr>
      <w:r>
        <w:rPr>
          <w:rFonts w:hint="eastAsia" w:ascii="宋体" w:hAnsi="宋体"/>
          <w:sz w:val="24"/>
          <w:szCs w:val="24"/>
        </w:rPr>
        <w:t>在考察现场并充分研究</w:t>
      </w:r>
      <w:r>
        <w:rPr>
          <w:rFonts w:hint="eastAsia" w:ascii="宋体" w:hAnsi="宋体"/>
          <w:sz w:val="24"/>
          <w:szCs w:val="24"/>
          <w:u w:val="single"/>
        </w:rPr>
        <w:t xml:space="preserve">          </w:t>
      </w:r>
      <w:r>
        <w:rPr>
          <w:rFonts w:hint="eastAsia" w:ascii="宋体" w:hAnsi="宋体"/>
          <w:sz w:val="24"/>
          <w:szCs w:val="24"/>
        </w:rPr>
        <w:t>（项目名称）（以下简称“本工程”）施工招标文件的全部内容后，我方兹以：</w:t>
      </w:r>
    </w:p>
    <w:p>
      <w:pPr>
        <w:spacing w:line="440" w:lineRule="exact"/>
        <w:ind w:left="873" w:leftChars="257"/>
        <w:rPr>
          <w:rFonts w:hint="eastAsia" w:ascii="宋体" w:hAnsi="宋体"/>
          <w:sz w:val="24"/>
          <w:szCs w:val="24"/>
        </w:rPr>
      </w:pPr>
      <w:r>
        <w:rPr>
          <w:rFonts w:hint="eastAsia" w:ascii="宋体" w:hAnsi="宋体"/>
          <w:sz w:val="24"/>
          <w:szCs w:val="24"/>
        </w:rPr>
        <w:t>人民币（大写）：</w:t>
      </w:r>
      <w:r>
        <w:rPr>
          <w:rFonts w:hint="eastAsia" w:ascii="宋体" w:hAnsi="宋体"/>
          <w:sz w:val="24"/>
          <w:szCs w:val="24"/>
          <w:u w:val="single"/>
        </w:rPr>
        <w:t xml:space="preserve">                </w:t>
      </w:r>
      <w:r>
        <w:rPr>
          <w:rFonts w:hint="eastAsia" w:ascii="宋体" w:hAnsi="宋体"/>
          <w:sz w:val="24"/>
          <w:szCs w:val="24"/>
        </w:rPr>
        <w:t xml:space="preserve">元 </w:t>
      </w:r>
    </w:p>
    <w:p>
      <w:pPr>
        <w:spacing w:line="440" w:lineRule="exact"/>
        <w:ind w:left="873" w:leftChars="257"/>
        <w:rPr>
          <w:rFonts w:hint="eastAsia" w:ascii="宋体" w:hAnsi="宋体"/>
          <w:sz w:val="24"/>
          <w:szCs w:val="24"/>
        </w:rPr>
      </w:pPr>
      <w:r>
        <w:rPr>
          <w:rFonts w:hint="eastAsia" w:ascii="宋体" w:hAnsi="宋体"/>
          <w:sz w:val="24"/>
          <w:szCs w:val="24"/>
        </w:rPr>
        <w:t>RMB￥：</w:t>
      </w:r>
      <w:r>
        <w:rPr>
          <w:rFonts w:hint="eastAsia" w:ascii="宋体" w:hAnsi="宋体"/>
          <w:sz w:val="24"/>
          <w:szCs w:val="24"/>
          <w:u w:val="single"/>
        </w:rPr>
        <w:t xml:space="preserve">                      </w:t>
      </w:r>
      <w:r>
        <w:rPr>
          <w:rFonts w:hint="eastAsia" w:ascii="宋体" w:hAnsi="宋体"/>
          <w:sz w:val="24"/>
          <w:szCs w:val="24"/>
        </w:rPr>
        <w:t>元</w:t>
      </w:r>
    </w:p>
    <w:p>
      <w:pPr>
        <w:spacing w:line="440" w:lineRule="exact"/>
        <w:rPr>
          <w:rFonts w:hint="eastAsia" w:ascii="宋体" w:hAnsi="宋体"/>
          <w:sz w:val="24"/>
          <w:szCs w:val="24"/>
        </w:rPr>
      </w:pPr>
      <w:r>
        <w:rPr>
          <w:rFonts w:hint="eastAsia" w:ascii="宋体" w:hAnsi="宋体"/>
          <w:sz w:val="24"/>
          <w:szCs w:val="24"/>
        </w:rPr>
        <w:t>的投标价格和按合同约定有权得到的其它金额，并严格按照合同约定，施工、竣工和交付本工程并维修其中的任何缺陷。</w:t>
      </w:r>
    </w:p>
    <w:p>
      <w:pPr>
        <w:spacing w:line="480" w:lineRule="exact"/>
        <w:ind w:firstLine="480" w:firstLineChars="200"/>
        <w:rPr>
          <w:rFonts w:hint="eastAsia" w:ascii="宋体" w:hAnsi="宋体"/>
          <w:sz w:val="24"/>
          <w:szCs w:val="24"/>
        </w:rPr>
      </w:pPr>
      <w:r>
        <w:rPr>
          <w:rFonts w:hint="eastAsia" w:ascii="宋体" w:hAnsi="宋体"/>
          <w:sz w:val="24"/>
          <w:szCs w:val="24"/>
        </w:rPr>
        <w:t>在我方的上述投标总报价中，包括：</w:t>
      </w:r>
    </w:p>
    <w:p>
      <w:pPr>
        <w:spacing w:line="480" w:lineRule="exact"/>
        <w:ind w:firstLine="480" w:firstLineChars="200"/>
        <w:rPr>
          <w:rFonts w:hint="eastAsia" w:ascii="宋体" w:hAnsi="宋体"/>
          <w:sz w:val="24"/>
          <w:szCs w:val="24"/>
        </w:rPr>
      </w:pPr>
      <w:r>
        <w:rPr>
          <w:rFonts w:hint="eastAsia" w:ascii="宋体" w:hAnsi="宋体"/>
          <w:sz w:val="24"/>
          <w:szCs w:val="24"/>
        </w:rPr>
        <w:t>规费RMB￥：</w:t>
      </w:r>
      <w:r>
        <w:rPr>
          <w:rFonts w:hint="eastAsia" w:ascii="宋体" w:hAnsi="宋体"/>
          <w:sz w:val="24"/>
          <w:szCs w:val="24"/>
          <w:u w:val="single"/>
        </w:rPr>
        <w:t xml:space="preserve">        </w:t>
      </w:r>
      <w:r>
        <w:rPr>
          <w:rFonts w:hint="eastAsia" w:ascii="宋体" w:hAnsi="宋体"/>
          <w:sz w:val="24"/>
          <w:szCs w:val="24"/>
        </w:rPr>
        <w:t>元</w:t>
      </w:r>
    </w:p>
    <w:p>
      <w:pPr>
        <w:spacing w:line="480" w:lineRule="exact"/>
        <w:ind w:firstLine="480" w:firstLineChars="200"/>
        <w:rPr>
          <w:rFonts w:hint="eastAsia" w:ascii="宋体" w:hAnsi="宋体"/>
          <w:sz w:val="24"/>
          <w:szCs w:val="24"/>
        </w:rPr>
      </w:pPr>
      <w:r>
        <w:rPr>
          <w:rFonts w:hint="eastAsia" w:ascii="宋体" w:hAnsi="宋体"/>
          <w:sz w:val="24"/>
          <w:szCs w:val="24"/>
        </w:rPr>
        <w:t>税金RMB￥：</w:t>
      </w:r>
      <w:r>
        <w:rPr>
          <w:rFonts w:hint="eastAsia" w:ascii="宋体" w:hAnsi="宋体"/>
          <w:sz w:val="24"/>
          <w:szCs w:val="24"/>
          <w:u w:val="single"/>
        </w:rPr>
        <w:t xml:space="preserve">        </w:t>
      </w:r>
      <w:r>
        <w:rPr>
          <w:rFonts w:hint="eastAsia" w:ascii="宋体" w:hAnsi="宋体"/>
          <w:sz w:val="24"/>
          <w:szCs w:val="24"/>
        </w:rPr>
        <w:t>元</w:t>
      </w:r>
    </w:p>
    <w:p>
      <w:pPr>
        <w:spacing w:line="480" w:lineRule="exact"/>
        <w:ind w:firstLine="480" w:firstLineChars="200"/>
        <w:rPr>
          <w:rFonts w:hint="eastAsia" w:ascii="宋体" w:hAnsi="宋体"/>
          <w:sz w:val="24"/>
          <w:szCs w:val="24"/>
        </w:rPr>
      </w:pPr>
      <w:r>
        <w:rPr>
          <w:rFonts w:hint="eastAsia" w:ascii="宋体" w:hAnsi="宋体"/>
          <w:sz w:val="24"/>
          <w:szCs w:val="24"/>
        </w:rPr>
        <w:t>安全文明措施费RMB￥：</w:t>
      </w:r>
      <w:r>
        <w:rPr>
          <w:rFonts w:hint="eastAsia" w:ascii="宋体" w:hAnsi="宋体"/>
          <w:sz w:val="24"/>
          <w:szCs w:val="24"/>
          <w:u w:val="single"/>
        </w:rPr>
        <w:t xml:space="preserve">               </w:t>
      </w:r>
      <w:r>
        <w:rPr>
          <w:rFonts w:hint="eastAsia" w:ascii="宋体" w:hAnsi="宋体"/>
          <w:sz w:val="24"/>
          <w:szCs w:val="24"/>
        </w:rPr>
        <w:t>元</w:t>
      </w:r>
    </w:p>
    <w:p>
      <w:pPr>
        <w:spacing w:line="440" w:lineRule="exact"/>
        <w:ind w:firstLine="480" w:firstLineChars="200"/>
        <w:rPr>
          <w:rFonts w:hint="eastAsia" w:ascii="宋体" w:hAnsi="宋体"/>
          <w:sz w:val="24"/>
          <w:szCs w:val="24"/>
        </w:rPr>
      </w:pPr>
      <w:r>
        <w:rPr>
          <w:rFonts w:hint="eastAsia" w:ascii="宋体" w:hAnsi="宋体"/>
          <w:sz w:val="24"/>
          <w:szCs w:val="24"/>
        </w:rPr>
        <w:t>如果我方中标，我方保证按照合同约定的开工日期开始本工程的施工，</w:t>
      </w:r>
      <w:r>
        <w:rPr>
          <w:rFonts w:hint="eastAsia" w:ascii="宋体" w:hAnsi="宋体"/>
          <w:sz w:val="24"/>
          <w:szCs w:val="24"/>
          <w:u w:val="single"/>
        </w:rPr>
        <w:t xml:space="preserve">      </w:t>
      </w:r>
      <w:r>
        <w:rPr>
          <w:rFonts w:hint="eastAsia" w:ascii="宋体" w:hAnsi="宋体"/>
          <w:sz w:val="24"/>
          <w:szCs w:val="24"/>
        </w:rPr>
        <w:t>天（日历天）内竣工，并确保工程质量达到</w:t>
      </w:r>
      <w:r>
        <w:rPr>
          <w:rFonts w:hint="eastAsia" w:ascii="宋体" w:hAnsi="宋体"/>
          <w:sz w:val="24"/>
          <w:szCs w:val="24"/>
          <w:u w:val="single"/>
        </w:rPr>
        <w:t xml:space="preserve">     </w:t>
      </w:r>
      <w:r>
        <w:rPr>
          <w:rFonts w:hint="eastAsia" w:ascii="宋体" w:hAnsi="宋体"/>
          <w:sz w:val="24"/>
          <w:szCs w:val="24"/>
        </w:rPr>
        <w:t>标准。我方同意本投标函在招标文件规定的提交投标文件截止时间后，在招标文件规定的投标有效期期满前对我方具有约束力，且随时准备接受你方发出的中标通知书。</w:t>
      </w:r>
    </w:p>
    <w:p>
      <w:pPr>
        <w:spacing w:line="440" w:lineRule="exact"/>
        <w:ind w:firstLine="480" w:firstLineChars="200"/>
        <w:rPr>
          <w:rFonts w:hint="eastAsia" w:ascii="宋体" w:hAnsi="宋体"/>
          <w:sz w:val="24"/>
          <w:szCs w:val="24"/>
        </w:rPr>
      </w:pPr>
      <w:r>
        <w:rPr>
          <w:rFonts w:hint="eastAsia" w:ascii="宋体" w:hAnsi="宋体"/>
          <w:sz w:val="24"/>
          <w:szCs w:val="24"/>
        </w:rPr>
        <w:t>随本投标函递交的投标函附录是本投标函的组成部分，对我方构成约束力。</w:t>
      </w:r>
    </w:p>
    <w:p>
      <w:pPr>
        <w:spacing w:line="440" w:lineRule="exact"/>
        <w:ind w:firstLine="480" w:firstLineChars="200"/>
        <w:rPr>
          <w:rFonts w:hint="eastAsia" w:ascii="宋体" w:hAnsi="宋体"/>
          <w:sz w:val="24"/>
          <w:szCs w:val="24"/>
        </w:rPr>
      </w:pPr>
      <w:r>
        <w:rPr>
          <w:rFonts w:hint="eastAsia" w:ascii="宋体" w:hAnsi="宋体"/>
          <w:sz w:val="24"/>
          <w:szCs w:val="24"/>
        </w:rPr>
        <w:t>随同本投标函递交投标保证金一份，金额为人民币（大写）：</w:t>
      </w:r>
      <w:r>
        <w:rPr>
          <w:rFonts w:hint="eastAsia" w:ascii="宋体" w:hAnsi="宋体"/>
          <w:sz w:val="24"/>
          <w:szCs w:val="24"/>
          <w:u w:val="single"/>
        </w:rPr>
        <w:t xml:space="preserve">        </w:t>
      </w:r>
      <w:r>
        <w:rPr>
          <w:rFonts w:hint="eastAsia" w:ascii="宋体" w:hAnsi="宋体"/>
          <w:sz w:val="24"/>
          <w:szCs w:val="24"/>
        </w:rPr>
        <w:t>元。</w:t>
      </w:r>
    </w:p>
    <w:p>
      <w:pPr>
        <w:spacing w:line="440" w:lineRule="exact"/>
        <w:ind w:firstLine="480" w:firstLineChars="200"/>
        <w:rPr>
          <w:rFonts w:hint="eastAsia" w:ascii="宋体" w:hAnsi="宋体"/>
          <w:sz w:val="24"/>
          <w:szCs w:val="24"/>
        </w:rPr>
      </w:pPr>
      <w:r>
        <w:rPr>
          <w:rFonts w:hint="eastAsia" w:ascii="宋体" w:hAnsi="宋体"/>
          <w:sz w:val="24"/>
          <w:szCs w:val="24"/>
        </w:rPr>
        <w:t>在签署协议书之前，你方的中标通知书连同本投标函，包括投标函附录，对双方具有约束力。</w:t>
      </w:r>
    </w:p>
    <w:p>
      <w:pPr>
        <w:spacing w:line="440" w:lineRule="exact"/>
        <w:ind w:firstLine="480" w:firstLineChars="200"/>
        <w:rPr>
          <w:rFonts w:hint="eastAsia" w:ascii="宋体" w:hAnsi="宋体"/>
          <w:sz w:val="24"/>
          <w:szCs w:val="24"/>
        </w:rPr>
      </w:pPr>
    </w:p>
    <w:p>
      <w:pPr>
        <w:spacing w:line="440" w:lineRule="exact"/>
        <w:ind w:firstLine="480" w:firstLineChars="200"/>
        <w:rPr>
          <w:rFonts w:hint="eastAsia" w:ascii="宋体" w:hAnsi="宋体"/>
          <w:sz w:val="24"/>
          <w:szCs w:val="24"/>
        </w:rPr>
      </w:pPr>
    </w:p>
    <w:p>
      <w:pPr>
        <w:spacing w:line="440" w:lineRule="exact"/>
        <w:ind w:firstLine="480" w:firstLineChars="200"/>
        <w:rPr>
          <w:rFonts w:hint="eastAsia" w:ascii="宋体" w:hAnsi="宋体"/>
          <w:sz w:val="24"/>
          <w:szCs w:val="24"/>
        </w:rPr>
      </w:pPr>
    </w:p>
    <w:p>
      <w:pPr>
        <w:spacing w:line="440" w:lineRule="exact"/>
        <w:ind w:firstLine="3360" w:firstLineChars="1400"/>
        <w:rPr>
          <w:rFonts w:hint="eastAsia" w:ascii="宋体" w:hAnsi="宋体"/>
          <w:sz w:val="24"/>
          <w:szCs w:val="24"/>
        </w:rPr>
      </w:pPr>
      <w:r>
        <w:rPr>
          <w:rFonts w:hint="eastAsia" w:ascii="宋体" w:hAnsi="宋体"/>
          <w:sz w:val="24"/>
          <w:szCs w:val="24"/>
        </w:rPr>
        <w:t>投标人（盖章）：</w:t>
      </w:r>
    </w:p>
    <w:p>
      <w:pPr>
        <w:spacing w:line="440" w:lineRule="exact"/>
        <w:ind w:firstLine="3240" w:firstLineChars="1350"/>
        <w:rPr>
          <w:rFonts w:hint="eastAsia" w:ascii="宋体" w:hAnsi="宋体"/>
          <w:sz w:val="24"/>
          <w:szCs w:val="24"/>
        </w:rPr>
      </w:pPr>
      <w:r>
        <w:rPr>
          <w:rFonts w:hint="eastAsia" w:ascii="宋体" w:hAnsi="宋体"/>
          <w:sz w:val="24"/>
          <w:szCs w:val="24"/>
        </w:rPr>
        <w:t>法定代表人或委托代理人（</w:t>
      </w:r>
      <w:r>
        <w:rPr>
          <w:rFonts w:hint="eastAsia" w:ascii="宋体" w:hAnsi="宋体" w:cs="宋体"/>
          <w:kern w:val="0"/>
          <w:sz w:val="24"/>
          <w:szCs w:val="24"/>
        </w:rPr>
        <w:t>签字</w:t>
      </w:r>
      <w:r>
        <w:rPr>
          <w:rFonts w:hint="eastAsia" w:ascii="宋体" w:hAnsi="宋体"/>
          <w:sz w:val="24"/>
          <w:szCs w:val="24"/>
        </w:rPr>
        <w:t>）：</w:t>
      </w:r>
    </w:p>
    <w:p>
      <w:pPr>
        <w:spacing w:line="440" w:lineRule="exact"/>
        <w:ind w:firstLine="3360" w:firstLineChars="1400"/>
        <w:rPr>
          <w:rFonts w:hint="eastAsia" w:ascii="宋体" w:hAnsi="宋体"/>
          <w:sz w:val="24"/>
          <w:szCs w:val="24"/>
        </w:rPr>
      </w:pPr>
      <w:r>
        <w:rPr>
          <w:rFonts w:hint="eastAsia" w:ascii="宋体" w:hAnsi="宋体"/>
          <w:sz w:val="24"/>
          <w:szCs w:val="24"/>
        </w:rPr>
        <w:t>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autoSpaceDE w:val="0"/>
        <w:autoSpaceDN w:val="0"/>
        <w:adjustRightInd w:val="0"/>
        <w:snapToGrid w:val="0"/>
        <w:spacing w:line="440" w:lineRule="exact"/>
        <w:jc w:val="center"/>
        <w:outlineLvl w:val="0"/>
        <w:rPr>
          <w:rFonts w:ascii="黑体" w:hAnsi="新宋体" w:eastAsia="黑体" w:cs="黑体"/>
          <w:sz w:val="28"/>
          <w:szCs w:val="28"/>
        </w:rPr>
      </w:pPr>
      <w:r>
        <w:rPr>
          <w:rFonts w:ascii="黑体" w:hAnsi="新宋体" w:eastAsia="黑体" w:cs="黑体"/>
          <w:sz w:val="28"/>
          <w:szCs w:val="28"/>
        </w:rPr>
        <w:br w:type="page"/>
      </w:r>
      <w:r>
        <w:rPr>
          <w:rFonts w:hint="eastAsia" w:ascii="黑体" w:hAnsi="新宋体" w:eastAsia="黑体" w:cs="黑体"/>
          <w:sz w:val="28"/>
          <w:szCs w:val="28"/>
        </w:rPr>
        <w:t>（二）投标函附录</w:t>
      </w:r>
      <w:bookmarkEnd w:id="225"/>
    </w:p>
    <w:tbl>
      <w:tblPr>
        <w:tblStyle w:val="11"/>
        <w:tblW w:w="8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1488"/>
        <w:gridCol w:w="709"/>
        <w:gridCol w:w="1165"/>
        <w:gridCol w:w="1188"/>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736" w:type="dxa"/>
            <w:vAlign w:val="center"/>
          </w:tcPr>
          <w:p>
            <w:pPr>
              <w:jc w:val="center"/>
              <w:rPr>
                <w:rFonts w:hAnsi="宋体"/>
                <w:sz w:val="24"/>
                <w:szCs w:val="24"/>
              </w:rPr>
            </w:pPr>
            <w:r>
              <w:rPr>
                <w:rFonts w:hint="eastAsia" w:hAnsi="宋体"/>
                <w:sz w:val="24"/>
                <w:szCs w:val="24"/>
              </w:rPr>
              <w:t>工程名称</w:t>
            </w:r>
          </w:p>
        </w:tc>
        <w:tc>
          <w:tcPr>
            <w:tcW w:w="6607" w:type="dxa"/>
            <w:gridSpan w:val="5"/>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36" w:type="dxa"/>
            <w:vAlign w:val="center"/>
          </w:tcPr>
          <w:p>
            <w:pPr>
              <w:jc w:val="center"/>
              <w:rPr>
                <w:rFonts w:hAnsi="宋体"/>
                <w:sz w:val="24"/>
                <w:szCs w:val="24"/>
              </w:rPr>
            </w:pPr>
            <w:r>
              <w:rPr>
                <w:rFonts w:hint="eastAsia" w:hAnsi="宋体"/>
                <w:sz w:val="24"/>
                <w:szCs w:val="24"/>
              </w:rPr>
              <w:t>投标人</w:t>
            </w:r>
          </w:p>
        </w:tc>
        <w:tc>
          <w:tcPr>
            <w:tcW w:w="6607" w:type="dxa"/>
            <w:gridSpan w:val="5"/>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36" w:type="dxa"/>
            <w:vAlign w:val="center"/>
          </w:tcPr>
          <w:p>
            <w:pPr>
              <w:jc w:val="center"/>
              <w:rPr>
                <w:rFonts w:hAnsi="宋体"/>
                <w:sz w:val="24"/>
                <w:szCs w:val="24"/>
              </w:rPr>
            </w:pPr>
            <w:r>
              <w:rPr>
                <w:rFonts w:hint="eastAsia" w:hAnsi="宋体"/>
                <w:sz w:val="24"/>
                <w:szCs w:val="24"/>
              </w:rPr>
              <w:t>项目负责人</w:t>
            </w:r>
          </w:p>
        </w:tc>
        <w:tc>
          <w:tcPr>
            <w:tcW w:w="1488" w:type="dxa"/>
            <w:vAlign w:val="center"/>
          </w:tcPr>
          <w:p>
            <w:pPr>
              <w:jc w:val="center"/>
              <w:rPr>
                <w:rFonts w:hAnsi="宋体"/>
                <w:sz w:val="24"/>
                <w:szCs w:val="24"/>
              </w:rPr>
            </w:pPr>
          </w:p>
        </w:tc>
        <w:tc>
          <w:tcPr>
            <w:tcW w:w="709" w:type="dxa"/>
            <w:vAlign w:val="center"/>
          </w:tcPr>
          <w:p>
            <w:pPr>
              <w:jc w:val="center"/>
              <w:rPr>
                <w:rFonts w:hAnsi="宋体"/>
                <w:sz w:val="24"/>
                <w:szCs w:val="24"/>
              </w:rPr>
            </w:pPr>
            <w:r>
              <w:rPr>
                <w:rFonts w:hint="eastAsia" w:hAnsi="宋体"/>
                <w:sz w:val="24"/>
                <w:szCs w:val="24"/>
              </w:rPr>
              <w:t>级别</w:t>
            </w:r>
          </w:p>
        </w:tc>
        <w:tc>
          <w:tcPr>
            <w:tcW w:w="1165" w:type="dxa"/>
            <w:vAlign w:val="center"/>
          </w:tcPr>
          <w:p>
            <w:pPr>
              <w:jc w:val="center"/>
              <w:rPr>
                <w:rFonts w:hAnsi="宋体"/>
                <w:sz w:val="24"/>
                <w:szCs w:val="24"/>
              </w:rPr>
            </w:pPr>
          </w:p>
        </w:tc>
        <w:tc>
          <w:tcPr>
            <w:tcW w:w="1188" w:type="dxa"/>
            <w:vAlign w:val="center"/>
          </w:tcPr>
          <w:p>
            <w:pPr>
              <w:jc w:val="center"/>
              <w:rPr>
                <w:rFonts w:hAnsi="宋体"/>
                <w:sz w:val="24"/>
                <w:szCs w:val="24"/>
              </w:rPr>
            </w:pPr>
            <w:r>
              <w:rPr>
                <w:rFonts w:hint="eastAsia" w:hAnsi="宋体"/>
                <w:sz w:val="24"/>
                <w:szCs w:val="24"/>
              </w:rPr>
              <w:t>证书编号</w:t>
            </w:r>
          </w:p>
        </w:tc>
        <w:tc>
          <w:tcPr>
            <w:tcW w:w="2057" w:type="dxa"/>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36" w:type="dxa"/>
            <w:vAlign w:val="center"/>
          </w:tcPr>
          <w:p>
            <w:pPr>
              <w:jc w:val="center"/>
              <w:rPr>
                <w:rFonts w:hAnsi="宋体"/>
                <w:sz w:val="24"/>
                <w:szCs w:val="24"/>
              </w:rPr>
            </w:pPr>
            <w:r>
              <w:rPr>
                <w:rFonts w:hint="eastAsia" w:hAnsi="宋体"/>
                <w:sz w:val="24"/>
                <w:szCs w:val="24"/>
              </w:rPr>
              <w:t>技术负责人</w:t>
            </w:r>
          </w:p>
        </w:tc>
        <w:tc>
          <w:tcPr>
            <w:tcW w:w="1488" w:type="dxa"/>
            <w:vAlign w:val="center"/>
          </w:tcPr>
          <w:p>
            <w:pPr>
              <w:jc w:val="center"/>
              <w:rPr>
                <w:rFonts w:hAnsi="宋体"/>
                <w:sz w:val="24"/>
                <w:szCs w:val="24"/>
              </w:rPr>
            </w:pPr>
          </w:p>
        </w:tc>
        <w:tc>
          <w:tcPr>
            <w:tcW w:w="709" w:type="dxa"/>
            <w:vAlign w:val="center"/>
          </w:tcPr>
          <w:p>
            <w:pPr>
              <w:jc w:val="center"/>
              <w:rPr>
                <w:rFonts w:hAnsi="宋体"/>
                <w:sz w:val="24"/>
                <w:szCs w:val="24"/>
              </w:rPr>
            </w:pPr>
            <w:r>
              <w:rPr>
                <w:rFonts w:hint="eastAsia" w:hAnsi="宋体"/>
                <w:sz w:val="24"/>
                <w:szCs w:val="24"/>
              </w:rPr>
              <w:t>级别</w:t>
            </w:r>
          </w:p>
        </w:tc>
        <w:tc>
          <w:tcPr>
            <w:tcW w:w="1165" w:type="dxa"/>
            <w:vAlign w:val="center"/>
          </w:tcPr>
          <w:p>
            <w:pPr>
              <w:jc w:val="center"/>
              <w:rPr>
                <w:rFonts w:hAnsi="宋体"/>
                <w:sz w:val="24"/>
                <w:szCs w:val="24"/>
              </w:rPr>
            </w:pPr>
          </w:p>
        </w:tc>
        <w:tc>
          <w:tcPr>
            <w:tcW w:w="1188" w:type="dxa"/>
            <w:vAlign w:val="center"/>
          </w:tcPr>
          <w:p>
            <w:pPr>
              <w:jc w:val="center"/>
              <w:rPr>
                <w:rFonts w:hAnsi="宋体"/>
                <w:sz w:val="24"/>
                <w:szCs w:val="24"/>
              </w:rPr>
            </w:pPr>
            <w:r>
              <w:rPr>
                <w:rFonts w:hint="eastAsia" w:hAnsi="宋体"/>
                <w:sz w:val="24"/>
                <w:szCs w:val="24"/>
              </w:rPr>
              <w:t>证书编号</w:t>
            </w:r>
          </w:p>
        </w:tc>
        <w:tc>
          <w:tcPr>
            <w:tcW w:w="2057" w:type="dxa"/>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36" w:type="dxa"/>
            <w:vMerge w:val="restart"/>
            <w:vAlign w:val="center"/>
          </w:tcPr>
          <w:p>
            <w:pPr>
              <w:jc w:val="center"/>
              <w:rPr>
                <w:rFonts w:hAnsi="宋体"/>
                <w:sz w:val="24"/>
                <w:szCs w:val="24"/>
              </w:rPr>
            </w:pPr>
            <w:r>
              <w:rPr>
                <w:rFonts w:hint="eastAsia" w:hAnsi="宋体"/>
                <w:sz w:val="24"/>
                <w:szCs w:val="24"/>
              </w:rPr>
              <w:t>投标总报价</w:t>
            </w:r>
          </w:p>
        </w:tc>
        <w:tc>
          <w:tcPr>
            <w:tcW w:w="3362" w:type="dxa"/>
            <w:gridSpan w:val="3"/>
            <w:vAlign w:val="center"/>
          </w:tcPr>
          <w:p>
            <w:pPr>
              <w:pStyle w:val="2"/>
              <w:ind w:firstLine="0" w:firstLineChars="0"/>
              <w:rPr>
                <w:rFonts w:hAnsi="宋体"/>
                <w:sz w:val="24"/>
                <w:szCs w:val="24"/>
              </w:rPr>
            </w:pPr>
            <w:r>
              <w:rPr>
                <w:rFonts w:hint="eastAsia" w:hAnsi="宋体"/>
                <w:sz w:val="24"/>
                <w:szCs w:val="24"/>
              </w:rPr>
              <w:t>（大写）</w:t>
            </w:r>
          </w:p>
          <w:p>
            <w:pPr>
              <w:pStyle w:val="2"/>
              <w:ind w:firstLine="0" w:firstLineChars="0"/>
              <w:rPr>
                <w:rFonts w:hAnsi="宋体"/>
                <w:sz w:val="24"/>
                <w:szCs w:val="24"/>
              </w:rPr>
            </w:pPr>
          </w:p>
        </w:tc>
        <w:tc>
          <w:tcPr>
            <w:tcW w:w="3245" w:type="dxa"/>
            <w:gridSpan w:val="2"/>
            <w:vAlign w:val="center"/>
          </w:tcPr>
          <w:p>
            <w:pPr>
              <w:widowControl/>
              <w:jc w:val="left"/>
              <w:rPr>
                <w:rFonts w:hAnsi="宋体"/>
                <w:sz w:val="24"/>
                <w:szCs w:val="24"/>
              </w:rPr>
            </w:pPr>
            <w:r>
              <w:rPr>
                <w:rFonts w:hint="eastAsia" w:hAnsi="宋体"/>
                <w:sz w:val="24"/>
                <w:szCs w:val="24"/>
              </w:rPr>
              <w:t>（小写）</w:t>
            </w:r>
          </w:p>
          <w:p>
            <w:pPr>
              <w:pStyle w:val="2"/>
              <w:ind w:firstLine="3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36" w:type="dxa"/>
            <w:vMerge w:val="continue"/>
            <w:vAlign w:val="center"/>
          </w:tcPr>
          <w:p>
            <w:pPr>
              <w:jc w:val="center"/>
              <w:rPr>
                <w:rFonts w:hAnsi="宋体"/>
                <w:sz w:val="24"/>
                <w:szCs w:val="24"/>
              </w:rPr>
            </w:pPr>
          </w:p>
        </w:tc>
        <w:tc>
          <w:tcPr>
            <w:tcW w:w="6607" w:type="dxa"/>
            <w:gridSpan w:val="5"/>
            <w:vAlign w:val="center"/>
          </w:tcPr>
          <w:p>
            <w:pPr>
              <w:rPr>
                <w:rFonts w:hAnsi="宋体"/>
                <w:sz w:val="24"/>
                <w:szCs w:val="24"/>
              </w:rPr>
            </w:pPr>
            <w:r>
              <w:rPr>
                <w:rFonts w:hint="eastAsia" w:hAnsi="宋体"/>
                <w:sz w:val="24"/>
                <w:szCs w:val="24"/>
              </w:rPr>
              <w:t>其中：</w:t>
            </w:r>
          </w:p>
          <w:p>
            <w:pPr>
              <w:rPr>
                <w:rFonts w:hAnsi="宋体"/>
                <w:sz w:val="24"/>
                <w:szCs w:val="24"/>
              </w:rPr>
            </w:pPr>
            <w:r>
              <w:rPr>
                <w:rFonts w:hint="eastAsia" w:hAnsi="宋体"/>
                <w:sz w:val="24"/>
                <w:szCs w:val="24"/>
              </w:rPr>
              <w:t>规费RMB￥：               元</w:t>
            </w:r>
          </w:p>
          <w:p>
            <w:pPr>
              <w:rPr>
                <w:rFonts w:hAnsi="宋体"/>
                <w:sz w:val="24"/>
                <w:szCs w:val="24"/>
              </w:rPr>
            </w:pPr>
            <w:r>
              <w:rPr>
                <w:rFonts w:hint="eastAsia" w:hAnsi="宋体"/>
                <w:sz w:val="24"/>
                <w:szCs w:val="24"/>
              </w:rPr>
              <w:t>税金RMB￥：元</w:t>
            </w:r>
          </w:p>
          <w:p>
            <w:pPr>
              <w:rPr>
                <w:rFonts w:hAnsi="宋体"/>
                <w:sz w:val="24"/>
                <w:szCs w:val="24"/>
              </w:rPr>
            </w:pPr>
            <w:r>
              <w:rPr>
                <w:rFonts w:hint="eastAsia" w:hAnsi="宋体"/>
                <w:sz w:val="24"/>
                <w:szCs w:val="24"/>
              </w:rPr>
              <w:t>安全文明措施费RMB￥：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36" w:type="dxa"/>
            <w:vAlign w:val="center"/>
          </w:tcPr>
          <w:p>
            <w:pPr>
              <w:jc w:val="center"/>
              <w:rPr>
                <w:rFonts w:hAnsi="宋体"/>
                <w:sz w:val="24"/>
                <w:szCs w:val="24"/>
              </w:rPr>
            </w:pPr>
            <w:r>
              <w:rPr>
                <w:rFonts w:hint="eastAsia" w:hAnsi="宋体"/>
                <w:sz w:val="24"/>
                <w:szCs w:val="24"/>
              </w:rPr>
              <w:t>投标质量等级</w:t>
            </w:r>
          </w:p>
        </w:tc>
        <w:tc>
          <w:tcPr>
            <w:tcW w:w="6607" w:type="dxa"/>
            <w:gridSpan w:val="5"/>
            <w:vAlign w:val="center"/>
          </w:tcPr>
          <w:p>
            <w:pP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36" w:type="dxa"/>
            <w:vAlign w:val="center"/>
          </w:tcPr>
          <w:p>
            <w:pPr>
              <w:jc w:val="center"/>
              <w:rPr>
                <w:rFonts w:hAnsi="宋体"/>
                <w:sz w:val="24"/>
                <w:szCs w:val="24"/>
              </w:rPr>
            </w:pPr>
            <w:r>
              <w:rPr>
                <w:rFonts w:hint="eastAsia" w:hAnsi="宋体"/>
                <w:sz w:val="24"/>
                <w:szCs w:val="24"/>
              </w:rPr>
              <w:t>养护期</w:t>
            </w:r>
          </w:p>
        </w:tc>
        <w:tc>
          <w:tcPr>
            <w:tcW w:w="6607" w:type="dxa"/>
            <w:gridSpan w:val="5"/>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36" w:type="dxa"/>
            <w:vAlign w:val="center"/>
          </w:tcPr>
          <w:p>
            <w:pPr>
              <w:jc w:val="center"/>
              <w:rPr>
                <w:rFonts w:hAnsi="宋体"/>
                <w:sz w:val="24"/>
                <w:szCs w:val="24"/>
              </w:rPr>
            </w:pPr>
            <w:r>
              <w:rPr>
                <w:rFonts w:hint="eastAsia" w:hAnsi="宋体"/>
                <w:sz w:val="24"/>
                <w:szCs w:val="24"/>
              </w:rPr>
              <w:t>投标有效期</w:t>
            </w:r>
          </w:p>
        </w:tc>
        <w:tc>
          <w:tcPr>
            <w:tcW w:w="6607" w:type="dxa"/>
            <w:gridSpan w:val="5"/>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343" w:type="dxa"/>
            <w:gridSpan w:val="6"/>
          </w:tcPr>
          <w:p>
            <w:pPr>
              <w:rPr>
                <w:rFonts w:hAnsi="宋体" w:cs="宋体"/>
                <w:sz w:val="24"/>
              </w:rPr>
            </w:pPr>
            <w:r>
              <w:rPr>
                <w:rFonts w:hint="eastAsia" w:hAnsi="宋体" w:cs="宋体"/>
                <w:sz w:val="24"/>
              </w:rPr>
              <w:t xml:space="preserve"> 优惠与服务承诺：</w:t>
            </w:r>
          </w:p>
          <w:p>
            <w:pPr>
              <w:rPr>
                <w:rFonts w:hAnsi="宋体"/>
                <w:sz w:val="24"/>
                <w:szCs w:val="24"/>
              </w:rPr>
            </w:pPr>
          </w:p>
          <w:p>
            <w:pPr>
              <w:rPr>
                <w:rFonts w:hAnsi="宋体"/>
                <w:sz w:val="24"/>
                <w:szCs w:val="24"/>
              </w:rPr>
            </w:pPr>
          </w:p>
          <w:p>
            <w:pPr>
              <w:rPr>
                <w:rFonts w:hAnsi="宋体"/>
                <w:sz w:val="24"/>
                <w:szCs w:val="24"/>
              </w:rPr>
            </w:pPr>
          </w:p>
        </w:tc>
      </w:tr>
    </w:tbl>
    <w:p>
      <w:pPr>
        <w:spacing w:line="360" w:lineRule="auto"/>
        <w:ind w:right="475"/>
        <w:jc w:val="right"/>
        <w:rPr>
          <w:rFonts w:ascii="新宋体" w:hAnsi="新宋体" w:eastAsia="新宋体"/>
          <w:sz w:val="24"/>
        </w:rPr>
      </w:pPr>
    </w:p>
    <w:p>
      <w:pPr>
        <w:spacing w:line="360" w:lineRule="auto"/>
        <w:ind w:right="475"/>
        <w:jc w:val="right"/>
        <w:rPr>
          <w:rFonts w:ascii="新宋体" w:hAnsi="新宋体" w:eastAsia="新宋体"/>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r>
        <w:rPr>
          <w:rFonts w:hint="eastAsia" w:hAnsi="宋体"/>
          <w:sz w:val="24"/>
          <w:szCs w:val="24"/>
          <w:u w:val="single"/>
        </w:rPr>
        <w:t xml:space="preserve">         .</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r>
        <w:rPr>
          <w:rFonts w:hint="eastAsia" w:hAnsi="宋体"/>
          <w:sz w:val="24"/>
          <w:szCs w:val="24"/>
          <w:u w:val="single"/>
        </w:rPr>
        <w:t xml:space="preserve">         .</w:t>
      </w:r>
    </w:p>
    <w:p>
      <w:pPr>
        <w:wordWrap w:val="0"/>
        <w:spacing w:line="360" w:lineRule="auto"/>
        <w:ind w:right="1110"/>
        <w:jc w:val="right"/>
        <w:rPr>
          <w:rFonts w:ascii="黑体" w:hAnsi="新宋体" w:eastAsia="黑体" w:cs="黑体"/>
          <w:sz w:val="28"/>
          <w:szCs w:val="28"/>
        </w:rPr>
      </w:pPr>
      <w:r>
        <w:rPr>
          <w:rFonts w:hint="eastAsia" w:ascii="新宋体" w:hAnsi="新宋体" w:eastAsia="新宋体"/>
          <w:sz w:val="24"/>
        </w:rPr>
        <w:t>年月日</w:t>
      </w:r>
    </w:p>
    <w:p>
      <w:pPr>
        <w:autoSpaceDE w:val="0"/>
        <w:autoSpaceDN w:val="0"/>
        <w:adjustRightInd w:val="0"/>
        <w:spacing w:beforeLines="100" w:afterLines="100" w:line="420" w:lineRule="exact"/>
        <w:jc w:val="center"/>
        <w:outlineLvl w:val="0"/>
        <w:rPr>
          <w:rFonts w:hAnsi="宋体" w:cs="仿宋_GB2312"/>
          <w:b/>
          <w:sz w:val="28"/>
          <w:szCs w:val="28"/>
        </w:rPr>
      </w:pPr>
      <w:r>
        <w:rPr>
          <w:rFonts w:ascii="黑体" w:hAnsi="新宋体" w:eastAsia="黑体" w:cs="黑体"/>
          <w:sz w:val="28"/>
          <w:szCs w:val="28"/>
        </w:rPr>
        <w:br w:type="page"/>
      </w:r>
      <w:r>
        <w:rPr>
          <w:rFonts w:hint="eastAsia" w:ascii="黑体" w:hAnsi="新宋体" w:eastAsia="黑体" w:cs="黑体"/>
          <w:sz w:val="28"/>
          <w:szCs w:val="28"/>
        </w:rPr>
        <w:t>二、</w:t>
      </w:r>
      <w:bookmarkEnd w:id="224"/>
      <w:r>
        <w:rPr>
          <w:rFonts w:hint="eastAsia" w:hAnsi="宋体" w:cs="仿宋_GB2312"/>
          <w:b/>
          <w:sz w:val="28"/>
          <w:szCs w:val="28"/>
        </w:rPr>
        <w:t>法定代表人身份证明或附有法定代表人证明的授权委托书</w:t>
      </w:r>
    </w:p>
    <w:p>
      <w:pPr>
        <w:autoSpaceDE w:val="0"/>
        <w:autoSpaceDN w:val="0"/>
        <w:adjustRightInd w:val="0"/>
        <w:spacing w:line="420" w:lineRule="exact"/>
        <w:jc w:val="center"/>
        <w:outlineLvl w:val="0"/>
        <w:rPr>
          <w:rFonts w:ascii="黑体" w:hAnsi="新宋体" w:eastAsia="黑体" w:cs="黑体"/>
          <w:sz w:val="28"/>
          <w:szCs w:val="28"/>
        </w:rPr>
      </w:pPr>
      <w:bookmarkStart w:id="226" w:name="_Toc271787731"/>
      <w:r>
        <w:rPr>
          <w:rFonts w:hint="eastAsia" w:ascii="黑体" w:hAnsi="新宋体" w:eastAsia="黑体" w:cs="黑体"/>
          <w:sz w:val="28"/>
          <w:szCs w:val="28"/>
        </w:rPr>
        <w:t>（一）法定代表人身份证明</w:t>
      </w:r>
      <w:bookmarkEnd w:id="226"/>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TimesNewRomanPSMT"/>
          <w:sz w:val="24"/>
          <w:u w:val="single"/>
        </w:rPr>
      </w:pPr>
      <w:r>
        <w:rPr>
          <w:rFonts w:hint="eastAsia" w:hAnsi="宋体" w:cs="仿宋_GB2312"/>
          <w:sz w:val="24"/>
        </w:rPr>
        <w:t>投标人名称：</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成立时间：年月日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姓名：性别：年龄：职务：</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center"/>
        <w:rPr>
          <w:rFonts w:hAnsi="宋体" w:cs="仿宋_GB2312"/>
          <w:sz w:val="24"/>
        </w:rPr>
      </w:pPr>
      <w:r>
        <w:rPr>
          <w:rFonts w:hint="eastAsia" w:hAnsi="宋体" w:cs="仿宋_GB2312"/>
          <w:sz w:val="24"/>
          <w:lang w:val="en-US" w:eastAsia="zh-CN"/>
        </w:rPr>
        <w:t xml:space="preserve">     </w:t>
      </w:r>
      <w:r>
        <w:rPr>
          <w:rFonts w:hint="eastAsia" w:hAnsi="宋体" w:cs="仿宋_GB2312"/>
          <w:sz w:val="24"/>
        </w:rPr>
        <w:t>投标人：（盖单位章）</w:t>
      </w:r>
    </w:p>
    <w:p>
      <w:pPr>
        <w:autoSpaceDE w:val="0"/>
        <w:autoSpaceDN w:val="0"/>
        <w:adjustRightInd w:val="0"/>
        <w:spacing w:line="420" w:lineRule="exact"/>
        <w:ind w:firstLine="480" w:firstLineChars="200"/>
        <w:jc w:val="center"/>
        <w:rPr>
          <w:rFonts w:hAnsi="宋体" w:cs="仿宋_GB2312"/>
          <w:sz w:val="24"/>
        </w:rPr>
      </w:pPr>
      <w:r>
        <w:rPr>
          <w:rFonts w:hint="eastAsia" w:hAnsi="宋体" w:cs="仿宋_GB2312"/>
          <w:sz w:val="24"/>
          <w:lang w:val="en-US" w:eastAsia="zh-CN"/>
        </w:rPr>
        <w:t xml:space="preserve">               </w:t>
      </w:r>
      <w:r>
        <w:rPr>
          <w:rFonts w:hint="eastAsia" w:hAnsi="宋体" w:cs="仿宋_GB2312"/>
          <w:sz w:val="24"/>
        </w:rPr>
        <w:t>年</w:t>
      </w:r>
      <w:r>
        <w:rPr>
          <w:rFonts w:hint="eastAsia" w:hAnsi="宋体" w:cs="仿宋_GB2312"/>
          <w:sz w:val="24"/>
          <w:lang w:val="en-US" w:eastAsia="zh-CN"/>
        </w:rPr>
        <w:t xml:space="preserve">   </w:t>
      </w:r>
      <w:r>
        <w:rPr>
          <w:rFonts w:hint="eastAsia" w:hAnsi="宋体" w:cs="仿宋_GB2312"/>
          <w:sz w:val="24"/>
        </w:rPr>
        <w:t>月</w:t>
      </w:r>
      <w:r>
        <w:rPr>
          <w:rFonts w:hint="eastAsia" w:hAnsi="宋体" w:cs="仿宋_GB2312"/>
          <w:sz w:val="24"/>
          <w:lang w:val="en-US" w:eastAsia="zh-CN"/>
        </w:rPr>
        <w:t xml:space="preserve">   </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pStyle w:val="4"/>
        <w:rPr>
          <w:rFonts w:hAnsi="宋体" w:cs="仿宋_GB2312"/>
          <w:szCs w:val="21"/>
        </w:rPr>
      </w:pPr>
    </w:p>
    <w:p>
      <w:pPr>
        <w:rPr>
          <w:rFonts w:hAnsi="宋体" w:cs="仿宋_GB2312"/>
          <w:szCs w:val="21"/>
        </w:rPr>
      </w:pPr>
    </w:p>
    <w:p>
      <w:pPr>
        <w:pStyle w:val="4"/>
        <w:rPr>
          <w:rFonts w:hAnsi="宋体" w:cs="仿宋_GB2312"/>
          <w:szCs w:val="21"/>
        </w:rPr>
      </w:pPr>
    </w:p>
    <w:p>
      <w:pPr>
        <w:rPr>
          <w:rFonts w:hAnsi="宋体" w:cs="仿宋_GB2312"/>
          <w:szCs w:val="21"/>
        </w:rPr>
      </w:pPr>
    </w:p>
    <w:p>
      <w:pPr>
        <w:pStyle w:val="4"/>
        <w:rPr>
          <w:rFonts w:hAnsi="宋体" w:cs="仿宋_GB2312"/>
          <w:szCs w:val="21"/>
        </w:rPr>
      </w:pPr>
    </w:p>
    <w:p>
      <w:pPr>
        <w:rPr>
          <w:rFonts w:hAnsi="宋体" w:cs="仿宋_GB2312"/>
          <w:szCs w:val="21"/>
        </w:rPr>
      </w:pPr>
    </w:p>
    <w:p>
      <w:pPr>
        <w:pStyle w:val="4"/>
        <w:rPr>
          <w:rFonts w:hAnsi="宋体" w:cs="仿宋_GB2312"/>
          <w:szCs w:val="21"/>
        </w:rPr>
      </w:pPr>
    </w:p>
    <w:p>
      <w:pPr>
        <w:rPr>
          <w:rFonts w:hAnsi="宋体" w:cs="仿宋_GB2312"/>
          <w:szCs w:val="21"/>
        </w:rPr>
      </w:pPr>
    </w:p>
    <w:p>
      <w:pPr>
        <w:pStyle w:val="4"/>
      </w:pPr>
    </w:p>
    <w:p>
      <w:pPr>
        <w:pStyle w:val="4"/>
      </w:pPr>
    </w:p>
    <w:p>
      <w:pPr>
        <w:autoSpaceDE w:val="0"/>
        <w:autoSpaceDN w:val="0"/>
        <w:adjustRightInd w:val="0"/>
        <w:spacing w:line="420" w:lineRule="exact"/>
        <w:jc w:val="center"/>
        <w:outlineLvl w:val="0"/>
        <w:rPr>
          <w:rFonts w:ascii="黑体" w:hAnsi="新宋体" w:eastAsia="黑体" w:cs="黑体"/>
          <w:sz w:val="28"/>
          <w:szCs w:val="28"/>
        </w:rPr>
      </w:pPr>
      <w:bookmarkStart w:id="227" w:name="_Toc271787732"/>
      <w:r>
        <w:rPr>
          <w:rFonts w:hint="eastAsia" w:ascii="黑体" w:hAnsi="新宋体" w:eastAsia="黑体" w:cs="黑体"/>
          <w:sz w:val="28"/>
          <w:szCs w:val="28"/>
        </w:rPr>
        <w:t>（二）授权委托书</w:t>
      </w:r>
      <w:bookmarkEnd w:id="227"/>
    </w:p>
    <w:p>
      <w:pPr>
        <w:autoSpaceDE w:val="0"/>
        <w:autoSpaceDN w:val="0"/>
        <w:adjustRightInd w:val="0"/>
        <w:spacing w:line="420" w:lineRule="exact"/>
        <w:jc w:val="center"/>
        <w:outlineLvl w:val="0"/>
        <w:rPr>
          <w:rFonts w:ascii="黑体" w:hAnsi="新宋体" w:eastAsia="黑体" w:cs="黑体"/>
          <w:sz w:val="28"/>
          <w:szCs w:val="28"/>
        </w:rPr>
      </w:pPr>
    </w:p>
    <w:p>
      <w:pPr>
        <w:adjustRightInd w:val="0"/>
        <w:snapToGrid w:val="0"/>
        <w:spacing w:line="360" w:lineRule="auto"/>
        <w:ind w:firstLine="480" w:firstLineChars="200"/>
        <w:rPr>
          <w:rFonts w:hAnsi="宋体" w:cs="仿宋_GB2312"/>
          <w:sz w:val="24"/>
          <w:szCs w:val="24"/>
        </w:rPr>
      </w:pPr>
      <w:r>
        <w:rPr>
          <w:rFonts w:hint="eastAsia" w:hAnsi="宋体" w:cs="仿宋_GB2312"/>
          <w:sz w:val="24"/>
          <w:szCs w:val="24"/>
        </w:rPr>
        <w:t>我</w:t>
      </w:r>
      <w:r>
        <w:rPr>
          <w:rFonts w:hint="eastAsia" w:hAnsi="宋体" w:cs="仿宋_GB2312"/>
          <w:sz w:val="24"/>
          <w:szCs w:val="24"/>
          <w:u w:val="single"/>
        </w:rPr>
        <w:t xml:space="preserve">      (姓名) </w:t>
      </w:r>
      <w:r>
        <w:rPr>
          <w:rFonts w:hint="eastAsia" w:hAnsi="宋体" w:cs="仿宋_GB2312"/>
          <w:sz w:val="24"/>
          <w:szCs w:val="24"/>
        </w:rPr>
        <w:t>系</w:t>
      </w:r>
      <w:r>
        <w:rPr>
          <w:rFonts w:hint="eastAsia" w:hAnsi="宋体" w:cs="仿宋_GB2312"/>
          <w:sz w:val="24"/>
          <w:szCs w:val="24"/>
          <w:u w:val="single"/>
        </w:rPr>
        <w:t xml:space="preserve">       （投标人名称）</w:t>
      </w:r>
      <w:r>
        <w:rPr>
          <w:rFonts w:hint="eastAsia" w:hAnsi="宋体" w:cs="仿宋_GB2312"/>
          <w:sz w:val="24"/>
          <w:szCs w:val="24"/>
        </w:rPr>
        <w:t>的法定代表人，现授权委托</w:t>
      </w:r>
      <w:r>
        <w:rPr>
          <w:rFonts w:hint="eastAsia" w:hAnsi="宋体" w:cs="仿宋_GB2312"/>
          <w:sz w:val="24"/>
          <w:szCs w:val="24"/>
          <w:u w:val="single"/>
        </w:rPr>
        <w:t xml:space="preserve">     （姓名）</w:t>
      </w:r>
      <w:r>
        <w:rPr>
          <w:rFonts w:hint="eastAsia" w:hAnsi="宋体" w:cs="仿宋_GB2312"/>
          <w:sz w:val="24"/>
          <w:szCs w:val="24"/>
        </w:rPr>
        <w:t>（身份证号：，联系电话： ）为我公司处理</w:t>
      </w:r>
      <w:r>
        <w:rPr>
          <w:rFonts w:hint="eastAsia" w:hAnsi="宋体" w:cs="仿宋_GB2312"/>
          <w:sz w:val="24"/>
          <w:szCs w:val="24"/>
          <w:u w:val="single"/>
        </w:rPr>
        <w:t xml:space="preserve">        （项目名称/标段）</w:t>
      </w:r>
      <w:r>
        <w:rPr>
          <w:rFonts w:hint="eastAsia" w:hAnsi="宋体" w:cs="仿宋_GB2312"/>
          <w:sz w:val="24"/>
          <w:szCs w:val="24"/>
        </w:rPr>
        <w:t>投标事宜的唯一授权委托人，该项委托权不得转让。</w:t>
      </w:r>
    </w:p>
    <w:p>
      <w:pPr>
        <w:adjustRightInd w:val="0"/>
        <w:snapToGrid w:val="0"/>
        <w:spacing w:line="360" w:lineRule="auto"/>
        <w:ind w:firstLine="480" w:firstLineChars="200"/>
        <w:rPr>
          <w:rFonts w:hAnsi="宋体" w:cs="仿宋_GB2312"/>
          <w:sz w:val="24"/>
          <w:szCs w:val="24"/>
        </w:rPr>
      </w:pPr>
      <w:r>
        <w:rPr>
          <w:rFonts w:hint="eastAsia" w:hAnsi="宋体" w:cs="仿宋_GB2312"/>
          <w:sz w:val="24"/>
          <w:szCs w:val="24"/>
        </w:rPr>
        <w:t>我承诺：该授权委托人系我单位在职人员，所提供的资料中如有虚假内容，愿意被否决或中标无效处理，并作为不良失信行为接受行政监管部门处罚。其参加本项目的投标活动，有权当场作出承诺及对投标书作出技术性补充，在开标、评标过程中所签署的一切文件和处理与之有关的一切事务，我均予以承认。</w:t>
      </w:r>
    </w:p>
    <w:p>
      <w:pPr>
        <w:spacing w:line="600" w:lineRule="exact"/>
        <w:ind w:firstLine="480" w:firstLineChars="200"/>
        <w:rPr>
          <w:rFonts w:hAnsi="宋体" w:cs="仿宋_GB2312"/>
          <w:sz w:val="24"/>
          <w:szCs w:val="24"/>
        </w:rPr>
      </w:pPr>
      <w:r>
        <w:rPr>
          <w:rFonts w:hint="eastAsia" w:hAnsi="宋体" w:cs="仿宋_GB2312"/>
          <w:sz w:val="24"/>
          <w:szCs w:val="24"/>
        </w:rPr>
        <w:t>附：法定代表人（单位负责人）及授权委托人身份证原件扫描件（或图片）（正反面）</w:t>
      </w:r>
    </w:p>
    <w:p>
      <w:pPr>
        <w:spacing w:line="600" w:lineRule="exact"/>
        <w:ind w:firstLine="480" w:firstLineChars="200"/>
        <w:jc w:val="right"/>
        <w:rPr>
          <w:rFonts w:hAnsi="宋体" w:cs="仿宋_GB2312"/>
          <w:sz w:val="24"/>
          <w:szCs w:val="24"/>
        </w:rPr>
      </w:pPr>
      <w:r>
        <w:rPr>
          <w:rFonts w:hint="eastAsia" w:hAnsi="宋体" w:cs="仿宋_GB2312"/>
          <w:sz w:val="24"/>
          <w:szCs w:val="24"/>
        </w:rPr>
        <w:t xml:space="preserve">投标单位： </w:t>
      </w:r>
      <w:r>
        <w:rPr>
          <w:rFonts w:hint="eastAsia" w:hAnsi="宋体" w:cs="仿宋_GB2312"/>
          <w:sz w:val="24"/>
          <w:szCs w:val="24"/>
          <w:u w:val="single"/>
        </w:rPr>
        <w:t xml:space="preserve">                      （盖章）</w:t>
      </w:r>
    </w:p>
    <w:p>
      <w:pPr>
        <w:spacing w:line="600" w:lineRule="exact"/>
        <w:ind w:firstLine="480" w:firstLineChars="200"/>
        <w:jc w:val="right"/>
        <w:rPr>
          <w:rFonts w:hAnsi="宋体" w:cs="仿宋_GB2312"/>
          <w:sz w:val="24"/>
          <w:szCs w:val="24"/>
        </w:rPr>
      </w:pPr>
      <w:r>
        <w:rPr>
          <w:rFonts w:hint="eastAsia" w:hAnsi="宋体" w:cs="仿宋_GB2312"/>
          <w:sz w:val="24"/>
          <w:szCs w:val="24"/>
        </w:rPr>
        <w:t>法定代表人：</w:t>
      </w:r>
      <w:r>
        <w:rPr>
          <w:rFonts w:hint="eastAsia" w:hAnsi="宋体" w:cs="仿宋_GB2312"/>
          <w:sz w:val="24"/>
          <w:szCs w:val="24"/>
          <w:u w:val="single"/>
        </w:rPr>
        <w:t xml:space="preserve">                     （签字）</w:t>
      </w:r>
    </w:p>
    <w:p>
      <w:pPr>
        <w:spacing w:line="600" w:lineRule="exact"/>
        <w:ind w:firstLine="480" w:firstLineChars="200"/>
        <w:jc w:val="right"/>
        <w:rPr>
          <w:rFonts w:hAnsi="宋体" w:cs="仿宋_GB2312"/>
          <w:sz w:val="24"/>
          <w:szCs w:val="24"/>
        </w:rPr>
      </w:pPr>
      <w:r>
        <w:rPr>
          <w:rFonts w:hint="eastAsia" w:hAnsi="宋体" w:cs="仿宋_GB2312"/>
          <w:sz w:val="24"/>
          <w:szCs w:val="24"/>
        </w:rPr>
        <w:t xml:space="preserve">受委托人：  </w:t>
      </w:r>
      <w:r>
        <w:rPr>
          <w:rFonts w:hint="eastAsia" w:hAnsi="宋体" w:cs="仿宋_GB2312"/>
          <w:sz w:val="24"/>
          <w:szCs w:val="24"/>
          <w:u w:val="single"/>
        </w:rPr>
        <w:t xml:space="preserve">                     （签字）</w:t>
      </w:r>
    </w:p>
    <w:p>
      <w:pPr>
        <w:spacing w:line="600" w:lineRule="exact"/>
        <w:ind w:firstLine="480" w:firstLineChars="200"/>
        <w:jc w:val="center"/>
        <w:rPr>
          <w:rFonts w:hAnsi="宋体" w:cs="仿宋_GB2312"/>
          <w:sz w:val="24"/>
          <w:szCs w:val="24"/>
        </w:rPr>
      </w:pPr>
      <w:r>
        <w:rPr>
          <w:rFonts w:hint="eastAsia" w:hAnsi="宋体" w:cs="仿宋_GB2312"/>
          <w:sz w:val="24"/>
          <w:szCs w:val="24"/>
          <w:lang w:val="en-US" w:eastAsia="zh-CN"/>
        </w:rPr>
        <w:t xml:space="preserve">                                    </w:t>
      </w:r>
      <w:r>
        <w:rPr>
          <w:rFonts w:hint="eastAsia" w:hAnsi="宋体" w:cs="仿宋_GB2312"/>
          <w:sz w:val="24"/>
          <w:szCs w:val="24"/>
        </w:rPr>
        <w:t>年</w:t>
      </w:r>
      <w:r>
        <w:rPr>
          <w:rFonts w:hint="eastAsia" w:hAnsi="宋体" w:cs="仿宋_GB2312"/>
          <w:sz w:val="24"/>
          <w:szCs w:val="24"/>
          <w:lang w:val="en-US" w:eastAsia="zh-CN"/>
        </w:rPr>
        <w:t xml:space="preserve">  </w:t>
      </w:r>
      <w:r>
        <w:rPr>
          <w:rFonts w:hint="eastAsia" w:hAnsi="宋体" w:cs="仿宋_GB2312"/>
          <w:sz w:val="24"/>
          <w:szCs w:val="24"/>
        </w:rPr>
        <w:t>月</w:t>
      </w:r>
      <w:r>
        <w:rPr>
          <w:rFonts w:hint="eastAsia" w:hAnsi="宋体" w:cs="仿宋_GB2312"/>
          <w:sz w:val="24"/>
          <w:szCs w:val="24"/>
          <w:lang w:val="en-US" w:eastAsia="zh-CN"/>
        </w:rPr>
        <w:t xml:space="preserve">   </w:t>
      </w:r>
      <w:r>
        <w:rPr>
          <w:rFonts w:hint="eastAsia" w:hAnsi="宋体" w:cs="仿宋_GB2312"/>
          <w:sz w:val="24"/>
          <w:szCs w:val="24"/>
        </w:rPr>
        <w:t>日</w:t>
      </w:r>
    </w:p>
    <w:p>
      <w:pPr>
        <w:spacing w:line="360" w:lineRule="auto"/>
        <w:jc w:val="center"/>
        <w:rPr>
          <w:rFonts w:hAnsi="宋体"/>
          <w:b/>
          <w:sz w:val="36"/>
          <w:szCs w:val="36"/>
        </w:rPr>
      </w:pPr>
    </w:p>
    <w:p>
      <w:pPr>
        <w:spacing w:line="360" w:lineRule="auto"/>
        <w:jc w:val="center"/>
        <w:rPr>
          <w:rFonts w:hAnsi="宋体"/>
          <w:b/>
          <w:sz w:val="36"/>
          <w:szCs w:val="36"/>
        </w:rPr>
      </w:pPr>
    </w:p>
    <w:p>
      <w:pPr>
        <w:spacing w:line="360" w:lineRule="auto"/>
        <w:jc w:val="center"/>
        <w:rPr>
          <w:rFonts w:hAnsi="宋体"/>
          <w:b/>
          <w:sz w:val="36"/>
          <w:szCs w:val="36"/>
        </w:rPr>
      </w:pPr>
    </w:p>
    <w:p>
      <w:pPr>
        <w:spacing w:line="360" w:lineRule="auto"/>
        <w:jc w:val="center"/>
        <w:rPr>
          <w:rFonts w:hAnsi="宋体"/>
          <w:b/>
          <w:sz w:val="36"/>
          <w:szCs w:val="36"/>
        </w:rPr>
      </w:pPr>
    </w:p>
    <w:p>
      <w:pPr>
        <w:spacing w:line="360" w:lineRule="auto"/>
        <w:jc w:val="center"/>
        <w:rPr>
          <w:rFonts w:hAnsi="宋体"/>
          <w:b/>
          <w:sz w:val="36"/>
          <w:szCs w:val="36"/>
        </w:rPr>
      </w:pPr>
    </w:p>
    <w:p>
      <w:pPr>
        <w:spacing w:line="360" w:lineRule="auto"/>
        <w:jc w:val="center"/>
        <w:rPr>
          <w:rFonts w:hAnsi="宋体"/>
          <w:b/>
          <w:sz w:val="36"/>
          <w:szCs w:val="36"/>
        </w:rPr>
      </w:pPr>
    </w:p>
    <w:p>
      <w:pPr>
        <w:spacing w:line="360" w:lineRule="auto"/>
        <w:jc w:val="center"/>
        <w:rPr>
          <w:rFonts w:hAnsi="宋体"/>
          <w:b/>
          <w:sz w:val="36"/>
          <w:szCs w:val="36"/>
        </w:rPr>
      </w:pPr>
    </w:p>
    <w:p>
      <w:pPr>
        <w:spacing w:line="360" w:lineRule="auto"/>
        <w:jc w:val="center"/>
        <w:rPr>
          <w:rFonts w:hAnsi="宋体"/>
          <w:b/>
          <w:sz w:val="36"/>
          <w:szCs w:val="36"/>
        </w:rPr>
      </w:pPr>
    </w:p>
    <w:p>
      <w:pPr>
        <w:spacing w:line="360" w:lineRule="auto"/>
        <w:jc w:val="center"/>
        <w:rPr>
          <w:rFonts w:hAnsi="宋体"/>
          <w:b/>
          <w:sz w:val="36"/>
          <w:szCs w:val="36"/>
        </w:rPr>
      </w:pPr>
      <w:r>
        <w:rPr>
          <w:rFonts w:hint="eastAsia" w:hAnsi="宋体"/>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8"/>
                    <a:stretch>
                      <a:fillRect/>
                    </a:stretch>
                  </pic:blipFill>
                  <pic:spPr>
                    <a:xfrm>
                      <a:off x="0" y="0"/>
                      <a:ext cx="952500" cy="927100"/>
                    </a:xfrm>
                    <a:prstGeom prst="rect">
                      <a:avLst/>
                    </a:prstGeom>
                    <a:noFill/>
                    <a:ln w="9525">
                      <a:noFill/>
                    </a:ln>
                  </pic:spPr>
                </pic:pic>
              </a:graphicData>
            </a:graphic>
          </wp:anchor>
        </w:drawing>
      </w:r>
      <w:r>
        <w:rPr>
          <w:rFonts w:hint="eastAsia" w:hAnsi="宋体"/>
          <w:b/>
          <w:sz w:val="36"/>
          <w:szCs w:val="36"/>
        </w:rPr>
        <w:t>三、投标担保</w:t>
      </w:r>
    </w:p>
    <w:p>
      <w:pPr>
        <w:autoSpaceDE w:val="0"/>
        <w:autoSpaceDN w:val="0"/>
        <w:adjustRightInd w:val="0"/>
        <w:spacing w:line="420" w:lineRule="exact"/>
        <w:jc w:val="center"/>
        <w:rPr>
          <w:rFonts w:hAnsi="宋体" w:cs="仿宋_GB2312"/>
          <w:sz w:val="24"/>
          <w:szCs w:val="24"/>
        </w:rPr>
      </w:pPr>
      <w:r>
        <w:rPr>
          <w:rFonts w:hint="eastAsia" w:hAnsi="宋体" w:cs="仿宋_GB2312"/>
          <w:sz w:val="24"/>
          <w:szCs w:val="24"/>
        </w:rPr>
        <w:t>附投标保证金有效银行转账凭证原件扫描件（或图片）；</w:t>
      </w:r>
    </w:p>
    <w:p>
      <w:pPr>
        <w:autoSpaceDE w:val="0"/>
        <w:autoSpaceDN w:val="0"/>
        <w:adjustRightInd w:val="0"/>
        <w:spacing w:line="420" w:lineRule="exact"/>
        <w:jc w:val="center"/>
        <w:rPr>
          <w:rFonts w:hAnsi="宋体" w:cs="仿宋_GB2312"/>
          <w:sz w:val="24"/>
          <w:szCs w:val="24"/>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ind w:left="180"/>
        <w:jc w:val="center"/>
        <w:rPr>
          <w:rFonts w:hAnsi="宋体"/>
          <w:b/>
          <w:bCs/>
          <w:sz w:val="32"/>
          <w:szCs w:val="32"/>
        </w:rPr>
      </w:pPr>
      <w:r>
        <w:rPr>
          <w:rFonts w:hint="eastAsia" w:hAnsi="宋体"/>
          <w:b/>
          <w:bCs/>
          <w:sz w:val="32"/>
          <w:szCs w:val="32"/>
        </w:rPr>
        <w:t>四、项目管理机构配备情况</w:t>
      </w:r>
    </w:p>
    <w:p>
      <w:pPr>
        <w:autoSpaceDE w:val="0"/>
        <w:autoSpaceDN w:val="0"/>
        <w:adjustRightInd w:val="0"/>
        <w:spacing w:line="360" w:lineRule="auto"/>
        <w:ind w:right="215" w:firstLine="420"/>
        <w:jc w:val="center"/>
        <w:rPr>
          <w:rFonts w:hAnsi="宋体"/>
          <w:sz w:val="24"/>
          <w:szCs w:val="24"/>
        </w:rPr>
      </w:pPr>
      <w:r>
        <w:rPr>
          <w:rFonts w:hint="eastAsia" w:hAnsi="宋体"/>
          <w:sz w:val="24"/>
          <w:szCs w:val="24"/>
        </w:rPr>
        <w:t>（一）项目管理机构组成表</w:t>
      </w:r>
    </w:p>
    <w:tbl>
      <w:tblPr>
        <w:tblStyle w:val="11"/>
        <w:tblW w:w="9395" w:type="dxa"/>
        <w:jc w:val="center"/>
        <w:tblLayout w:type="fixed"/>
        <w:tblCellMar>
          <w:top w:w="0" w:type="dxa"/>
          <w:left w:w="108" w:type="dxa"/>
          <w:bottom w:w="0" w:type="dxa"/>
          <w:right w:w="108" w:type="dxa"/>
        </w:tblCellMar>
      </w:tblPr>
      <w:tblGrid>
        <w:gridCol w:w="913"/>
        <w:gridCol w:w="914"/>
        <w:gridCol w:w="914"/>
        <w:gridCol w:w="1405"/>
        <w:gridCol w:w="945"/>
        <w:gridCol w:w="945"/>
        <w:gridCol w:w="945"/>
        <w:gridCol w:w="1470"/>
        <w:gridCol w:w="944"/>
      </w:tblGrid>
      <w:tr>
        <w:tblPrEx>
          <w:tblCellMar>
            <w:top w:w="0" w:type="dxa"/>
            <w:left w:w="108" w:type="dxa"/>
            <w:bottom w:w="0" w:type="dxa"/>
            <w:right w:w="108" w:type="dxa"/>
          </w:tblCellMar>
        </w:tblPrEx>
        <w:trPr>
          <w:trHeight w:val="499" w:hRule="atLeast"/>
          <w:jc w:val="center"/>
        </w:trPr>
        <w:tc>
          <w:tcPr>
            <w:tcW w:w="913"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rPr>
                <w:rFonts w:hAnsi="宋体"/>
                <w:sz w:val="24"/>
                <w:szCs w:val="24"/>
              </w:rPr>
            </w:pPr>
            <w:r>
              <w:rPr>
                <w:rFonts w:hint="eastAsia" w:hAnsi="宋体"/>
                <w:sz w:val="24"/>
                <w:szCs w:val="24"/>
              </w:rPr>
              <w:t>职务</w:t>
            </w:r>
          </w:p>
        </w:tc>
        <w:tc>
          <w:tcPr>
            <w:tcW w:w="914" w:type="dxa"/>
            <w:vMerge w:val="restart"/>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rPr>
                <w:rFonts w:hAnsi="宋体"/>
                <w:sz w:val="24"/>
                <w:szCs w:val="24"/>
              </w:rPr>
            </w:pPr>
            <w:r>
              <w:rPr>
                <w:rFonts w:hint="eastAsia" w:hAnsi="宋体"/>
                <w:sz w:val="24"/>
                <w:szCs w:val="24"/>
              </w:rPr>
              <w:t>姓名</w:t>
            </w:r>
          </w:p>
        </w:tc>
        <w:tc>
          <w:tcPr>
            <w:tcW w:w="914" w:type="dxa"/>
            <w:vMerge w:val="restart"/>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rPr>
                <w:rFonts w:hAnsi="宋体"/>
                <w:sz w:val="24"/>
                <w:szCs w:val="24"/>
              </w:rPr>
            </w:pPr>
            <w:r>
              <w:rPr>
                <w:rFonts w:hint="eastAsia" w:hAnsi="宋体"/>
                <w:sz w:val="24"/>
                <w:szCs w:val="24"/>
              </w:rPr>
              <w:t>职称</w:t>
            </w:r>
          </w:p>
        </w:tc>
        <w:tc>
          <w:tcPr>
            <w:tcW w:w="5710" w:type="dxa"/>
            <w:gridSpan w:val="5"/>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sz w:val="24"/>
                <w:szCs w:val="24"/>
              </w:rPr>
            </w:pPr>
            <w:r>
              <w:rPr>
                <w:rFonts w:hint="eastAsia" w:hAnsi="宋体"/>
                <w:sz w:val="24"/>
                <w:szCs w:val="24"/>
              </w:rPr>
              <w:t>执业或职业资格证明</w:t>
            </w:r>
          </w:p>
        </w:tc>
        <w:tc>
          <w:tcPr>
            <w:tcW w:w="9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sz w:val="24"/>
                <w:szCs w:val="24"/>
              </w:rPr>
            </w:pPr>
            <w:r>
              <w:rPr>
                <w:rFonts w:hint="eastAsia" w:hAnsi="宋体"/>
                <w:sz w:val="24"/>
                <w:szCs w:val="24"/>
              </w:rPr>
              <w:t>备注</w:t>
            </w:r>
          </w:p>
        </w:tc>
      </w:tr>
      <w:tr>
        <w:tblPrEx>
          <w:tblCellMar>
            <w:top w:w="0" w:type="dxa"/>
            <w:left w:w="108" w:type="dxa"/>
            <w:bottom w:w="0" w:type="dxa"/>
            <w:right w:w="108" w:type="dxa"/>
          </w:tblCellMar>
        </w:tblPrEx>
        <w:trPr>
          <w:trHeight w:val="155" w:hRule="atLeast"/>
          <w:jc w:val="center"/>
        </w:trPr>
        <w:tc>
          <w:tcPr>
            <w:tcW w:w="9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sz w:val="24"/>
                <w:szCs w:val="24"/>
              </w:rPr>
            </w:pPr>
          </w:p>
        </w:tc>
        <w:tc>
          <w:tcPr>
            <w:tcW w:w="914" w:type="dxa"/>
            <w:vMerge w:val="continue"/>
            <w:tcBorders>
              <w:top w:val="single" w:color="auto" w:sz="4" w:space="0"/>
              <w:left w:val="nil"/>
              <w:bottom w:val="single" w:color="auto" w:sz="4" w:space="0"/>
              <w:right w:val="single" w:color="auto" w:sz="4" w:space="0"/>
            </w:tcBorders>
            <w:vAlign w:val="center"/>
          </w:tcPr>
          <w:p>
            <w:pPr>
              <w:widowControl/>
              <w:jc w:val="left"/>
              <w:rPr>
                <w:rFonts w:hAnsi="宋体"/>
                <w:sz w:val="24"/>
                <w:szCs w:val="24"/>
              </w:rPr>
            </w:pPr>
          </w:p>
        </w:tc>
        <w:tc>
          <w:tcPr>
            <w:tcW w:w="914" w:type="dxa"/>
            <w:vMerge w:val="continue"/>
            <w:tcBorders>
              <w:top w:val="single" w:color="auto" w:sz="4" w:space="0"/>
              <w:left w:val="nil"/>
              <w:bottom w:val="single" w:color="auto" w:sz="4" w:space="0"/>
              <w:right w:val="single" w:color="auto" w:sz="4" w:space="0"/>
            </w:tcBorders>
            <w:vAlign w:val="center"/>
          </w:tcPr>
          <w:p>
            <w:pPr>
              <w:widowControl/>
              <w:jc w:val="left"/>
              <w:rPr>
                <w:rFonts w:hAnsi="宋体"/>
                <w:sz w:val="24"/>
                <w:szCs w:val="24"/>
              </w:rPr>
            </w:pPr>
          </w:p>
        </w:tc>
        <w:tc>
          <w:tcPr>
            <w:tcW w:w="140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sz w:val="24"/>
                <w:szCs w:val="24"/>
              </w:rPr>
            </w:pPr>
            <w:r>
              <w:rPr>
                <w:rFonts w:hint="eastAsia" w:hAnsi="宋体"/>
                <w:sz w:val="24"/>
                <w:szCs w:val="24"/>
              </w:rPr>
              <w:t>证书名称</w:t>
            </w:r>
          </w:p>
        </w:tc>
        <w:tc>
          <w:tcPr>
            <w:tcW w:w="94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sz w:val="24"/>
                <w:szCs w:val="24"/>
              </w:rPr>
            </w:pPr>
            <w:r>
              <w:rPr>
                <w:rFonts w:hint="eastAsia" w:hAnsi="宋体"/>
                <w:sz w:val="24"/>
                <w:szCs w:val="24"/>
              </w:rPr>
              <w:t>级别</w:t>
            </w:r>
          </w:p>
        </w:tc>
        <w:tc>
          <w:tcPr>
            <w:tcW w:w="94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sz w:val="24"/>
                <w:szCs w:val="24"/>
              </w:rPr>
            </w:pPr>
            <w:r>
              <w:rPr>
                <w:rFonts w:hint="eastAsia" w:hAnsi="宋体"/>
                <w:sz w:val="24"/>
                <w:szCs w:val="24"/>
              </w:rPr>
              <w:t>证号</w:t>
            </w:r>
          </w:p>
        </w:tc>
        <w:tc>
          <w:tcPr>
            <w:tcW w:w="94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sz w:val="24"/>
                <w:szCs w:val="24"/>
              </w:rPr>
            </w:pPr>
            <w:r>
              <w:rPr>
                <w:rFonts w:hint="eastAsia" w:hAnsi="宋体"/>
                <w:sz w:val="24"/>
                <w:szCs w:val="24"/>
              </w:rPr>
              <w:t>专业</w:t>
            </w:r>
          </w:p>
        </w:tc>
        <w:tc>
          <w:tcPr>
            <w:tcW w:w="147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sz w:val="24"/>
                <w:szCs w:val="24"/>
              </w:rPr>
            </w:pPr>
            <w:r>
              <w:rPr>
                <w:rFonts w:hint="eastAsia" w:hAnsi="宋体"/>
                <w:sz w:val="24"/>
                <w:szCs w:val="24"/>
              </w:rPr>
              <w:t>养老保险</w:t>
            </w:r>
          </w:p>
        </w:tc>
        <w:tc>
          <w:tcPr>
            <w:tcW w:w="9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sz w:val="24"/>
                <w:szCs w:val="24"/>
              </w:rPr>
            </w:pPr>
          </w:p>
        </w:tc>
      </w:tr>
      <w:tr>
        <w:tblPrEx>
          <w:tblCellMar>
            <w:top w:w="0" w:type="dxa"/>
            <w:left w:w="108" w:type="dxa"/>
            <w:bottom w:w="0" w:type="dxa"/>
            <w:right w:w="108" w:type="dxa"/>
          </w:tblCellMar>
        </w:tblPrEx>
        <w:trPr>
          <w:trHeight w:val="476"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bl>
    <w:p>
      <w:pPr>
        <w:spacing w:beforeLines="50" w:afterLines="100" w:line="420" w:lineRule="exact"/>
        <w:jc w:val="center"/>
        <w:rPr>
          <w:rFonts w:hAnsi="宋体"/>
          <w:b/>
          <w:bCs/>
          <w:sz w:val="24"/>
          <w:szCs w:val="24"/>
        </w:rPr>
      </w:pPr>
    </w:p>
    <w:p>
      <w:pPr>
        <w:spacing w:beforeLines="50" w:afterLines="100" w:line="420" w:lineRule="exact"/>
        <w:jc w:val="center"/>
        <w:rPr>
          <w:rFonts w:hAnsi="宋体"/>
          <w:b/>
          <w:bCs/>
          <w:sz w:val="24"/>
          <w:szCs w:val="24"/>
        </w:rPr>
      </w:pPr>
    </w:p>
    <w:p>
      <w:pPr>
        <w:spacing w:beforeLines="50" w:afterLines="100" w:line="420" w:lineRule="exact"/>
        <w:jc w:val="center"/>
        <w:rPr>
          <w:rFonts w:hAnsi="宋体"/>
          <w:b/>
          <w:bCs/>
          <w:sz w:val="24"/>
          <w:szCs w:val="24"/>
        </w:rPr>
      </w:pPr>
    </w:p>
    <w:p>
      <w:pPr>
        <w:pStyle w:val="4"/>
        <w:rPr>
          <w:rFonts w:hAnsi="宋体"/>
          <w:sz w:val="24"/>
          <w:szCs w:val="24"/>
        </w:rPr>
      </w:pPr>
    </w:p>
    <w:p>
      <w:pPr>
        <w:rPr>
          <w:rFonts w:hAnsi="宋体"/>
          <w:b/>
          <w:bCs/>
          <w:sz w:val="24"/>
          <w:szCs w:val="24"/>
        </w:rPr>
      </w:pPr>
    </w:p>
    <w:p>
      <w:pPr>
        <w:pStyle w:val="4"/>
        <w:rPr>
          <w:rFonts w:hAnsi="宋体"/>
          <w:sz w:val="24"/>
          <w:szCs w:val="24"/>
        </w:rPr>
      </w:pPr>
    </w:p>
    <w:p/>
    <w:p>
      <w:pPr>
        <w:pStyle w:val="4"/>
      </w:pPr>
    </w:p>
    <w:p>
      <w:pPr>
        <w:pStyle w:val="2"/>
        <w:ind w:firstLine="340"/>
      </w:pPr>
    </w:p>
    <w:p>
      <w:pPr>
        <w:spacing w:beforeLines="50" w:afterLines="100" w:line="420" w:lineRule="exact"/>
        <w:jc w:val="center"/>
        <w:rPr>
          <w:rFonts w:hAnsi="宋体"/>
          <w:b/>
          <w:bCs/>
          <w:sz w:val="32"/>
          <w:szCs w:val="32"/>
        </w:rPr>
      </w:pPr>
      <w:r>
        <w:rPr>
          <w:rFonts w:hint="eastAsia" w:hAnsi="宋体"/>
          <w:b/>
          <w:bCs/>
          <w:sz w:val="32"/>
          <w:szCs w:val="32"/>
        </w:rPr>
        <w:t>（二）主要人员简历表</w:t>
      </w:r>
    </w:p>
    <w:p>
      <w:pPr>
        <w:spacing w:line="420" w:lineRule="exact"/>
        <w:rPr>
          <w:rFonts w:hAnsi="宋体"/>
          <w:sz w:val="24"/>
          <w:szCs w:val="24"/>
        </w:rPr>
      </w:pPr>
      <w:r>
        <w:rPr>
          <w:rFonts w:hint="eastAsia" w:hAnsi="宋体"/>
          <w:sz w:val="24"/>
          <w:szCs w:val="24"/>
        </w:rPr>
        <w:t>附1：项目负责人简历表</w:t>
      </w:r>
    </w:p>
    <w:p>
      <w:pPr>
        <w:spacing w:line="420" w:lineRule="exact"/>
        <w:ind w:firstLine="480" w:firstLineChars="200"/>
        <w:rPr>
          <w:rFonts w:hAnsi="宋体"/>
          <w:sz w:val="24"/>
          <w:szCs w:val="24"/>
        </w:rPr>
      </w:pPr>
      <w:r>
        <w:rPr>
          <w:rFonts w:hint="eastAsia" w:hAnsi="宋体"/>
          <w:sz w:val="24"/>
          <w:szCs w:val="24"/>
        </w:rPr>
        <w:t>项目负责人应附</w:t>
      </w:r>
      <w:r>
        <w:rPr>
          <w:rFonts w:hint="eastAsia" w:hAnsi="宋体" w:cs="仿宋_GB2312"/>
          <w:sz w:val="24"/>
          <w:szCs w:val="24"/>
        </w:rPr>
        <w:t>身份证</w:t>
      </w:r>
      <w:r>
        <w:rPr>
          <w:rFonts w:hint="eastAsia" w:hAnsi="宋体"/>
          <w:sz w:val="24"/>
          <w:szCs w:val="24"/>
        </w:rPr>
        <w:t>、职称证、养老保险复印件，管理过的项目业绩须</w:t>
      </w:r>
      <w:r>
        <w:rPr>
          <w:rFonts w:hint="eastAsia" w:hAnsi="宋体" w:cs="仿宋_GB2312"/>
          <w:sz w:val="24"/>
          <w:szCs w:val="24"/>
        </w:rPr>
        <w:t>提供法定媒介中标(成交)公示网页截图、合同、中标通知书(或竣工备案表)，并在投标文件中附完整的复印件。</w:t>
      </w:r>
      <w:r>
        <w:rPr>
          <w:rFonts w:hint="eastAsia" w:hAnsi="宋体"/>
          <w:sz w:val="24"/>
          <w:szCs w:val="24"/>
        </w:rPr>
        <w:t>类似项目限于以项目负责人身份参与的项目。</w:t>
      </w:r>
    </w:p>
    <w:tbl>
      <w:tblPr>
        <w:tblStyle w:val="11"/>
        <w:tblW w:w="9039" w:type="dxa"/>
        <w:jc w:val="center"/>
        <w:tblLayout w:type="fixed"/>
        <w:tblCellMar>
          <w:top w:w="0" w:type="dxa"/>
          <w:left w:w="108" w:type="dxa"/>
          <w:bottom w:w="0" w:type="dxa"/>
          <w:right w:w="108" w:type="dxa"/>
        </w:tblCellMar>
      </w:tblPr>
      <w:tblGrid>
        <w:gridCol w:w="1233"/>
        <w:gridCol w:w="1029"/>
        <w:gridCol w:w="1204"/>
        <w:gridCol w:w="1355"/>
        <w:gridCol w:w="1959"/>
        <w:gridCol w:w="2259"/>
      </w:tblGrid>
      <w:tr>
        <w:tblPrEx>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r>
              <w:rPr>
                <w:rFonts w:hint="eastAsia" w:hAnsi="宋体"/>
                <w:sz w:val="24"/>
                <w:szCs w:val="24"/>
              </w:rPr>
              <w:t>姓  名</w:t>
            </w:r>
          </w:p>
        </w:tc>
        <w:tc>
          <w:tcPr>
            <w:tcW w:w="102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204"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r>
              <w:rPr>
                <w:rFonts w:hint="eastAsia" w:hAnsi="宋体"/>
                <w:sz w:val="24"/>
                <w:szCs w:val="24"/>
              </w:rPr>
              <w:t>年  龄</w:t>
            </w:r>
          </w:p>
        </w:tc>
        <w:tc>
          <w:tcPr>
            <w:tcW w:w="1355"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r>
              <w:rPr>
                <w:rFonts w:hint="eastAsia" w:hAnsi="宋体"/>
                <w:sz w:val="24"/>
                <w:szCs w:val="24"/>
              </w:rPr>
              <w:t>学历</w:t>
            </w: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r>
        <w:tblPrEx>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r>
              <w:rPr>
                <w:rFonts w:hint="eastAsia" w:hAnsi="宋体"/>
                <w:sz w:val="24"/>
                <w:szCs w:val="24"/>
              </w:rPr>
              <w:t>职  称</w:t>
            </w:r>
          </w:p>
        </w:tc>
        <w:tc>
          <w:tcPr>
            <w:tcW w:w="102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204"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r>
              <w:rPr>
                <w:rFonts w:hint="eastAsia" w:hAnsi="宋体"/>
                <w:sz w:val="24"/>
                <w:szCs w:val="24"/>
              </w:rPr>
              <w:t>职  务</w:t>
            </w:r>
          </w:p>
        </w:tc>
        <w:tc>
          <w:tcPr>
            <w:tcW w:w="1355"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r>
              <w:rPr>
                <w:rFonts w:hint="eastAsia" w:hAnsi="宋体"/>
                <w:sz w:val="24"/>
                <w:szCs w:val="24"/>
              </w:rPr>
              <w:t>拟在本工程任职</w:t>
            </w: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r>
        <w:tblPrEx>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r>
              <w:rPr>
                <w:rFonts w:hint="eastAsia" w:hAnsi="宋体"/>
                <w:sz w:val="24"/>
                <w:szCs w:val="24"/>
              </w:rPr>
              <w:t>毕业学校</w:t>
            </w:r>
          </w:p>
        </w:tc>
        <w:tc>
          <w:tcPr>
            <w:tcW w:w="7806" w:type="dxa"/>
            <w:gridSpan w:val="5"/>
            <w:tcBorders>
              <w:top w:val="single" w:color="auto" w:sz="4" w:space="0"/>
              <w:left w:val="nil"/>
              <w:bottom w:val="single" w:color="auto" w:sz="4" w:space="0"/>
              <w:right w:val="single" w:color="auto" w:sz="4" w:space="0"/>
            </w:tcBorders>
            <w:vAlign w:val="center"/>
          </w:tcPr>
          <w:p>
            <w:pPr>
              <w:ind w:firstLine="960" w:firstLineChars="400"/>
              <w:rPr>
                <w:rFonts w:hAnsi="宋体"/>
                <w:sz w:val="24"/>
                <w:szCs w:val="24"/>
              </w:rPr>
            </w:pPr>
            <w:r>
              <w:rPr>
                <w:rFonts w:hint="eastAsia" w:hAnsi="宋体"/>
                <w:sz w:val="24"/>
                <w:szCs w:val="24"/>
              </w:rPr>
              <w:t>年毕业于                  学校            专业</w:t>
            </w:r>
          </w:p>
        </w:tc>
      </w:tr>
      <w:tr>
        <w:tblPrEx>
          <w:tblCellMar>
            <w:top w:w="0" w:type="dxa"/>
            <w:left w:w="108" w:type="dxa"/>
            <w:bottom w:w="0" w:type="dxa"/>
            <w:right w:w="108" w:type="dxa"/>
          </w:tblCellMar>
        </w:tblPrEx>
        <w:trPr>
          <w:trHeight w:val="374" w:hRule="atLeast"/>
          <w:jc w:val="center"/>
        </w:trPr>
        <w:tc>
          <w:tcPr>
            <w:tcW w:w="9039" w:type="dxa"/>
            <w:gridSpan w:val="6"/>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r>
              <w:rPr>
                <w:rFonts w:hint="eastAsia" w:hAnsi="宋体"/>
                <w:sz w:val="24"/>
                <w:szCs w:val="24"/>
              </w:rPr>
              <w:t>主要工作经历</w:t>
            </w:r>
          </w:p>
        </w:tc>
      </w:tr>
      <w:tr>
        <w:tblPrEx>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r>
              <w:rPr>
                <w:rFonts w:hint="eastAsia" w:hAnsi="宋体"/>
                <w:sz w:val="24"/>
                <w:szCs w:val="24"/>
              </w:rPr>
              <w:t>时  间</w:t>
            </w: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sz w:val="24"/>
                <w:szCs w:val="24"/>
              </w:rPr>
            </w:pPr>
            <w:r>
              <w:rPr>
                <w:rFonts w:hint="eastAsia" w:hAnsi="宋体"/>
                <w:sz w:val="24"/>
                <w:szCs w:val="24"/>
              </w:rPr>
              <w:t>参加过的类似项目名称</w:t>
            </w: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r>
              <w:rPr>
                <w:rFonts w:hint="eastAsia" w:hAnsi="宋体"/>
                <w:sz w:val="24"/>
                <w:szCs w:val="24"/>
              </w:rPr>
              <w:t>工程概况说明</w:t>
            </w: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r>
              <w:rPr>
                <w:rFonts w:hint="eastAsia" w:hAnsi="宋体"/>
                <w:sz w:val="24"/>
                <w:szCs w:val="24"/>
              </w:rPr>
              <w:t>发包人及联系电话</w:t>
            </w:r>
          </w:p>
        </w:tc>
      </w:tr>
      <w:tr>
        <w:tblPrEx>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r>
        <w:tblPrEx>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r>
        <w:tblPrEx>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r>
        <w:tblPrEx>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r>
        <w:tblPrEx>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r>
        <w:tblPrEx>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r>
        <w:tblPrEx>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r>
        <w:tblPrEx>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bl>
    <w:p>
      <w:pPr>
        <w:spacing w:line="420" w:lineRule="exact"/>
        <w:rPr>
          <w:rFonts w:hAnsi="宋体"/>
          <w:sz w:val="24"/>
          <w:szCs w:val="24"/>
        </w:rPr>
      </w:pPr>
    </w:p>
    <w:p>
      <w:pPr>
        <w:spacing w:line="420" w:lineRule="exact"/>
        <w:rPr>
          <w:rFonts w:hAnsi="宋体"/>
          <w:sz w:val="24"/>
          <w:szCs w:val="24"/>
        </w:rPr>
      </w:pPr>
    </w:p>
    <w:p>
      <w:pPr>
        <w:pStyle w:val="2"/>
        <w:ind w:firstLine="340"/>
      </w:pPr>
    </w:p>
    <w:p>
      <w:pPr>
        <w:spacing w:line="420" w:lineRule="exact"/>
        <w:rPr>
          <w:rFonts w:hAnsi="宋体"/>
          <w:sz w:val="24"/>
          <w:szCs w:val="24"/>
        </w:rPr>
      </w:pPr>
    </w:p>
    <w:p>
      <w:pPr>
        <w:spacing w:line="420" w:lineRule="exact"/>
        <w:rPr>
          <w:rFonts w:hAnsi="宋体"/>
          <w:sz w:val="24"/>
          <w:szCs w:val="24"/>
        </w:rPr>
      </w:pPr>
    </w:p>
    <w:p>
      <w:pPr>
        <w:spacing w:line="420" w:lineRule="exact"/>
        <w:rPr>
          <w:rFonts w:hAnsi="宋体"/>
          <w:sz w:val="24"/>
          <w:szCs w:val="24"/>
        </w:rPr>
      </w:pPr>
    </w:p>
    <w:p>
      <w:pPr>
        <w:spacing w:line="420" w:lineRule="exact"/>
        <w:rPr>
          <w:rFonts w:hAnsi="宋体"/>
          <w:sz w:val="24"/>
          <w:szCs w:val="24"/>
        </w:rPr>
      </w:pPr>
    </w:p>
    <w:p>
      <w:pPr>
        <w:spacing w:line="420" w:lineRule="exact"/>
        <w:rPr>
          <w:rFonts w:hAnsi="宋体"/>
          <w:sz w:val="24"/>
          <w:szCs w:val="24"/>
        </w:rPr>
      </w:pPr>
    </w:p>
    <w:p>
      <w:pPr>
        <w:pStyle w:val="4"/>
      </w:pPr>
    </w:p>
    <w:p>
      <w:pPr>
        <w:spacing w:line="420" w:lineRule="exact"/>
        <w:rPr>
          <w:rFonts w:hAnsi="宋体"/>
          <w:sz w:val="24"/>
          <w:szCs w:val="24"/>
        </w:rPr>
      </w:pPr>
    </w:p>
    <w:p>
      <w:pPr>
        <w:spacing w:line="420" w:lineRule="exact"/>
        <w:rPr>
          <w:rFonts w:hAnsi="宋体"/>
          <w:sz w:val="24"/>
          <w:szCs w:val="24"/>
        </w:rPr>
      </w:pPr>
    </w:p>
    <w:p>
      <w:pPr>
        <w:spacing w:line="420" w:lineRule="exact"/>
        <w:rPr>
          <w:rFonts w:hAnsi="宋体"/>
          <w:sz w:val="24"/>
          <w:szCs w:val="24"/>
        </w:rPr>
      </w:pPr>
    </w:p>
    <w:p>
      <w:pPr>
        <w:pStyle w:val="4"/>
      </w:pPr>
    </w:p>
    <w:p>
      <w:pPr>
        <w:spacing w:line="420" w:lineRule="exact"/>
        <w:rPr>
          <w:rFonts w:hAnsi="宋体"/>
          <w:sz w:val="24"/>
          <w:szCs w:val="24"/>
        </w:rPr>
      </w:pPr>
    </w:p>
    <w:p>
      <w:pPr>
        <w:spacing w:line="420" w:lineRule="exact"/>
        <w:rPr>
          <w:rFonts w:hAnsi="宋体"/>
          <w:sz w:val="24"/>
          <w:szCs w:val="24"/>
        </w:rPr>
      </w:pPr>
      <w:r>
        <w:rPr>
          <w:rFonts w:hint="eastAsia" w:hAnsi="宋体"/>
          <w:sz w:val="24"/>
          <w:szCs w:val="24"/>
        </w:rPr>
        <w:t>附2：主要项目管理人员简历表</w:t>
      </w:r>
    </w:p>
    <w:p>
      <w:pPr>
        <w:spacing w:line="420" w:lineRule="exact"/>
        <w:ind w:firstLine="480" w:firstLineChars="200"/>
        <w:rPr>
          <w:rFonts w:hAnsi="宋体"/>
          <w:sz w:val="24"/>
          <w:szCs w:val="24"/>
        </w:rPr>
      </w:pPr>
      <w:r>
        <w:rPr>
          <w:rFonts w:hint="eastAsia" w:hAnsi="宋体"/>
          <w:sz w:val="24"/>
          <w:szCs w:val="24"/>
        </w:rPr>
        <w:t>主要项目管理人员是指技术负责人、专职安全生产管理员等岗位人员。应附身份证、执业证或岗位证书、养老保险复印件，专职安全生产管理人员应附安全生产考核合格证书。</w:t>
      </w:r>
    </w:p>
    <w:tbl>
      <w:tblPr>
        <w:tblStyle w:val="11"/>
        <w:tblW w:w="8729" w:type="dxa"/>
        <w:jc w:val="center"/>
        <w:tblLayout w:type="fixed"/>
        <w:tblCellMar>
          <w:top w:w="0" w:type="dxa"/>
          <w:left w:w="108" w:type="dxa"/>
          <w:bottom w:w="0" w:type="dxa"/>
          <w:right w:w="108" w:type="dxa"/>
        </w:tblCellMar>
      </w:tblPr>
      <w:tblGrid>
        <w:gridCol w:w="1104"/>
        <w:gridCol w:w="1250"/>
        <w:gridCol w:w="1894"/>
        <w:gridCol w:w="1590"/>
        <w:gridCol w:w="2891"/>
      </w:tblGrid>
      <w:tr>
        <w:tblPrEx>
          <w:tblCellMar>
            <w:top w:w="0" w:type="dxa"/>
            <w:left w:w="108" w:type="dxa"/>
            <w:bottom w:w="0" w:type="dxa"/>
            <w:right w:w="108" w:type="dxa"/>
          </w:tblCellMar>
        </w:tblPrEx>
        <w:trPr>
          <w:trHeight w:val="649" w:hRule="atLeast"/>
          <w:jc w:val="center"/>
        </w:trPr>
        <w:tc>
          <w:tcPr>
            <w:tcW w:w="8729"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岗位名称</w:t>
            </w:r>
          </w:p>
        </w:tc>
      </w:tr>
      <w:tr>
        <w:tblPrEx>
          <w:tblCellMar>
            <w:top w:w="0" w:type="dxa"/>
            <w:left w:w="108" w:type="dxa"/>
            <w:bottom w:w="0" w:type="dxa"/>
            <w:right w:w="108" w:type="dxa"/>
          </w:tblCellMar>
        </w:tblPrEx>
        <w:trPr>
          <w:trHeight w:val="475" w:hRule="atLeast"/>
          <w:jc w:val="center"/>
        </w:trPr>
        <w:tc>
          <w:tcPr>
            <w:tcW w:w="235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姓    名</w:t>
            </w:r>
          </w:p>
        </w:tc>
        <w:tc>
          <w:tcPr>
            <w:tcW w:w="1894" w:type="dxa"/>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p>
        </w:tc>
        <w:tc>
          <w:tcPr>
            <w:tcW w:w="1590"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年    龄</w:t>
            </w:r>
          </w:p>
        </w:tc>
        <w:tc>
          <w:tcPr>
            <w:tcW w:w="2891"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p>
        </w:tc>
      </w:tr>
      <w:tr>
        <w:tblPrEx>
          <w:tblCellMar>
            <w:top w:w="0" w:type="dxa"/>
            <w:left w:w="108" w:type="dxa"/>
            <w:bottom w:w="0" w:type="dxa"/>
            <w:right w:w="108" w:type="dxa"/>
          </w:tblCellMar>
        </w:tblPrEx>
        <w:trPr>
          <w:trHeight w:val="399" w:hRule="atLeast"/>
          <w:jc w:val="center"/>
        </w:trPr>
        <w:tc>
          <w:tcPr>
            <w:tcW w:w="235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性    别</w:t>
            </w:r>
          </w:p>
        </w:tc>
        <w:tc>
          <w:tcPr>
            <w:tcW w:w="1894" w:type="dxa"/>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p>
        </w:tc>
        <w:tc>
          <w:tcPr>
            <w:tcW w:w="1590"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毕业学校</w:t>
            </w:r>
          </w:p>
        </w:tc>
        <w:tc>
          <w:tcPr>
            <w:tcW w:w="2891"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p>
        </w:tc>
      </w:tr>
      <w:tr>
        <w:tblPrEx>
          <w:tblCellMar>
            <w:top w:w="0" w:type="dxa"/>
            <w:left w:w="108" w:type="dxa"/>
            <w:bottom w:w="0" w:type="dxa"/>
            <w:right w:w="108" w:type="dxa"/>
          </w:tblCellMar>
        </w:tblPrEx>
        <w:trPr>
          <w:trHeight w:val="548" w:hRule="atLeast"/>
          <w:jc w:val="center"/>
        </w:trPr>
        <w:tc>
          <w:tcPr>
            <w:tcW w:w="235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学历和专业</w:t>
            </w:r>
          </w:p>
        </w:tc>
        <w:tc>
          <w:tcPr>
            <w:tcW w:w="1894" w:type="dxa"/>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p>
        </w:tc>
        <w:tc>
          <w:tcPr>
            <w:tcW w:w="1590"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毕业时间</w:t>
            </w:r>
          </w:p>
        </w:tc>
        <w:tc>
          <w:tcPr>
            <w:tcW w:w="2891"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p>
        </w:tc>
      </w:tr>
      <w:tr>
        <w:tblPrEx>
          <w:tblCellMar>
            <w:top w:w="0" w:type="dxa"/>
            <w:left w:w="108" w:type="dxa"/>
            <w:bottom w:w="0" w:type="dxa"/>
            <w:right w:w="108" w:type="dxa"/>
          </w:tblCellMar>
        </w:tblPrEx>
        <w:trPr>
          <w:trHeight w:val="444" w:hRule="atLeast"/>
          <w:jc w:val="center"/>
        </w:trPr>
        <w:tc>
          <w:tcPr>
            <w:tcW w:w="235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拥有的执业资格</w:t>
            </w:r>
          </w:p>
        </w:tc>
        <w:tc>
          <w:tcPr>
            <w:tcW w:w="1894" w:type="dxa"/>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p>
        </w:tc>
        <w:tc>
          <w:tcPr>
            <w:tcW w:w="1590"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专业职称</w:t>
            </w:r>
          </w:p>
        </w:tc>
        <w:tc>
          <w:tcPr>
            <w:tcW w:w="2891"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p>
        </w:tc>
      </w:tr>
      <w:tr>
        <w:tblPrEx>
          <w:tblCellMar>
            <w:top w:w="0" w:type="dxa"/>
            <w:left w:w="108" w:type="dxa"/>
            <w:bottom w:w="0" w:type="dxa"/>
            <w:right w:w="108" w:type="dxa"/>
          </w:tblCellMar>
        </w:tblPrEx>
        <w:trPr>
          <w:trHeight w:val="635" w:hRule="atLeast"/>
          <w:jc w:val="center"/>
        </w:trPr>
        <w:tc>
          <w:tcPr>
            <w:tcW w:w="235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执业资格证书编号</w:t>
            </w:r>
          </w:p>
        </w:tc>
        <w:tc>
          <w:tcPr>
            <w:tcW w:w="1894" w:type="dxa"/>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p>
        </w:tc>
        <w:tc>
          <w:tcPr>
            <w:tcW w:w="1590"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工作年限</w:t>
            </w:r>
          </w:p>
        </w:tc>
        <w:tc>
          <w:tcPr>
            <w:tcW w:w="2891"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p>
        </w:tc>
      </w:tr>
      <w:tr>
        <w:tblPrEx>
          <w:tblCellMar>
            <w:top w:w="0" w:type="dxa"/>
            <w:left w:w="108" w:type="dxa"/>
            <w:bottom w:w="0" w:type="dxa"/>
            <w:right w:w="108" w:type="dxa"/>
          </w:tblCellMar>
        </w:tblPrEx>
        <w:trPr>
          <w:trHeight w:val="2698"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r>
              <w:rPr>
                <w:rFonts w:hint="eastAsia" w:hAnsi="宋体"/>
                <w:sz w:val="24"/>
                <w:szCs w:val="24"/>
              </w:rPr>
              <w:t>主要</w:t>
            </w:r>
          </w:p>
          <w:p>
            <w:pPr>
              <w:jc w:val="center"/>
              <w:rPr>
                <w:rFonts w:hAnsi="宋体"/>
                <w:sz w:val="24"/>
                <w:szCs w:val="24"/>
              </w:rPr>
            </w:pPr>
            <w:r>
              <w:rPr>
                <w:rFonts w:hint="eastAsia" w:hAnsi="宋体"/>
                <w:sz w:val="24"/>
                <w:szCs w:val="24"/>
              </w:rPr>
              <w:t>工作</w:t>
            </w:r>
          </w:p>
          <w:p>
            <w:pPr>
              <w:jc w:val="center"/>
              <w:rPr>
                <w:rFonts w:hAnsi="宋体"/>
                <w:sz w:val="24"/>
                <w:szCs w:val="24"/>
              </w:rPr>
            </w:pPr>
            <w:r>
              <w:rPr>
                <w:rFonts w:hint="eastAsia" w:hAnsi="宋体"/>
                <w:sz w:val="24"/>
                <w:szCs w:val="24"/>
              </w:rPr>
              <w:t>业绩</w:t>
            </w:r>
          </w:p>
          <w:p>
            <w:pPr>
              <w:jc w:val="center"/>
              <w:rPr>
                <w:rFonts w:hAnsi="宋体"/>
                <w:sz w:val="24"/>
                <w:szCs w:val="24"/>
              </w:rPr>
            </w:pPr>
            <w:r>
              <w:rPr>
                <w:rFonts w:hint="eastAsia" w:hAnsi="宋体"/>
                <w:sz w:val="24"/>
                <w:szCs w:val="24"/>
              </w:rPr>
              <w:t>及担</w:t>
            </w:r>
          </w:p>
          <w:p>
            <w:pPr>
              <w:jc w:val="center"/>
              <w:rPr>
                <w:rFonts w:hAnsi="宋体"/>
                <w:sz w:val="24"/>
                <w:szCs w:val="24"/>
              </w:rPr>
            </w:pPr>
            <w:r>
              <w:rPr>
                <w:rFonts w:hint="eastAsia" w:hAnsi="宋体"/>
                <w:sz w:val="24"/>
                <w:szCs w:val="24"/>
              </w:rPr>
              <w:t>任的</w:t>
            </w:r>
          </w:p>
          <w:p>
            <w:pPr>
              <w:jc w:val="center"/>
              <w:rPr>
                <w:rFonts w:hAnsi="宋体"/>
                <w:sz w:val="24"/>
                <w:szCs w:val="24"/>
              </w:rPr>
            </w:pPr>
            <w:r>
              <w:rPr>
                <w:rFonts w:hint="eastAsia" w:hAnsi="宋体"/>
                <w:sz w:val="24"/>
                <w:szCs w:val="24"/>
              </w:rPr>
              <w:t>主要</w:t>
            </w:r>
          </w:p>
          <w:p>
            <w:pPr>
              <w:jc w:val="center"/>
              <w:rPr>
                <w:rFonts w:hAnsi="宋体"/>
                <w:sz w:val="24"/>
                <w:szCs w:val="24"/>
              </w:rPr>
            </w:pPr>
            <w:r>
              <w:rPr>
                <w:rFonts w:hint="eastAsia" w:hAnsi="宋体"/>
                <w:sz w:val="24"/>
                <w:szCs w:val="24"/>
              </w:rPr>
              <w:t>工作</w:t>
            </w:r>
          </w:p>
        </w:tc>
        <w:tc>
          <w:tcPr>
            <w:tcW w:w="7625" w:type="dxa"/>
            <w:gridSpan w:val="4"/>
            <w:tcBorders>
              <w:top w:val="single" w:color="auto" w:sz="4" w:space="0"/>
              <w:left w:val="nil"/>
              <w:bottom w:val="single" w:color="auto" w:sz="4" w:space="0"/>
              <w:right w:val="single" w:color="auto" w:sz="4" w:space="0"/>
            </w:tcBorders>
          </w:tcPr>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tc>
      </w:tr>
    </w:tbl>
    <w:p>
      <w:pPr>
        <w:rPr>
          <w:rFonts w:ascii="黑体" w:hAnsi="宋体" w:eastAsia="黑体"/>
          <w:szCs w:val="21"/>
        </w:rPr>
      </w:pPr>
    </w:p>
    <w:p>
      <w:pPr>
        <w:autoSpaceDE w:val="0"/>
        <w:autoSpaceDN w:val="0"/>
        <w:adjustRightInd w:val="0"/>
        <w:spacing w:line="360" w:lineRule="auto"/>
        <w:ind w:right="215" w:firstLine="420"/>
        <w:jc w:val="center"/>
        <w:rPr>
          <w:rFonts w:ascii="黑体" w:hAnsi="宋体" w:eastAsia="黑体"/>
          <w:sz w:val="24"/>
        </w:rPr>
      </w:pPr>
    </w:p>
    <w:p>
      <w:pPr>
        <w:autoSpaceDE w:val="0"/>
        <w:autoSpaceDN w:val="0"/>
        <w:adjustRightInd w:val="0"/>
        <w:spacing w:line="360" w:lineRule="auto"/>
        <w:ind w:right="215" w:firstLine="420"/>
        <w:jc w:val="center"/>
        <w:rPr>
          <w:rFonts w:ascii="黑体" w:hAnsi="宋体" w:eastAsia="黑体"/>
          <w:sz w:val="24"/>
        </w:rPr>
      </w:pPr>
    </w:p>
    <w:p>
      <w:pPr>
        <w:autoSpaceDE w:val="0"/>
        <w:autoSpaceDN w:val="0"/>
        <w:adjustRightInd w:val="0"/>
        <w:spacing w:line="360" w:lineRule="auto"/>
        <w:ind w:right="215" w:firstLine="420"/>
        <w:jc w:val="center"/>
        <w:rPr>
          <w:rFonts w:ascii="黑体" w:hAnsi="宋体" w:eastAsia="黑体"/>
          <w:sz w:val="24"/>
        </w:rPr>
      </w:pPr>
    </w:p>
    <w:p>
      <w:pPr>
        <w:autoSpaceDE w:val="0"/>
        <w:autoSpaceDN w:val="0"/>
        <w:adjustRightInd w:val="0"/>
        <w:spacing w:line="360" w:lineRule="auto"/>
        <w:ind w:right="215" w:firstLine="420"/>
        <w:jc w:val="center"/>
        <w:rPr>
          <w:rFonts w:ascii="黑体" w:hAnsi="宋体" w:eastAsia="黑体"/>
          <w:sz w:val="24"/>
        </w:rPr>
      </w:pPr>
    </w:p>
    <w:p>
      <w:pPr>
        <w:autoSpaceDE w:val="0"/>
        <w:autoSpaceDN w:val="0"/>
        <w:adjustRightInd w:val="0"/>
        <w:spacing w:line="360" w:lineRule="auto"/>
        <w:ind w:right="215" w:firstLine="420"/>
        <w:jc w:val="center"/>
        <w:rPr>
          <w:rFonts w:ascii="黑体" w:hAnsi="宋体" w:eastAsia="黑体"/>
          <w:sz w:val="24"/>
        </w:rPr>
      </w:pP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五、</w:t>
      </w:r>
      <w:r>
        <w:rPr>
          <w:rFonts w:hint="eastAsia" w:hAnsi="宋体"/>
          <w:b/>
          <w:sz w:val="32"/>
          <w:szCs w:val="32"/>
        </w:rPr>
        <w:t>投标单位基本情况表</w:t>
      </w:r>
    </w:p>
    <w:p>
      <w:pPr>
        <w:autoSpaceDE w:val="0"/>
        <w:autoSpaceDN w:val="0"/>
        <w:adjustRightInd w:val="0"/>
        <w:spacing w:line="360" w:lineRule="auto"/>
        <w:ind w:right="215" w:firstLine="420"/>
        <w:jc w:val="center"/>
        <w:rPr>
          <w:rFonts w:hAnsi="宋体"/>
          <w:b/>
          <w:sz w:val="28"/>
        </w:rPr>
      </w:pPr>
    </w:p>
    <w:tbl>
      <w:tblPr>
        <w:tblStyle w:val="11"/>
        <w:tblW w:w="9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759"/>
        <w:gridCol w:w="930"/>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134" w:type="dxa"/>
            <w:gridSpan w:val="5"/>
            <w:vAlign w:val="center"/>
          </w:tcPr>
          <w:p>
            <w:pPr>
              <w:autoSpaceDE w:val="0"/>
              <w:autoSpaceDN w:val="0"/>
              <w:adjustRightInd w:val="0"/>
              <w:spacing w:line="360" w:lineRule="auto"/>
              <w:ind w:right="215"/>
              <w:jc w:val="center"/>
              <w:rPr>
                <w:rFonts w:hAnsi="宋体"/>
                <w:sz w:val="24"/>
              </w:rPr>
            </w:pPr>
          </w:p>
        </w:tc>
        <w:tc>
          <w:tcPr>
            <w:tcW w:w="157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726" w:type="dxa"/>
            <w:gridSpan w:val="2"/>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05"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2929" w:type="dxa"/>
            <w:gridSpan w:val="4"/>
            <w:vAlign w:val="center"/>
          </w:tcPr>
          <w:p>
            <w:pPr>
              <w:autoSpaceDE w:val="0"/>
              <w:autoSpaceDN w:val="0"/>
              <w:adjustRightInd w:val="0"/>
              <w:spacing w:line="360" w:lineRule="auto"/>
              <w:ind w:right="215"/>
              <w:jc w:val="center"/>
              <w:rPr>
                <w:rFonts w:hAnsi="宋体"/>
                <w:sz w:val="24"/>
              </w:rPr>
            </w:pPr>
          </w:p>
        </w:tc>
        <w:tc>
          <w:tcPr>
            <w:tcW w:w="157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726" w:type="dxa"/>
            <w:gridSpan w:val="2"/>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sz w:val="24"/>
              </w:rPr>
            </w:pPr>
          </w:p>
        </w:tc>
        <w:tc>
          <w:tcPr>
            <w:tcW w:w="1205"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2929" w:type="dxa"/>
            <w:gridSpan w:val="4"/>
            <w:vAlign w:val="center"/>
          </w:tcPr>
          <w:p>
            <w:pPr>
              <w:autoSpaceDE w:val="0"/>
              <w:autoSpaceDN w:val="0"/>
              <w:adjustRightInd w:val="0"/>
              <w:spacing w:line="360" w:lineRule="auto"/>
              <w:ind w:right="215"/>
              <w:jc w:val="center"/>
              <w:rPr>
                <w:rFonts w:hAnsi="宋体"/>
                <w:sz w:val="24"/>
              </w:rPr>
            </w:pPr>
          </w:p>
        </w:tc>
        <w:tc>
          <w:tcPr>
            <w:tcW w:w="157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726" w:type="dxa"/>
            <w:gridSpan w:val="2"/>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435" w:type="dxa"/>
            <w:gridSpan w:val="9"/>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05"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05" w:type="dxa"/>
            <w:vAlign w:val="center"/>
          </w:tcPr>
          <w:p>
            <w:pPr>
              <w:autoSpaceDE w:val="0"/>
              <w:autoSpaceDN w:val="0"/>
              <w:adjustRightInd w:val="0"/>
              <w:spacing w:line="360" w:lineRule="auto"/>
              <w:ind w:right="215"/>
              <w:jc w:val="center"/>
              <w:rPr>
                <w:rFonts w:hAnsi="宋体"/>
                <w:sz w:val="24"/>
              </w:rPr>
            </w:pPr>
          </w:p>
        </w:tc>
        <w:tc>
          <w:tcPr>
            <w:tcW w:w="1689"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069" w:type="dxa"/>
            <w:gridSpan w:val="2"/>
            <w:vAlign w:val="center"/>
          </w:tcPr>
          <w:p>
            <w:pPr>
              <w:autoSpaceDE w:val="0"/>
              <w:autoSpaceDN w:val="0"/>
              <w:adjustRightInd w:val="0"/>
              <w:spacing w:line="360" w:lineRule="auto"/>
              <w:ind w:right="215"/>
              <w:jc w:val="center"/>
              <w:rPr>
                <w:rFonts w:hAnsi="宋体"/>
                <w:sz w:val="24"/>
              </w:rPr>
            </w:pPr>
          </w:p>
        </w:tc>
        <w:tc>
          <w:tcPr>
            <w:tcW w:w="106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05"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05" w:type="dxa"/>
            <w:vAlign w:val="center"/>
          </w:tcPr>
          <w:p>
            <w:pPr>
              <w:autoSpaceDE w:val="0"/>
              <w:autoSpaceDN w:val="0"/>
              <w:adjustRightInd w:val="0"/>
              <w:spacing w:line="360" w:lineRule="auto"/>
              <w:ind w:right="215"/>
              <w:jc w:val="center"/>
              <w:rPr>
                <w:rFonts w:hAnsi="宋体"/>
                <w:sz w:val="24"/>
              </w:rPr>
            </w:pPr>
          </w:p>
        </w:tc>
        <w:tc>
          <w:tcPr>
            <w:tcW w:w="1689"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069" w:type="dxa"/>
            <w:gridSpan w:val="2"/>
            <w:vAlign w:val="center"/>
          </w:tcPr>
          <w:p>
            <w:pPr>
              <w:autoSpaceDE w:val="0"/>
              <w:autoSpaceDN w:val="0"/>
              <w:adjustRightInd w:val="0"/>
              <w:spacing w:line="360" w:lineRule="auto"/>
              <w:ind w:right="215"/>
              <w:jc w:val="center"/>
              <w:rPr>
                <w:rFonts w:hAnsi="宋体"/>
                <w:sz w:val="24"/>
              </w:rPr>
            </w:pPr>
          </w:p>
        </w:tc>
        <w:tc>
          <w:tcPr>
            <w:tcW w:w="106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10" w:type="dxa"/>
            <w:gridSpan w:val="2"/>
            <w:vAlign w:val="center"/>
          </w:tcPr>
          <w:p>
            <w:pPr>
              <w:autoSpaceDE w:val="0"/>
              <w:autoSpaceDN w:val="0"/>
              <w:adjustRightInd w:val="0"/>
              <w:spacing w:line="360" w:lineRule="auto"/>
              <w:ind w:right="215"/>
              <w:jc w:val="center"/>
              <w:rPr>
                <w:rFonts w:hAnsi="宋体"/>
                <w:sz w:val="24"/>
              </w:rPr>
            </w:pPr>
          </w:p>
        </w:tc>
        <w:tc>
          <w:tcPr>
            <w:tcW w:w="5025" w:type="dxa"/>
            <w:gridSpan w:val="7"/>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sz w:val="24"/>
              </w:rPr>
            </w:pPr>
          </w:p>
        </w:tc>
        <w:tc>
          <w:tcPr>
            <w:tcW w:w="7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3060"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项目经理</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sz w:val="24"/>
              </w:rPr>
            </w:pPr>
          </w:p>
        </w:tc>
        <w:tc>
          <w:tcPr>
            <w:tcW w:w="759" w:type="dxa"/>
            <w:vMerge w:val="continue"/>
            <w:vAlign w:val="center"/>
          </w:tcPr>
          <w:p>
            <w:pPr>
              <w:autoSpaceDE w:val="0"/>
              <w:autoSpaceDN w:val="0"/>
              <w:adjustRightInd w:val="0"/>
              <w:spacing w:line="360" w:lineRule="auto"/>
              <w:ind w:right="215"/>
              <w:jc w:val="center"/>
              <w:rPr>
                <w:rFonts w:hAnsi="宋体"/>
                <w:sz w:val="24"/>
              </w:rPr>
            </w:pPr>
          </w:p>
        </w:tc>
        <w:tc>
          <w:tcPr>
            <w:tcW w:w="3060"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10" w:type="dxa"/>
            <w:gridSpan w:val="2"/>
            <w:vAlign w:val="center"/>
          </w:tcPr>
          <w:p>
            <w:pPr>
              <w:autoSpaceDE w:val="0"/>
              <w:autoSpaceDN w:val="0"/>
              <w:adjustRightInd w:val="0"/>
              <w:spacing w:line="360" w:lineRule="auto"/>
              <w:ind w:right="215"/>
              <w:jc w:val="center"/>
              <w:rPr>
                <w:rFonts w:hAnsi="宋体"/>
                <w:sz w:val="24"/>
              </w:rPr>
            </w:pPr>
          </w:p>
        </w:tc>
        <w:tc>
          <w:tcPr>
            <w:tcW w:w="759" w:type="dxa"/>
            <w:vMerge w:val="continue"/>
            <w:vAlign w:val="center"/>
          </w:tcPr>
          <w:p>
            <w:pPr>
              <w:autoSpaceDE w:val="0"/>
              <w:autoSpaceDN w:val="0"/>
              <w:adjustRightInd w:val="0"/>
              <w:spacing w:line="360" w:lineRule="auto"/>
              <w:ind w:right="215"/>
              <w:jc w:val="center"/>
              <w:rPr>
                <w:rFonts w:hAnsi="宋体"/>
                <w:sz w:val="24"/>
              </w:rPr>
            </w:pPr>
          </w:p>
        </w:tc>
        <w:tc>
          <w:tcPr>
            <w:tcW w:w="3060"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10" w:type="dxa"/>
            <w:gridSpan w:val="2"/>
            <w:vAlign w:val="center"/>
          </w:tcPr>
          <w:p>
            <w:pPr>
              <w:autoSpaceDE w:val="0"/>
              <w:autoSpaceDN w:val="0"/>
              <w:adjustRightInd w:val="0"/>
              <w:spacing w:line="360" w:lineRule="auto"/>
              <w:ind w:right="215"/>
              <w:jc w:val="center"/>
              <w:rPr>
                <w:rFonts w:hAnsi="宋体"/>
                <w:sz w:val="24"/>
              </w:rPr>
            </w:pPr>
          </w:p>
        </w:tc>
        <w:tc>
          <w:tcPr>
            <w:tcW w:w="759" w:type="dxa"/>
            <w:vMerge w:val="continue"/>
            <w:vAlign w:val="center"/>
          </w:tcPr>
          <w:p>
            <w:pPr>
              <w:autoSpaceDE w:val="0"/>
              <w:autoSpaceDN w:val="0"/>
              <w:adjustRightInd w:val="0"/>
              <w:spacing w:line="360" w:lineRule="auto"/>
              <w:ind w:right="215"/>
              <w:jc w:val="center"/>
              <w:rPr>
                <w:rFonts w:hAnsi="宋体"/>
                <w:sz w:val="24"/>
              </w:rPr>
            </w:pPr>
          </w:p>
        </w:tc>
        <w:tc>
          <w:tcPr>
            <w:tcW w:w="3060"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10" w:type="dxa"/>
            <w:gridSpan w:val="2"/>
            <w:vAlign w:val="center"/>
          </w:tcPr>
          <w:p>
            <w:pPr>
              <w:autoSpaceDE w:val="0"/>
              <w:autoSpaceDN w:val="0"/>
              <w:adjustRightInd w:val="0"/>
              <w:spacing w:line="360" w:lineRule="auto"/>
              <w:ind w:right="215"/>
              <w:jc w:val="center"/>
              <w:rPr>
                <w:rFonts w:hAnsi="宋体"/>
                <w:sz w:val="24"/>
              </w:rPr>
            </w:pPr>
          </w:p>
        </w:tc>
        <w:tc>
          <w:tcPr>
            <w:tcW w:w="759" w:type="dxa"/>
            <w:vMerge w:val="continue"/>
            <w:vAlign w:val="center"/>
          </w:tcPr>
          <w:p>
            <w:pPr>
              <w:autoSpaceDE w:val="0"/>
              <w:autoSpaceDN w:val="0"/>
              <w:adjustRightInd w:val="0"/>
              <w:spacing w:line="360" w:lineRule="auto"/>
              <w:ind w:right="215"/>
              <w:jc w:val="center"/>
              <w:rPr>
                <w:rFonts w:hAnsi="宋体"/>
                <w:sz w:val="24"/>
              </w:rPr>
            </w:pPr>
          </w:p>
        </w:tc>
        <w:tc>
          <w:tcPr>
            <w:tcW w:w="3060"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435" w:type="dxa"/>
            <w:gridSpan w:val="9"/>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435" w:type="dxa"/>
            <w:gridSpan w:val="9"/>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r>
        <w:rPr>
          <w:rFonts w:hint="eastAsia" w:hAnsi="宋体"/>
          <w:sz w:val="24"/>
        </w:rPr>
        <w:t>备注：本表后应附企业法人营业执照等材料的的原件扫描件或图片。</w:t>
      </w:r>
    </w:p>
    <w:p>
      <w:pPr>
        <w:autoSpaceDE w:val="0"/>
        <w:autoSpaceDN w:val="0"/>
        <w:adjustRightInd w:val="0"/>
        <w:spacing w:line="276" w:lineRule="auto"/>
        <w:ind w:right="215" w:firstLine="420"/>
        <w:jc w:val="center"/>
        <w:rPr>
          <w:rFonts w:hAnsi="宋体"/>
          <w:b/>
          <w:sz w:val="28"/>
        </w:rPr>
      </w:pPr>
      <w:r>
        <w:rPr>
          <w:rFonts w:hAnsi="宋体"/>
          <w:sz w:val="24"/>
        </w:rPr>
        <w:br w:type="page"/>
      </w:r>
    </w:p>
    <w:p>
      <w:pPr>
        <w:autoSpaceDE w:val="0"/>
        <w:autoSpaceDN w:val="0"/>
        <w:adjustRightInd w:val="0"/>
        <w:spacing w:line="360" w:lineRule="auto"/>
        <w:ind w:right="215" w:firstLine="420"/>
        <w:jc w:val="center"/>
        <w:rPr>
          <w:rFonts w:hint="eastAsia" w:hAnsi="宋体"/>
          <w:b/>
          <w:bCs/>
          <w:sz w:val="32"/>
          <w:szCs w:val="32"/>
        </w:rPr>
      </w:pPr>
    </w:p>
    <w:p>
      <w:pPr>
        <w:autoSpaceDE w:val="0"/>
        <w:autoSpaceDN w:val="0"/>
        <w:adjustRightInd w:val="0"/>
        <w:spacing w:line="360" w:lineRule="auto"/>
        <w:ind w:right="215" w:firstLine="420"/>
        <w:jc w:val="center"/>
        <w:rPr>
          <w:rFonts w:hAnsi="宋体"/>
          <w:b/>
          <w:bCs/>
          <w:sz w:val="32"/>
          <w:szCs w:val="32"/>
        </w:rPr>
      </w:pPr>
      <w:r>
        <w:rPr>
          <w:rFonts w:hint="eastAsia" w:hAnsi="宋体"/>
          <w:b/>
          <w:bCs/>
          <w:sz w:val="32"/>
          <w:szCs w:val="32"/>
        </w:rPr>
        <w:t>六、资格证明文件</w:t>
      </w:r>
    </w:p>
    <w:p>
      <w:pPr>
        <w:autoSpaceDE w:val="0"/>
        <w:autoSpaceDN w:val="0"/>
        <w:adjustRightInd w:val="0"/>
        <w:spacing w:line="276" w:lineRule="auto"/>
        <w:ind w:right="215" w:firstLine="960" w:firstLineChars="400"/>
        <w:rPr>
          <w:rFonts w:hAnsi="宋体"/>
          <w:sz w:val="24"/>
        </w:rPr>
      </w:pPr>
      <w:r>
        <w:rPr>
          <w:rFonts w:hint="eastAsia" w:hAnsi="宋体"/>
          <w:sz w:val="24"/>
        </w:rPr>
        <w:t>投标人资格要求及评标办法中涉及的相关资格证明文件及材料；</w:t>
      </w:r>
    </w:p>
    <w:p>
      <w:pPr>
        <w:pStyle w:val="4"/>
        <w:rPr>
          <w:rFonts w:hAnsi="宋体"/>
          <w:sz w:val="32"/>
          <w:szCs w:val="32"/>
        </w:rPr>
      </w:pPr>
    </w:p>
    <w:p>
      <w:pPr>
        <w:rPr>
          <w:rFonts w:hAnsi="宋体"/>
          <w:b/>
          <w:sz w:val="32"/>
          <w:szCs w:val="32"/>
        </w:rPr>
      </w:pPr>
    </w:p>
    <w:p>
      <w:pPr>
        <w:pStyle w:val="4"/>
        <w:rPr>
          <w:rFonts w:hAnsi="宋体"/>
          <w:sz w:val="32"/>
          <w:szCs w:val="32"/>
        </w:rPr>
      </w:pPr>
    </w:p>
    <w:p>
      <w:pPr>
        <w:rPr>
          <w:rFonts w:hAnsi="宋体"/>
          <w:b/>
          <w:sz w:val="32"/>
          <w:szCs w:val="32"/>
        </w:rPr>
      </w:pPr>
    </w:p>
    <w:p>
      <w:pPr>
        <w:pStyle w:val="4"/>
        <w:rPr>
          <w:rFonts w:hAnsi="宋体"/>
          <w:sz w:val="32"/>
          <w:szCs w:val="32"/>
        </w:rPr>
      </w:pPr>
    </w:p>
    <w:p>
      <w:pPr>
        <w:rPr>
          <w:rFonts w:hAnsi="宋体"/>
          <w:b/>
          <w:sz w:val="32"/>
          <w:szCs w:val="32"/>
        </w:rPr>
      </w:pPr>
    </w:p>
    <w:p>
      <w:pPr>
        <w:pStyle w:val="4"/>
        <w:rPr>
          <w:rFonts w:hAnsi="宋体"/>
          <w:sz w:val="32"/>
          <w:szCs w:val="32"/>
        </w:rPr>
      </w:pPr>
    </w:p>
    <w:p>
      <w:pPr>
        <w:rPr>
          <w:rFonts w:hAnsi="宋体"/>
          <w:b/>
          <w:sz w:val="32"/>
          <w:szCs w:val="32"/>
        </w:rPr>
      </w:pPr>
    </w:p>
    <w:p>
      <w:pPr>
        <w:pStyle w:val="4"/>
        <w:rPr>
          <w:rFonts w:hAnsi="宋体"/>
          <w:sz w:val="32"/>
          <w:szCs w:val="32"/>
        </w:rPr>
      </w:pPr>
    </w:p>
    <w:p>
      <w:pPr>
        <w:rPr>
          <w:rFonts w:hAnsi="宋体"/>
          <w:b/>
          <w:sz w:val="32"/>
          <w:szCs w:val="32"/>
        </w:rPr>
      </w:pPr>
    </w:p>
    <w:p>
      <w:pPr>
        <w:pStyle w:val="4"/>
        <w:rPr>
          <w:rFonts w:hAnsi="宋体"/>
          <w:b/>
          <w:sz w:val="32"/>
          <w:szCs w:val="32"/>
        </w:rPr>
      </w:pPr>
    </w:p>
    <w:p>
      <w:pPr>
        <w:rPr>
          <w:rFonts w:hAnsi="宋体"/>
          <w:b/>
          <w:sz w:val="32"/>
          <w:szCs w:val="32"/>
        </w:rPr>
      </w:pPr>
    </w:p>
    <w:p>
      <w:pPr>
        <w:pStyle w:val="4"/>
        <w:rPr>
          <w:rFonts w:hAnsi="宋体"/>
          <w:b/>
          <w:sz w:val="32"/>
          <w:szCs w:val="32"/>
        </w:rPr>
      </w:pPr>
    </w:p>
    <w:p>
      <w:pPr>
        <w:rPr>
          <w:rFonts w:hAnsi="宋体"/>
          <w:b/>
          <w:sz w:val="32"/>
          <w:szCs w:val="32"/>
        </w:rPr>
      </w:pPr>
    </w:p>
    <w:p>
      <w:pPr>
        <w:pStyle w:val="4"/>
        <w:rPr>
          <w:rFonts w:hAnsi="宋体"/>
          <w:b/>
          <w:sz w:val="32"/>
          <w:szCs w:val="32"/>
        </w:rPr>
      </w:pPr>
    </w:p>
    <w:p>
      <w:pPr>
        <w:rPr>
          <w:rFonts w:hAnsi="宋体"/>
          <w:b/>
          <w:sz w:val="32"/>
          <w:szCs w:val="32"/>
        </w:rPr>
      </w:pPr>
    </w:p>
    <w:p>
      <w:pPr>
        <w:pStyle w:val="4"/>
      </w:pPr>
    </w:p>
    <w:p/>
    <w:p>
      <w:pPr>
        <w:numPr>
          <w:ilvl w:val="0"/>
          <w:numId w:val="4"/>
        </w:numPr>
        <w:autoSpaceDE w:val="0"/>
        <w:autoSpaceDN w:val="0"/>
        <w:adjustRightInd w:val="0"/>
        <w:spacing w:line="360" w:lineRule="auto"/>
        <w:ind w:right="215" w:firstLine="420"/>
        <w:jc w:val="center"/>
        <w:rPr>
          <w:rFonts w:hint="eastAsia" w:hAnsi="宋体"/>
          <w:b/>
          <w:sz w:val="32"/>
          <w:szCs w:val="32"/>
          <w:lang w:eastAsia="zh-CN"/>
        </w:rPr>
      </w:pPr>
      <w:r>
        <w:rPr>
          <w:rFonts w:hint="eastAsia" w:hAnsi="宋体"/>
          <w:b/>
          <w:sz w:val="32"/>
          <w:szCs w:val="32"/>
          <w:lang w:eastAsia="zh-CN"/>
        </w:rPr>
        <w:t>近年财务状况</w:t>
      </w:r>
    </w:p>
    <w:p>
      <w:pPr>
        <w:autoSpaceDE w:val="0"/>
        <w:autoSpaceDN w:val="0"/>
        <w:adjustRightInd w:val="0"/>
        <w:spacing w:line="360" w:lineRule="auto"/>
        <w:ind w:right="215" w:firstLine="420"/>
        <w:jc w:val="left"/>
        <w:rPr>
          <w:rFonts w:hint="eastAsia"/>
          <w:bCs/>
          <w:sz w:val="21"/>
          <w:szCs w:val="21"/>
        </w:rPr>
      </w:pPr>
      <w:r>
        <w:rPr>
          <w:rFonts w:hint="eastAsia"/>
          <w:bCs/>
          <w:sz w:val="21"/>
          <w:szCs w:val="21"/>
        </w:rPr>
        <w:t>备注：在此附经会计师事务所或审计机构审计的财务会计报表，具体年份要求见第二章“投标人须知”的规定</w:t>
      </w:r>
    </w:p>
    <w:p>
      <w:pPr>
        <w:autoSpaceDE w:val="0"/>
        <w:autoSpaceDN w:val="0"/>
        <w:adjustRightInd w:val="0"/>
        <w:spacing w:line="360" w:lineRule="auto"/>
        <w:ind w:right="215"/>
        <w:jc w:val="both"/>
        <w:rPr>
          <w:rFonts w:hint="eastAsia" w:hAnsi="宋体"/>
          <w:b/>
          <w:sz w:val="32"/>
          <w:szCs w:val="32"/>
        </w:rPr>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lang w:eastAsia="zh-CN"/>
        </w:rPr>
        <w:t>八、</w:t>
      </w:r>
      <w:r>
        <w:rPr>
          <w:rFonts w:hint="eastAsia" w:hAnsi="宋体"/>
          <w:b/>
          <w:sz w:val="32"/>
          <w:szCs w:val="32"/>
        </w:rPr>
        <w:t>近年完成的类似项目情况表</w:t>
      </w:r>
    </w:p>
    <w:tbl>
      <w:tblPr>
        <w:tblStyle w:val="11"/>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9"/>
        <w:gridCol w:w="6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项目名称</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项目所在地</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发包人名称</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发包人地址</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发包人电话</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合同价格</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开工日期</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竣工日期</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承担的工作</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工程质量</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项目经理</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技术负责人</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pacing w:val="-20"/>
                <w:sz w:val="24"/>
              </w:rPr>
            </w:pPr>
            <w:r>
              <w:rPr>
                <w:rFonts w:hint="eastAsia" w:hAnsi="宋体"/>
                <w:spacing w:val="-20"/>
                <w:sz w:val="24"/>
              </w:rPr>
              <w:t>总监理工程师及电话</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255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578"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255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578"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jc w:val="center"/>
        <w:rPr>
          <w:rFonts w:hAnsi="宋体"/>
          <w:b/>
          <w:sz w:val="32"/>
          <w:szCs w:val="32"/>
        </w:rPr>
      </w:pPr>
      <w:r>
        <w:rPr>
          <w:rFonts w:hAnsi="宋体"/>
          <w:sz w:val="24"/>
          <w:szCs w:val="24"/>
        </w:rPr>
        <w:br w:type="page"/>
      </w:r>
      <w:r>
        <w:rPr>
          <w:rFonts w:hint="eastAsia" w:hAnsi="宋体"/>
          <w:b/>
          <w:sz w:val="32"/>
          <w:szCs w:val="32"/>
          <w:lang w:eastAsia="zh-CN"/>
        </w:rPr>
        <w:t>九</w:t>
      </w:r>
      <w:r>
        <w:rPr>
          <w:rFonts w:hint="eastAsia" w:hAnsi="宋体"/>
          <w:b/>
          <w:sz w:val="32"/>
          <w:szCs w:val="32"/>
        </w:rPr>
        <w:t>、正在施工的和新承接的项目情况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11"/>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项目经理</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727"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727"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b/>
          <w:sz w:val="32"/>
          <w:szCs w:val="32"/>
        </w:rPr>
      </w:pPr>
    </w:p>
    <w:p>
      <w:pPr>
        <w:autoSpaceDE w:val="0"/>
        <w:autoSpaceDN w:val="0"/>
        <w:adjustRightInd w:val="0"/>
        <w:spacing w:line="380" w:lineRule="exact"/>
        <w:jc w:val="center"/>
        <w:rPr>
          <w:rFonts w:ascii="新宋体" w:hAnsi="新宋体" w:eastAsia="新宋体" w:cs="TimesNewRomanPSMT"/>
          <w:b/>
          <w:sz w:val="32"/>
          <w:szCs w:val="32"/>
        </w:rPr>
      </w:pPr>
    </w:p>
    <w:p>
      <w:pPr>
        <w:pStyle w:val="4"/>
        <w:rPr>
          <w:rFonts w:ascii="新宋体" w:hAnsi="新宋体" w:eastAsia="新宋体" w:cs="TimesNewRomanPSMT"/>
          <w:sz w:val="32"/>
          <w:szCs w:val="32"/>
        </w:rPr>
      </w:pPr>
    </w:p>
    <w:p>
      <w:pPr>
        <w:rPr>
          <w:rFonts w:ascii="新宋体" w:hAnsi="新宋体" w:eastAsia="新宋体" w:cs="TimesNewRomanPSMT"/>
          <w:b/>
          <w:sz w:val="32"/>
          <w:szCs w:val="32"/>
        </w:rPr>
      </w:pPr>
    </w:p>
    <w:p>
      <w:pPr>
        <w:autoSpaceDE w:val="0"/>
        <w:autoSpaceDN w:val="0"/>
        <w:adjustRightInd w:val="0"/>
        <w:spacing w:line="380" w:lineRule="exact"/>
        <w:jc w:val="center"/>
        <w:rPr>
          <w:rFonts w:ascii="新宋体" w:hAnsi="新宋体" w:eastAsia="新宋体" w:cs="TimesNewRomanPSMT"/>
          <w:b/>
          <w:sz w:val="32"/>
          <w:szCs w:val="32"/>
        </w:rPr>
      </w:pPr>
    </w:p>
    <w:p>
      <w:pPr>
        <w:pStyle w:val="4"/>
      </w:pPr>
    </w:p>
    <w:p>
      <w:pPr>
        <w:autoSpaceDE w:val="0"/>
        <w:autoSpaceDN w:val="0"/>
        <w:adjustRightInd w:val="0"/>
        <w:spacing w:line="380" w:lineRule="exact"/>
        <w:jc w:val="center"/>
        <w:rPr>
          <w:rFonts w:hint="eastAsia" w:ascii="新宋体" w:hAnsi="新宋体" w:eastAsia="新宋体" w:cs="TimesNewRomanPSMT"/>
          <w:b/>
          <w:sz w:val="32"/>
          <w:szCs w:val="32"/>
        </w:rPr>
      </w:pPr>
    </w:p>
    <w:p>
      <w:pPr>
        <w:autoSpaceDE w:val="0"/>
        <w:autoSpaceDN w:val="0"/>
        <w:adjustRightInd w:val="0"/>
        <w:spacing w:line="360" w:lineRule="auto"/>
        <w:ind w:right="215"/>
        <w:jc w:val="center"/>
        <w:rPr>
          <w:rFonts w:hint="eastAsia" w:ascii="新宋体" w:hAnsi="新宋体" w:eastAsia="新宋体" w:cs="TimesNewRomanPSMT"/>
          <w:b/>
          <w:sz w:val="32"/>
          <w:szCs w:val="32"/>
        </w:rPr>
      </w:pPr>
      <w:r>
        <w:rPr>
          <w:rFonts w:hint="eastAsia" w:ascii="新宋体" w:hAnsi="新宋体" w:eastAsia="新宋体" w:cs="TimesNewRomanPSMT"/>
          <w:b/>
          <w:sz w:val="32"/>
          <w:szCs w:val="32"/>
          <w:lang w:eastAsia="zh-CN"/>
        </w:rPr>
        <w:t>十</w:t>
      </w:r>
      <w:r>
        <w:rPr>
          <w:rFonts w:hint="eastAsia" w:ascii="新宋体" w:hAnsi="新宋体" w:eastAsia="新宋体" w:cs="TimesNewRomanPSMT"/>
          <w:b/>
          <w:sz w:val="32"/>
          <w:szCs w:val="32"/>
        </w:rPr>
        <w:t>、近年发生的诉讼及仲裁情况；</w:t>
      </w:r>
    </w:p>
    <w:p>
      <w:pPr>
        <w:autoSpaceDE w:val="0"/>
        <w:autoSpaceDN w:val="0"/>
        <w:adjustRightInd w:val="0"/>
        <w:spacing w:line="380" w:lineRule="exact"/>
        <w:jc w:val="center"/>
        <w:rPr>
          <w:rFonts w:hint="eastAsia" w:ascii="新宋体" w:hAnsi="新宋体" w:eastAsia="新宋体" w:cs="TimesNewRomanPSMT"/>
          <w:b/>
          <w:sz w:val="32"/>
          <w:szCs w:val="32"/>
        </w:rPr>
      </w:pPr>
    </w:p>
    <w:p>
      <w:pPr>
        <w:jc w:val="center"/>
      </w:pPr>
      <w:r>
        <w:rPr>
          <w:rFonts w:hint="eastAsia" w:hAnsi="宋体"/>
          <w:b/>
          <w:bCs/>
          <w:sz w:val="21"/>
          <w:szCs w:val="21"/>
        </w:rPr>
        <w:t>格式可自行编制。</w:t>
      </w:r>
    </w:p>
    <w:p>
      <w:pPr>
        <w:autoSpaceDE w:val="0"/>
        <w:autoSpaceDN w:val="0"/>
        <w:adjustRightInd w:val="0"/>
        <w:spacing w:line="380" w:lineRule="exact"/>
        <w:jc w:val="both"/>
        <w:rPr>
          <w:rFonts w:hint="eastAsia" w:ascii="新宋体" w:hAnsi="新宋体" w:eastAsia="新宋体" w:cs="TimesNewRomanPSMT"/>
          <w:b/>
          <w:sz w:val="32"/>
          <w:szCs w:val="32"/>
        </w:rPr>
      </w:pPr>
    </w:p>
    <w:p>
      <w:pPr>
        <w:autoSpaceDE w:val="0"/>
        <w:autoSpaceDN w:val="0"/>
        <w:adjustRightInd w:val="0"/>
        <w:spacing w:line="380" w:lineRule="exact"/>
        <w:jc w:val="center"/>
        <w:rPr>
          <w:rFonts w:hint="eastAsia" w:ascii="新宋体" w:hAnsi="新宋体" w:eastAsia="新宋体" w:cs="TimesNewRomanPSMT"/>
          <w:b/>
          <w:sz w:val="32"/>
          <w:szCs w:val="32"/>
        </w:rPr>
      </w:pPr>
    </w:p>
    <w:p>
      <w:pPr>
        <w:pStyle w:val="4"/>
        <w:rPr>
          <w:rFonts w:hint="eastAsia" w:ascii="新宋体" w:hAnsi="新宋体" w:eastAsia="新宋体" w:cs="TimesNewRomanPSMT"/>
          <w:b/>
          <w:sz w:val="32"/>
          <w:szCs w:val="32"/>
        </w:rPr>
      </w:pPr>
    </w:p>
    <w:p>
      <w:pPr>
        <w:rPr>
          <w:rFonts w:hint="eastAsia" w:ascii="新宋体" w:hAnsi="新宋体" w:eastAsia="新宋体" w:cs="TimesNewRomanPSMT"/>
          <w:b/>
          <w:sz w:val="32"/>
          <w:szCs w:val="32"/>
        </w:rPr>
      </w:pPr>
    </w:p>
    <w:p>
      <w:pPr>
        <w:pStyle w:val="4"/>
        <w:rPr>
          <w:rFonts w:hint="eastAsia" w:ascii="新宋体" w:hAnsi="新宋体" w:eastAsia="新宋体" w:cs="TimesNewRomanPSMT"/>
          <w:b/>
          <w:sz w:val="32"/>
          <w:szCs w:val="32"/>
        </w:rPr>
      </w:pPr>
    </w:p>
    <w:p>
      <w:pPr>
        <w:rPr>
          <w:rFonts w:hint="eastAsia" w:ascii="新宋体" w:hAnsi="新宋体" w:eastAsia="新宋体" w:cs="TimesNewRomanPSMT"/>
          <w:b/>
          <w:sz w:val="32"/>
          <w:szCs w:val="32"/>
        </w:rPr>
      </w:pPr>
    </w:p>
    <w:p>
      <w:pPr>
        <w:pStyle w:val="4"/>
        <w:rPr>
          <w:rFonts w:hint="eastAsia" w:ascii="新宋体" w:hAnsi="新宋体" w:eastAsia="新宋体" w:cs="TimesNewRomanPSMT"/>
          <w:b/>
          <w:sz w:val="32"/>
          <w:szCs w:val="32"/>
        </w:rPr>
      </w:pPr>
    </w:p>
    <w:p>
      <w:pPr>
        <w:rPr>
          <w:rFonts w:hint="eastAsia" w:ascii="新宋体" w:hAnsi="新宋体" w:eastAsia="新宋体" w:cs="TimesNewRomanPSMT"/>
          <w:b/>
          <w:sz w:val="32"/>
          <w:szCs w:val="32"/>
        </w:rPr>
      </w:pPr>
    </w:p>
    <w:p>
      <w:pPr>
        <w:pStyle w:val="4"/>
        <w:rPr>
          <w:rFonts w:hint="eastAsia" w:ascii="新宋体" w:hAnsi="新宋体" w:eastAsia="新宋体" w:cs="TimesNewRomanPSMT"/>
          <w:b/>
          <w:sz w:val="32"/>
          <w:szCs w:val="32"/>
        </w:rPr>
      </w:pPr>
    </w:p>
    <w:p>
      <w:pPr>
        <w:rPr>
          <w:rFonts w:hint="eastAsia" w:ascii="新宋体" w:hAnsi="新宋体" w:eastAsia="新宋体" w:cs="TimesNewRomanPSMT"/>
          <w:b/>
          <w:sz w:val="32"/>
          <w:szCs w:val="32"/>
        </w:rPr>
      </w:pPr>
    </w:p>
    <w:p>
      <w:pPr>
        <w:pStyle w:val="4"/>
        <w:rPr>
          <w:rFonts w:hint="eastAsia" w:ascii="新宋体" w:hAnsi="新宋体" w:eastAsia="新宋体" w:cs="TimesNewRomanPSMT"/>
          <w:b/>
          <w:sz w:val="32"/>
          <w:szCs w:val="32"/>
        </w:rPr>
      </w:pPr>
    </w:p>
    <w:p>
      <w:pPr>
        <w:rPr>
          <w:rFonts w:hint="eastAsia" w:ascii="新宋体" w:hAnsi="新宋体" w:eastAsia="新宋体" w:cs="TimesNewRomanPSMT"/>
          <w:b/>
          <w:sz w:val="32"/>
          <w:szCs w:val="32"/>
        </w:rPr>
      </w:pPr>
    </w:p>
    <w:p>
      <w:pPr>
        <w:pStyle w:val="4"/>
        <w:rPr>
          <w:rFonts w:hint="eastAsia" w:ascii="新宋体" w:hAnsi="新宋体" w:eastAsia="新宋体" w:cs="TimesNewRomanPSMT"/>
          <w:b/>
          <w:sz w:val="32"/>
          <w:szCs w:val="32"/>
        </w:rPr>
      </w:pPr>
    </w:p>
    <w:p>
      <w:pPr>
        <w:rPr>
          <w:rFonts w:hint="eastAsia" w:ascii="新宋体" w:hAnsi="新宋体" w:eastAsia="新宋体" w:cs="TimesNewRomanPSMT"/>
          <w:b/>
          <w:sz w:val="32"/>
          <w:szCs w:val="32"/>
        </w:rPr>
      </w:pPr>
    </w:p>
    <w:p>
      <w:pPr>
        <w:pStyle w:val="4"/>
        <w:rPr>
          <w:rFonts w:hint="eastAsia" w:ascii="新宋体" w:hAnsi="新宋体" w:eastAsia="新宋体" w:cs="TimesNewRomanPSMT"/>
          <w:b/>
          <w:sz w:val="32"/>
          <w:szCs w:val="32"/>
        </w:rPr>
      </w:pPr>
    </w:p>
    <w:p>
      <w:pPr>
        <w:rPr>
          <w:rFonts w:hint="eastAsia" w:ascii="新宋体" w:hAnsi="新宋体" w:eastAsia="新宋体" w:cs="TimesNewRomanPSMT"/>
          <w:b/>
          <w:sz w:val="32"/>
          <w:szCs w:val="32"/>
        </w:rPr>
      </w:pPr>
    </w:p>
    <w:p>
      <w:pPr>
        <w:pStyle w:val="4"/>
        <w:rPr>
          <w:rFonts w:hint="eastAsia" w:ascii="新宋体" w:hAnsi="新宋体" w:eastAsia="新宋体" w:cs="TimesNewRomanPSMT"/>
          <w:b/>
          <w:sz w:val="32"/>
          <w:szCs w:val="32"/>
        </w:rPr>
      </w:pPr>
    </w:p>
    <w:p>
      <w:pPr>
        <w:rPr>
          <w:rFonts w:hint="eastAsia" w:ascii="新宋体" w:hAnsi="新宋体" w:eastAsia="新宋体" w:cs="TimesNewRomanPSMT"/>
          <w:b/>
          <w:sz w:val="32"/>
          <w:szCs w:val="32"/>
        </w:rPr>
      </w:pPr>
    </w:p>
    <w:p>
      <w:pPr>
        <w:rPr>
          <w:rFonts w:hint="eastAsia"/>
        </w:rPr>
      </w:pPr>
    </w:p>
    <w:p>
      <w:pPr>
        <w:pStyle w:val="2"/>
        <w:rPr>
          <w:rFonts w:hint="eastAsia"/>
        </w:rPr>
      </w:pPr>
    </w:p>
    <w:p>
      <w:pPr>
        <w:autoSpaceDE w:val="0"/>
        <w:autoSpaceDN w:val="0"/>
        <w:adjustRightInd w:val="0"/>
        <w:spacing w:line="380" w:lineRule="exact"/>
        <w:ind w:firstLine="3840" w:firstLineChars="1200"/>
        <w:jc w:val="both"/>
        <w:rPr>
          <w:rFonts w:ascii="新宋体" w:hAnsi="新宋体" w:eastAsia="新宋体" w:cs="TimesNewRomanPSMT"/>
          <w:b/>
          <w:sz w:val="32"/>
          <w:szCs w:val="32"/>
        </w:rPr>
      </w:pPr>
      <w:r>
        <w:rPr>
          <w:rFonts w:hint="eastAsia" w:ascii="新宋体" w:hAnsi="新宋体" w:eastAsia="新宋体" w:cs="TimesNewRomanPSMT"/>
          <w:b/>
          <w:sz w:val="32"/>
          <w:szCs w:val="32"/>
          <w:lang w:eastAsia="zh-CN"/>
        </w:rPr>
        <w:t>十一、</w:t>
      </w:r>
      <w:r>
        <w:rPr>
          <w:rFonts w:hint="eastAsia" w:ascii="新宋体" w:hAnsi="新宋体" w:eastAsia="新宋体" w:cs="TimesNewRomanPSMT"/>
          <w:b/>
          <w:sz w:val="32"/>
          <w:szCs w:val="32"/>
        </w:rPr>
        <w:t>承诺书</w:t>
      </w:r>
    </w:p>
    <w:p>
      <w:pPr>
        <w:spacing w:line="360" w:lineRule="auto"/>
        <w:jc w:val="center"/>
        <w:rPr>
          <w:rFonts w:hAnsi="宋体" w:cs="方正大标宋简体"/>
          <w:b/>
          <w:sz w:val="24"/>
          <w:szCs w:val="24"/>
        </w:rPr>
      </w:pPr>
      <w:r>
        <w:rPr>
          <w:rFonts w:hint="eastAsia" w:hAnsi="宋体" w:cs="方正大标宋简体"/>
          <w:b/>
          <w:sz w:val="24"/>
          <w:szCs w:val="24"/>
        </w:rPr>
        <w:t>附件1、关于农民工工资的承诺</w:t>
      </w:r>
    </w:p>
    <w:p>
      <w:pPr>
        <w:spacing w:line="440" w:lineRule="exact"/>
        <w:rPr>
          <w:rFonts w:hAnsi="宋体"/>
          <w:sz w:val="24"/>
          <w:szCs w:val="24"/>
          <w:u w:val="single"/>
        </w:rPr>
      </w:pPr>
      <w:r>
        <w:rPr>
          <w:rFonts w:hint="eastAsia" w:hAnsi="宋体"/>
          <w:sz w:val="24"/>
          <w:szCs w:val="24"/>
        </w:rPr>
        <w:t>致</w:t>
      </w:r>
      <w:r>
        <w:rPr>
          <w:rFonts w:hint="eastAsia" w:hAnsi="宋体"/>
          <w:sz w:val="24"/>
          <w:szCs w:val="24"/>
          <w:u w:val="single"/>
        </w:rPr>
        <w:t xml:space="preserve">     （招标人）    </w:t>
      </w:r>
      <w:r>
        <w:rPr>
          <w:rFonts w:hint="eastAsia" w:hAnsi="宋体"/>
          <w:sz w:val="24"/>
          <w:szCs w:val="24"/>
        </w:rPr>
        <w:t>：</w:t>
      </w:r>
    </w:p>
    <w:p>
      <w:pPr>
        <w:spacing w:line="440" w:lineRule="exact"/>
        <w:ind w:firstLine="480" w:firstLineChars="200"/>
        <w:rPr>
          <w:rFonts w:hAnsi="宋体"/>
          <w:sz w:val="24"/>
          <w:szCs w:val="24"/>
        </w:rPr>
      </w:pPr>
      <w:r>
        <w:rPr>
          <w:rFonts w:hint="eastAsia" w:hAnsi="宋体"/>
          <w:sz w:val="24"/>
          <w:szCs w:val="24"/>
        </w:rPr>
        <w:t>我单位为守法经营的建筑工程施工企业，针对本次（</w:t>
      </w:r>
      <w:r>
        <w:rPr>
          <w:rFonts w:hint="eastAsia" w:hAnsi="宋体"/>
          <w:sz w:val="24"/>
          <w:szCs w:val="24"/>
          <w:u w:val="single"/>
        </w:rPr>
        <w:t>项目及标段全称）</w:t>
      </w:r>
      <w:r>
        <w:rPr>
          <w:rFonts w:hint="eastAsia" w:hAnsi="宋体"/>
          <w:sz w:val="24"/>
          <w:szCs w:val="24"/>
        </w:rPr>
        <w:t>招标项目，我公司郑重承诺：</w:t>
      </w:r>
    </w:p>
    <w:p>
      <w:pPr>
        <w:spacing w:line="440" w:lineRule="exact"/>
        <w:ind w:firstLine="480" w:firstLineChars="200"/>
        <w:rPr>
          <w:rFonts w:hAnsi="宋体"/>
          <w:sz w:val="24"/>
          <w:szCs w:val="24"/>
        </w:rPr>
      </w:pPr>
      <w:r>
        <w:rPr>
          <w:rFonts w:hint="eastAsia" w:hAnsi="宋体"/>
          <w:sz w:val="24"/>
          <w:szCs w:val="24"/>
        </w:rPr>
        <w:t xml:space="preserve">1、 </w:t>
      </w:r>
      <w:r>
        <w:rPr>
          <w:rFonts w:hint="eastAsia" w:hAnsi="宋体"/>
          <w:b/>
          <w:bCs/>
          <w:sz w:val="24"/>
          <w:szCs w:val="24"/>
        </w:rPr>
        <w:t>截止本工程开标之日止，本企业无拖欠农民工工资及其他职工工资，无克扣或拖欠农民工工资的不良记录</w:t>
      </w:r>
      <w:r>
        <w:rPr>
          <w:rFonts w:hint="eastAsia" w:hAnsi="宋体"/>
          <w:sz w:val="24"/>
          <w:szCs w:val="24"/>
        </w:rPr>
        <w:t>；</w:t>
      </w:r>
    </w:p>
    <w:p>
      <w:pPr>
        <w:spacing w:line="440" w:lineRule="exact"/>
        <w:ind w:firstLine="480" w:firstLineChars="200"/>
        <w:rPr>
          <w:rFonts w:hAnsi="宋体"/>
          <w:sz w:val="24"/>
          <w:szCs w:val="24"/>
        </w:rPr>
      </w:pPr>
      <w:r>
        <w:rPr>
          <w:rFonts w:hint="eastAsia" w:hAnsi="宋体"/>
          <w:sz w:val="24"/>
          <w:szCs w:val="24"/>
        </w:rPr>
        <w:t>2、一旦确定本公司为该项目中标单位，我公司为保证不拖欠农民工资及其他职工工资，特作以下承诺： </w:t>
      </w:r>
    </w:p>
    <w:p>
      <w:pPr>
        <w:spacing w:line="440" w:lineRule="exact"/>
        <w:ind w:firstLine="480" w:firstLineChars="200"/>
        <w:rPr>
          <w:rFonts w:hAnsi="宋体"/>
          <w:b/>
          <w:bCs/>
          <w:sz w:val="24"/>
          <w:szCs w:val="24"/>
        </w:rPr>
      </w:pPr>
      <w:r>
        <w:rPr>
          <w:rFonts w:hint="eastAsia" w:hAnsi="宋体"/>
          <w:b/>
          <w:bCs/>
          <w:sz w:val="24"/>
          <w:szCs w:val="24"/>
        </w:rPr>
        <w:t>（1）我单位中标后，将及时、足额存入农民工工资保障金；</w:t>
      </w:r>
    </w:p>
    <w:p>
      <w:pPr>
        <w:spacing w:line="440" w:lineRule="exact"/>
        <w:ind w:firstLine="480" w:firstLineChars="200"/>
        <w:rPr>
          <w:rFonts w:hAnsi="宋体"/>
          <w:b/>
          <w:bCs/>
          <w:sz w:val="24"/>
          <w:szCs w:val="24"/>
        </w:rPr>
      </w:pPr>
      <w:r>
        <w:rPr>
          <w:rFonts w:hint="eastAsia" w:hAnsi="宋体"/>
          <w:b/>
          <w:bCs/>
          <w:sz w:val="24"/>
          <w:szCs w:val="24"/>
        </w:rPr>
        <w:t>（2）工程款优先支付农民工工资，不以任何理由拖欠农民工工资； 一旦我单位承建的建筑工程中出现拖欠职工工资情况的，可由建设行政主管部门从工资保障金中先予划支；</w:t>
      </w:r>
    </w:p>
    <w:p>
      <w:pPr>
        <w:spacing w:line="440" w:lineRule="exact"/>
        <w:ind w:firstLine="480" w:firstLineChars="200"/>
        <w:rPr>
          <w:rFonts w:hAnsi="宋体"/>
          <w:sz w:val="24"/>
          <w:szCs w:val="24"/>
        </w:rPr>
      </w:pPr>
      <w:r>
        <w:rPr>
          <w:rFonts w:hint="eastAsia" w:hAnsi="宋体"/>
          <w:b/>
          <w:bCs/>
          <w:sz w:val="24"/>
          <w:szCs w:val="24"/>
        </w:rPr>
        <w:t xml:space="preserve">（3）在工程款结算或农民工工资支付出现争议纠纷时，积极配合主管部门协调解决。 </w:t>
      </w:r>
    </w:p>
    <w:p>
      <w:pPr>
        <w:spacing w:line="440" w:lineRule="exact"/>
        <w:ind w:firstLine="480" w:firstLineChars="200"/>
        <w:rPr>
          <w:rFonts w:hAnsi="宋体"/>
          <w:sz w:val="24"/>
          <w:szCs w:val="24"/>
        </w:rPr>
      </w:pPr>
      <w:r>
        <w:rPr>
          <w:rFonts w:hint="eastAsia" w:hAnsi="宋体"/>
          <w:sz w:val="24"/>
          <w:szCs w:val="24"/>
        </w:rPr>
        <w:t>如果发生违反规定拖欠或克扣农民工工资行为，造成农民工上访等恶性事件，本单位愿意接受人力资源社会保障、住房和城乡建设、公安、行业行政主管等部门依照有关规定作出的处理和处罚决定。</w:t>
      </w:r>
    </w:p>
    <w:p>
      <w:pPr>
        <w:spacing w:line="440" w:lineRule="exact"/>
        <w:ind w:firstLine="480" w:firstLineChars="200"/>
        <w:jc w:val="right"/>
        <w:rPr>
          <w:rFonts w:hAnsi="宋体"/>
          <w:sz w:val="24"/>
          <w:szCs w:val="24"/>
        </w:rPr>
      </w:pPr>
      <w:r>
        <w:rPr>
          <w:rFonts w:hint="eastAsia" w:hAnsi="宋体"/>
          <w:sz w:val="24"/>
          <w:szCs w:val="24"/>
        </w:rPr>
        <w:t xml:space="preserve">单位全称： （盖  章） </w:t>
      </w:r>
    </w:p>
    <w:p>
      <w:pPr>
        <w:spacing w:line="440" w:lineRule="exact"/>
        <w:ind w:firstLine="480" w:firstLineChars="200"/>
        <w:jc w:val="right"/>
        <w:rPr>
          <w:rFonts w:hAnsi="宋体"/>
          <w:sz w:val="24"/>
          <w:szCs w:val="24"/>
        </w:rPr>
      </w:pPr>
      <w:r>
        <w:rPr>
          <w:rFonts w:hint="eastAsia" w:hAnsi="宋体"/>
          <w:sz w:val="24"/>
          <w:szCs w:val="24"/>
        </w:rPr>
        <w:t xml:space="preserve">法定代表人：（签 字） </w:t>
      </w:r>
    </w:p>
    <w:p>
      <w:pPr>
        <w:autoSpaceDE w:val="0"/>
        <w:autoSpaceDN w:val="0"/>
        <w:adjustRightInd w:val="0"/>
        <w:spacing w:line="440" w:lineRule="exact"/>
        <w:jc w:val="center"/>
        <w:rPr>
          <w:rFonts w:hAnsi="宋体" w:cs="TimesNewRomanPSMT"/>
          <w:b/>
          <w:sz w:val="24"/>
          <w:szCs w:val="24"/>
        </w:rPr>
      </w:pPr>
      <w:r>
        <w:rPr>
          <w:rFonts w:hint="eastAsia" w:hAnsi="宋体"/>
          <w:sz w:val="24"/>
          <w:szCs w:val="24"/>
        </w:rPr>
        <w:t xml:space="preserve">                                                           年    月    日</w:t>
      </w:r>
    </w:p>
    <w:p>
      <w:pPr>
        <w:spacing w:line="440" w:lineRule="exact"/>
        <w:jc w:val="center"/>
        <w:rPr>
          <w:rFonts w:ascii="黑体" w:hAnsi="宋体" w:eastAsia="黑体"/>
          <w:sz w:val="24"/>
          <w:szCs w:val="24"/>
        </w:rPr>
      </w:pPr>
      <w:r>
        <w:rPr>
          <w:rFonts w:hint="eastAsia" w:ascii="黑体" w:hAnsi="宋体" w:eastAsia="黑体"/>
          <w:sz w:val="24"/>
          <w:szCs w:val="24"/>
        </w:rPr>
        <w:t>附件2、项目经理无在建承诺书</w:t>
      </w:r>
    </w:p>
    <w:p>
      <w:pPr>
        <w:spacing w:line="440" w:lineRule="exact"/>
        <w:rPr>
          <w:sz w:val="24"/>
          <w:szCs w:val="24"/>
        </w:rPr>
      </w:pPr>
      <w:r>
        <w:rPr>
          <w:rFonts w:hint="eastAsia"/>
          <w:sz w:val="24"/>
          <w:szCs w:val="24"/>
        </w:rPr>
        <w:t>————————（招标人名称）：</w:t>
      </w:r>
    </w:p>
    <w:p>
      <w:pPr>
        <w:spacing w:line="440" w:lineRule="exact"/>
        <w:rPr>
          <w:sz w:val="24"/>
          <w:szCs w:val="24"/>
        </w:rPr>
      </w:pPr>
      <w:r>
        <w:rPr>
          <w:rFonts w:hint="eastAsia"/>
          <w:sz w:val="24"/>
          <w:szCs w:val="24"/>
        </w:rPr>
        <w:t xml:space="preserve">    我方在此声明，我方拟派往</w:t>
      </w:r>
      <w:r>
        <w:rPr>
          <w:rFonts w:hint="eastAsia"/>
          <w:sz w:val="24"/>
          <w:szCs w:val="24"/>
          <w:u w:val="single"/>
        </w:rPr>
        <w:t>（项目名称）标段</w:t>
      </w:r>
      <w:r>
        <w:rPr>
          <w:rFonts w:hint="eastAsia"/>
          <w:sz w:val="24"/>
          <w:szCs w:val="24"/>
        </w:rPr>
        <w:t>（以下简称“本工程”）的项目经理（姓名）现阶段没有担任任何在施建设工程项目的项目经理。</w:t>
      </w:r>
    </w:p>
    <w:p>
      <w:pPr>
        <w:spacing w:line="440" w:lineRule="exact"/>
        <w:rPr>
          <w:sz w:val="24"/>
          <w:szCs w:val="24"/>
        </w:rPr>
      </w:pPr>
      <w:r>
        <w:rPr>
          <w:rFonts w:hint="eastAsia"/>
          <w:sz w:val="24"/>
          <w:szCs w:val="24"/>
        </w:rPr>
        <w:t xml:space="preserve">    我方保证上述信息的真实和准确，并愿意承担因我方就此弄虚作假所引起的一切法律后果。</w:t>
      </w:r>
    </w:p>
    <w:p>
      <w:pPr>
        <w:spacing w:line="440" w:lineRule="exact"/>
        <w:rPr>
          <w:sz w:val="24"/>
          <w:szCs w:val="24"/>
        </w:rPr>
      </w:pPr>
      <w:r>
        <w:rPr>
          <w:rFonts w:hint="eastAsia"/>
          <w:sz w:val="24"/>
          <w:szCs w:val="24"/>
        </w:rPr>
        <w:t xml:space="preserve">    特此承诺</w:t>
      </w:r>
    </w:p>
    <w:p>
      <w:pPr>
        <w:spacing w:line="440" w:lineRule="exact"/>
        <w:rPr>
          <w:sz w:val="24"/>
          <w:szCs w:val="24"/>
        </w:rPr>
      </w:pPr>
      <w:r>
        <w:rPr>
          <w:rFonts w:hint="eastAsia"/>
          <w:sz w:val="24"/>
          <w:szCs w:val="24"/>
        </w:rPr>
        <w:t xml:space="preserve">                                              投标人：</w:t>
      </w:r>
      <w:r>
        <w:rPr>
          <w:rFonts w:hint="eastAsia"/>
          <w:sz w:val="24"/>
          <w:szCs w:val="24"/>
          <w:u w:val="single"/>
        </w:rPr>
        <w:t xml:space="preserve">（盖单位章）             </w:t>
      </w:r>
    </w:p>
    <w:p>
      <w:pPr>
        <w:spacing w:line="440" w:lineRule="exact"/>
        <w:rPr>
          <w:sz w:val="24"/>
          <w:szCs w:val="24"/>
        </w:rPr>
      </w:pPr>
      <w:r>
        <w:rPr>
          <w:rFonts w:hint="eastAsia"/>
          <w:sz w:val="24"/>
          <w:szCs w:val="24"/>
        </w:rPr>
        <w:t xml:space="preserve">                                          法定代表人或其委托代理人：</w:t>
      </w:r>
      <w:r>
        <w:rPr>
          <w:rFonts w:hint="eastAsia"/>
          <w:sz w:val="24"/>
          <w:szCs w:val="24"/>
          <w:u w:val="single"/>
        </w:rPr>
        <w:t xml:space="preserve">（签字） </w:t>
      </w:r>
    </w:p>
    <w:p>
      <w:pPr>
        <w:spacing w:line="440" w:lineRule="exact"/>
        <w:rPr>
          <w:sz w:val="24"/>
          <w:szCs w:val="24"/>
        </w:rPr>
      </w:pPr>
      <w:r>
        <w:rPr>
          <w:rFonts w:hint="eastAsia"/>
          <w:sz w:val="24"/>
          <w:szCs w:val="24"/>
        </w:rPr>
        <w:t xml:space="preserve">                                           项目经理：</w:t>
      </w:r>
      <w:r>
        <w:rPr>
          <w:rFonts w:hint="eastAsia"/>
          <w:sz w:val="24"/>
          <w:szCs w:val="24"/>
          <w:u w:val="single"/>
        </w:rPr>
        <w:t>（签字）</w:t>
      </w:r>
    </w:p>
    <w:p>
      <w:pPr>
        <w:autoSpaceDE w:val="0"/>
        <w:autoSpaceDN w:val="0"/>
        <w:adjustRightInd w:val="0"/>
        <w:spacing w:line="360" w:lineRule="auto"/>
        <w:jc w:val="center"/>
        <w:rPr>
          <w:rFonts w:ascii="新宋体" w:hAnsi="新宋体" w:eastAsia="新宋体" w:cs="TimesNewRomanPSMT"/>
          <w:b/>
          <w:sz w:val="24"/>
          <w:szCs w:val="24"/>
        </w:rPr>
      </w:pPr>
      <w:r>
        <w:rPr>
          <w:rFonts w:hint="eastAsia" w:hAnsi="宋体"/>
          <w:sz w:val="24"/>
          <w:szCs w:val="24"/>
          <w:lang w:val="en-US" w:eastAsia="zh-CN"/>
        </w:rPr>
        <w:t xml:space="preserve">                                        </w:t>
      </w:r>
      <w:r>
        <w:rPr>
          <w:rFonts w:hint="eastAsia" w:hAnsi="宋体"/>
          <w:sz w:val="24"/>
          <w:szCs w:val="24"/>
        </w:rPr>
        <w:t>年</w:t>
      </w:r>
      <w:r>
        <w:rPr>
          <w:rFonts w:hint="eastAsia" w:hAnsi="宋体"/>
          <w:sz w:val="24"/>
          <w:szCs w:val="24"/>
          <w:lang w:val="en-US" w:eastAsia="zh-CN"/>
        </w:rPr>
        <w:t xml:space="preserve">  </w:t>
      </w:r>
      <w:r>
        <w:rPr>
          <w:rFonts w:hint="eastAsia" w:hAnsi="宋体"/>
          <w:sz w:val="24"/>
          <w:szCs w:val="24"/>
        </w:rPr>
        <w:t>月</w:t>
      </w:r>
      <w:r>
        <w:rPr>
          <w:rFonts w:hint="eastAsia" w:hAnsi="宋体"/>
          <w:sz w:val="24"/>
          <w:szCs w:val="24"/>
          <w:lang w:val="en-US" w:eastAsia="zh-CN"/>
        </w:rPr>
        <w:t xml:space="preserve">   </w:t>
      </w:r>
      <w:r>
        <w:rPr>
          <w:rFonts w:hint="eastAsia" w:hAnsi="宋体"/>
          <w:sz w:val="24"/>
          <w:szCs w:val="24"/>
        </w:rPr>
        <w:t>日</w:t>
      </w:r>
    </w:p>
    <w:p>
      <w:pPr>
        <w:autoSpaceDE w:val="0"/>
        <w:autoSpaceDN w:val="0"/>
        <w:adjustRightInd w:val="0"/>
        <w:spacing w:line="380" w:lineRule="exact"/>
        <w:rPr>
          <w:rFonts w:ascii="新宋体" w:hAnsi="新宋体" w:eastAsia="新宋体" w:cs="宋体"/>
          <w:b/>
          <w:sz w:val="24"/>
          <w:szCs w:val="24"/>
        </w:rPr>
      </w:pPr>
    </w:p>
    <w:p>
      <w:pPr>
        <w:spacing w:line="360" w:lineRule="auto"/>
        <w:jc w:val="center"/>
        <w:rPr>
          <w:rFonts w:hAnsi="宋体"/>
          <w:b/>
          <w:sz w:val="24"/>
          <w:szCs w:val="24"/>
        </w:rPr>
      </w:pPr>
      <w:r>
        <w:rPr>
          <w:rFonts w:hint="eastAsia" w:hAnsi="宋体"/>
          <w:b/>
          <w:sz w:val="24"/>
          <w:szCs w:val="24"/>
        </w:rPr>
        <w:t>附件3：“不挂靠、不转包、不违法分包”专项承诺书</w:t>
      </w:r>
    </w:p>
    <w:p>
      <w:pPr>
        <w:spacing w:line="360" w:lineRule="auto"/>
        <w:rPr>
          <w:rFonts w:hAnsi="宋体"/>
          <w:sz w:val="24"/>
          <w:szCs w:val="24"/>
          <w:u w:val="single"/>
        </w:rPr>
      </w:pPr>
      <w:r>
        <w:rPr>
          <w:rFonts w:hint="eastAsia" w:hAnsi="宋体"/>
          <w:sz w:val="24"/>
          <w:szCs w:val="24"/>
        </w:rPr>
        <w:t>致</w:t>
      </w:r>
      <w:r>
        <w:rPr>
          <w:rFonts w:hint="eastAsia" w:hAnsi="宋体"/>
          <w:sz w:val="24"/>
          <w:szCs w:val="24"/>
          <w:u w:val="single"/>
        </w:rPr>
        <w:t xml:space="preserve">     （招标人）    </w:t>
      </w:r>
      <w:r>
        <w:rPr>
          <w:rFonts w:hint="eastAsia" w:hAnsi="宋体"/>
          <w:sz w:val="24"/>
          <w:szCs w:val="24"/>
        </w:rPr>
        <w:t>：</w:t>
      </w:r>
    </w:p>
    <w:p>
      <w:pPr>
        <w:spacing w:line="360" w:lineRule="auto"/>
        <w:ind w:firstLine="480" w:firstLineChars="200"/>
        <w:rPr>
          <w:rFonts w:hAnsi="宋体" w:cs="Arial"/>
          <w:b/>
          <w:sz w:val="24"/>
          <w:szCs w:val="24"/>
          <w:shd w:val="clear" w:color="auto" w:fill="FFFFFF"/>
        </w:rPr>
      </w:pPr>
      <w:r>
        <w:rPr>
          <w:rFonts w:hint="eastAsia" w:hAnsi="宋体"/>
          <w:sz w:val="24"/>
          <w:szCs w:val="24"/>
        </w:rPr>
        <w:t>我单位为守法经营的建筑工程施工企业，针对本次（</w:t>
      </w:r>
      <w:r>
        <w:rPr>
          <w:rFonts w:hint="eastAsia" w:hAnsi="宋体"/>
          <w:sz w:val="24"/>
          <w:szCs w:val="24"/>
          <w:u w:val="single"/>
        </w:rPr>
        <w:t>项目全称）</w:t>
      </w:r>
      <w:r>
        <w:rPr>
          <w:rFonts w:hint="eastAsia" w:hAnsi="宋体"/>
          <w:sz w:val="24"/>
          <w:szCs w:val="24"/>
        </w:rPr>
        <w:t>招标项目，我公司郑重承诺：</w:t>
      </w:r>
      <w:r>
        <w:rPr>
          <w:rFonts w:hAnsi="宋体" w:cs="Arial"/>
          <w:b/>
          <w:sz w:val="24"/>
          <w:szCs w:val="24"/>
          <w:shd w:val="clear" w:color="auto" w:fill="FFFFFF"/>
        </w:rPr>
        <w:t>绝不</w:t>
      </w:r>
      <w:r>
        <w:rPr>
          <w:rFonts w:hint="eastAsia" w:hAnsi="宋体" w:cs="Arial"/>
          <w:b/>
          <w:sz w:val="24"/>
          <w:szCs w:val="24"/>
          <w:shd w:val="clear" w:color="auto" w:fill="FFFFFF"/>
        </w:rPr>
        <w:t>挂靠、不</w:t>
      </w:r>
      <w:r>
        <w:rPr>
          <w:rFonts w:hAnsi="宋体" w:cs="Arial"/>
          <w:b/>
          <w:sz w:val="24"/>
          <w:szCs w:val="24"/>
          <w:shd w:val="clear" w:color="auto" w:fill="FFFFFF"/>
        </w:rPr>
        <w:t>转包</w:t>
      </w:r>
      <w:r>
        <w:rPr>
          <w:rFonts w:hint="eastAsia" w:hAnsi="宋体" w:cs="Arial"/>
          <w:b/>
          <w:sz w:val="24"/>
          <w:szCs w:val="24"/>
          <w:shd w:val="clear" w:color="auto" w:fill="FFFFFF"/>
        </w:rPr>
        <w:t>、不违法分包</w:t>
      </w:r>
      <w:r>
        <w:rPr>
          <w:rFonts w:hAnsi="宋体" w:cs="Arial"/>
          <w:b/>
          <w:sz w:val="24"/>
          <w:szCs w:val="24"/>
          <w:shd w:val="clear" w:color="auto" w:fill="FFFFFF"/>
        </w:rPr>
        <w:t>。</w:t>
      </w:r>
    </w:p>
    <w:p>
      <w:pPr>
        <w:spacing w:line="360" w:lineRule="auto"/>
        <w:ind w:firstLine="480" w:firstLineChars="200"/>
        <w:rPr>
          <w:rFonts w:hAnsi="宋体"/>
          <w:sz w:val="24"/>
          <w:szCs w:val="24"/>
        </w:rPr>
      </w:pPr>
      <w:r>
        <w:rPr>
          <w:rFonts w:hAnsi="宋体" w:cs="Arial"/>
          <w:sz w:val="24"/>
          <w:szCs w:val="24"/>
          <w:shd w:val="clear" w:color="auto" w:fill="FFFFFF"/>
        </w:rPr>
        <w:t>若有</w:t>
      </w:r>
      <w:r>
        <w:rPr>
          <w:rFonts w:hint="eastAsia" w:hAnsi="宋体" w:cs="Arial"/>
          <w:sz w:val="24"/>
          <w:szCs w:val="24"/>
          <w:shd w:val="clear" w:color="auto" w:fill="FFFFFF"/>
        </w:rPr>
        <w:t>挂靠、</w:t>
      </w:r>
      <w:r>
        <w:rPr>
          <w:rFonts w:hAnsi="宋体" w:cs="Arial"/>
          <w:sz w:val="24"/>
          <w:szCs w:val="24"/>
          <w:shd w:val="clear" w:color="auto" w:fill="FFFFFF"/>
        </w:rPr>
        <w:t>转包或</w:t>
      </w:r>
      <w:r>
        <w:rPr>
          <w:rFonts w:hint="eastAsia" w:hAnsi="宋体" w:cs="Arial"/>
          <w:sz w:val="24"/>
          <w:szCs w:val="24"/>
          <w:shd w:val="clear" w:color="auto" w:fill="FFFFFF"/>
        </w:rPr>
        <w:t>违法分包</w:t>
      </w:r>
      <w:r>
        <w:rPr>
          <w:rFonts w:hAnsi="宋体" w:cs="Arial"/>
          <w:sz w:val="24"/>
          <w:szCs w:val="24"/>
          <w:shd w:val="clear" w:color="auto" w:fill="FFFFFF"/>
        </w:rPr>
        <w:t>行为</w:t>
      </w:r>
      <w:r>
        <w:rPr>
          <w:rFonts w:hint="eastAsia" w:hAnsi="宋体" w:cs="Arial"/>
          <w:sz w:val="24"/>
          <w:szCs w:val="24"/>
          <w:shd w:val="clear" w:color="auto" w:fill="FFFFFF"/>
        </w:rPr>
        <w:t>愿意接受以下处罚：</w:t>
      </w:r>
    </w:p>
    <w:p>
      <w:pPr>
        <w:spacing w:line="360" w:lineRule="auto"/>
        <w:ind w:firstLine="480" w:firstLineChars="200"/>
        <w:rPr>
          <w:rFonts w:hAnsi="宋体"/>
          <w:b/>
          <w:sz w:val="24"/>
          <w:szCs w:val="24"/>
        </w:rPr>
      </w:pPr>
      <w:r>
        <w:rPr>
          <w:rFonts w:hAnsi="宋体" w:cs="Arial"/>
          <w:b/>
          <w:sz w:val="24"/>
          <w:szCs w:val="24"/>
          <w:shd w:val="clear" w:color="auto" w:fill="FFFFFF"/>
        </w:rPr>
        <w:t>1、由招标人向市、省和国家建设等行政主管部门报告，</w:t>
      </w:r>
      <w:r>
        <w:rPr>
          <w:rFonts w:hint="eastAsia" w:hAnsi="宋体" w:cs="Arial"/>
          <w:b/>
          <w:sz w:val="24"/>
          <w:szCs w:val="24"/>
          <w:shd w:val="clear" w:color="auto" w:fill="FFFFFF"/>
        </w:rPr>
        <w:t>记入</w:t>
      </w:r>
      <w:r>
        <w:rPr>
          <w:rFonts w:hAnsi="宋体" w:cs="Arial"/>
          <w:b/>
          <w:sz w:val="24"/>
          <w:szCs w:val="24"/>
          <w:shd w:val="clear" w:color="auto" w:fill="FFFFFF"/>
        </w:rPr>
        <w:t>不良记录</w:t>
      </w:r>
      <w:r>
        <w:rPr>
          <w:rFonts w:hint="eastAsia" w:hAnsi="宋体" w:cs="Arial"/>
          <w:b/>
          <w:sz w:val="24"/>
          <w:szCs w:val="24"/>
          <w:shd w:val="clear" w:color="auto" w:fill="FFFFFF"/>
        </w:rPr>
        <w:t>，并愿意接受任何处理决定</w:t>
      </w:r>
      <w:r>
        <w:rPr>
          <w:rFonts w:hAnsi="宋体" w:cs="Arial"/>
          <w:b/>
          <w:sz w:val="24"/>
          <w:szCs w:val="24"/>
          <w:shd w:val="clear" w:color="auto" w:fill="FFFFFF"/>
        </w:rPr>
        <w:t>；</w:t>
      </w:r>
      <w:r>
        <w:rPr>
          <w:rFonts w:hAnsi="宋体" w:cs="Arial"/>
          <w:b/>
          <w:sz w:val="24"/>
          <w:szCs w:val="24"/>
        </w:rPr>
        <w:br w:type="textWrapping"/>
      </w:r>
      <w:r>
        <w:rPr>
          <w:rFonts w:hAnsi="宋体" w:cs="Arial"/>
          <w:b/>
          <w:sz w:val="24"/>
          <w:szCs w:val="24"/>
          <w:shd w:val="clear" w:color="auto" w:fill="FFFFFF"/>
        </w:rPr>
        <w:t>2、投标期间没收投标保证金，合同履行期间发包人有权责令其出场、</w:t>
      </w:r>
      <w:r>
        <w:rPr>
          <w:rFonts w:hint="eastAsia" w:hAnsi="宋体" w:cs="Arial"/>
          <w:b/>
          <w:sz w:val="24"/>
          <w:szCs w:val="24"/>
          <w:shd w:val="clear" w:color="auto" w:fill="FFFFFF"/>
        </w:rPr>
        <w:t>没收履约担保</w:t>
      </w:r>
      <w:r>
        <w:rPr>
          <w:rFonts w:hAnsi="宋体" w:cs="Arial"/>
          <w:b/>
          <w:sz w:val="24"/>
          <w:szCs w:val="24"/>
          <w:shd w:val="clear" w:color="auto" w:fill="FFFFFF"/>
        </w:rPr>
        <w:t>，并有权单方面取消承包人的中标资格，终止合同，有此产生的责任和损失均由承包人负责，发包人有权向承包人索赔</w:t>
      </w:r>
      <w:r>
        <w:rPr>
          <w:rFonts w:hint="eastAsia" w:hAnsi="宋体" w:cs="Arial"/>
          <w:b/>
          <w:sz w:val="24"/>
          <w:szCs w:val="24"/>
          <w:shd w:val="clear" w:color="auto" w:fill="FFFFFF"/>
        </w:rPr>
        <w:t>；</w:t>
      </w:r>
      <w:r>
        <w:rPr>
          <w:rFonts w:hAnsi="宋体" w:cs="Arial"/>
          <w:b/>
          <w:sz w:val="24"/>
          <w:szCs w:val="24"/>
        </w:rPr>
        <w:br w:type="textWrapping"/>
      </w:r>
      <w:r>
        <w:rPr>
          <w:rFonts w:hAnsi="宋体" w:cs="Arial"/>
          <w:b/>
          <w:sz w:val="24"/>
          <w:szCs w:val="24"/>
          <w:shd w:val="clear" w:color="auto" w:fill="FFFFFF"/>
        </w:rPr>
        <w:t>3、由招标人联系司法机关追究相关法律责任。</w:t>
      </w:r>
    </w:p>
    <w:p>
      <w:pPr>
        <w:spacing w:line="360" w:lineRule="auto"/>
        <w:ind w:firstLine="480" w:firstLineChars="200"/>
        <w:rPr>
          <w:rFonts w:hAnsi="宋体"/>
          <w:sz w:val="24"/>
          <w:szCs w:val="24"/>
        </w:rPr>
      </w:pPr>
    </w:p>
    <w:p>
      <w:pPr>
        <w:spacing w:line="360" w:lineRule="auto"/>
        <w:ind w:firstLine="480" w:firstLineChars="200"/>
        <w:jc w:val="right"/>
        <w:rPr>
          <w:rFonts w:hAnsi="宋体"/>
          <w:sz w:val="24"/>
          <w:szCs w:val="24"/>
        </w:rPr>
      </w:pPr>
      <w:r>
        <w:rPr>
          <w:rFonts w:hint="eastAsia" w:hAnsi="宋体"/>
          <w:sz w:val="24"/>
          <w:szCs w:val="24"/>
        </w:rPr>
        <w:t xml:space="preserve">单位全称： （盖  章） </w:t>
      </w:r>
    </w:p>
    <w:p>
      <w:pPr>
        <w:spacing w:line="360" w:lineRule="auto"/>
        <w:ind w:firstLine="480" w:firstLineChars="200"/>
        <w:jc w:val="right"/>
        <w:rPr>
          <w:rFonts w:hAnsi="宋体"/>
          <w:sz w:val="24"/>
          <w:szCs w:val="24"/>
        </w:rPr>
      </w:pPr>
      <w:r>
        <w:rPr>
          <w:rFonts w:hint="eastAsia" w:hAnsi="宋体"/>
          <w:sz w:val="24"/>
          <w:szCs w:val="24"/>
        </w:rPr>
        <w:t xml:space="preserve">法定代表人：（签 字） </w:t>
      </w:r>
    </w:p>
    <w:p>
      <w:pPr>
        <w:autoSpaceDE w:val="0"/>
        <w:autoSpaceDN w:val="0"/>
        <w:adjustRightInd w:val="0"/>
        <w:spacing w:line="380" w:lineRule="exact"/>
        <w:rPr>
          <w:rFonts w:hAnsi="宋体"/>
          <w:sz w:val="24"/>
          <w:szCs w:val="24"/>
        </w:rPr>
      </w:pPr>
      <w:r>
        <w:rPr>
          <w:rFonts w:hint="eastAsia" w:hAnsi="宋体"/>
          <w:sz w:val="24"/>
          <w:szCs w:val="24"/>
        </w:rPr>
        <w:t xml:space="preserve">                                                           年    月    日</w:t>
      </w:r>
    </w:p>
    <w:p>
      <w:pPr>
        <w:autoSpaceDE w:val="0"/>
        <w:autoSpaceDN w:val="0"/>
        <w:adjustRightInd w:val="0"/>
        <w:spacing w:line="380" w:lineRule="exact"/>
        <w:rPr>
          <w:rFonts w:hAnsi="宋体"/>
          <w:sz w:val="24"/>
          <w:szCs w:val="24"/>
        </w:rPr>
      </w:pPr>
    </w:p>
    <w:p>
      <w:pPr>
        <w:autoSpaceDE w:val="0"/>
        <w:autoSpaceDN w:val="0"/>
        <w:adjustRightInd w:val="0"/>
        <w:spacing w:line="360" w:lineRule="auto"/>
        <w:ind w:right="215"/>
        <w:jc w:val="center"/>
        <w:rPr>
          <w:rFonts w:hAnsi="宋体"/>
          <w:b/>
          <w:sz w:val="24"/>
          <w:szCs w:val="24"/>
        </w:rPr>
      </w:pPr>
    </w:p>
    <w:p>
      <w:pPr>
        <w:autoSpaceDE w:val="0"/>
        <w:autoSpaceDN w:val="0"/>
        <w:adjustRightInd w:val="0"/>
        <w:spacing w:line="360" w:lineRule="auto"/>
        <w:ind w:right="215"/>
        <w:jc w:val="center"/>
        <w:rPr>
          <w:rFonts w:hAnsi="宋体" w:cs="方正大标宋简体"/>
          <w:b/>
          <w:sz w:val="24"/>
          <w:szCs w:val="24"/>
        </w:rPr>
      </w:pPr>
      <w:r>
        <w:rPr>
          <w:rFonts w:hint="eastAsia" w:hAnsi="宋体" w:cs="方正大标宋简体"/>
          <w:b/>
          <w:sz w:val="24"/>
          <w:szCs w:val="24"/>
        </w:rPr>
        <w:t>附件4、关于施工工地扬尘污染整治的承诺</w:t>
      </w:r>
    </w:p>
    <w:p>
      <w:pPr>
        <w:autoSpaceDE w:val="0"/>
        <w:autoSpaceDN w:val="0"/>
        <w:adjustRightInd w:val="0"/>
        <w:spacing w:line="360" w:lineRule="auto"/>
        <w:ind w:right="215"/>
        <w:jc w:val="center"/>
        <w:rPr>
          <w:rFonts w:hAnsi="宋体" w:cs="方正大标宋简体"/>
          <w:b/>
          <w:sz w:val="24"/>
          <w:szCs w:val="24"/>
        </w:rPr>
      </w:pPr>
      <w:r>
        <w:rPr>
          <w:rFonts w:hint="eastAsia" w:hAnsi="宋体" w:cs="方正大标宋简体"/>
          <w:b/>
          <w:sz w:val="24"/>
          <w:szCs w:val="24"/>
        </w:rPr>
        <w:t>（内容自行编制）</w:t>
      </w:r>
    </w:p>
    <w:p>
      <w:pPr>
        <w:autoSpaceDE w:val="0"/>
        <w:autoSpaceDN w:val="0"/>
        <w:adjustRightInd w:val="0"/>
        <w:spacing w:line="360" w:lineRule="auto"/>
        <w:ind w:right="215"/>
        <w:jc w:val="center"/>
        <w:rPr>
          <w:rFonts w:hAnsi="宋体" w:cs="方正大标宋简体"/>
          <w:b/>
          <w:sz w:val="24"/>
          <w:szCs w:val="24"/>
        </w:rPr>
      </w:pPr>
    </w:p>
    <w:p>
      <w:pPr>
        <w:spacing w:line="360" w:lineRule="auto"/>
        <w:ind w:firstLine="480" w:firstLineChars="200"/>
        <w:jc w:val="right"/>
        <w:rPr>
          <w:rFonts w:hAnsi="宋体"/>
          <w:sz w:val="24"/>
          <w:szCs w:val="24"/>
        </w:rPr>
      </w:pPr>
      <w:r>
        <w:rPr>
          <w:rFonts w:hint="eastAsia" w:hAnsi="宋体"/>
          <w:sz w:val="24"/>
          <w:szCs w:val="24"/>
        </w:rPr>
        <w:t xml:space="preserve">单位全称： （盖  章） </w:t>
      </w:r>
    </w:p>
    <w:p>
      <w:pPr>
        <w:spacing w:line="360" w:lineRule="auto"/>
        <w:ind w:firstLine="480" w:firstLineChars="200"/>
        <w:jc w:val="right"/>
        <w:rPr>
          <w:rFonts w:hAnsi="宋体"/>
          <w:sz w:val="24"/>
          <w:szCs w:val="24"/>
        </w:rPr>
      </w:pPr>
      <w:r>
        <w:rPr>
          <w:rFonts w:hint="eastAsia" w:hAnsi="宋体"/>
          <w:sz w:val="24"/>
          <w:szCs w:val="24"/>
        </w:rPr>
        <w:t xml:space="preserve">法定代表人：（签 字） </w:t>
      </w:r>
    </w:p>
    <w:p>
      <w:pPr>
        <w:autoSpaceDE w:val="0"/>
        <w:autoSpaceDN w:val="0"/>
        <w:adjustRightInd w:val="0"/>
        <w:spacing w:line="360" w:lineRule="auto"/>
        <w:ind w:right="215"/>
        <w:jc w:val="center"/>
        <w:rPr>
          <w:rFonts w:hAnsi="宋体"/>
          <w:b/>
          <w:sz w:val="24"/>
          <w:szCs w:val="24"/>
        </w:rPr>
      </w:pPr>
      <w:r>
        <w:rPr>
          <w:rFonts w:hint="eastAsia" w:hAnsi="宋体"/>
          <w:sz w:val="24"/>
          <w:szCs w:val="24"/>
        </w:rPr>
        <w:t xml:space="preserve">                                                         年    月    日</w:t>
      </w:r>
    </w:p>
    <w:p>
      <w:pPr>
        <w:autoSpaceDE w:val="0"/>
        <w:autoSpaceDN w:val="0"/>
        <w:adjustRightInd w:val="0"/>
        <w:spacing w:line="360" w:lineRule="auto"/>
        <w:ind w:right="215"/>
        <w:jc w:val="center"/>
        <w:rPr>
          <w:rFonts w:hAnsi="宋体"/>
          <w:b/>
          <w:sz w:val="32"/>
        </w:rPr>
      </w:pPr>
      <w:r>
        <w:rPr>
          <w:rFonts w:hint="eastAsia" w:hAnsi="宋体"/>
          <w:b/>
          <w:sz w:val="32"/>
          <w:szCs w:val="32"/>
        </w:rPr>
        <w:t>十</w:t>
      </w:r>
      <w:r>
        <w:rPr>
          <w:rFonts w:hint="eastAsia" w:hAnsi="宋体"/>
          <w:b/>
          <w:sz w:val="32"/>
          <w:szCs w:val="32"/>
          <w:lang w:eastAsia="zh-CN"/>
        </w:rPr>
        <w:t>二</w:t>
      </w:r>
      <w:r>
        <w:rPr>
          <w:rFonts w:hint="eastAsia" w:hAnsi="宋体"/>
          <w:b/>
          <w:sz w:val="32"/>
          <w:szCs w:val="32"/>
        </w:rPr>
        <w:t>、</w:t>
      </w:r>
      <w:r>
        <w:rPr>
          <w:rFonts w:hint="eastAsia" w:hAnsi="宋体"/>
          <w:b/>
          <w:sz w:val="32"/>
        </w:rPr>
        <w:t>其它材料</w:t>
      </w:r>
    </w:p>
    <w:p>
      <w:pPr>
        <w:autoSpaceDE w:val="0"/>
        <w:autoSpaceDN w:val="0"/>
        <w:adjustRightInd w:val="0"/>
        <w:spacing w:line="360" w:lineRule="auto"/>
        <w:ind w:right="215"/>
        <w:jc w:val="center"/>
        <w:rPr>
          <w:rFonts w:hAnsi="宋体"/>
          <w:b/>
          <w:sz w:val="32"/>
        </w:rPr>
      </w:pPr>
    </w:p>
    <w:p>
      <w:pPr>
        <w:autoSpaceDE w:val="0"/>
        <w:autoSpaceDN w:val="0"/>
        <w:adjustRightInd w:val="0"/>
        <w:spacing w:line="360" w:lineRule="auto"/>
        <w:ind w:right="215"/>
        <w:jc w:val="center"/>
        <w:rPr>
          <w:rFonts w:hAnsi="宋体"/>
          <w:b/>
          <w:sz w:val="32"/>
        </w:rPr>
      </w:pPr>
    </w:p>
    <w:p>
      <w:pPr>
        <w:autoSpaceDE w:val="0"/>
        <w:autoSpaceDN w:val="0"/>
        <w:adjustRightInd w:val="0"/>
        <w:spacing w:line="360" w:lineRule="auto"/>
        <w:ind w:right="215"/>
        <w:jc w:val="center"/>
        <w:rPr>
          <w:rFonts w:hAnsi="宋体"/>
          <w:b/>
          <w:sz w:val="32"/>
        </w:rPr>
      </w:pPr>
    </w:p>
    <w:p>
      <w:pPr>
        <w:autoSpaceDE w:val="0"/>
        <w:autoSpaceDN w:val="0"/>
        <w:adjustRightInd w:val="0"/>
        <w:spacing w:line="360" w:lineRule="auto"/>
        <w:ind w:right="215"/>
        <w:jc w:val="center"/>
        <w:rPr>
          <w:rFonts w:hAnsi="宋体"/>
          <w:b/>
          <w:sz w:val="32"/>
        </w:rPr>
      </w:pPr>
    </w:p>
    <w:p>
      <w:pPr>
        <w:tabs>
          <w:tab w:val="center" w:pos="4739"/>
        </w:tabs>
        <w:ind w:left="180"/>
        <w:jc w:val="right"/>
        <w:rPr>
          <w:sz w:val="32"/>
          <w:szCs w:val="32"/>
        </w:rPr>
      </w:pPr>
      <w:r>
        <w:rPr>
          <w:rFonts w:hint="eastAsia"/>
          <w:sz w:val="32"/>
          <w:szCs w:val="32"/>
        </w:rPr>
        <w:t>正（副）本</w:t>
      </w:r>
    </w:p>
    <w:p>
      <w:pPr>
        <w:tabs>
          <w:tab w:val="center" w:pos="4739"/>
        </w:tabs>
        <w:ind w:left="180"/>
        <w:jc w:val="center"/>
        <w:rPr>
          <w:rFonts w:ascii="黑体" w:eastAsia="黑体"/>
          <w:b/>
          <w:sz w:val="32"/>
        </w:rPr>
      </w:pPr>
      <w:r>
        <w:rPr>
          <w:rFonts w:hint="eastAsia" w:ascii="黑体" w:eastAsia="黑体"/>
          <w:b/>
          <w:sz w:val="32"/>
        </w:rPr>
        <w:t>　</w:t>
      </w:r>
    </w:p>
    <w:p>
      <w:pPr>
        <w:autoSpaceDE w:val="0"/>
        <w:autoSpaceDN w:val="0"/>
        <w:adjustRightInd w:val="0"/>
        <w:jc w:val="center"/>
        <w:rPr>
          <w:rFonts w:hAnsi="宋体" w:cs="黑体"/>
          <w:b/>
          <w:spacing w:val="60"/>
          <w:sz w:val="52"/>
          <w:szCs w:val="52"/>
        </w:rPr>
      </w:pPr>
      <w:r>
        <w:rPr>
          <w:rFonts w:hint="eastAsia" w:ascii="黑体" w:eastAsia="黑体"/>
          <w:b/>
          <w:sz w:val="36"/>
          <w:szCs w:val="36"/>
          <w:u w:val="single"/>
        </w:rPr>
        <w:t xml:space="preserve">                    (项目名称)     </w:t>
      </w:r>
    </w:p>
    <w:p>
      <w:pPr>
        <w:tabs>
          <w:tab w:val="center" w:pos="4739"/>
        </w:tabs>
        <w:ind w:left="180"/>
        <w:jc w:val="center"/>
        <w:rPr>
          <w:rFonts w:ascii="黑体" w:eastAsia="黑体"/>
          <w:b/>
          <w:sz w:val="36"/>
          <w:szCs w:val="36"/>
        </w:rPr>
      </w:pPr>
    </w:p>
    <w:p>
      <w:pPr>
        <w:tabs>
          <w:tab w:val="center" w:pos="4739"/>
        </w:tabs>
        <w:ind w:left="180"/>
        <w:rPr>
          <w:sz w:val="36"/>
          <w:szCs w:val="36"/>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jc w:val="center"/>
        <w:rPr>
          <w:b/>
          <w:sz w:val="32"/>
          <w:szCs w:val="32"/>
        </w:rPr>
      </w:pPr>
      <w:r>
        <w:rPr>
          <w:rFonts w:hint="eastAsia"/>
          <w:b/>
          <w:sz w:val="32"/>
          <w:szCs w:val="32"/>
        </w:rPr>
        <w:t>（技术标）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年</w:t>
      </w:r>
      <w:r>
        <w:rPr>
          <w:rFonts w:hint="eastAsia" w:ascii="黑体" w:eastAsia="黑体"/>
          <w:b/>
          <w:sz w:val="32"/>
          <w:lang w:val="en-US" w:eastAsia="zh-CN"/>
        </w:rPr>
        <w:t xml:space="preserve">  </w:t>
      </w:r>
      <w:r>
        <w:rPr>
          <w:rFonts w:hint="eastAsia" w:ascii="黑体" w:eastAsia="黑体"/>
          <w:b/>
          <w:sz w:val="32"/>
        </w:rPr>
        <w:t>月</w:t>
      </w:r>
      <w:r>
        <w:rPr>
          <w:rFonts w:hint="eastAsia" w:ascii="黑体" w:eastAsia="黑体"/>
          <w:b/>
          <w:sz w:val="32"/>
          <w:lang w:val="en-US" w:eastAsia="zh-CN"/>
        </w:rPr>
        <w:t xml:space="preserve">   </w:t>
      </w:r>
      <w:r>
        <w:rPr>
          <w:rFonts w:hint="eastAsia" w:ascii="黑体" w:eastAsia="黑体"/>
          <w:b/>
          <w:sz w:val="32"/>
        </w:rPr>
        <w:t>日</w:t>
      </w:r>
    </w:p>
    <w:p>
      <w:pPr>
        <w:autoSpaceDE w:val="0"/>
        <w:autoSpaceDN w:val="0"/>
        <w:spacing w:line="540" w:lineRule="exact"/>
        <w:jc w:val="center"/>
        <w:rPr>
          <w:rFonts w:hAnsi="宋体" w:cs="宋体"/>
          <w:b/>
          <w:sz w:val="36"/>
          <w:szCs w:val="36"/>
        </w:rPr>
      </w:pPr>
      <w:r>
        <w:rPr>
          <w:rFonts w:hAnsi="宋体" w:cs="宋体"/>
          <w:b/>
          <w:sz w:val="36"/>
          <w:szCs w:val="36"/>
        </w:rPr>
        <w:br w:type="page"/>
      </w:r>
    </w:p>
    <w:p>
      <w:pPr>
        <w:autoSpaceDE w:val="0"/>
        <w:autoSpaceDN w:val="0"/>
        <w:spacing w:line="540" w:lineRule="exact"/>
        <w:jc w:val="center"/>
        <w:rPr>
          <w:rFonts w:hAnsi="宋体" w:cs="宋体"/>
          <w:b/>
          <w:sz w:val="44"/>
          <w:szCs w:val="44"/>
        </w:rPr>
      </w:pPr>
      <w:r>
        <w:rPr>
          <w:rFonts w:hint="eastAsia" w:hAnsi="宋体" w:cs="宋体"/>
          <w:b/>
          <w:sz w:val="44"/>
          <w:szCs w:val="44"/>
        </w:rPr>
        <w:t>目  录</w:t>
      </w:r>
    </w:p>
    <w:p>
      <w:pPr>
        <w:autoSpaceDE w:val="0"/>
        <w:autoSpaceDN w:val="0"/>
        <w:spacing w:line="540" w:lineRule="exact"/>
        <w:jc w:val="center"/>
        <w:rPr>
          <w:rFonts w:hAnsi="宋体" w:cs="宋体"/>
          <w:b/>
          <w:sz w:val="36"/>
          <w:szCs w:val="36"/>
        </w:rPr>
      </w:pP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（1）内容完整性；</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（2）主要施工方案和技术措施；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（5）文明施工、环境保护管理体系及施工现场扬尘治理措施；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（6）工期保证措施；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（8）施工进度表与网络计划图；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（9）施工总平面图布置；</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（10）技术创新的应用实施措施；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（11）采用新工艺、新技术、新设备、新材料、BIM等的程度；</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（12）施工现场实施信息化监控和数据处理；</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（13）风险管理措施。</w:t>
      </w:r>
    </w:p>
    <w:p>
      <w:pPr>
        <w:autoSpaceDE w:val="0"/>
        <w:autoSpaceDN w:val="0"/>
        <w:spacing w:line="540" w:lineRule="exact"/>
        <w:ind w:firstLine="520" w:firstLineChars="200"/>
        <w:jc w:val="left"/>
        <w:rPr>
          <w:rFonts w:hAnsi="宋体" w:cs="宋体"/>
          <w:b/>
          <w:sz w:val="26"/>
          <w:szCs w:val="26"/>
        </w:rPr>
      </w:pPr>
    </w:p>
    <w:p>
      <w:pPr>
        <w:autoSpaceDE w:val="0"/>
        <w:autoSpaceDN w:val="0"/>
        <w:adjustRightInd w:val="0"/>
        <w:spacing w:line="420" w:lineRule="exact"/>
        <w:jc w:val="center"/>
        <w:rPr>
          <w:rFonts w:hAnsi="宋体" w:cs="宋体"/>
          <w:b/>
          <w:sz w:val="26"/>
          <w:szCs w:val="26"/>
        </w:rPr>
      </w:pPr>
    </w:p>
    <w:p/>
    <w:sectPr>
      <w:headerReference r:id="rId3" w:type="default"/>
      <w:footerReference r:id="rId4" w:type="default"/>
      <w:footerReference r:id="rId5" w:type="even"/>
      <w:pgSz w:w="11906" w:h="16838"/>
      <w:pgMar w:top="1304" w:right="1531" w:bottom="1304" w:left="1531"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MS Mincho">
    <w:panose1 w:val="02020609040205080304"/>
    <w:charset w:val="80"/>
    <w:family w:val="modern"/>
    <w:pitch w:val="default"/>
    <w:sig w:usb0="E00002FF" w:usb1="6AC7FDFB" w:usb2="00000012" w:usb3="00000000" w:csb0="4002009F" w:csb1="DFD70000"/>
  </w:font>
  <w:font w:name="方正大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0"/>
      </w:pBdr>
      <w:ind w:right="360"/>
      <w:jc w:val="center"/>
    </w:pPr>
    <w:r>
      <w:fldChar w:fldCharType="begin"/>
    </w:r>
    <w:r>
      <w:rPr>
        <w:rStyle w:val="13"/>
      </w:rPr>
      <w:instrText xml:space="preserve"> PAGE </w:instrText>
    </w:r>
    <w:r>
      <w:fldChar w:fldCharType="separate"/>
    </w:r>
    <w:r>
      <w:rPr>
        <w:rStyle w:val="13"/>
      </w:rP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fldChar w:fldCharType="begin"/>
    </w:r>
    <w:r>
      <w:rPr>
        <w:rStyle w:val="13"/>
      </w:rPr>
      <w:instrText xml:space="preserve">PAGE  </w:instrText>
    </w:r>
    <w:r>
      <w:fldChar w:fldCharType="separate"/>
    </w:r>
    <w:r>
      <w:rPr>
        <w:rStyle w:val="13"/>
      </w:rPr>
      <w:t>33</w:t>
    </w:r>
    <w:r>
      <w:fldChar w:fldCharType="end"/>
    </w:r>
  </w:p>
  <w:p>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rPr>
        <w:rFonts w:ascii="楷体_GB2312" w:hAnsi="楷体" w:eastAsia="楷体_GB2312" w:cs="楷体"/>
        <w:b/>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97714E"/>
    <w:multiLevelType w:val="singleLevel"/>
    <w:tmpl w:val="9297714E"/>
    <w:lvl w:ilvl="0" w:tentative="0">
      <w:start w:val="7"/>
      <w:numFmt w:val="chineseCounting"/>
      <w:suff w:val="nothing"/>
      <w:lvlText w:val="%1、"/>
      <w:lvlJc w:val="left"/>
      <w:rPr>
        <w:rFonts w:hint="eastAsia"/>
      </w:rPr>
    </w:lvl>
  </w:abstractNum>
  <w:abstractNum w:abstractNumId="1">
    <w:nsid w:val="46967C26"/>
    <w:multiLevelType w:val="singleLevel"/>
    <w:tmpl w:val="46967C26"/>
    <w:lvl w:ilvl="0" w:tentative="0">
      <w:start w:val="6"/>
      <w:numFmt w:val="decimal"/>
      <w:suff w:val="nothing"/>
      <w:lvlText w:val="%1、"/>
      <w:lvlJc w:val="left"/>
    </w:lvl>
  </w:abstractNum>
  <w:abstractNum w:abstractNumId="2">
    <w:nsid w:val="5754D847"/>
    <w:multiLevelType w:val="singleLevel"/>
    <w:tmpl w:val="5754D847"/>
    <w:lvl w:ilvl="0" w:tentative="0">
      <w:start w:val="2"/>
      <w:numFmt w:val="decimal"/>
      <w:suff w:val="space"/>
      <w:lvlText w:val="%1."/>
      <w:lvlJc w:val="left"/>
    </w:lvl>
  </w:abstractNum>
  <w:abstractNum w:abstractNumId="3">
    <w:nsid w:val="66150E19"/>
    <w:multiLevelType w:val="multilevel"/>
    <w:tmpl w:val="66150E19"/>
    <w:lvl w:ilvl="0" w:tentative="0">
      <w:start w:val="2"/>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3"/>
    <w:lvlOverride w:ilvl="0">
      <w:startOverride w:val="2"/>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D5801D8"/>
    <w:rsid w:val="0019126E"/>
    <w:rsid w:val="00595A40"/>
    <w:rsid w:val="00EC0535"/>
    <w:rsid w:val="01F35FBE"/>
    <w:rsid w:val="03555BA4"/>
    <w:rsid w:val="04DD0F4C"/>
    <w:rsid w:val="067D2913"/>
    <w:rsid w:val="08257C7A"/>
    <w:rsid w:val="0C582145"/>
    <w:rsid w:val="0CA1123F"/>
    <w:rsid w:val="0F41072E"/>
    <w:rsid w:val="11C873B4"/>
    <w:rsid w:val="12F941B9"/>
    <w:rsid w:val="141651F7"/>
    <w:rsid w:val="19443669"/>
    <w:rsid w:val="1AF8758C"/>
    <w:rsid w:val="1B5105E7"/>
    <w:rsid w:val="1E537242"/>
    <w:rsid w:val="1F1F0CB9"/>
    <w:rsid w:val="20700A1A"/>
    <w:rsid w:val="228B7C79"/>
    <w:rsid w:val="22C823B1"/>
    <w:rsid w:val="248C10DA"/>
    <w:rsid w:val="25CD3E50"/>
    <w:rsid w:val="2C4D7B24"/>
    <w:rsid w:val="334B5CBE"/>
    <w:rsid w:val="35F634D6"/>
    <w:rsid w:val="36220549"/>
    <w:rsid w:val="371A3B67"/>
    <w:rsid w:val="38955661"/>
    <w:rsid w:val="3A766BE4"/>
    <w:rsid w:val="3C7E386B"/>
    <w:rsid w:val="3F9D13B9"/>
    <w:rsid w:val="40CF2FDF"/>
    <w:rsid w:val="441E2394"/>
    <w:rsid w:val="443A7A94"/>
    <w:rsid w:val="47AE59EA"/>
    <w:rsid w:val="4B497FEC"/>
    <w:rsid w:val="4BB4110B"/>
    <w:rsid w:val="4C8E4A67"/>
    <w:rsid w:val="4D4C2F5C"/>
    <w:rsid w:val="50A70730"/>
    <w:rsid w:val="541C6967"/>
    <w:rsid w:val="553801BE"/>
    <w:rsid w:val="561A3930"/>
    <w:rsid w:val="58CB4EA2"/>
    <w:rsid w:val="5BBF032C"/>
    <w:rsid w:val="5EC36501"/>
    <w:rsid w:val="60D047B8"/>
    <w:rsid w:val="637D5E6A"/>
    <w:rsid w:val="63850EE0"/>
    <w:rsid w:val="6A2D1A2F"/>
    <w:rsid w:val="6B7944DD"/>
    <w:rsid w:val="6D535020"/>
    <w:rsid w:val="6FEB609B"/>
    <w:rsid w:val="70723B56"/>
    <w:rsid w:val="71815EA8"/>
    <w:rsid w:val="72AD68E4"/>
    <w:rsid w:val="741C2401"/>
    <w:rsid w:val="7429136A"/>
    <w:rsid w:val="76493516"/>
    <w:rsid w:val="789E2EC3"/>
    <w:rsid w:val="7AA17160"/>
    <w:rsid w:val="7BB77A35"/>
    <w:rsid w:val="7D5801D8"/>
    <w:rsid w:val="7E2E70F6"/>
    <w:rsid w:val="7E3C689E"/>
    <w:rsid w:val="7F2226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Times New Roman"/>
      <w:sz w:val="34"/>
      <w:lang w:val="en-US" w:eastAsia="zh-CN" w:bidi="ar-SA"/>
    </w:rPr>
  </w:style>
  <w:style w:type="paragraph" w:styleId="4">
    <w:name w:val="heading 1"/>
    <w:basedOn w:val="1"/>
    <w:next w:val="1"/>
    <w:qFormat/>
    <w:uiPriority w:val="0"/>
    <w:pPr>
      <w:keepNext/>
      <w:keepLines/>
      <w:spacing w:line="578" w:lineRule="auto"/>
      <w:outlineLvl w:val="0"/>
    </w:pPr>
    <w:rPr>
      <w:b/>
      <w:bCs/>
      <w:kern w:val="44"/>
      <w:sz w:val="44"/>
      <w:szCs w:val="44"/>
    </w:rPr>
  </w:style>
  <w:style w:type="paragraph" w:styleId="5">
    <w:name w:val="heading 3"/>
    <w:basedOn w:val="1"/>
    <w:next w:val="1"/>
    <w:qFormat/>
    <w:uiPriority w:val="0"/>
    <w:pPr>
      <w:keepNext/>
      <w:keepLines/>
      <w:spacing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beforeAutospacing="1"/>
      <w:ind w:firstLine="420" w:firstLineChars="100"/>
    </w:pPr>
  </w:style>
  <w:style w:type="paragraph" w:styleId="3">
    <w:name w:val="Body Text"/>
    <w:basedOn w:val="1"/>
    <w:qFormat/>
    <w:uiPriority w:val="1"/>
  </w:style>
  <w:style w:type="paragraph" w:styleId="6">
    <w:name w:val="Body Text 3"/>
    <w:basedOn w:val="1"/>
    <w:qFormat/>
    <w:uiPriority w:val="0"/>
    <w:pPr>
      <w:spacing w:after="120"/>
    </w:pPr>
    <w:rPr>
      <w:sz w:val="16"/>
      <w:szCs w:val="16"/>
    </w:rPr>
  </w:style>
  <w:style w:type="paragraph" w:styleId="7">
    <w:name w:val="Balloon Text"/>
    <w:basedOn w:val="1"/>
    <w:link w:val="22"/>
    <w:qFormat/>
    <w:uiPriority w:val="0"/>
    <w:rPr>
      <w:sz w:val="18"/>
      <w:szCs w:val="18"/>
    </w:rPr>
  </w:style>
  <w:style w:type="paragraph" w:styleId="8">
    <w:name w:val="footer"/>
    <w:basedOn w:val="1"/>
    <w:qFormat/>
    <w:uiPriority w:val="99"/>
    <w:pPr>
      <w:tabs>
        <w:tab w:val="center" w:pos="4153"/>
        <w:tab w:val="right" w:pos="8306"/>
      </w:tabs>
      <w:snapToGrid w:val="0"/>
      <w:jc w:val="left"/>
    </w:pPr>
    <w:rPr>
      <w:rFonts w:ascii="Times New Roman"/>
      <w:kern w:val="2"/>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Message Header"/>
    <w:basedOn w:val="1"/>
    <w:next w:val="1"/>
    <w:unhideWhenUsed/>
    <w:qFormat/>
    <w:uiPriority w:val="99"/>
    <w:pPr>
      <w:spacing w:before="100" w:beforeAutospacing="1" w:after="100" w:afterAutospacing="1"/>
      <w:ind w:left="1080" w:leftChars="500" w:hanging="1080" w:hangingChars="500"/>
    </w:pPr>
    <w:rPr>
      <w:rFonts w:ascii="Arial" w:hAnsi="Arial"/>
      <w:sz w:val="24"/>
      <w:szCs w:val="24"/>
    </w:rPr>
  </w:style>
  <w:style w:type="character" w:styleId="13">
    <w:name w:val="page number"/>
    <w:basedOn w:val="12"/>
    <w:qFormat/>
    <w:uiPriority w:val="0"/>
  </w:style>
  <w:style w:type="character" w:styleId="14">
    <w:name w:val="Hyperlink"/>
    <w:qFormat/>
    <w:uiPriority w:val="0"/>
    <w:rPr>
      <w:color w:val="000000"/>
      <w:u w:val="none"/>
    </w:rPr>
  </w:style>
  <w:style w:type="paragraph" w:customStyle="1" w:styleId="1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6">
    <w:name w:val="样式 标题 3 + (中文) 黑体 小四 非加粗 段前: 7.8 磅 段后: 0 磅 行距: 固定值 20 磅"/>
    <w:basedOn w:val="5"/>
    <w:qFormat/>
    <w:uiPriority w:val="0"/>
    <w:pPr>
      <w:spacing w:line="400" w:lineRule="exact"/>
    </w:pPr>
    <w:rPr>
      <w:rFonts w:eastAsia="黑体" w:cs="宋体"/>
      <w:b w:val="0"/>
      <w:bCs w:val="0"/>
      <w:sz w:val="24"/>
      <w:szCs w:val="20"/>
    </w:rPr>
  </w:style>
  <w:style w:type="paragraph" w:customStyle="1" w:styleId="17">
    <w:name w:val="Heading #2|1"/>
    <w:basedOn w:val="1"/>
    <w:qFormat/>
    <w:uiPriority w:val="0"/>
    <w:pPr>
      <w:shd w:val="clear" w:color="auto" w:fill="FFFFFF"/>
      <w:spacing w:before="200" w:line="320" w:lineRule="exact"/>
      <w:jc w:val="center"/>
      <w:outlineLvl w:val="1"/>
    </w:pPr>
    <w:rPr>
      <w:rFonts w:ascii="PMingLiU" w:hAnsi="PMingLiU" w:eastAsia="PMingLiU" w:cs="PMingLiU"/>
      <w:sz w:val="32"/>
      <w:szCs w:val="32"/>
    </w:rPr>
  </w:style>
  <w:style w:type="paragraph" w:customStyle="1" w:styleId="18">
    <w:name w:val="Body text|2"/>
    <w:basedOn w:val="1"/>
    <w:link w:val="20"/>
    <w:qFormat/>
    <w:uiPriority w:val="0"/>
    <w:pPr>
      <w:shd w:val="clear" w:color="auto" w:fill="FFFFFF"/>
      <w:spacing w:after="1680" w:line="300" w:lineRule="exact"/>
      <w:jc w:val="center"/>
    </w:pPr>
    <w:rPr>
      <w:rFonts w:ascii="PMingLiU" w:hAnsi="PMingLiU" w:eastAsia="PMingLiU" w:cs="PMingLiU"/>
      <w:spacing w:val="20"/>
      <w:sz w:val="30"/>
      <w:szCs w:val="30"/>
    </w:rPr>
  </w:style>
  <w:style w:type="character" w:customStyle="1" w:styleId="19">
    <w:name w:val="Body text|2 + 9.5 pt"/>
    <w:basedOn w:val="20"/>
    <w:unhideWhenUsed/>
    <w:qFormat/>
    <w:uiPriority w:val="0"/>
    <w:rPr>
      <w:color w:val="000000"/>
      <w:spacing w:val="0"/>
      <w:w w:val="100"/>
      <w:position w:val="0"/>
      <w:sz w:val="19"/>
      <w:szCs w:val="19"/>
      <w:lang w:val="zh-CN" w:eastAsia="zh-CN" w:bidi="zh-CN"/>
    </w:rPr>
  </w:style>
  <w:style w:type="character" w:customStyle="1" w:styleId="20">
    <w:name w:val="Body text|2_"/>
    <w:basedOn w:val="12"/>
    <w:link w:val="18"/>
    <w:qFormat/>
    <w:uiPriority w:val="0"/>
    <w:rPr>
      <w:rFonts w:ascii="PMingLiU" w:hAnsi="PMingLiU" w:eastAsia="PMingLiU" w:cs="PMingLiU"/>
      <w:spacing w:val="20"/>
      <w:sz w:val="30"/>
      <w:szCs w:val="30"/>
      <w:u w:val="none"/>
    </w:rPr>
  </w:style>
  <w:style w:type="paragraph" w:customStyle="1" w:styleId="21">
    <w:name w:val="Body text|4"/>
    <w:basedOn w:val="1"/>
    <w:qFormat/>
    <w:uiPriority w:val="0"/>
    <w:pPr>
      <w:shd w:val="clear" w:color="auto" w:fill="FFFFFF"/>
      <w:spacing w:after="500" w:line="300" w:lineRule="exact"/>
      <w:ind w:hanging="180"/>
    </w:pPr>
    <w:rPr>
      <w:rFonts w:ascii="PMingLiU" w:hAnsi="PMingLiU" w:eastAsia="PMingLiU" w:cs="PMingLiU"/>
      <w:b/>
      <w:bCs/>
      <w:sz w:val="30"/>
      <w:szCs w:val="30"/>
    </w:rPr>
  </w:style>
  <w:style w:type="character" w:customStyle="1" w:styleId="22">
    <w:name w:val="批注框文本 Char"/>
    <w:basedOn w:val="12"/>
    <w:link w:val="7"/>
    <w:qFormat/>
    <w:uiPriority w:val="0"/>
    <w:rPr>
      <w:rFonts w:ascii="宋体" w:hAnsi="Calibri"/>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76</Pages>
  <Words>41392</Words>
  <Characters>6027</Characters>
  <Lines>50</Lines>
  <Paragraphs>94</Paragraphs>
  <TotalTime>0</TotalTime>
  <ScaleCrop>false</ScaleCrop>
  <LinksUpToDate>false</LinksUpToDate>
  <CharactersWithSpaces>47325</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2019-12-03T03:19:00Z</dcterms:created>
  <dc:creator>Administrator</dc:creator>
  <cp:lastModifiedBy>中科经纬工程技术有限公司:闫鹏生</cp:lastModifiedBy>
  <cp:lastPrinted>2019-12-11T03:11:00Z</cp:lastPrinted>
  <dcterms:modified xsi:type="dcterms:W3CDTF">2019-12-13T02:20:33Z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