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rFonts w:hint="eastAsia" w:ascii="黑体" w:hAnsi="黑体" w:eastAsia="黑体" w:cs="黑体"/>
          <w:color w:val="000000"/>
          <w:sz w:val="36"/>
          <w:szCs w:val="36"/>
        </w:rPr>
      </w:pPr>
    </w:p>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w:t>
      </w:r>
      <w:r>
        <w:rPr>
          <w:rFonts w:hint="eastAsia" w:ascii="黑体" w:hAnsi="黑体" w:eastAsia="黑体" w:cs="黑体"/>
          <w:b/>
          <w:bCs/>
          <w:sz w:val="36"/>
          <w:szCs w:val="36"/>
          <w:lang w:eastAsia="zh-CN"/>
        </w:rPr>
        <w:t>武警中队“智慧磐石”执勤装备采购</w:t>
      </w:r>
      <w:r>
        <w:rPr>
          <w:rFonts w:hint="eastAsia" w:ascii="黑体" w:hAnsi="黑体" w:eastAsia="黑体" w:cs="黑体"/>
          <w:b/>
          <w:bCs/>
          <w:sz w:val="36"/>
          <w:szCs w:val="36"/>
        </w:rPr>
        <w:t>项目</w:t>
      </w: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公安局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318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禹州市武警中队“智慧磐石”执勤装备采购项目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spacing w:line="400" w:lineRule="exact"/>
        <w:ind w:firstLine="640" w:firstLineChars="200"/>
        <w:jc w:val="left"/>
        <w:rPr>
          <w:rFonts w:ascii="仿宋" w:hAnsi="仿宋" w:eastAsia="仿宋" w:cs="仿宋_GB2312"/>
          <w:sz w:val="32"/>
          <w:szCs w:val="32"/>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w:t>
      </w:r>
      <w:r>
        <w:rPr>
          <w:rFonts w:hint="eastAsia" w:ascii="新宋体" w:hAnsi="新宋体" w:eastAsia="新宋体" w:cs="新宋体"/>
          <w:sz w:val="24"/>
          <w:szCs w:val="24"/>
          <w:lang w:eastAsia="zh-CN"/>
        </w:rPr>
        <w:t>受</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公局</w:t>
      </w:r>
      <w:r>
        <w:rPr>
          <w:rFonts w:hint="eastAsia" w:ascii="新宋体" w:hAnsi="新宋体" w:eastAsia="新宋体" w:cs="新宋体"/>
          <w:sz w:val="24"/>
          <w:szCs w:val="24"/>
        </w:rPr>
        <w:t>的委托，就“禹州市武警中队“智慧磐石”执勤装备采购项目”进行公开招标，欢迎合格的投标人前来投标。</w:t>
      </w:r>
    </w:p>
    <w:p>
      <w:pPr>
        <w:pStyle w:val="61"/>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00" w:lineRule="exact"/>
        <w:ind w:left="0" w:leftChars="0"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rPr>
        <w:t>采购人：禹州市公安</w:t>
      </w:r>
      <w:r>
        <w:rPr>
          <w:rFonts w:hint="eastAsia" w:ascii="新宋体" w:hAnsi="新宋体" w:eastAsia="新宋体" w:cs="新宋体"/>
          <w:sz w:val="24"/>
          <w:szCs w:val="24"/>
          <w:lang w:eastAsia="zh-CN"/>
        </w:rPr>
        <w:t>局</w:t>
      </w:r>
    </w:p>
    <w:p>
      <w:pPr>
        <w:widowControl/>
        <w:numPr>
          <w:ilvl w:val="0"/>
          <w:numId w:val="6"/>
        </w:numPr>
        <w:shd w:val="clear" w:color="auto" w:fill="FFFFFF"/>
        <w:spacing w:line="400" w:lineRule="exact"/>
        <w:ind w:left="0" w:leftChars="0"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sz w:val="24"/>
          <w:szCs w:val="24"/>
        </w:rPr>
        <w:t>禹州市武警中队“智慧磐石”执勤装备采购项目</w:t>
      </w:r>
    </w:p>
    <w:p>
      <w:pPr>
        <w:widowControl/>
        <w:numPr>
          <w:ilvl w:val="0"/>
          <w:numId w:val="6"/>
        </w:numPr>
        <w:shd w:val="clear" w:color="auto" w:fill="FFFFFF"/>
        <w:spacing w:line="400" w:lineRule="exact"/>
        <w:ind w:left="0" w:leftChars="0"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318</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项目需求：哨位集成箱、应急报警控制、终端枪弹控制主机等（详见招标文件）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60.2</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60.2</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且具有</w:t>
      </w:r>
      <w:r>
        <w:rPr>
          <w:rFonts w:hint="eastAsia" w:ascii="新宋体" w:hAnsi="新宋体" w:eastAsia="新宋体" w:cs="新宋体"/>
          <w:sz w:val="24"/>
          <w:szCs w:val="24"/>
        </w:rPr>
        <w:t>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9"/>
          <w:rFonts w:hint="eastAsia" w:ascii="新宋体" w:hAnsi="新宋体" w:eastAsia="新宋体" w:cs="新宋体"/>
          <w:sz w:val="24"/>
          <w:szCs w:val="24"/>
          <w:lang w:val="zh-CN"/>
        </w:rPr>
        <w:t>http://</w:t>
      </w:r>
      <w:r>
        <w:rPr>
          <w:rStyle w:val="29"/>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1</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禹州市公安</w:t>
      </w:r>
      <w:r>
        <w:rPr>
          <w:rFonts w:hint="eastAsia" w:ascii="新宋体" w:hAnsi="新宋体" w:eastAsia="新宋体" w:cs="新宋体"/>
          <w:sz w:val="24"/>
          <w:szCs w:val="24"/>
          <w:lang w:eastAsia="zh-CN"/>
        </w:rPr>
        <w:t>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华夏大道</w:t>
      </w:r>
      <w:r>
        <w:rPr>
          <w:rFonts w:hint="eastAsia" w:ascii="新宋体" w:hAnsi="新宋体" w:eastAsia="新宋体" w:cs="新宋体"/>
          <w:color w:val="000000"/>
          <w:kern w:val="0"/>
          <w:sz w:val="24"/>
          <w:szCs w:val="24"/>
          <w:lang w:val="en-US" w:eastAsia="zh-CN"/>
        </w:rPr>
        <w:t xml:space="preserve"> </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董先生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18839906082</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 xml:space="preserve">    </w:t>
      </w:r>
    </w:p>
    <w:p>
      <w:pPr>
        <w:spacing w:line="360" w:lineRule="auto"/>
        <w:rPr>
          <w:rFonts w:ascii="仿宋" w:hAnsi="仿宋" w:eastAsia="仿宋" w:cs="仿宋"/>
          <w:b/>
          <w:sz w:val="32"/>
          <w:szCs w:val="32"/>
        </w:rPr>
      </w:pPr>
    </w:p>
    <w:p>
      <w:pPr>
        <w:pStyle w:val="30"/>
        <w:keepNext w:val="0"/>
        <w:keepLines w:val="0"/>
        <w:pageBreakBefore w:val="0"/>
        <w:kinsoku/>
        <w:overflowPunct/>
        <w:bidi w:val="0"/>
        <w:spacing w:line="360" w:lineRule="auto"/>
        <w:textAlignment w:val="auto"/>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cs="仿宋_GB2312" w:asciiTheme="minorEastAsia" w:hAnsiTheme="minorEastAsia"/>
          <w:color w:val="000000"/>
          <w:sz w:val="24"/>
          <w:szCs w:val="24"/>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numPr>
          <w:ilvl w:val="0"/>
          <w:numId w:val="7"/>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lang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通过这次设备的采购，逐步打造并实现智慧监所。</w:t>
      </w:r>
    </w:p>
    <w:p>
      <w:pPr>
        <w:pStyle w:val="65"/>
        <w:widowControl/>
        <w:numPr>
          <w:ilvl w:val="0"/>
          <w:numId w:val="0"/>
        </w:numPr>
        <w:shd w:val="clear" w:color="auto" w:fill="FFFFFF"/>
        <w:spacing w:line="360" w:lineRule="auto"/>
        <w:ind w:left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4"/>
        <w:tblW w:w="9840" w:type="dxa"/>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773"/>
        <w:gridCol w:w="142"/>
        <w:gridCol w:w="3862"/>
        <w:gridCol w:w="928"/>
        <w:gridCol w:w="960"/>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序号</w:t>
            </w:r>
          </w:p>
        </w:tc>
        <w:tc>
          <w:tcPr>
            <w:tcW w:w="1773"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货物</w:t>
            </w:r>
            <w:r>
              <w:rPr>
                <w:rFonts w:hint="eastAsia" w:ascii="新宋体" w:hAnsi="新宋体" w:eastAsia="新宋体" w:cs="新宋体"/>
                <w:color w:val="000000"/>
                <w:kern w:val="0"/>
                <w:sz w:val="24"/>
                <w:szCs w:val="24"/>
              </w:rPr>
              <w:t>名称</w:t>
            </w:r>
          </w:p>
        </w:tc>
        <w:tc>
          <w:tcPr>
            <w:tcW w:w="4004"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技术规格及主要参数</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单位</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数量</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是否为核心产品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40" w:type="dxa"/>
            <w:gridSpan w:val="7"/>
            <w:noWrap w:val="0"/>
            <w:vAlign w:val="center"/>
          </w:tcPr>
          <w:p>
            <w:pPr>
              <w:widowControl/>
              <w:shd w:val="clear" w:color="auto" w:fill="FFFFFF"/>
              <w:spacing w:line="360" w:lineRule="auto"/>
              <w:ind w:firstLine="60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哨位集成系统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915"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哨位集成箱</w:t>
            </w:r>
          </w:p>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（双屏）</w:t>
            </w:r>
          </w:p>
        </w:tc>
        <w:tc>
          <w:tcPr>
            <w:tcW w:w="3862"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满足武警部队“智慧磐石”工程哨位信息化终端技术要求。综合图像显示、视频控制、哨位报警、指挥通信、语音对讲、弹药管控、指纹查勤等功能于一体。</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1915"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哨位集成箱</w:t>
            </w:r>
          </w:p>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（三屏）</w:t>
            </w:r>
          </w:p>
        </w:tc>
        <w:tc>
          <w:tcPr>
            <w:tcW w:w="3862"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满足武警部队“智慧磐石”工程哨位信息化终端技术要求。综合图像显示、视频控制、哨位报警、指挥通信、语音对讲、弹药管控、指纹查勤等功能于一体。</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1915"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定制多业务</w:t>
            </w:r>
          </w:p>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光端机</w:t>
            </w:r>
          </w:p>
        </w:tc>
        <w:tc>
          <w:tcPr>
            <w:tcW w:w="3862"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光发射机-4路正向视频-8路正向开关量-8路反向开关量-1路双向RS485-1路S232-2路电话-4路10/100/1000M以太网（共享）-电源220VAC-FC接口-20Km-机架式。</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1915"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语音对讲分机</w:t>
            </w:r>
          </w:p>
        </w:tc>
        <w:tc>
          <w:tcPr>
            <w:tcW w:w="3862"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1.扬声器：1路，内部集成，输出功率≧3W；麦克风：1路，内部集成，输入灵敏度10mV；2.采样频率：16KHz ～48KHz；音频格式：MP3、WAV等；3.网络接口：1路，10/100Mbps 自适应以太网，RJ45接口；4.音频接口：鹅颈麦（标配）；音量调节：滚轮式调节钮调；5.电源供电：DC12V±20%，支持反接保护；设备功耗：&lt;6W；6.工作湿度：10%～95%（无冷凝）；工作温度：-20℃～ +55℃。</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1915"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应急报警</w:t>
            </w:r>
          </w:p>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控制终端</w:t>
            </w:r>
          </w:p>
        </w:tc>
        <w:tc>
          <w:tcPr>
            <w:tcW w:w="3862"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1.分类报警：不少于脱逃、暴狱、劫持、袭击、灾害等5种报警；</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2.报警模式：相应报警灯闪烁，扬声器循环语音播报。</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1915" w:type="dxa"/>
            <w:gridSpan w:val="2"/>
            <w:noWrap w:val="0"/>
            <w:vAlign w:val="center"/>
          </w:tcPr>
          <w:p>
            <w:pPr>
              <w:widowControl/>
              <w:shd w:val="clear" w:color="auto" w:fill="FFFFFF"/>
              <w:spacing w:line="360" w:lineRule="auto"/>
              <w:jc w:val="both"/>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枪弹控制主机</w:t>
            </w:r>
          </w:p>
        </w:tc>
        <w:tc>
          <w:tcPr>
            <w:tcW w:w="3862" w:type="dxa"/>
            <w:noWrap w:val="0"/>
            <w:vAlign w:val="center"/>
          </w:tcPr>
          <w:p>
            <w:pPr>
              <w:widowControl/>
              <w:shd w:val="clear" w:color="auto" w:fill="FFFFFF"/>
              <w:spacing w:line="360" w:lineRule="auto"/>
              <w:ind w:firstLine="6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与哨位系统配套使用</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1915"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武警中队级执勤管控服务器</w:t>
            </w:r>
          </w:p>
        </w:tc>
        <w:tc>
          <w:tcPr>
            <w:tcW w:w="3862"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1.Intel E5系列多核处理器、标配16G内存（最大支持64G）、标配4T硬盘；</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2.支持不低于4路1000Mbps以太网络RJ45接口、4个USB3.0接口、4个USB2.0接口；</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3.视频接口：不低于1个VGA视频接口，支持1920*1080@30fps；1个数字显示接口，支持3840*2160@30fps；</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4.串行接口：1个RS232 DB9串行接口；扩展插槽：1个PCI-E3.0 X8扩展槽；</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5.设备：标准1U机架式；.视频监控：支持显示哨位前置、弹箱、环境监控；支持轮询、分屏、分页、分组显示；支持最多128 路 D1视频转发各哨位集成箱解码；</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8.弹箱管控：支持实时显示哨位弹箱开关状态；支持单独供弹、全部供弹、拒绝供弹等；</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9.枪支离位：支持实时显示哨位枪支在位状态；支持检测到枪支离位信息发出告警提示；</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报警联动：支持接入哨位按键报警、智能分析报警、警戒雷达报警、超级报警网关报警信息。服务器收到报警后，联动弹出关联监控视频，并将警情推送到声光报警灯、哨位集成箱设备。支持客户端软件、应急报警控制终端主动发布各类警情及解除报警；</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11.人员信息：支持人员身份信息添加、权限设置和指纹录入，支持将信息下发到各哨位；</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12.查勤换哨：支持干部查勤或者哨兵换哨时，哨位指纹比对，自动记录查勤、换哨信息；</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13.统计查询：支持人员数据、各类报警、查勤换哨和系统操作等记录和查询。</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1915"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哨位执勤管控系统软件</w:t>
            </w:r>
          </w:p>
        </w:tc>
        <w:tc>
          <w:tcPr>
            <w:tcW w:w="3862"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1、管理所有哨位执勤硬件设备的配置；</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2、实时查看各哨位及周界监控的视频；</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3、当发生警情时，可通过软件进行供弹、取消报警灯功能；</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4、同步枪支离位报警信息、设备状态；</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5、可对拓展性报警灯LED屏进行内容修改。</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1915"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声光报警器</w:t>
            </w:r>
          </w:p>
        </w:tc>
        <w:tc>
          <w:tcPr>
            <w:tcW w:w="3862"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至少五色报警类型</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1915"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电容式指纹</w:t>
            </w:r>
          </w:p>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采集仪</w:t>
            </w:r>
          </w:p>
        </w:tc>
        <w:tc>
          <w:tcPr>
            <w:tcW w:w="3862"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1、支持在值班室录入指纹，下发至哨位台，便于指纹查勤、换哨；</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2、采用半导体电容式传感器和智能指纹图像处理算法，对干湿手指适应性好；</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3、采集时间：﹤1s；比对时间：﹤1s；比对方式：1:1或1:N；</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4、拒真率：﹤0.01%；认假率：﹤0.0001%；匹配阀值：9等级；</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5、存储指纹数量：512枚；传输接口类型：标准 USB2.0 接口；</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 工作湿度：20%～93%；工作温度：-10℃～+55℃；</w:t>
            </w:r>
          </w:p>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7 </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EMC：符合IEC61000-4-3标准；抗静电达到15KV。</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w:t>
            </w:r>
          </w:p>
        </w:tc>
        <w:tc>
          <w:tcPr>
            <w:tcW w:w="1915" w:type="dxa"/>
            <w:gridSpan w:val="2"/>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执勤电脑</w:t>
            </w:r>
          </w:p>
        </w:tc>
        <w:tc>
          <w:tcPr>
            <w:tcW w:w="3862" w:type="dxa"/>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酷睿I7处理器 4GDDR4内存 2G独显 1T机械硬盘 USB2.0*2  USB3.0*1 21.5寸显示器，符合军队保密要求-全新硬盘无任何互联网记录。</w:t>
            </w:r>
          </w:p>
        </w:tc>
        <w:tc>
          <w:tcPr>
            <w:tcW w:w="928"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rPr>
            </w:pPr>
            <w:bookmarkStart w:id="9" w:name="_GoBack"/>
            <w:bookmarkEnd w:id="9"/>
            <w:r>
              <w:rPr>
                <w:rFonts w:hint="eastAsia" w:ascii="新宋体" w:hAnsi="新宋体" w:eastAsia="新宋体" w:cs="新宋体"/>
                <w:color w:val="000000"/>
                <w:kern w:val="0"/>
                <w:sz w:val="24"/>
                <w:szCs w:val="24"/>
              </w:rPr>
              <w:t>台</w:t>
            </w:r>
          </w:p>
        </w:tc>
        <w:tc>
          <w:tcPr>
            <w:tcW w:w="960"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4</w:t>
            </w:r>
          </w:p>
        </w:tc>
        <w:tc>
          <w:tcPr>
            <w:tcW w:w="1305" w:type="dxa"/>
            <w:noWrap w:val="0"/>
            <w:vAlign w:val="center"/>
          </w:tcPr>
          <w:p>
            <w:pPr>
              <w:widowControl/>
              <w:shd w:val="clear" w:color="auto" w:fill="FFFFFF"/>
              <w:spacing w:line="360" w:lineRule="auto"/>
              <w:jc w:val="center"/>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是</w:t>
            </w:r>
          </w:p>
        </w:tc>
      </w:tr>
    </w:tbl>
    <w:p>
      <w:pPr>
        <w:numPr>
          <w:ilvl w:val="0"/>
          <w:numId w:val="0"/>
        </w:numPr>
        <w:spacing w:line="360" w:lineRule="auto"/>
        <w:contextualSpacing/>
        <w:rPr>
          <w:rFonts w:hint="eastAsia" w:ascii="新宋体" w:hAnsi="新宋体" w:eastAsia="新宋体" w:cs="新宋体"/>
          <w:color w:val="000000"/>
          <w:kern w:val="0"/>
          <w:sz w:val="24"/>
          <w:szCs w:val="24"/>
          <w:u w:color="000000"/>
          <w:lang w:val="zh-TW" w:eastAsia="zh-TW" w:bidi="ar-SA"/>
        </w:rPr>
      </w:pPr>
      <w:r>
        <w:rPr>
          <w:rFonts w:hint="eastAsia" w:ascii="仿宋" w:hAnsi="仿宋" w:eastAsia="仿宋" w:cs="宋体"/>
          <w:color w:val="000000"/>
          <w:kern w:val="0"/>
          <w:sz w:val="24"/>
          <w:szCs w:val="24"/>
          <w:lang w:val="en-US" w:eastAsia="zh-CN"/>
        </w:rPr>
        <w:t>注：</w:t>
      </w:r>
      <w:r>
        <w:rPr>
          <w:rFonts w:hint="eastAsia" w:ascii="仿宋" w:hAnsi="仿宋" w:eastAsia="仿宋" w:cs="宋体"/>
          <w:color w:val="000000"/>
          <w:kern w:val="0"/>
          <w:sz w:val="24"/>
          <w:szCs w:val="24"/>
        </w:rPr>
        <w:t>本采购清单中所列技术规格或主要参数为最低要求，不允许负偏离，否则为无效</w:t>
      </w:r>
      <w:r>
        <w:rPr>
          <w:rFonts w:hint="eastAsia" w:ascii="仿宋" w:hAnsi="仿宋" w:eastAsia="仿宋" w:cs="宋体"/>
          <w:color w:val="000000"/>
          <w:kern w:val="0"/>
          <w:sz w:val="24"/>
          <w:szCs w:val="24"/>
          <w:lang w:eastAsia="zh-CN"/>
        </w:rPr>
        <w:t>投标</w:t>
      </w:r>
      <w:r>
        <w:rPr>
          <w:rFonts w:hint="eastAsia" w:ascii="仿宋" w:hAnsi="仿宋" w:eastAsia="仿宋" w:cs="宋体"/>
          <w:color w:val="000000"/>
          <w:kern w:val="0"/>
          <w:sz w:val="24"/>
          <w:szCs w:val="24"/>
        </w:rPr>
        <w:t>文件。</w:t>
      </w:r>
    </w:p>
    <w:p>
      <w:pPr>
        <w:pStyle w:val="65"/>
        <w:widowControl/>
        <w:numPr>
          <w:ilvl w:val="0"/>
          <w:numId w:val="8"/>
        </w:numPr>
        <w:shd w:val="clear" w:color="auto" w:fill="FFFFFF"/>
        <w:spacing w:line="360" w:lineRule="auto"/>
        <w:ind w:firstLine="480" w:firstLineChars="20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采购标的执行标准</w:t>
      </w:r>
      <w:r>
        <w:rPr>
          <w:rFonts w:hint="eastAsia" w:ascii="新宋体" w:hAnsi="新宋体" w:eastAsia="新宋体" w:cs="新宋体"/>
          <w:color w:val="000000"/>
          <w:kern w:val="0"/>
          <w:sz w:val="24"/>
          <w:szCs w:val="24"/>
          <w:u w:color="000000"/>
          <w:lang w:val="en-US" w:eastAsia="zh-CN" w:bidi="ar-SA"/>
        </w:rPr>
        <w:t>:</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5"/>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5"/>
        <w:widowControl/>
        <w:numPr>
          <w:ilvl w:val="0"/>
          <w:numId w:val="0"/>
        </w:numPr>
        <w:shd w:val="clear" w:color="auto" w:fill="FFFFFF"/>
        <w:spacing w:line="360" w:lineRule="auto"/>
        <w:ind w:left="640" w:leftChars="0"/>
        <w:jc w:val="left"/>
        <w:rPr>
          <w:rFonts w:hint="eastAsia"/>
          <w:lang w:val="en-US" w:eastAsia="zh-CN"/>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5"/>
        <w:widowControl/>
        <w:numPr>
          <w:ilvl w:val="0"/>
          <w:numId w:val="0"/>
        </w:numPr>
        <w:shd w:val="clear" w:color="auto" w:fill="FFFFFF"/>
        <w:spacing w:line="360" w:lineRule="auto"/>
        <w:ind w:firstLine="482" w:firstLineChars="200"/>
        <w:jc w:val="left"/>
        <w:rPr>
          <w:b w:val="0"/>
          <w:bCs w:val="0"/>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r>
        <w:rPr>
          <w:rFonts w:hint="eastAsia" w:ascii="新宋体" w:hAnsi="新宋体" w:eastAsia="新宋体" w:cs="新宋体"/>
          <w:b w:val="0"/>
          <w:bCs w:val="0"/>
          <w:kern w:val="0"/>
          <w:sz w:val="24"/>
          <w:szCs w:val="24"/>
          <w:lang w:val="zh-TW" w:eastAsia="zh-TW"/>
        </w:rPr>
        <w:t>质保期3年，质保期内提供免费上门服务，8小时响应，48小时内解决问题，如不能在限定时间内解决问题，需提供备机，不影响正常使用。</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b w:val="0"/>
          <w:bCs w:val="0"/>
          <w:color w:val="000000"/>
          <w:kern w:val="0"/>
          <w:sz w:val="24"/>
          <w:szCs w:val="24"/>
          <w:u w:color="000000"/>
          <w:lang w:val="zh-TW" w:eastAsia="zh-TW"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val="0"/>
          <w:bCs w:val="0"/>
          <w:color w:val="000000"/>
          <w:kern w:val="0"/>
          <w:sz w:val="24"/>
          <w:szCs w:val="24"/>
          <w:u w:color="000000"/>
          <w:lang w:val="zh-TW" w:eastAsia="zh-TW" w:bidi="ar-SA"/>
        </w:rPr>
        <w:t>1、按照国家相关标准、行业标准、地方标准或者其他标准、规范验收；</w:t>
      </w:r>
    </w:p>
    <w:p>
      <w:pPr>
        <w:spacing w:line="360" w:lineRule="auto"/>
        <w:ind w:firstLine="481"/>
        <w:rPr>
          <w:rFonts w:hint="eastAsia" w:ascii="新宋体" w:hAnsi="新宋体" w:eastAsia="新宋体" w:cs="新宋体"/>
          <w:b w:val="0"/>
          <w:bCs w:val="0"/>
          <w:color w:val="000000"/>
          <w:kern w:val="0"/>
          <w:sz w:val="24"/>
          <w:szCs w:val="24"/>
          <w:u w:color="000000"/>
          <w:lang w:val="zh-TW" w:eastAsia="zh-CN" w:bidi="ar-SA"/>
        </w:rPr>
      </w:pPr>
      <w:r>
        <w:rPr>
          <w:rFonts w:hint="eastAsia" w:ascii="新宋体" w:hAnsi="新宋体" w:eastAsia="新宋体" w:cs="新宋体"/>
          <w:b w:val="0"/>
          <w:bCs w:val="0"/>
          <w:color w:val="000000"/>
          <w:kern w:val="0"/>
          <w:sz w:val="24"/>
          <w:szCs w:val="24"/>
          <w:u w:color="000000"/>
          <w:lang w:val="zh-TW" w:eastAsia="zh-TW" w:bidi="ar-SA"/>
        </w:rPr>
        <w:t>2、按照招标文件要求、投标文件响应和承诺验收</w:t>
      </w:r>
      <w:r>
        <w:rPr>
          <w:rFonts w:hint="eastAsia" w:ascii="新宋体" w:hAnsi="新宋体" w:eastAsia="新宋体" w:cs="新宋体"/>
          <w:b w:val="0"/>
          <w:bCs w:val="0"/>
          <w:color w:val="000000"/>
          <w:kern w:val="0"/>
          <w:sz w:val="24"/>
          <w:szCs w:val="24"/>
          <w:u w:color="000000"/>
          <w:lang w:val="zh-TW" w:eastAsia="zh-CN" w:bidi="ar-SA"/>
        </w:rPr>
        <w:t>。</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3、设备必须符合国家质量检测标准和本招标文件规定标准的全新正品现货，供货时提供随货物《产品合格证》及其它相关质量证明文件。</w:t>
      </w:r>
    </w:p>
    <w:p>
      <w:pPr>
        <w:autoSpaceDE w:val="0"/>
        <w:autoSpaceDN w:val="0"/>
        <w:adjustRightInd w:val="0"/>
        <w:snapToGrid w:val="0"/>
        <w:spacing w:line="360" w:lineRule="auto"/>
        <w:ind w:firstLine="470" w:firstLineChars="196"/>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4、专利权：投标人应保证用户在使用该货物或其任何一部分时不受第三方提出侵犯其专利权、商标权和工业设计权等的起诉。</w:t>
      </w:r>
    </w:p>
    <w:p>
      <w:pPr>
        <w:autoSpaceDE w:val="0"/>
        <w:autoSpaceDN w:val="0"/>
        <w:adjustRightInd w:val="0"/>
        <w:snapToGrid w:val="0"/>
        <w:spacing w:line="360" w:lineRule="auto"/>
        <w:ind w:firstLine="468" w:firstLineChars="195"/>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5、投标人须明确维修点地址、负责人、联系人和联系电话，维修点具备什么样的维修能力等详细资料。</w:t>
      </w:r>
    </w:p>
    <w:p>
      <w:pPr>
        <w:autoSpaceDE w:val="0"/>
        <w:autoSpaceDN w:val="0"/>
        <w:adjustRightInd w:val="0"/>
        <w:snapToGrid w:val="0"/>
        <w:spacing w:line="360" w:lineRule="auto"/>
        <w:ind w:firstLine="468" w:firstLineChars="195"/>
        <w:rPr>
          <w:rFonts w:hint="default" w:ascii="新宋体" w:hAnsi="新宋体" w:eastAsia="新宋体" w:cs="新宋体"/>
          <w:kern w:val="2"/>
          <w:sz w:val="24"/>
          <w:szCs w:val="24"/>
          <w:lang w:val="en-US" w:eastAsia="zh-CN" w:bidi="ar-SA"/>
        </w:rPr>
      </w:pPr>
      <w:r>
        <w:rPr>
          <w:rFonts w:hint="eastAsia" w:ascii="新宋体" w:hAnsi="新宋体" w:eastAsia="新宋体" w:cs="新宋体"/>
          <w:kern w:val="2"/>
          <w:sz w:val="24"/>
          <w:szCs w:val="24"/>
          <w:lang w:val="en-US" w:eastAsia="zh-CN" w:bidi="ar-SA"/>
        </w:rPr>
        <w:t>6、中标单位需保证本次项目要求的哨位集成系统与武警智慧监门系统互通互联，并且中标公司需提供两个系统互通互联的功能介绍和拓扑链接图截图，满足要求后方可签订供货合同。若两个系统之间不能互通互联，则不予签订供货合同，取消其中标资格，作虚假应标处理，并承担相应责任，同时纳入政府采购严重违法失信行为记录名单。</w:t>
      </w:r>
    </w:p>
    <w:p>
      <w:pPr>
        <w:wordWrap w:val="0"/>
        <w:topLinePunct/>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7</w:t>
      </w:r>
      <w:r>
        <w:rPr>
          <w:rFonts w:hint="eastAsia" w:ascii="新宋体" w:hAnsi="新宋体" w:eastAsia="新宋体" w:cs="新宋体"/>
          <w:kern w:val="2"/>
          <w:sz w:val="24"/>
          <w:szCs w:val="24"/>
          <w:lang w:val="zh-CN" w:eastAsia="zh-CN" w:bidi="ar-SA"/>
        </w:rPr>
        <w:t>、投标商必须由法定代表人或其授权代表参加开标会议，随时接受评标委员会询问，并予作出书面解答。</w:t>
      </w:r>
    </w:p>
    <w:p>
      <w:pPr>
        <w:pStyle w:val="10"/>
        <w:spacing w:line="360" w:lineRule="auto"/>
        <w:ind w:firstLine="241" w:firstLineChars="100"/>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（七）付款方式：验收合格后付95%，使用一年后付剩余的5%。</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项目名称：禹州市武警中队“智慧磐石”执勤装备采购项目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318</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工期：签订合同</w:t>
            </w:r>
            <w:r>
              <w:rPr>
                <w:rFonts w:hint="eastAsia" w:cs="仿宋_GB2312" w:asciiTheme="minorEastAsia" w:hAnsiTheme="minorEastAsia"/>
                <w:szCs w:val="21"/>
                <w:lang w:val="en-US" w:eastAsia="zh-CN"/>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公安局</w:t>
            </w:r>
          </w:p>
          <w:p>
            <w:pPr>
              <w:widowControl/>
              <w:shd w:val="clear" w:color="auto" w:fill="FFFFFF"/>
              <w:spacing w:line="400" w:lineRule="exact"/>
              <w:jc w:val="left"/>
              <w:rPr>
                <w:rFonts w:hint="eastAsia" w:cs="仿宋_GB2312" w:asciiTheme="minorEastAsia" w:hAnsiTheme="minorEastAsia"/>
                <w:sz w:val="24"/>
                <w:szCs w:val="24"/>
              </w:rPr>
            </w:pPr>
            <w:r>
              <w:rPr>
                <w:rFonts w:hint="eastAsia" w:cs="仿宋_GB2312" w:asciiTheme="minorEastAsia" w:hAnsiTheme="minorEastAsia"/>
                <w:sz w:val="24"/>
                <w:szCs w:val="24"/>
              </w:rPr>
              <w:t xml:space="preserve">地址：禹州市华夏大道 </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联系人：董先生   联系电话：18839906082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的供应商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eastAsiaTheme="minorEastAsia"/>
                <w:lang w:val="en-US" w:eastAsia="zh-CN"/>
              </w:rPr>
            </w:pPr>
            <w:r>
              <w:rPr>
                <w:rFonts w:hint="eastAsia"/>
                <w:lang w:val="en-US" w:eastAsia="zh-CN"/>
              </w:rPr>
              <w:t>6、被委托人须是本单位职工，须提供公司为本人缴纳社会保险证明；（登录网站：http//222.143.34.121/查询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60.2</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6</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1"/>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1"/>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sz w:val="24"/>
          <w:szCs w:val="24"/>
        </w:rPr>
      </w:pPr>
      <w:r>
        <w:rPr>
          <w:rFonts w:hint="eastAsia"/>
          <w:sz w:val="24"/>
          <w:szCs w:val="24"/>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120" w:firstLineChars="50"/>
        <w:contextualSpacing/>
        <w:rPr>
          <w:rFonts w:hint="eastAsia"/>
          <w:sz w:val="24"/>
          <w:szCs w:val="24"/>
        </w:rPr>
      </w:pPr>
      <w:r>
        <w:rPr>
          <w:rFonts w:hint="eastAsia"/>
          <w:sz w:val="24"/>
          <w:szCs w:val="24"/>
        </w:rPr>
        <w:t>3.3.1  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sz w:val="24"/>
          <w:szCs w:val="24"/>
        </w:rPr>
      </w:pPr>
      <w:r>
        <w:rPr>
          <w:rFonts w:hint="eastAsia"/>
          <w:sz w:val="24"/>
          <w:szCs w:val="24"/>
        </w:rPr>
        <w:t>3.3.2  截止时间：同投标截止时间；</w:t>
      </w:r>
    </w:p>
    <w:p>
      <w:pPr>
        <w:autoSpaceDE w:val="0"/>
        <w:autoSpaceDN w:val="0"/>
        <w:spacing w:line="360" w:lineRule="auto"/>
        <w:ind w:firstLine="120" w:firstLineChars="50"/>
        <w:contextualSpacing/>
        <w:rPr>
          <w:rFonts w:hint="eastAsia"/>
          <w:sz w:val="24"/>
          <w:szCs w:val="24"/>
        </w:rPr>
      </w:pPr>
      <w:r>
        <w:rPr>
          <w:rFonts w:hint="eastAsia"/>
          <w:sz w:val="24"/>
          <w:szCs w:val="24"/>
        </w:rPr>
        <w:t>3.3.3  信用信息查询记录和证据留存具体方式：经采购人确认的查询结果网页截图作为查询记录和证据，与其他采购文件一并保存；</w:t>
      </w:r>
    </w:p>
    <w:p>
      <w:pPr>
        <w:autoSpaceDE w:val="0"/>
        <w:autoSpaceDN w:val="0"/>
        <w:spacing w:line="360" w:lineRule="auto"/>
        <w:ind w:firstLine="120" w:firstLineChars="50"/>
        <w:contextualSpacing/>
        <w:rPr>
          <w:rFonts w:hint="eastAsia"/>
          <w:sz w:val="24"/>
          <w:szCs w:val="24"/>
        </w:rPr>
      </w:pPr>
      <w:r>
        <w:rPr>
          <w:rFonts w:hint="eastAsia"/>
          <w:sz w:val="24"/>
          <w:szCs w:val="24"/>
        </w:rPr>
        <w:t>3.3.4  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ind w:firstLine="120" w:firstLineChars="50"/>
        <w:contextualSpacing/>
        <w:rPr>
          <w:rFonts w:hint="eastAsia"/>
          <w:sz w:val="24"/>
          <w:szCs w:val="24"/>
        </w:rPr>
      </w:pPr>
      <w:r>
        <w:rPr>
          <w:rFonts w:hint="eastAsia"/>
          <w:sz w:val="24"/>
          <w:szCs w:val="24"/>
        </w:rPr>
        <w:t>3.3.5  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1"/>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1"/>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1"/>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2"/>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rPr>
            </w:pPr>
            <w:r>
              <w:rPr>
                <w:rFonts w:hint="eastAsia"/>
              </w:rPr>
              <w:t>③投标人为自然人的，无需填写法定代表人授权书。</w:t>
            </w:r>
          </w:p>
          <w:p>
            <w:pPr>
              <w:spacing w:line="360" w:lineRule="auto"/>
              <w:contextualSpacing/>
              <w:rPr>
                <w:rFonts w:hint="eastAsia" w:eastAsiaTheme="minorEastAsia"/>
                <w:lang w:val="en-US" w:eastAsia="zh-CN"/>
              </w:rPr>
            </w:pPr>
            <w:r>
              <w:rPr>
                <w:rFonts w:hint="eastAsia"/>
                <w:lang w:val="en-US" w:eastAsia="zh-CN"/>
              </w:rPr>
              <w:t>6、社保证明登录网站：http//222.143.34.121/查询  个人办事通道—马上注册—登录—查询打印—证明打印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1"/>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698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分值构成</w:t>
            </w:r>
          </w:p>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(100分)</w:t>
            </w:r>
          </w:p>
        </w:tc>
        <w:tc>
          <w:tcPr>
            <w:tcW w:w="7817"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价格分值：50分</w:t>
            </w:r>
          </w:p>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商务部分：</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分</w:t>
            </w:r>
          </w:p>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技术</w:t>
            </w:r>
            <w:r>
              <w:rPr>
                <w:rFonts w:hint="eastAsia" w:ascii="仿宋" w:hAnsi="仿宋" w:eastAsia="仿宋" w:cs="宋体"/>
                <w:color w:val="000000"/>
                <w:kern w:val="0"/>
                <w:sz w:val="28"/>
                <w:szCs w:val="28"/>
                <w:lang w:eastAsia="zh-CN"/>
              </w:rPr>
              <w:t>及售后</w:t>
            </w:r>
            <w:r>
              <w:rPr>
                <w:rFonts w:hint="eastAsia" w:ascii="仿宋" w:hAnsi="仿宋" w:eastAsia="仿宋" w:cs="宋体"/>
                <w:color w:val="000000"/>
                <w:kern w:val="0"/>
                <w:sz w:val="28"/>
                <w:szCs w:val="28"/>
              </w:rPr>
              <w:t>部分：</w:t>
            </w:r>
            <w:r>
              <w:rPr>
                <w:rFonts w:hint="eastAsia" w:ascii="仿宋" w:hAnsi="仿宋" w:eastAsia="仿宋" w:cs="宋体"/>
                <w:color w:val="000000"/>
                <w:kern w:val="0"/>
                <w:sz w:val="28"/>
                <w:szCs w:val="28"/>
                <w:lang w:val="en-US" w:eastAsia="zh-CN"/>
              </w:rPr>
              <w:t>42</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00"/>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投标报价</w:t>
            </w:r>
          </w:p>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评分标准</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评标基准价：满足招标文件要求的有效投标报价中，最低的投标报价为评标基准价。</w:t>
            </w:r>
          </w:p>
          <w:p>
            <w:pPr>
              <w:widowControl/>
              <w:shd w:val="clear" w:color="auto" w:fill="FFFFFF"/>
              <w:spacing w:line="36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投标报价得分=（评标基准价/投标报价）×50</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00"/>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二、商务部分（满分</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投标企业</w:t>
            </w:r>
            <w:r>
              <w:rPr>
                <w:rFonts w:hint="eastAsia" w:ascii="仿宋" w:hAnsi="仿宋" w:eastAsia="仿宋" w:cs="宋体"/>
                <w:color w:val="000000"/>
                <w:kern w:val="0"/>
                <w:sz w:val="28"/>
                <w:szCs w:val="28"/>
                <w:lang w:val="en-US" w:eastAsia="zh-CN"/>
              </w:rPr>
              <w:t>及生产厂家</w:t>
            </w:r>
            <w:r>
              <w:rPr>
                <w:rFonts w:hint="eastAsia" w:ascii="仿宋" w:hAnsi="仿宋" w:eastAsia="仿宋" w:cs="宋体"/>
                <w:color w:val="000000"/>
                <w:kern w:val="0"/>
                <w:sz w:val="28"/>
                <w:szCs w:val="28"/>
              </w:rPr>
              <w:t>实力</w:t>
            </w:r>
          </w:p>
          <w:p>
            <w:pPr>
              <w:widowControl/>
              <w:shd w:val="clear" w:color="auto" w:fill="FFFFFF"/>
              <w:spacing w:line="360" w:lineRule="auto"/>
              <w:ind w:firstLine="600"/>
              <w:jc w:val="center"/>
              <w:rPr>
                <w:rFonts w:hint="eastAsia" w:ascii="仿宋" w:hAnsi="仿宋" w:eastAsia="仿宋" w:cs="宋体"/>
                <w:color w:val="000000"/>
                <w:kern w:val="0"/>
                <w:sz w:val="28"/>
                <w:szCs w:val="28"/>
              </w:rPr>
            </w:pPr>
          </w:p>
        </w:tc>
        <w:tc>
          <w:tcPr>
            <w:tcW w:w="6984"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2"/>
              </w:numPr>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投标企业提供2016年1月1日以来类似项目业绩每有一份加1分，共4分。</w:t>
            </w:r>
          </w:p>
          <w:p>
            <w:pPr>
              <w:widowControl/>
              <w:numPr>
                <w:ilvl w:val="0"/>
                <w:numId w:val="0"/>
              </w:numPr>
              <w:shd w:val="clear" w:color="auto" w:fill="FFFFFF"/>
              <w:spacing w:line="360" w:lineRule="auto"/>
              <w:jc w:val="lef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2.投标人所投台式电脑产品生产厂商通过ISO20000信息技术服务管理体系认证，ISO27001信息安全管理体系认证得4分（提供相关认证证明文件原件的复印件并加盖生产厂商盖公章。）                                     </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ind w:firstLine="600"/>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三、技术</w:t>
            </w:r>
            <w:r>
              <w:rPr>
                <w:rFonts w:hint="eastAsia" w:ascii="仿宋" w:hAnsi="仿宋" w:eastAsia="仿宋" w:cs="宋体"/>
                <w:color w:val="000000"/>
                <w:kern w:val="0"/>
                <w:sz w:val="28"/>
                <w:szCs w:val="28"/>
                <w:lang w:eastAsia="zh-CN"/>
              </w:rPr>
              <w:t>及售后</w:t>
            </w:r>
            <w:r>
              <w:rPr>
                <w:rFonts w:hint="eastAsia" w:ascii="仿宋" w:hAnsi="仿宋" w:eastAsia="仿宋" w:cs="宋体"/>
                <w:color w:val="000000"/>
                <w:kern w:val="0"/>
                <w:sz w:val="28"/>
                <w:szCs w:val="28"/>
              </w:rPr>
              <w:t>部分（满分</w:t>
            </w:r>
            <w:r>
              <w:rPr>
                <w:rFonts w:hint="eastAsia" w:ascii="仿宋" w:hAnsi="仿宋" w:eastAsia="仿宋" w:cs="宋体"/>
                <w:color w:val="000000"/>
                <w:kern w:val="0"/>
                <w:sz w:val="28"/>
                <w:szCs w:val="28"/>
                <w:lang w:val="en-US" w:eastAsia="zh-CN"/>
              </w:rPr>
              <w:t>42</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技术指标</w:t>
            </w:r>
          </w:p>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响应情况</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一、投标货物以下要求的技术参数、技术性能满足招标文件要求得基本分（20分）。</w:t>
            </w:r>
          </w:p>
          <w:p>
            <w:pPr>
              <w:widowControl/>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 、弹箱模块：支持弹箱模块和壳体整体拆装；采用机械锁控制结构；完全断电重启弹箱无须人为干预可恢复正常工作状态；内置监控视频传输信号采用RJ45接口，控制和状态信号传输采用 VGA接口；无需断电和软件授权可用钥匙直接开启子弹箱（需要提供第三方权威机构出具的检测报告证明此功能，带原厂盖章的复印件备查）; </w:t>
            </w:r>
          </w:p>
          <w:p>
            <w:pPr>
              <w:widowControl/>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支持中队平台软件离线等情况下，枪弹控制主机应可进行离线报警，并可实现哨位警情转发功能，确保五色报警灯、哨位集成箱、两警联动终端等设备实现联动报警（需要提供第三方权威机构出具的检测报告证明此功能，带原厂盖章的复印件备查）；</w:t>
            </w:r>
          </w:p>
          <w:p>
            <w:pPr>
              <w:widowControl/>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3、支持应急报警控制终端一键解除五色报警灯正响应的警情；（需要提供第三方权威检测报告证明，加盖厂商公章有效）</w:t>
            </w:r>
          </w:p>
          <w:p>
            <w:pPr>
              <w:widowControl/>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4、哨位系统软件或电脑崩溃时，五色报警灯能正常接收警情；（需要提供第三方权威检测报告证明，加盖厂商公章有效）</w:t>
            </w:r>
          </w:p>
          <w:p>
            <w:pPr>
              <w:widowControl/>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5、支持应急报警控制终端触发报警，哨位、报警灯多点联动报警；（需要提供第三方权威检测报告证明，加盖厂商公章有效）</w:t>
            </w:r>
          </w:p>
          <w:p>
            <w:pPr>
              <w:widowControl/>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6、支持应急报警控制终端解除报警，所有哨位、报警灯警情解除；（需要提供第三方权威检测报告证明，加盖厂商公章有效）</w:t>
            </w:r>
          </w:p>
          <w:p>
            <w:pPr>
              <w:widowControl/>
              <w:shd w:val="clear" w:color="auto" w:fill="FFFFFF"/>
              <w:spacing w:line="360" w:lineRule="auto"/>
              <w:jc w:val="left"/>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以上实质性要求，每有一项不满足在20分基础上扣2.5分，扣完为止；</w:t>
            </w:r>
          </w:p>
          <w:p>
            <w:pPr>
              <w:widowControl/>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二、 所投产品与上级作战指挥平台互联互通，如不能实现的要免费提供能实现互联互通的管控平台，提供承诺函和高清截图得5分，提供软件著作权得5分，共10分，不提供不得分。</w:t>
            </w:r>
          </w:p>
          <w:p>
            <w:pPr>
              <w:widowControl/>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三、提供能上传高清图像（1080P）到上级单位的设备检测报告和设备彩页，满足与武警现有Net-Vman互联互通得2分，否则不得分。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32</w:t>
            </w:r>
            <w:r>
              <w:rPr>
                <w:rFonts w:hint="eastAsia" w:ascii="仿宋" w:hAnsi="仿宋" w:eastAsia="仿宋"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培训、</w:t>
            </w:r>
            <w:r>
              <w:rPr>
                <w:rFonts w:hint="eastAsia" w:ascii="仿宋" w:hAnsi="仿宋" w:eastAsia="仿宋" w:cs="宋体"/>
                <w:color w:val="000000"/>
                <w:kern w:val="0"/>
                <w:sz w:val="28"/>
                <w:szCs w:val="28"/>
              </w:rPr>
              <w:t>售后服务承诺</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rPr>
              <w:t>详细说明售后服务的内容、形式、含维修人员组成、免费维修时间、解决质量或操作问题的响应时间、解决问题时间、维修单位名称、地点。（0-</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分）</w:t>
            </w:r>
          </w:p>
          <w:p>
            <w:pPr>
              <w:widowControl/>
              <w:shd w:val="clear" w:color="auto" w:fill="FFFFFF"/>
              <w:spacing w:line="360" w:lineRule="auto"/>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承诺为采购方人员进行免费培训，根据培训计划的详尽性和可行性打分。（0-</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10</w:t>
            </w:r>
            <w:r>
              <w:rPr>
                <w:rFonts w:hint="eastAsia" w:ascii="仿宋" w:hAnsi="仿宋" w:eastAsia="仿宋" w:cs="宋体"/>
                <w:color w:val="000000"/>
                <w:kern w:val="0"/>
                <w:sz w:val="28"/>
                <w:szCs w:val="28"/>
              </w:rPr>
              <w:t>分</w:t>
            </w:r>
          </w:p>
        </w:tc>
      </w:tr>
    </w:tbl>
    <w:p>
      <w:pPr>
        <w:pStyle w:val="31"/>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31"/>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2"/>
        <w:ind w:left="0" w:leftChars="0" w:firstLine="0" w:firstLineChars="0"/>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hint="eastAsia" w:cs="黑体" w:asciiTheme="minorEastAsia" w:hAnsiTheme="minorEastAsia"/>
          <w:b/>
          <w:bCs/>
          <w:sz w:val="28"/>
          <w:szCs w:val="28"/>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1"/>
        <w:rPr>
          <w:rFonts w:ascii="宋体" w:hAnsi="宋体"/>
          <w:b/>
          <w:bCs/>
          <w:color w:val="000000"/>
          <w:szCs w:val="24"/>
        </w:rPr>
      </w:pPr>
    </w:p>
    <w:p>
      <w:pPr>
        <w:pStyle w:val="31"/>
        <w:rPr>
          <w:rFonts w:ascii="宋体" w:hAnsi="宋体"/>
          <w:b/>
          <w:bCs/>
          <w:color w:val="000000"/>
          <w:szCs w:val="24"/>
        </w:rPr>
      </w:pPr>
    </w:p>
    <w:p>
      <w:pPr>
        <w:pStyle w:val="31"/>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2"/>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AB4D3B"/>
    <w:multiLevelType w:val="singleLevel"/>
    <w:tmpl w:val="DDAB4D3B"/>
    <w:lvl w:ilvl="0" w:tentative="0">
      <w:start w:val="1"/>
      <w:numFmt w:val="decimal"/>
      <w:lvlText w:val="%1."/>
      <w:lvlJc w:val="left"/>
      <w:pPr>
        <w:tabs>
          <w:tab w:val="left" w:pos="312"/>
        </w:tabs>
      </w:p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3A3505A3"/>
    <w:multiLevelType w:val="singleLevel"/>
    <w:tmpl w:val="3A3505A3"/>
    <w:lvl w:ilvl="0" w:tentative="0">
      <w:start w:val="1"/>
      <w:numFmt w:val="decimal"/>
      <w:lvlText w:val="%1."/>
      <w:lvlJc w:val="left"/>
      <w:pPr>
        <w:tabs>
          <w:tab w:val="left" w:pos="312"/>
        </w:tabs>
      </w:p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4"/>
      <w:suff w:val="nothing"/>
      <w:lvlText w:val="%1、"/>
      <w:lvlJc w:val="left"/>
    </w:lvl>
  </w:abstractNum>
  <w:abstractNum w:abstractNumId="11">
    <w:nsid w:val="65A5CFBA"/>
    <w:multiLevelType w:val="singleLevel"/>
    <w:tmpl w:val="65A5CFBA"/>
    <w:lvl w:ilvl="0" w:tentative="0">
      <w:start w:val="3"/>
      <w:numFmt w:val="chineseCounting"/>
      <w:lvlText w:val="(%1)"/>
      <w:lvlJc w:val="left"/>
      <w:pPr>
        <w:tabs>
          <w:tab w:val="left" w:pos="312"/>
        </w:tabs>
      </w:pPr>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0"/>
  </w:num>
  <w:num w:numId="4">
    <w:abstractNumId w:val="7"/>
  </w:num>
  <w:num w:numId="5">
    <w:abstractNumId w:val="4"/>
  </w:num>
  <w:num w:numId="6">
    <w:abstractNumId w:val="8"/>
  </w:num>
  <w:num w:numId="7">
    <w:abstractNumId w:val="9"/>
  </w:num>
  <w:num w:numId="8">
    <w:abstractNumId w:val="11"/>
  </w:num>
  <w:num w:numId="9">
    <w:abstractNumId w:val="1"/>
  </w:num>
  <w:num w:numId="10">
    <w:abstractNumId w:val="6"/>
  </w:num>
  <w:num w:numId="11">
    <w:abstractNumId w:val="1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2CAB"/>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C37"/>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BC386B"/>
    <w:rsid w:val="027C7D92"/>
    <w:rsid w:val="032449BC"/>
    <w:rsid w:val="037217D3"/>
    <w:rsid w:val="03A87C38"/>
    <w:rsid w:val="03C54AE6"/>
    <w:rsid w:val="046A12DA"/>
    <w:rsid w:val="052468E4"/>
    <w:rsid w:val="067B2CDB"/>
    <w:rsid w:val="070A50EA"/>
    <w:rsid w:val="07732CDA"/>
    <w:rsid w:val="07DA78CD"/>
    <w:rsid w:val="080C2BBA"/>
    <w:rsid w:val="082F7AF9"/>
    <w:rsid w:val="08866B85"/>
    <w:rsid w:val="08C0181D"/>
    <w:rsid w:val="08FD5745"/>
    <w:rsid w:val="091E11E7"/>
    <w:rsid w:val="09834DFC"/>
    <w:rsid w:val="0A5E16AE"/>
    <w:rsid w:val="0A7C3AAF"/>
    <w:rsid w:val="0A997A60"/>
    <w:rsid w:val="0AB50907"/>
    <w:rsid w:val="0B01317F"/>
    <w:rsid w:val="0B9378DE"/>
    <w:rsid w:val="0BBD5765"/>
    <w:rsid w:val="0C1D2223"/>
    <w:rsid w:val="0C3D4298"/>
    <w:rsid w:val="0C9523A6"/>
    <w:rsid w:val="0CA67F00"/>
    <w:rsid w:val="0CAB7FE2"/>
    <w:rsid w:val="0CF46B6D"/>
    <w:rsid w:val="0D1C296A"/>
    <w:rsid w:val="0D403087"/>
    <w:rsid w:val="0E901938"/>
    <w:rsid w:val="0F485C64"/>
    <w:rsid w:val="0FD30C14"/>
    <w:rsid w:val="101B403B"/>
    <w:rsid w:val="10483DBD"/>
    <w:rsid w:val="10E862A7"/>
    <w:rsid w:val="110E6851"/>
    <w:rsid w:val="116D26CD"/>
    <w:rsid w:val="11843C2C"/>
    <w:rsid w:val="119F1D23"/>
    <w:rsid w:val="11C23651"/>
    <w:rsid w:val="11E13F76"/>
    <w:rsid w:val="123714C8"/>
    <w:rsid w:val="129267D1"/>
    <w:rsid w:val="12C422CE"/>
    <w:rsid w:val="13040A31"/>
    <w:rsid w:val="13903C42"/>
    <w:rsid w:val="13EB69AF"/>
    <w:rsid w:val="13EF7D11"/>
    <w:rsid w:val="14055C74"/>
    <w:rsid w:val="140778EB"/>
    <w:rsid w:val="151C769F"/>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3114FC"/>
    <w:rsid w:val="198348D6"/>
    <w:rsid w:val="1A08396D"/>
    <w:rsid w:val="1A1A3129"/>
    <w:rsid w:val="1A6F2526"/>
    <w:rsid w:val="1A8C20F0"/>
    <w:rsid w:val="1AFBFFDD"/>
    <w:rsid w:val="1B1653FD"/>
    <w:rsid w:val="1B1E6C6E"/>
    <w:rsid w:val="1BFD0131"/>
    <w:rsid w:val="1C2D1536"/>
    <w:rsid w:val="1CCF2F1D"/>
    <w:rsid w:val="1CF87F0B"/>
    <w:rsid w:val="1CFB73D3"/>
    <w:rsid w:val="1D767D0D"/>
    <w:rsid w:val="1D8125A1"/>
    <w:rsid w:val="1DAA1CA6"/>
    <w:rsid w:val="1E8E722F"/>
    <w:rsid w:val="1F8E45BB"/>
    <w:rsid w:val="1FE15514"/>
    <w:rsid w:val="1FF158F3"/>
    <w:rsid w:val="208614E5"/>
    <w:rsid w:val="209E5ECC"/>
    <w:rsid w:val="209F6468"/>
    <w:rsid w:val="2157706F"/>
    <w:rsid w:val="21DC7D3C"/>
    <w:rsid w:val="21DD4A96"/>
    <w:rsid w:val="21E30407"/>
    <w:rsid w:val="21E87614"/>
    <w:rsid w:val="2298317C"/>
    <w:rsid w:val="22CE29EE"/>
    <w:rsid w:val="24054295"/>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E54FBF"/>
    <w:rsid w:val="29F9088B"/>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4ED28D1"/>
    <w:rsid w:val="35046D44"/>
    <w:rsid w:val="36621D69"/>
    <w:rsid w:val="36841FFE"/>
    <w:rsid w:val="369A01A8"/>
    <w:rsid w:val="36B46A4A"/>
    <w:rsid w:val="36E65B38"/>
    <w:rsid w:val="37231BC0"/>
    <w:rsid w:val="374008ED"/>
    <w:rsid w:val="37561C08"/>
    <w:rsid w:val="375656B9"/>
    <w:rsid w:val="375B6549"/>
    <w:rsid w:val="37627558"/>
    <w:rsid w:val="37B91083"/>
    <w:rsid w:val="37D306D7"/>
    <w:rsid w:val="383F32BB"/>
    <w:rsid w:val="38600050"/>
    <w:rsid w:val="38A27B73"/>
    <w:rsid w:val="39734983"/>
    <w:rsid w:val="39FD28B4"/>
    <w:rsid w:val="3AC47AB6"/>
    <w:rsid w:val="3ADD0A2E"/>
    <w:rsid w:val="3B4C7808"/>
    <w:rsid w:val="3B7A3E82"/>
    <w:rsid w:val="3B8D0CE8"/>
    <w:rsid w:val="3BA71EF1"/>
    <w:rsid w:val="3C1651F0"/>
    <w:rsid w:val="3C2006E5"/>
    <w:rsid w:val="3CB60762"/>
    <w:rsid w:val="3CBF1608"/>
    <w:rsid w:val="3CC749D9"/>
    <w:rsid w:val="3CFB31CE"/>
    <w:rsid w:val="3DCA2531"/>
    <w:rsid w:val="3DDA3322"/>
    <w:rsid w:val="3E3A26DB"/>
    <w:rsid w:val="3E8A0765"/>
    <w:rsid w:val="3EA20E92"/>
    <w:rsid w:val="3EF36E15"/>
    <w:rsid w:val="3F263B0E"/>
    <w:rsid w:val="3FB50222"/>
    <w:rsid w:val="3FDB4005"/>
    <w:rsid w:val="3FEC48EF"/>
    <w:rsid w:val="414D7438"/>
    <w:rsid w:val="41572B91"/>
    <w:rsid w:val="41A16B13"/>
    <w:rsid w:val="41D126B0"/>
    <w:rsid w:val="41EF3AE9"/>
    <w:rsid w:val="42065704"/>
    <w:rsid w:val="423A7A11"/>
    <w:rsid w:val="42566BAD"/>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AF436C2"/>
    <w:rsid w:val="4B536EA5"/>
    <w:rsid w:val="4B957FC4"/>
    <w:rsid w:val="4BD04BAB"/>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166D16"/>
    <w:rsid w:val="53276344"/>
    <w:rsid w:val="53293BFC"/>
    <w:rsid w:val="533D55CA"/>
    <w:rsid w:val="535D3032"/>
    <w:rsid w:val="53673EE3"/>
    <w:rsid w:val="53C97953"/>
    <w:rsid w:val="53E15B41"/>
    <w:rsid w:val="53F5577A"/>
    <w:rsid w:val="5590515E"/>
    <w:rsid w:val="55EF2276"/>
    <w:rsid w:val="562D2F69"/>
    <w:rsid w:val="565C29A5"/>
    <w:rsid w:val="56D519E7"/>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E2C7B65"/>
    <w:rsid w:val="5EB8046C"/>
    <w:rsid w:val="5EC23D91"/>
    <w:rsid w:val="5EEA6FD8"/>
    <w:rsid w:val="5F5D3B89"/>
    <w:rsid w:val="5F91300B"/>
    <w:rsid w:val="5FBD74DE"/>
    <w:rsid w:val="601812B8"/>
    <w:rsid w:val="608416F1"/>
    <w:rsid w:val="60A539E5"/>
    <w:rsid w:val="60BD0412"/>
    <w:rsid w:val="616C5D6E"/>
    <w:rsid w:val="61775FA5"/>
    <w:rsid w:val="619B680C"/>
    <w:rsid w:val="625C5308"/>
    <w:rsid w:val="62E53998"/>
    <w:rsid w:val="63CB7258"/>
    <w:rsid w:val="64124C78"/>
    <w:rsid w:val="646F4919"/>
    <w:rsid w:val="648D2FFF"/>
    <w:rsid w:val="64BD72D5"/>
    <w:rsid w:val="64FF1E06"/>
    <w:rsid w:val="65132A9C"/>
    <w:rsid w:val="653348F4"/>
    <w:rsid w:val="653820CD"/>
    <w:rsid w:val="656839C3"/>
    <w:rsid w:val="65725730"/>
    <w:rsid w:val="65B92974"/>
    <w:rsid w:val="65C80747"/>
    <w:rsid w:val="665D6AFD"/>
    <w:rsid w:val="66D20A72"/>
    <w:rsid w:val="672B7704"/>
    <w:rsid w:val="674A7890"/>
    <w:rsid w:val="68594ADA"/>
    <w:rsid w:val="68741D48"/>
    <w:rsid w:val="68843577"/>
    <w:rsid w:val="6974192C"/>
    <w:rsid w:val="6AB31C19"/>
    <w:rsid w:val="6B357A50"/>
    <w:rsid w:val="6B5B7DCB"/>
    <w:rsid w:val="6B930197"/>
    <w:rsid w:val="6BB95672"/>
    <w:rsid w:val="6C1E4AF0"/>
    <w:rsid w:val="6C4712E8"/>
    <w:rsid w:val="6C9C46AE"/>
    <w:rsid w:val="6CBD1903"/>
    <w:rsid w:val="6CE55F45"/>
    <w:rsid w:val="6D15465F"/>
    <w:rsid w:val="6D4650CC"/>
    <w:rsid w:val="6D6121F0"/>
    <w:rsid w:val="6D8D5D8A"/>
    <w:rsid w:val="6DE87E82"/>
    <w:rsid w:val="6DFC3DF2"/>
    <w:rsid w:val="6E673C05"/>
    <w:rsid w:val="6E6F4DC3"/>
    <w:rsid w:val="6E7511ED"/>
    <w:rsid w:val="6E76180E"/>
    <w:rsid w:val="6E7B46D9"/>
    <w:rsid w:val="6EA321B1"/>
    <w:rsid w:val="6ED546F7"/>
    <w:rsid w:val="6EF25BF0"/>
    <w:rsid w:val="6F272507"/>
    <w:rsid w:val="6FF11A89"/>
    <w:rsid w:val="70117814"/>
    <w:rsid w:val="704A4E71"/>
    <w:rsid w:val="70602224"/>
    <w:rsid w:val="70C1699F"/>
    <w:rsid w:val="712A3EF9"/>
    <w:rsid w:val="7151172F"/>
    <w:rsid w:val="71617265"/>
    <w:rsid w:val="71C32A07"/>
    <w:rsid w:val="71E53350"/>
    <w:rsid w:val="720E5D3A"/>
    <w:rsid w:val="72254E2A"/>
    <w:rsid w:val="72E83FB1"/>
    <w:rsid w:val="72ED3426"/>
    <w:rsid w:val="73184127"/>
    <w:rsid w:val="73733509"/>
    <w:rsid w:val="737B1C80"/>
    <w:rsid w:val="73D40348"/>
    <w:rsid w:val="74304EB5"/>
    <w:rsid w:val="747C77C3"/>
    <w:rsid w:val="74AB41BE"/>
    <w:rsid w:val="755A041E"/>
    <w:rsid w:val="75EA3934"/>
    <w:rsid w:val="769F3760"/>
    <w:rsid w:val="76AF6448"/>
    <w:rsid w:val="77466BFE"/>
    <w:rsid w:val="774700AD"/>
    <w:rsid w:val="777E0158"/>
    <w:rsid w:val="78371F70"/>
    <w:rsid w:val="78596E7A"/>
    <w:rsid w:val="788A0F31"/>
    <w:rsid w:val="78DE6336"/>
    <w:rsid w:val="78F56DD8"/>
    <w:rsid w:val="78FA033C"/>
    <w:rsid w:val="79373D17"/>
    <w:rsid w:val="7A2A6439"/>
    <w:rsid w:val="7A77760E"/>
    <w:rsid w:val="7AC70899"/>
    <w:rsid w:val="7B3F7553"/>
    <w:rsid w:val="7B7986D1"/>
    <w:rsid w:val="7B877587"/>
    <w:rsid w:val="7BDA03EB"/>
    <w:rsid w:val="7C573C06"/>
    <w:rsid w:val="7E0F106D"/>
    <w:rsid w:val="7E4F5023"/>
    <w:rsid w:val="7EE52F06"/>
    <w:rsid w:val="7EFD7D9B"/>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1"/>
    <w:qFormat/>
    <w:uiPriority w:val="0"/>
    <w:rPr>
      <w:rFonts w:ascii="Times New Roman" w:hAnsi="Times New Roman" w:eastAsia="宋体" w:cs="Times New Roman"/>
      <w:color w:val="FF0000"/>
      <w:sz w:val="24"/>
      <w:szCs w:val="24"/>
    </w:rPr>
  </w:style>
  <w:style w:type="paragraph" w:styleId="10">
    <w:name w:val="Body Text"/>
    <w:basedOn w:val="1"/>
    <w:link w:val="55"/>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7"/>
    <w:qFormat/>
    <w:uiPriority w:val="0"/>
    <w:rPr>
      <w:rFonts w:eastAsia="宋体"/>
      <w:sz w:val="24"/>
    </w:rPr>
  </w:style>
  <w:style w:type="paragraph" w:styleId="15">
    <w:name w:val="Date"/>
    <w:basedOn w:val="1"/>
    <w:next w:val="1"/>
    <w:link w:val="38"/>
    <w:unhideWhenUsed/>
    <w:qFormat/>
    <w:uiPriority w:val="99"/>
    <w:pPr>
      <w:ind w:left="100" w:leftChars="2500"/>
    </w:p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6"/>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列出段落1"/>
    <w:basedOn w:val="1"/>
    <w:unhideWhenUsed/>
    <w:qFormat/>
    <w:uiPriority w:val="99"/>
    <w:pPr>
      <w:ind w:firstLine="420" w:firstLineChars="200"/>
    </w:pPr>
  </w:style>
  <w:style w:type="paragraph" w:customStyle="1" w:styleId="31">
    <w:name w:val="无间隔1"/>
    <w:basedOn w:val="1"/>
    <w:qFormat/>
    <w:uiPriority w:val="0"/>
    <w:pPr>
      <w:spacing w:line="400" w:lineRule="exact"/>
    </w:pPr>
    <w:rPr>
      <w:sz w:val="24"/>
    </w:rPr>
  </w:style>
  <w:style w:type="paragraph" w:customStyle="1" w:styleId="32">
    <w:name w:val="*正文"/>
    <w:basedOn w:val="1"/>
    <w:qFormat/>
    <w:uiPriority w:val="0"/>
    <w:pPr>
      <w:keepNext/>
      <w:keepLines/>
      <w:spacing w:line="360" w:lineRule="auto"/>
      <w:ind w:firstLine="200" w:firstLineChars="200"/>
    </w:pPr>
    <w:rPr>
      <w:rFonts w:ascii="宋体" w:hAnsi="宋体"/>
    </w:rPr>
  </w:style>
  <w:style w:type="character" w:customStyle="1" w:styleId="33">
    <w:name w:val="标题 1 字符"/>
    <w:basedOn w:val="25"/>
    <w:link w:val="3"/>
    <w:qFormat/>
    <w:uiPriority w:val="0"/>
    <w:rPr>
      <w:rFonts w:ascii="Calibri" w:hAnsi="Calibri" w:eastAsia="宋体" w:cs="Times New Roman"/>
      <w:b/>
      <w:bCs/>
      <w:kern w:val="44"/>
      <w:sz w:val="44"/>
      <w:szCs w:val="44"/>
    </w:rPr>
  </w:style>
  <w:style w:type="character" w:customStyle="1" w:styleId="34">
    <w:name w:val="标题 2 字符"/>
    <w:basedOn w:val="25"/>
    <w:link w:val="4"/>
    <w:qFormat/>
    <w:uiPriority w:val="0"/>
    <w:rPr>
      <w:rFonts w:ascii="Arial" w:hAnsi="Arial" w:eastAsia="黑体" w:cs="Times New Roman"/>
      <w:b/>
      <w:bCs/>
      <w:kern w:val="0"/>
      <w:sz w:val="32"/>
      <w:szCs w:val="32"/>
    </w:rPr>
  </w:style>
  <w:style w:type="character" w:customStyle="1" w:styleId="35">
    <w:name w:val="标题 3 字符"/>
    <w:basedOn w:val="25"/>
    <w:link w:val="5"/>
    <w:qFormat/>
    <w:uiPriority w:val="0"/>
    <w:rPr>
      <w:rFonts w:ascii="宋体" w:hAnsi="宋体" w:eastAsia="宋体" w:cs="Times New Roman"/>
      <w:b/>
      <w:color w:val="000000"/>
      <w:kern w:val="0"/>
      <w:sz w:val="24"/>
      <w:szCs w:val="20"/>
      <w:lang w:val="en-GB"/>
    </w:rPr>
  </w:style>
  <w:style w:type="character" w:customStyle="1" w:styleId="36">
    <w:name w:val="标题 4 字符"/>
    <w:basedOn w:val="25"/>
    <w:link w:val="6"/>
    <w:qFormat/>
    <w:uiPriority w:val="0"/>
    <w:rPr>
      <w:rFonts w:ascii="Arial" w:hAnsi="Arial" w:eastAsia="黑体" w:cs="Times New Roman"/>
      <w:b/>
      <w:bCs/>
      <w:kern w:val="0"/>
      <w:sz w:val="28"/>
      <w:szCs w:val="28"/>
    </w:rPr>
  </w:style>
  <w:style w:type="character" w:customStyle="1" w:styleId="37">
    <w:name w:val="纯文本 字符"/>
    <w:basedOn w:val="25"/>
    <w:link w:val="14"/>
    <w:qFormat/>
    <w:uiPriority w:val="0"/>
    <w:rPr>
      <w:rFonts w:eastAsia="宋体"/>
      <w:sz w:val="24"/>
    </w:rPr>
  </w:style>
  <w:style w:type="character" w:customStyle="1" w:styleId="38">
    <w:name w:val="日期 字符"/>
    <w:basedOn w:val="25"/>
    <w:link w:val="15"/>
    <w:qFormat/>
    <w:uiPriority w:val="99"/>
  </w:style>
  <w:style w:type="character" w:customStyle="1" w:styleId="39">
    <w:name w:val="页脚 字符"/>
    <w:basedOn w:val="25"/>
    <w:link w:val="16"/>
    <w:qFormat/>
    <w:uiPriority w:val="99"/>
    <w:rPr>
      <w:sz w:val="18"/>
      <w:szCs w:val="18"/>
    </w:rPr>
  </w:style>
  <w:style w:type="character" w:customStyle="1" w:styleId="40">
    <w:name w:val="页眉 字符"/>
    <w:basedOn w:val="25"/>
    <w:link w:val="17"/>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字符"/>
    <w:basedOn w:val="25"/>
    <w:link w:val="9"/>
    <w:qFormat/>
    <w:uiPriority w:val="0"/>
    <w:rPr>
      <w:rFonts w:ascii="Times New Roman" w:hAnsi="Times New Roman" w:eastAsia="宋体" w:cs="Times New Roman"/>
      <w:color w:val="FF0000"/>
      <w:sz w:val="24"/>
      <w:szCs w:val="24"/>
    </w:rPr>
  </w:style>
  <w:style w:type="character" w:customStyle="1" w:styleId="52">
    <w:name w:val="edittexttarea"/>
    <w:basedOn w:val="25"/>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字符"/>
    <w:basedOn w:val="25"/>
    <w:link w:val="10"/>
    <w:semiHidden/>
    <w:qFormat/>
    <w:uiPriority w:val="99"/>
  </w:style>
  <w:style w:type="character" w:customStyle="1" w:styleId="56">
    <w:name w:val="正文文本首行缩进 字符"/>
    <w:basedOn w:val="55"/>
    <w:link w:val="21"/>
    <w:qFormat/>
    <w:uiPriority w:val="0"/>
    <w:rPr>
      <w:rFonts w:ascii="宋体" w:hAnsi="Times New Roman" w:eastAsia="宋体" w:cs="Times New Roman"/>
      <w:kern w:val="0"/>
      <w:sz w:val="34"/>
      <w:szCs w:val="20"/>
    </w:rPr>
  </w:style>
  <w:style w:type="character" w:customStyle="1" w:styleId="57">
    <w:name w:val="HTML 预设格式 字符"/>
    <w:basedOn w:val="25"/>
    <w:link w:val="19"/>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5"/>
    <w:qFormat/>
    <w:uiPriority w:val="0"/>
    <w:rPr>
      <w:rFonts w:hint="eastAsia" w:ascii="宋体" w:hAnsi="宋体" w:eastAsia="宋体" w:cs="宋体"/>
      <w:color w:val="000000"/>
      <w:sz w:val="22"/>
      <w:szCs w:val="22"/>
      <w:u w:val="none"/>
    </w:rPr>
  </w:style>
  <w:style w:type="character" w:customStyle="1" w:styleId="63">
    <w:name w:val="font21"/>
    <w:basedOn w:val="25"/>
    <w:qFormat/>
    <w:uiPriority w:val="0"/>
    <w:rPr>
      <w:rFonts w:hint="eastAsia" w:ascii="宋体" w:hAnsi="宋体" w:eastAsia="宋体" w:cs="宋体"/>
      <w:color w:val="000000"/>
      <w:sz w:val="28"/>
      <w:szCs w:val="28"/>
      <w:u w:val="none"/>
    </w:rPr>
  </w:style>
  <w:style w:type="character" w:customStyle="1" w:styleId="64">
    <w:name w:val="font11"/>
    <w:basedOn w:val="25"/>
    <w:qFormat/>
    <w:uiPriority w:val="0"/>
    <w:rPr>
      <w:rFonts w:ascii="Calibri" w:hAnsi="Calibri" w:cs="Calibri"/>
      <w:color w:val="000000"/>
      <w:sz w:val="28"/>
      <w:szCs w:val="28"/>
      <w:u w:val="none"/>
    </w:rPr>
  </w:style>
  <w:style w:type="paragraph" w:customStyle="1" w:styleId="65">
    <w:name w:val="正文 A"/>
    <w:next w:val="66"/>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6">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7">
    <w:name w:val="Table Normal"/>
    <w:qFormat/>
    <w:uiPriority w:val="0"/>
    <w:tblPr>
      <w:tblLayout w:type="fixed"/>
      <w:tblCellMar>
        <w:top w:w="0" w:type="dxa"/>
        <w:left w:w="0" w:type="dxa"/>
        <w:bottom w:w="0" w:type="dxa"/>
        <w:right w:w="0" w:type="dxa"/>
      </w:tblCellMar>
    </w:tblPr>
  </w:style>
  <w:style w:type="paragraph" w:customStyle="1" w:styleId="6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12</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2019-12-13T01:27:04Z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