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numPr>
          <w:ilvl w:val="0"/>
          <w:numId w:val="0"/>
        </w:numPr>
        <w:shd w:val="clear" w:color="auto" w:fill="FFFFFF"/>
        <w:spacing w:line="400" w:lineRule="exact"/>
        <w:ind w:left="3600" w:hanging="3600" w:hangingChars="1000"/>
        <w:jc w:val="left"/>
      </w:pPr>
      <w:r>
        <w:rPr>
          <w:rFonts w:hint="eastAsia" w:ascii="宋体" w:hAnsi="宋体" w:eastAsia="宋体" w:cs="宋体"/>
          <w:color w:val="000000"/>
          <w:kern w:val="0"/>
          <w:sz w:val="36"/>
          <w:szCs w:val="36"/>
          <w:lang w:val="en-US" w:eastAsia="zh-CN" w:bidi="ar"/>
        </w:rPr>
        <w:t>禹州市住房和城乡建设局颍云桥及颍北大道西段工程设计项目</w:t>
      </w:r>
    </w:p>
    <w:p>
      <w:pPr>
        <w:keepNext w:val="0"/>
        <w:keepLines w:val="0"/>
        <w:pageBreakBefore w:val="0"/>
        <w:kinsoku/>
        <w:wordWrap/>
        <w:overflowPunct/>
        <w:topLinePunct w:val="0"/>
        <w:autoSpaceDE/>
        <w:autoSpaceDN/>
        <w:bidi w:val="0"/>
        <w:adjustRightInd/>
        <w:spacing w:line="240" w:lineRule="auto"/>
        <w:jc w:val="center"/>
        <w:rPr>
          <w:rFonts w:hint="eastAsia" w:ascii="黑体" w:hAnsi="黑体" w:eastAsia="黑体" w:cs="黑体"/>
          <w:b/>
          <w:color w:val="000000"/>
          <w:sz w:val="44"/>
          <w:szCs w:val="44"/>
          <w:u w:val="none"/>
          <w:shd w:val="clear" w:fill="FFFFFF"/>
          <w:lang w:val="en-US" w:eastAsia="zh-CN"/>
        </w:rPr>
      </w:pPr>
      <w:r>
        <w:rPr>
          <w:rFonts w:hint="eastAsia" w:ascii="黑体" w:hAnsi="黑体" w:eastAsia="黑体" w:cs="黑体"/>
          <w:b/>
          <w:color w:val="000000"/>
          <w:sz w:val="44"/>
          <w:szCs w:val="44"/>
          <w:u w:val="none"/>
          <w:shd w:val="clear" w:fill="FFFFFF"/>
          <w:lang w:val="en-US" w:eastAsia="zh-CN"/>
        </w:rPr>
        <w:t>评 标 报 告</w:t>
      </w:r>
    </w:p>
    <w:p>
      <w:pPr>
        <w:pStyle w:val="7"/>
        <w:keepNext w:val="0"/>
        <w:keepLines w:val="0"/>
        <w:widowControl/>
        <w:suppressLineNumbers w:val="0"/>
        <w:shd w:val="clear" w:fill="FFFFFF"/>
        <w:snapToGrid w:val="0"/>
        <w:spacing w:before="452" w:beforeAutospacing="0" w:after="0" w:afterAutospacing="0" w:line="560" w:lineRule="atLeast"/>
        <w:ind w:right="0" w:firstLine="320" w:firstLineChars="100"/>
        <w:jc w:val="left"/>
      </w:pPr>
      <w:r>
        <w:rPr>
          <w:rFonts w:ascii="黑体" w:hAnsi="宋体" w:eastAsia="黑体" w:cs="黑体"/>
          <w:color w:val="000000"/>
          <w:sz w:val="32"/>
          <w:szCs w:val="32"/>
          <w:u w:val="none"/>
          <w:shd w:val="clear" w:fill="FFFFFF"/>
        </w:rPr>
        <w:t>一、项目概况</w:t>
      </w:r>
    </w:p>
    <w:p>
      <w:pPr>
        <w:spacing w:line="600" w:lineRule="exact"/>
        <w:ind w:firstLine="320" w:firstLineChars="100"/>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sz w:val="32"/>
          <w:szCs w:val="32"/>
        </w:rPr>
        <w:t>1、</w:t>
      </w:r>
      <w:r>
        <w:rPr>
          <w:rFonts w:hint="eastAsia" w:ascii="仿宋" w:hAnsi="仿宋" w:eastAsia="仿宋" w:cs="仿宋"/>
          <w:color w:val="000000"/>
          <w:sz w:val="32"/>
          <w:szCs w:val="32"/>
          <w:u w:val="none"/>
          <w:shd w:val="clear" w:fill="FFFFFF"/>
        </w:rPr>
        <w:t>采购人：</w:t>
      </w:r>
      <w:r>
        <w:rPr>
          <w:rFonts w:hint="eastAsia" w:ascii="仿宋" w:hAnsi="仿宋" w:eastAsia="仿宋" w:cs="仿宋"/>
          <w:color w:val="000000"/>
          <w:sz w:val="32"/>
          <w:szCs w:val="32"/>
          <w:u w:val="none"/>
          <w:shd w:val="clear" w:fill="FFFFFF"/>
          <w:lang w:val="en-US" w:eastAsia="zh-CN"/>
        </w:rPr>
        <w:t>禹州市住房和城乡建设局</w:t>
      </w:r>
    </w:p>
    <w:p>
      <w:pPr>
        <w:spacing w:line="600" w:lineRule="exact"/>
        <w:ind w:firstLine="320" w:firstLineChars="100"/>
        <w:jc w:val="both"/>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2、项目名称：</w:t>
      </w:r>
      <w:r>
        <w:rPr>
          <w:rFonts w:hint="eastAsia" w:ascii="仿宋" w:hAnsi="仿宋" w:eastAsia="仿宋" w:cs="仿宋"/>
          <w:color w:val="000000"/>
          <w:sz w:val="32"/>
          <w:szCs w:val="32"/>
          <w:u w:val="none"/>
          <w:shd w:val="clear" w:fill="FFFFFF"/>
          <w:lang w:val="en-US" w:eastAsia="zh-CN"/>
        </w:rPr>
        <w:t>禹州市住房和城乡建设局颍云桥及颍北大道西段工程设计项目</w:t>
      </w:r>
    </w:p>
    <w:p>
      <w:pPr>
        <w:spacing w:line="600" w:lineRule="exact"/>
        <w:ind w:firstLine="320" w:firstLineChars="100"/>
        <w:jc w:val="both"/>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3、采购编号：YZCG-</w:t>
      </w:r>
      <w:r>
        <w:rPr>
          <w:rFonts w:hint="eastAsia" w:ascii="仿宋" w:hAnsi="仿宋" w:eastAsia="仿宋" w:cs="仿宋"/>
          <w:color w:val="000000"/>
          <w:sz w:val="32"/>
          <w:szCs w:val="32"/>
          <w:u w:val="none"/>
          <w:shd w:val="clear" w:fill="FFFFFF"/>
          <w:lang w:val="en-US" w:eastAsia="zh-CN"/>
        </w:rPr>
        <w:t>G</w:t>
      </w:r>
      <w:r>
        <w:rPr>
          <w:rFonts w:hint="eastAsia" w:ascii="仿宋" w:hAnsi="仿宋" w:eastAsia="仿宋" w:cs="仿宋"/>
          <w:color w:val="000000"/>
          <w:sz w:val="32"/>
          <w:szCs w:val="32"/>
          <w:u w:val="none"/>
          <w:shd w:val="clear" w:fill="FFFFFF"/>
        </w:rPr>
        <w:t>2019</w:t>
      </w:r>
      <w:r>
        <w:rPr>
          <w:rFonts w:hint="eastAsia" w:ascii="仿宋" w:hAnsi="仿宋" w:eastAsia="仿宋" w:cs="仿宋"/>
          <w:color w:val="000000"/>
          <w:sz w:val="32"/>
          <w:szCs w:val="32"/>
          <w:u w:val="none"/>
          <w:shd w:val="clear" w:fill="FFFFFF"/>
          <w:lang w:val="en-US" w:eastAsia="zh-CN"/>
        </w:rPr>
        <w:t>313</w:t>
      </w:r>
    </w:p>
    <w:p>
      <w:pPr>
        <w:spacing w:line="600" w:lineRule="exact"/>
        <w:ind w:firstLine="320" w:firstLineChars="100"/>
        <w:jc w:val="both"/>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4、项目需求：</w:t>
      </w:r>
      <w:r>
        <w:rPr>
          <w:rFonts w:hint="eastAsia" w:ascii="仿宋" w:hAnsi="仿宋" w:eastAsia="仿宋" w:cs="仿宋"/>
          <w:color w:val="000000"/>
          <w:sz w:val="32"/>
          <w:szCs w:val="32"/>
          <w:u w:val="none"/>
          <w:shd w:val="clear" w:fill="FFFFFF"/>
          <w:lang w:val="en-US" w:eastAsia="zh-CN"/>
        </w:rPr>
        <w:t>禹州市颍云桥及颍北大道西段工程施工图设计及后续服务</w:t>
      </w:r>
      <w:r>
        <w:rPr>
          <w:rFonts w:hint="eastAsia" w:ascii="仿宋" w:hAnsi="仿宋" w:eastAsia="仿宋" w:cs="仿宋"/>
          <w:color w:val="000000"/>
          <w:sz w:val="32"/>
          <w:szCs w:val="32"/>
          <w:u w:val="none"/>
          <w:shd w:val="clear" w:fill="FFFFFF"/>
        </w:rPr>
        <w:t>（详见招标文件）</w:t>
      </w:r>
    </w:p>
    <w:p>
      <w:pPr>
        <w:spacing w:line="600" w:lineRule="exact"/>
        <w:ind w:firstLine="320" w:firstLineChars="100"/>
        <w:jc w:val="both"/>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5、采购预算：</w:t>
      </w:r>
      <w:r>
        <w:rPr>
          <w:rFonts w:hint="eastAsia" w:ascii="仿宋" w:hAnsi="仿宋" w:eastAsia="仿宋" w:cs="仿宋"/>
          <w:color w:val="000000"/>
          <w:sz w:val="32"/>
          <w:szCs w:val="32"/>
          <w:u w:val="none"/>
          <w:shd w:val="clear" w:fill="FFFFFF"/>
          <w:lang w:val="en-US" w:eastAsia="zh-CN"/>
        </w:rPr>
        <w:t>245.91万元；</w:t>
      </w:r>
    </w:p>
    <w:p>
      <w:pPr>
        <w:spacing w:line="600" w:lineRule="exact"/>
        <w:ind w:firstLine="320" w:firstLineChars="100"/>
        <w:jc w:val="both"/>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6、</w:t>
      </w:r>
      <w:r>
        <w:rPr>
          <w:rFonts w:hint="eastAsia" w:ascii="仿宋" w:hAnsi="仿宋" w:eastAsia="仿宋" w:cs="仿宋"/>
          <w:color w:val="000000"/>
          <w:sz w:val="32"/>
          <w:szCs w:val="32"/>
          <w:u w:val="none"/>
          <w:shd w:val="clear" w:fill="FFFFFF"/>
          <w:lang w:val="en-US" w:eastAsia="zh-CN"/>
        </w:rPr>
        <w:t>最高</w:t>
      </w:r>
      <w:r>
        <w:rPr>
          <w:rFonts w:hint="eastAsia" w:ascii="仿宋" w:hAnsi="仿宋" w:eastAsia="仿宋" w:cs="仿宋"/>
          <w:color w:val="000000"/>
          <w:sz w:val="32"/>
          <w:szCs w:val="32"/>
          <w:u w:val="none"/>
          <w:shd w:val="clear" w:fill="FFFFFF"/>
        </w:rPr>
        <w:t>限价：</w:t>
      </w:r>
      <w:r>
        <w:rPr>
          <w:rFonts w:hint="eastAsia" w:ascii="仿宋" w:hAnsi="仿宋" w:eastAsia="仿宋" w:cs="仿宋"/>
          <w:color w:val="000000"/>
          <w:sz w:val="32"/>
          <w:szCs w:val="32"/>
          <w:u w:val="none"/>
          <w:shd w:val="clear" w:fill="FFFFFF"/>
          <w:lang w:val="en-US" w:eastAsia="zh-CN"/>
        </w:rPr>
        <w:t>245.91万元；</w:t>
      </w:r>
    </w:p>
    <w:p>
      <w:pPr>
        <w:spacing w:line="600" w:lineRule="exact"/>
        <w:ind w:firstLine="320" w:firstLineChars="100"/>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7、</w:t>
      </w:r>
      <w:r>
        <w:rPr>
          <w:rFonts w:hint="eastAsia" w:ascii="仿宋" w:hAnsi="仿宋" w:eastAsia="仿宋" w:cs="仿宋"/>
          <w:color w:val="000000"/>
          <w:sz w:val="32"/>
          <w:szCs w:val="32"/>
          <w:u w:val="none"/>
          <w:shd w:val="clear" w:fill="FFFFFF"/>
        </w:rPr>
        <w:t>评标办法：</w:t>
      </w:r>
      <w:r>
        <w:rPr>
          <w:rFonts w:hint="eastAsia" w:ascii="仿宋" w:hAnsi="仿宋" w:eastAsia="仿宋" w:cs="仿宋"/>
          <w:color w:val="000000"/>
          <w:sz w:val="32"/>
          <w:szCs w:val="32"/>
          <w:u w:val="none"/>
          <w:shd w:val="clear" w:fill="FFFFFF"/>
          <w:lang w:val="en-US" w:eastAsia="zh-CN"/>
        </w:rPr>
        <w:t>综合评标法</w:t>
      </w:r>
    </w:p>
    <w:p>
      <w:pPr>
        <w:spacing w:line="600" w:lineRule="exact"/>
        <w:ind w:firstLine="320" w:firstLineChars="100"/>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8、</w:t>
      </w:r>
      <w:r>
        <w:rPr>
          <w:rFonts w:hint="eastAsia" w:ascii="仿宋" w:hAnsi="仿宋" w:eastAsia="仿宋" w:cs="仿宋"/>
          <w:color w:val="000000"/>
          <w:sz w:val="32"/>
          <w:szCs w:val="32"/>
          <w:u w:val="none"/>
          <w:shd w:val="clear" w:fill="FFFFFF"/>
        </w:rPr>
        <w:t>资格审查方式：</w:t>
      </w:r>
      <w:r>
        <w:rPr>
          <w:rFonts w:hint="eastAsia" w:ascii="仿宋" w:hAnsi="仿宋" w:eastAsia="仿宋" w:cs="仿宋"/>
          <w:color w:val="000000"/>
          <w:sz w:val="32"/>
          <w:szCs w:val="32"/>
          <w:u w:val="none"/>
          <w:shd w:val="clear" w:fill="FFFFFF"/>
          <w:lang w:val="en-US" w:eastAsia="zh-CN"/>
        </w:rPr>
        <w:t>开标结束后，采购人依法对投标人资格进行审查。</w:t>
      </w:r>
    </w:p>
    <w:p>
      <w:pPr>
        <w:spacing w:line="600" w:lineRule="exact"/>
        <w:ind w:firstLine="320" w:firstLineChars="100"/>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9、 招标公告刊登的媒体：中国政府采购网、河南省政府采购网、许昌市政府采购网、全国公共资源交易平台（河南省·许昌市）。</w:t>
      </w:r>
    </w:p>
    <w:p>
      <w:pPr>
        <w:spacing w:line="600" w:lineRule="exact"/>
        <w:ind w:firstLine="320" w:firstLineChars="100"/>
        <w:jc w:val="both"/>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二、开标记录及投标报价</w:t>
      </w:r>
    </w:p>
    <w:tbl>
      <w:tblPr>
        <w:tblStyle w:val="8"/>
        <w:tblW w:w="8791" w:type="dxa"/>
        <w:tblCellSpacing w:w="0" w:type="dxa"/>
        <w:tblInd w:w="-31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721"/>
        <w:gridCol w:w="4260"/>
        <w:gridCol w:w="1867"/>
        <w:gridCol w:w="1943"/>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405" w:hRule="atLeast"/>
          <w:tblCellSpacing w:w="0" w:type="dxa"/>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lang w:val="en-US" w:eastAsia="zh-CN"/>
              </w:rPr>
            </w:pPr>
            <w:r>
              <w:rPr>
                <w:rFonts w:hint="eastAsia"/>
                <w:lang w:val="en-US" w:eastAsia="zh-CN"/>
              </w:rPr>
              <w:t>序号</w:t>
            </w:r>
          </w:p>
        </w:tc>
        <w:tc>
          <w:tcPr>
            <w:tcW w:w="42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lang w:val="en-US" w:eastAsia="zh-CN"/>
              </w:rPr>
            </w:pPr>
            <w:r>
              <w:rPr>
                <w:rFonts w:hint="eastAsia"/>
                <w:lang w:val="en-US" w:eastAsia="zh-CN"/>
              </w:rPr>
              <w:t>投标人</w:t>
            </w:r>
          </w:p>
        </w:tc>
        <w:tc>
          <w:tcPr>
            <w:tcW w:w="1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lang w:val="en-US" w:eastAsia="zh-CN"/>
              </w:rPr>
            </w:pPr>
            <w:r>
              <w:rPr>
                <w:rFonts w:hint="eastAsia"/>
                <w:lang w:val="en-US" w:eastAsia="zh-CN"/>
              </w:rPr>
              <w:t>投标报价（元）</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lang w:val="en-US" w:eastAsia="zh-CN"/>
              </w:rPr>
            </w:pPr>
            <w:r>
              <w:rPr>
                <w:rFonts w:hint="eastAsia"/>
                <w:lang w:val="en-US" w:eastAsia="zh-CN"/>
              </w:rPr>
              <w:t>交货期</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blCellSpacing w:w="0" w:type="dxa"/>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lang w:val="en-US" w:eastAsia="zh-CN"/>
              </w:rPr>
            </w:pPr>
            <w:r>
              <w:rPr>
                <w:rFonts w:hint="eastAsia"/>
                <w:lang w:val="en-US" w:eastAsia="zh-CN"/>
              </w:rPr>
              <w:t>1</w:t>
            </w:r>
          </w:p>
        </w:tc>
        <w:tc>
          <w:tcPr>
            <w:tcW w:w="42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中设设计集团股份有限公司</w:t>
            </w:r>
          </w:p>
        </w:tc>
        <w:tc>
          <w:tcPr>
            <w:tcW w:w="1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eastAsia" w:asciiTheme="minorEastAsia" w:hAnsiTheme="minorEastAsia" w:eastAsiaTheme="minorEastAsia" w:cstheme="minorEastAsia"/>
                <w:b w:val="0"/>
                <w:bCs w:val="0"/>
                <w:color w:val="000000"/>
                <w:kern w:val="0"/>
                <w:sz w:val="24"/>
                <w:szCs w:val="24"/>
                <w:lang w:val="en-US" w:eastAsia="zh-CN" w:bidi="ar"/>
              </w:rPr>
            </w:pPr>
          </w:p>
          <w:p>
            <w:pPr>
              <w:keepNext w:val="0"/>
              <w:keepLines w:val="0"/>
              <w:widowControl/>
              <w:suppressLineNumbers w:val="0"/>
              <w:jc w:val="left"/>
              <w:rPr>
                <w:rFonts w:hint="eastAsia" w:asciiTheme="minorEastAsia" w:hAnsiTheme="minorEastAsia" w:eastAsiaTheme="minorEastAsia" w:cstheme="minorEastAsia"/>
                <w:b w:val="0"/>
                <w:bCs w:val="0"/>
                <w:color w:val="000000"/>
                <w:kern w:val="0"/>
                <w:sz w:val="24"/>
                <w:szCs w:val="24"/>
                <w:lang w:val="en-US" w:eastAsia="zh-CN" w:bidi="ar"/>
              </w:rPr>
            </w:pPr>
            <w:r>
              <w:rPr>
                <w:rFonts w:hint="eastAsia" w:asciiTheme="minorEastAsia" w:hAnsiTheme="minorEastAsia" w:eastAsiaTheme="minorEastAsia" w:cstheme="minorEastAsia"/>
                <w:b w:val="0"/>
                <w:bCs w:val="0"/>
                <w:color w:val="000000"/>
                <w:kern w:val="0"/>
                <w:sz w:val="24"/>
                <w:szCs w:val="24"/>
                <w:lang w:val="en-US" w:eastAsia="zh-CN" w:bidi="ar"/>
              </w:rPr>
              <w:t>2452000.00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both"/>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合同签订之日起30日历天</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tblCellSpacing w:w="0" w:type="dxa"/>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default"/>
                <w:lang w:val="en-US" w:eastAsia="zh-CN"/>
              </w:rPr>
            </w:pPr>
            <w:r>
              <w:rPr>
                <w:rFonts w:hint="eastAsia"/>
                <w:lang w:val="en-US" w:eastAsia="zh-CN"/>
              </w:rPr>
              <w:t>2</w:t>
            </w:r>
          </w:p>
        </w:tc>
        <w:tc>
          <w:tcPr>
            <w:tcW w:w="42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同济大学建筑设计研究院（集团）有限公司</w:t>
            </w:r>
          </w:p>
        </w:tc>
        <w:tc>
          <w:tcPr>
            <w:tcW w:w="1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eastAsia" w:asciiTheme="minorEastAsia" w:hAnsiTheme="minorEastAsia" w:eastAsiaTheme="minorEastAsia" w:cstheme="minorEastAsia"/>
                <w:b w:val="0"/>
                <w:bCs w:val="0"/>
                <w:kern w:val="0"/>
                <w:sz w:val="24"/>
                <w:szCs w:val="24"/>
                <w:lang w:val="en-US" w:eastAsia="zh-CN" w:bidi="ar"/>
              </w:rPr>
            </w:pPr>
            <w:r>
              <w:rPr>
                <w:rFonts w:hint="eastAsia" w:asciiTheme="minorEastAsia" w:hAnsiTheme="minorEastAsia" w:eastAsiaTheme="minorEastAsia" w:cstheme="minorEastAsia"/>
                <w:b w:val="0"/>
                <w:bCs w:val="0"/>
                <w:kern w:val="0"/>
                <w:sz w:val="24"/>
                <w:szCs w:val="24"/>
                <w:lang w:val="en-US" w:eastAsia="zh-CN" w:bidi="ar"/>
              </w:rPr>
              <w:t>2450500.00</w:t>
            </w:r>
          </w:p>
          <w:p>
            <w:pPr>
              <w:keepNext w:val="0"/>
              <w:keepLines w:val="0"/>
              <w:widowControl/>
              <w:suppressLineNumbers w:val="0"/>
              <w:jc w:val="left"/>
              <w:rPr>
                <w:rFonts w:hint="eastAsia" w:asciiTheme="minorEastAsia" w:hAnsiTheme="minorEastAsia" w:eastAsiaTheme="minorEastAsia" w:cstheme="minorEastAsia"/>
                <w:b w:val="0"/>
                <w:bCs w:val="0"/>
                <w:kern w:val="0"/>
                <w:sz w:val="24"/>
                <w:szCs w:val="24"/>
                <w:lang w:val="en-US" w:eastAsia="zh-CN" w:bidi="ar"/>
              </w:rPr>
            </w:pP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合同签订之日起30日历天</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tblCellSpacing w:w="0" w:type="dxa"/>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lang w:val="en-US" w:eastAsia="zh-CN"/>
              </w:rPr>
            </w:pPr>
            <w:r>
              <w:rPr>
                <w:rFonts w:hint="eastAsia"/>
                <w:lang w:val="en-US" w:eastAsia="zh-CN"/>
              </w:rPr>
              <w:t>3</w:t>
            </w:r>
          </w:p>
        </w:tc>
        <w:tc>
          <w:tcPr>
            <w:tcW w:w="42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太原市市政工程设计研究院</w:t>
            </w:r>
          </w:p>
        </w:tc>
        <w:tc>
          <w:tcPr>
            <w:tcW w:w="1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eastAsia" w:asciiTheme="minorEastAsia" w:hAnsiTheme="minorEastAsia" w:eastAsiaTheme="minorEastAsia" w:cstheme="minorEastAsia"/>
                <w:b w:val="0"/>
                <w:bCs w:val="0"/>
                <w:kern w:val="0"/>
                <w:sz w:val="24"/>
                <w:szCs w:val="24"/>
                <w:lang w:val="en-US" w:eastAsia="zh-CN" w:bidi="ar"/>
              </w:rPr>
            </w:pPr>
            <w:r>
              <w:rPr>
                <w:rFonts w:hint="eastAsia" w:asciiTheme="minorEastAsia" w:hAnsiTheme="minorEastAsia" w:eastAsiaTheme="minorEastAsia" w:cstheme="minorEastAsia"/>
                <w:b w:val="0"/>
                <w:bCs w:val="0"/>
                <w:kern w:val="0"/>
                <w:sz w:val="24"/>
                <w:szCs w:val="24"/>
                <w:lang w:val="en-US" w:eastAsia="zh-CN" w:bidi="ar"/>
              </w:rPr>
              <w:t>2437600.00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合同签订之日起30日历天</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575" w:hRule="atLeast"/>
          <w:tblCellSpacing w:w="0" w:type="dxa"/>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lang w:val="en-US" w:eastAsia="zh-CN"/>
              </w:rPr>
            </w:pPr>
            <w:r>
              <w:rPr>
                <w:rFonts w:hint="eastAsia"/>
                <w:lang w:val="en-US" w:eastAsia="zh-CN"/>
              </w:rPr>
              <w:t>4</w:t>
            </w:r>
          </w:p>
        </w:tc>
        <w:tc>
          <w:tcPr>
            <w:tcW w:w="42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kern w:val="0"/>
                <w:sz w:val="24"/>
                <w:szCs w:val="24"/>
                <w:lang w:val="en-US" w:eastAsia="zh-CN" w:bidi="ar"/>
              </w:rPr>
              <w:t>无锡市政设计研究院有限公司</w:t>
            </w:r>
          </w:p>
        </w:tc>
        <w:tc>
          <w:tcPr>
            <w:tcW w:w="1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eastAsia" w:asciiTheme="minorEastAsia" w:hAnsiTheme="minorEastAsia" w:eastAsiaTheme="minorEastAsia" w:cstheme="minorEastAsia"/>
                <w:b w:val="0"/>
                <w:bCs w:val="0"/>
                <w:kern w:val="0"/>
                <w:sz w:val="24"/>
                <w:szCs w:val="24"/>
                <w:lang w:val="en-US" w:eastAsia="zh-CN" w:bidi="ar"/>
              </w:rPr>
            </w:pPr>
            <w:r>
              <w:rPr>
                <w:rFonts w:hint="eastAsia" w:asciiTheme="minorEastAsia" w:hAnsiTheme="minorEastAsia" w:eastAsiaTheme="minorEastAsia" w:cstheme="minorEastAsia"/>
                <w:b w:val="0"/>
                <w:bCs w:val="0"/>
                <w:kern w:val="0"/>
                <w:sz w:val="24"/>
                <w:szCs w:val="24"/>
                <w:lang w:val="en-US" w:eastAsia="zh-CN" w:bidi="ar"/>
              </w:rPr>
              <w:t>2457000.00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合同签订之日起30日历天</w:t>
            </w:r>
          </w:p>
        </w:tc>
      </w:tr>
    </w:tbl>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80" w:lineRule="exact"/>
        <w:ind w:right="0" w:rightChars="0"/>
        <w:jc w:val="left"/>
        <w:textAlignment w:val="auto"/>
        <w:rPr>
          <w:rFonts w:hint="eastAsia" w:ascii="黑体" w:hAnsi="宋体" w:eastAsia="黑体" w:cs="黑体"/>
          <w:color w:val="000000"/>
          <w:sz w:val="32"/>
          <w:szCs w:val="32"/>
          <w:u w:val="none"/>
          <w:shd w:val="clear" w:fill="FFFFFF"/>
        </w:rPr>
      </w:pP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80" w:lineRule="exact"/>
        <w:ind w:right="0" w:rightChars="0"/>
        <w:jc w:val="left"/>
        <w:textAlignment w:val="auto"/>
        <w:rPr>
          <w:rFonts w:hint="eastAsia" w:ascii="黑体" w:hAnsi="宋体" w:eastAsia="黑体" w:cs="黑体"/>
          <w:color w:val="000000"/>
          <w:sz w:val="32"/>
          <w:szCs w:val="32"/>
          <w:u w:val="none"/>
          <w:shd w:val="clear" w:fill="FFFFFF"/>
        </w:rPr>
      </w:pPr>
    </w:p>
    <w:p>
      <w:pPr>
        <w:pStyle w:val="7"/>
        <w:keepNext w:val="0"/>
        <w:keepLines w:val="0"/>
        <w:pageBreakBefore w:val="0"/>
        <w:widowControl/>
        <w:numPr>
          <w:ilvl w:val="0"/>
          <w:numId w:val="0"/>
        </w:numPr>
        <w:suppressLineNumbers w:val="0"/>
        <w:shd w:val="clear" w:fill="FFFFFF"/>
        <w:tabs>
          <w:tab w:val="left" w:pos="441"/>
        </w:tabs>
        <w:kinsoku/>
        <w:wordWrap/>
        <w:overflowPunct/>
        <w:topLinePunct w:val="0"/>
        <w:autoSpaceDE/>
        <w:autoSpaceDN/>
        <w:bidi w:val="0"/>
        <w:adjustRightInd/>
        <w:snapToGrid w:val="0"/>
        <w:spacing w:before="0" w:beforeAutospacing="0" w:after="0" w:afterAutospacing="0" w:line="580" w:lineRule="exact"/>
        <w:ind w:right="0" w:rightChars="0"/>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lang w:val="en-US" w:eastAsia="zh-CN"/>
        </w:rPr>
        <w:t>三、</w:t>
      </w:r>
      <w:r>
        <w:rPr>
          <w:rFonts w:hint="eastAsia" w:ascii="黑体" w:hAnsi="宋体" w:eastAsia="黑体" w:cs="黑体"/>
          <w:color w:val="000000"/>
          <w:sz w:val="32"/>
          <w:szCs w:val="32"/>
          <w:u w:val="none"/>
          <w:shd w:val="clear" w:fill="FFFFFF"/>
        </w:rPr>
        <w:t>资格审查情况</w:t>
      </w:r>
    </w:p>
    <w:p>
      <w:pPr>
        <w:keepNext w:val="0"/>
        <w:keepLines w:val="0"/>
        <w:widowControl/>
        <w:suppressLineNumbers w:val="0"/>
        <w:ind w:firstLine="1280" w:firstLineChars="400"/>
        <w:jc w:val="left"/>
        <w:rPr>
          <w:rFonts w:hint="default"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四家供应商均通过了资格审查。</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80" w:lineRule="exact"/>
        <w:ind w:right="0"/>
        <w:jc w:val="left"/>
        <w:textAlignment w:val="auto"/>
      </w:pPr>
      <w:r>
        <w:rPr>
          <w:rFonts w:hint="eastAsia" w:ascii="黑体" w:hAnsi="宋体" w:eastAsia="黑体" w:cs="黑体"/>
          <w:color w:val="000000"/>
          <w:sz w:val="32"/>
          <w:szCs w:val="32"/>
          <w:u w:val="none"/>
          <w:shd w:val="clear" w:fill="FFFFFF"/>
        </w:rPr>
        <w:t>四、评审情况</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（一）符合性审查</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7" w:leftChars="0" w:right="0" w:rightChars="0" w:firstLine="540" w:firstLineChars="193"/>
        <w:jc w:val="left"/>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四家供应商电子投标文件制作硬件特征码均无雷同现象。全部通过符合性审查。</w:t>
      </w:r>
    </w:p>
    <w:p>
      <w:pPr>
        <w:pStyle w:val="74"/>
        <w:keepNext w:val="0"/>
        <w:keepLines w:val="0"/>
        <w:pageBreakBefore w:val="0"/>
        <w:kinsoku/>
        <w:wordWrap/>
        <w:overflowPunct/>
        <w:topLinePunct w:val="0"/>
        <w:autoSpaceDE/>
        <w:autoSpaceDN/>
        <w:bidi w:val="0"/>
        <w:adjustRightInd/>
        <w:spacing w:line="600" w:lineRule="exac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 xml:space="preserve">  </w:t>
      </w:r>
    </w:p>
    <w:p>
      <w:pPr>
        <w:pStyle w:val="74"/>
        <w:keepNext w:val="0"/>
        <w:keepLines w:val="0"/>
        <w:pageBreakBefore w:val="0"/>
        <w:kinsoku/>
        <w:wordWrap/>
        <w:overflowPunct/>
        <w:topLinePunct w:val="0"/>
        <w:autoSpaceDE/>
        <w:autoSpaceDN/>
        <w:bidi w:val="0"/>
        <w:adjustRightInd/>
        <w:spacing w:line="600" w:lineRule="exac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 xml:space="preserve"> </w:t>
      </w:r>
    </w:p>
    <w:p>
      <w:pPr>
        <w:pStyle w:val="74"/>
        <w:keepNext w:val="0"/>
        <w:keepLines w:val="0"/>
        <w:pageBreakBefore w:val="0"/>
        <w:kinsoku/>
        <w:wordWrap/>
        <w:overflowPunct/>
        <w:topLinePunct w:val="0"/>
        <w:autoSpaceDE/>
        <w:autoSpaceDN/>
        <w:bidi w:val="0"/>
        <w:adjustRightInd/>
        <w:spacing w:line="600" w:lineRule="exact"/>
        <w:textAlignment w:val="auto"/>
      </w:pPr>
      <w:r>
        <w:rPr>
          <w:rFonts w:hint="eastAsia" w:ascii="仿宋" w:hAnsi="仿宋" w:eastAsia="仿宋" w:cs="仿宋"/>
          <w:b w:val="0"/>
          <w:i w:val="0"/>
          <w:color w:val="auto"/>
          <w:sz w:val="32"/>
          <w:szCs w:val="32"/>
          <w:u w:val="none"/>
          <w:shd w:val="clear" w:fill="FFFFFF"/>
          <w:lang w:val="en-US" w:eastAsia="zh-CN"/>
        </w:rPr>
        <w:t xml:space="preserve"> </w:t>
      </w:r>
      <w:r>
        <w:rPr>
          <w:rFonts w:hint="eastAsia" w:ascii="仿宋" w:hAnsi="仿宋" w:eastAsia="仿宋" w:cs="仿宋"/>
          <w:b w:val="0"/>
          <w:i w:val="0"/>
          <w:color w:val="auto"/>
          <w:sz w:val="32"/>
          <w:szCs w:val="32"/>
          <w:u w:val="none"/>
          <w:shd w:val="clear" w:fill="FFFFFF"/>
        </w:rPr>
        <w:t>通过资格审查的</w:t>
      </w:r>
      <w:r>
        <w:rPr>
          <w:rFonts w:hint="eastAsia" w:ascii="仿宋" w:hAnsi="仿宋" w:eastAsia="仿宋" w:cs="仿宋"/>
          <w:b w:val="0"/>
          <w:i w:val="0"/>
          <w:color w:val="auto"/>
          <w:sz w:val="32"/>
          <w:szCs w:val="32"/>
          <w:u w:val="none"/>
          <w:shd w:val="clear" w:fill="FFFFFF"/>
          <w:lang w:val="en-US" w:eastAsia="zh-CN"/>
        </w:rPr>
        <w:t>四家</w:t>
      </w:r>
      <w:r>
        <w:rPr>
          <w:rFonts w:hint="eastAsia" w:ascii="仿宋" w:hAnsi="仿宋" w:eastAsia="仿宋" w:cs="仿宋"/>
          <w:b w:val="0"/>
          <w:i w:val="0"/>
          <w:color w:val="auto"/>
          <w:sz w:val="32"/>
          <w:szCs w:val="32"/>
          <w:u w:val="none"/>
          <w:shd w:val="clear" w:fill="FFFFFF"/>
        </w:rPr>
        <w:t>投标人</w:t>
      </w:r>
      <w:r>
        <w:rPr>
          <w:rFonts w:hint="eastAsia" w:ascii="仿宋" w:hAnsi="仿宋" w:eastAsia="仿宋" w:cs="仿宋"/>
          <w:b w:val="0"/>
          <w:i w:val="0"/>
          <w:color w:val="auto"/>
          <w:sz w:val="32"/>
          <w:szCs w:val="32"/>
          <w:u w:val="none"/>
          <w:shd w:val="clear" w:fill="FFFFFF"/>
          <w:lang w:val="en-US" w:eastAsia="zh-CN"/>
        </w:rPr>
        <w:t>中，</w:t>
      </w:r>
      <w:r>
        <w:rPr>
          <w:rFonts w:ascii="微软雅黑" w:hAnsi="微软雅黑" w:eastAsia="微软雅黑" w:cs="微软雅黑"/>
          <w:sz w:val="18"/>
          <w:szCs w:val="18"/>
        </w:rPr>
        <w:t>通过资质审查的4家供应商中许昌市轩逸时代信息技术有限公司未明确产品可靠性检验MTBF数值</w:t>
      </w:r>
      <w:r>
        <w:rPr>
          <w:rFonts w:hint="eastAsia" w:ascii="微软雅黑" w:hAnsi="微软雅黑" w:eastAsia="微软雅黑" w:cs="微软雅黑"/>
          <w:sz w:val="18"/>
          <w:szCs w:val="18"/>
          <w:lang w:eastAsia="zh-CN"/>
        </w:rPr>
        <w:t>，</w:t>
      </w:r>
      <w:r>
        <w:t>窗体顶端</w:t>
      </w:r>
    </w:p>
    <w:p>
      <w:pPr>
        <w:pStyle w:val="75"/>
        <w:keepNext w:val="0"/>
        <w:keepLines w:val="0"/>
        <w:pageBreakBefore w:val="0"/>
        <w:kinsoku/>
        <w:wordWrap/>
        <w:overflowPunct/>
        <w:topLinePunct w:val="0"/>
        <w:autoSpaceDE/>
        <w:autoSpaceDN/>
        <w:bidi w:val="0"/>
        <w:adjustRightInd/>
        <w:spacing w:line="600" w:lineRule="exact"/>
        <w:textAlignment w:val="auto"/>
      </w:pPr>
      <w:r>
        <w:t>窗体底端</w:t>
      </w:r>
    </w:p>
    <w:p>
      <w:pPr>
        <w:pStyle w:val="7"/>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right="0" w:firstLine="320" w:firstLineChars="10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评比如果如下：</w:t>
      </w:r>
    </w:p>
    <w:tbl>
      <w:tblPr>
        <w:tblStyle w:val="8"/>
        <w:tblpPr w:leftFromText="180" w:rightFromText="180" w:vertAnchor="text" w:horzAnchor="page" w:tblpXSpec="center" w:tblpY="113"/>
        <w:tblOverlap w:val="never"/>
        <w:tblW w:w="85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4"/>
        <w:gridCol w:w="5745"/>
        <w:gridCol w:w="1036"/>
        <w:gridCol w:w="9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854"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序号</w:t>
            </w:r>
          </w:p>
        </w:tc>
        <w:tc>
          <w:tcPr>
            <w:tcW w:w="5745" w:type="dxa"/>
            <w:noWrap w:val="0"/>
            <w:vAlign w:val="top"/>
          </w:tcPr>
          <w:p>
            <w:pPr>
              <w:spacing w:line="440" w:lineRule="exact"/>
              <w:jc w:val="center"/>
              <w:rPr>
                <w:rFonts w:hint="eastAsia" w:ascii="仿宋" w:hAnsi="仿宋" w:eastAsia="仿宋"/>
                <w:sz w:val="28"/>
                <w:szCs w:val="28"/>
              </w:rPr>
            </w:pPr>
            <w:r>
              <w:rPr>
                <w:rFonts w:hint="eastAsia" w:ascii="仿宋" w:hAnsi="仿宋" w:eastAsia="仿宋"/>
                <w:sz w:val="28"/>
                <w:szCs w:val="28"/>
              </w:rPr>
              <w:t>投标商名称</w:t>
            </w:r>
          </w:p>
        </w:tc>
        <w:tc>
          <w:tcPr>
            <w:tcW w:w="1036" w:type="dxa"/>
            <w:noWrap w:val="0"/>
            <w:vAlign w:val="top"/>
          </w:tcPr>
          <w:p>
            <w:pPr>
              <w:spacing w:line="440" w:lineRule="exact"/>
              <w:jc w:val="center"/>
              <w:rPr>
                <w:rFonts w:hint="default" w:ascii="仿宋" w:hAnsi="仿宋" w:eastAsia="仿宋"/>
                <w:sz w:val="28"/>
                <w:szCs w:val="28"/>
                <w:lang w:val="en-US" w:eastAsia="zh-CN"/>
              </w:rPr>
            </w:pPr>
            <w:r>
              <w:rPr>
                <w:rFonts w:hint="eastAsia" w:ascii="仿宋" w:hAnsi="仿宋" w:eastAsia="仿宋"/>
                <w:sz w:val="28"/>
                <w:szCs w:val="28"/>
                <w:lang w:val="en-US" w:eastAsia="zh-CN"/>
              </w:rPr>
              <w:t>得分</w:t>
            </w:r>
          </w:p>
        </w:tc>
        <w:tc>
          <w:tcPr>
            <w:tcW w:w="929"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854" w:type="dxa"/>
            <w:noWrap w:val="0"/>
            <w:vAlign w:val="center"/>
          </w:tcPr>
          <w:p>
            <w:pPr>
              <w:pStyle w:val="7"/>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1</w:t>
            </w:r>
          </w:p>
        </w:tc>
        <w:tc>
          <w:tcPr>
            <w:tcW w:w="5745" w:type="dxa"/>
            <w:noWrap w:val="0"/>
            <w:vAlign w:val="center"/>
          </w:tcPr>
          <w:p>
            <w:pPr>
              <w:keepNext w:val="0"/>
              <w:keepLines w:val="0"/>
              <w:widowControl/>
              <w:suppressLineNumbers w:val="0"/>
              <w:jc w:val="center"/>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同济大学建筑设计研究院（集团）有限公司</w:t>
            </w:r>
          </w:p>
        </w:tc>
        <w:tc>
          <w:tcPr>
            <w:tcW w:w="1036" w:type="dxa"/>
            <w:noWrap w:val="0"/>
            <w:vAlign w:val="center"/>
          </w:tcPr>
          <w:p>
            <w:pPr>
              <w:spacing w:line="440" w:lineRule="exact"/>
              <w:jc w:val="center"/>
              <w:rPr>
                <w:rFonts w:hint="default"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95.29</w:t>
            </w:r>
          </w:p>
        </w:tc>
        <w:tc>
          <w:tcPr>
            <w:tcW w:w="929" w:type="dxa"/>
            <w:noWrap w:val="0"/>
            <w:vAlign w:val="center"/>
          </w:tcPr>
          <w:p>
            <w:pPr>
              <w:spacing w:line="440" w:lineRule="exact"/>
              <w:jc w:val="center"/>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854" w:type="dxa"/>
            <w:noWrap w:val="0"/>
            <w:vAlign w:val="center"/>
          </w:tcPr>
          <w:p>
            <w:pPr>
              <w:pStyle w:val="7"/>
              <w:keepNext w:val="0"/>
              <w:keepLines w:val="0"/>
              <w:widowControl/>
              <w:suppressLineNumbers w:val="0"/>
              <w:spacing w:line="330" w:lineRule="atLeast"/>
              <w:ind w:left="0" w:leftChars="0" w:right="0" w:rightChars="0"/>
              <w:jc w:val="center"/>
              <w:rPr>
                <w:rFonts w:hint="default"/>
                <w:lang w:val="en-US" w:eastAsia="zh-CN"/>
              </w:rPr>
            </w:pPr>
            <w:r>
              <w:rPr>
                <w:rFonts w:hint="eastAsia"/>
                <w:lang w:val="en-US" w:eastAsia="zh-CN"/>
              </w:rPr>
              <w:t>2</w:t>
            </w:r>
          </w:p>
        </w:tc>
        <w:tc>
          <w:tcPr>
            <w:tcW w:w="5745" w:type="dxa"/>
            <w:noWrap w:val="0"/>
            <w:vAlign w:val="center"/>
          </w:tcPr>
          <w:p>
            <w:pPr>
              <w:keepNext w:val="0"/>
              <w:keepLines w:val="0"/>
              <w:widowControl/>
              <w:suppressLineNumbers w:val="0"/>
              <w:jc w:val="center"/>
              <w:rPr>
                <w:rFonts w:hint="default"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中设设计集团股份有限公司</w:t>
            </w:r>
          </w:p>
        </w:tc>
        <w:tc>
          <w:tcPr>
            <w:tcW w:w="1036" w:type="dxa"/>
            <w:noWrap w:val="0"/>
            <w:vAlign w:val="center"/>
          </w:tcPr>
          <w:p>
            <w:pPr>
              <w:spacing w:line="440" w:lineRule="exact"/>
              <w:jc w:val="center"/>
              <w:rPr>
                <w:rFonts w:hint="default"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56.08</w:t>
            </w:r>
          </w:p>
        </w:tc>
        <w:tc>
          <w:tcPr>
            <w:tcW w:w="929" w:type="dxa"/>
            <w:noWrap w:val="0"/>
            <w:vAlign w:val="center"/>
          </w:tcPr>
          <w:p>
            <w:pPr>
              <w:spacing w:line="440" w:lineRule="exact"/>
              <w:jc w:val="center"/>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854" w:type="dxa"/>
            <w:noWrap w:val="0"/>
            <w:vAlign w:val="center"/>
          </w:tcPr>
          <w:p>
            <w:pPr>
              <w:pStyle w:val="7"/>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3</w:t>
            </w:r>
          </w:p>
        </w:tc>
        <w:tc>
          <w:tcPr>
            <w:tcW w:w="5745" w:type="dxa"/>
            <w:noWrap w:val="0"/>
            <w:vAlign w:val="center"/>
          </w:tcPr>
          <w:p>
            <w:pPr>
              <w:keepNext w:val="0"/>
              <w:keepLines w:val="0"/>
              <w:widowControl/>
              <w:suppressLineNumbers w:val="0"/>
              <w:jc w:val="center"/>
              <w:rPr>
                <w:rFonts w:hint="default"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太原市市政工程设计研究院</w:t>
            </w:r>
          </w:p>
        </w:tc>
        <w:tc>
          <w:tcPr>
            <w:tcW w:w="1036" w:type="dxa"/>
            <w:noWrap w:val="0"/>
            <w:vAlign w:val="center"/>
          </w:tcPr>
          <w:p>
            <w:pPr>
              <w:spacing w:line="440" w:lineRule="exact"/>
              <w:jc w:val="center"/>
              <w:rPr>
                <w:rFonts w:hint="default"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52.10</w:t>
            </w:r>
          </w:p>
        </w:tc>
        <w:tc>
          <w:tcPr>
            <w:tcW w:w="929" w:type="dxa"/>
            <w:noWrap w:val="0"/>
            <w:vAlign w:val="center"/>
          </w:tcPr>
          <w:p>
            <w:pPr>
              <w:spacing w:line="440" w:lineRule="exact"/>
              <w:jc w:val="center"/>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3</w:t>
            </w:r>
          </w:p>
        </w:tc>
      </w:tr>
    </w:tbl>
    <w:p>
      <w:pPr>
        <w:pStyle w:val="7"/>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jc w:val="left"/>
        <w:textAlignment w:val="auto"/>
        <w:rPr>
          <w:rFonts w:hint="eastAsia" w:ascii="黑体" w:hAnsi="宋体" w:eastAsia="黑体" w:cs="黑体"/>
          <w:color w:val="000000"/>
          <w:sz w:val="32"/>
          <w:szCs w:val="32"/>
          <w:u w:val="none"/>
          <w:shd w:val="clear" w:fill="FFFFFF"/>
          <w:lang w:val="en-US" w:eastAsia="zh-CN"/>
        </w:rPr>
      </w:pPr>
    </w:p>
    <w:p>
      <w:pPr>
        <w:pStyle w:val="7"/>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jc w:val="left"/>
        <w:textAlignment w:val="auto"/>
      </w:pPr>
      <w:r>
        <w:rPr>
          <w:rFonts w:hint="eastAsia" w:ascii="黑体" w:hAnsi="宋体" w:eastAsia="黑体" w:cs="黑体"/>
          <w:color w:val="000000"/>
          <w:sz w:val="32"/>
          <w:szCs w:val="32"/>
          <w:u w:val="none"/>
          <w:shd w:val="clear" w:fill="FFFFFF"/>
          <w:lang w:val="en-US" w:eastAsia="zh-CN"/>
        </w:rPr>
        <w:t>五、评标委</w:t>
      </w:r>
      <w:r>
        <w:rPr>
          <w:rFonts w:hint="eastAsia" w:ascii="黑体" w:hAnsi="宋体" w:eastAsia="黑体" w:cs="黑体"/>
          <w:color w:val="000000"/>
          <w:sz w:val="32"/>
          <w:szCs w:val="32"/>
          <w:u w:val="none"/>
          <w:shd w:val="clear" w:fill="FFFFFF"/>
        </w:rPr>
        <w:t>员会推荐中标候选人（或采购人授权确定中标人）情况</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第一中标候选人：同济大学建筑设计研究院（集团）有限公司</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地    址：上海市四平路1230号</w:t>
      </w:r>
      <w:bookmarkStart w:id="0" w:name="_GoBack"/>
      <w:bookmarkEnd w:id="0"/>
      <w:r>
        <w:rPr>
          <w:rFonts w:hint="eastAsia" w:ascii="仿宋" w:hAnsi="仿宋" w:eastAsia="仿宋" w:cs="仿宋"/>
          <w:color w:val="000000"/>
          <w:sz w:val="30"/>
          <w:szCs w:val="30"/>
          <w:u w:val="none"/>
          <w:shd w:val="clear" w:fill="FFFFFF"/>
          <w:lang w:val="en-US" w:eastAsia="zh-CN"/>
        </w:rPr>
        <w:t xml:space="preserve">      电  话：021-35375689      邮政编码：200092 </w:t>
      </w:r>
    </w:p>
    <w:p>
      <w:pPr>
        <w:keepNext w:val="0"/>
        <w:keepLines w:val="0"/>
        <w:widowControl/>
        <w:suppressLineNumbers w:val="0"/>
        <w:ind w:firstLine="602" w:firstLineChars="200"/>
        <w:jc w:val="left"/>
        <w:rPr>
          <w:rFonts w:hint="eastAsia" w:ascii="仿宋" w:hAnsi="仿宋" w:eastAsia="仿宋" w:cs="仿宋"/>
          <w:b/>
          <w:bCs/>
          <w:color w:val="000000"/>
          <w:sz w:val="30"/>
          <w:szCs w:val="30"/>
          <w:u w:val="none"/>
          <w:shd w:val="clear" w:fill="FFFFFF"/>
          <w:lang w:val="en-US" w:eastAsia="zh-CN"/>
        </w:rPr>
      </w:pPr>
      <w:r>
        <w:rPr>
          <w:rFonts w:hint="eastAsia" w:ascii="仿宋" w:hAnsi="仿宋" w:eastAsia="仿宋" w:cs="仿宋"/>
          <w:b/>
          <w:bCs/>
          <w:color w:val="000000"/>
          <w:sz w:val="30"/>
          <w:szCs w:val="30"/>
          <w:u w:val="none"/>
          <w:shd w:val="clear" w:fill="FFFFFF"/>
          <w:lang w:val="en-US" w:eastAsia="zh-CN"/>
        </w:rPr>
        <w:t>中标金额：贰佰肆拾伍万零伍佰元整（ 2450500.00元  ）</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 xml:space="preserve">第二中标候选人：中设设计集团股份有限公司 </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 xml:space="preserve">地    址：南京市秦淮区紫云大道9号  电  话： 025-88018888  邮政编号：210014. </w:t>
      </w:r>
    </w:p>
    <w:p>
      <w:pPr>
        <w:keepNext w:val="0"/>
        <w:keepLines w:val="0"/>
        <w:widowControl/>
        <w:suppressLineNumbers w:val="0"/>
        <w:ind w:firstLine="602" w:firstLineChars="200"/>
        <w:jc w:val="left"/>
        <w:rPr>
          <w:rFonts w:hint="eastAsia" w:ascii="仿宋" w:hAnsi="仿宋" w:eastAsia="仿宋" w:cs="仿宋"/>
          <w:b/>
          <w:bCs/>
          <w:color w:val="000000"/>
          <w:sz w:val="30"/>
          <w:szCs w:val="30"/>
          <w:u w:val="none"/>
          <w:shd w:val="clear" w:fill="FFFFFF"/>
          <w:lang w:val="en-US" w:eastAsia="zh-CN"/>
        </w:rPr>
      </w:pPr>
      <w:r>
        <w:rPr>
          <w:rFonts w:hint="eastAsia" w:ascii="仿宋" w:hAnsi="仿宋" w:eastAsia="仿宋" w:cs="仿宋"/>
          <w:b/>
          <w:bCs/>
          <w:color w:val="000000"/>
          <w:sz w:val="30"/>
          <w:szCs w:val="30"/>
          <w:u w:val="none"/>
          <w:shd w:val="clear" w:fill="FFFFFF"/>
          <w:lang w:val="en-US" w:eastAsia="zh-CN"/>
        </w:rPr>
        <w:t>中标金额： 贰佰肆拾伍万贰仟元整（ 2452000.00元）</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第三中标候选人：太原市市政工程设计研究院</w:t>
      </w:r>
    </w:p>
    <w:p>
      <w:pPr>
        <w:keepNext w:val="0"/>
        <w:keepLines w:val="0"/>
        <w:widowControl/>
        <w:suppressLineNumbers w:val="0"/>
        <w:jc w:val="left"/>
        <w:rPr>
          <w:rFonts w:hint="default"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地址：太原市杏花岭区旱西北二条9号  电  话：0351-2685839   邮政编码：030002</w:t>
      </w:r>
    </w:p>
    <w:p>
      <w:pPr>
        <w:keepNext w:val="0"/>
        <w:keepLines w:val="0"/>
        <w:widowControl/>
        <w:suppressLineNumbers w:val="0"/>
        <w:ind w:firstLine="602" w:firstLineChars="200"/>
        <w:jc w:val="left"/>
        <w:rPr>
          <w:rFonts w:hint="eastAsia" w:ascii="仿宋" w:hAnsi="仿宋" w:eastAsia="仿宋" w:cs="仿宋"/>
          <w:b/>
          <w:bCs/>
          <w:color w:val="000000"/>
          <w:sz w:val="30"/>
          <w:szCs w:val="30"/>
          <w:u w:val="none"/>
          <w:shd w:val="clear" w:fill="FFFFFF"/>
          <w:lang w:val="en-US" w:eastAsia="zh-CN"/>
        </w:rPr>
      </w:pPr>
      <w:r>
        <w:rPr>
          <w:rFonts w:hint="eastAsia" w:ascii="仿宋" w:hAnsi="仿宋" w:eastAsia="仿宋" w:cs="仿宋"/>
          <w:b/>
          <w:bCs/>
          <w:color w:val="000000"/>
          <w:sz w:val="30"/>
          <w:szCs w:val="30"/>
          <w:u w:val="none"/>
          <w:shd w:val="clear" w:fill="FFFFFF"/>
          <w:lang w:val="en-US" w:eastAsia="zh-CN"/>
        </w:rPr>
        <w:t>中标金额： 贰佰肆拾叁万柒仟陆佰元整（ 2437600.00 元 ）</w:t>
      </w:r>
    </w:p>
    <w:p>
      <w:pPr>
        <w:pStyle w:val="7"/>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jc w:val="left"/>
        <w:textAlignment w:val="auto"/>
        <w:rPr>
          <w:sz w:val="30"/>
          <w:szCs w:val="30"/>
        </w:rPr>
      </w:pPr>
      <w:r>
        <w:rPr>
          <w:rFonts w:hint="eastAsia" w:ascii="黑体" w:hAnsi="宋体" w:eastAsia="黑体" w:cs="黑体"/>
          <w:color w:val="000000"/>
          <w:sz w:val="30"/>
          <w:szCs w:val="30"/>
          <w:u w:val="none"/>
          <w:shd w:val="clear" w:fill="FFFFFF"/>
          <w:lang w:val="en-US" w:eastAsia="zh-CN"/>
        </w:rPr>
        <w:t>六、投标人根据评标</w:t>
      </w:r>
      <w:r>
        <w:rPr>
          <w:rFonts w:hint="eastAsia" w:ascii="黑体" w:hAnsi="宋体" w:eastAsia="黑体" w:cs="黑体"/>
          <w:color w:val="000000"/>
          <w:sz w:val="30"/>
          <w:szCs w:val="30"/>
          <w:u w:val="none"/>
          <w:shd w:val="clear" w:fill="FFFFFF"/>
        </w:rPr>
        <w:t>委员会要求进行的澄清、说明或者补正：</w:t>
      </w:r>
      <w:r>
        <w:rPr>
          <w:rFonts w:hint="eastAsia" w:ascii="仿宋" w:hAnsi="仿宋" w:eastAsia="仿宋" w:cs="仿宋"/>
          <w:color w:val="000000"/>
          <w:kern w:val="2"/>
          <w:sz w:val="28"/>
          <w:szCs w:val="28"/>
          <w:u w:val="none"/>
          <w:shd w:val="clear" w:fill="FFFFFF"/>
          <w:lang w:val="en-US" w:eastAsia="zh-CN" w:bidi="ar-SA"/>
        </w:rPr>
        <w:t>无。</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jc w:val="left"/>
        <w:textAlignment w:val="auto"/>
        <w:rPr>
          <w:rFonts w:hint="eastAsia" w:ascii="仿宋" w:hAnsi="仿宋" w:eastAsia="仿宋" w:cs="仿宋"/>
          <w:b/>
          <w:bCs/>
          <w:color w:val="000000"/>
          <w:kern w:val="2"/>
          <w:sz w:val="28"/>
          <w:szCs w:val="28"/>
          <w:u w:val="none"/>
          <w:shd w:val="clear" w:fill="FFFFFF"/>
          <w:lang w:val="en-US" w:eastAsia="zh-CN" w:bidi="ar-SA"/>
        </w:rPr>
      </w:pPr>
      <w:r>
        <w:rPr>
          <w:rFonts w:hint="eastAsia" w:ascii="黑体" w:hAnsi="宋体" w:eastAsia="黑体" w:cs="黑体"/>
          <w:color w:val="000000"/>
          <w:sz w:val="30"/>
          <w:szCs w:val="30"/>
          <w:u w:val="none"/>
          <w:shd w:val="clear" w:fill="FFFFFF"/>
        </w:rPr>
        <w:t>七、是否存在评标委员会成员更换：</w:t>
      </w:r>
      <w:r>
        <w:rPr>
          <w:rFonts w:hint="eastAsia" w:ascii="黑体" w:hAnsi="宋体" w:eastAsia="黑体" w:cs="黑体"/>
          <w:color w:val="000000"/>
          <w:sz w:val="30"/>
          <w:szCs w:val="30"/>
          <w:u w:val="none"/>
          <w:shd w:val="clear" w:fill="FFFFFF"/>
          <w:lang w:val="en-US" w:eastAsia="zh-CN"/>
        </w:rPr>
        <w:t xml:space="preserve">  </w:t>
      </w:r>
      <w:r>
        <w:rPr>
          <w:rFonts w:hint="eastAsia" w:ascii="仿宋" w:hAnsi="仿宋" w:eastAsia="仿宋" w:cs="仿宋"/>
          <w:b/>
          <w:bCs/>
          <w:color w:val="000000"/>
          <w:kern w:val="2"/>
          <w:sz w:val="28"/>
          <w:szCs w:val="28"/>
          <w:u w:val="none"/>
          <w:shd w:val="clear" w:fill="FFFFFF"/>
          <w:lang w:val="en-US" w:eastAsia="zh-CN" w:bidi="ar-SA"/>
        </w:rPr>
        <w:t>无</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firstLine="240" w:firstLineChars="100"/>
        <w:jc w:val="left"/>
        <w:textAlignment w:val="auto"/>
        <w:rPr>
          <w:rFonts w:hint="eastAsia" w:ascii="仿宋" w:hAnsi="仿宋" w:eastAsia="仿宋" w:cs="仿宋"/>
          <w:color w:val="000000"/>
          <w:sz w:val="24"/>
          <w:szCs w:val="24"/>
          <w:u w:val="none"/>
          <w:shd w:val="clear" w:fill="FFFFFF"/>
          <w:lang w:val="en-US" w:eastAsia="zh-CN"/>
        </w:rPr>
      </w:pP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firstLine="240" w:firstLineChars="100"/>
        <w:jc w:val="left"/>
        <w:textAlignment w:val="auto"/>
        <w:rPr>
          <w:rFonts w:hint="eastAsia" w:ascii="仿宋" w:hAnsi="仿宋" w:eastAsia="仿宋" w:cs="仿宋"/>
          <w:color w:val="000000"/>
          <w:sz w:val="24"/>
          <w:szCs w:val="24"/>
          <w:u w:val="none"/>
          <w:shd w:val="clear" w:fill="FFFFFF"/>
          <w:lang w:val="en-US" w:eastAsia="zh-CN"/>
        </w:rPr>
      </w:pP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firstLine="240" w:firstLineChars="100"/>
        <w:jc w:val="left"/>
        <w:textAlignment w:val="auto"/>
        <w:rPr>
          <w:rFonts w:hint="eastAsia" w:ascii="仿宋" w:hAnsi="仿宋" w:eastAsia="仿宋" w:cs="仿宋"/>
          <w:color w:val="000000"/>
          <w:sz w:val="24"/>
          <w:szCs w:val="24"/>
          <w:u w:val="none"/>
          <w:shd w:val="clear" w:fill="FFFFFF"/>
          <w:lang w:val="en-US" w:eastAsia="zh-CN"/>
        </w:rPr>
      </w:pPr>
      <w:r>
        <w:rPr>
          <w:rFonts w:hint="eastAsia" w:ascii="仿宋" w:hAnsi="仿宋" w:eastAsia="仿宋" w:cs="仿宋"/>
          <w:color w:val="000000"/>
          <w:sz w:val="24"/>
          <w:szCs w:val="24"/>
          <w:u w:val="none"/>
          <w:shd w:val="clear" w:fill="FFFFFF"/>
          <w:lang w:val="en-US" w:eastAsia="zh-CN"/>
        </w:rPr>
        <w:t xml:space="preserve"> </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right"/>
        <w:textAlignment w:val="auto"/>
        <w:rPr>
          <w:rFonts w:hint="eastAsia" w:ascii="仿宋" w:hAnsi="仿宋" w:eastAsia="仿宋" w:cs="仿宋"/>
          <w:color w:val="000000"/>
          <w:kern w:val="2"/>
          <w:sz w:val="28"/>
          <w:szCs w:val="28"/>
          <w:u w:val="none"/>
          <w:shd w:val="clear" w:fill="FFFFFF"/>
          <w:lang w:val="en-US" w:eastAsia="zh-CN" w:bidi="ar-SA"/>
        </w:rPr>
      </w:pP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center"/>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 xml:space="preserve">                                 </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center"/>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 xml:space="preserve">                                   2019年12月11日</w:t>
      </w:r>
    </w:p>
    <w:sectPr>
      <w:headerReference r:id="rId3" w:type="default"/>
      <w:footerReference r:id="rId4" w:type="default"/>
      <w:pgSz w:w="11906" w:h="16838"/>
      <w:pgMar w:top="12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1DA69B"/>
    <w:multiLevelType w:val="singleLevel"/>
    <w:tmpl w:val="8D1DA69B"/>
    <w:lvl w:ilvl="0" w:tentative="0">
      <w:start w:val="2"/>
      <w:numFmt w:val="chineseCounting"/>
      <w:suff w:val="nothing"/>
      <w:lvlText w:val="（%1）"/>
      <w:lvlJc w:val="left"/>
      <w:rPr>
        <w:rFonts w:hint="eastAsia"/>
      </w:rPr>
    </w:lvl>
  </w:abstractNum>
  <w:abstractNum w:abstractNumId="1">
    <w:nsid w:val="00000006"/>
    <w:multiLevelType w:val="multilevel"/>
    <w:tmpl w:val="00000006"/>
    <w:lvl w:ilvl="0" w:tentative="0">
      <w:start w:val="1"/>
      <w:numFmt w:val="chineseCountingThousand"/>
      <w:pStyle w:val="4"/>
      <w:suff w:val="nothing"/>
      <w:lvlText w:val="第%1部分"/>
      <w:lvlJc w:val="center"/>
      <w:pPr>
        <w:ind w:left="-288" w:firstLine="288"/>
      </w:pPr>
      <w:rPr>
        <w:rFonts w:hint="eastAsia"/>
        <w:sz w:val="28"/>
        <w:szCs w:val="28"/>
      </w:rPr>
    </w:lvl>
    <w:lvl w:ilvl="1" w:tentative="0">
      <w:start w:val="1"/>
      <w:numFmt w:val="chineseCountingThousand"/>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6655D3"/>
    <w:rsid w:val="02836275"/>
    <w:rsid w:val="030D4F75"/>
    <w:rsid w:val="046A30F2"/>
    <w:rsid w:val="050E61B3"/>
    <w:rsid w:val="05664BDF"/>
    <w:rsid w:val="0568416F"/>
    <w:rsid w:val="06AD1E3E"/>
    <w:rsid w:val="06BB1302"/>
    <w:rsid w:val="07E44978"/>
    <w:rsid w:val="07F800D3"/>
    <w:rsid w:val="08D75275"/>
    <w:rsid w:val="091D1846"/>
    <w:rsid w:val="099C3E00"/>
    <w:rsid w:val="09F03305"/>
    <w:rsid w:val="0C503187"/>
    <w:rsid w:val="0D21183A"/>
    <w:rsid w:val="0E3D02A4"/>
    <w:rsid w:val="0F6B7734"/>
    <w:rsid w:val="0FD802D1"/>
    <w:rsid w:val="109A17DA"/>
    <w:rsid w:val="12BB5366"/>
    <w:rsid w:val="13A7762A"/>
    <w:rsid w:val="14245DBC"/>
    <w:rsid w:val="143425F3"/>
    <w:rsid w:val="144A3A3E"/>
    <w:rsid w:val="15033594"/>
    <w:rsid w:val="157129DD"/>
    <w:rsid w:val="15FC2A9B"/>
    <w:rsid w:val="17D926FA"/>
    <w:rsid w:val="1A5042D6"/>
    <w:rsid w:val="1BD00BD8"/>
    <w:rsid w:val="1D03587C"/>
    <w:rsid w:val="1D2F1724"/>
    <w:rsid w:val="1D863BDB"/>
    <w:rsid w:val="1DA95CDC"/>
    <w:rsid w:val="1E196947"/>
    <w:rsid w:val="2004781A"/>
    <w:rsid w:val="203854D7"/>
    <w:rsid w:val="219845BA"/>
    <w:rsid w:val="22034C9F"/>
    <w:rsid w:val="220719F2"/>
    <w:rsid w:val="22BF2B0F"/>
    <w:rsid w:val="23D527F8"/>
    <w:rsid w:val="23F2379E"/>
    <w:rsid w:val="24347A56"/>
    <w:rsid w:val="250F79CA"/>
    <w:rsid w:val="281C3862"/>
    <w:rsid w:val="28B2034C"/>
    <w:rsid w:val="29B06DA3"/>
    <w:rsid w:val="2B1A2E58"/>
    <w:rsid w:val="2C580DD3"/>
    <w:rsid w:val="2C7A62AD"/>
    <w:rsid w:val="2C8C5314"/>
    <w:rsid w:val="2CF750BA"/>
    <w:rsid w:val="2D080062"/>
    <w:rsid w:val="2D723D7C"/>
    <w:rsid w:val="2D9C085B"/>
    <w:rsid w:val="2ED67925"/>
    <w:rsid w:val="2F4C455E"/>
    <w:rsid w:val="2FDC63C1"/>
    <w:rsid w:val="313C2C12"/>
    <w:rsid w:val="31534C8B"/>
    <w:rsid w:val="31A42F31"/>
    <w:rsid w:val="321D771D"/>
    <w:rsid w:val="33A37472"/>
    <w:rsid w:val="33DB07DB"/>
    <w:rsid w:val="34E763F5"/>
    <w:rsid w:val="363A185F"/>
    <w:rsid w:val="36DA1035"/>
    <w:rsid w:val="386B5961"/>
    <w:rsid w:val="387E3CE9"/>
    <w:rsid w:val="3A745AA5"/>
    <w:rsid w:val="3B1C631F"/>
    <w:rsid w:val="3B9F5F6E"/>
    <w:rsid w:val="3BDA5757"/>
    <w:rsid w:val="3C161F75"/>
    <w:rsid w:val="3C2C4265"/>
    <w:rsid w:val="3C492603"/>
    <w:rsid w:val="3CC736A9"/>
    <w:rsid w:val="3CC9487F"/>
    <w:rsid w:val="3D375DAF"/>
    <w:rsid w:val="3D90594C"/>
    <w:rsid w:val="3DD7020A"/>
    <w:rsid w:val="3E504CFE"/>
    <w:rsid w:val="3F3A0FFA"/>
    <w:rsid w:val="42A668D7"/>
    <w:rsid w:val="44EB3951"/>
    <w:rsid w:val="4522252F"/>
    <w:rsid w:val="45B82664"/>
    <w:rsid w:val="462721B8"/>
    <w:rsid w:val="463B1FB6"/>
    <w:rsid w:val="471813B4"/>
    <w:rsid w:val="493123CC"/>
    <w:rsid w:val="49DE41DD"/>
    <w:rsid w:val="4AFD0F3D"/>
    <w:rsid w:val="4B7B39BE"/>
    <w:rsid w:val="4BAA572F"/>
    <w:rsid w:val="4C6A5EC8"/>
    <w:rsid w:val="4C702E23"/>
    <w:rsid w:val="4D2103BD"/>
    <w:rsid w:val="4D565D01"/>
    <w:rsid w:val="4DD70C15"/>
    <w:rsid w:val="4EC84EC9"/>
    <w:rsid w:val="4ECF48F5"/>
    <w:rsid w:val="4F1149FB"/>
    <w:rsid w:val="4FB242F0"/>
    <w:rsid w:val="4FCE6222"/>
    <w:rsid w:val="5198609B"/>
    <w:rsid w:val="54B368C9"/>
    <w:rsid w:val="55F515B1"/>
    <w:rsid w:val="563F1657"/>
    <w:rsid w:val="57133B04"/>
    <w:rsid w:val="575E34E9"/>
    <w:rsid w:val="59272954"/>
    <w:rsid w:val="592F4437"/>
    <w:rsid w:val="59743366"/>
    <w:rsid w:val="59D950BD"/>
    <w:rsid w:val="5A0E7739"/>
    <w:rsid w:val="5C1437CD"/>
    <w:rsid w:val="5C3C5905"/>
    <w:rsid w:val="5D781309"/>
    <w:rsid w:val="5DE74906"/>
    <w:rsid w:val="5E943DC4"/>
    <w:rsid w:val="5E944783"/>
    <w:rsid w:val="5F7475E7"/>
    <w:rsid w:val="604133F7"/>
    <w:rsid w:val="61676F9F"/>
    <w:rsid w:val="61B4681C"/>
    <w:rsid w:val="62094375"/>
    <w:rsid w:val="62DF2949"/>
    <w:rsid w:val="632F4F38"/>
    <w:rsid w:val="639635CF"/>
    <w:rsid w:val="63B02821"/>
    <w:rsid w:val="642057C7"/>
    <w:rsid w:val="64207847"/>
    <w:rsid w:val="64776005"/>
    <w:rsid w:val="66C75080"/>
    <w:rsid w:val="66E4309D"/>
    <w:rsid w:val="681C0391"/>
    <w:rsid w:val="68FF76E4"/>
    <w:rsid w:val="6A4D3015"/>
    <w:rsid w:val="6A7F5A88"/>
    <w:rsid w:val="6C191A6E"/>
    <w:rsid w:val="6C2D42C5"/>
    <w:rsid w:val="6C6726DC"/>
    <w:rsid w:val="6E902FFD"/>
    <w:rsid w:val="6EC648B5"/>
    <w:rsid w:val="6F7613B8"/>
    <w:rsid w:val="6F87576C"/>
    <w:rsid w:val="6FC82958"/>
    <w:rsid w:val="6FCB3031"/>
    <w:rsid w:val="70B91580"/>
    <w:rsid w:val="71336BEC"/>
    <w:rsid w:val="73EC67F9"/>
    <w:rsid w:val="74B27047"/>
    <w:rsid w:val="75B75AFB"/>
    <w:rsid w:val="75ED24AD"/>
    <w:rsid w:val="763860D4"/>
    <w:rsid w:val="77204DC9"/>
    <w:rsid w:val="7736326C"/>
    <w:rsid w:val="79213531"/>
    <w:rsid w:val="79EC55AB"/>
    <w:rsid w:val="79F82657"/>
    <w:rsid w:val="7AAE5BAF"/>
    <w:rsid w:val="7AC65398"/>
    <w:rsid w:val="7AD02F53"/>
    <w:rsid w:val="7B96003F"/>
    <w:rsid w:val="7D45361A"/>
    <w:rsid w:val="7DA113E8"/>
    <w:rsid w:val="7F236979"/>
    <w:rsid w:val="7FA92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rFonts w:ascii="宋体" w:hAnsi="Times New Roman" w:eastAsia="宋体" w:cs="Times New Roman"/>
      <w:kern w:val="0"/>
      <w:sz w:val="34"/>
      <w:szCs w:val="20"/>
    </w:rPr>
  </w:style>
  <w:style w:type="paragraph" w:styleId="3">
    <w:name w:val="Body Text"/>
    <w:basedOn w:val="1"/>
    <w:unhideWhenUsed/>
    <w:qFormat/>
    <w:uiPriority w:val="99"/>
    <w:pPr>
      <w:spacing w:after="12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FollowedHyperlink"/>
    <w:basedOn w:val="10"/>
    <w:qFormat/>
    <w:uiPriority w:val="0"/>
    <w:rPr>
      <w:color w:val="000000"/>
      <w:u w:val="none"/>
    </w:rPr>
  </w:style>
  <w:style w:type="character" w:styleId="12">
    <w:name w:val="Emphasis"/>
    <w:basedOn w:val="10"/>
    <w:qFormat/>
    <w:uiPriority w:val="0"/>
  </w:style>
  <w:style w:type="character" w:styleId="13">
    <w:name w:val="Hyperlink"/>
    <w:basedOn w:val="10"/>
    <w:qFormat/>
    <w:uiPriority w:val="0"/>
    <w:rPr>
      <w:color w:val="000000"/>
      <w:u w:val="none"/>
    </w:rPr>
  </w:style>
  <w:style w:type="character" w:customStyle="1" w:styleId="14">
    <w:name w:val="red"/>
    <w:basedOn w:val="10"/>
    <w:qFormat/>
    <w:uiPriority w:val="0"/>
    <w:rPr>
      <w:color w:val="FF0000"/>
      <w:sz w:val="18"/>
      <w:szCs w:val="18"/>
    </w:rPr>
  </w:style>
  <w:style w:type="character" w:customStyle="1" w:styleId="15">
    <w:name w:val="red1"/>
    <w:basedOn w:val="10"/>
    <w:qFormat/>
    <w:uiPriority w:val="0"/>
    <w:rPr>
      <w:color w:val="FF0000"/>
      <w:sz w:val="18"/>
      <w:szCs w:val="18"/>
    </w:rPr>
  </w:style>
  <w:style w:type="character" w:customStyle="1" w:styleId="16">
    <w:name w:val="red2"/>
    <w:basedOn w:val="10"/>
    <w:qFormat/>
    <w:uiPriority w:val="0"/>
    <w:rPr>
      <w:color w:val="CC0000"/>
    </w:rPr>
  </w:style>
  <w:style w:type="character" w:customStyle="1" w:styleId="17">
    <w:name w:val="red3"/>
    <w:basedOn w:val="10"/>
    <w:qFormat/>
    <w:uiPriority w:val="0"/>
    <w:rPr>
      <w:color w:val="FF0000"/>
    </w:rPr>
  </w:style>
  <w:style w:type="character" w:customStyle="1" w:styleId="18">
    <w:name w:val="green"/>
    <w:basedOn w:val="10"/>
    <w:qFormat/>
    <w:uiPriority w:val="0"/>
    <w:rPr>
      <w:color w:val="66AE00"/>
      <w:sz w:val="18"/>
      <w:szCs w:val="18"/>
    </w:rPr>
  </w:style>
  <w:style w:type="character" w:customStyle="1" w:styleId="19">
    <w:name w:val="green1"/>
    <w:basedOn w:val="10"/>
    <w:qFormat/>
    <w:uiPriority w:val="0"/>
    <w:rPr>
      <w:color w:val="66AE00"/>
      <w:sz w:val="18"/>
      <w:szCs w:val="18"/>
    </w:rPr>
  </w:style>
  <w:style w:type="character" w:customStyle="1" w:styleId="20">
    <w:name w:val="hover25"/>
    <w:basedOn w:val="10"/>
    <w:qFormat/>
    <w:uiPriority w:val="0"/>
  </w:style>
  <w:style w:type="character" w:customStyle="1" w:styleId="21">
    <w:name w:val="gb-jt"/>
    <w:basedOn w:val="10"/>
    <w:qFormat/>
    <w:uiPriority w:val="0"/>
  </w:style>
  <w:style w:type="character" w:customStyle="1" w:styleId="22">
    <w:name w:val="blue"/>
    <w:basedOn w:val="10"/>
    <w:qFormat/>
    <w:uiPriority w:val="0"/>
    <w:rPr>
      <w:color w:val="0371C6"/>
      <w:sz w:val="21"/>
      <w:szCs w:val="21"/>
    </w:rPr>
  </w:style>
  <w:style w:type="character" w:customStyle="1" w:styleId="23">
    <w:name w:val="right"/>
    <w:basedOn w:val="10"/>
    <w:qFormat/>
    <w:uiPriority w:val="0"/>
    <w:rPr>
      <w:color w:val="999999"/>
      <w:sz w:val="18"/>
      <w:szCs w:val="18"/>
    </w:rPr>
  </w:style>
  <w:style w:type="character" w:customStyle="1" w:styleId="24">
    <w:name w:val="focus2"/>
    <w:basedOn w:val="10"/>
    <w:qFormat/>
    <w:uiPriority w:val="0"/>
    <w:rPr>
      <w:b/>
      <w:color w:val="000000"/>
    </w:rPr>
  </w:style>
  <w:style w:type="character" w:customStyle="1" w:styleId="25">
    <w:name w:val="icon_gzkj"/>
    <w:basedOn w:val="10"/>
    <w:qFormat/>
    <w:uiPriority w:val="0"/>
  </w:style>
  <w:style w:type="character" w:customStyle="1" w:styleId="26">
    <w:name w:val="searchopen"/>
    <w:basedOn w:val="10"/>
    <w:qFormat/>
    <w:uiPriority w:val="0"/>
  </w:style>
  <w:style w:type="character" w:customStyle="1" w:styleId="27">
    <w:name w:val="searchclose"/>
    <w:basedOn w:val="10"/>
    <w:qFormat/>
    <w:uiPriority w:val="0"/>
  </w:style>
  <w:style w:type="character" w:customStyle="1" w:styleId="28">
    <w:name w:val="close6"/>
    <w:basedOn w:val="10"/>
    <w:qFormat/>
    <w:uiPriority w:val="0"/>
  </w:style>
  <w:style w:type="character" w:customStyle="1" w:styleId="29">
    <w:name w:val="icon_dljg"/>
    <w:basedOn w:val="10"/>
    <w:qFormat/>
    <w:uiPriority w:val="0"/>
  </w:style>
  <w:style w:type="character" w:customStyle="1" w:styleId="30">
    <w:name w:val="icon_cxktbr"/>
    <w:basedOn w:val="10"/>
    <w:qFormat/>
    <w:uiPriority w:val="0"/>
  </w:style>
  <w:style w:type="character" w:customStyle="1" w:styleId="31">
    <w:name w:val="icon_cxkcyry"/>
    <w:basedOn w:val="10"/>
    <w:qFormat/>
    <w:uiPriority w:val="0"/>
  </w:style>
  <w:style w:type="character" w:customStyle="1" w:styleId="32">
    <w:name w:val="swapimg4"/>
    <w:basedOn w:val="10"/>
    <w:qFormat/>
    <w:uiPriority w:val="0"/>
  </w:style>
  <w:style w:type="character" w:customStyle="1" w:styleId="33">
    <w:name w:val="swapimg5"/>
    <w:basedOn w:val="10"/>
    <w:qFormat/>
    <w:uiPriority w:val="0"/>
  </w:style>
  <w:style w:type="character" w:customStyle="1" w:styleId="34">
    <w:name w:val="menutitle10"/>
    <w:basedOn w:val="10"/>
    <w:qFormat/>
    <w:uiPriority w:val="0"/>
    <w:rPr>
      <w:color w:val="333333"/>
      <w:sz w:val="24"/>
      <w:szCs w:val="24"/>
    </w:rPr>
  </w:style>
  <w:style w:type="character" w:customStyle="1" w:styleId="35">
    <w:name w:val="menutitle11"/>
    <w:basedOn w:val="10"/>
    <w:qFormat/>
    <w:uiPriority w:val="0"/>
    <w:rPr>
      <w:color w:val="333333"/>
      <w:sz w:val="24"/>
      <w:szCs w:val="24"/>
    </w:rPr>
  </w:style>
  <w:style w:type="character" w:customStyle="1" w:styleId="36">
    <w:name w:val="icon_xzry"/>
    <w:basedOn w:val="10"/>
    <w:qFormat/>
    <w:uiPriority w:val="0"/>
  </w:style>
  <w:style w:type="character" w:customStyle="1" w:styleId="37">
    <w:name w:val="icon_lzrz"/>
    <w:basedOn w:val="10"/>
    <w:qFormat/>
    <w:uiPriority w:val="0"/>
  </w:style>
  <w:style w:type="character" w:customStyle="1" w:styleId="38">
    <w:name w:val="icon_xglc"/>
    <w:basedOn w:val="10"/>
    <w:qFormat/>
    <w:uiPriority w:val="0"/>
  </w:style>
  <w:style w:type="character" w:customStyle="1" w:styleId="39">
    <w:name w:val="m-text"/>
    <w:basedOn w:val="10"/>
    <w:qFormat/>
    <w:uiPriority w:val="0"/>
  </w:style>
  <w:style w:type="character" w:customStyle="1" w:styleId="40">
    <w:name w:val="l_10"/>
    <w:basedOn w:val="10"/>
    <w:qFormat/>
    <w:uiPriority w:val="0"/>
  </w:style>
  <w:style w:type="character" w:customStyle="1" w:styleId="41">
    <w:name w:val="l_101"/>
    <w:basedOn w:val="10"/>
    <w:qFormat/>
    <w:uiPriority w:val="0"/>
  </w:style>
  <w:style w:type="character" w:customStyle="1" w:styleId="42">
    <w:name w:val="l_0"/>
    <w:basedOn w:val="10"/>
    <w:qFormat/>
    <w:uiPriority w:val="0"/>
  </w:style>
  <w:style w:type="character" w:customStyle="1" w:styleId="43">
    <w:name w:val="l_01"/>
    <w:basedOn w:val="10"/>
    <w:qFormat/>
    <w:uiPriority w:val="0"/>
  </w:style>
  <w:style w:type="character" w:customStyle="1" w:styleId="44">
    <w:name w:val="l_1"/>
    <w:basedOn w:val="10"/>
    <w:qFormat/>
    <w:uiPriority w:val="0"/>
  </w:style>
  <w:style w:type="character" w:customStyle="1" w:styleId="45">
    <w:name w:val="l_11"/>
    <w:basedOn w:val="10"/>
    <w:qFormat/>
    <w:uiPriority w:val="0"/>
  </w:style>
  <w:style w:type="character" w:customStyle="1" w:styleId="46">
    <w:name w:val="l_4"/>
    <w:basedOn w:val="10"/>
    <w:uiPriority w:val="0"/>
  </w:style>
  <w:style w:type="character" w:customStyle="1" w:styleId="47">
    <w:name w:val="l_41"/>
    <w:basedOn w:val="10"/>
    <w:uiPriority w:val="0"/>
  </w:style>
  <w:style w:type="character" w:customStyle="1" w:styleId="48">
    <w:name w:val="l_2"/>
    <w:basedOn w:val="10"/>
    <w:qFormat/>
    <w:uiPriority w:val="0"/>
  </w:style>
  <w:style w:type="character" w:customStyle="1" w:styleId="49">
    <w:name w:val="l_21"/>
    <w:basedOn w:val="10"/>
    <w:qFormat/>
    <w:uiPriority w:val="0"/>
  </w:style>
  <w:style w:type="character" w:customStyle="1" w:styleId="50">
    <w:name w:val="l_3"/>
    <w:basedOn w:val="10"/>
    <w:qFormat/>
    <w:uiPriority w:val="0"/>
  </w:style>
  <w:style w:type="character" w:customStyle="1" w:styleId="51">
    <w:name w:val="l_31"/>
    <w:basedOn w:val="10"/>
    <w:qFormat/>
    <w:uiPriority w:val="0"/>
  </w:style>
  <w:style w:type="character" w:customStyle="1" w:styleId="52">
    <w:name w:val="l_6"/>
    <w:basedOn w:val="10"/>
    <w:qFormat/>
    <w:uiPriority w:val="0"/>
  </w:style>
  <w:style w:type="character" w:customStyle="1" w:styleId="53">
    <w:name w:val="l_61"/>
    <w:basedOn w:val="10"/>
    <w:qFormat/>
    <w:uiPriority w:val="0"/>
  </w:style>
  <w:style w:type="character" w:customStyle="1" w:styleId="54">
    <w:name w:val="l_5"/>
    <w:basedOn w:val="10"/>
    <w:qFormat/>
    <w:uiPriority w:val="0"/>
  </w:style>
  <w:style w:type="character" w:customStyle="1" w:styleId="55">
    <w:name w:val="l_51"/>
    <w:basedOn w:val="10"/>
    <w:qFormat/>
    <w:uiPriority w:val="0"/>
  </w:style>
  <w:style w:type="character" w:customStyle="1" w:styleId="56">
    <w:name w:val="l_7"/>
    <w:basedOn w:val="10"/>
    <w:qFormat/>
    <w:uiPriority w:val="0"/>
  </w:style>
  <w:style w:type="character" w:customStyle="1" w:styleId="57">
    <w:name w:val="l_71"/>
    <w:basedOn w:val="10"/>
    <w:qFormat/>
    <w:uiPriority w:val="0"/>
  </w:style>
  <w:style w:type="character" w:customStyle="1" w:styleId="58">
    <w:name w:val="l_8"/>
    <w:basedOn w:val="10"/>
    <w:qFormat/>
    <w:uiPriority w:val="0"/>
  </w:style>
  <w:style w:type="character" w:customStyle="1" w:styleId="59">
    <w:name w:val="l_81"/>
    <w:basedOn w:val="10"/>
    <w:qFormat/>
    <w:uiPriority w:val="0"/>
  </w:style>
  <w:style w:type="character" w:customStyle="1" w:styleId="60">
    <w:name w:val="l_9"/>
    <w:basedOn w:val="10"/>
    <w:qFormat/>
    <w:uiPriority w:val="0"/>
  </w:style>
  <w:style w:type="character" w:customStyle="1" w:styleId="61">
    <w:name w:val="l_91"/>
    <w:basedOn w:val="10"/>
    <w:qFormat/>
    <w:uiPriority w:val="0"/>
  </w:style>
  <w:style w:type="character" w:customStyle="1" w:styleId="62">
    <w:name w:val="l_111"/>
    <w:basedOn w:val="10"/>
    <w:qFormat/>
    <w:uiPriority w:val="0"/>
  </w:style>
  <w:style w:type="character" w:customStyle="1" w:styleId="63">
    <w:name w:val="l_112"/>
    <w:basedOn w:val="10"/>
    <w:qFormat/>
    <w:uiPriority w:val="0"/>
  </w:style>
  <w:style w:type="character" w:customStyle="1" w:styleId="64">
    <w:name w:val="l_12"/>
    <w:basedOn w:val="10"/>
    <w:qFormat/>
    <w:uiPriority w:val="0"/>
  </w:style>
  <w:style w:type="character" w:customStyle="1" w:styleId="65">
    <w:name w:val="l_121"/>
    <w:basedOn w:val="10"/>
    <w:qFormat/>
    <w:uiPriority w:val="0"/>
  </w:style>
  <w:style w:type="character" w:customStyle="1" w:styleId="66">
    <w:name w:val="l_13"/>
    <w:basedOn w:val="10"/>
    <w:qFormat/>
    <w:uiPriority w:val="0"/>
  </w:style>
  <w:style w:type="character" w:customStyle="1" w:styleId="67">
    <w:name w:val="l_131"/>
    <w:basedOn w:val="10"/>
    <w:qFormat/>
    <w:uiPriority w:val="0"/>
  </w:style>
  <w:style w:type="character" w:customStyle="1" w:styleId="68">
    <w:name w:val="l_14"/>
    <w:basedOn w:val="10"/>
    <w:qFormat/>
    <w:uiPriority w:val="0"/>
  </w:style>
  <w:style w:type="character" w:customStyle="1" w:styleId="69">
    <w:name w:val="l_141"/>
    <w:basedOn w:val="10"/>
    <w:qFormat/>
    <w:uiPriority w:val="0"/>
  </w:style>
  <w:style w:type="character" w:customStyle="1" w:styleId="70">
    <w:name w:val="l_15"/>
    <w:basedOn w:val="10"/>
    <w:qFormat/>
    <w:uiPriority w:val="0"/>
  </w:style>
  <w:style w:type="character" w:customStyle="1" w:styleId="71">
    <w:name w:val="l_151"/>
    <w:basedOn w:val="10"/>
    <w:qFormat/>
    <w:uiPriority w:val="0"/>
  </w:style>
  <w:style w:type="character" w:customStyle="1" w:styleId="72">
    <w:name w:val="color_cdyy"/>
    <w:basedOn w:val="10"/>
    <w:qFormat/>
    <w:uiPriority w:val="0"/>
    <w:rPr>
      <w:color w:val="FFFFFF"/>
      <w:bdr w:val="single" w:color="FFFFFF" w:sz="6" w:space="0"/>
    </w:rPr>
  </w:style>
  <w:style w:type="character" w:customStyle="1" w:styleId="73">
    <w:name w:val="swapimg"/>
    <w:basedOn w:val="10"/>
    <w:qFormat/>
    <w:uiPriority w:val="0"/>
  </w:style>
  <w:style w:type="paragraph" w:customStyle="1" w:styleId="74">
    <w:name w:val="_Style 70"/>
    <w:basedOn w:val="1"/>
    <w:next w:val="1"/>
    <w:qFormat/>
    <w:uiPriority w:val="0"/>
    <w:pPr>
      <w:pBdr>
        <w:bottom w:val="single" w:color="auto" w:sz="6" w:space="1"/>
      </w:pBdr>
      <w:jc w:val="center"/>
    </w:pPr>
    <w:rPr>
      <w:rFonts w:ascii="Arial" w:eastAsia="宋体"/>
      <w:vanish/>
      <w:sz w:val="16"/>
    </w:rPr>
  </w:style>
  <w:style w:type="paragraph" w:customStyle="1" w:styleId="75">
    <w:name w:val="_Style 71"/>
    <w:basedOn w:val="1"/>
    <w:next w:val="1"/>
    <w:qFormat/>
    <w:uiPriority w:val="0"/>
    <w:pPr>
      <w:pBdr>
        <w:top w:val="single" w:color="auto" w:sz="6" w:space="1"/>
      </w:pBdr>
      <w:jc w:val="center"/>
    </w:pPr>
    <w:rPr>
      <w:rFonts w:ascii="Arial" w:eastAsia="宋体"/>
      <w:vanish/>
      <w:sz w:val="16"/>
    </w:rPr>
  </w:style>
  <w:style w:type="character" w:customStyle="1" w:styleId="76">
    <w:name w:val="menutitle"/>
    <w:basedOn w:val="10"/>
    <w:qFormat/>
    <w:uiPriority w:val="0"/>
    <w:rPr>
      <w:color w:val="333333"/>
      <w:sz w:val="24"/>
      <w:szCs w:val="24"/>
    </w:rPr>
  </w:style>
  <w:style w:type="character" w:customStyle="1" w:styleId="77">
    <w:name w:val="menutitle1"/>
    <w:basedOn w:val="10"/>
    <w:qFormat/>
    <w:uiPriority w:val="0"/>
    <w:rPr>
      <w:color w:val="333333"/>
      <w:sz w:val="24"/>
      <w:szCs w:val="24"/>
    </w:rPr>
  </w:style>
  <w:style w:type="character" w:customStyle="1" w:styleId="78">
    <w:name w:val="swapimg1"/>
    <w:basedOn w:val="10"/>
    <w:qFormat/>
    <w:uiPriority w:val="0"/>
  </w:style>
  <w:style w:type="character" w:customStyle="1" w:styleId="79">
    <w:name w:val="l_122"/>
    <w:basedOn w:val="10"/>
    <w:qFormat/>
    <w:uiPriority w:val="0"/>
  </w:style>
  <w:style w:type="character" w:customStyle="1" w:styleId="80">
    <w:name w:val="focus"/>
    <w:basedOn w:val="10"/>
    <w:qFormat/>
    <w:uiPriority w:val="0"/>
    <w:rPr>
      <w:b/>
      <w:color w:val="000000"/>
    </w:rPr>
  </w:style>
  <w:style w:type="character" w:customStyle="1" w:styleId="81">
    <w:name w:val="swapimg3"/>
    <w:basedOn w:val="10"/>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Office_11.1.0.9198_F1E327BC-269C-435d-A152-05C5408002CA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禹州市公共资源交易中心:侯怡雯</cp:lastModifiedBy>
  <cp:lastPrinted>2019-12-09T07:12:00Z</cp:lastPrinted>
  <dcterms:modified xsi:type="dcterms:W3CDTF">2019-12-10T05:32:24Z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2052-11.1.0.9198</vt:lpwstr>
  </property>
</Properties>
</file>