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481901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719445"/>
            <wp:effectExtent l="0" t="0" r="698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68650"/>
            <wp:effectExtent l="0" t="0" r="762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99765"/>
            <wp:effectExtent l="0" t="0" r="444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761615"/>
            <wp:effectExtent l="0" t="0" r="444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6580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09155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211570"/>
            <wp:effectExtent l="0" t="0" r="635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2191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998085"/>
            <wp:effectExtent l="0" t="0" r="762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718175"/>
            <wp:effectExtent l="0" t="0" r="381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009005"/>
            <wp:effectExtent l="0" t="0" r="381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303010"/>
            <wp:effectExtent l="0" t="0" r="444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14553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97930"/>
            <wp:effectExtent l="0" t="0" r="444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174740"/>
            <wp:effectExtent l="0" t="0" r="635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75070"/>
            <wp:effectExtent l="0" t="0" r="444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12770"/>
            <wp:effectExtent l="0" t="0" r="635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19425"/>
            <wp:effectExtent l="0" t="0" r="381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225540"/>
            <wp:effectExtent l="0" t="0" r="635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12298E"/>
    <w:rsid w:val="0B12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2019-12-06T06:22:00Z</dcterms:created>
  <dc:creator>河南永和工程造价咨询有限公司:何龙飞</dc:creator>
  <cp:lastModifiedBy>河南永和工程造价咨询有限公司:何龙飞</cp:lastModifiedBy>
  <dcterms:modified xsi:type="dcterms:W3CDTF">2019-12-06T06:34:17Z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