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442" w:firstLineChars="100"/>
        <w:jc w:val="both"/>
        <w:rPr>
          <w:rFonts w:hint="eastAsia" w:ascii="黑体" w:hAnsi="黑体" w:eastAsia="黑体" w:cs="黑体"/>
          <w:b/>
          <w:bCs/>
          <w:sz w:val="44"/>
          <w:szCs w:val="44"/>
        </w:rPr>
      </w:pPr>
    </w:p>
    <w:p>
      <w:pPr>
        <w:spacing w:line="600" w:lineRule="exact"/>
        <w:ind w:firstLine="442" w:firstLineChars="100"/>
        <w:jc w:val="both"/>
        <w:rPr>
          <w:rFonts w:hint="eastAsia" w:ascii="黑体" w:hAnsi="黑体" w:eastAsia="黑体" w:cs="黑体"/>
          <w:b/>
          <w:bCs/>
          <w:sz w:val="44"/>
          <w:szCs w:val="44"/>
          <w:lang w:eastAsia="zh-CN"/>
        </w:rPr>
      </w:pPr>
      <w:r>
        <w:rPr>
          <w:rFonts w:hint="eastAsia" w:ascii="黑体" w:hAnsi="黑体" w:eastAsia="黑体" w:cs="黑体"/>
          <w:b/>
          <w:bCs/>
          <w:sz w:val="44"/>
          <w:szCs w:val="44"/>
        </w:rPr>
        <w:t>禹州市</w:t>
      </w:r>
      <w:r>
        <w:rPr>
          <w:rFonts w:hint="eastAsia" w:ascii="黑体" w:hAnsi="黑体" w:eastAsia="黑体" w:cs="黑体"/>
          <w:b/>
          <w:bCs/>
          <w:sz w:val="44"/>
          <w:szCs w:val="44"/>
          <w:lang w:eastAsia="zh-CN"/>
        </w:rPr>
        <w:t>水利市政管理所铸铁井盖采购项目</w:t>
      </w:r>
    </w:p>
    <w:p>
      <w:pPr>
        <w:jc w:val="center"/>
        <w:rPr>
          <w:rFonts w:hint="eastAsia" w:ascii="华文隶书" w:eastAsia="华文隶书"/>
          <w:b/>
          <w:bCs w:val="0"/>
          <w:w w:val="90"/>
          <w:sz w:val="48"/>
          <w:szCs w:val="48"/>
          <w:lang w:eastAsia="zh-CN"/>
        </w:rPr>
      </w:pPr>
    </w:p>
    <w:p>
      <w:pPr>
        <w:pStyle w:val="2"/>
        <w:rPr>
          <w:rFonts w:hint="eastAsia" w:ascii="华文隶书" w:eastAsia="华文隶书"/>
          <w:b/>
          <w:bCs w:val="0"/>
          <w:w w:val="90"/>
          <w:sz w:val="48"/>
          <w:szCs w:val="48"/>
          <w:lang w:eastAsia="zh-CN"/>
        </w:rPr>
      </w:pPr>
    </w:p>
    <w:p>
      <w:pPr>
        <w:pStyle w:val="2"/>
        <w:rPr>
          <w:rFonts w:hint="eastAsia" w:ascii="华文隶书" w:eastAsia="华文隶书"/>
          <w:b/>
          <w:bCs w:val="0"/>
          <w:w w:val="90"/>
          <w:sz w:val="48"/>
          <w:szCs w:val="48"/>
          <w:lang w:eastAsia="zh-CN"/>
        </w:rPr>
      </w:pPr>
    </w:p>
    <w:p>
      <w:pPr>
        <w:jc w:val="center"/>
        <w:rPr>
          <w:rFonts w:hint="eastAsia" w:ascii="华文隶书" w:eastAsia="华文隶书"/>
          <w:b/>
          <w:bCs w:val="0"/>
          <w:w w:val="90"/>
          <w:sz w:val="48"/>
          <w:szCs w:val="48"/>
          <w:lang w:eastAsia="zh-CN"/>
        </w:rPr>
      </w:pPr>
    </w:p>
    <w:p>
      <w:pPr>
        <w:pStyle w:val="2"/>
        <w:rPr>
          <w:rFonts w:hint="eastAsia"/>
          <w:lang w:eastAsia="zh-CN"/>
        </w:rPr>
      </w:pPr>
    </w:p>
    <w:p>
      <w:pPr>
        <w:jc w:val="center"/>
        <w:rPr>
          <w:rFonts w:hint="eastAsia" w:ascii="黑体" w:hAnsi="黑体" w:eastAsia="黑体" w:cs="黑体"/>
          <w:b/>
          <w:bCs w:val="0"/>
          <w:w w:val="90"/>
          <w:sz w:val="48"/>
          <w:szCs w:val="48"/>
        </w:rPr>
      </w:pPr>
      <w:r>
        <w:rPr>
          <w:rFonts w:hint="eastAsia" w:ascii="黑体" w:hAnsi="黑体" w:eastAsia="黑体" w:cs="黑体"/>
          <w:b/>
          <w:bCs w:val="0"/>
          <w:w w:val="90"/>
          <w:sz w:val="48"/>
          <w:szCs w:val="48"/>
          <w:lang w:eastAsia="zh-CN"/>
        </w:rPr>
        <w:t>竞争性谈判</w:t>
      </w:r>
      <w:r>
        <w:rPr>
          <w:rFonts w:hint="eastAsia" w:ascii="黑体" w:hAnsi="黑体" w:eastAsia="黑体" w:cs="黑体"/>
          <w:b/>
          <w:bCs w:val="0"/>
          <w:w w:val="90"/>
          <w:sz w:val="48"/>
          <w:szCs w:val="48"/>
        </w:rPr>
        <w:t>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val="0"/>
          <w:bCs w:val="0"/>
          <w:sz w:val="36"/>
          <w:szCs w:val="36"/>
        </w:rPr>
        <w:t xml:space="preserve"> 项目编号：</w:t>
      </w:r>
      <w:r>
        <w:rPr>
          <w:rFonts w:hint="eastAsia" w:asciiTheme="majorEastAsia" w:hAnsiTheme="majorEastAsia" w:eastAsiaTheme="majorEastAsia" w:cstheme="majorEastAsia"/>
          <w:b w:val="0"/>
          <w:bCs w:val="0"/>
          <w:sz w:val="36"/>
          <w:szCs w:val="36"/>
          <w:lang w:val="en-US" w:eastAsia="zh-CN"/>
        </w:rPr>
        <w:t>YZCG-T2019333</w:t>
      </w:r>
    </w:p>
    <w:p>
      <w:pPr>
        <w:ind w:firstLine="1080" w:firstLineChars="300"/>
        <w:rPr>
          <w:rFonts w:hint="eastAsia"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采购单位：禹州市水利市政管理所</w:t>
      </w:r>
    </w:p>
    <w:p>
      <w:pPr>
        <w:ind w:firstLine="1080" w:firstLineChars="300"/>
        <w:rPr>
          <w:rFonts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代理机构：</w:t>
      </w:r>
      <w:r>
        <w:rPr>
          <w:rFonts w:hint="eastAsia" w:asciiTheme="majorEastAsia" w:hAnsiTheme="majorEastAsia" w:eastAsiaTheme="majorEastAsia" w:cstheme="majorEastAsia"/>
          <w:b w:val="0"/>
          <w:bCs w:val="0"/>
          <w:sz w:val="36"/>
          <w:szCs w:val="36"/>
          <w:lang w:eastAsia="zh-CN"/>
        </w:rPr>
        <w:t>禹州</w:t>
      </w:r>
      <w:r>
        <w:rPr>
          <w:rFonts w:hint="eastAsia" w:asciiTheme="majorEastAsia" w:hAnsiTheme="majorEastAsia" w:eastAsiaTheme="majorEastAsia" w:cstheme="majorEastAsia"/>
          <w:b w:val="0"/>
          <w:bCs w:val="0"/>
          <w:sz w:val="36"/>
          <w:szCs w:val="36"/>
        </w:rPr>
        <w:t>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十二</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numPr>
          <w:ilvl w:val="0"/>
          <w:numId w:val="0"/>
        </w:numPr>
        <w:jc w:val="both"/>
        <w:rPr>
          <w:rFonts w:hint="eastAsia" w:cs="宋体" w:asciiTheme="majorEastAsia" w:hAnsiTheme="majorEastAsia" w:eastAsiaTheme="majorEastAsia"/>
          <w:b/>
          <w:kern w:val="0"/>
          <w:sz w:val="32"/>
          <w:szCs w:val="32"/>
        </w:rPr>
      </w:pPr>
    </w:p>
    <w:p>
      <w:pPr>
        <w:spacing w:line="600" w:lineRule="exact"/>
        <w:jc w:val="center"/>
        <w:rPr>
          <w:rFonts w:hint="eastAsia"/>
          <w:b/>
          <w:bCs/>
          <w:sz w:val="36"/>
          <w:szCs w:val="36"/>
          <w:lang w:eastAsia="zh-CN"/>
        </w:rPr>
      </w:pPr>
      <w:r>
        <w:rPr>
          <w:rFonts w:hint="eastAsia"/>
          <w:b/>
          <w:bCs/>
          <w:sz w:val="36"/>
          <w:szCs w:val="36"/>
          <w:lang w:eastAsia="zh-CN"/>
        </w:rPr>
        <w:t>禹州市水利市政管理所铸铁井盖采购项目</w:t>
      </w:r>
    </w:p>
    <w:p>
      <w:pPr>
        <w:spacing w:line="600" w:lineRule="exact"/>
        <w:jc w:val="center"/>
        <w:rPr>
          <w:rFonts w:hint="eastAsia"/>
          <w:b/>
          <w:bCs/>
          <w:sz w:val="36"/>
          <w:szCs w:val="36"/>
          <w:lang w:eastAsia="zh-CN"/>
        </w:rPr>
      </w:pPr>
      <w:r>
        <w:rPr>
          <w:rFonts w:hint="eastAsia"/>
          <w:b/>
          <w:bCs/>
          <w:sz w:val="36"/>
          <w:szCs w:val="36"/>
          <w:lang w:eastAsia="zh-CN"/>
        </w:rPr>
        <w:t>谈判邀请函</w:t>
      </w:r>
    </w:p>
    <w:p>
      <w:pPr>
        <w:spacing w:line="600" w:lineRule="exact"/>
        <w:jc w:val="center"/>
        <w:rPr>
          <w:rFonts w:hint="eastAsia"/>
          <w:b/>
          <w:bCs/>
          <w:sz w:val="36"/>
          <w:szCs w:val="36"/>
          <w:lang w:eastAsia="zh-CN"/>
        </w:rPr>
      </w:pPr>
    </w:p>
    <w:p>
      <w:pPr>
        <w:spacing w:line="6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禹州市政府采购中心受禹州市水利市政管理所的委托，就“禹州市水利市政管理所铸铁井盖采购项目”进行</w:t>
      </w:r>
      <w:r>
        <w:rPr>
          <w:rFonts w:hint="eastAsia" w:ascii="仿宋" w:hAnsi="仿宋" w:eastAsia="仿宋" w:cs="仿宋"/>
          <w:sz w:val="24"/>
          <w:szCs w:val="24"/>
          <w:lang w:eastAsia="zh-CN"/>
        </w:rPr>
        <w:t>竞争性谈判</w:t>
      </w:r>
      <w:r>
        <w:rPr>
          <w:rFonts w:hint="eastAsia" w:ascii="仿宋" w:hAnsi="仿宋" w:eastAsia="仿宋" w:cs="仿宋"/>
          <w:sz w:val="24"/>
          <w:szCs w:val="24"/>
        </w:rPr>
        <w:t>，欢迎合格的投标人前来投标。</w:t>
      </w:r>
    </w:p>
    <w:p>
      <w:pPr>
        <w:pStyle w:val="45"/>
        <w:widowControl/>
        <w:numPr>
          <w:ilvl w:val="0"/>
          <w:numId w:val="5"/>
        </w:numPr>
        <w:shd w:val="clear" w:color="auto" w:fill="FFFFFF"/>
        <w:spacing w:line="400" w:lineRule="exact"/>
        <w:ind w:firstLineChars="0"/>
        <w:jc w:val="left"/>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项目基本情况</w:t>
      </w:r>
    </w:p>
    <w:p>
      <w:pPr>
        <w:widowControl/>
        <w:numPr>
          <w:ilvl w:val="0"/>
          <w:numId w:val="6"/>
        </w:numPr>
        <w:shd w:val="clear" w:color="auto" w:fill="FFFFFF"/>
        <w:spacing w:line="400" w:lineRule="exact"/>
        <w:ind w:firstLine="240" w:firstLineChars="100"/>
        <w:jc w:val="left"/>
        <w:rPr>
          <w:rFonts w:hint="eastAsia" w:ascii="仿宋" w:hAnsi="仿宋" w:eastAsia="仿宋" w:cs="仿宋"/>
          <w:sz w:val="24"/>
          <w:szCs w:val="24"/>
          <w:lang w:eastAsia="zh-CN"/>
        </w:rPr>
      </w:pPr>
      <w:r>
        <w:rPr>
          <w:rFonts w:hint="eastAsia" w:ascii="仿宋" w:hAnsi="仿宋" w:eastAsia="仿宋" w:cs="仿宋"/>
          <w:sz w:val="24"/>
          <w:szCs w:val="24"/>
        </w:rPr>
        <w:t>采购人：</w:t>
      </w:r>
      <w:r>
        <w:rPr>
          <w:rFonts w:hint="eastAsia" w:ascii="仿宋" w:hAnsi="仿宋" w:eastAsia="仿宋" w:cs="仿宋"/>
          <w:color w:val="000000"/>
          <w:kern w:val="0"/>
          <w:sz w:val="24"/>
          <w:szCs w:val="24"/>
          <w:lang w:eastAsia="zh-CN"/>
        </w:rPr>
        <w:t>禹州市水利市政管理所</w:t>
      </w:r>
    </w:p>
    <w:p>
      <w:pPr>
        <w:widowControl/>
        <w:numPr>
          <w:ilvl w:val="0"/>
          <w:numId w:val="6"/>
        </w:numPr>
        <w:shd w:val="clear" w:color="auto" w:fill="FFFFFF"/>
        <w:spacing w:line="400" w:lineRule="exact"/>
        <w:ind w:left="0" w:leftChars="0" w:firstLine="240" w:firstLineChars="100"/>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项目名称</w:t>
      </w:r>
      <w:r>
        <w:rPr>
          <w:rFonts w:hint="eastAsia" w:ascii="仿宋" w:hAnsi="仿宋" w:eastAsia="仿宋" w:cs="仿宋"/>
          <w:color w:val="000000"/>
          <w:kern w:val="0"/>
          <w:sz w:val="24"/>
          <w:szCs w:val="24"/>
          <w:lang w:eastAsia="zh-CN"/>
        </w:rPr>
        <w:t>：禹州市水利市政管理所铸铁井盖采购项目</w:t>
      </w:r>
    </w:p>
    <w:p>
      <w:pPr>
        <w:widowControl/>
        <w:numPr>
          <w:ilvl w:val="0"/>
          <w:numId w:val="0"/>
        </w:numPr>
        <w:shd w:val="clear" w:color="auto" w:fill="FFFFFF"/>
        <w:spacing w:line="400" w:lineRule="exact"/>
        <w:ind w:leftChars="100"/>
        <w:jc w:val="left"/>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3</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采购编号：</w:t>
      </w:r>
      <w:r>
        <w:rPr>
          <w:rFonts w:hint="eastAsia" w:ascii="仿宋" w:hAnsi="仿宋" w:eastAsia="仿宋" w:cs="仿宋"/>
          <w:sz w:val="24"/>
          <w:szCs w:val="24"/>
        </w:rPr>
        <w:t>YZCG-</w:t>
      </w:r>
      <w:r>
        <w:rPr>
          <w:rFonts w:hint="eastAsia" w:ascii="仿宋" w:hAnsi="仿宋" w:eastAsia="仿宋" w:cs="仿宋"/>
          <w:sz w:val="24"/>
          <w:szCs w:val="24"/>
          <w:lang w:val="en-US" w:eastAsia="zh-CN"/>
        </w:rPr>
        <w:t>T</w:t>
      </w:r>
      <w:r>
        <w:rPr>
          <w:rFonts w:hint="eastAsia" w:ascii="仿宋" w:hAnsi="仿宋" w:eastAsia="仿宋" w:cs="仿宋"/>
          <w:sz w:val="24"/>
          <w:szCs w:val="24"/>
        </w:rPr>
        <w:t>2019</w:t>
      </w:r>
      <w:r>
        <w:rPr>
          <w:rFonts w:hint="eastAsia" w:ascii="仿宋" w:hAnsi="仿宋" w:eastAsia="仿宋" w:cs="仿宋"/>
          <w:sz w:val="24"/>
          <w:szCs w:val="24"/>
          <w:lang w:val="en-US" w:eastAsia="zh-CN"/>
        </w:rPr>
        <w:t>333</w:t>
      </w:r>
    </w:p>
    <w:p>
      <w:pPr>
        <w:widowControl/>
        <w:numPr>
          <w:ilvl w:val="0"/>
          <w:numId w:val="0"/>
        </w:numPr>
        <w:shd w:val="clear" w:color="auto" w:fill="FFFFFF"/>
        <w:spacing w:line="400" w:lineRule="exact"/>
        <w:ind w:firstLine="240" w:firstLineChars="1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项目需求：</w:t>
      </w:r>
      <w:r>
        <w:rPr>
          <w:rFonts w:hint="eastAsia" w:ascii="仿宋" w:hAnsi="仿宋" w:eastAsia="仿宋" w:cs="仿宋"/>
          <w:color w:val="000000"/>
          <w:kern w:val="0"/>
          <w:sz w:val="24"/>
          <w:szCs w:val="24"/>
          <w:lang w:eastAsia="zh-CN"/>
        </w:rPr>
        <w:t>雨水篦子、污水井盖等一批</w:t>
      </w:r>
      <w:r>
        <w:rPr>
          <w:rFonts w:hint="eastAsia" w:ascii="仿宋" w:hAnsi="仿宋" w:eastAsia="仿宋" w:cs="仿宋"/>
          <w:color w:val="000000"/>
          <w:kern w:val="0"/>
          <w:sz w:val="24"/>
          <w:szCs w:val="24"/>
        </w:rPr>
        <w:t>（详见</w:t>
      </w:r>
      <w:r>
        <w:rPr>
          <w:rFonts w:hint="eastAsia" w:ascii="仿宋" w:hAnsi="仿宋" w:eastAsia="仿宋" w:cs="仿宋"/>
          <w:color w:val="000000"/>
          <w:kern w:val="0"/>
          <w:sz w:val="24"/>
          <w:szCs w:val="24"/>
          <w:lang w:eastAsia="zh-CN"/>
        </w:rPr>
        <w:t>谈判</w:t>
      </w:r>
      <w:r>
        <w:rPr>
          <w:rFonts w:hint="eastAsia" w:ascii="仿宋" w:hAnsi="仿宋" w:eastAsia="仿宋" w:cs="仿宋"/>
          <w:color w:val="000000"/>
          <w:kern w:val="0"/>
          <w:sz w:val="24"/>
          <w:szCs w:val="24"/>
        </w:rPr>
        <w:t>文件）</w:t>
      </w:r>
    </w:p>
    <w:p>
      <w:pPr>
        <w:widowControl/>
        <w:numPr>
          <w:ilvl w:val="0"/>
          <w:numId w:val="0"/>
        </w:numPr>
        <w:shd w:val="clear" w:color="auto" w:fill="FFFFFF"/>
        <w:spacing w:line="400" w:lineRule="exact"/>
        <w:ind w:firstLine="240" w:firstLineChars="100"/>
        <w:jc w:val="left"/>
        <w:rPr>
          <w:rFonts w:hint="eastAsia" w:ascii="仿宋" w:hAnsi="仿宋" w:eastAsia="仿宋" w:cs="仿宋"/>
          <w:sz w:val="24"/>
          <w:szCs w:val="24"/>
        </w:rPr>
      </w:pPr>
      <w:r>
        <w:rPr>
          <w:rFonts w:hint="eastAsia" w:ascii="仿宋" w:hAnsi="仿宋" w:eastAsia="仿宋" w:cs="仿宋"/>
          <w:color w:val="000000"/>
          <w:kern w:val="0"/>
          <w:sz w:val="24"/>
          <w:szCs w:val="24"/>
        </w:rPr>
        <w:t>5</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采购预算：</w:t>
      </w:r>
      <w:r>
        <w:rPr>
          <w:rFonts w:hint="eastAsia" w:ascii="仿宋" w:hAnsi="仿宋" w:eastAsia="仿宋" w:cs="仿宋"/>
          <w:color w:val="000000"/>
          <w:kern w:val="0"/>
          <w:sz w:val="24"/>
          <w:szCs w:val="24"/>
          <w:lang w:val="en-US" w:eastAsia="zh-CN"/>
        </w:rPr>
        <w:t>39.63</w:t>
      </w:r>
      <w:r>
        <w:rPr>
          <w:rFonts w:hint="eastAsia" w:ascii="仿宋" w:hAnsi="仿宋" w:eastAsia="仿宋" w:cs="仿宋"/>
          <w:kern w:val="0"/>
          <w:sz w:val="24"/>
          <w:szCs w:val="24"/>
          <w:lang w:val="en-US" w:eastAsia="zh-CN"/>
        </w:rPr>
        <w:t>万</w:t>
      </w:r>
      <w:r>
        <w:rPr>
          <w:rFonts w:hint="eastAsia" w:ascii="仿宋" w:hAnsi="仿宋" w:eastAsia="仿宋" w:cs="仿宋"/>
          <w:sz w:val="24"/>
          <w:szCs w:val="24"/>
        </w:rPr>
        <w:t>元</w:t>
      </w:r>
    </w:p>
    <w:p>
      <w:pPr>
        <w:widowControl/>
        <w:numPr>
          <w:ilvl w:val="0"/>
          <w:numId w:val="0"/>
        </w:numPr>
        <w:shd w:val="clear" w:color="auto" w:fill="FFFFFF"/>
        <w:spacing w:line="40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采购限价：</w:t>
      </w:r>
      <w:r>
        <w:rPr>
          <w:rFonts w:hint="eastAsia" w:ascii="仿宋" w:hAnsi="仿宋" w:eastAsia="仿宋" w:cs="仿宋"/>
          <w:sz w:val="24"/>
          <w:szCs w:val="24"/>
          <w:lang w:val="en-US" w:eastAsia="zh-CN"/>
        </w:rPr>
        <w:t>39.63</w:t>
      </w:r>
      <w:r>
        <w:rPr>
          <w:rFonts w:hint="eastAsia" w:ascii="仿宋" w:hAnsi="仿宋" w:eastAsia="仿宋" w:cs="仿宋"/>
          <w:sz w:val="24"/>
          <w:szCs w:val="24"/>
        </w:rPr>
        <w:t>万元</w:t>
      </w:r>
    </w:p>
    <w:p>
      <w:pPr>
        <w:widowControl/>
        <w:shd w:val="clear" w:color="auto" w:fill="FFFFFF"/>
        <w:spacing w:line="400" w:lineRule="exact"/>
        <w:ind w:firstLine="354" w:firstLineChars="147"/>
        <w:jc w:val="left"/>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二、需要落实的政府采购政策</w:t>
      </w:r>
    </w:p>
    <w:p>
      <w:pPr>
        <w:widowControl/>
        <w:shd w:val="clear" w:color="auto" w:fill="FFFFFF"/>
        <w:spacing w:line="400" w:lineRule="exact"/>
        <w:ind w:firstLine="641"/>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本项目落实节约能源、保护环境、扶持不发达地区和少数民族地区、促进中小企业、监狱企业发展等政府采购政策。（详见招标文件）</w:t>
      </w:r>
    </w:p>
    <w:p>
      <w:pPr>
        <w:widowControl/>
        <w:shd w:val="clear" w:color="auto" w:fill="FFFFFF"/>
        <w:spacing w:line="400" w:lineRule="exact"/>
        <w:ind w:left="482"/>
        <w:jc w:val="left"/>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三、供应商资格要求：</w:t>
      </w:r>
    </w:p>
    <w:p>
      <w:pPr>
        <w:spacing w:line="400" w:lineRule="exact"/>
        <w:ind w:firstLine="240" w:firstLineChars="100"/>
        <w:rPr>
          <w:rFonts w:hint="eastAsia" w:ascii="仿宋" w:hAnsi="仿宋" w:eastAsia="仿宋" w:cs="仿宋"/>
          <w:sz w:val="24"/>
          <w:szCs w:val="24"/>
          <w:lang w:eastAsia="zh-CN"/>
        </w:rPr>
      </w:pPr>
      <w:r>
        <w:rPr>
          <w:rFonts w:hint="eastAsia" w:ascii="仿宋" w:hAnsi="仿宋" w:eastAsia="仿宋" w:cs="仿宋"/>
          <w:sz w:val="24"/>
          <w:szCs w:val="24"/>
        </w:rPr>
        <w:t>1、符合《政府采购法》第二十二条之规定</w:t>
      </w:r>
      <w:r>
        <w:rPr>
          <w:rFonts w:hint="eastAsia" w:ascii="仿宋" w:hAnsi="仿宋" w:eastAsia="仿宋" w:cs="仿宋"/>
          <w:sz w:val="24"/>
          <w:szCs w:val="24"/>
          <w:lang w:eastAsia="zh-CN"/>
        </w:rPr>
        <w:t>；</w:t>
      </w:r>
    </w:p>
    <w:p>
      <w:pPr>
        <w:spacing w:line="400" w:lineRule="exact"/>
        <w:ind w:firstLine="240" w:firstLineChars="1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、被委托人是须是本单位职工，须提供公司为本人缴纳社会保险证明；（登录网站：http//222.143.34.121/查询  个人办事通道—马上注册—登录—查询打印—证明打印 ）；</w:t>
      </w:r>
    </w:p>
    <w:p>
      <w:pPr>
        <w:spacing w:line="400" w:lineRule="exact"/>
        <w:ind w:firstLine="240" w:firstLineChars="1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、本项目不接受联合体投标。</w:t>
      </w:r>
    </w:p>
    <w:p>
      <w:pPr>
        <w:widowControl/>
        <w:shd w:val="clear" w:color="auto" w:fill="FFFFFF"/>
        <w:spacing w:line="400" w:lineRule="exact"/>
        <w:ind w:firstLine="482"/>
        <w:jc w:val="left"/>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四、获取招标文件的方式、时间、地点</w:t>
      </w:r>
    </w:p>
    <w:p>
      <w:pPr>
        <w:wordWrap w:val="0"/>
        <w:topLinePunct/>
        <w:snapToGrid w:val="0"/>
        <w:spacing w:line="40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1、持CA数字认证证书，登录</w:t>
      </w:r>
      <w:r>
        <w:rPr>
          <w:rFonts w:hint="eastAsia" w:ascii="仿宋" w:hAnsi="仿宋" w:eastAsia="仿宋" w:cs="仿宋"/>
          <w:color w:val="auto"/>
          <w:sz w:val="24"/>
          <w:szCs w:val="24"/>
          <w:u w:val="none"/>
          <w:lang w:val="zh-CN"/>
        </w:rPr>
        <w:fldChar w:fldCharType="begin"/>
      </w:r>
      <w:r>
        <w:rPr>
          <w:rFonts w:hint="eastAsia" w:ascii="仿宋" w:hAnsi="仿宋" w:eastAsia="仿宋" w:cs="仿宋"/>
          <w:color w:val="auto"/>
          <w:sz w:val="24"/>
          <w:szCs w:val="24"/>
          <w:u w:val="none"/>
          <w:lang w:val="zh-CN"/>
        </w:rPr>
        <w:instrText xml:space="preserve"> HYPERLINK "http://221.14.6.70:8088/ggzy/eps/public/RegistAllJcxx.html" </w:instrText>
      </w:r>
      <w:r>
        <w:rPr>
          <w:rFonts w:hint="eastAsia" w:ascii="仿宋" w:hAnsi="仿宋" w:eastAsia="仿宋" w:cs="仿宋"/>
          <w:color w:val="auto"/>
          <w:sz w:val="24"/>
          <w:szCs w:val="24"/>
          <w:u w:val="none"/>
          <w:lang w:val="zh-CN"/>
        </w:rPr>
        <w:fldChar w:fldCharType="separate"/>
      </w:r>
      <w:r>
        <w:rPr>
          <w:rStyle w:val="28"/>
          <w:rFonts w:hint="eastAsia" w:ascii="仿宋" w:hAnsi="仿宋" w:eastAsia="仿宋" w:cs="仿宋"/>
          <w:sz w:val="24"/>
          <w:szCs w:val="24"/>
          <w:lang w:val="zh-CN"/>
        </w:rPr>
        <w:t>http://221.14.6.70:8088/ggzy/eps/public/RegistAllJcxx.html</w:t>
      </w:r>
      <w:r>
        <w:rPr>
          <w:rFonts w:hint="eastAsia" w:ascii="仿宋" w:hAnsi="仿宋" w:eastAsia="仿宋" w:cs="仿宋"/>
          <w:color w:val="auto"/>
          <w:sz w:val="24"/>
          <w:szCs w:val="24"/>
          <w:u w:val="none"/>
          <w:lang w:val="zh-CN"/>
        </w:rPr>
        <w:fldChar w:fldCharType="end"/>
      </w:r>
      <w:r>
        <w:rPr>
          <w:rFonts w:hint="eastAsia" w:ascii="仿宋" w:hAnsi="仿宋" w:eastAsia="仿宋" w:cs="仿宋"/>
          <w:sz w:val="24"/>
          <w:szCs w:val="24"/>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482"/>
        <w:rPr>
          <w:rFonts w:hint="eastAsia" w:ascii="仿宋" w:hAnsi="仿宋" w:eastAsia="仿宋" w:cs="仿宋"/>
          <w:sz w:val="24"/>
          <w:szCs w:val="24"/>
          <w:lang w:val="zh-CN"/>
        </w:rPr>
      </w:pPr>
      <w:r>
        <w:rPr>
          <w:rFonts w:hint="eastAsia" w:ascii="仿宋" w:hAnsi="仿宋" w:eastAsia="仿宋" w:cs="仿宋"/>
          <w:sz w:val="24"/>
          <w:szCs w:val="24"/>
          <w:lang w:val="zh-CN"/>
        </w:rPr>
        <w:t>2、在投标截止时间前登录</w:t>
      </w:r>
      <w:r>
        <w:rPr>
          <w:rFonts w:hint="eastAsia" w:ascii="仿宋" w:hAnsi="仿宋" w:eastAsia="仿宋" w:cs="仿宋"/>
          <w:color w:val="auto"/>
          <w:sz w:val="24"/>
          <w:szCs w:val="24"/>
          <w:u w:val="none"/>
          <w:lang w:val="zh-CN"/>
        </w:rPr>
        <w:fldChar w:fldCharType="begin"/>
      </w:r>
      <w:r>
        <w:rPr>
          <w:rFonts w:hint="eastAsia" w:ascii="仿宋" w:hAnsi="仿宋" w:eastAsia="仿宋" w:cs="仿宋"/>
          <w:color w:val="auto"/>
          <w:sz w:val="24"/>
          <w:szCs w:val="24"/>
          <w:u w:val="none"/>
          <w:lang w:val="zh-CN"/>
        </w:rPr>
        <w:instrText xml:space="preserve"> HYPERLINK "http://ggzy.xuchang.gov.cn/" </w:instrText>
      </w:r>
      <w:r>
        <w:rPr>
          <w:rFonts w:hint="eastAsia" w:ascii="仿宋" w:hAnsi="仿宋" w:eastAsia="仿宋" w:cs="仿宋"/>
          <w:color w:val="auto"/>
          <w:sz w:val="24"/>
          <w:szCs w:val="24"/>
          <w:u w:val="none"/>
          <w:lang w:val="zh-CN"/>
        </w:rPr>
        <w:fldChar w:fldCharType="separate"/>
      </w:r>
      <w:r>
        <w:rPr>
          <w:rStyle w:val="28"/>
          <w:rFonts w:hint="eastAsia" w:ascii="仿宋" w:hAnsi="仿宋" w:eastAsia="仿宋" w:cs="仿宋"/>
          <w:sz w:val="24"/>
          <w:szCs w:val="24"/>
          <w:lang w:val="zh-CN"/>
        </w:rPr>
        <w:t>http://</w:t>
      </w:r>
      <w:r>
        <w:rPr>
          <w:rStyle w:val="28"/>
          <w:rFonts w:hint="eastAsia" w:ascii="仿宋" w:hAnsi="仿宋" w:eastAsia="仿宋" w:cs="仿宋"/>
          <w:sz w:val="24"/>
          <w:szCs w:val="24"/>
          <w:lang w:val="en-US" w:eastAsia="zh-CN"/>
        </w:rPr>
        <w:t>ggzy.xuchang.gov.cn/</w:t>
      </w:r>
      <w:r>
        <w:rPr>
          <w:rFonts w:hint="eastAsia" w:ascii="仿宋" w:hAnsi="仿宋" w:eastAsia="仿宋" w:cs="仿宋"/>
          <w:color w:val="auto"/>
          <w:sz w:val="24"/>
          <w:szCs w:val="24"/>
          <w:u w:val="none"/>
          <w:lang w:val="zh-CN"/>
        </w:rPr>
        <w:fldChar w:fldCharType="end"/>
      </w:r>
      <w:r>
        <w:rPr>
          <w:rFonts w:hint="eastAsia" w:ascii="仿宋" w:hAnsi="仿宋" w:eastAsia="仿宋" w:cs="仿宋"/>
          <w:sz w:val="24"/>
          <w:szCs w:val="24"/>
          <w:lang w:val="zh-CN"/>
        </w:rPr>
        <w:t>，自行下载招标文件（详见全国公共资源交易平台（河南省·许昌市）“常见问题解答-交易系统操作手册”）。</w:t>
      </w:r>
    </w:p>
    <w:p>
      <w:pPr>
        <w:spacing w:line="400" w:lineRule="exact"/>
        <w:rPr>
          <w:rFonts w:hint="eastAsia" w:ascii="仿宋" w:hAnsi="仿宋" w:eastAsia="仿宋" w:cs="仿宋"/>
          <w:sz w:val="24"/>
          <w:szCs w:val="24"/>
        </w:rPr>
      </w:pPr>
      <w:r>
        <w:rPr>
          <w:rFonts w:hint="eastAsia" w:ascii="仿宋" w:hAnsi="仿宋" w:eastAsia="仿宋" w:cs="仿宋"/>
          <w:sz w:val="24"/>
          <w:szCs w:val="24"/>
        </w:rPr>
        <w:t>　　3、未通过全国公共资源交易平台（河南省·许昌市）下载招标文件的投标企业，拒收其递交的投标文件。</w:t>
      </w:r>
    </w:p>
    <w:p>
      <w:pPr>
        <w:spacing w:line="400" w:lineRule="exact"/>
        <w:ind w:firstLine="640"/>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谈判</w:t>
      </w:r>
      <w:r>
        <w:rPr>
          <w:rFonts w:hint="eastAsia" w:ascii="仿宋" w:hAnsi="仿宋" w:eastAsia="仿宋" w:cs="仿宋"/>
          <w:sz w:val="24"/>
          <w:szCs w:val="24"/>
        </w:rPr>
        <w:t>文件每份售价人民</w:t>
      </w:r>
      <w:r>
        <w:rPr>
          <w:rFonts w:hint="eastAsia" w:ascii="仿宋" w:hAnsi="仿宋" w:eastAsia="仿宋" w:cs="仿宋"/>
          <w:sz w:val="24"/>
          <w:szCs w:val="24"/>
          <w:lang w:eastAsia="zh-CN"/>
        </w:rPr>
        <w:t>币</w:t>
      </w:r>
      <w:r>
        <w:rPr>
          <w:rFonts w:hint="eastAsia" w:ascii="仿宋" w:hAnsi="仿宋" w:eastAsia="仿宋" w:cs="仿宋"/>
          <w:sz w:val="24"/>
          <w:szCs w:val="24"/>
          <w:lang w:val="en-US" w:eastAsia="zh-CN"/>
        </w:rPr>
        <w:t>3</w:t>
      </w:r>
      <w:r>
        <w:rPr>
          <w:rFonts w:hint="eastAsia" w:ascii="仿宋" w:hAnsi="仿宋" w:eastAsia="仿宋" w:cs="仿宋"/>
          <w:sz w:val="24"/>
          <w:szCs w:val="24"/>
        </w:rPr>
        <w:t>00元（开标时现场收取现金），于递交投标文件时缴纳给采购代理机构，售后不退。</w:t>
      </w:r>
    </w:p>
    <w:p>
      <w:pPr>
        <w:widowControl/>
        <w:shd w:val="clear" w:color="auto" w:fill="FFFFFF"/>
        <w:spacing w:line="400" w:lineRule="exact"/>
        <w:ind w:firstLine="482"/>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五、</w:t>
      </w:r>
      <w:r>
        <w:rPr>
          <w:rFonts w:hint="eastAsia" w:ascii="仿宋" w:hAnsi="仿宋" w:eastAsia="仿宋" w:cs="仿宋"/>
          <w:color w:val="000000"/>
          <w:kern w:val="0"/>
          <w:sz w:val="24"/>
          <w:szCs w:val="24"/>
          <w:lang w:eastAsia="zh-CN"/>
        </w:rPr>
        <w:t>谈判</w:t>
      </w:r>
      <w:r>
        <w:rPr>
          <w:rFonts w:hint="eastAsia" w:ascii="仿宋" w:hAnsi="仿宋" w:eastAsia="仿宋" w:cs="仿宋"/>
          <w:color w:val="000000"/>
          <w:kern w:val="0"/>
          <w:sz w:val="24"/>
          <w:szCs w:val="24"/>
        </w:rPr>
        <w:t>截止时间、</w:t>
      </w:r>
      <w:r>
        <w:rPr>
          <w:rFonts w:hint="eastAsia" w:ascii="仿宋" w:hAnsi="仿宋" w:eastAsia="仿宋" w:cs="仿宋"/>
          <w:color w:val="000000"/>
          <w:kern w:val="0"/>
          <w:sz w:val="24"/>
          <w:szCs w:val="24"/>
          <w:lang w:eastAsia="zh-CN"/>
        </w:rPr>
        <w:t>谈判</w:t>
      </w:r>
      <w:r>
        <w:rPr>
          <w:rFonts w:hint="eastAsia" w:ascii="仿宋" w:hAnsi="仿宋" w:eastAsia="仿宋" w:cs="仿宋"/>
          <w:color w:val="000000"/>
          <w:kern w:val="0"/>
          <w:sz w:val="24"/>
          <w:szCs w:val="24"/>
        </w:rPr>
        <w:t>时间及地点：</w:t>
      </w:r>
    </w:p>
    <w:p>
      <w:pPr>
        <w:widowControl/>
        <w:shd w:val="clear" w:color="auto" w:fill="FFFFFF"/>
        <w:spacing w:line="40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1、投标截止及开标时间：2019年</w:t>
      </w:r>
      <w:r>
        <w:rPr>
          <w:rFonts w:hint="eastAsia" w:ascii="仿宋" w:hAnsi="仿宋" w:eastAsia="仿宋" w:cs="仿宋"/>
          <w:color w:val="000000"/>
          <w:kern w:val="0"/>
          <w:sz w:val="24"/>
          <w:szCs w:val="24"/>
          <w:lang w:val="en-US" w:eastAsia="zh-CN"/>
        </w:rPr>
        <w:t>12</w:t>
      </w:r>
      <w:r>
        <w:rPr>
          <w:rFonts w:hint="eastAsia" w:ascii="仿宋" w:hAnsi="仿宋" w:eastAsia="仿宋" w:cs="仿宋"/>
          <w:color w:val="000000"/>
          <w:kern w:val="0"/>
          <w:sz w:val="24"/>
          <w:szCs w:val="24"/>
        </w:rPr>
        <w:t>月</w:t>
      </w:r>
      <w:r>
        <w:rPr>
          <w:rFonts w:hint="eastAsia" w:ascii="仿宋" w:hAnsi="仿宋" w:eastAsia="仿宋" w:cs="仿宋"/>
          <w:color w:val="000000"/>
          <w:kern w:val="0"/>
          <w:sz w:val="24"/>
          <w:szCs w:val="24"/>
          <w:lang w:val="en-US" w:eastAsia="zh-CN"/>
        </w:rPr>
        <w:t>20</w:t>
      </w:r>
      <w:r>
        <w:rPr>
          <w:rFonts w:hint="eastAsia" w:ascii="仿宋" w:hAnsi="仿宋" w:eastAsia="仿宋" w:cs="仿宋"/>
          <w:color w:val="000000"/>
          <w:kern w:val="0"/>
          <w:sz w:val="24"/>
          <w:szCs w:val="24"/>
        </w:rPr>
        <w:t xml:space="preserve">日 </w:t>
      </w:r>
      <w:r>
        <w:rPr>
          <w:rFonts w:hint="eastAsia" w:ascii="仿宋" w:hAnsi="仿宋" w:eastAsia="仿宋" w:cs="仿宋"/>
          <w:color w:val="000000"/>
          <w:kern w:val="0"/>
          <w:sz w:val="24"/>
          <w:szCs w:val="24"/>
          <w:lang w:val="en-US" w:eastAsia="zh-CN"/>
        </w:rPr>
        <w:t>9：30</w:t>
      </w:r>
      <w:r>
        <w:rPr>
          <w:rFonts w:hint="eastAsia" w:ascii="仿宋" w:hAnsi="仿宋" w:eastAsia="仿宋" w:cs="仿宋"/>
          <w:color w:val="000000"/>
          <w:kern w:val="0"/>
          <w:sz w:val="24"/>
          <w:szCs w:val="24"/>
        </w:rPr>
        <w:t>（北京时间），逾期送达或不符合规定的投标文件不予接受。</w:t>
      </w:r>
    </w:p>
    <w:p>
      <w:pPr>
        <w:spacing w:line="40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r>
        <w:rPr>
          <w:rFonts w:hint="eastAsia" w:ascii="仿宋" w:hAnsi="仿宋" w:eastAsia="仿宋" w:cs="仿宋"/>
          <w:color w:val="000000"/>
          <w:kern w:val="0"/>
          <w:sz w:val="24"/>
          <w:szCs w:val="24"/>
          <w:lang w:eastAsia="zh-CN"/>
        </w:rPr>
        <w:t>谈判</w:t>
      </w:r>
      <w:r>
        <w:rPr>
          <w:rFonts w:hint="eastAsia" w:ascii="仿宋" w:hAnsi="仿宋" w:eastAsia="仿宋" w:cs="仿宋"/>
          <w:color w:val="000000"/>
          <w:kern w:val="0"/>
          <w:sz w:val="24"/>
          <w:szCs w:val="24"/>
        </w:rPr>
        <w:t>地点：</w:t>
      </w:r>
      <w:r>
        <w:rPr>
          <w:rFonts w:hint="eastAsia" w:ascii="仿宋" w:hAnsi="仿宋" w:eastAsia="仿宋" w:cs="仿宋"/>
          <w:sz w:val="24"/>
          <w:szCs w:val="24"/>
        </w:rPr>
        <w:t>禹州市公共资源交易中心第</w:t>
      </w:r>
      <w:r>
        <w:rPr>
          <w:rFonts w:hint="eastAsia" w:ascii="仿宋" w:hAnsi="仿宋" w:eastAsia="仿宋" w:cs="仿宋"/>
          <w:sz w:val="24"/>
          <w:szCs w:val="24"/>
          <w:lang w:eastAsia="zh-CN"/>
        </w:rPr>
        <w:t>一</w:t>
      </w:r>
      <w:r>
        <w:rPr>
          <w:rFonts w:hint="eastAsia" w:ascii="仿宋" w:hAnsi="仿宋" w:eastAsia="仿宋" w:cs="仿宋"/>
          <w:sz w:val="24"/>
          <w:szCs w:val="24"/>
        </w:rPr>
        <w:t>开标室（禹州市行政服务中心楼9楼）</w:t>
      </w:r>
      <w:r>
        <w:rPr>
          <w:rFonts w:hint="eastAsia" w:ascii="仿宋" w:hAnsi="仿宋" w:eastAsia="仿宋" w:cs="仿宋"/>
          <w:color w:val="000000"/>
          <w:kern w:val="0"/>
          <w:sz w:val="24"/>
          <w:szCs w:val="24"/>
        </w:rPr>
        <w:t xml:space="preserve"> </w:t>
      </w:r>
    </w:p>
    <w:p>
      <w:pPr>
        <w:spacing w:line="40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3、本项目为全流程电子化交易项目，投标人须提交电子投标文件和纸质投标文件。</w:t>
      </w:r>
    </w:p>
    <w:p>
      <w:pPr>
        <w:spacing w:line="40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（1）加密电子投标文件（.file格式）须在投标截止时间（开标时间）前通过《全国公共资源交易平台(河南省▪许昌市)》公共资源交易系统成功上传。</w:t>
      </w:r>
    </w:p>
    <w:p>
      <w:pPr>
        <w:spacing w:line="40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0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六、本次招标公告同时在《中国政府采购网》、《河南省政府采购网》、《全国公共资源交易平台（河南省·许昌市）》发布等。</w:t>
      </w:r>
    </w:p>
    <w:p>
      <w:pPr>
        <w:widowControl/>
        <w:shd w:val="clear" w:color="auto" w:fill="FFFFFF"/>
        <w:spacing w:line="40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七、代理机构及采购单位地址、联系人、联系电话</w:t>
      </w:r>
      <w:bookmarkStart w:id="83" w:name="_GoBack"/>
      <w:bookmarkEnd w:id="83"/>
    </w:p>
    <w:p>
      <w:pPr>
        <w:spacing w:line="400" w:lineRule="exact"/>
        <w:rPr>
          <w:rFonts w:hint="eastAsia" w:ascii="仿宋" w:hAnsi="仿宋" w:eastAsia="仿宋" w:cs="仿宋"/>
          <w:sz w:val="24"/>
          <w:szCs w:val="24"/>
        </w:rPr>
      </w:pPr>
      <w:r>
        <w:rPr>
          <w:rFonts w:hint="eastAsia" w:ascii="仿宋" w:hAnsi="仿宋" w:eastAsia="仿宋" w:cs="仿宋"/>
          <w:sz w:val="24"/>
          <w:szCs w:val="24"/>
        </w:rPr>
        <w:t>（一）代理机构：禹州市政府采购中心</w:t>
      </w:r>
    </w:p>
    <w:p>
      <w:pPr>
        <w:spacing w:line="400" w:lineRule="exact"/>
        <w:rPr>
          <w:rFonts w:hint="eastAsia" w:ascii="仿宋" w:hAnsi="仿宋" w:eastAsia="仿宋" w:cs="仿宋"/>
          <w:sz w:val="24"/>
          <w:szCs w:val="24"/>
        </w:rPr>
      </w:pPr>
      <w:r>
        <w:rPr>
          <w:rFonts w:hint="eastAsia" w:ascii="仿宋" w:hAnsi="仿宋" w:eastAsia="仿宋" w:cs="仿宋"/>
          <w:sz w:val="24"/>
          <w:szCs w:val="24"/>
        </w:rPr>
        <w:t>地址：禹州市行政服务中心楼917房间</w:t>
      </w:r>
    </w:p>
    <w:p>
      <w:pPr>
        <w:spacing w:line="400" w:lineRule="exact"/>
        <w:rPr>
          <w:rFonts w:hint="eastAsia" w:ascii="仿宋" w:hAnsi="仿宋" w:eastAsia="仿宋" w:cs="仿宋"/>
          <w:sz w:val="24"/>
          <w:szCs w:val="24"/>
        </w:rPr>
      </w:pPr>
      <w:r>
        <w:rPr>
          <w:rFonts w:hint="eastAsia" w:ascii="仿宋" w:hAnsi="仿宋" w:eastAsia="仿宋" w:cs="仿宋"/>
          <w:sz w:val="24"/>
          <w:szCs w:val="24"/>
        </w:rPr>
        <w:t>联系人：艾先生  联系电话：0374-2077111</w:t>
      </w:r>
    </w:p>
    <w:p>
      <w:pPr>
        <w:numPr>
          <w:ilvl w:val="0"/>
          <w:numId w:val="7"/>
        </w:numPr>
        <w:spacing w:line="400" w:lineRule="exact"/>
        <w:rPr>
          <w:rFonts w:hint="eastAsia" w:ascii="仿宋" w:hAnsi="仿宋" w:eastAsia="仿宋" w:cs="仿宋"/>
          <w:sz w:val="24"/>
          <w:szCs w:val="24"/>
        </w:rPr>
      </w:pPr>
      <w:r>
        <w:rPr>
          <w:rFonts w:hint="eastAsia" w:ascii="仿宋" w:hAnsi="仿宋" w:eastAsia="仿宋" w:cs="仿宋"/>
          <w:sz w:val="24"/>
          <w:szCs w:val="24"/>
        </w:rPr>
        <w:t>采购单位：禹州</w:t>
      </w:r>
      <w:r>
        <w:rPr>
          <w:rFonts w:hint="eastAsia" w:ascii="仿宋" w:hAnsi="仿宋" w:eastAsia="仿宋" w:cs="仿宋"/>
          <w:sz w:val="24"/>
          <w:szCs w:val="24"/>
          <w:lang w:eastAsia="zh-CN"/>
        </w:rPr>
        <w:t>市水利市政管理所</w:t>
      </w:r>
    </w:p>
    <w:p>
      <w:pPr>
        <w:numPr>
          <w:ilvl w:val="0"/>
          <w:numId w:val="7"/>
        </w:numPr>
        <w:spacing w:line="400" w:lineRule="exact"/>
        <w:rPr>
          <w:rFonts w:hint="eastAsia" w:ascii="仿宋" w:hAnsi="仿宋" w:eastAsia="仿宋" w:cs="仿宋"/>
          <w:sz w:val="24"/>
          <w:szCs w:val="24"/>
        </w:rPr>
      </w:pPr>
      <w:r>
        <w:rPr>
          <w:rFonts w:hint="eastAsia" w:ascii="仿宋" w:hAnsi="仿宋" w:eastAsia="仿宋" w:cs="仿宋"/>
          <w:sz w:val="24"/>
          <w:szCs w:val="24"/>
        </w:rPr>
        <w:t>地址：禹州市</w:t>
      </w:r>
      <w:r>
        <w:rPr>
          <w:rFonts w:hint="eastAsia" w:ascii="仿宋" w:hAnsi="仿宋" w:eastAsia="仿宋" w:cs="仿宋"/>
          <w:sz w:val="24"/>
          <w:szCs w:val="24"/>
          <w:lang w:eastAsia="zh-CN"/>
        </w:rPr>
        <w:t>禹王大道东段</w:t>
      </w:r>
    </w:p>
    <w:p>
      <w:pPr>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rPr>
        <w:t>联系人：</w:t>
      </w:r>
      <w:r>
        <w:rPr>
          <w:rFonts w:hint="eastAsia" w:ascii="仿宋" w:hAnsi="仿宋" w:eastAsia="仿宋" w:cs="仿宋"/>
          <w:sz w:val="24"/>
          <w:szCs w:val="24"/>
          <w:lang w:eastAsia="zh-CN"/>
        </w:rPr>
        <w:t>赵女士</w:t>
      </w:r>
      <w:r>
        <w:rPr>
          <w:rFonts w:hint="eastAsia" w:ascii="仿宋" w:hAnsi="仿宋" w:eastAsia="仿宋" w:cs="仿宋"/>
          <w:sz w:val="24"/>
          <w:szCs w:val="24"/>
        </w:rPr>
        <w:t xml:space="preserve">   联系电话：</w:t>
      </w:r>
      <w:r>
        <w:rPr>
          <w:rFonts w:hint="eastAsia" w:ascii="仿宋" w:hAnsi="仿宋" w:eastAsia="仿宋" w:cs="仿宋"/>
          <w:sz w:val="24"/>
          <w:szCs w:val="24"/>
          <w:lang w:val="en-US" w:eastAsia="zh-CN"/>
        </w:rPr>
        <w:t>0374-6068640</w:t>
      </w:r>
    </w:p>
    <w:p>
      <w:pPr>
        <w:spacing w:line="400" w:lineRule="exact"/>
        <w:ind w:firstLine="4560" w:firstLineChars="1900"/>
        <w:rPr>
          <w:rFonts w:hint="eastAsia" w:ascii="仿宋" w:hAnsi="仿宋" w:eastAsia="仿宋" w:cs="仿宋"/>
          <w:sz w:val="24"/>
          <w:szCs w:val="24"/>
        </w:rPr>
      </w:pPr>
    </w:p>
    <w:p>
      <w:pPr>
        <w:spacing w:line="400" w:lineRule="exact"/>
        <w:ind w:firstLine="2640" w:firstLineChars="1100"/>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2019年 </w:t>
      </w:r>
      <w:r>
        <w:rPr>
          <w:rFonts w:hint="eastAsia" w:ascii="仿宋" w:hAnsi="仿宋" w:eastAsia="仿宋" w:cs="仿宋"/>
          <w:sz w:val="24"/>
          <w:szCs w:val="24"/>
          <w:lang w:val="en-US" w:eastAsia="zh-CN"/>
        </w:rPr>
        <w:t>12</w:t>
      </w:r>
      <w:r>
        <w:rPr>
          <w:rFonts w:hint="eastAsia" w:ascii="仿宋" w:hAnsi="仿宋" w:eastAsia="仿宋" w:cs="仿宋"/>
          <w:sz w:val="24"/>
          <w:szCs w:val="24"/>
        </w:rPr>
        <w:t>月</w:t>
      </w:r>
      <w:r>
        <w:rPr>
          <w:rFonts w:hint="eastAsia" w:ascii="仿宋" w:hAnsi="仿宋" w:eastAsia="仿宋" w:cs="仿宋"/>
          <w:sz w:val="24"/>
          <w:szCs w:val="24"/>
          <w:lang w:val="en-US" w:eastAsia="zh-CN"/>
        </w:rPr>
        <w:t>6</w:t>
      </w:r>
      <w:r>
        <w:rPr>
          <w:rFonts w:hint="eastAsia" w:ascii="仿宋" w:hAnsi="仿宋" w:eastAsia="仿宋" w:cs="仿宋"/>
          <w:sz w:val="24"/>
          <w:szCs w:val="24"/>
        </w:rPr>
        <w:t>日</w:t>
      </w:r>
    </w:p>
    <w:p>
      <w:pPr>
        <w:rPr>
          <w:rFonts w:hint="eastAsia" w:ascii="仿宋" w:hAnsi="仿宋" w:eastAsia="仿宋" w:cs="仿宋"/>
          <w:sz w:val="32"/>
          <w:szCs w:val="32"/>
        </w:rPr>
      </w:pPr>
    </w:p>
    <w:p>
      <w:pPr>
        <w:pStyle w:val="29"/>
        <w:rPr>
          <w:rFonts w:hint="eastAsia" w:ascii="仿宋" w:hAnsi="仿宋" w:eastAsia="仿宋" w:cs="仿宋"/>
          <w:lang w:eastAsia="zh-CN"/>
        </w:rPr>
      </w:pPr>
    </w:p>
    <w:p>
      <w:pPr>
        <w:spacing w:line="360" w:lineRule="auto"/>
        <w:rPr>
          <w:rFonts w:hint="eastAsia" w:ascii="新宋体" w:hAnsi="新宋体" w:eastAsia="新宋体" w:cs="新宋体"/>
          <w:b/>
          <w:sz w:val="24"/>
          <w:szCs w:val="24"/>
        </w:rPr>
      </w:pPr>
    </w:p>
    <w:p>
      <w:pPr>
        <w:spacing w:line="360" w:lineRule="auto"/>
        <w:rPr>
          <w:rFonts w:hint="eastAsia" w:ascii="新宋体" w:hAnsi="新宋体" w:eastAsia="新宋体" w:cs="新宋体"/>
          <w:b/>
          <w:sz w:val="24"/>
          <w:szCs w:val="24"/>
        </w:rPr>
      </w:pPr>
    </w:p>
    <w:p>
      <w:pPr>
        <w:spacing w:line="360" w:lineRule="auto"/>
        <w:rPr>
          <w:rFonts w:hint="eastAsia" w:ascii="新宋体" w:hAnsi="新宋体" w:eastAsia="新宋体" w:cs="新宋体"/>
          <w:b/>
          <w:sz w:val="24"/>
          <w:szCs w:val="24"/>
        </w:rPr>
      </w:pPr>
    </w:p>
    <w:p>
      <w:pPr>
        <w:spacing w:line="360" w:lineRule="auto"/>
        <w:rPr>
          <w:rFonts w:hint="eastAsia" w:ascii="新宋体" w:hAnsi="新宋体" w:eastAsia="新宋体" w:cs="新宋体"/>
          <w:b/>
          <w:sz w:val="24"/>
          <w:szCs w:val="24"/>
        </w:rPr>
      </w:pPr>
    </w:p>
    <w:p>
      <w:pPr>
        <w:spacing w:line="360" w:lineRule="auto"/>
        <w:rPr>
          <w:rFonts w:hint="eastAsia" w:ascii="新宋体" w:hAnsi="新宋体" w:eastAsia="新宋体" w:cs="新宋体"/>
          <w:b/>
          <w:sz w:val="24"/>
          <w:szCs w:val="24"/>
        </w:rPr>
      </w:pPr>
      <w:r>
        <w:rPr>
          <w:rFonts w:hint="eastAsia" w:ascii="新宋体" w:hAnsi="新宋体" w:eastAsia="新宋体" w:cs="新宋体"/>
          <w:b/>
          <w:sz w:val="24"/>
          <w:szCs w:val="24"/>
        </w:rPr>
        <w:t>温馨提示：</w:t>
      </w:r>
    </w:p>
    <w:p>
      <w:pPr>
        <w:spacing w:line="360" w:lineRule="auto"/>
        <w:ind w:firstLine="482" w:firstLineChars="200"/>
        <w:rPr>
          <w:rFonts w:hint="eastAsia" w:ascii="新宋体" w:hAnsi="新宋体" w:eastAsia="新宋体" w:cs="新宋体"/>
          <w:b/>
          <w:sz w:val="24"/>
          <w:szCs w:val="24"/>
        </w:rPr>
      </w:pPr>
      <w:r>
        <w:rPr>
          <w:rFonts w:hint="eastAsia" w:ascii="新宋体" w:hAnsi="新宋体" w:eastAsia="新宋体" w:cs="新宋体"/>
          <w:b/>
          <w:sz w:val="24"/>
          <w:szCs w:val="24"/>
        </w:rPr>
        <w:t>本项目为全流程电子化交易项目，请认真阅读谈判文件，并注意以下事项。</w:t>
      </w:r>
    </w:p>
    <w:p>
      <w:pPr>
        <w:pStyle w:val="22"/>
        <w:ind w:firstLine="320"/>
        <w:rPr>
          <w:rFonts w:hint="eastAsia" w:ascii="新宋体" w:hAnsi="新宋体" w:eastAsia="新宋体" w:cs="新宋体"/>
          <w:b/>
          <w:sz w:val="24"/>
          <w:szCs w:val="24"/>
        </w:rPr>
      </w:pPr>
    </w:p>
    <w:p>
      <w:pPr>
        <w:tabs>
          <w:tab w:val="left" w:pos="7095"/>
        </w:tabs>
        <w:spacing w:line="360" w:lineRule="auto"/>
        <w:ind w:firstLine="482" w:firstLineChars="200"/>
        <w:contextualSpacing/>
        <w:rPr>
          <w:rFonts w:hint="eastAsia" w:ascii="新宋体" w:hAnsi="新宋体" w:eastAsia="新宋体" w:cs="新宋体"/>
          <w:b/>
          <w:color w:val="000000"/>
          <w:sz w:val="24"/>
          <w:szCs w:val="24"/>
        </w:rPr>
      </w:pPr>
      <w:r>
        <w:rPr>
          <w:rFonts w:hint="eastAsia" w:ascii="新宋体" w:hAnsi="新宋体" w:eastAsia="新宋体" w:cs="新宋体"/>
          <w:b/>
          <w:color w:val="000000"/>
          <w:sz w:val="24"/>
          <w:szCs w:val="24"/>
        </w:rPr>
        <w:t>1.供应商应按谈判文件规定编制、提交电子响应文件和纸质响应文件。谈判响应文件递交地点、谈判现场不接受供应商递交的备份电子响应文件和纸质响应文件以外的其他资料。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82" w:firstLineChars="200"/>
        <w:contextualSpacing/>
        <w:rPr>
          <w:rFonts w:hint="eastAsia" w:ascii="新宋体" w:hAnsi="新宋体" w:eastAsia="新宋体" w:cs="新宋体"/>
          <w:b/>
          <w:color w:val="000000"/>
          <w:sz w:val="24"/>
          <w:szCs w:val="24"/>
        </w:rPr>
      </w:pPr>
      <w:r>
        <w:rPr>
          <w:rFonts w:hint="eastAsia" w:ascii="新宋体" w:hAnsi="新宋体" w:eastAsia="新宋体" w:cs="新宋体"/>
          <w:b/>
          <w:color w:val="000000"/>
          <w:sz w:val="24"/>
          <w:szCs w:val="24"/>
        </w:rPr>
        <w:t>2.电子文件下载、制作、提交期间和谈判响应文件递交（</w:t>
      </w:r>
      <w:r>
        <w:rPr>
          <w:rFonts w:hint="eastAsia" w:ascii="新宋体" w:hAnsi="新宋体" w:eastAsia="新宋体" w:cs="新宋体"/>
          <w:sz w:val="24"/>
          <w:szCs w:val="24"/>
        </w:rPr>
        <w:t>电子响应文件的解密</w:t>
      </w:r>
      <w:r>
        <w:rPr>
          <w:rFonts w:hint="eastAsia" w:ascii="新宋体" w:hAnsi="新宋体" w:eastAsia="新宋体" w:cs="新宋体"/>
          <w:b/>
          <w:color w:val="000000"/>
          <w:sz w:val="24"/>
          <w:szCs w:val="24"/>
        </w:rPr>
        <w:t>）环节，供应商须使用CA数字证书（证书须在有效期内）。</w:t>
      </w:r>
    </w:p>
    <w:p>
      <w:pPr>
        <w:tabs>
          <w:tab w:val="left" w:pos="7095"/>
        </w:tabs>
        <w:spacing w:line="360" w:lineRule="auto"/>
        <w:ind w:firstLine="482" w:firstLineChars="200"/>
        <w:contextualSpacing/>
        <w:rPr>
          <w:rFonts w:hint="eastAsia" w:ascii="新宋体" w:hAnsi="新宋体" w:eastAsia="新宋体" w:cs="新宋体"/>
          <w:b/>
          <w:color w:val="000000"/>
          <w:sz w:val="24"/>
          <w:szCs w:val="24"/>
        </w:rPr>
      </w:pPr>
      <w:r>
        <w:rPr>
          <w:rFonts w:hint="eastAsia" w:ascii="新宋体" w:hAnsi="新宋体" w:eastAsia="新宋体" w:cs="新宋体"/>
          <w:b/>
          <w:color w:val="000000"/>
          <w:sz w:val="24"/>
          <w:szCs w:val="24"/>
        </w:rPr>
        <w:t>3.电子响应文件的制作</w:t>
      </w:r>
    </w:p>
    <w:p>
      <w:pPr>
        <w:tabs>
          <w:tab w:val="left" w:pos="7095"/>
        </w:tabs>
        <w:spacing w:line="360" w:lineRule="auto"/>
        <w:ind w:firstLine="480" w:firstLineChars="200"/>
        <w:contextualSpacing/>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3.1 供应商登录《全国公共资源交易平台(河南省▪许昌市)》公共资源交易系统（</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 </w:instrText>
      </w:r>
      <w:r>
        <w:rPr>
          <w:rFonts w:hint="eastAsia" w:ascii="新宋体" w:hAnsi="新宋体" w:eastAsia="新宋体" w:cs="新宋体"/>
          <w:sz w:val="24"/>
          <w:szCs w:val="24"/>
        </w:rPr>
        <w:fldChar w:fldCharType="separate"/>
      </w:r>
      <w:r>
        <w:rPr>
          <w:rStyle w:val="28"/>
          <w:rFonts w:hint="eastAsia" w:ascii="新宋体" w:hAnsi="新宋体" w:eastAsia="新宋体" w:cs="新宋体"/>
          <w:sz w:val="24"/>
          <w:szCs w:val="24"/>
        </w:rPr>
        <w:t>http://221.14.6.70:8088/ggzy/</w:t>
      </w:r>
      <w:r>
        <w:rPr>
          <w:rStyle w:val="28"/>
          <w:rFonts w:hint="eastAsia" w:ascii="新宋体" w:hAnsi="新宋体" w:eastAsia="新宋体" w:cs="新宋体"/>
          <w:sz w:val="24"/>
          <w:szCs w:val="24"/>
        </w:rPr>
        <w:fldChar w:fldCharType="end"/>
      </w:r>
      <w:r>
        <w:rPr>
          <w:rFonts w:hint="eastAsia" w:ascii="新宋体" w:hAnsi="新宋体" w:eastAsia="新宋体" w:cs="新宋体"/>
          <w:color w:val="000000"/>
          <w:sz w:val="24"/>
          <w:szCs w:val="24"/>
        </w:rPr>
        <w:t>）下载“许昌投标文件制作系统SEARUN 最新版本”，按谈判文件要求制作电子响应文件。</w:t>
      </w:r>
    </w:p>
    <w:p>
      <w:pPr>
        <w:tabs>
          <w:tab w:val="left" w:pos="7095"/>
        </w:tabs>
        <w:spacing w:line="360" w:lineRule="auto"/>
        <w:ind w:firstLine="480" w:firstLineChars="200"/>
        <w:contextualSpacing/>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电子响应文件的制作，参考《全国公共资源交易平台(河南省▪许昌市)》公共资源交易系统——组件下载——交易系统操作手册（投标人、供应商）。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3.2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3.3供应商对同一项目多个标段进行报价的，应分别下载所响应标段的谈判文件，按标段制作电子响应文件，并按谈判文件要求在相应位置加盖供应商电子印章和法人电子印章。</w:t>
      </w:r>
    </w:p>
    <w:p>
      <w:pPr>
        <w:tabs>
          <w:tab w:val="left" w:pos="7095"/>
        </w:tabs>
        <w:spacing w:line="360" w:lineRule="auto"/>
        <w:ind w:left="105" w:leftChars="50" w:firstLine="360" w:firstLineChars="150"/>
        <w:contextualSpacing/>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pPr>
        <w:tabs>
          <w:tab w:val="left" w:pos="7095"/>
        </w:tabs>
        <w:spacing w:line="360" w:lineRule="auto"/>
        <w:ind w:firstLine="482" w:firstLineChars="200"/>
        <w:contextualSpacing/>
        <w:rPr>
          <w:rFonts w:hint="eastAsia" w:ascii="新宋体" w:hAnsi="新宋体" w:eastAsia="新宋体" w:cs="新宋体"/>
          <w:b/>
          <w:color w:val="000000"/>
          <w:sz w:val="24"/>
          <w:szCs w:val="24"/>
        </w:rPr>
      </w:pPr>
      <w:r>
        <w:rPr>
          <w:rFonts w:hint="eastAsia" w:ascii="新宋体" w:hAnsi="新宋体" w:eastAsia="新宋体" w:cs="新宋体"/>
          <w:b/>
          <w:color w:val="000000"/>
          <w:sz w:val="24"/>
          <w:szCs w:val="24"/>
        </w:rPr>
        <w:t>4.加密电子响应文件的提交</w:t>
      </w:r>
    </w:p>
    <w:p>
      <w:pPr>
        <w:tabs>
          <w:tab w:val="left" w:pos="7095"/>
        </w:tabs>
        <w:spacing w:line="360" w:lineRule="auto"/>
        <w:contextualSpacing/>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4.1加密电子响应文件应在谈判文件规定的谈判响应截止时间（谈判时间）之前成功提交至《全国公共资源交易平台(河南省▪许昌市)》公共资源交易系统（</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 </w:instrText>
      </w:r>
      <w:r>
        <w:rPr>
          <w:rFonts w:hint="eastAsia" w:ascii="新宋体" w:hAnsi="新宋体" w:eastAsia="新宋体" w:cs="新宋体"/>
          <w:sz w:val="24"/>
          <w:szCs w:val="24"/>
        </w:rPr>
        <w:fldChar w:fldCharType="separate"/>
      </w:r>
      <w:r>
        <w:rPr>
          <w:rStyle w:val="28"/>
          <w:rFonts w:hint="eastAsia" w:ascii="新宋体" w:hAnsi="新宋体" w:eastAsia="新宋体" w:cs="新宋体"/>
          <w:sz w:val="24"/>
          <w:szCs w:val="24"/>
        </w:rPr>
        <w:t>http://221.14.6.70:8088/ggzy/</w:t>
      </w:r>
      <w:r>
        <w:rPr>
          <w:rStyle w:val="28"/>
          <w:rFonts w:hint="eastAsia" w:ascii="新宋体" w:hAnsi="新宋体" w:eastAsia="新宋体" w:cs="新宋体"/>
          <w:sz w:val="24"/>
          <w:szCs w:val="24"/>
        </w:rPr>
        <w:fldChar w:fldCharType="end"/>
      </w:r>
      <w:r>
        <w:rPr>
          <w:rFonts w:hint="eastAsia" w:ascii="新宋体" w:hAnsi="新宋体" w:eastAsia="新宋体" w:cs="新宋体"/>
          <w:color w:val="000000"/>
          <w:sz w:val="24"/>
          <w:szCs w:val="24"/>
        </w:rPr>
        <w:t>）。</w:t>
      </w:r>
    </w:p>
    <w:p>
      <w:pPr>
        <w:tabs>
          <w:tab w:val="left" w:pos="7095"/>
        </w:tabs>
        <w:spacing w:line="360" w:lineRule="auto"/>
        <w:ind w:firstLine="480" w:firstLineChars="200"/>
        <w:contextualSpacing/>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供应商应充分考虑并预留技术处理和上传数据所需时间。</w:t>
      </w:r>
    </w:p>
    <w:p>
      <w:pPr>
        <w:tabs>
          <w:tab w:val="left" w:pos="7095"/>
        </w:tabs>
        <w:spacing w:line="360" w:lineRule="auto"/>
        <w:ind w:firstLine="480" w:firstLineChars="200"/>
        <w:contextualSpacing/>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4.2 供应商对同一项目多个标段进行报价的，加密电子响应文件应按标段分别提交。</w:t>
      </w:r>
    </w:p>
    <w:p>
      <w:pPr>
        <w:tabs>
          <w:tab w:val="left" w:pos="7095"/>
        </w:tabs>
        <w:spacing w:line="360" w:lineRule="auto"/>
        <w:ind w:firstLine="480" w:firstLineChars="200"/>
        <w:contextualSpacing/>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4.3 加密电子响应文件成功提交后，供应商应打印“投标文件提交回执单”供谈判响应文件递交现场备查。</w:t>
      </w:r>
    </w:p>
    <w:p>
      <w:pPr>
        <w:tabs>
          <w:tab w:val="left" w:pos="7095"/>
        </w:tabs>
        <w:spacing w:line="360" w:lineRule="auto"/>
        <w:ind w:firstLine="482" w:firstLineChars="200"/>
        <w:contextualSpacing/>
        <w:rPr>
          <w:rFonts w:hint="eastAsia" w:ascii="新宋体" w:hAnsi="新宋体" w:eastAsia="新宋体" w:cs="新宋体"/>
          <w:b/>
          <w:color w:val="000000"/>
          <w:sz w:val="24"/>
          <w:szCs w:val="24"/>
        </w:rPr>
      </w:pPr>
      <w:r>
        <w:rPr>
          <w:rFonts w:hint="eastAsia" w:ascii="新宋体" w:hAnsi="新宋体" w:eastAsia="新宋体" w:cs="新宋体"/>
          <w:b/>
          <w:color w:val="000000"/>
          <w:sz w:val="24"/>
          <w:szCs w:val="24"/>
        </w:rPr>
        <w:t>5.评审依据</w:t>
      </w:r>
    </w:p>
    <w:p>
      <w:pPr>
        <w:tabs>
          <w:tab w:val="left" w:pos="7095"/>
        </w:tabs>
        <w:spacing w:line="360" w:lineRule="auto"/>
        <w:ind w:firstLine="480" w:firstLineChars="200"/>
        <w:contextualSpacing/>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5.1采用全流程电子化交易评审时，谈判小组以电子响应文件为依据评审。</w:t>
      </w:r>
    </w:p>
    <w:p>
      <w:pPr>
        <w:tabs>
          <w:tab w:val="left" w:pos="7095"/>
        </w:tabs>
        <w:spacing w:line="360" w:lineRule="auto"/>
        <w:ind w:firstLine="480" w:firstLineChars="200"/>
        <w:contextualSpacing/>
        <w:rPr>
          <w:rFonts w:hAnsi="宋体"/>
          <w:color w:val="000000"/>
          <w:szCs w:val="21"/>
        </w:rPr>
      </w:pPr>
      <w:r>
        <w:rPr>
          <w:rFonts w:hint="eastAsia" w:ascii="新宋体" w:hAnsi="新宋体" w:eastAsia="新宋体" w:cs="新宋体"/>
          <w:color w:val="000000"/>
          <w:sz w:val="24"/>
          <w:szCs w:val="24"/>
        </w:rPr>
        <w:t>5.2全流程电子化交易如因系统异常情况无法完成，将以人工方式进行。谈判小组以纸质响</w:t>
      </w:r>
      <w:r>
        <w:rPr>
          <w:rFonts w:hint="eastAsia" w:hAnsi="宋体"/>
          <w:color w:val="000000"/>
          <w:szCs w:val="21"/>
        </w:rPr>
        <w:t>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both"/>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numPr>
          <w:ilvl w:val="0"/>
          <w:numId w:val="8"/>
        </w:numPr>
        <w:shd w:val="clear" w:color="auto" w:fill="FFFFFF"/>
        <w:spacing w:line="360" w:lineRule="auto"/>
        <w:ind w:firstLine="482" w:firstLineChars="200"/>
        <w:contextualSpacing/>
        <w:jc w:val="left"/>
        <w:rPr>
          <w:rFonts w:hint="eastAsia" w:ascii="新宋体" w:hAnsi="新宋体" w:eastAsia="新宋体" w:cs="新宋体"/>
          <w:sz w:val="24"/>
          <w:szCs w:val="24"/>
          <w:lang w:val="zh-CN" w:eastAsia="zh-CN"/>
        </w:rPr>
      </w:pPr>
      <w:r>
        <w:rPr>
          <w:rFonts w:hint="eastAsia" w:ascii="新宋体" w:hAnsi="新宋体" w:eastAsia="新宋体" w:cs="新宋体"/>
          <w:b/>
          <w:bCs/>
          <w:color w:val="000000"/>
          <w:sz w:val="24"/>
          <w:szCs w:val="24"/>
          <w:shd w:val="clear" w:color="auto" w:fill="FFFFFF"/>
        </w:rPr>
        <w:t>本项目需实现的功能或者目标</w:t>
      </w:r>
      <w:r>
        <w:rPr>
          <w:rFonts w:hint="eastAsia" w:ascii="新宋体" w:hAnsi="新宋体" w:eastAsia="新宋体" w:cs="新宋体"/>
          <w:b/>
          <w:bCs/>
          <w:color w:val="000000"/>
          <w:sz w:val="24"/>
          <w:szCs w:val="24"/>
          <w:shd w:val="clear" w:color="auto" w:fill="FFFFFF"/>
          <w:lang w:val="en-US" w:eastAsia="zh-CN"/>
        </w:rPr>
        <w:t>:</w:t>
      </w:r>
      <w:r>
        <w:rPr>
          <w:rFonts w:hint="eastAsia" w:ascii="新宋体" w:hAnsi="新宋体" w:eastAsia="新宋体" w:cs="新宋体"/>
          <w:sz w:val="24"/>
          <w:szCs w:val="24"/>
          <w:lang w:val="en-US" w:eastAsia="zh-CN"/>
        </w:rPr>
        <w:t>确保及时更换丢失损坏的窨井盖板，有效预防井盖伤人事故的发生。</w:t>
      </w:r>
    </w:p>
    <w:p>
      <w:pPr>
        <w:widowControl/>
        <w:numPr>
          <w:ilvl w:val="0"/>
          <w:numId w:val="8"/>
        </w:numPr>
        <w:spacing w:line="500" w:lineRule="exact"/>
        <w:ind w:left="0" w:leftChars="0" w:firstLine="482" w:firstLineChars="200"/>
        <w:jc w:val="left"/>
        <w:rPr>
          <w:rFonts w:hint="eastAsia" w:ascii="新宋体" w:hAnsi="新宋体" w:eastAsia="新宋体" w:cs="新宋体"/>
          <w:b/>
          <w:bCs/>
          <w:color w:val="000000"/>
          <w:sz w:val="24"/>
          <w:szCs w:val="24"/>
          <w:shd w:val="clear" w:color="auto" w:fill="FFFFFF"/>
          <w:lang w:eastAsia="zh-CN"/>
        </w:rPr>
      </w:pPr>
      <w:r>
        <w:rPr>
          <w:rFonts w:hint="eastAsia" w:ascii="新宋体" w:hAnsi="新宋体" w:eastAsia="新宋体" w:cs="新宋体"/>
          <w:b/>
          <w:bCs/>
          <w:color w:val="000000"/>
          <w:sz w:val="24"/>
          <w:szCs w:val="24"/>
          <w:shd w:val="clear" w:color="auto" w:fill="FFFFFF"/>
          <w:lang w:eastAsia="zh-CN"/>
        </w:rPr>
        <w:t>采购内容：</w:t>
      </w:r>
    </w:p>
    <w:tbl>
      <w:tblPr>
        <w:tblStyle w:val="23"/>
        <w:tblW w:w="8820" w:type="dxa"/>
        <w:tblInd w:w="93" w:type="dxa"/>
        <w:tblLayout w:type="fixed"/>
        <w:tblCellMar>
          <w:top w:w="0" w:type="dxa"/>
          <w:left w:w="108" w:type="dxa"/>
          <w:bottom w:w="0" w:type="dxa"/>
          <w:right w:w="108" w:type="dxa"/>
        </w:tblCellMar>
      </w:tblPr>
      <w:tblGrid>
        <w:gridCol w:w="460"/>
        <w:gridCol w:w="973"/>
        <w:gridCol w:w="850"/>
        <w:gridCol w:w="665"/>
        <w:gridCol w:w="1036"/>
        <w:gridCol w:w="4836"/>
      </w:tblGrid>
      <w:tr>
        <w:tblPrEx>
          <w:tblLayout w:type="fixed"/>
          <w:tblCellMar>
            <w:top w:w="0" w:type="dxa"/>
            <w:left w:w="108" w:type="dxa"/>
            <w:bottom w:w="0" w:type="dxa"/>
            <w:right w:w="108" w:type="dxa"/>
          </w:tblCellMar>
        </w:tblPrEx>
        <w:trPr>
          <w:trHeight w:val="1485"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新宋体" w:hAnsi="新宋体" w:eastAsia="新宋体" w:cs="新宋体"/>
                <w:b/>
                <w:bCs/>
                <w:kern w:val="0"/>
                <w:sz w:val="24"/>
                <w:szCs w:val="24"/>
              </w:rPr>
            </w:pPr>
            <w:r>
              <w:rPr>
                <w:rFonts w:hint="eastAsia" w:ascii="新宋体" w:hAnsi="新宋体" w:eastAsia="新宋体" w:cs="新宋体"/>
                <w:b/>
                <w:bCs/>
                <w:kern w:val="0"/>
                <w:sz w:val="24"/>
                <w:szCs w:val="24"/>
              </w:rPr>
              <w:t>序号</w:t>
            </w:r>
          </w:p>
        </w:tc>
        <w:tc>
          <w:tcPr>
            <w:tcW w:w="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新宋体" w:hAnsi="新宋体" w:eastAsia="新宋体" w:cs="新宋体"/>
                <w:b/>
                <w:bCs/>
                <w:kern w:val="0"/>
                <w:sz w:val="24"/>
                <w:szCs w:val="24"/>
              </w:rPr>
            </w:pPr>
            <w:r>
              <w:rPr>
                <w:rFonts w:hint="eastAsia" w:ascii="新宋体" w:hAnsi="新宋体" w:eastAsia="新宋体" w:cs="新宋体"/>
                <w:b/>
                <w:bCs/>
                <w:kern w:val="0"/>
                <w:sz w:val="24"/>
                <w:szCs w:val="24"/>
              </w:rPr>
              <w:t>货物名称</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新宋体" w:hAnsi="新宋体" w:eastAsia="新宋体" w:cs="新宋体"/>
                <w:b/>
                <w:bCs/>
                <w:kern w:val="0"/>
                <w:sz w:val="24"/>
                <w:szCs w:val="24"/>
              </w:rPr>
            </w:pPr>
            <w:r>
              <w:rPr>
                <w:rFonts w:hint="eastAsia" w:ascii="新宋体" w:hAnsi="新宋体" w:eastAsia="新宋体" w:cs="新宋体"/>
                <w:b/>
                <w:bCs/>
                <w:kern w:val="0"/>
                <w:sz w:val="24"/>
                <w:szCs w:val="24"/>
              </w:rPr>
              <w:t>单位</w:t>
            </w:r>
          </w:p>
        </w:tc>
        <w:tc>
          <w:tcPr>
            <w:tcW w:w="6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新宋体" w:hAnsi="新宋体" w:eastAsia="新宋体" w:cs="新宋体"/>
                <w:b/>
                <w:bCs/>
                <w:kern w:val="0"/>
                <w:sz w:val="24"/>
                <w:szCs w:val="24"/>
              </w:rPr>
            </w:pPr>
            <w:r>
              <w:rPr>
                <w:rFonts w:hint="eastAsia" w:ascii="新宋体" w:hAnsi="新宋体" w:eastAsia="新宋体" w:cs="新宋体"/>
                <w:b/>
                <w:bCs/>
                <w:kern w:val="0"/>
                <w:sz w:val="24"/>
                <w:szCs w:val="24"/>
              </w:rPr>
              <w:t>数量</w:t>
            </w:r>
          </w:p>
        </w:tc>
        <w:tc>
          <w:tcPr>
            <w:tcW w:w="10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新宋体" w:hAnsi="新宋体" w:eastAsia="新宋体" w:cs="新宋体"/>
                <w:b/>
                <w:bCs/>
                <w:kern w:val="0"/>
                <w:sz w:val="24"/>
                <w:szCs w:val="24"/>
              </w:rPr>
            </w:pPr>
            <w:r>
              <w:rPr>
                <w:rFonts w:hint="eastAsia" w:ascii="新宋体" w:hAnsi="新宋体" w:eastAsia="新宋体" w:cs="新宋体"/>
                <w:b/>
                <w:bCs/>
                <w:kern w:val="0"/>
                <w:sz w:val="24"/>
                <w:szCs w:val="24"/>
              </w:rPr>
              <w:t>重量（公斤/套）</w:t>
            </w:r>
          </w:p>
        </w:tc>
        <w:tc>
          <w:tcPr>
            <w:tcW w:w="48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新宋体" w:hAnsi="新宋体" w:eastAsia="新宋体" w:cs="新宋体"/>
                <w:b/>
                <w:bCs/>
                <w:kern w:val="0"/>
                <w:sz w:val="24"/>
                <w:szCs w:val="24"/>
              </w:rPr>
            </w:pPr>
            <w:r>
              <w:rPr>
                <w:rFonts w:hint="eastAsia" w:ascii="新宋体" w:hAnsi="新宋体" w:eastAsia="新宋体" w:cs="新宋体"/>
                <w:b/>
                <w:bCs/>
                <w:kern w:val="0"/>
                <w:sz w:val="24"/>
                <w:szCs w:val="24"/>
              </w:rPr>
              <w:t>技术规格及主要参数</w:t>
            </w:r>
          </w:p>
        </w:tc>
      </w:tr>
      <w:tr>
        <w:tblPrEx>
          <w:tblLayout w:type="fixed"/>
          <w:tblCellMar>
            <w:top w:w="0" w:type="dxa"/>
            <w:left w:w="108" w:type="dxa"/>
            <w:bottom w:w="0" w:type="dxa"/>
            <w:right w:w="108" w:type="dxa"/>
          </w:tblCellMar>
        </w:tblPrEx>
        <w:trPr>
          <w:trHeight w:val="2304"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1</w:t>
            </w:r>
          </w:p>
        </w:tc>
        <w:tc>
          <w:tcPr>
            <w:tcW w:w="973" w:type="dxa"/>
            <w:tcBorders>
              <w:top w:val="nil"/>
              <w:left w:val="nil"/>
              <w:bottom w:val="single" w:color="auto" w:sz="4" w:space="0"/>
              <w:right w:val="single" w:color="auto" w:sz="4" w:space="0"/>
            </w:tcBorders>
            <w:shd w:val="clear" w:color="auto" w:fill="auto"/>
            <w:vAlign w:val="center"/>
          </w:tcPr>
          <w:p>
            <w:pPr>
              <w:widowControl/>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雨水</w:t>
            </w:r>
          </w:p>
          <w:p>
            <w:pPr>
              <w:widowControl/>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篦子</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套</w:t>
            </w:r>
          </w:p>
        </w:tc>
        <w:tc>
          <w:tcPr>
            <w:tcW w:w="665" w:type="dxa"/>
            <w:tcBorders>
              <w:top w:val="nil"/>
              <w:left w:val="nil"/>
              <w:bottom w:val="single" w:color="auto" w:sz="4" w:space="0"/>
              <w:right w:val="single" w:color="auto" w:sz="4" w:space="0"/>
            </w:tcBorders>
            <w:shd w:val="clear" w:color="auto" w:fill="auto"/>
            <w:vAlign w:val="center"/>
          </w:tcPr>
          <w:p>
            <w:pPr>
              <w:widowControl/>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260</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50</w:t>
            </w:r>
          </w:p>
        </w:tc>
        <w:tc>
          <w:tcPr>
            <w:tcW w:w="4836" w:type="dxa"/>
            <w:tcBorders>
              <w:top w:val="nil"/>
              <w:left w:val="nil"/>
              <w:bottom w:val="single" w:color="auto" w:sz="4" w:space="0"/>
              <w:right w:val="single" w:color="auto" w:sz="4" w:space="0"/>
            </w:tcBorders>
            <w:shd w:val="clear" w:color="auto" w:fill="auto"/>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 xml:space="preserve"> </w:t>
            </w:r>
            <w:r>
              <w:rPr>
                <w:rFonts w:hint="eastAsia" w:ascii="新宋体" w:hAnsi="新宋体" w:eastAsia="新宋体" w:cs="新宋体"/>
                <w:b/>
                <w:bCs/>
                <w:kern w:val="0"/>
                <w:sz w:val="24"/>
                <w:szCs w:val="24"/>
              </w:rPr>
              <w:t>规格</w:t>
            </w:r>
            <w:r>
              <w:rPr>
                <w:rFonts w:hint="eastAsia" w:ascii="新宋体" w:hAnsi="新宋体" w:eastAsia="新宋体" w:cs="新宋体"/>
                <w:kern w:val="0"/>
                <w:sz w:val="24"/>
                <w:szCs w:val="24"/>
              </w:rPr>
              <w:t xml:space="preserve"> :500*700</w:t>
            </w:r>
            <w:r>
              <w:rPr>
                <w:rFonts w:hint="eastAsia" w:ascii="新宋体" w:hAnsi="新宋体" w:eastAsia="新宋体" w:cs="新宋体"/>
                <w:b/>
                <w:bCs/>
                <w:kern w:val="0"/>
                <w:sz w:val="24"/>
                <w:szCs w:val="24"/>
              </w:rPr>
              <w:t xml:space="preserve"> mm</w:t>
            </w:r>
            <w:r>
              <w:rPr>
                <w:rFonts w:hint="eastAsia" w:ascii="新宋体" w:hAnsi="新宋体" w:eastAsia="新宋体" w:cs="新宋体"/>
                <w:kern w:val="0"/>
                <w:sz w:val="24"/>
                <w:szCs w:val="24"/>
              </w:rPr>
              <w:t xml:space="preserve"> ;球墨铸铁应符合GB/T23858-2009的规定；铸件表面不得有砂眼、气孔、粘砂现象；外缘不得有飞边、毛刺、多内现象，清砂干净利落 全部应密实厚度一致，不得有裂缝、颗粒隆起及不平现象;</w:t>
            </w:r>
            <w:r>
              <w:rPr>
                <w:rFonts w:hint="eastAsia" w:ascii="新宋体" w:hAnsi="新宋体" w:eastAsia="新宋体" w:cs="新宋体"/>
                <w:b/>
                <w:bCs/>
                <w:kern w:val="0"/>
                <w:sz w:val="24"/>
                <w:szCs w:val="24"/>
              </w:rPr>
              <w:t>防腐做法：</w:t>
            </w:r>
            <w:r>
              <w:rPr>
                <w:rFonts w:hint="eastAsia" w:ascii="新宋体" w:hAnsi="新宋体" w:eastAsia="新宋体" w:cs="新宋体"/>
                <w:kern w:val="0"/>
                <w:sz w:val="24"/>
                <w:szCs w:val="24"/>
              </w:rPr>
              <w:t>涂沥青青漆一道。每套篦子应清晰标注水利市政、雨水，热线电话6068640标志，上边填写水利市政，中间填写雨水，下边标注热线电话。</w:t>
            </w:r>
          </w:p>
        </w:tc>
      </w:tr>
      <w:tr>
        <w:tblPrEx>
          <w:tblLayout w:type="fixed"/>
          <w:tblCellMar>
            <w:top w:w="0" w:type="dxa"/>
            <w:left w:w="108" w:type="dxa"/>
            <w:bottom w:w="0" w:type="dxa"/>
            <w:right w:w="108" w:type="dxa"/>
          </w:tblCellMar>
        </w:tblPrEx>
        <w:trPr>
          <w:trHeight w:val="1513" w:hRule="atLeast"/>
        </w:trPr>
        <w:tc>
          <w:tcPr>
            <w:tcW w:w="4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2</w:t>
            </w:r>
          </w:p>
        </w:tc>
        <w:tc>
          <w:tcPr>
            <w:tcW w:w="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一拖二双雨水篦子</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套</w:t>
            </w:r>
          </w:p>
        </w:tc>
        <w:tc>
          <w:tcPr>
            <w:tcW w:w="6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150</w:t>
            </w:r>
          </w:p>
        </w:tc>
        <w:tc>
          <w:tcPr>
            <w:tcW w:w="10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新宋体" w:hAnsi="新宋体" w:eastAsia="新宋体" w:cs="新宋体"/>
                <w:kern w:val="0"/>
                <w:sz w:val="24"/>
                <w:szCs w:val="24"/>
                <w:lang w:val="en-US" w:eastAsia="zh-CN"/>
              </w:rPr>
            </w:pPr>
            <w:r>
              <w:rPr>
                <w:rFonts w:hint="eastAsia" w:ascii="新宋体" w:hAnsi="新宋体" w:eastAsia="新宋体" w:cs="新宋体"/>
                <w:kern w:val="0"/>
                <w:sz w:val="24"/>
                <w:szCs w:val="24"/>
              </w:rPr>
              <w:t>100</w:t>
            </w:r>
            <w:r>
              <w:rPr>
                <w:rFonts w:hint="eastAsia" w:ascii="新宋体" w:hAnsi="新宋体" w:eastAsia="新宋体" w:cs="新宋体"/>
                <w:kern w:val="0"/>
                <w:sz w:val="24"/>
                <w:szCs w:val="24"/>
                <w:lang w:val="en-US" w:eastAsia="zh-CN"/>
              </w:rPr>
              <w:t>KG</w:t>
            </w:r>
          </w:p>
        </w:tc>
        <w:tc>
          <w:tcPr>
            <w:tcW w:w="48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 xml:space="preserve">   </w:t>
            </w:r>
            <w:r>
              <w:rPr>
                <w:rFonts w:hint="eastAsia" w:ascii="新宋体" w:hAnsi="新宋体" w:eastAsia="新宋体" w:cs="新宋体"/>
                <w:b/>
                <w:bCs/>
                <w:kern w:val="0"/>
                <w:sz w:val="24"/>
                <w:szCs w:val="24"/>
              </w:rPr>
              <w:t>规格</w:t>
            </w:r>
            <w:r>
              <w:rPr>
                <w:rFonts w:hint="eastAsia" w:ascii="新宋体" w:hAnsi="新宋体" w:eastAsia="新宋体" w:cs="新宋体"/>
                <w:kern w:val="0"/>
                <w:sz w:val="24"/>
                <w:szCs w:val="24"/>
              </w:rPr>
              <w:t xml:space="preserve"> :1120*920</w:t>
            </w:r>
            <w:r>
              <w:rPr>
                <w:rFonts w:hint="eastAsia" w:ascii="新宋体" w:hAnsi="新宋体" w:eastAsia="新宋体" w:cs="新宋体"/>
                <w:b/>
                <w:bCs/>
                <w:kern w:val="0"/>
                <w:sz w:val="24"/>
                <w:szCs w:val="24"/>
              </w:rPr>
              <w:t xml:space="preserve"> mm;</w:t>
            </w:r>
            <w:r>
              <w:rPr>
                <w:rFonts w:hint="eastAsia" w:ascii="新宋体" w:hAnsi="新宋体" w:eastAsia="新宋体" w:cs="新宋体"/>
                <w:kern w:val="0"/>
                <w:sz w:val="24"/>
                <w:szCs w:val="24"/>
              </w:rPr>
              <w:t>球墨铸铁应符合GB/T23858-2009的规定；铸件表面不得有砂眼、气孔、粘砂现象；外缘不得有飞边、毛刺、多内现象，清砂干净利落 全部应密实厚度一致，不得有裂缝、颗粒隆起及不平现象。</w:t>
            </w:r>
            <w:r>
              <w:rPr>
                <w:rFonts w:hint="eastAsia" w:ascii="新宋体" w:hAnsi="新宋体" w:eastAsia="新宋体" w:cs="新宋体"/>
                <w:b/>
                <w:bCs/>
                <w:kern w:val="0"/>
                <w:sz w:val="24"/>
                <w:szCs w:val="24"/>
              </w:rPr>
              <w:t>防腐做法：</w:t>
            </w:r>
            <w:r>
              <w:rPr>
                <w:rFonts w:hint="eastAsia" w:ascii="新宋体" w:hAnsi="新宋体" w:eastAsia="新宋体" w:cs="新宋体"/>
                <w:kern w:val="0"/>
                <w:sz w:val="24"/>
                <w:szCs w:val="24"/>
              </w:rPr>
              <w:t>涂沥青青漆一道。 每套井盖应清晰标注水利市政、雨水，热线电话6068640标志，上边填写水利市政，中间填写雨水，下边标注热线电话。</w:t>
            </w:r>
          </w:p>
        </w:tc>
      </w:tr>
      <w:tr>
        <w:tblPrEx>
          <w:tblLayout w:type="fixed"/>
          <w:tblCellMar>
            <w:top w:w="0" w:type="dxa"/>
            <w:left w:w="108" w:type="dxa"/>
            <w:bottom w:w="0" w:type="dxa"/>
            <w:right w:w="108" w:type="dxa"/>
          </w:tblCellMar>
        </w:tblPrEx>
        <w:trPr>
          <w:trHeight w:val="1184" w:hRule="atLeast"/>
        </w:trPr>
        <w:tc>
          <w:tcPr>
            <w:tcW w:w="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新宋体" w:hAnsi="新宋体" w:eastAsia="新宋体" w:cs="新宋体"/>
                <w:kern w:val="0"/>
                <w:sz w:val="24"/>
                <w:szCs w:val="24"/>
              </w:rPr>
            </w:pPr>
          </w:p>
        </w:tc>
        <w:tc>
          <w:tcPr>
            <w:tcW w:w="9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新宋体" w:hAnsi="新宋体" w:eastAsia="新宋体" w:cs="新宋体"/>
                <w:kern w:val="0"/>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新宋体" w:hAnsi="新宋体" w:eastAsia="新宋体" w:cs="新宋体"/>
                <w:kern w:val="0"/>
                <w:sz w:val="24"/>
                <w:szCs w:val="24"/>
              </w:rPr>
            </w:pP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200</w:t>
            </w: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新宋体" w:hAnsi="新宋体" w:eastAsia="新宋体" w:cs="新宋体"/>
                <w:kern w:val="0"/>
                <w:sz w:val="24"/>
                <w:szCs w:val="24"/>
                <w:lang w:val="en-US" w:eastAsia="zh-CN"/>
              </w:rPr>
            </w:pPr>
            <w:r>
              <w:rPr>
                <w:rFonts w:hint="eastAsia" w:ascii="新宋体" w:hAnsi="新宋体" w:eastAsia="新宋体" w:cs="新宋体"/>
                <w:kern w:val="0"/>
                <w:sz w:val="24"/>
                <w:szCs w:val="24"/>
              </w:rPr>
              <w:t>70</w:t>
            </w:r>
            <w:r>
              <w:rPr>
                <w:rFonts w:hint="eastAsia" w:ascii="新宋体" w:hAnsi="新宋体" w:eastAsia="新宋体" w:cs="新宋体"/>
                <w:kern w:val="0"/>
                <w:sz w:val="24"/>
                <w:szCs w:val="24"/>
                <w:lang w:val="en-US" w:eastAsia="zh-CN"/>
              </w:rPr>
              <w:t>KG</w:t>
            </w:r>
          </w:p>
        </w:tc>
        <w:tc>
          <w:tcPr>
            <w:tcW w:w="48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新宋体" w:hAnsi="新宋体" w:eastAsia="新宋体" w:cs="新宋体"/>
                <w:kern w:val="0"/>
                <w:sz w:val="24"/>
                <w:szCs w:val="24"/>
              </w:rPr>
            </w:pPr>
          </w:p>
        </w:tc>
      </w:tr>
      <w:tr>
        <w:tblPrEx>
          <w:tblLayout w:type="fixed"/>
          <w:tblCellMar>
            <w:top w:w="0" w:type="dxa"/>
            <w:left w:w="108" w:type="dxa"/>
            <w:bottom w:w="0" w:type="dxa"/>
            <w:right w:w="108" w:type="dxa"/>
          </w:tblCellMar>
        </w:tblPrEx>
        <w:trPr>
          <w:trHeight w:val="1755" w:hRule="atLeast"/>
        </w:trPr>
        <w:tc>
          <w:tcPr>
            <w:tcW w:w="4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3</w:t>
            </w:r>
          </w:p>
        </w:tc>
        <w:tc>
          <w:tcPr>
            <w:tcW w:w="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污水井盖</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套</w:t>
            </w:r>
          </w:p>
        </w:tc>
        <w:tc>
          <w:tcPr>
            <w:tcW w:w="6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150</w:t>
            </w:r>
          </w:p>
        </w:tc>
        <w:tc>
          <w:tcPr>
            <w:tcW w:w="10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新宋体" w:hAnsi="新宋体" w:eastAsia="新宋体" w:cs="新宋体"/>
                <w:kern w:val="0"/>
                <w:sz w:val="24"/>
                <w:szCs w:val="24"/>
                <w:lang w:val="en-US" w:eastAsia="zh-CN"/>
              </w:rPr>
            </w:pPr>
            <w:r>
              <w:rPr>
                <w:rFonts w:hint="eastAsia" w:ascii="新宋体" w:hAnsi="新宋体" w:eastAsia="新宋体" w:cs="新宋体"/>
                <w:kern w:val="0"/>
                <w:sz w:val="24"/>
                <w:szCs w:val="24"/>
              </w:rPr>
              <w:t>10</w:t>
            </w:r>
            <w:r>
              <w:rPr>
                <w:rFonts w:hint="eastAsia" w:ascii="新宋体" w:hAnsi="新宋体" w:eastAsia="新宋体" w:cs="新宋体"/>
                <w:kern w:val="0"/>
                <w:sz w:val="24"/>
                <w:szCs w:val="24"/>
                <w:lang w:val="en-US" w:eastAsia="zh-CN"/>
              </w:rPr>
              <w:t>0KG</w:t>
            </w:r>
          </w:p>
        </w:tc>
        <w:tc>
          <w:tcPr>
            <w:tcW w:w="48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 xml:space="preserve">  </w:t>
            </w:r>
            <w:r>
              <w:rPr>
                <w:rFonts w:hint="eastAsia" w:ascii="新宋体" w:hAnsi="新宋体" w:eastAsia="新宋体" w:cs="新宋体"/>
                <w:b/>
                <w:bCs/>
                <w:kern w:val="0"/>
                <w:sz w:val="24"/>
                <w:szCs w:val="24"/>
              </w:rPr>
              <w:t>规格</w:t>
            </w:r>
            <w:r>
              <w:rPr>
                <w:rFonts w:hint="eastAsia" w:ascii="新宋体" w:hAnsi="新宋体" w:eastAsia="新宋体" w:cs="新宋体"/>
                <w:kern w:val="0"/>
                <w:sz w:val="24"/>
                <w:szCs w:val="24"/>
              </w:rPr>
              <w:t xml:space="preserve"> : Φ700 球墨铸铁应符合GB/T23858-2009的规定；铸件表面不得有砂眼、气孔、粘砂现象；外缘不得有飞边、毛刺、多内现象，清砂干净利落 全部应密实厚度一致，不得有裂缝、颗粒隆起及不平现象。</w:t>
            </w:r>
            <w:r>
              <w:rPr>
                <w:rFonts w:hint="eastAsia" w:ascii="新宋体" w:hAnsi="新宋体" w:eastAsia="新宋体" w:cs="新宋体"/>
                <w:b/>
                <w:bCs/>
                <w:kern w:val="0"/>
                <w:sz w:val="24"/>
                <w:szCs w:val="24"/>
              </w:rPr>
              <w:t>防腐做法：</w:t>
            </w:r>
            <w:r>
              <w:rPr>
                <w:rFonts w:hint="eastAsia" w:ascii="新宋体" w:hAnsi="新宋体" w:eastAsia="新宋体" w:cs="新宋体"/>
                <w:kern w:val="0"/>
                <w:sz w:val="24"/>
                <w:szCs w:val="24"/>
              </w:rPr>
              <w:t>涂沥青青漆一道。 每套井盖应清晰标注水利市政、污水，热线电6068640标志，上边填写水利市政，中间填写污，下边标注热线电话。</w:t>
            </w:r>
          </w:p>
        </w:tc>
      </w:tr>
      <w:tr>
        <w:tblPrEx>
          <w:tblLayout w:type="fixed"/>
          <w:tblCellMar>
            <w:top w:w="0" w:type="dxa"/>
            <w:left w:w="108" w:type="dxa"/>
            <w:bottom w:w="0" w:type="dxa"/>
            <w:right w:w="108" w:type="dxa"/>
          </w:tblCellMar>
        </w:tblPrEx>
        <w:trPr>
          <w:trHeight w:val="1440" w:hRule="atLeast"/>
        </w:trPr>
        <w:tc>
          <w:tcPr>
            <w:tcW w:w="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新宋体" w:hAnsi="新宋体" w:eastAsia="新宋体" w:cs="新宋体"/>
                <w:kern w:val="0"/>
                <w:sz w:val="24"/>
                <w:szCs w:val="24"/>
              </w:rPr>
            </w:pPr>
          </w:p>
        </w:tc>
        <w:tc>
          <w:tcPr>
            <w:tcW w:w="9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新宋体" w:hAnsi="新宋体" w:eastAsia="新宋体" w:cs="新宋体"/>
                <w:kern w:val="0"/>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新宋体" w:hAnsi="新宋体" w:eastAsia="新宋体" w:cs="新宋体"/>
                <w:kern w:val="0"/>
                <w:sz w:val="24"/>
                <w:szCs w:val="24"/>
              </w:rPr>
            </w:pPr>
          </w:p>
        </w:tc>
        <w:tc>
          <w:tcPr>
            <w:tcW w:w="6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150</w:t>
            </w:r>
          </w:p>
        </w:tc>
        <w:tc>
          <w:tcPr>
            <w:tcW w:w="10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新宋体" w:hAnsi="新宋体" w:eastAsia="新宋体" w:cs="新宋体"/>
                <w:kern w:val="0"/>
                <w:sz w:val="24"/>
                <w:szCs w:val="24"/>
                <w:lang w:val="en-US" w:eastAsia="zh-CN"/>
              </w:rPr>
            </w:pPr>
            <w:r>
              <w:rPr>
                <w:rFonts w:hint="eastAsia" w:ascii="新宋体" w:hAnsi="新宋体" w:eastAsia="新宋体" w:cs="新宋体"/>
                <w:kern w:val="0"/>
                <w:sz w:val="24"/>
                <w:szCs w:val="24"/>
              </w:rPr>
              <w:t>70</w:t>
            </w:r>
            <w:r>
              <w:rPr>
                <w:rFonts w:hint="eastAsia" w:ascii="新宋体" w:hAnsi="新宋体" w:eastAsia="新宋体" w:cs="新宋体"/>
                <w:kern w:val="0"/>
                <w:sz w:val="24"/>
                <w:szCs w:val="24"/>
                <w:lang w:val="en-US" w:eastAsia="zh-CN"/>
              </w:rPr>
              <w:t>KG</w:t>
            </w:r>
          </w:p>
        </w:tc>
        <w:tc>
          <w:tcPr>
            <w:tcW w:w="48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新宋体" w:hAnsi="新宋体" w:eastAsia="新宋体" w:cs="新宋体"/>
                <w:kern w:val="0"/>
                <w:sz w:val="24"/>
                <w:szCs w:val="24"/>
              </w:rPr>
            </w:pPr>
          </w:p>
        </w:tc>
      </w:tr>
    </w:tbl>
    <w:p>
      <w:pPr>
        <w:pStyle w:val="2"/>
        <w:rPr>
          <w:rFonts w:hint="eastAsia" w:ascii="新宋体" w:hAnsi="新宋体" w:eastAsia="新宋体" w:cs="新宋体"/>
          <w:sz w:val="24"/>
          <w:szCs w:val="24"/>
          <w:lang w:eastAsia="zh-CN"/>
        </w:rPr>
      </w:pPr>
    </w:p>
    <w:p>
      <w:pPr>
        <w:widowControl/>
        <w:shd w:val="clear" w:color="auto" w:fill="FFFFFF"/>
        <w:spacing w:line="360" w:lineRule="auto"/>
        <w:ind w:firstLine="600"/>
        <w:jc w:val="left"/>
        <w:rPr>
          <w:rFonts w:hint="eastAsia" w:ascii="新宋体" w:hAnsi="新宋体" w:eastAsia="新宋体" w:cs="新宋体"/>
          <w:b/>
          <w:bCs/>
          <w:color w:val="000000"/>
          <w:kern w:val="0"/>
          <w:sz w:val="24"/>
          <w:szCs w:val="24"/>
          <w:lang w:eastAsia="zh-CN"/>
        </w:rPr>
      </w:pPr>
      <w:r>
        <w:rPr>
          <w:rFonts w:hint="eastAsia" w:ascii="新宋体" w:hAnsi="新宋体" w:eastAsia="新宋体" w:cs="新宋体"/>
          <w:sz w:val="24"/>
          <w:szCs w:val="24"/>
          <w:lang w:val="zh-CN"/>
        </w:rPr>
        <w:t>注：以上要求为最低要求，投标商不得低于以上要求，否则为无效响应文件。</w:t>
      </w:r>
    </w:p>
    <w:p>
      <w:pPr>
        <w:numPr>
          <w:ilvl w:val="0"/>
          <w:numId w:val="8"/>
        </w:numPr>
        <w:spacing w:line="360" w:lineRule="auto"/>
        <w:ind w:left="0" w:leftChars="0" w:firstLine="482" w:firstLineChars="200"/>
        <w:contextualSpacing/>
        <w:rPr>
          <w:rFonts w:hint="eastAsia" w:ascii="新宋体" w:hAnsi="新宋体" w:eastAsia="新宋体" w:cs="新宋体"/>
          <w:b/>
          <w:bCs/>
          <w:color w:val="000000"/>
          <w:kern w:val="0"/>
          <w:sz w:val="24"/>
          <w:szCs w:val="24"/>
          <w:lang w:eastAsia="zh-CN"/>
        </w:rPr>
      </w:pPr>
      <w:r>
        <w:rPr>
          <w:rFonts w:hint="eastAsia" w:ascii="新宋体" w:hAnsi="新宋体" w:eastAsia="新宋体" w:cs="新宋体"/>
          <w:b/>
          <w:bCs/>
          <w:color w:val="000000"/>
          <w:kern w:val="0"/>
          <w:sz w:val="24"/>
          <w:szCs w:val="24"/>
        </w:rPr>
        <w:t>采购标的执行标准</w:t>
      </w:r>
      <w:r>
        <w:rPr>
          <w:rFonts w:hint="eastAsia" w:ascii="新宋体" w:hAnsi="新宋体" w:eastAsia="新宋体" w:cs="新宋体"/>
          <w:b/>
          <w:bCs/>
          <w:color w:val="000000"/>
          <w:kern w:val="0"/>
          <w:sz w:val="24"/>
          <w:szCs w:val="24"/>
          <w:lang w:eastAsia="zh-CN"/>
        </w:rPr>
        <w:t>：</w:t>
      </w:r>
    </w:p>
    <w:p>
      <w:pPr>
        <w:numPr>
          <w:ilvl w:val="0"/>
          <w:numId w:val="0"/>
        </w:numPr>
        <w:spacing w:line="360" w:lineRule="auto"/>
        <w:ind w:left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信息安全产品强制性</w:t>
      </w:r>
      <w:r>
        <w:rPr>
          <w:rFonts w:hint="eastAsia" w:cs="宋体" w:asciiTheme="minorEastAsia" w:hAnsiTheme="minorEastAsia"/>
          <w:kern w:val="0"/>
          <w:sz w:val="24"/>
          <w:szCs w:val="24"/>
        </w:rPr>
        <w:t>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w:t>
      </w:r>
      <w:r>
        <w:rPr>
          <w:rFonts w:hint="eastAsia" w:cs="宋体" w:asciiTheme="minorEastAsia" w:hAnsiTheme="minorEastAsia"/>
          <w:kern w:val="0"/>
          <w:sz w:val="24"/>
          <w:szCs w:val="24"/>
        </w:rPr>
        <w:t>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并须在投标文件中提供：</w:t>
      </w:r>
    </w:p>
    <w:p>
      <w:pPr>
        <w:wordWrap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①中国信息安全认证中心官网（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w:t>
      </w:r>
    </w:p>
    <w:p>
      <w:pPr>
        <w:wordWrap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②中国信息安全认证中心颁发的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的原件扫描件（或图片）并加盖投标人公章。</w:t>
      </w:r>
    </w:p>
    <w:p>
      <w:pPr>
        <w:wordWrap w:val="0"/>
        <w:spacing w:line="360" w:lineRule="auto"/>
        <w:ind w:firstLine="480" w:firstLineChars="200"/>
        <w:contextualSpacing/>
        <w:rPr>
          <w:rFonts w:hint="eastAsia"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2"/>
        <w:rPr>
          <w:rFonts w:hint="default" w:cs="宋体" w:asciiTheme="minorEastAsia" w:hAnsiTheme="minorEastAsia" w:eastAsiaTheme="minorEastAsia"/>
          <w:kern w:val="0"/>
          <w:sz w:val="24"/>
          <w:szCs w:val="24"/>
          <w:lang w:val="en-US" w:eastAsia="zh-CN" w:bidi="ar-SA"/>
        </w:rPr>
      </w:pPr>
      <w:r>
        <w:rPr>
          <w:rFonts w:hint="eastAsia" w:ascii="楷体" w:hAnsi="楷体" w:eastAsia="楷体"/>
          <w:color w:val="000000"/>
          <w:sz w:val="24"/>
          <w:szCs w:val="24"/>
          <w:lang w:val="en-US" w:eastAsia="zh-CN"/>
        </w:rPr>
        <w:t xml:space="preserve">  </w:t>
      </w:r>
      <w:r>
        <w:rPr>
          <w:rFonts w:hint="eastAsia" w:cs="宋体" w:asciiTheme="minorEastAsia" w:hAnsiTheme="minorEastAsia" w:eastAsiaTheme="minorEastAsia"/>
          <w:kern w:val="0"/>
          <w:sz w:val="24"/>
          <w:szCs w:val="24"/>
          <w:lang w:val="en-US" w:eastAsia="zh-CN" w:bidi="ar-SA"/>
        </w:rPr>
        <w:t>(2)球墨铸铁应符合GB/T23858-2009的规定。</w:t>
      </w:r>
    </w:p>
    <w:p>
      <w:pPr>
        <w:pStyle w:val="22"/>
        <w:numPr>
          <w:ilvl w:val="0"/>
          <w:numId w:val="8"/>
        </w:numPr>
        <w:ind w:left="0" w:leftChars="0" w:firstLine="482" w:firstLineChars="200"/>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服务标准、期限、效率等要求：</w:t>
      </w:r>
    </w:p>
    <w:p>
      <w:pPr>
        <w:pStyle w:val="22"/>
        <w:numPr>
          <w:ilvl w:val="0"/>
          <w:numId w:val="0"/>
        </w:numPr>
        <w:ind w:leftChars="200"/>
        <w:rPr>
          <w:rFonts w:hint="default"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保期一年，雨水篦子、污水井盖在安装一年内被碾压损坏，供应商应无条件调换.</w:t>
      </w:r>
    </w:p>
    <w:p>
      <w:pPr>
        <w:widowControl/>
        <w:shd w:val="clear" w:color="auto" w:fill="FFFFFF"/>
        <w:spacing w:line="360" w:lineRule="auto"/>
        <w:ind w:firstLine="600"/>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lang w:eastAsia="zh-CN"/>
        </w:rPr>
        <w:t>五、</w:t>
      </w:r>
      <w:r>
        <w:rPr>
          <w:rFonts w:hint="eastAsia" w:ascii="新宋体" w:hAnsi="新宋体" w:eastAsia="新宋体" w:cs="新宋体"/>
          <w:b/>
          <w:bCs/>
          <w:color w:val="000000"/>
          <w:kern w:val="0"/>
          <w:sz w:val="24"/>
          <w:szCs w:val="24"/>
        </w:rPr>
        <w:t>验收标准</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r>
        <w:rPr>
          <w:rFonts w:hint="eastAsia" w:ascii="新宋体" w:hAnsi="新宋体" w:eastAsia="新宋体" w:cs="新宋体"/>
          <w:iCs/>
          <w:color w:val="000000"/>
          <w:kern w:val="0"/>
          <w:sz w:val="24"/>
          <w:szCs w:val="24"/>
        </w:rPr>
        <w:t>按照国家相关标准；</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2、按照招标文件要求、投标文件响应和承诺验收；</w:t>
      </w:r>
    </w:p>
    <w:p>
      <w:pPr>
        <w:widowControl/>
        <w:shd w:val="clear" w:color="auto" w:fill="FFFFFF"/>
        <w:spacing w:line="360" w:lineRule="auto"/>
        <w:ind w:firstLine="600"/>
        <w:jc w:val="left"/>
        <w:rPr>
          <w:rFonts w:hint="eastAsia" w:ascii="新宋体" w:hAnsi="新宋体" w:eastAsia="新宋体" w:cs="新宋体"/>
          <w:b/>
          <w:bCs/>
          <w:color w:val="000000"/>
          <w:kern w:val="0"/>
          <w:sz w:val="24"/>
          <w:szCs w:val="24"/>
          <w:lang w:eastAsia="zh-CN"/>
        </w:rPr>
      </w:pPr>
      <w:r>
        <w:rPr>
          <w:rFonts w:hint="eastAsia" w:ascii="新宋体" w:hAnsi="新宋体" w:eastAsia="新宋体" w:cs="新宋体"/>
          <w:b/>
          <w:bCs/>
          <w:color w:val="000000"/>
          <w:kern w:val="0"/>
          <w:sz w:val="24"/>
          <w:szCs w:val="24"/>
          <w:lang w:eastAsia="zh-CN"/>
        </w:rPr>
        <w:t>六、</w:t>
      </w:r>
      <w:r>
        <w:rPr>
          <w:rFonts w:hint="eastAsia" w:ascii="新宋体" w:hAnsi="新宋体" w:eastAsia="新宋体" w:cs="新宋体"/>
          <w:b/>
          <w:bCs/>
          <w:color w:val="000000"/>
          <w:kern w:val="0"/>
          <w:sz w:val="24"/>
          <w:szCs w:val="24"/>
        </w:rPr>
        <w:t>采购标的的其他技术、服务等要求</w:t>
      </w:r>
      <w:r>
        <w:rPr>
          <w:rFonts w:hint="eastAsia" w:ascii="新宋体" w:hAnsi="新宋体" w:eastAsia="新宋体" w:cs="新宋体"/>
          <w:b/>
          <w:bCs/>
          <w:color w:val="000000"/>
          <w:kern w:val="0"/>
          <w:sz w:val="24"/>
          <w:szCs w:val="24"/>
          <w:lang w:eastAsia="zh-CN"/>
        </w:rPr>
        <w:t>：</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eastAsia="zh-CN"/>
        </w:rPr>
      </w:pPr>
      <w:r>
        <w:rPr>
          <w:rFonts w:hint="eastAsia" w:ascii="新宋体" w:hAnsi="新宋体" w:eastAsia="新宋体" w:cs="新宋体"/>
          <w:color w:val="000000"/>
          <w:kern w:val="0"/>
          <w:sz w:val="24"/>
          <w:szCs w:val="24"/>
          <w:lang w:val="en-US" w:eastAsia="zh-CN"/>
        </w:rPr>
        <w:t>1、</w:t>
      </w:r>
      <w:r>
        <w:rPr>
          <w:rFonts w:hint="eastAsia" w:ascii="新宋体" w:hAnsi="新宋体" w:eastAsia="新宋体" w:cs="新宋体"/>
          <w:color w:val="000000"/>
          <w:kern w:val="0"/>
          <w:sz w:val="24"/>
          <w:szCs w:val="24"/>
          <w:lang w:val="zh-CN" w:eastAsia="zh-CN"/>
        </w:rPr>
        <w:t>供应商须明确响应产品的厂家、产地、品牌、型号、详细参数，否则为无效响应。</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en-US" w:eastAsia="zh-CN"/>
        </w:rPr>
        <w:t>2</w:t>
      </w:r>
      <w:r>
        <w:rPr>
          <w:rFonts w:hint="eastAsia" w:ascii="新宋体" w:hAnsi="新宋体" w:eastAsia="新宋体" w:cs="新宋体"/>
          <w:color w:val="000000"/>
          <w:kern w:val="0"/>
          <w:sz w:val="24"/>
          <w:szCs w:val="24"/>
          <w:lang w:val="zh-CN"/>
        </w:rPr>
        <w:t>、投标商须有合理的工作方案，否则为无效响应文件 。</w:t>
      </w:r>
    </w:p>
    <w:p>
      <w:pPr>
        <w:widowControl/>
        <w:shd w:val="clear" w:color="auto" w:fill="FFFFFF"/>
        <w:spacing w:line="360" w:lineRule="auto"/>
        <w:ind w:firstLine="600"/>
        <w:jc w:val="left"/>
        <w:rPr>
          <w:rFonts w:hint="eastAsia" w:ascii="新宋体" w:hAnsi="新宋体" w:eastAsia="新宋体" w:cs="新宋体"/>
          <w:sz w:val="24"/>
          <w:szCs w:val="24"/>
          <w:lang w:val="zh-CN"/>
        </w:rPr>
      </w:pPr>
      <w:r>
        <w:rPr>
          <w:rFonts w:hint="eastAsia" w:ascii="新宋体" w:hAnsi="新宋体" w:eastAsia="新宋体" w:cs="新宋体"/>
          <w:color w:val="000000"/>
          <w:kern w:val="0"/>
          <w:sz w:val="24"/>
          <w:szCs w:val="24"/>
          <w:lang w:val="en-US" w:eastAsia="zh-CN"/>
        </w:rPr>
        <w:t>3</w:t>
      </w:r>
      <w:r>
        <w:rPr>
          <w:rFonts w:hint="eastAsia" w:ascii="新宋体" w:hAnsi="新宋体" w:eastAsia="新宋体" w:cs="新宋体"/>
          <w:color w:val="000000"/>
          <w:kern w:val="0"/>
          <w:sz w:val="24"/>
          <w:szCs w:val="24"/>
          <w:lang w:val="zh-CN"/>
        </w:rPr>
        <w:t>、投标人应就该项目完整投标（报价含运输费、税费等综合费</w:t>
      </w:r>
      <w:r>
        <w:rPr>
          <w:rFonts w:hint="eastAsia" w:ascii="新宋体" w:hAnsi="新宋体" w:eastAsia="新宋体" w:cs="新宋体"/>
          <w:sz w:val="24"/>
          <w:szCs w:val="24"/>
          <w:lang w:val="zh-CN"/>
        </w:rPr>
        <w:t>用），否则为无效响应文件。</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lang w:val="zh-CN"/>
        </w:rPr>
        <w:t>、投标商必须由法定代表人或其授权代表参加开标会议，随时接受谈判小组询问，并予作出书面解答。</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lang w:val="zh-CN"/>
        </w:rPr>
        <w:t>、采购人确定成交人后，中标人须向禹州市政府采购中心发送投标报价及分项报价（如果货物需求中有分项的话）一览表电子档，并同时通知采购中心。邮箱：</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"mailto:YZGGZY2076770@163.com"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YZGGZY2076770@163.com</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w:t>
      </w:r>
    </w:p>
    <w:p>
      <w:pPr>
        <w:wordWrap w:val="0"/>
        <w:topLinePunct/>
        <w:spacing w:line="360" w:lineRule="auto"/>
        <w:ind w:firstLine="482" w:firstLineChars="200"/>
        <w:rPr>
          <w:rFonts w:hint="eastAsia" w:ascii="新宋体" w:hAnsi="新宋体" w:eastAsia="新宋体" w:cs="新宋体"/>
          <w:sz w:val="24"/>
          <w:szCs w:val="24"/>
          <w:lang w:val="en-US" w:eastAsia="zh-CN"/>
        </w:rPr>
      </w:pPr>
      <w:r>
        <w:rPr>
          <w:rFonts w:hint="eastAsia" w:ascii="新宋体" w:hAnsi="新宋体" w:eastAsia="新宋体" w:cs="新宋体"/>
          <w:b/>
          <w:bCs/>
          <w:sz w:val="24"/>
          <w:szCs w:val="24"/>
          <w:lang w:val="en-US" w:eastAsia="zh-CN"/>
        </w:rPr>
        <w:t>（七）付款方式 ：</w:t>
      </w:r>
      <w:r>
        <w:rPr>
          <w:rFonts w:hint="eastAsia" w:ascii="新宋体" w:hAnsi="新宋体" w:eastAsia="新宋体" w:cs="新宋体"/>
          <w:sz w:val="24"/>
          <w:szCs w:val="24"/>
          <w:lang w:val="en-US" w:eastAsia="zh-CN"/>
        </w:rPr>
        <w:t>以签订合同为准。</w:t>
      </w:r>
    </w:p>
    <w:p>
      <w:pPr>
        <w:spacing w:line="500" w:lineRule="exact"/>
        <w:jc w:val="left"/>
        <w:rPr>
          <w:rFonts w:hint="eastAsia" w:ascii="新宋体" w:hAnsi="新宋体" w:eastAsia="新宋体" w:cs="新宋体"/>
          <w:b/>
          <w:sz w:val="24"/>
          <w:szCs w:val="24"/>
          <w:lang w:val="en-US" w:eastAsia="zh-CN"/>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pStyle w:val="2"/>
        <w:rPr>
          <w:rFonts w:hint="eastAsia" w:ascii="新宋体" w:hAnsi="新宋体" w:eastAsia="新宋体" w:cs="新宋体"/>
          <w:b/>
          <w:kern w:val="0"/>
          <w:sz w:val="24"/>
          <w:szCs w:val="24"/>
        </w:rPr>
      </w:pPr>
    </w:p>
    <w:p>
      <w:pPr>
        <w:pStyle w:val="2"/>
        <w:rPr>
          <w:rFonts w:hint="eastAsia" w:ascii="新宋体" w:hAnsi="新宋体" w:eastAsia="新宋体" w:cs="新宋体"/>
          <w:b/>
          <w:kern w:val="0"/>
          <w:sz w:val="24"/>
          <w:szCs w:val="24"/>
        </w:rPr>
      </w:pPr>
    </w:p>
    <w:p>
      <w:pPr>
        <w:pStyle w:val="2"/>
        <w:rPr>
          <w:rFonts w:hint="eastAsia" w:ascii="新宋体" w:hAnsi="新宋体" w:eastAsia="新宋体" w:cs="新宋体"/>
          <w:b/>
          <w:kern w:val="0"/>
          <w:sz w:val="24"/>
          <w:szCs w:val="24"/>
        </w:rPr>
      </w:pPr>
    </w:p>
    <w:p>
      <w:pPr>
        <w:pStyle w:val="2"/>
        <w:rPr>
          <w:rFonts w:hint="eastAsia" w:ascii="新宋体" w:hAnsi="新宋体" w:eastAsia="新宋体" w:cs="新宋体"/>
          <w:b/>
          <w:kern w:val="0"/>
          <w:sz w:val="24"/>
          <w:szCs w:val="24"/>
        </w:rPr>
      </w:pPr>
    </w:p>
    <w:p>
      <w:pPr>
        <w:pStyle w:val="2"/>
        <w:rPr>
          <w:rFonts w:hint="eastAsia" w:ascii="新宋体" w:hAnsi="新宋体" w:eastAsia="新宋体" w:cs="新宋体"/>
          <w:b/>
          <w:kern w:val="0"/>
          <w:sz w:val="24"/>
          <w:szCs w:val="24"/>
        </w:rPr>
      </w:pPr>
    </w:p>
    <w:p>
      <w:pPr>
        <w:pStyle w:val="2"/>
        <w:rPr>
          <w:rFonts w:hint="eastAsia" w:ascii="新宋体" w:hAnsi="新宋体" w:eastAsia="新宋体" w:cs="新宋体"/>
          <w:b/>
          <w:kern w:val="0"/>
          <w:sz w:val="24"/>
          <w:szCs w:val="24"/>
        </w:rPr>
      </w:pPr>
    </w:p>
    <w:p>
      <w:pPr>
        <w:pStyle w:val="2"/>
        <w:rPr>
          <w:rFonts w:hint="eastAsia" w:ascii="新宋体" w:hAnsi="新宋体" w:eastAsia="新宋体" w:cs="新宋体"/>
          <w:b/>
          <w:kern w:val="0"/>
          <w:sz w:val="24"/>
          <w:szCs w:val="24"/>
        </w:rPr>
      </w:pPr>
    </w:p>
    <w:p>
      <w:pPr>
        <w:pStyle w:val="2"/>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numPr>
          <w:ilvl w:val="0"/>
          <w:numId w:val="4"/>
        </w:numPr>
        <w:autoSpaceDE w:val="0"/>
        <w:autoSpaceDN w:val="0"/>
        <w:adjustRightInd w:val="0"/>
        <w:ind w:left="0" w:leftChars="0" w:firstLine="0" w:firstLineChars="0"/>
        <w:jc w:val="center"/>
        <w:rPr>
          <w:rFonts w:hint="eastAsia" w:ascii="新宋体" w:hAnsi="新宋体" w:eastAsia="新宋体" w:cs="新宋体"/>
          <w:b/>
          <w:kern w:val="0"/>
          <w:sz w:val="30"/>
          <w:szCs w:val="30"/>
        </w:rPr>
      </w:pPr>
      <w:r>
        <w:rPr>
          <w:rFonts w:hint="eastAsia" w:ascii="新宋体" w:hAnsi="新宋体" w:eastAsia="新宋体" w:cs="新宋体"/>
          <w:b/>
          <w:kern w:val="0"/>
          <w:sz w:val="30"/>
          <w:szCs w:val="30"/>
        </w:rPr>
        <w:t>供应商须知前附表</w:t>
      </w:r>
    </w:p>
    <w:p>
      <w:pPr>
        <w:numPr>
          <w:ilvl w:val="0"/>
          <w:numId w:val="0"/>
        </w:numPr>
        <w:autoSpaceDE w:val="0"/>
        <w:autoSpaceDN w:val="0"/>
        <w:adjustRightInd w:val="0"/>
        <w:ind w:leftChars="0"/>
        <w:jc w:val="both"/>
        <w:rPr>
          <w:rFonts w:hint="eastAsia" w:cs="宋体" w:asciiTheme="majorEastAsia" w:hAnsiTheme="majorEastAsia" w:eastAsiaTheme="majorEastAsia"/>
          <w:b/>
          <w:kern w:val="0"/>
          <w:sz w:val="32"/>
          <w:szCs w:val="32"/>
        </w:rPr>
      </w:pP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81"/>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81"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00"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00" w:type="dxa"/>
          </w:tcPr>
          <w:p>
            <w:pPr>
              <w:spacing w:line="600" w:lineRule="exact"/>
              <w:jc w:val="both"/>
              <w:rPr>
                <w:rFonts w:hint="eastAsia" w:cs="仿宋_GB2312" w:asciiTheme="minorEastAsia" w:hAnsiTheme="minorEastAsia"/>
                <w:szCs w:val="21"/>
              </w:rPr>
            </w:pPr>
            <w:r>
              <w:rPr>
                <w:rFonts w:hint="eastAsia" w:cs="仿宋_GB2312" w:asciiTheme="minorEastAsia" w:hAnsiTheme="minorEastAsia"/>
                <w:szCs w:val="21"/>
              </w:rPr>
              <w:t>项目名称：禹州市水利市政管理所铸铁井盖采购项目</w:t>
            </w:r>
          </w:p>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YZCG-T2019333</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lang w:eastAsia="zh-CN"/>
              </w:rPr>
              <w:t>工期：以合同签订为准</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rPr>
              <w:t>项目地址：</w:t>
            </w:r>
            <w:r>
              <w:rPr>
                <w:rFonts w:hint="eastAsia" w:cs="仿宋_GB2312" w:asciiTheme="minorEastAsia" w:hAnsiTheme="minorEastAsia"/>
                <w:szCs w:val="21"/>
                <w:lang w:eastAsia="zh-CN"/>
              </w:rPr>
              <w:t>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00" w:type="dxa"/>
            <w:vAlign w:val="center"/>
          </w:tcPr>
          <w:p>
            <w:pPr>
              <w:keepNext w:val="0"/>
              <w:keepLines w:val="0"/>
              <w:pageBreakBefore w:val="0"/>
              <w:widowControl/>
              <w:shd w:val="clear" w:color="auto" w:fill="FFFFFF"/>
              <w:kinsoku/>
              <w:overflowPunct/>
              <w:bidi w:val="0"/>
              <w:spacing w:line="440" w:lineRule="exact"/>
              <w:jc w:val="left"/>
              <w:textAlignment w:val="auto"/>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名称：禹州市水利市政管理所</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default" w:cs="仿宋_GB2312" w:asciiTheme="minorEastAsia" w:hAnsiTheme="minorEastAsia" w:eastAsiaTheme="minorEastAsia"/>
                <w:szCs w:val="21"/>
                <w:lang w:val="en-US" w:eastAsia="zh-CN"/>
              </w:rPr>
              <w:t>联系人：</w:t>
            </w:r>
            <w:r>
              <w:rPr>
                <w:rFonts w:hint="eastAsia" w:cs="仿宋_GB2312" w:asciiTheme="minorEastAsia" w:hAnsiTheme="minorEastAsia"/>
                <w:szCs w:val="21"/>
                <w:lang w:val="en-US" w:eastAsia="zh-CN"/>
              </w:rPr>
              <w:t>赵女士</w:t>
            </w:r>
            <w:r>
              <w:rPr>
                <w:rFonts w:hint="default" w:cs="仿宋_GB2312" w:asciiTheme="minorEastAsia" w:hAnsiTheme="minorEastAsia" w:eastAsiaTheme="minorEastAsia"/>
                <w:szCs w:val="21"/>
                <w:lang w:val="en-US" w:eastAsia="zh-CN"/>
              </w:rPr>
              <w:t xml:space="preserve">   联系电话：</w:t>
            </w:r>
            <w:r>
              <w:rPr>
                <w:rFonts w:hint="eastAsia" w:cs="仿宋_GB2312" w:asciiTheme="minorEastAsia" w:hAnsiTheme="minorEastAsia"/>
                <w:szCs w:val="21"/>
                <w:lang w:val="en-US" w:eastAsia="zh-CN"/>
              </w:rPr>
              <w:t>0374-6068640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lang w:eastAsia="zh-CN"/>
              </w:rPr>
              <w:t>代理</w:t>
            </w:r>
            <w:r>
              <w:rPr>
                <w:rFonts w:hint="eastAsia" w:cs="仿宋_GB2312" w:asciiTheme="minorEastAsia" w:hAnsiTheme="minorEastAsia"/>
                <w:szCs w:val="21"/>
              </w:rPr>
              <w:t>机构</w:t>
            </w:r>
          </w:p>
        </w:tc>
        <w:tc>
          <w:tcPr>
            <w:tcW w:w="6800"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名</w:t>
            </w: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侯女士</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00"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hint="eastAsia"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jc w:val="left"/>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w:t>
            </w:r>
            <w:r>
              <w:rPr>
                <w:rFonts w:hint="eastAsia" w:cs="宋体" w:asciiTheme="minorEastAsia" w:hAnsiTheme="minorEastAsia"/>
                <w:bCs/>
                <w:szCs w:val="21"/>
                <w:lang w:val="zh-CN" w:eastAsia="zh-CN"/>
              </w:rPr>
              <w:t>三</w:t>
            </w:r>
            <w:r>
              <w:rPr>
                <w:rFonts w:hint="eastAsia" w:cs="宋体" w:asciiTheme="minorEastAsia" w:hAnsiTheme="minorEastAsia"/>
                <w:bCs/>
                <w:szCs w:val="21"/>
                <w:lang w:val="zh-CN"/>
              </w:rPr>
              <w:t>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hint="eastAsia" w:cs="宋体" w:asciiTheme="minorEastAsia" w:hAnsiTheme="minorEastAsia"/>
                <w:kern w:val="0"/>
                <w:szCs w:val="21"/>
                <w:lang w:val="en-US" w:eastAsia="zh-CN"/>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keepNext w:val="0"/>
              <w:keepLines w:val="0"/>
              <w:pageBreakBefore w:val="0"/>
              <w:kinsoku/>
              <w:overflowPunct/>
              <w:bidi w:val="0"/>
              <w:spacing w:line="440" w:lineRule="exact"/>
              <w:textAlignment w:val="auto"/>
              <w:rPr>
                <w:rFonts w:hint="eastAsia" w:cs="仿宋_GB2312" w:asciiTheme="minorEastAsia" w:hAnsiTheme="minorEastAsia" w:eastAsiaTheme="minorEastAsia"/>
                <w:szCs w:val="21"/>
                <w:lang w:eastAsia="zh-CN"/>
              </w:rPr>
            </w:pP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、被委托人是须是本单位职工，须提供公司为本人缴纳社会保险证明</w:t>
            </w:r>
            <w:r>
              <w:rPr>
                <w:rFonts w:hint="eastAsia" w:ascii="仿宋" w:hAnsi="仿宋" w:eastAsia="仿宋" w:cs="仿宋"/>
                <w:sz w:val="28"/>
                <w:szCs w:val="28"/>
              </w:rPr>
              <w:t>；</w:t>
            </w:r>
            <w:r>
              <w:rPr>
                <w:rFonts w:hint="eastAsia" w:cs="宋体" w:asciiTheme="minorEastAsia" w:hAnsiTheme="minorEastAsia"/>
                <w:kern w:val="0"/>
                <w:szCs w:val="21"/>
                <w:lang w:eastAsia="zh-CN"/>
              </w:rPr>
              <w:t>（登录网站：</w:t>
            </w:r>
            <w:r>
              <w:rPr>
                <w:rFonts w:hint="eastAsia" w:cs="宋体" w:asciiTheme="minorEastAsia" w:hAnsiTheme="minorEastAsia"/>
                <w:kern w:val="0"/>
                <w:szCs w:val="21"/>
                <w:lang w:val="en-US" w:eastAsia="zh-CN"/>
              </w:rPr>
              <w:t>http//222.143.34.121/</w:t>
            </w:r>
            <w:r>
              <w:rPr>
                <w:rFonts w:hint="eastAsia" w:cs="宋体" w:asciiTheme="minorEastAsia" w:hAnsiTheme="minorEastAsia"/>
                <w:kern w:val="0"/>
                <w:szCs w:val="21"/>
                <w:lang w:eastAsia="zh-CN"/>
              </w:rPr>
              <w:t>查询</w:t>
            </w:r>
            <w:r>
              <w:rPr>
                <w:rFonts w:hint="eastAsia" w:cs="宋体" w:asciiTheme="minorEastAsia" w:hAnsiTheme="minorEastAsia"/>
                <w:kern w:val="0"/>
                <w:szCs w:val="21"/>
                <w:lang w:val="en-US" w:eastAsia="zh-CN"/>
              </w:rPr>
              <w:t xml:space="preserve">  个人办事通道—马上注册—登录—查询打印—证明打印 </w:t>
            </w:r>
            <w:r>
              <w:rPr>
                <w:rFonts w:hint="eastAsia" w:cs="宋体" w:asciiTheme="minorEastAsia" w:hAnsiTheme="minorEastAsia"/>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00"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00" w:type="dxa"/>
            <w:vAlign w:val="center"/>
          </w:tcPr>
          <w:p>
            <w:pPr>
              <w:autoSpaceDE w:val="0"/>
              <w:autoSpaceDN w:val="0"/>
              <w:adjustRightInd w:val="0"/>
              <w:spacing w:line="276" w:lineRule="auto"/>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en-US" w:eastAsia="zh-CN"/>
              </w:rPr>
              <w:t>39.63万元，</w:t>
            </w:r>
            <w:r>
              <w:rPr>
                <w:rFonts w:hint="eastAsia" w:cs="宋体" w:asciiTheme="minorEastAsia" w:hAnsiTheme="minorEastAsia"/>
                <w:bCs/>
                <w:szCs w:val="21"/>
                <w:lang w:val="zh-CN"/>
              </w:rPr>
              <w:t>超出预算金额的响应无效</w:t>
            </w:r>
            <w:r>
              <w:rPr>
                <w:rFonts w:hint="eastAsia" w:cs="宋体" w:asciiTheme="minorEastAsia" w:hAnsiTheme="minorEastAsia"/>
                <w:bCs/>
                <w:szCs w:val="21"/>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00"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00"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81"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00"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81"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谈判响应截止及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谈判时间</w:t>
            </w:r>
          </w:p>
        </w:tc>
        <w:tc>
          <w:tcPr>
            <w:tcW w:w="6800"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zh-CN"/>
              </w:rPr>
              <w:t>2019年</w:t>
            </w:r>
            <w:r>
              <w:rPr>
                <w:rFonts w:hint="eastAsia" w:cs="宋体" w:asciiTheme="minorEastAsia" w:hAnsiTheme="minorEastAsia"/>
                <w:bCs/>
                <w:szCs w:val="21"/>
                <w:lang w:val="en-US" w:eastAsia="zh-CN"/>
              </w:rPr>
              <w:t>12</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20</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9:30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tc>
        <w:tc>
          <w:tcPr>
            <w:tcW w:w="6800" w:type="dxa"/>
            <w:vAlign w:val="center"/>
          </w:tcPr>
          <w:p>
            <w:pPr>
              <w:autoSpaceDE w:val="0"/>
              <w:autoSpaceDN w:val="0"/>
              <w:adjustRightInd w:val="0"/>
              <w:spacing w:line="360" w:lineRule="auto"/>
              <w:rPr>
                <w:rFonts w:hint="eastAsia" w:cs="宋体" w:asciiTheme="minorEastAsia" w:hAnsiTheme="minorEastAsia"/>
                <w:bCs/>
                <w:szCs w:val="21"/>
                <w:lang w:val="zh-CN" w:eastAsia="zh-CN"/>
              </w:rPr>
            </w:pPr>
            <w:r>
              <w:rPr>
                <w:rFonts w:hint="eastAsia" w:cs="宋体" w:asciiTheme="minorEastAsia" w:hAnsiTheme="minorEastAsia"/>
                <w:bCs/>
                <w:szCs w:val="21"/>
                <w:lang w:val="zh-CN" w:eastAsia="zh-CN"/>
              </w:rPr>
              <w:t>禹州市公共资源交易中心开标一室（地址：禹州市行政服务中心楼九楼）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00" w:type="dxa"/>
            <w:vAlign w:val="center"/>
          </w:tcPr>
          <w:p>
            <w:pPr>
              <w:numPr>
                <w:ilvl w:val="0"/>
                <w:numId w:val="0"/>
              </w:num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1.不收取。</w:t>
            </w:r>
          </w:p>
          <w:p>
            <w:pPr>
              <w:numPr>
                <w:ilvl w:val="0"/>
                <w:numId w:val="0"/>
              </w:numPr>
              <w:tabs>
                <w:tab w:val="left" w:pos="1260"/>
              </w:tabs>
              <w:autoSpaceDE w:val="0"/>
              <w:autoSpaceDN w:val="0"/>
              <w:spacing w:line="360" w:lineRule="auto"/>
              <w:contextualSpacing/>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2.投标人须做出承诺。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00"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81"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00"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00"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81"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00"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00"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00"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00"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禹州</w:t>
            </w:r>
            <w:r>
              <w:rPr>
                <w:rFonts w:hint="eastAsia" w:ascii="新宋体" w:hAnsi="新宋体" w:eastAsia="新宋体"/>
                <w:szCs w:val="21"/>
              </w:rPr>
              <w:t>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lang w:val="zh-CN"/>
              </w:rPr>
              <w:t>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w:t>
            </w:r>
            <w:r>
              <w:rPr>
                <w:rFonts w:hint="eastAsia" w:cs="宋体" w:asciiTheme="minorEastAsia" w:hAnsiTheme="minorEastAsia"/>
                <w:bCs/>
                <w:color w:val="FF0000"/>
                <w:sz w:val="24"/>
                <w:szCs w:val="24"/>
                <w:lang w:val="en-US" w:eastAsia="zh-CN"/>
              </w:rPr>
              <w:t>Z</w:t>
            </w:r>
            <w:r>
              <w:rPr>
                <w:rFonts w:hint="eastAsia" w:cs="宋体" w:asciiTheme="minorEastAsia" w:hAnsiTheme="minorEastAsia"/>
                <w:bCs/>
                <w:color w:val="FF0000"/>
                <w:sz w:val="24"/>
                <w:szCs w:val="24"/>
              </w:rPr>
              <w:t>GGZY2076770</w:t>
            </w:r>
            <w:r>
              <w:rPr>
                <w:rFonts w:hint="eastAsia" w:cs="宋体" w:asciiTheme="minorEastAsia" w:hAnsiTheme="minorEastAsia"/>
                <w:bCs/>
                <w:color w:val="FF0000"/>
                <w:sz w:val="24"/>
                <w:szCs w:val="24"/>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00"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00"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autoSpaceDE w:val="0"/>
              <w:autoSpaceDN w:val="0"/>
              <w:adjustRightInd w:val="0"/>
              <w:spacing w:line="360" w:lineRule="auto"/>
              <w:contextualSpacing/>
              <w:rPr>
                <w:rFonts w:hAnsi="宋体" w:cs="宋体"/>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政府采购严重违法失信行为记录名单、严重违法失信企业名单（黑名单）、严重违法失信社会组织名单（联合体形式响应的，联合体成员存在不良信用记录，视同联合体存在不良信用记录）。</w:t>
      </w:r>
    </w:p>
    <w:p>
      <w:pPr>
        <w:pStyle w:val="45"/>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5"/>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5"/>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5"/>
        <w:autoSpaceDE w:val="0"/>
        <w:autoSpaceDN w:val="0"/>
        <w:spacing w:line="360" w:lineRule="auto"/>
        <w:contextualSpacing/>
        <w:rPr>
          <w:rFonts w:cs="宋体" w:asciiTheme="minorEastAsia" w:hAnsiTheme="minorEastAsia"/>
          <w:kern w:val="0"/>
          <w:szCs w:val="21"/>
        </w:rPr>
      </w:pPr>
      <w:r>
        <w:rPr>
          <w:rFonts w:hint="eastAsia" w:cs="微软雅黑"/>
          <w:color w:val="000000"/>
        </w:rPr>
        <w:t>集中采购机构</w:t>
      </w:r>
      <w:r>
        <w:rPr>
          <w:rFonts w:hint="eastAsia" w:cs="微软雅黑"/>
          <w:color w:val="000000"/>
          <w:lang w:eastAsia="zh-CN"/>
        </w:rPr>
        <w:t>除收取标书费用外</w:t>
      </w:r>
      <w:r>
        <w:rPr>
          <w:rFonts w:hint="eastAsia" w:cs="微软雅黑"/>
          <w:color w:val="000000"/>
        </w:rPr>
        <w:t>，不收取费</w:t>
      </w:r>
      <w:r>
        <w:rPr>
          <w:rFonts w:hint="eastAsia" w:cs="微软雅黑"/>
          <w:color w:val="000000"/>
          <w:lang w:eastAsia="zh-CN"/>
        </w:rPr>
        <w:t>用</w:t>
      </w:r>
      <w:r>
        <w:rPr>
          <w:rFonts w:hint="eastAsia" w:cs="宋体" w:asciiTheme="minorEastAsia" w:hAnsiTheme="minorEastAsia"/>
          <w:kern w:val="0"/>
          <w:szCs w:val="21"/>
        </w:rPr>
        <w:t>。</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numPr>
          <w:ilvl w:val="0"/>
          <w:numId w:val="0"/>
        </w:num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hint="eastAsia" w:cs="宋体" w:asciiTheme="minorEastAsia" w:hAnsiTheme="minorEastAsia"/>
          <w:kern w:val="0"/>
          <w:szCs w:val="21"/>
        </w:rPr>
      </w:pPr>
      <w:r>
        <w:rPr>
          <w:rFonts w:hint="eastAsia" w:cs="宋体" w:asciiTheme="minorEastAsia" w:hAnsiTheme="minorEastAsia"/>
          <w:kern w:val="0"/>
          <w:szCs w:val="21"/>
          <w:lang w:val="en-US" w:eastAsia="zh-CN"/>
        </w:rPr>
        <w:t>2、</w:t>
      </w:r>
      <w:r>
        <w:rPr>
          <w:rFonts w:hint="eastAsia" w:cs="宋体" w:asciiTheme="minorEastAsia" w:hAnsiTheme="minorEastAsia"/>
          <w:kern w:val="0"/>
          <w:szCs w:val="21"/>
          <w:lang w:eastAsia="zh-CN"/>
        </w:rPr>
        <w:t>如“谈判邀请函</w:t>
      </w:r>
      <w:r>
        <w:rPr>
          <w:rFonts w:hint="default" w:cs="宋体" w:asciiTheme="minorEastAsia" w:hAnsiTheme="minorEastAsia"/>
          <w:kern w:val="0"/>
          <w:szCs w:val="21"/>
          <w:lang w:val="en-US" w:eastAsia="zh-CN"/>
        </w:rPr>
        <w:t>”</w:t>
      </w:r>
      <w:r>
        <w:rPr>
          <w:rFonts w:hint="eastAsia" w:cs="宋体" w:asciiTheme="minorEastAsia" w:hAnsiTheme="minorEastAsia"/>
          <w:kern w:val="0"/>
          <w:szCs w:val="21"/>
          <w:lang w:val="en-US" w:eastAsia="zh-CN"/>
        </w:rPr>
        <w:t>中“</w:t>
      </w:r>
      <w:r>
        <w:rPr>
          <w:rFonts w:hint="eastAsia" w:cs="宋体" w:asciiTheme="minorEastAsia" w:hAnsiTheme="minorEastAsia"/>
          <w:kern w:val="0"/>
          <w:szCs w:val="21"/>
          <w:lang w:eastAsia="zh-CN"/>
        </w:rPr>
        <w:t>谈判截止时间及谈判时间”和“投标人须知前附表”中</w:t>
      </w:r>
      <w:r>
        <w:rPr>
          <w:rFonts w:hint="eastAsia" w:ascii="黑体" w:hAnsi="黑体" w:eastAsia="黑体" w:cs="Arial"/>
          <w:color w:val="000000"/>
          <w:kern w:val="0"/>
          <w:sz w:val="32"/>
          <w:szCs w:val="32"/>
          <w:lang w:eastAsia="zh-CN"/>
        </w:rPr>
        <w:t>“</w:t>
      </w:r>
      <w:r>
        <w:rPr>
          <w:rFonts w:hint="eastAsia" w:cs="宋体" w:asciiTheme="minorEastAsia" w:hAnsiTheme="minorEastAsia"/>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w:t>
      </w:r>
      <w:r>
        <w:rPr>
          <w:rFonts w:hint="eastAsia" w:cs="宋体" w:asciiTheme="minorEastAsia" w:hAnsiTheme="minorEastAsia"/>
          <w:kern w:val="0"/>
          <w:szCs w:val="21"/>
          <w:lang w:eastAsia="zh-CN"/>
        </w:rPr>
        <w:t>第二次</w:t>
      </w:r>
      <w:r>
        <w:rPr>
          <w:rFonts w:hint="eastAsia" w:cs="宋体" w:asciiTheme="minorEastAsia" w:hAnsiTheme="minorEastAsia"/>
          <w:kern w:val="0"/>
          <w:szCs w:val="21"/>
        </w:rPr>
        <w:t>报价</w:t>
      </w:r>
      <w:r>
        <w:rPr>
          <w:rFonts w:hint="eastAsia" w:cs="宋体" w:asciiTheme="minorEastAsia" w:hAnsiTheme="minorEastAsia"/>
          <w:kern w:val="0"/>
          <w:szCs w:val="21"/>
          <w:lang w:eastAsia="zh-CN"/>
        </w:rPr>
        <w:t>（即最终报价）</w:t>
      </w:r>
      <w:r>
        <w:rPr>
          <w:rFonts w:hint="eastAsia" w:cs="宋体" w:asciiTheme="minorEastAsia" w:hAnsiTheme="minorEastAsia"/>
          <w:kern w:val="0"/>
          <w:szCs w:val="21"/>
        </w:rPr>
        <w:t>。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w:t>
      </w:r>
      <w:r>
        <w:rPr>
          <w:rFonts w:hint="eastAsia" w:ascii="宋体" w:hAnsi="宋体"/>
          <w:color w:val="000000"/>
          <w:szCs w:val="21"/>
          <w:lang w:eastAsia="zh-CN"/>
        </w:rPr>
        <w:t>谈判</w:t>
      </w:r>
      <w:r>
        <w:rPr>
          <w:rFonts w:hint="eastAsia" w:ascii="宋体" w:hAnsi="宋体"/>
          <w:color w:val="000000"/>
          <w:szCs w:val="21"/>
        </w:rPr>
        <w:t>的供应商，在谈判结束后还有一次最终报价的机会</w:t>
      </w:r>
      <w:r>
        <w:rPr>
          <w:rFonts w:hint="eastAsia" w:cs="宋体" w:asciiTheme="minorEastAsia" w:hAnsiTheme="minorEastAsia"/>
          <w:kern w:val="0"/>
          <w:szCs w:val="21"/>
        </w:rPr>
        <w:t>。</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5"/>
        <w:numPr>
          <w:ilvl w:val="0"/>
          <w:numId w:val="0"/>
        </w:numPr>
        <w:autoSpaceDE w:val="0"/>
        <w:autoSpaceDN w:val="0"/>
        <w:spacing w:line="360" w:lineRule="auto"/>
        <w:ind w:leftChars="0"/>
        <w:contextualSpacing/>
        <w:rPr>
          <w:rFonts w:hint="eastAsia" w:cs="宋体" w:asciiTheme="minorEastAsia" w:hAnsiTheme="minorEastAsia"/>
          <w:b/>
          <w:kern w:val="0"/>
          <w:szCs w:val="21"/>
          <w:lang w:val="en-US" w:eastAsia="zh-CN"/>
        </w:rPr>
      </w:pPr>
      <w:r>
        <w:rPr>
          <w:rFonts w:hint="eastAsia" w:cs="宋体" w:asciiTheme="minorEastAsia" w:hAnsiTheme="minorEastAsia"/>
          <w:b/>
          <w:kern w:val="0"/>
          <w:szCs w:val="21"/>
          <w:lang w:val="en-US" w:eastAsia="zh-CN"/>
        </w:rPr>
        <w:t>16.1 不收取。</w:t>
      </w:r>
    </w:p>
    <w:p>
      <w:pPr>
        <w:pStyle w:val="45"/>
        <w:numPr>
          <w:ilvl w:val="0"/>
          <w:numId w:val="0"/>
        </w:numPr>
        <w:autoSpaceDE w:val="0"/>
        <w:autoSpaceDN w:val="0"/>
        <w:spacing w:line="360" w:lineRule="auto"/>
        <w:ind w:leftChars="0"/>
        <w:contextualSpacing/>
        <w:rPr>
          <w:rFonts w:hint="default" w:cs="宋体" w:asciiTheme="minorEastAsia" w:hAnsiTheme="minorEastAsia"/>
          <w:b/>
          <w:kern w:val="0"/>
          <w:szCs w:val="21"/>
          <w:lang w:val="en-US" w:eastAsia="zh-CN"/>
        </w:rPr>
      </w:pPr>
      <w:r>
        <w:rPr>
          <w:rFonts w:hint="eastAsia" w:cs="宋体" w:asciiTheme="minorEastAsia" w:hAnsiTheme="minorEastAsia"/>
          <w:b/>
          <w:kern w:val="0"/>
          <w:szCs w:val="21"/>
          <w:lang w:val="en-US" w:eastAsia="zh-CN"/>
        </w:rPr>
        <w:t>16.2 投标人须做出承诺。</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r>
        <w:rPr>
          <w:rFonts w:hint="eastAsia" w:cs="宋体" w:asciiTheme="minorEastAsia" w:hAnsiTheme="minorEastAsia"/>
          <w:kern w:val="0"/>
          <w:szCs w:val="21"/>
          <w:lang w:eastAsia="zh-CN"/>
        </w:rPr>
        <w:t>，</w:t>
      </w:r>
      <w:r>
        <w:rPr>
          <w:rFonts w:hint="eastAsia" w:cs="宋体" w:asciiTheme="minorEastAsia" w:hAnsiTheme="minorEastAsia"/>
          <w:kern w:val="0"/>
          <w:szCs w:val="21"/>
        </w:rPr>
        <w:t>否则招标人将不退还其谈判保证金。</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5"/>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5"/>
        <w:numPr>
          <w:ilvl w:val="1"/>
          <w:numId w:val="14"/>
        </w:numPr>
        <w:autoSpaceDE w:val="0"/>
        <w:autoSpaceDN w:val="0"/>
        <w:spacing w:line="360" w:lineRule="auto"/>
        <w:ind w:firstLineChars="0"/>
        <w:contextualSpacing/>
        <w:rPr>
          <w:rFonts w:ascii="ˎ̥" w:hAnsi="ˎ̥"/>
          <w:vanish/>
        </w:rPr>
      </w:pP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5"/>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5"/>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5"/>
        <w:numPr>
          <w:ilvl w:val="0"/>
          <w:numId w:val="17"/>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lang w:eastAsia="zh-CN"/>
        </w:rPr>
        <w:t>。</w:t>
      </w:r>
    </w:p>
    <w:p>
      <w:pPr>
        <w:pStyle w:val="45"/>
        <w:numPr>
          <w:ilvl w:val="1"/>
          <w:numId w:val="14"/>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w:t>
      </w:r>
      <w:r>
        <w:rPr>
          <w:rFonts w:hint="eastAsia" w:cs="宋体" w:asciiTheme="minorEastAsia" w:hAnsiTheme="minorEastAsia"/>
          <w:kern w:val="0"/>
          <w:szCs w:val="21"/>
          <w:lang w:eastAsia="zh-CN"/>
        </w:rPr>
        <w:t>承诺函</w:t>
      </w:r>
      <w:r>
        <w:rPr>
          <w:rFonts w:hint="eastAsia" w:cs="宋体" w:asciiTheme="minorEastAsia" w:hAnsiTheme="minorEastAsia"/>
          <w:kern w:val="0"/>
          <w:szCs w:val="21"/>
        </w:rPr>
        <w:t>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5"/>
        <w:autoSpaceDE w:val="0"/>
        <w:autoSpaceDN w:val="0"/>
        <w:spacing w:line="360" w:lineRule="auto"/>
        <w:ind w:left="964" w:firstLine="0"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5"/>
        <w:autoSpaceDE w:val="0"/>
        <w:autoSpaceDN w:val="0"/>
        <w:spacing w:line="360" w:lineRule="auto"/>
        <w:ind w:left="964" w:firstLine="0" w:firstLineChars="0"/>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28.1.5    响应文件内容模糊不清，无法辨认的；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 xml:space="preserve">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1"/>
        <w:numPr>
          <w:ilvl w:val="1"/>
          <w:numId w:val="14"/>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5"/>
        <w:numPr>
          <w:ilvl w:val="1"/>
          <w:numId w:val="14"/>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lang w:eastAsia="zh-CN"/>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hint="eastAsia" w:ascii="ˎ̥" w:hAnsi="ˎ̥" w:eastAsiaTheme="minorEastAsia"/>
          <w:lang w:eastAsia="zh-CN"/>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5"/>
        <w:numPr>
          <w:ilvl w:val="1"/>
          <w:numId w:val="14"/>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5"/>
        <w:numPr>
          <w:ilvl w:val="1"/>
          <w:numId w:val="14"/>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5"/>
        <w:numPr>
          <w:ilvl w:val="1"/>
          <w:numId w:val="14"/>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5"/>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w:t>
      </w:r>
      <w:r>
        <w:rPr>
          <w:rFonts w:hint="eastAsia" w:ascii="ˎ̥" w:hAnsi="ˎ̥"/>
          <w:lang w:eastAsia="zh-CN"/>
        </w:rPr>
        <w:t>提出</w:t>
      </w:r>
      <w:r>
        <w:rPr>
          <w:rFonts w:hint="eastAsia" w:ascii="ˎ̥" w:hAnsi="ˎ̥"/>
          <w:lang w:val="en-US" w:eastAsia="zh-CN"/>
        </w:rPr>
        <w:t>3</w:t>
      </w:r>
      <w:r>
        <w:rPr>
          <w:rFonts w:ascii="ˎ̥" w:hAnsi="ˎ̥"/>
        </w:rPr>
        <w:t>名成交候选人，并编写评审报告。</w:t>
      </w:r>
    </w:p>
    <w:p>
      <w:pPr>
        <w:tabs>
          <w:tab w:val="left" w:pos="1260"/>
        </w:tabs>
        <w:autoSpaceDE w:val="0"/>
        <w:autoSpaceDN w:val="0"/>
        <w:spacing w:line="360" w:lineRule="auto"/>
        <w:contextualSpacing/>
        <w:jc w:val="both"/>
        <w:rPr>
          <w:rFonts w:cs="宋体" w:asciiTheme="minorEastAsia" w:hAnsiTheme="minorEastAsia"/>
          <w:b/>
          <w:kern w:val="0"/>
          <w:szCs w:val="21"/>
        </w:rPr>
      </w:pPr>
    </w:p>
    <w:p>
      <w:pPr>
        <w:numPr>
          <w:ilvl w:val="0"/>
          <w:numId w:val="19"/>
        </w:numPr>
        <w:tabs>
          <w:tab w:val="left" w:pos="1260"/>
        </w:tabs>
        <w:autoSpaceDE w:val="0"/>
        <w:autoSpaceDN w:val="0"/>
        <w:spacing w:line="360" w:lineRule="auto"/>
        <w:contextualSpacing/>
        <w:jc w:val="center"/>
        <w:rPr>
          <w:rFonts w:hint="eastAsia" w:cs="宋体" w:asciiTheme="minorEastAsia" w:hAnsiTheme="minorEastAsia"/>
          <w:b/>
          <w:kern w:val="0"/>
          <w:szCs w:val="21"/>
        </w:rPr>
      </w:pPr>
      <w:r>
        <w:rPr>
          <w:rFonts w:hint="eastAsia" w:cs="宋体" w:asciiTheme="minorEastAsia" w:hAnsiTheme="minorEastAsia"/>
          <w:b/>
          <w:kern w:val="0"/>
          <w:szCs w:val="21"/>
        </w:rPr>
        <w:t>确定成交供应商和授予合同</w:t>
      </w:r>
    </w:p>
    <w:p>
      <w:pPr>
        <w:numPr>
          <w:ilvl w:val="0"/>
          <w:numId w:val="0"/>
        </w:numPr>
        <w:tabs>
          <w:tab w:val="left" w:pos="1260"/>
        </w:tabs>
        <w:autoSpaceDE w:val="0"/>
        <w:autoSpaceDN w:val="0"/>
        <w:spacing w:line="360" w:lineRule="auto"/>
        <w:contextualSpacing/>
        <w:jc w:val="both"/>
        <w:rPr>
          <w:rFonts w:hint="eastAsia" w:cs="宋体" w:asciiTheme="minorEastAsia" w:hAnsiTheme="minorEastAsia"/>
          <w:b/>
          <w:kern w:val="0"/>
          <w:szCs w:val="21"/>
        </w:rPr>
      </w:pP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5"/>
        <w:numPr>
          <w:ilvl w:val="0"/>
          <w:numId w:val="20"/>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5"/>
        <w:numPr>
          <w:ilvl w:val="1"/>
          <w:numId w:val="21"/>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5"/>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5"/>
        <w:numPr>
          <w:ilvl w:val="0"/>
          <w:numId w:val="14"/>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5"/>
        <w:numPr>
          <w:ilvl w:val="1"/>
          <w:numId w:val="14"/>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5"/>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5"/>
        <w:numPr>
          <w:ilvl w:val="0"/>
          <w:numId w:val="2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5"/>
        <w:numPr>
          <w:ilvl w:val="1"/>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5"/>
        <w:numPr>
          <w:ilvl w:val="1"/>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5"/>
        <w:numPr>
          <w:ilvl w:val="0"/>
          <w:numId w:val="2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5"/>
        <w:numPr>
          <w:ilvl w:val="0"/>
          <w:numId w:val="23"/>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5"/>
        <w:numPr>
          <w:ilvl w:val="1"/>
          <w:numId w:val="2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5"/>
        <w:numPr>
          <w:ilvl w:val="0"/>
          <w:numId w:val="2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5"/>
        <w:numPr>
          <w:ilvl w:val="1"/>
          <w:numId w:val="2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szCs w:val="21"/>
              </w:rPr>
              <w:t>www.creditchina.gov.cn</w:t>
            </w:r>
            <w:r>
              <w:rPr>
                <w:rStyle w:val="28"/>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cs="仿宋_GB2312" w:asciiTheme="minorEastAsia" w:hAnsiTheme="minorEastAsia"/>
                <w:color w:val="000000"/>
                <w:szCs w:val="21"/>
                <w:lang w:val="en-US" w:eastAsia="zh-CN"/>
              </w:rPr>
            </w:pPr>
            <w:r>
              <w:rPr>
                <w:rFonts w:hint="eastAsia" w:cs="仿宋_GB2312" w:asciiTheme="minorEastAsia" w:hAnsiTheme="minorEastAsia"/>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hint="eastAsia" w:asciiTheme="minorEastAsia" w:hAnsiTheme="minorEastAsia" w:eastAsiaTheme="minorEastAsia"/>
                <w:szCs w:val="21"/>
                <w:lang w:eastAsia="zh-CN"/>
              </w:rPr>
            </w:pPr>
            <w:r>
              <w:rPr>
                <w:rFonts w:hint="eastAsia" w:asciiTheme="minorEastAsia" w:hAnsiTheme="minorEastAsia"/>
                <w:b/>
                <w:szCs w:val="21"/>
                <w:lang w:eastAsia="zh-CN"/>
              </w:rPr>
              <w:t>投标承诺函</w:t>
            </w:r>
          </w:p>
        </w:tc>
        <w:tc>
          <w:tcPr>
            <w:tcW w:w="5954" w:type="dxa"/>
            <w:vAlign w:val="center"/>
          </w:tcPr>
          <w:p>
            <w:pPr>
              <w:spacing w:line="360" w:lineRule="auto"/>
              <w:rPr>
                <w:rFonts w:hint="eastAsia" w:asciiTheme="minorEastAsia" w:hAnsiTheme="minorEastAsia" w:eastAsiaTheme="minorEastAsia"/>
                <w:b/>
                <w:szCs w:val="21"/>
                <w:lang w:eastAsia="zh-CN"/>
              </w:rPr>
            </w:pPr>
            <w:r>
              <w:rPr>
                <w:rFonts w:hint="eastAsia" w:cs="仿宋_GB2312" w:asciiTheme="minorEastAsia" w:hAnsiTheme="minorEastAsia"/>
                <w:szCs w:val="21"/>
                <w:lang w:val="zh-CN" w:eastAsia="zh-CN"/>
              </w:rPr>
              <w:t>是否按照谈判文件要求在谈判文件中做出承诺。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13</w:t>
            </w:r>
          </w:p>
        </w:tc>
        <w:tc>
          <w:tcPr>
            <w:tcW w:w="2410"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供应商身份证明及授权</w:t>
            </w:r>
          </w:p>
        </w:tc>
        <w:tc>
          <w:tcPr>
            <w:tcW w:w="5954" w:type="dxa"/>
          </w:tcPr>
          <w:p>
            <w:pPr>
              <w:spacing w:line="360" w:lineRule="auto"/>
              <w:rPr>
                <w:rFonts w:hint="eastAsia"/>
                <w:lang w:val="zh-CN"/>
              </w:rPr>
            </w:pPr>
            <w:r>
              <w:rPr>
                <w:rFonts w:hint="eastAsia"/>
                <w:lang w:val="zh-CN"/>
              </w:rPr>
              <w:t>（1）法定代表人身份证明或提供法定代表人授权委托书及被授权人身份证明和社保证明。（法人提供）</w:t>
            </w:r>
          </w:p>
          <w:p>
            <w:pPr>
              <w:spacing w:line="360" w:lineRule="auto"/>
              <w:rPr>
                <w:rFonts w:hint="eastAsia"/>
                <w:lang w:val="zh-CN"/>
              </w:rPr>
            </w:pPr>
            <w:r>
              <w:rPr>
                <w:rFonts w:hint="eastAsia"/>
                <w:lang w:val="zh-CN"/>
              </w:rPr>
              <w:t>（2）单位负责人身份证明或提供单位负责人授权委托书及被授权人身份证明和社保证明。（非法人提供）</w:t>
            </w:r>
          </w:p>
          <w:p>
            <w:pPr>
              <w:spacing w:line="360" w:lineRule="auto"/>
              <w:rPr>
                <w:rFonts w:hint="eastAsia"/>
                <w:lang w:val="zh-CN"/>
              </w:rPr>
            </w:pPr>
            <w:r>
              <w:rPr>
                <w:rFonts w:hint="eastAsia"/>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hint="eastAsia"/>
                <w:lang w:val="zh-CN"/>
              </w:rPr>
            </w:pPr>
            <w:r>
              <w:rPr>
                <w:rFonts w:hint="eastAsia"/>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hint="eastAsia"/>
                <w:lang w:val="zh-CN"/>
              </w:rPr>
            </w:pPr>
            <w:r>
              <w:rPr>
                <w:rFonts w:hint="eastAsia"/>
                <w:lang w:val="zh-CN"/>
              </w:rPr>
              <w:t>③供应商为自然人的，无需填写法定代表人授权书。</w:t>
            </w:r>
          </w:p>
          <w:p>
            <w:pPr>
              <w:pStyle w:val="2"/>
              <w:rPr>
                <w:rFonts w:hint="eastAsia"/>
                <w:lang w:val="zh-CN"/>
              </w:rPr>
            </w:pPr>
            <w:r>
              <w:rPr>
                <w:rFonts w:hint="eastAsia"/>
                <w:lang w:val="zh-CN"/>
              </w:rPr>
              <w:t>注：社保查询登录网站：http//222.143.34.121/查询  个人办事通道—马上注册—登录—查询打印—证明打印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4"/>
        <w:numPr>
          <w:ilvl w:val="0"/>
          <w:numId w:val="24"/>
        </w:numPr>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4"/>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1"/>
        <w:spacing w:before="75" w:after="75" w:line="360" w:lineRule="auto"/>
        <w:rPr>
          <w:rFonts w:ascii="宋体" w:hAnsi="宋体" w:eastAsia="微软雅黑"/>
          <w:color w:val="000000"/>
          <w:u w:val="single"/>
        </w:rPr>
      </w:pPr>
    </w:p>
    <w:p>
      <w:pPr>
        <w:pStyle w:val="14"/>
        <w:spacing w:line="360" w:lineRule="auto"/>
        <w:contextualSpacing/>
        <w:jc w:val="center"/>
        <w:rPr>
          <w:rFonts w:cs="宋体" w:asciiTheme="majorEastAsia" w:hAnsiTheme="majorEastAsia" w:eastAsiaTheme="majorEastAsia"/>
          <w:b/>
          <w:kern w:val="0"/>
          <w:sz w:val="36"/>
          <w:szCs w:val="36"/>
        </w:rPr>
      </w:pPr>
    </w:p>
    <w:p>
      <w:pPr>
        <w:pStyle w:val="5"/>
        <w:spacing w:line="500" w:lineRule="exact"/>
        <w:jc w:val="center"/>
        <w:rPr>
          <w:rFonts w:hint="eastAsia" w:ascii="仿宋" w:hAnsi="仿宋" w:eastAsia="仿宋"/>
          <w:bCs w:val="0"/>
          <w:color w:val="000000"/>
          <w:sz w:val="24"/>
          <w:szCs w:val="24"/>
        </w:rPr>
      </w:pPr>
      <w:bookmarkStart w:id="0" w:name="_Toc356744034"/>
      <w:bookmarkStart w:id="1" w:name="_Toc354404029"/>
      <w:bookmarkStart w:id="2" w:name="_Toc354923119"/>
      <w:bookmarkStart w:id="3" w:name="_Toc355649942"/>
      <w:bookmarkStart w:id="4" w:name="_Toc357868214"/>
      <w:bookmarkStart w:id="5" w:name="_Toc354922980"/>
      <w:bookmarkStart w:id="6" w:name="_Toc329278149"/>
      <w:bookmarkStart w:id="7" w:name="_Toc364457259"/>
      <w:bookmarkStart w:id="8" w:name="_Toc326060505"/>
      <w:r>
        <w:rPr>
          <w:rFonts w:hint="eastAsia" w:ascii="仿宋" w:hAnsi="仿宋" w:eastAsia="仿宋"/>
          <w:bCs w:val="0"/>
          <w:color w:val="000000"/>
          <w:sz w:val="24"/>
          <w:szCs w:val="24"/>
        </w:rPr>
        <w:t>一、词语定义及合同文件</w:t>
      </w:r>
      <w:bookmarkEnd w:id="0"/>
      <w:bookmarkEnd w:id="1"/>
      <w:bookmarkEnd w:id="2"/>
      <w:bookmarkEnd w:id="3"/>
      <w:bookmarkEnd w:id="4"/>
      <w:bookmarkEnd w:id="5"/>
      <w:bookmarkEnd w:id="6"/>
      <w:bookmarkEnd w:id="7"/>
      <w:bookmarkEnd w:id="8"/>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1、合同文件及解释顺序</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合同文件组成及解释顺序:       按照通用条款执行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2、语言文字和适用法律、标准及规范</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2．1本合同除使用汉语外，还使用       无                  语言文字。</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2．2适用法律和法规</w:t>
      </w:r>
    </w:p>
    <w:p>
      <w:pPr>
        <w:spacing w:line="500" w:lineRule="exact"/>
        <w:ind w:firstLine="482"/>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需要明示的法律、行政法规:  国家及省、市的法律、法规、规章、规范性文件及协议条款约定的规章。</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2．3适用标准、规范</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适用标准、规范的名称:</w:t>
      </w:r>
    </w:p>
    <w:p>
      <w:pPr>
        <w:numPr>
          <w:ilvl w:val="1"/>
          <w:numId w:val="25"/>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工程设计要求</w:t>
      </w:r>
    </w:p>
    <w:p>
      <w:pPr>
        <w:numPr>
          <w:ilvl w:val="1"/>
          <w:numId w:val="25"/>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国家、河南省、许昌市现行有关工程的施工及验收规定、规程和标准</w:t>
      </w:r>
    </w:p>
    <w:p>
      <w:pPr>
        <w:numPr>
          <w:ilvl w:val="1"/>
          <w:numId w:val="25"/>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对不在规范验评范围内项目，执行设计院、制造厂家或发包人和承包人双方议定的补充技术标准及本标书的施工技术要求；</w:t>
      </w:r>
    </w:p>
    <w:p>
      <w:pPr>
        <w:numPr>
          <w:ilvl w:val="1"/>
          <w:numId w:val="25"/>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新材料、新工艺必须具有省级以上行业主管部门技术鉴定并须征得发包人和监理单位同意。</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发包人提供标准、规范的时间: 无。</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国内没有相应标准、规范时的约定: 由承包人提供并经发包人和设计单位认可后执行。</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3、图纸</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3．1发包人向承包人提供图纸日期和套数: 合同约定。</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 2发包人对图纸的保密要求: 施工图纸应保密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3. 3使用国外图纸的要求及费用承担:  无  </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9" w:name="_Toc354923120"/>
      <w:bookmarkStart w:id="10" w:name="_Toc354922981"/>
      <w:bookmarkStart w:id="11" w:name="_Toc329278150"/>
      <w:bookmarkStart w:id="12" w:name="_Toc357868215"/>
      <w:bookmarkStart w:id="13" w:name="_Toc355649943"/>
      <w:bookmarkStart w:id="14" w:name="_Toc326060506"/>
      <w:bookmarkStart w:id="15" w:name="_Toc364457260"/>
      <w:bookmarkStart w:id="16" w:name="_Toc356744035"/>
      <w:bookmarkStart w:id="17" w:name="_Toc354404030"/>
      <w:r>
        <w:rPr>
          <w:rFonts w:hint="eastAsia" w:cs="宋体" w:asciiTheme="minorEastAsia" w:hAnsiTheme="minorEastAsia" w:eastAsiaTheme="minorEastAsia"/>
          <w:kern w:val="0"/>
          <w:sz w:val="21"/>
          <w:szCs w:val="21"/>
          <w:lang w:val="en-US" w:eastAsia="zh-CN" w:bidi="ar-SA"/>
        </w:rPr>
        <w:t>二、双方一般权利和义务</w:t>
      </w:r>
      <w:bookmarkEnd w:id="9"/>
      <w:bookmarkEnd w:id="10"/>
      <w:bookmarkEnd w:id="11"/>
      <w:bookmarkEnd w:id="12"/>
      <w:bookmarkEnd w:id="13"/>
      <w:bookmarkEnd w:id="14"/>
      <w:bookmarkEnd w:id="15"/>
      <w:bookmarkEnd w:id="16"/>
      <w:bookmarkEnd w:id="17"/>
    </w:p>
    <w:p>
      <w:pPr>
        <w:pStyle w:val="14"/>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4．工程师</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4．1监理单位委派的工程师</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pStyle w:val="60"/>
        <w:spacing w:line="500" w:lineRule="exact"/>
        <w:ind w:left="0" w:right="9"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发包人委托的职权: 按《建设工程监理规范》(GB50319-2000)执行</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4．2发包人派驻的工程师</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职权: 全权负责施工现场的管理和协调工作，并代表发包人对施工中所用材料(设备)的质量进行检验。</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4．3不实行监理的，工程师的职权: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5．项目经理(建造师)</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姓名:  (中标项目经理/建造师)      职务:  (待定)  _</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6、发包人工作</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6．1发包人应按约定的时间和要求完成以下工作:</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(1)施工场地具备施工条件的要求及完成的时间： 合同签订后7日内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(2)将施工所需的水、电、电讯线路接至施工场地的时间、地点和供应要求：施工所需的水、电、电讯线路已经具备条件，施工中所产生的费用由承包人负担。</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(3)施工场地与道路的通道开通时间和要求: 已具备。</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(4)工程地质和地下管线资料的提供时间：合同签订日。</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(5)由发包人办理的施工所需证件、批件的名称和完成时间:  合同开工日期前，由承包方负责办理进场的相关手续，发包方配合。</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(6)水准点与坐标控制点交验要求：合同开工日期前7天。</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(7)图纸会审和设计交底时间: 合同开工日期前7天。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(8)双方约定发包人应做的其他工作：      无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6．2发包人委托承包人办理的工作：       无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7．承包人工作</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招标范围，具体有招标人与中标人协商                    。</w:t>
      </w:r>
    </w:p>
    <w:p>
      <w:pPr>
        <w:pStyle w:val="14"/>
        <w:spacing w:line="500" w:lineRule="exact"/>
        <w:ind w:left="338" w:leftChars="86" w:hanging="157" w:hangingChars="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7．1承包人应按约定时间和要求，完成以下工作:</w:t>
      </w:r>
    </w:p>
    <w:p>
      <w:pPr>
        <w:pStyle w:val="14"/>
        <w:numPr>
          <w:ilvl w:val="0"/>
          <w:numId w:val="26"/>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需自设计资质等级和业务范围允许的承包人完成的设计文件提交时间：          无      </w:t>
      </w:r>
    </w:p>
    <w:p>
      <w:pPr>
        <w:pStyle w:val="14"/>
        <w:numPr>
          <w:ilvl w:val="0"/>
          <w:numId w:val="26"/>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应提供计划、报表的名称及完成时间:</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开工前7日提交施工组织设计、总进度计划、施工机械和人员使用计划、主要材料供应计划。</w:t>
      </w:r>
    </w:p>
    <w:p>
      <w:pPr>
        <w:pStyle w:val="14"/>
        <w:numPr>
          <w:ilvl w:val="0"/>
          <w:numId w:val="26"/>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承担施工安全保卫工作及非夜间施工照明的责任和要求:设专职安全保卫人员和安全防护设施，负责施工现场安全保卫，费用自理。</w:t>
      </w:r>
    </w:p>
    <w:p>
      <w:pPr>
        <w:pStyle w:val="14"/>
        <w:numPr>
          <w:ilvl w:val="0"/>
          <w:numId w:val="26"/>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向发包人提供的办公和生活房屋及设施的要求:  无   </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需承包人办理的有关施工场地交通、住建、环卫和施工噪音管理等手续: 按照国家、省、市、县有关规定执行。</w:t>
      </w:r>
    </w:p>
    <w:p>
      <w:pPr>
        <w:pStyle w:val="14"/>
        <w:numPr>
          <w:ilvl w:val="0"/>
          <w:numId w:val="26"/>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完工工程成品保护的特殊要求及费用承担:由承包人负责。</w:t>
      </w:r>
    </w:p>
    <w:p>
      <w:pPr>
        <w:pStyle w:val="14"/>
        <w:numPr>
          <w:ilvl w:val="0"/>
          <w:numId w:val="26"/>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施工场地周围地下管线和邻近建筑物、构筑物(含文物保护建筑)、古树名木的保护要求及费用承担: 按照按照国家、省、市有关规定和投标文件的有关承诺执行。由于承包人造成的一切损失由承包人承担。</w:t>
      </w:r>
    </w:p>
    <w:p>
      <w:pPr>
        <w:pStyle w:val="14"/>
        <w:numPr>
          <w:ilvl w:val="0"/>
          <w:numId w:val="26"/>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施工现场清洁卫生的要求：按通用条款，保证每日清理，符合当地有关文明施工的规定，费用由承包方承担。</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pPr>
        <w:pStyle w:val="14"/>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pPr>
        <w:pStyle w:val="14"/>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(10)按计划完成施工任务。</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18" w:name="_Toc326060507"/>
      <w:bookmarkStart w:id="19" w:name="_Toc364457261"/>
      <w:bookmarkStart w:id="20" w:name="_Toc357868216"/>
      <w:bookmarkStart w:id="21" w:name="_Toc354404031"/>
      <w:bookmarkStart w:id="22" w:name="_Toc354922982"/>
      <w:bookmarkStart w:id="23" w:name="_Toc356744036"/>
      <w:bookmarkStart w:id="24" w:name="_Toc354923121"/>
      <w:bookmarkStart w:id="25" w:name="_Toc355649944"/>
      <w:bookmarkStart w:id="26" w:name="_Toc329278151"/>
      <w:r>
        <w:rPr>
          <w:rFonts w:hint="eastAsia" w:cs="宋体" w:asciiTheme="minorEastAsia" w:hAnsiTheme="minorEastAsia" w:eastAsiaTheme="minorEastAsia"/>
          <w:kern w:val="0"/>
          <w:sz w:val="21"/>
          <w:szCs w:val="21"/>
          <w:lang w:val="en-US" w:eastAsia="zh-CN" w:bidi="ar-SA"/>
        </w:rPr>
        <w:t>三、施工组织设计和工期</w:t>
      </w:r>
      <w:bookmarkEnd w:id="18"/>
      <w:bookmarkEnd w:id="19"/>
      <w:bookmarkEnd w:id="20"/>
      <w:bookmarkEnd w:id="21"/>
      <w:bookmarkEnd w:id="22"/>
      <w:bookmarkEnd w:id="23"/>
      <w:bookmarkEnd w:id="24"/>
      <w:bookmarkEnd w:id="25"/>
      <w:bookmarkEnd w:id="26"/>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8．进度计划</w:t>
      </w:r>
    </w:p>
    <w:p>
      <w:pPr>
        <w:pStyle w:val="14"/>
        <w:spacing w:line="500" w:lineRule="exact"/>
        <w:ind w:left="1012" w:leftChars="258" w:hanging="470" w:hanging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8．1承包人提供施工组织设计(施工方案)和进度计划的时间：合同开工日期前7天。工程师确认的时间：7个工作日</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8.2群体工程中有关进度计划的要求：    无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8.3如发包人需要调整施工顺序时，承包人应无条件响应，额外发生的费用视为已包含在合同价内。</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9．工期延误</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9.2由于承包人的原因造成工期延误，每延迟一天扣除工程款的     ‰。</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27" w:name="_Toc364457262"/>
      <w:bookmarkStart w:id="28" w:name="_Toc355649945"/>
      <w:bookmarkStart w:id="29" w:name="_Toc356744037"/>
      <w:bookmarkStart w:id="30" w:name="_Toc357868217"/>
      <w:bookmarkStart w:id="31" w:name="_Toc329278152"/>
      <w:bookmarkStart w:id="32" w:name="_Toc326060508"/>
      <w:bookmarkStart w:id="33" w:name="_Toc354923122"/>
      <w:bookmarkStart w:id="34" w:name="_Toc354922983"/>
      <w:bookmarkStart w:id="35" w:name="_Toc354404032"/>
      <w:r>
        <w:rPr>
          <w:rFonts w:hint="eastAsia" w:cs="宋体" w:asciiTheme="minorEastAsia" w:hAnsiTheme="minorEastAsia" w:eastAsiaTheme="minorEastAsia"/>
          <w:kern w:val="0"/>
          <w:sz w:val="21"/>
          <w:szCs w:val="21"/>
          <w:lang w:val="en-US" w:eastAsia="zh-CN" w:bidi="ar-SA"/>
        </w:rPr>
        <w:t>四、质量与验收</w:t>
      </w:r>
      <w:bookmarkEnd w:id="27"/>
      <w:bookmarkEnd w:id="28"/>
      <w:bookmarkEnd w:id="29"/>
      <w:bookmarkEnd w:id="30"/>
      <w:bookmarkEnd w:id="31"/>
      <w:bookmarkEnd w:id="32"/>
      <w:bookmarkEnd w:id="33"/>
      <w:bookmarkEnd w:id="34"/>
      <w:bookmarkEnd w:id="35"/>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10．隐蔽工程验收和执行规范及适用范围</w:t>
      </w:r>
    </w:p>
    <w:p>
      <w:pPr>
        <w:pStyle w:val="14"/>
        <w:numPr>
          <w:ilvl w:val="1"/>
          <w:numId w:val="27"/>
        </w:numPr>
        <w:spacing w:line="500" w:lineRule="exact"/>
        <w:ind w:hanging="27"/>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双方约定隐蔽工程验收部位：按照国家施工及验收规范要求的执行。</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10.2 适用范围：使用于本项目工程施工。</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36" w:name="_Toc356744038"/>
      <w:bookmarkStart w:id="37" w:name="_Toc326060509"/>
      <w:bookmarkStart w:id="38" w:name="_Toc364457263"/>
      <w:bookmarkStart w:id="39" w:name="_Toc354923123"/>
      <w:bookmarkStart w:id="40" w:name="_Toc355649946"/>
      <w:bookmarkStart w:id="41" w:name="_Toc354922984"/>
      <w:bookmarkStart w:id="42" w:name="_Toc357868218"/>
      <w:bookmarkStart w:id="43" w:name="_Toc354404033"/>
      <w:bookmarkStart w:id="44" w:name="_Toc329278153"/>
      <w:r>
        <w:rPr>
          <w:rFonts w:hint="eastAsia" w:cs="宋体" w:asciiTheme="minorEastAsia" w:hAnsiTheme="minorEastAsia" w:eastAsiaTheme="minorEastAsia"/>
          <w:kern w:val="0"/>
          <w:sz w:val="21"/>
          <w:szCs w:val="21"/>
          <w:lang w:val="en-US" w:eastAsia="zh-CN" w:bidi="ar-SA"/>
        </w:rPr>
        <w:t>五、安全施工</w:t>
      </w:r>
      <w:bookmarkEnd w:id="36"/>
      <w:bookmarkEnd w:id="37"/>
      <w:bookmarkEnd w:id="38"/>
      <w:bookmarkEnd w:id="39"/>
      <w:bookmarkEnd w:id="40"/>
      <w:bookmarkEnd w:id="41"/>
      <w:bookmarkEnd w:id="42"/>
      <w:bookmarkEnd w:id="43"/>
      <w:bookmarkEnd w:id="44"/>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按合同文本通用条款执行</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45" w:name="_Toc354922985"/>
      <w:bookmarkStart w:id="46" w:name="_Toc354404034"/>
      <w:bookmarkStart w:id="47" w:name="_Toc329278154"/>
      <w:bookmarkStart w:id="48" w:name="_Toc357868219"/>
      <w:bookmarkStart w:id="49" w:name="_Toc356744039"/>
      <w:bookmarkStart w:id="50" w:name="_Toc355649947"/>
      <w:bookmarkStart w:id="51" w:name="_Toc364457264"/>
      <w:bookmarkStart w:id="52" w:name="_Toc326060510"/>
      <w:bookmarkStart w:id="53" w:name="_Toc354923124"/>
      <w:r>
        <w:rPr>
          <w:rFonts w:hint="eastAsia" w:cs="宋体" w:asciiTheme="minorEastAsia" w:hAnsiTheme="minorEastAsia" w:eastAsiaTheme="minorEastAsia"/>
          <w:kern w:val="0"/>
          <w:sz w:val="21"/>
          <w:szCs w:val="21"/>
          <w:lang w:val="en-US" w:eastAsia="zh-CN" w:bidi="ar-SA"/>
        </w:rPr>
        <w:t>六、合同价款与支付</w:t>
      </w:r>
      <w:bookmarkEnd w:id="45"/>
      <w:bookmarkEnd w:id="46"/>
      <w:bookmarkEnd w:id="47"/>
      <w:bookmarkEnd w:id="48"/>
      <w:bookmarkEnd w:id="49"/>
      <w:bookmarkEnd w:id="50"/>
      <w:bookmarkEnd w:id="51"/>
      <w:bookmarkEnd w:id="52"/>
      <w:bookmarkEnd w:id="53"/>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11．合同价款及调整</w:t>
      </w:r>
    </w:p>
    <w:p>
      <w:pPr>
        <w:pStyle w:val="14"/>
        <w:spacing w:line="360" w:lineRule="auto"/>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pPr>
        <w:pStyle w:val="14"/>
        <w:spacing w:line="360" w:lineRule="auto"/>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当发生下列情况时，合同价可作调整：</w:t>
      </w:r>
    </w:p>
    <w:p>
      <w:pPr>
        <w:pStyle w:val="14"/>
        <w:numPr>
          <w:ilvl w:val="2"/>
          <w:numId w:val="28"/>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发包人相应部门签证后报主管领导批准后的工程变更及工程洽商；</w:t>
      </w:r>
    </w:p>
    <w:p>
      <w:pPr>
        <w:pStyle w:val="14"/>
        <w:numPr>
          <w:ilvl w:val="2"/>
          <w:numId w:val="28"/>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暂估价项目、暂估材料设备及发包人指定的产品价在实际发生前由发包人认可后，按实际发生予以调整，仅计取税金；</w:t>
      </w:r>
    </w:p>
    <w:p>
      <w:pPr>
        <w:pStyle w:val="14"/>
        <w:numPr>
          <w:ilvl w:val="2"/>
          <w:numId w:val="28"/>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发包人提供的地下管网、地下构筑物等资料与现场实际情况不符，而引起的工程处理费用增加，据实调整；</w:t>
      </w:r>
    </w:p>
    <w:p>
      <w:pPr>
        <w:pStyle w:val="14"/>
        <w:numPr>
          <w:ilvl w:val="2"/>
          <w:numId w:val="28"/>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法律、行政法规和国家有关政策变化影响合同价款。</w:t>
      </w:r>
    </w:p>
    <w:p>
      <w:pPr>
        <w:pStyle w:val="14"/>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11．2合同价款调整原则及方法：</w:t>
      </w:r>
    </w:p>
    <w:p>
      <w:pPr>
        <w:numPr>
          <w:ilvl w:val="0"/>
          <w:numId w:val="29"/>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增减工程量清单按11.1执行；</w:t>
      </w:r>
    </w:p>
    <w:p>
      <w:pPr>
        <w:numPr>
          <w:ilvl w:val="0"/>
          <w:numId w:val="29"/>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pPr>
        <w:numPr>
          <w:ilvl w:val="0"/>
          <w:numId w:val="29"/>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pPr>
        <w:pStyle w:val="61"/>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11．3双方约定合同价款的其他调整因素: 双方协商解决。</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12．工程付款</w:t>
      </w:r>
    </w:p>
    <w:p>
      <w:pPr>
        <w:pStyle w:val="14"/>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12．1工程款的支付方式：采取银行转帐结算的形式，由项目所属单位支付；</w:t>
      </w:r>
    </w:p>
    <w:p>
      <w:pPr>
        <w:pStyle w:val="14"/>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12．2设计变更和现场经济签证引起的费用在拨付进度款时暂不予考虑。</w:t>
      </w:r>
    </w:p>
    <w:p>
      <w:pPr>
        <w:pStyle w:val="14"/>
        <w:spacing w:line="500" w:lineRule="exact"/>
        <w:ind w:firstLine="577" w:firstLineChars="2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13.工程量增减</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因发包人或设计单位提出的设计变更，导致工程内容的任何变化，承包人均须无条件先执行，其工程量增减按实计算、综合单价按本合同专用条款有关规定执行。</w:t>
      </w:r>
    </w:p>
    <w:p>
      <w:pPr>
        <w:spacing w:line="500" w:lineRule="exact"/>
        <w:ind w:firstLine="499" w:firstLineChars="238"/>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 投标报价</w:t>
      </w:r>
    </w:p>
    <w:p>
      <w:pPr>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14.1 投标报价应包括招标文件所确定的招标范围内相应图纸的全部内容，以及为完成上述内容所必须的临时工程、材料、劳务及所需的全部费用；</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14.2 投标人应充分考虑施工期间政策和价格风险，以及所有根据合同或其它原因应由投标人支付的税金和其它应交纳的费用一并计入总报价，中标后不作调整；</w:t>
      </w:r>
    </w:p>
    <w:p>
      <w:pPr>
        <w:adjustRightInd w:val="0"/>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14.3 投标人只能提出一个不变价格，招标人不接受任何选择价。</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54" w:name="_Toc355649948"/>
      <w:bookmarkStart w:id="55" w:name="_Toc329278155"/>
      <w:bookmarkStart w:id="56" w:name="_Toc354404035"/>
      <w:bookmarkStart w:id="57" w:name="_Toc354923125"/>
      <w:bookmarkStart w:id="58" w:name="_Toc364457265"/>
      <w:bookmarkStart w:id="59" w:name="_Toc354922986"/>
      <w:bookmarkStart w:id="60" w:name="_Toc357868220"/>
      <w:bookmarkStart w:id="61" w:name="_Toc326060511"/>
      <w:bookmarkStart w:id="62" w:name="_Toc356744040"/>
      <w:r>
        <w:rPr>
          <w:rFonts w:hint="eastAsia" w:cs="宋体" w:asciiTheme="minorEastAsia" w:hAnsiTheme="minorEastAsia" w:eastAsiaTheme="minorEastAsia"/>
          <w:kern w:val="0"/>
          <w:sz w:val="21"/>
          <w:szCs w:val="21"/>
          <w:lang w:val="en-US" w:eastAsia="zh-CN" w:bidi="ar-SA"/>
        </w:rPr>
        <w:t>七、竣工验收与结算</w:t>
      </w:r>
      <w:bookmarkEnd w:id="54"/>
      <w:bookmarkEnd w:id="55"/>
      <w:bookmarkEnd w:id="56"/>
      <w:bookmarkEnd w:id="57"/>
      <w:bookmarkEnd w:id="58"/>
      <w:bookmarkEnd w:id="59"/>
      <w:bookmarkEnd w:id="60"/>
      <w:bookmarkEnd w:id="61"/>
      <w:bookmarkEnd w:id="62"/>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15．竣工验收</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15．1承包人提供竣工图的约定：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15．2中间交工工程的范围和竣工时间：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15．3竣工结算：审减金额超过报审金额10%时，超过部分审计费用由施工单位承担，并承担一定的违约责任。</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63" w:name="_Toc357868221"/>
      <w:bookmarkStart w:id="64" w:name="_Toc355649949"/>
      <w:bookmarkStart w:id="65" w:name="_Toc356744041"/>
      <w:bookmarkStart w:id="66" w:name="_Toc326060512"/>
      <w:bookmarkStart w:id="67" w:name="_Toc364457266"/>
      <w:bookmarkStart w:id="68" w:name="_Toc329278156"/>
      <w:bookmarkStart w:id="69" w:name="_Toc354404036"/>
      <w:bookmarkStart w:id="70" w:name="_Toc354923126"/>
      <w:bookmarkStart w:id="71" w:name="_Toc354922987"/>
      <w:r>
        <w:rPr>
          <w:rFonts w:hint="eastAsia" w:cs="宋体" w:asciiTheme="minorEastAsia" w:hAnsiTheme="minorEastAsia" w:eastAsiaTheme="minorEastAsia"/>
          <w:kern w:val="0"/>
          <w:sz w:val="21"/>
          <w:szCs w:val="21"/>
          <w:lang w:val="en-US" w:eastAsia="zh-CN" w:bidi="ar-SA"/>
        </w:rPr>
        <w:t>八、违约、索赔和争议</w:t>
      </w:r>
      <w:bookmarkEnd w:id="63"/>
      <w:bookmarkEnd w:id="64"/>
      <w:bookmarkEnd w:id="65"/>
      <w:bookmarkEnd w:id="66"/>
      <w:bookmarkEnd w:id="67"/>
      <w:bookmarkEnd w:id="68"/>
      <w:bookmarkEnd w:id="69"/>
      <w:bookmarkEnd w:id="70"/>
      <w:bookmarkEnd w:id="71"/>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16．违约</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16．1本合同中关于发包人违约的具体责任如下，</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本合同通用条款第24条约定发包人违约应承担的违约责任：甲方根据实际情况决定采取处罚措施。</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本合同通用条款第26.4款约定发包人违约应承担的违约责任: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本合同通用条款第33.3款约定发包人违约应承担的违约责任: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双方约定的发包人其他违约责任: 见补充条款。</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16．2本合同中关于承包人违约的具体责任如下:</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本合同通用条款第14.2款约定承包人违约承担的违约责任: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本合同通用条款第15.1款约定承包人违约应承担的违约责任: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双方约定的承包人其他违约责任: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17．争议</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17．1双方约定，在履行合同过程中产生争议时:</w:t>
      </w:r>
    </w:p>
    <w:p>
      <w:pPr>
        <w:pStyle w:val="14"/>
        <w:numPr>
          <w:ilvl w:val="0"/>
          <w:numId w:val="30"/>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双方本着友好协商方式解决。</w:t>
      </w:r>
    </w:p>
    <w:p>
      <w:pPr>
        <w:pStyle w:val="14"/>
        <w:numPr>
          <w:ilvl w:val="0"/>
          <w:numId w:val="30"/>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协商不成的，向  工程所在地  人民法院提起诉讼。</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72" w:name="_Toc329278157"/>
      <w:bookmarkStart w:id="73" w:name="_Toc326060513"/>
      <w:bookmarkStart w:id="74" w:name="_Toc356744042"/>
      <w:bookmarkStart w:id="75" w:name="_Toc354404037"/>
      <w:bookmarkStart w:id="76" w:name="_Toc355649950"/>
      <w:bookmarkStart w:id="77" w:name="_Toc354922988"/>
      <w:bookmarkStart w:id="78" w:name="_Toc354923127"/>
      <w:bookmarkStart w:id="79" w:name="_Toc357868222"/>
      <w:bookmarkStart w:id="80" w:name="_Toc364457267"/>
      <w:r>
        <w:rPr>
          <w:rFonts w:hint="eastAsia" w:cs="宋体" w:asciiTheme="minorEastAsia" w:hAnsiTheme="minorEastAsia" w:eastAsiaTheme="minorEastAsia"/>
          <w:kern w:val="0"/>
          <w:sz w:val="21"/>
          <w:szCs w:val="21"/>
          <w:lang w:val="en-US" w:eastAsia="zh-CN" w:bidi="ar-SA"/>
        </w:rPr>
        <w:t>九、其他</w:t>
      </w:r>
      <w:bookmarkEnd w:id="72"/>
      <w:bookmarkEnd w:id="73"/>
      <w:bookmarkEnd w:id="74"/>
      <w:bookmarkEnd w:id="75"/>
      <w:bookmarkEnd w:id="76"/>
      <w:bookmarkEnd w:id="77"/>
      <w:bookmarkEnd w:id="78"/>
      <w:bookmarkEnd w:id="79"/>
      <w:bookmarkEnd w:id="80"/>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18．工程分包</w:t>
      </w:r>
    </w:p>
    <w:p>
      <w:pPr>
        <w:pStyle w:val="11"/>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18．1本工程主体工程不允许分包。其他配套专业若确需分包，分包商须经得发包人同意。</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19．不可抗力</w:t>
      </w:r>
    </w:p>
    <w:p>
      <w:pPr>
        <w:pStyle w:val="11"/>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19．1双方关于不可抗力的约定:  所发生的工期相应顺延，但涉及的费用根据国家有关规定由双方分担。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20．保险</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20．1本工程双方约定投保内容如下:</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(l)发包人投保内容:      无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发包人委托承包人办理的保险事项:    无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(2)承包人投保内容:       无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21．担保</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21．1本工程双方约定担保事项如下:</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(l)发包人向承包人提供履约担保，担保方式为:    (待定)     担保合同作为本合同附件。</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(2)承包人向发包人提供履约担保，担保方式为:   中标人在接到中标通知书后10日内，按中标价的5%交纳履约保证金，以转账或电汇交纳至到招标人指定账户。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(3)双方约定的其他担保事项: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22．合同份数</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22．1双方约定合同副本份数:正本2份，副本4份</w:t>
      </w:r>
    </w:p>
    <w:p>
      <w:pPr>
        <w:pStyle w:val="14"/>
        <w:spacing w:line="500" w:lineRule="exact"/>
        <w:ind w:firstLine="470" w:firstLine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23．补充条款</w:t>
      </w:r>
    </w:p>
    <w:p>
      <w:pPr>
        <w:pStyle w:val="14"/>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审减金额超过报审金额10%时，超过部分审计费用由施工单位承担，并承担一定的违约责任。</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24．其他未尽事宜由双方协商后确定：</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(1)若承包方未达到双方约定的工程质量要求，承担其由此产生的一切责任。</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(2)经甲乙双方签字盖章后方可生效。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spacing w:line="360" w:lineRule="auto"/>
        <w:jc w:val="center"/>
        <w:outlineLvl w:val="1"/>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br w:type="page"/>
      </w:r>
    </w:p>
    <w:p>
      <w:pPr>
        <w:spacing w:line="440" w:lineRule="exact"/>
        <w:ind w:firstLine="482" w:firstLineChars="200"/>
        <w:jc w:val="center"/>
        <w:rPr>
          <w:rFonts w:hint="eastAsia" w:ascii="仿宋" w:hAnsi="仿宋" w:eastAsia="仿宋"/>
          <w:b/>
          <w:sz w:val="24"/>
          <w:szCs w:val="24"/>
        </w:rPr>
      </w:pPr>
      <w:r>
        <w:rPr>
          <w:rFonts w:hint="eastAsia" w:ascii="仿宋" w:hAnsi="仿宋" w:eastAsia="仿宋"/>
          <w:b/>
          <w:sz w:val="24"/>
          <w:szCs w:val="24"/>
        </w:rPr>
        <w:t>合同协议书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(发包人名称，以下简称“发包人” )为实施           (项目名称)，己接受                  (承包人名称，以下简称“承包人” )对该项目工程施工的投标。发包人和承包人共同达成如下协议。</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1．本协议书与下列文件一起构成合同文件：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(l)中标通知书；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(2)投标函及投标函附录；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(3)专用合同条款；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(4)通用合同条款；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(5)技术标准和要求；</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 已标价的工程量清单；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(7)图纸；</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(8)其他合同文件。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2．上述文件互相补充和解释，如有不明确或不一致之处，以合同约定次序在先者为准。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3．签约合同价：人民币(大写)                元(￥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4．承包人项目经理(建造师)：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5．工程质量符合                     标准。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6．承包人承诺按合同约定承担工程的实施、完成及缺陷修复。</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7．发包人承诺按合同约定的条件、时间和方式向承包人支付合同价款。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8．承包人应按照监理人指示开工，工期为      日历天。</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9．本协议书一式     份，合同双方各执      份。</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10.双方签字盖章后生效。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11．合同未尽事宜，双方另行签订补充协议。补充协议是合同的组成部分。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承包人：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kern w:val="0"/>
          <w:sz w:val="28"/>
          <w:szCs w:val="28"/>
          <w:lang w:eastAsia="zh-CN"/>
        </w:rPr>
        <w:t>第一次</w:t>
      </w:r>
      <w:r>
        <w:rPr>
          <w:rFonts w:hint="eastAsia" w:asciiTheme="majorEastAsia" w:hAnsiTheme="majorEastAsia" w:eastAsiaTheme="majorEastAsia"/>
          <w:b/>
          <w:snapToGrid w:val="0"/>
          <w:kern w:val="0"/>
          <w:sz w:val="28"/>
          <w:szCs w:val="28"/>
        </w:rPr>
        <w:t>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kern w:val="0"/>
          <w:sz w:val="36"/>
          <w:szCs w:val="36"/>
        </w:rPr>
      </w:pPr>
      <w:r>
        <w:rPr>
          <w:rFonts w:hint="eastAsia" w:cs="黑体" w:asciiTheme="minorEastAsia" w:hAnsiTheme="minorEastAsia"/>
          <w:b/>
          <w:bCs/>
          <w:sz w:val="28"/>
          <w:szCs w:val="28"/>
          <w:lang w:val="zh-CN"/>
        </w:rPr>
        <w:t>三、资格审查证明材料</w:t>
      </w:r>
    </w:p>
    <w:p>
      <w:pPr>
        <w:pStyle w:val="14"/>
        <w:spacing w:line="360" w:lineRule="auto"/>
        <w:jc w:val="both"/>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780" w:firstLineChars="180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7"/>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7"/>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50"/>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9"/>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1"/>
        <w:keepNext w:val="0"/>
        <w:keepLines w:val="0"/>
        <w:pageBreakBefore w:val="0"/>
        <w:widowControl/>
        <w:shd w:val="clear" w:color="auto" w:fill="FFFFFF"/>
        <w:kinsoku/>
        <w:wordWrap/>
        <w:overflowPunct/>
        <w:topLinePunct w:val="0"/>
        <w:autoSpaceDE/>
        <w:autoSpaceDN/>
        <w:bidi w:val="0"/>
        <w:adjustRightInd/>
        <w:snapToGrid/>
        <w:spacing w:after="300" w:line="360" w:lineRule="auto"/>
        <w:ind w:firstLine="420" w:firstLineChars="200"/>
        <w:textAlignment w:val="auto"/>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1"/>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1"/>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1"/>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pStyle w:val="29"/>
        <w:rPr>
          <w:rFonts w:hint="eastAsia" w:cs="黑体" w:asciiTheme="minorEastAsia" w:hAnsiTheme="minorEastAsia"/>
          <w:b/>
          <w:bCs/>
          <w:sz w:val="28"/>
          <w:szCs w:val="28"/>
          <w:lang w:val="zh-CN"/>
        </w:rPr>
      </w:pPr>
    </w:p>
    <w:p>
      <w:pPr>
        <w:pStyle w:val="29"/>
        <w:rPr>
          <w:rFonts w:hint="eastAsia" w:cs="黑体" w:asciiTheme="minorEastAsia" w:hAnsiTheme="minorEastAsia"/>
          <w:b/>
          <w:bCs/>
          <w:sz w:val="28"/>
          <w:szCs w:val="28"/>
          <w:lang w:val="zh-CN"/>
        </w:rPr>
      </w:pPr>
    </w:p>
    <w:p>
      <w:pPr>
        <w:pStyle w:val="29"/>
        <w:rPr>
          <w:rFonts w:hint="eastAsia" w:cs="黑体" w:asciiTheme="minorEastAsia" w:hAnsiTheme="minorEastAsia"/>
          <w:b/>
          <w:bCs/>
          <w:sz w:val="28"/>
          <w:szCs w:val="28"/>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numPr>
          <w:ilvl w:val="0"/>
          <w:numId w:val="32"/>
        </w:numPr>
        <w:autoSpaceDE w:val="0"/>
        <w:autoSpaceDN w:val="0"/>
        <w:adjustRightInd w:val="0"/>
        <w:spacing w:line="360" w:lineRule="auto"/>
        <w:jc w:val="center"/>
        <w:rPr>
          <w:rFonts w:hint="eastAsia" w:cs="黑体" w:asciiTheme="minorEastAsia" w:hAnsiTheme="minorEastAsia"/>
          <w:b/>
          <w:bCs/>
          <w:sz w:val="28"/>
          <w:szCs w:val="28"/>
          <w:lang w:val="zh-CN"/>
        </w:rPr>
      </w:pPr>
      <w:r>
        <w:rPr>
          <w:rFonts w:hint="eastAsia" w:cs="黑体" w:asciiTheme="minorEastAsia" w:hAnsiTheme="minorEastAsia"/>
          <w:b/>
          <w:bCs/>
          <w:sz w:val="28"/>
          <w:szCs w:val="28"/>
          <w:lang w:val="zh-CN"/>
        </w:rPr>
        <w:t>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4</w:t>
      </w:r>
      <w:r>
        <w:rPr>
          <w:rFonts w:hint="eastAsia" w:ascii="宋体" w:hAnsi="宋体"/>
          <w:b/>
          <w:bCs/>
          <w:color w:val="000000"/>
          <w:sz w:val="24"/>
          <w:szCs w:val="24"/>
        </w:rPr>
        <w:t xml:space="preserve">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5</w:t>
      </w:r>
      <w:r>
        <w:rPr>
          <w:rFonts w:hint="eastAsia" w:ascii="宋体" w:hAnsi="宋体"/>
          <w:b/>
          <w:bCs/>
          <w:color w:val="000000"/>
          <w:sz w:val="24"/>
          <w:szCs w:val="24"/>
        </w:rPr>
        <w:t xml:space="preserve">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hint="eastAsia" w:ascii="宋体" w:hAnsi="宋体"/>
          <w:b/>
          <w:bCs/>
          <w:color w:val="000000"/>
          <w:sz w:val="24"/>
          <w:szCs w:val="24"/>
        </w:rPr>
      </w:pPr>
      <w:bookmarkStart w:id="81" w:name="OLE_LINK13"/>
      <w:bookmarkStart w:id="82" w:name="OLE_LINK14"/>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6</w:t>
      </w:r>
      <w:r>
        <w:rPr>
          <w:rFonts w:hint="eastAsia" w:ascii="宋体" w:hAnsi="宋体"/>
          <w:b/>
          <w:bCs/>
          <w:color w:val="000000"/>
          <w:sz w:val="24"/>
          <w:szCs w:val="24"/>
        </w:rPr>
        <w:t xml:space="preserve"> 残疾人福利性单位声明函</w:t>
      </w:r>
    </w:p>
    <w:bookmarkEnd w:id="81"/>
    <w:bookmarkEnd w:id="82"/>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7</w:t>
      </w:r>
      <w:r>
        <w:rPr>
          <w:rFonts w:hint="eastAsia" w:ascii="宋体" w:hAnsi="宋体"/>
          <w:b/>
          <w:bCs/>
          <w:color w:val="000000"/>
          <w:sz w:val="24"/>
          <w:szCs w:val="24"/>
        </w:rPr>
        <w:t xml:space="preserve">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spacing w:line="500" w:lineRule="exact"/>
        <w:outlineLvl w:val="0"/>
        <w:rPr>
          <w:rFonts w:hint="eastAsia" w:ascii="仿宋" w:hAnsi="仿宋" w:eastAsia="仿宋" w:cs="仿宋"/>
          <w:sz w:val="24"/>
          <w:szCs w:val="24"/>
        </w:rPr>
      </w:pPr>
      <w:r>
        <w:rPr>
          <w:rFonts w:hint="eastAsia" w:ascii="仿宋" w:hAnsi="仿宋" w:eastAsia="仿宋" w:cs="仿宋"/>
          <w:sz w:val="24"/>
          <w:szCs w:val="24"/>
        </w:rPr>
        <w:t xml:space="preserve">          </w:t>
      </w:r>
    </w:p>
    <w:p>
      <w:pPr>
        <w:spacing w:line="500" w:lineRule="exact"/>
        <w:outlineLvl w:val="0"/>
        <w:rPr>
          <w:rFonts w:hint="eastAsia" w:ascii="仿宋" w:hAnsi="仿宋" w:eastAsia="仿宋" w:cs="仿宋"/>
          <w:sz w:val="24"/>
          <w:szCs w:val="24"/>
        </w:rPr>
      </w:pPr>
    </w:p>
    <w:p>
      <w:pPr>
        <w:spacing w:line="500" w:lineRule="exact"/>
        <w:outlineLvl w:val="0"/>
        <w:rPr>
          <w:rFonts w:hint="eastAsia" w:ascii="仿宋" w:hAnsi="仿宋" w:eastAsia="仿宋" w:cs="仿宋"/>
          <w:b/>
          <w:sz w:val="24"/>
          <w:szCs w:val="24"/>
        </w:rPr>
      </w:pPr>
      <w:r>
        <w:rPr>
          <w:rFonts w:hint="eastAsia" w:ascii="仿宋" w:hAnsi="仿宋" w:eastAsia="仿宋" w:cs="仿宋"/>
          <w:sz w:val="24"/>
          <w:szCs w:val="24"/>
        </w:rPr>
        <w:t xml:space="preserve">                 </w:t>
      </w: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
    <w:altName w:val="Arial"/>
    <w:panose1 w:val="020B0604020202020204"/>
    <w:charset w:val="00"/>
    <w:family w:val="decorative"/>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华文隶书">
    <w:panose1 w:val="02010800040101010101"/>
    <w:charset w:val="86"/>
    <w:family w:val="auto"/>
    <w:pitch w:val="default"/>
    <w:sig w:usb0="00000001" w:usb1="080F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7"/>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54E63"/>
    <w:multiLevelType w:val="singleLevel"/>
    <w:tmpl w:val="99054E63"/>
    <w:lvl w:ilvl="0" w:tentative="0">
      <w:start w:val="3"/>
      <w:numFmt w:val="chineseCounting"/>
      <w:suff w:val="nothing"/>
      <w:lvlText w:val="%1、"/>
      <w:lvlJc w:val="left"/>
      <w:rPr>
        <w:rFonts w:hint="eastAsia"/>
      </w:rPr>
    </w:lvl>
  </w:abstractNum>
  <w:abstractNum w:abstractNumId="1">
    <w:nsid w:val="C99CD7DB"/>
    <w:multiLevelType w:val="singleLevel"/>
    <w:tmpl w:val="C99CD7DB"/>
    <w:lvl w:ilvl="0" w:tentative="0">
      <w:start w:val="2"/>
      <w:numFmt w:val="chineseCounting"/>
      <w:suff w:val="nothing"/>
      <w:lvlText w:val="（%1）"/>
      <w:lvlJc w:val="left"/>
      <w:rPr>
        <w:rFonts w:hint="eastAsia"/>
      </w:rPr>
    </w:lvl>
  </w:abstractNum>
  <w:abstractNum w:abstractNumId="2">
    <w:nsid w:val="CE02190D"/>
    <w:multiLevelType w:val="singleLevel"/>
    <w:tmpl w:val="CE02190D"/>
    <w:lvl w:ilvl="0" w:tentative="0">
      <w:start w:val="4"/>
      <w:numFmt w:val="chineseCounting"/>
      <w:suff w:val="nothing"/>
      <w:lvlText w:val="%1、"/>
      <w:lvlJc w:val="left"/>
      <w:rPr>
        <w:rFonts w:hint="eastAsia"/>
      </w:rPr>
    </w:lvl>
  </w:abstractNum>
  <w:abstractNum w:abstractNumId="3">
    <w:nsid w:val="DBD26914"/>
    <w:multiLevelType w:val="singleLevel"/>
    <w:tmpl w:val="DBD26914"/>
    <w:lvl w:ilvl="0" w:tentative="0">
      <w:start w:val="1"/>
      <w:numFmt w:val="chineseCounting"/>
      <w:suff w:val="space"/>
      <w:lvlText w:val="第%1章"/>
      <w:lvlJc w:val="left"/>
      <w:rPr>
        <w:rFonts w:hint="eastAsia"/>
      </w:rPr>
    </w:lvl>
  </w:abstractNum>
  <w:abstractNum w:abstractNumId="4">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0000000A"/>
    <w:multiLevelType w:val="singleLevel"/>
    <w:tmpl w:val="0000000A"/>
    <w:lvl w:ilvl="0" w:tentative="0">
      <w:start w:val="1"/>
      <w:numFmt w:val="decimal"/>
      <w:suff w:val="nothing"/>
      <w:lvlText w:val="（%1）"/>
      <w:lvlJc w:val="left"/>
    </w:lvl>
  </w:abstractNum>
  <w:abstractNum w:abstractNumId="6">
    <w:nsid w:val="0000000D"/>
    <w:multiLevelType w:val="multilevel"/>
    <w:tmpl w:val="0000000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7">
    <w:nsid w:val="0000000F"/>
    <w:multiLevelType w:val="multilevel"/>
    <w:tmpl w:val="0000000F"/>
    <w:lvl w:ilvl="0" w:tentative="0">
      <w:start w:val="1"/>
      <w:numFmt w:val="decimal"/>
      <w:lvlText w:val="%1."/>
      <w:lvlJc w:val="left"/>
      <w:pPr>
        <w:tabs>
          <w:tab w:val="left" w:pos="425"/>
        </w:tabs>
        <w:ind w:left="425" w:hanging="425"/>
      </w:pPr>
      <w:rPr>
        <w:rFonts w:hint="eastAsia"/>
      </w:rPr>
    </w:lvl>
    <w:lvl w:ilvl="1" w:tentative="0">
      <w:start w:val="1"/>
      <w:numFmt w:val="none"/>
      <w:lvlText w:val="10.1"/>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00000010"/>
    <w:multiLevelType w:val="multilevel"/>
    <w:tmpl w:val="00000010"/>
    <w:lvl w:ilvl="0" w:tentative="0">
      <w:start w:val="1"/>
      <w:numFmt w:val="decimal"/>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9">
    <w:nsid w:val="00000011"/>
    <w:multiLevelType w:val="multilevel"/>
    <w:tmpl w:val="00000011"/>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720"/>
        </w:tabs>
        <w:ind w:left="720" w:hanging="720"/>
      </w:pPr>
      <w:rPr>
        <w:rFonts w:hint="eastAsia"/>
      </w:rPr>
    </w:lvl>
    <w:lvl w:ilvl="2" w:tentative="0">
      <w:start w:val="1"/>
      <w:numFmt w:val="decimal"/>
      <w:lvlText w:val="（%3）"/>
      <w:lvlJc w:val="left"/>
      <w:pPr>
        <w:tabs>
          <w:tab w:val="left" w:pos="1140"/>
        </w:tabs>
        <w:ind w:left="1140" w:hanging="720"/>
      </w:pPr>
      <w:rPr>
        <w:rFonts w:hint="eastAsia"/>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0">
    <w:nsid w:val="00000013"/>
    <w:multiLevelType w:val="singleLevel"/>
    <w:tmpl w:val="00000013"/>
    <w:lvl w:ilvl="0" w:tentative="0">
      <w:start w:val="17"/>
      <w:numFmt w:val="decimal"/>
      <w:suff w:val="nothing"/>
      <w:lvlText w:val="%1、"/>
      <w:lvlJc w:val="left"/>
    </w:lvl>
  </w:abstractNum>
  <w:abstractNum w:abstractNumId="11">
    <w:nsid w:val="00000014"/>
    <w:multiLevelType w:val="multilevel"/>
    <w:tmpl w:val="00000014"/>
    <w:lvl w:ilvl="0" w:tentative="0">
      <w:start w:val="1"/>
      <w:numFmt w:val="decimal"/>
      <w:pStyle w:val="5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
    <w:nsid w:val="04491004"/>
    <w:multiLevelType w:val="multilevel"/>
    <w:tmpl w:val="044910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5EFCDC2"/>
    <w:multiLevelType w:val="singleLevel"/>
    <w:tmpl w:val="05EFCDC2"/>
    <w:lvl w:ilvl="0" w:tentative="0">
      <w:start w:val="6"/>
      <w:numFmt w:val="chineseCounting"/>
      <w:suff w:val="nothing"/>
      <w:lvlText w:val="%1、"/>
      <w:lvlJc w:val="left"/>
      <w:rPr>
        <w:rFonts w:hint="eastAsia"/>
      </w:rPr>
    </w:lvl>
  </w:abstractNum>
  <w:abstractNum w:abstractNumId="14">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71A72F0"/>
    <w:multiLevelType w:val="singleLevel"/>
    <w:tmpl w:val="071A72F0"/>
    <w:lvl w:ilvl="0" w:tentative="0">
      <w:start w:val="1"/>
      <w:numFmt w:val="decimal"/>
      <w:lvlText w:val="%1."/>
      <w:lvlJc w:val="left"/>
      <w:pPr>
        <w:tabs>
          <w:tab w:val="left" w:pos="312"/>
        </w:tabs>
      </w:pPr>
    </w:lvl>
  </w:abstractNum>
  <w:abstractNum w:abstractNumId="16">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59F817E8"/>
    <w:multiLevelType w:val="singleLevel"/>
    <w:tmpl w:val="59F817E8"/>
    <w:lvl w:ilvl="0" w:tentative="0">
      <w:start w:val="1"/>
      <w:numFmt w:val="chineseCounting"/>
      <w:pStyle w:val="55"/>
      <w:suff w:val="nothing"/>
      <w:lvlText w:val="%1、"/>
      <w:lvlJc w:val="left"/>
    </w:lvl>
  </w:abstractNum>
  <w:abstractNum w:abstractNumId="2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7">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54E4703"/>
    <w:multiLevelType w:val="singleLevel"/>
    <w:tmpl w:val="754E4703"/>
    <w:lvl w:ilvl="0" w:tentative="0">
      <w:start w:val="1"/>
      <w:numFmt w:val="chineseCounting"/>
      <w:suff w:val="nothing"/>
      <w:lvlText w:val="%1、"/>
      <w:lvlJc w:val="left"/>
      <w:rPr>
        <w:rFonts w:hint="eastAsia"/>
      </w:rPr>
    </w:lvl>
  </w:abstractNum>
  <w:abstractNum w:abstractNumId="30">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1"/>
  </w:num>
  <w:num w:numId="3">
    <w:abstractNumId w:val="25"/>
  </w:num>
  <w:num w:numId="4">
    <w:abstractNumId w:val="3"/>
  </w:num>
  <w:num w:numId="5">
    <w:abstractNumId w:val="12"/>
  </w:num>
  <w:num w:numId="6">
    <w:abstractNumId w:val="15"/>
  </w:num>
  <w:num w:numId="7">
    <w:abstractNumId w:val="1"/>
  </w:num>
  <w:num w:numId="8">
    <w:abstractNumId w:val="29"/>
  </w:num>
  <w:num w:numId="9">
    <w:abstractNumId w:val="22"/>
  </w:num>
  <w:num w:numId="10">
    <w:abstractNumId w:val="26"/>
  </w:num>
  <w:num w:numId="11">
    <w:abstractNumId w:val="20"/>
  </w:num>
  <w:num w:numId="12">
    <w:abstractNumId w:val="14"/>
  </w:num>
  <w:num w:numId="13">
    <w:abstractNumId w:val="21"/>
  </w:num>
  <w:num w:numId="14">
    <w:abstractNumId w:val="23"/>
  </w:num>
  <w:num w:numId="15">
    <w:abstractNumId w:val="30"/>
  </w:num>
  <w:num w:numId="16">
    <w:abstractNumId w:val="19"/>
  </w:num>
  <w:num w:numId="17">
    <w:abstractNumId w:val="16"/>
  </w:num>
  <w:num w:numId="18">
    <w:abstractNumId w:val="27"/>
  </w:num>
  <w:num w:numId="19">
    <w:abstractNumId w:val="13"/>
  </w:num>
  <w:num w:numId="20">
    <w:abstractNumId w:val="24"/>
  </w:num>
  <w:num w:numId="21">
    <w:abstractNumId w:val="18"/>
  </w:num>
  <w:num w:numId="22">
    <w:abstractNumId w:val="28"/>
  </w:num>
  <w:num w:numId="23">
    <w:abstractNumId w:val="31"/>
  </w:num>
  <w:num w:numId="24">
    <w:abstractNumId w:val="0"/>
  </w:num>
  <w:num w:numId="25">
    <w:abstractNumId w:val="6"/>
  </w:num>
  <w:num w:numId="26">
    <w:abstractNumId w:val="10"/>
  </w:num>
  <w:num w:numId="27">
    <w:abstractNumId w:val="7"/>
  </w:num>
  <w:num w:numId="28">
    <w:abstractNumId w:val="9"/>
  </w:num>
  <w:num w:numId="29">
    <w:abstractNumId w:val="5"/>
  </w:num>
  <w:num w:numId="30">
    <w:abstractNumId w:val="8"/>
  </w:num>
  <w:num w:numId="31">
    <w:abstractNumId w:val="17"/>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A13FE"/>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87EB9"/>
    <w:rsid w:val="01A03053"/>
    <w:rsid w:val="02042EF4"/>
    <w:rsid w:val="02314E41"/>
    <w:rsid w:val="023D02B3"/>
    <w:rsid w:val="032C493C"/>
    <w:rsid w:val="03625DE6"/>
    <w:rsid w:val="036C0853"/>
    <w:rsid w:val="04A6236A"/>
    <w:rsid w:val="053F5432"/>
    <w:rsid w:val="05520141"/>
    <w:rsid w:val="05823D18"/>
    <w:rsid w:val="06465BEE"/>
    <w:rsid w:val="064E7C45"/>
    <w:rsid w:val="07BF5E31"/>
    <w:rsid w:val="07F96DEB"/>
    <w:rsid w:val="08ED0258"/>
    <w:rsid w:val="08EF08AA"/>
    <w:rsid w:val="09B61E03"/>
    <w:rsid w:val="0A115352"/>
    <w:rsid w:val="0A1E34A8"/>
    <w:rsid w:val="0A2241D5"/>
    <w:rsid w:val="0AED524D"/>
    <w:rsid w:val="0B042130"/>
    <w:rsid w:val="0B391354"/>
    <w:rsid w:val="0CAE7D79"/>
    <w:rsid w:val="0CC96F90"/>
    <w:rsid w:val="0CDF499A"/>
    <w:rsid w:val="0DAC0795"/>
    <w:rsid w:val="0DF14212"/>
    <w:rsid w:val="0F2D2FCF"/>
    <w:rsid w:val="0F492F98"/>
    <w:rsid w:val="0FDD5FEA"/>
    <w:rsid w:val="100B4F00"/>
    <w:rsid w:val="10ED3EAB"/>
    <w:rsid w:val="110E6C6E"/>
    <w:rsid w:val="115D39B8"/>
    <w:rsid w:val="122C725F"/>
    <w:rsid w:val="128E3D8E"/>
    <w:rsid w:val="12E50F51"/>
    <w:rsid w:val="13BF63D1"/>
    <w:rsid w:val="14214638"/>
    <w:rsid w:val="149819C8"/>
    <w:rsid w:val="14B173D9"/>
    <w:rsid w:val="14D058A3"/>
    <w:rsid w:val="14D42B0D"/>
    <w:rsid w:val="15B876B2"/>
    <w:rsid w:val="15EE44D7"/>
    <w:rsid w:val="16B051B6"/>
    <w:rsid w:val="170E412F"/>
    <w:rsid w:val="17B078B6"/>
    <w:rsid w:val="18113DC5"/>
    <w:rsid w:val="197867EF"/>
    <w:rsid w:val="197B011F"/>
    <w:rsid w:val="198F1D07"/>
    <w:rsid w:val="1A2B7FB5"/>
    <w:rsid w:val="1A7701C4"/>
    <w:rsid w:val="1B70335D"/>
    <w:rsid w:val="1BC27E34"/>
    <w:rsid w:val="1C317F37"/>
    <w:rsid w:val="1C527EEE"/>
    <w:rsid w:val="1D7E1DFE"/>
    <w:rsid w:val="1D90357B"/>
    <w:rsid w:val="1EAC0576"/>
    <w:rsid w:val="1F457DEB"/>
    <w:rsid w:val="1F4F76D7"/>
    <w:rsid w:val="1F5E25BF"/>
    <w:rsid w:val="20275104"/>
    <w:rsid w:val="204C3CC9"/>
    <w:rsid w:val="20ED0E50"/>
    <w:rsid w:val="20FF154F"/>
    <w:rsid w:val="216551D5"/>
    <w:rsid w:val="21DF17AC"/>
    <w:rsid w:val="220836EA"/>
    <w:rsid w:val="22B643D4"/>
    <w:rsid w:val="2301785C"/>
    <w:rsid w:val="24326801"/>
    <w:rsid w:val="2461458C"/>
    <w:rsid w:val="24D83346"/>
    <w:rsid w:val="25720679"/>
    <w:rsid w:val="25DF5154"/>
    <w:rsid w:val="25F75E26"/>
    <w:rsid w:val="265B42DF"/>
    <w:rsid w:val="27A229B2"/>
    <w:rsid w:val="27B5253B"/>
    <w:rsid w:val="281A0202"/>
    <w:rsid w:val="283E3CD3"/>
    <w:rsid w:val="2B3F5F01"/>
    <w:rsid w:val="2C0B7CF9"/>
    <w:rsid w:val="2C2E4C48"/>
    <w:rsid w:val="2C434247"/>
    <w:rsid w:val="2D5F028F"/>
    <w:rsid w:val="2F124B1C"/>
    <w:rsid w:val="2F45482D"/>
    <w:rsid w:val="2F477084"/>
    <w:rsid w:val="2F9A34D3"/>
    <w:rsid w:val="2FE113B9"/>
    <w:rsid w:val="2FF24A9E"/>
    <w:rsid w:val="305F0D15"/>
    <w:rsid w:val="307D673F"/>
    <w:rsid w:val="31114858"/>
    <w:rsid w:val="31324247"/>
    <w:rsid w:val="31495698"/>
    <w:rsid w:val="320D3218"/>
    <w:rsid w:val="32985053"/>
    <w:rsid w:val="32B20743"/>
    <w:rsid w:val="32E31462"/>
    <w:rsid w:val="340A14ED"/>
    <w:rsid w:val="34280373"/>
    <w:rsid w:val="3439458D"/>
    <w:rsid w:val="345D5D57"/>
    <w:rsid w:val="350A079B"/>
    <w:rsid w:val="35306958"/>
    <w:rsid w:val="35C46C85"/>
    <w:rsid w:val="35F6337B"/>
    <w:rsid w:val="36D45DBC"/>
    <w:rsid w:val="3749027E"/>
    <w:rsid w:val="37B96E50"/>
    <w:rsid w:val="391E6950"/>
    <w:rsid w:val="398F43B6"/>
    <w:rsid w:val="39FC1D92"/>
    <w:rsid w:val="3A0C6200"/>
    <w:rsid w:val="3A1A525E"/>
    <w:rsid w:val="3ACC560C"/>
    <w:rsid w:val="3B380893"/>
    <w:rsid w:val="3B685AA6"/>
    <w:rsid w:val="3C175755"/>
    <w:rsid w:val="3C725167"/>
    <w:rsid w:val="3C9839FA"/>
    <w:rsid w:val="3CB04E80"/>
    <w:rsid w:val="3CC67CD4"/>
    <w:rsid w:val="3D96637E"/>
    <w:rsid w:val="3DEC2498"/>
    <w:rsid w:val="3E034405"/>
    <w:rsid w:val="40BE3049"/>
    <w:rsid w:val="41247764"/>
    <w:rsid w:val="41DE3A48"/>
    <w:rsid w:val="42547D8B"/>
    <w:rsid w:val="42F23437"/>
    <w:rsid w:val="43663E29"/>
    <w:rsid w:val="44D2564B"/>
    <w:rsid w:val="44EA4606"/>
    <w:rsid w:val="458C667A"/>
    <w:rsid w:val="46366161"/>
    <w:rsid w:val="46465AAA"/>
    <w:rsid w:val="467D2F1A"/>
    <w:rsid w:val="46CE1703"/>
    <w:rsid w:val="46E35449"/>
    <w:rsid w:val="473960E8"/>
    <w:rsid w:val="47A07BC1"/>
    <w:rsid w:val="48080763"/>
    <w:rsid w:val="485128BA"/>
    <w:rsid w:val="48737219"/>
    <w:rsid w:val="48C0687E"/>
    <w:rsid w:val="48C355E8"/>
    <w:rsid w:val="48EE371C"/>
    <w:rsid w:val="49574371"/>
    <w:rsid w:val="49CF3E0F"/>
    <w:rsid w:val="4A222BB1"/>
    <w:rsid w:val="4D005CCE"/>
    <w:rsid w:val="4D9B0DFF"/>
    <w:rsid w:val="4DAF7610"/>
    <w:rsid w:val="4DE45808"/>
    <w:rsid w:val="4E9448CD"/>
    <w:rsid w:val="4ECA5CC8"/>
    <w:rsid w:val="4F374C6E"/>
    <w:rsid w:val="4FB56BD4"/>
    <w:rsid w:val="4FF65309"/>
    <w:rsid w:val="505F0174"/>
    <w:rsid w:val="50A050A3"/>
    <w:rsid w:val="51352836"/>
    <w:rsid w:val="51485785"/>
    <w:rsid w:val="51A13899"/>
    <w:rsid w:val="51FD06C0"/>
    <w:rsid w:val="52581E68"/>
    <w:rsid w:val="528771C6"/>
    <w:rsid w:val="531600B4"/>
    <w:rsid w:val="535A1FCB"/>
    <w:rsid w:val="536561B2"/>
    <w:rsid w:val="53FA012A"/>
    <w:rsid w:val="544C0545"/>
    <w:rsid w:val="55684A64"/>
    <w:rsid w:val="557F3457"/>
    <w:rsid w:val="56626902"/>
    <w:rsid w:val="566C0A47"/>
    <w:rsid w:val="567A60F1"/>
    <w:rsid w:val="56C851AF"/>
    <w:rsid w:val="56CD1EE4"/>
    <w:rsid w:val="57B8361E"/>
    <w:rsid w:val="57D2139A"/>
    <w:rsid w:val="57DF4B76"/>
    <w:rsid w:val="58057299"/>
    <w:rsid w:val="58A31F4C"/>
    <w:rsid w:val="5BAE2A99"/>
    <w:rsid w:val="5C1717D9"/>
    <w:rsid w:val="5C20031E"/>
    <w:rsid w:val="5CB139A0"/>
    <w:rsid w:val="5CD938B8"/>
    <w:rsid w:val="5D1F61F2"/>
    <w:rsid w:val="5DD54801"/>
    <w:rsid w:val="5DE56A37"/>
    <w:rsid w:val="5E163116"/>
    <w:rsid w:val="5E4758E5"/>
    <w:rsid w:val="5E8E5AC1"/>
    <w:rsid w:val="5E921C4D"/>
    <w:rsid w:val="5EBD0BA4"/>
    <w:rsid w:val="5EE83EB0"/>
    <w:rsid w:val="5F4A434F"/>
    <w:rsid w:val="5FD542E1"/>
    <w:rsid w:val="6001186C"/>
    <w:rsid w:val="614E3A65"/>
    <w:rsid w:val="61BC4DC2"/>
    <w:rsid w:val="62183117"/>
    <w:rsid w:val="62677C6F"/>
    <w:rsid w:val="634675E2"/>
    <w:rsid w:val="638962A8"/>
    <w:rsid w:val="63F4509F"/>
    <w:rsid w:val="64BF36B4"/>
    <w:rsid w:val="64C76A4D"/>
    <w:rsid w:val="64FE6613"/>
    <w:rsid w:val="66980FBD"/>
    <w:rsid w:val="672B39CE"/>
    <w:rsid w:val="67341FB4"/>
    <w:rsid w:val="67F03A67"/>
    <w:rsid w:val="68881403"/>
    <w:rsid w:val="69294622"/>
    <w:rsid w:val="69995CD6"/>
    <w:rsid w:val="69CA0494"/>
    <w:rsid w:val="69FB4D8B"/>
    <w:rsid w:val="6C2234CC"/>
    <w:rsid w:val="6C863FC4"/>
    <w:rsid w:val="6CAC6174"/>
    <w:rsid w:val="6D32159C"/>
    <w:rsid w:val="6D351CF7"/>
    <w:rsid w:val="6EB746A7"/>
    <w:rsid w:val="6F34277B"/>
    <w:rsid w:val="6F832092"/>
    <w:rsid w:val="704D75D1"/>
    <w:rsid w:val="70506DB5"/>
    <w:rsid w:val="7072440C"/>
    <w:rsid w:val="7092622D"/>
    <w:rsid w:val="70D66EEA"/>
    <w:rsid w:val="70F02C62"/>
    <w:rsid w:val="71A85991"/>
    <w:rsid w:val="71CB356E"/>
    <w:rsid w:val="71EC2A56"/>
    <w:rsid w:val="723972A7"/>
    <w:rsid w:val="724963B2"/>
    <w:rsid w:val="737E090F"/>
    <w:rsid w:val="73BE5BE9"/>
    <w:rsid w:val="741756AE"/>
    <w:rsid w:val="741A563C"/>
    <w:rsid w:val="743F01B2"/>
    <w:rsid w:val="74E651D2"/>
    <w:rsid w:val="751414C1"/>
    <w:rsid w:val="755446EC"/>
    <w:rsid w:val="755E1E93"/>
    <w:rsid w:val="75752706"/>
    <w:rsid w:val="75AB4839"/>
    <w:rsid w:val="76015A01"/>
    <w:rsid w:val="764D727E"/>
    <w:rsid w:val="767C5E46"/>
    <w:rsid w:val="76B625A7"/>
    <w:rsid w:val="76D609C3"/>
    <w:rsid w:val="787D7581"/>
    <w:rsid w:val="78847635"/>
    <w:rsid w:val="78AF68A0"/>
    <w:rsid w:val="78C37659"/>
    <w:rsid w:val="790B56C3"/>
    <w:rsid w:val="795B3F5C"/>
    <w:rsid w:val="79F86049"/>
    <w:rsid w:val="7A030FF4"/>
    <w:rsid w:val="7BC16393"/>
    <w:rsid w:val="7C1D0C87"/>
    <w:rsid w:val="7C39335E"/>
    <w:rsid w:val="7DE1586C"/>
    <w:rsid w:val="7E4C7A10"/>
    <w:rsid w:val="7E583278"/>
    <w:rsid w:val="7EB52D4A"/>
    <w:rsid w:val="7EC43622"/>
    <w:rsid w:val="7EEC1A19"/>
    <w:rsid w:val="7F0A2998"/>
    <w:rsid w:val="7F0B0D76"/>
    <w:rsid w:val="7F130E11"/>
    <w:rsid w:val="7F1B47A2"/>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无间隔1"/>
    <w:basedOn w:val="1"/>
    <w:qFormat/>
    <w:uiPriority w:val="0"/>
    <w:pPr>
      <w:spacing w:line="400" w:lineRule="exact"/>
    </w:pPr>
    <w:rPr>
      <w:sz w:val="24"/>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4"/>
    <w:qFormat/>
    <w:uiPriority w:val="0"/>
    <w:rPr>
      <w:rFonts w:ascii="Times New Roman" w:hAnsi="Times New Roman" w:eastAsia="宋体" w:cs="Times New Roman"/>
      <w:color w:val="FF0000"/>
      <w:sz w:val="24"/>
      <w:szCs w:val="24"/>
    </w:rPr>
  </w:style>
  <w:style w:type="paragraph" w:styleId="10">
    <w:name w:val="Body Text"/>
    <w:basedOn w:val="1"/>
    <w:link w:val="35"/>
    <w:semiHidden/>
    <w:unhideWhenUsed/>
    <w:qFormat/>
    <w:uiPriority w:val="99"/>
    <w:pPr>
      <w:spacing w:after="120"/>
    </w:pPr>
  </w:style>
  <w:style w:type="paragraph" w:styleId="11">
    <w:name w:val="Body Text Indent"/>
    <w:basedOn w:val="1"/>
    <w:link w:val="57"/>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6"/>
    <w:qFormat/>
    <w:uiPriority w:val="0"/>
    <w:rPr>
      <w:rFonts w:eastAsia="宋体"/>
      <w:sz w:val="24"/>
    </w:rPr>
  </w:style>
  <w:style w:type="paragraph" w:styleId="15">
    <w:name w:val="Date"/>
    <w:basedOn w:val="1"/>
    <w:next w:val="1"/>
    <w:link w:val="37"/>
    <w:unhideWhenUsed/>
    <w:qFormat/>
    <w:uiPriority w:val="99"/>
    <w:pPr>
      <w:ind w:left="100" w:leftChars="2500"/>
    </w:pPr>
  </w:style>
  <w:style w:type="paragraph" w:styleId="16">
    <w:name w:val="Balloon Text"/>
    <w:basedOn w:val="1"/>
    <w:link w:val="58"/>
    <w:semiHidden/>
    <w:unhideWhenUsed/>
    <w:qFormat/>
    <w:uiPriority w:val="99"/>
    <w:rPr>
      <w:sz w:val="18"/>
      <w:szCs w:val="18"/>
    </w:rPr>
  </w:style>
  <w:style w:type="paragraph" w:styleId="17">
    <w:name w:val="footer"/>
    <w:basedOn w:val="1"/>
    <w:link w:val="38"/>
    <w:unhideWhenUsed/>
    <w:qFormat/>
    <w:uiPriority w:val="99"/>
    <w:pPr>
      <w:tabs>
        <w:tab w:val="center" w:pos="4153"/>
        <w:tab w:val="right" w:pos="8306"/>
      </w:tabs>
      <w:snapToGrid w:val="0"/>
      <w:jc w:val="left"/>
    </w:pPr>
    <w:rPr>
      <w:sz w:val="18"/>
      <w:szCs w:val="18"/>
    </w:rPr>
  </w:style>
  <w:style w:type="paragraph" w:styleId="18">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4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0"/>
    <w:link w:val="41"/>
    <w:qFormat/>
    <w:uiPriority w:val="0"/>
    <w:pPr>
      <w:ind w:firstLine="420" w:firstLineChars="100"/>
    </w:pPr>
    <w:rPr>
      <w:rFonts w:ascii="宋体" w:hAnsi="Times New Roman" w:eastAsia="宋体" w:cs="Times New Roman"/>
      <w:kern w:val="0"/>
      <w:sz w:val="34"/>
      <w:szCs w:val="20"/>
    </w:rPr>
  </w:style>
  <w:style w:type="character" w:styleId="25">
    <w:name w:val="Strong"/>
    <w:basedOn w:val="24"/>
    <w:qFormat/>
    <w:uiPriority w:val="22"/>
    <w:rPr>
      <w:b/>
      <w:bCs/>
    </w:rPr>
  </w:style>
  <w:style w:type="character" w:styleId="26">
    <w:name w:val="FollowedHyperlink"/>
    <w:basedOn w:val="24"/>
    <w:semiHidden/>
    <w:unhideWhenUsed/>
    <w:qFormat/>
    <w:uiPriority w:val="99"/>
    <w:rPr>
      <w:color w:val="800080" w:themeColor="followedHyperlink"/>
      <w:u w:val="single"/>
      <w14:textFill>
        <w14:solidFill>
          <w14:schemeClr w14:val="folHlink"/>
        </w14:solidFill>
      </w14:textFill>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paragraph" w:customStyle="1" w:styleId="29">
    <w:name w:val="*正文"/>
    <w:basedOn w:val="1"/>
    <w:qFormat/>
    <w:uiPriority w:val="0"/>
    <w:pPr>
      <w:keepNext/>
      <w:keepLines/>
      <w:spacing w:line="360" w:lineRule="auto"/>
      <w:ind w:firstLine="200" w:firstLineChars="200"/>
    </w:pPr>
    <w:rPr>
      <w:rFonts w:ascii="宋体" w:hAnsi="宋体"/>
    </w:rPr>
  </w:style>
  <w:style w:type="character" w:customStyle="1" w:styleId="30">
    <w:name w:val="标题 1 Char"/>
    <w:basedOn w:val="24"/>
    <w:link w:val="3"/>
    <w:qFormat/>
    <w:uiPriority w:val="0"/>
    <w:rPr>
      <w:rFonts w:ascii="Calibri" w:hAnsi="Calibri" w:eastAsia="宋体" w:cs="Times New Roman"/>
      <w:b/>
      <w:bCs/>
      <w:kern w:val="44"/>
      <w:sz w:val="44"/>
      <w:szCs w:val="44"/>
    </w:rPr>
  </w:style>
  <w:style w:type="character" w:customStyle="1" w:styleId="31">
    <w:name w:val="标题 2 Char"/>
    <w:basedOn w:val="24"/>
    <w:link w:val="4"/>
    <w:qFormat/>
    <w:uiPriority w:val="0"/>
    <w:rPr>
      <w:rFonts w:ascii="Arial" w:hAnsi="Arial" w:eastAsia="黑体" w:cs="Times New Roman"/>
      <w:b/>
      <w:bCs/>
      <w:sz w:val="32"/>
      <w:szCs w:val="32"/>
    </w:rPr>
  </w:style>
  <w:style w:type="character" w:customStyle="1" w:styleId="32">
    <w:name w:val="标题 3 Char"/>
    <w:basedOn w:val="24"/>
    <w:link w:val="5"/>
    <w:qFormat/>
    <w:uiPriority w:val="0"/>
    <w:rPr>
      <w:rFonts w:ascii="宋体" w:hAnsi="宋体" w:eastAsia="宋体" w:cs="Times New Roman"/>
      <w:b/>
      <w:color w:val="000000"/>
      <w:kern w:val="0"/>
      <w:sz w:val="24"/>
      <w:szCs w:val="20"/>
      <w:lang w:val="en-GB"/>
    </w:rPr>
  </w:style>
  <w:style w:type="character" w:customStyle="1" w:styleId="33">
    <w:name w:val="标题 4 Char"/>
    <w:basedOn w:val="24"/>
    <w:link w:val="6"/>
    <w:qFormat/>
    <w:uiPriority w:val="0"/>
    <w:rPr>
      <w:rFonts w:ascii="Arial" w:hAnsi="Arial" w:eastAsia="黑体" w:cs="Times New Roman"/>
      <w:b/>
      <w:bCs/>
      <w:sz w:val="28"/>
      <w:szCs w:val="28"/>
    </w:rPr>
  </w:style>
  <w:style w:type="character" w:customStyle="1" w:styleId="34">
    <w:name w:val="正文文本 3 Char"/>
    <w:basedOn w:val="24"/>
    <w:link w:val="9"/>
    <w:qFormat/>
    <w:uiPriority w:val="0"/>
    <w:rPr>
      <w:rFonts w:ascii="Times New Roman" w:hAnsi="Times New Roman" w:eastAsia="宋体" w:cs="Times New Roman"/>
      <w:color w:val="FF0000"/>
      <w:sz w:val="24"/>
      <w:szCs w:val="24"/>
    </w:rPr>
  </w:style>
  <w:style w:type="character" w:customStyle="1" w:styleId="35">
    <w:name w:val="正文文本 Char"/>
    <w:basedOn w:val="24"/>
    <w:link w:val="10"/>
    <w:semiHidden/>
    <w:qFormat/>
    <w:uiPriority w:val="99"/>
  </w:style>
  <w:style w:type="character" w:customStyle="1" w:styleId="36">
    <w:name w:val="纯文本 Char"/>
    <w:basedOn w:val="24"/>
    <w:link w:val="14"/>
    <w:qFormat/>
    <w:uiPriority w:val="0"/>
    <w:rPr>
      <w:rFonts w:eastAsia="宋体"/>
      <w:sz w:val="24"/>
    </w:rPr>
  </w:style>
  <w:style w:type="character" w:customStyle="1" w:styleId="37">
    <w:name w:val="日期 Char"/>
    <w:basedOn w:val="24"/>
    <w:link w:val="15"/>
    <w:qFormat/>
    <w:uiPriority w:val="99"/>
  </w:style>
  <w:style w:type="character" w:customStyle="1" w:styleId="38">
    <w:name w:val="页脚 Char"/>
    <w:basedOn w:val="24"/>
    <w:link w:val="17"/>
    <w:qFormat/>
    <w:uiPriority w:val="99"/>
    <w:rPr>
      <w:sz w:val="18"/>
      <w:szCs w:val="18"/>
    </w:rPr>
  </w:style>
  <w:style w:type="character" w:customStyle="1" w:styleId="39">
    <w:name w:val="页眉 Char"/>
    <w:basedOn w:val="24"/>
    <w:link w:val="18"/>
    <w:qFormat/>
    <w:uiPriority w:val="99"/>
    <w:rPr>
      <w:sz w:val="18"/>
      <w:szCs w:val="18"/>
    </w:rPr>
  </w:style>
  <w:style w:type="character" w:customStyle="1" w:styleId="40">
    <w:name w:val="HTML 预设格式 Char"/>
    <w:basedOn w:val="24"/>
    <w:link w:val="20"/>
    <w:semiHidden/>
    <w:qFormat/>
    <w:uiPriority w:val="99"/>
    <w:rPr>
      <w:rFonts w:ascii="宋体" w:hAnsi="宋体" w:eastAsia="宋体" w:cs="宋体"/>
      <w:kern w:val="0"/>
      <w:sz w:val="24"/>
      <w:szCs w:val="24"/>
    </w:rPr>
  </w:style>
  <w:style w:type="character" w:customStyle="1" w:styleId="41">
    <w:name w:val="正文首行缩进 Char"/>
    <w:basedOn w:val="35"/>
    <w:link w:val="22"/>
    <w:qFormat/>
    <w:uiPriority w:val="0"/>
    <w:rPr>
      <w:rFonts w:ascii="宋体" w:hAnsi="Times New Roman" w:eastAsia="宋体" w:cs="Times New Roman"/>
      <w:kern w:val="0"/>
      <w:sz w:val="34"/>
      <w:szCs w:val="20"/>
    </w:rPr>
  </w:style>
  <w:style w:type="character" w:customStyle="1" w:styleId="42">
    <w:name w:val="纯文本 Char1"/>
    <w:qFormat/>
    <w:uiPriority w:val="0"/>
    <w:rPr>
      <w:rFonts w:eastAsia="宋体"/>
      <w:sz w:val="24"/>
    </w:rPr>
  </w:style>
  <w:style w:type="paragraph" w:customStyle="1" w:styleId="4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4">
    <w:name w:val="列出段落1"/>
    <w:basedOn w:val="1"/>
    <w:qFormat/>
    <w:uiPriority w:val="34"/>
    <w:pPr>
      <w:ind w:firstLine="420" w:firstLineChars="200"/>
    </w:pPr>
  </w:style>
  <w:style w:type="paragraph" w:styleId="45">
    <w:name w:val="List Paragraph"/>
    <w:basedOn w:val="1"/>
    <w:unhideWhenUsed/>
    <w:qFormat/>
    <w:uiPriority w:val="99"/>
    <w:pPr>
      <w:ind w:firstLine="420" w:firstLineChars="200"/>
    </w:pPr>
  </w:style>
  <w:style w:type="character" w:customStyle="1" w:styleId="46">
    <w:name w:val="正文文本缩进 Char Char"/>
    <w:link w:val="47"/>
    <w:qFormat/>
    <w:uiPriority w:val="0"/>
    <w:rPr>
      <w:rFonts w:ascii="宋体"/>
      <w:sz w:val="24"/>
    </w:rPr>
  </w:style>
  <w:style w:type="paragraph" w:customStyle="1" w:styleId="47">
    <w:name w:val="正文文本缩进1"/>
    <w:basedOn w:val="1"/>
    <w:link w:val="46"/>
    <w:qFormat/>
    <w:uiPriority w:val="0"/>
    <w:pPr>
      <w:spacing w:line="360" w:lineRule="auto"/>
      <w:ind w:firstLine="480" w:firstLineChars="200"/>
    </w:pPr>
    <w:rPr>
      <w:rFonts w:ascii="宋体"/>
      <w:sz w:val="24"/>
    </w:rPr>
  </w:style>
  <w:style w:type="character" w:customStyle="1" w:styleId="48">
    <w:name w:val="日期 Char Char"/>
    <w:link w:val="49"/>
    <w:qFormat/>
    <w:uiPriority w:val="0"/>
    <w:rPr>
      <w:sz w:val="24"/>
    </w:rPr>
  </w:style>
  <w:style w:type="paragraph" w:customStyle="1" w:styleId="49">
    <w:name w:val="日期1"/>
    <w:basedOn w:val="1"/>
    <w:next w:val="1"/>
    <w:link w:val="48"/>
    <w:qFormat/>
    <w:uiPriority w:val="0"/>
    <w:rPr>
      <w:sz w:val="24"/>
    </w:rPr>
  </w:style>
  <w:style w:type="paragraph" w:customStyle="1" w:styleId="5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3">
    <w:name w:val="edittexttarea"/>
    <w:basedOn w:val="24"/>
    <w:qFormat/>
    <w:uiPriority w:val="0"/>
  </w:style>
  <w:style w:type="paragraph" w:customStyle="1" w:styleId="54">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6">
    <w:name w:val="正文文本缩进 Char"/>
    <w:link w:val="11"/>
    <w:qFormat/>
    <w:uiPriority w:val="0"/>
    <w:rPr>
      <w:sz w:val="24"/>
    </w:rPr>
  </w:style>
  <w:style w:type="character" w:customStyle="1" w:styleId="57">
    <w:name w:val="正文文本缩进 Char1"/>
    <w:basedOn w:val="24"/>
    <w:link w:val="11"/>
    <w:semiHidden/>
    <w:qFormat/>
    <w:uiPriority w:val="99"/>
    <w:rPr>
      <w:kern w:val="2"/>
      <w:sz w:val="21"/>
      <w:szCs w:val="22"/>
    </w:rPr>
  </w:style>
  <w:style w:type="character" w:customStyle="1" w:styleId="58">
    <w:name w:val="批注框文本 Char"/>
    <w:basedOn w:val="24"/>
    <w:link w:val="16"/>
    <w:semiHidden/>
    <w:qFormat/>
    <w:uiPriority w:val="99"/>
    <w:rPr>
      <w:kern w:val="2"/>
      <w:sz w:val="18"/>
      <w:szCs w:val="18"/>
    </w:rPr>
  </w:style>
  <w:style w:type="character" w:customStyle="1" w:styleId="59">
    <w:name w:val="样式 标书正文 + 下划线 Char"/>
    <w:qFormat/>
    <w:uiPriority w:val="0"/>
    <w:rPr>
      <w:rFonts w:eastAsia="Ari"/>
      <w:kern w:val="2"/>
      <w:sz w:val="28"/>
      <w:szCs w:val="28"/>
      <w:u w:val="single"/>
      <w:lang w:val="en-US" w:eastAsia="zh-CN"/>
    </w:rPr>
  </w:style>
  <w:style w:type="paragraph" w:customStyle="1" w:styleId="60">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1">
    <w:name w:val="Plain Text"/>
    <w:basedOn w:val="1"/>
    <w:qFormat/>
    <w:uiPriority w:val="0"/>
    <w:rPr>
      <w:rFonts w:ascii="宋体" w:hAnsi="Courier New"/>
      <w:kern w:val="0"/>
      <w:sz w:val="20"/>
      <w:szCs w:val="21"/>
    </w:rPr>
  </w:style>
  <w:style w:type="character" w:customStyle="1" w:styleId="62">
    <w:name w:val="font81"/>
    <w:basedOn w:val="24"/>
    <w:qFormat/>
    <w:uiPriority w:val="0"/>
    <w:rPr>
      <w:rFonts w:hint="eastAsia" w:ascii="宋体" w:hAnsi="宋体" w:eastAsia="宋体" w:cs="宋体"/>
      <w:color w:val="000000"/>
      <w:sz w:val="21"/>
      <w:szCs w:val="21"/>
      <w:u w:val="none"/>
    </w:rPr>
  </w:style>
  <w:style w:type="character" w:customStyle="1" w:styleId="63">
    <w:name w:val="font11"/>
    <w:basedOn w:val="24"/>
    <w:qFormat/>
    <w:uiPriority w:val="0"/>
    <w:rPr>
      <w:rFonts w:ascii="MS Mincho" w:hAnsi="MS Mincho" w:eastAsia="MS Mincho" w:cs="MS Mincho"/>
      <w:color w:val="000000"/>
      <w:sz w:val="21"/>
      <w:szCs w:val="21"/>
      <w:u w:val="none"/>
    </w:rPr>
  </w:style>
  <w:style w:type="character" w:customStyle="1" w:styleId="64">
    <w:name w:val="font31"/>
    <w:basedOn w:val="24"/>
    <w:qFormat/>
    <w:uiPriority w:val="0"/>
    <w:rPr>
      <w:rFonts w:hint="eastAsia" w:ascii="宋体" w:hAnsi="宋体" w:eastAsia="宋体" w:cs="宋体"/>
      <w:color w:val="0000FF"/>
      <w:sz w:val="21"/>
      <w:szCs w:val="21"/>
      <w:u w:val="single"/>
    </w:rPr>
  </w:style>
  <w:style w:type="character" w:customStyle="1" w:styleId="65">
    <w:name w:val="font51"/>
    <w:basedOn w:val="24"/>
    <w:qFormat/>
    <w:uiPriority w:val="0"/>
    <w:rPr>
      <w:rFonts w:hint="eastAsia" w:ascii="宋体" w:hAnsi="宋体" w:eastAsia="宋体" w:cs="宋体"/>
      <w:b/>
      <w:color w:val="000000"/>
      <w:sz w:val="21"/>
      <w:szCs w:val="21"/>
      <w:u w:val="none"/>
    </w:rPr>
  </w:style>
  <w:style w:type="character" w:customStyle="1" w:styleId="66">
    <w:name w:val="font61"/>
    <w:basedOn w:val="24"/>
    <w:qFormat/>
    <w:uiPriority w:val="0"/>
    <w:rPr>
      <w:rFonts w:hint="eastAsia" w:ascii="宋体" w:hAnsi="宋体" w:eastAsia="宋体" w:cs="宋体"/>
      <w:color w:val="000000"/>
      <w:sz w:val="21"/>
      <w:szCs w:val="21"/>
      <w:u w:val="none"/>
    </w:rPr>
  </w:style>
  <w:style w:type="character" w:customStyle="1" w:styleId="67">
    <w:name w:val="font91"/>
    <w:basedOn w:val="24"/>
    <w:qFormat/>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64</Pages>
  <Words>5181</Words>
  <Characters>29533</Characters>
  <Lines>246</Lines>
  <Paragraphs>69</Paragraphs>
  <TotalTime>8</TotalTime>
  <ScaleCrop>false</ScaleCrop>
  <LinksUpToDate>false</LinksUpToDate>
  <CharactersWithSpaces>34645</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禹州市公共资源交易中心:侯英红</cp:lastModifiedBy>
  <cp:lastPrinted>2018-03-20T03:26:00Z</cp:lastPrinted>
  <dcterms:modified xsi:type="dcterms:W3CDTF">2019-12-06T05:31:19Z</dcterms:modified>
  <cp:revision>539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