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hAnsi="黑体" w:eastAsia="黑体" w:cs="黑体"/>
          <w:b/>
          <w:bCs/>
          <w:color w:val="000000"/>
          <w:sz w:val="30"/>
          <w:szCs w:val="30"/>
          <w:shd w:val="clear" w:color="auto" w:fill="FFFFFF"/>
        </w:rPr>
      </w:pPr>
    </w:p>
    <w:p>
      <w:pPr>
        <w:autoSpaceDE w:val="0"/>
        <w:autoSpaceDN w:val="0"/>
        <w:adjustRightInd w:val="0"/>
        <w:spacing w:line="360" w:lineRule="auto"/>
        <w:jc w:val="center"/>
        <w:rPr>
          <w:rFonts w:hint="eastAsia" w:ascii="宋体" w:hAnsi="宋体" w:eastAsia="宋体" w:cs="宋体"/>
          <w:b/>
          <w:color w:val="000000"/>
          <w:sz w:val="50"/>
          <w:szCs w:val="50"/>
          <w:lang w:val="en-US" w:eastAsia="zh-CN"/>
        </w:rPr>
      </w:pPr>
      <w:r>
        <w:rPr>
          <w:rFonts w:hint="eastAsia" w:ascii="宋体" w:hAnsi="宋体" w:cs="宋体"/>
          <w:b/>
          <w:color w:val="000000"/>
          <w:sz w:val="50"/>
          <w:szCs w:val="50"/>
        </w:rPr>
        <w:t>长葛市</w:t>
      </w:r>
      <w:r>
        <w:rPr>
          <w:rFonts w:hint="eastAsia" w:ascii="宋体" w:hAnsi="宋体" w:cs="宋体"/>
          <w:b/>
          <w:color w:val="000000"/>
          <w:sz w:val="50"/>
          <w:szCs w:val="50"/>
          <w:lang w:eastAsia="zh-CN"/>
        </w:rPr>
        <w:t>广播电视台影视综合体</w:t>
      </w:r>
    </w:p>
    <w:p>
      <w:pPr>
        <w:jc w:val="center"/>
        <w:rPr>
          <w:rFonts w:hint="eastAsia" w:ascii="宋体" w:hAnsi="宋体" w:cs="宋体"/>
          <w:b/>
          <w:color w:val="000000"/>
          <w:spacing w:val="-16"/>
          <w:w w:val="90"/>
          <w:kern w:val="22"/>
          <w:sz w:val="72"/>
          <w:szCs w:val="72"/>
        </w:rPr>
      </w:pPr>
    </w:p>
    <w:p>
      <w:pPr>
        <w:pStyle w:val="4"/>
        <w:rPr>
          <w:rFonts w:hint="eastAsia"/>
        </w:rPr>
      </w:pPr>
    </w:p>
    <w:p>
      <w:pPr>
        <w:rPr>
          <w:rFonts w:hint="eastAsia"/>
        </w:rPr>
      </w:pPr>
    </w:p>
    <w:p>
      <w:pPr>
        <w:pStyle w:val="3"/>
        <w:rPr>
          <w:rFonts w:hint="eastAsia"/>
        </w:rPr>
      </w:pPr>
    </w:p>
    <w:p>
      <w:pPr>
        <w:jc w:val="center"/>
        <w:rPr>
          <w:rFonts w:asciiTheme="majorEastAsia" w:hAnsiTheme="majorEastAsia" w:eastAsiaTheme="majorEastAsia" w:cstheme="majorEastAsia"/>
          <w:bCs/>
          <w:color w:val="000000"/>
          <w:w w:val="90"/>
          <w:sz w:val="100"/>
          <w:szCs w:val="100"/>
        </w:rPr>
      </w:pPr>
      <w:r>
        <w:rPr>
          <w:rFonts w:hint="eastAsia" w:asciiTheme="majorEastAsia" w:hAnsiTheme="majorEastAsia" w:eastAsiaTheme="majorEastAsia" w:cstheme="majorEastAsia"/>
          <w:bCs/>
          <w:color w:val="000000"/>
          <w:w w:val="90"/>
          <w:sz w:val="100"/>
          <w:szCs w:val="100"/>
        </w:rPr>
        <w:t>招　标　文　件</w:t>
      </w:r>
    </w:p>
    <w:p>
      <w:pPr>
        <w:rPr>
          <w:rFonts w:ascii="微软简隶书" w:eastAsia="微软简隶书"/>
          <w:color w:val="000000"/>
        </w:rPr>
      </w:pPr>
    </w:p>
    <w:p>
      <w:pPr>
        <w:pStyle w:val="2"/>
        <w:rPr>
          <w:rFonts w:hint="default"/>
          <w:lang w:val="en-US" w:eastAsia="zh-CN"/>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长招采公字【2019】</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072</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eastAsia="zh-CN"/>
        </w:rPr>
        <w:t>采购单位</w:t>
      </w:r>
      <w:r>
        <w:rPr>
          <w:rFonts w:hint="eastAsia" w:asciiTheme="majorEastAsia" w:hAnsiTheme="majorEastAsia" w:eastAsiaTheme="majorEastAsia" w:cstheme="majorEastAsia"/>
          <w:b/>
          <w:bCs/>
          <w:color w:val="000000"/>
          <w:sz w:val="36"/>
          <w:szCs w:val="36"/>
        </w:rPr>
        <w:t>：长葛市</w:t>
      </w:r>
      <w:r>
        <w:rPr>
          <w:rFonts w:hint="eastAsia" w:asciiTheme="majorEastAsia" w:hAnsiTheme="majorEastAsia" w:eastAsiaTheme="majorEastAsia" w:cstheme="majorEastAsia"/>
          <w:b/>
          <w:bCs/>
          <w:color w:val="000000"/>
          <w:sz w:val="36"/>
          <w:szCs w:val="36"/>
          <w:lang w:eastAsia="zh-CN"/>
        </w:rPr>
        <w:t>文化广电新闻出版局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集中采购机构：长葛市公共资源交易中心</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月</w:t>
      </w:r>
    </w:p>
    <w:p>
      <w:pPr>
        <w:rPr>
          <w:rFonts w:hint="eastAsia" w:ascii="宋体" w:hAnsi="宋体" w:cs="宋体"/>
          <w:color w:val="000000"/>
          <w:sz w:val="28"/>
          <w:szCs w:val="28"/>
        </w:rPr>
      </w:pPr>
    </w:p>
    <w:p>
      <w:pPr>
        <w:pStyle w:val="3"/>
        <w:rPr>
          <w:rFonts w:hint="eastAsia"/>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招标公告</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pStyle w:val="3"/>
        <w:rPr>
          <w:rFonts w:ascii="宋体" w:hAnsi="宋体" w:cs="宋体"/>
          <w:b/>
          <w:kern w:val="0"/>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w:t>
      </w:r>
      <w:r>
        <w:rPr>
          <w:rFonts w:hint="eastAsia" w:ascii="宋体" w:hAnsi="宋体" w:cs="宋体"/>
          <w:b/>
          <w:kern w:val="0"/>
          <w:sz w:val="36"/>
          <w:szCs w:val="32"/>
          <w:lang w:val="en-US" w:eastAsia="zh-CN"/>
        </w:rPr>
        <w:t xml:space="preserve">   招标公告</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长葛市公共资源交易中心受长葛市</w:t>
      </w:r>
      <w:r>
        <w:rPr>
          <w:rFonts w:hint="eastAsia" w:asciiTheme="minorEastAsia" w:hAnsiTheme="minorEastAsia" w:eastAsiaTheme="minorEastAsia" w:cstheme="minorEastAsia"/>
          <w:sz w:val="21"/>
          <w:szCs w:val="21"/>
          <w:lang w:eastAsia="zh-CN"/>
        </w:rPr>
        <w:t>文化广电新闻出版局</w:t>
      </w:r>
      <w:r>
        <w:rPr>
          <w:rFonts w:hint="eastAsia" w:asciiTheme="minorEastAsia" w:hAnsiTheme="minorEastAsia" w:eastAsiaTheme="minorEastAsia" w:cstheme="minorEastAsia"/>
          <w:sz w:val="21"/>
          <w:szCs w:val="21"/>
        </w:rPr>
        <w:t>的委托，对“长葛市</w:t>
      </w:r>
      <w:r>
        <w:rPr>
          <w:rFonts w:hint="eastAsia" w:asciiTheme="minorEastAsia" w:hAnsiTheme="minorEastAsia" w:eastAsiaTheme="minorEastAsia" w:cstheme="minorEastAsia"/>
          <w:sz w:val="21"/>
          <w:szCs w:val="21"/>
          <w:lang w:eastAsia="zh-CN"/>
        </w:rPr>
        <w:t>广播电视台影视综合体</w:t>
      </w:r>
      <w:r>
        <w:rPr>
          <w:rFonts w:hint="eastAsia" w:asciiTheme="minorEastAsia" w:hAnsiTheme="minorEastAsia" w:eastAsiaTheme="minorEastAsia" w:cstheme="minorEastAsia"/>
          <w:sz w:val="21"/>
          <w:szCs w:val="21"/>
        </w:rPr>
        <w:t>”项目进行公开招标，现邀请符合本招标文件规定条件的供应商前来投标。</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一</w:t>
      </w:r>
      <w:r>
        <w:rPr>
          <w:rFonts w:hint="eastAsia" w:asciiTheme="minorEastAsia" w:hAnsiTheme="minorEastAsia" w:eastAsiaTheme="minorEastAsia" w:cstheme="minorEastAsia"/>
          <w:b/>
          <w:kern w:val="2"/>
          <w:sz w:val="21"/>
          <w:szCs w:val="21"/>
        </w:rPr>
        <w:t>、项目基本情况</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（一）项目名称：长葛市</w:t>
      </w:r>
      <w:r>
        <w:rPr>
          <w:rFonts w:hint="eastAsia" w:asciiTheme="minorEastAsia" w:hAnsiTheme="minorEastAsia" w:eastAsiaTheme="minorEastAsia" w:cstheme="minorEastAsia"/>
          <w:sz w:val="21"/>
          <w:szCs w:val="21"/>
          <w:lang w:eastAsia="zh-CN"/>
        </w:rPr>
        <w:t>广播电视台影视综合体</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（二）项目编号：</w:t>
      </w:r>
      <w:r>
        <w:rPr>
          <w:rFonts w:hint="eastAsia" w:asciiTheme="minorEastAsia" w:hAnsiTheme="minorEastAsia" w:eastAsiaTheme="minorEastAsia" w:cstheme="minorEastAsia"/>
          <w:color w:val="000000" w:themeColor="text1"/>
          <w:sz w:val="21"/>
          <w:szCs w:val="21"/>
          <w14:textFill>
            <w14:solidFill>
              <w14:schemeClr w14:val="tx1"/>
            </w14:solidFill>
          </w14:textFill>
        </w:rPr>
        <w:t>长招采公字[2019]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072</w:t>
      </w:r>
      <w:r>
        <w:rPr>
          <w:rFonts w:hint="eastAsia" w:asciiTheme="minorEastAsia" w:hAnsiTheme="minorEastAsia" w:eastAsiaTheme="minorEastAsia" w:cstheme="minorEastAsia"/>
          <w:color w:val="000000" w:themeColor="text1"/>
          <w:sz w:val="21"/>
          <w:szCs w:val="21"/>
          <w14:textFill>
            <w14:solidFill>
              <w14:schemeClr w14:val="tx1"/>
            </w14:solidFill>
          </w14:textFill>
        </w:rPr>
        <w:t>号</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（三）采购方式：公开招标</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项目主要内容</w:t>
      </w:r>
      <w:r>
        <w:rPr>
          <w:rFonts w:hint="eastAsia" w:asciiTheme="minorEastAsia" w:hAnsiTheme="minorEastAsia" w:eastAsiaTheme="minorEastAsia" w:cstheme="minorEastAsia"/>
          <w:sz w:val="21"/>
          <w:szCs w:val="21"/>
        </w:rPr>
        <w:t>：长葛市</w:t>
      </w:r>
      <w:r>
        <w:rPr>
          <w:rFonts w:hint="eastAsia" w:asciiTheme="minorEastAsia" w:hAnsiTheme="minorEastAsia" w:eastAsiaTheme="minorEastAsia" w:cstheme="minorEastAsia"/>
          <w:sz w:val="21"/>
          <w:szCs w:val="21"/>
          <w:lang w:eastAsia="zh-CN"/>
        </w:rPr>
        <w:t>广播电视台影视综合体影剧院设备一批</w:t>
      </w:r>
      <w:r>
        <w:rPr>
          <w:rFonts w:hint="eastAsia" w:asciiTheme="minorEastAsia" w:hAnsiTheme="minorEastAsia" w:eastAsiaTheme="minorEastAsia" w:cstheme="minorEastAsia"/>
          <w:sz w:val="21"/>
          <w:szCs w:val="21"/>
        </w:rPr>
        <w:t>，详细参数要求见采购文件。</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（五）预算金额：2</w:t>
      </w:r>
      <w:r>
        <w:rPr>
          <w:rFonts w:hint="eastAsia" w:asciiTheme="minorEastAsia" w:hAnsiTheme="minorEastAsia" w:eastAsiaTheme="minorEastAsia" w:cstheme="minorEastAsia"/>
          <w:sz w:val="21"/>
          <w:szCs w:val="21"/>
          <w:lang w:val="en-US" w:eastAsia="zh-CN"/>
        </w:rPr>
        <w:t>00</w:t>
      </w:r>
      <w:r>
        <w:rPr>
          <w:rFonts w:hint="eastAsia" w:asciiTheme="minorEastAsia" w:hAnsiTheme="minorEastAsia" w:eastAsiaTheme="minorEastAsia" w:cstheme="minorEastAsia"/>
          <w:sz w:val="21"/>
          <w:szCs w:val="21"/>
        </w:rPr>
        <w:t>0000元。最高限价：2</w:t>
      </w:r>
      <w:r>
        <w:rPr>
          <w:rFonts w:hint="eastAsia" w:asciiTheme="minorEastAsia" w:hAnsiTheme="minorEastAsia" w:eastAsiaTheme="minorEastAsia" w:cstheme="minorEastAsia"/>
          <w:sz w:val="21"/>
          <w:szCs w:val="21"/>
          <w:lang w:val="en-US" w:eastAsia="zh-CN"/>
        </w:rPr>
        <w:t>00</w:t>
      </w:r>
      <w:r>
        <w:rPr>
          <w:rFonts w:hint="eastAsia" w:asciiTheme="minorEastAsia" w:hAnsiTheme="minorEastAsia" w:eastAsiaTheme="minorEastAsia" w:cstheme="minorEastAsia"/>
          <w:sz w:val="21"/>
          <w:szCs w:val="21"/>
        </w:rPr>
        <w:t>0000元。</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（六）交付（服务、完工）时间 ：</w:t>
      </w:r>
      <w:bookmarkStart w:id="0" w:name="交付日期"/>
      <w:r>
        <w:rPr>
          <w:rFonts w:hint="eastAsia" w:asciiTheme="minorEastAsia" w:hAnsiTheme="minorEastAsia" w:eastAsiaTheme="minorEastAsia" w:cstheme="minorEastAsia"/>
          <w:sz w:val="21"/>
          <w:szCs w:val="21"/>
        </w:rPr>
        <w:t>自合同生效之</w:t>
      </w:r>
      <w:r>
        <w:rPr>
          <w:rFonts w:hint="eastAsia" w:asciiTheme="minorEastAsia" w:hAnsiTheme="minorEastAsia" w:eastAsiaTheme="minorEastAsia" w:cstheme="minorEastAsia"/>
          <w:color w:val="000000" w:themeColor="text1"/>
          <w:sz w:val="21"/>
          <w:szCs w:val="21"/>
          <w14:textFill>
            <w14:solidFill>
              <w14:schemeClr w14:val="tx1"/>
            </w14:solidFill>
          </w14:textFill>
        </w:rPr>
        <w:t>日起</w:t>
      </w:r>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14:textFill>
            <w14:solidFill>
              <w14:schemeClr w14:val="tx1"/>
            </w14:solidFill>
          </w14:textFill>
        </w:rPr>
        <w:t>个工作日内</w:t>
      </w:r>
      <w:r>
        <w:rPr>
          <w:rFonts w:hint="eastAsia" w:asciiTheme="minorEastAsia" w:hAnsiTheme="minorEastAsia" w:eastAsiaTheme="minorEastAsia" w:cstheme="minorEastAsia"/>
          <w:sz w:val="21"/>
          <w:szCs w:val="21"/>
        </w:rPr>
        <w:t>。</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（七）交付（服务、完工）地点：采购人指定地点；</w:t>
      </w:r>
    </w:p>
    <w:p>
      <w:pPr>
        <w:pStyle w:val="22"/>
        <w:widowControl/>
        <w:shd w:val="clear" w:color="auto" w:fill="FFFFFF"/>
        <w:spacing w:line="360" w:lineRule="auto"/>
        <w:ind w:firstLine="420"/>
        <w:contextualSpacing/>
        <w:jc w:val="left"/>
        <w:rPr>
          <w:rFonts w:hint="eastAsia" w:asciiTheme="minorEastAsia" w:hAnsiTheme="minorEastAsia" w:eastAsiaTheme="minorEastAsia" w:cstheme="minorEastAsia"/>
          <w:sz w:val="21"/>
          <w:szCs w:val="21"/>
          <w:lang w:val="en-US" w:eastAsia="zh-CN"/>
        </w:rPr>
      </w:pPr>
      <w:r>
        <w:rPr>
          <w:rFonts w:hint="eastAsia" w:cs="仿宋_GB2312" w:asciiTheme="minorEastAsia" w:hAnsiTheme="minorEastAsia" w:eastAsiaTheme="minorEastAsia"/>
          <w:color w:val="000000"/>
          <w:sz w:val="21"/>
          <w:szCs w:val="21"/>
          <w:shd w:val="clear" w:color="auto" w:fill="FFFFFF"/>
        </w:rPr>
        <w:t>（八）进口产品：不允许。</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九</w:t>
      </w:r>
      <w:r>
        <w:rPr>
          <w:rFonts w:hint="eastAsia" w:asciiTheme="minorEastAsia" w:hAnsiTheme="minorEastAsia" w:eastAsiaTheme="minorEastAsia" w:cstheme="minorEastAsia"/>
          <w:sz w:val="21"/>
          <w:szCs w:val="21"/>
        </w:rPr>
        <w:t>）分包：不允许。</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二、需要落实的政府采购政策</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b w:val="0"/>
          <w:bCs/>
          <w:kern w:val="2"/>
          <w:sz w:val="21"/>
          <w:szCs w:val="21"/>
        </w:rPr>
      </w:pPr>
      <w:r>
        <w:rPr>
          <w:rFonts w:hint="eastAsia" w:asciiTheme="minorEastAsia" w:hAnsiTheme="minorEastAsia" w:eastAsiaTheme="minorEastAsia" w:cstheme="minorEastAsia"/>
          <w:b w:val="0"/>
          <w:bCs/>
          <w:kern w:val="2"/>
          <w:sz w:val="21"/>
          <w:szCs w:val="21"/>
        </w:rPr>
        <w:t>本项目落实节能环保、中小微型企业、监狱企业、残疾人福利性单位扶持等相关政府采购政策。</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三、投标人资格要求</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（一）符合《中华人民共和国政府采购法》第二十二条规定；</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b w:val="0"/>
          <w:bCs/>
          <w:kern w:val="2"/>
          <w:sz w:val="21"/>
          <w:szCs w:val="21"/>
        </w:rPr>
      </w:pPr>
      <w:r>
        <w:rPr>
          <w:rFonts w:hint="eastAsia" w:asciiTheme="minorEastAsia" w:hAnsiTheme="minorEastAsia" w:eastAsiaTheme="minorEastAsia" w:cstheme="minorEastAsia"/>
          <w:b w:val="0"/>
          <w:bCs/>
          <w:kern w:val="2"/>
          <w:sz w:val="21"/>
          <w:szCs w:val="21"/>
        </w:rPr>
        <w:t>(</w:t>
      </w:r>
      <w:r>
        <w:rPr>
          <w:rFonts w:hint="eastAsia" w:asciiTheme="minorEastAsia" w:hAnsiTheme="minorEastAsia" w:eastAsiaTheme="minorEastAsia" w:cstheme="minorEastAsia"/>
          <w:b w:val="0"/>
          <w:bCs/>
          <w:kern w:val="2"/>
          <w:sz w:val="21"/>
          <w:szCs w:val="21"/>
          <w:lang w:eastAsia="zh-CN"/>
        </w:rPr>
        <w:t>二</w:t>
      </w:r>
      <w:r>
        <w:rPr>
          <w:rFonts w:hint="eastAsia" w:asciiTheme="minorEastAsia" w:hAnsiTheme="minorEastAsia" w:eastAsiaTheme="minorEastAsia" w:cstheme="minorEastAsia"/>
          <w:b w:val="0"/>
          <w:bCs/>
          <w:kern w:val="2"/>
          <w:sz w:val="21"/>
          <w:szCs w:val="21"/>
        </w:rPr>
        <w:t>) 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b w:val="0"/>
          <w:bCs/>
          <w:kern w:val="2"/>
          <w:sz w:val="21"/>
          <w:szCs w:val="21"/>
        </w:rPr>
      </w:pPr>
      <w:r>
        <w:rPr>
          <w:rFonts w:hint="eastAsia" w:asciiTheme="minorEastAsia" w:hAnsiTheme="minorEastAsia" w:eastAsiaTheme="minorEastAsia" w:cstheme="minorEastAsia"/>
          <w:b w:val="0"/>
          <w:bCs/>
          <w:kern w:val="2"/>
          <w:sz w:val="21"/>
          <w:szCs w:val="21"/>
        </w:rPr>
        <w:t>（</w:t>
      </w:r>
      <w:r>
        <w:rPr>
          <w:rFonts w:hint="eastAsia" w:asciiTheme="minorEastAsia" w:hAnsiTheme="minorEastAsia" w:eastAsiaTheme="minorEastAsia" w:cstheme="minorEastAsia"/>
          <w:b w:val="0"/>
          <w:bCs/>
          <w:kern w:val="2"/>
          <w:sz w:val="21"/>
          <w:szCs w:val="21"/>
          <w:lang w:eastAsia="zh-CN"/>
        </w:rPr>
        <w:t>三</w:t>
      </w:r>
      <w:r>
        <w:rPr>
          <w:rFonts w:hint="eastAsia" w:asciiTheme="minorEastAsia" w:hAnsiTheme="minorEastAsia" w:eastAsiaTheme="minorEastAsia" w:cstheme="minorEastAsia"/>
          <w:b w:val="0"/>
          <w:bCs/>
          <w:kern w:val="2"/>
          <w:sz w:val="21"/>
          <w:szCs w:val="21"/>
        </w:rPr>
        <w:t>）本次招标不接受联合体投标。</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四、招标文件的获取</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（一）网上下载招标文件</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五、投标截止时间、开标时间及地点</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（一）投标截止及开标时间：</w:t>
      </w:r>
      <w:r>
        <w:rPr>
          <w:rFonts w:hint="eastAsia" w:asciiTheme="minorEastAsia" w:hAnsiTheme="minorEastAsia" w:eastAsiaTheme="minorEastAsia" w:cstheme="minorEastAsia"/>
          <w:color w:val="000000" w:themeColor="text1"/>
          <w:sz w:val="21"/>
          <w:szCs w:val="21"/>
          <w14:textFill>
            <w14:solidFill>
              <w14:schemeClr w14:val="tx1"/>
            </w14:solidFill>
          </w14:textFill>
        </w:rPr>
        <w:t>2019年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sz w:val="21"/>
          <w:szCs w:val="21"/>
        </w:rPr>
        <w:t>北京时间），逾期提交或不符合规定的投标文件不予接受。</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（二）开标地点：长葛市葛天大道东段商务区6#楼四楼</w:t>
      </w:r>
      <w:r>
        <w:rPr>
          <w:rFonts w:hint="eastAsia" w:asciiTheme="minorEastAsia" w:hAnsiTheme="minorEastAsia" w:eastAsiaTheme="minorEastAsia" w:cstheme="minorEastAsia"/>
          <w:color w:val="000000" w:themeColor="text1"/>
          <w:sz w:val="21"/>
          <w:szCs w:val="21"/>
          <w14:textFill>
            <w14:solidFill>
              <w14:schemeClr w14:val="tx1"/>
            </w14:solidFill>
          </w14:textFill>
        </w:rPr>
        <w:t>开标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14:textFill>
            <w14:solidFill>
              <w14:schemeClr w14:val="tx1"/>
            </w14:solidFill>
          </w14:textFill>
        </w:rPr>
        <w:t>室</w:t>
      </w:r>
      <w:r>
        <w:rPr>
          <w:rFonts w:hint="eastAsia" w:asciiTheme="minorEastAsia" w:hAnsiTheme="minorEastAsia" w:eastAsiaTheme="minorEastAsia" w:cstheme="minorEastAsia"/>
          <w:sz w:val="21"/>
          <w:szCs w:val="21"/>
        </w:rPr>
        <w:t>。</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（三）本项目为全流程电子化交易项目，投标人须提交电子投标文件和纸质投标文件。</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1、加密电子投标文件（.file格式）须在投标截止时间（开标时间）前通过《全国公共资源交易平台(河南省▪许昌市)》公共资源交易系统成功上传。</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2、纸质投标文件（正本、副本各1份）和备份文件1份（使用电子介质存储）在投标截止时间（开标时间）前递交至本项目开标地点。</w:t>
      </w:r>
    </w:p>
    <w:p>
      <w:pPr>
        <w:pStyle w:val="22"/>
        <w:widowControl/>
        <w:shd w:val="clear" w:color="auto" w:fill="FFFFFF"/>
        <w:spacing w:before="0" w:beforeAutospacing="0" w:after="0" w:afterAutospacing="0" w:line="360" w:lineRule="auto"/>
        <w:ind w:firstLine="422" w:firstLineChars="200"/>
        <w:contextualSpacing/>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六、本次采购公告同时在《河南省政府采购网》、《许昌市政府采购网》、《全国公共资源交易平台（河南省·许昌市）》发布。</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七、公告期限</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本招标公告自发布之日起公告期限为5个工作日。</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八、联系方式</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购</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人：长葛市</w:t>
      </w:r>
      <w:r>
        <w:rPr>
          <w:rFonts w:hint="eastAsia" w:asciiTheme="minorEastAsia" w:hAnsiTheme="minorEastAsia" w:eastAsiaTheme="minorEastAsia" w:cstheme="minorEastAsia"/>
          <w:sz w:val="21"/>
          <w:szCs w:val="21"/>
          <w:lang w:eastAsia="zh-CN"/>
        </w:rPr>
        <w:t>文化广电新闻出版局</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址：</w:t>
      </w:r>
      <w:r>
        <w:rPr>
          <w:rFonts w:hint="eastAsia" w:asciiTheme="minorEastAsia" w:hAnsiTheme="minorEastAsia" w:eastAsiaTheme="minorEastAsia" w:cstheme="minorEastAsia"/>
          <w:sz w:val="21"/>
          <w:szCs w:val="21"/>
          <w:lang w:eastAsia="zh-CN"/>
        </w:rPr>
        <w:t>长葛市泰山路</w:t>
      </w:r>
      <w:r>
        <w:rPr>
          <w:rFonts w:hint="eastAsia" w:asciiTheme="minorEastAsia" w:hAnsiTheme="minorEastAsia" w:eastAsiaTheme="minorEastAsia" w:cstheme="minorEastAsia"/>
          <w:sz w:val="21"/>
          <w:szCs w:val="21"/>
          <w:lang w:val="en-US" w:eastAsia="zh-CN"/>
        </w:rPr>
        <w:t>10号楼</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联  系 人：</w:t>
      </w:r>
      <w:r>
        <w:rPr>
          <w:rFonts w:hint="eastAsia" w:asciiTheme="minorEastAsia" w:hAnsiTheme="minorEastAsia" w:eastAsiaTheme="minorEastAsia" w:cstheme="minorEastAsia"/>
          <w:sz w:val="21"/>
          <w:szCs w:val="21"/>
          <w:lang w:eastAsia="zh-CN"/>
        </w:rPr>
        <w:t>韩先生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13213367888</w:t>
      </w:r>
    </w:p>
    <w:p>
      <w:pPr>
        <w:pStyle w:val="22"/>
        <w:widowControl/>
        <w:shd w:val="clear" w:color="auto" w:fill="FFFFFF"/>
        <w:spacing w:before="0" w:beforeAutospacing="0" w:after="0" w:afterAutospacing="0" w:line="360" w:lineRule="auto"/>
        <w:contextualSpacing/>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kern w:val="2"/>
          <w:sz w:val="21"/>
          <w:szCs w:val="21"/>
        </w:rPr>
        <w:t xml:space="preserve"> </w:t>
      </w:r>
      <w:r>
        <w:rPr>
          <w:rFonts w:hint="eastAsia" w:asciiTheme="minorEastAsia" w:hAnsiTheme="minorEastAsia" w:eastAsiaTheme="minorEastAsia" w:cstheme="minorEastAsia"/>
          <w:b/>
          <w:kern w:val="2"/>
          <w:sz w:val="21"/>
          <w:szCs w:val="21"/>
          <w:lang w:val="en-US" w:eastAsia="zh-CN"/>
        </w:rPr>
        <w:t xml:space="preserve">  </w:t>
      </w:r>
      <w:r>
        <w:rPr>
          <w:rFonts w:hint="eastAsia" w:asciiTheme="minorEastAsia" w:hAnsiTheme="minorEastAsia" w:eastAsiaTheme="minorEastAsia" w:cstheme="minorEastAsia"/>
          <w:b w:val="0"/>
          <w:bCs/>
          <w:kern w:val="2"/>
          <w:sz w:val="21"/>
          <w:szCs w:val="21"/>
          <w:lang w:val="en-US" w:eastAsia="zh-CN"/>
        </w:rPr>
        <w:t xml:space="preserve"> </w:t>
      </w: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集中采购机构：长葛市公共资源交易中心</w:t>
      </w:r>
    </w:p>
    <w:p>
      <w:pPr>
        <w:pStyle w:val="22"/>
        <w:widowControl/>
        <w:shd w:val="clear" w:color="auto" w:fill="FFFFFF"/>
        <w:spacing w:before="0" w:beforeAutospacing="0" w:after="0" w:afterAutospacing="0" w:line="360" w:lineRule="auto"/>
        <w:contextualSpacing/>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 xml:space="preserve">    地址：长葛市葛天大道东段商务区6#楼4楼</w:t>
      </w:r>
    </w:p>
    <w:p>
      <w:pPr>
        <w:pStyle w:val="22"/>
        <w:widowControl/>
        <w:shd w:val="clear" w:color="auto" w:fill="FFFFFF"/>
        <w:spacing w:before="0" w:beforeAutospacing="0" w:after="0" w:afterAutospacing="0" w:line="360" w:lineRule="auto"/>
        <w:ind w:firstLine="420"/>
        <w:contextualSpacing/>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联系人：政府采购二部            联系电话：0374-6189667</w:t>
      </w:r>
      <w:r>
        <w:rPr>
          <w:rFonts w:hint="eastAsia" w:asciiTheme="minorEastAsia" w:hAnsiTheme="minorEastAsia" w:eastAsiaTheme="minorEastAsia" w:cstheme="minorEastAsia"/>
          <w:b w:val="0"/>
          <w:bCs/>
          <w:color w:val="FF0000"/>
          <w:kern w:val="2"/>
          <w:sz w:val="21"/>
          <w:szCs w:val="21"/>
          <w:lang w:val="en-US" w:eastAsia="zh-CN"/>
        </w:rPr>
        <w:t xml:space="preserve">                         </w:t>
      </w:r>
    </w:p>
    <w:p>
      <w:pPr>
        <w:pStyle w:val="22"/>
        <w:widowControl/>
        <w:shd w:val="clear" w:color="auto" w:fill="FFFFFF"/>
        <w:spacing w:before="0" w:beforeAutospacing="0" w:after="0" w:afterAutospacing="0" w:line="360" w:lineRule="auto"/>
        <w:contextualSpacing/>
        <w:rPr>
          <w:rFonts w:hAnsi="宋体"/>
          <w:b/>
          <w:sz w:val="21"/>
          <w:szCs w:val="21"/>
        </w:rPr>
      </w:pPr>
      <w:r>
        <w:rPr>
          <w:rFonts w:hint="eastAsia" w:asciiTheme="minorEastAsia" w:hAnsiTheme="minorEastAsia" w:eastAsiaTheme="minorEastAsia" w:cstheme="minorEastAsia"/>
          <w:b/>
          <w:kern w:val="2"/>
          <w:sz w:val="21"/>
          <w:szCs w:val="21"/>
        </w:rPr>
        <w:t>温馨</w:t>
      </w:r>
      <w:r>
        <w:rPr>
          <w:rFonts w:hint="eastAsia" w:hAnsi="宋体"/>
          <w:b/>
          <w:sz w:val="21"/>
          <w:szCs w:val="21"/>
        </w:rPr>
        <w:t>提示：</w:t>
      </w:r>
    </w:p>
    <w:p>
      <w:pPr>
        <w:spacing w:line="360" w:lineRule="auto"/>
        <w:ind w:firstLine="422" w:firstLineChars="200"/>
        <w:rPr>
          <w:rFonts w:hAnsi="宋体"/>
          <w:b/>
          <w:sz w:val="21"/>
          <w:szCs w:val="21"/>
        </w:rPr>
      </w:pPr>
      <w:r>
        <w:rPr>
          <w:rFonts w:hint="eastAsia" w:hAnsi="宋体"/>
          <w:b/>
          <w:sz w:val="21"/>
          <w:szCs w:val="21"/>
        </w:rPr>
        <w:t>本项目为全流程电子化交易项目，请认真阅读招标文件，并注意以下事项。</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1.</w:t>
      </w:r>
      <w:r>
        <w:rPr>
          <w:rFonts w:hint="eastAsia" w:hAnsi="宋体"/>
          <w:b/>
          <w:sz w:val="2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sz w:val="24"/>
          <w:szCs w:val="21"/>
        </w:rPr>
      </w:pPr>
      <w:r>
        <w:rPr>
          <w:rFonts w:ascii="宋体" w:hAnsi="宋体"/>
          <w:b/>
          <w:sz w:val="21"/>
          <w:szCs w:val="21"/>
        </w:rPr>
        <w:t>2</w:t>
      </w:r>
      <w:r>
        <w:rPr>
          <w:rFonts w:ascii="宋体"/>
          <w:b/>
          <w:sz w:val="21"/>
          <w:szCs w:val="21"/>
        </w:rPr>
        <w:t>.</w:t>
      </w:r>
      <w:r>
        <w:rPr>
          <w:rFonts w:hint="eastAsia" w:hAnsi="宋体"/>
          <w:b/>
          <w:sz w:val="21"/>
          <w:szCs w:val="21"/>
        </w:rPr>
        <w:t>电子文件下载、制作、提交期间和开标（</w:t>
      </w:r>
      <w:r>
        <w:rPr>
          <w:rFonts w:hint="eastAsia" w:hAnsi="宋体"/>
          <w:sz w:val="21"/>
          <w:szCs w:val="21"/>
        </w:rPr>
        <w:t>电子投标文件的解密</w:t>
      </w:r>
      <w:r>
        <w:rPr>
          <w:rFonts w:hint="eastAsia" w:hAnsi="宋体"/>
          <w:b/>
          <w:sz w:val="21"/>
          <w:szCs w:val="21"/>
        </w:rPr>
        <w:t>）环节，投标人须</w:t>
      </w:r>
      <w:r>
        <w:rPr>
          <w:rFonts w:hint="eastAsia" w:hAnsi="宋体"/>
          <w:b/>
          <w:sz w:val="24"/>
          <w:szCs w:val="21"/>
        </w:rPr>
        <w:t>使用</w:t>
      </w:r>
      <w:r>
        <w:rPr>
          <w:rFonts w:hAnsi="宋体"/>
          <w:b/>
          <w:sz w:val="24"/>
          <w:szCs w:val="21"/>
        </w:rPr>
        <w:t>CA</w:t>
      </w:r>
      <w:r>
        <w:rPr>
          <w:rFonts w:hint="eastAsia" w:hAnsi="宋体"/>
          <w:b/>
          <w:sz w:val="21"/>
          <w:szCs w:val="21"/>
        </w:rPr>
        <w:t>数字证书（证书须在有效期内）。</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3</w:t>
      </w:r>
      <w:r>
        <w:rPr>
          <w:rFonts w:ascii="宋体"/>
          <w:b/>
          <w:sz w:val="21"/>
          <w:szCs w:val="21"/>
        </w:rPr>
        <w:t>.</w:t>
      </w:r>
      <w:r>
        <w:rPr>
          <w:rFonts w:hint="eastAsia" w:hAnsi="宋体"/>
          <w:b/>
          <w:sz w:val="21"/>
          <w:szCs w:val="21"/>
        </w:rPr>
        <w:t>电子投标文件的制作</w:t>
      </w:r>
    </w:p>
    <w:p>
      <w:pPr>
        <w:tabs>
          <w:tab w:val="left" w:pos="7095"/>
        </w:tabs>
        <w:spacing w:line="360" w:lineRule="auto"/>
        <w:ind w:firstLine="420" w:firstLineChars="200"/>
        <w:contextualSpacing/>
        <w:rPr>
          <w:rFonts w:hAnsi="宋体"/>
          <w:sz w:val="21"/>
          <w:szCs w:val="21"/>
        </w:rPr>
      </w:pPr>
      <w:r>
        <w:rPr>
          <w:rFonts w:ascii="宋体" w:hAnsi="宋体"/>
          <w:sz w:val="21"/>
          <w:szCs w:val="21"/>
        </w:rPr>
        <w:t>3.1</w:t>
      </w:r>
      <w:r>
        <w:rPr>
          <w:rFonts w:hint="eastAsia" w:hAnsi="宋体"/>
          <w:sz w:val="21"/>
          <w:szCs w:val="21"/>
        </w:rPr>
        <w:t>投标人登录《全国公共资源交易平台</w:t>
      </w:r>
      <w:r>
        <w:rPr>
          <w:rFonts w:ascii="宋体" w:hAnsi="宋体"/>
          <w:sz w:val="21"/>
          <w:szCs w:val="21"/>
        </w:rPr>
        <w:t>(</w:t>
      </w:r>
      <w:r>
        <w:rPr>
          <w:rFonts w:hint="eastAsia" w:hAnsi="宋体"/>
          <w:sz w:val="21"/>
          <w:szCs w:val="21"/>
        </w:rPr>
        <w:t>河南省</w:t>
      </w:r>
      <w:r>
        <w:rPr>
          <w:rFonts w:hint="eastAsia" w:ascii="MS Mincho" w:hAnsi="MS Mincho" w:eastAsia="MS Mincho" w:cs="MS Mincho"/>
          <w:sz w:val="21"/>
          <w:szCs w:val="21"/>
        </w:rPr>
        <w:t>▪</w:t>
      </w:r>
      <w:r>
        <w:rPr>
          <w:rFonts w:hint="eastAsia" w:hAnsi="宋体"/>
          <w:sz w:val="21"/>
          <w:szCs w:val="21"/>
        </w:rPr>
        <w:t>许昌市</w:t>
      </w:r>
      <w:r>
        <w:rPr>
          <w:rFonts w:ascii="宋体" w:hAnsi="宋体"/>
          <w:sz w:val="21"/>
          <w:szCs w:val="21"/>
        </w:rPr>
        <w:t>)</w:t>
      </w:r>
      <w:r>
        <w:rPr>
          <w:rFonts w:hint="eastAsia" w:hAnsi="宋体"/>
          <w:sz w:val="21"/>
          <w:szCs w:val="21"/>
        </w:rPr>
        <w:t>》公共资源交易系统（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28"/>
          <w:rFonts w:hAnsi="宋体"/>
          <w:color w:val="auto"/>
          <w:sz w:val="21"/>
          <w:szCs w:val="21"/>
        </w:rPr>
        <w:t>http://221.14.6.70:8088/ggzy/</w:t>
      </w:r>
      <w:r>
        <w:rPr>
          <w:rStyle w:val="28"/>
          <w:rFonts w:hAnsi="宋体"/>
          <w:color w:val="auto"/>
          <w:sz w:val="21"/>
          <w:szCs w:val="21"/>
        </w:rPr>
        <w:fldChar w:fldCharType="end"/>
      </w:r>
      <w:r>
        <w:rPr>
          <w:rFonts w:hint="eastAsia" w:hAnsi="宋体"/>
          <w:sz w:val="21"/>
          <w:szCs w:val="21"/>
        </w:rPr>
        <w:t>）下载“许昌投标文件制作系统</w:t>
      </w:r>
      <w:r>
        <w:rPr>
          <w:rFonts w:hAnsi="宋体"/>
          <w:sz w:val="21"/>
          <w:szCs w:val="21"/>
        </w:rPr>
        <w:t>SEARUN V1.</w:t>
      </w:r>
      <w:r>
        <w:rPr>
          <w:rFonts w:hint="eastAsia" w:hAnsi="宋体"/>
          <w:sz w:val="21"/>
          <w:szCs w:val="21"/>
        </w:rPr>
        <w:t>1”，按招标文件要求制作电子投标文件。</w:t>
      </w:r>
    </w:p>
    <w:p>
      <w:pPr>
        <w:tabs>
          <w:tab w:val="left" w:pos="7095"/>
        </w:tabs>
        <w:spacing w:line="360" w:lineRule="auto"/>
        <w:ind w:firstLine="420" w:firstLineChars="200"/>
        <w:contextualSpacing/>
        <w:rPr>
          <w:rFonts w:hAnsi="宋体"/>
          <w:sz w:val="21"/>
          <w:szCs w:val="21"/>
        </w:rPr>
      </w:pPr>
      <w:r>
        <w:rPr>
          <w:rFonts w:hint="eastAsia" w:hAnsi="宋体"/>
          <w:sz w:val="21"/>
          <w:szCs w:val="21"/>
        </w:rPr>
        <w:t>电子投标文件的制作，参考《全国公共资源交易平台</w:t>
      </w:r>
      <w:r>
        <w:rPr>
          <w:rFonts w:ascii="宋体" w:hAnsi="宋体"/>
          <w:sz w:val="21"/>
          <w:szCs w:val="21"/>
        </w:rPr>
        <w:t>(</w:t>
      </w:r>
      <w:r>
        <w:rPr>
          <w:rFonts w:hint="eastAsia" w:hAnsi="宋体"/>
          <w:sz w:val="21"/>
          <w:szCs w:val="21"/>
        </w:rPr>
        <w:t>河南省</w:t>
      </w:r>
      <w:r>
        <w:rPr>
          <w:rFonts w:hint="eastAsia" w:ascii="MS Mincho" w:hAnsi="MS Mincho" w:eastAsia="MS Mincho" w:cs="MS Mincho"/>
          <w:sz w:val="21"/>
          <w:szCs w:val="21"/>
        </w:rPr>
        <w:t>▪</w:t>
      </w:r>
      <w:r>
        <w:rPr>
          <w:rFonts w:hint="eastAsia" w:ascii="宋体" w:hAnsi="宋体" w:cs="宋体"/>
          <w:sz w:val="21"/>
          <w:szCs w:val="21"/>
        </w:rPr>
        <w:t>许昌市</w:t>
      </w:r>
      <w:r>
        <w:rPr>
          <w:rFonts w:ascii="宋体" w:hAnsi="宋体"/>
          <w:sz w:val="21"/>
          <w:szCs w:val="21"/>
        </w:rPr>
        <w:t>)</w:t>
      </w:r>
      <w:r>
        <w:rPr>
          <w:rFonts w:hint="eastAsia" w:hAnsi="宋体"/>
          <w:sz w:val="21"/>
          <w:szCs w:val="21"/>
        </w:rPr>
        <w:t>》公共资源交易系统</w:t>
      </w:r>
      <w:r>
        <w:rPr>
          <w:rFonts w:hAnsi="宋体"/>
          <w:sz w:val="21"/>
          <w:szCs w:val="21"/>
        </w:rPr>
        <w:t>——</w:t>
      </w:r>
      <w:r>
        <w:rPr>
          <w:rFonts w:hint="eastAsia" w:hAnsi="宋体"/>
          <w:sz w:val="21"/>
          <w:szCs w:val="21"/>
        </w:rPr>
        <w:t>组件下载</w:t>
      </w:r>
      <w:r>
        <w:rPr>
          <w:rFonts w:hAnsi="宋体"/>
          <w:sz w:val="21"/>
          <w:szCs w:val="21"/>
        </w:rPr>
        <w:t>——</w:t>
      </w:r>
      <w:r>
        <w:rPr>
          <w:rFonts w:hint="eastAsia" w:hAnsi="宋体"/>
          <w:sz w:val="21"/>
          <w:szCs w:val="21"/>
        </w:rPr>
        <w:t>交易系统操作手册（投标人、供应商）。</w:t>
      </w:r>
    </w:p>
    <w:p>
      <w:pPr>
        <w:tabs>
          <w:tab w:val="left" w:pos="7095"/>
        </w:tabs>
        <w:spacing w:line="360" w:lineRule="auto"/>
        <w:ind w:firstLine="420" w:firstLineChars="200"/>
        <w:contextualSpacing/>
        <w:rPr>
          <w:rFonts w:hAnsi="宋体"/>
          <w:sz w:val="21"/>
          <w:szCs w:val="21"/>
        </w:rPr>
      </w:pPr>
      <w:r>
        <w:rPr>
          <w:rFonts w:ascii="宋体" w:hAnsi="宋体"/>
          <w:sz w:val="21"/>
          <w:szCs w:val="21"/>
        </w:rPr>
        <w:t>3</w:t>
      </w:r>
      <w:r>
        <w:rPr>
          <w:rFonts w:ascii="宋体"/>
          <w:sz w:val="21"/>
          <w:szCs w:val="21"/>
        </w:rPr>
        <w:t>.</w:t>
      </w:r>
      <w:r>
        <w:rPr>
          <w:rFonts w:ascii="宋体" w:hAnsi="宋体"/>
          <w:sz w:val="21"/>
          <w:szCs w:val="21"/>
        </w:rPr>
        <w:t>2</w:t>
      </w:r>
      <w:r>
        <w:rPr>
          <w:rFonts w:hint="eastAsia" w:hAnsi="宋体"/>
          <w:sz w:val="2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 w:val="21"/>
          <w:szCs w:val="21"/>
        </w:rPr>
      </w:pPr>
      <w:r>
        <w:rPr>
          <w:rFonts w:ascii="宋体" w:hAnsi="宋体"/>
          <w:sz w:val="21"/>
          <w:szCs w:val="21"/>
        </w:rPr>
        <w:t>3.3</w:t>
      </w:r>
      <w:r>
        <w:rPr>
          <w:rFonts w:hint="eastAsia" w:hAnsi="宋体"/>
          <w:sz w:val="2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sz w:val="21"/>
          <w:szCs w:val="21"/>
        </w:rPr>
      </w:pPr>
      <w:r>
        <w:rPr>
          <w:rFonts w:hint="eastAsia" w:hAnsi="宋体"/>
          <w:sz w:val="21"/>
          <w:szCs w:val="21"/>
        </w:rPr>
        <w:t>一个标段对应生成一个文件夹（</w:t>
      </w:r>
      <w:r>
        <w:rPr>
          <w:rFonts w:hAnsi="宋体"/>
          <w:sz w:val="21"/>
          <w:szCs w:val="21"/>
        </w:rPr>
        <w:t>xxxx</w:t>
      </w:r>
      <w:r>
        <w:rPr>
          <w:rFonts w:hint="eastAsia" w:hAnsi="宋体"/>
          <w:sz w:val="21"/>
          <w:szCs w:val="21"/>
        </w:rPr>
        <w:t>项目</w:t>
      </w:r>
      <w:r>
        <w:rPr>
          <w:rFonts w:hAnsi="宋体"/>
          <w:sz w:val="21"/>
          <w:szCs w:val="21"/>
        </w:rPr>
        <w:t>xx</w:t>
      </w:r>
      <w:r>
        <w:rPr>
          <w:rFonts w:hint="eastAsia" w:hAnsi="宋体"/>
          <w:sz w:val="21"/>
          <w:szCs w:val="21"/>
        </w:rPr>
        <w:t>标段）</w:t>
      </w:r>
      <w:r>
        <w:rPr>
          <w:rFonts w:hAnsi="宋体"/>
          <w:sz w:val="21"/>
          <w:szCs w:val="21"/>
        </w:rPr>
        <w:t xml:space="preserve">, </w:t>
      </w:r>
      <w:r>
        <w:rPr>
          <w:rFonts w:hint="eastAsia" w:hAnsi="宋体"/>
          <w:sz w:val="21"/>
          <w:szCs w:val="21"/>
        </w:rPr>
        <w:t>其中包含</w:t>
      </w:r>
      <w:r>
        <w:rPr>
          <w:rFonts w:hAnsi="宋体"/>
          <w:sz w:val="21"/>
          <w:szCs w:val="21"/>
        </w:rPr>
        <w:t>2</w:t>
      </w:r>
      <w:r>
        <w:rPr>
          <w:rFonts w:hint="eastAsia" w:hAnsi="宋体"/>
          <w:sz w:val="21"/>
          <w:szCs w:val="21"/>
        </w:rPr>
        <w:t>个文件和</w:t>
      </w:r>
      <w:r>
        <w:rPr>
          <w:rFonts w:hAnsi="宋体"/>
          <w:sz w:val="21"/>
          <w:szCs w:val="21"/>
        </w:rPr>
        <w:t>1</w:t>
      </w:r>
      <w:r>
        <w:rPr>
          <w:rFonts w:hint="eastAsia" w:hAnsi="宋体"/>
          <w:sz w:val="21"/>
          <w:szCs w:val="21"/>
        </w:rPr>
        <w:t>个文件夹。后缀名为“</w:t>
      </w:r>
      <w:r>
        <w:rPr>
          <w:rFonts w:hAnsi="宋体"/>
          <w:sz w:val="21"/>
          <w:szCs w:val="21"/>
        </w:rPr>
        <w:t>.file</w:t>
      </w:r>
      <w:r>
        <w:rPr>
          <w:rFonts w:hint="eastAsia" w:hAnsi="宋体"/>
          <w:sz w:val="21"/>
          <w:szCs w:val="21"/>
        </w:rPr>
        <w:t>”的文件用于电子投标使用，后缀名为“</w:t>
      </w:r>
      <w:r>
        <w:rPr>
          <w:rFonts w:hAnsi="宋体"/>
          <w:sz w:val="21"/>
          <w:szCs w:val="21"/>
        </w:rPr>
        <w:t>.PDF</w:t>
      </w:r>
      <w:r>
        <w:rPr>
          <w:rFonts w:hint="eastAsia" w:hAnsi="宋体"/>
          <w:sz w:val="2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4</w:t>
      </w:r>
      <w:r>
        <w:rPr>
          <w:rFonts w:ascii="宋体"/>
          <w:b/>
          <w:sz w:val="21"/>
          <w:szCs w:val="21"/>
        </w:rPr>
        <w:t>.</w:t>
      </w:r>
      <w:r>
        <w:rPr>
          <w:rFonts w:hint="eastAsia" w:ascii="宋体" w:hAnsi="宋体"/>
          <w:b/>
          <w:sz w:val="21"/>
          <w:szCs w:val="21"/>
        </w:rPr>
        <w:t>加密</w:t>
      </w:r>
      <w:r>
        <w:rPr>
          <w:rFonts w:hint="eastAsia" w:hAnsi="宋体"/>
          <w:b/>
          <w:sz w:val="21"/>
          <w:szCs w:val="21"/>
        </w:rPr>
        <w:t>电子投标文件的提交</w:t>
      </w:r>
    </w:p>
    <w:p>
      <w:pPr>
        <w:tabs>
          <w:tab w:val="left" w:pos="7095"/>
        </w:tabs>
        <w:spacing w:line="360" w:lineRule="auto"/>
        <w:ind w:left="525" w:leftChars="250"/>
        <w:contextualSpacing/>
        <w:rPr>
          <w:rFonts w:hAnsi="宋体"/>
          <w:sz w:val="21"/>
          <w:szCs w:val="21"/>
        </w:rPr>
      </w:pPr>
      <w:r>
        <w:rPr>
          <w:rFonts w:ascii="宋体" w:hAnsi="宋体"/>
          <w:sz w:val="21"/>
          <w:szCs w:val="21"/>
        </w:rPr>
        <w:t>4.1</w:t>
      </w:r>
      <w:r>
        <w:rPr>
          <w:rFonts w:hint="eastAsia" w:ascii="宋体" w:hAnsi="宋体"/>
          <w:sz w:val="21"/>
          <w:szCs w:val="21"/>
        </w:rPr>
        <w:t>加密</w:t>
      </w:r>
      <w:r>
        <w:rPr>
          <w:rFonts w:hint="eastAsia" w:hAnsi="宋体"/>
          <w:sz w:val="21"/>
          <w:szCs w:val="21"/>
        </w:rPr>
        <w:t>电子投标文件应在招标文件规定的投标截止时间（开标时间）之前成功提交至《全国公共资源交易平台</w:t>
      </w:r>
      <w:r>
        <w:rPr>
          <w:rFonts w:hAnsi="宋体"/>
          <w:sz w:val="21"/>
          <w:szCs w:val="21"/>
        </w:rPr>
        <w:t>(</w:t>
      </w:r>
      <w:r>
        <w:rPr>
          <w:rFonts w:hint="eastAsia" w:hAnsi="宋体"/>
          <w:sz w:val="21"/>
          <w:szCs w:val="21"/>
        </w:rPr>
        <w:t>河南省</w:t>
      </w:r>
      <w:r>
        <w:rPr>
          <w:rFonts w:hint="eastAsia" w:ascii="MS Mincho" w:hAnsi="MS Mincho" w:eastAsia="MS Mincho" w:cs="MS Mincho"/>
          <w:sz w:val="21"/>
          <w:szCs w:val="21"/>
        </w:rPr>
        <w:t>▪</w:t>
      </w:r>
      <w:r>
        <w:rPr>
          <w:rFonts w:hint="eastAsia" w:ascii="宋体" w:hAnsi="宋体" w:cs="宋体"/>
          <w:sz w:val="21"/>
          <w:szCs w:val="21"/>
        </w:rPr>
        <w:t>许昌市</w:t>
      </w:r>
      <w:r>
        <w:rPr>
          <w:rFonts w:hAnsi="宋体"/>
          <w:sz w:val="21"/>
          <w:szCs w:val="21"/>
        </w:rPr>
        <w:t>)</w:t>
      </w:r>
      <w:r>
        <w:rPr>
          <w:rFonts w:hint="eastAsia" w:hAnsi="宋体"/>
          <w:sz w:val="21"/>
          <w:szCs w:val="21"/>
        </w:rPr>
        <w:t>》公共资源交易系统（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28"/>
          <w:rFonts w:hAnsi="宋体"/>
          <w:color w:val="auto"/>
          <w:sz w:val="21"/>
          <w:szCs w:val="21"/>
        </w:rPr>
        <w:t>http://221.14.6.70:8088/ggzy/</w:t>
      </w:r>
      <w:r>
        <w:rPr>
          <w:rStyle w:val="28"/>
          <w:rFonts w:hAnsi="宋体"/>
          <w:color w:val="auto"/>
          <w:sz w:val="21"/>
          <w:szCs w:val="21"/>
        </w:rPr>
        <w:fldChar w:fldCharType="end"/>
      </w:r>
      <w:r>
        <w:rPr>
          <w:rFonts w:hint="eastAsia" w:hAnsi="宋体"/>
          <w:sz w:val="21"/>
          <w:szCs w:val="21"/>
        </w:rPr>
        <w:t>）。</w:t>
      </w:r>
    </w:p>
    <w:p>
      <w:pPr>
        <w:tabs>
          <w:tab w:val="left" w:pos="7095"/>
        </w:tabs>
        <w:spacing w:line="360" w:lineRule="auto"/>
        <w:ind w:firstLine="420" w:firstLineChars="200"/>
        <w:contextualSpacing/>
        <w:rPr>
          <w:rFonts w:hAnsi="宋体"/>
          <w:sz w:val="21"/>
          <w:szCs w:val="21"/>
        </w:rPr>
      </w:pPr>
      <w:r>
        <w:rPr>
          <w:rFonts w:hint="eastAsia" w:hAnsi="宋体"/>
          <w:sz w:val="21"/>
          <w:szCs w:val="21"/>
        </w:rPr>
        <w:t>投标人应充分考虑并预留技术处理和上传数据所需时间。</w:t>
      </w:r>
    </w:p>
    <w:p>
      <w:pPr>
        <w:tabs>
          <w:tab w:val="left" w:pos="7095"/>
        </w:tabs>
        <w:spacing w:line="360" w:lineRule="auto"/>
        <w:ind w:firstLine="420" w:firstLineChars="200"/>
        <w:contextualSpacing/>
        <w:rPr>
          <w:rFonts w:hAnsi="宋体"/>
          <w:sz w:val="21"/>
          <w:szCs w:val="21"/>
        </w:rPr>
      </w:pPr>
      <w:r>
        <w:rPr>
          <w:rFonts w:ascii="宋体" w:hAnsi="宋体"/>
          <w:sz w:val="21"/>
          <w:szCs w:val="21"/>
        </w:rPr>
        <w:t xml:space="preserve">4.2 </w:t>
      </w:r>
      <w:r>
        <w:rPr>
          <w:rFonts w:hint="eastAsia" w:hAnsi="宋体"/>
          <w:sz w:val="21"/>
          <w:szCs w:val="21"/>
        </w:rPr>
        <w:t>投标人对同一项目多个标段进行投标的，加密电子投标文件应按标段分别提交。</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5</w:t>
      </w:r>
      <w:r>
        <w:rPr>
          <w:rFonts w:ascii="宋体"/>
          <w:b/>
          <w:sz w:val="21"/>
          <w:szCs w:val="21"/>
        </w:rPr>
        <w:t>.</w:t>
      </w:r>
      <w:r>
        <w:rPr>
          <w:rFonts w:hint="eastAsia" w:hAnsi="宋体"/>
          <w:b/>
          <w:sz w:val="21"/>
          <w:szCs w:val="21"/>
        </w:rPr>
        <w:t>评标依据</w:t>
      </w:r>
    </w:p>
    <w:p>
      <w:pPr>
        <w:tabs>
          <w:tab w:val="left" w:pos="7095"/>
        </w:tabs>
        <w:spacing w:line="360" w:lineRule="auto"/>
        <w:ind w:firstLine="420" w:firstLineChars="200"/>
        <w:contextualSpacing/>
        <w:rPr>
          <w:rFonts w:hAnsi="宋体"/>
          <w:sz w:val="21"/>
          <w:szCs w:val="21"/>
        </w:rPr>
      </w:pPr>
      <w:r>
        <w:rPr>
          <w:rFonts w:ascii="宋体" w:hAnsi="宋体"/>
          <w:sz w:val="21"/>
          <w:szCs w:val="21"/>
        </w:rPr>
        <w:t>5.1</w:t>
      </w:r>
      <w:r>
        <w:rPr>
          <w:rFonts w:hint="eastAsia" w:hAnsi="宋体"/>
          <w:sz w:val="21"/>
          <w:szCs w:val="21"/>
        </w:rPr>
        <w:t>采用全流程电子化交易评标时，评标委员会以电子投标文件为依据评标。</w:t>
      </w:r>
    </w:p>
    <w:p>
      <w:pPr>
        <w:pageBreakBefore/>
        <w:numPr>
          <w:ilvl w:val="0"/>
          <w:numId w:val="3"/>
        </w:numPr>
        <w:jc w:val="center"/>
        <w:rPr>
          <w:rFonts w:ascii="宋体" w:cs="宋体"/>
          <w:b/>
          <w:kern w:val="0"/>
          <w:sz w:val="40"/>
          <w:szCs w:val="32"/>
        </w:rPr>
      </w:pPr>
      <w:r>
        <w:rPr>
          <w:rFonts w:hint="eastAsia" w:ascii="宋体" w:hAnsi="宋体" w:cs="宋体"/>
          <w:b/>
          <w:kern w:val="0"/>
          <w:sz w:val="40"/>
          <w:szCs w:val="32"/>
        </w:rPr>
        <w:t>项目需求</w:t>
      </w:r>
    </w:p>
    <w:p>
      <w:pPr>
        <w:numPr>
          <w:ilvl w:val="0"/>
          <w:numId w:val="4"/>
        </w:numPr>
        <w:ind w:firstLine="482" w:firstLineChars="200"/>
        <w:rPr>
          <w:b/>
          <w:bCs/>
          <w:sz w:val="24"/>
        </w:rPr>
      </w:pPr>
      <w:bookmarkStart w:id="1" w:name="_Hlk8739259"/>
      <w:r>
        <w:rPr>
          <w:rFonts w:hint="eastAsia"/>
          <w:b/>
          <w:bCs/>
          <w:sz w:val="24"/>
        </w:rPr>
        <w:t>采购</w:t>
      </w:r>
      <w:r>
        <w:rPr>
          <w:rFonts w:hint="eastAsia"/>
          <w:b/>
          <w:bCs/>
          <w:sz w:val="24"/>
          <w:lang w:eastAsia="zh-CN"/>
        </w:rPr>
        <w:t>清单</w:t>
      </w:r>
    </w:p>
    <w:p>
      <w:pPr>
        <w:pStyle w:val="2"/>
        <w:numPr>
          <w:ilvl w:val="0"/>
          <w:numId w:val="5"/>
        </w:numPr>
        <w:spacing w:after="0" w:line="360" w:lineRule="auto"/>
        <w:ind w:firstLine="482" w:firstLineChars="200"/>
        <w:rPr>
          <w:rFonts w:hint="eastAsia" w:eastAsia="宋体"/>
          <w:b/>
          <w:bCs/>
          <w:sz w:val="24"/>
          <w:szCs w:val="24"/>
          <w:lang w:val="en-US" w:eastAsia="zh-CN"/>
        </w:rPr>
      </w:pPr>
      <w:r>
        <w:rPr>
          <w:rFonts w:hint="eastAsia"/>
          <w:b/>
          <w:bCs/>
          <w:sz w:val="24"/>
          <w:szCs w:val="24"/>
          <w:lang w:val="en-US" w:eastAsia="zh-CN"/>
        </w:rPr>
        <w:t>采购清单</w:t>
      </w:r>
    </w:p>
    <w:tbl>
      <w:tblPr>
        <w:tblStyle w:val="29"/>
        <w:tblW w:w="9811" w:type="dxa"/>
        <w:tblInd w:w="-191" w:type="dxa"/>
        <w:shd w:val="clear" w:color="auto" w:fill="auto"/>
        <w:tblLayout w:type="fixed"/>
        <w:tblCellMar>
          <w:top w:w="0" w:type="dxa"/>
          <w:left w:w="0" w:type="dxa"/>
          <w:bottom w:w="0" w:type="dxa"/>
          <w:right w:w="0" w:type="dxa"/>
        </w:tblCellMar>
      </w:tblPr>
      <w:tblGrid>
        <w:gridCol w:w="386"/>
        <w:gridCol w:w="1036"/>
        <w:gridCol w:w="7380"/>
        <w:gridCol w:w="518"/>
        <w:gridCol w:w="491"/>
      </w:tblGrid>
      <w:tr>
        <w:tblPrEx>
          <w:shd w:val="clear" w:color="auto" w:fill="auto"/>
          <w:tblLayout w:type="fixed"/>
          <w:tblCellMar>
            <w:top w:w="0" w:type="dxa"/>
            <w:left w:w="0" w:type="dxa"/>
            <w:bottom w:w="0" w:type="dxa"/>
            <w:right w:w="0" w:type="dxa"/>
          </w:tblCellMar>
        </w:tblPrEx>
        <w:trPr>
          <w:trHeight w:val="270"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货物名称</w:t>
            </w:r>
          </w:p>
        </w:tc>
        <w:tc>
          <w:tcPr>
            <w:tcW w:w="73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技术参数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w:t>
            </w:r>
          </w:p>
        </w:tc>
      </w:tr>
      <w:tr>
        <w:tblPrEx>
          <w:tblLayout w:type="fixed"/>
          <w:tblCellMar>
            <w:top w:w="0" w:type="dxa"/>
            <w:left w:w="0" w:type="dxa"/>
            <w:bottom w:w="0" w:type="dxa"/>
            <w:right w:w="0"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285" w:hRule="atLeast"/>
        </w:trPr>
        <w:tc>
          <w:tcPr>
            <w:tcW w:w="9811"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一、LED显示系统</w:t>
            </w:r>
          </w:p>
        </w:tc>
      </w:tr>
      <w:tr>
        <w:tblPrEx>
          <w:tblLayout w:type="fixed"/>
          <w:tblCellMar>
            <w:top w:w="0" w:type="dxa"/>
            <w:left w:w="0" w:type="dxa"/>
            <w:bottom w:w="0" w:type="dxa"/>
            <w:right w:w="0" w:type="dxa"/>
          </w:tblCellMar>
        </w:tblPrEx>
        <w:trPr>
          <w:trHeight w:val="5389"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LED显示屏</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大屏尺寸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1.采用P3的全彩显示屏，灯珠为2121灯珠或者更小尺寸灯珠，采用高刷IC的LED屏。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2.其中主屏9.92米*4.8米；两块侧屏单块1.92米*4米。不包含包边部分。投标人所投宽度、高度不得低于以上尺寸。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二、显示单元技术指标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1.像素结构 表贴三合一或COB；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*2.像素点间距要求：≤3mm；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3.像素密度要求：≥111111点/㎡；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*4.无故障运行时间（h） ≥6000；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*5.色温（开氏度） 2200—9500可调；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*6.水平视角（ 度） ≥165；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*7.垂直视角（ 度）≥ 165；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8.灰度等级（bit） 16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9.亮度均匀性（校正后） ≥97%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10.白平衡亮度（尼特） ≥700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*11.最大对比度 5000：1；</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*12.拼接和平整度 模组与模组之间和箱体与箱体之间≤0.1mm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大屏可视化播控软件</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1、支持8K超高清视频硬件解码，降低电脑CPU占用率；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2、具有编辑渲染/丢帧渲染等渲染方式；支持软解/硬解解码方式，输出图像帧率1-60Hz任意调整；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3、支持多级抗锯齿处理，消除图像输出边缘凹凸锯齿现象；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4、强大的解码能力：视频格式支持mp4,avi,mkv,flv,mov,wmv,asf,mpeg,mpg,tp,ts,m2ts,vob,rmvb,rm,ram,divx,evo,ogm,m1v,m4v,mpe,3gp,webm等，音频格式支持mp3,mp2,mpa,aac,ogg,wav,wma,ape,ac3,flac,m1a,m2a,m4a,ra,dts,dtshd</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jpg,jpeg,bmp,png,gif,tif,tiff,ico等，图片格式支持，JPG/JPEG，BMP，PNG，GIF，TIFF等；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5、支持网络流媒体/网页/office等多种文件播放管理；Word/PPT实现自动翻页滚动播放；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6、支持字幕/图文/倒计时/数字时钟/模拟时钟/表格/天气等多种小工具；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7、支持图像的分割重组，完成不同角度的拼接显示；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8、支持画面透明度/羽化/亮度/对比度调整，支持画面旋转/镜像显示；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9、支持多文件列表播放，单文件循环播放等多种播放方式；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10、支持场景预存、读取和自动轮巡，不限制场景保存数量；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11、支持场景/画面的淡入淡出无缝切换，无黑屏、花屏、闪屏等不良现象；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12、支持素材可独立播放预览，确保播放无失误。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13、支持素材标签管理，可根据不同应用场景对素材进行分类管理；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14、具有屏幕管理系统，任意设定屏幕大小和数量，可视化编播管理，所见即所得；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15、支持一键锁定，防止误操作；</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8693"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LED视频处理器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本项目配置：输出：12路DVI输出；每路输出可实现4个视频窗口开窗显示，输入：8路高清信号（4DVI信号\4路HDMI），不满足视为无效投标；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1.信号可在拼接屏的任意位置开窗、叠加、拉伸、漫游、跨屏、缩放或画中画显示。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2.在不增加外部设备的情况下，支持在大屏上显示滚动字幕（如欢迎词等），字体大小、颜色、滚动速度可自定义。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3.信号源支持自定义名称，便于信号源管理。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4.支持信号源裁剪，以便于实现去掉信号源的黑边或实现图像重点区域的放大显示。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5.支持信号源及拼接布局的本地预监，可在控制软件上实时观看视频源及拼接的画面。（需配置预监卡）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6.内部支持4K@30/1080P@60满帧处理。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7.窗口布局时支持窗口锁定功能，避免误操作。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8.支持开窗及场景预布局，预布局过程中，拼接屏显示画面不受影响。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9.支持预存场景，支持场景一键切换，支持场景轮巡。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10.输出通道映射，可随意调整输出通道顺序。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11.多组屏管理，支持不同输出分辨率拼接墙同时控制，同一分辨率的拼接屏组数不受限制。每组屏幕可设置不同的拼接参数，包括屏幕的数量、屏幕排列、显示分辨率、显示器类型等。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12.支持手持设备对拼接处理器的管控，包括手机、iPad等。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*13.逆场同步技术，画面无缝同步切换，无黑场，无延时，切换时间&lt;=20ms。</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*14.多组屏管理，支持多组拼接墙同时控制，多组屏的数量不受限制。</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*15.支持全面可视化操作，信号源可视化、大屏状态可视化、场景预览可视化等。</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*16.精细化分级权限管理，分区分权操作;支持多用户同步操作，操作界面实时同步。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17.支持自定义输出分辨率，4K输出，并将自定义的分辨率添加到系统默认列表中。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18.在不增加外部设备的情况下，支持在输入源上增加文字或者图片作为输入源的标识，标识的字体、字体大小、颜色、背景颜色可自定义，标识整体的大小可根据实际情况调整。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在不增加外部设备的情况下，支持在拼接屏上显示静态条幅，条幅布局可选，排版可调，背景颜色及透明度分区域可配，字体类型、大小、颜色、对齐方式、字间距分区域可配，可实时显示日期和时间且格式可选，时间来源可以是本地也可以从远程服务器获取，条幅内容可编辑文字或者导入图片，支持条幅场景保存和调用。</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LED控制器-发送卡</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数据发送主控：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 一路 DVI 视频输入；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 4个网口输出；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 USB 接口控制，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4、输出辨率分4个网口共2560*1024，支持最大分辨率内的任意分辨率；每个网口为1280*512（或同等面积）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5.单卡最大带载面积：2620720点; 单卡最宽可达2560点，最高可达1600点；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LED控制器-接收卡</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数据接收卡：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1、与LED屏发送卡配套。</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配电箱</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满足最大60KW负荷的供电。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2、内置多功能卡，可实现电脑端开关大屏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3、主要元器件采用正泰。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 设置主屏、侧屏分区域供电。</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1022"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结构框架</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壁挂或固定安装，国标镀锌钢结构。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 整体厚度约15CM，前维护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 包含屏体的订制不锈钢包边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备品备件</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同批次备品模组6张，接收卡2张，电源2块。含设备运输、搬运</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舞台台口显示屏</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单色红色14米*1米</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电缆、网线及安装调试</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1、动力室到LED配电箱用YJV5*16规格，预计100米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2、LED配电箱到LED屏部分，采用RVV3*2.5规格。21路，单路90米。含管线敷设。打孔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3、六类国标，配电箱到电脑2根，100米；电脑到大屏32根，100米。合计3400米，含布线施工。</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411" w:hRule="atLeast"/>
        </w:trPr>
        <w:tc>
          <w:tcPr>
            <w:tcW w:w="9811"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二、高清投影显示系统</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高清激光工程投影机</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1.芯片 ≥0.76英寸 对角线(16：10宽高比),透射式LCD面板× 3</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*2.光源技术： 激光光源（普通模式≥20000小时；节能模式≥24000小时）；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*3.亮度≥7000流明（中心亮度）；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4.均匀性≥90%；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5.对比度≥3000000：1；</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6.物理分辨率≥ 1920 x1200像素；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*7.位移：垂直： ≥±67%， 水平：≥ ±35%；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8.梯形校正：：垂直: ±25°, 水平: ±30°；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*9.机身重量≤18KG（含镜头）；内置10W扬声器;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*10.噪音水平：≤33dB (普通模式), ≤26dB (静音模式)；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*11.投影机标准镜头具备超宽的变焦范围，投射比值可达1.6-2.8 : 1，能满足大范围的安装要求;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12.具备7色彩校正功能，可以调整多台投影系统中每个投影单元的细微色彩差异;具有动态光圈功能;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13.具备可重复使用的ECO过滤网，更换周期长达20000小时，可水洗及循环使用。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*14.具备强光色彩感应功能，即使在明亮的环境下，投影图像仍清晰可见、色彩艳丽。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15.具备节能管理系统，可有效降低设备功耗;具备高效冷却系统，可在0℃-45℃环境温度下运行;具备镜头电动位移、变焦和聚焦功能；可使用遥控器控制电动镜头位移，变焦和聚焦。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丰富的可选镜头，使投影机可以根据实际情况安装在房间的不同位置。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16.具备U盘播放功能;具备仿效功能;具备屏幕自动翻转功能;可通过局域网遥控和监视，兼容PJ LINK™，自带多台投影机控制软件;可实现无线投影;</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投影机镜头</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投射比2.3-3.6：1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电动升降投影幕</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1、幕布材质：高清PVC白软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2、幕布尺寸：5M*3.1M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3、幕布类型：电动下卷拉线幕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4、安装方式：吊装、壁挂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5、增益1.1-1.4，可视角度＞160度，具有高增益，高亮度，成像清晰。成像投影，视场角大，光线明亮，表面采用纳米微颗粒处理；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配件及安装调试</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安装所需要的配件、附件及安装调试</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9811"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三、主控设备及航空座椅</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控制主机</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*1.CPU:Intel 第八代 i5-8500(3.0G/9M/6核)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*2.主板：Intel 370 及以上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*3.内存：配置 ≥8GB DDR4-2666，2个或以上内存插槽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4.显卡：集成显卡，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5.声卡：集成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6.硬盘：≥1TB  SATA 7200rpm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*7.网卡：集成10/100/1000M以太网卡；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*8.网络同传，支持加密数据功能，还原保护功能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9.扩展槽：≥1个PCI，≥1个PCIe*1，≥1个PCIe*16，2个M.2（用于WLAN和SSD）</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*10.显示器：≥21.5寸宽屏幕液晶，与主机同一品牌,LED背光液晶显示器，200nits, 响应时间5ms,分辨率≥1920*1080，在节能清单，三年上门服务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11.键盘、鼠标：抗菌键盘，抗菌鼠标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12.接口：前置：2个USB 3.1 Gen1；1个CTIA通用音频接口；1 个SD ;后置：4个USB 2.0；2个USB 3.1 Gen1；2个音频；1个RJ45，1个串口，PS/2接口，1个并口，1个HDMI，1个VGA；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*13.电源：≥300W节能环保电源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14.机箱：≥15升，标准立式机箱，标配内置音箱，支持5.1声道</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移动主机</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I5CPU/8G内存/256GB固态硬盘，14英寸高清防眩光屏，2G独立显存，USB3.0、HDMI、RJ45网口、无线网卡等，正版Windows10</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操作台</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1.6米，实木结构</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机柜</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32U、定制</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转椅</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5轮转椅带扶手</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把</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联排航空座椅</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1.座椅尺寸：椅高990mm，中心距550mm，扶手高610mm，座高440mm。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2.背垫座垫均采用冷发泡定型海绵，符合人体工学原理，柔软，舒适，回弹性好。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长时间使用不会变形。背海绵密度不低于45kg/ m3，座海绵密度不低于50kg/ m3。</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3.扶手盖：进口榉木精工制作，外涂聚酯漆，美观大方。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4.扶手侧板采用密度板加海绵加优质毛麻布，保证产品的质量牢固、美观。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5.座垫翻起配置：椅座采用弹簧回弹回复，回复复位精准，低噪音，不存在故障，持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久耐用。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6.扶手框架及站脚：采用上海宝钢优质A 级冷扎板模压成型，扶手框铁皮厚1.5MM，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脚部主架方管为40*80*1.5MM，脚片厚度为1.8MM。表面经过打磨，除锈，防氧化，经静电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喷粉，高温锔炉等工序处理，不易生锈。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7.背外壳采用ABS 工程塑料一次成型；坐垫塑壳为ABS 工程塑料一次成型，采用独特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的吸音设计，具有完美的全场吸音效果。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8.地爆螺丝：采用内六角膨胀螺丝。安装时隐藏在脚板内部，无积尘，美观大方。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558</w:t>
            </w:r>
          </w:p>
        </w:tc>
      </w:tr>
      <w:tr>
        <w:tblPrEx>
          <w:tblLayout w:type="fixed"/>
          <w:tblCellMar>
            <w:top w:w="0" w:type="dxa"/>
            <w:left w:w="0" w:type="dxa"/>
            <w:bottom w:w="0" w:type="dxa"/>
            <w:right w:w="0" w:type="dxa"/>
          </w:tblCellMar>
        </w:tblPrEx>
        <w:trPr>
          <w:trHeight w:val="285" w:hRule="atLeast"/>
        </w:trPr>
        <w:tc>
          <w:tcPr>
            <w:tcW w:w="9811"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四、拾音扩声系统</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线阵全频音箱</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1.类   型  二分频线性阵列音箱;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2.频率响应  65Hz~19kHz (-10dB);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3.80Hz~18kHz (±3dB);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4.中/低音单元  ≥2x8＂(203mm)/2＂音圈;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5.高音单元 ≥ 2x1.75＂(44mm)压缩驱动器/钕磁;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6.灵敏度(1W@1m)  低音单元：96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7.高音单元：108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*8.额定阻抗  低音单元：16Ω;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*9.高音单元：16Ω;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10.额定功率  低音单元：≥300 W(连续），1200W（峰值）;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11.高音单元：≥80 W(连续），320W（峰值）;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12.最大声压级(@1m )  低音单元：123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13.高音单元：133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*14.垂直方向扩散角度  0°1°2°3°4°5°6°可调;</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线阵次低音音箱</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1.频率响应  40Hz~500Hz (-10dB);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2.2、45Hz~400Hz (±3dB);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*3.中/低音单元  ≥2x15＂(388mm)/4"音圈;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4.灵敏度(1W@1m)  101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5.额定阻抗  4Ω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6.额定功率  ≥1000 W(连续），≥4000W（峰值）;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7.分频点  300 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*8.最大声压级(@1m )  137dB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返听音箱</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12" 二分频全频音箱;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55Hz～20kHz（-10dB）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59Hz～18kHz（±3dB）;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3.灵敏度(1W@1m)    96dB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8Ω;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300W(连续),1200W(峰值);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6.分频点    1.8kHz;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12" 中低音 / 75mm音圈  15";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8.高音单元   PK膜 / 44mm音圈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9.覆盖角（水平x垂直）  90°x60°;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10.最大声压级(@1m)    127dB（峰值）;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中置音箱</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二分频12" 全频音箱；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50Hz~20kHz(-10dB)；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3.灵敏度(1W@1m)  96 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8Ω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300W(连续），1200W（峰值）；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6.分频点  2.5kHz；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12" 中低音 / 75mm音圈；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*8.高音单元  PEN膜 / 44mm音圈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9.覆盖角(水平x垂直)  90°x40°；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10.最大声压级(@1m)  127dB（峰值）；</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补声音箱</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二分频12" 全频音箱；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50Hz~20kHz(-10dB)；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3.灵敏度(1W@1m)  96 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8Ω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300W(连续），1200W（峰值）；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6.分频点  2.5kHz；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12" 中低音 / 75mm音圈；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*8.高音单元  PEN膜 / 44mm音圈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9.覆盖角(水平x垂直)  90°x40°；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10.最大声压级(@1m)  127dB（峰值）；</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超低音音箱</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双18" 超低频音箱;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33Hz~150Hz (-10dB)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40Hz~125Hz (±3dB);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3.灵敏度(1W@1m)  102dB;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4Ω;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1400W（连续），5600W（峰值）;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6.推荐分频点  150Hz;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2X18" / 100mm音圈;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8.最大声压级(@1m) </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139.5dB（峰值）;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线阵高音单元功率放大器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线阵低音单元功率放大器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*1.8Ω立体声功率  2x1050W；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*2.4Ω立体声功率  2x1500W；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3000W；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线阵次低音功率放大器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*1.8Ω立体声功率  2x1050W；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*2.4Ω立体声功率  2x1500W；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3000W；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返听功率放大器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中置功率放大器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补声功率放大器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超低音功率放大器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*1.8Ω立体声功率  2x1200W；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2x2000W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*3.8Ω桥接功率  4000W；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数字调音台</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1、紧凑型数字调音台，用于现场、录音室和固定安装应用；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2、48 路输入通道全处理；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3、32路本地话筒输入（XLR）；</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4、2 路 1/4’’立体声输入（TRS）；</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5、1 路 3.5mm 立体声输入；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6、36 路总线；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7、12 路立体声混音（AUX 或编组）+主左右输出；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8、PAFL 总线；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9、18路可分配的本地输出（16路 XLR+2 路 1/4’’TRS）；</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10、AES 数字输出；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 专用对讲话筒输入（XLR）；</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 1/4’’TRS 耳机输出，带专有控制；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13、I/O  端 口 用 于 音 频 选 项 卡 （ 包 括 第 三 方 协 议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Dante/Waves 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14、8 个静音编组；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15、8 个 DCA 编组；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16、8 个立体声 FX，带专有 FX 返回；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17、3路立体声矩阵输出；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18、配备DEEP 处理架构；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19、96kHz FPGA处理核心；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20、低于0.7毫秒的超低延迟；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21、RackFX 效果套件；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22、处理核心技术FPGA；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23、7"彩色触摸屏；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24、16个可分配软按键；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25、8个可分配旋钮；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26、总混音源（包括FX返回）：56；</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27、专有物理控制按键用于通道处理（增益、高通滤波器、噪声门、压缩器、声像、均衡器增益/频率/带宽）；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28、32+1个推子，6 层，192个可分配的通道条；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29、电动推子用于推子发送、GEQ推子模式和混音调用；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30、 32个背光式 LCD 通道条显示屏；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31、彩色通道电平表；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32、单/双脚踏开关控制；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33、两路单声道可配置成为立体声输入；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34、输入通道可自由配置效果器插入；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35、 输入处理——前置放大器、高通滤波器、噪声门、参量均衡器、 压缩器、延时；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36、混音输出处理——参量均衡器、图示均衡器、压缩器、延时；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37、 每个混音输出带图示均衡器（不使用FX）；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38、内置自动话筒混音（AMM）：2×24 ch；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39、 31 段实时分析仪；</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40、快速复制/粘贴/重置参数；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41、 用户权限设置；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42、每个 show 文件可储存 300 个 Scene（场景）；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43、通道安全（Channel Safes）、全局（Global）和每场景调 用筛选器；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45、 FX、处理和通道预设；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46、 音频网络端口：1×64；</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47、用 U盘进行多轨录音:16 TRK@96kHz；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48、 通过 USB 转移Scenen、Libraries 和 Shows 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49、 Mac /PC 通过 USB 实现32 x32的音频流传输；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50、 通过USB 或 TCP/IP 进行DAW 的MIDI 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51、 无线远程混音应用软件，用于 iPad 和 Android；</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数字音频处理器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1.输入处理部分包含增益、静音、噪声门、高切、低切、8个参量均衡、相位、延时等8个处理单元,4路平衡输入、8路平衡输出;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2.输出处理部分包含分频、5个参量均衡、增益、静音、压缩限幅器、相位、延时等7个处理单元;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3.所有输入输出之间可以自由进行矩阵式分配;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4.所有参量均衡的频点、增益和带宽可调，类型可选择:PEAK, H-SHELVE, L-SHELVE;</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5.所有高切、低切滤波器、分频器的类型可选择:Butterworth, Linkwitz-Riley, Bessel，斜率在一6dB/oct至-48dB/oct可选。频点20Hz-20kHz连续可调;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6.所有压缩/限幅器的阀值、比率、启动时间、恢复时间连续可调;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7.所有噪声门的阀值、启动时间、恢复时间连续可调;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8.所有延时模块都具有高达682ms的延时时间;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9.任意通道之间参数设置可以自由复制, 内置测试信号发生器，输出方式可选粉红噪声、白噪声及20Hz-20kHz正弦波可调，信号幅度可调;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10.2*20字符LCD屏幕显示，定制的灯键一体设计，独特的一键到位操作方式，使用户的操作更方便、快捷;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11.32个用户预设; 整机状态和每个预设都可以单独存储和调用;具有密码保护功能;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12.配有PC操作软件，可以通过USB或RS232端口实现远程实时控制;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13.可以通过RS485方式实现多达256台的系统级联，并可以接受中控设备进行远程网络控制;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均衡器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1.中心频率 20，25，31.5，40，50，63，</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80，100， 125，160，200，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250，315，400，500，630，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800，1k，1.25k，1.6k，2k，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2.5k，3.15k，4k，5k，6.3k，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8k，10k，12.5k，16k，20k;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2.均衡范围 ±6dB/±15dB;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3.高通滤波器 40Hz;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4.连接器 XLR平衡输入，TRS 1/4″;</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5.平衡输入，XLR平衡输出，TRS 1/4″平衡输出;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6.开关 EQ旁通开关;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7.频点增益切换控制 6dB/15dB控制;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8.消耗功率 17W(AC100--240V);</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电源时序器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1.采用智能单片机控制，8路受控设备电源控制；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2.可选择顺序开启或单独开启两种状态；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3.内置高性能滤波器和紧急按钮；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4.数字显示当前电网电压值，用于减少电网运行回路上的瞬间冲击电流；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5.输出采用多功能电源座；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*6.自带夜景照明功能；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7.输出电流：每路输出16A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8.控制电源：8路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9.延迟时间：2秒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10.前面板设置总电源开关；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11.背板配有8组受开关控制的AC电源插座；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12.每组电源自动延时1秒，对受控的设备起保护作用，确保整个系统的稳定工作；</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无线头戴话筒</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1、纯自动半机架接收器，采用全金属外壳内，配备完全控制的直观LCD显示屏；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2、发射器和接收器之间通过红外线实现轻松灵活的无线同步；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3、通过新的链路功能，为多达12个接收器快速分配频率；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4、最多20个兼容通道；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5、最高42 Mhz带宽，带1680个可选择的频率，可在稳定的UHF范围内完全调谐；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6、传输范围：最远100米/300英尺；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7、压扩器:Sennheiser HDX；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8、THD，总谐波失真:≤0.9％；</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9、重量:(含电池)约160克；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10、信噪比≥110dba；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11、RF输出功率:最大值30mw；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12、频点可调范围:最高42MH；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13、最大频:±48kh；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14、标称偏差:±24kh；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15、工作时间:通常8小时；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16、调制:宽频FM；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17、电流消耗:额定电压下:通常180ma，发射器关闭:≤25A；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18、输入阻抗:40k，非平衡/1MQ；</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19、最大输入电压:3Veff；</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20、传输频率:最高1680个接收频率，可采用25kH的步长调节20个频率库，每个频率库具有多达12个出广预设通道:无互调，1个频率库，具有多12个可编程通道；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21、音频频率响应:话筒:80～18.000h，线:25～18，000h；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22、频率稳定性:≤±15ppm；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23、接头:3.5毫米插孔；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24、频率响应:50hz-18.000hz；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25、最大声压级:150dB；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26、换能原理:预极化电容麦克风；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27、拾音模式:心形；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28、自由场中的灵敏度，无负载   1.6mV/Pa。</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无线领夹话筒</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1、纯自动半机架接收器，采用全金属外壳内，配备完全控制的直观LCD显示屏；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2、发射器和接收器之间通过红外线实现轻松灵活的无线同步；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3、通过新的链路功能，为多达12个接收器快速分配频率；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4、最多20个兼容通道；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5、最高42 Mhz带宽，带1680个可选择的频率，可在稳定的UHF范围内完全调谐；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6、传输范围：最远100米/300英尺；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7、压扩器:Sennheiser HDX；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8、THD，总谐波失真:≤0.9％；</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9、重量：(含电池)约160克；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10、信噪比：≥110dba；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11、RF输出功率：最大值30mw；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12、频点可调范围：最高42MH；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13、最大频偏：±48kh；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14、标称偏差：±24kh；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15、工作时间：8小时；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16、调制宽频FM；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17、电流消耗：额定电压下:通常180ma，发射器关闭:≤25A；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18、输入阻抗：40k，非平衡/1MQ；</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19、最大输入电压：3Veff；</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20、传输频率：最高1680个接收频率，可采用25kH的步长调节20个频率库，每个频率库具有多达12个出广预设通道:无互调，1个频率库，具有多12个可编程通道；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21、音频频率响应：话筒:80～18.000h，线:25～18，000h；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22、频率稳定性：≤±15ppm；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23、接头：3.5毫米插孔；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24、频率响应：50hz-18.000hz；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25、最大声压级：130dB；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26、换能原理：预极化电容麦克风；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27、拾音模式：全向；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28、自由场中的灵敏度，无负载：20mV/Pa；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29、等效噪声电平：36 dB。</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无线手持话筒</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1、纯自动半机架接收器，采用全金属外壳内，配备完全控制的直观LCD显示屏；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2、发射器和接收器之间通过红外线实现轻松灵活的无线同步；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3、通过新的链路功能，为多达12个接收器快速分配频率；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4、最多20个兼容通道；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5、最高42 Mhz带宽，带1680个可选择的频率，可在稳定的UHF范围内完全调谐；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6、传输范围：最远100米/300英尺；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7、压扩器：Sennheiser HDX；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8、THD，总谐波失真：≤0.9％；</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9、重量：(含电池)约160克；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10、信噪比：≥110dba；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11、RF输出功率：最大值30mw；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12、频点可调范围：最高42MH；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13、最大频偏：±48kh；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14、标称偏差：±24kh；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15、工作时间：通常8小时；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16、调制宽频FM；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17、电流消耗：额定电压下:通常180ma，发射器关闭:≤25A；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18、输入阻抗：40k，非平衡/1MQ；</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19、最大输入电压：3Veff；</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20、传输频率：最高1680个接收频率，可采用25kH的步长调节20个频率库，每个频率库具有多达12个出广预设通道:无互调，1个频率库，具有多12个可编程通道；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21、音频频率响应：话筒:80～18.000h，线:25～18，000h；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22、频率稳定性：≤±15ppm；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23、声压级：154 dB SPL；</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24、换能原理：动圈；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25、拾音模式：心形；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26、灵敏度：2.1 mV/Pa。</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话筒信号放大器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1、适用频带范围：500-900MHz；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2、输出/入增益： 0dB(频段中心）；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3、输出端绝缘度：20dB；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4、输出/入阻抗： 50欧姆；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5、增益：13dBm；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6、频宽：400MHz；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7、接头：TNC插座；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8、电源供应：DC12-18V；</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9、消耗电流：170mA。</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无线对讲机</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1、功率: 其他；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2、电池类型: 聚合物锂电池；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3、重量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4、外形尺寸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5、对讲机类别: 手台最大通话距离: 10km及以上；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6、使用性质: 民用对讲机频率范围: 400-480Hz；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7、电池使用时间: 36小时。</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乐队动圈话筒</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1、具有明亮的中频区音质和低音衰减；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2、心形(单向)动圈、频率响应:50至15,000Hz。</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话筒支架</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1、高度 1000-1700 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2、横杆长度 800 mm；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线阵吊架</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线阵专用吊架</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副</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音箱辅材及配件</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音箱线、信号线、多媒体地插、欧插、卡侬头等</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9811"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五、舞台灯光系统</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LED染色灯</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1.54粒大功率LED：3W (12red,14green,14 blue，14white)。</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2.光源平均寿命为50000小时。低功率消耗,超强亮度,丰富亮丽色彩。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3.国际标准DMX512信号，8通道模式。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4.无限RGB混色系统，三原色连续地变换输出不同亮度，可产生1600多万种颜色。</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5.灯体内置有自走程序，主从设置，4位超亮度显示屏控制。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6.灯体设计外形采用压铸结构设计,具有良好的散热系统。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COB LED聚光灯</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1.光源：200W LED灯珠，总功率：240W；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2.透镜角度：35°、75°可选；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3.频闪：1-10次/每秒；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4.模式：DMX512，自走、主从；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5.通道：6个DMX通道，色温3200-6500；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6.节能、耐用、噪音低、光色柔和、无抖动现象；</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350W图案光束灯</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1、电压：100V~240V/50~60Hz；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2、功率：600W；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3、光源：350 17R（7500K）；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4、寿命：2000个小时；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5、光束：多级光束角度变化效果；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6、调焦： 0~100%线性平滑调焦；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7、调 光： 0-100%线性自由调光；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8、柔光效果： 可调节柔光角度；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9、颜 色： 13个颜色+白光，带半色、双向旋转彩虹效果、速度可调；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10、图案：13个固定精致图案 + 白光，带图案抖动和双向旋转走图效果、速度可调；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11、效果盘：七彩效果镜（同时能打出7种绚丽的色彩）；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12、棱 镜：2个独立的自转棱镜（8+16棱镜/蜂窝棱镜）旋钮速度可调，有棱镜定位功能；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13、光 学：高精密的多个多层镀膜防漏光光学透镜；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14、X/Y电机：采用权威性的三相步进电机，速度更快、更有力、更静音；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15、通道模式：2种通道模式（16CH标准模式/20CH扩展模式）；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16、控制方式： 国际标准DMX 512/随机模式/声控/自走模式（内置多种）、可供自由选择；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17、灯泡保护：当灯具切光超过5秒时，灯泡功率自动降低40%~50%，延长了灯泡的寿命；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18、显示屏：1600万像素液晶触摸屏，可正/倒立显示，屏幕亮度可调，显示灯泡和灯具的使用时间，也可自行设置灯泡的使用时间，出厂默认为2000小时，方便及时更换灯泡；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19、扫描范围：X轴：540°/2.0秒,Y轴：270度/1.0秒；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20、可自动校正定位功能；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21、光束角度：平行光束角0 -2.3° 雾化光角度8°；</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 闪：双频闪结构设计，0.5-14次/每秒可调，并可选择随机频闪和脉冲频闪。</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LED三基色会议灯</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1.工作电压：100-240V AC50/60Hz；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2.寿命：50000小时,额定功率：150W；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3.色温：3200K/5600K (±200K)  可选,显色指数：Ra≥90；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4.调光：0-100%线性调光平滑无闪烁；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5.灯珠数量：432颗贴片灯珠；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6.显示方式：4种LED数码显示地址码；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7.显色性好，色温可调，完全能满足摄像、摄影的严格要求；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8.控台控制；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9.适用于演播厅、电视台、会议室等高档场所。灯珠数量和排列可根据要求定做；</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信号分配器</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DM×512信号输入，8路直通输出。</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智能电脑灯光控制台</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1、采用功能强大的泰坦Titan操作系统，支持中文菜单显示，且内置多国语言；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2、内置一个15.4寸触摸屏；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3、并可扩展一个17寸触摸屏，4 个 DMX 输出端口，2048个DMX 通道，支持 Artnet,并可扩展至12个DMX 输出口，6144个通道；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4、10 个宏按键，可编辑任何程序；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5、20 个重放推杆，支持1000个虚拟重放；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6、强大的CMY调色板功能，支持涂鸦式手写命名功能；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7、支持CITP 协议，可预览服务器或数字灯的内置素材；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8、预留一个外部的WI-FI 接入点，可使用 Ipod Touch 和iphone 进行遥控；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9、内置数千种灯库，并内置灯库编辑软件；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10、内置 Visualiser 可视化舞台模拟软件，支持视频；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11、提供 MIDI 时间码控制，由MIDI遥控重放按钮或推子；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12、内置像素映射及内置图形发生器。</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追光灯</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1.输入电压：AC110/220V 50/60Hz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2.额定功率：2700W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3.光源：HMI 2500W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4.色温：6500K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5.四色转换器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6.采用手动调焦，光圈采用手动调节亮度均匀、一采用超强力风扇制冷。可以前后移动、反光杯、达到最佳光效、最佳射程80-100m。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7</w:t>
            </w:r>
            <w:r>
              <w:rPr>
                <w:rFonts w:hint="eastAsia" w:ascii="宋体" w:hAnsi="宋体" w:eastAsia="宋体" w:cs="宋体"/>
                <w:i w:val="0"/>
                <w:color w:val="auto"/>
                <w:kern w:val="0"/>
                <w:sz w:val="18"/>
                <w:szCs w:val="18"/>
                <w:u w:val="none"/>
                <w:lang w:val="en-US" w:eastAsia="zh-CN" w:bidi="ar"/>
              </w:rPr>
              <w:t>.包装规格：木箱包装</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电源直通箱</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可适用于任何负载；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开关过流保护；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供电三相五线制AC380V±10%，AC220V±10%，45-65Hz；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规格：12CH；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功率：3KW/CH;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灯架</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根据现场定制</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灯光辅材及配件</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信号线、电源线、灯钩、欧插头</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c>
          <w:tcPr>
            <w:tcW w:w="83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供应商负责整体项目所有设备的安装、调试、培训及相关售后服务；</w:t>
            </w:r>
          </w:p>
          <w:p>
            <w:pPr>
              <w:keepNext w:val="0"/>
              <w:keepLines w:val="0"/>
              <w:widowControl/>
              <w:numPr>
                <w:ilvl w:val="0"/>
                <w:numId w:val="6"/>
              </w:numPr>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整体项目所有设备质保期为三年；</w:t>
            </w:r>
          </w:p>
        </w:tc>
      </w:tr>
      <w:bookmarkEnd w:id="1"/>
    </w:tbl>
    <w:p>
      <w:pPr>
        <w:spacing w:line="360" w:lineRule="auto"/>
        <w:ind w:firstLine="422" w:firstLineChars="200"/>
        <w:contextualSpacing/>
        <w:rPr>
          <w:rFonts w:hint="eastAsia" w:eastAsia="宋体" w:cs="微软雅黑" w:asciiTheme="minorEastAsia" w:hAnsiTheme="minorEastAsia"/>
          <w:b/>
          <w:color w:val="000000" w:themeColor="text1"/>
          <w:sz w:val="21"/>
          <w:szCs w:val="21"/>
          <w:lang w:eastAsia="zh-CN"/>
          <w14:textFill>
            <w14:solidFill>
              <w14:schemeClr w14:val="tx1"/>
            </w14:solidFill>
          </w14:textFill>
        </w:rPr>
      </w:pPr>
      <w:r>
        <w:rPr>
          <w:rFonts w:hint="eastAsia" w:cs="微软雅黑" w:asciiTheme="minorEastAsia" w:hAnsiTheme="minorEastAsia"/>
          <w:b/>
          <w:color w:val="000000" w:themeColor="text1"/>
          <w:sz w:val="21"/>
          <w:szCs w:val="21"/>
          <w14:textFill>
            <w14:solidFill>
              <w14:schemeClr w14:val="tx1"/>
            </w14:solidFill>
          </w14:textFill>
        </w:rPr>
        <w:t>本采购清单中所列技术规格或主要参数为最低要求，不允许负偏离，否则将承担其投标被视为非实质性响应投标的风险</w:t>
      </w:r>
      <w:r>
        <w:rPr>
          <w:rFonts w:hint="eastAsia" w:cs="微软雅黑" w:asciiTheme="minorEastAsia" w:hAnsiTheme="minorEastAsia"/>
          <w:b/>
          <w:color w:val="000000" w:themeColor="text1"/>
          <w:sz w:val="21"/>
          <w:szCs w:val="21"/>
          <w:lang w:eastAsia="zh-CN"/>
          <w14:textFill>
            <w14:solidFill>
              <w14:schemeClr w14:val="tx1"/>
            </w14:solidFill>
          </w14:textFill>
        </w:rPr>
        <w:t>。</w:t>
      </w:r>
    </w:p>
    <w:p>
      <w:pPr>
        <w:spacing w:line="360" w:lineRule="auto"/>
        <w:ind w:firstLine="422" w:firstLineChars="200"/>
        <w:contextualSpacing/>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二、采购标的执行标准</w:t>
      </w:r>
    </w:p>
    <w:p>
      <w:pPr>
        <w:spacing w:line="360" w:lineRule="auto"/>
        <w:ind w:firstLine="420" w:firstLineChars="200"/>
        <w:contextualSpacing/>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1、国家标准：</w:t>
      </w:r>
    </w:p>
    <w:p>
      <w:pPr>
        <w:spacing w:line="360" w:lineRule="auto"/>
        <w:ind w:firstLine="420" w:firstLineChars="200"/>
        <w:contextualSpacing/>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（1）强制性产品认证</w:t>
      </w:r>
    </w:p>
    <w:p>
      <w:pPr>
        <w:spacing w:line="360" w:lineRule="auto"/>
        <w:ind w:firstLine="420" w:firstLineChars="200"/>
        <w:contextualSpacing/>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22" w:firstLineChars="200"/>
        <w:contextualSpacing/>
        <w:jc w:val="left"/>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三、采购标的的其他技术、服务等要求</w:t>
      </w:r>
    </w:p>
    <w:p>
      <w:pPr>
        <w:wordWrap w:val="0"/>
        <w:topLinePunct/>
        <w:autoSpaceDE w:val="0"/>
        <w:autoSpaceDN w:val="0"/>
        <w:adjustRightInd w:val="0"/>
        <w:spacing w:line="360" w:lineRule="auto"/>
        <w:ind w:firstLine="482"/>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zh-CN"/>
          <w14:textFill>
            <w14:solidFill>
              <w14:schemeClr w14:val="tx1"/>
            </w14:solidFill>
          </w14:textFill>
        </w:rPr>
        <w:t>投标人须明确投标产品的厂家、产地、品牌、型号、详细参数，否则为无效投标。</w:t>
      </w:r>
    </w:p>
    <w:p>
      <w:pPr>
        <w:keepNext/>
        <w:keepLines w:val="0"/>
        <w:pageBreakBefore w:val="0"/>
        <w:widowControl w:val="0"/>
        <w:kinsoku/>
        <w:wordWrap w:val="0"/>
        <w:overflowPunct/>
        <w:topLinePunct/>
        <w:bidi w:val="0"/>
        <w:spacing w:line="360" w:lineRule="auto"/>
        <w:ind w:firstLine="420" w:firstLineChars="200"/>
        <w:rPr>
          <w:rFonts w:hint="eastAsia" w:ascii="宋体" w:hAnsi="宋体" w:eastAsia="宋体" w:cs="宋体"/>
          <w:b/>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2、所投产品必须符合国家质量检测标准和本招标文件规定标准。</w:t>
      </w:r>
    </w:p>
    <w:p>
      <w:pPr>
        <w:keepNext/>
        <w:keepLines w:val="0"/>
        <w:pageBreakBefore w:val="0"/>
        <w:widowControl w:val="0"/>
        <w:kinsoku/>
        <w:wordWrap w:val="0"/>
        <w:overflowPunct/>
        <w:topLinePunct/>
        <w:bidi w:val="0"/>
        <w:spacing w:line="360" w:lineRule="auto"/>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投标人所投设备必须提供3年免费质保期</w:t>
      </w:r>
      <w:r>
        <w:rPr>
          <w:rFonts w:hint="eastAsia" w:ascii="宋体" w:hAnsi="宋体" w:eastAsia="宋体" w:cs="宋体"/>
          <w:color w:val="000000" w:themeColor="text1"/>
          <w:sz w:val="21"/>
          <w:szCs w:val="21"/>
          <w:lang w:val="zh-CN"/>
          <w14:textFill>
            <w14:solidFill>
              <w14:schemeClr w14:val="tx1"/>
            </w14:solidFill>
          </w14:textFill>
        </w:rPr>
        <w:t>。</w:t>
      </w:r>
    </w:p>
    <w:p>
      <w:pPr>
        <w:wordWrap w:val="0"/>
        <w:topLinePunct/>
        <w:spacing w:line="360" w:lineRule="auto"/>
        <w:ind w:firstLine="42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zh-CN"/>
          <w14:textFill>
            <w14:solidFill>
              <w14:schemeClr w14:val="tx1"/>
            </w14:solidFill>
          </w14:textFill>
        </w:rPr>
        <w:t>、本项目为交钥匙工程（包括设备、材料</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元件等购置、安装调试、验收、与其它施工单位协作所产生的费用等）。</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 w:val="21"/>
          <w:szCs w:val="21"/>
          <w:lang w:val="zh-CN"/>
          <w14:textFill>
            <w14:solidFill>
              <w14:schemeClr w14:val="tx1"/>
            </w14:solidFill>
          </w14:textFill>
        </w:rPr>
      </w:pPr>
      <w:r>
        <w:rPr>
          <w:rFonts w:hint="eastAsia" w:cs="宋体" w:asciiTheme="minorEastAsia" w:hAnsiTheme="minorEastAsia"/>
          <w:b/>
          <w:color w:val="000000" w:themeColor="text1"/>
          <w:kern w:val="0"/>
          <w:sz w:val="21"/>
          <w:szCs w:val="21"/>
          <w:lang w:val="zh-CN"/>
          <w14:textFill>
            <w14:solidFill>
              <w14:schemeClr w14:val="tx1"/>
            </w14:solidFill>
          </w14:textFill>
        </w:rPr>
        <w:t>四、验收标准</w:t>
      </w:r>
    </w:p>
    <w:p>
      <w:pPr>
        <w:wordWrap w:val="0"/>
        <w:topLinePunct/>
        <w:spacing w:line="360" w:lineRule="auto"/>
        <w:ind w:firstLine="420" w:firstLineChars="200"/>
        <w:rPr>
          <w:rFonts w:ascii="宋体" w:cs="宋体"/>
          <w:color w:val="000000" w:themeColor="text1"/>
          <w:sz w:val="21"/>
          <w:szCs w:val="21"/>
          <w:lang w:val="zh-CN"/>
          <w14:textFill>
            <w14:solidFill>
              <w14:schemeClr w14:val="tx1"/>
            </w14:solidFill>
          </w14:textFill>
        </w:rPr>
      </w:pPr>
      <w:r>
        <w:rPr>
          <w:rFonts w:hint="eastAsia" w:ascii="宋体" w:cs="宋体"/>
          <w:color w:val="000000" w:themeColor="text1"/>
          <w:sz w:val="21"/>
          <w:szCs w:val="21"/>
          <w:lang w:val="zh-CN"/>
          <w14:textFill>
            <w14:solidFill>
              <w14:schemeClr w14:val="tx1"/>
            </w14:solidFill>
          </w14:textFill>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hint="eastAsia" w:ascii="宋体" w:cs="宋体"/>
          <w:color w:val="000000" w:themeColor="text1"/>
          <w:sz w:val="21"/>
          <w:szCs w:val="21"/>
          <w:lang w:val="zh-CN"/>
          <w14:textFill>
            <w14:solidFill>
              <w14:schemeClr w14:val="tx1"/>
            </w14:solidFill>
          </w14:textFill>
        </w:rPr>
      </w:pPr>
      <w:r>
        <w:rPr>
          <w:rFonts w:hint="eastAsia" w:ascii="宋体" w:cs="宋体"/>
          <w:color w:val="000000" w:themeColor="text1"/>
          <w:sz w:val="21"/>
          <w:szCs w:val="21"/>
          <w:lang w:val="zh-CN"/>
          <w14:textFill>
            <w14:solidFill>
              <w14:schemeClr w14:val="tx1"/>
            </w14:solidFill>
          </w14:textFill>
        </w:rPr>
        <w:t>2.按照招标文件要求、投标文件响应和承诺验收。</w:t>
      </w:r>
    </w:p>
    <w:p>
      <w:pPr>
        <w:wordWrap w:val="0"/>
        <w:topLinePunct/>
        <w:spacing w:line="360" w:lineRule="auto"/>
        <w:ind w:firstLine="632" w:firstLineChars="300"/>
        <w:rPr>
          <w:rFonts w:cs="黑体" w:asciiTheme="minorEastAsia" w:hAnsiTheme="minorEastAsia" w:eastAsiaTheme="minorEastAsia"/>
          <w:b/>
          <w:bCs/>
          <w:color w:val="000000" w:themeColor="text1"/>
          <w:sz w:val="21"/>
          <w:szCs w:val="21"/>
          <w:shd w:val="clear" w:color="auto" w:fill="FFFFFF"/>
          <w14:textFill>
            <w14:solidFill>
              <w14:schemeClr w14:val="tx1"/>
            </w14:solidFill>
          </w14:textFill>
        </w:rPr>
      </w:pPr>
      <w:r>
        <w:rPr>
          <w:rFonts w:hint="eastAsia" w:cs="微软雅黑" w:asciiTheme="minorEastAsia" w:hAnsiTheme="minorEastAsia" w:eastAsiaTheme="minorEastAsia"/>
          <w:b/>
          <w:color w:val="000000" w:themeColor="text1"/>
          <w:sz w:val="21"/>
          <w:szCs w:val="21"/>
          <w:lang w:eastAsia="zh-CN"/>
          <w14:textFill>
            <w14:solidFill>
              <w14:schemeClr w14:val="tx1"/>
            </w14:solidFill>
          </w14:textFill>
        </w:rPr>
        <w:t>五</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、本项目预算金额</w:t>
      </w:r>
      <w:r>
        <w:rPr>
          <w:rFonts w:ascii="Arial" w:hAnsi="Arial" w:cs="Arial"/>
          <w:color w:val="000000" w:themeColor="text1"/>
          <w:sz w:val="21"/>
          <w:szCs w:val="21"/>
          <w:shd w:val="clear" w:color="auto" w:fill="FFFFFF"/>
          <w14:textFill>
            <w14:solidFill>
              <w14:schemeClr w14:val="tx1"/>
            </w14:solidFill>
          </w14:textFill>
        </w:rPr>
        <w:t>¥</w:t>
      </w:r>
      <w:r>
        <w:rPr>
          <w:rFonts w:hint="eastAsia" w:cs="黑体" w:asciiTheme="minorEastAsia" w:hAnsiTheme="minorEastAsia" w:eastAsiaTheme="minorEastAsia"/>
          <w:b/>
          <w:bCs/>
          <w:color w:val="000000" w:themeColor="text1"/>
          <w:sz w:val="21"/>
          <w:szCs w:val="21"/>
          <w:shd w:val="clear" w:color="auto" w:fill="FFFFFF"/>
          <w:lang w:val="en-US" w:eastAsia="zh-CN"/>
          <w14:textFill>
            <w14:solidFill>
              <w14:schemeClr w14:val="tx1"/>
            </w14:solidFill>
          </w14:textFill>
        </w:rPr>
        <w:t>200</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万元。最高限价</w:t>
      </w:r>
      <w:r>
        <w:rPr>
          <w:rFonts w:ascii="Arial" w:hAnsi="Arial" w:cs="Arial"/>
          <w:color w:val="000000" w:themeColor="text1"/>
          <w:sz w:val="21"/>
          <w:szCs w:val="21"/>
          <w:shd w:val="clear" w:color="auto" w:fill="FFFFFF"/>
          <w14:textFill>
            <w14:solidFill>
              <w14:schemeClr w14:val="tx1"/>
            </w14:solidFill>
          </w14:textFill>
        </w:rPr>
        <w:t>¥</w:t>
      </w:r>
      <w:r>
        <w:rPr>
          <w:rFonts w:hint="eastAsia" w:cs="黑体" w:asciiTheme="minorEastAsia" w:hAnsiTheme="minorEastAsia" w:eastAsiaTheme="minorEastAsia"/>
          <w:b/>
          <w:bCs/>
          <w:color w:val="000000" w:themeColor="text1"/>
          <w:sz w:val="21"/>
          <w:szCs w:val="21"/>
          <w:shd w:val="clear" w:color="auto" w:fill="FFFFFF"/>
          <w:lang w:val="en-US" w:eastAsia="zh-CN"/>
          <w14:textFill>
            <w14:solidFill>
              <w14:schemeClr w14:val="tx1"/>
            </w14:solidFill>
          </w14:textFill>
        </w:rPr>
        <w:t>200</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万元</w:t>
      </w:r>
      <w:r>
        <w:rPr>
          <w:rFonts w:hint="eastAsia" w:cs="宋体" w:asciiTheme="minorEastAsia" w:hAnsiTheme="minorEastAsia" w:eastAsiaTheme="minorEastAsia"/>
          <w:b/>
          <w:color w:val="000000" w:themeColor="text1"/>
          <w:kern w:val="0"/>
          <w:sz w:val="21"/>
          <w:szCs w:val="21"/>
          <w:lang w:val="zh-CN"/>
          <w14:textFill>
            <w14:solidFill>
              <w14:schemeClr w14:val="tx1"/>
            </w14:solidFill>
          </w14:textFill>
        </w:rPr>
        <w:t>。超出最高限价的投标无效。</w:t>
      </w:r>
    </w:p>
    <w:p>
      <w:pPr>
        <w:widowControl/>
        <w:shd w:val="clear" w:color="auto" w:fill="FFFFFF"/>
        <w:spacing w:line="360" w:lineRule="auto"/>
        <w:ind w:firstLine="632" w:firstLineChars="300"/>
        <w:contextualSpacing/>
        <w:jc w:val="left"/>
        <w:rPr>
          <w:rFonts w:hint="eastAsia" w:cs="宋体" w:asciiTheme="minorEastAsia" w:hAnsiTheme="minorEastAsia"/>
          <w:b/>
          <w:color w:val="000000" w:themeColor="text1"/>
          <w:kern w:val="0"/>
          <w:sz w:val="21"/>
          <w:szCs w:val="21"/>
          <w:lang w:val="zh-CN"/>
          <w14:textFill>
            <w14:solidFill>
              <w14:schemeClr w14:val="tx1"/>
            </w14:solidFill>
          </w14:textFill>
        </w:rPr>
      </w:pPr>
      <w:r>
        <w:rPr>
          <w:rFonts w:hint="eastAsia" w:cs="宋体" w:asciiTheme="minorEastAsia" w:hAnsiTheme="minorEastAsia"/>
          <w:b/>
          <w:color w:val="000000" w:themeColor="text1"/>
          <w:kern w:val="0"/>
          <w:sz w:val="21"/>
          <w:szCs w:val="21"/>
          <w:lang w:val="zh-CN"/>
          <w14:textFill>
            <w14:solidFill>
              <w14:schemeClr w14:val="tx1"/>
            </w14:solidFill>
          </w14:textFill>
        </w:rPr>
        <w:t>六、资金支付</w:t>
      </w:r>
    </w:p>
    <w:p>
      <w:pPr>
        <w:widowControl/>
        <w:shd w:val="clear" w:color="auto" w:fill="FFFFFF"/>
        <w:spacing w:line="360" w:lineRule="auto"/>
        <w:ind w:firstLine="1050" w:firstLineChars="500"/>
        <w:contextualSpacing/>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sz w:val="21"/>
          <w:szCs w:val="21"/>
          <w:lang w:val="zh-CN"/>
          <w14:textFill>
            <w14:solidFill>
              <w14:schemeClr w14:val="tx1"/>
            </w14:solidFill>
          </w14:textFill>
        </w:rPr>
        <w:t>以签订的合同为准。</w:t>
      </w:r>
    </w:p>
    <w:p>
      <w:pPr>
        <w:pageBreakBefore/>
        <w:autoSpaceDE w:val="0"/>
        <w:autoSpaceDN w:val="0"/>
        <w:adjustRightInd w:val="0"/>
        <w:jc w:val="center"/>
        <w:rPr>
          <w:rFonts w:ascii="宋体" w:cs="宋体"/>
          <w:b/>
          <w:color w:val="0070C0"/>
          <w:kern w:val="0"/>
          <w:sz w:val="32"/>
          <w:szCs w:val="32"/>
        </w:rPr>
      </w:pPr>
      <w:r>
        <w:rPr>
          <w:rFonts w:hint="eastAsia" w:ascii="宋体" w:hAnsi="宋体" w:cs="宋体"/>
          <w:b/>
          <w:color w:val="000000" w:themeColor="text1"/>
          <w:kern w:val="0"/>
          <w:sz w:val="32"/>
          <w:szCs w:val="32"/>
          <w14:textFill>
            <w14:solidFill>
              <w14:schemeClr w14:val="tx1"/>
            </w14:solidFill>
          </w14:textFill>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cs="微软雅黑" w:asciiTheme="minorEastAsia" w:hAnsiTheme="minorEastAsia" w:eastAsiaTheme="minorEastAsia"/>
          <w:b/>
          <w:color w:val="FF0000"/>
          <w:szCs w:val="21"/>
        </w:rPr>
        <w:t>★</w:t>
      </w:r>
      <w:r>
        <w:rPr>
          <w:rFonts w:hint="eastAsia" w:cs="微软雅黑"/>
          <w:b/>
          <w:szCs w:val="21"/>
        </w:rPr>
        <w:t>条款均为实质性要求条款，投标文件须完全响应，未实质响应的，按照无效投标处理。</w:t>
      </w:r>
    </w:p>
    <w:tbl>
      <w:tblPr>
        <w:tblStyle w:val="29"/>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29"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5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pStyle w:val="22"/>
              <w:widowControl/>
              <w:shd w:val="clear" w:color="auto" w:fill="FFFFFF"/>
              <w:spacing w:line="360" w:lineRule="auto"/>
              <w:contextualSpacing/>
              <w:rPr>
                <w:rFonts w:hint="eastAsia"/>
                <w:kern w:val="2"/>
                <w:sz w:val="21"/>
                <w:lang w:val="en-US" w:eastAsia="zh-CN"/>
              </w:rPr>
            </w:pPr>
            <w:r>
              <w:rPr>
                <w:rFonts w:hint="eastAsia"/>
                <w:kern w:val="2"/>
                <w:sz w:val="21"/>
              </w:rPr>
              <w:t>项目名称：长葛市</w:t>
            </w:r>
            <w:r>
              <w:rPr>
                <w:rFonts w:hint="eastAsia"/>
                <w:kern w:val="2"/>
                <w:sz w:val="21"/>
                <w:lang w:eastAsia="zh-CN"/>
              </w:rPr>
              <w:t>广播电视台影视综合体</w:t>
            </w:r>
          </w:p>
          <w:p>
            <w:pPr>
              <w:pStyle w:val="22"/>
              <w:widowControl/>
              <w:shd w:val="clear" w:color="auto" w:fill="FFFFFF"/>
              <w:spacing w:line="360" w:lineRule="auto"/>
              <w:contextualSpacing/>
              <w:rPr>
                <w:kern w:val="2"/>
                <w:sz w:val="21"/>
              </w:rPr>
            </w:pPr>
            <w:r>
              <w:rPr>
                <w:rFonts w:hint="eastAsia"/>
                <w:kern w:val="2"/>
                <w:sz w:val="21"/>
              </w:rPr>
              <w:t>项目编号</w:t>
            </w:r>
            <w:r>
              <w:rPr>
                <w:rFonts w:hint="eastAsia"/>
                <w:color w:val="000000" w:themeColor="text1"/>
                <w:kern w:val="2"/>
                <w:sz w:val="21"/>
                <w14:textFill>
                  <w14:solidFill>
                    <w14:schemeClr w14:val="tx1"/>
                  </w14:solidFill>
                </w14:textFill>
              </w:rPr>
              <w:t>：长招采公字[2019]</w:t>
            </w:r>
            <w:r>
              <w:rPr>
                <w:rFonts w:hint="eastAsia"/>
                <w:color w:val="000000" w:themeColor="text1"/>
                <w:kern w:val="2"/>
                <w:sz w:val="21"/>
                <w:lang w:val="en-US" w:eastAsia="zh-CN"/>
                <w14:textFill>
                  <w14:solidFill>
                    <w14:schemeClr w14:val="tx1"/>
                  </w14:solidFill>
                </w14:textFill>
              </w:rPr>
              <w:t xml:space="preserve"> 072</w:t>
            </w:r>
            <w:r>
              <w:rPr>
                <w:rFonts w:hint="eastAsia"/>
                <w:color w:val="000000" w:themeColor="text1"/>
                <w:kern w:val="2"/>
                <w:sz w:val="21"/>
                <w14:textFill>
                  <w14:solidFill>
                    <w14:schemeClr w14:val="tx1"/>
                  </w14:solidFill>
                </w14:textFill>
              </w:rPr>
              <w:t>号</w:t>
            </w:r>
          </w:p>
          <w:p>
            <w:pPr>
              <w:pStyle w:val="22"/>
              <w:widowControl/>
              <w:shd w:val="clear" w:color="auto" w:fill="FFFFFF"/>
              <w:spacing w:line="360" w:lineRule="auto"/>
              <w:contextualSpacing/>
              <w:rPr>
                <w:kern w:val="2"/>
                <w:sz w:val="21"/>
              </w:rPr>
            </w:pPr>
            <w:r>
              <w:rPr>
                <w:rFonts w:hint="eastAsia"/>
                <w:kern w:val="2"/>
                <w:sz w:val="21"/>
              </w:rPr>
              <w:t>项目内容：长葛市</w:t>
            </w:r>
            <w:r>
              <w:rPr>
                <w:rFonts w:hint="eastAsia"/>
                <w:kern w:val="2"/>
                <w:sz w:val="21"/>
                <w:lang w:eastAsia="zh-CN"/>
              </w:rPr>
              <w:t>广播电视台影视综合体影剧院设备一批</w:t>
            </w:r>
            <w:r>
              <w:rPr>
                <w:rFonts w:hint="eastAsia"/>
                <w:kern w:val="2"/>
                <w:sz w:val="21"/>
              </w:rPr>
              <w:t>，详细参数要求见采购文件。</w:t>
            </w:r>
          </w:p>
          <w:p>
            <w:pPr>
              <w:pStyle w:val="22"/>
              <w:widowControl/>
              <w:shd w:val="clear" w:color="auto" w:fill="FFFFFF"/>
              <w:spacing w:line="360" w:lineRule="auto"/>
              <w:contextualSpacing/>
              <w:rPr>
                <w:kern w:val="2"/>
                <w:sz w:val="21"/>
                <w:lang w:val="en-US"/>
              </w:rPr>
            </w:pPr>
            <w:r>
              <w:rPr>
                <w:rFonts w:hint="eastAsia"/>
                <w:kern w:val="2"/>
                <w:sz w:val="21"/>
              </w:rPr>
              <w:t>项目地址：长葛市</w:t>
            </w:r>
            <w:r>
              <w:rPr>
                <w:rFonts w:hint="eastAsia"/>
                <w:kern w:val="2"/>
                <w:sz w:val="21"/>
                <w:lang w:eastAsia="zh-CN"/>
              </w:rPr>
              <w:t>泰山路</w:t>
            </w:r>
            <w:r>
              <w:rPr>
                <w:rFonts w:hint="eastAsia"/>
                <w:kern w:val="2"/>
                <w:sz w:val="21"/>
                <w:lang w:val="en-US" w:eastAsia="zh-CN"/>
              </w:rPr>
              <w:t>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pStyle w:val="22"/>
              <w:widowControl/>
              <w:shd w:val="clear" w:color="auto" w:fill="FFFFFF"/>
              <w:spacing w:line="360" w:lineRule="auto"/>
              <w:contextualSpacing/>
              <w:rPr>
                <w:rFonts w:hint="eastAsia"/>
                <w:kern w:val="2"/>
                <w:sz w:val="21"/>
                <w:lang w:eastAsia="zh-CN"/>
              </w:rPr>
            </w:pPr>
            <w:r>
              <w:rPr>
                <w:rFonts w:hint="eastAsia"/>
                <w:kern w:val="2"/>
                <w:sz w:val="21"/>
              </w:rPr>
              <w:t>招标人：长葛市</w:t>
            </w:r>
            <w:r>
              <w:rPr>
                <w:rFonts w:hint="eastAsia"/>
                <w:kern w:val="2"/>
                <w:sz w:val="21"/>
                <w:lang w:eastAsia="zh-CN"/>
              </w:rPr>
              <w:t>文化广电新闻出版局</w:t>
            </w:r>
          </w:p>
          <w:p>
            <w:pPr>
              <w:pStyle w:val="22"/>
              <w:widowControl/>
              <w:shd w:val="clear" w:color="auto" w:fill="FFFFFF"/>
              <w:spacing w:line="360" w:lineRule="auto"/>
              <w:contextualSpacing/>
              <w:rPr>
                <w:rFonts w:hint="eastAsia"/>
                <w:kern w:val="2"/>
                <w:sz w:val="21"/>
                <w:lang w:eastAsia="zh-CN"/>
              </w:rPr>
            </w:pPr>
            <w:r>
              <w:rPr>
                <w:rFonts w:hint="eastAsia"/>
                <w:kern w:val="2"/>
                <w:sz w:val="21"/>
              </w:rPr>
              <w:t>地</w:t>
            </w:r>
            <w:r>
              <w:rPr>
                <w:rFonts w:hint="eastAsia"/>
                <w:kern w:val="2"/>
                <w:sz w:val="21"/>
                <w:lang w:val="en-US" w:eastAsia="zh-CN"/>
              </w:rPr>
              <w:t xml:space="preserve">  </w:t>
            </w:r>
            <w:r>
              <w:rPr>
                <w:rFonts w:hint="eastAsia"/>
                <w:kern w:val="2"/>
                <w:sz w:val="21"/>
              </w:rPr>
              <w:t>址：长葛市</w:t>
            </w:r>
            <w:r>
              <w:rPr>
                <w:rFonts w:hint="eastAsia"/>
                <w:kern w:val="2"/>
                <w:sz w:val="21"/>
                <w:lang w:eastAsia="zh-CN"/>
              </w:rPr>
              <w:t>泰山路</w:t>
            </w:r>
            <w:r>
              <w:rPr>
                <w:rFonts w:hint="eastAsia"/>
                <w:kern w:val="2"/>
                <w:sz w:val="21"/>
                <w:lang w:val="en-US" w:eastAsia="zh-CN"/>
              </w:rPr>
              <w:t>10号楼</w:t>
            </w:r>
          </w:p>
          <w:p>
            <w:pPr>
              <w:pStyle w:val="22"/>
              <w:widowControl/>
              <w:shd w:val="clear" w:color="auto" w:fill="FFFFFF"/>
              <w:spacing w:line="360" w:lineRule="auto"/>
              <w:contextualSpacing/>
              <w:rPr>
                <w:rFonts w:hint="eastAsia" w:eastAsia="宋体"/>
                <w:kern w:val="2"/>
                <w:sz w:val="21"/>
                <w:lang w:val="en-US" w:eastAsia="zh-CN"/>
              </w:rPr>
            </w:pPr>
            <w:r>
              <w:rPr>
                <w:rFonts w:hint="eastAsia"/>
                <w:kern w:val="2"/>
                <w:sz w:val="21"/>
              </w:rPr>
              <w:t xml:space="preserve">联系人： </w:t>
            </w:r>
            <w:r>
              <w:rPr>
                <w:rFonts w:hint="eastAsia"/>
                <w:kern w:val="2"/>
                <w:sz w:val="21"/>
                <w:lang w:eastAsia="zh-CN"/>
              </w:rPr>
              <w:t>韩旭东</w:t>
            </w:r>
            <w:r>
              <w:rPr>
                <w:rFonts w:hint="eastAsia"/>
                <w:kern w:val="2"/>
                <w:sz w:val="21"/>
                <w:lang w:val="en-US" w:eastAsia="zh-CN"/>
              </w:rPr>
              <w:t xml:space="preserve">            </w:t>
            </w:r>
            <w:r>
              <w:rPr>
                <w:rFonts w:hint="eastAsia"/>
                <w:kern w:val="2"/>
                <w:sz w:val="21"/>
              </w:rPr>
              <w:t>联系电话：1</w:t>
            </w:r>
            <w:r>
              <w:rPr>
                <w:rFonts w:hint="eastAsia"/>
                <w:kern w:val="2"/>
                <w:sz w:val="21"/>
                <w:lang w:val="en-US" w:eastAsia="zh-CN"/>
              </w:rPr>
              <w:t>3213367888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3</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名称：长葛市公共资源交易中心</w:t>
            </w:r>
            <w:r>
              <w:rPr>
                <w:rFonts w:cs="仿宋_GB2312" w:asciiTheme="minorEastAsia" w:hAnsiTheme="minorEastAsia"/>
                <w:szCs w:val="21"/>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地址：长葛市商务区6号楼4楼   </w:t>
            </w:r>
          </w:p>
          <w:p>
            <w:pPr>
              <w:autoSpaceDE w:val="0"/>
              <w:autoSpaceDN w:val="0"/>
              <w:adjustRightInd w:val="0"/>
              <w:spacing w:line="360" w:lineRule="auto"/>
              <w:jc w:val="left"/>
              <w:rPr>
                <w:kern w:val="2"/>
                <w:sz w:val="21"/>
              </w:rPr>
            </w:pPr>
            <w:r>
              <w:rPr>
                <w:rFonts w:hint="eastAsia" w:cs="仿宋_GB2312" w:asciiTheme="minorEastAsia" w:hAnsiTheme="minorEastAsia"/>
                <w:szCs w:val="21"/>
              </w:rPr>
              <w:t xml:space="preserve"> 联系人：政府采购二部          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投标人资格</w:t>
            </w:r>
          </w:p>
        </w:tc>
        <w:tc>
          <w:tcPr>
            <w:tcW w:w="6813" w:type="dxa"/>
            <w:vAlign w:val="center"/>
          </w:tcPr>
          <w:p>
            <w:pPr>
              <w:numPr>
                <w:ilvl w:val="0"/>
                <w:numId w:val="7"/>
              </w:numPr>
              <w:autoSpaceDE w:val="0"/>
              <w:autoSpaceDN w:val="0"/>
              <w:adjustRightInd w:val="0"/>
              <w:spacing w:line="360" w:lineRule="auto"/>
              <w:ind w:right="-11"/>
              <w:rPr>
                <w:rFonts w:asciiTheme="minorEastAsia" w:hAnsiTheme="minorEastAsia"/>
                <w:b/>
                <w:bCs/>
                <w:szCs w:val="21"/>
              </w:rPr>
            </w:pPr>
            <w:r>
              <w:rPr>
                <w:rFonts w:hint="eastAsia" w:asciiTheme="minorEastAsia" w:hAnsiTheme="minorEastAsia"/>
                <w:b/>
                <w:bCs/>
                <w:szCs w:val="21"/>
              </w:rPr>
              <w:t>法人或者其他组织的营业执照等证明文件，自然人的身份证明</w:t>
            </w:r>
          </w:p>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（6）民办非企业单位登记证书。（民办非企业单位投标提供）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000000" w:themeColor="text1"/>
                <w:szCs w:val="21"/>
                <w14:textFill>
                  <w14:solidFill>
                    <w14:schemeClr w14:val="tx1"/>
                  </w14:solidFill>
                </w14:textFill>
              </w:rPr>
              <w:t>①2018</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color w:val="000000" w:themeColor="text1"/>
                <w:szCs w:val="21"/>
                <w14:textFill>
                  <w14:solidFill>
                    <w14:schemeClr w14:val="tx1"/>
                  </w14:solidFill>
                </w14:textFill>
              </w:rPr>
              <w:t>①2018</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ascii="宋体" w:hAnsi="宋体"/>
                <w:bCs/>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
                <w:sz w:val="24"/>
                <w:szCs w:val="28"/>
                <w:shd w:val="clear" w:color="auto" w:fill="FFFFFF"/>
                <w:lang w:val="en-US" w:eastAsia="zh-CN"/>
              </w:rPr>
              <w:t>200</w:t>
            </w:r>
            <w:r>
              <w:rPr>
                <w:rFonts w:hint="eastAsia" w:ascii="宋体" w:hAnsi="宋体" w:cs="宋体"/>
                <w:b/>
                <w:sz w:val="24"/>
                <w:szCs w:val="28"/>
                <w:shd w:val="clear" w:color="auto" w:fill="FFFFFF"/>
              </w:rPr>
              <w:t>万元，</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7</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ascii="宋体" w:cs="宋体"/>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8</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ascii="宋体" w:cs="宋体"/>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9</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宋体"/>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10</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hint="eastAsia" w:cs="仿宋_GB2312" w:asciiTheme="minorEastAsia" w:hAnsiTheme="minorEastAsia"/>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2019年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3</w:t>
            </w:r>
            <w:r>
              <w:rPr>
                <w:rFonts w:hint="eastAsia" w:asciiTheme="minorEastAsia" w:hAnsiTheme="minorEastAsia" w:eastAsiaTheme="minorEastAsia" w:cstheme="minorEastAsia"/>
                <w:color w:val="000000" w:themeColor="text1"/>
                <w:szCs w:val="21"/>
                <w14:textFill>
                  <w14:solidFill>
                    <w14:schemeClr w14:val="tx1"/>
                  </w14:solidFill>
                </w14:textFill>
              </w:rPr>
              <w:t>日</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14:textFill>
                  <w14:solidFill>
                    <w14:schemeClr w14:val="tx1"/>
                  </w14:solidFill>
                </w14:textFill>
              </w:rPr>
              <w:t>时</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00</w:t>
            </w:r>
            <w:r>
              <w:rPr>
                <w:rFonts w:hint="eastAsia" w:asciiTheme="minorEastAsia" w:hAnsiTheme="minorEastAsia" w:eastAsiaTheme="minorEastAsia" w:cstheme="minorEastAsia"/>
                <w:color w:val="000000" w:themeColor="text1"/>
                <w:szCs w:val="21"/>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13</w:t>
            </w:r>
          </w:p>
        </w:tc>
        <w:tc>
          <w:tcPr>
            <w:tcW w:w="215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递交投标文件</w:t>
            </w:r>
          </w:p>
          <w:p>
            <w:pPr>
              <w:autoSpaceDE w:val="0"/>
              <w:autoSpaceDN w:val="0"/>
              <w:adjustRightInd w:val="0"/>
              <w:spacing w:line="360" w:lineRule="auto"/>
              <w:jc w:val="center"/>
              <w:rPr>
                <w:rFonts w:ascii="宋体" w:cs="黑体"/>
                <w:szCs w:val="21"/>
              </w:rPr>
            </w:pPr>
            <w:r>
              <w:rPr>
                <w:rFonts w:hint="eastAsia" w:cs="仿宋_GB2312" w:asciiTheme="minorEastAsia" w:hAnsiTheme="minorEastAsia"/>
                <w:szCs w:val="21"/>
              </w:rPr>
              <w:t>及开标地点</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长葛市公共资源交易中心</w:t>
            </w:r>
            <w:r>
              <w:rPr>
                <w:rFonts w:hint="eastAsia" w:cs="仿宋_GB2312" w:asciiTheme="minorEastAsia" w:hAnsiTheme="minorEastAsia"/>
                <w:color w:val="000000" w:themeColor="text1"/>
                <w:szCs w:val="21"/>
                <w:lang w:val="en-US" w:eastAsia="zh-CN"/>
                <w14:textFill>
                  <w14:solidFill>
                    <w14:schemeClr w14:val="tx1"/>
                  </w14:solidFill>
                </w14:textFill>
              </w:rPr>
              <w:t>四</w:t>
            </w:r>
            <w:r>
              <w:rPr>
                <w:rFonts w:hint="eastAsia" w:cs="仿宋_GB2312" w:asciiTheme="minorEastAsia" w:hAnsiTheme="minorEastAsia"/>
                <w:color w:val="000000" w:themeColor="text1"/>
                <w:szCs w:val="21"/>
                <w14:textFill>
                  <w14:solidFill>
                    <w14:schemeClr w14:val="tx1"/>
                  </w14:solidFill>
                </w14:textFill>
              </w:rPr>
              <w:t>楼开标</w:t>
            </w:r>
            <w:r>
              <w:rPr>
                <w:rFonts w:hint="eastAsia" w:cs="仿宋_GB2312" w:asciiTheme="minorEastAsia" w:hAnsiTheme="minorEastAsia"/>
                <w:color w:val="000000" w:themeColor="text1"/>
                <w:szCs w:val="21"/>
                <w:lang w:eastAsia="zh-CN"/>
                <w14:textFill>
                  <w14:solidFill>
                    <w14:schemeClr w14:val="tx1"/>
                  </w14:solidFill>
                </w14:textFill>
              </w:rPr>
              <w:t>三</w:t>
            </w:r>
            <w:r>
              <w:rPr>
                <w:rFonts w:hint="eastAsia" w:cs="仿宋_GB2312" w:asciiTheme="minorEastAsia" w:hAnsiTheme="minorEastAsia"/>
                <w:color w:val="000000" w:themeColor="text1"/>
                <w:szCs w:val="21"/>
                <w14:textFill>
                  <w14:solidFill>
                    <w14:schemeClr w14:val="tx1"/>
                  </w14:solidFill>
                </w14:textFill>
              </w:rPr>
              <w:t>室（长葛市葛天大道商务区6号楼）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lang w:val="zh-CN"/>
              </w:rPr>
            </w:pPr>
            <w:r>
              <w:rPr>
                <w:rFonts w:hint="eastAsia" w:cs="仿宋_GB2312" w:asciiTheme="minorEastAsia" w:hAnsiTheme="minorEastAsia"/>
                <w:szCs w:val="21"/>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15</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仿宋_GB2312" w:asciiTheme="minorEastAsia" w:hAnsiTheme="minorEastAsia"/>
                <w:szCs w:val="21"/>
              </w:rPr>
              <w:t>公告发布</w:t>
            </w:r>
          </w:p>
        </w:tc>
        <w:tc>
          <w:tcPr>
            <w:tcW w:w="6813" w:type="dxa"/>
            <w:vAlign w:val="center"/>
          </w:tcPr>
          <w:p>
            <w:pPr>
              <w:autoSpaceDE w:val="0"/>
              <w:autoSpaceDN w:val="0"/>
              <w:adjustRightInd w:val="0"/>
              <w:spacing w:line="360" w:lineRule="auto"/>
              <w:rPr>
                <w:rFonts w:ascii="宋体" w:hAnsi="宋体" w:cs="宋体"/>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16</w:t>
            </w:r>
          </w:p>
        </w:tc>
        <w:tc>
          <w:tcPr>
            <w:tcW w:w="215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ascii="宋体" w:cs="黑体"/>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hint="eastAsia" w:cs="TimesNewRomanPSMT" w:asciiTheme="minorEastAsia" w:hAnsiTheme="minorEastAsia"/>
                <w:szCs w:val="21"/>
              </w:rPr>
              <w:t>20</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cs="黑体" w:asciiTheme="minorEastAsia" w:hAnsiTheme="minorEastAsia"/>
                <w:szCs w:val="21"/>
              </w:rPr>
              <w:t>评标委员会组建</w:t>
            </w:r>
          </w:p>
        </w:tc>
        <w:tc>
          <w:tcPr>
            <w:tcW w:w="6813" w:type="dxa"/>
            <w:vAlign w:val="center"/>
          </w:tcPr>
          <w:p>
            <w:pPr>
              <w:autoSpaceDE w:val="0"/>
              <w:autoSpaceDN w:val="0"/>
              <w:spacing w:line="360" w:lineRule="auto"/>
              <w:rPr>
                <w:rFonts w:cs="仿宋_GB2312" w:asciiTheme="minorEastAsia" w:hAnsiTheme="minorEastAsia"/>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cs="仿宋_GB2312" w:asciiTheme="minorEastAsia" w:hAnsiTheme="minorEastAsia"/>
              </w:rPr>
              <w:t>由采购人代表1人和评审专家4人组成，其中评审专家的人数不少于评标委员会成员总数的三分之二。评审专家从政府采购评审专家库中随机抽取</w:t>
            </w:r>
            <w:r>
              <w:rPr>
                <w:rFonts w:hint="eastAsia" w:cs="仿宋_GB2312" w:asciiTheme="minorEastAsia" w:hAnsiTheme="minorEastAsia"/>
                <w:lang w:eastAsia="zh-CN"/>
              </w:rPr>
              <w:t>，</w:t>
            </w:r>
            <w:r>
              <w:rPr>
                <w:rFonts w:hint="eastAsia" w:cs="仿宋_GB2312" w:asciiTheme="minorEastAsia" w:hAnsiTheme="minorEastAsia"/>
              </w:rPr>
              <w:t>评审委员会应当推选组长，但采购人代表不得担任组长。与供应商有利害关系的人不得进入评标委员会。</w:t>
            </w:r>
          </w:p>
          <w:p>
            <w:pPr>
              <w:autoSpaceDE w:val="0"/>
              <w:autoSpaceDN w:val="0"/>
              <w:adjustRightInd w:val="0"/>
              <w:spacing w:line="360" w:lineRule="auto"/>
              <w:rPr>
                <w:rFonts w:ascii="宋体" w:cs="宋体"/>
                <w:bCs/>
                <w:szCs w:val="21"/>
                <w:lang w:val="zh-CN"/>
              </w:rPr>
            </w:pPr>
            <w:r>
              <w:rPr>
                <w:rFonts w:hint="eastAsia" w:cs="仿宋_GB2312" w:asciiTheme="minorEastAsia" w:hAnsiTheme="minorEastAsia"/>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22</w:t>
            </w:r>
          </w:p>
        </w:tc>
        <w:tc>
          <w:tcPr>
            <w:tcW w:w="2153" w:type="dxa"/>
            <w:vAlign w:val="center"/>
          </w:tcPr>
          <w:p>
            <w:pPr>
              <w:autoSpaceDE w:val="0"/>
              <w:autoSpaceDN w:val="0"/>
              <w:adjustRightInd w:val="0"/>
              <w:spacing w:line="360" w:lineRule="auto"/>
              <w:jc w:val="center"/>
              <w:rPr>
                <w:rFonts w:ascii="宋体" w:cs="宋体"/>
                <w:bCs/>
                <w:color w:val="0070C0"/>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ascii="宋体" w:cs="宋体"/>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153" w:type="dxa"/>
            <w:vAlign w:val="center"/>
          </w:tcPr>
          <w:p>
            <w:pPr>
              <w:autoSpaceDE w:val="0"/>
              <w:autoSpaceDN w:val="0"/>
              <w:adjustRightInd w:val="0"/>
              <w:spacing w:line="360" w:lineRule="auto"/>
              <w:jc w:val="center"/>
              <w:rPr>
                <w:rFonts w:ascii="宋体" w:cs="宋体"/>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fldChar w:fldCharType="begin"/>
            </w:r>
            <w:r>
              <w:rPr>
                <w:rFonts w:hint="eastAsia" w:cs="宋体" w:asciiTheme="minorEastAsia" w:hAnsiTheme="minorEastAsia"/>
                <w:color w:val="000000" w:themeColor="text1"/>
                <w:szCs w:val="21"/>
                <w14:textFill>
                  <w14:solidFill>
                    <w14:schemeClr w14:val="tx1"/>
                  </w14:solidFill>
                </w14:textFill>
              </w:rPr>
              <w:instrText xml:space="preserve">eq \o\ac(□,√)</w:instrText>
            </w:r>
            <w:r>
              <w:rPr>
                <w:rFonts w:cs="宋体" w:asciiTheme="minorEastAsia" w:hAnsiTheme="minorEastAsia"/>
                <w:color w:val="000000" w:themeColor="text1"/>
                <w:szCs w:val="21"/>
                <w14:textFill>
                  <w14:solidFill>
                    <w14:schemeClr w14:val="tx1"/>
                  </w14:solidFill>
                </w14:textFill>
              </w:rPr>
              <w:fldChar w:fldCharType="end"/>
            </w:r>
            <w:r>
              <w:rPr>
                <w:rFonts w:hint="eastAsia" w:cs="宋体" w:asciiTheme="minorEastAsia" w:hAnsiTheme="minorEastAsia"/>
                <w:color w:val="000000" w:themeColor="text1"/>
                <w:szCs w:val="21"/>
                <w14:textFill>
                  <w14:solidFill>
                    <w14:schemeClr w14:val="tx1"/>
                  </w14:solidFill>
                </w14:textFill>
              </w:rPr>
              <w:t>要求提交。履约保证金的数额为合同金额的10%。</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开户银行：中国工商银行股份有限公司长葛支行</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帐户名称：长葛市公共资源交易中心</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帐号1708026029200151795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新宋体" w:hAnsi="新宋体" w:eastAsia="新宋体"/>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25</w:t>
            </w:r>
          </w:p>
        </w:tc>
        <w:tc>
          <w:tcPr>
            <w:tcW w:w="215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ascii="宋体" w:cs="宋体"/>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ascii="宋体" w:cs="宋体"/>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向长葛市公共资源交易中心政府采购二部发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送投标报价及分项报价一览表（包含主要中标标的的名称、规格型号、数量、单价、服务要求等）电子文档，并同时通知政府采购二部。联系电话：0374-6189667；邮箱zfcgeb@126.com。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26</w:t>
            </w:r>
          </w:p>
        </w:tc>
        <w:tc>
          <w:tcPr>
            <w:tcW w:w="2153" w:type="dxa"/>
            <w:vAlign w:val="center"/>
          </w:tcPr>
          <w:p>
            <w:pPr>
              <w:autoSpaceDE w:val="0"/>
              <w:autoSpaceDN w:val="0"/>
              <w:adjustRightInd w:val="0"/>
              <w:spacing w:line="360" w:lineRule="auto"/>
              <w:jc w:val="center"/>
              <w:rPr>
                <w:rFonts w:ascii="宋体" w:hAnsi="宋体" w:cs="宋体"/>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hAnsi="宋体" w:cs="宋体"/>
                <w:b/>
                <w:kern w:val="0"/>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153"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ascii="宋体" w:hAnsi="宋体" w:cs="宋体"/>
          <w:b/>
          <w:kern w:val="0"/>
          <w:sz w:val="32"/>
          <w:szCs w:val="32"/>
        </w:rPr>
        <w:br w:type="page"/>
      </w: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8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8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2.4</w:t>
      </w:r>
      <w:r>
        <w:rPr>
          <w:rFonts w:hint="eastAsia" w:cs="宋体" w:asciiTheme="minorEastAsia" w:hAnsiTheme="minorEastAsia"/>
          <w:kern w:val="0"/>
          <w:szCs w:val="21"/>
        </w:rPr>
        <w:t>“集中采购机构”：接受采购人委托，代理采购项目的集中采购机构。集中采购名称、地址、 电话、联系人见“投标人须知前附表”。</w:t>
      </w:r>
    </w:p>
    <w:p>
      <w:pPr>
        <w:autoSpaceDE w:val="0"/>
        <w:autoSpaceDN w:val="0"/>
        <w:spacing w:line="360" w:lineRule="auto"/>
        <w:ind w:left="420" w:leftChars="20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集中采购机构及其分支机构不得在所代理的采购项目中投标或者代理投标，不得为所代理的采购项目的投标人参加本项目提供投标咨询。</w:t>
      </w:r>
    </w:p>
    <w:p>
      <w:pPr>
        <w:pStyle w:val="86"/>
        <w:numPr>
          <w:ilvl w:val="0"/>
          <w:numId w:val="0"/>
        </w:numPr>
        <w:autoSpaceDE w:val="0"/>
        <w:autoSpaceDN w:val="0"/>
        <w:spacing w:line="360" w:lineRule="auto"/>
        <w:ind w:left="420" w:leftChars="200" w:firstLine="0" w:firstLine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2.5</w:t>
      </w: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 </w:t>
      </w: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2.7 </w:t>
      </w: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2.7.1</w:t>
      </w:r>
      <w:r>
        <w:rPr>
          <w:rFonts w:hint="eastAsia" w:cs="宋体" w:asciiTheme="minorEastAsia" w:hAnsiTheme="minorEastAsia"/>
          <w:kern w:val="0"/>
          <w:szCs w:val="21"/>
        </w:rPr>
        <w:t xml:space="preserve">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2.7.2</w:t>
      </w:r>
      <w:r>
        <w:rPr>
          <w:rFonts w:hint="eastAsia" w:cs="宋体" w:asciiTheme="minorEastAsia" w:hAnsiTheme="minorEastAsia"/>
          <w:kern w:val="0"/>
          <w:szCs w:val="21"/>
        </w:rPr>
        <w:t xml:space="preserve">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2.8 </w:t>
      </w: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86"/>
        <w:autoSpaceDE w:val="0"/>
        <w:autoSpaceDN w:val="0"/>
        <w:spacing w:line="360" w:lineRule="auto"/>
        <w:ind w:left="964" w:firstLine="0" w:firstLineChars="0"/>
        <w:contextualSpacing/>
        <w:rPr>
          <w:rFonts w:cs="宋体" w:asciiTheme="minorEastAsia" w:hAnsiTheme="minorEastAsia"/>
          <w:kern w:val="0"/>
          <w:szCs w:val="21"/>
        </w:rPr>
      </w:pP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3.1</w:t>
      </w: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ascii="宋体" w:hAnsi="宋体"/>
          <w:szCs w:val="21"/>
          <w:lang w:val="en-US" w:eastAsia="zh-CN"/>
        </w:rPr>
        <w:t>3.3</w:t>
      </w: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3.6.4</w:t>
      </w:r>
      <w:r>
        <w:rPr>
          <w:rFonts w:hint="eastAsia" w:cs="宋体" w:asciiTheme="minorEastAsia" w:hAnsiTheme="minorEastAsia"/>
          <w:kern w:val="0"/>
          <w:szCs w:val="21"/>
        </w:rPr>
        <w:t xml:space="preserve">  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3.6.5</w:t>
      </w:r>
      <w:r>
        <w:rPr>
          <w:rFonts w:hint="eastAsia" w:cs="宋体" w:asciiTheme="minorEastAsia" w:hAnsiTheme="minorEastAsia"/>
          <w:kern w:val="0"/>
          <w:szCs w:val="21"/>
        </w:rPr>
        <w:t xml:space="preserve">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3.7</w:t>
      </w:r>
      <w:r>
        <w:rPr>
          <w:rFonts w:hint="eastAsia" w:cs="宋体" w:asciiTheme="minorEastAsia" w:hAnsiTheme="minorEastAsia"/>
          <w:kern w:val="0"/>
          <w:szCs w:val="21"/>
        </w:rPr>
        <w:t xml:space="preserve">  法律、行政法规规定的其他条件。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4.3</w:t>
      </w: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olor w:val="333333"/>
          <w:szCs w:val="21"/>
          <w:shd w:val="clear" w:color="auto" w:fill="FFFFFF"/>
          <w:lang w:val="en-US" w:eastAsia="zh-CN"/>
        </w:rPr>
        <w:t>4.4</w:t>
      </w: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4.5</w:t>
      </w: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投标费用</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8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8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9.2</w:t>
      </w: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9.3</w:t>
      </w: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86"/>
        <w:numPr>
          <w:ilvl w:val="0"/>
          <w:numId w:val="0"/>
        </w:numPr>
        <w:autoSpaceDE w:val="0"/>
        <w:autoSpaceDN w:val="0"/>
        <w:spacing w:line="360" w:lineRule="auto"/>
        <w:ind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10.1</w:t>
      </w: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10.2</w:t>
      </w: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10.3</w:t>
      </w: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10.4</w:t>
      </w:r>
      <w:r>
        <w:rPr>
          <w:rFonts w:hint="eastAsia" w:cs="宋体" w:asciiTheme="minorEastAsia" w:hAnsiTheme="minorEastAsia"/>
          <w:kern w:val="0"/>
          <w:szCs w:val="21"/>
        </w:rPr>
        <w:t>现场考察及参加开标前答疑会所发生的费用及一切责任由投标人自行承担。</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11.1</w:t>
      </w: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11.2</w:t>
      </w: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11.3</w:t>
      </w: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11.4</w:t>
      </w: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投标的语言及计量单位</w:t>
      </w:r>
    </w:p>
    <w:p>
      <w:pPr>
        <w:pStyle w:val="86"/>
        <w:numPr>
          <w:ilvl w:val="0"/>
          <w:numId w:val="0"/>
        </w:numPr>
        <w:autoSpaceDE w:val="0"/>
        <w:autoSpaceDN w:val="0"/>
        <w:spacing w:line="360" w:lineRule="auto"/>
        <w:ind w:leftChars="0" w:firstLine="422" w:firstLineChars="200"/>
        <w:contextualSpacing/>
        <w:rPr>
          <w:rFonts w:cs="宋体" w:asciiTheme="minorEastAsia" w:hAnsiTheme="minorEastAsia"/>
          <w:kern w:val="0"/>
          <w:szCs w:val="21"/>
        </w:rPr>
      </w:pPr>
      <w:r>
        <w:rPr>
          <w:rFonts w:hint="eastAsia" w:cs="宋体" w:asciiTheme="minorEastAsia" w:hAnsiTheme="minorEastAsia"/>
          <w:b/>
          <w:kern w:val="0"/>
          <w:szCs w:val="21"/>
          <w:lang w:val="en-US" w:eastAsia="zh-CN"/>
        </w:rPr>
        <w:t>12.1</w:t>
      </w: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12.2</w:t>
      </w: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13.1 </w:t>
      </w:r>
      <w:r>
        <w:rPr>
          <w:rFonts w:hint="eastAsia" w:cs="宋体" w:asciiTheme="minorEastAsia" w:hAnsiTheme="minorEastAsia"/>
          <w:kern w:val="0"/>
          <w:szCs w:val="21"/>
        </w:rPr>
        <w:t>本次招标项目的投标均以人民币为计算单位。</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86"/>
        <w:numPr>
          <w:ilvl w:val="0"/>
          <w:numId w:val="0"/>
        </w:num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13.4</w:t>
      </w: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13.5</w:t>
      </w:r>
      <w:r>
        <w:rPr>
          <w:rFonts w:hint="eastAsia" w:cs="宋体" w:asciiTheme="minorEastAsia" w:hAnsiTheme="minorEastAsia"/>
          <w:kern w:val="0"/>
          <w:szCs w:val="21"/>
        </w:rPr>
        <w:t>本项目所涉及的运输、施工、安装、集成、调试、验收、备品和工具等费用均包含在投标报价中。</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13.6</w:t>
      </w: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13.7</w:t>
      </w: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13.8</w:t>
      </w:r>
      <w:r>
        <w:rPr>
          <w:rFonts w:hint="eastAsia" w:cs="宋体" w:asciiTheme="minorEastAsia" w:hAnsiTheme="minorEastAsia"/>
          <w:kern w:val="0"/>
          <w:szCs w:val="21"/>
        </w:rPr>
        <w:t>最低报价不能作为中标的保证。</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14.1</w:t>
      </w: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14.3 </w:t>
      </w: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14.4</w:t>
      </w:r>
      <w:r>
        <w:rPr>
          <w:rFonts w:hint="eastAsia" w:cs="宋体" w:asciiTheme="minorEastAsia" w:hAnsiTheme="minorEastAsia"/>
          <w:kern w:val="0"/>
          <w:szCs w:val="21"/>
        </w:rPr>
        <w:t>中标人的投标文件作为项目合同的附件，其有效期至中标人全部合同义务履行完毕为止。</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15.1</w:t>
      </w:r>
      <w:r>
        <w:rPr>
          <w:rFonts w:hint="eastAsia" w:cs="宋体" w:asciiTheme="minorEastAsia" w:hAnsiTheme="minorEastAsia"/>
          <w:kern w:val="0"/>
          <w:szCs w:val="21"/>
        </w:rPr>
        <w:t>投标文件的构成应符合法律法规及招标文件的要求。</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15.4</w:t>
      </w: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15.5</w:t>
      </w: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16.1</w:t>
      </w: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16.2</w:t>
      </w:r>
      <w:r>
        <w:rPr>
          <w:rFonts w:hint="eastAsia" w:cs="宋体" w:asciiTheme="minorEastAsia" w:hAnsiTheme="minorEastAsia"/>
          <w:kern w:val="0"/>
          <w:szCs w:val="21"/>
        </w:rPr>
        <w:t>投标人应按招标文件提供的格式编写投标文件。招标文件未提供标准格式的投标人可自行拟定。</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投标保证金及履约保证金</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本项目不收取投标保证金。</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履约保证金按投标人须知前附表中要求的收取。</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18.1</w:t>
      </w:r>
      <w:r>
        <w:rPr>
          <w:rFonts w:hint="eastAsia" w:cs="宋体" w:asciiTheme="minorEastAsia" w:hAnsiTheme="minorEastAsia"/>
          <w:kern w:val="0"/>
          <w:szCs w:val="21"/>
        </w:rPr>
        <w:t>投标人应提交投标文件份数见“投标人须知前附表”。</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18.2</w:t>
      </w: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18.3</w:t>
      </w: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86"/>
        <w:numPr>
          <w:ilvl w:val="0"/>
          <w:numId w:val="0"/>
        </w:numPr>
        <w:autoSpaceDE w:val="0"/>
        <w:autoSpaceDN w:val="0"/>
        <w:spacing w:line="360" w:lineRule="auto"/>
        <w:ind w:left="420" w:leftChars="0"/>
        <w:contextualSpacing/>
        <w:rPr>
          <w:rFonts w:cs="仿宋_GB2312" w:asciiTheme="minorEastAsia" w:hAnsiTheme="minorEastAsia"/>
          <w:szCs w:val="21"/>
          <w:lang w:val="zh-CN"/>
        </w:rPr>
      </w:pPr>
      <w:r>
        <w:rPr>
          <w:rFonts w:hint="eastAsia" w:cs="宋体" w:asciiTheme="minorEastAsia" w:hAnsiTheme="minorEastAsia"/>
          <w:kern w:val="0"/>
          <w:szCs w:val="21"/>
          <w:lang w:val="en-US" w:eastAsia="zh-CN"/>
        </w:rPr>
        <w:t>18.4</w:t>
      </w: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86"/>
        <w:numPr>
          <w:ilvl w:val="0"/>
          <w:numId w:val="0"/>
        </w:num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19.1</w:t>
      </w:r>
      <w:r>
        <w:rPr>
          <w:rFonts w:hint="eastAsia" w:cs="宋体" w:asciiTheme="minorEastAsia" w:hAnsiTheme="minorEastAsia"/>
          <w:color w:val="000000" w:themeColor="text1"/>
          <w:kern w:val="0"/>
          <w:szCs w:val="21"/>
          <w14:textFill>
            <w14:solidFill>
              <w14:schemeClr w14:val="tx1"/>
            </w14:solidFill>
          </w14:textFill>
        </w:rPr>
        <w:t>投标人应将纸质投标文件“正本”、“ 副本”密封包装。使用电子介质存储的投标文件单独密封包装，并随纸质投标文件一并提交。</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20.1</w:t>
      </w: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20.2</w:t>
      </w:r>
      <w:r>
        <w:rPr>
          <w:rFonts w:hint="eastAsia" w:cs="宋体" w:asciiTheme="minorEastAsia" w:hAnsiTheme="minorEastAsia"/>
          <w:kern w:val="0"/>
          <w:szCs w:val="21"/>
        </w:rPr>
        <w:t>招标人收到投标文件后，应当如实记载投标文件的送达时间和密封情况，签收保存，。任何单位和个人不得在开标前开启投标文件。</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20.3</w:t>
      </w: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22.1</w:t>
      </w: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22.2</w:t>
      </w: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22.3</w:t>
      </w: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22.4</w:t>
      </w:r>
      <w:r>
        <w:rPr>
          <w:rFonts w:hint="eastAsia" w:cs="宋体" w:asciiTheme="minorEastAsia" w:hAnsiTheme="minorEastAsia"/>
          <w:kern w:val="0"/>
          <w:szCs w:val="21"/>
        </w:rPr>
        <w:t>投标人不得在投标有效期内撤销投标文件，否则投标人将承担违背投标承诺函的责任追究。</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开标</w:t>
      </w:r>
    </w:p>
    <w:p>
      <w:pPr>
        <w:pStyle w:val="86"/>
        <w:numPr>
          <w:ilvl w:val="0"/>
          <w:numId w:val="0"/>
        </w:numPr>
        <w:autoSpaceDE w:val="0"/>
        <w:autoSpaceDN w:val="0"/>
        <w:spacing w:line="360" w:lineRule="auto"/>
        <w:ind w:leftChars="0" w:firstLine="422" w:firstLineChars="200"/>
        <w:contextualSpacing/>
        <w:rPr>
          <w:rFonts w:hint="eastAsia" w:cs="宋体" w:asciiTheme="minorEastAsia" w:hAnsiTheme="minorEastAsia"/>
          <w:kern w:val="0"/>
          <w:szCs w:val="21"/>
        </w:rPr>
      </w:pPr>
      <w:r>
        <w:rPr>
          <w:rFonts w:hint="eastAsia" w:cs="宋体" w:asciiTheme="minorEastAsia" w:hAnsiTheme="minorEastAsia"/>
          <w:b/>
          <w:kern w:val="0"/>
          <w:szCs w:val="21"/>
          <w:lang w:val="en-US" w:eastAsia="zh-CN"/>
        </w:rPr>
        <w:t>24.1</w:t>
      </w:r>
      <w:r>
        <w:rPr>
          <w:rFonts w:hint="eastAsia" w:cs="宋体" w:asciiTheme="minorEastAsia" w:hAnsiTheme="minorEastAsia"/>
          <w:kern w:val="0"/>
          <w:szCs w:val="21"/>
        </w:rPr>
        <w:t>招标人将按招标文件规定的时间和地点组织公开开标。开标由集中采购机构主持，邀请投标人参加。评标委员会成员不得参加开标活动。</w:t>
      </w:r>
    </w:p>
    <w:p>
      <w:pPr>
        <w:pStyle w:val="86"/>
        <w:numPr>
          <w:ilvl w:val="0"/>
          <w:numId w:val="0"/>
        </w:numPr>
        <w:autoSpaceDE w:val="0"/>
        <w:autoSpaceDN w:val="0"/>
        <w:spacing w:line="360" w:lineRule="auto"/>
        <w:ind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24.2</w:t>
      </w: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86"/>
        <w:numPr>
          <w:ilvl w:val="0"/>
          <w:numId w:val="0"/>
        </w:numPr>
        <w:autoSpaceDE w:val="0"/>
        <w:autoSpaceDN w:val="0"/>
        <w:spacing w:line="360" w:lineRule="auto"/>
        <w:ind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24.3</w:t>
      </w: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86"/>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24.4</w:t>
      </w:r>
      <w:r>
        <w:rPr>
          <w:rFonts w:hint="eastAsia" w:cs="宋体" w:asciiTheme="minorEastAsia" w:hAnsiTheme="minorEastAsia"/>
          <w:kern w:val="0"/>
          <w:szCs w:val="21"/>
        </w:rPr>
        <w:t>投标人不足3家的，不得开标。</w:t>
      </w:r>
    </w:p>
    <w:p>
      <w:pPr>
        <w:pStyle w:val="86"/>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24.5</w:t>
      </w: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86"/>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24.6</w:t>
      </w: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24.7</w:t>
      </w:r>
      <w:r>
        <w:rPr>
          <w:rFonts w:hint="eastAsia" w:cs="宋体" w:asciiTheme="minorEastAsia" w:hAnsiTheme="minorEastAsia"/>
          <w:kern w:val="0"/>
          <w:szCs w:val="21"/>
        </w:rPr>
        <w:t>投标人未参加开标的，视同认可开标结果。</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评标委员会的组成</w:t>
      </w:r>
    </w:p>
    <w:p>
      <w:pPr>
        <w:pStyle w:val="86"/>
        <w:numPr>
          <w:ilvl w:val="0"/>
          <w:numId w:val="0"/>
        </w:numPr>
        <w:autoSpaceDE w:val="0"/>
        <w:autoSpaceDN w:val="0"/>
        <w:spacing w:line="360" w:lineRule="auto"/>
        <w:ind w:leftChars="0" w:firstLine="422" w:firstLineChars="200"/>
        <w:contextualSpacing/>
        <w:rPr>
          <w:rFonts w:cs="宋体" w:asciiTheme="minorEastAsia" w:hAnsiTheme="minorEastAsia"/>
          <w:kern w:val="0"/>
          <w:szCs w:val="21"/>
        </w:rPr>
      </w:pPr>
      <w:r>
        <w:rPr>
          <w:rFonts w:hint="eastAsia" w:cs="宋体" w:asciiTheme="minorEastAsia" w:hAnsiTheme="minorEastAsia"/>
          <w:b/>
          <w:kern w:val="0"/>
          <w:szCs w:val="21"/>
          <w:lang w:val="en-US" w:eastAsia="zh-CN"/>
        </w:rPr>
        <w:t>26.1</w:t>
      </w: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评审专家对本单位的采购项目只能作为采购人代表参与评标。集中采购机构工作人员不得参加由本机构代理的政府采购项目的评标。</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8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8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8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8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8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8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8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86"/>
        <w:numPr>
          <w:ilvl w:val="1"/>
          <w:numId w:val="8"/>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r>
        <w:rPr>
          <w:rFonts w:hint="eastAsia" w:cs="宋体" w:asciiTheme="minorEastAsia" w:hAnsiTheme="minorEastAsia"/>
          <w:kern w:val="0"/>
          <w:szCs w:val="21"/>
          <w:lang w:eastAsia="zh-CN"/>
        </w:rPr>
        <w:t>。</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8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8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39.1</w:t>
      </w: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lang w:eastAsia="zh-CN"/>
        </w:rPr>
        <w:t>。</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firstLine="420" w:firstLineChars="200"/>
        <w:contextualSpacing/>
        <w:rPr>
          <w:rFonts w:hint="eastAsia"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3"/>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36"/>
          <w:szCs w:val="32"/>
        </w:rPr>
      </w:pPr>
    </w:p>
    <w:p>
      <w:pPr>
        <w:pStyle w:val="2"/>
        <w:ind w:firstLine="340"/>
      </w:pPr>
    </w:p>
    <w:p>
      <w:pPr>
        <w:pStyle w:val="2"/>
        <w:ind w:firstLine="340"/>
      </w:pPr>
    </w:p>
    <w:p>
      <w:pPr>
        <w:pStyle w:val="2"/>
        <w:ind w:firstLine="340"/>
      </w:pPr>
    </w:p>
    <w:p>
      <w:pPr>
        <w:autoSpaceDE w:val="0"/>
        <w:autoSpaceDN w:val="0"/>
        <w:spacing w:line="360" w:lineRule="auto"/>
        <w:contextualSpacing/>
        <w:jc w:val="both"/>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5"/>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5"/>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3"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3"/>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5"/>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5"/>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
      <w:pPr>
        <w:pStyle w:val="15"/>
        <w:spacing w:line="360" w:lineRule="auto"/>
        <w:ind w:left="345" w:hanging="345" w:hangingChars="78"/>
        <w:contextualSpacing/>
        <w:jc w:val="center"/>
        <w:rPr>
          <w:rFonts w:cs="宋体"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_GB2312" w:asciiTheme="minorEastAsia" w:hAnsiTheme="minorEastAsia"/>
        </w:rPr>
      </w:pPr>
      <w:r>
        <w:rPr>
          <w:rFonts w:hint="eastAsia" w:ascii="宋体" w:hAnsi="宋体" w:cs="宋体"/>
          <w:b/>
          <w:kern w:val="0"/>
          <w:sz w:val="32"/>
          <w:szCs w:val="32"/>
        </w:rPr>
        <w:t>第六章资格审查与评标</w:t>
      </w:r>
    </w:p>
    <w:p>
      <w:pPr>
        <w:pStyle w:val="15"/>
        <w:spacing w:line="360" w:lineRule="auto"/>
        <w:contextualSpacing/>
        <w:rPr>
          <w:rFonts w:asciiTheme="minorEastAsia" w:hAnsiTheme="minorEastAsia" w:eastAsiaTheme="minorEastAsia"/>
          <w:bCs/>
          <w:sz w:val="22"/>
          <w:szCs w:val="21"/>
        </w:rPr>
      </w:pPr>
      <w:r>
        <w:rPr>
          <w:rFonts w:cs="仿宋_GB2312" w:asciiTheme="minorEastAsia" w:hAnsiTheme="minorEastAsia" w:eastAsiaTheme="minorEastAsia"/>
          <w:b/>
          <w:sz w:val="22"/>
          <w:szCs w:val="21"/>
          <w:lang w:val="zh-CN"/>
        </w:rPr>
        <w:t>一、资格审查</w:t>
      </w:r>
    </w:p>
    <w:p>
      <w:pPr>
        <w:spacing w:line="360" w:lineRule="auto"/>
        <w:ind w:right="420" w:firstLine="409" w:firstLineChars="195"/>
        <w:contextualSpacing/>
        <w:rPr>
          <w:rFonts w:asciiTheme="minorEastAsia" w:hAnsiTheme="minorEastAsia"/>
        </w:rPr>
      </w:pPr>
      <w:r>
        <w:rPr>
          <w:rFonts w:hint="eastAsia" w:asciiTheme="minorEastAsia" w:hAnsiTheme="minorEastAsia"/>
        </w:rPr>
        <w:t>（一）</w:t>
      </w:r>
      <w:r>
        <w:rPr>
          <w:rFonts w:asciiTheme="minorEastAsia" w:hAnsiTheme="minorEastAsia"/>
        </w:rPr>
        <w:t>开标结束后，</w:t>
      </w:r>
      <w:r>
        <w:rPr>
          <w:rFonts w:hint="eastAsia" w:asciiTheme="minorEastAsia" w:hAnsiTheme="minorEastAsia"/>
        </w:rPr>
        <w:t>由采购人代表1人（需出具委托书）依法对投标人资格进行审查</w:t>
      </w:r>
      <w:r>
        <w:rPr>
          <w:rFonts w:asciiTheme="minorEastAsia" w:hAnsiTheme="minorEastAsia"/>
        </w:rPr>
        <w:t>。</w:t>
      </w:r>
      <w:r>
        <w:rPr>
          <w:rFonts w:hint="eastAsia" w:asciiTheme="minorEastAsia" w:hAnsiTheme="minorEastAsia"/>
        </w:rPr>
        <w:t>确定符合资格的投标人不少于3家的，将组织评标委员会进行评标。</w:t>
      </w:r>
    </w:p>
    <w:p>
      <w:pPr>
        <w:spacing w:line="360" w:lineRule="auto"/>
        <w:ind w:right="420" w:rightChars="200" w:firstLine="420" w:firstLineChars="200"/>
        <w:contextualSpacing/>
        <w:rPr>
          <w:rFonts w:hAnsi="宋体"/>
          <w:kern w:val="0"/>
          <w:sz w:val="21"/>
          <w:szCs w:val="21"/>
        </w:rPr>
      </w:pPr>
      <w:r>
        <w:rPr>
          <w:rFonts w:hint="eastAsia" w:hAnsi="宋体"/>
          <w:kern w:val="0"/>
          <w:sz w:val="21"/>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hAnsi="宋体"/>
          <w:kern w:val="0"/>
          <w:sz w:val="21"/>
          <w:szCs w:val="21"/>
        </w:rPr>
      </w:pPr>
      <w:r>
        <w:rPr>
          <w:rFonts w:hint="eastAsia" w:hAnsi="宋体"/>
          <w:kern w:val="0"/>
          <w:sz w:val="21"/>
          <w:szCs w:val="21"/>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
                <w:bCs w:val="0"/>
                <w:szCs w:val="21"/>
              </w:rPr>
            </w:pPr>
            <w:r>
              <w:rPr>
                <w:rFonts w:hint="eastAsia" w:asciiTheme="minorEastAsia" w:hAnsiTheme="minorEastAsia"/>
                <w:b/>
                <w:bCs w:val="0"/>
                <w:szCs w:val="21"/>
              </w:rPr>
              <w:t>政府采购活动中查询及使用投标人信用记录的具体要求为：投标人未被列入</w:t>
            </w:r>
            <w:r>
              <w:rPr>
                <w:rFonts w:asciiTheme="minorEastAsia" w:hAnsiTheme="minorEastAsia"/>
                <w:b/>
                <w:bCs w:val="0"/>
                <w:szCs w:val="21"/>
              </w:rPr>
              <w:t>“信用中国”网站</w:t>
            </w:r>
            <w:r>
              <w:rPr>
                <w:rFonts w:hint="eastAsia" w:asciiTheme="minorEastAsia" w:hAnsiTheme="minorEastAsia"/>
                <w:b/>
                <w:bCs w:val="0"/>
                <w:szCs w:val="21"/>
              </w:rPr>
              <w:t>失信被执行人、重大税收违法案件当事人名单、“</w:t>
            </w:r>
            <w:r>
              <w:rPr>
                <w:rFonts w:asciiTheme="minorEastAsia" w:hAnsiTheme="minorEastAsia"/>
                <w:b/>
                <w:bCs w:val="0"/>
                <w:szCs w:val="21"/>
              </w:rPr>
              <w:t>中国政府采购网</w:t>
            </w:r>
            <w:r>
              <w:rPr>
                <w:rFonts w:hint="eastAsia" w:asciiTheme="minorEastAsia" w:hAnsiTheme="minorEastAsia"/>
                <w:b/>
                <w:bCs w:val="0"/>
                <w:szCs w:val="21"/>
              </w:rPr>
              <w:t>”政府采购严重违法失信行为记录名单、</w:t>
            </w:r>
            <w:r>
              <w:rPr>
                <w:rFonts w:hint="eastAsia" w:cs="仿宋_GB2312" w:asciiTheme="minorEastAsia" w:hAnsiTheme="minorEastAsia"/>
                <w:b/>
                <w:bCs w:val="0"/>
                <w:color w:val="000000"/>
                <w:szCs w:val="21"/>
              </w:rPr>
              <w:t>“中国社会组织公共服务平台”网站（</w:t>
            </w:r>
            <w:r>
              <w:rPr>
                <w:rFonts w:cs="仿宋_GB2312" w:asciiTheme="minorEastAsia" w:hAnsiTheme="minorEastAsia"/>
                <w:b/>
                <w:bCs w:val="0"/>
                <w:color w:val="000000"/>
                <w:szCs w:val="21"/>
              </w:rPr>
              <w:t>www.chinanpo.gov.cn</w:t>
            </w:r>
            <w:r>
              <w:rPr>
                <w:rFonts w:hint="eastAsia" w:cs="仿宋_GB2312" w:asciiTheme="minorEastAsia" w:hAnsiTheme="minorEastAsia"/>
                <w:b/>
                <w:bCs w:val="0"/>
                <w:color w:val="000000"/>
                <w:szCs w:val="21"/>
              </w:rPr>
              <w:t>）严重违法失信社会组织名单的投标人；</w:t>
            </w:r>
            <w:r>
              <w:rPr>
                <w:rFonts w:hint="eastAsia" w:asciiTheme="minorEastAsia" w:hAnsiTheme="minorEastAsia"/>
                <w:b/>
                <w:bCs w:val="0"/>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投标人须具备的特殊资质证书</w:t>
            </w:r>
          </w:p>
        </w:tc>
        <w:tc>
          <w:tcPr>
            <w:tcW w:w="5954" w:type="dxa"/>
            <w:vAlign w:val="center"/>
          </w:tcPr>
          <w:p>
            <w:pPr>
              <w:spacing w:line="360" w:lineRule="auto"/>
              <w:rPr>
                <w:rFonts w:asciiTheme="minorEastAsia" w:hAnsiTheme="minorEastAsia"/>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tc>
      </w:tr>
    </w:tbl>
    <w:p>
      <w:pPr>
        <w:pStyle w:val="15"/>
        <w:spacing w:line="360" w:lineRule="auto"/>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1）如投标人所投产品属于“中国强制性产品认证”（3C认证）范围内,则必须承诺采用</w:t>
      </w:r>
      <w:r>
        <w:rPr>
          <w:rFonts w:cs="仿宋_GB2312" w:asciiTheme="minorEastAsia" w:hAnsiTheme="minorEastAsia"/>
          <w:color w:val="000000" w:themeColor="text1"/>
          <w:szCs w:val="21"/>
          <w:lang w:val="zh-CN"/>
          <w14:textFill>
            <w14:solidFill>
              <w14:schemeClr w14:val="tx1"/>
            </w14:solidFill>
          </w14:textFill>
        </w:rPr>
        <w:t>《中华人民共和国实施强制性产品认证的产品目录》</w:t>
      </w:r>
      <w:r>
        <w:rPr>
          <w:rFonts w:hint="eastAsia" w:cs="仿宋_GB2312" w:asciiTheme="minorEastAsia" w:hAnsiTheme="minorEastAsia"/>
          <w:color w:val="000000" w:themeColor="text1"/>
          <w:szCs w:val="21"/>
          <w:lang w:val="zh-CN"/>
          <w14:textFill>
            <w14:solidFill>
              <w14:schemeClr w14:val="tx1"/>
            </w14:solidFill>
          </w14:textFill>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2)投标人所投产品如被列入</w:t>
      </w:r>
      <w:r>
        <w:rPr>
          <w:rFonts w:cs="宋体" w:asciiTheme="minorEastAsia" w:hAnsiTheme="minorEastAsia"/>
          <w:color w:val="000000" w:themeColor="text1"/>
          <w:kern w:val="0"/>
          <w:szCs w:val="21"/>
          <w14:textFill>
            <w14:solidFill>
              <w14:schemeClr w14:val="tx1"/>
            </w14:solidFill>
          </w14:textFill>
        </w:rPr>
        <w:t>《信息安全产品强制性认证目录》，</w:t>
      </w:r>
      <w:r>
        <w:rPr>
          <w:rFonts w:hint="eastAsia" w:cs="仿宋_GB2312" w:asciiTheme="minorEastAsia" w:hAnsiTheme="minorEastAsia"/>
          <w:color w:val="000000" w:themeColor="text1"/>
          <w:szCs w:val="21"/>
          <w:lang w:val="zh-CN"/>
          <w14:textFill>
            <w14:solidFill>
              <w14:schemeClr w14:val="tx1"/>
            </w14:solidFill>
          </w14:textFill>
        </w:rPr>
        <w:t>则投标文件中应根据本项目招标文件“第二章 项目需求”</w:t>
      </w:r>
      <w:r>
        <w:rPr>
          <w:rFonts w:cs="仿宋_GB2312" w:asciiTheme="minorEastAsia" w:hAnsiTheme="minorEastAsia"/>
          <w:color w:val="000000" w:themeColor="text1"/>
          <w:szCs w:val="21"/>
          <w:lang w:val="zh-CN"/>
          <w14:textFill>
            <w14:solidFill>
              <w14:schemeClr w14:val="tx1"/>
            </w14:solidFill>
          </w14:textFill>
        </w:rPr>
        <w:t>提供</w:t>
      </w:r>
      <w:r>
        <w:rPr>
          <w:rFonts w:hint="eastAsia" w:cs="仿宋_GB2312" w:asciiTheme="minorEastAsia" w:hAnsiTheme="minorEastAsia"/>
          <w:color w:val="000000" w:themeColor="text1"/>
          <w:szCs w:val="21"/>
          <w:lang w:val="zh-CN"/>
          <w14:textFill>
            <w14:solidFill>
              <w14:schemeClr w14:val="tx1"/>
            </w14:solidFill>
          </w14:textFill>
        </w:rPr>
        <w:t>：</w:t>
      </w:r>
    </w:p>
    <w:p>
      <w:pPr>
        <w:wordWrap w:val="0"/>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①中国信息安全认证中心官网（</w:t>
      </w:r>
      <w:r>
        <w:rPr>
          <w:rFonts w:cs="宋体" w:asciiTheme="minorEastAsia" w:hAnsiTheme="minorEastAsia"/>
          <w:color w:val="000000" w:themeColor="text1"/>
          <w:kern w:val="0"/>
          <w:szCs w:val="21"/>
          <w14:textFill>
            <w14:solidFill>
              <w14:schemeClr w14:val="tx1"/>
            </w14:solidFill>
          </w14:textFill>
        </w:rPr>
        <w:t>http://www.isccc.gov.cn/index.shtml</w:t>
      </w:r>
      <w:r>
        <w:rPr>
          <w:rFonts w:hint="eastAsia" w:cs="宋体" w:asciiTheme="minorEastAsia" w:hAnsiTheme="minorEastAsia"/>
          <w:color w:val="000000" w:themeColor="text1"/>
          <w:kern w:val="0"/>
          <w:szCs w:val="21"/>
          <w14:textFill>
            <w14:solidFill>
              <w14:schemeClr w14:val="tx1"/>
            </w14:solidFill>
          </w14:textFill>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②中国信息安全认证中心</w:t>
      </w:r>
      <w:r>
        <w:rPr>
          <w:rFonts w:hint="eastAsia" w:cs="仿宋_GB2312" w:asciiTheme="minorEastAsia" w:hAnsiTheme="minorEastAsia"/>
          <w:color w:val="000000" w:themeColor="text1"/>
          <w:szCs w:val="21"/>
          <w:lang w:val="zh-CN"/>
          <w14:textFill>
            <w14:solidFill>
              <w14:schemeClr w14:val="tx1"/>
            </w14:solidFill>
          </w14:textFill>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70C0"/>
          <w:sz w:val="24"/>
          <w:szCs w:val="24"/>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jc w:val="center"/>
        <w:rPr>
          <w:rFonts w:hint="eastAsia"/>
          <w:b/>
          <w:bCs/>
          <w:sz w:val="30"/>
          <w:szCs w:val="30"/>
          <w:lang w:eastAsia="zh-CN"/>
        </w:rPr>
      </w:pPr>
      <w:r>
        <w:rPr>
          <w:rFonts w:hint="eastAsia"/>
          <w:b/>
          <w:bCs/>
          <w:sz w:val="30"/>
          <w:szCs w:val="30"/>
          <w:lang w:eastAsia="zh-CN"/>
        </w:rPr>
        <w:t>评分标准</w:t>
      </w:r>
    </w:p>
    <w:tbl>
      <w:tblPr>
        <w:tblStyle w:val="29"/>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632"/>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2709" w:type="dxa"/>
            <w:gridSpan w:val="2"/>
            <w:noWrap w:val="0"/>
            <w:vAlign w:val="center"/>
          </w:tcPr>
          <w:p>
            <w:pPr>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分值构成</w:t>
            </w:r>
          </w:p>
          <w:p>
            <w:pPr>
              <w:snapToGrid w:val="0"/>
              <w:jc w:val="center"/>
              <w:rPr>
                <w:rFonts w:hint="eastAsia" w:ascii="宋体" w:hAnsi="宋体" w:eastAsia="宋体" w:cs="宋体"/>
                <w:b/>
                <w:color w:val="000000"/>
                <w:sz w:val="24"/>
                <w:szCs w:val="24"/>
                <w:shd w:val="clear" w:color="auto" w:fill="auto"/>
              </w:rPr>
            </w:pPr>
            <w:r>
              <w:rPr>
                <w:rFonts w:hint="eastAsia" w:ascii="宋体" w:hAnsi="宋体" w:eastAsia="宋体" w:cs="宋体"/>
                <w:color w:val="000000"/>
                <w:sz w:val="24"/>
                <w:szCs w:val="24"/>
                <w:shd w:val="clear" w:color="auto" w:fill="auto"/>
              </w:rPr>
              <w:t>(总分100分)</w:t>
            </w:r>
          </w:p>
        </w:tc>
        <w:tc>
          <w:tcPr>
            <w:tcW w:w="7151" w:type="dxa"/>
            <w:noWrap w:val="0"/>
            <w:vAlign w:val="center"/>
          </w:tcPr>
          <w:p>
            <w:pPr>
              <w:jc w:val="left"/>
              <w:rPr>
                <w:rFonts w:hint="eastAsia" w:ascii="宋体" w:hAnsi="宋体" w:eastAsia="宋体" w:cs="宋体"/>
                <w:color w:val="000000"/>
                <w:sz w:val="24"/>
                <w:szCs w:val="24"/>
                <w:shd w:val="clear" w:color="auto" w:fill="auto"/>
              </w:rPr>
            </w:pPr>
            <w:r>
              <w:rPr>
                <w:rFonts w:hint="eastAsia" w:ascii="宋体" w:hAnsi="宋体" w:eastAsia="宋体" w:cs="宋体"/>
                <w:b/>
                <w:color w:val="000000"/>
                <w:kern w:val="0"/>
                <w:sz w:val="24"/>
                <w:szCs w:val="24"/>
                <w:shd w:val="clear" w:color="auto" w:fill="auto"/>
              </w:rPr>
              <w:t>价格部分</w:t>
            </w:r>
            <w:r>
              <w:rPr>
                <w:rFonts w:hint="eastAsia" w:ascii="宋体" w:hAnsi="宋体" w:eastAsia="宋体" w:cs="宋体"/>
                <w:b/>
                <w:color w:val="000000"/>
                <w:kern w:val="0"/>
                <w:sz w:val="24"/>
                <w:szCs w:val="24"/>
                <w:shd w:val="clear" w:color="auto" w:fill="auto"/>
                <w:lang w:val="en-US" w:eastAsia="zh-CN"/>
              </w:rPr>
              <w:t>4</w:t>
            </w:r>
            <w:r>
              <w:rPr>
                <w:rFonts w:hint="eastAsia" w:ascii="宋体" w:hAnsi="宋体" w:eastAsia="宋体" w:cs="宋体"/>
                <w:b/>
                <w:color w:val="000000"/>
                <w:kern w:val="0"/>
                <w:sz w:val="24"/>
                <w:szCs w:val="24"/>
                <w:shd w:val="clear" w:color="auto" w:fill="auto"/>
              </w:rPr>
              <w:t>0分</w:t>
            </w:r>
          </w:p>
          <w:p>
            <w:pPr>
              <w:jc w:val="left"/>
              <w:rPr>
                <w:rFonts w:hint="eastAsia" w:ascii="宋体" w:hAnsi="宋体" w:eastAsia="宋体" w:cs="宋体"/>
                <w:b/>
                <w:bCs/>
                <w:color w:val="000000"/>
                <w:sz w:val="24"/>
                <w:szCs w:val="24"/>
                <w:shd w:val="clear" w:color="auto" w:fill="auto"/>
              </w:rPr>
            </w:pPr>
            <w:r>
              <w:rPr>
                <w:rFonts w:hint="eastAsia" w:ascii="宋体" w:hAnsi="宋体" w:eastAsia="宋体" w:cs="宋体"/>
                <w:b/>
                <w:color w:val="000000"/>
                <w:kern w:val="0"/>
                <w:sz w:val="24"/>
                <w:szCs w:val="24"/>
                <w:shd w:val="clear" w:color="auto" w:fill="auto"/>
              </w:rPr>
              <w:t>商务部分</w:t>
            </w:r>
            <w:r>
              <w:rPr>
                <w:rFonts w:hint="eastAsia" w:ascii="宋体" w:hAnsi="宋体" w:eastAsia="宋体" w:cs="宋体"/>
                <w:b/>
                <w:color w:val="000000"/>
                <w:kern w:val="0"/>
                <w:sz w:val="24"/>
                <w:szCs w:val="24"/>
                <w:shd w:val="clear" w:color="auto" w:fill="auto"/>
                <w:lang w:val="en-US" w:eastAsia="zh-CN"/>
              </w:rPr>
              <w:t>25</w:t>
            </w:r>
            <w:r>
              <w:rPr>
                <w:rFonts w:hint="eastAsia" w:ascii="宋体" w:hAnsi="宋体" w:eastAsia="宋体" w:cs="宋体"/>
                <w:b/>
                <w:color w:val="000000"/>
                <w:kern w:val="0"/>
                <w:sz w:val="24"/>
                <w:szCs w:val="24"/>
                <w:shd w:val="clear" w:color="auto" w:fill="auto"/>
              </w:rPr>
              <w:t>分</w:t>
            </w:r>
          </w:p>
          <w:p>
            <w:pPr>
              <w:rPr>
                <w:rFonts w:hint="eastAsia" w:ascii="宋体" w:hAnsi="宋体" w:eastAsia="宋体" w:cs="宋体"/>
                <w:b/>
                <w:color w:val="000000"/>
                <w:sz w:val="24"/>
                <w:szCs w:val="24"/>
                <w:shd w:val="clear" w:color="auto" w:fill="auto"/>
              </w:rPr>
            </w:pPr>
            <w:r>
              <w:rPr>
                <w:rFonts w:hint="eastAsia" w:ascii="宋体" w:hAnsi="宋体" w:eastAsia="宋体" w:cs="宋体"/>
                <w:b/>
                <w:bCs/>
                <w:color w:val="000000"/>
                <w:sz w:val="24"/>
                <w:szCs w:val="24"/>
                <w:shd w:val="clear" w:color="auto" w:fill="auto"/>
              </w:rPr>
              <w:t>技术及服务能力部</w:t>
            </w:r>
            <w:r>
              <w:rPr>
                <w:rFonts w:hint="eastAsia" w:ascii="宋体" w:hAnsi="宋体" w:eastAsia="宋体" w:cs="宋体"/>
                <w:b/>
                <w:color w:val="000000"/>
                <w:kern w:val="0"/>
                <w:sz w:val="24"/>
                <w:szCs w:val="24"/>
                <w:shd w:val="clear" w:color="auto" w:fill="auto"/>
              </w:rPr>
              <w:t>分</w:t>
            </w:r>
            <w:r>
              <w:rPr>
                <w:rFonts w:hint="eastAsia" w:ascii="宋体" w:hAnsi="宋体" w:eastAsia="宋体" w:cs="宋体"/>
                <w:b/>
                <w:color w:val="000000"/>
                <w:kern w:val="0"/>
                <w:sz w:val="24"/>
                <w:szCs w:val="24"/>
                <w:shd w:val="clear" w:color="auto" w:fill="auto"/>
                <w:lang w:val="en-US" w:eastAsia="zh-CN"/>
              </w:rPr>
              <w:t>35</w:t>
            </w:r>
            <w:r>
              <w:rPr>
                <w:rFonts w:hint="eastAsia" w:ascii="宋体" w:hAnsi="宋体" w:eastAsia="宋体" w:cs="宋体"/>
                <w:b/>
                <w:color w:val="000000"/>
                <w:kern w:val="0"/>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77" w:type="dxa"/>
            <w:noWrap w:val="0"/>
            <w:vAlign w:val="center"/>
          </w:tcPr>
          <w:p>
            <w:pPr>
              <w:snapToGrid w:val="0"/>
              <w:jc w:val="center"/>
              <w:rPr>
                <w:rFonts w:hint="eastAsia" w:ascii="宋体" w:hAnsi="宋体" w:eastAsia="宋体" w:cs="宋体"/>
                <w:b/>
                <w:color w:val="000000"/>
                <w:sz w:val="24"/>
                <w:szCs w:val="24"/>
                <w:shd w:val="clear" w:color="auto" w:fill="auto"/>
              </w:rPr>
            </w:pPr>
            <w:r>
              <w:rPr>
                <w:rFonts w:hint="eastAsia" w:ascii="宋体" w:hAnsi="宋体" w:eastAsia="宋体" w:cs="宋体"/>
                <w:b/>
                <w:color w:val="000000"/>
                <w:sz w:val="24"/>
                <w:szCs w:val="24"/>
                <w:shd w:val="clear" w:color="auto" w:fill="auto"/>
              </w:rPr>
              <w:t>评审项</w:t>
            </w:r>
          </w:p>
        </w:tc>
        <w:tc>
          <w:tcPr>
            <w:tcW w:w="1632" w:type="dxa"/>
            <w:noWrap w:val="0"/>
            <w:vAlign w:val="center"/>
          </w:tcPr>
          <w:p>
            <w:pPr>
              <w:snapToGrid w:val="0"/>
              <w:jc w:val="center"/>
              <w:rPr>
                <w:rFonts w:hint="eastAsia" w:ascii="宋体" w:hAnsi="宋体" w:eastAsia="宋体" w:cs="宋体"/>
                <w:b/>
                <w:color w:val="000000"/>
                <w:sz w:val="24"/>
                <w:szCs w:val="24"/>
                <w:shd w:val="clear" w:color="auto" w:fill="auto"/>
              </w:rPr>
            </w:pPr>
            <w:r>
              <w:rPr>
                <w:rFonts w:hint="eastAsia" w:ascii="宋体" w:hAnsi="宋体" w:eastAsia="宋体" w:cs="宋体"/>
                <w:b/>
                <w:color w:val="000000"/>
                <w:sz w:val="24"/>
                <w:szCs w:val="24"/>
                <w:shd w:val="clear" w:color="auto" w:fill="auto"/>
              </w:rPr>
              <w:t>评分因素</w:t>
            </w:r>
          </w:p>
        </w:tc>
        <w:tc>
          <w:tcPr>
            <w:tcW w:w="7151" w:type="dxa"/>
            <w:noWrap w:val="0"/>
            <w:vAlign w:val="center"/>
          </w:tcPr>
          <w:p>
            <w:pPr>
              <w:snapToGrid w:val="0"/>
              <w:jc w:val="center"/>
              <w:rPr>
                <w:rFonts w:hint="eastAsia" w:ascii="宋体" w:hAnsi="宋体" w:eastAsia="宋体" w:cs="宋体"/>
                <w:b/>
                <w:color w:val="000000"/>
                <w:sz w:val="24"/>
                <w:szCs w:val="24"/>
                <w:shd w:val="clear" w:color="auto" w:fill="auto"/>
              </w:rPr>
            </w:pPr>
            <w:r>
              <w:rPr>
                <w:rFonts w:hint="eastAsia" w:ascii="宋体" w:hAnsi="宋体" w:eastAsia="宋体" w:cs="宋体"/>
                <w:b/>
                <w:color w:val="000000"/>
                <w:sz w:val="24"/>
                <w:szCs w:val="24"/>
                <w:shd w:val="clear" w:color="auto" w:fill="auto"/>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1077" w:type="dxa"/>
            <w:noWrap w:val="0"/>
            <w:vAlign w:val="center"/>
          </w:tcPr>
          <w:p>
            <w:pPr>
              <w:widowControl/>
              <w:snapToGrid w:val="0"/>
              <w:ind w:leftChars="-2" w:hanging="4" w:hangingChars="2"/>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报价部分</w:t>
            </w:r>
          </w:p>
          <w:p>
            <w:pPr>
              <w:widowControl/>
              <w:snapToGrid w:val="0"/>
              <w:ind w:leftChars="-2" w:hanging="4" w:hangingChars="2"/>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w:t>
            </w:r>
            <w:r>
              <w:rPr>
                <w:rFonts w:hint="eastAsia" w:ascii="宋体" w:hAnsi="宋体" w:eastAsia="宋体" w:cs="宋体"/>
                <w:color w:val="000000"/>
                <w:kern w:val="0"/>
                <w:sz w:val="24"/>
                <w:szCs w:val="24"/>
                <w:u w:val="single"/>
                <w:shd w:val="clear" w:color="auto" w:fill="auto"/>
                <w:lang w:val="en-US" w:eastAsia="zh-CN"/>
              </w:rPr>
              <w:t>4</w:t>
            </w:r>
            <w:r>
              <w:rPr>
                <w:rFonts w:hint="eastAsia" w:ascii="宋体" w:hAnsi="宋体" w:eastAsia="宋体" w:cs="宋体"/>
                <w:color w:val="000000"/>
                <w:kern w:val="0"/>
                <w:sz w:val="24"/>
                <w:szCs w:val="24"/>
                <w:u w:val="single"/>
                <w:shd w:val="clear" w:color="auto" w:fill="auto"/>
              </w:rPr>
              <w:t>0</w:t>
            </w:r>
            <w:r>
              <w:rPr>
                <w:rFonts w:hint="eastAsia" w:ascii="宋体" w:hAnsi="宋体" w:eastAsia="宋体" w:cs="宋体"/>
                <w:color w:val="000000"/>
                <w:sz w:val="24"/>
                <w:szCs w:val="24"/>
                <w:shd w:val="clear" w:color="auto" w:fill="auto"/>
              </w:rPr>
              <w:t>分）</w:t>
            </w:r>
          </w:p>
        </w:tc>
        <w:tc>
          <w:tcPr>
            <w:tcW w:w="1632" w:type="dxa"/>
            <w:noWrap w:val="0"/>
            <w:vAlign w:val="center"/>
          </w:tcPr>
          <w:p>
            <w:pPr>
              <w:widowControl/>
              <w:snapToGrid w:val="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报价</w:t>
            </w:r>
          </w:p>
          <w:p>
            <w:pPr>
              <w:widowControl/>
              <w:snapToGrid w:val="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w:t>
            </w:r>
            <w:r>
              <w:rPr>
                <w:rFonts w:hint="eastAsia" w:ascii="宋体" w:hAnsi="宋体" w:eastAsia="宋体" w:cs="宋体"/>
                <w:color w:val="000000"/>
                <w:kern w:val="0"/>
                <w:sz w:val="24"/>
                <w:szCs w:val="24"/>
                <w:u w:val="single"/>
                <w:shd w:val="clear" w:color="auto" w:fill="auto"/>
                <w:lang w:val="en-US" w:eastAsia="zh-CN"/>
              </w:rPr>
              <w:t>4</w:t>
            </w:r>
            <w:r>
              <w:rPr>
                <w:rFonts w:hint="eastAsia" w:ascii="宋体" w:hAnsi="宋体" w:eastAsia="宋体" w:cs="宋体"/>
                <w:color w:val="000000"/>
                <w:kern w:val="0"/>
                <w:sz w:val="24"/>
                <w:szCs w:val="24"/>
                <w:u w:val="single"/>
                <w:shd w:val="clear" w:color="auto" w:fill="auto"/>
              </w:rPr>
              <w:t>0</w:t>
            </w:r>
            <w:r>
              <w:rPr>
                <w:rFonts w:hint="eastAsia" w:ascii="宋体" w:hAnsi="宋体" w:eastAsia="宋体" w:cs="宋体"/>
                <w:color w:val="000000"/>
                <w:sz w:val="24"/>
                <w:szCs w:val="24"/>
                <w:shd w:val="clear" w:color="auto" w:fill="auto"/>
              </w:rPr>
              <w:t>分）</w:t>
            </w:r>
          </w:p>
        </w:tc>
        <w:tc>
          <w:tcPr>
            <w:tcW w:w="7151" w:type="dxa"/>
            <w:noWrap w:val="0"/>
            <w:vAlign w:val="center"/>
          </w:tcPr>
          <w:p>
            <w:pPr>
              <w:widowControl/>
              <w:jc w:val="left"/>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评标基准价：满足招标文件要求的有效投标报价中，最低的投标报价为评标基准价。</w:t>
            </w:r>
          </w:p>
          <w:p>
            <w:pPr>
              <w:widowControl/>
              <w:jc w:val="left"/>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投标报价得分=（评标基准价/投标报价）×</w:t>
            </w:r>
            <w:r>
              <w:rPr>
                <w:rFonts w:hint="eastAsia" w:ascii="宋体" w:hAnsi="宋体" w:eastAsia="宋体" w:cs="宋体"/>
                <w:color w:val="000000"/>
                <w:sz w:val="24"/>
                <w:szCs w:val="24"/>
                <w:shd w:val="clear" w:color="auto" w:fill="auto"/>
                <w:lang w:val="en-US" w:eastAsia="zh-CN"/>
              </w:rPr>
              <w:t>4</w:t>
            </w:r>
            <w:r>
              <w:rPr>
                <w:rFonts w:hint="eastAsia" w:ascii="宋体" w:hAnsi="宋体" w:eastAsia="宋体" w:cs="宋体"/>
                <w:color w:val="000000"/>
                <w:sz w:val="24"/>
                <w:szCs w:val="24"/>
                <w:shd w:val="clear" w:color="auto" w:fill="auto"/>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1077" w:type="dxa"/>
            <w:vMerge w:val="restart"/>
            <w:noWrap w:val="0"/>
            <w:vAlign w:val="center"/>
          </w:tcPr>
          <w:p>
            <w:pPr>
              <w:widowControl/>
              <w:snapToGrid w:val="0"/>
              <w:ind w:leftChars="-2" w:hanging="4" w:hangingChars="2"/>
              <w:jc w:val="center"/>
              <w:rPr>
                <w:rFonts w:hint="eastAsia" w:ascii="宋体" w:hAnsi="宋体" w:eastAsia="宋体" w:cs="宋体"/>
                <w:color w:val="000000"/>
                <w:sz w:val="24"/>
                <w:szCs w:val="24"/>
                <w:shd w:val="clear" w:color="auto" w:fill="auto"/>
              </w:rPr>
            </w:pPr>
            <w:bookmarkStart w:id="6" w:name="OLE_LINK1"/>
            <w:bookmarkStart w:id="7" w:name="OLE_LINK2"/>
            <w:r>
              <w:rPr>
                <w:rFonts w:hint="eastAsia" w:ascii="宋体" w:hAnsi="宋体" w:eastAsia="宋体" w:cs="宋体"/>
                <w:color w:val="000000"/>
                <w:sz w:val="24"/>
                <w:szCs w:val="24"/>
                <w:shd w:val="clear" w:color="auto" w:fill="auto"/>
              </w:rPr>
              <w:t>商务部分</w:t>
            </w:r>
          </w:p>
          <w:bookmarkEnd w:id="6"/>
          <w:bookmarkEnd w:id="7"/>
          <w:p>
            <w:pPr>
              <w:widowControl/>
              <w:snapToGrid w:val="0"/>
              <w:ind w:leftChars="-2" w:hanging="4" w:hangingChars="2"/>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w:t>
            </w:r>
            <w:r>
              <w:rPr>
                <w:rFonts w:hint="eastAsia" w:ascii="宋体" w:hAnsi="宋体" w:eastAsia="宋体" w:cs="宋体"/>
                <w:color w:val="000000"/>
                <w:kern w:val="0"/>
                <w:sz w:val="24"/>
                <w:szCs w:val="24"/>
                <w:u w:val="single"/>
                <w:shd w:val="clear" w:color="auto" w:fill="auto"/>
                <w:lang w:val="en-US" w:eastAsia="zh-CN"/>
              </w:rPr>
              <w:t>25</w:t>
            </w:r>
            <w:r>
              <w:rPr>
                <w:rFonts w:hint="eastAsia" w:ascii="宋体" w:hAnsi="宋体" w:eastAsia="宋体" w:cs="宋体"/>
                <w:color w:val="000000"/>
                <w:sz w:val="24"/>
                <w:szCs w:val="24"/>
                <w:shd w:val="clear" w:color="auto" w:fill="auto"/>
              </w:rPr>
              <w:t>分）</w:t>
            </w:r>
          </w:p>
        </w:tc>
        <w:tc>
          <w:tcPr>
            <w:tcW w:w="1632" w:type="dxa"/>
            <w:vMerge w:val="restart"/>
            <w:noWrap w:val="0"/>
            <w:vAlign w:val="center"/>
          </w:tcPr>
          <w:p>
            <w:pPr>
              <w:jc w:val="center"/>
              <w:rPr>
                <w:rFonts w:hint="eastAsia" w:ascii="宋体" w:hAnsi="宋体" w:eastAsia="宋体" w:cs="宋体"/>
                <w:color w:val="000000"/>
                <w:sz w:val="24"/>
                <w:szCs w:val="24"/>
                <w:shd w:val="clear" w:color="auto" w:fill="auto"/>
                <w:lang w:val="en-US" w:eastAsia="zh-CN"/>
              </w:rPr>
            </w:pPr>
            <w:r>
              <w:rPr>
                <w:rFonts w:hint="eastAsia" w:ascii="宋体" w:hAnsi="宋体" w:eastAsia="宋体" w:cs="宋体"/>
                <w:sz w:val="24"/>
                <w:szCs w:val="24"/>
              </w:rPr>
              <w:t>供应商履约保证能力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25</w:t>
            </w:r>
            <w:r>
              <w:rPr>
                <w:rFonts w:hint="eastAsia" w:ascii="宋体" w:hAnsi="宋体" w:eastAsia="宋体" w:cs="宋体"/>
                <w:color w:val="000000"/>
                <w:sz w:val="24"/>
                <w:szCs w:val="24"/>
                <w:shd w:val="clear" w:color="auto" w:fill="auto"/>
              </w:rPr>
              <w:t>分</w:t>
            </w:r>
            <w:r>
              <w:rPr>
                <w:rFonts w:hint="eastAsia" w:ascii="宋体" w:hAnsi="宋体" w:eastAsia="宋体" w:cs="宋体"/>
                <w:sz w:val="24"/>
                <w:szCs w:val="24"/>
                <w:lang w:eastAsia="zh-CN"/>
              </w:rPr>
              <w:t>）</w:t>
            </w:r>
          </w:p>
        </w:tc>
        <w:tc>
          <w:tcPr>
            <w:tcW w:w="7151" w:type="dxa"/>
            <w:noWrap w:val="0"/>
            <w:vAlign w:val="center"/>
          </w:tcPr>
          <w:p>
            <w:pPr>
              <w:widowControl/>
              <w:jc w:val="left"/>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供应商201</w:t>
            </w:r>
            <w:r>
              <w:rPr>
                <w:rFonts w:hint="eastAsia" w:ascii="宋体" w:hAnsi="宋体" w:eastAsia="宋体" w:cs="宋体"/>
                <w:color w:val="000000"/>
                <w:sz w:val="24"/>
                <w:szCs w:val="24"/>
                <w:shd w:val="clear" w:color="auto" w:fill="auto"/>
                <w:lang w:val="en-US" w:eastAsia="zh-CN"/>
              </w:rPr>
              <w:t>6</w:t>
            </w:r>
            <w:r>
              <w:rPr>
                <w:rFonts w:hint="eastAsia" w:ascii="宋体" w:hAnsi="宋体" w:eastAsia="宋体" w:cs="宋体"/>
                <w:color w:val="000000"/>
                <w:sz w:val="24"/>
                <w:szCs w:val="24"/>
                <w:shd w:val="clear" w:color="auto" w:fill="auto"/>
              </w:rPr>
              <w:t>年以来具有</w:t>
            </w:r>
            <w:r>
              <w:rPr>
                <w:rFonts w:hint="eastAsia" w:ascii="宋体" w:hAnsi="宋体" w:eastAsia="宋体" w:cs="宋体"/>
                <w:color w:val="000000"/>
                <w:sz w:val="24"/>
                <w:szCs w:val="24"/>
                <w:shd w:val="clear" w:color="auto" w:fill="auto"/>
                <w:lang w:val="en-US" w:eastAsia="zh-CN"/>
              </w:rPr>
              <w:t>200万以上</w:t>
            </w:r>
            <w:r>
              <w:rPr>
                <w:rFonts w:hint="eastAsia" w:ascii="宋体" w:hAnsi="宋体" w:eastAsia="宋体" w:cs="宋体"/>
                <w:color w:val="000000"/>
                <w:sz w:val="24"/>
                <w:szCs w:val="24"/>
                <w:shd w:val="clear" w:color="auto" w:fill="auto"/>
                <w:lang w:eastAsia="zh-CN"/>
              </w:rPr>
              <w:t>同类</w:t>
            </w:r>
            <w:r>
              <w:rPr>
                <w:rFonts w:hint="eastAsia" w:ascii="宋体" w:hAnsi="宋体" w:eastAsia="宋体" w:cs="宋体"/>
                <w:color w:val="000000"/>
                <w:sz w:val="24"/>
                <w:szCs w:val="24"/>
                <w:shd w:val="clear" w:color="auto" w:fill="auto"/>
              </w:rPr>
              <w:t>项目业绩，每份业绩得</w:t>
            </w:r>
            <w:r>
              <w:rPr>
                <w:rFonts w:hint="eastAsia" w:ascii="宋体" w:hAnsi="宋体" w:eastAsia="宋体" w:cs="宋体"/>
                <w:color w:val="000000"/>
                <w:sz w:val="24"/>
                <w:szCs w:val="24"/>
                <w:shd w:val="clear" w:color="auto" w:fill="auto"/>
                <w:lang w:val="en-US" w:eastAsia="zh-CN"/>
              </w:rPr>
              <w:t>1</w:t>
            </w:r>
            <w:r>
              <w:rPr>
                <w:rFonts w:hint="eastAsia" w:ascii="宋体" w:hAnsi="宋体" w:eastAsia="宋体" w:cs="宋体"/>
                <w:color w:val="000000"/>
                <w:sz w:val="24"/>
                <w:szCs w:val="24"/>
                <w:shd w:val="clear" w:color="auto" w:fill="auto"/>
              </w:rPr>
              <w:t>分，最多</w:t>
            </w:r>
            <w:r>
              <w:rPr>
                <w:rFonts w:hint="eastAsia" w:ascii="宋体" w:hAnsi="宋体" w:eastAsia="宋体" w:cs="宋体"/>
                <w:color w:val="000000"/>
                <w:sz w:val="24"/>
                <w:szCs w:val="24"/>
                <w:shd w:val="clear" w:color="auto" w:fill="auto"/>
                <w:lang w:val="en-US" w:eastAsia="zh-CN"/>
              </w:rPr>
              <w:t>3</w:t>
            </w:r>
            <w:r>
              <w:rPr>
                <w:rFonts w:hint="eastAsia" w:ascii="宋体" w:hAnsi="宋体" w:eastAsia="宋体" w:cs="宋体"/>
                <w:color w:val="000000"/>
                <w:sz w:val="24"/>
                <w:szCs w:val="24"/>
                <w:shd w:val="clear" w:color="auto" w:fill="auto"/>
              </w:rPr>
              <w:t>分；</w:t>
            </w:r>
            <w:r>
              <w:rPr>
                <w:rFonts w:hint="eastAsia" w:ascii="宋体" w:hAnsi="宋体" w:eastAsia="宋体" w:cs="宋体"/>
                <w:color w:val="000000"/>
                <w:sz w:val="24"/>
                <w:szCs w:val="24"/>
                <w:shd w:val="clear" w:color="auto" w:fill="auto"/>
                <w:lang w:eastAsia="zh-CN"/>
              </w:rPr>
              <w:t>（</w:t>
            </w:r>
            <w:r>
              <w:rPr>
                <w:rFonts w:hint="eastAsia" w:ascii="宋体" w:hAnsi="宋体" w:eastAsia="宋体" w:cs="宋体"/>
                <w:b w:val="0"/>
                <w:bCs w:val="0"/>
                <w:color w:val="000000"/>
                <w:sz w:val="24"/>
                <w:szCs w:val="24"/>
                <w:shd w:val="clear" w:color="auto" w:fill="auto"/>
              </w:rPr>
              <w:t>投标文件里</w:t>
            </w:r>
            <w:r>
              <w:rPr>
                <w:rFonts w:hint="eastAsia" w:ascii="宋体" w:hAnsi="宋体" w:eastAsia="宋体" w:cs="宋体"/>
                <w:color w:val="000000"/>
                <w:sz w:val="24"/>
                <w:szCs w:val="24"/>
                <w:shd w:val="clear" w:color="auto" w:fill="auto"/>
              </w:rPr>
              <w:t>应提供法定媒介中标(成交)公示网页截图，合同和中标通知书电子扫描件，三者缺一不计分。</w:t>
            </w:r>
            <w:r>
              <w:rPr>
                <w:rFonts w:hint="eastAsia" w:ascii="宋体" w:hAnsi="宋体" w:eastAsia="宋体" w:cs="宋体"/>
                <w:color w:val="000000"/>
                <w:sz w:val="24"/>
                <w:szCs w:val="24"/>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1077" w:type="dxa"/>
            <w:vMerge w:val="continue"/>
            <w:noWrap w:val="0"/>
            <w:vAlign w:val="center"/>
          </w:tcPr>
          <w:p>
            <w:pPr>
              <w:rPr>
                <w:rFonts w:hint="eastAsia" w:ascii="宋体" w:hAnsi="宋体" w:eastAsia="宋体" w:cs="宋体"/>
                <w:color w:val="000000"/>
                <w:sz w:val="24"/>
                <w:szCs w:val="24"/>
                <w:shd w:val="clear" w:color="auto" w:fill="auto"/>
              </w:rPr>
            </w:pPr>
          </w:p>
        </w:tc>
        <w:tc>
          <w:tcPr>
            <w:tcW w:w="1632" w:type="dxa"/>
            <w:vMerge w:val="continue"/>
            <w:noWrap w:val="0"/>
            <w:vAlign w:val="center"/>
          </w:tcPr>
          <w:p>
            <w:pPr>
              <w:jc w:val="center"/>
              <w:rPr>
                <w:rFonts w:hint="eastAsia" w:ascii="宋体" w:hAnsi="宋体" w:eastAsia="宋体" w:cs="宋体"/>
                <w:color w:val="000000"/>
                <w:sz w:val="24"/>
                <w:szCs w:val="24"/>
                <w:shd w:val="clear" w:color="auto" w:fill="auto"/>
              </w:rPr>
            </w:pPr>
          </w:p>
        </w:tc>
        <w:tc>
          <w:tcPr>
            <w:tcW w:w="7151" w:type="dxa"/>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投标人具备</w:t>
            </w:r>
            <w:r>
              <w:rPr>
                <w:rFonts w:hint="eastAsia" w:ascii="宋体" w:hAnsi="宋体" w:eastAsia="宋体" w:cs="宋体"/>
                <w:sz w:val="24"/>
                <w:szCs w:val="24"/>
              </w:rPr>
              <w:t>质量管理体系认证、环境管理体系认证、职业健康安全管理体系认证、</w:t>
            </w:r>
            <w:r>
              <w:rPr>
                <w:rFonts w:hint="eastAsia" w:ascii="宋体" w:hAnsi="宋体" w:eastAsia="宋体" w:cs="宋体"/>
                <w:sz w:val="24"/>
                <w:szCs w:val="24"/>
                <w:lang w:val="zh-CN"/>
              </w:rPr>
              <w:t>企业诚信管理体系证书，</w:t>
            </w:r>
            <w:r>
              <w:rPr>
                <w:rFonts w:hint="eastAsia" w:ascii="宋体" w:hAnsi="宋体" w:eastAsia="宋体" w:cs="宋体"/>
                <w:sz w:val="24"/>
                <w:szCs w:val="24"/>
                <w:lang w:val="en-US" w:eastAsia="zh-CN"/>
              </w:rPr>
              <w:t>售后服务五星认证证书、</w:t>
            </w:r>
            <w:r>
              <w:rPr>
                <w:rFonts w:hint="eastAsia" w:ascii="宋体" w:hAnsi="宋体" w:eastAsia="宋体" w:cs="宋体"/>
                <w:sz w:val="24"/>
                <w:szCs w:val="24"/>
                <w:lang w:val="zh-CN"/>
              </w:rPr>
              <w:t>每个证书得</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分，最高得</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分</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缺项不得分。</w:t>
            </w:r>
            <w:r>
              <w:rPr>
                <w:rFonts w:hint="eastAsia" w:ascii="宋体" w:hAnsi="宋体" w:eastAsia="宋体" w:cs="宋体"/>
                <w:sz w:val="24"/>
                <w:szCs w:val="24"/>
              </w:rPr>
              <w:t>投标文件中附完整的扫描件</w:t>
            </w:r>
            <w:r>
              <w:rPr>
                <w:rFonts w:hint="eastAsia" w:ascii="宋体" w:hAnsi="宋体" w:eastAsia="宋体" w:cs="宋体"/>
                <w:sz w:val="24"/>
                <w:szCs w:val="24"/>
                <w:lang w:eastAsia="zh-CN"/>
              </w:rPr>
              <w:t>。</w:t>
            </w:r>
          </w:p>
          <w:p>
            <w:pPr>
              <w:pStyle w:val="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2、投标人具备信用等级为AAA级得2分，AA级的得1分，AA级以下的不得分（提供评估报告、信用河南网上截图）</w:t>
            </w:r>
            <w:r>
              <w:rPr>
                <w:rFonts w:hint="eastAsia"/>
                <w:color w:val="000000" w:themeColor="text1"/>
                <w:sz w:val="24"/>
                <w:szCs w:val="24"/>
                <w14:textFill>
                  <w14:solidFill>
                    <w14:schemeClr w14:val="tx1"/>
                  </w14:solidFill>
                </w14:textFill>
              </w:rPr>
              <w:t>投标文件中附完整的扫描件</w:t>
            </w:r>
            <w:r>
              <w:rPr>
                <w:rFonts w:hint="eastAsia" w:cs="仿宋" w:asciiTheme="majorEastAsia" w:hAnsiTheme="majorEastAsia" w:eastAsiaTheme="majorEastAsia"/>
                <w:color w:val="000000" w:themeColor="text1"/>
                <w:sz w:val="24"/>
                <w:szCs w:val="24"/>
                <w:lang w:val="zh-CN"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1077" w:type="dxa"/>
            <w:vMerge w:val="restart"/>
            <w:tcBorders>
              <w:right w:val="single" w:color="auto" w:sz="4" w:space="0"/>
            </w:tcBorders>
            <w:noWrap w:val="0"/>
            <w:vAlign w:val="center"/>
          </w:tcPr>
          <w:p>
            <w:pPr>
              <w:widowControl/>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技术及服务能力</w:t>
            </w:r>
          </w:p>
          <w:p>
            <w:pPr>
              <w:widowControl/>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w:t>
            </w:r>
          </w:p>
        </w:tc>
        <w:tc>
          <w:tcPr>
            <w:tcW w:w="1632" w:type="dxa"/>
            <w:tcBorders>
              <w:right w:val="single" w:color="auto" w:sz="4" w:space="0"/>
            </w:tcBorders>
            <w:noWrap w:val="0"/>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zh-CN"/>
              </w:rPr>
              <w:t>技术参数</w:t>
            </w:r>
            <w:r>
              <w:rPr>
                <w:rFonts w:hint="eastAsia" w:ascii="宋体" w:hAnsi="宋体" w:eastAsia="宋体" w:cs="宋体"/>
                <w:sz w:val="24"/>
                <w:szCs w:val="24"/>
              </w:rPr>
              <w:t>响应程度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15分</w:t>
            </w:r>
            <w:r>
              <w:rPr>
                <w:rFonts w:hint="eastAsia" w:ascii="宋体" w:hAnsi="宋体" w:eastAsia="宋体" w:cs="宋体"/>
                <w:sz w:val="24"/>
                <w:szCs w:val="24"/>
                <w:lang w:eastAsia="zh-CN"/>
              </w:rPr>
              <w:t>）</w:t>
            </w:r>
          </w:p>
        </w:tc>
        <w:tc>
          <w:tcPr>
            <w:tcW w:w="7151" w:type="dxa"/>
            <w:tcBorders>
              <w:right w:val="single" w:color="auto" w:sz="4" w:space="0"/>
            </w:tcBorders>
            <w:noWrap w:val="0"/>
            <w:vAlign w:val="center"/>
          </w:tcPr>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供应商所投产品对照招标文件中技术指标参数，全部满足招标要求的得</w:t>
            </w:r>
            <w:r>
              <w:rPr>
                <w:rFonts w:hint="eastAsia" w:ascii="宋体" w:hAnsi="宋体" w:eastAsia="宋体" w:cs="宋体"/>
                <w:sz w:val="24"/>
                <w:szCs w:val="24"/>
                <w:lang w:val="en-US" w:eastAsia="zh-CN"/>
              </w:rPr>
              <w:t>15</w:t>
            </w:r>
            <w:r>
              <w:rPr>
                <w:rFonts w:hint="eastAsia" w:ascii="宋体" w:hAnsi="宋体" w:eastAsia="宋体" w:cs="宋体"/>
                <w:sz w:val="24"/>
                <w:szCs w:val="24"/>
              </w:rPr>
              <w:t>分；每有一项不满足的扣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077" w:type="dxa"/>
            <w:vMerge w:val="continue"/>
            <w:tcBorders>
              <w:right w:val="single" w:color="auto" w:sz="4" w:space="0"/>
            </w:tcBorders>
            <w:noWrap w:val="0"/>
            <w:vAlign w:val="center"/>
          </w:tcPr>
          <w:p>
            <w:pPr>
              <w:widowControl/>
              <w:snapToGrid w:val="0"/>
              <w:jc w:val="center"/>
              <w:rPr>
                <w:rFonts w:hint="eastAsia" w:ascii="宋体" w:hAnsi="宋体" w:eastAsia="宋体" w:cs="宋体"/>
                <w:color w:val="000000"/>
                <w:sz w:val="24"/>
                <w:szCs w:val="24"/>
              </w:rPr>
            </w:pPr>
          </w:p>
        </w:tc>
        <w:tc>
          <w:tcPr>
            <w:tcW w:w="1632"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20分）</w:t>
            </w:r>
          </w:p>
        </w:tc>
        <w:tc>
          <w:tcPr>
            <w:tcW w:w="7151"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1、提供完善的售后服务方案</w:t>
            </w:r>
            <w:r>
              <w:rPr>
                <w:rFonts w:hint="eastAsia" w:ascii="宋体" w:hAnsi="宋体" w:eastAsia="宋体" w:cs="宋体"/>
                <w:sz w:val="24"/>
                <w:szCs w:val="24"/>
                <w:lang w:eastAsia="zh-CN"/>
              </w:rPr>
              <w:t>及售后服务能力</w:t>
            </w:r>
            <w:r>
              <w:rPr>
                <w:rFonts w:hint="eastAsia" w:ascii="宋体" w:hAnsi="宋体" w:eastAsia="宋体" w:cs="宋体"/>
                <w:sz w:val="24"/>
                <w:szCs w:val="24"/>
              </w:rPr>
              <w:t>（综合对比分为</w:t>
            </w:r>
            <w:r>
              <w:rPr>
                <w:rFonts w:hint="eastAsia" w:ascii="宋体" w:hAnsi="宋体" w:eastAsia="宋体" w:cs="宋体"/>
                <w:sz w:val="24"/>
                <w:szCs w:val="24"/>
                <w:lang w:eastAsia="zh-CN"/>
              </w:rPr>
              <w:t>优</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eastAsia="zh-CN"/>
              </w:rPr>
              <w:t>良</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一般</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三档进行打分，</w:t>
            </w:r>
            <w:r>
              <w:rPr>
                <w:rFonts w:hint="eastAsia" w:ascii="宋体" w:hAnsi="宋体" w:eastAsia="宋体" w:cs="宋体"/>
                <w:sz w:val="24"/>
                <w:szCs w:val="24"/>
                <w:lang w:val="en-US" w:eastAsia="zh-CN"/>
              </w:rPr>
              <w:t>缺项不得分</w:t>
            </w:r>
            <w:r>
              <w:rPr>
                <w:rFonts w:hint="eastAsia" w:ascii="宋体" w:hAnsi="宋体" w:eastAsia="宋体" w:cs="宋体"/>
                <w:sz w:val="24"/>
                <w:szCs w:val="24"/>
              </w:rPr>
              <w:t>）；</w:t>
            </w:r>
          </w:p>
          <w:p>
            <w:pPr>
              <w:rPr>
                <w:rFonts w:hint="eastAsia" w:ascii="宋体" w:hAnsi="宋体" w:eastAsia="宋体" w:cs="宋体"/>
                <w:sz w:val="24"/>
                <w:szCs w:val="24"/>
                <w:lang w:val="en-US" w:eastAsia="zh-CN"/>
              </w:rPr>
            </w:pPr>
            <w:r>
              <w:rPr>
                <w:rFonts w:hint="eastAsia" w:ascii="宋体" w:hAnsi="宋体" w:eastAsia="宋体" w:cs="宋体"/>
                <w:sz w:val="24"/>
                <w:szCs w:val="24"/>
              </w:rPr>
              <w:t>2、提供完善的培训计划</w:t>
            </w:r>
            <w:r>
              <w:rPr>
                <w:rFonts w:hint="eastAsia" w:ascii="宋体" w:hAnsi="宋体" w:eastAsia="宋体" w:cs="宋体"/>
                <w:sz w:val="24"/>
                <w:szCs w:val="24"/>
                <w:lang w:eastAsia="zh-CN"/>
              </w:rPr>
              <w:t>及培训能力</w:t>
            </w:r>
            <w:r>
              <w:rPr>
                <w:rFonts w:hint="eastAsia" w:ascii="宋体" w:hAnsi="宋体" w:eastAsia="宋体" w:cs="宋体"/>
                <w:sz w:val="24"/>
                <w:szCs w:val="24"/>
              </w:rPr>
              <w:t>（综合对比分为</w:t>
            </w:r>
            <w:r>
              <w:rPr>
                <w:rFonts w:hint="eastAsia" w:ascii="宋体" w:hAnsi="宋体" w:eastAsia="宋体" w:cs="宋体"/>
                <w:sz w:val="24"/>
                <w:szCs w:val="24"/>
                <w:lang w:eastAsia="zh-CN"/>
              </w:rPr>
              <w:t>优</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eastAsia="zh-CN"/>
              </w:rPr>
              <w:t>良</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一般</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三档进行打分，</w:t>
            </w:r>
            <w:r>
              <w:rPr>
                <w:rFonts w:hint="eastAsia" w:ascii="宋体" w:hAnsi="宋体" w:eastAsia="宋体" w:cs="宋体"/>
                <w:sz w:val="24"/>
                <w:szCs w:val="24"/>
                <w:lang w:val="en-US" w:eastAsia="zh-CN"/>
              </w:rPr>
              <w:t>缺项不得分</w:t>
            </w:r>
            <w:r>
              <w:rPr>
                <w:rFonts w:hint="eastAsia" w:ascii="宋体" w:hAnsi="宋体" w:eastAsia="宋体" w:cs="宋体"/>
                <w:sz w:val="24"/>
                <w:szCs w:val="24"/>
              </w:rPr>
              <w:t>）；</w:t>
            </w:r>
          </w:p>
        </w:tc>
      </w:tr>
    </w:tbl>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9"/>
        <w:tblW w:w="9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993"/>
        <w:gridCol w:w="3116"/>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99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3116"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663"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99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3116"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663"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99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3116"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663"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8"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99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3116"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663"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6"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99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3116"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663"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99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3116"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663"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trPr>
        <w:tc>
          <w:tcPr>
            <w:tcW w:w="9580" w:type="dxa"/>
            <w:gridSpan w:val="4"/>
            <w:vAlign w:val="center"/>
          </w:tcPr>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评标基准价=评标价格的最低价</w:t>
            </w:r>
          </w:p>
          <w:p>
            <w:pPr>
              <w:adjustRightInd w:val="0"/>
              <w:ind w:left="-88" w:leftChars="-42" w:firstLine="449" w:firstLineChars="214"/>
              <w:jc w:val="left"/>
              <w:rPr>
                <w:rFonts w:cs="仿宋_GB2312" w:asciiTheme="minorEastAsia" w:hAnsiTheme="minorEastAsia"/>
                <w:szCs w:val="21"/>
                <w:lang w:val="zh-CN"/>
              </w:rPr>
            </w:pPr>
            <w:r>
              <w:rPr>
                <w:rFonts w:hint="eastAsia" w:asciiTheme="minorEastAsia" w:hAnsiTheme="minorEastAsia" w:eastAsiaTheme="minorEastAsia" w:cstheme="minorEastAsia"/>
                <w:szCs w:val="21"/>
                <w:lang w:val="zh-CN"/>
              </w:rPr>
              <w:t>其他投标报价得分=（评标基准价/评标价格）×评标标准中价格分值</w:t>
            </w:r>
          </w:p>
        </w:tc>
      </w:tr>
    </w:tbl>
    <w:p>
      <w:pPr>
        <w:tabs>
          <w:tab w:val="left" w:pos="1260"/>
        </w:tabs>
        <w:autoSpaceDE w:val="0"/>
        <w:autoSpaceDN w:val="0"/>
        <w:spacing w:line="360" w:lineRule="auto"/>
        <w:contextualSpacing/>
        <w:jc w:val="left"/>
        <w:rPr>
          <w:rFonts w:hAnsi="宋体"/>
          <w:kern w:val="0"/>
          <w:sz w:val="21"/>
          <w:szCs w:val="21"/>
        </w:rPr>
      </w:pPr>
      <w:r>
        <w:rPr>
          <w:rFonts w:hint="eastAsia" w:hAnsi="宋体"/>
          <w:kern w:val="0"/>
          <w:sz w:val="21"/>
          <w:szCs w:val="21"/>
        </w:rPr>
        <w:t>备注：</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a、不接受联合体投标的项目，本表中第2项、第3项情形不适用。</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b、小型和微型企业产品包括货物及其提供的服务与工程。</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d、残疾人福利性单位属于小型、微型企业的，不重复享受政策。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（5）</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1） </w:t>
      </w:r>
      <w:r>
        <w:rPr>
          <w:rFonts w:hAnsi="宋体"/>
          <w:kern w:val="0"/>
          <w:sz w:val="21"/>
          <w:szCs w:val="21"/>
        </w:rPr>
        <w:t>分值汇总计算错误的；</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2） </w:t>
      </w:r>
      <w:r>
        <w:rPr>
          <w:rFonts w:hAnsi="宋体"/>
          <w:kern w:val="0"/>
          <w:sz w:val="21"/>
          <w:szCs w:val="21"/>
        </w:rPr>
        <w:t>分项评分超出评分标准范围的；</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3） </w:t>
      </w:r>
      <w:r>
        <w:rPr>
          <w:rFonts w:hAnsi="宋体"/>
          <w:kern w:val="0"/>
          <w:sz w:val="21"/>
          <w:szCs w:val="21"/>
        </w:rPr>
        <w:t>评标委员会成员对客观评审因素评分不一致的；</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4） </w:t>
      </w:r>
      <w:r>
        <w:rPr>
          <w:rFonts w:hAnsi="宋体"/>
          <w:kern w:val="0"/>
          <w:sz w:val="21"/>
          <w:szCs w:val="21"/>
        </w:rPr>
        <w:t>经评标委员会认定评分畸高、畸低的。</w:t>
      </w:r>
    </w:p>
    <w:p>
      <w:pPr>
        <w:tabs>
          <w:tab w:val="left" w:pos="1260"/>
        </w:tabs>
        <w:autoSpaceDE w:val="0"/>
        <w:autoSpaceDN w:val="0"/>
        <w:spacing w:line="360" w:lineRule="auto"/>
        <w:ind w:firstLine="420" w:firstLineChars="200"/>
        <w:contextualSpacing/>
        <w:rPr>
          <w:rFonts w:hAnsi="宋体"/>
          <w:kern w:val="0"/>
          <w:sz w:val="21"/>
          <w:szCs w:val="21"/>
        </w:rPr>
      </w:pPr>
      <w:r>
        <w:rPr>
          <w:rFonts w:hAnsi="宋体"/>
          <w:kern w:val="0"/>
          <w:sz w:val="2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Ansi="宋体"/>
          <w:kern w:val="0"/>
          <w:sz w:val="21"/>
          <w:szCs w:val="21"/>
        </w:rPr>
      </w:pPr>
      <w:r>
        <w:rPr>
          <w:rFonts w:hAnsi="宋体"/>
          <w:kern w:val="0"/>
          <w:sz w:val="21"/>
          <w:szCs w:val="21"/>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评标委员会</w:t>
      </w:r>
      <w:r>
        <w:rPr>
          <w:rFonts w:hint="eastAsia" w:cs="仿宋_GB2312" w:asciiTheme="minorEastAsia" w:hAnsiTheme="minorEastAsia" w:eastAsiaTheme="minorEastAsia"/>
          <w:b/>
          <w:sz w:val="21"/>
          <w:szCs w:val="21"/>
          <w:lang w:val="zh-CN"/>
        </w:rPr>
        <w:t>争议处理</w:t>
      </w:r>
    </w:p>
    <w:p>
      <w:pPr>
        <w:tabs>
          <w:tab w:val="left" w:pos="1260"/>
        </w:tabs>
        <w:autoSpaceDE w:val="0"/>
        <w:autoSpaceDN w:val="0"/>
        <w:spacing w:line="360" w:lineRule="auto"/>
        <w:ind w:firstLine="420" w:firstLineChars="200"/>
        <w:contextualSpacing/>
        <w:rPr>
          <w:rFonts w:hAnsi="宋体"/>
          <w:kern w:val="0"/>
          <w:sz w:val="21"/>
          <w:szCs w:val="21"/>
        </w:rPr>
      </w:pPr>
      <w:r>
        <w:rPr>
          <w:rFonts w:hAnsi="宋体"/>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b/>
          <w:bCs/>
        </w:rPr>
      </w:pPr>
      <w:r>
        <w:rPr>
          <w:rFonts w:hint="eastAsia" w:cs="仿宋_GB2312" w:asciiTheme="minorEastAsia" w:hAnsiTheme="minorEastAsia" w:eastAsiaTheme="minorEastAsia"/>
          <w:b/>
          <w:sz w:val="21"/>
          <w:szCs w:val="21"/>
          <w:lang w:val="zh-CN"/>
        </w:rPr>
        <w:t>4、</w:t>
      </w:r>
      <w:r>
        <w:rPr>
          <w:rFonts w:cs="仿宋_GB2312" w:asciiTheme="minorEastAsia" w:hAnsiTheme="minorEastAsia" w:eastAsiaTheme="minorEastAsia"/>
          <w:b/>
          <w:sz w:val="21"/>
          <w:szCs w:val="21"/>
          <w:lang w:val="zh-CN"/>
        </w:rPr>
        <w:t>确定中标候选人名单，以及根据采购人委托直接确定中标人</w:t>
      </w:r>
      <w:r>
        <w:rPr>
          <w:rFonts w:hint="eastAsia" w:cs="仿宋_GB2312" w:asciiTheme="minorEastAsia" w:hAnsiTheme="minorEastAsia" w:eastAsiaTheme="minorEastAsia"/>
          <w:b/>
          <w:sz w:val="21"/>
          <w:szCs w:val="21"/>
          <w:lang w:val="zh-CN"/>
        </w:rPr>
        <w:t>。</w:t>
      </w: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2"/>
        <w:spacing w:before="0" w:beforeAutospacing="0" w:after="0" w:afterAutospacing="0" w:line="360" w:lineRule="auto"/>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甲方：</w:t>
      </w:r>
      <w:r>
        <w:rPr>
          <w:rFonts w:hint="eastAsia" w:asciiTheme="minorEastAsia" w:hAnsiTheme="minorEastAsia" w:eastAsiaTheme="minorEastAsia" w:cstheme="minorEastAsia"/>
          <w:kern w:val="2"/>
          <w:sz w:val="21"/>
          <w:szCs w:val="21"/>
          <w:u w:val="single"/>
          <w:lang w:val="zh-CN"/>
        </w:rPr>
        <w:t>（采购人全称）</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2"/>
          <w:sz w:val="21"/>
          <w:szCs w:val="21"/>
          <w:lang w:val="zh-CN"/>
        </w:rPr>
        <w:t>乙方：</w:t>
      </w:r>
      <w:r>
        <w:rPr>
          <w:rFonts w:hint="eastAsia" w:asciiTheme="minorEastAsia" w:hAnsiTheme="minorEastAsia" w:eastAsiaTheme="minorEastAsia" w:cstheme="minorEastAsia"/>
          <w:kern w:val="2"/>
          <w:sz w:val="21"/>
          <w:szCs w:val="21"/>
          <w:u w:val="single"/>
          <w:lang w:val="zh-CN"/>
        </w:rPr>
        <w:t>（中标人全称）</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2"/>
        <w:spacing w:before="0" w:beforeAutospacing="0" w:after="0" w:afterAutospacing="0" w:line="360" w:lineRule="auto"/>
        <w:ind w:firstLine="482"/>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r>
        <w:rPr>
          <w:rFonts w:hint="eastAsia" w:asciiTheme="minorEastAsia" w:hAnsiTheme="minorEastAsia" w:eastAsiaTheme="minorEastAsia" w:cstheme="minorEastAsia"/>
          <w:kern w:val="2"/>
          <w:sz w:val="21"/>
          <w:szCs w:val="21"/>
          <w:lang w:val="zh-CN"/>
        </w:rPr>
        <w:t>、下列合同文件是构成本合同不可分割的部分</w:t>
      </w:r>
      <w:r>
        <w:rPr>
          <w:rFonts w:hint="eastAsia" w:asciiTheme="minorEastAsia" w:hAnsiTheme="minorEastAsia" w:eastAsiaTheme="minorEastAsia" w:cstheme="minorEastAsia"/>
          <w:kern w:val="2"/>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3、合同总金额</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8、履约担保</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签订地点：</w:t>
      </w:r>
      <w:r>
        <w:rPr>
          <w:rFonts w:hint="eastAsia" w:asciiTheme="minorEastAsia" w:hAnsiTheme="minorEastAsia" w:eastAsiaTheme="minorEastAsia" w:cstheme="minorEastAsia"/>
          <w:color w:val="000000"/>
          <w:sz w:val="21"/>
          <w:szCs w:val="21"/>
          <w:u w:val="single"/>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autoSpaceDE w:val="0"/>
        <w:autoSpaceDN w:val="0"/>
        <w:spacing w:line="360" w:lineRule="auto"/>
        <w:contextualSpacing/>
        <w:rPr>
          <w:rFonts w:cs="宋体" w:asciiTheme="minorEastAsia" w:hAnsiTheme="minorEastAsia"/>
          <w:kern w:val="0"/>
          <w:sz w:val="21"/>
          <w:szCs w:val="21"/>
        </w:rPr>
      </w:pPr>
    </w:p>
    <w:p>
      <w:pPr>
        <w:autoSpaceDE w:val="0"/>
        <w:autoSpaceDN w:val="0"/>
        <w:spacing w:line="360" w:lineRule="auto"/>
        <w:contextualSpacing/>
        <w:rPr>
          <w:rFonts w:cs="宋体" w:asciiTheme="minorEastAsia" w:hAnsiTheme="minorEastAsia"/>
          <w:kern w:val="0"/>
          <w:sz w:val="21"/>
          <w:szCs w:val="21"/>
        </w:rPr>
      </w:pPr>
    </w:p>
    <w:p>
      <w:pPr>
        <w:autoSpaceDE w:val="0"/>
        <w:autoSpaceDN w:val="0"/>
        <w:spacing w:line="360" w:lineRule="auto"/>
        <w:contextualSpacing/>
        <w:rPr>
          <w:rFonts w:cs="宋体" w:asciiTheme="minorEastAsia" w:hAnsiTheme="minorEastAsia"/>
          <w:kern w:val="0"/>
          <w:sz w:val="21"/>
          <w:szCs w:val="21"/>
        </w:rPr>
      </w:pPr>
    </w:p>
    <w:p>
      <w:pPr>
        <w:autoSpaceDE w:val="0"/>
        <w:autoSpaceDN w:val="0"/>
        <w:spacing w:line="360" w:lineRule="auto"/>
        <w:contextualSpacing/>
        <w:rPr>
          <w:rFonts w:cs="宋体" w:asciiTheme="minorEastAsia" w:hAnsiTheme="minorEastAsia"/>
          <w:kern w:val="0"/>
          <w:sz w:val="21"/>
          <w:szCs w:val="21"/>
        </w:rPr>
      </w:pPr>
    </w:p>
    <w:p>
      <w:pPr>
        <w:tabs>
          <w:tab w:val="left" w:pos="1260"/>
          <w:tab w:val="left" w:pos="2025"/>
        </w:tabs>
        <w:autoSpaceDE w:val="0"/>
        <w:autoSpaceDN w:val="0"/>
        <w:spacing w:line="360" w:lineRule="auto"/>
        <w:contextualSpacing/>
        <w:rPr>
          <w:rFonts w:cs="宋体" w:asciiTheme="minorEastAsia" w:hAnsiTheme="minorEastAsia"/>
          <w:b/>
          <w:kern w:val="0"/>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1"/>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13" w:name="_GoBack"/>
      <w:bookmarkEnd w:id="13"/>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9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84023138"/>
      <w:bookmarkStart w:id="9" w:name="_Toc186274126"/>
      <w:bookmarkStart w:id="10" w:name="_Toc174185203"/>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2"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2"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8"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6"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7"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ascii="宋体"/>
          <w:b/>
          <w:snapToGrid w:val="0"/>
          <w:kern w:val="0"/>
          <w:sz w:val="28"/>
          <w:szCs w:val="28"/>
        </w:rPr>
      </w:pPr>
      <w:r>
        <w:rPr>
          <w:rFonts w:hint="eastAsia" w:ascii="宋体" w:hAnsi="宋体"/>
          <w:b/>
          <w:snapToGrid w:val="0"/>
          <w:kern w:val="0"/>
          <w:sz w:val="28"/>
          <w:szCs w:val="28"/>
        </w:rPr>
        <w:t>二、开标一览表</w:t>
      </w:r>
    </w:p>
    <w:p>
      <w:pPr>
        <w:pStyle w:val="15"/>
        <w:spacing w:line="360" w:lineRule="auto"/>
        <w:jc w:val="center"/>
        <w:rPr>
          <w:rFonts w:ascii="宋体"/>
          <w:b/>
          <w:snapToGrid w:val="0"/>
          <w:kern w:val="0"/>
          <w:sz w:val="28"/>
          <w:szCs w:val="28"/>
        </w:rPr>
      </w:pPr>
    </w:p>
    <w:p>
      <w:pPr>
        <w:spacing w:before="50" w:after="156" w:afterLines="50" w:line="360" w:lineRule="auto"/>
        <w:contextualSpacing/>
        <w:jc w:val="left"/>
        <w:rPr>
          <w:rFonts w:ascii="宋体"/>
          <w:color w:val="000000"/>
          <w:szCs w:val="21"/>
        </w:rPr>
      </w:pPr>
      <w:r>
        <w:rPr>
          <w:rFonts w:hint="eastAsia" w:ascii="宋体" w:hAnsi="宋体"/>
          <w:color w:val="000000"/>
          <w:szCs w:val="21"/>
        </w:rPr>
        <w:t>项目编号：</w:t>
      </w:r>
    </w:p>
    <w:p>
      <w:pPr>
        <w:spacing w:line="360" w:lineRule="auto"/>
        <w:contextualSpacing/>
        <w:rPr>
          <w:rFonts w:ascii="宋体"/>
          <w:color w:val="000000"/>
          <w:szCs w:val="21"/>
        </w:rPr>
      </w:pPr>
      <w:r>
        <w:rPr>
          <w:rFonts w:hint="eastAsia" w:ascii="宋体" w:hAnsi="宋体"/>
          <w:color w:val="000000"/>
          <w:szCs w:val="21"/>
        </w:rPr>
        <w:t>项目名称：</w:t>
      </w:r>
      <w:r>
        <w:rPr>
          <w:rFonts w:ascii="宋体" w:hAnsi="宋体"/>
          <w:color w:val="000000"/>
          <w:szCs w:val="21"/>
        </w:rPr>
        <w:t xml:space="preserve">                                                      </w:t>
      </w:r>
      <w:r>
        <w:rPr>
          <w:rFonts w:hint="eastAsia" w:ascii="宋体" w:hAnsi="宋体" w:cs="Arial"/>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eastAsia="宋体" w:cs="宋体"/>
                <w:b/>
                <w:szCs w:val="21"/>
                <w:lang w:val="en-US" w:eastAsia="zh-CN"/>
              </w:rPr>
            </w:pPr>
            <w:r>
              <w:rPr>
                <w:rFonts w:hint="eastAsia" w:ascii="宋体" w:hAnsi="宋体" w:cs="宋体"/>
                <w:b/>
                <w:szCs w:val="21"/>
                <w:lang w:val="zh-CN"/>
              </w:rPr>
              <w:t>交付日期</w:t>
            </w:r>
            <w:r>
              <w:rPr>
                <w:rFonts w:hint="eastAsia" w:ascii="宋体" w:hAnsi="宋体" w:cs="宋体"/>
                <w:b/>
                <w:szCs w:val="21"/>
                <w:lang w:val="en-US" w:eastAsia="zh-CN"/>
              </w:rPr>
              <w:t>(天）</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3"/>
        <w:rPr>
          <w:rFonts w:ascii="宋体" w:cs="宋体"/>
          <w:sz w:val="24"/>
          <w:lang w:val="zh-CN"/>
        </w:rPr>
      </w:pPr>
    </w:p>
    <w:p>
      <w:pPr>
        <w:pStyle w:val="3"/>
        <w:rPr>
          <w:rFonts w:ascii="宋体" w:cs="宋体"/>
          <w:sz w:val="24"/>
          <w:lang w:val="zh-CN"/>
        </w:rPr>
      </w:pPr>
    </w:p>
    <w:p>
      <w:pPr>
        <w:pStyle w:val="3"/>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宋体"/>
          <w:b/>
          <w:snapToGrid w:val="0"/>
          <w:kern w:val="0"/>
          <w:sz w:val="28"/>
          <w:szCs w:val="28"/>
        </w:rPr>
      </w:pPr>
      <w:r>
        <w:rPr>
          <w:rFonts w:ascii="宋体" w:hAnsi="宋体"/>
          <w:b/>
          <w:snapToGrid w:val="0"/>
          <w:kern w:val="0"/>
          <w:szCs w:val="24"/>
        </w:rPr>
        <w:t xml:space="preserve">3.1 </w:t>
      </w:r>
      <w:r>
        <w:rPr>
          <w:rFonts w:hint="eastAsia" w:ascii="宋体" w:hAnsi="宋体"/>
          <w:b/>
          <w:snapToGrid w:val="0"/>
          <w:kern w:val="0"/>
          <w:szCs w:val="24"/>
        </w:rPr>
        <w:t>投</w:t>
      </w:r>
      <w:r>
        <w:rPr>
          <w:rFonts w:ascii="宋体" w:hAnsi="宋体"/>
          <w:b/>
          <w:snapToGrid w:val="0"/>
          <w:kern w:val="0"/>
          <w:szCs w:val="24"/>
        </w:rPr>
        <w:t xml:space="preserve"> </w:t>
      </w:r>
      <w:r>
        <w:rPr>
          <w:rFonts w:hint="eastAsia" w:ascii="宋体" w:hAnsi="宋体"/>
          <w:b/>
          <w:snapToGrid w:val="0"/>
          <w:kern w:val="0"/>
          <w:szCs w:val="24"/>
        </w:rPr>
        <w:t>标</w:t>
      </w:r>
      <w:r>
        <w:rPr>
          <w:rFonts w:ascii="宋体" w:hAnsi="宋体"/>
          <w:b/>
          <w:snapToGrid w:val="0"/>
          <w:kern w:val="0"/>
          <w:szCs w:val="24"/>
        </w:rPr>
        <w:t xml:space="preserve"> </w:t>
      </w:r>
      <w:r>
        <w:rPr>
          <w:rFonts w:hint="eastAsia" w:ascii="宋体" w:hAnsi="宋体"/>
          <w:b/>
          <w:snapToGrid w:val="0"/>
          <w:kern w:val="0"/>
          <w:szCs w:val="24"/>
        </w:rPr>
        <w:t>函</w:t>
      </w:r>
    </w:p>
    <w:p>
      <w:pPr>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（采购人或招标代理机构）</w:t>
      </w:r>
    </w:p>
    <w:p>
      <w:pPr>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hint="eastAsia" w:ascii="宋体" w:hAnsi="宋体"/>
          <w:snapToGrid w:val="0"/>
          <w:kern w:val="0"/>
          <w:szCs w:val="21"/>
        </w:rPr>
        <w:t>（项目名称、招标编号）采购的招标公告及采购公告，</w:t>
      </w:r>
      <w:r>
        <w:rPr>
          <w:rFonts w:ascii="宋体" w:hAnsi="宋体"/>
          <w:snapToGrid w:val="0"/>
          <w:kern w:val="0"/>
          <w:szCs w:val="21"/>
        </w:rPr>
        <w:t>_______</w:t>
      </w:r>
      <w:r>
        <w:rPr>
          <w:rFonts w:hint="eastAsia" w:ascii="宋体" w:hAnsi="宋体"/>
          <w:snapToGrid w:val="0"/>
          <w:kern w:val="0"/>
          <w:szCs w:val="21"/>
        </w:rPr>
        <w:t>（姓名和职务）被正式授权并代表投标人（投标人名称、地址）</w:t>
      </w:r>
      <w:r>
        <w:rPr>
          <w:rFonts w:ascii="宋体" w:hAnsi="宋体"/>
          <w:snapToGrid w:val="0"/>
          <w:kern w:val="0"/>
          <w:szCs w:val="21"/>
          <w:u w:val="single"/>
        </w:rPr>
        <w:t xml:space="preserve">              </w:t>
      </w:r>
      <w:r>
        <w:rPr>
          <w:rFonts w:hint="eastAsia" w:ascii="宋体" w:hAnsi="宋体"/>
          <w:snapToGrid w:val="0"/>
          <w:kern w:val="0"/>
          <w:szCs w:val="21"/>
        </w:rPr>
        <w:t>提交。</w:t>
      </w:r>
    </w:p>
    <w:p>
      <w:pPr>
        <w:pStyle w:val="15"/>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w:t>
      </w:r>
      <w:r>
        <w:rPr>
          <w:rFonts w:ascii="宋体" w:hAnsi="宋体"/>
          <w:snapToGrid w:val="0"/>
          <w:kern w:val="0"/>
          <w:szCs w:val="21"/>
          <w:u w:val="single"/>
        </w:rPr>
        <w:t xml:space="preserve">  </w:t>
      </w:r>
      <w:r>
        <w:rPr>
          <w:rFonts w:hint="eastAsia" w:ascii="宋体" w:hAnsi="宋体"/>
          <w:snapToGrid w:val="0"/>
          <w:kern w:val="0"/>
          <w:szCs w:val="21"/>
        </w:rPr>
        <w:t>份，电子文件</w:t>
      </w:r>
      <w:r>
        <w:rPr>
          <w:rFonts w:ascii="宋体" w:hAnsi="宋体"/>
          <w:snapToGrid w:val="0"/>
          <w:kern w:val="0"/>
          <w:szCs w:val="21"/>
          <w:u w:val="single"/>
        </w:rPr>
        <w:t xml:space="preserve">     </w:t>
      </w:r>
      <w:r>
        <w:rPr>
          <w:rFonts w:hint="eastAsia" w:ascii="宋体" w:hAnsi="宋体"/>
          <w:snapToGrid w:val="0"/>
          <w:kern w:val="0"/>
          <w:szCs w:val="21"/>
        </w:rPr>
        <w:t>份。</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二、本投标文件的有效期为投标截止时间起</w:t>
      </w:r>
      <w:r>
        <w:rPr>
          <w:rFonts w:hint="eastAsia" w:ascii="宋体" w:hAnsi="宋体" w:cs="Courier New"/>
          <w:szCs w:val="21"/>
          <w:u w:val="single"/>
          <w:lang w:val="en-US" w:eastAsia="zh-CN"/>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三、我方同意按照贵方可能提出的要求而提供与投标有关的任何其它数据、信息或资料。</w:t>
      </w:r>
    </w:p>
    <w:p>
      <w:pPr>
        <w:pStyle w:val="22"/>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四、我方理解贵方不一定接受最低投标价或任何贵方可能收到的投标。</w:t>
      </w:r>
    </w:p>
    <w:p>
      <w:pPr>
        <w:pStyle w:val="22"/>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pStyle w:val="15"/>
        <w:adjustRightInd w:val="0"/>
        <w:spacing w:line="360" w:lineRule="auto"/>
        <w:ind w:firstLine="420" w:firstLineChars="200"/>
        <w:contextualSpacing/>
        <w:rPr>
          <w:rFonts w:ascii="宋体" w:hAnsi="宋体"/>
          <w:sz w:val="21"/>
          <w:szCs w:val="21"/>
        </w:rPr>
      </w:pPr>
      <w:r>
        <w:rPr>
          <w:rFonts w:hint="eastAsia" w:ascii="宋体" w:hAnsi="宋体"/>
          <w:sz w:val="21"/>
          <w:szCs w:val="21"/>
        </w:rPr>
        <w:t>七、我方投标报价已包含应向知识产权所有权人支付的所有相关税费，并保证采购人在中国使用我方提供的货物时，如有第三方提出侵犯其知识产权主张的，责任由我方承担。</w:t>
      </w:r>
      <w:r>
        <w:rPr>
          <w:rFonts w:ascii="宋体" w:hAnsi="宋体"/>
          <w:sz w:val="21"/>
          <w:szCs w:val="21"/>
        </w:rPr>
        <w:t xml:space="preserve"> </w:t>
      </w:r>
    </w:p>
    <w:p>
      <w:pPr>
        <w:pStyle w:val="15"/>
        <w:adjustRightInd w:val="0"/>
        <w:spacing w:line="360" w:lineRule="auto"/>
        <w:ind w:firstLine="420" w:firstLineChars="200"/>
        <w:contextualSpacing/>
        <w:rPr>
          <w:rFonts w:ascii="宋体" w:cs="Arial"/>
          <w:sz w:val="21"/>
          <w:szCs w:val="21"/>
        </w:rPr>
      </w:pPr>
      <w:r>
        <w:rPr>
          <w:rFonts w:hint="eastAsia" w:ascii="宋体" w:hAnsi="宋体" w:cs="Arial"/>
          <w:sz w:val="21"/>
          <w:szCs w:val="21"/>
        </w:rPr>
        <w:t>八、我方具备《政府采购法》第二十二条规定的条件；承诺如下：</w:t>
      </w:r>
    </w:p>
    <w:p>
      <w:pPr>
        <w:pStyle w:val="15"/>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5"/>
        <w:adjustRightInd w:val="0"/>
        <w:spacing w:line="360" w:lineRule="auto"/>
        <w:ind w:firstLine="420" w:firstLineChars="200"/>
        <w:contextualSpacing/>
        <w:rPr>
          <w:rFonts w:ascii="宋体"/>
          <w:sz w:val="21"/>
          <w:szCs w:val="21"/>
        </w:rPr>
      </w:pPr>
      <w:r>
        <w:rPr>
          <w:rFonts w:hint="eastAsia" w:ascii="宋体" w:hAnsi="宋体"/>
          <w:sz w:val="21"/>
          <w:szCs w:val="21"/>
        </w:rPr>
        <w:t>九、我方具备履行合同所必需的设备和专业技术能力。</w:t>
      </w:r>
    </w:p>
    <w:p>
      <w:pPr>
        <w:pStyle w:val="15"/>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十、</w:t>
      </w:r>
      <w:r>
        <w:rPr>
          <w:rFonts w:hint="eastAsia" w:ascii="宋体" w:hAnsi="宋体"/>
          <w:sz w:val="21"/>
          <w:szCs w:val="21"/>
        </w:rPr>
        <w:t>我方对在本函及投标文件中所作的所有承诺承担法律责任。</w:t>
      </w:r>
    </w:p>
    <w:p>
      <w:pPr>
        <w:pStyle w:val="15"/>
        <w:adjustRightInd w:val="0"/>
        <w:snapToGrid w:val="0"/>
        <w:spacing w:line="360" w:lineRule="auto"/>
        <w:rPr>
          <w:rFonts w:ascii="宋体"/>
          <w:sz w:val="21"/>
          <w:szCs w:val="21"/>
        </w:rPr>
      </w:pPr>
    </w:p>
    <w:p>
      <w:pPr>
        <w:pStyle w:val="15"/>
        <w:adjustRightInd w:val="0"/>
        <w:snapToGrid w:val="0"/>
        <w:spacing w:line="360" w:lineRule="auto"/>
        <w:rPr>
          <w:rFonts w:ascii="宋体"/>
          <w:sz w:val="21"/>
          <w:szCs w:val="21"/>
        </w:rPr>
      </w:pPr>
    </w:p>
    <w:p>
      <w:pPr>
        <w:pStyle w:val="15"/>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ascii="宋体" w:hAnsi="宋体" w:cs="宋体"/>
          <w:szCs w:val="21"/>
        </w:rPr>
        <w:t xml:space="preserve">  .  </w:t>
      </w:r>
      <w:r>
        <w:rPr>
          <w:rFonts w:hint="eastAsia" w:ascii="宋体" w:hAnsi="宋体" w:cs="宋体"/>
          <w:szCs w:val="21"/>
        </w:rPr>
        <w:t>邮政编码：</w:t>
      </w:r>
      <w:r>
        <w:rPr>
          <w:rFonts w:ascii="宋体" w:hAnsi="宋体" w:cs="宋体"/>
          <w:szCs w:val="21"/>
          <w:u w:val="single"/>
        </w:rPr>
        <w:t xml:space="preserve">            </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cs="宋体"/>
          <w:szCs w:val="21"/>
        </w:rPr>
        <w:t>.</w:t>
      </w:r>
      <w:r>
        <w:rPr>
          <w:rFonts w:ascii="宋体" w:hAnsi="宋体" w:cs="宋体"/>
          <w:szCs w:val="21"/>
          <w:u w:val="single"/>
        </w:rPr>
        <w:t xml:space="preserve">            </w:t>
      </w:r>
    </w:p>
    <w:p>
      <w:pPr>
        <w:adjustRightInd w:val="0"/>
        <w:snapToGrid w:val="0"/>
        <w:spacing w:line="360" w:lineRule="auto"/>
        <w:rPr>
          <w:rFonts w:ascii="宋体" w:cs="宋体"/>
          <w:szCs w:val="21"/>
          <w:u w:val="single"/>
        </w:rPr>
      </w:pPr>
      <w:r>
        <w:rPr>
          <w:rFonts w:hint="eastAsia" w:ascii="宋体" w:hAnsi="宋体" w:cs="宋体"/>
          <w:szCs w:val="21"/>
        </w:rPr>
        <w:t>投标人代表姓名：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r>
        <w:rPr>
          <w:rFonts w:ascii="宋体" w:hAnsi="宋体" w:cs="宋体"/>
          <w:szCs w:val="21"/>
        </w:rPr>
        <w:t xml:space="preserve">  .</w:t>
      </w: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adjustRightInd w:val="0"/>
        <w:snapToGrid w:val="0"/>
        <w:spacing w:line="360" w:lineRule="auto"/>
        <w:ind w:firstLine="4939" w:firstLineChars="2050"/>
        <w:rPr>
          <w:rFonts w:cs="宋体" w:asciiTheme="minorEastAsia" w:hAnsiTheme="minorEastAsia"/>
          <w:szCs w:val="21"/>
        </w:rPr>
      </w:pPr>
      <w:r>
        <w:rPr>
          <w:rFonts w:ascii="宋体" w:hAnsi="宋体"/>
          <w:b/>
          <w:bCs/>
          <w:color w:val="000000"/>
          <w:sz w:val="24"/>
          <w:szCs w:val="24"/>
        </w:rPr>
        <w:br w:type="page"/>
      </w:r>
    </w:p>
    <w:p>
      <w:pPr>
        <w:spacing w:line="480" w:lineRule="exact"/>
        <w:jc w:val="both"/>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9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90"/>
        <w:spacing w:line="480" w:lineRule="auto"/>
        <w:ind w:firstLine="472" w:firstLineChars="225"/>
        <w:jc w:val="left"/>
        <w:rPr>
          <w:rFonts w:asciiTheme="minorEastAsia" w:hAnsiTheme="minorEastAsia"/>
          <w:color w:val="000000"/>
          <w:sz w:val="21"/>
          <w:szCs w:val="21"/>
        </w:rPr>
      </w:pPr>
    </w:p>
    <w:p>
      <w:pPr>
        <w:pStyle w:val="90"/>
        <w:spacing w:line="480" w:lineRule="auto"/>
        <w:ind w:firstLine="472" w:firstLineChars="225"/>
        <w:jc w:val="left"/>
        <w:rPr>
          <w:rFonts w:asciiTheme="minorEastAsia" w:hAnsiTheme="minorEastAsia"/>
          <w:color w:val="000000"/>
          <w:sz w:val="21"/>
          <w:szCs w:val="21"/>
        </w:rPr>
      </w:pPr>
    </w:p>
    <w:p>
      <w:pPr>
        <w:pStyle w:val="9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9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8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7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both"/>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cs="宋体"/>
          <w:b/>
          <w:color w:val="000000"/>
          <w:sz w:val="36"/>
          <w:szCs w:val="36"/>
          <w:lang w:val="zh-CN"/>
        </w:rPr>
      </w:pPr>
      <w:r>
        <w:rPr>
          <w:rFonts w:ascii="宋体" w:hAnsi="宋体"/>
          <w:b/>
          <w:bCs/>
          <w:color w:val="000000"/>
          <w:sz w:val="24"/>
          <w:szCs w:val="24"/>
        </w:rPr>
        <w:t xml:space="preserve">3.5 </w:t>
      </w:r>
      <w:r>
        <w:rPr>
          <w:rFonts w:hint="eastAsia" w:ascii="宋体" w:hAnsi="宋体" w:cs="宋体"/>
          <w:b/>
          <w:color w:val="000000"/>
          <w:sz w:val="24"/>
          <w:szCs w:val="24"/>
          <w:lang w:val="zh-CN"/>
        </w:rPr>
        <w:t>投标承诺函</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本企业郑重承诺：</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一、将遵循公开、公平、公正和诚实信用的原则参加</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具体政府采购项目名称）</w:t>
      </w:r>
      <w:r>
        <w:rPr>
          <w:rFonts w:ascii="宋体" w:hAnsi="宋体"/>
          <w:color w:val="000000"/>
          <w:sz w:val="21"/>
          <w:szCs w:val="21"/>
          <w:u w:val="single"/>
          <w:shd w:val="clear" w:color="auto" w:fill="FFFFFF"/>
        </w:rPr>
        <w:t xml:space="preserve">             </w:t>
      </w:r>
      <w:r>
        <w:rPr>
          <w:rFonts w:hint="eastAsia" w:ascii="宋体" w:hAnsi="宋体"/>
          <w:color w:val="000000"/>
          <w:sz w:val="21"/>
          <w:szCs w:val="21"/>
          <w:shd w:val="clear" w:color="auto" w:fill="FFFFFF"/>
        </w:rPr>
        <w:t>的投标</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二、本次投标所提供的一切材料都是真实、有效、合法的</w:t>
      </w:r>
      <w:r>
        <w:rPr>
          <w:rFonts w:ascii="宋体" w:hAnsi="宋体"/>
          <w:color w:val="000000"/>
          <w:sz w:val="21"/>
          <w:szCs w:val="21"/>
          <w:shd w:val="clear" w:color="auto" w:fill="FFFFFF"/>
        </w:rPr>
        <w:t xml:space="preserve">; </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三、不与其他投标人相互串通投标报价，不排挤其他投标人的公平竞争，不损害采购人或其他投标人的合法权益</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四、不与采购人或集中采购机构串通投标，不损害国家利益、社会公共利益或者他人的合法权益</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8"/>
          <w:rFonts w:hint="eastAsia" w:ascii="宋体" w:hAnsi="宋体"/>
          <w:color w:val="000000"/>
          <w:sz w:val="21"/>
          <w:szCs w:val="21"/>
          <w:shd w:val="clear" w:color="auto" w:fill="FFFFFF"/>
        </w:rPr>
        <w:t>评标</w:t>
      </w:r>
      <w:r>
        <w:rPr>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8"/>
          <w:rFonts w:hint="eastAsia" w:ascii="宋体" w:hAnsi="宋体"/>
          <w:color w:val="000000"/>
          <w:sz w:val="21"/>
          <w:szCs w:val="21"/>
          <w:shd w:val="clear" w:color="auto" w:fill="FFFFFF"/>
        </w:rPr>
        <w:t>中标</w:t>
      </w:r>
      <w:r>
        <w:rPr>
          <w:rFonts w:hint="eastAsia" w:ascii="宋体" w:hAnsi="宋体"/>
          <w:color w:val="000000"/>
          <w:sz w:val="21"/>
          <w:szCs w:val="21"/>
          <w:shd w:val="clear" w:color="auto" w:fill="FFFFFF"/>
        </w:rPr>
        <w:fldChar w:fldCharType="end"/>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六、不以他人名义投标或者以其他方式弄虚作假，骗取中标</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七、不扰乱长葛市政府采购市场秩序</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8"/>
          <w:rFonts w:hint="eastAsia" w:ascii="宋体" w:hAnsi="宋体"/>
          <w:color w:val="000000"/>
          <w:sz w:val="21"/>
          <w:szCs w:val="21"/>
          <w:shd w:val="clear" w:color="auto" w:fill="FFFFFF"/>
        </w:rPr>
        <w:t>开标</w:t>
      </w:r>
      <w:r>
        <w:rPr>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后进行虚假恶意投诉</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8"/>
          <w:rFonts w:hint="eastAsia" w:ascii="宋体" w:hAnsi="宋体"/>
          <w:color w:val="000000"/>
          <w:sz w:val="21"/>
          <w:szCs w:val="21"/>
          <w:shd w:val="clear" w:color="auto" w:fill="FFFFFF"/>
        </w:rPr>
        <w:t>招标文件</w:t>
      </w:r>
      <w:r>
        <w:rPr>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规定不予转包、分包的项目转包、分包于他人。</w:t>
      </w:r>
    </w:p>
    <w:p>
      <w:pPr>
        <w:pStyle w:val="22"/>
        <w:widowControl/>
        <w:shd w:val="clear" w:color="auto" w:fill="FFFFFF"/>
        <w:spacing w:after="300" w:line="360" w:lineRule="auto"/>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2"/>
        <w:widowControl/>
        <w:shd w:val="clear" w:color="auto" w:fill="FFFFFF"/>
        <w:spacing w:after="300" w:line="336" w:lineRule="atLeast"/>
        <w:rPr>
          <w:rFonts w:ascii="宋体"/>
          <w:color w:val="000000"/>
          <w:sz w:val="21"/>
          <w:szCs w:val="21"/>
          <w:shd w:val="clear" w:color="auto" w:fill="FFFFFF"/>
        </w:rPr>
      </w:pPr>
    </w:p>
    <w:p>
      <w:pPr>
        <w:pStyle w:val="22"/>
        <w:widowControl/>
        <w:shd w:val="clear" w:color="auto" w:fill="FFFFFF"/>
        <w:spacing w:after="300" w:line="336" w:lineRule="atLeast"/>
        <w:ind w:firstLine="3570" w:firstLineChars="1700"/>
        <w:rPr>
          <w:rFonts w:ascii="宋体"/>
          <w:color w:val="000000"/>
          <w:sz w:val="21"/>
          <w:szCs w:val="21"/>
          <w:shd w:val="clear" w:color="auto" w:fill="FFFFFF"/>
        </w:rPr>
      </w:pPr>
      <w:r>
        <w:rPr>
          <w:rFonts w:hint="eastAsia" w:ascii="宋体" w:hAnsi="宋体"/>
          <w:color w:val="000000"/>
          <w:sz w:val="21"/>
          <w:szCs w:val="21"/>
          <w:shd w:val="clear" w:color="auto" w:fill="FFFFFF"/>
        </w:rPr>
        <w:t>法定代表人或者被委托人（签字</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w:t>
      </w:r>
    </w:p>
    <w:p>
      <w:pPr>
        <w:pStyle w:val="22"/>
        <w:widowControl/>
        <w:shd w:val="clear" w:color="auto" w:fill="FFFFFF"/>
        <w:spacing w:after="300" w:line="336" w:lineRule="atLeast"/>
        <w:ind w:firstLine="3570" w:firstLineChars="1700"/>
        <w:rPr>
          <w:rFonts w:ascii="宋体"/>
          <w:color w:val="000000"/>
          <w:sz w:val="21"/>
          <w:szCs w:val="21"/>
          <w:shd w:val="clear" w:color="auto" w:fill="FFFFFF"/>
        </w:rPr>
      </w:pPr>
      <w:r>
        <w:rPr>
          <w:rFonts w:hint="eastAsia" w:ascii="宋体" w:hAnsi="宋体"/>
          <w:color w:val="000000"/>
          <w:sz w:val="21"/>
          <w:szCs w:val="21"/>
          <w:shd w:val="clear" w:color="auto" w:fill="FFFFFF"/>
        </w:rPr>
        <w:t>投标商名称</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盖章</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w:t>
      </w:r>
    </w:p>
    <w:p>
      <w:pPr>
        <w:pStyle w:val="22"/>
        <w:widowControl/>
        <w:shd w:val="clear" w:color="auto" w:fill="FFFFFF"/>
        <w:spacing w:after="300" w:line="336" w:lineRule="atLeast"/>
        <w:ind w:firstLine="6300" w:firstLineChars="3000"/>
        <w:rPr>
          <w:rFonts w:ascii="宋体"/>
          <w:color w:val="000000"/>
          <w:sz w:val="21"/>
          <w:szCs w:val="21"/>
          <w:shd w:val="clear" w:color="auto" w:fill="FFFFFF"/>
        </w:rPr>
      </w:pPr>
      <w:r>
        <w:rPr>
          <w:rFonts w:hint="eastAsia" w:ascii="宋体" w:hAnsi="宋体"/>
          <w:color w:val="000000"/>
          <w:sz w:val="21"/>
          <w:szCs w:val="21"/>
          <w:shd w:val="clear" w:color="auto" w:fill="FFFFFF"/>
        </w:rPr>
        <w:t>年</w:t>
      </w:r>
      <w:r>
        <w:rPr>
          <w:rFonts w:ascii="宋体" w:hAnsi="宋体"/>
          <w:color w:val="000000"/>
          <w:sz w:val="21"/>
          <w:szCs w:val="21"/>
          <w:shd w:val="clear" w:color="auto" w:fill="FFFFFF"/>
        </w:rPr>
        <w:t xml:space="preserve">  </w:t>
      </w:r>
      <w:r>
        <w:rPr>
          <w:rFonts w:hint="eastAsia" w:ascii="宋体" w:hAnsi="宋体"/>
          <w:color w:val="000000"/>
          <w:sz w:val="21"/>
          <w:szCs w:val="21"/>
          <w:shd w:val="clear" w:color="auto" w:fill="FFFFFF"/>
        </w:rPr>
        <w:t>月</w:t>
      </w:r>
      <w:r>
        <w:rPr>
          <w:rFonts w:ascii="宋体" w:hAnsi="宋体"/>
          <w:color w:val="000000"/>
          <w:sz w:val="21"/>
          <w:szCs w:val="21"/>
          <w:shd w:val="clear" w:color="auto" w:fill="FFFFFF"/>
        </w:rPr>
        <w:t xml:space="preserve">  </w:t>
      </w:r>
      <w:r>
        <w:rPr>
          <w:rFonts w:hint="eastAsia" w:ascii="宋体" w:hAnsi="宋体"/>
          <w:color w:val="000000"/>
          <w:sz w:val="21"/>
          <w:szCs w:val="21"/>
          <w:shd w:val="clear" w:color="auto" w:fill="FFFFFF"/>
        </w:rPr>
        <w:t>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3"/>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3"/>
        <w:rPr>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0"/>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3"/>
        <w:rPr>
          <w:rFonts w:ascii="宋体" w:hAnsi="宋体"/>
          <w:b/>
          <w:bCs/>
          <w:color w:val="000000"/>
          <w:sz w:val="24"/>
          <w:szCs w:val="24"/>
        </w:rPr>
      </w:pPr>
    </w:p>
    <w:p>
      <w:pPr>
        <w:pStyle w:val="3"/>
        <w:rPr>
          <w:rFonts w:ascii="宋体" w:hAnsi="宋体"/>
          <w:b/>
          <w:bCs/>
          <w:color w:val="000000"/>
          <w:sz w:val="24"/>
          <w:szCs w:val="24"/>
        </w:rPr>
      </w:pPr>
    </w:p>
    <w:p>
      <w:pPr>
        <w:pStyle w:val="3"/>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rPr>
          <w:rFonts w:cs="宋体" w:asciiTheme="minorEastAsia" w:hAnsiTheme="minorEastAsia"/>
          <w:szCs w:val="21"/>
          <w:lang w:val="zh-CN"/>
        </w:rPr>
      </w:pPr>
    </w:p>
    <w:p>
      <w:pPr>
        <w:pStyle w:val="3"/>
        <w:rPr>
          <w:rFonts w:cs="宋体" w:asciiTheme="minorEastAsia" w:hAnsiTheme="minorEastAsia"/>
          <w:szCs w:val="21"/>
          <w:lang w:val="zh-CN"/>
        </w:rPr>
      </w:pPr>
    </w:p>
    <w:p>
      <w:pPr>
        <w:pStyle w:val="3"/>
        <w:rPr>
          <w:rFonts w:cs="宋体" w:asciiTheme="minorEastAsia" w:hAnsiTheme="minorEastAsia"/>
          <w:szCs w:val="21"/>
          <w:lang w:val="zh-CN"/>
        </w:rPr>
      </w:pPr>
    </w:p>
    <w:p>
      <w:pPr>
        <w:pStyle w:val="3"/>
        <w:rPr>
          <w:rFonts w:cs="宋体" w:asciiTheme="minorEastAsia" w:hAnsiTheme="minorEastAsia"/>
          <w:szCs w:val="21"/>
          <w:lang w:val="zh-CN"/>
        </w:rPr>
      </w:pPr>
    </w:p>
    <w:p>
      <w:pPr>
        <w:pStyle w:val="3"/>
        <w:rPr>
          <w:rFonts w:cs="宋体" w:asciiTheme="minorEastAsia" w:hAnsiTheme="minorEastAsia"/>
          <w:szCs w:val="21"/>
          <w:lang w:val="zh-CN"/>
        </w:rPr>
      </w:pPr>
    </w:p>
    <w:p>
      <w:pPr>
        <w:pStyle w:val="3"/>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3"/>
        <w:rPr>
          <w:rFonts w:ascii="宋体" w:hAnsi="宋体"/>
          <w:b/>
          <w:bCs/>
          <w:color w:val="000000"/>
          <w:sz w:val="36"/>
          <w:szCs w:val="36"/>
        </w:rPr>
      </w:pPr>
    </w:p>
    <w:p>
      <w:pPr>
        <w:pStyle w:val="3"/>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pStyle w:val="3"/>
        <w:rPr>
          <w:rFonts w:ascii="宋体" w:hAnsi="宋体" w:cs="Arial"/>
          <w:color w:val="000000"/>
          <w:kern w:val="0"/>
          <w:szCs w:val="21"/>
        </w:rPr>
      </w:pPr>
    </w:p>
    <w:p>
      <w:pPr>
        <w:pStyle w:val="3"/>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Pr>
        <w:pStyle w:val="4"/>
      </w:pPr>
    </w:p>
    <w:p/>
    <w:p/>
    <w:p>
      <w:pPr>
        <w:rPr>
          <w:rFonts w:ascii="方正小标宋简体" w:hAnsi="方正小标宋简体" w:eastAsia="方正小标宋简体" w:cs="方正小标宋简体"/>
          <w:sz w:val="32"/>
          <w:szCs w:val="32"/>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28575</wp:posOffset>
              </wp:positionV>
              <wp:extent cx="133985" cy="15303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2.25pt;height:12.05pt;width:10.55pt;mso-position-horizontal:center;mso-position-horizontal-relative:margin;mso-wrap-style:none;z-index:251658240;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F4J3tIAAAAEAQAADwAAAAAAAAABACAAAAAiAAAAZHJzL2Rvd25yZXYueG1sUEsBAhQAFAAA&#10;AAgAh07iQHGbk/68AQAAUgMAAA4AAAAAAAAAAQAgAAAAIQ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4" o:spid="_x0000_s1026" o:spt="202" type="#_x0000_t202" style="position:absolute;left:0pt;margin-left:0pt;margin-top:0pt;height:10.35pt;width:9.05pt;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lfknQAAAAAwEAAA8AAAAAAAAAAQAgAAAAIgAAAGRycy9kb3ducmV2LnhtbFBLAQIUABQAAAAI&#10;AIdO4kD8ggTRvAEAAFIDAAAOAAAAAAAAAAEAIAAAAB8BAABkcnMvZTJvRG9jLnhtbFBLBQYAAAAA&#10;BgAGAFkBAABN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B89D"/>
    <w:multiLevelType w:val="singleLevel"/>
    <w:tmpl w:val="0CD0B89D"/>
    <w:lvl w:ilvl="0" w:tentative="0">
      <w:start w:val="1"/>
      <w:numFmt w:val="chineseCounting"/>
      <w:suff w:val="nothing"/>
      <w:lvlText w:val="%1、"/>
      <w:lvlJc w:val="left"/>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130E93A"/>
    <w:multiLevelType w:val="singleLevel"/>
    <w:tmpl w:val="1130E93A"/>
    <w:lvl w:ilvl="0" w:tentative="0">
      <w:start w:val="1"/>
      <w:numFmt w:val="decimal"/>
      <w:suff w:val="nothing"/>
      <w:lvlText w:val="%1、"/>
      <w:lvlJc w:val="left"/>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B8E44B"/>
    <w:multiLevelType w:val="singleLevel"/>
    <w:tmpl w:val="20B8E44B"/>
    <w:lvl w:ilvl="0" w:tentative="0">
      <w:start w:val="1"/>
      <w:numFmt w:val="chineseCounting"/>
      <w:suff w:val="nothing"/>
      <w:lvlText w:val="%1、"/>
      <w:lvlJc w:val="left"/>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C2"/>
    <w:multiLevelType w:val="singleLevel"/>
    <w:tmpl w:val="59F817C2"/>
    <w:lvl w:ilvl="0" w:tentative="0">
      <w:start w:val="2"/>
      <w:numFmt w:val="chineseCounting"/>
      <w:suff w:val="space"/>
      <w:lvlText w:val="第%1章"/>
      <w:lvlJc w:val="left"/>
      <w:rPr>
        <w:rFonts w:cs="Times New Roman"/>
      </w:rPr>
    </w:lvl>
  </w:abstractNum>
  <w:abstractNum w:abstractNumId="11">
    <w:nsid w:val="59F817E8"/>
    <w:multiLevelType w:val="singleLevel"/>
    <w:tmpl w:val="59F817E8"/>
    <w:lvl w:ilvl="0" w:tentative="0">
      <w:start w:val="1"/>
      <w:numFmt w:val="chineseCounting"/>
      <w:pStyle w:val="94"/>
      <w:suff w:val="nothing"/>
      <w:lvlText w:val="%1、"/>
      <w:lvlJc w:val="left"/>
      <w:rPr>
        <w:rFonts w:cs="Times New Roman"/>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1E572BA"/>
    <w:multiLevelType w:val="singleLevel"/>
    <w:tmpl w:val="71E572BA"/>
    <w:lvl w:ilvl="0" w:tentative="0">
      <w:start w:val="1"/>
      <w:numFmt w:val="decimal"/>
      <w:lvlText w:val="%1."/>
      <w:lvlJc w:val="left"/>
      <w:pPr>
        <w:tabs>
          <w:tab w:val="left" w:pos="312"/>
        </w:tabs>
      </w:pPr>
    </w:lvl>
  </w:abstractNum>
  <w:abstractNum w:abstractNumId="14">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8"/>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4"/>
  </w:num>
  <w:num w:numId="2">
    <w:abstractNumId w:val="11"/>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4"/>
  </w:num>
  <w:num w:numId="11">
    <w:abstractNumId w:val="3"/>
  </w:num>
  <w:num w:numId="12">
    <w:abstractNumId w:val="5"/>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78"/>
    <w:rsid w:val="00032E95"/>
    <w:rsid w:val="00050412"/>
    <w:rsid w:val="00051673"/>
    <w:rsid w:val="00053A88"/>
    <w:rsid w:val="00054368"/>
    <w:rsid w:val="00070530"/>
    <w:rsid w:val="000717B0"/>
    <w:rsid w:val="00071E6B"/>
    <w:rsid w:val="000A5558"/>
    <w:rsid w:val="00127DD3"/>
    <w:rsid w:val="0014051C"/>
    <w:rsid w:val="001932BA"/>
    <w:rsid w:val="001B17C2"/>
    <w:rsid w:val="001C7757"/>
    <w:rsid w:val="002127A4"/>
    <w:rsid w:val="00222970"/>
    <w:rsid w:val="0026083F"/>
    <w:rsid w:val="002F02B1"/>
    <w:rsid w:val="00304977"/>
    <w:rsid w:val="003226C6"/>
    <w:rsid w:val="0032644E"/>
    <w:rsid w:val="00384950"/>
    <w:rsid w:val="003C6465"/>
    <w:rsid w:val="003F6AC1"/>
    <w:rsid w:val="004055AD"/>
    <w:rsid w:val="0041430D"/>
    <w:rsid w:val="004213C8"/>
    <w:rsid w:val="00424EDF"/>
    <w:rsid w:val="00436A78"/>
    <w:rsid w:val="00437C36"/>
    <w:rsid w:val="00442EC0"/>
    <w:rsid w:val="00443B40"/>
    <w:rsid w:val="00450B5A"/>
    <w:rsid w:val="00454903"/>
    <w:rsid w:val="00461667"/>
    <w:rsid w:val="0047448D"/>
    <w:rsid w:val="00474A07"/>
    <w:rsid w:val="004767F6"/>
    <w:rsid w:val="00480677"/>
    <w:rsid w:val="00492C7D"/>
    <w:rsid w:val="004A4E21"/>
    <w:rsid w:val="004C5B63"/>
    <w:rsid w:val="004E77D5"/>
    <w:rsid w:val="00503797"/>
    <w:rsid w:val="0051767C"/>
    <w:rsid w:val="00520ABD"/>
    <w:rsid w:val="005529BE"/>
    <w:rsid w:val="0055440B"/>
    <w:rsid w:val="00556474"/>
    <w:rsid w:val="00571271"/>
    <w:rsid w:val="005B21E8"/>
    <w:rsid w:val="005D6C17"/>
    <w:rsid w:val="006235FE"/>
    <w:rsid w:val="00623916"/>
    <w:rsid w:val="0064164D"/>
    <w:rsid w:val="00647A5B"/>
    <w:rsid w:val="00655158"/>
    <w:rsid w:val="00662FF6"/>
    <w:rsid w:val="00675C67"/>
    <w:rsid w:val="00693BBD"/>
    <w:rsid w:val="006B0C63"/>
    <w:rsid w:val="006C1779"/>
    <w:rsid w:val="006C2E78"/>
    <w:rsid w:val="006C44E3"/>
    <w:rsid w:val="006C4F35"/>
    <w:rsid w:val="006D003A"/>
    <w:rsid w:val="006F7CD1"/>
    <w:rsid w:val="007120A9"/>
    <w:rsid w:val="007131BE"/>
    <w:rsid w:val="00727874"/>
    <w:rsid w:val="007370C1"/>
    <w:rsid w:val="00772F5F"/>
    <w:rsid w:val="0077546A"/>
    <w:rsid w:val="007B410E"/>
    <w:rsid w:val="007B5A8D"/>
    <w:rsid w:val="007E5924"/>
    <w:rsid w:val="0080586B"/>
    <w:rsid w:val="00806BC1"/>
    <w:rsid w:val="00831D77"/>
    <w:rsid w:val="00851E8E"/>
    <w:rsid w:val="0085292D"/>
    <w:rsid w:val="0085317D"/>
    <w:rsid w:val="00854C28"/>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B7B6B"/>
    <w:rsid w:val="00AC1BF1"/>
    <w:rsid w:val="00AC37A9"/>
    <w:rsid w:val="00AD57E0"/>
    <w:rsid w:val="00AD745F"/>
    <w:rsid w:val="00AD7840"/>
    <w:rsid w:val="00AE2966"/>
    <w:rsid w:val="00B0227D"/>
    <w:rsid w:val="00B1634A"/>
    <w:rsid w:val="00B2616B"/>
    <w:rsid w:val="00B63731"/>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17A4419"/>
    <w:rsid w:val="01934415"/>
    <w:rsid w:val="01AA0441"/>
    <w:rsid w:val="022460C2"/>
    <w:rsid w:val="02A23E7D"/>
    <w:rsid w:val="02AB0C1C"/>
    <w:rsid w:val="03CD2843"/>
    <w:rsid w:val="03F9645D"/>
    <w:rsid w:val="044F202A"/>
    <w:rsid w:val="0573679A"/>
    <w:rsid w:val="05813BE1"/>
    <w:rsid w:val="059E391C"/>
    <w:rsid w:val="05BE5A56"/>
    <w:rsid w:val="06AA15D2"/>
    <w:rsid w:val="08533141"/>
    <w:rsid w:val="086B353E"/>
    <w:rsid w:val="08C15ACF"/>
    <w:rsid w:val="08CD39DD"/>
    <w:rsid w:val="0AF4110B"/>
    <w:rsid w:val="0C2119D6"/>
    <w:rsid w:val="0D18349A"/>
    <w:rsid w:val="0D302D1A"/>
    <w:rsid w:val="0D333E83"/>
    <w:rsid w:val="0D9815F4"/>
    <w:rsid w:val="0DCF35A8"/>
    <w:rsid w:val="0E082C51"/>
    <w:rsid w:val="0EA52AE0"/>
    <w:rsid w:val="0EB1382F"/>
    <w:rsid w:val="0ED41E21"/>
    <w:rsid w:val="0F0E4141"/>
    <w:rsid w:val="10F50FD7"/>
    <w:rsid w:val="1166099B"/>
    <w:rsid w:val="11C957E7"/>
    <w:rsid w:val="12C159B1"/>
    <w:rsid w:val="1357179D"/>
    <w:rsid w:val="13F71BF2"/>
    <w:rsid w:val="15E661B2"/>
    <w:rsid w:val="16E8163E"/>
    <w:rsid w:val="175E7CAA"/>
    <w:rsid w:val="17DE0B80"/>
    <w:rsid w:val="184473FE"/>
    <w:rsid w:val="186E3FB5"/>
    <w:rsid w:val="18874196"/>
    <w:rsid w:val="18B00ED7"/>
    <w:rsid w:val="18F77407"/>
    <w:rsid w:val="18FF0CCF"/>
    <w:rsid w:val="19531197"/>
    <w:rsid w:val="1B257622"/>
    <w:rsid w:val="1C356CB0"/>
    <w:rsid w:val="1CEF3999"/>
    <w:rsid w:val="1D9E20EC"/>
    <w:rsid w:val="1E45455B"/>
    <w:rsid w:val="1E6115C6"/>
    <w:rsid w:val="1F1A4C1D"/>
    <w:rsid w:val="20BD44D4"/>
    <w:rsid w:val="20CB01D6"/>
    <w:rsid w:val="21B71654"/>
    <w:rsid w:val="22792CBC"/>
    <w:rsid w:val="23BC052E"/>
    <w:rsid w:val="247E2111"/>
    <w:rsid w:val="25BE4E16"/>
    <w:rsid w:val="25C234DB"/>
    <w:rsid w:val="27223693"/>
    <w:rsid w:val="273B01F0"/>
    <w:rsid w:val="27B0040A"/>
    <w:rsid w:val="27D0407D"/>
    <w:rsid w:val="286A6CC8"/>
    <w:rsid w:val="29B05C86"/>
    <w:rsid w:val="2B8415EF"/>
    <w:rsid w:val="2B971FB4"/>
    <w:rsid w:val="2BB66D48"/>
    <w:rsid w:val="2C1F2056"/>
    <w:rsid w:val="2C882213"/>
    <w:rsid w:val="2E27367A"/>
    <w:rsid w:val="2EA36B29"/>
    <w:rsid w:val="2EEC538A"/>
    <w:rsid w:val="2F7C088C"/>
    <w:rsid w:val="30AA7DD2"/>
    <w:rsid w:val="30B7762C"/>
    <w:rsid w:val="323F2B12"/>
    <w:rsid w:val="33D267CA"/>
    <w:rsid w:val="33F620A6"/>
    <w:rsid w:val="344211FC"/>
    <w:rsid w:val="34D27E01"/>
    <w:rsid w:val="34F36924"/>
    <w:rsid w:val="351B1B0C"/>
    <w:rsid w:val="352975DF"/>
    <w:rsid w:val="367B188B"/>
    <w:rsid w:val="36924351"/>
    <w:rsid w:val="38070E5A"/>
    <w:rsid w:val="382939AA"/>
    <w:rsid w:val="38E55DC8"/>
    <w:rsid w:val="39965E2B"/>
    <w:rsid w:val="3B401F11"/>
    <w:rsid w:val="3B62560C"/>
    <w:rsid w:val="3C2056F9"/>
    <w:rsid w:val="3CA856BB"/>
    <w:rsid w:val="3D2E13B0"/>
    <w:rsid w:val="3DA608E9"/>
    <w:rsid w:val="3F133065"/>
    <w:rsid w:val="3F347809"/>
    <w:rsid w:val="405D20BB"/>
    <w:rsid w:val="405F2658"/>
    <w:rsid w:val="40A27B9E"/>
    <w:rsid w:val="4118344C"/>
    <w:rsid w:val="416563EC"/>
    <w:rsid w:val="41BA3ABA"/>
    <w:rsid w:val="41BC3348"/>
    <w:rsid w:val="43F135F6"/>
    <w:rsid w:val="443179E8"/>
    <w:rsid w:val="44417E91"/>
    <w:rsid w:val="456229B6"/>
    <w:rsid w:val="45E13A0B"/>
    <w:rsid w:val="4638549C"/>
    <w:rsid w:val="46F5321B"/>
    <w:rsid w:val="4739475D"/>
    <w:rsid w:val="48CA001D"/>
    <w:rsid w:val="494145BE"/>
    <w:rsid w:val="49614F82"/>
    <w:rsid w:val="4A457EEB"/>
    <w:rsid w:val="4A6437D7"/>
    <w:rsid w:val="4B120D8F"/>
    <w:rsid w:val="4BB81731"/>
    <w:rsid w:val="4D3049D3"/>
    <w:rsid w:val="4D472C87"/>
    <w:rsid w:val="4F2F1DD7"/>
    <w:rsid w:val="4F3B5C5D"/>
    <w:rsid w:val="4FF420C0"/>
    <w:rsid w:val="510F2AD6"/>
    <w:rsid w:val="511B5C77"/>
    <w:rsid w:val="517A5F96"/>
    <w:rsid w:val="51EC7920"/>
    <w:rsid w:val="52690599"/>
    <w:rsid w:val="53517A64"/>
    <w:rsid w:val="54120355"/>
    <w:rsid w:val="552761B0"/>
    <w:rsid w:val="55776C31"/>
    <w:rsid w:val="56010337"/>
    <w:rsid w:val="56067D4B"/>
    <w:rsid w:val="562F646A"/>
    <w:rsid w:val="56793CBA"/>
    <w:rsid w:val="573818BA"/>
    <w:rsid w:val="5849465B"/>
    <w:rsid w:val="585F1461"/>
    <w:rsid w:val="58902F08"/>
    <w:rsid w:val="58AD05D7"/>
    <w:rsid w:val="590001A6"/>
    <w:rsid w:val="59544A4E"/>
    <w:rsid w:val="59F53DBF"/>
    <w:rsid w:val="5A4D7712"/>
    <w:rsid w:val="5A59223E"/>
    <w:rsid w:val="5A627891"/>
    <w:rsid w:val="5AC02CC5"/>
    <w:rsid w:val="5AD05E99"/>
    <w:rsid w:val="5B7463F5"/>
    <w:rsid w:val="5E0E0AF0"/>
    <w:rsid w:val="5ECB18E4"/>
    <w:rsid w:val="5F6F63EA"/>
    <w:rsid w:val="5FCB12FC"/>
    <w:rsid w:val="6011783C"/>
    <w:rsid w:val="628D658F"/>
    <w:rsid w:val="62DB1BC4"/>
    <w:rsid w:val="62F97FC5"/>
    <w:rsid w:val="62FD7C9D"/>
    <w:rsid w:val="64905703"/>
    <w:rsid w:val="65037603"/>
    <w:rsid w:val="65202F87"/>
    <w:rsid w:val="652E7A84"/>
    <w:rsid w:val="65854BFB"/>
    <w:rsid w:val="66C73A92"/>
    <w:rsid w:val="670E3174"/>
    <w:rsid w:val="682F3C46"/>
    <w:rsid w:val="69264915"/>
    <w:rsid w:val="6B5F4543"/>
    <w:rsid w:val="6C445E6F"/>
    <w:rsid w:val="6C661691"/>
    <w:rsid w:val="6E367D97"/>
    <w:rsid w:val="6F1321A2"/>
    <w:rsid w:val="6F971148"/>
    <w:rsid w:val="6FC52921"/>
    <w:rsid w:val="6FE225A7"/>
    <w:rsid w:val="70283EB9"/>
    <w:rsid w:val="718A7E37"/>
    <w:rsid w:val="72682A75"/>
    <w:rsid w:val="72801A42"/>
    <w:rsid w:val="72AB63A7"/>
    <w:rsid w:val="72D84188"/>
    <w:rsid w:val="73CF10A9"/>
    <w:rsid w:val="73E0271E"/>
    <w:rsid w:val="74E345E1"/>
    <w:rsid w:val="75374B92"/>
    <w:rsid w:val="755140BC"/>
    <w:rsid w:val="767D18DE"/>
    <w:rsid w:val="76B14FC9"/>
    <w:rsid w:val="76ED3A60"/>
    <w:rsid w:val="78050779"/>
    <w:rsid w:val="782C4D88"/>
    <w:rsid w:val="784B4C85"/>
    <w:rsid w:val="793C324C"/>
    <w:rsid w:val="79E75C5D"/>
    <w:rsid w:val="7AEF551C"/>
    <w:rsid w:val="7C0C439C"/>
    <w:rsid w:val="7D0B5567"/>
    <w:rsid w:val="7D347518"/>
    <w:rsid w:val="7D786691"/>
    <w:rsid w:val="7DBD3653"/>
    <w:rsid w:val="7E2503BF"/>
    <w:rsid w:val="7E32577D"/>
    <w:rsid w:val="7F7D79A7"/>
    <w:rsid w:val="7FC829E9"/>
    <w:rsid w:val="7FCC6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3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32"/>
    <w:qFormat/>
    <w:uiPriority w:val="0"/>
    <w:pPr>
      <w:keepNext/>
      <w:keepLines/>
      <w:spacing w:before="260" w:after="260" w:line="415" w:lineRule="auto"/>
      <w:outlineLvl w:val="2"/>
    </w:pPr>
    <w:rPr>
      <w:b/>
      <w:bCs/>
      <w:sz w:val="32"/>
      <w:szCs w:val="32"/>
    </w:rPr>
  </w:style>
  <w:style w:type="paragraph" w:styleId="8">
    <w:name w:val="heading 5"/>
    <w:basedOn w:val="1"/>
    <w:next w:val="1"/>
    <w:link w:val="33"/>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3">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71"/>
    <w:qFormat/>
    <w:uiPriority w:val="0"/>
    <w:pPr>
      <w:ind w:firstLine="420" w:firstLineChars="100"/>
    </w:pPr>
    <w:rPr>
      <w:rFonts w:ascii="宋体"/>
      <w:kern w:val="0"/>
      <w:sz w:val="34"/>
      <w:szCs w:val="20"/>
    </w:rPr>
  </w:style>
  <w:style w:type="paragraph" w:styleId="3">
    <w:name w:val="Body Text"/>
    <w:basedOn w:val="1"/>
    <w:link w:val="70"/>
    <w:unhideWhenUsed/>
    <w:qFormat/>
    <w:uiPriority w:val="99"/>
    <w:pPr>
      <w:spacing w:after="120"/>
    </w:pPr>
  </w:style>
  <w:style w:type="paragraph" w:customStyle="1" w:styleId="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9">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68"/>
    <w:qFormat/>
    <w:uiPriority w:val="0"/>
    <w:rPr>
      <w:rFonts w:ascii="宋体"/>
      <w:sz w:val="18"/>
      <w:szCs w:val="18"/>
    </w:rPr>
  </w:style>
  <w:style w:type="paragraph" w:styleId="12">
    <w:name w:val="annotation text"/>
    <w:basedOn w:val="1"/>
    <w:link w:val="77"/>
    <w:qFormat/>
    <w:uiPriority w:val="0"/>
    <w:pPr>
      <w:jc w:val="left"/>
    </w:pPr>
  </w:style>
  <w:style w:type="paragraph" w:styleId="13">
    <w:name w:val="Body Text 3"/>
    <w:basedOn w:val="1"/>
    <w:link w:val="79"/>
    <w:qFormat/>
    <w:uiPriority w:val="0"/>
    <w:rPr>
      <w:rFonts w:ascii="宋体"/>
      <w:sz w:val="24"/>
      <w:szCs w:val="20"/>
    </w:rPr>
  </w:style>
  <w:style w:type="paragraph" w:styleId="14">
    <w:name w:val="Block Text"/>
    <w:basedOn w:val="1"/>
    <w:qFormat/>
    <w:uiPriority w:val="0"/>
    <w:pPr>
      <w:spacing w:after="120"/>
      <w:ind w:left="1440" w:leftChars="700" w:right="700" w:rightChars="700"/>
    </w:pPr>
  </w:style>
  <w:style w:type="paragraph" w:styleId="15">
    <w:name w:val="Plain Text"/>
    <w:basedOn w:val="1"/>
    <w:link w:val="67"/>
    <w:qFormat/>
    <w:uiPriority w:val="99"/>
    <w:rPr>
      <w:rFonts w:ascii="Courier New" w:hAnsi="Courier New"/>
      <w:szCs w:val="20"/>
    </w:rPr>
  </w:style>
  <w:style w:type="paragraph" w:styleId="16">
    <w:name w:val="Body Text Indent 2"/>
    <w:basedOn w:val="1"/>
    <w:link w:val="93"/>
    <w:semiHidden/>
    <w:unhideWhenUsed/>
    <w:qFormat/>
    <w:uiPriority w:val="99"/>
    <w:pPr>
      <w:spacing w:after="120" w:line="480" w:lineRule="auto"/>
      <w:ind w:left="420" w:leftChars="200"/>
    </w:pPr>
  </w:style>
  <w:style w:type="paragraph" w:styleId="17">
    <w:name w:val="footer"/>
    <w:basedOn w:val="1"/>
    <w:link w:val="76"/>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8">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9">
    <w:name w:val="Body Text 2"/>
    <w:basedOn w:val="1"/>
    <w:link w:val="75"/>
    <w:qFormat/>
    <w:uiPriority w:val="0"/>
    <w:pPr>
      <w:spacing w:after="120" w:line="480" w:lineRule="auto"/>
    </w:pPr>
    <w:rPr>
      <w:rFonts w:asciiTheme="minorHAnsi" w:hAnsiTheme="minorHAnsi" w:eastAsiaTheme="minorEastAsia" w:cstheme="minorBidi"/>
    </w:rPr>
  </w:style>
  <w:style w:type="paragraph" w:styleId="20">
    <w:name w:val="Message Header"/>
    <w:basedOn w:val="1"/>
    <w:link w:val="6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100" w:beforeAutospacing="1" w:after="100" w:afterAutospacing="1"/>
      <w:jc w:val="left"/>
    </w:pPr>
    <w:rPr>
      <w:kern w:val="0"/>
      <w:sz w:val="24"/>
    </w:rPr>
  </w:style>
  <w:style w:type="character" w:styleId="24">
    <w:name w:val="Strong"/>
    <w:qFormat/>
    <w:uiPriority w:val="0"/>
    <w:rPr>
      <w:rFonts w:ascii="Times New Roman" w:hAnsi="Times New Roman" w:cs="Times New Roman"/>
      <w:b/>
      <w:bCs/>
      <w:sz w:val="21"/>
      <w:szCs w:val="20"/>
    </w:rPr>
  </w:style>
  <w:style w:type="character" w:styleId="25">
    <w:name w:val="page number"/>
    <w:basedOn w:val="23"/>
    <w:qFormat/>
    <w:uiPriority w:val="0"/>
    <w:rPr>
      <w:rFonts w:ascii="Times New Roman" w:hAnsi="Times New Roman"/>
      <w:sz w:val="21"/>
      <w:szCs w:val="20"/>
    </w:rPr>
  </w:style>
  <w:style w:type="character" w:styleId="26">
    <w:name w:val="FollowedHyperlink"/>
    <w:qFormat/>
    <w:uiPriority w:val="99"/>
    <w:rPr>
      <w:rFonts w:ascii="Times New Roman" w:hAnsi="Times New Roman"/>
      <w:color w:val="000000"/>
      <w:sz w:val="21"/>
      <w:szCs w:val="20"/>
      <w:u w:val="none"/>
    </w:rPr>
  </w:style>
  <w:style w:type="character" w:styleId="27">
    <w:name w:val="Emphasis"/>
    <w:qFormat/>
    <w:uiPriority w:val="0"/>
    <w:rPr>
      <w:rFonts w:ascii="Times New Roman" w:hAnsi="Times New Roman" w:cs="Times New Roman"/>
      <w:color w:val="CC0000"/>
      <w:sz w:val="21"/>
      <w:szCs w:val="20"/>
    </w:rPr>
  </w:style>
  <w:style w:type="character" w:styleId="28">
    <w:name w:val="Hyperlink"/>
    <w:basedOn w:val="23"/>
    <w:qFormat/>
    <w:uiPriority w:val="99"/>
    <w:rPr>
      <w:rFonts w:ascii="Times New Roman" w:hAnsi="Times New Roman"/>
      <w:color w:val="0000FF"/>
      <w:sz w:val="21"/>
      <w:szCs w:val="20"/>
      <w:u w:val="single"/>
    </w:rPr>
  </w:style>
  <w:style w:type="character" w:customStyle="1" w:styleId="30">
    <w:name w:val="标题 1 Char"/>
    <w:basedOn w:val="23"/>
    <w:link w:val="4"/>
    <w:qFormat/>
    <w:uiPriority w:val="0"/>
    <w:rPr>
      <w:rFonts w:ascii="Times New Roman" w:hAnsi="Times New Roman" w:eastAsia="宋体" w:cs="Times New Roman"/>
      <w:b/>
      <w:bCs/>
      <w:kern w:val="44"/>
      <w:sz w:val="44"/>
      <w:szCs w:val="44"/>
    </w:rPr>
  </w:style>
  <w:style w:type="character" w:customStyle="1" w:styleId="31">
    <w:name w:val="标题 2 Char"/>
    <w:basedOn w:val="23"/>
    <w:link w:val="5"/>
    <w:qFormat/>
    <w:uiPriority w:val="0"/>
    <w:rPr>
      <w:rFonts w:ascii="Arial" w:hAnsi="Arial" w:eastAsia="黑体" w:cs="Times New Roman"/>
      <w:b/>
      <w:bCs/>
      <w:sz w:val="32"/>
      <w:szCs w:val="32"/>
    </w:rPr>
  </w:style>
  <w:style w:type="character" w:customStyle="1" w:styleId="32">
    <w:name w:val="标题 3 Char"/>
    <w:basedOn w:val="23"/>
    <w:link w:val="7"/>
    <w:qFormat/>
    <w:uiPriority w:val="0"/>
    <w:rPr>
      <w:rFonts w:ascii="Times New Roman" w:hAnsi="Times New Roman" w:eastAsia="宋体" w:cs="Times New Roman"/>
      <w:b/>
      <w:bCs/>
      <w:sz w:val="32"/>
      <w:szCs w:val="32"/>
    </w:rPr>
  </w:style>
  <w:style w:type="character" w:customStyle="1" w:styleId="33">
    <w:name w:val="标题 5 Char"/>
    <w:basedOn w:val="23"/>
    <w:link w:val="8"/>
    <w:qFormat/>
    <w:uiPriority w:val="0"/>
    <w:rPr>
      <w:rFonts w:ascii="Times New Roman" w:hAnsi="Times New Roman" w:eastAsia="宋体" w:cs="Times New Roman"/>
      <w:b/>
      <w:bCs/>
      <w:sz w:val="28"/>
      <w:szCs w:val="28"/>
    </w:rPr>
  </w:style>
  <w:style w:type="character" w:customStyle="1" w:styleId="34">
    <w:name w:val="font41"/>
    <w:qFormat/>
    <w:uiPriority w:val="0"/>
    <w:rPr>
      <w:rFonts w:hint="eastAsia" w:ascii="宋体" w:hAnsi="宋体" w:eastAsia="宋体"/>
      <w:color w:val="000000"/>
      <w:sz w:val="32"/>
      <w:szCs w:val="32"/>
      <w:u w:val="none"/>
    </w:rPr>
  </w:style>
  <w:style w:type="character" w:customStyle="1" w:styleId="35">
    <w:name w:val="hover25"/>
    <w:basedOn w:val="23"/>
    <w:qFormat/>
    <w:uiPriority w:val="0"/>
    <w:rPr>
      <w:rFonts w:ascii="Times New Roman" w:hAnsi="Times New Roman"/>
      <w:sz w:val="21"/>
      <w:szCs w:val="20"/>
    </w:rPr>
  </w:style>
  <w:style w:type="character" w:customStyle="1" w:styleId="36">
    <w:name w:val="tit1"/>
    <w:basedOn w:val="23"/>
    <w:qFormat/>
    <w:uiPriority w:val="0"/>
    <w:rPr>
      <w:rFonts w:ascii="Times New Roman" w:hAnsi="Times New Roman"/>
      <w:sz w:val="21"/>
      <w:szCs w:val="20"/>
    </w:rPr>
  </w:style>
  <w:style w:type="character" w:customStyle="1" w:styleId="37">
    <w:name w:val="页眉 Char"/>
    <w:link w:val="18"/>
    <w:qFormat/>
    <w:uiPriority w:val="0"/>
    <w:rPr>
      <w:sz w:val="18"/>
      <w:szCs w:val="24"/>
    </w:rPr>
  </w:style>
  <w:style w:type="character" w:customStyle="1" w:styleId="38">
    <w:name w:val="red3"/>
    <w:qFormat/>
    <w:uiPriority w:val="0"/>
    <w:rPr>
      <w:rFonts w:ascii="Times New Roman" w:hAnsi="Times New Roman"/>
      <w:color w:val="FF0000"/>
      <w:sz w:val="21"/>
      <w:szCs w:val="20"/>
    </w:rPr>
  </w:style>
  <w:style w:type="character" w:customStyle="1" w:styleId="39">
    <w:name w:val="font91"/>
    <w:qFormat/>
    <w:uiPriority w:val="0"/>
    <w:rPr>
      <w:rFonts w:hint="default" w:ascii="Times New Roman" w:hAnsi="Times New Roman" w:cs="Times New Roman"/>
      <w:color w:val="000000"/>
      <w:sz w:val="20"/>
      <w:szCs w:val="20"/>
      <w:u w:val="none"/>
    </w:rPr>
  </w:style>
  <w:style w:type="character" w:customStyle="1" w:styleId="40">
    <w:name w:val="red1"/>
    <w:qFormat/>
    <w:uiPriority w:val="0"/>
    <w:rPr>
      <w:rFonts w:ascii="Times New Roman" w:hAnsi="Times New Roman"/>
      <w:color w:val="FF0000"/>
      <w:sz w:val="18"/>
      <w:szCs w:val="18"/>
    </w:rPr>
  </w:style>
  <w:style w:type="character" w:customStyle="1" w:styleId="41">
    <w:name w:val="font81"/>
    <w:qFormat/>
    <w:uiPriority w:val="0"/>
    <w:rPr>
      <w:rFonts w:ascii="Symbol" w:hAnsi="Symbol" w:cs="Symbol"/>
      <w:color w:val="000000"/>
      <w:sz w:val="20"/>
      <w:szCs w:val="20"/>
      <w:u w:val="none"/>
    </w:rPr>
  </w:style>
  <w:style w:type="character" w:customStyle="1" w:styleId="42">
    <w:name w:val="right"/>
    <w:qFormat/>
    <w:uiPriority w:val="0"/>
    <w:rPr>
      <w:rFonts w:ascii="Times New Roman" w:hAnsi="Times New Roman"/>
      <w:color w:val="999999"/>
      <w:sz w:val="18"/>
      <w:szCs w:val="18"/>
    </w:rPr>
  </w:style>
  <w:style w:type="character" w:customStyle="1" w:styleId="43">
    <w:name w:val="sl"/>
    <w:basedOn w:val="23"/>
    <w:qFormat/>
    <w:uiPriority w:val="0"/>
    <w:rPr>
      <w:rFonts w:ascii="Times New Roman" w:hAnsi="Times New Roman"/>
      <w:sz w:val="21"/>
      <w:szCs w:val="20"/>
    </w:rPr>
  </w:style>
  <w:style w:type="character" w:customStyle="1" w:styleId="44">
    <w:name w:val="font01"/>
    <w:qFormat/>
    <w:uiPriority w:val="0"/>
    <w:rPr>
      <w:rFonts w:hint="eastAsia" w:ascii="宋体" w:hAnsi="宋体" w:eastAsia="宋体"/>
      <w:color w:val="000000"/>
      <w:sz w:val="24"/>
      <w:szCs w:val="24"/>
      <w:u w:val="none"/>
    </w:rPr>
  </w:style>
  <w:style w:type="character" w:customStyle="1" w:styleId="45">
    <w:name w:val="页脚 Char"/>
    <w:link w:val="17"/>
    <w:qFormat/>
    <w:uiPriority w:val="0"/>
    <w:rPr>
      <w:sz w:val="18"/>
      <w:szCs w:val="24"/>
    </w:rPr>
  </w:style>
  <w:style w:type="character" w:customStyle="1" w:styleId="46">
    <w:name w:val="blue"/>
    <w:qFormat/>
    <w:uiPriority w:val="0"/>
    <w:rPr>
      <w:rFonts w:ascii="Times New Roman" w:hAnsi="Times New Roman"/>
      <w:color w:val="0371C6"/>
      <w:sz w:val="21"/>
      <w:szCs w:val="21"/>
    </w:rPr>
  </w:style>
  <w:style w:type="character" w:customStyle="1" w:styleId="47">
    <w:name w:val="red"/>
    <w:qFormat/>
    <w:uiPriority w:val="0"/>
    <w:rPr>
      <w:rFonts w:ascii="Times New Roman" w:hAnsi="Times New Roman"/>
      <w:color w:val="FF0000"/>
      <w:sz w:val="18"/>
      <w:szCs w:val="18"/>
    </w:rPr>
  </w:style>
  <w:style w:type="character" w:customStyle="1" w:styleId="48">
    <w:name w:val="font51"/>
    <w:qFormat/>
    <w:uiPriority w:val="0"/>
    <w:rPr>
      <w:rFonts w:hint="eastAsia" w:ascii="宋体" w:hAnsi="宋体" w:eastAsia="宋体" w:cs="宋体"/>
      <w:color w:val="000000"/>
      <w:sz w:val="21"/>
      <w:szCs w:val="21"/>
      <w:u w:val="none"/>
    </w:rPr>
  </w:style>
  <w:style w:type="character" w:customStyle="1" w:styleId="49">
    <w:name w:val="apple-style-span"/>
    <w:qFormat/>
    <w:uiPriority w:val="0"/>
  </w:style>
  <w:style w:type="character" w:customStyle="1" w:styleId="50">
    <w:name w:val="font61"/>
    <w:qFormat/>
    <w:uiPriority w:val="0"/>
    <w:rPr>
      <w:rFonts w:hint="eastAsia" w:ascii="宋体" w:hAnsi="宋体" w:eastAsia="宋体" w:cs="宋体"/>
      <w:color w:val="000000"/>
      <w:sz w:val="20"/>
      <w:szCs w:val="20"/>
      <w:u w:val="none"/>
    </w:rPr>
  </w:style>
  <w:style w:type="character" w:customStyle="1" w:styleId="51">
    <w:name w:val="tit"/>
    <w:basedOn w:val="23"/>
    <w:qFormat/>
    <w:uiPriority w:val="0"/>
    <w:rPr>
      <w:rFonts w:ascii="Times New Roman" w:hAnsi="Times New Roman"/>
      <w:sz w:val="21"/>
      <w:szCs w:val="20"/>
    </w:rPr>
  </w:style>
  <w:style w:type="character" w:customStyle="1" w:styleId="52">
    <w:name w:val="font71"/>
    <w:qFormat/>
    <w:uiPriority w:val="0"/>
    <w:rPr>
      <w:rFonts w:hint="eastAsia" w:ascii="宋体" w:hAnsi="宋体" w:eastAsia="宋体" w:cs="宋体"/>
      <w:color w:val="000000"/>
      <w:sz w:val="20"/>
      <w:szCs w:val="20"/>
      <w:u w:val="none"/>
    </w:rPr>
  </w:style>
  <w:style w:type="character" w:customStyle="1" w:styleId="53">
    <w:name w:val="gb-jt"/>
    <w:basedOn w:val="23"/>
    <w:qFormat/>
    <w:uiPriority w:val="0"/>
    <w:rPr>
      <w:rFonts w:ascii="Times New Roman" w:hAnsi="Times New Roman"/>
      <w:sz w:val="21"/>
      <w:szCs w:val="20"/>
    </w:rPr>
  </w:style>
  <w:style w:type="character" w:customStyle="1" w:styleId="54">
    <w:name w:val="red2"/>
    <w:qFormat/>
    <w:uiPriority w:val="0"/>
    <w:rPr>
      <w:rFonts w:ascii="Times New Roman" w:hAnsi="Times New Roman"/>
      <w:color w:val="CC0000"/>
      <w:sz w:val="21"/>
      <w:szCs w:val="20"/>
    </w:rPr>
  </w:style>
  <w:style w:type="character" w:customStyle="1" w:styleId="55">
    <w:name w:val="font21"/>
    <w:qFormat/>
    <w:uiPriority w:val="0"/>
    <w:rPr>
      <w:rFonts w:hint="eastAsia" w:ascii="仿宋_GB2312" w:hAnsi="Times New Roman" w:eastAsia="仿宋_GB2312" w:cs="仿宋_GB2312"/>
      <w:color w:val="000000"/>
      <w:sz w:val="22"/>
      <w:szCs w:val="22"/>
      <w:u w:val="none"/>
    </w:rPr>
  </w:style>
  <w:style w:type="character" w:customStyle="1" w:styleId="56">
    <w:name w:val="lsl"/>
    <w:basedOn w:val="23"/>
    <w:qFormat/>
    <w:uiPriority w:val="0"/>
    <w:rPr>
      <w:rFonts w:ascii="Times New Roman" w:hAnsi="Times New Roman"/>
      <w:sz w:val="21"/>
      <w:szCs w:val="20"/>
    </w:rPr>
  </w:style>
  <w:style w:type="character" w:customStyle="1" w:styleId="57">
    <w:name w:val="lsr"/>
    <w:basedOn w:val="23"/>
    <w:qFormat/>
    <w:uiPriority w:val="0"/>
    <w:rPr>
      <w:rFonts w:ascii="Times New Roman" w:hAnsi="Times New Roman"/>
      <w:sz w:val="21"/>
      <w:szCs w:val="20"/>
    </w:rPr>
  </w:style>
  <w:style w:type="character" w:customStyle="1" w:styleId="58">
    <w:name w:val="hover"/>
    <w:basedOn w:val="23"/>
    <w:qFormat/>
    <w:uiPriority w:val="0"/>
    <w:rPr>
      <w:rFonts w:ascii="Times New Roman" w:hAnsi="Times New Roman"/>
      <w:sz w:val="21"/>
      <w:szCs w:val="20"/>
    </w:rPr>
  </w:style>
  <w:style w:type="character" w:customStyle="1" w:styleId="59">
    <w:name w:val="正文文本 2 Char"/>
    <w:link w:val="19"/>
    <w:qFormat/>
    <w:uiPriority w:val="0"/>
    <w:rPr>
      <w:szCs w:val="24"/>
    </w:rPr>
  </w:style>
  <w:style w:type="character" w:customStyle="1" w:styleId="60">
    <w:name w:val="ca-161"/>
    <w:qFormat/>
    <w:uiPriority w:val="0"/>
    <w:rPr>
      <w:rFonts w:hint="eastAsia" w:ascii="宋体" w:hAnsi="宋体" w:eastAsia="宋体"/>
      <w:spacing w:val="0"/>
      <w:sz w:val="21"/>
      <w:szCs w:val="21"/>
    </w:rPr>
  </w:style>
  <w:style w:type="character" w:customStyle="1" w:styleId="61">
    <w:name w:val="hover24"/>
    <w:basedOn w:val="23"/>
    <w:qFormat/>
    <w:uiPriority w:val="0"/>
    <w:rPr>
      <w:rFonts w:ascii="Times New Roman" w:hAnsi="Times New Roman"/>
      <w:sz w:val="21"/>
      <w:szCs w:val="20"/>
    </w:rPr>
  </w:style>
  <w:style w:type="character" w:customStyle="1" w:styleId="62">
    <w:name w:val="green1"/>
    <w:qFormat/>
    <w:uiPriority w:val="0"/>
    <w:rPr>
      <w:rFonts w:ascii="Times New Roman" w:hAnsi="Times New Roman"/>
      <w:color w:val="66AE00"/>
      <w:sz w:val="18"/>
      <w:szCs w:val="18"/>
    </w:rPr>
  </w:style>
  <w:style w:type="character" w:customStyle="1" w:styleId="63">
    <w:name w:val="font11"/>
    <w:qFormat/>
    <w:uiPriority w:val="0"/>
    <w:rPr>
      <w:rFonts w:hint="default" w:ascii="Times New Roman" w:hAnsi="Times New Roman" w:cs="Times New Roman"/>
      <w:color w:val="000000"/>
      <w:sz w:val="32"/>
      <w:szCs w:val="32"/>
      <w:u w:val="none"/>
    </w:rPr>
  </w:style>
  <w:style w:type="character" w:customStyle="1" w:styleId="64">
    <w:name w:val="sr"/>
    <w:basedOn w:val="23"/>
    <w:qFormat/>
    <w:uiPriority w:val="0"/>
    <w:rPr>
      <w:rFonts w:ascii="Times New Roman" w:hAnsi="Times New Roman"/>
      <w:sz w:val="21"/>
      <w:szCs w:val="20"/>
    </w:rPr>
  </w:style>
  <w:style w:type="character" w:customStyle="1" w:styleId="65">
    <w:name w:val="green"/>
    <w:qFormat/>
    <w:uiPriority w:val="0"/>
    <w:rPr>
      <w:rFonts w:ascii="Times New Roman" w:hAnsi="Times New Roman"/>
      <w:color w:val="66AE00"/>
      <w:sz w:val="18"/>
      <w:szCs w:val="18"/>
    </w:rPr>
  </w:style>
  <w:style w:type="character" w:customStyle="1" w:styleId="66">
    <w:name w:val="down"/>
    <w:qFormat/>
    <w:uiPriority w:val="0"/>
    <w:rPr>
      <w:rFonts w:ascii="Times New Roman" w:hAnsi="Times New Roman"/>
      <w:sz w:val="21"/>
      <w:szCs w:val="20"/>
      <w:shd w:val="clear" w:color="auto" w:fill="DAEEF9"/>
    </w:rPr>
  </w:style>
  <w:style w:type="character" w:customStyle="1" w:styleId="67">
    <w:name w:val="纯文本 Char"/>
    <w:basedOn w:val="23"/>
    <w:link w:val="15"/>
    <w:qFormat/>
    <w:uiPriority w:val="99"/>
    <w:rPr>
      <w:rFonts w:ascii="Courier New" w:hAnsi="Courier New" w:eastAsia="宋体" w:cs="Times New Roman"/>
      <w:szCs w:val="20"/>
    </w:rPr>
  </w:style>
  <w:style w:type="character" w:customStyle="1" w:styleId="68">
    <w:name w:val="文档结构图 Char"/>
    <w:basedOn w:val="23"/>
    <w:link w:val="11"/>
    <w:qFormat/>
    <w:uiPriority w:val="0"/>
    <w:rPr>
      <w:rFonts w:ascii="宋体" w:hAnsi="Times New Roman" w:eastAsia="宋体" w:cs="Times New Roman"/>
      <w:sz w:val="18"/>
      <w:szCs w:val="18"/>
    </w:rPr>
  </w:style>
  <w:style w:type="character" w:customStyle="1" w:styleId="69">
    <w:name w:val="信息标题 Char"/>
    <w:basedOn w:val="23"/>
    <w:link w:val="20"/>
    <w:qFormat/>
    <w:uiPriority w:val="99"/>
    <w:rPr>
      <w:rFonts w:ascii="Arial" w:hAnsi="Arial" w:eastAsia="宋体" w:cs="Times New Roman"/>
      <w:sz w:val="24"/>
      <w:szCs w:val="24"/>
      <w:shd w:val="pct20" w:color="auto" w:fill="auto"/>
    </w:rPr>
  </w:style>
  <w:style w:type="character" w:customStyle="1" w:styleId="70">
    <w:name w:val="正文文本 Char"/>
    <w:basedOn w:val="23"/>
    <w:link w:val="3"/>
    <w:qFormat/>
    <w:uiPriority w:val="99"/>
    <w:rPr>
      <w:rFonts w:ascii="Times New Roman" w:hAnsi="Times New Roman" w:eastAsia="宋体" w:cs="Times New Roman"/>
      <w:szCs w:val="24"/>
    </w:rPr>
  </w:style>
  <w:style w:type="character" w:customStyle="1" w:styleId="71">
    <w:name w:val="正文首行缩进 Char"/>
    <w:basedOn w:val="70"/>
    <w:link w:val="2"/>
    <w:qFormat/>
    <w:uiPriority w:val="0"/>
    <w:rPr>
      <w:rFonts w:ascii="宋体"/>
      <w:kern w:val="0"/>
      <w:sz w:val="34"/>
      <w:szCs w:val="20"/>
    </w:rPr>
  </w:style>
  <w:style w:type="character" w:customStyle="1" w:styleId="72">
    <w:name w:val="页眉 Char1"/>
    <w:basedOn w:val="23"/>
    <w:link w:val="18"/>
    <w:semiHidden/>
    <w:qFormat/>
    <w:uiPriority w:val="99"/>
    <w:rPr>
      <w:rFonts w:ascii="Times New Roman" w:hAnsi="Times New Roman" w:eastAsia="宋体" w:cs="Times New Roman"/>
      <w:sz w:val="18"/>
      <w:szCs w:val="18"/>
    </w:rPr>
  </w:style>
  <w:style w:type="paragraph" w:customStyle="1" w:styleId="73">
    <w:name w:val="列出段落1"/>
    <w:basedOn w:val="1"/>
    <w:qFormat/>
    <w:uiPriority w:val="0"/>
    <w:pPr>
      <w:ind w:firstLine="420" w:firstLineChars="200"/>
    </w:pPr>
    <w:rPr>
      <w:szCs w:val="20"/>
    </w:rPr>
  </w:style>
  <w:style w:type="paragraph" w:customStyle="1" w:styleId="74">
    <w:name w:val="日期1"/>
    <w:basedOn w:val="1"/>
    <w:next w:val="1"/>
    <w:link w:val="96"/>
    <w:qFormat/>
    <w:uiPriority w:val="0"/>
    <w:rPr>
      <w:sz w:val="24"/>
    </w:rPr>
  </w:style>
  <w:style w:type="character" w:customStyle="1" w:styleId="75">
    <w:name w:val="正文文本 2 Char1"/>
    <w:basedOn w:val="23"/>
    <w:link w:val="19"/>
    <w:semiHidden/>
    <w:qFormat/>
    <w:uiPriority w:val="99"/>
    <w:rPr>
      <w:rFonts w:ascii="Times New Roman" w:hAnsi="Times New Roman" w:eastAsia="宋体" w:cs="Times New Roman"/>
      <w:szCs w:val="24"/>
    </w:rPr>
  </w:style>
  <w:style w:type="character" w:customStyle="1" w:styleId="76">
    <w:name w:val="页脚 Char1"/>
    <w:basedOn w:val="23"/>
    <w:link w:val="17"/>
    <w:semiHidden/>
    <w:qFormat/>
    <w:uiPriority w:val="99"/>
    <w:rPr>
      <w:rFonts w:ascii="Times New Roman" w:hAnsi="Times New Roman" w:eastAsia="宋体" w:cs="Times New Roman"/>
      <w:sz w:val="18"/>
      <w:szCs w:val="18"/>
    </w:rPr>
  </w:style>
  <w:style w:type="character" w:customStyle="1" w:styleId="77">
    <w:name w:val="批注文字 Char"/>
    <w:basedOn w:val="23"/>
    <w:link w:val="12"/>
    <w:qFormat/>
    <w:uiPriority w:val="0"/>
    <w:rPr>
      <w:rFonts w:ascii="Times New Roman" w:hAnsi="Times New Roman" w:eastAsia="宋体" w:cs="Times New Roman"/>
      <w:szCs w:val="24"/>
    </w:rPr>
  </w:style>
  <w:style w:type="character" w:customStyle="1" w:styleId="78">
    <w:name w:val="HTML 预设格式 Char"/>
    <w:basedOn w:val="23"/>
    <w:link w:val="21"/>
    <w:qFormat/>
    <w:uiPriority w:val="0"/>
    <w:rPr>
      <w:rFonts w:ascii="宋体" w:hAnsi="宋体" w:eastAsia="宋体" w:cs="Times New Roman"/>
      <w:kern w:val="0"/>
      <w:sz w:val="24"/>
      <w:szCs w:val="24"/>
    </w:rPr>
  </w:style>
  <w:style w:type="character" w:customStyle="1" w:styleId="79">
    <w:name w:val="正文文本 3 Char"/>
    <w:basedOn w:val="23"/>
    <w:link w:val="13"/>
    <w:qFormat/>
    <w:uiPriority w:val="0"/>
    <w:rPr>
      <w:rFonts w:ascii="宋体" w:hAnsi="Times New Roman" w:eastAsia="宋体" w:cs="Times New Roman"/>
      <w:sz w:val="24"/>
      <w:szCs w:val="20"/>
    </w:rPr>
  </w:style>
  <w:style w:type="paragraph" w:customStyle="1" w:styleId="80">
    <w:name w:val="Char Char Char Char Char Char Char"/>
    <w:basedOn w:val="11"/>
    <w:qFormat/>
    <w:uiPriority w:val="0"/>
    <w:pPr>
      <w:shd w:val="clear" w:color="auto" w:fill="000080"/>
    </w:pPr>
    <w:rPr>
      <w:rFonts w:ascii="Times New Roman"/>
      <w:sz w:val="21"/>
      <w:szCs w:val="20"/>
    </w:rPr>
  </w:style>
  <w:style w:type="paragraph" w:customStyle="1" w:styleId="81">
    <w:name w:val="列出段落2"/>
    <w:basedOn w:val="1"/>
    <w:qFormat/>
    <w:uiPriority w:val="34"/>
    <w:pPr>
      <w:ind w:firstLine="420" w:firstLineChars="200"/>
    </w:pPr>
    <w:rPr>
      <w:rFonts w:ascii="Calibri" w:hAnsi="Calibri"/>
    </w:rPr>
  </w:style>
  <w:style w:type="paragraph" w:customStyle="1" w:styleId="82">
    <w:name w:val="Char1 Char Char Char Char Char Char"/>
    <w:basedOn w:val="1"/>
    <w:qFormat/>
    <w:uiPriority w:val="0"/>
  </w:style>
  <w:style w:type="paragraph" w:customStyle="1" w:styleId="83">
    <w:name w:val="列出段落3"/>
    <w:basedOn w:val="1"/>
    <w:unhideWhenUsed/>
    <w:qFormat/>
    <w:uiPriority w:val="0"/>
    <w:pPr>
      <w:ind w:firstLine="420" w:firstLineChars="200"/>
    </w:pPr>
    <w:rPr>
      <w:rFonts w:ascii="Calibri" w:hAnsi="Calibri"/>
      <w:szCs w:val="22"/>
    </w:rPr>
  </w:style>
  <w:style w:type="paragraph" w:customStyle="1" w:styleId="84">
    <w:name w:val="p0"/>
    <w:basedOn w:val="1"/>
    <w:qFormat/>
    <w:uiPriority w:val="0"/>
    <w:pPr>
      <w:widowControl/>
    </w:pPr>
    <w:rPr>
      <w:kern w:val="0"/>
      <w:szCs w:val="21"/>
    </w:rPr>
  </w:style>
  <w:style w:type="paragraph" w:customStyle="1" w:styleId="8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6">
    <w:name w:val="List Paragraph"/>
    <w:basedOn w:val="1"/>
    <w:qFormat/>
    <w:uiPriority w:val="99"/>
    <w:pPr>
      <w:ind w:firstLine="420" w:firstLineChars="200"/>
    </w:pPr>
  </w:style>
  <w:style w:type="paragraph" w:customStyle="1" w:styleId="87">
    <w:name w:val="Char1"/>
    <w:basedOn w:val="1"/>
    <w:qFormat/>
    <w:uiPriority w:val="0"/>
    <w:rPr>
      <w:rFonts w:ascii="仿宋_GB2312" w:eastAsia="仿宋_GB2312"/>
      <w:b/>
      <w:sz w:val="32"/>
      <w:szCs w:val="32"/>
    </w:rPr>
  </w:style>
  <w:style w:type="paragraph" w:customStyle="1" w:styleId="88">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8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文本缩进1"/>
    <w:basedOn w:val="1"/>
    <w:link w:val="95"/>
    <w:qFormat/>
    <w:uiPriority w:val="0"/>
    <w:pPr>
      <w:spacing w:line="360" w:lineRule="auto"/>
      <w:ind w:firstLine="480" w:firstLineChars="200"/>
    </w:pPr>
    <w:rPr>
      <w:rFonts w:ascii="宋体"/>
      <w:sz w:val="24"/>
    </w:rPr>
  </w:style>
  <w:style w:type="paragraph" w:customStyle="1" w:styleId="91">
    <w:name w:val="列出段落31"/>
    <w:basedOn w:val="1"/>
    <w:qFormat/>
    <w:uiPriority w:val="99"/>
    <w:pPr>
      <w:ind w:firstLine="420" w:firstLineChars="200"/>
    </w:pPr>
    <w:rPr>
      <w:rFonts w:ascii="Calibri" w:hAnsi="Calibri"/>
    </w:rPr>
  </w:style>
  <w:style w:type="paragraph" w:customStyle="1" w:styleId="92">
    <w:name w:val="普通(网站)1"/>
    <w:basedOn w:val="1"/>
    <w:qFormat/>
    <w:uiPriority w:val="0"/>
    <w:pPr>
      <w:spacing w:beforeAutospacing="1" w:afterAutospacing="1"/>
      <w:jc w:val="left"/>
    </w:pPr>
    <w:rPr>
      <w:rFonts w:cs="黑体"/>
      <w:kern w:val="0"/>
      <w:sz w:val="24"/>
    </w:rPr>
  </w:style>
  <w:style w:type="character" w:customStyle="1" w:styleId="93">
    <w:name w:val="正文文本缩进 2 Char"/>
    <w:basedOn w:val="23"/>
    <w:link w:val="16"/>
    <w:semiHidden/>
    <w:qFormat/>
    <w:uiPriority w:val="99"/>
    <w:rPr>
      <w:rFonts w:ascii="Times New Roman" w:hAnsi="Times New Roman" w:eastAsia="宋体" w:cs="Times New Roman"/>
      <w:szCs w:val="24"/>
    </w:rPr>
  </w:style>
  <w:style w:type="paragraph" w:customStyle="1" w:styleId="94">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5">
    <w:name w:val="正文文本缩进 Char Char"/>
    <w:link w:val="90"/>
    <w:qFormat/>
    <w:uiPriority w:val="0"/>
    <w:rPr>
      <w:rFonts w:ascii="宋体" w:hAnsi="Times New Roman" w:eastAsia="宋体" w:cs="Times New Roman"/>
      <w:sz w:val="24"/>
      <w:szCs w:val="24"/>
    </w:rPr>
  </w:style>
  <w:style w:type="character" w:customStyle="1" w:styleId="96">
    <w:name w:val="日期 Char Char"/>
    <w:link w:val="74"/>
    <w:qFormat/>
    <w:uiPriority w:val="0"/>
    <w:rPr>
      <w:rFonts w:ascii="Times New Roman" w:hAnsi="Times New Roman" w:eastAsia="宋体" w:cs="Times New Roman"/>
      <w:sz w:val="24"/>
      <w:szCs w:val="24"/>
    </w:rPr>
  </w:style>
  <w:style w:type="character" w:customStyle="1" w:styleId="97">
    <w:name w:val="标题 2 Char1"/>
    <w:basedOn w:val="23"/>
    <w:qFormat/>
    <w:uiPriority w:val="0"/>
    <w:rPr>
      <w:rFonts w:ascii="Arial" w:hAnsi="Arial" w:eastAsia="黑体" w:cs="Times New Roman"/>
      <w:b/>
      <w:bCs/>
      <w:kern w:val="0"/>
      <w:sz w:val="32"/>
      <w:szCs w:val="32"/>
    </w:rPr>
  </w:style>
  <w:style w:type="paragraph" w:customStyle="1" w:styleId="98">
    <w:name w:val="Table Paragraph"/>
    <w:basedOn w:val="1"/>
    <w:qFormat/>
    <w:uiPriority w:val="1"/>
    <w:rPr>
      <w:rFonts w:asciiTheme="minorHAnsi" w:hAnsiTheme="minorHAnsi" w:eastAsiaTheme="minorEastAsia" w:cstheme="minorBidi"/>
      <w:szCs w:val="22"/>
    </w:rPr>
  </w:style>
  <w:style w:type="paragraph" w:customStyle="1" w:styleId="9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首行缩进"/>
    <w:basedOn w:val="1"/>
    <w:qFormat/>
    <w:uiPriority w:val="0"/>
    <w:pPr>
      <w:ind w:firstLine="0" w:firstLineChars="0"/>
    </w:pPr>
    <w:rPr>
      <w:rFonts w:ascii="Times New Roman" w:hAnsi="Times New Roman" w:cs="宋体"/>
      <w:kern w:val="0"/>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850C8-6158-42B9-9B81-149A4992F08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6376</Words>
  <Characters>36345</Characters>
  <Lines>302</Lines>
  <Paragraphs>85</Paragraphs>
  <TotalTime>39</TotalTime>
  <ScaleCrop>false</ScaleCrop>
  <LinksUpToDate>false</LinksUpToDate>
  <CharactersWithSpaces>42636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2019-07-24T01:05:00Z</dcterms:created>
  <dc:creator>Administrator</dc:creator>
  <cp:lastModifiedBy>Administrator</cp:lastModifiedBy>
  <cp:lastPrinted>2019-09-26T01:23:00Z</cp:lastPrinted>
  <dcterms:modified xsi:type="dcterms:W3CDTF">2019-11-26T00:59:02Z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