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hint="eastAsia" w:ascii="仿宋" w:hAnsi="仿宋" w:eastAsia="仿宋" w:cs="仿宋"/>
          <w:color w:val="000000"/>
          <w:sz w:val="44"/>
          <w:szCs w:val="44"/>
        </w:rPr>
      </w:pP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文殊镇区污水处理站</w:t>
      </w:r>
      <w:r>
        <w:rPr>
          <w:rFonts w:hint="eastAsia" w:ascii="黑体" w:hAnsi="黑体" w:eastAsia="黑体" w:cs="黑体"/>
          <w:b/>
          <w:bCs/>
          <w:sz w:val="44"/>
          <w:szCs w:val="44"/>
        </w:rPr>
        <w:t>项目</w:t>
      </w:r>
    </w:p>
    <w:p>
      <w:pPr>
        <w:pStyle w:val="29"/>
        <w:rPr>
          <w:rFonts w:hint="eastAsia" w:ascii="仿宋" w:hAnsi="仿宋" w:eastAsia="仿宋" w:cs="仿宋"/>
          <w:color w:val="000000"/>
          <w:sz w:val="44"/>
          <w:szCs w:val="44"/>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2"/>
        <w:numPr>
          <w:ilvl w:val="0"/>
          <w:numId w:val="0"/>
        </w:numPr>
        <w:ind w:left="288" w:leftChars="0"/>
      </w:pPr>
    </w:p>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禹州市文殊镇人民政府</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334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禹州市文殊镇区污水处理站项目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keepNext w:val="0"/>
        <w:keepLines w:val="0"/>
        <w:pageBreakBefore w:val="0"/>
        <w:kinsoku/>
        <w:overflowPunct/>
        <w:bidi w:val="0"/>
        <w:spacing w:line="400" w:lineRule="exact"/>
        <w:ind w:firstLine="5760" w:firstLineChars="24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文殊</w:t>
      </w:r>
      <w:r>
        <w:rPr>
          <w:rFonts w:hint="eastAsia" w:ascii="新宋体" w:hAnsi="新宋体" w:eastAsia="新宋体" w:cs="新宋体"/>
          <w:sz w:val="24"/>
          <w:szCs w:val="24"/>
        </w:rPr>
        <w:t>镇人民政府的委托，就“禹州市文殊镇区污水处理站项目”进行竞争性</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文殊</w:t>
      </w:r>
      <w:r>
        <w:rPr>
          <w:rFonts w:hint="eastAsia" w:ascii="新宋体" w:hAnsi="新宋体" w:eastAsia="新宋体" w:cs="新宋体"/>
          <w:sz w:val="24"/>
          <w:szCs w:val="24"/>
        </w:rPr>
        <w:t>镇人民政府</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禹州市文殊镇区污水处理站项目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334</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生活</w:t>
      </w:r>
      <w:r>
        <w:rPr>
          <w:rFonts w:hint="eastAsia" w:ascii="新宋体" w:hAnsi="新宋体" w:eastAsia="新宋体" w:cs="新宋体"/>
          <w:color w:val="000000"/>
          <w:kern w:val="0"/>
          <w:sz w:val="24"/>
          <w:szCs w:val="24"/>
        </w:rPr>
        <w:t>污水处理设施运营</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71.195146</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6、最高限价：71.195146万元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 xml:space="preserve">时间：2019年 </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27</w:t>
      </w:r>
      <w:r>
        <w:rPr>
          <w:rFonts w:hint="eastAsia" w:ascii="新宋体" w:hAnsi="新宋体" w:eastAsia="新宋体" w:cs="新宋体"/>
          <w:color w:val="000000"/>
          <w:kern w:val="0"/>
          <w:sz w:val="24"/>
          <w:szCs w:val="24"/>
        </w:rPr>
        <w:t xml:space="preserve"> 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（二）采购单位：禹州市</w:t>
      </w:r>
      <w:r>
        <w:rPr>
          <w:rFonts w:hint="eastAsia" w:ascii="新宋体" w:hAnsi="新宋体" w:eastAsia="新宋体" w:cs="新宋体"/>
          <w:color w:val="000000"/>
          <w:kern w:val="0"/>
          <w:sz w:val="24"/>
          <w:szCs w:val="24"/>
          <w:lang w:eastAsia="zh-CN"/>
        </w:rPr>
        <w:t>文殊</w:t>
      </w:r>
      <w:r>
        <w:rPr>
          <w:rFonts w:hint="eastAsia" w:ascii="新宋体" w:hAnsi="新宋体" w:eastAsia="新宋体" w:cs="新宋体"/>
          <w:color w:val="000000"/>
          <w:kern w:val="0"/>
          <w:sz w:val="24"/>
          <w:szCs w:val="24"/>
        </w:rPr>
        <w:t>镇人民政府</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文殊</w:t>
      </w:r>
      <w:r>
        <w:rPr>
          <w:rFonts w:hint="eastAsia" w:ascii="新宋体" w:hAnsi="新宋体" w:eastAsia="新宋体" w:cs="新宋体"/>
          <w:color w:val="000000"/>
          <w:kern w:val="0"/>
          <w:sz w:val="24"/>
          <w:szCs w:val="24"/>
        </w:rPr>
        <w:t>镇</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陈</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13733655818</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3840" w:firstLineChars="1600"/>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日</w:t>
      </w:r>
    </w:p>
    <w:p>
      <w:pPr>
        <w:pStyle w:val="2"/>
        <w:numPr>
          <w:ilvl w:val="0"/>
          <w:numId w:val="0"/>
        </w:numPr>
        <w:rPr>
          <w:rFonts w:hint="eastAsia" w:ascii="新宋体" w:hAnsi="新宋体" w:eastAsia="新宋体" w:cs="新宋体"/>
          <w:sz w:val="24"/>
          <w:szCs w:val="24"/>
        </w:rPr>
      </w:pPr>
    </w:p>
    <w:p>
      <w:pPr>
        <w:spacing w:line="360" w:lineRule="auto"/>
        <w:rPr>
          <w:rFonts w:hint="eastAsia"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8"/>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rPr>
          <w:rFonts w:hint="eastAsia"/>
        </w:rPr>
      </w:pPr>
    </w:p>
    <w:p>
      <w:pPr>
        <w:widowControl/>
        <w:numPr>
          <w:ilvl w:val="0"/>
          <w:numId w:val="9"/>
        </w:numPr>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对污水处理站进行管理运行，确保出水达到设计标准，同时节约消毒成本。针对该污水的来源、特性及水量，从而制定有效可行的日常运营方案。结合当地实际情况，设计配套运营管理措施以及配备专业操作技术人员，保证设备的正常运转及调节，确保出水稳定达标。</w:t>
      </w:r>
    </w:p>
    <w:p>
      <w:pPr>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bCs/>
          <w:color w:val="000000"/>
          <w:kern w:val="0"/>
          <w:sz w:val="24"/>
          <w:szCs w:val="24"/>
          <w:lang w:eastAsia="zh-CN"/>
        </w:rPr>
        <w:t>（二）项目概况及</w:t>
      </w: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r>
        <w:rPr>
          <w:rFonts w:hint="eastAsia" w:ascii="新宋体" w:hAnsi="新宋体" w:eastAsia="新宋体" w:cs="新宋体"/>
          <w:sz w:val="24"/>
          <w:szCs w:val="24"/>
        </w:rPr>
        <w:t>禹州市文殊镇镇区污水处理设施运营项目设计处理量为800t/d</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 xml:space="preserve">                </w:t>
      </w:r>
    </w:p>
    <w:p>
      <w:pPr>
        <w:pStyle w:val="60"/>
        <w:spacing w:line="360" w:lineRule="auto"/>
        <w:ind w:left="480" w:firstLine="0" w:firstLineChars="0"/>
        <w:rPr>
          <w:rFonts w:hint="eastAsia" w:ascii="新宋体" w:hAnsi="新宋体" w:eastAsia="新宋体" w:cs="新宋体"/>
          <w:sz w:val="24"/>
          <w:szCs w:val="24"/>
        </w:rPr>
      </w:pPr>
      <w:r>
        <w:rPr>
          <w:rFonts w:hint="eastAsia" w:ascii="新宋体" w:hAnsi="新宋体" w:eastAsia="新宋体" w:cs="新宋体"/>
          <w:b/>
          <w:sz w:val="24"/>
          <w:szCs w:val="24"/>
        </w:rPr>
        <w:t>（3）排放标准：</w:t>
      </w:r>
      <w:r>
        <w:rPr>
          <w:rFonts w:hint="eastAsia" w:ascii="新宋体" w:hAnsi="新宋体" w:eastAsia="新宋体" w:cs="新宋体"/>
          <w:sz w:val="24"/>
          <w:szCs w:val="24"/>
        </w:rPr>
        <w:t>根据业主提供，此污水处理站出水排放标准为《城镇污水处理厂排放标准》（GB18918-2002）中的一级（A）标准，主要污染物排放标准如下：</w:t>
      </w:r>
    </w:p>
    <w:tbl>
      <w:tblPr>
        <w:tblStyle w:val="23"/>
        <w:tblpPr w:leftFromText="180" w:rightFromText="180" w:vertAnchor="text" w:horzAnchor="page" w:tblpX="2482" w:tblpY="220"/>
        <w:tblOverlap w:val="never"/>
        <w:tblW w:w="73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73"/>
        <w:gridCol w:w="1446"/>
        <w:gridCol w:w="1111"/>
        <w:gridCol w:w="1074"/>
        <w:gridCol w:w="8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470"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类别</w:t>
            </w:r>
          </w:p>
        </w:tc>
        <w:tc>
          <w:tcPr>
            <w:tcW w:w="1373"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COD</w:t>
            </w:r>
          </w:p>
        </w:tc>
        <w:tc>
          <w:tcPr>
            <w:tcW w:w="1446"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BOD</w:t>
            </w:r>
          </w:p>
        </w:tc>
        <w:tc>
          <w:tcPr>
            <w:tcW w:w="1111"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SS</w:t>
            </w:r>
          </w:p>
        </w:tc>
        <w:tc>
          <w:tcPr>
            <w:tcW w:w="1074"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氨氮</w:t>
            </w:r>
          </w:p>
        </w:tc>
        <w:tc>
          <w:tcPr>
            <w:tcW w:w="886"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pH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70"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设计值</w:t>
            </w:r>
          </w:p>
        </w:tc>
        <w:tc>
          <w:tcPr>
            <w:tcW w:w="1373"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color w:val="333333"/>
                <w:sz w:val="24"/>
                <w:szCs w:val="24"/>
                <w:shd w:val="clear" w:color="auto" w:fill="FFFFFF"/>
              </w:rPr>
              <w:t>≤</w:t>
            </w:r>
            <w:r>
              <w:rPr>
                <w:rFonts w:hint="eastAsia" w:ascii="新宋体" w:hAnsi="新宋体" w:eastAsia="新宋体" w:cs="新宋体"/>
                <w:sz w:val="24"/>
                <w:szCs w:val="24"/>
              </w:rPr>
              <w:t>50mg/L</w:t>
            </w:r>
          </w:p>
        </w:tc>
        <w:tc>
          <w:tcPr>
            <w:tcW w:w="1446"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color w:val="333333"/>
                <w:sz w:val="24"/>
                <w:szCs w:val="24"/>
                <w:shd w:val="clear" w:color="auto" w:fill="FFFFFF"/>
              </w:rPr>
              <w:t>≤</w:t>
            </w:r>
            <w:r>
              <w:rPr>
                <w:rFonts w:hint="eastAsia" w:ascii="新宋体" w:hAnsi="新宋体" w:eastAsia="新宋体" w:cs="新宋体"/>
                <w:sz w:val="24"/>
                <w:szCs w:val="24"/>
              </w:rPr>
              <w:t>10 mg/L</w:t>
            </w:r>
          </w:p>
        </w:tc>
        <w:tc>
          <w:tcPr>
            <w:tcW w:w="1111"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color w:val="333333"/>
                <w:sz w:val="24"/>
                <w:szCs w:val="24"/>
                <w:shd w:val="clear" w:color="auto" w:fill="FFFFFF"/>
              </w:rPr>
              <w:t>≤</w:t>
            </w:r>
            <w:r>
              <w:rPr>
                <w:rFonts w:hint="eastAsia" w:ascii="新宋体" w:hAnsi="新宋体" w:eastAsia="新宋体" w:cs="新宋体"/>
                <w:sz w:val="24"/>
                <w:szCs w:val="24"/>
              </w:rPr>
              <w:t>10 mg/L</w:t>
            </w:r>
          </w:p>
        </w:tc>
        <w:tc>
          <w:tcPr>
            <w:tcW w:w="1074"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5（8）mg/L</w:t>
            </w:r>
          </w:p>
        </w:tc>
        <w:tc>
          <w:tcPr>
            <w:tcW w:w="886" w:type="dxa"/>
            <w:noWrap w:val="0"/>
            <w:vAlign w:val="top"/>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6—9</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tbl>
      <w:tblPr>
        <w:tblStyle w:val="23"/>
        <w:tblpPr w:leftFromText="180" w:rightFromText="180" w:vertAnchor="text" w:horzAnchor="page" w:tblpX="1469" w:tblpY="1746"/>
        <w:tblOverlap w:val="never"/>
        <w:tblW w:w="9135" w:type="dxa"/>
        <w:tblInd w:w="0" w:type="dxa"/>
        <w:tblLayout w:type="fixed"/>
        <w:tblCellMar>
          <w:top w:w="0" w:type="dxa"/>
          <w:left w:w="0" w:type="dxa"/>
          <w:bottom w:w="0" w:type="dxa"/>
          <w:right w:w="0" w:type="dxa"/>
        </w:tblCellMar>
      </w:tblPr>
      <w:tblGrid>
        <w:gridCol w:w="925"/>
        <w:gridCol w:w="2415"/>
        <w:gridCol w:w="5795"/>
      </w:tblGrid>
      <w:tr>
        <w:tblPrEx>
          <w:tblLayout w:type="fixed"/>
          <w:tblCellMar>
            <w:top w:w="0" w:type="dxa"/>
            <w:left w:w="0" w:type="dxa"/>
            <w:bottom w:w="0" w:type="dxa"/>
            <w:right w:w="0" w:type="dxa"/>
          </w:tblCellMar>
        </w:tblPrEx>
        <w:trPr>
          <w:trHeight w:val="72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服务项目</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技术要求</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配套进线电源</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项目原设计配电总柜到电源总结点并配套电表、电杆等附件，根据现场实测为87m；</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配套自来水水源</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建水井及无塔供水设施一套</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配套进场道路</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根据现场测量需要进场道路180m；</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配套进出水管网</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根据现场情况，需增加从镇区到污水厂段污水进水管网，根据实测长度为759m</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前期调试运行费用</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项目联机试车、运行调试费用</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电费</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总装机功率为49kw，综合运行功率为30.8kw</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职工工资及社保</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相关工作人员须配备完整</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药剂费</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消耗单元主要为絮凝沉淀池及污泥脱水车间</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实验室质控设备及药剂</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日常进行COD、SS、BOD、PH、MLSS、总磷、总氮、污泥含水率等项目的化验，所需药品、仪器、试剂等的耗用和采购，其他消耗药剂等</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水费</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耗水单元主要为反冲洗、加药单元及办公区、在线监测、实验室等；日均耗水量8吨</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污泥及垃圾处理</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污泥、沉淀池及厂区进水垃圾等处置运输，按照每天0.8吨</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检验费</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根据环保部门要求、企业必须委托第三方化验检测机构对污水处理厂出水水质、泥质进行第三方跟踪监督检测、以检测部门出具发票为准</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管理费</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日常检修维护费</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主要包含零星及维护耗材等</w:t>
            </w:r>
          </w:p>
        </w:tc>
      </w:tr>
      <w:tr>
        <w:tblPrEx>
          <w:tblLayout w:type="fixed"/>
          <w:tblCellMar>
            <w:top w:w="0" w:type="dxa"/>
            <w:left w:w="0" w:type="dxa"/>
            <w:bottom w:w="0" w:type="dxa"/>
            <w:right w:w="0" w:type="dxa"/>
          </w:tblCellMar>
        </w:tblPrEx>
        <w:trPr>
          <w:trHeight w:val="80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大修理基金</w:t>
            </w:r>
          </w:p>
        </w:tc>
        <w:tc>
          <w:tcPr>
            <w:tcW w:w="5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主要包含设备故障、点击及仪器、滤料等</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both"/>
        <w:textAlignment w:val="auto"/>
        <w:rPr>
          <w:rFonts w:hint="eastAsia" w:ascii="新宋体" w:hAnsi="新宋体" w:eastAsia="新宋体" w:cs="新宋体"/>
          <w:b/>
          <w:bCs/>
          <w:color w:val="000000"/>
          <w:kern w:val="0"/>
          <w:sz w:val="24"/>
          <w:szCs w:val="24"/>
          <w:lang w:eastAsia="zh-CN"/>
        </w:rPr>
      </w:pP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cs="宋体" w:asciiTheme="minorEastAsia" w:hAnsiTheme="minorEastAsia"/>
          <w:kern w:val="0"/>
          <w:sz w:val="24"/>
          <w:szCs w:val="24"/>
          <w:lang w:val="en-US" w:eastAsia="zh-CN" w:bidi="ar-SA"/>
        </w:rPr>
        <w:t>符合</w:t>
      </w:r>
      <w:r>
        <w:rPr>
          <w:rFonts w:hint="eastAsia" w:cs="宋体" w:asciiTheme="minorEastAsia" w:hAnsiTheme="minorEastAsia" w:eastAsiaTheme="minorEastAsia"/>
          <w:kern w:val="0"/>
          <w:sz w:val="24"/>
          <w:szCs w:val="24"/>
          <w:lang w:val="en-US" w:eastAsia="zh-CN" w:bidi="ar-SA"/>
        </w:rPr>
        <w:t>国家</w:t>
      </w:r>
      <w:r>
        <w:rPr>
          <w:rFonts w:hint="eastAsia" w:cs="宋体" w:asciiTheme="minorEastAsia" w:hAnsiTheme="minorEastAsia"/>
          <w:kern w:val="0"/>
          <w:sz w:val="24"/>
          <w:szCs w:val="24"/>
          <w:lang w:val="en-US" w:eastAsia="zh-CN" w:bidi="ar-SA"/>
        </w:rPr>
        <w:t>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标准：1、制定污水处理厂管理标准。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2、建立水质监测化验机构和设施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3、按时限要求及时、准确、完整的上报各种报表、报告、和资料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4、各工艺段制定操作规程、明确工艺参数和工艺调整的范围和程序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5、运行管理机构健全，管理办法规范，岗位职责健全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6、设备管理机构设置健全，档案建立健全，专业人员配备齐全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效率：自合同签订后10日进入厂区开展工作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服务期限：按合同约定。</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0"/>
        <w:wordWrap w:val="0"/>
        <w:topLinePunct/>
        <w:autoSpaceDE w:val="0"/>
        <w:autoSpaceDN w:val="0"/>
        <w:adjustRightInd w:val="0"/>
        <w:spacing w:line="360" w:lineRule="auto"/>
        <w:ind w:left="420" w:firstLine="240" w:firstLineChars="1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9"/>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9"/>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项目名称：禹州市文殊镇区污水处理站项目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YZCG-G2019334</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w:t>
            </w:r>
            <w:r>
              <w:rPr>
                <w:rFonts w:hint="eastAsia" w:cs="仿宋_GB2312" w:asciiTheme="minorEastAsia" w:hAnsiTheme="minorEastAsia"/>
                <w:szCs w:val="21"/>
                <w:lang w:val="en-US" w:eastAsia="zh-CN"/>
              </w:rPr>
              <w:t>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名称：禹州市文殊镇人民政府</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联系人：陈先生                    电话：</w:t>
            </w:r>
            <w:r>
              <w:rPr>
                <w:rFonts w:hint="eastAsia" w:cs="仿宋_GB2312" w:asciiTheme="minorEastAsia" w:hAnsiTheme="minorEastAsia"/>
                <w:szCs w:val="21"/>
                <w:lang w:val="en-US" w:eastAsia="zh-CN"/>
              </w:rPr>
              <w:t>13733655818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1"/>
              <w:ind w:left="0" w:leftChars="0" w:firstLine="0" w:firstLineChars="0"/>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6、被委托人是须是本单位职工，须提供公司为本人缴纳社会保险证明（登录网站：http//222.143.34.121/查询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kern w:val="0"/>
                <w:sz w:val="24"/>
                <w:szCs w:val="24"/>
                <w:lang w:val="en-US" w:eastAsia="zh-CN"/>
              </w:rPr>
              <w:t>71.195146万元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0"/>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0"/>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pStyle w:val="30"/>
        <w:rPr>
          <w:rFonts w:hint="eastAsia"/>
          <w:sz w:val="24"/>
          <w:szCs w:val="24"/>
        </w:rPr>
      </w:pPr>
      <w:r>
        <w:rPr>
          <w:rFonts w:hint="eastAsia"/>
          <w:sz w:val="24"/>
          <w:szCs w:val="24"/>
        </w:rPr>
        <w:t>（2）截止时间：同投标截止时间；</w:t>
      </w:r>
    </w:p>
    <w:p>
      <w:pPr>
        <w:pStyle w:val="30"/>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0"/>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0"/>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0"/>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rPr>
            </w:pPr>
            <w:r>
              <w:rPr>
                <w:rFonts w:hint="eastAsia"/>
              </w:rPr>
              <w:t>③投标人为自然人的，无需填写法定代表人授权书。</w:t>
            </w:r>
          </w:p>
          <w:p>
            <w:pPr>
              <w:spacing w:line="360" w:lineRule="auto"/>
              <w:contextualSpacing/>
              <w:rPr>
                <w:rFonts w:hint="eastAsia" w:eastAsia="楷体"/>
                <w:lang w:eastAsia="zh-CN"/>
              </w:rPr>
            </w:pPr>
            <w:r>
              <w:rPr>
                <w:rFonts w:hint="eastAsia"/>
                <w:lang w:eastAsia="zh-CN"/>
              </w:rPr>
              <w:t>注：（登录网站：http//222.143.34.121/查询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Theme="minorEastAsia" w:hAnsiTheme="minorEastAsia"/>
                <w:b/>
                <w:szCs w:val="21"/>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3"/>
        <w:tblW w:w="16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6216"/>
        <w:gridCol w:w="1002"/>
        <w:gridCol w:w="621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900"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2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价格分值：30分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w:t>
            </w:r>
            <w:r>
              <w:rPr>
                <w:rFonts w:hint="eastAsia" w:ascii="新宋体" w:hAnsi="新宋体" w:eastAsia="新宋体" w:cs="新宋体"/>
                <w:color w:val="000000"/>
                <w:kern w:val="0"/>
                <w:sz w:val="24"/>
                <w:szCs w:val="24"/>
                <w:lang w:val="en-US" w:eastAsia="zh-CN"/>
              </w:rPr>
              <w:t>36</w:t>
            </w:r>
            <w:r>
              <w:rPr>
                <w:rFonts w:hint="eastAsia" w:ascii="新宋体" w:hAnsi="新宋体" w:eastAsia="新宋体" w:cs="新宋体"/>
                <w:color w:val="000000"/>
                <w:kern w:val="0"/>
                <w:sz w:val="24"/>
                <w:szCs w:val="24"/>
              </w:rPr>
              <w:t>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w:t>
            </w:r>
            <w:r>
              <w:rPr>
                <w:rFonts w:hint="eastAsia" w:ascii="新宋体" w:hAnsi="新宋体" w:eastAsia="新宋体" w:cs="新宋体"/>
                <w:color w:val="000000"/>
                <w:kern w:val="0"/>
                <w:sz w:val="24"/>
                <w:szCs w:val="24"/>
                <w:lang w:val="en-US" w:eastAsia="zh-CN"/>
              </w:rPr>
              <w:t>34</w:t>
            </w:r>
            <w:r>
              <w:rPr>
                <w:rFonts w:hint="eastAsia" w:ascii="新宋体" w:hAnsi="新宋体" w:eastAsia="新宋体" w:cs="新宋体"/>
                <w:color w:val="000000"/>
                <w:kern w:val="0"/>
                <w:sz w:val="24"/>
                <w:szCs w:val="24"/>
              </w:rPr>
              <w:t>分</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567"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1519"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widowControl/>
              <w:spacing w:line="330" w:lineRule="atLeast"/>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投标报价得分=（评标基准价/投标报价）×</w:t>
            </w:r>
            <w:r>
              <w:rPr>
                <w:rFonts w:hint="eastAsia" w:ascii="新宋体" w:hAnsi="新宋体" w:eastAsia="新宋体" w:cs="新宋体"/>
                <w:color w:val="000000"/>
                <w:kern w:val="0"/>
                <w:sz w:val="24"/>
                <w:szCs w:val="24"/>
                <w:lang w:val="en-US" w:eastAsia="zh-CN"/>
              </w:rPr>
              <w:t>30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w:t>
            </w:r>
            <w:r>
              <w:rPr>
                <w:rFonts w:hint="eastAsia" w:ascii="新宋体" w:hAnsi="新宋体" w:eastAsia="新宋体" w:cs="新宋体"/>
                <w:bCs/>
                <w:color w:val="000000"/>
                <w:kern w:val="0"/>
                <w:sz w:val="24"/>
                <w:szCs w:val="24"/>
                <w:lang w:val="en-US" w:eastAsia="zh-CN"/>
              </w:rPr>
              <w:t>36</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567"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567"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业绩及售后</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投标企业2015年1月1日至今承担过类似项目业绩，每具有一项业绩加4分，最高得20分；</w:t>
            </w:r>
          </w:p>
          <w:p>
            <w:pPr>
              <w:widowControl/>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bCs/>
                <w:iCs/>
                <w:color w:val="000000"/>
                <w:kern w:val="0"/>
                <w:sz w:val="24"/>
                <w:szCs w:val="24"/>
              </w:rPr>
              <w:t>以提供的合同为准，在电子版投标文件中附复印件，否则不得分。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567"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新宋体" w:hAnsi="新宋体" w:eastAsia="新宋体" w:cs="新宋体"/>
                <w:b/>
                <w:bCs/>
                <w:sz w:val="24"/>
                <w:szCs w:val="24"/>
              </w:rPr>
            </w:pPr>
            <w:r>
              <w:rPr>
                <w:rFonts w:hint="eastAsia" w:ascii="新宋体" w:hAnsi="新宋体" w:eastAsia="新宋体" w:cs="新宋体"/>
                <w:color w:val="000000"/>
                <w:kern w:val="0"/>
                <w:sz w:val="24"/>
                <w:szCs w:val="24"/>
              </w:rPr>
              <w:t>奖项</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具有省级</w:t>
            </w:r>
            <w:r>
              <w:rPr>
                <w:rFonts w:hint="eastAsia" w:ascii="新宋体" w:hAnsi="新宋体" w:eastAsia="新宋体" w:cs="新宋体"/>
                <w:color w:val="000000"/>
                <w:kern w:val="0"/>
                <w:sz w:val="24"/>
                <w:szCs w:val="24"/>
                <w:lang w:eastAsia="zh-CN"/>
              </w:rPr>
              <w:t>及</w:t>
            </w:r>
            <w:r>
              <w:rPr>
                <w:rFonts w:hint="eastAsia" w:ascii="新宋体" w:hAnsi="新宋体" w:eastAsia="新宋体" w:cs="新宋体"/>
                <w:color w:val="000000"/>
                <w:kern w:val="0"/>
                <w:sz w:val="24"/>
                <w:szCs w:val="24"/>
              </w:rPr>
              <w:t>以上环境生态与环境修复领域奖项，</w:t>
            </w:r>
            <w:r>
              <w:rPr>
                <w:rFonts w:hint="eastAsia" w:ascii="新宋体" w:hAnsi="新宋体" w:eastAsia="新宋体" w:cs="新宋体"/>
                <w:bCs/>
                <w:iCs/>
                <w:color w:val="000000"/>
                <w:kern w:val="0"/>
                <w:sz w:val="24"/>
                <w:szCs w:val="24"/>
              </w:rPr>
              <w:t>每具有一项2分，最高得6分</w:t>
            </w:r>
            <w:r>
              <w:rPr>
                <w:rFonts w:hint="eastAsia" w:ascii="新宋体" w:hAnsi="新宋体" w:eastAsia="新宋体" w:cs="新宋体"/>
                <w:bCs/>
                <w:iCs/>
                <w:color w:val="000000"/>
                <w:kern w:val="0"/>
                <w:sz w:val="24"/>
                <w:szCs w:val="24"/>
                <w:lang w:eastAsia="zh-CN"/>
              </w:rPr>
              <w:t>。</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2381" w:hRule="atLeast"/>
        </w:trPr>
        <w:tc>
          <w:tcPr>
            <w:tcW w:w="2068"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企业实力</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企业综合信用等级评价证书</w:t>
            </w:r>
            <w:r>
              <w:rPr>
                <w:rFonts w:hint="eastAsia" w:ascii="新宋体" w:hAnsi="新宋体" w:eastAsia="新宋体" w:cs="新宋体"/>
                <w:color w:val="000000"/>
                <w:kern w:val="0"/>
                <w:sz w:val="24"/>
                <w:szCs w:val="24"/>
              </w:rPr>
              <w:t>。AAA级得5分，AA级得3分，A级得1分。不提供的不得分。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1981"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
                <w:bCs/>
                <w:color w:val="000000"/>
                <w:sz w:val="24"/>
                <w:szCs w:val="24"/>
              </w:rPr>
              <w:t>投标文件制作情况</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rPr>
              <w:t>投标文件装订美观，内容完整，无错别字，页码顺序完整无缺页，评委根据是否符合以上标准，优得</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分，良得</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分，一般得1分，不提供的不得分。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ind w:firstLine="240" w:firstLineChars="100"/>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w:t>
            </w:r>
            <w:r>
              <w:rPr>
                <w:rFonts w:hint="eastAsia" w:ascii="新宋体" w:hAnsi="新宋体" w:eastAsia="新宋体" w:cs="新宋体"/>
                <w:bCs/>
                <w:color w:val="000000"/>
                <w:kern w:val="0"/>
                <w:sz w:val="24"/>
                <w:szCs w:val="24"/>
                <w:lang w:val="en-US" w:eastAsia="zh-CN"/>
              </w:rPr>
              <w:t>34</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lang w:eastAsia="zh-CN"/>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lang w:eastAsia="zh-CN"/>
              </w:rPr>
              <w:t>分值</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评分值分标准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仿宋" w:hAnsi="仿宋" w:eastAsia="仿宋" w:cs="宋体"/>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567"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总体服务方案</w:t>
            </w:r>
            <w:r>
              <w:rPr>
                <w:rFonts w:hint="eastAsia" w:ascii="新宋体" w:hAnsi="新宋体" w:eastAsia="新宋体" w:cs="新宋体"/>
                <w:color w:val="000000"/>
                <w:kern w:val="0"/>
                <w:sz w:val="24"/>
                <w:szCs w:val="24"/>
                <w:lang w:eastAsia="zh-CN"/>
              </w:rPr>
              <w:t>及管理制度</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服务工作思路及目标（4分）对招标内容理解的准确性，目标的明确性、工作内容的全面性；方案是否合理可行，是否经济等，充分考虑各种因素。以及对业主提供的有关资料、人员配合、设施和服务等支持的要求。由评委独立打分，优秀的得4分，一般的得1-3分，缺项得0分。</w:t>
            </w:r>
          </w:p>
          <w:p>
            <w:pPr>
              <w:widowControl/>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2.质量保证体系与保证流程（</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分）体系建立完善、合理，质量服务流程建全、合理，由评委独立打分，优秀的得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分，较好的得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一般</w:t>
            </w:r>
            <w:r>
              <w:rPr>
                <w:rFonts w:hint="eastAsia" w:ascii="新宋体" w:hAnsi="新宋体" w:eastAsia="新宋体" w:cs="新宋体"/>
                <w:sz w:val="24"/>
                <w:szCs w:val="24"/>
              </w:rPr>
              <w:t>得</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p>
          <w:p>
            <w:pPr>
              <w:widowControl/>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组织机构的方案与措施（3分）明确项目的机构设置情况，指明项目负责人、技术负责人、质量负责人、各工序的相应负责人、专职检测人员、作业人员的编队（组）情况，由评委独立打分，优秀的得3分，较好的得1-2分，缺项得0分。</w:t>
            </w:r>
          </w:p>
          <w:p>
            <w:pPr>
              <w:widowControl/>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项目实施方案的全面性（3分）方案合理、具有科学性、完整性、可靠性和可执行性（包括：工作程序、工作方法、步骤、工作方案、技术路线等方案），由评委独立打分，优秀的得3分，较好的得1-2分，缺项得0分。</w:t>
            </w:r>
          </w:p>
          <w:p>
            <w:pPr>
              <w:widowControl/>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5.现场服务（4分）现场服务承诺是否到位，保障措施是否可靠，由评委独立打分，优秀的得4分，一般的得1-3分，缺项得0分。</w:t>
            </w:r>
          </w:p>
          <w:p>
            <w:pPr>
              <w:widowControl/>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6.合理化建议（4分）能够提高服务质量、提高工作效率的合理化建议。由评委独立打分，优秀的得3-4分，一般的得1-2分，缺项得0分。</w:t>
            </w:r>
          </w:p>
          <w:p>
            <w:pPr>
              <w:widowControl/>
              <w:spacing w:line="400" w:lineRule="exact"/>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主要包括本项目职工培训制度、职工考核及奖惩制度、配套设施权属清册管理制度、服务作业流程安排制度等。</w:t>
            </w:r>
          </w:p>
          <w:p>
            <w:pPr>
              <w:widowControl/>
              <w:spacing w:line="400" w:lineRule="exact"/>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优得4分，良得2分，一般得1分，不提供的不得分</w:t>
            </w:r>
            <w:r>
              <w:rPr>
                <w:rFonts w:hint="eastAsia" w:ascii="新宋体" w:hAnsi="新宋体" w:eastAsia="新宋体" w:cs="新宋体"/>
                <w:sz w:val="24"/>
                <w:szCs w:val="24"/>
                <w:lang w:eastAsia="zh-CN"/>
              </w:rPr>
              <w:t>。</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27</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218" w:type="dxa"/>
          <w:trHeight w:val="567" w:hRule="atLeast"/>
        </w:trPr>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rPr>
              <w:t>售后服务及培训计划</w:t>
            </w:r>
          </w:p>
        </w:tc>
        <w:tc>
          <w:tcPr>
            <w:tcW w:w="62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（1）投标人针对本项目有详细的售后服务方案，建立完善的技术支持体系，计4分；</w:t>
            </w:r>
          </w:p>
          <w:p>
            <w:pPr>
              <w:widowControl/>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（2）培训工作的目标、任务、计划、组织等实施方案安排合理、清晰、可行。根据情况计3分。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7分</w:t>
            </w:r>
          </w:p>
        </w:tc>
      </w:tr>
    </w:tbl>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pStyle w:val="29"/>
        <w:rPr>
          <w:rFonts w:hint="eastAsia" w:cs="仿宋_GB2312" w:asciiTheme="minorEastAsia" w:hAnsiTheme="minorEastAsia"/>
          <w:szCs w:val="21"/>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4.1</w:t>
      </w:r>
      <w:r>
        <w:rPr>
          <w:rFonts w:hint="eastAsia" w:ascii="宋体" w:hAnsi="宋体"/>
          <w:b/>
          <w:bCs/>
          <w:color w:val="000000"/>
          <w:sz w:val="24"/>
          <w:szCs w:val="24"/>
        </w:rPr>
        <w:t>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2100"/>
        <w:gridCol w:w="2730"/>
        <w:gridCol w:w="1470"/>
        <w:gridCol w:w="143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3234" w:type="dxa"/>
            <w:gridSpan w:val="2"/>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751" w:firstLineChars="356"/>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73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both"/>
              <w:rPr>
                <w:rFonts w:cs="宋体" w:asciiTheme="minorEastAsia" w:hAnsiTheme="minorEastAsia"/>
                <w:b/>
                <w:szCs w:val="21"/>
                <w:lang w:val="zh-CN"/>
              </w:rPr>
            </w:pPr>
            <w:r>
              <w:rPr>
                <w:rFonts w:hint="eastAsia" w:cs="宋体" w:asciiTheme="minorEastAsia" w:hAnsiTheme="minorEastAsia"/>
                <w:b/>
                <w:szCs w:val="21"/>
                <w:lang w:val="zh-CN"/>
              </w:rPr>
              <w:t>技术要求</w:t>
            </w:r>
          </w:p>
        </w:tc>
        <w:tc>
          <w:tcPr>
            <w:tcW w:w="14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4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cs="宋体" w:asciiTheme="minorEastAsia" w:hAnsiTheme="minorEastAsia"/>
                <w:b/>
                <w:szCs w:val="21"/>
                <w:lang w:val="zh-CN"/>
              </w:rPr>
            </w:pPr>
          </w:p>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p>
            <w:pPr>
              <w:autoSpaceDE w:val="0"/>
              <w:autoSpaceDN w:val="0"/>
              <w:adjustRightInd w:val="0"/>
              <w:spacing w:line="360" w:lineRule="auto"/>
              <w:ind w:left="120" w:hanging="120"/>
              <w:jc w:val="center"/>
              <w:rPr>
                <w:rFonts w:cs="宋体" w:asciiTheme="minorEastAsia" w:hAnsiTheme="minorEastAsia"/>
                <w:b/>
                <w:szCs w:val="21"/>
                <w:lang w:val="zh-CN"/>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323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7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323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7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both"/>
        <w:outlineLvl w:val="0"/>
        <w:rPr>
          <w:rFonts w:hint="default" w:hAnsi="宋体" w:eastAsia="宋体"/>
          <w:b/>
          <w:snapToGrid w:val="0"/>
          <w:kern w:val="0"/>
          <w:sz w:val="36"/>
          <w:szCs w:val="36"/>
          <w:lang w:val="en-US" w:eastAsia="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F9EBF59"/>
    <w:multiLevelType w:val="singleLevel"/>
    <w:tmpl w:val="2F9EBF59"/>
    <w:lvl w:ilvl="0" w:tentative="0">
      <w:start w:val="1"/>
      <w:numFmt w:val="chineseCounting"/>
      <w:suff w:val="nothing"/>
      <w:lvlText w:val="（%1）"/>
      <w:lvlJc w:val="left"/>
      <w:rPr>
        <w:rFonts w:hint="eastAsia"/>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3"/>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abstractNum w:abstractNumId="11">
    <w:nsid w:val="654E26F6"/>
    <w:multiLevelType w:val="singleLevel"/>
    <w:tmpl w:val="654E26F6"/>
    <w:lvl w:ilvl="0" w:tentative="0">
      <w:start w:val="1"/>
      <w:numFmt w:val="decimal"/>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10"/>
  </w:num>
  <w:num w:numId="6">
    <w:abstractNumId w:val="0"/>
  </w:num>
  <w:num w:numId="7">
    <w:abstractNumId w:val="11"/>
  </w:num>
  <w:num w:numId="8">
    <w:abstractNumId w:val="8"/>
  </w:num>
  <w:num w:numId="9">
    <w:abstractNumId w:val="6"/>
  </w:num>
  <w:num w:numId="10">
    <w:abstractNumId w:val="1"/>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5685863"/>
    <w:rsid w:val="067B2CDB"/>
    <w:rsid w:val="07732CDA"/>
    <w:rsid w:val="07DA78CD"/>
    <w:rsid w:val="080C2BBA"/>
    <w:rsid w:val="0825250A"/>
    <w:rsid w:val="08C0181D"/>
    <w:rsid w:val="08FD5745"/>
    <w:rsid w:val="0A3A482D"/>
    <w:rsid w:val="0A5E16AE"/>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DA22AE9"/>
    <w:rsid w:val="0E3648A2"/>
    <w:rsid w:val="0F485C64"/>
    <w:rsid w:val="0F7B5351"/>
    <w:rsid w:val="0FD30C14"/>
    <w:rsid w:val="101B403B"/>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566BBD"/>
    <w:rsid w:val="2F650AED"/>
    <w:rsid w:val="2FFD3F6B"/>
    <w:rsid w:val="30EA79C7"/>
    <w:rsid w:val="30FD56B7"/>
    <w:rsid w:val="329E1B24"/>
    <w:rsid w:val="32BF12F4"/>
    <w:rsid w:val="32D64A96"/>
    <w:rsid w:val="33563CED"/>
    <w:rsid w:val="336E4903"/>
    <w:rsid w:val="338A4286"/>
    <w:rsid w:val="347F0816"/>
    <w:rsid w:val="34B644B7"/>
    <w:rsid w:val="35D905EB"/>
    <w:rsid w:val="36B46A4A"/>
    <w:rsid w:val="36E65B38"/>
    <w:rsid w:val="375656B9"/>
    <w:rsid w:val="375B6549"/>
    <w:rsid w:val="37627558"/>
    <w:rsid w:val="37AC24EF"/>
    <w:rsid w:val="37B91083"/>
    <w:rsid w:val="383731D3"/>
    <w:rsid w:val="38C076BF"/>
    <w:rsid w:val="38ED1382"/>
    <w:rsid w:val="39FD28B4"/>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3817"/>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BDD720D"/>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1E7661"/>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F4DC3"/>
    <w:rsid w:val="6E7511ED"/>
    <w:rsid w:val="6E76180E"/>
    <w:rsid w:val="6ED546F7"/>
    <w:rsid w:val="6F272507"/>
    <w:rsid w:val="6F992BAA"/>
    <w:rsid w:val="6FF11A89"/>
    <w:rsid w:val="70117814"/>
    <w:rsid w:val="70602224"/>
    <w:rsid w:val="70C1699F"/>
    <w:rsid w:val="711034C3"/>
    <w:rsid w:val="7151172F"/>
    <w:rsid w:val="71617265"/>
    <w:rsid w:val="719549A9"/>
    <w:rsid w:val="71C32A07"/>
    <w:rsid w:val="71E53350"/>
    <w:rsid w:val="720E5D3A"/>
    <w:rsid w:val="72254E2A"/>
    <w:rsid w:val="72ED3426"/>
    <w:rsid w:val="73184127"/>
    <w:rsid w:val="73555ECB"/>
    <w:rsid w:val="73733509"/>
    <w:rsid w:val="73D40348"/>
    <w:rsid w:val="74304EB5"/>
    <w:rsid w:val="74AB41BE"/>
    <w:rsid w:val="75BA6737"/>
    <w:rsid w:val="75EA3934"/>
    <w:rsid w:val="76AF6448"/>
    <w:rsid w:val="774700AD"/>
    <w:rsid w:val="777E0158"/>
    <w:rsid w:val="77A5121A"/>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link w:val="54"/>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2"/>
    <w:qFormat/>
    <w:uiPriority w:val="0"/>
    <w:rPr>
      <w:rFonts w:ascii="Calibri" w:hAnsi="Calibri" w:eastAsia="宋体" w:cs="Times New Roman"/>
      <w:b/>
      <w:bCs/>
      <w:kern w:val="44"/>
      <w:sz w:val="44"/>
      <w:szCs w:val="44"/>
    </w:rPr>
  </w:style>
  <w:style w:type="character" w:customStyle="1" w:styleId="33">
    <w:name w:val="标题 2 Char"/>
    <w:basedOn w:val="24"/>
    <w:link w:val="3"/>
    <w:qFormat/>
    <w:uiPriority w:val="0"/>
    <w:rPr>
      <w:rFonts w:ascii="Arial" w:hAnsi="Arial" w:eastAsia="黑体" w:cs="Times New Roman"/>
      <w:b/>
      <w:bCs/>
      <w:kern w:val="0"/>
      <w:sz w:val="32"/>
      <w:szCs w:val="32"/>
    </w:rPr>
  </w:style>
  <w:style w:type="character" w:customStyle="1" w:styleId="34">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5"/>
    <w:qFormat/>
    <w:uiPriority w:val="0"/>
    <w:rPr>
      <w:rFonts w:ascii="Arial" w:hAnsi="Arial" w:eastAsia="黑体" w:cs="Times New Roman"/>
      <w:b/>
      <w:bCs/>
      <w:kern w:val="0"/>
      <w:sz w:val="28"/>
      <w:szCs w:val="28"/>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6"/>
    <w:qFormat/>
    <w:uiPriority w:val="99"/>
    <w:rPr>
      <w:sz w:val="18"/>
      <w:szCs w:val="18"/>
    </w:rPr>
  </w:style>
  <w:style w:type="character" w:customStyle="1" w:styleId="39">
    <w:name w:val="页眉 Char"/>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8"/>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9"/>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 w:type="paragraph" w:customStyle="1" w:styleId="66">
    <w:name w:val="正文一"/>
    <w:basedOn w:val="60"/>
    <w:qFormat/>
    <w:uiPriority w:val="99"/>
    <w:pPr>
      <w:spacing w:line="600" w:lineRule="exact"/>
      <w:ind w:firstLine="200"/>
    </w:pPr>
    <w:rPr>
      <w:rFonts w:ascii="仿宋" w:hAnsi="仿宋" w:eastAsia="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10</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2019-12-05T07:57:09Z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