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keepNext w:val="0"/>
        <w:keepLines w:val="0"/>
        <w:pageBreakBefore w:val="0"/>
        <w:widowControl w:val="0"/>
        <w:kinsoku/>
        <w:wordWrap/>
        <w:overflowPunct/>
        <w:topLinePunct w:val="0"/>
        <w:autoSpaceDE/>
        <w:autoSpaceDN/>
        <w:bidi w:val="0"/>
        <w:adjustRightInd/>
        <w:snapToGrid/>
        <w:spacing w:line="360" w:lineRule="auto"/>
        <w:ind w:firstLine="442" w:firstLineChars="100"/>
        <w:jc w:val="center"/>
        <w:textAlignment w:val="auto"/>
        <w:rPr>
          <w:rFonts w:hint="eastAsia" w:ascii="仿宋" w:hAnsi="仿宋" w:eastAsia="仿宋" w:cs="仿宋"/>
          <w:b/>
          <w:bCs/>
          <w:color w:val="000000"/>
          <w:sz w:val="44"/>
          <w:szCs w:val="44"/>
        </w:rPr>
      </w:pPr>
      <w:r>
        <w:rPr>
          <w:rFonts w:hint="eastAsia" w:ascii="仿宋" w:hAnsi="仿宋" w:eastAsia="仿宋" w:cs="仿宋"/>
          <w:b/>
          <w:bCs/>
          <w:color w:val="000000"/>
          <w:sz w:val="44"/>
          <w:szCs w:val="44"/>
        </w:rPr>
        <w:t>禹州市薯粉小镇发展战略规划项目</w:t>
      </w:r>
    </w:p>
    <w:p>
      <w:pPr>
        <w:pStyle w:val="29"/>
        <w:rPr>
          <w:rFonts w:hint="eastAsia" w:ascii="仿宋" w:hAnsi="仿宋" w:eastAsia="仿宋" w:cs="仿宋"/>
          <w:color w:val="000000"/>
          <w:sz w:val="44"/>
          <w:szCs w:val="44"/>
        </w:rPr>
      </w:pPr>
    </w:p>
    <w:p>
      <w:pPr>
        <w:rPr>
          <w:rFonts w:ascii="微软简隶书" w:eastAsia="微软简隶书"/>
          <w:color w:val="000000"/>
        </w:rPr>
      </w:pPr>
    </w:p>
    <w:p>
      <w:pPr>
        <w:jc w:val="center"/>
        <w:rPr>
          <w:rFonts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采购单位：禹州市古城镇人民政府</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331</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十</w:t>
      </w:r>
      <w:r>
        <w:rPr>
          <w:rFonts w:hint="eastAsia" w:ascii="仿宋" w:hAnsi="仿宋" w:eastAsia="仿宋" w:cs="仿宋"/>
          <w:b/>
          <w:bCs/>
          <w:color w:val="000000"/>
          <w:sz w:val="36"/>
          <w:szCs w:val="36"/>
          <w:lang w:val="en-US" w:eastAsia="zh-CN"/>
        </w:rPr>
        <w:t>二</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9"/>
      </w:pPr>
    </w:p>
    <w:p>
      <w:pPr>
        <w:pStyle w:val="20"/>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0"/>
        <w:widowControl/>
        <w:numPr>
          <w:ilvl w:val="0"/>
          <w:numId w:val="0"/>
        </w:numPr>
        <w:shd w:val="clear" w:color="auto" w:fill="FFFFFF"/>
        <w:spacing w:line="315" w:lineRule="atLeast"/>
        <w:jc w:val="both"/>
        <w:rPr>
          <w:rFonts w:hint="eastAsia"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禹州市薯粉小镇发展战略规划项目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pStyle w:val="2"/>
        <w:numPr>
          <w:ilvl w:val="0"/>
          <w:numId w:val="0"/>
        </w:numPr>
        <w:ind w:left="288" w:leftChars="0"/>
        <w:rPr>
          <w:rFonts w:hint="eastAsia"/>
        </w:rPr>
      </w:pPr>
    </w:p>
    <w:p>
      <w:pPr>
        <w:keepNext w:val="0"/>
        <w:keepLines w:val="0"/>
        <w:pageBreakBefore w:val="0"/>
        <w:kinsoku/>
        <w:overflowPunct/>
        <w:bidi w:val="0"/>
        <w:spacing w:line="40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禹州市政府采购中心受禹州市古城镇人民政府的委托，就“禹州市薯粉小镇发展战略规划项目”进行公开招标，欢迎合格的投标人前来投标。</w:t>
      </w:r>
    </w:p>
    <w:p>
      <w:pPr>
        <w:pStyle w:val="60"/>
        <w:keepNext w:val="0"/>
        <w:keepLines w:val="0"/>
        <w:pageBreakBefore w:val="0"/>
        <w:widowControl/>
        <w:numPr>
          <w:ilvl w:val="0"/>
          <w:numId w:val="0"/>
        </w:numPr>
        <w:shd w:val="clear" w:color="auto" w:fill="FFFFFF"/>
        <w:kinsoku/>
        <w:overflowPunct/>
        <w:bidi w:val="0"/>
        <w:spacing w:line="400" w:lineRule="exact"/>
        <w:ind w:leftChars="0" w:firstLine="482" w:firstLineChars="200"/>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lang w:eastAsia="zh-CN"/>
        </w:rPr>
        <w:t>一、</w:t>
      </w:r>
      <w:r>
        <w:rPr>
          <w:rFonts w:hint="eastAsia" w:ascii="新宋体" w:hAnsi="新宋体" w:eastAsia="新宋体" w:cs="新宋体"/>
          <w:b/>
          <w:color w:val="000000"/>
          <w:kern w:val="0"/>
          <w:sz w:val="24"/>
          <w:szCs w:val="24"/>
        </w:rPr>
        <w:t>项目基本情况</w:t>
      </w:r>
    </w:p>
    <w:p>
      <w:pPr>
        <w:keepNext w:val="0"/>
        <w:keepLines w:val="0"/>
        <w:pageBreakBefore w:val="0"/>
        <w:widowControl/>
        <w:shd w:val="clear" w:color="auto" w:fill="FFFFFF"/>
        <w:kinsoku/>
        <w:overflowPunct/>
        <w:bidi w:val="0"/>
        <w:spacing w:line="400" w:lineRule="exact"/>
        <w:ind w:firstLine="480" w:firstLineChars="200"/>
        <w:jc w:val="left"/>
        <w:textAlignment w:val="auto"/>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采购人：禹州市古城镇人民政府</w:t>
      </w:r>
    </w:p>
    <w:p>
      <w:pPr>
        <w:keepNext w:val="0"/>
        <w:keepLines w:val="0"/>
        <w:pageBreakBefore w:val="0"/>
        <w:widowControl/>
        <w:shd w:val="clear" w:color="auto" w:fill="FFFFFF"/>
        <w:kinsoku/>
        <w:overflowPunct/>
        <w:bidi w:val="0"/>
        <w:spacing w:line="40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color w:val="000000"/>
          <w:kern w:val="0"/>
          <w:sz w:val="24"/>
          <w:szCs w:val="24"/>
        </w:rPr>
        <w:t>项目名称：禹州市薯粉小镇发展战略规划项目</w:t>
      </w:r>
    </w:p>
    <w:p>
      <w:pPr>
        <w:keepNext w:val="0"/>
        <w:keepLines w:val="0"/>
        <w:pageBreakBefore w:val="0"/>
        <w:widowControl/>
        <w:shd w:val="clear" w:color="auto" w:fill="FFFFFF"/>
        <w:kinsoku/>
        <w:overflowPunct/>
        <w:bidi w:val="0"/>
        <w:spacing w:line="400" w:lineRule="exact"/>
        <w:ind w:firstLine="480" w:firstLineChars="200"/>
        <w:jc w:val="left"/>
        <w:textAlignment w:val="auto"/>
        <w:rPr>
          <w:rFonts w:hint="default"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3、采购编号：</w:t>
      </w:r>
      <w:r>
        <w:rPr>
          <w:rFonts w:hint="eastAsia" w:ascii="新宋体" w:hAnsi="新宋体" w:eastAsia="新宋体" w:cs="新宋体"/>
          <w:sz w:val="24"/>
          <w:szCs w:val="24"/>
        </w:rPr>
        <w:t>YZCG-G2019</w:t>
      </w:r>
      <w:r>
        <w:rPr>
          <w:rFonts w:hint="eastAsia" w:ascii="新宋体" w:hAnsi="新宋体" w:eastAsia="新宋体" w:cs="新宋体"/>
          <w:sz w:val="24"/>
          <w:szCs w:val="24"/>
          <w:lang w:val="en-US" w:eastAsia="zh-CN"/>
        </w:rPr>
        <w:t>331</w:t>
      </w:r>
    </w:p>
    <w:p>
      <w:pPr>
        <w:keepNext w:val="0"/>
        <w:keepLines w:val="0"/>
        <w:pageBreakBefore w:val="0"/>
        <w:widowControl/>
        <w:shd w:val="clear" w:color="auto" w:fill="FFFFFF"/>
        <w:kinsoku/>
        <w:overflowPunct/>
        <w:bidi w:val="0"/>
        <w:spacing w:line="40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4、项目需求：薯粉小镇发展战略规划规划（详见招标文件）</w:t>
      </w:r>
    </w:p>
    <w:p>
      <w:pPr>
        <w:keepNext w:val="0"/>
        <w:keepLines w:val="0"/>
        <w:pageBreakBefore w:val="0"/>
        <w:widowControl/>
        <w:shd w:val="clear" w:color="auto" w:fill="FFFFFF"/>
        <w:kinsoku/>
        <w:overflowPunct/>
        <w:bidi w:val="0"/>
        <w:spacing w:line="40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5、采购预算：</w:t>
      </w:r>
      <w:r>
        <w:rPr>
          <w:rFonts w:hint="eastAsia" w:ascii="新宋体" w:hAnsi="新宋体" w:eastAsia="新宋体" w:cs="新宋体"/>
          <w:color w:val="000000"/>
          <w:kern w:val="0"/>
          <w:sz w:val="24"/>
          <w:szCs w:val="24"/>
          <w:lang w:val="en-US" w:eastAsia="zh-CN"/>
        </w:rPr>
        <w:t>87.5</w:t>
      </w:r>
      <w:r>
        <w:rPr>
          <w:rFonts w:hint="eastAsia" w:ascii="新宋体" w:hAnsi="新宋体" w:eastAsia="新宋体" w:cs="新宋体"/>
          <w:kern w:val="0"/>
          <w:sz w:val="24"/>
          <w:szCs w:val="24"/>
          <w:lang w:val="en-US" w:eastAsia="zh-CN"/>
        </w:rPr>
        <w:t>万</w:t>
      </w:r>
      <w:r>
        <w:rPr>
          <w:rFonts w:hint="eastAsia" w:ascii="新宋体" w:hAnsi="新宋体" w:eastAsia="新宋体" w:cs="新宋体"/>
          <w:sz w:val="24"/>
          <w:szCs w:val="24"/>
        </w:rPr>
        <w:t>元</w:t>
      </w:r>
    </w:p>
    <w:p>
      <w:pPr>
        <w:keepNext w:val="0"/>
        <w:keepLines w:val="0"/>
        <w:pageBreakBefore w:val="0"/>
        <w:widowControl/>
        <w:shd w:val="clear" w:color="auto" w:fill="FFFFFF"/>
        <w:kinsoku/>
        <w:overflowPunct/>
        <w:bidi w:val="0"/>
        <w:spacing w:line="40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6、采购限价：</w:t>
      </w:r>
      <w:r>
        <w:rPr>
          <w:rFonts w:hint="eastAsia" w:ascii="新宋体" w:hAnsi="新宋体" w:eastAsia="新宋体" w:cs="新宋体"/>
          <w:sz w:val="24"/>
          <w:szCs w:val="24"/>
          <w:lang w:val="en-US" w:eastAsia="zh-CN"/>
        </w:rPr>
        <w:t>87.5</w:t>
      </w:r>
      <w:r>
        <w:rPr>
          <w:rFonts w:hint="eastAsia" w:ascii="新宋体" w:hAnsi="新宋体" w:eastAsia="新宋体" w:cs="新宋体"/>
          <w:sz w:val="24"/>
          <w:szCs w:val="24"/>
        </w:rPr>
        <w:t>万元</w:t>
      </w:r>
    </w:p>
    <w:p>
      <w:pPr>
        <w:keepNext w:val="0"/>
        <w:keepLines w:val="0"/>
        <w:pageBreakBefore w:val="0"/>
        <w:widowControl/>
        <w:shd w:val="clear" w:color="auto" w:fill="FFFFFF"/>
        <w:kinsoku/>
        <w:overflowPunct/>
        <w:bidi w:val="0"/>
        <w:spacing w:line="400" w:lineRule="exact"/>
        <w:ind w:firstLine="482" w:firstLineChars="200"/>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keepNext w:val="0"/>
        <w:keepLines w:val="0"/>
        <w:pageBreakBefore w:val="0"/>
        <w:widowControl/>
        <w:shd w:val="clear" w:color="auto" w:fill="FFFFFF"/>
        <w:kinsoku/>
        <w:overflowPunct/>
        <w:bidi w:val="0"/>
        <w:spacing w:line="40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本项目落实节约能源、保护环境、扶持不发达地区和少数民族地区、促进中小企业、监狱企业发展等政府采购政策。（详见招标文件）</w:t>
      </w:r>
    </w:p>
    <w:p>
      <w:pPr>
        <w:keepNext w:val="0"/>
        <w:keepLines w:val="0"/>
        <w:pageBreakBefore w:val="0"/>
        <w:widowControl/>
        <w:shd w:val="clear" w:color="auto" w:fill="FFFFFF"/>
        <w:kinsoku/>
        <w:overflowPunct/>
        <w:bidi w:val="0"/>
        <w:spacing w:line="400" w:lineRule="exact"/>
        <w:ind w:firstLine="482" w:firstLineChars="200"/>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三、供应商资格要求：</w:t>
      </w:r>
    </w:p>
    <w:p>
      <w:pPr>
        <w:keepNext w:val="0"/>
        <w:keepLines w:val="0"/>
        <w:pageBreakBefore w:val="0"/>
        <w:widowControl/>
        <w:shd w:val="clear" w:color="auto" w:fill="FFFFFF"/>
        <w:kinsoku/>
        <w:overflowPunct/>
        <w:bidi w:val="0"/>
        <w:spacing w:line="400" w:lineRule="exact"/>
        <w:ind w:firstLine="480" w:firstLineChars="200"/>
        <w:jc w:val="left"/>
        <w:textAlignment w:val="auto"/>
        <w:rPr>
          <w:rFonts w:hint="eastAsia" w:ascii="新宋体" w:hAnsi="新宋体" w:eastAsia="新宋体" w:cs="新宋体"/>
          <w:sz w:val="24"/>
          <w:szCs w:val="24"/>
          <w:lang w:eastAsia="zh-CN"/>
        </w:rPr>
      </w:pPr>
      <w:r>
        <w:rPr>
          <w:rFonts w:hint="eastAsia" w:ascii="新宋体" w:hAnsi="新宋体" w:eastAsia="新宋体" w:cs="新宋体"/>
          <w:sz w:val="24"/>
          <w:szCs w:val="24"/>
        </w:rPr>
        <w:t>1、符合《政府采购法》第二十二条之规定</w:t>
      </w:r>
      <w:r>
        <w:rPr>
          <w:rFonts w:hint="eastAsia" w:ascii="新宋体" w:hAnsi="新宋体" w:eastAsia="新宋体" w:cs="新宋体"/>
          <w:sz w:val="24"/>
          <w:szCs w:val="24"/>
          <w:lang w:eastAsia="zh-CN"/>
        </w:rPr>
        <w:t>；</w:t>
      </w:r>
    </w:p>
    <w:p>
      <w:pPr>
        <w:keepNext w:val="0"/>
        <w:keepLines w:val="0"/>
        <w:pageBreakBefore w:val="0"/>
        <w:widowControl/>
        <w:shd w:val="clear" w:color="auto" w:fill="FFFFFF"/>
        <w:kinsoku/>
        <w:overflowPunct/>
        <w:bidi w:val="0"/>
        <w:spacing w:line="400" w:lineRule="exact"/>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2、投标人须具有规划编制设计乙级及以上资质，拟派项目负责人具有相关专业技术职称；</w:t>
      </w:r>
    </w:p>
    <w:p>
      <w:pPr>
        <w:keepNext w:val="0"/>
        <w:keepLines w:val="0"/>
        <w:pageBreakBefore w:val="0"/>
        <w:widowControl/>
        <w:shd w:val="clear" w:color="auto" w:fill="FFFFFF"/>
        <w:kinsoku/>
        <w:overflowPunct/>
        <w:bidi w:val="0"/>
        <w:spacing w:line="40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、被委托人是须是本单位职工，须提供公司为本人缴纳社会保险证明；</w:t>
      </w:r>
    </w:p>
    <w:p>
      <w:pPr>
        <w:keepNext w:val="0"/>
        <w:keepLines w:val="0"/>
        <w:pageBreakBefore w:val="0"/>
        <w:widowControl/>
        <w:shd w:val="clear" w:color="auto" w:fill="FFFFFF"/>
        <w:kinsoku/>
        <w:overflowPunct/>
        <w:bidi w:val="0"/>
        <w:spacing w:line="40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、本项目不接受联合体投标。</w:t>
      </w:r>
    </w:p>
    <w:p>
      <w:pPr>
        <w:keepNext w:val="0"/>
        <w:keepLines w:val="0"/>
        <w:pageBreakBefore w:val="0"/>
        <w:widowControl/>
        <w:shd w:val="clear" w:color="auto" w:fill="FFFFFF"/>
        <w:kinsoku/>
        <w:overflowPunct/>
        <w:bidi w:val="0"/>
        <w:spacing w:line="400" w:lineRule="exact"/>
        <w:ind w:firstLine="482" w:firstLineChars="200"/>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四、获取招标文件的方式、时间、地点</w:t>
      </w:r>
    </w:p>
    <w:p>
      <w:pPr>
        <w:keepNext w:val="0"/>
        <w:keepLines w:val="0"/>
        <w:pageBreakBefore w:val="0"/>
        <w:kinsoku/>
        <w:wordWrap w:val="0"/>
        <w:overflowPunct/>
        <w:topLinePunct/>
        <w:bidi w:val="0"/>
        <w:snapToGrid w:val="0"/>
        <w:spacing w:line="400" w:lineRule="exact"/>
        <w:ind w:firstLine="480" w:firstLineChars="200"/>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"http://221.14.6.70:8088/ggzy/eps/public/RegistAllJcxx.html" </w:instrText>
      </w:r>
      <w:r>
        <w:rPr>
          <w:rFonts w:hint="eastAsia" w:ascii="新宋体" w:hAnsi="新宋体" w:eastAsia="新宋体" w:cs="新宋体"/>
          <w:color w:val="auto"/>
          <w:sz w:val="24"/>
          <w:szCs w:val="24"/>
          <w:u w:val="none"/>
          <w:lang w:val="zh-CN"/>
        </w:rPr>
        <w:fldChar w:fldCharType="separate"/>
      </w:r>
      <w:r>
        <w:rPr>
          <w:rStyle w:val="28"/>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400" w:lineRule="exact"/>
        <w:ind w:firstLine="480" w:firstLineChars="200"/>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2、在投标截止时间前登录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"http://ggzy.xuchang.gov.cn/" </w:instrText>
      </w:r>
      <w:r>
        <w:rPr>
          <w:rFonts w:hint="eastAsia" w:ascii="新宋体" w:hAnsi="新宋体" w:eastAsia="新宋体" w:cs="新宋体"/>
          <w:color w:val="auto"/>
          <w:sz w:val="24"/>
          <w:szCs w:val="24"/>
          <w:u w:val="none"/>
          <w:lang w:val="zh-CN"/>
        </w:rPr>
        <w:fldChar w:fldCharType="separate"/>
      </w:r>
      <w:r>
        <w:rPr>
          <w:rStyle w:val="28"/>
          <w:rFonts w:hint="eastAsia" w:ascii="新宋体" w:hAnsi="新宋体" w:eastAsia="新宋体" w:cs="新宋体"/>
          <w:sz w:val="24"/>
          <w:szCs w:val="24"/>
          <w:lang w:val="zh-CN"/>
        </w:rPr>
        <w:t>http://ggzy.xuchang.gov.cn</w:t>
      </w:r>
      <w:r>
        <w:rPr>
          <w:rStyle w:val="28"/>
          <w:rFonts w:hint="eastAsia" w:ascii="新宋体" w:hAnsi="新宋体" w:eastAsia="新宋体" w:cs="新宋体"/>
          <w:sz w:val="24"/>
          <w:szCs w:val="24"/>
          <w:lang w:val="en-US" w:eastAsia="zh-CN"/>
        </w:rPr>
        <w:t>/</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，自行下载招标文件（详见全国公共资源交易平台（河南省·许昌市）“常见问题解答-交易系统操作手册”）。</w:t>
      </w:r>
    </w:p>
    <w:p>
      <w:pPr>
        <w:keepNext w:val="0"/>
        <w:keepLines w:val="0"/>
        <w:pageBreakBefore w:val="0"/>
        <w:kinsoku/>
        <w:wordWrap w:val="0"/>
        <w:overflowPunct/>
        <w:topLinePunct/>
        <w:autoSpaceDE w:val="0"/>
        <w:autoSpaceDN w:val="0"/>
        <w:bidi w:val="0"/>
        <w:adjustRightInd w:val="0"/>
        <w:snapToGrid w:val="0"/>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3、未通过全国公共资源交易平台（河南省·许昌市）下载招标文件的投标企业，拒收其递交的投标文件。</w:t>
      </w:r>
    </w:p>
    <w:p>
      <w:pPr>
        <w:keepNext w:val="0"/>
        <w:keepLines w:val="0"/>
        <w:pageBreakBefore w:val="0"/>
        <w:kinsoku/>
        <w:wordWrap w:val="0"/>
        <w:overflowPunct/>
        <w:topLinePunct/>
        <w:autoSpaceDE w:val="0"/>
        <w:autoSpaceDN w:val="0"/>
        <w:bidi w:val="0"/>
        <w:adjustRightInd w:val="0"/>
        <w:snapToGrid w:val="0"/>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4、招标文件每份售价人民</w:t>
      </w:r>
      <w:r>
        <w:rPr>
          <w:rFonts w:hint="eastAsia" w:ascii="新宋体" w:hAnsi="新宋体" w:eastAsia="新宋体" w:cs="新宋体"/>
          <w:sz w:val="24"/>
          <w:szCs w:val="24"/>
          <w:lang w:eastAsia="zh-CN"/>
        </w:rPr>
        <w:t>币</w:t>
      </w:r>
      <w:r>
        <w:rPr>
          <w:rFonts w:hint="eastAsia" w:ascii="新宋体" w:hAnsi="新宋体" w:eastAsia="新宋体" w:cs="新宋体"/>
          <w:sz w:val="24"/>
          <w:szCs w:val="24"/>
        </w:rPr>
        <w:t>500元（开标时现场收取现金），于递交投标文件时缴纳给采购代理机构，售后不退。</w:t>
      </w:r>
    </w:p>
    <w:p>
      <w:pPr>
        <w:keepNext w:val="0"/>
        <w:keepLines w:val="0"/>
        <w:pageBreakBefore w:val="0"/>
        <w:widowControl/>
        <w:shd w:val="clear" w:color="auto" w:fill="FFFFFF"/>
        <w:kinsoku/>
        <w:overflowPunct/>
        <w:bidi w:val="0"/>
        <w:spacing w:line="400" w:lineRule="exact"/>
        <w:ind w:firstLine="482" w:firstLineChars="200"/>
        <w:jc w:val="left"/>
        <w:textAlignment w:val="auto"/>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五、投标截止时间、开标时间及地点：</w:t>
      </w:r>
    </w:p>
    <w:p>
      <w:pPr>
        <w:keepNext w:val="0"/>
        <w:keepLines w:val="0"/>
        <w:pageBreakBefore w:val="0"/>
        <w:widowControl/>
        <w:shd w:val="clear" w:color="auto" w:fill="FFFFFF"/>
        <w:kinsoku/>
        <w:overflowPunct/>
        <w:bidi w:val="0"/>
        <w:spacing w:line="40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1、投标截止及开标时间：2019年</w:t>
      </w:r>
      <w:r>
        <w:rPr>
          <w:rFonts w:hint="eastAsia" w:ascii="新宋体" w:hAnsi="新宋体" w:eastAsia="新宋体" w:cs="新宋体"/>
          <w:color w:val="000000"/>
          <w:kern w:val="0"/>
          <w:sz w:val="24"/>
          <w:szCs w:val="24"/>
          <w:lang w:val="en-US" w:eastAsia="zh-CN"/>
        </w:rPr>
        <w:t xml:space="preserve"> 12</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25</w:t>
      </w:r>
      <w:r>
        <w:rPr>
          <w:rFonts w:hint="eastAsia" w:ascii="新宋体" w:hAnsi="新宋体" w:eastAsia="新宋体" w:cs="新宋体"/>
          <w:color w:val="000000"/>
          <w:kern w:val="0"/>
          <w:sz w:val="24"/>
          <w:szCs w:val="24"/>
        </w:rPr>
        <w:t xml:space="preserve">日 </w:t>
      </w:r>
      <w:r>
        <w:rPr>
          <w:rFonts w:hint="eastAsia" w:ascii="新宋体" w:hAnsi="新宋体" w:eastAsia="新宋体" w:cs="新宋体"/>
          <w:color w:val="000000"/>
          <w:kern w:val="0"/>
          <w:sz w:val="24"/>
          <w:szCs w:val="24"/>
          <w:lang w:val="en-US" w:eastAsia="zh-CN"/>
        </w:rPr>
        <w:t xml:space="preserve">9：00 </w:t>
      </w:r>
      <w:r>
        <w:rPr>
          <w:rFonts w:hint="eastAsia" w:ascii="新宋体" w:hAnsi="新宋体" w:eastAsia="新宋体" w:cs="新宋体"/>
          <w:color w:val="000000"/>
          <w:kern w:val="0"/>
          <w:sz w:val="24"/>
          <w:szCs w:val="24"/>
        </w:rPr>
        <w:t>（北京时间），逾期送达或不符合规定的投标文件不予接受。</w:t>
      </w:r>
    </w:p>
    <w:p>
      <w:pPr>
        <w:keepNext w:val="0"/>
        <w:keepLines w:val="0"/>
        <w:pageBreakBefore w:val="0"/>
        <w:kinsoku/>
        <w:overflowPunct/>
        <w:bidi w:val="0"/>
        <w:spacing w:line="40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2、开标地点：</w:t>
      </w:r>
      <w:r>
        <w:rPr>
          <w:rFonts w:hint="eastAsia" w:ascii="新宋体" w:hAnsi="新宋体" w:eastAsia="新宋体" w:cs="新宋体"/>
          <w:sz w:val="24"/>
          <w:szCs w:val="24"/>
        </w:rPr>
        <w:t>禹州市公共资源交易中心第二开标室（禹州市行政服务中心楼9楼）</w:t>
      </w:r>
      <w:r>
        <w:rPr>
          <w:rFonts w:hint="eastAsia" w:ascii="新宋体" w:hAnsi="新宋体" w:eastAsia="新宋体" w:cs="新宋体"/>
          <w:color w:val="000000"/>
          <w:kern w:val="0"/>
          <w:sz w:val="24"/>
          <w:szCs w:val="24"/>
        </w:rPr>
        <w:t xml:space="preserve"> </w:t>
      </w:r>
    </w:p>
    <w:p>
      <w:pPr>
        <w:keepNext w:val="0"/>
        <w:keepLines w:val="0"/>
        <w:pageBreakBefore w:val="0"/>
        <w:kinsoku/>
        <w:overflowPunct/>
        <w:bidi w:val="0"/>
        <w:spacing w:line="40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keepNext w:val="0"/>
        <w:keepLines w:val="0"/>
        <w:pageBreakBefore w:val="0"/>
        <w:kinsoku/>
        <w:overflowPunct/>
        <w:bidi w:val="0"/>
        <w:spacing w:line="40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0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00" w:lineRule="exact"/>
        <w:ind w:firstLine="482" w:firstLineChars="200"/>
        <w:jc w:val="left"/>
        <w:textAlignment w:val="auto"/>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00" w:lineRule="exact"/>
        <w:ind w:firstLine="482" w:firstLineChars="200"/>
        <w:jc w:val="left"/>
        <w:textAlignment w:val="auto"/>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七、代理机构及采购单位地址、联系人、联系电话</w:t>
      </w:r>
    </w:p>
    <w:p>
      <w:pPr>
        <w:keepNext w:val="0"/>
        <w:keepLines w:val="0"/>
        <w:pageBreakBefore w:val="0"/>
        <w:widowControl/>
        <w:shd w:val="clear" w:color="auto" w:fill="FFFFFF"/>
        <w:kinsoku/>
        <w:overflowPunct/>
        <w:bidi w:val="0"/>
        <w:spacing w:line="40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keepNext w:val="0"/>
        <w:keepLines w:val="0"/>
        <w:pageBreakBefore w:val="0"/>
        <w:widowControl/>
        <w:shd w:val="clear" w:color="auto" w:fill="FFFFFF"/>
        <w:kinsoku/>
        <w:overflowPunct/>
        <w:bidi w:val="0"/>
        <w:spacing w:line="400" w:lineRule="exact"/>
        <w:ind w:firstLine="641"/>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地址：禹州市行政服务中心楼917房间</w:t>
      </w:r>
    </w:p>
    <w:p>
      <w:pPr>
        <w:keepNext w:val="0"/>
        <w:keepLines w:val="0"/>
        <w:pageBreakBefore w:val="0"/>
        <w:widowControl/>
        <w:shd w:val="clear" w:color="auto" w:fill="FFFFFF"/>
        <w:kinsoku/>
        <w:overflowPunct/>
        <w:bidi w:val="0"/>
        <w:spacing w:line="400" w:lineRule="exact"/>
        <w:ind w:firstLine="641"/>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联系人：</w:t>
      </w:r>
      <w:r>
        <w:rPr>
          <w:rFonts w:hint="eastAsia" w:ascii="新宋体" w:hAnsi="新宋体" w:eastAsia="新宋体" w:cs="新宋体"/>
          <w:sz w:val="24"/>
          <w:szCs w:val="24"/>
          <w:lang w:val="en-US" w:eastAsia="zh-CN"/>
        </w:rPr>
        <w:t>李女士</w:t>
      </w: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联系电话：0374-2077111</w:t>
      </w:r>
    </w:p>
    <w:p>
      <w:pPr>
        <w:keepNext w:val="0"/>
        <w:keepLines w:val="0"/>
        <w:pageBreakBefore w:val="0"/>
        <w:widowControl/>
        <w:shd w:val="clear" w:color="auto" w:fill="FFFFFF"/>
        <w:kinsoku/>
        <w:overflowPunct/>
        <w:bidi w:val="0"/>
        <w:spacing w:line="400" w:lineRule="exact"/>
        <w:ind w:firstLine="641"/>
        <w:jc w:val="left"/>
        <w:textAlignment w:val="auto"/>
        <w:rPr>
          <w:rFonts w:hint="eastAsia" w:ascii="新宋体" w:hAnsi="新宋体" w:eastAsia="新宋体" w:cs="新宋体"/>
          <w:sz w:val="24"/>
          <w:szCs w:val="24"/>
          <w:lang w:eastAsia="zh-CN"/>
        </w:rPr>
      </w:pPr>
      <w:r>
        <w:rPr>
          <w:rFonts w:hint="eastAsia" w:ascii="新宋体" w:hAnsi="新宋体" w:eastAsia="新宋体" w:cs="新宋体"/>
          <w:sz w:val="24"/>
          <w:szCs w:val="24"/>
        </w:rPr>
        <w:t>（二）采购单位：禹州市</w:t>
      </w:r>
      <w:r>
        <w:rPr>
          <w:rFonts w:hint="eastAsia" w:ascii="新宋体" w:hAnsi="新宋体" w:eastAsia="新宋体" w:cs="新宋体"/>
          <w:sz w:val="24"/>
          <w:szCs w:val="24"/>
          <w:lang w:eastAsia="zh-CN"/>
        </w:rPr>
        <w:t>古城镇人民政府</w:t>
      </w:r>
    </w:p>
    <w:p>
      <w:pPr>
        <w:keepNext w:val="0"/>
        <w:keepLines w:val="0"/>
        <w:pageBreakBefore w:val="0"/>
        <w:widowControl/>
        <w:shd w:val="clear" w:color="auto" w:fill="FFFFFF"/>
        <w:kinsoku/>
        <w:overflowPunct/>
        <w:bidi w:val="0"/>
        <w:spacing w:line="400" w:lineRule="exact"/>
        <w:ind w:firstLine="641"/>
        <w:jc w:val="left"/>
        <w:textAlignment w:val="auto"/>
        <w:rPr>
          <w:rFonts w:hint="eastAsia" w:ascii="新宋体" w:hAnsi="新宋体" w:eastAsia="新宋体" w:cs="新宋体"/>
          <w:sz w:val="24"/>
          <w:szCs w:val="24"/>
          <w:lang w:eastAsia="zh-CN"/>
        </w:rPr>
      </w:pPr>
      <w:r>
        <w:rPr>
          <w:rFonts w:hint="eastAsia" w:ascii="新宋体" w:hAnsi="新宋体" w:eastAsia="新宋体" w:cs="新宋体"/>
          <w:sz w:val="24"/>
          <w:szCs w:val="24"/>
        </w:rPr>
        <w:t>地址：禹州市</w:t>
      </w:r>
      <w:r>
        <w:rPr>
          <w:rFonts w:hint="eastAsia" w:ascii="新宋体" w:hAnsi="新宋体" w:eastAsia="新宋体" w:cs="新宋体"/>
          <w:sz w:val="24"/>
          <w:szCs w:val="24"/>
          <w:lang w:eastAsia="zh-CN"/>
        </w:rPr>
        <w:t>古城镇人民政府</w:t>
      </w:r>
    </w:p>
    <w:p>
      <w:pPr>
        <w:keepNext w:val="0"/>
        <w:keepLines w:val="0"/>
        <w:pageBreakBefore w:val="0"/>
        <w:widowControl/>
        <w:shd w:val="clear" w:color="auto" w:fill="FFFFFF"/>
        <w:kinsoku/>
        <w:overflowPunct/>
        <w:bidi w:val="0"/>
        <w:spacing w:line="400" w:lineRule="exact"/>
        <w:ind w:firstLine="641"/>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联系人：</w:t>
      </w:r>
      <w:r>
        <w:rPr>
          <w:rFonts w:hint="eastAsia" w:ascii="新宋体" w:hAnsi="新宋体" w:eastAsia="新宋体" w:cs="新宋体"/>
          <w:sz w:val="24"/>
          <w:szCs w:val="24"/>
          <w:lang w:eastAsia="zh-CN"/>
        </w:rPr>
        <w:t>白</w:t>
      </w:r>
      <w:r>
        <w:rPr>
          <w:rFonts w:hint="eastAsia" w:ascii="新宋体" w:hAnsi="新宋体" w:eastAsia="新宋体" w:cs="新宋体"/>
          <w:sz w:val="24"/>
          <w:szCs w:val="24"/>
        </w:rPr>
        <w:t>先生   联系电话：</w:t>
      </w:r>
      <w:r>
        <w:rPr>
          <w:rFonts w:hint="eastAsia" w:ascii="新宋体" w:hAnsi="新宋体" w:eastAsia="新宋体" w:cs="新宋体"/>
          <w:sz w:val="24"/>
          <w:szCs w:val="24"/>
          <w:lang w:val="en-US" w:eastAsia="zh-CN"/>
        </w:rPr>
        <w:t>0374-9622736</w:t>
      </w:r>
    </w:p>
    <w:p>
      <w:pPr>
        <w:keepNext w:val="0"/>
        <w:keepLines w:val="0"/>
        <w:pageBreakBefore w:val="0"/>
        <w:kinsoku/>
        <w:overflowPunct/>
        <w:bidi w:val="0"/>
        <w:spacing w:line="400" w:lineRule="exact"/>
        <w:ind w:firstLine="2640" w:firstLineChars="1100"/>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p>
    <w:p>
      <w:pPr>
        <w:keepNext w:val="0"/>
        <w:keepLines w:val="0"/>
        <w:pageBreakBefore w:val="0"/>
        <w:kinsoku/>
        <w:overflowPunct/>
        <w:bidi w:val="0"/>
        <w:spacing w:line="400" w:lineRule="exact"/>
        <w:ind w:firstLine="5760" w:firstLineChars="2400"/>
        <w:textAlignment w:val="auto"/>
        <w:rPr>
          <w:rFonts w:hint="eastAsia" w:ascii="仿宋" w:hAnsi="仿宋" w:eastAsia="仿宋" w:cs="仿宋"/>
          <w:b/>
          <w:bCs/>
          <w:sz w:val="36"/>
          <w:szCs w:val="36"/>
        </w:rPr>
      </w:pPr>
      <w:r>
        <w:rPr>
          <w:rFonts w:hint="eastAsia" w:ascii="新宋体" w:hAnsi="新宋体" w:eastAsia="新宋体" w:cs="新宋体"/>
          <w:sz w:val="24"/>
          <w:szCs w:val="24"/>
        </w:rPr>
        <w:t xml:space="preserve"> 2019年</w:t>
      </w:r>
      <w:r>
        <w:rPr>
          <w:rFonts w:hint="eastAsia" w:ascii="新宋体" w:hAnsi="新宋体" w:eastAsia="新宋体" w:cs="新宋体"/>
          <w:sz w:val="24"/>
          <w:szCs w:val="24"/>
          <w:lang w:val="en-US" w:eastAsia="zh-CN"/>
        </w:rPr>
        <w:t xml:space="preserve"> 12</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 xml:space="preserve"> 2 </w:t>
      </w:r>
      <w:r>
        <w:rPr>
          <w:rFonts w:hint="eastAsia" w:ascii="新宋体" w:hAnsi="新宋体" w:eastAsia="新宋体" w:cs="新宋体"/>
          <w:sz w:val="24"/>
          <w:szCs w:val="24"/>
        </w:rPr>
        <w:t>日</w:t>
      </w:r>
    </w:p>
    <w:p>
      <w:pPr>
        <w:spacing w:line="360" w:lineRule="auto"/>
        <w:rPr>
          <w:rFonts w:hint="eastAsia"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
        <w:numPr>
          <w:ilvl w:val="0"/>
          <w:numId w:val="0"/>
        </w:numPr>
        <w:rPr>
          <w:rFonts w:hint="eastAsia"/>
          <w:lang w:eastAsia="zh-CN"/>
        </w:rPr>
      </w:pPr>
    </w:p>
    <w:p>
      <w:pPr>
        <w:rPr>
          <w:rFonts w:hint="eastAsia"/>
          <w:lang w:eastAsia="zh-CN"/>
        </w:rPr>
      </w:pPr>
    </w:p>
    <w:p>
      <w:pPr>
        <w:pStyle w:val="2"/>
        <w:numPr>
          <w:ilvl w:val="0"/>
          <w:numId w:val="0"/>
        </w:numPr>
        <w:rPr>
          <w:rFonts w:hint="eastAsia"/>
          <w:lang w:eastAsia="zh-CN"/>
        </w:rPr>
      </w:pPr>
    </w:p>
    <w:p>
      <w:pPr>
        <w:rPr>
          <w:rFonts w:hint="eastAsia"/>
          <w:lang w:eastAsia="zh-CN"/>
        </w:rPr>
      </w:pPr>
    </w:p>
    <w:p>
      <w:pPr>
        <w:pStyle w:val="2"/>
        <w:numPr>
          <w:ilvl w:val="0"/>
          <w:numId w:val="0"/>
        </w:numPr>
        <w:ind w:left="288" w:leftChars="0"/>
        <w:rPr>
          <w:rFonts w:hint="eastAsia"/>
          <w:lang w:eastAsia="zh-CN"/>
        </w:rPr>
      </w:pPr>
    </w:p>
    <w:p>
      <w:pPr>
        <w:numPr>
          <w:ilvl w:val="0"/>
          <w:numId w:val="5"/>
        </w:numPr>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31"/>
        <w:rPr>
          <w:rFonts w:hint="eastAsia"/>
        </w:rPr>
      </w:pPr>
    </w:p>
    <w:p>
      <w:pPr>
        <w:widowControl/>
        <w:numPr>
          <w:ilvl w:val="0"/>
          <w:numId w:val="6"/>
        </w:numPr>
        <w:shd w:val="clear" w:color="auto" w:fill="FFFFFF"/>
        <w:spacing w:line="360" w:lineRule="auto"/>
        <w:ind w:firstLine="6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本项目需实现的功能或者目标</w:t>
      </w:r>
    </w:p>
    <w:p>
      <w:pPr>
        <w:pStyle w:val="21"/>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 xml:space="preserve"> 为深入落实国家和河南省特色小镇创建工作的有关指示精神，加快推进禹州市小城镇发展战略转型，探索适用于薯粉产业集聚，环境宜居的禹州市古城镇绿色可持续发展道路，禹州市古城镇拟开展《河南禹州市薯粉小镇发展规划》编制工作。</w:t>
      </w:r>
    </w:p>
    <w:p>
      <w:pPr>
        <w:pStyle w:val="21"/>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主要工作内容包括：</w:t>
      </w:r>
    </w:p>
    <w:p>
      <w:pPr>
        <w:pStyle w:val="21"/>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1、全面调研和基础资料收集。包括工作方案编制、启动会相关材料准备、基础资料收集和整理、现场调研，形成规划基础数据和材料库。</w:t>
      </w:r>
    </w:p>
    <w:p>
      <w:pPr>
        <w:pStyle w:val="21"/>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2、开展专题研究，剖析重大发展问题。以国家和河南省特色小镇创建工作为要求，开展古城镇薯粉企业运营情况、村镇环境整治、土地利用摸底等3项前期工作，夯实规划编制基础；针对影响特色小镇发展的宏观性、创新性、关键性问题，开展政策、产业、环境、土地利用、创建机制5项专题研究，形成专题研究报告和综合研究成果，提出问题解决方案和建议。</w:t>
      </w:r>
    </w:p>
    <w:p>
      <w:pPr>
        <w:pStyle w:val="21"/>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需要完成的专题研究包括：</w:t>
      </w:r>
    </w:p>
    <w:p>
      <w:pPr>
        <w:pStyle w:val="21"/>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（1）国家及河南省特色小镇培育与创建政策分析</w:t>
      </w:r>
    </w:p>
    <w:p>
      <w:pPr>
        <w:pStyle w:val="21"/>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（2）古城镇相关企业调查分析</w:t>
      </w:r>
    </w:p>
    <w:p>
      <w:pPr>
        <w:pStyle w:val="21"/>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（3）古城镇土地利用研究</w:t>
      </w:r>
    </w:p>
    <w:p>
      <w:pPr>
        <w:pStyle w:val="21"/>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（4）古城镇三生空间融合发展研究</w:t>
      </w:r>
    </w:p>
    <w:p>
      <w:pPr>
        <w:pStyle w:val="21"/>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（5）薯粉特色小镇创建培育机制分析</w:t>
      </w:r>
    </w:p>
    <w:p>
      <w:pPr>
        <w:pStyle w:val="21"/>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3、开展规划方案编制。包括主要规划指标体系研究、主要规划调控指标预测、指标分解方案、产业集聚与产业平台建设，三生空间融合、土地利用优化布局等，形成以特色小镇为核心来辐射带动古城镇和禹州市薯类种植和“三粉”产业发展的规划方案；开展规划方案多方意见征询、专家咨询和汇报等工作。</w:t>
      </w:r>
    </w:p>
    <w:p>
      <w:pPr>
        <w:pStyle w:val="21"/>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4、开展规划成果编制。基于前期专题研究和规划方案编制，完成规划文本、说明、图件编制工作，形成规划成果。</w:t>
      </w:r>
    </w:p>
    <w:p>
      <w:pPr>
        <w:keepNext w:val="0"/>
        <w:keepLines w:val="0"/>
        <w:pageBreakBefore w:val="0"/>
        <w:widowControl/>
        <w:numPr>
          <w:ilvl w:val="0"/>
          <w:numId w:val="6"/>
        </w:numPr>
        <w:shd w:val="clear" w:color="auto" w:fill="FFFFFF"/>
        <w:kinsoku/>
        <w:wordWrap/>
        <w:overflowPunct/>
        <w:topLinePunct w:val="0"/>
        <w:autoSpaceDE/>
        <w:autoSpaceDN/>
        <w:bidi w:val="0"/>
        <w:adjustRightInd/>
        <w:snapToGrid/>
        <w:spacing w:line="560" w:lineRule="exact"/>
        <w:ind w:left="0" w:leftChars="0" w:firstLine="600" w:firstLineChars="0"/>
        <w:jc w:val="both"/>
        <w:textAlignment w:val="auto"/>
        <w:rPr>
          <w:rFonts w:hint="eastAsia" w:ascii="新宋体" w:hAnsi="新宋体" w:eastAsia="新宋体" w:cs="新宋体"/>
          <w:b/>
          <w:bCs/>
          <w:color w:val="000000"/>
          <w:kern w:val="0"/>
          <w:sz w:val="24"/>
          <w:szCs w:val="24"/>
          <w:lang w:eastAsia="zh-CN"/>
        </w:rPr>
      </w:pPr>
      <w:r>
        <w:rPr>
          <w:rFonts w:hint="eastAsia" w:ascii="新宋体" w:hAnsi="新宋体" w:eastAsia="新宋体" w:cs="新宋体"/>
          <w:b/>
          <w:bCs/>
          <w:color w:val="000000"/>
          <w:kern w:val="0"/>
          <w:sz w:val="24"/>
          <w:szCs w:val="24"/>
          <w:lang w:val="en-US" w:eastAsia="zh-CN"/>
        </w:rPr>
        <w:t>采购清单</w:t>
      </w:r>
      <w:r>
        <w:rPr>
          <w:rFonts w:hint="eastAsia" w:ascii="新宋体" w:hAnsi="新宋体" w:eastAsia="新宋体" w:cs="新宋体"/>
          <w:b/>
          <w:bCs/>
          <w:color w:val="000000"/>
          <w:kern w:val="0"/>
          <w:sz w:val="24"/>
          <w:szCs w:val="24"/>
          <w:lang w:eastAsia="zh-CN"/>
        </w:rPr>
        <w:t>：</w:t>
      </w:r>
    </w:p>
    <w:tbl>
      <w:tblPr>
        <w:tblStyle w:val="2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5"/>
        <w:gridCol w:w="1398"/>
        <w:gridCol w:w="4183"/>
        <w:gridCol w:w="840"/>
        <w:gridCol w:w="839"/>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序号</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货物名称</w:t>
            </w:r>
          </w:p>
        </w:tc>
        <w:tc>
          <w:tcPr>
            <w:tcW w:w="41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21"/>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技术规格及主要参数</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单位</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数量</w:t>
            </w:r>
          </w:p>
        </w:tc>
        <w:tc>
          <w:tcPr>
            <w:tcW w:w="1115" w:type="dxa"/>
            <w:tcBorders>
              <w:top w:val="single" w:color="auto" w:sz="4" w:space="0"/>
              <w:left w:val="single" w:color="auto" w:sz="4" w:space="0"/>
              <w:bottom w:val="single" w:color="auto" w:sz="4" w:space="0"/>
              <w:right w:val="single" w:color="auto" w:sz="4" w:space="0"/>
            </w:tcBorders>
          </w:tcPr>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2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1</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禹州市薯粉小镇发展规划</w:t>
            </w:r>
          </w:p>
        </w:tc>
        <w:tc>
          <w:tcPr>
            <w:tcW w:w="41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2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提出并形成以薯粉特色小镇规划方案，辐射带动古城镇和禹州市薯类种植和“三粉”产业发展</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2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1</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2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1</w:t>
            </w:r>
          </w:p>
        </w:tc>
        <w:tc>
          <w:tcPr>
            <w:tcW w:w="1115" w:type="dxa"/>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是</w:t>
            </w:r>
          </w:p>
        </w:tc>
      </w:tr>
    </w:tbl>
    <w:p>
      <w:pPr>
        <w:keepNext w:val="0"/>
        <w:keepLines w:val="0"/>
        <w:pageBreakBefore w:val="0"/>
        <w:widowControl/>
        <w:numPr>
          <w:ilvl w:val="0"/>
          <w:numId w:val="0"/>
        </w:numPr>
        <w:kinsoku/>
        <w:overflowPunct/>
        <w:bidi w:val="0"/>
        <w:snapToGrid/>
        <w:spacing w:line="360" w:lineRule="auto"/>
        <w:ind w:left="600" w:leftChars="0"/>
        <w:jc w:val="both"/>
        <w:textAlignment w:val="center"/>
        <w:rPr>
          <w:rFonts w:hint="eastAsia" w:ascii="新宋体" w:hAnsi="新宋体" w:eastAsia="新宋体" w:cs="新宋体"/>
          <w:b/>
          <w:bCs/>
          <w:color w:val="000000"/>
          <w:kern w:val="0"/>
          <w:sz w:val="24"/>
          <w:szCs w:val="24"/>
          <w:lang w:val="en-US" w:eastAsia="zh-CN" w:bidi="ar-SA"/>
        </w:rPr>
      </w:pPr>
    </w:p>
    <w:p>
      <w:pPr>
        <w:keepNext w:val="0"/>
        <w:keepLines w:val="0"/>
        <w:pageBreakBefore w:val="0"/>
        <w:widowControl/>
        <w:numPr>
          <w:ilvl w:val="0"/>
          <w:numId w:val="0"/>
        </w:numPr>
        <w:kinsoku/>
        <w:overflowPunct/>
        <w:bidi w:val="0"/>
        <w:snapToGrid/>
        <w:spacing w:line="360" w:lineRule="auto"/>
        <w:ind w:left="600" w:leftChars="0"/>
        <w:jc w:val="both"/>
        <w:textAlignment w:val="center"/>
        <w:rPr>
          <w:rFonts w:hint="eastAsia" w:ascii="新宋体" w:hAnsi="新宋体" w:eastAsia="新宋体" w:cs="新宋体"/>
          <w:b/>
          <w:bCs/>
          <w:kern w:val="0"/>
          <w:sz w:val="24"/>
          <w:szCs w:val="24"/>
          <w:lang w:val="en-US" w:eastAsia="zh-CN" w:bidi="ar-SA"/>
        </w:rPr>
      </w:pPr>
      <w:r>
        <w:rPr>
          <w:rFonts w:hint="eastAsia" w:ascii="新宋体" w:hAnsi="新宋体" w:eastAsia="新宋体" w:cs="新宋体"/>
          <w:b/>
          <w:bCs/>
          <w:color w:val="000000"/>
          <w:kern w:val="0"/>
          <w:sz w:val="24"/>
          <w:szCs w:val="24"/>
          <w:lang w:val="en-US" w:eastAsia="zh-CN" w:bidi="ar-SA"/>
        </w:rPr>
        <w:t>（三）采购标的执行标准：</w:t>
      </w:r>
      <w:r>
        <w:rPr>
          <w:rFonts w:hint="eastAsia" w:cs="宋体" w:asciiTheme="minorEastAsia" w:hAnsiTheme="minorEastAsia" w:eastAsiaTheme="minorEastAsia"/>
          <w:kern w:val="0"/>
          <w:sz w:val="24"/>
          <w:szCs w:val="24"/>
          <w:lang w:val="en-US" w:eastAsia="zh-CN" w:bidi="ar-SA"/>
        </w:rPr>
        <w:t>达到国家、行业、地方政府有关法律法规及技术规范要求，并通过有关部门审查。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482" w:firstLineChars="200"/>
        <w:contextualSpacing/>
        <w:jc w:val="both"/>
        <w:textAlignment w:val="auto"/>
        <w:rPr>
          <w:rFonts w:hint="eastAsia" w:ascii="新宋体" w:hAnsi="新宋体" w:eastAsia="新宋体" w:cs="新宋体"/>
          <w:b/>
          <w:bCs/>
          <w:kern w:val="0"/>
          <w:sz w:val="24"/>
          <w:szCs w:val="24"/>
          <w:lang w:val="en-US" w:eastAsia="zh-CN" w:bidi="ar-SA"/>
        </w:rPr>
      </w:pPr>
      <w:r>
        <w:rPr>
          <w:rFonts w:hint="eastAsia" w:ascii="新宋体" w:hAnsi="新宋体" w:eastAsia="新宋体" w:cs="新宋体"/>
          <w:b/>
          <w:bCs/>
          <w:kern w:val="0"/>
          <w:sz w:val="24"/>
          <w:szCs w:val="24"/>
          <w:lang w:val="en-US" w:eastAsia="zh-CN" w:bidi="ar-SA"/>
        </w:rPr>
        <w:t>（四）服务标准、期限、效率等要求：</w:t>
      </w:r>
    </w:p>
    <w:p>
      <w:pPr>
        <w:pStyle w:val="60"/>
        <w:wordWrap w:val="0"/>
        <w:topLinePunct/>
        <w:autoSpaceDE w:val="0"/>
        <w:autoSpaceDN w:val="0"/>
        <w:adjustRightInd w:val="0"/>
        <w:spacing w:line="360" w:lineRule="auto"/>
        <w:ind w:left="420" w:firstLine="240" w:firstLineChars="100"/>
        <w:rPr>
          <w:rFonts w:hint="eastAsia" w:ascii="宋体" w:cs="宋体"/>
          <w:sz w:val="24"/>
          <w:lang w:val="en-US" w:eastAsia="zh-CN"/>
        </w:rPr>
      </w:pPr>
      <w:r>
        <w:rPr>
          <w:rFonts w:hint="eastAsia" w:ascii="宋体" w:cs="宋体"/>
          <w:sz w:val="24"/>
          <w:lang w:val="en-US" w:eastAsia="zh-CN"/>
        </w:rPr>
        <w:t>1、禹州市薯粉小镇发展战略规划项目的编制工作切合禹州行政主管部门要求，方案须通市发改委组织的技术审查，最终提交正式成果10套，电子版一套。</w:t>
      </w:r>
    </w:p>
    <w:p>
      <w:pPr>
        <w:pStyle w:val="60"/>
        <w:wordWrap w:val="0"/>
        <w:topLinePunct/>
        <w:autoSpaceDE w:val="0"/>
        <w:autoSpaceDN w:val="0"/>
        <w:adjustRightInd w:val="0"/>
        <w:spacing w:line="360" w:lineRule="auto"/>
        <w:ind w:left="420" w:firstLine="240" w:firstLineChars="100"/>
        <w:rPr>
          <w:rFonts w:hint="eastAsia"/>
          <w:lang w:val="en-US" w:eastAsia="zh-CN"/>
        </w:rPr>
      </w:pPr>
      <w:r>
        <w:rPr>
          <w:rFonts w:hint="eastAsia" w:ascii="宋体" w:cs="宋体"/>
          <w:sz w:val="24"/>
          <w:lang w:val="en-US" w:eastAsia="zh-CN"/>
        </w:rPr>
        <w:t>2、达到国家、行业及地方主管部门的规定，满足项目运作的需求。</w:t>
      </w:r>
    </w:p>
    <w:p>
      <w:pPr>
        <w:keepNext w:val="0"/>
        <w:keepLines w:val="0"/>
        <w:pageBreakBefore w:val="0"/>
        <w:kinsoku/>
        <w:wordWrap w:val="0"/>
        <w:overflowPunct/>
        <w:topLinePunct/>
        <w:bidi w:val="0"/>
        <w:snapToGrid/>
        <w:spacing w:line="360" w:lineRule="auto"/>
        <w:ind w:firstLine="723" w:firstLineChars="300"/>
        <w:rPr>
          <w:rFonts w:hint="eastAsia" w:ascii="新宋体" w:hAnsi="新宋体" w:eastAsia="新宋体" w:cs="新宋体"/>
          <w:b/>
          <w:bCs/>
          <w:sz w:val="24"/>
          <w:lang w:val="zh-CN"/>
        </w:rPr>
      </w:pPr>
      <w:r>
        <w:rPr>
          <w:rFonts w:hint="eastAsia" w:ascii="新宋体" w:hAnsi="新宋体" w:eastAsia="新宋体" w:cs="新宋体"/>
          <w:b/>
          <w:bCs/>
          <w:sz w:val="24"/>
          <w:lang w:val="zh-CN"/>
        </w:rPr>
        <w:t>（</w:t>
      </w:r>
      <w:r>
        <w:rPr>
          <w:rFonts w:hint="eastAsia" w:ascii="新宋体" w:hAnsi="新宋体" w:eastAsia="新宋体" w:cs="新宋体"/>
          <w:b/>
          <w:bCs/>
          <w:sz w:val="24"/>
          <w:lang w:val="zh-CN" w:eastAsia="zh-CN"/>
        </w:rPr>
        <w:t>五</w:t>
      </w:r>
      <w:r>
        <w:rPr>
          <w:rFonts w:hint="eastAsia" w:ascii="新宋体" w:hAnsi="新宋体" w:eastAsia="新宋体" w:cs="新宋体"/>
          <w:b/>
          <w:bCs/>
          <w:sz w:val="24"/>
          <w:lang w:val="zh-CN"/>
        </w:rPr>
        <w:t>）采购标的的其他技术、服务等要求</w:t>
      </w:r>
    </w:p>
    <w:p>
      <w:pPr>
        <w:pStyle w:val="60"/>
        <w:wordWrap w:val="0"/>
        <w:topLinePunct/>
        <w:autoSpaceDE w:val="0"/>
        <w:autoSpaceDN w:val="0"/>
        <w:adjustRightInd w:val="0"/>
        <w:spacing w:line="360" w:lineRule="auto"/>
        <w:ind w:left="420" w:firstLine="240" w:firstLineChars="100"/>
        <w:rPr>
          <w:rFonts w:hint="eastAsia" w:ascii="宋体" w:cs="宋体"/>
          <w:sz w:val="24"/>
          <w:lang w:val="en-US" w:eastAsia="zh-CN"/>
        </w:rPr>
      </w:pPr>
      <w:r>
        <w:rPr>
          <w:rFonts w:hint="eastAsia" w:ascii="宋体" w:cs="宋体"/>
          <w:sz w:val="24"/>
          <w:lang w:val="en-US" w:eastAsia="zh-CN"/>
        </w:rPr>
        <w:t>1、以上要求为最低要求，投标商不得低于以上要求，否则为无效响应文件。</w:t>
      </w:r>
    </w:p>
    <w:p>
      <w:pPr>
        <w:pStyle w:val="60"/>
        <w:wordWrap w:val="0"/>
        <w:topLinePunct/>
        <w:autoSpaceDE w:val="0"/>
        <w:autoSpaceDN w:val="0"/>
        <w:adjustRightInd w:val="0"/>
        <w:spacing w:line="360" w:lineRule="auto"/>
        <w:ind w:left="420" w:firstLine="240" w:firstLineChars="100"/>
        <w:rPr>
          <w:rFonts w:hint="eastAsia" w:ascii="宋体" w:cs="宋体"/>
          <w:sz w:val="24"/>
          <w:lang w:val="en-US" w:eastAsia="zh-CN"/>
        </w:rPr>
      </w:pPr>
      <w:r>
        <w:rPr>
          <w:rFonts w:hint="eastAsia" w:ascii="宋体" w:cs="宋体"/>
          <w:sz w:val="24"/>
          <w:lang w:val="en-US" w:eastAsia="zh-CN"/>
        </w:rPr>
        <w:t>2、投标商须有合理的工作方案，否则为无效响应文件 。</w:t>
      </w:r>
    </w:p>
    <w:p>
      <w:pPr>
        <w:pStyle w:val="60"/>
        <w:wordWrap w:val="0"/>
        <w:topLinePunct/>
        <w:autoSpaceDE w:val="0"/>
        <w:autoSpaceDN w:val="0"/>
        <w:adjustRightInd w:val="0"/>
        <w:spacing w:line="360" w:lineRule="auto"/>
        <w:ind w:left="420" w:firstLine="240" w:firstLineChars="100"/>
        <w:rPr>
          <w:rFonts w:hint="eastAsia" w:ascii="宋体" w:cs="宋体"/>
          <w:sz w:val="24"/>
          <w:lang w:val="zh-CN"/>
        </w:rPr>
      </w:pPr>
      <w:r>
        <w:rPr>
          <w:rFonts w:hint="eastAsia" w:ascii="宋体" w:cs="宋体"/>
          <w:sz w:val="24"/>
          <w:lang w:val="en-US" w:eastAsia="zh-CN"/>
        </w:rPr>
        <w:t>3、</w:t>
      </w:r>
      <w:r>
        <w:rPr>
          <w:rFonts w:hint="eastAsia" w:ascii="宋体" w:cs="宋体"/>
          <w:sz w:val="24"/>
          <w:lang w:val="zh-CN"/>
        </w:rPr>
        <w:t>投标人应就本项目完整投标，（报价含税费等综合费用），否则为无效投标。</w:t>
      </w:r>
    </w:p>
    <w:p>
      <w:pPr>
        <w:pStyle w:val="9"/>
        <w:keepNext w:val="0"/>
        <w:keepLines w:val="0"/>
        <w:pageBreakBefore w:val="0"/>
        <w:kinsoku/>
        <w:overflowPunct/>
        <w:bidi w:val="0"/>
        <w:snapToGrid/>
        <w:spacing w:line="360" w:lineRule="auto"/>
        <w:ind w:firstLine="720" w:firstLineChars="300"/>
        <w:rPr>
          <w:rFonts w:hint="eastAsia" w:ascii="宋体" w:cs="宋体"/>
          <w:sz w:val="24"/>
          <w:lang w:val="zh-CN"/>
        </w:rPr>
      </w:pPr>
      <w:r>
        <w:rPr>
          <w:rFonts w:hint="eastAsia" w:ascii="新宋体" w:hAnsi="新宋体" w:eastAsia="新宋体" w:cs="新宋体"/>
          <w:kern w:val="2"/>
          <w:sz w:val="24"/>
          <w:szCs w:val="22"/>
          <w:lang w:val="en-US" w:eastAsia="zh-CN" w:bidi="ar-SA"/>
        </w:rPr>
        <w:t>4.</w:t>
      </w:r>
      <w:r>
        <w:rPr>
          <w:rFonts w:hint="eastAsia" w:ascii="新宋体" w:hAnsi="新宋体" w:eastAsia="新宋体" w:cs="新宋体"/>
          <w:kern w:val="2"/>
          <w:sz w:val="24"/>
          <w:szCs w:val="22"/>
          <w:lang w:val="zh-CN" w:eastAsia="zh-CN" w:bidi="ar-SA"/>
        </w:rPr>
        <w:t>投标文件中须有详细的实施（技术）方案，否则为无效投标。</w:t>
      </w:r>
    </w:p>
    <w:p>
      <w:pPr>
        <w:keepNext w:val="0"/>
        <w:keepLines w:val="0"/>
        <w:pageBreakBefore w:val="0"/>
        <w:kinsoku/>
        <w:wordWrap w:val="0"/>
        <w:overflowPunct/>
        <w:topLinePunct/>
        <w:bidi w:val="0"/>
        <w:snapToGrid/>
        <w:spacing w:line="360" w:lineRule="auto"/>
        <w:ind w:firstLine="720" w:firstLineChars="300"/>
        <w:rPr>
          <w:rFonts w:hint="eastAsia"/>
          <w:lang w:val="zh-CN"/>
        </w:rPr>
      </w:pPr>
      <w:r>
        <w:rPr>
          <w:rFonts w:hint="eastAsia" w:ascii="新宋体" w:hAnsi="新宋体" w:eastAsia="新宋体" w:cs="新宋体"/>
          <w:sz w:val="24"/>
          <w:lang w:val="en-US" w:eastAsia="zh-CN"/>
        </w:rPr>
        <w:t>5、</w:t>
      </w:r>
      <w:r>
        <w:rPr>
          <w:rFonts w:hint="eastAsia" w:ascii="新宋体" w:hAnsi="新宋体" w:eastAsia="新宋体" w:cs="新宋体"/>
          <w:sz w:val="24"/>
          <w:lang w:val="zh-CN"/>
        </w:rPr>
        <w:t>投标商必须由法定代表人或其授权代表参加开标会议，随时接受评标委员会询问，并予作出书面解答。</w:t>
      </w:r>
    </w:p>
    <w:p>
      <w:pPr>
        <w:keepNext w:val="0"/>
        <w:keepLines w:val="0"/>
        <w:pageBreakBefore w:val="0"/>
        <w:widowControl/>
        <w:shd w:val="clear" w:color="auto" w:fill="FFFFFF"/>
        <w:kinsoku/>
        <w:overflowPunct/>
        <w:bidi w:val="0"/>
        <w:snapToGrid/>
        <w:spacing w:line="360" w:lineRule="auto"/>
        <w:ind w:firstLine="482" w:firstLineChars="200"/>
        <w:contextualSpacing/>
        <w:jc w:val="left"/>
        <w:rPr>
          <w:rFonts w:hint="eastAsia" w:ascii="新宋体" w:hAnsi="新宋体" w:eastAsia="新宋体" w:cs="新宋体"/>
          <w:b w:val="0"/>
          <w:bCs/>
          <w:color w:val="000000"/>
          <w:kern w:val="0"/>
          <w:sz w:val="24"/>
          <w:szCs w:val="24"/>
          <w:lang w:val="zh-CN"/>
        </w:rPr>
      </w:pPr>
      <w:r>
        <w:rPr>
          <w:rFonts w:hint="eastAsia" w:ascii="新宋体" w:hAnsi="新宋体" w:eastAsia="新宋体" w:cs="新宋体"/>
          <w:b/>
          <w:color w:val="000000"/>
          <w:kern w:val="0"/>
          <w:sz w:val="24"/>
          <w:szCs w:val="24"/>
          <w:lang w:val="zh-CN"/>
        </w:rPr>
        <w:t>（六）验收标准：</w:t>
      </w:r>
      <w:r>
        <w:rPr>
          <w:rFonts w:hint="eastAsia" w:ascii="新宋体" w:hAnsi="新宋体" w:eastAsia="新宋体" w:cs="新宋体"/>
          <w:b w:val="0"/>
          <w:bCs/>
          <w:color w:val="000000"/>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keepNext w:val="0"/>
        <w:keepLines w:val="0"/>
        <w:pageBreakBefore w:val="0"/>
        <w:widowControl/>
        <w:shd w:val="clear" w:color="auto" w:fill="FFFFFF"/>
        <w:kinsoku/>
        <w:overflowPunct/>
        <w:bidi w:val="0"/>
        <w:snapToGrid/>
        <w:spacing w:line="360" w:lineRule="auto"/>
        <w:ind w:firstLine="480" w:firstLineChars="200"/>
        <w:contextualSpacing/>
        <w:jc w:val="left"/>
        <w:rPr>
          <w:rFonts w:hint="eastAsia" w:ascii="新宋体" w:hAnsi="新宋体" w:eastAsia="新宋体" w:cs="新宋体"/>
          <w:b w:val="0"/>
          <w:bCs/>
          <w:color w:val="000000"/>
          <w:kern w:val="0"/>
          <w:sz w:val="24"/>
          <w:szCs w:val="24"/>
          <w:lang w:val="zh-CN"/>
        </w:rPr>
      </w:pPr>
      <w:r>
        <w:rPr>
          <w:rFonts w:hint="eastAsia" w:ascii="新宋体" w:hAnsi="新宋体" w:eastAsia="新宋体" w:cs="新宋体"/>
          <w:b w:val="0"/>
          <w:bCs/>
          <w:color w:val="000000"/>
          <w:kern w:val="0"/>
          <w:sz w:val="24"/>
          <w:szCs w:val="24"/>
          <w:lang w:val="zh-CN"/>
        </w:rPr>
        <w:t>1、按照国家相关标准、行业标准、地方标准或者其他标准、规范验收。</w:t>
      </w:r>
    </w:p>
    <w:p>
      <w:pPr>
        <w:keepNext w:val="0"/>
        <w:keepLines w:val="0"/>
        <w:pageBreakBefore w:val="0"/>
        <w:widowControl/>
        <w:shd w:val="clear" w:color="auto" w:fill="FFFFFF"/>
        <w:kinsoku/>
        <w:overflowPunct/>
        <w:bidi w:val="0"/>
        <w:snapToGrid/>
        <w:spacing w:line="360" w:lineRule="auto"/>
        <w:ind w:firstLine="480" w:firstLineChars="200"/>
        <w:contextualSpacing/>
        <w:jc w:val="left"/>
        <w:rPr>
          <w:rFonts w:hint="eastAsia" w:ascii="新宋体" w:hAnsi="新宋体" w:eastAsia="新宋体" w:cs="新宋体"/>
          <w:b w:val="0"/>
          <w:bCs/>
          <w:color w:val="000000"/>
          <w:kern w:val="0"/>
          <w:sz w:val="24"/>
          <w:szCs w:val="24"/>
          <w:lang w:val="zh-CN"/>
        </w:rPr>
      </w:pPr>
      <w:r>
        <w:rPr>
          <w:rFonts w:hint="eastAsia" w:ascii="新宋体" w:hAnsi="新宋体" w:eastAsia="新宋体" w:cs="新宋体"/>
          <w:b w:val="0"/>
          <w:bCs/>
          <w:color w:val="000000"/>
          <w:kern w:val="0"/>
          <w:sz w:val="24"/>
          <w:szCs w:val="24"/>
          <w:lang w:val="zh-CN"/>
        </w:rPr>
        <w:t>2、按照招标文件要求、投标文件响应和承诺验收。</w:t>
      </w:r>
    </w:p>
    <w:p>
      <w:pPr>
        <w:pStyle w:val="9"/>
        <w:keepNext w:val="0"/>
        <w:keepLines w:val="0"/>
        <w:pageBreakBefore w:val="0"/>
        <w:kinsoku/>
        <w:overflowPunct/>
        <w:bidi w:val="0"/>
        <w:snapToGrid/>
        <w:spacing w:line="360" w:lineRule="auto"/>
        <w:ind w:firstLine="241" w:firstLineChars="100"/>
        <w:rPr>
          <w:rFonts w:hint="eastAsia" w:ascii="新宋体" w:hAnsi="新宋体" w:eastAsia="新宋体" w:cs="新宋体"/>
          <w:b/>
          <w:color w:val="000000"/>
          <w:kern w:val="0"/>
          <w:sz w:val="24"/>
          <w:szCs w:val="24"/>
          <w:lang w:val="zh-CN" w:eastAsia="zh-CN" w:bidi="ar-SA"/>
        </w:rPr>
      </w:pPr>
      <w:r>
        <w:rPr>
          <w:rFonts w:hint="eastAsia" w:ascii="新宋体" w:hAnsi="新宋体" w:eastAsia="新宋体" w:cs="新宋体"/>
          <w:b/>
          <w:color w:val="000000"/>
          <w:kern w:val="0"/>
          <w:sz w:val="24"/>
          <w:szCs w:val="24"/>
          <w:lang w:val="zh-CN" w:eastAsia="zh-CN" w:bidi="ar-SA"/>
        </w:rPr>
        <w:t>（七）付款方式：以签订合同为准。</w:t>
      </w:r>
    </w:p>
    <w:p>
      <w:pPr>
        <w:keepNext w:val="0"/>
        <w:keepLines w:val="0"/>
        <w:pageBreakBefore w:val="0"/>
        <w:kinsoku/>
        <w:overflowPunct/>
        <w:autoSpaceDE w:val="0"/>
        <w:autoSpaceDN w:val="0"/>
        <w:bidi w:val="0"/>
        <w:adjustRightInd w:val="0"/>
        <w:snapToGrid/>
        <w:spacing w:line="360" w:lineRule="auto"/>
        <w:ind w:firstLine="2168" w:firstLineChars="600"/>
        <w:rPr>
          <w:rFonts w:hint="eastAsia" w:ascii="新宋体" w:hAnsi="新宋体" w:eastAsia="新宋体" w:cs="新宋体"/>
          <w:b/>
          <w:kern w:val="0"/>
          <w:sz w:val="36"/>
          <w:szCs w:val="36"/>
        </w:rPr>
      </w:pPr>
    </w:p>
    <w:p>
      <w:pPr>
        <w:keepNext w:val="0"/>
        <w:keepLines w:val="0"/>
        <w:pageBreakBefore w:val="0"/>
        <w:kinsoku/>
        <w:overflowPunct/>
        <w:autoSpaceDE w:val="0"/>
        <w:autoSpaceDN w:val="0"/>
        <w:bidi w:val="0"/>
        <w:adjustRightInd w:val="0"/>
        <w:snapToGrid/>
        <w:spacing w:line="360" w:lineRule="auto"/>
        <w:ind w:firstLine="2168" w:firstLineChars="600"/>
        <w:rPr>
          <w:rFonts w:hint="eastAsia" w:ascii="新宋体" w:hAnsi="新宋体" w:eastAsia="新宋体" w:cs="新宋体"/>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pStyle w:val="2"/>
        <w:numPr>
          <w:ilvl w:val="0"/>
          <w:numId w:val="0"/>
        </w:numPr>
        <w:ind w:left="288" w:leftChars="0"/>
        <w:rPr>
          <w:rFonts w:hint="eastAsia"/>
        </w:rPr>
      </w:pPr>
    </w:p>
    <w:p>
      <w:pPr>
        <w:rPr>
          <w:rFonts w:hint="eastAsia"/>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keepNext w:val="0"/>
              <w:keepLines w:val="0"/>
              <w:pageBreakBefore w:val="0"/>
              <w:widowControl/>
              <w:shd w:val="clear" w:color="auto" w:fill="FFFFFF"/>
              <w:kinsoku/>
              <w:overflowPunct/>
              <w:bidi w:val="0"/>
              <w:spacing w:line="400" w:lineRule="exact"/>
              <w:jc w:val="left"/>
              <w:textAlignment w:val="auto"/>
              <w:rPr>
                <w:rFonts w:hint="eastAsia" w:cs="仿宋_GB2312" w:asciiTheme="minorEastAsia" w:hAnsiTheme="minorEastAsia"/>
                <w:szCs w:val="21"/>
              </w:rPr>
            </w:pPr>
            <w:r>
              <w:rPr>
                <w:rFonts w:hint="eastAsia" w:cs="仿宋_GB2312" w:asciiTheme="minorEastAsia" w:hAnsiTheme="minorEastAsia"/>
                <w:szCs w:val="21"/>
              </w:rPr>
              <w:t>项目名称：禹州市薯粉小镇发展战略规划项目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YZCG-G2019331</w:t>
            </w:r>
          </w:p>
          <w:p>
            <w:pPr>
              <w:widowControl/>
              <w:shd w:val="clear" w:color="auto" w:fill="FFFFFF"/>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lang w:eastAsia="zh-CN"/>
              </w:rPr>
              <w:t>交付时间：以签订合同为准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widowControl/>
              <w:shd w:val="clear" w:color="auto" w:fill="FFFFFF"/>
              <w:spacing w:line="400" w:lineRule="exact"/>
              <w:jc w:val="left"/>
              <w:rPr>
                <w:rFonts w:hint="eastAsia" w:cs="仿宋_GB2312" w:asciiTheme="minorEastAsia" w:hAnsiTheme="minorEastAsia"/>
                <w:szCs w:val="21"/>
                <w:lang w:eastAsia="zh-CN"/>
              </w:rPr>
            </w:pPr>
            <w:r>
              <w:rPr>
                <w:rFonts w:hint="eastAsia" w:cs="仿宋_GB2312" w:asciiTheme="minorEastAsia" w:hAnsiTheme="minorEastAsia"/>
                <w:szCs w:val="21"/>
                <w:lang w:eastAsia="zh-CN"/>
              </w:rPr>
              <w:t>名称：禹州市古城镇人民政府</w:t>
            </w:r>
          </w:p>
          <w:p>
            <w:pPr>
              <w:widowControl/>
              <w:shd w:val="clear" w:color="auto" w:fill="FFFFFF"/>
              <w:spacing w:line="400" w:lineRule="exact"/>
              <w:jc w:val="left"/>
              <w:rPr>
                <w:rFonts w:hint="default" w:cs="仿宋_GB2312" w:asciiTheme="minorEastAsia" w:hAnsiTheme="minorEastAsia"/>
                <w:szCs w:val="21"/>
                <w:lang w:val="en-US" w:eastAsia="zh-CN"/>
              </w:rPr>
            </w:pPr>
            <w:r>
              <w:rPr>
                <w:rFonts w:hint="eastAsia" w:cs="仿宋_GB2312" w:asciiTheme="minorEastAsia" w:hAnsiTheme="minorEastAsia"/>
                <w:szCs w:val="21"/>
                <w:lang w:eastAsia="zh-CN"/>
              </w:rPr>
              <w:t>地址：禹州市古城镇</w:t>
            </w:r>
          </w:p>
          <w:p>
            <w:pPr>
              <w:keepNext w:val="0"/>
              <w:keepLines w:val="0"/>
              <w:pageBreakBefore w:val="0"/>
              <w:widowControl/>
              <w:shd w:val="clear" w:color="auto" w:fill="FFFFFF"/>
              <w:kinsoku/>
              <w:overflowPunct/>
              <w:bidi w:val="0"/>
              <w:spacing w:line="400" w:lineRule="exact"/>
              <w:jc w:val="left"/>
              <w:textAlignment w:val="auto"/>
              <w:rPr>
                <w:rFonts w:hint="default" w:cs="仿宋_GB2312" w:asciiTheme="minorEastAsia" w:hAnsiTheme="minorEastAsia"/>
                <w:szCs w:val="21"/>
                <w:lang w:val="en-US" w:eastAsia="zh-CN"/>
              </w:rPr>
            </w:pPr>
            <w:r>
              <w:rPr>
                <w:rFonts w:hint="eastAsia" w:cs="仿宋_GB2312" w:asciiTheme="minorEastAsia" w:hAnsiTheme="minorEastAsia"/>
                <w:szCs w:val="21"/>
                <w:lang w:eastAsia="zh-CN"/>
              </w:rPr>
              <w:t>联系人：</w:t>
            </w:r>
            <w:r>
              <w:rPr>
                <w:rFonts w:hint="eastAsia" w:cs="仿宋_GB2312" w:asciiTheme="minorEastAsia" w:hAnsiTheme="minorEastAsia"/>
                <w:szCs w:val="21"/>
                <w:lang w:val="en-US" w:eastAsia="zh-CN"/>
              </w:rPr>
              <w:t>白</w:t>
            </w:r>
            <w:r>
              <w:rPr>
                <w:rFonts w:hint="eastAsia" w:cs="仿宋_GB2312" w:asciiTheme="minorEastAsia" w:hAnsiTheme="minorEastAsia"/>
                <w:szCs w:val="21"/>
                <w:lang w:eastAsia="zh-CN"/>
              </w:rPr>
              <w:t>先生                    电话：</w:t>
            </w:r>
            <w:r>
              <w:rPr>
                <w:rFonts w:hint="eastAsia" w:cs="仿宋_GB2312" w:asciiTheme="minorEastAsia" w:hAnsiTheme="minorEastAsia"/>
                <w:szCs w:val="21"/>
                <w:lang w:val="en-US" w:eastAsia="zh-CN"/>
              </w:rPr>
              <w:t>0374-9622736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val="en-US" w:eastAsia="zh-CN"/>
              </w:rPr>
              <w:t>李</w:t>
            </w:r>
            <w:r>
              <w:rPr>
                <w:rFonts w:hint="eastAsia" w:cs="仿宋_GB2312" w:asciiTheme="minorEastAsia" w:hAnsiTheme="minorEastAsia"/>
                <w:sz w:val="24"/>
                <w:szCs w:val="24"/>
                <w:lang w:eastAsia="zh-CN"/>
              </w:rPr>
              <w:t>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en-US" w:eastAsia="zh-CN"/>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rPr>
                <w:rFonts w:hint="eastAsia"/>
              </w:rPr>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w:t>
            </w:r>
            <w:r>
              <w:rPr>
                <w:rFonts w:hint="eastAsia"/>
                <w:lang w:val="zh-CN" w:eastAsia="zh-CN"/>
              </w:rPr>
              <w:t>三</w:t>
            </w:r>
            <w:r>
              <w:rPr>
                <w:rFonts w:hint="eastAsia"/>
                <w:lang w:val="zh-CN"/>
              </w:rPr>
              <w:t>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rPr>
                <w:rFonts w:hint="eastAsia"/>
              </w:rPr>
            </w:pPr>
            <w:r>
              <w:rPr>
                <w:rFonts w:hint="eastAsia"/>
                <w:lang w:val="zh-CN"/>
              </w:rPr>
              <w:t>七、</w:t>
            </w:r>
            <w:r>
              <w:rPr>
                <w:rFonts w:hint="eastAsia"/>
              </w:rPr>
              <w:t>未被列入“信用中国”网站(www.creditchina.gov.cn)失信被执行人、重大税收违法案件当事人名单、政府采购严重违法失信名单的供应商；“中国政府采购网” (www.ccgp.gov.cn)政府采购严重违法失信行为记录名单的供应商</w:t>
            </w:r>
            <w:r>
              <w:rPr>
                <w:rFonts w:hint="eastAsia"/>
                <w:lang w:val="zh-CN"/>
              </w:rPr>
              <w:t>；</w:t>
            </w:r>
            <w:r>
              <w:rPr>
                <w:rFonts w:hint="eastAsia"/>
              </w:rPr>
              <w:t xml:space="preserve"> “中国社会组织公共服务平台”网站（www.chinanpo.gov.cn）严重违法失信社会组织名单的供应商（联合体形式响应的，联合体成员存在不良信用记录，视同联合体存在不良信用记录）。</w:t>
            </w:r>
          </w:p>
          <w:p>
            <w:pPr>
              <w:autoSpaceDE w:val="0"/>
              <w:autoSpaceDN w:val="0"/>
              <w:spacing w:line="360" w:lineRule="auto"/>
              <w:contextualSpacing/>
              <w:rPr>
                <w:rFonts w:hint="eastAsia"/>
              </w:rPr>
            </w:pPr>
            <w:r>
              <w:rPr>
                <w:rFonts w:hint="eastAsia"/>
              </w:rPr>
              <w:t>1、查询渠道：</w:t>
            </w:r>
          </w:p>
          <w:p>
            <w:pPr>
              <w:autoSpaceDE w:val="0"/>
              <w:autoSpaceDN w:val="0"/>
              <w:spacing w:line="360" w:lineRule="auto"/>
              <w:contextualSpacing/>
              <w:rPr>
                <w:rFonts w:hint="eastAsia"/>
              </w:rPr>
            </w:pPr>
            <w:r>
              <w:rPr>
                <w:rFonts w:hint="eastAsia"/>
              </w:rPr>
              <w:t>①“信用中国”网站（</w:t>
            </w:r>
            <w:r>
              <w:rPr>
                <w:rFonts w:hint="eastAsia"/>
              </w:rPr>
              <w:fldChar w:fldCharType="begin"/>
            </w:r>
            <w:r>
              <w:rPr>
                <w:rFonts w:hint="eastAsia"/>
              </w:rPr>
              <w:instrText xml:space="preserve"> HYPERLINK "http://www.creditchina.gov.cn" </w:instrText>
            </w:r>
            <w:r>
              <w:rPr>
                <w:rFonts w:hint="eastAsia"/>
              </w:rPr>
              <w:fldChar w:fldCharType="separate"/>
            </w:r>
            <w:r>
              <w:rPr>
                <w:rFonts w:hint="eastAsia"/>
              </w:rPr>
              <w:t>www.creditchina.gov.cn</w:t>
            </w:r>
            <w:r>
              <w:rPr>
                <w:rFonts w:hint="eastAsia"/>
              </w:rPr>
              <w:fldChar w:fldCharType="end"/>
            </w:r>
            <w:r>
              <w:rPr>
                <w:rFonts w:hint="eastAsia"/>
              </w:rPr>
              <w:t>）</w:t>
            </w:r>
          </w:p>
          <w:p>
            <w:pPr>
              <w:autoSpaceDE w:val="0"/>
              <w:autoSpaceDN w:val="0"/>
              <w:spacing w:line="360" w:lineRule="auto"/>
              <w:contextualSpacing/>
              <w:rPr>
                <w:rFonts w:hint="eastAsia"/>
              </w:rPr>
            </w:pPr>
            <w:r>
              <w:rPr>
                <w:rFonts w:hint="eastAsia"/>
              </w:rPr>
              <w:t>②“中国政府采购网”（www.ccgp.gov.cn）</w:t>
            </w:r>
          </w:p>
          <w:p>
            <w:pPr>
              <w:autoSpaceDE w:val="0"/>
              <w:autoSpaceDN w:val="0"/>
              <w:spacing w:line="360" w:lineRule="auto"/>
              <w:contextualSpacing/>
              <w:rPr>
                <w:rFonts w:hint="eastAsia"/>
              </w:rPr>
            </w:pPr>
            <w:r>
              <w:rPr>
                <w:rFonts w:hint="eastAsia"/>
              </w:rPr>
              <w:t>③“中国社会组织公共服务平台”网站（www.chinanpo.gov.cn）（仅查询社会组织）；</w:t>
            </w:r>
          </w:p>
          <w:p>
            <w:pPr>
              <w:autoSpaceDE w:val="0"/>
              <w:autoSpaceDN w:val="0"/>
              <w:spacing w:line="360" w:lineRule="auto"/>
              <w:contextualSpacing/>
              <w:rPr>
                <w:rFonts w:hint="eastAsia"/>
              </w:rPr>
            </w:pPr>
            <w:r>
              <w:rPr>
                <w:rFonts w:hint="eastAsia"/>
              </w:rPr>
              <w:t>2、截止时间：同询价响应截止时间；</w:t>
            </w:r>
          </w:p>
          <w:p>
            <w:pPr>
              <w:autoSpaceDE w:val="0"/>
              <w:autoSpaceDN w:val="0"/>
              <w:spacing w:line="360" w:lineRule="auto"/>
              <w:contextualSpacing/>
              <w:rPr>
                <w:rFonts w:hint="eastAsia"/>
              </w:rPr>
            </w:pPr>
            <w:r>
              <w:rPr>
                <w:rFonts w:hint="eastAsia"/>
              </w:rPr>
              <w:t>3、信用信息查询记录和证据留存具体方式：经询价小组确认的查询结果网页截图作为查询记录和证据，与其他采购文件一并保存；</w:t>
            </w:r>
          </w:p>
          <w:p>
            <w:pPr>
              <w:autoSpaceDE w:val="0"/>
              <w:autoSpaceDN w:val="0"/>
              <w:spacing w:line="360" w:lineRule="auto"/>
              <w:contextualSpacing/>
              <w:rPr>
                <w:rFonts w:hint="eastAsia"/>
              </w:rPr>
            </w:pPr>
            <w:r>
              <w:rPr>
                <w:rFonts w:hint="eastAsia"/>
              </w:rPr>
              <w:t>4、信用信息的使用原则：经询价小组认定的被列入失信被执行人、重大税收违法案件当事人名单、政府采购严重违法失信名单、政府采购严重违法失信行为记录名单、严重违法失信社会组织名单的供应商，将拒绝其参与本次政府采购活动。</w:t>
            </w:r>
          </w:p>
          <w:p>
            <w:pPr>
              <w:autoSpaceDE w:val="0"/>
              <w:autoSpaceDN w:val="0"/>
              <w:spacing w:line="360" w:lineRule="auto"/>
              <w:contextualSpacing/>
              <w:rPr>
                <w:rFonts w:hint="eastAsia"/>
              </w:rPr>
            </w:pPr>
            <w:r>
              <w:rPr>
                <w:rFonts w:hint="eastAsia"/>
              </w:rPr>
              <w:t>5、供应商不良信用记录以询价小组查询结果为准，询价小组查询之后，网站信息发生的任何变更不再作为评审依据，供应商自行提供的与网站信息不一致的其他证明材料亦不作为评审依据。</w:t>
            </w:r>
          </w:p>
          <w:p>
            <w:pPr>
              <w:keepNext w:val="0"/>
              <w:keepLines w:val="0"/>
              <w:pageBreakBefore w:val="0"/>
              <w:widowControl/>
              <w:shd w:val="clear" w:color="auto" w:fill="FFFFFF"/>
              <w:kinsoku/>
              <w:overflowPunct/>
              <w:bidi w:val="0"/>
              <w:spacing w:line="400" w:lineRule="exact"/>
              <w:jc w:val="left"/>
              <w:textAlignment w:val="auto"/>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八、</w:t>
            </w:r>
            <w:r>
              <w:rPr>
                <w:rFonts w:hint="eastAsia"/>
                <w:lang w:val="en-US" w:eastAsia="zh-CN"/>
              </w:rPr>
              <w:t>1、投标人须具有规划编制设计乙级及以上资质，拟派项目负责人具有相关专业技术职称；</w:t>
            </w:r>
          </w:p>
          <w:p>
            <w:pPr>
              <w:pStyle w:val="21"/>
              <w:ind w:left="0" w:leftChars="0" w:firstLine="0" w:firstLineChars="0"/>
              <w:rPr>
                <w:rFonts w:hint="eastAsia" w:eastAsia="宋体"/>
                <w:lang w:val="en-US" w:eastAsia="zh-CN"/>
              </w:rPr>
            </w:pPr>
            <w:r>
              <w:rPr>
                <w:rFonts w:hint="eastAsia" w:asciiTheme="minorHAnsi" w:hAnsiTheme="minorHAnsi" w:eastAsiaTheme="minorEastAsia" w:cstheme="minorBidi"/>
                <w:kern w:val="2"/>
                <w:sz w:val="21"/>
                <w:szCs w:val="22"/>
                <w:lang w:val="en-US" w:eastAsia="zh-CN" w:bidi="ar-SA"/>
              </w:rPr>
              <w:t>2、被委托人是须是本单位职工，须提供公司为本人缴纳社会保险证明。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both"/>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kern w:val="0"/>
                <w:sz w:val="24"/>
                <w:szCs w:val="24"/>
                <w:lang w:val="en-US" w:eastAsia="zh-CN"/>
              </w:rPr>
              <w:t>87.5万元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2019</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12</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 xml:space="preserve"> 25</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autoSpaceDE w:val="0"/>
              <w:autoSpaceDN w:val="0"/>
              <w:adjustRightInd w:val="0"/>
              <w:spacing w:line="360"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en-US" w:eastAsia="zh-CN"/>
              </w:rPr>
              <w:t>1.</w:t>
            </w:r>
            <w:r>
              <w:rPr>
                <w:rFonts w:hint="eastAsia" w:cs="宋体" w:asciiTheme="minorEastAsia" w:hAnsiTheme="minorEastAsia"/>
                <w:bCs/>
                <w:sz w:val="24"/>
                <w:szCs w:val="24"/>
                <w:lang w:val="zh-CN"/>
              </w:rPr>
              <w:t>不收取投标保证金。</w:t>
            </w:r>
          </w:p>
          <w:p>
            <w:pPr>
              <w:autoSpaceDE w:val="0"/>
              <w:autoSpaceDN w:val="0"/>
              <w:adjustRightInd w:val="0"/>
              <w:spacing w:line="360"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en-US" w:eastAsia="zh-CN"/>
              </w:rPr>
              <w:t>2.</w:t>
            </w:r>
            <w:r>
              <w:rPr>
                <w:rFonts w:hint="eastAsia" w:cs="宋体" w:asciiTheme="minorEastAsia" w:hAnsiTheme="minorEastAsia"/>
                <w:bCs/>
                <w:sz w:val="24"/>
                <w:szCs w:val="24"/>
                <w:lang w:val="zh-CN" w:eastAsia="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lang w:val="en-US" w:eastAsia="zh-CN"/>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lang w:val="en-US" w:eastAsia="zh-CN"/>
              </w:rPr>
              <w:t>2</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int="default" w:hAnsi="宋体" w:cs="宋体"/>
                <w:sz w:val="24"/>
                <w:lang w:val="en-US" w:eastAsia="zh-CN"/>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7"/>
        </w:numPr>
        <w:tabs>
          <w:tab w:val="left" w:pos="1260"/>
        </w:tabs>
        <w:autoSpaceDE w:val="0"/>
        <w:autoSpaceDN w:val="0"/>
        <w:adjustRightInd w:val="0"/>
        <w:spacing w:line="360" w:lineRule="auto"/>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60"/>
        <w:numPr>
          <w:ilvl w:val="0"/>
          <w:numId w:val="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60"/>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60"/>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60"/>
        <w:autoSpaceDE w:val="0"/>
        <w:autoSpaceDN w:val="0"/>
        <w:spacing w:line="360" w:lineRule="auto"/>
        <w:ind w:left="780" w:firstLine="0" w:firstLineChars="0"/>
        <w:contextualSpacing/>
        <w:rPr>
          <w:rFonts w:cs="宋体" w:asciiTheme="minorEastAsia" w:hAnsiTheme="minorEastAsia"/>
          <w:kern w:val="0"/>
          <w:sz w:val="24"/>
          <w:szCs w:val="24"/>
        </w:rPr>
      </w:pPr>
    </w:p>
    <w:p>
      <w:pPr>
        <w:pStyle w:val="60"/>
        <w:numPr>
          <w:ilvl w:val="0"/>
          <w:numId w:val="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60"/>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60"/>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60"/>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60"/>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60"/>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60"/>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60"/>
        <w:numPr>
          <w:ilvl w:val="1"/>
          <w:numId w:val="8"/>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eastAsiaTheme="minorEastAsia"/>
          <w:kern w:val="0"/>
          <w:sz w:val="24"/>
          <w:szCs w:val="24"/>
          <w:lang w:val="en-US" w:eastAsia="zh-CN" w:bidi="ar-SA"/>
        </w:rPr>
        <w:t>号）。</w:t>
      </w:r>
    </w:p>
    <w:p>
      <w:pPr>
        <w:autoSpaceDE w:val="0"/>
        <w:autoSpaceDN w:val="0"/>
        <w:spacing w:line="360" w:lineRule="auto"/>
        <w:ind w:left="840" w:leftChars="4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2.7.1  招标文件列明不允许或未列明允许进口产品参加投标的，均视为拒绝进口产品参加投标。</w:t>
      </w:r>
    </w:p>
    <w:p>
      <w:pPr>
        <w:autoSpaceDE w:val="0"/>
        <w:autoSpaceDN w:val="0"/>
        <w:spacing w:line="360" w:lineRule="auto"/>
        <w:ind w:left="943" w:leftChars="449"/>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2.7.2  如招标文件中已说明，经财政部门审核同意，允许部分或全部产品采购进口产品，投标人既可提供本国产品，也可以提供进口产品。</w:t>
      </w:r>
    </w:p>
    <w:p>
      <w:pPr>
        <w:pStyle w:val="60"/>
        <w:numPr>
          <w:ilvl w:val="1"/>
          <w:numId w:val="8"/>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招标文件中凡标有“★”的条款均系实质性要求条款。</w:t>
      </w:r>
    </w:p>
    <w:p>
      <w:pPr>
        <w:autoSpaceDE w:val="0"/>
        <w:autoSpaceDN w:val="0"/>
        <w:spacing w:line="360" w:lineRule="auto"/>
        <w:contextualSpacing/>
        <w:rPr>
          <w:rFonts w:hint="eastAsia"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8"/>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hint="eastAsia"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spacing w:line="360" w:lineRule="auto"/>
        <w:contextualSpacing/>
        <w:rPr>
          <w:rFonts w:hint="eastAsia"/>
          <w:sz w:val="24"/>
          <w:szCs w:val="24"/>
        </w:rPr>
      </w:pPr>
      <w:r>
        <w:rPr>
          <w:rFonts w:hint="eastAsia"/>
          <w:sz w:val="24"/>
          <w:szCs w:val="24"/>
        </w:rPr>
        <w:t>3.3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numPr>
          <w:ilvl w:val="0"/>
          <w:numId w:val="10"/>
        </w:numPr>
        <w:spacing w:line="360" w:lineRule="auto"/>
        <w:contextualSpacing/>
        <w:rPr>
          <w:rFonts w:hint="eastAsia"/>
          <w:sz w:val="24"/>
          <w:szCs w:val="24"/>
        </w:rPr>
      </w:pPr>
      <w:r>
        <w:rPr>
          <w:rFonts w:hint="eastAsia"/>
          <w:sz w:val="24"/>
          <w:szCs w:val="24"/>
        </w:rPr>
        <w:t>查询渠道：“信用中国”网站（www.creditchina.gov.cn）、“中国政府采购网”（www.ccgp.gov.cn）、“中国社会组织公共服务平台”网站（www.chinanpo.gov.cn）。（2）截止时间：同响应截止时间。</w:t>
      </w:r>
    </w:p>
    <w:p>
      <w:pPr>
        <w:numPr>
          <w:numId w:val="0"/>
        </w:numPr>
        <w:spacing w:line="360" w:lineRule="auto"/>
        <w:ind w:leftChars="0"/>
        <w:contextualSpacing/>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信用信息查询记录和证据留存具体方式：经谈判小组确认的查询结果网页截图作为查询记录和证据，与其他采购文件一并保存。</w:t>
      </w:r>
    </w:p>
    <w:p>
      <w:pPr>
        <w:numPr>
          <w:numId w:val="0"/>
        </w:numPr>
        <w:spacing w:line="360" w:lineRule="auto"/>
        <w:ind w:leftChars="0"/>
        <w:contextualSpacing/>
        <w:rPr>
          <w:rFonts w:hint="eastAsia"/>
          <w:sz w:val="24"/>
          <w:szCs w:val="24"/>
        </w:rPr>
      </w:pPr>
      <w:r>
        <w:rPr>
          <w:rFonts w:hint="eastAsia"/>
          <w:sz w:val="24"/>
          <w:szCs w:val="24"/>
        </w:rPr>
        <w:t>（4）信用信息的使用原则：经谈判小组认定的被列入失信被执行人、重大税收违法案件当事人名单、政府采购严重违法失信行为记录名单、严重违法失信社会组织名单的响应人，将拒绝其参与本次政府采购活动。</w:t>
      </w:r>
      <w:bookmarkStart w:id="9" w:name="_GoBack"/>
      <w:bookmarkEnd w:id="9"/>
    </w:p>
    <w:p>
      <w:pPr>
        <w:pStyle w:val="3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60"/>
        <w:numPr>
          <w:ilvl w:val="0"/>
          <w:numId w:val="0"/>
        </w:numPr>
        <w:autoSpaceDE w:val="0"/>
        <w:autoSpaceDN w:val="0"/>
        <w:spacing w:line="360" w:lineRule="auto"/>
        <w:ind w:leftChars="0"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4.</w:t>
      </w:r>
      <w:r>
        <w:rPr>
          <w:rFonts w:hint="eastAsia" w:cs="宋体" w:asciiTheme="minorEastAsia" w:hAnsiTheme="minorEastAsia"/>
          <w:b/>
          <w:kern w:val="0"/>
          <w:szCs w:val="21"/>
        </w:rPr>
        <w:t>合格的货物和服务</w:t>
      </w:r>
    </w:p>
    <w:p>
      <w:pPr>
        <w:pStyle w:val="60"/>
        <w:numPr>
          <w:ilvl w:val="0"/>
          <w:numId w:val="0"/>
        </w:numPr>
        <w:autoSpaceDE w:val="0"/>
        <w:autoSpaceDN w:val="0"/>
        <w:spacing w:line="360" w:lineRule="auto"/>
        <w:ind w:firstLine="480" w:firstLineChars="2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0"/>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4.2 投标人所提供的服务应当没有侵犯任何第三方的知识产权、技术秘密等合法权利。</w:t>
      </w:r>
    </w:p>
    <w:p>
      <w:pPr>
        <w:pStyle w:val="60"/>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4.3 如投标人所投产品被列入</w:t>
      </w:r>
      <w:r>
        <w:rPr>
          <w:rFonts w:cs="宋体" w:asciiTheme="minorEastAsia" w:hAnsiTheme="minorEastAsia" w:eastAsiaTheme="minorEastAsia"/>
          <w:kern w:val="0"/>
          <w:sz w:val="24"/>
          <w:szCs w:val="24"/>
          <w:lang w:val="en-US" w:eastAsia="zh-CN" w:bidi="ar-SA"/>
        </w:rPr>
        <w:t>《中华人民共和国实施强制性产品认证的产品目录》，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具备国家认监委</w:t>
      </w:r>
      <w:r>
        <w:rPr>
          <w:rFonts w:hint="eastAsia" w:cs="宋体" w:asciiTheme="minorEastAsia" w:hAnsiTheme="minorEastAsia" w:eastAsiaTheme="minorEastAsia"/>
          <w:kern w:val="0"/>
          <w:sz w:val="24"/>
          <w:szCs w:val="24"/>
          <w:lang w:val="en-US" w:eastAsia="zh-CN" w:bidi="ar-SA"/>
        </w:rPr>
        <w:t>指定强制性产品认证机构</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《中国</w:t>
      </w:r>
      <w:r>
        <w:rPr>
          <w:rFonts w:hint="eastAsia" w:cs="宋体" w:asciiTheme="minorEastAsia" w:hAnsiTheme="minorEastAsia" w:eastAsiaTheme="minorEastAsia"/>
          <w:kern w:val="0"/>
          <w:sz w:val="24"/>
          <w:szCs w:val="24"/>
          <w:lang w:val="en-US" w:eastAsia="zh-CN" w:bidi="ar-SA"/>
        </w:rPr>
        <w:t>国家</w:t>
      </w:r>
      <w:r>
        <w:rPr>
          <w:rFonts w:cs="宋体" w:asciiTheme="minorEastAsia" w:hAnsiTheme="minorEastAsia" w:eastAsiaTheme="minorEastAsia"/>
          <w:kern w:val="0"/>
          <w:sz w:val="24"/>
          <w:szCs w:val="24"/>
          <w:lang w:val="en-US" w:eastAsia="zh-CN" w:bidi="ar-SA"/>
        </w:rPr>
        <w:t>强制</w:t>
      </w:r>
      <w:r>
        <w:rPr>
          <w:rFonts w:hint="eastAsia" w:cs="宋体" w:asciiTheme="minorEastAsia" w:hAnsiTheme="minorEastAsia" w:eastAsiaTheme="minorEastAsia"/>
          <w:kern w:val="0"/>
          <w:sz w:val="24"/>
          <w:szCs w:val="24"/>
          <w:lang w:val="en-US" w:eastAsia="zh-CN" w:bidi="ar-SA"/>
        </w:rPr>
        <w:t>性产品</w:t>
      </w:r>
      <w:r>
        <w:rPr>
          <w:rFonts w:cs="宋体" w:asciiTheme="minorEastAsia" w:hAnsiTheme="minorEastAsia" w:eastAsiaTheme="minorEastAsia"/>
          <w:kern w:val="0"/>
          <w:sz w:val="24"/>
          <w:szCs w:val="24"/>
          <w:lang w:val="en-US" w:eastAsia="zh-CN" w:bidi="ar-SA"/>
        </w:rPr>
        <w:t>认证</w:t>
      </w:r>
      <w:r>
        <w:rPr>
          <w:rFonts w:hint="eastAsia" w:cs="宋体" w:asciiTheme="minorEastAsia" w:hAnsiTheme="minorEastAsia" w:eastAsiaTheme="minorEastAsia"/>
          <w:kern w:val="0"/>
          <w:sz w:val="24"/>
          <w:szCs w:val="24"/>
          <w:lang w:val="en-US" w:eastAsia="zh-CN" w:bidi="ar-SA"/>
        </w:rPr>
        <w:t>证书</w:t>
      </w:r>
      <w:r>
        <w:rPr>
          <w:rFonts w:cs="宋体" w:asciiTheme="minorEastAsia" w:hAnsiTheme="minorEastAsia" w:eastAsiaTheme="minorEastAsia"/>
          <w:kern w:val="0"/>
          <w:sz w:val="24"/>
          <w:szCs w:val="24"/>
          <w:lang w:val="en-US" w:eastAsia="zh-CN" w:bidi="ar-SA"/>
        </w:rPr>
        <w:t>》（CCC 认证）。</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pStyle w:val="60"/>
        <w:numPr>
          <w:ilvl w:val="0"/>
          <w:numId w:val="0"/>
        </w:numPr>
        <w:autoSpaceDE w:val="0"/>
        <w:autoSpaceDN w:val="0"/>
        <w:spacing w:line="360" w:lineRule="auto"/>
        <w:ind w:firstLine="480" w:firstLineChars="2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4.4投标人所投产品如被列入</w:t>
      </w:r>
      <w:r>
        <w:rPr>
          <w:rFonts w:cs="宋体" w:asciiTheme="minorEastAsia" w:hAnsiTheme="minorEastAsia" w:eastAsiaTheme="minorEastAsia"/>
          <w:kern w:val="0"/>
          <w:sz w:val="24"/>
          <w:szCs w:val="24"/>
          <w:lang w:val="en-US" w:eastAsia="zh-CN" w:bidi="ar-SA"/>
        </w:rPr>
        <w:t>《信息安全产品强制性认证目录》，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w:t>
      </w:r>
      <w:r>
        <w:rPr>
          <w:rFonts w:hint="eastAsia" w:cs="宋体" w:asciiTheme="minorEastAsia" w:hAnsiTheme="minorEastAsia" w:eastAsiaTheme="minorEastAsia"/>
          <w:kern w:val="0"/>
          <w:sz w:val="24"/>
          <w:szCs w:val="24"/>
          <w:lang w:val="en-US" w:eastAsia="zh-CN" w:bidi="ar-SA"/>
        </w:rPr>
        <w:t>中国信息安全认证中心</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w:t>
      </w:r>
      <w:r>
        <w:rPr>
          <w:rFonts w:cs="宋体" w:asciiTheme="minorEastAsia" w:hAnsiTheme="minorEastAsia" w:eastAsiaTheme="minorEastAsia"/>
          <w:kern w:val="0"/>
          <w:sz w:val="24"/>
          <w:szCs w:val="24"/>
          <w:lang w:val="en-US" w:eastAsia="zh-CN" w:bidi="ar-SA"/>
        </w:rPr>
        <w:fldChar w:fldCharType="begin"/>
      </w:r>
      <w:r>
        <w:rPr>
          <w:rFonts w:cs="宋体" w:asciiTheme="minorEastAsia" w:hAnsiTheme="minorEastAsia" w:eastAsiaTheme="minorEastAsia"/>
          <w:kern w:val="0"/>
          <w:sz w:val="24"/>
          <w:szCs w:val="24"/>
          <w:lang w:val="en-US" w:eastAsia="zh-CN" w:bidi="ar-SA"/>
        </w:rPr>
        <w:instrText xml:space="preserve"> HYPERLINK "http://www.cnca.gov.cn/cnca/zwxx/ggxx/images/2010/07/19/A6C32D2A507AC2A38326896013A67542.doc" \t "_blank" </w:instrText>
      </w:r>
      <w:r>
        <w:rPr>
          <w:rFonts w:cs="宋体" w:asciiTheme="minorEastAsia" w:hAnsiTheme="minorEastAsia" w:eastAsiaTheme="minorEastAsia"/>
          <w:kern w:val="0"/>
          <w:sz w:val="24"/>
          <w:szCs w:val="24"/>
          <w:lang w:val="en-US" w:eastAsia="zh-CN" w:bidi="ar-SA"/>
        </w:rPr>
        <w:fldChar w:fldCharType="separate"/>
      </w:r>
      <w:r>
        <w:rPr>
          <w:rFonts w:hint="eastAsia" w:cs="宋体" w:asciiTheme="minorEastAsia" w:hAnsiTheme="minorEastAsia" w:eastAsiaTheme="minorEastAsia"/>
          <w:kern w:val="0"/>
          <w:sz w:val="24"/>
          <w:szCs w:val="24"/>
          <w:lang w:val="en-US" w:eastAsia="zh-CN" w:bidi="ar-SA"/>
        </w:rPr>
        <w:t>中国国家信息安全产品认证证书</w:t>
      </w:r>
      <w:r>
        <w:rPr>
          <w:rFonts w:hint="eastAsia" w:cs="宋体" w:asciiTheme="minorEastAsia" w:hAnsiTheme="minorEastAsia" w:eastAsiaTheme="minorEastAsia"/>
          <w:kern w:val="0"/>
          <w:sz w:val="24"/>
          <w:szCs w:val="24"/>
          <w:lang w:val="en-US" w:eastAsia="zh-CN" w:bidi="ar-SA"/>
        </w:rPr>
        <w:fldChar w:fldCharType="end"/>
      </w:r>
      <w:r>
        <w:rPr>
          <w:rFonts w:cs="宋体" w:asciiTheme="minorEastAsia" w:hAnsiTheme="minorEastAsia" w:eastAsiaTheme="minorEastAsia"/>
          <w:kern w:val="0"/>
          <w:sz w:val="24"/>
          <w:szCs w:val="24"/>
          <w:lang w:val="en-US" w:eastAsia="zh-CN" w:bidi="ar-SA"/>
        </w:rPr>
        <w:t>》。</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numPr>
          <w:ilvl w:val="0"/>
          <w:numId w:val="7"/>
        </w:numPr>
        <w:tabs>
          <w:tab w:val="left" w:pos="1260"/>
        </w:tabs>
        <w:autoSpaceDE w:val="0"/>
        <w:autoSpaceDN w:val="0"/>
        <w:spacing w:line="360" w:lineRule="auto"/>
        <w:ind w:left="0" w:leftChars="0" w:firstLine="0" w:firstLineChars="0"/>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0"/>
        <w:numPr>
          <w:ilvl w:val="0"/>
          <w:numId w:val="0"/>
        </w:numPr>
        <w:ind w:left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1"/>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lang w:val="en-US" w:eastAsia="zh-CN"/>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未按照招标文件的规定提供投标保承诺函的；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4"/>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4"/>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4"/>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4"/>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4"/>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4"/>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4"/>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contextualSpacing/>
        <w:jc w:val="both"/>
        <w:rPr>
          <w:rFonts w:cs="宋体" w:asciiTheme="majorEastAsia" w:hAnsiTheme="majorEastAsia" w:eastAsiaTheme="majorEastAsia"/>
          <w:b/>
          <w:kern w:val="0"/>
          <w:sz w:val="36"/>
          <w:szCs w:val="36"/>
        </w:rPr>
      </w:pPr>
    </w:p>
    <w:p>
      <w:pPr>
        <w:pStyle w:val="14"/>
        <w:spacing w:line="360" w:lineRule="auto"/>
        <w:ind w:firstLine="2168" w:firstLineChars="600"/>
        <w:contextualSpacing/>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bCs/>
                <w:szCs w:val="21"/>
              </w:rPr>
              <w:t>www.creditchina.gov.cn</w:t>
            </w:r>
            <w:r>
              <w:rPr>
                <w:rStyle w:val="28"/>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8"/>
                <w:rFonts w:asciiTheme="minorEastAsia" w:hAnsiTheme="minorEastAsia"/>
                <w:bCs/>
                <w:szCs w:val="21"/>
              </w:rPr>
              <w:t>www.gsxt.gov.cn</w:t>
            </w:r>
            <w:r>
              <w:rPr>
                <w:rStyle w:val="28"/>
                <w:rFonts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eastAsiaTheme="minorEastAsia"/>
                <w:b/>
                <w:bCs/>
                <w:szCs w:val="21"/>
                <w:lang w:eastAsia="zh-CN"/>
              </w:rPr>
            </w:pPr>
            <w:r>
              <w:rPr>
                <w:rFonts w:hint="eastAsia" w:cs="仿宋_GB2312" w:asciiTheme="minorEastAsia" w:hAnsiTheme="minorEastAsia"/>
                <w:color w:val="000000"/>
                <w:szCs w:val="21"/>
                <w:lang w:val="en-US" w:eastAsia="zh-CN"/>
              </w:rPr>
              <w:t>投标人须具有林业调查规划设计丙级及以上资质，拟派项目负责人具有林业工程类高级及以上技术职称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10</w:t>
            </w:r>
          </w:p>
        </w:tc>
        <w:tc>
          <w:tcPr>
            <w:tcW w:w="2410" w:type="dxa"/>
            <w:vAlign w:val="center"/>
          </w:tcPr>
          <w:p>
            <w:pPr>
              <w:spacing w:line="360" w:lineRule="auto"/>
              <w:rPr>
                <w:rFonts w:hint="eastAsia" w:asciiTheme="minorEastAsia" w:hAnsiTheme="minorEastAsia" w:eastAsiaTheme="minorEastAsia"/>
                <w:b/>
                <w:szCs w:val="21"/>
                <w:lang w:eastAsia="zh-CN"/>
              </w:rPr>
            </w:pPr>
            <w:r>
              <w:rPr>
                <w:rFonts w:hint="eastAsia" w:asciiTheme="minorEastAsia" w:hAnsiTheme="minorEastAsia"/>
                <w:b/>
                <w:szCs w:val="21"/>
                <w:lang w:eastAsia="zh-CN"/>
              </w:rPr>
              <w:t>投标承诺函</w:t>
            </w:r>
          </w:p>
        </w:tc>
        <w:tc>
          <w:tcPr>
            <w:tcW w:w="5954" w:type="dxa"/>
            <w:vAlign w:val="center"/>
          </w:tcPr>
          <w:p>
            <w:pPr>
              <w:spacing w:line="360" w:lineRule="auto"/>
              <w:rPr>
                <w:rFonts w:hint="eastAsia" w:asciiTheme="minorEastAsia" w:hAnsiTheme="minorEastAsia"/>
                <w:b/>
                <w:bCs/>
                <w:szCs w:val="21"/>
                <w:lang w:eastAsia="zh-CN"/>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rPr>
              <w:t>1</w:t>
            </w:r>
            <w:r>
              <w:rPr>
                <w:rFonts w:hint="eastAsia" w:asciiTheme="minorEastAsia" w:hAnsiTheme="minorEastAsia"/>
                <w:b/>
                <w:bCs/>
                <w:szCs w:val="21"/>
                <w:lang w:val="en-US" w:eastAsia="zh-CN"/>
              </w:rPr>
              <w:t>1</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vAlign w:val="top"/>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bCs/>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4"/>
        <w:spacing w:line="360" w:lineRule="auto"/>
        <w:contextualSpacing/>
        <w:jc w:val="both"/>
        <w:rPr>
          <w:rFonts w:hint="eastAsia" w:cs="仿宋_GB2312" w:asciiTheme="minorEastAsia" w:hAnsiTheme="minorEastAsia" w:eastAsiaTheme="minorEastAsia"/>
          <w:b/>
          <w:sz w:val="32"/>
          <w:szCs w:val="32"/>
          <w:lang w:val="zh-CN"/>
        </w:rPr>
      </w:pPr>
    </w:p>
    <w:p>
      <w:pPr>
        <w:pStyle w:val="14"/>
        <w:spacing w:line="360" w:lineRule="auto"/>
        <w:contextualSpacing/>
        <w:jc w:val="center"/>
        <w:rPr>
          <w:rFonts w:hint="eastAsia" w:cs="仿宋_GB2312" w:asciiTheme="minorEastAsia" w:hAnsiTheme="minorEastAsia" w:eastAsiaTheme="minorEastAsia"/>
          <w:b/>
          <w:sz w:val="32"/>
          <w:szCs w:val="32"/>
          <w:lang w:val="zh-CN"/>
        </w:rPr>
      </w:pPr>
    </w:p>
    <w:p>
      <w:pPr>
        <w:pStyle w:val="14"/>
        <w:spacing w:line="360" w:lineRule="auto"/>
        <w:contextualSpacing/>
        <w:jc w:val="center"/>
        <w:rPr>
          <w:rFonts w:hint="eastAsia" w:cs="仿宋_GB2312" w:asciiTheme="minorEastAsia" w:hAnsiTheme="minorEastAsia" w:eastAsiaTheme="minorEastAsia"/>
          <w:b/>
          <w:sz w:val="32"/>
          <w:szCs w:val="32"/>
          <w:lang w:val="zh-CN"/>
        </w:rPr>
      </w:pPr>
    </w:p>
    <w:p>
      <w:pPr>
        <w:pStyle w:val="14"/>
        <w:spacing w:line="360" w:lineRule="auto"/>
        <w:contextualSpacing/>
        <w:jc w:val="center"/>
        <w:rPr>
          <w:rFonts w:hint="eastAsia"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hint="eastAsia" w:cs="仿宋_GB2312" w:asciiTheme="minorEastAsia" w:hAnsiTheme="minorEastAsia" w:eastAsiaTheme="minorEastAsia"/>
          <w:sz w:val="21"/>
          <w:szCs w:val="21"/>
          <w:lang w:val="en-US" w:eastAsia="zh-CN"/>
        </w:rPr>
      </w:pPr>
      <w:r>
        <w:rPr>
          <w:rFonts w:hint="eastAsia" w:cs="仿宋_GB2312" w:asciiTheme="minorEastAsia" w:hAnsiTheme="minorEastAsia" w:eastAsiaTheme="minorEastAsia"/>
          <w:sz w:val="21"/>
          <w:szCs w:val="21"/>
          <w:lang w:val="zh-CN"/>
        </w:rPr>
        <w:t>本项目采用综合评分法。</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2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   （5）评分标准</w:t>
      </w:r>
    </w:p>
    <w:p>
      <w:pPr>
        <w:pStyle w:val="2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   </w:t>
      </w:r>
    </w:p>
    <w:tbl>
      <w:tblPr>
        <w:tblStyle w:val="23"/>
        <w:tblW w:w="9340" w:type="dxa"/>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3"/>
        <w:gridCol w:w="1800"/>
        <w:gridCol w:w="58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1713" w:type="dxa"/>
            <w:tcBorders>
              <w:top w:val="single" w:color="000000" w:sz="4" w:space="0"/>
              <w:left w:val="single" w:color="000000" w:sz="4" w:space="0"/>
              <w:bottom w:val="single" w:color="000000" w:sz="4" w:space="0"/>
              <w:right w:val="single" w:color="000000" w:sz="4" w:space="0"/>
            </w:tcBorders>
            <w:vAlign w:val="center"/>
          </w:tcPr>
          <w:p>
            <w:pPr>
              <w:pStyle w:val="2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评分因素</w:t>
            </w:r>
          </w:p>
        </w:tc>
        <w:tc>
          <w:tcPr>
            <w:tcW w:w="1800" w:type="dxa"/>
            <w:tcBorders>
              <w:top w:val="single" w:color="000000" w:sz="4" w:space="0"/>
              <w:left w:val="nil"/>
              <w:bottom w:val="single" w:color="000000" w:sz="4" w:space="0"/>
              <w:right w:val="single" w:color="000000" w:sz="4" w:space="0"/>
            </w:tcBorders>
            <w:vAlign w:val="center"/>
          </w:tcPr>
          <w:p>
            <w:pPr>
              <w:pStyle w:val="2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评分内容</w:t>
            </w:r>
          </w:p>
        </w:tc>
        <w:tc>
          <w:tcPr>
            <w:tcW w:w="5827" w:type="dxa"/>
            <w:tcBorders>
              <w:top w:val="single" w:color="000000" w:sz="4" w:space="0"/>
              <w:left w:val="nil"/>
              <w:bottom w:val="single" w:color="000000" w:sz="4" w:space="0"/>
              <w:right w:val="single" w:color="000000" w:sz="4" w:space="0"/>
            </w:tcBorders>
            <w:vAlign w:val="center"/>
          </w:tcPr>
          <w:p>
            <w:pPr>
              <w:pStyle w:val="2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0" w:hRule="atLeast"/>
        </w:trPr>
        <w:tc>
          <w:tcPr>
            <w:tcW w:w="1713" w:type="dxa"/>
            <w:tcBorders>
              <w:top w:val="single" w:color="000000" w:sz="4" w:space="0"/>
              <w:left w:val="single" w:color="000000" w:sz="4" w:space="0"/>
              <w:bottom w:val="single" w:color="000000" w:sz="4" w:space="0"/>
              <w:right w:val="single" w:color="000000" w:sz="4" w:space="0"/>
            </w:tcBorders>
            <w:vAlign w:val="center"/>
          </w:tcPr>
          <w:p>
            <w:pPr>
              <w:pStyle w:val="2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价格部分</w:t>
            </w:r>
          </w:p>
          <w:p>
            <w:pPr>
              <w:pStyle w:val="2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（35分）</w:t>
            </w:r>
          </w:p>
        </w:tc>
        <w:tc>
          <w:tcPr>
            <w:tcW w:w="1800" w:type="dxa"/>
            <w:tcBorders>
              <w:top w:val="single" w:color="000000" w:sz="4" w:space="0"/>
              <w:left w:val="nil"/>
              <w:bottom w:val="single" w:color="000000" w:sz="4" w:space="0"/>
              <w:right w:val="single" w:color="000000" w:sz="4" w:space="0"/>
            </w:tcBorders>
            <w:vAlign w:val="center"/>
          </w:tcPr>
          <w:p>
            <w:pPr>
              <w:pStyle w:val="2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投标报价</w:t>
            </w:r>
          </w:p>
          <w:p>
            <w:pPr>
              <w:pStyle w:val="2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（35分）</w:t>
            </w:r>
          </w:p>
        </w:tc>
        <w:tc>
          <w:tcPr>
            <w:tcW w:w="5827" w:type="dxa"/>
            <w:tcBorders>
              <w:top w:val="single" w:color="000000" w:sz="4" w:space="0"/>
              <w:left w:val="nil"/>
              <w:bottom w:val="single" w:color="000000" w:sz="4" w:space="0"/>
              <w:right w:val="single" w:color="000000" w:sz="4" w:space="0"/>
            </w:tcBorders>
            <w:vAlign w:val="center"/>
          </w:tcPr>
          <w:p>
            <w:pPr>
              <w:pStyle w:val="2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价格分统一采用低价优先法计算，即满足招标文件要求且投标价格最低的投标报价为评标基准价，其价格分为满分。其他投标人的价格分统一按照下列公式计算：投标报价得分=（评标基准价/投标报价）×35</w:t>
            </w:r>
          </w:p>
          <w:p>
            <w:pPr>
              <w:pStyle w:val="2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最终得分计算保留小数点两位。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1" w:hRule="atLeast"/>
        </w:trPr>
        <w:tc>
          <w:tcPr>
            <w:tcW w:w="1713" w:type="dxa"/>
            <w:tcBorders>
              <w:top w:val="nil"/>
              <w:left w:val="single" w:color="000000" w:sz="4" w:space="0"/>
              <w:bottom w:val="single" w:color="000000" w:sz="4" w:space="0"/>
              <w:right w:val="single" w:color="000000" w:sz="4" w:space="0"/>
            </w:tcBorders>
            <w:vAlign w:val="center"/>
          </w:tcPr>
          <w:p>
            <w:pPr>
              <w:pStyle w:val="2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商务部分</w:t>
            </w:r>
          </w:p>
          <w:p>
            <w:pPr>
              <w:pStyle w:val="2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（25分）</w:t>
            </w:r>
          </w:p>
        </w:tc>
        <w:tc>
          <w:tcPr>
            <w:tcW w:w="1800" w:type="dxa"/>
            <w:tcBorders>
              <w:top w:val="single" w:color="000000" w:sz="4" w:space="0"/>
              <w:left w:val="nil"/>
              <w:bottom w:val="single" w:color="000000" w:sz="4" w:space="0"/>
              <w:right w:val="single" w:color="000000" w:sz="4" w:space="0"/>
            </w:tcBorders>
            <w:vAlign w:val="center"/>
          </w:tcPr>
          <w:p>
            <w:pPr>
              <w:pStyle w:val="2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企业业绩</w:t>
            </w:r>
          </w:p>
          <w:p>
            <w:pPr>
              <w:pStyle w:val="2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(25分）</w:t>
            </w:r>
          </w:p>
        </w:tc>
        <w:tc>
          <w:tcPr>
            <w:tcW w:w="5827" w:type="dxa"/>
            <w:tcBorders>
              <w:top w:val="single" w:color="000000" w:sz="4" w:space="0"/>
              <w:left w:val="nil"/>
              <w:bottom w:val="single" w:color="000000" w:sz="4" w:space="0"/>
              <w:right w:val="single" w:color="000000" w:sz="4" w:space="0"/>
            </w:tcBorders>
            <w:vAlign w:val="center"/>
          </w:tcPr>
          <w:p>
            <w:pPr>
              <w:pStyle w:val="2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投标企业2016年1月1日以来完成过一个类似项目业绩，得5分，最多得25分。（评标时以上传投标文件中合同复印件或扫描件为准。）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0" w:hRule="atLeast"/>
        </w:trPr>
        <w:tc>
          <w:tcPr>
            <w:tcW w:w="1713" w:type="dxa"/>
            <w:tcBorders>
              <w:top w:val="single" w:color="000000" w:sz="4" w:space="0"/>
              <w:left w:val="single" w:color="000000" w:sz="4" w:space="0"/>
              <w:bottom w:val="single" w:color="000000" w:sz="4" w:space="0"/>
              <w:right w:val="single" w:color="000000" w:sz="4" w:space="0"/>
            </w:tcBorders>
            <w:vAlign w:val="center"/>
          </w:tcPr>
          <w:p>
            <w:pPr>
              <w:pStyle w:val="2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技术部分</w:t>
            </w:r>
          </w:p>
          <w:p>
            <w:pPr>
              <w:pStyle w:val="2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（30分）</w:t>
            </w:r>
          </w:p>
        </w:tc>
        <w:tc>
          <w:tcPr>
            <w:tcW w:w="1800" w:type="dxa"/>
            <w:tcBorders>
              <w:top w:val="single" w:color="000000" w:sz="4" w:space="0"/>
              <w:left w:val="nil"/>
              <w:bottom w:val="single" w:color="000000" w:sz="4" w:space="0"/>
              <w:right w:val="single" w:color="000000" w:sz="4" w:space="0"/>
            </w:tcBorders>
            <w:vAlign w:val="center"/>
          </w:tcPr>
          <w:p>
            <w:pPr>
              <w:pStyle w:val="2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实施方案</w:t>
            </w:r>
          </w:p>
          <w:p>
            <w:pPr>
              <w:pStyle w:val="2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（技术措施）</w:t>
            </w:r>
          </w:p>
          <w:p>
            <w:pPr>
              <w:pStyle w:val="2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（30分）</w:t>
            </w:r>
          </w:p>
        </w:tc>
        <w:tc>
          <w:tcPr>
            <w:tcW w:w="5827" w:type="dxa"/>
            <w:tcBorders>
              <w:top w:val="single" w:color="000000" w:sz="4" w:space="0"/>
              <w:left w:val="nil"/>
              <w:bottom w:val="single" w:color="000000" w:sz="4" w:space="0"/>
              <w:right w:val="single" w:color="000000" w:sz="4" w:space="0"/>
            </w:tcBorders>
          </w:tcPr>
          <w:p>
            <w:pPr>
              <w:pStyle w:val="2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1、思路是否清晰、方案是否合理，项目主要内容的安排是否完整明晰。（0-10分）</w:t>
            </w:r>
          </w:p>
          <w:p>
            <w:pPr>
              <w:pStyle w:val="2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2、对项目的特点、关键技术问题的认识及其对策措施是否合理。（0-10分）</w:t>
            </w:r>
          </w:p>
          <w:p>
            <w:pPr>
              <w:pStyle w:val="2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3、项目进度安排及进度计划保障措施是否得当。（0-5分）</w:t>
            </w:r>
          </w:p>
          <w:p>
            <w:pPr>
              <w:pStyle w:val="2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4、质量保证措施是否合理。（0-5分）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2" w:hRule="atLeast"/>
        </w:trPr>
        <w:tc>
          <w:tcPr>
            <w:tcW w:w="1713" w:type="dxa"/>
            <w:tcBorders>
              <w:top w:val="single" w:color="000000" w:sz="4" w:space="0"/>
              <w:left w:val="single" w:color="000000" w:sz="4" w:space="0"/>
              <w:bottom w:val="single" w:color="000000" w:sz="4" w:space="0"/>
              <w:right w:val="single" w:color="000000" w:sz="4" w:space="0"/>
            </w:tcBorders>
            <w:vAlign w:val="center"/>
          </w:tcPr>
          <w:p>
            <w:pPr>
              <w:pStyle w:val="2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服务承诺（10分）</w:t>
            </w:r>
          </w:p>
        </w:tc>
        <w:tc>
          <w:tcPr>
            <w:tcW w:w="1800" w:type="dxa"/>
            <w:tcBorders>
              <w:top w:val="single" w:color="000000" w:sz="4" w:space="0"/>
              <w:left w:val="nil"/>
              <w:bottom w:val="single" w:color="000000" w:sz="4" w:space="0"/>
              <w:right w:val="single" w:color="000000" w:sz="4" w:space="0"/>
            </w:tcBorders>
            <w:vAlign w:val="center"/>
          </w:tcPr>
          <w:p>
            <w:pPr>
              <w:pStyle w:val="2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服务承诺</w:t>
            </w:r>
          </w:p>
          <w:p>
            <w:pPr>
              <w:pStyle w:val="2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（10分）</w:t>
            </w:r>
          </w:p>
        </w:tc>
        <w:tc>
          <w:tcPr>
            <w:tcW w:w="5827" w:type="dxa"/>
            <w:tcBorders>
              <w:top w:val="single" w:color="000000" w:sz="4" w:space="0"/>
              <w:left w:val="nil"/>
              <w:bottom w:val="single" w:color="000000" w:sz="4" w:space="0"/>
              <w:right w:val="single" w:color="000000" w:sz="4" w:space="0"/>
            </w:tcBorders>
            <w:vAlign w:val="center"/>
          </w:tcPr>
          <w:p>
            <w:pPr>
              <w:pStyle w:val="2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1、投标人对方案实施期间的服务措施（0-3分）</w:t>
            </w:r>
          </w:p>
          <w:p>
            <w:pPr>
              <w:pStyle w:val="2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2、投标人对方案实施期间的配合服务承诺（0-3分）</w:t>
            </w:r>
          </w:p>
          <w:p>
            <w:pPr>
              <w:pStyle w:val="2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3、投标人其他优惠及服务承诺（0-2分）</w:t>
            </w:r>
          </w:p>
          <w:p>
            <w:pPr>
              <w:pStyle w:val="2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4、投标人服务承诺细致、体系完善，根据投标人服务承诺的内容横向对比酌情打分（0-2分）</w:t>
            </w:r>
          </w:p>
        </w:tc>
      </w:tr>
    </w:tbl>
    <w:p>
      <w:pPr>
        <w:pStyle w:val="29"/>
        <w:rPr>
          <w:rFonts w:hint="eastAsia" w:cs="仿宋_GB2312" w:asciiTheme="minorEastAsia" w:hAnsiTheme="minorEastAsia"/>
          <w:szCs w:val="21"/>
          <w:lang w:val="en-US" w:eastAsia="zh-CN"/>
        </w:rPr>
      </w:pPr>
    </w:p>
    <w:p>
      <w:pPr>
        <w:spacing w:line="360" w:lineRule="auto"/>
        <w:rPr>
          <w:rFonts w:hint="eastAsia" w:ascii="新宋体" w:hAnsi="新宋体" w:eastAsia="新宋体" w:cs="新宋体"/>
          <w:b/>
          <w:sz w:val="24"/>
          <w:szCs w:val="24"/>
          <w:lang w:val="zh-CN"/>
        </w:rPr>
      </w:pPr>
      <w:r>
        <w:rPr>
          <w:rFonts w:hint="eastAsia" w:ascii="新宋体" w:hAnsi="新宋体" w:eastAsia="新宋体" w:cs="新宋体"/>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非联合体投标人</w:t>
            </w:r>
          </w:p>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（投标人须为中小企业）</w:t>
            </w:r>
          </w:p>
        </w:tc>
        <w:tc>
          <w:tcPr>
            <w:tcW w:w="2552" w:type="dxa"/>
            <w:vAlign w:val="center"/>
          </w:tcPr>
          <w:p>
            <w:pPr>
              <w:jc w:val="center"/>
              <w:rPr>
                <w:rFonts w:hint="eastAsia" w:ascii="新宋体" w:hAnsi="新宋体" w:eastAsia="新宋体" w:cs="新宋体"/>
                <w:b/>
                <w:sz w:val="24"/>
                <w:szCs w:val="24"/>
                <w:lang w:val="en-GB"/>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小型和微型企业产品的价格</w:t>
            </w:r>
            <w:r>
              <w:rPr>
                <w:rFonts w:hint="eastAsia" w:ascii="新宋体" w:hAnsi="新宋体" w:eastAsia="新宋体" w:cs="新宋体"/>
                <w:color w:val="000000"/>
                <w:sz w:val="24"/>
                <w:szCs w:val="24"/>
                <w:lang w:val="en-GB"/>
              </w:rPr>
              <w:t>×6%</w:t>
            </w:r>
          </w:p>
          <w:p>
            <w:pPr>
              <w:jc w:val="center"/>
              <w:rPr>
                <w:rFonts w:hint="eastAsia" w:ascii="新宋体" w:hAnsi="新宋体" w:eastAsia="新宋体" w:cs="新宋体"/>
                <w:b/>
                <w:color w:val="000000"/>
                <w:sz w:val="24"/>
                <w:szCs w:val="24"/>
                <w:lang w:val="en-GB"/>
              </w:rPr>
            </w:pPr>
          </w:p>
        </w:tc>
      </w:tr>
    </w:tbl>
    <w:p>
      <w:pPr>
        <w:pStyle w:val="29"/>
        <w:rPr>
          <w:rFonts w:hint="eastAsia" w:ascii="新宋体" w:hAnsi="新宋体" w:eastAsia="新宋体" w:cs="新宋体"/>
          <w:sz w:val="24"/>
          <w:szCs w:val="24"/>
          <w:lang w:val="en-US" w:eastAsia="zh-CN"/>
        </w:rPr>
      </w:pPr>
    </w:p>
    <w:p>
      <w:pPr>
        <w:spacing w:line="360" w:lineRule="auto"/>
        <w:rPr>
          <w:rFonts w:hint="eastAsia" w:ascii="新宋体" w:hAnsi="新宋体" w:eastAsia="新宋体" w:cs="新宋体"/>
          <w:b/>
          <w:sz w:val="24"/>
          <w:szCs w:val="24"/>
          <w:lang w:val="zh-CN"/>
        </w:rPr>
      </w:pPr>
      <w:r>
        <w:rPr>
          <w:rFonts w:hint="eastAsia" w:ascii="新宋体" w:hAnsi="新宋体" w:eastAsia="新宋体" w:cs="新宋体"/>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非联合体投标人</w:t>
            </w:r>
          </w:p>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（投标人须为中小企业）</w:t>
            </w:r>
          </w:p>
        </w:tc>
        <w:tc>
          <w:tcPr>
            <w:tcW w:w="2552" w:type="dxa"/>
            <w:vAlign w:val="center"/>
          </w:tcPr>
          <w:p>
            <w:pPr>
              <w:jc w:val="center"/>
              <w:rPr>
                <w:rFonts w:hint="eastAsia" w:ascii="新宋体" w:hAnsi="新宋体" w:eastAsia="新宋体" w:cs="新宋体"/>
                <w:b/>
                <w:sz w:val="24"/>
                <w:szCs w:val="24"/>
                <w:lang w:val="en-GB"/>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vMerge w:val="restart"/>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小型和微型企业产品的价格</w:t>
            </w:r>
            <w:r>
              <w:rPr>
                <w:rFonts w:hint="eastAsia" w:ascii="新宋体" w:hAnsi="新宋体" w:eastAsia="新宋体" w:cs="新宋体"/>
                <w:color w:val="000000"/>
                <w:sz w:val="24"/>
                <w:szCs w:val="24"/>
                <w:lang w:val="en-GB"/>
              </w:rPr>
              <w:t>×6%</w:t>
            </w:r>
          </w:p>
          <w:p>
            <w:pPr>
              <w:jc w:val="center"/>
              <w:rPr>
                <w:rFonts w:hint="eastAsia" w:ascii="新宋体" w:hAnsi="新宋体" w:eastAsia="新宋体" w:cs="新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2</w:t>
            </w:r>
          </w:p>
        </w:tc>
        <w:tc>
          <w:tcPr>
            <w:tcW w:w="2823" w:type="dxa"/>
            <w:vAlign w:val="center"/>
          </w:tcPr>
          <w:p>
            <w:pPr>
              <w:jc w:val="center"/>
              <w:rPr>
                <w:rFonts w:hint="eastAsia" w:ascii="新宋体" w:hAnsi="新宋体" w:eastAsia="新宋体" w:cs="新宋体"/>
                <w:b/>
                <w:color w:val="000000"/>
                <w:sz w:val="24"/>
                <w:szCs w:val="24"/>
              </w:rPr>
            </w:pPr>
            <w:r>
              <w:rPr>
                <w:rFonts w:hint="eastAsia" w:ascii="新宋体" w:hAnsi="新宋体" w:eastAsia="新宋体" w:cs="新宋体"/>
                <w:color w:val="000000"/>
                <w:sz w:val="24"/>
                <w:szCs w:val="24"/>
                <w:lang w:val="en-GB"/>
              </w:rPr>
              <w:t>联合体各方均为小型、微型企业</w:t>
            </w:r>
          </w:p>
        </w:tc>
        <w:tc>
          <w:tcPr>
            <w:tcW w:w="2552" w:type="dxa"/>
            <w:vAlign w:val="center"/>
          </w:tcPr>
          <w:p>
            <w:pPr>
              <w:jc w:val="center"/>
              <w:rPr>
                <w:rFonts w:hint="eastAsia" w:ascii="新宋体" w:hAnsi="新宋体" w:eastAsia="新宋体" w:cs="新宋体"/>
                <w:sz w:val="24"/>
                <w:szCs w:val="24"/>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p>
            <w:pPr>
              <w:jc w:val="center"/>
              <w:rPr>
                <w:rFonts w:hint="eastAsia" w:ascii="新宋体" w:hAnsi="新宋体" w:eastAsia="新宋体" w:cs="新宋体"/>
                <w:b/>
                <w:sz w:val="24"/>
                <w:szCs w:val="24"/>
                <w:lang w:val="en-GB"/>
              </w:rPr>
            </w:pPr>
            <w:r>
              <w:rPr>
                <w:rFonts w:hint="eastAsia" w:ascii="新宋体" w:hAnsi="新宋体" w:eastAsia="新宋体" w:cs="新宋体"/>
                <w:sz w:val="24"/>
                <w:szCs w:val="24"/>
              </w:rPr>
              <w:t>（不再享受序号3的价格折扣）</w:t>
            </w:r>
          </w:p>
        </w:tc>
        <w:tc>
          <w:tcPr>
            <w:tcW w:w="2835" w:type="dxa"/>
            <w:vMerge w:val="continue"/>
            <w:shd w:val="clear" w:color="auto" w:fill="auto"/>
          </w:tcPr>
          <w:p>
            <w:pPr>
              <w:rPr>
                <w:rFonts w:hint="eastAsia" w:ascii="新宋体" w:hAnsi="新宋体" w:eastAsia="新宋体" w:cs="新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3</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对联合体总金额扣除</w:t>
            </w:r>
          </w:p>
          <w:p>
            <w:pPr>
              <w:jc w:val="center"/>
              <w:rPr>
                <w:rFonts w:hint="eastAsia" w:ascii="新宋体" w:hAnsi="新宋体" w:eastAsia="新宋体" w:cs="新宋体"/>
                <w:b/>
                <w:sz w:val="24"/>
                <w:szCs w:val="24"/>
                <w:lang w:val="en-GB"/>
              </w:rPr>
            </w:pPr>
            <w:r>
              <w:rPr>
                <w:rFonts w:hint="eastAsia" w:ascii="新宋体" w:hAnsi="新宋体" w:eastAsia="新宋体" w:cs="新宋体"/>
                <w:sz w:val="24"/>
                <w:szCs w:val="24"/>
                <w:u w:val="single"/>
              </w:rPr>
              <w:t xml:space="preserve"> 2 </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FF0000"/>
                <w:sz w:val="24"/>
                <w:szCs w:val="24"/>
                <w:u w:val="single"/>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themeColor="text1"/>
                <w:sz w:val="24"/>
                <w:szCs w:val="24"/>
              </w:rPr>
              <w:t>(1-</w:t>
            </w:r>
            <w:r>
              <w:rPr>
                <w:rFonts w:hint="eastAsia" w:ascii="新宋体" w:hAnsi="新宋体" w:eastAsia="新宋体" w:cs="新宋体"/>
                <w:color w:val="000000" w:themeColor="text1"/>
                <w:sz w:val="24"/>
                <w:szCs w:val="24"/>
                <w:u w:val="single"/>
              </w:rPr>
              <w:t>2%)</w:t>
            </w:r>
          </w:p>
          <w:p>
            <w:pPr>
              <w:jc w:val="center"/>
              <w:rPr>
                <w:rFonts w:hint="eastAsia" w:ascii="新宋体" w:hAnsi="新宋体" w:eastAsia="新宋体" w:cs="新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4</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监狱企业</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视同小型、微型企业</w:t>
            </w:r>
          </w:p>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对监狱企业产品价格扣除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监狱企业产品的价格</w:t>
            </w:r>
            <w:r>
              <w:rPr>
                <w:rFonts w:hint="eastAsia" w:ascii="新宋体" w:hAnsi="新宋体" w:eastAsia="新宋体" w:cs="新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5</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残疾人福利性单位</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视同小型、微型企业</w:t>
            </w:r>
          </w:p>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对残疾人福利性单位产品价格扣除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残疾人福利性单位产品的价格</w:t>
            </w:r>
            <w:r>
              <w:rPr>
                <w:rFonts w:hint="eastAsia" w:ascii="新宋体" w:hAnsi="新宋体" w:eastAsia="新宋体" w:cs="新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513" w:firstLineChars="214"/>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评标基准价=评标价格的最低价</w:t>
            </w:r>
          </w:p>
          <w:p>
            <w:pPr>
              <w:adjustRightInd w:val="0"/>
              <w:spacing w:line="360" w:lineRule="auto"/>
              <w:ind w:left="-88" w:leftChars="-42" w:firstLine="513" w:firstLineChars="214"/>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其他投标报价得分=（评标基准价/评标价格）×评标标准中价格分值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lang w:val="en-US" w:eastAsia="zh-CN"/>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lang w:val="en-US" w:eastAsia="zh-CN"/>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4"/>
        <w:spacing w:line="360" w:lineRule="auto"/>
        <w:contextualSpacing/>
        <w:jc w:val="both"/>
        <w:rPr>
          <w:rFonts w:hint="eastAsia" w:cs="宋体" w:asciiTheme="majorEastAsia" w:hAnsiTheme="majorEastAsia" w:eastAsiaTheme="majorEastAsia"/>
          <w:b/>
          <w:kern w:val="0"/>
          <w:sz w:val="36"/>
          <w:szCs w:val="36"/>
        </w:rPr>
      </w:pPr>
    </w:p>
    <w:p>
      <w:pPr>
        <w:pStyle w:val="14"/>
        <w:spacing w:line="360" w:lineRule="auto"/>
        <w:contextualSpacing/>
        <w:jc w:val="both"/>
        <w:rPr>
          <w:rFonts w:hint="eastAsia"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4"/>
        <w:spacing w:line="360" w:lineRule="auto"/>
        <w:contextualSpacing/>
        <w:jc w:val="both"/>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hint="eastAsia" w:cs="黑体" w:asciiTheme="minorEastAsia" w:hAnsiTheme="minorEastAsia" w:eastAsiaTheme="majorEastAsia"/>
          <w:b/>
          <w:bCs/>
          <w:sz w:val="44"/>
          <w:szCs w:val="44"/>
          <w:lang w:val="en-US" w:eastAsia="zh-CN"/>
        </w:rPr>
      </w:pPr>
      <w:r>
        <w:rPr>
          <w:rFonts w:hint="eastAsia" w:cs="宋体" w:asciiTheme="majorEastAsia" w:hAnsiTheme="majorEastAsia" w:eastAsiaTheme="majorEastAsia"/>
          <w:b/>
          <w:kern w:val="0"/>
          <w:sz w:val="36"/>
          <w:szCs w:val="36"/>
        </w:rPr>
        <w:t>（如涉及本项目的提供</w:t>
      </w:r>
      <w:r>
        <w:rPr>
          <w:rFonts w:hint="eastAsia" w:cs="宋体" w:asciiTheme="majorEastAsia" w:hAnsiTheme="majorEastAsia" w:eastAsiaTheme="majorEastAsia"/>
          <w:b/>
          <w:kern w:val="0"/>
          <w:sz w:val="36"/>
          <w:szCs w:val="36"/>
          <w:lang w:val="en-US" w:eastAsia="zh-CN"/>
        </w:rPr>
        <w:t>)</w:t>
      </w:r>
    </w:p>
    <w:p>
      <w:pPr>
        <w:pStyle w:val="30"/>
        <w:rPr>
          <w:rFonts w:cs="黑体" w:asciiTheme="minorEastAsia" w:hAnsiTheme="minorEastAsia"/>
          <w:b/>
          <w:bCs/>
          <w:sz w:val="44"/>
          <w:szCs w:val="44"/>
          <w:lang w:val="zh-CN"/>
        </w:rPr>
      </w:pPr>
    </w:p>
    <w:p>
      <w:pPr>
        <w:pStyle w:val="30"/>
        <w:rPr>
          <w:rFonts w:cs="黑体" w:asciiTheme="minorEastAsia" w:hAnsiTheme="minorEastAsia"/>
          <w:b/>
          <w:bCs/>
          <w:sz w:val="44"/>
          <w:szCs w:val="44"/>
          <w:lang w:val="zh-CN"/>
        </w:rPr>
      </w:pPr>
    </w:p>
    <w:p>
      <w:pPr>
        <w:pStyle w:val="30"/>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6274126"/>
      <w:bookmarkStart w:id="2" w:name="_Toc174185203"/>
      <w:bookmarkStart w:id="3" w:name="_Toc184023138"/>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int="eastAsia" w:hAnsi="宋体" w:cs="微软雅黑" w:eastAsiaTheme="majorEastAsia"/>
                <w:bCs/>
                <w:kern w:val="0"/>
                <w:sz w:val="21"/>
                <w:szCs w:val="21"/>
                <w:lang w:val="en-US" w:eastAsia="zh-CN"/>
              </w:rPr>
            </w:pPr>
            <w:r>
              <w:rPr>
                <w:rFonts w:hint="eastAsia" w:asciiTheme="majorEastAsia" w:hAnsiTheme="majorEastAsia" w:eastAsiaTheme="majorEastAsia" w:cstheme="majorEastAsia"/>
                <w:bCs/>
                <w:sz w:val="21"/>
                <w:szCs w:val="21"/>
                <w:lang w:val="zh-CN"/>
              </w:rPr>
              <w:t>投标</w:t>
            </w:r>
            <w:r>
              <w:rPr>
                <w:rFonts w:hint="eastAsia" w:asciiTheme="majorEastAsia" w:hAnsiTheme="majorEastAsia" w:eastAsiaTheme="majorEastAsia" w:cstheme="majorEastAsia"/>
                <w:bCs/>
                <w:sz w:val="21"/>
                <w:szCs w:val="21"/>
                <w:lang w:val="zh-CN" w:eastAsia="zh-CN"/>
              </w:rPr>
              <w:t>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w:t>
      </w:r>
      <w:r>
        <w:rPr>
          <w:rFonts w:hint="eastAsia" w:cs="Courier New" w:asciiTheme="minorEastAsia" w:hAnsiTheme="minorEastAsia" w:eastAsiaTheme="minorEastAsia"/>
          <w:sz w:val="21"/>
          <w:szCs w:val="21"/>
          <w:lang w:eastAsia="zh-CN"/>
        </w:rPr>
        <w:t>履约</w:t>
      </w:r>
      <w:r>
        <w:rPr>
          <w:rFonts w:hint="eastAsia" w:cs="Courier New" w:asciiTheme="minorEastAsia" w:hAnsiTheme="minorEastAsia" w:eastAsiaTheme="minorEastAsia"/>
          <w:sz w:val="21"/>
          <w:szCs w:val="21"/>
        </w:rPr>
        <w:t>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4"/>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4"/>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7"/>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6"/>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29"/>
        <w:rPr>
          <w:rFonts w:hint="eastAsia" w:ascii="宋体" w:hAnsi="宋体"/>
          <w:b/>
          <w:bCs/>
          <w:color w:val="000000"/>
          <w:sz w:val="24"/>
          <w:szCs w:val="24"/>
        </w:rPr>
      </w:pPr>
    </w:p>
    <w:p>
      <w:pPr>
        <w:pStyle w:val="29"/>
        <w:rPr>
          <w:rFonts w:hint="eastAsia" w:ascii="宋体" w:hAnsi="宋体"/>
          <w:b/>
          <w:bCs/>
          <w:color w:val="000000"/>
          <w:sz w:val="24"/>
          <w:szCs w:val="24"/>
        </w:rPr>
      </w:pPr>
    </w:p>
    <w:p>
      <w:pPr>
        <w:pStyle w:val="29"/>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5460" w:firstLineChars="26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1</w:t>
      </w:r>
      <w:r>
        <w:rPr>
          <w:rFonts w:hint="eastAsia" w:ascii="宋体" w:hAnsi="宋体"/>
          <w:b/>
          <w:bCs/>
          <w:color w:val="000000"/>
          <w:sz w:val="24"/>
          <w:szCs w:val="24"/>
        </w:rPr>
        <w:t xml:space="preserve">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2</w:t>
      </w:r>
      <w:r>
        <w:rPr>
          <w:rFonts w:hint="eastAsia" w:ascii="宋体" w:hAnsi="宋体"/>
          <w:b/>
          <w:bCs/>
          <w:color w:val="000000"/>
          <w:sz w:val="24"/>
          <w:szCs w:val="24"/>
        </w:rPr>
        <w:t>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3</w:t>
      </w:r>
      <w:r>
        <w:rPr>
          <w:rFonts w:hint="eastAsia" w:ascii="宋体" w:hAnsi="宋体"/>
          <w:b/>
          <w:bCs/>
          <w:color w:val="000000"/>
          <w:sz w:val="24"/>
          <w:szCs w:val="24"/>
        </w:rPr>
        <w:t xml:space="preserve"> 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4</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7" w:name="OLE_LINK14"/>
      <w:bookmarkStart w:id="8" w:name="OLE_LINK13"/>
      <w:r>
        <w:rPr>
          <w:rFonts w:hint="eastAsia" w:ascii="宋体" w:hAnsi="宋体"/>
          <w:b/>
          <w:bCs/>
          <w:color w:val="000000"/>
          <w:sz w:val="24"/>
          <w:szCs w:val="24"/>
        </w:rPr>
        <w:t>4.</w:t>
      </w:r>
      <w:r>
        <w:rPr>
          <w:rFonts w:hint="eastAsia" w:ascii="宋体" w:hAnsi="宋体"/>
          <w:b/>
          <w:bCs/>
          <w:color w:val="000000"/>
          <w:sz w:val="24"/>
          <w:szCs w:val="24"/>
          <w:lang w:val="en-US" w:eastAsia="zh-CN"/>
        </w:rPr>
        <w:t>5</w:t>
      </w:r>
      <w:r>
        <w:rPr>
          <w:rFonts w:hint="eastAsia" w:ascii="宋体" w:hAnsi="宋体"/>
          <w:b/>
          <w:bCs/>
          <w:color w:val="000000"/>
          <w:sz w:val="24"/>
          <w:szCs w:val="24"/>
        </w:rPr>
        <w:t>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30"/>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简隶书">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B403A2"/>
    <w:multiLevelType w:val="singleLevel"/>
    <w:tmpl w:val="E7B403A2"/>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2F9EBF59"/>
    <w:multiLevelType w:val="singleLevel"/>
    <w:tmpl w:val="2F9EBF59"/>
    <w:lvl w:ilvl="0" w:tentative="0">
      <w:start w:val="1"/>
      <w:numFmt w:val="chineseCounting"/>
      <w:suff w:val="nothing"/>
      <w:lvlText w:val="（%1）"/>
      <w:lvlJc w:val="left"/>
      <w:rPr>
        <w:rFonts w:hint="eastAsia"/>
      </w:rPr>
    </w:lvl>
  </w:abstractNum>
  <w:abstractNum w:abstractNumId="6">
    <w:nsid w:val="31D40CE9"/>
    <w:multiLevelType w:val="singleLevel"/>
    <w:tmpl w:val="31D40CE9"/>
    <w:lvl w:ilvl="0" w:tentative="0">
      <w:start w:val="1"/>
      <w:numFmt w:val="chineseCounting"/>
      <w:suff w:val="space"/>
      <w:lvlText w:val="第%1章"/>
      <w:lvlJc w:val="left"/>
      <w:rPr>
        <w:rFonts w:hint="eastAsia"/>
      </w:rPr>
    </w:lvl>
  </w:abstractNum>
  <w:abstractNum w:abstractNumId="7">
    <w:nsid w:val="3A70195C"/>
    <w:multiLevelType w:val="singleLevel"/>
    <w:tmpl w:val="3A70195C"/>
    <w:lvl w:ilvl="0" w:tentative="0">
      <w:start w:val="1"/>
      <w:numFmt w:val="decimal"/>
      <w:suff w:val="nothing"/>
      <w:lvlText w:val="（%1）"/>
      <w:lvlJc w:val="left"/>
    </w:lvl>
  </w:abstractNum>
  <w:abstractNum w:abstractNumId="8">
    <w:nsid w:val="59F817C2"/>
    <w:multiLevelType w:val="singleLevel"/>
    <w:tmpl w:val="59F817C2"/>
    <w:lvl w:ilvl="0" w:tentative="0">
      <w:start w:val="2"/>
      <w:numFmt w:val="chineseCounting"/>
      <w:suff w:val="space"/>
      <w:lvlText w:val="第%1章"/>
      <w:lvlJc w:val="left"/>
    </w:lvl>
  </w:abstractNum>
  <w:abstractNum w:abstractNumId="9">
    <w:nsid w:val="59F817E8"/>
    <w:multiLevelType w:val="singleLevel"/>
    <w:tmpl w:val="59F817E8"/>
    <w:lvl w:ilvl="0" w:tentative="0">
      <w:start w:val="1"/>
      <w:numFmt w:val="chineseCounting"/>
      <w:pStyle w:val="53"/>
      <w:suff w:val="nothing"/>
      <w:lvlText w:val="%1、"/>
      <w:lvlJc w:val="left"/>
    </w:lvl>
  </w:abstractNum>
  <w:abstractNum w:abstractNumId="10">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9"/>
  </w:num>
  <w:num w:numId="4">
    <w:abstractNumId w:val="6"/>
  </w:num>
  <w:num w:numId="5">
    <w:abstractNumId w:val="8"/>
  </w:num>
  <w:num w:numId="6">
    <w:abstractNumId w:val="5"/>
  </w:num>
  <w:num w:numId="7">
    <w:abstractNumId w:val="0"/>
  </w:num>
  <w:num w:numId="8">
    <w:abstractNumId w:val="4"/>
  </w:num>
  <w:num w:numId="9">
    <w:abstractNumId w:val="1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5EA"/>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EC3A13"/>
    <w:rsid w:val="027C7D92"/>
    <w:rsid w:val="02B4779D"/>
    <w:rsid w:val="032449BC"/>
    <w:rsid w:val="03480A0E"/>
    <w:rsid w:val="035B7C17"/>
    <w:rsid w:val="037217D3"/>
    <w:rsid w:val="03813929"/>
    <w:rsid w:val="03A87C38"/>
    <w:rsid w:val="03C54AE6"/>
    <w:rsid w:val="04AC3A15"/>
    <w:rsid w:val="067B2CDB"/>
    <w:rsid w:val="07732CDA"/>
    <w:rsid w:val="07DA78CD"/>
    <w:rsid w:val="080C2BBA"/>
    <w:rsid w:val="08C0181D"/>
    <w:rsid w:val="08FD5745"/>
    <w:rsid w:val="0A3A482D"/>
    <w:rsid w:val="0A5E16AE"/>
    <w:rsid w:val="0A7C3AAF"/>
    <w:rsid w:val="0A997A60"/>
    <w:rsid w:val="0AB50907"/>
    <w:rsid w:val="0B01317F"/>
    <w:rsid w:val="0BBD5765"/>
    <w:rsid w:val="0C1D2223"/>
    <w:rsid w:val="0C3D4298"/>
    <w:rsid w:val="0C9523A6"/>
    <w:rsid w:val="0CA67F00"/>
    <w:rsid w:val="0CAB7FE2"/>
    <w:rsid w:val="0CCD3572"/>
    <w:rsid w:val="0CF46B6D"/>
    <w:rsid w:val="0CF874BC"/>
    <w:rsid w:val="0D057A5F"/>
    <w:rsid w:val="0D403087"/>
    <w:rsid w:val="0DA22AE9"/>
    <w:rsid w:val="0E3648A2"/>
    <w:rsid w:val="0F485C64"/>
    <w:rsid w:val="0F7B5351"/>
    <w:rsid w:val="0F981000"/>
    <w:rsid w:val="0FD30C14"/>
    <w:rsid w:val="101B403B"/>
    <w:rsid w:val="110E6851"/>
    <w:rsid w:val="1139362B"/>
    <w:rsid w:val="116D26CD"/>
    <w:rsid w:val="11C23651"/>
    <w:rsid w:val="11E13F76"/>
    <w:rsid w:val="123143AC"/>
    <w:rsid w:val="129267D1"/>
    <w:rsid w:val="12C422CE"/>
    <w:rsid w:val="13903C42"/>
    <w:rsid w:val="13B159A7"/>
    <w:rsid w:val="13D62A9D"/>
    <w:rsid w:val="13EB69AF"/>
    <w:rsid w:val="13EF7D11"/>
    <w:rsid w:val="140778EB"/>
    <w:rsid w:val="15437E44"/>
    <w:rsid w:val="155C6126"/>
    <w:rsid w:val="155E38CF"/>
    <w:rsid w:val="158908A7"/>
    <w:rsid w:val="160E3E81"/>
    <w:rsid w:val="16EB2042"/>
    <w:rsid w:val="16EE4E99"/>
    <w:rsid w:val="17022AEF"/>
    <w:rsid w:val="171E620C"/>
    <w:rsid w:val="175F012D"/>
    <w:rsid w:val="17843B5C"/>
    <w:rsid w:val="17A87F25"/>
    <w:rsid w:val="17F27C17"/>
    <w:rsid w:val="183965F3"/>
    <w:rsid w:val="189035FD"/>
    <w:rsid w:val="18C769E5"/>
    <w:rsid w:val="18D55096"/>
    <w:rsid w:val="192D0B22"/>
    <w:rsid w:val="198348D6"/>
    <w:rsid w:val="1A08396D"/>
    <w:rsid w:val="1A1A3129"/>
    <w:rsid w:val="1AFBFFDD"/>
    <w:rsid w:val="1B1653FD"/>
    <w:rsid w:val="1BAE49D7"/>
    <w:rsid w:val="1C2D1536"/>
    <w:rsid w:val="1CCF2F1D"/>
    <w:rsid w:val="1CF87F0B"/>
    <w:rsid w:val="1CFB73D3"/>
    <w:rsid w:val="1D3B1EEC"/>
    <w:rsid w:val="1D767D0D"/>
    <w:rsid w:val="1E8E722F"/>
    <w:rsid w:val="1F8E45BB"/>
    <w:rsid w:val="1FE15514"/>
    <w:rsid w:val="1FF158F3"/>
    <w:rsid w:val="208614E5"/>
    <w:rsid w:val="2157706F"/>
    <w:rsid w:val="21DC7D3C"/>
    <w:rsid w:val="21DD4A96"/>
    <w:rsid w:val="2298317C"/>
    <w:rsid w:val="22CE29EE"/>
    <w:rsid w:val="24D35795"/>
    <w:rsid w:val="255E48CD"/>
    <w:rsid w:val="26B87348"/>
    <w:rsid w:val="271F4B16"/>
    <w:rsid w:val="275038F3"/>
    <w:rsid w:val="27900DD5"/>
    <w:rsid w:val="27CD14F5"/>
    <w:rsid w:val="28E96646"/>
    <w:rsid w:val="28F2008A"/>
    <w:rsid w:val="293C5FB1"/>
    <w:rsid w:val="29A55E19"/>
    <w:rsid w:val="29EA34BC"/>
    <w:rsid w:val="29F94CB1"/>
    <w:rsid w:val="2A553543"/>
    <w:rsid w:val="2A745111"/>
    <w:rsid w:val="2AB1472A"/>
    <w:rsid w:val="2AE16287"/>
    <w:rsid w:val="2AF87034"/>
    <w:rsid w:val="2B022C78"/>
    <w:rsid w:val="2B9E6D70"/>
    <w:rsid w:val="2C014C3B"/>
    <w:rsid w:val="2D3257AD"/>
    <w:rsid w:val="2D4A693F"/>
    <w:rsid w:val="2D7511B5"/>
    <w:rsid w:val="2E252DC4"/>
    <w:rsid w:val="2E4436BA"/>
    <w:rsid w:val="2EE200E1"/>
    <w:rsid w:val="2F566BBD"/>
    <w:rsid w:val="2F650AED"/>
    <w:rsid w:val="2FFD3F6B"/>
    <w:rsid w:val="30EA79C7"/>
    <w:rsid w:val="30F7551B"/>
    <w:rsid w:val="30FD56B7"/>
    <w:rsid w:val="329E1B24"/>
    <w:rsid w:val="32BF12F4"/>
    <w:rsid w:val="33563CED"/>
    <w:rsid w:val="336E4903"/>
    <w:rsid w:val="338A4286"/>
    <w:rsid w:val="347F0816"/>
    <w:rsid w:val="34B644B7"/>
    <w:rsid w:val="35D905EB"/>
    <w:rsid w:val="36B46A4A"/>
    <w:rsid w:val="36E65B38"/>
    <w:rsid w:val="375656B9"/>
    <w:rsid w:val="375B6549"/>
    <w:rsid w:val="37627558"/>
    <w:rsid w:val="37AC24EF"/>
    <w:rsid w:val="37B91083"/>
    <w:rsid w:val="383731D3"/>
    <w:rsid w:val="38C076BF"/>
    <w:rsid w:val="38ED1382"/>
    <w:rsid w:val="39FD28B4"/>
    <w:rsid w:val="3A34267C"/>
    <w:rsid w:val="3A403E64"/>
    <w:rsid w:val="3AC47AB6"/>
    <w:rsid w:val="3ADD0A2E"/>
    <w:rsid w:val="3B4C7808"/>
    <w:rsid w:val="3B766492"/>
    <w:rsid w:val="3B7A3E82"/>
    <w:rsid w:val="3B8D0CE8"/>
    <w:rsid w:val="3BA71EF1"/>
    <w:rsid w:val="3BF14ECF"/>
    <w:rsid w:val="3C1651F0"/>
    <w:rsid w:val="3C2006E5"/>
    <w:rsid w:val="3C802D3E"/>
    <w:rsid w:val="3CBF1608"/>
    <w:rsid w:val="3CC749D9"/>
    <w:rsid w:val="3CFB31CE"/>
    <w:rsid w:val="3D3308D4"/>
    <w:rsid w:val="3DCA2531"/>
    <w:rsid w:val="3DDA3322"/>
    <w:rsid w:val="3E017946"/>
    <w:rsid w:val="3E3A26DB"/>
    <w:rsid w:val="3EA20E92"/>
    <w:rsid w:val="3F263B0E"/>
    <w:rsid w:val="3F3B4554"/>
    <w:rsid w:val="414D7438"/>
    <w:rsid w:val="41572B91"/>
    <w:rsid w:val="41A16B13"/>
    <w:rsid w:val="41EF3AE9"/>
    <w:rsid w:val="42065704"/>
    <w:rsid w:val="423A7A11"/>
    <w:rsid w:val="428968C5"/>
    <w:rsid w:val="430D37F8"/>
    <w:rsid w:val="433E5811"/>
    <w:rsid w:val="43420F67"/>
    <w:rsid w:val="43AF27C5"/>
    <w:rsid w:val="441A4676"/>
    <w:rsid w:val="443E3AC2"/>
    <w:rsid w:val="444772BC"/>
    <w:rsid w:val="444A0A6A"/>
    <w:rsid w:val="444D773E"/>
    <w:rsid w:val="44972791"/>
    <w:rsid w:val="458D2A4C"/>
    <w:rsid w:val="459D509E"/>
    <w:rsid w:val="45A926DC"/>
    <w:rsid w:val="45FC4042"/>
    <w:rsid w:val="46E81321"/>
    <w:rsid w:val="477C4489"/>
    <w:rsid w:val="477E79DB"/>
    <w:rsid w:val="47EC2F8F"/>
    <w:rsid w:val="48A74E72"/>
    <w:rsid w:val="48BB1E61"/>
    <w:rsid w:val="48E44347"/>
    <w:rsid w:val="4A0C70DA"/>
    <w:rsid w:val="4A4945CB"/>
    <w:rsid w:val="4A792D0E"/>
    <w:rsid w:val="4AB4093D"/>
    <w:rsid w:val="4AE22F4C"/>
    <w:rsid w:val="4B1F5184"/>
    <w:rsid w:val="4B536EA5"/>
    <w:rsid w:val="4CA91082"/>
    <w:rsid w:val="4D1C4C00"/>
    <w:rsid w:val="4E8F0D2C"/>
    <w:rsid w:val="4E9D24DB"/>
    <w:rsid w:val="4EAC4ADD"/>
    <w:rsid w:val="4EB72836"/>
    <w:rsid w:val="4ED23FD5"/>
    <w:rsid w:val="4EE945C2"/>
    <w:rsid w:val="4EF775A1"/>
    <w:rsid w:val="4EFB1FC3"/>
    <w:rsid w:val="4F2D1244"/>
    <w:rsid w:val="4F3C1178"/>
    <w:rsid w:val="4F661CEB"/>
    <w:rsid w:val="4FEB5C49"/>
    <w:rsid w:val="505C6771"/>
    <w:rsid w:val="527B1821"/>
    <w:rsid w:val="5310611D"/>
    <w:rsid w:val="53276344"/>
    <w:rsid w:val="53293BFC"/>
    <w:rsid w:val="533D55CA"/>
    <w:rsid w:val="535D3032"/>
    <w:rsid w:val="53C97953"/>
    <w:rsid w:val="53DA095B"/>
    <w:rsid w:val="53F5577A"/>
    <w:rsid w:val="54EC2987"/>
    <w:rsid w:val="55026173"/>
    <w:rsid w:val="5590515E"/>
    <w:rsid w:val="55EF2276"/>
    <w:rsid w:val="562D2F69"/>
    <w:rsid w:val="56563817"/>
    <w:rsid w:val="57024892"/>
    <w:rsid w:val="5703196B"/>
    <w:rsid w:val="57140DA8"/>
    <w:rsid w:val="574A43AC"/>
    <w:rsid w:val="58077CBD"/>
    <w:rsid w:val="5812110B"/>
    <w:rsid w:val="582E1358"/>
    <w:rsid w:val="58323449"/>
    <w:rsid w:val="58854954"/>
    <w:rsid w:val="58D254DE"/>
    <w:rsid w:val="58FD658D"/>
    <w:rsid w:val="59454145"/>
    <w:rsid w:val="5A836AC3"/>
    <w:rsid w:val="5B0C6CA4"/>
    <w:rsid w:val="5BCD4474"/>
    <w:rsid w:val="5BDD720D"/>
    <w:rsid w:val="5CFD3C28"/>
    <w:rsid w:val="5E2C7B65"/>
    <w:rsid w:val="5EB8046C"/>
    <w:rsid w:val="5EC23D91"/>
    <w:rsid w:val="5EEA6FD8"/>
    <w:rsid w:val="5F5D3B89"/>
    <w:rsid w:val="5F91300B"/>
    <w:rsid w:val="5FBD74DE"/>
    <w:rsid w:val="601812B8"/>
    <w:rsid w:val="603F2634"/>
    <w:rsid w:val="60BD0412"/>
    <w:rsid w:val="60C57DDF"/>
    <w:rsid w:val="616C5D6E"/>
    <w:rsid w:val="61775FA5"/>
    <w:rsid w:val="61943CA7"/>
    <w:rsid w:val="619B680C"/>
    <w:rsid w:val="62D364FA"/>
    <w:rsid w:val="62E53998"/>
    <w:rsid w:val="64124C78"/>
    <w:rsid w:val="648D2FFF"/>
    <w:rsid w:val="653348F4"/>
    <w:rsid w:val="656839C3"/>
    <w:rsid w:val="65725730"/>
    <w:rsid w:val="65B92974"/>
    <w:rsid w:val="65C80747"/>
    <w:rsid w:val="665D6AFD"/>
    <w:rsid w:val="66A00112"/>
    <w:rsid w:val="672B7704"/>
    <w:rsid w:val="673855F4"/>
    <w:rsid w:val="68594ADA"/>
    <w:rsid w:val="68741D48"/>
    <w:rsid w:val="693A6BDC"/>
    <w:rsid w:val="6AB31C19"/>
    <w:rsid w:val="6B357A50"/>
    <w:rsid w:val="6B5B7DCB"/>
    <w:rsid w:val="6B930197"/>
    <w:rsid w:val="6BB95672"/>
    <w:rsid w:val="6C1E4AF0"/>
    <w:rsid w:val="6C4712E8"/>
    <w:rsid w:val="6C9C46AE"/>
    <w:rsid w:val="6CE55F45"/>
    <w:rsid w:val="6D15465F"/>
    <w:rsid w:val="6D6121F0"/>
    <w:rsid w:val="6D8D5D8A"/>
    <w:rsid w:val="6DB31E54"/>
    <w:rsid w:val="6DE87E82"/>
    <w:rsid w:val="6DFC3DF2"/>
    <w:rsid w:val="6E673C05"/>
    <w:rsid w:val="6E6F4DC3"/>
    <w:rsid w:val="6E7511ED"/>
    <w:rsid w:val="6E76180E"/>
    <w:rsid w:val="6ED546F7"/>
    <w:rsid w:val="6F272507"/>
    <w:rsid w:val="6F992BAA"/>
    <w:rsid w:val="6FF11A89"/>
    <w:rsid w:val="70117814"/>
    <w:rsid w:val="70602224"/>
    <w:rsid w:val="70C1699F"/>
    <w:rsid w:val="711034C3"/>
    <w:rsid w:val="7151172F"/>
    <w:rsid w:val="71617265"/>
    <w:rsid w:val="719549A9"/>
    <w:rsid w:val="71C32A07"/>
    <w:rsid w:val="71E53350"/>
    <w:rsid w:val="720E5D3A"/>
    <w:rsid w:val="721D6D7A"/>
    <w:rsid w:val="72254E2A"/>
    <w:rsid w:val="72ED3426"/>
    <w:rsid w:val="73184127"/>
    <w:rsid w:val="73555ECB"/>
    <w:rsid w:val="73733509"/>
    <w:rsid w:val="73D40348"/>
    <w:rsid w:val="74304EB5"/>
    <w:rsid w:val="74AB41BE"/>
    <w:rsid w:val="75EA3934"/>
    <w:rsid w:val="76AF6448"/>
    <w:rsid w:val="774700AD"/>
    <w:rsid w:val="777E0158"/>
    <w:rsid w:val="77A5121A"/>
    <w:rsid w:val="788A0F31"/>
    <w:rsid w:val="78F56DD8"/>
    <w:rsid w:val="79373D17"/>
    <w:rsid w:val="7A77760E"/>
    <w:rsid w:val="7AC70899"/>
    <w:rsid w:val="7B3F7553"/>
    <w:rsid w:val="7B7986D1"/>
    <w:rsid w:val="7B877587"/>
    <w:rsid w:val="7D937E78"/>
    <w:rsid w:val="7E0F106D"/>
    <w:rsid w:val="7E747F79"/>
    <w:rsid w:val="7E813E2F"/>
    <w:rsid w:val="7EE52F06"/>
    <w:rsid w:val="7F7C60D3"/>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2"/>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4"/>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5"/>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50"/>
    <w:qFormat/>
    <w:uiPriority w:val="0"/>
    <w:rPr>
      <w:rFonts w:ascii="Times New Roman" w:hAnsi="Times New Roman" w:eastAsia="宋体" w:cs="Times New Roman"/>
      <w:color w:val="FF0000"/>
      <w:sz w:val="24"/>
      <w:szCs w:val="24"/>
    </w:rPr>
  </w:style>
  <w:style w:type="paragraph" w:styleId="9">
    <w:name w:val="Body Text"/>
    <w:basedOn w:val="1"/>
    <w:link w:val="54"/>
    <w:unhideWhenUsed/>
    <w:qFormat/>
    <w:uiPriority w:val="99"/>
    <w:pPr>
      <w:spacing w:after="120"/>
    </w:pPr>
  </w:style>
  <w:style w:type="paragraph" w:styleId="10">
    <w:name w:val="Body Text Indent"/>
    <w:basedOn w:val="1"/>
    <w:next w:val="11"/>
    <w:qFormat/>
    <w:uiPriority w:val="0"/>
    <w:pPr>
      <w:spacing w:line="400" w:lineRule="exact"/>
      <w:ind w:left="630"/>
    </w:pPr>
    <w:rPr>
      <w:rFonts w:ascii="楷体_GB2312" w:eastAsia="宋体"/>
      <w:sz w:val="21"/>
    </w:rPr>
  </w:style>
  <w:style w:type="paragraph" w:styleId="11">
    <w:name w:val="envelope return"/>
    <w:basedOn w:val="1"/>
    <w:semiHidden/>
    <w:unhideWhenUsed/>
    <w:qFormat/>
    <w:uiPriority w:val="99"/>
    <w:pPr>
      <w:snapToGrid w:val="0"/>
    </w:pPr>
    <w:rPr>
      <w:rFonts w:hint="eastAsia" w:ascii="Arial" w:hAnsi="Arial"/>
      <w:sz w:val="24"/>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6"/>
    <w:qFormat/>
    <w:uiPriority w:val="0"/>
    <w:rPr>
      <w:rFonts w:eastAsia="宋体"/>
      <w:sz w:val="24"/>
    </w:rPr>
  </w:style>
  <w:style w:type="paragraph" w:styleId="15">
    <w:name w:val="Date"/>
    <w:basedOn w:val="1"/>
    <w:next w:val="1"/>
    <w:link w:val="37"/>
    <w:unhideWhenUsed/>
    <w:qFormat/>
    <w:uiPriority w:val="99"/>
    <w:pPr>
      <w:ind w:left="100" w:leftChars="2500"/>
    </w:pPr>
  </w:style>
  <w:style w:type="paragraph" w:styleId="16">
    <w:name w:val="footer"/>
    <w:basedOn w:val="1"/>
    <w:link w:val="38"/>
    <w:unhideWhenUsed/>
    <w:qFormat/>
    <w:uiPriority w:val="99"/>
    <w:pPr>
      <w:tabs>
        <w:tab w:val="center" w:pos="4153"/>
        <w:tab w:val="right" w:pos="8306"/>
      </w:tabs>
      <w:snapToGrid w:val="0"/>
      <w:jc w:val="left"/>
    </w:pPr>
    <w:rPr>
      <w:sz w:val="18"/>
      <w:szCs w:val="18"/>
    </w:rPr>
  </w:style>
  <w:style w:type="paragraph" w:styleId="17">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55"/>
    <w:qFormat/>
    <w:uiPriority w:val="0"/>
    <w:pPr>
      <w:ind w:firstLine="420" w:firstLineChars="100"/>
    </w:pPr>
    <w:rPr>
      <w:rFonts w:ascii="宋体" w:hAnsi="Times New Roman" w:eastAsia="宋体" w:cs="Times New Roman"/>
      <w:kern w:val="0"/>
      <w:sz w:val="34"/>
      <w:szCs w:val="20"/>
    </w:rPr>
  </w:style>
  <w:style w:type="paragraph" w:styleId="22">
    <w:name w:val="Body Text First Indent 2"/>
    <w:basedOn w:val="10"/>
    <w:semiHidden/>
    <w:qFormat/>
    <w:uiPriority w:val="99"/>
    <w:pPr>
      <w:snapToGrid/>
      <w:spacing w:after="120" w:line="240" w:lineRule="auto"/>
      <w:ind w:left="420" w:leftChars="200" w:firstLine="420" w:firstLineChars="200"/>
    </w:pPr>
    <w:rPr>
      <w:sz w:val="21"/>
      <w:szCs w:val="24"/>
    </w:rPr>
  </w:style>
  <w:style w:type="character" w:styleId="25">
    <w:name w:val="Strong"/>
    <w:basedOn w:val="24"/>
    <w:qFormat/>
    <w:uiPriority w:val="22"/>
    <w:rPr>
      <w:b/>
      <w:bCs/>
    </w:rPr>
  </w:style>
  <w:style w:type="character" w:styleId="26">
    <w:name w:val="FollowedHyperlink"/>
    <w:basedOn w:val="24"/>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paragraph" w:customStyle="1" w:styleId="29">
    <w:name w:val="无间隔1"/>
    <w:basedOn w:val="1"/>
    <w:qFormat/>
    <w:uiPriority w:val="0"/>
    <w:pPr>
      <w:spacing w:line="400" w:lineRule="exact"/>
    </w:pPr>
    <w:rPr>
      <w:sz w:val="24"/>
    </w:rPr>
  </w:style>
  <w:style w:type="paragraph" w:customStyle="1" w:styleId="30">
    <w:name w:val="*正文"/>
    <w:basedOn w:val="1"/>
    <w:qFormat/>
    <w:uiPriority w:val="0"/>
    <w:pPr>
      <w:keepNext/>
      <w:keepLines/>
      <w:spacing w:line="360" w:lineRule="auto"/>
      <w:ind w:firstLine="200" w:firstLineChars="200"/>
    </w:pPr>
    <w:rPr>
      <w:rFonts w:ascii="宋体" w:hAnsi="宋体"/>
    </w:rPr>
  </w:style>
  <w:style w:type="paragraph" w:customStyle="1" w:styleId="31">
    <w:name w:val="列出段落1"/>
    <w:basedOn w:val="1"/>
    <w:unhideWhenUsed/>
    <w:qFormat/>
    <w:uiPriority w:val="99"/>
    <w:pPr>
      <w:ind w:firstLine="420" w:firstLineChars="200"/>
    </w:pPr>
  </w:style>
  <w:style w:type="character" w:customStyle="1" w:styleId="32">
    <w:name w:val="标题 1 Char"/>
    <w:basedOn w:val="24"/>
    <w:link w:val="2"/>
    <w:qFormat/>
    <w:uiPriority w:val="0"/>
    <w:rPr>
      <w:rFonts w:ascii="Calibri" w:hAnsi="Calibri" w:eastAsia="宋体" w:cs="Times New Roman"/>
      <w:b/>
      <w:bCs/>
      <w:kern w:val="44"/>
      <w:sz w:val="44"/>
      <w:szCs w:val="44"/>
    </w:rPr>
  </w:style>
  <w:style w:type="character" w:customStyle="1" w:styleId="33">
    <w:name w:val="标题 2 Char"/>
    <w:basedOn w:val="24"/>
    <w:link w:val="3"/>
    <w:qFormat/>
    <w:uiPriority w:val="0"/>
    <w:rPr>
      <w:rFonts w:ascii="Arial" w:hAnsi="Arial" w:eastAsia="黑体" w:cs="Times New Roman"/>
      <w:b/>
      <w:bCs/>
      <w:kern w:val="0"/>
      <w:sz w:val="32"/>
      <w:szCs w:val="32"/>
    </w:rPr>
  </w:style>
  <w:style w:type="character" w:customStyle="1" w:styleId="34">
    <w:name w:val="标题 3 Char"/>
    <w:basedOn w:val="24"/>
    <w:link w:val="4"/>
    <w:qFormat/>
    <w:uiPriority w:val="0"/>
    <w:rPr>
      <w:rFonts w:ascii="宋体" w:hAnsi="宋体" w:eastAsia="宋体" w:cs="Times New Roman"/>
      <w:b/>
      <w:color w:val="000000"/>
      <w:kern w:val="0"/>
      <w:sz w:val="24"/>
      <w:szCs w:val="20"/>
      <w:lang w:val="en-GB"/>
    </w:rPr>
  </w:style>
  <w:style w:type="character" w:customStyle="1" w:styleId="35">
    <w:name w:val="标题 4 Char"/>
    <w:basedOn w:val="24"/>
    <w:link w:val="5"/>
    <w:qFormat/>
    <w:uiPriority w:val="0"/>
    <w:rPr>
      <w:rFonts w:ascii="Arial" w:hAnsi="Arial" w:eastAsia="黑体" w:cs="Times New Roman"/>
      <w:b/>
      <w:bCs/>
      <w:kern w:val="0"/>
      <w:sz w:val="28"/>
      <w:szCs w:val="28"/>
    </w:rPr>
  </w:style>
  <w:style w:type="character" w:customStyle="1" w:styleId="36">
    <w:name w:val="纯文本 Char"/>
    <w:basedOn w:val="24"/>
    <w:link w:val="14"/>
    <w:qFormat/>
    <w:uiPriority w:val="0"/>
    <w:rPr>
      <w:rFonts w:eastAsia="宋体"/>
      <w:sz w:val="24"/>
    </w:rPr>
  </w:style>
  <w:style w:type="character" w:customStyle="1" w:styleId="37">
    <w:name w:val="日期 Char"/>
    <w:basedOn w:val="24"/>
    <w:link w:val="15"/>
    <w:qFormat/>
    <w:uiPriority w:val="99"/>
  </w:style>
  <w:style w:type="character" w:customStyle="1" w:styleId="38">
    <w:name w:val="页脚 Char"/>
    <w:basedOn w:val="24"/>
    <w:link w:val="16"/>
    <w:qFormat/>
    <w:uiPriority w:val="99"/>
    <w:rPr>
      <w:sz w:val="18"/>
      <w:szCs w:val="18"/>
    </w:rPr>
  </w:style>
  <w:style w:type="character" w:customStyle="1" w:styleId="39">
    <w:name w:val="页眉 Char"/>
    <w:basedOn w:val="24"/>
    <w:link w:val="17"/>
    <w:qFormat/>
    <w:uiPriority w:val="99"/>
    <w:rPr>
      <w:sz w:val="18"/>
      <w:szCs w:val="18"/>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1"/>
    <w:basedOn w:val="1"/>
    <w:qFormat/>
    <w:uiPriority w:val="34"/>
    <w:pPr>
      <w:ind w:firstLine="420" w:firstLineChars="200"/>
    </w:pPr>
  </w:style>
  <w:style w:type="character" w:customStyle="1" w:styleId="43">
    <w:name w:val="正文文本缩进 Char Char"/>
    <w:link w:val="44"/>
    <w:qFormat/>
    <w:uiPriority w:val="0"/>
    <w:rPr>
      <w:rFonts w:ascii="宋体"/>
      <w:sz w:val="24"/>
    </w:rPr>
  </w:style>
  <w:style w:type="paragraph" w:customStyle="1" w:styleId="44">
    <w:name w:val="正文文本缩进1"/>
    <w:basedOn w:val="1"/>
    <w:link w:val="43"/>
    <w:qFormat/>
    <w:uiPriority w:val="0"/>
    <w:pPr>
      <w:spacing w:line="360" w:lineRule="auto"/>
      <w:ind w:firstLine="480" w:firstLineChars="200"/>
    </w:pPr>
    <w:rPr>
      <w:rFonts w:ascii="宋体"/>
      <w:sz w:val="24"/>
    </w:rPr>
  </w:style>
  <w:style w:type="character" w:customStyle="1" w:styleId="45">
    <w:name w:val="日期 Char Char"/>
    <w:link w:val="46"/>
    <w:qFormat/>
    <w:uiPriority w:val="0"/>
    <w:rPr>
      <w:sz w:val="24"/>
    </w:rPr>
  </w:style>
  <w:style w:type="paragraph" w:customStyle="1" w:styleId="46">
    <w:name w:val="日期1"/>
    <w:basedOn w:val="1"/>
    <w:next w:val="1"/>
    <w:link w:val="45"/>
    <w:qFormat/>
    <w:uiPriority w:val="0"/>
    <w:rPr>
      <w:sz w:val="24"/>
    </w:rPr>
  </w:style>
  <w:style w:type="paragraph" w:customStyle="1" w:styleId="4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0">
    <w:name w:val="正文文本 3 Char"/>
    <w:basedOn w:val="24"/>
    <w:link w:val="8"/>
    <w:qFormat/>
    <w:uiPriority w:val="0"/>
    <w:rPr>
      <w:rFonts w:ascii="Times New Roman" w:hAnsi="Times New Roman" w:eastAsia="宋体" w:cs="Times New Roman"/>
      <w:color w:val="FF0000"/>
      <w:sz w:val="24"/>
      <w:szCs w:val="24"/>
    </w:rPr>
  </w:style>
  <w:style w:type="character" w:customStyle="1" w:styleId="51">
    <w:name w:val="edittexttarea"/>
    <w:basedOn w:val="24"/>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 Char"/>
    <w:basedOn w:val="24"/>
    <w:link w:val="9"/>
    <w:semiHidden/>
    <w:qFormat/>
    <w:uiPriority w:val="99"/>
  </w:style>
  <w:style w:type="character" w:customStyle="1" w:styleId="55">
    <w:name w:val="正文首行缩进 Char"/>
    <w:basedOn w:val="54"/>
    <w:link w:val="21"/>
    <w:qFormat/>
    <w:uiPriority w:val="0"/>
    <w:rPr>
      <w:rFonts w:ascii="宋体" w:hAnsi="Times New Roman" w:eastAsia="宋体" w:cs="Times New Roman"/>
      <w:kern w:val="0"/>
      <w:sz w:val="34"/>
      <w:szCs w:val="20"/>
    </w:rPr>
  </w:style>
  <w:style w:type="character" w:customStyle="1" w:styleId="56">
    <w:name w:val="HTML 预设格式 Char"/>
    <w:basedOn w:val="24"/>
    <w:link w:val="19"/>
    <w:semiHidden/>
    <w:qFormat/>
    <w:uiPriority w:val="99"/>
    <w:rPr>
      <w:rFonts w:ascii="宋体" w:hAnsi="宋体" w:eastAsia="宋体" w:cs="宋体"/>
      <w:kern w:val="0"/>
      <w:sz w:val="24"/>
      <w:szCs w:val="24"/>
    </w:rPr>
  </w:style>
  <w:style w:type="paragraph" w:customStyle="1" w:styleId="57">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9">
    <w:name w:val="List Paragraph1"/>
    <w:basedOn w:val="1"/>
    <w:qFormat/>
    <w:uiPriority w:val="99"/>
    <w:pPr>
      <w:ind w:firstLine="420" w:firstLineChars="200"/>
    </w:pPr>
    <w:rPr>
      <w:rFonts w:ascii="Times New Roman" w:hAnsi="Times New Roman" w:eastAsia="宋体" w:cs="Times New Roman"/>
      <w:szCs w:val="24"/>
    </w:rPr>
  </w:style>
  <w:style w:type="paragraph" w:styleId="60">
    <w:name w:val="List Paragraph"/>
    <w:basedOn w:val="1"/>
    <w:unhideWhenUsed/>
    <w:qFormat/>
    <w:uiPriority w:val="99"/>
    <w:pPr>
      <w:ind w:firstLine="420" w:firstLineChars="200"/>
    </w:pPr>
  </w:style>
  <w:style w:type="character" w:customStyle="1" w:styleId="61">
    <w:name w:val="font01"/>
    <w:basedOn w:val="24"/>
    <w:qFormat/>
    <w:uiPriority w:val="0"/>
    <w:rPr>
      <w:rFonts w:hint="eastAsia" w:ascii="宋体" w:hAnsi="宋体" w:eastAsia="宋体" w:cs="宋体"/>
      <w:color w:val="000000"/>
      <w:sz w:val="22"/>
      <w:szCs w:val="22"/>
      <w:u w:val="none"/>
    </w:rPr>
  </w:style>
  <w:style w:type="character" w:customStyle="1" w:styleId="62">
    <w:name w:val="font21"/>
    <w:basedOn w:val="24"/>
    <w:qFormat/>
    <w:uiPriority w:val="0"/>
    <w:rPr>
      <w:rFonts w:hint="eastAsia" w:ascii="宋体" w:hAnsi="宋体" w:eastAsia="宋体" w:cs="宋体"/>
      <w:color w:val="000000"/>
      <w:sz w:val="28"/>
      <w:szCs w:val="28"/>
      <w:u w:val="none"/>
    </w:rPr>
  </w:style>
  <w:style w:type="character" w:customStyle="1" w:styleId="63">
    <w:name w:val="font11"/>
    <w:basedOn w:val="24"/>
    <w:qFormat/>
    <w:uiPriority w:val="0"/>
    <w:rPr>
      <w:rFonts w:ascii="Calibri" w:hAnsi="Calibri" w:cs="Calibri"/>
      <w:color w:val="000000"/>
      <w:sz w:val="28"/>
      <w:szCs w:val="28"/>
      <w:u w:val="none"/>
    </w:rPr>
  </w:style>
  <w:style w:type="paragraph" w:customStyle="1" w:styleId="64">
    <w:name w:val="p0"/>
    <w:basedOn w:val="1"/>
    <w:qFormat/>
    <w:uiPriority w:val="0"/>
    <w:pPr>
      <w:widowControl/>
    </w:pPr>
    <w:rPr>
      <w:kern w:val="0"/>
      <w:szCs w:val="21"/>
    </w:rPr>
  </w:style>
  <w:style w:type="paragraph" w:customStyle="1" w:styleId="65">
    <w:name w:val="USE 1"/>
    <w:basedOn w:val="1"/>
    <w:qFormat/>
    <w:uiPriority w:val="0"/>
    <w:pPr>
      <w:spacing w:line="200" w:lineRule="atLeast"/>
      <w:jc w:val="left"/>
    </w:pPr>
    <w:rPr>
      <w:rFonts w:ascii="宋体" w:hAnsi="宋体" w:eastAsia="宋体" w:cs="Times New Roman"/>
      <w:b/>
      <w:sz w:val="24"/>
      <w:szCs w:val="20"/>
    </w:rPr>
  </w:style>
  <w:style w:type="paragraph" w:customStyle="1" w:styleId="66">
    <w:name w:val="正文一"/>
    <w:basedOn w:val="60"/>
    <w:qFormat/>
    <w:uiPriority w:val="99"/>
    <w:pPr>
      <w:spacing w:line="600" w:lineRule="exact"/>
      <w:ind w:firstLine="200"/>
    </w:pPr>
    <w:rPr>
      <w:rFonts w:ascii="仿宋" w:hAnsi="仿宋" w:eastAsia="仿宋"/>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6512</Words>
  <Characters>37119</Characters>
  <Lines>309</Lines>
  <Paragraphs>87</Paragraphs>
  <TotalTime>5</TotalTime>
  <ScaleCrop>false</ScaleCrop>
  <LinksUpToDate>false</LinksUpToDate>
  <CharactersWithSpaces>43544</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禹州市公共资源交易中心:艾明辉</cp:lastModifiedBy>
  <cp:lastPrinted>2018-08-01T18:20:00Z</cp:lastPrinted>
  <dcterms:modified xsi:type="dcterms:W3CDTF">2019-12-02T07:29:01Z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