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10"/>
          <w:szCs w:val="10"/>
        </w:rPr>
      </w:pPr>
    </w:p>
    <w:p>
      <w:pPr>
        <w:autoSpaceDE w:val="0"/>
        <w:autoSpaceDN w:val="0"/>
        <w:adjustRightInd w:val="0"/>
        <w:jc w:val="center"/>
        <w:rPr>
          <w:b/>
          <w:bCs/>
          <w:sz w:val="52"/>
          <w:szCs w:val="52"/>
        </w:rPr>
      </w:pPr>
      <w:r>
        <w:rPr>
          <w:rFonts w:hint="eastAsia"/>
          <w:b/>
          <w:bCs/>
          <w:sz w:val="52"/>
          <w:szCs w:val="52"/>
        </w:rPr>
        <w:t>河南庆华机器厂（原126厂）家属区生活污水处理站建设项目</w:t>
      </w:r>
    </w:p>
    <w:p>
      <w:pPr>
        <w:autoSpaceDE w:val="0"/>
        <w:autoSpaceDN w:val="0"/>
        <w:adjustRightInd w:val="0"/>
        <w:jc w:val="center"/>
        <w:rPr>
          <w:rFonts w:hAnsi="宋体" w:cs="宋体"/>
          <w:b/>
          <w:spacing w:val="60"/>
          <w:szCs w:val="21"/>
        </w:rPr>
      </w:pPr>
    </w:p>
    <w:p>
      <w:pPr>
        <w:autoSpaceDE w:val="0"/>
        <w:autoSpaceDN w:val="0"/>
        <w:adjustRightInd w:val="0"/>
        <w:jc w:val="center"/>
        <w:rPr>
          <w:rFonts w:hAnsi="宋体" w:cs="宋体"/>
          <w:b/>
          <w:spacing w:val="60"/>
          <w:szCs w:val="21"/>
        </w:rPr>
      </w:pPr>
    </w:p>
    <w:p>
      <w:pPr>
        <w:pStyle w:val="2"/>
        <w:ind w:firstLine="340"/>
      </w:pPr>
    </w:p>
    <w:p>
      <w:pPr>
        <w:pStyle w:val="4"/>
        <w:ind w:left="680" w:firstLine="680"/>
        <w:rPr>
          <w:rFonts w:hint="default"/>
          <w:lang w:eastAsia="zh-CN"/>
        </w:rPr>
      </w:pPr>
    </w:p>
    <w:p>
      <w:pPr>
        <w:autoSpaceDE w:val="0"/>
        <w:autoSpaceDN w:val="0"/>
        <w:adjustRightInd w:val="0"/>
        <w:jc w:val="center"/>
        <w:rPr>
          <w:rFonts w:hAnsi="宋体" w:cs="宋体"/>
          <w:b/>
          <w:sz w:val="52"/>
          <w:szCs w:val="52"/>
        </w:rPr>
      </w:pPr>
      <w:r>
        <w:rPr>
          <w:rFonts w:hint="eastAsia" w:hAnsi="宋体" w:cs="宋体"/>
          <w:b/>
          <w:sz w:val="52"/>
          <w:szCs w:val="52"/>
        </w:rPr>
        <w:t>施工招标文件</w:t>
      </w:r>
    </w:p>
    <w:p>
      <w:pPr>
        <w:autoSpaceDE w:val="0"/>
        <w:autoSpaceDN w:val="0"/>
        <w:adjustRightInd w:val="0"/>
        <w:jc w:val="center"/>
        <w:rPr>
          <w:rFonts w:hAnsi="宋体" w:cs="宋体"/>
          <w:b/>
          <w:sz w:val="52"/>
          <w:szCs w:val="52"/>
        </w:rPr>
      </w:pPr>
      <w:r>
        <w:rPr>
          <w:rFonts w:hint="eastAsia" w:hAnsi="宋体" w:cs="宋体"/>
          <w:b/>
          <w:sz w:val="36"/>
          <w:szCs w:val="36"/>
        </w:rPr>
        <w:t>项目编号：XCGC-F2019</w:t>
      </w:r>
      <w:r>
        <w:rPr>
          <w:rFonts w:hint="eastAsia" w:hAnsi="宋体" w:cs="宋体"/>
          <w:b/>
          <w:sz w:val="36"/>
          <w:szCs w:val="36"/>
          <w:lang w:val="en-US" w:eastAsia="zh-CN"/>
        </w:rPr>
        <w:t>272</w:t>
      </w:r>
      <w:r>
        <w:rPr>
          <w:rFonts w:hint="eastAsia" w:hAnsi="宋体" w:cs="宋体"/>
          <w:b/>
          <w:sz w:val="36"/>
          <w:szCs w:val="36"/>
        </w:rPr>
        <w:t xml:space="preserve">  </w:t>
      </w:r>
    </w:p>
    <w:p>
      <w:pPr>
        <w:autoSpaceDE w:val="0"/>
        <w:autoSpaceDN w:val="0"/>
        <w:adjustRightInd w:val="0"/>
        <w:rPr>
          <w:rFonts w:hAnsi="宋体" w:cs="宋体"/>
          <w:b/>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1000" w:lineRule="exact"/>
        <w:rPr>
          <w:rFonts w:hAnsi="宋体"/>
          <w:b/>
          <w:color w:val="auto"/>
          <w:sz w:val="32"/>
          <w:szCs w:val="32"/>
        </w:rPr>
      </w:pP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   标   人：庆华社区管理委员会</w:t>
      </w: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招标代理机构：中大国信工程管理有限公司</w:t>
      </w:r>
    </w:p>
    <w:p>
      <w:pPr>
        <w:pStyle w:val="19"/>
        <w:tabs>
          <w:tab w:val="left" w:pos="1980"/>
        </w:tabs>
        <w:spacing w:line="480" w:lineRule="auto"/>
        <w:ind w:firstLine="1120" w:firstLineChars="350"/>
        <w:rPr>
          <w:rFonts w:hAnsi="宋体"/>
          <w:b/>
          <w:color w:val="auto"/>
          <w:sz w:val="32"/>
          <w:szCs w:val="32"/>
        </w:rPr>
      </w:pPr>
      <w:r>
        <w:rPr>
          <w:rFonts w:hint="eastAsia" w:hAnsi="宋体"/>
          <w:b/>
          <w:color w:val="auto"/>
          <w:sz w:val="32"/>
          <w:szCs w:val="32"/>
        </w:rPr>
        <w:t>日        期：二〇一九年十一月</w:t>
      </w:r>
    </w:p>
    <w:p>
      <w:pPr>
        <w:ind w:firstLine="3465" w:firstLineChars="1083"/>
        <w:rPr>
          <w:rFonts w:hAnsi="宋体" w:cs="宋体"/>
          <w:b/>
          <w:sz w:val="32"/>
          <w:szCs w:val="32"/>
        </w:rPr>
      </w:pPr>
    </w:p>
    <w:p>
      <w:pPr>
        <w:ind w:firstLine="3465" w:firstLineChars="1083"/>
        <w:rPr>
          <w:rFonts w:hAnsi="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ind w:firstLine="4765" w:firstLineChars="1083"/>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32"/>
          <w:szCs w:val="32"/>
        </w:rPr>
      </w:pPr>
      <w:r>
        <w:rPr>
          <w:rFonts w:hint="eastAsia" w:hAnsi="宋体" w:cs="宋体"/>
          <w:b/>
          <w:sz w:val="36"/>
          <w:szCs w:val="36"/>
        </w:rPr>
        <w:t>第一章  招标公告</w:t>
      </w:r>
    </w:p>
    <w:p>
      <w:pPr>
        <w:spacing w:line="440" w:lineRule="exact"/>
        <w:outlineLvl w:val="0"/>
        <w:rPr>
          <w:rFonts w:hAnsi="宋体" w:cs="宋体"/>
          <w:b/>
          <w:sz w:val="24"/>
          <w:szCs w:val="24"/>
        </w:rPr>
      </w:pPr>
      <w:r>
        <w:rPr>
          <w:rFonts w:hint="eastAsia" w:hAnsi="宋体" w:cs="宋体"/>
          <w:b/>
          <w:sz w:val="24"/>
          <w:szCs w:val="24"/>
        </w:rPr>
        <w:t>1.招标条件</w:t>
      </w:r>
    </w:p>
    <w:p>
      <w:pPr>
        <w:tabs>
          <w:tab w:val="left" w:pos="982"/>
        </w:tabs>
        <w:spacing w:line="440" w:lineRule="exact"/>
        <w:ind w:firstLine="240" w:firstLineChars="100"/>
        <w:jc w:val="left"/>
        <w:rPr>
          <w:rFonts w:hAnsi="宋体" w:cs="宋体"/>
          <w:b/>
          <w:sz w:val="24"/>
          <w:szCs w:val="24"/>
          <w:u w:val="single"/>
        </w:rPr>
      </w:pPr>
      <w:r>
        <w:rPr>
          <w:rFonts w:hint="eastAsia" w:hAnsi="宋体" w:eastAsia="宋体" w:cs="宋体"/>
          <w:bCs/>
          <w:sz w:val="24"/>
          <w:szCs w:val="24"/>
        </w:rPr>
        <w:t>河南庆华机器厂（原126厂）家属区生活污水处理站建设项目已由许昌市魏都区发展和改革委员会以许魏发改【2019】105号文件批准建设，招标人为庆华社区管理委员会，建设资金为财政资金，项目出资比例为100%。项目已具备招标条件，现对该项目的施工进行公开招标。</w:t>
      </w:r>
    </w:p>
    <w:p>
      <w:pPr>
        <w:tabs>
          <w:tab w:val="left" w:pos="4420"/>
        </w:tabs>
        <w:spacing w:line="440" w:lineRule="exact"/>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2.1项目编号：XCGC-F2019</w:t>
      </w:r>
      <w:r>
        <w:rPr>
          <w:rFonts w:hint="eastAsia" w:hAnsi="宋体" w:eastAsia="宋体" w:cs="宋体"/>
          <w:bCs/>
          <w:sz w:val="24"/>
          <w:szCs w:val="24"/>
          <w:lang w:val="en-US" w:eastAsia="zh-CN"/>
        </w:rPr>
        <w:t>272</w:t>
      </w:r>
      <w:bookmarkStart w:id="81" w:name="_GoBack"/>
      <w:bookmarkEnd w:id="81"/>
      <w:r>
        <w:rPr>
          <w:rFonts w:hint="eastAsia" w:hAnsi="宋体" w:eastAsia="宋体" w:cs="宋体"/>
          <w:bCs/>
          <w:sz w:val="24"/>
          <w:szCs w:val="24"/>
        </w:rPr>
        <w:t xml:space="preserve">     </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2.2项目概况：本项目位于许昌市蒋李集南126厂家属区北侧，主要建设污水处理站一座，用地面积900m²，建筑面积302.25m²，购置一体化污水处理设备。</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2.3招标控制价：3533023.98元。</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2.4招标范围：招标文件、施工图纸、工程量清单、答疑纪要和补充文件（如有）范围内的所有建设内容。</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2.5标段划分：</w:t>
      </w:r>
      <w:r>
        <w:rPr>
          <w:rFonts w:hint="eastAsia" w:hAnsi="宋体" w:cs="宋体"/>
          <w:sz w:val="24"/>
          <w:szCs w:val="24"/>
        </w:rPr>
        <w:t>本次招标分为一个标段</w:t>
      </w:r>
      <w:r>
        <w:rPr>
          <w:rFonts w:hint="eastAsia" w:hAnsi="宋体" w:eastAsia="宋体" w:cs="宋体"/>
          <w:bCs/>
          <w:sz w:val="24"/>
          <w:szCs w:val="24"/>
        </w:rPr>
        <w:t>。</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2.6计划工期:</w:t>
      </w:r>
      <w:r>
        <w:rPr>
          <w:rFonts w:hint="eastAsia" w:hAnsi="宋体" w:cs="宋体"/>
          <w:bCs/>
          <w:sz w:val="24"/>
          <w:szCs w:val="24"/>
        </w:rPr>
        <w:t>15日历天。</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2.7质量要求：合格（符合国家现行的验收规范和标准）。</w:t>
      </w:r>
    </w:p>
    <w:p>
      <w:pPr>
        <w:spacing w:line="440" w:lineRule="exact"/>
        <w:outlineLvl w:val="0"/>
        <w:rPr>
          <w:rFonts w:hAnsi="宋体" w:cs="宋体"/>
          <w:b/>
          <w:sz w:val="24"/>
          <w:szCs w:val="24"/>
        </w:rPr>
      </w:pPr>
      <w:r>
        <w:rPr>
          <w:rFonts w:hint="eastAsia" w:hAnsi="宋体" w:cs="宋体"/>
          <w:b/>
          <w:sz w:val="24"/>
          <w:szCs w:val="24"/>
        </w:rPr>
        <w:t>3.投标人资格要求</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3.1投标人须具备建设行政主管部门颁发的市政公用工程施工总承包三级及以上资质，具有有效的营业执照和安全生产许可证，具有独立法人资格，并在人员、设备、资金等方面具有相应的施工能力；</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3.2拟派项目负责人要求具有市政公用工程专业贰级以上（含贰级）注册建造师执业资格证（不含临时）和项目负责人安全生产考核合格证，且未承担其他在施建设工程的项目负责人；</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3.3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pPr>
        <w:tabs>
          <w:tab w:val="left" w:pos="982"/>
        </w:tabs>
        <w:spacing w:line="440" w:lineRule="exact"/>
        <w:ind w:firstLine="480" w:firstLineChars="200"/>
        <w:jc w:val="left"/>
        <w:rPr>
          <w:rFonts w:hAnsi="宋体" w:eastAsia="宋体" w:cs="宋体"/>
          <w:bCs/>
          <w:sz w:val="24"/>
          <w:szCs w:val="24"/>
        </w:rPr>
      </w:pPr>
      <w:r>
        <w:rPr>
          <w:rFonts w:hint="eastAsia" w:hAnsi="宋体" w:eastAsia="宋体" w:cs="宋体"/>
          <w:bCs/>
          <w:sz w:val="24"/>
          <w:szCs w:val="24"/>
        </w:rPr>
        <w:t xml:space="preserve"> 3.4本次招标不接受联合体投标。</w:t>
      </w:r>
    </w:p>
    <w:p>
      <w:pPr>
        <w:tabs>
          <w:tab w:val="left" w:pos="982"/>
        </w:tabs>
        <w:spacing w:line="440" w:lineRule="exact"/>
        <w:ind w:firstLine="480" w:firstLineChars="200"/>
        <w:jc w:val="left"/>
        <w:rPr>
          <w:rFonts w:hAnsi="宋体" w:cs="宋体"/>
          <w:sz w:val="24"/>
          <w:szCs w:val="24"/>
        </w:rPr>
      </w:pPr>
      <w:r>
        <w:rPr>
          <w:rFonts w:hint="eastAsia" w:hAnsi="宋体" w:eastAsia="宋体" w:cs="宋体"/>
          <w:bCs/>
          <w:sz w:val="24"/>
          <w:szCs w:val="24"/>
        </w:rPr>
        <w:t xml:space="preserve"> 3.5本次招标实行资格后审。</w:t>
      </w:r>
    </w:p>
    <w:p>
      <w:pPr>
        <w:spacing w:line="440" w:lineRule="exact"/>
        <w:outlineLvl w:val="0"/>
        <w:rPr>
          <w:rFonts w:hAnsi="宋体"/>
          <w:b/>
          <w:sz w:val="24"/>
          <w:szCs w:val="24"/>
        </w:rPr>
      </w:pPr>
      <w:r>
        <w:rPr>
          <w:rFonts w:hint="eastAsia" w:hAnsi="宋体"/>
          <w:b/>
          <w:sz w:val="24"/>
          <w:szCs w:val="24"/>
        </w:rPr>
        <w:t>4.网上下载招标文件</w:t>
      </w:r>
    </w:p>
    <w:p>
      <w:pPr>
        <w:pStyle w:val="10"/>
        <w:wordWrap w:val="0"/>
        <w:spacing w:beforeAutospacing="0" w:afterAutospacing="0" w:line="440" w:lineRule="exact"/>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spacing w:beforeAutospacing="0" w:afterAutospacing="0" w:line="440" w:lineRule="exact"/>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440" w:lineRule="exact"/>
        <w:outlineLvl w:val="0"/>
        <w:rPr>
          <w:rFonts w:hAnsi="宋体"/>
          <w:b/>
          <w:sz w:val="24"/>
          <w:szCs w:val="24"/>
        </w:rPr>
      </w:pPr>
      <w:r>
        <w:rPr>
          <w:rFonts w:hint="eastAsia" w:hAnsi="宋体"/>
          <w:b/>
          <w:sz w:val="24"/>
          <w:szCs w:val="24"/>
        </w:rPr>
        <w:t>5.招标文件和施工图纸的获取</w:t>
      </w:r>
    </w:p>
    <w:p>
      <w:pPr>
        <w:widowControl/>
        <w:spacing w:before="226" w:line="460" w:lineRule="atLeast"/>
        <w:ind w:firstLine="480"/>
        <w:jc w:val="left"/>
        <w:rPr>
          <w:rFonts w:hAnsi="宋体"/>
          <w:sz w:val="24"/>
          <w:szCs w:val="24"/>
        </w:rPr>
      </w:pPr>
      <w:r>
        <w:rPr>
          <w:rFonts w:hint="eastAsia" w:hAnsi="宋体"/>
          <w:sz w:val="24"/>
          <w:szCs w:val="24"/>
        </w:rPr>
        <w:t xml:space="preserve"> 5.1招标文件的获取：投标人于投标文件递交截止时间前均可登录《全国公共资源交易平台(河南省▪许昌市)》（http://www.xcggzy.gov.cn/），通过“投标人/供应商登录” 入口自行下载。</w:t>
      </w:r>
    </w:p>
    <w:p>
      <w:pPr>
        <w:tabs>
          <w:tab w:val="left" w:pos="7095"/>
        </w:tabs>
        <w:spacing w:line="440" w:lineRule="exact"/>
        <w:ind w:firstLine="360" w:firstLineChars="150"/>
        <w:rPr>
          <w:rFonts w:hAnsi="宋体"/>
          <w:sz w:val="24"/>
          <w:szCs w:val="24"/>
        </w:rPr>
      </w:pPr>
      <w:r>
        <w:rPr>
          <w:rFonts w:hint="eastAsia" w:hAnsi="宋体"/>
          <w:sz w:val="24"/>
          <w:szCs w:val="24"/>
        </w:rPr>
        <w:t xml:space="preserve"> 5.2施工图纸下载：按照施工招标文件中第二章投标人须知前附表第2.1项自行下载。</w:t>
      </w:r>
    </w:p>
    <w:p>
      <w:pPr>
        <w:autoSpaceDE w:val="0"/>
        <w:autoSpaceDN w:val="0"/>
        <w:adjustRightInd w:val="0"/>
        <w:spacing w:line="440" w:lineRule="exact"/>
        <w:ind w:firstLine="480"/>
        <w:jc w:val="left"/>
        <w:rPr>
          <w:rFonts w:hAnsi="宋体" w:cs="宋体"/>
          <w:b/>
          <w:bCs/>
          <w:sz w:val="24"/>
        </w:rPr>
      </w:pPr>
      <w:r>
        <w:rPr>
          <w:rFonts w:hint="eastAsia" w:hAnsi="宋体"/>
          <w:sz w:val="24"/>
          <w:szCs w:val="24"/>
        </w:rPr>
        <w:t>5.3招标文件每套售价300元/标段，于提交电子投标文件时缴纳给招标代理机构，售后不退</w:t>
      </w:r>
      <w:r>
        <w:rPr>
          <w:rFonts w:hint="eastAsia" w:hAnsi="宋体" w:cs="宋体"/>
          <w:sz w:val="24"/>
        </w:rPr>
        <w:t>。</w:t>
      </w:r>
    </w:p>
    <w:p>
      <w:pPr>
        <w:autoSpaceDE w:val="0"/>
        <w:autoSpaceDN w:val="0"/>
        <w:adjustRightInd w:val="0"/>
        <w:spacing w:line="440" w:lineRule="exact"/>
        <w:jc w:val="left"/>
        <w:rPr>
          <w:rFonts w:hAnsi="宋体" w:cs="宋体"/>
          <w:b/>
          <w:bCs/>
          <w:sz w:val="24"/>
        </w:rPr>
      </w:pPr>
      <w:r>
        <w:rPr>
          <w:rFonts w:hint="eastAsia" w:hAnsi="宋体" w:cs="宋体"/>
          <w:b/>
          <w:bCs/>
          <w:sz w:val="24"/>
        </w:rPr>
        <w:t>6.投标文件的提交</w:t>
      </w:r>
    </w:p>
    <w:p>
      <w:pPr>
        <w:spacing w:line="440" w:lineRule="exact"/>
        <w:ind w:firstLine="465"/>
        <w:rPr>
          <w:rFonts w:hAnsi="宋体" w:cs="宋体"/>
          <w:sz w:val="24"/>
          <w:szCs w:val="24"/>
        </w:rPr>
      </w:pPr>
      <w:r>
        <w:rPr>
          <w:rFonts w:hint="eastAsia" w:hAnsi="宋体" w:cs="宋体"/>
          <w:sz w:val="24"/>
          <w:szCs w:val="24"/>
        </w:rPr>
        <w:t>6.1 本项目为全流程电子化交易项目，</w:t>
      </w:r>
      <w:r>
        <w:rPr>
          <w:rFonts w:hint="eastAsia" w:hAnsi="宋体" w:eastAsia="宋体" w:cs="宋体"/>
          <w:sz w:val="24"/>
          <w:szCs w:val="24"/>
          <w:shd w:val="clear" w:color="auto" w:fill="FFFFFF"/>
        </w:rPr>
        <w:t>须提交电子投标文件和电子介质存储的投标文件</w:t>
      </w:r>
      <w:r>
        <w:rPr>
          <w:rFonts w:hint="eastAsia" w:hAnsi="宋体" w:cs="宋体"/>
          <w:sz w:val="24"/>
          <w:szCs w:val="24"/>
        </w:rPr>
        <w:t>。</w:t>
      </w:r>
    </w:p>
    <w:p>
      <w:pPr>
        <w:spacing w:line="440" w:lineRule="exact"/>
        <w:ind w:firstLine="465"/>
        <w:rPr>
          <w:rFonts w:hAnsi="宋体" w:cs="宋体"/>
          <w:sz w:val="24"/>
          <w:szCs w:val="24"/>
        </w:rPr>
      </w:pPr>
      <w:r>
        <w:rPr>
          <w:rFonts w:hint="eastAsia" w:hAnsi="宋体" w:cs="宋体"/>
          <w:sz w:val="24"/>
          <w:szCs w:val="24"/>
        </w:rPr>
        <w:t>6.2 投标文件提交的截止时间及开标时间：2019年12月20日8时30分。</w:t>
      </w:r>
    </w:p>
    <w:p>
      <w:pPr>
        <w:spacing w:line="44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公共资源交易系统，同时提交1份</w:t>
      </w:r>
      <w:r>
        <w:rPr>
          <w:rFonts w:hint="eastAsia" w:hAnsi="宋体" w:cs="宋体"/>
          <w:sz w:val="24"/>
        </w:rPr>
        <w:t>使用电子介质存储的备份文件。</w:t>
      </w:r>
    </w:p>
    <w:p>
      <w:pPr>
        <w:spacing w:line="440" w:lineRule="exact"/>
        <w:ind w:firstLine="465"/>
        <w:rPr>
          <w:rFonts w:hAnsi="宋体" w:cs="宋体"/>
          <w:sz w:val="24"/>
        </w:rPr>
      </w:pPr>
      <w:r>
        <w:rPr>
          <w:rFonts w:hint="eastAsia" w:hAnsi="宋体" w:cs="宋体"/>
          <w:sz w:val="24"/>
        </w:rPr>
        <w:t>6.4电子投标文件提交地点：许昌市公共资源交易中心（许昌市龙兴路竹林路交汇处公共资源大厦三楼）开标一室。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440" w:lineRule="exact"/>
        <w:outlineLvl w:val="0"/>
        <w:rPr>
          <w:rFonts w:hAnsi="宋体" w:cs="宋体"/>
          <w:b/>
          <w:sz w:val="24"/>
          <w:szCs w:val="24"/>
        </w:rPr>
      </w:pPr>
      <w:r>
        <w:rPr>
          <w:rFonts w:hint="eastAsia" w:hAnsi="宋体" w:cs="宋体"/>
          <w:b/>
          <w:sz w:val="24"/>
          <w:szCs w:val="24"/>
        </w:rPr>
        <w:t>7.发布公告的媒介</w:t>
      </w:r>
    </w:p>
    <w:p>
      <w:pPr>
        <w:spacing w:line="440" w:lineRule="exact"/>
        <w:rPr>
          <w:rFonts w:hAnsi="宋体" w:cs="宋体"/>
          <w:b/>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spacing w:line="440" w:lineRule="exact"/>
        <w:outlineLvl w:val="0"/>
        <w:rPr>
          <w:rFonts w:hAnsi="宋体" w:cs="宋体"/>
          <w:b/>
          <w:sz w:val="24"/>
          <w:szCs w:val="24"/>
        </w:rPr>
      </w:pPr>
      <w:r>
        <w:rPr>
          <w:rFonts w:hint="eastAsia" w:hAnsi="宋体" w:cs="宋体"/>
          <w:b/>
          <w:sz w:val="24"/>
          <w:szCs w:val="24"/>
        </w:rPr>
        <w:t>8.联系方式</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招 标 人：庆华社区管理委员会</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址：许昌市蒋李集镇</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人：卜先生</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w:t>
      </w:r>
      <w:r>
        <w:rPr>
          <w:rFonts w:hint="eastAsia" w:hAnsi="宋体" w:eastAsia="宋体" w:cs="宋体"/>
          <w:sz w:val="24"/>
        </w:rPr>
        <w:t>0374-5723171</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代理机构：中大国信工程管理有限公司</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地  址：许昌市万象春天2号楼</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 系 人：刘女士</w:t>
      </w:r>
    </w:p>
    <w:p>
      <w:pPr>
        <w:spacing w:line="440" w:lineRule="exact"/>
        <w:ind w:firstLine="480" w:firstLineChars="200"/>
        <w:outlineLvl w:val="0"/>
        <w:rPr>
          <w:rFonts w:hAnsi="宋体" w:eastAsia="宋体" w:cs="宋体"/>
          <w:bCs/>
          <w:sz w:val="24"/>
          <w:szCs w:val="24"/>
        </w:rPr>
      </w:pPr>
      <w:r>
        <w:rPr>
          <w:rFonts w:hint="eastAsia" w:hAnsi="宋体" w:eastAsia="宋体" w:cs="宋体"/>
          <w:bCs/>
          <w:sz w:val="24"/>
          <w:szCs w:val="24"/>
        </w:rPr>
        <w:t>联系电话：15617285069</w:t>
      </w:r>
    </w:p>
    <w:p>
      <w:pPr>
        <w:spacing w:line="440" w:lineRule="exact"/>
        <w:rPr>
          <w:rFonts w:hAnsi="宋体"/>
          <w:b/>
          <w:sz w:val="28"/>
          <w:szCs w:val="28"/>
        </w:rPr>
      </w:pPr>
    </w:p>
    <w:p>
      <w:pPr>
        <w:pStyle w:val="2"/>
        <w:ind w:firstLine="240"/>
        <w:jc w:val="right"/>
        <w:rPr>
          <w:rFonts w:hAnsi="宋体" w:eastAsia="宋体" w:cs="宋体"/>
          <w:bCs/>
          <w:sz w:val="24"/>
          <w:szCs w:val="24"/>
        </w:rPr>
      </w:pPr>
      <w:r>
        <w:rPr>
          <w:rFonts w:hint="eastAsia" w:hAnsi="宋体" w:eastAsia="宋体" w:cs="宋体"/>
          <w:bCs/>
          <w:sz w:val="24"/>
          <w:szCs w:val="24"/>
        </w:rPr>
        <w:t>庆华社区管理委员会</w:t>
      </w:r>
    </w:p>
    <w:p>
      <w:pPr>
        <w:pStyle w:val="2"/>
        <w:wordWrap w:val="0"/>
        <w:ind w:firstLine="240"/>
        <w:jc w:val="right"/>
      </w:pPr>
      <w:r>
        <w:rPr>
          <w:rFonts w:hint="eastAsia" w:hAnsi="宋体" w:eastAsia="宋体" w:cs="宋体"/>
          <w:bCs/>
          <w:sz w:val="24"/>
          <w:szCs w:val="24"/>
        </w:rPr>
        <w:t>2019年11月29日</w:t>
      </w:r>
    </w:p>
    <w:p>
      <w:pPr>
        <w:pStyle w:val="2"/>
        <w:ind w:firstLine="340"/>
      </w:pPr>
    </w:p>
    <w:p>
      <w:pPr>
        <w:spacing w:line="440" w:lineRule="exact"/>
        <w:rPr>
          <w:rFonts w:hAnsi="宋体"/>
          <w:b/>
          <w:sz w:val="28"/>
          <w:szCs w:val="28"/>
        </w:rPr>
      </w:pPr>
    </w:p>
    <w:p>
      <w:pPr>
        <w:spacing w:line="440" w:lineRule="exact"/>
        <w:rPr>
          <w:rFonts w:hAnsi="宋体"/>
          <w:b/>
          <w:sz w:val="28"/>
          <w:szCs w:val="28"/>
        </w:rPr>
      </w:pPr>
    </w:p>
    <w:p>
      <w:pPr>
        <w:spacing w:line="440" w:lineRule="exact"/>
        <w:rPr>
          <w:rFonts w:hAnsi="宋体"/>
          <w:b/>
          <w:sz w:val="28"/>
          <w:szCs w:val="28"/>
        </w:rPr>
      </w:pPr>
      <w:r>
        <w:rPr>
          <w:rFonts w:hint="eastAsia" w:hAnsi="宋体"/>
          <w:b/>
          <w:sz w:val="28"/>
          <w:szCs w:val="28"/>
        </w:rPr>
        <w:t>温馨提示：</w:t>
      </w:r>
    </w:p>
    <w:p>
      <w:pPr>
        <w:spacing w:line="440" w:lineRule="exact"/>
        <w:ind w:firstLine="560"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sz w:val="24"/>
          <w:szCs w:val="24"/>
        </w:rPr>
      </w:pPr>
      <w:r>
        <w:rPr>
          <w:rFonts w:hint="eastAsia" w:hAnsi="宋体"/>
          <w:b/>
          <w:sz w:val="24"/>
          <w:szCs w:val="24"/>
        </w:rPr>
        <w:t>1.投标人应按招标文件规定下载、编制、提交电子投标文件。开、评标现场不接受投标人递交的电子投标文件以外的其他资料。</w:t>
      </w:r>
    </w:p>
    <w:p>
      <w:pPr>
        <w:tabs>
          <w:tab w:val="left" w:pos="7095"/>
        </w:tabs>
        <w:spacing w:line="440" w:lineRule="exact"/>
        <w:ind w:firstLine="480" w:firstLineChars="200"/>
        <w:contextualSpacing/>
        <w:rPr>
          <w:rFonts w:hAnsi="宋体"/>
          <w:b/>
          <w:sz w:val="24"/>
          <w:szCs w:val="24"/>
        </w:rPr>
      </w:pPr>
      <w:r>
        <w:rPr>
          <w:rFonts w:hint="eastAsia" w:hAnsi="宋体"/>
          <w:b/>
          <w:sz w:val="24"/>
          <w:szCs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440" w:lineRule="exact"/>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rPr>
          <w:rFonts w:hAnsi="宋体"/>
          <w:sz w:val="24"/>
          <w:szCs w:val="24"/>
        </w:rPr>
        <w:t>http://221.14.6.70:8088/ggzy/</w:t>
      </w:r>
      <w:r>
        <w:rPr>
          <w:rFonts w:hint="eastAsia" w:hAnsi="宋体"/>
          <w:sz w:val="24"/>
          <w:szCs w:val="24"/>
        </w:rPr>
        <w:t>）下载“许昌投标文件制作系统SEARUN V1.1”，按招标文件要求制作电子投标文件。</w:t>
      </w:r>
    </w:p>
    <w:p>
      <w:pPr>
        <w:tabs>
          <w:tab w:val="left" w:pos="7095"/>
        </w:tabs>
        <w:spacing w:line="440" w:lineRule="exact"/>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440" w:lineRule="exact"/>
        <w:ind w:firstLine="480" w:firstLineChars="20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440" w:lineRule="exact"/>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rPr>
          <w:rFonts w:hAnsi="宋体"/>
          <w:sz w:val="24"/>
          <w:szCs w:val="24"/>
        </w:rPr>
        <w:t>http://221.14.6.70:8088/ggzy/</w:t>
      </w:r>
      <w:r>
        <w:rPr>
          <w:rFonts w:hint="eastAsia" w:hAnsi="宋体"/>
          <w:sz w:val="24"/>
          <w:szCs w:val="24"/>
        </w:rPr>
        <w:t>）。投标人应充分考虑并预留技术处理和上传数据所需时间。</w:t>
      </w:r>
    </w:p>
    <w:p>
      <w:pPr>
        <w:tabs>
          <w:tab w:val="left" w:pos="7095"/>
        </w:tabs>
        <w:spacing w:line="440" w:lineRule="exact"/>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w:t>
      </w:r>
    </w:p>
    <w:p>
      <w:pPr>
        <w:tabs>
          <w:tab w:val="left" w:pos="7095"/>
        </w:tabs>
        <w:spacing w:line="440" w:lineRule="exact"/>
        <w:ind w:left="170" w:leftChars="50" w:firstLine="360" w:firstLineChars="150"/>
        <w:contextualSpacing/>
        <w:rPr>
          <w:rFonts w:hAnsi="宋体"/>
          <w:sz w:val="24"/>
          <w:szCs w:val="24"/>
        </w:rPr>
      </w:pPr>
      <w:r>
        <w:rPr>
          <w:rFonts w:hint="eastAsia" w:hAnsi="宋体"/>
          <w:sz w:val="24"/>
          <w:szCs w:val="24"/>
        </w:rPr>
        <w:t>会以评标委员会以投标人提供的电子版投标文件为依据评标。</w:t>
      </w:r>
    </w:p>
    <w:p>
      <w:pPr>
        <w:widowControl/>
        <w:jc w:val="left"/>
        <w:rPr>
          <w:rFonts w:hAnsi="宋体" w:cs="宋体"/>
          <w:b/>
          <w:sz w:val="36"/>
          <w:szCs w:val="36"/>
        </w:rPr>
      </w:pPr>
      <w:r>
        <w:rPr>
          <w:rFonts w:hAnsi="宋体" w:cs="宋体"/>
          <w:b/>
          <w:sz w:val="36"/>
          <w:szCs w:val="36"/>
        </w:rPr>
        <w:br w:type="page"/>
      </w: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rPr>
                <w:rFonts w:hAnsi="宋体" w:eastAsia="宋体" w:cs="宋体"/>
                <w:sz w:val="24"/>
              </w:rPr>
            </w:pPr>
            <w:r>
              <w:rPr>
                <w:rFonts w:hint="eastAsia" w:hAnsi="宋体" w:eastAsia="宋体" w:cs="宋体"/>
                <w:sz w:val="24"/>
              </w:rPr>
              <w:t>招 标 人：庆华社区管理委员会</w:t>
            </w:r>
          </w:p>
          <w:p>
            <w:pPr>
              <w:rPr>
                <w:rFonts w:hAnsi="宋体" w:eastAsia="宋体" w:cs="宋体"/>
                <w:sz w:val="24"/>
              </w:rPr>
            </w:pPr>
            <w:r>
              <w:rPr>
                <w:rFonts w:hint="eastAsia" w:hAnsi="宋体" w:eastAsia="宋体" w:cs="宋体"/>
                <w:sz w:val="24"/>
              </w:rPr>
              <w:t>地    址：许昌市蒋李集镇</w:t>
            </w:r>
          </w:p>
          <w:p>
            <w:pPr>
              <w:rPr>
                <w:rFonts w:hAnsi="宋体" w:eastAsia="宋体" w:cs="宋体"/>
                <w:sz w:val="24"/>
              </w:rPr>
            </w:pPr>
            <w:r>
              <w:rPr>
                <w:rFonts w:hint="eastAsia" w:hAnsi="宋体" w:eastAsia="宋体" w:cs="宋体"/>
                <w:sz w:val="24"/>
              </w:rPr>
              <w:t>联 系 人：卜先生</w:t>
            </w:r>
          </w:p>
          <w:p>
            <w:pPr>
              <w:rPr>
                <w:rFonts w:hAnsi="宋体" w:eastAsia="宋体" w:cs="宋体"/>
                <w:bCs/>
                <w:sz w:val="24"/>
                <w:szCs w:val="24"/>
              </w:rPr>
            </w:pPr>
            <w:r>
              <w:rPr>
                <w:rFonts w:hint="eastAsia" w:hAnsi="宋体" w:eastAsia="宋体" w:cs="宋体"/>
                <w:sz w:val="24"/>
              </w:rPr>
              <w:t>联系电话：0374-5723171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rPr>
                <w:rFonts w:hAnsi="宋体" w:eastAsia="宋体" w:cs="宋体"/>
                <w:sz w:val="24"/>
              </w:rPr>
            </w:pPr>
            <w:r>
              <w:rPr>
                <w:rFonts w:hint="eastAsia" w:hAnsi="宋体" w:eastAsia="宋体" w:cs="宋体"/>
                <w:sz w:val="24"/>
              </w:rPr>
              <w:t>代理机构：中大国信工程管理有限公司</w:t>
            </w:r>
          </w:p>
          <w:p>
            <w:pPr>
              <w:rPr>
                <w:rFonts w:hAnsi="宋体" w:eastAsia="宋体" w:cs="宋体"/>
                <w:sz w:val="24"/>
              </w:rPr>
            </w:pPr>
            <w:r>
              <w:rPr>
                <w:rFonts w:hint="eastAsia" w:hAnsi="宋体" w:eastAsia="宋体" w:cs="宋体"/>
                <w:sz w:val="24"/>
              </w:rPr>
              <w:t>地址：许昌市万象春天2号楼</w:t>
            </w:r>
          </w:p>
          <w:p>
            <w:pPr>
              <w:rPr>
                <w:rFonts w:hAnsi="宋体" w:eastAsia="宋体" w:cs="宋体"/>
                <w:sz w:val="24"/>
              </w:rPr>
            </w:pPr>
            <w:r>
              <w:rPr>
                <w:rFonts w:hint="eastAsia" w:hAnsi="宋体" w:eastAsia="宋体" w:cs="宋体"/>
                <w:sz w:val="24"/>
              </w:rPr>
              <w:t xml:space="preserve">联 系 人：刘女士 </w:t>
            </w:r>
          </w:p>
          <w:p>
            <w:pPr>
              <w:rPr>
                <w:rFonts w:hAnsi="宋体" w:eastAsia="宋体" w:cs="宋体"/>
                <w:sz w:val="24"/>
              </w:rPr>
            </w:pPr>
            <w:r>
              <w:rPr>
                <w:rFonts w:hint="eastAsia" w:hAnsi="宋体" w:eastAsia="宋体" w:cs="宋体"/>
                <w:sz w:val="24"/>
              </w:rPr>
              <w:t xml:space="preserve">联系电话：15617285069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rPr>
                <w:rFonts w:hAnsi="宋体" w:eastAsia="宋体" w:cs="宋体"/>
                <w:sz w:val="24"/>
              </w:rPr>
            </w:pPr>
            <w:r>
              <w:rPr>
                <w:rFonts w:hint="eastAsia" w:hAnsi="宋体" w:eastAsia="宋体" w:cs="宋体"/>
                <w:bCs/>
                <w:sz w:val="24"/>
                <w:szCs w:val="24"/>
              </w:rPr>
              <w:t>河南庆华机器厂（原126厂）家属区生活污水处理站建设项目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rPr>
                <w:rFonts w:hAnsi="宋体" w:eastAsia="宋体" w:cs="宋体"/>
                <w:sz w:val="24"/>
              </w:rPr>
            </w:pPr>
            <w:r>
              <w:rPr>
                <w:rFonts w:hint="eastAsia" w:hAnsi="宋体" w:eastAsia="宋体" w:cs="宋体"/>
                <w:bCs/>
                <w:sz w:val="24"/>
                <w:szCs w:val="24"/>
              </w:rPr>
              <w:t>许昌市蒋李集南126厂家属区北侧。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rPr>
            </w:pPr>
            <w:r>
              <w:rPr>
                <w:rFonts w:hint="eastAsia" w:hAnsi="宋体" w:eastAsia="宋体" w:cs="宋体"/>
                <w:sz w:val="24"/>
                <w:szCs w:val="24"/>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招标文件和工程量清单及图纸的获取：投标人于投标文件递交截止时间前均可登录【全国公共资源交易平台(河南省</w:t>
            </w:r>
            <w:r>
              <w:rPr>
                <w:rFonts w:hint="eastAsia" w:ascii="MS Mincho" w:hAnsi="MS Mincho" w:eastAsia="MS Mincho" w:cs="MS Mincho"/>
                <w:sz w:val="24"/>
              </w:rPr>
              <w:t>▪</w:t>
            </w:r>
            <w:r>
              <w:rPr>
                <w:rFonts w:hint="eastAsia" w:hAnsi="宋体" w:eastAsia="宋体" w:cs="宋体"/>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cs="宋体"/>
                <w:sz w:val="24"/>
                <w:szCs w:val="24"/>
              </w:rPr>
              <w:t>2019年12月20日8时30分</w:t>
            </w:r>
            <w:r>
              <w:rPr>
                <w:rFonts w:hint="eastAsia" w:hAnsi="宋体" w:eastAsia="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sz w:val="24"/>
              </w:rPr>
            </w:pPr>
            <w:r>
              <w:rPr>
                <w:rFonts w:hint="eastAsia" w:hAnsi="宋体" w:eastAsia="宋体" w:cs="宋体"/>
                <w:sz w:val="24"/>
              </w:rPr>
              <w:t xml:space="preserve">2、基本户备案流程： </w:t>
            </w:r>
          </w:p>
          <w:p>
            <w:pPr>
              <w:autoSpaceDE w:val="0"/>
              <w:autoSpaceDN w:val="0"/>
              <w:adjustRightInd w:val="0"/>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sz w:val="24"/>
              </w:rPr>
            </w:pPr>
            <w:r>
              <w:rPr>
                <w:rFonts w:hint="eastAsia" w:hAnsi="宋体" w:eastAsia="宋体" w:cs="宋体"/>
                <w:sz w:val="24"/>
              </w:rPr>
              <w:t>3、特殊情况处理：</w:t>
            </w:r>
          </w:p>
          <w:p>
            <w:pPr>
              <w:autoSpaceDE w:val="0"/>
              <w:autoSpaceDN w:val="0"/>
              <w:adjustRightInd w:val="0"/>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同投标截止时间</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金额：柒万圆整</w:t>
            </w:r>
            <w:r>
              <w:rPr>
                <w:rFonts w:hint="eastAsia" w:hAnsi="宋体" w:eastAsia="宋体" w:cs="宋体"/>
                <w:b/>
                <w:bCs/>
                <w:sz w:val="24"/>
                <w:lang w:val="zh-CN"/>
              </w:rPr>
              <w:t>（¥</w:t>
            </w:r>
            <w:r>
              <w:rPr>
                <w:rFonts w:hint="eastAsia" w:hAnsi="宋体" w:eastAsia="宋体" w:cs="宋体"/>
                <w:b/>
                <w:bCs/>
                <w:sz w:val="24"/>
              </w:rPr>
              <w:t>70000</w:t>
            </w:r>
            <w:r>
              <w:rPr>
                <w:rFonts w:hint="eastAsia" w:hAnsi="宋体" w:eastAsia="宋体" w:cs="宋体"/>
                <w:b/>
                <w:bCs/>
                <w:sz w:val="24"/>
                <w:lang w:val="zh-CN"/>
              </w:rPr>
              <w:t>.00元）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jc w:val="left"/>
              <w:rPr>
                <w:rFonts w:hAnsi="宋体" w:cs="宋体"/>
                <w:sz w:val="24"/>
              </w:rPr>
            </w:pPr>
            <w:r>
              <w:rPr>
                <w:rFonts w:hint="eastAsia" w:hAnsi="宋体" w:cs="宋体"/>
                <w:sz w:val="24"/>
                <w:lang w:val="zh-CN"/>
              </w:rPr>
              <w:t>2.1投标人网上报名后，登录（http://221.14.6.70:8088/ggzy/）系统，依次点击“会员向导”→“参与投标”→“费用缴纳说明”→“保证金缴纳说明单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2016、2017、2018</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2、电子投标文件和使用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sz w:val="24"/>
                <w:szCs w:val="24"/>
              </w:rPr>
              <w:t>电子介质存储的投标文件应密封包装，并加盖单位公章。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投标人名称：</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rPr>
              <w:t>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评标委员会构成：5人，从河南省综合评标专家库中随机抽取4人和招标人代表1人（其中工程造价专家不应少于五分之二）。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FF" w:themeFill="background1"/>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rPr>
              <w:t>指2016年1月1日以来（以合同签订时间为准）已经完成的市政公用工程。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本工程设招标控制价：</w:t>
            </w:r>
          </w:p>
          <w:p>
            <w:pPr>
              <w:autoSpaceDE w:val="0"/>
              <w:autoSpaceDN w:val="0"/>
              <w:adjustRightInd w:val="0"/>
              <w:spacing w:line="420" w:lineRule="exact"/>
              <w:rPr>
                <w:rFonts w:hAnsi="宋体" w:eastAsia="宋体" w:cs="宋体"/>
                <w:sz w:val="24"/>
              </w:rPr>
            </w:pPr>
            <w:r>
              <w:rPr>
                <w:rFonts w:hint="eastAsia" w:hAnsi="宋体" w:eastAsia="宋体" w:cs="宋体"/>
                <w:sz w:val="24"/>
              </w:rPr>
              <w:t>大写：叁佰伍拾叁万叁仟零贰拾叁元玖角捌分</w:t>
            </w:r>
          </w:p>
          <w:p>
            <w:pPr>
              <w:autoSpaceDE w:val="0"/>
              <w:autoSpaceDN w:val="0"/>
              <w:adjustRightInd w:val="0"/>
              <w:spacing w:line="420" w:lineRule="exact"/>
              <w:rPr>
                <w:rFonts w:hAnsi="宋体" w:eastAsia="宋体" w:cs="宋体"/>
                <w:sz w:val="24"/>
              </w:rPr>
            </w:pPr>
            <w:r>
              <w:rPr>
                <w:rFonts w:hint="eastAsia" w:hAnsi="宋体" w:eastAsia="宋体" w:cs="宋体"/>
                <w:sz w:val="24"/>
              </w:rPr>
              <w:t>小写：</w:t>
            </w:r>
            <w:r>
              <w:rPr>
                <w:rFonts w:hint="eastAsia" w:hAnsi="宋体" w:eastAsia="宋体" w:cs="宋体"/>
                <w:bCs/>
                <w:sz w:val="24"/>
                <w:szCs w:val="24"/>
              </w:rPr>
              <w:t>3533023.98元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开标时各投标人的法定代表人或授权委托人（持有效的授权委托书）持身份证原件到开标现场签到，缺席或逾期不到者视为放弃。各投标单位参加会议人数不得多于三人。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4、开标时法人或授权委托人（持有效的授权委托书）未携带本人身份证原件到开标现场并签到的。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Ansi="宋体" w:eastAsia="宋体" w:cs="宋体"/>
                <w:sz w:val="24"/>
              </w:rPr>
            </w:pPr>
            <w:r>
              <w:rPr>
                <w:rFonts w:hint="eastAsia" w:hAnsi="宋体" w:eastAsia="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5、投标人电子投标文件成功提交后，应打印“投标文件提交回执单”，供开标现场备查。</w:t>
            </w:r>
          </w:p>
          <w:p>
            <w:pPr>
              <w:tabs>
                <w:tab w:val="left" w:pos="7095"/>
              </w:tabs>
              <w:spacing w:line="360" w:lineRule="auto"/>
              <w:rPr>
                <w:rFonts w:hAnsi="宋体" w:eastAsia="宋体" w:cs="宋体"/>
                <w:sz w:val="24"/>
              </w:rPr>
            </w:pPr>
            <w:r>
              <w:rPr>
                <w:rFonts w:hint="eastAsia" w:hAnsi="宋体" w:eastAsia="宋体" w:cs="宋体"/>
                <w:sz w:val="24"/>
              </w:rPr>
              <w:t>6、招标人及其代理机构需留存项目电子档案时，可在质疑期满后使用</w:t>
            </w:r>
            <w:r>
              <w:rPr>
                <w:rFonts w:hAnsi="宋体" w:eastAsia="宋体" w:cs="宋体"/>
                <w:sz w:val="24"/>
              </w:rPr>
              <w:t>CA锁从交易平台自行下载。</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V1.1”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hAnsi="宋体" w:eastAsia="宋体" w:cs="宋体"/>
                <w:b/>
                <w:sz w:val="24"/>
              </w:rPr>
            </w:pPr>
            <w:r>
              <w:rPr>
                <w:rFonts w:hint="eastAsia" w:hAnsi="宋体" w:eastAsia="宋体" w:cs="宋体"/>
                <w:b/>
                <w:sz w:val="24"/>
              </w:rPr>
              <w:t>8、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360" w:lineRule="auto"/>
              <w:jc w:val="left"/>
              <w:outlineLvl w:val="0"/>
            </w:pPr>
            <w:r>
              <w:rPr>
                <w:rFonts w:hint="eastAsia" w:hAnsi="宋体" w:eastAsia="宋体" w:cs="宋体"/>
                <w:b/>
                <w:sz w:val="24"/>
              </w:rPr>
              <w:t>评标专家应严格按照要求查看“硬件特征码”相关信息并进行评审，在评审报告中显示“不同投标人电子投标文件制作硬件特征码”是否雷同的分析及判定结果。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7" w:name="_Toc283559947"/>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44974504"/>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9"/>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rPr>
          <w:rFonts w:hint="eastAsia" w:hAnsi="宋体"/>
          <w:sz w:val="24"/>
          <w:szCs w:val="24"/>
        </w:rPr>
        <w:t>（</w:t>
      </w:r>
      <w:r>
        <w:rPr>
          <w:rFonts w:hAnsi="宋体"/>
          <w:sz w:val="24"/>
          <w:szCs w:val="24"/>
        </w:rPr>
        <w:t>http://221.14.6.70:8088/ggzy/</w:t>
      </w:r>
      <w:r>
        <w:rPr>
          <w:rFonts w:hint="eastAsia" w:hAnsi="宋体"/>
          <w:sz w:val="24"/>
          <w:szCs w:val="24"/>
        </w:rPr>
        <w:t>）</w:t>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52045553"/>
      <w:bookmarkStart w:id="40" w:name="_Toc144974521"/>
      <w:bookmarkStart w:id="41" w:name="_Toc152042329"/>
      <w:bookmarkStart w:id="42" w:name="_Toc17963257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p>
    <w:p>
      <w:pPr>
        <w:tabs>
          <w:tab w:val="left" w:pos="7095"/>
        </w:tabs>
        <w:spacing w:line="360" w:lineRule="auto"/>
        <w:ind w:firstLine="480" w:firstLineChars="200"/>
        <w:rPr>
          <w:rFonts w:hAnsi="宋体"/>
          <w:sz w:val="24"/>
          <w:szCs w:val="24"/>
        </w:rPr>
      </w:pPr>
      <w:bookmarkStart w:id="43" w:name="_Toc283559961"/>
      <w:r>
        <w:rPr>
          <w:rFonts w:hint="eastAsia" w:hAnsi="宋体"/>
          <w:sz w:val="24"/>
          <w:szCs w:val="24"/>
        </w:rPr>
        <w:t>3.7.7 当生成的电子投标文件投标报价大小写不一致时，以大写为准。</w:t>
      </w:r>
    </w:p>
    <w:p>
      <w:pPr>
        <w:autoSpaceDE w:val="0"/>
        <w:autoSpaceDN w:val="0"/>
        <w:adjustRightInd w:val="0"/>
        <w:spacing w:line="460" w:lineRule="exact"/>
        <w:jc w:val="left"/>
        <w:rPr>
          <w:rFonts w:hAnsi="宋体" w:cs="宋体"/>
          <w:sz w:val="24"/>
        </w:rPr>
      </w:pPr>
      <w:r>
        <w:rPr>
          <w:rFonts w:hint="eastAsia" w:hAnsi="宋体" w:cs="宋体"/>
          <w:b/>
          <w:bCs/>
          <w:sz w:val="24"/>
        </w:rPr>
        <w:t>3.7.8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3.7.8.2 商务标投标文件制作技术咨询：0374-2961598。</w:t>
      </w:r>
    </w:p>
    <w:p>
      <w:pPr>
        <w:pStyle w:val="19"/>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电子介质存储的投标文件应单独密封，封套上写明“招标人名称、投标人名称、项目名称、标段，在年月日时分前不得开启”，并加盖单位公章，法定代表人或委托代理人签名，在投标截止时间前递交。</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9"/>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9"/>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9"/>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9"/>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9"/>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bookmarkStart w:id="70" w:name="_Toc283559990"/>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二、从河南省综合评标专家库中随机抽取4人和招标人代表1人（其中注册造价工程师不少于2人）。评标委员会主任从4名随机抽取的评标专家中产生，与投标人有利害关系的专家不得进入评标委员会。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440" w:lineRule="exact"/>
        <w:ind w:firstLine="480" w:firstLineChars="200"/>
        <w:rPr>
          <w:rFonts w:ascii="新宋体" w:hAnsi="新宋体" w:eastAsia="新宋体"/>
          <w:b/>
          <w:sz w:val="24"/>
        </w:rPr>
      </w:pPr>
      <w:r>
        <w:rPr>
          <w:rFonts w:hint="eastAsia" w:ascii="新宋体" w:hAnsi="新宋体" w:eastAsia="新宋体"/>
          <w:bCs/>
          <w:sz w:val="24"/>
        </w:rPr>
        <w:t>五、</w:t>
      </w:r>
      <w:r>
        <w:rPr>
          <w:rFonts w:hint="eastAsia" w:ascii="新宋体" w:hAnsi="新宋体" w:eastAsia="新宋体"/>
          <w:b/>
          <w:sz w:val="24"/>
        </w:rPr>
        <w:t>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5.1 </w:t>
      </w:r>
      <w:r>
        <w:rPr>
          <w:rFonts w:hint="eastAsia" w:ascii="新宋体" w:hAnsi="新宋体" w:eastAsia="新宋体"/>
          <w:bCs/>
          <w:sz w:val="24"/>
        </w:rPr>
        <w:t>投标文件存在下列情形之一的，按废标处理：</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5.2投标文件存在下列情形之一的，按废标处理：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（3）规费和安全文明施工措施费违背工程造价计价有关规定的；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（6）住房和城乡建设部《标准施工招标文件》规定的其他否决条件。</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eastAsia="宋体" w:cs="宋体"/>
          <w:b/>
          <w:sz w:val="24"/>
          <w:szCs w:val="24"/>
        </w:rPr>
      </w:pPr>
      <w:r>
        <w:rPr>
          <w:rFonts w:hint="eastAsia" w:hAnsi="宋体" w:cs="宋体"/>
          <w:b/>
          <w:sz w:val="24"/>
          <w:szCs w:val="24"/>
        </w:rPr>
        <w:t>注：不在上述范围内且不具有实质性影响的内容，均不能作为清标的依据或理由。</w:t>
      </w:r>
    </w:p>
    <w:p>
      <w:pPr>
        <w:spacing w:line="400" w:lineRule="exact"/>
        <w:ind w:firstLine="480" w:firstLineChars="200"/>
        <w:rPr>
          <w:rFonts w:ascii="新宋体" w:hAnsi="新宋体" w:eastAsia="新宋体" w:cs="宋体"/>
          <w:b/>
          <w:sz w:val="24"/>
        </w:rPr>
      </w:pPr>
      <w:r>
        <w:rPr>
          <w:rFonts w:hint="eastAsia" w:ascii="新宋体" w:hAnsi="新宋体" w:eastAsia="新宋体"/>
          <w:b/>
          <w:sz w:val="24"/>
        </w:rPr>
        <w:t>六、</w:t>
      </w:r>
      <w:r>
        <w:rPr>
          <w:rFonts w:hint="eastAsia" w:ascii="新宋体" w:hAnsi="新宋体" w:eastAsia="新宋体" w:cs="宋体"/>
          <w:b/>
          <w:sz w:val="24"/>
        </w:rPr>
        <w:t>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sz w:val="21"/>
                <w:szCs w:val="21"/>
              </w:rPr>
            </w:pPr>
            <w:bookmarkStart w:id="71" w:name="_Toc272833453"/>
            <w:bookmarkStart w:id="72" w:name="_Toc295572535"/>
            <w:bookmarkStart w:id="73" w:name="_Toc270931534"/>
            <w:bookmarkStart w:id="74" w:name="_Toc273546398"/>
            <w:r>
              <w:rPr>
                <w:rFonts w:hint="eastAsia" w:hAnsi="宋体" w:eastAsia="宋体" w:cs="宋体"/>
                <w:b/>
                <w:bCs/>
                <w:sz w:val="21"/>
                <w:szCs w:val="21"/>
              </w:rPr>
              <w:t>序号</w:t>
            </w:r>
          </w:p>
        </w:tc>
        <w:tc>
          <w:tcPr>
            <w:tcW w:w="1123"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内容</w:t>
            </w:r>
          </w:p>
        </w:tc>
        <w:tc>
          <w:tcPr>
            <w:tcW w:w="980"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分值</w:t>
            </w:r>
          </w:p>
        </w:tc>
        <w:tc>
          <w:tcPr>
            <w:tcW w:w="5344"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评审标准</w:t>
            </w:r>
          </w:p>
        </w:tc>
        <w:tc>
          <w:tcPr>
            <w:tcW w:w="1241" w:type="dxa"/>
            <w:tcBorders>
              <w:tl2br w:val="nil"/>
              <w:tr2bl w:val="nil"/>
            </w:tcBorders>
            <w:vAlign w:val="center"/>
          </w:tcPr>
          <w:p>
            <w:pPr>
              <w:jc w:val="center"/>
              <w:rPr>
                <w:rFonts w:hAnsi="宋体" w:eastAsia="宋体" w:cs="宋体"/>
                <w:b/>
                <w:bCs/>
                <w:sz w:val="21"/>
                <w:szCs w:val="21"/>
              </w:rPr>
            </w:pPr>
            <w:r>
              <w:rPr>
                <w:rFonts w:hint="eastAsia" w:hAnsi="宋体" w:eastAsia="宋体" w:cs="宋体"/>
                <w:b/>
                <w:bCs/>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 w:val="21"/>
                <w:szCs w:val="21"/>
              </w:rPr>
            </w:pPr>
            <w:r>
              <w:rPr>
                <w:sz w:val="21"/>
                <w:szCs w:val="21"/>
              </w:rPr>
              <w:t>1</w:t>
            </w:r>
          </w:p>
        </w:tc>
        <w:tc>
          <w:tcPr>
            <w:tcW w:w="1123" w:type="dxa"/>
            <w:vMerge w:val="restart"/>
            <w:tcBorders>
              <w:tl2br w:val="nil"/>
              <w:tr2bl w:val="nil"/>
            </w:tcBorders>
            <w:vAlign w:val="center"/>
          </w:tcPr>
          <w:p>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pPr>
              <w:jc w:val="cente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 w:val="21"/>
                <w:szCs w:val="21"/>
              </w:rPr>
            </w:pPr>
            <w:r>
              <w:rPr>
                <w:sz w:val="21"/>
                <w:szCs w:val="21"/>
              </w:rPr>
              <w:t>2</w:t>
            </w:r>
          </w:p>
        </w:tc>
        <w:tc>
          <w:tcPr>
            <w:tcW w:w="1123" w:type="dxa"/>
            <w:vMerge w:val="restart"/>
            <w:tcBorders>
              <w:tl2br w:val="nil"/>
              <w:tr2bl w:val="nil"/>
            </w:tcBorders>
            <w:vAlign w:val="center"/>
          </w:tcPr>
          <w:p>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 w:val="21"/>
                <w:szCs w:val="21"/>
              </w:rPr>
            </w:pPr>
            <w:r>
              <w:rPr>
                <w:sz w:val="21"/>
                <w:szCs w:val="21"/>
              </w:rPr>
              <w:t xml:space="preserve"> 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 w:val="21"/>
                <w:szCs w:val="21"/>
              </w:rPr>
            </w:pPr>
            <w:r>
              <w:rPr>
                <w:sz w:val="21"/>
                <w:szCs w:val="21"/>
              </w:rPr>
              <w:t>3</w:t>
            </w:r>
          </w:p>
        </w:tc>
        <w:tc>
          <w:tcPr>
            <w:tcW w:w="1123" w:type="dxa"/>
            <w:vMerge w:val="restart"/>
            <w:tcBorders>
              <w:tl2br w:val="nil"/>
              <w:tr2bl w:val="nil"/>
            </w:tcBorders>
            <w:vAlign w:val="center"/>
          </w:tcPr>
          <w:p>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 w:val="21"/>
                <w:szCs w:val="21"/>
              </w:rPr>
            </w:pPr>
            <w:r>
              <w:rPr>
                <w:sz w:val="21"/>
                <w:szCs w:val="21"/>
              </w:rPr>
              <w:t>4</w:t>
            </w:r>
          </w:p>
        </w:tc>
        <w:tc>
          <w:tcPr>
            <w:tcW w:w="1123" w:type="dxa"/>
            <w:vMerge w:val="restart"/>
            <w:tcBorders>
              <w:tl2br w:val="nil"/>
              <w:tr2bl w:val="nil"/>
            </w:tcBorders>
            <w:vAlign w:val="center"/>
          </w:tcPr>
          <w:p>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 w:val="21"/>
                <w:szCs w:val="21"/>
              </w:rPr>
            </w:pPr>
            <w:r>
              <w:rPr>
                <w:sz w:val="21"/>
                <w:szCs w:val="21"/>
              </w:rPr>
              <w:t>5</w:t>
            </w:r>
          </w:p>
        </w:tc>
        <w:tc>
          <w:tcPr>
            <w:tcW w:w="1123" w:type="dxa"/>
            <w:vMerge w:val="restart"/>
            <w:tcBorders>
              <w:tl2br w:val="nil"/>
              <w:tr2bl w:val="nil"/>
            </w:tcBorders>
            <w:vAlign w:val="center"/>
          </w:tcPr>
          <w:p>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pPr>
              <w:jc w:val="center"/>
              <w:rPr>
                <w:rFonts w:eastAsia="宋体"/>
                <w:sz w:val="21"/>
                <w:szCs w:val="21"/>
              </w:rPr>
            </w:pPr>
            <w:r>
              <w:rPr>
                <w:sz w:val="21"/>
                <w:szCs w:val="21"/>
              </w:rPr>
              <w:t>2</w:t>
            </w:r>
            <w:r>
              <w:rPr>
                <w:rFonts w:hint="eastAsia"/>
                <w:sz w:val="21"/>
                <w:szCs w:val="21"/>
              </w:rPr>
              <w:t>＜得分</w:t>
            </w: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6</w:t>
            </w:r>
          </w:p>
        </w:tc>
        <w:tc>
          <w:tcPr>
            <w:tcW w:w="1123" w:type="dxa"/>
            <w:vMerge w:val="restart"/>
            <w:tcBorders>
              <w:tl2br w:val="nil"/>
              <w:tr2bl w:val="nil"/>
            </w:tcBorders>
            <w:vAlign w:val="center"/>
          </w:tcPr>
          <w:p>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 w:val="21"/>
                <w:szCs w:val="21"/>
              </w:rPr>
            </w:pPr>
            <w:r>
              <w:rPr>
                <w:sz w:val="21"/>
                <w:szCs w:val="21"/>
              </w:rPr>
              <w:t>7</w:t>
            </w:r>
          </w:p>
        </w:tc>
        <w:tc>
          <w:tcPr>
            <w:tcW w:w="1123" w:type="dxa"/>
            <w:vMerge w:val="restart"/>
            <w:tcBorders>
              <w:tl2br w:val="nil"/>
              <w:tr2bl w:val="nil"/>
            </w:tcBorders>
            <w:vAlign w:val="center"/>
          </w:tcPr>
          <w:p>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8</w:t>
            </w:r>
          </w:p>
        </w:tc>
        <w:tc>
          <w:tcPr>
            <w:tcW w:w="1123" w:type="dxa"/>
            <w:vMerge w:val="restart"/>
            <w:tcBorders>
              <w:tl2br w:val="nil"/>
              <w:tr2bl w:val="nil"/>
            </w:tcBorders>
            <w:vAlign w:val="center"/>
          </w:tcPr>
          <w:p>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9</w:t>
            </w:r>
          </w:p>
        </w:tc>
        <w:tc>
          <w:tcPr>
            <w:tcW w:w="1123" w:type="dxa"/>
            <w:vMerge w:val="restart"/>
            <w:tcBorders>
              <w:tl2br w:val="nil"/>
              <w:tr2bl w:val="nil"/>
            </w:tcBorders>
            <w:vAlign w:val="center"/>
          </w:tcPr>
          <w:p>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sz w:val="21"/>
                <w:szCs w:val="21"/>
              </w:rPr>
            </w:pPr>
            <w:r>
              <w:rPr>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pPr>
              <w:jc w:val="center"/>
              <w:rPr>
                <w:sz w:val="21"/>
                <w:szCs w:val="21"/>
              </w:rPr>
            </w:pPr>
            <w:r>
              <w:rPr>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 w:val="21"/>
                <w:szCs w:val="21"/>
              </w:rPr>
            </w:pPr>
            <w:r>
              <w:rPr>
                <w:sz w:val="21"/>
                <w:szCs w:val="21"/>
              </w:rPr>
              <w:t>10</w:t>
            </w:r>
          </w:p>
        </w:tc>
        <w:tc>
          <w:tcPr>
            <w:tcW w:w="1123" w:type="dxa"/>
            <w:vMerge w:val="restart"/>
            <w:tcBorders>
              <w:tl2br w:val="nil"/>
              <w:tr2bl w:val="nil"/>
            </w:tcBorders>
            <w:vAlign w:val="center"/>
          </w:tcPr>
          <w:p>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 w:val="21"/>
                <w:szCs w:val="21"/>
              </w:rPr>
            </w:pPr>
            <w:r>
              <w:rPr>
                <w:sz w:val="21"/>
                <w:szCs w:val="21"/>
              </w:rPr>
              <w:t>11</w:t>
            </w:r>
          </w:p>
        </w:tc>
        <w:tc>
          <w:tcPr>
            <w:tcW w:w="1123" w:type="dxa"/>
            <w:vMerge w:val="restart"/>
            <w:tcBorders>
              <w:tl2br w:val="nil"/>
              <w:tr2bl w:val="nil"/>
            </w:tcBorders>
            <w:vAlign w:val="center"/>
          </w:tcPr>
          <w:p>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12</w:t>
            </w:r>
          </w:p>
        </w:tc>
        <w:tc>
          <w:tcPr>
            <w:tcW w:w="1123" w:type="dxa"/>
            <w:vMerge w:val="restart"/>
            <w:tcBorders>
              <w:tl2br w:val="nil"/>
              <w:tr2bl w:val="nil"/>
            </w:tcBorders>
            <w:vAlign w:val="center"/>
          </w:tcPr>
          <w:p>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pPr>
              <w:jc w:val="center"/>
              <w:rPr>
                <w:sz w:val="21"/>
                <w:szCs w:val="21"/>
              </w:rPr>
            </w:pPr>
            <w:r>
              <w:rPr>
                <w:sz w:val="21"/>
                <w:szCs w:val="21"/>
              </w:rPr>
              <w:t>0.5</w:t>
            </w:r>
            <w:r>
              <w:rPr>
                <w:rFonts w:hint="eastAsia"/>
                <w:sz w:val="21"/>
                <w:szCs w:val="21"/>
              </w:rPr>
              <w:t>＜得分</w:t>
            </w:r>
            <w:r>
              <w:rPr>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 w:val="21"/>
                <w:szCs w:val="21"/>
              </w:rPr>
            </w:pPr>
            <w:r>
              <w:rPr>
                <w:sz w:val="21"/>
                <w:szCs w:val="21"/>
              </w:rPr>
              <w:t>13</w:t>
            </w:r>
          </w:p>
        </w:tc>
        <w:tc>
          <w:tcPr>
            <w:tcW w:w="1123" w:type="dxa"/>
            <w:vMerge w:val="restart"/>
            <w:tcBorders>
              <w:tl2br w:val="nil"/>
              <w:tr2bl w:val="nil"/>
            </w:tcBorders>
            <w:vAlign w:val="center"/>
          </w:tcPr>
          <w:p>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 w:val="21"/>
                <w:szCs w:val="21"/>
              </w:rPr>
            </w:pPr>
            <w:r>
              <w:rPr>
                <w:sz w:val="21"/>
                <w:szCs w:val="21"/>
              </w:rPr>
              <w:t>1.5</w:t>
            </w:r>
            <w:r>
              <w:rPr>
                <w:rFonts w:hint="eastAsia"/>
                <w:sz w:val="21"/>
                <w:szCs w:val="21"/>
              </w:rPr>
              <w:t>＜得分</w:t>
            </w:r>
            <w:r>
              <w:rPr>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 w:val="21"/>
                <w:szCs w:val="21"/>
              </w:rPr>
            </w:pPr>
          </w:p>
        </w:tc>
        <w:tc>
          <w:tcPr>
            <w:tcW w:w="1123" w:type="dxa"/>
            <w:vMerge w:val="continue"/>
            <w:tcBorders>
              <w:tl2br w:val="nil"/>
              <w:tr2bl w:val="nil"/>
            </w:tcBorders>
            <w:vAlign w:val="center"/>
          </w:tcPr>
          <w:p>
            <w:pPr>
              <w:jc w:val="left"/>
              <w:rPr>
                <w:sz w:val="21"/>
                <w:szCs w:val="21"/>
              </w:rPr>
            </w:pPr>
          </w:p>
        </w:tc>
        <w:tc>
          <w:tcPr>
            <w:tcW w:w="980" w:type="dxa"/>
            <w:vMerge w:val="continue"/>
            <w:tcBorders>
              <w:tl2br w:val="nil"/>
              <w:tr2bl w:val="nil"/>
            </w:tcBorders>
            <w:vAlign w:val="center"/>
          </w:tcPr>
          <w:p>
            <w:pPr>
              <w:jc w:val="left"/>
              <w:rPr>
                <w:sz w:val="21"/>
                <w:szCs w:val="21"/>
              </w:rPr>
            </w:pPr>
          </w:p>
        </w:tc>
        <w:tc>
          <w:tcPr>
            <w:tcW w:w="5344" w:type="dxa"/>
            <w:tcBorders>
              <w:tl2br w:val="nil"/>
              <w:tr2bl w:val="nil"/>
            </w:tcBorders>
            <w:vAlign w:val="center"/>
          </w:tcPr>
          <w:p>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 w:val="21"/>
                <w:szCs w:val="21"/>
              </w:rPr>
            </w:pPr>
            <w:r>
              <w:rPr>
                <w:sz w:val="21"/>
                <w:szCs w:val="21"/>
              </w:rPr>
              <w:t>1≤</w:t>
            </w:r>
            <w:r>
              <w:rPr>
                <w:rFonts w:hint="eastAsia"/>
                <w:sz w:val="21"/>
                <w:szCs w:val="21"/>
              </w:rPr>
              <w:t>得分</w:t>
            </w:r>
            <w:r>
              <w:rPr>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 w:val="21"/>
                <w:szCs w:val="21"/>
              </w:rPr>
            </w:pPr>
            <w:r>
              <w:rPr>
                <w:rFonts w:hint="eastAsia"/>
                <w:sz w:val="21"/>
                <w:szCs w:val="21"/>
              </w:rPr>
              <w:t>合计</w:t>
            </w:r>
          </w:p>
        </w:tc>
        <w:tc>
          <w:tcPr>
            <w:tcW w:w="980" w:type="dxa"/>
            <w:tcBorders>
              <w:tl2br w:val="nil"/>
              <w:tr2bl w:val="nil"/>
            </w:tcBorders>
            <w:vAlign w:val="center"/>
          </w:tcPr>
          <w:p>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pPr>
              <w:rPr>
                <w:sz w:val="21"/>
                <w:szCs w:val="21"/>
              </w:rPr>
            </w:pPr>
          </w:p>
        </w:tc>
        <w:tc>
          <w:tcPr>
            <w:tcW w:w="1241" w:type="dxa"/>
            <w:tcBorders>
              <w:tl2br w:val="nil"/>
              <w:tr2bl w:val="nil"/>
            </w:tcBorders>
            <w:vAlign w:val="center"/>
          </w:tcPr>
          <w:p>
            <w:pPr>
              <w:jc w:val="center"/>
              <w:rPr>
                <w:sz w:val="21"/>
                <w:szCs w:val="21"/>
              </w:rPr>
            </w:pPr>
            <w:r>
              <w:rPr>
                <w:sz w:val="21"/>
                <w:szCs w:val="21"/>
              </w:rPr>
              <w:t>10≤</w:t>
            </w:r>
            <w:r>
              <w:rPr>
                <w:rFonts w:hint="eastAsia"/>
                <w:sz w:val="21"/>
                <w:szCs w:val="21"/>
              </w:rPr>
              <w:t>得分</w:t>
            </w:r>
            <w:r>
              <w:rPr>
                <w:sz w:val="21"/>
                <w:szCs w:val="21"/>
              </w:rPr>
              <w:t>≤25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工程量清单报价评标基准价计算公式为：</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评标基准价＝最高投标限价×K+投标报价×（1－K）。</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pStyle w:val="31"/>
        <w:numPr>
          <w:ilvl w:val="0"/>
          <w:numId w:val="2"/>
        </w:numPr>
        <w:snapToGrid w:val="0"/>
        <w:spacing w:line="360" w:lineRule="auto"/>
        <w:ind w:firstLineChars="0"/>
        <w:rPr>
          <w:rFonts w:hAnsi="宋体" w:eastAsia="宋体" w:cs="宋体"/>
          <w:sz w:val="21"/>
          <w:szCs w:val="21"/>
        </w:rPr>
      </w:pPr>
      <w:r>
        <w:rPr>
          <w:rFonts w:hint="eastAsia" w:hAnsi="宋体" w:eastAsia="宋体" w:cs="宋体"/>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分部分项工程项目清单单价评审（10分）</w:t>
      </w:r>
    </w:p>
    <w:p>
      <w:pPr>
        <w:snapToGrid w:val="0"/>
        <w:spacing w:line="360" w:lineRule="auto"/>
        <w:ind w:firstLine="484"/>
        <w:rPr>
          <w:rFonts w:hAnsi="宋体" w:eastAsia="宋体" w:cs="宋体"/>
          <w:sz w:val="21"/>
          <w:szCs w:val="21"/>
        </w:rPr>
      </w:pPr>
      <w:r>
        <w:rPr>
          <w:rFonts w:hint="eastAsia" w:hAnsi="宋体" w:eastAsia="宋体" w:cs="宋体"/>
          <w:sz w:val="21"/>
          <w:szCs w:val="21"/>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eastAsia="宋体" w:cs="宋体"/>
          <w:sz w:val="21"/>
          <w:szCs w:val="21"/>
        </w:rPr>
      </w:pPr>
      <w:r>
        <w:rPr>
          <w:rFonts w:hint="eastAsia" w:hAnsi="宋体" w:eastAsia="宋体" w:cs="宋体"/>
          <w:sz w:val="21"/>
          <w:szCs w:val="21"/>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eastAsia="宋体" w:cs="宋体"/>
          <w:sz w:val="21"/>
          <w:szCs w:val="21"/>
        </w:rPr>
      </w:pPr>
      <w:r>
        <w:rPr>
          <w:rFonts w:hint="eastAsia" w:hAnsi="宋体" w:eastAsia="宋体" w:cs="宋体"/>
          <w:sz w:val="21"/>
          <w:szCs w:val="21"/>
        </w:rPr>
        <w:t xml:space="preserve">投标人报价在综合单价基准值95%–103%范围内（不含95%和103%）的，每项得0.5分；在综合单价基准值90%–95%范围内（含90%和95%）每项得0.25分。满分共计10分。超出该范围的不得分。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措施项目费的评审（不含安全文明措施费）（5分）</w:t>
      </w:r>
    </w:p>
    <w:p>
      <w:pPr>
        <w:snapToGrid w:val="0"/>
        <w:spacing w:line="360" w:lineRule="auto"/>
        <w:ind w:firstLine="420" w:firstLineChars="200"/>
        <w:rPr>
          <w:rFonts w:hAnsi="宋体" w:eastAsia="宋体" w:cs="宋体"/>
          <w:sz w:val="21"/>
          <w:szCs w:val="21"/>
        </w:rPr>
      </w:pPr>
      <w:r>
        <w:rPr>
          <w:rFonts w:hint="eastAsia" w:hAnsi="宋体" w:eastAsia="宋体" w:cs="宋体"/>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firstLine="240" w:firstLineChars="100"/>
        <w:rPr>
          <w:rFonts w:hAnsi="宋体" w:cs="宋体"/>
          <w:b/>
          <w:bCs/>
          <w:sz w:val="24"/>
          <w:szCs w:val="24"/>
        </w:rPr>
      </w:pPr>
      <w:r>
        <w:rPr>
          <w:rFonts w:hint="eastAsia" w:hAnsi="宋体" w:cs="宋体"/>
          <w:b/>
          <w:bCs/>
          <w:sz w:val="24"/>
          <w:szCs w:val="24"/>
        </w:rPr>
        <w:t>8、主要材料单价的评审（5分）</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从最高投标限价中材料总价权重最大的前10-20项材料中抽取6项，在剩余材料中抽取4项。</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主要材料单价基准值是以各有效投标报价中（当有效投标人5名及以上时，去掉1个最高、1个最低值）对应抽取材料单价的算术平均值。</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06" w:firstLineChars="241"/>
        <w:rPr>
          <w:rFonts w:hAnsi="宋体" w:eastAsia="宋体" w:cs="宋体"/>
          <w:sz w:val="21"/>
          <w:szCs w:val="21"/>
        </w:rPr>
      </w:pPr>
      <w:r>
        <w:rPr>
          <w:rFonts w:hint="eastAsia" w:hAnsi="宋体" w:eastAsia="宋体" w:cs="宋体"/>
          <w:sz w:val="21"/>
          <w:szCs w:val="21"/>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（四）综合标（25分）</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1797"/>
        <w:gridCol w:w="5602"/>
        <w:gridCol w:w="16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jc w:val="center"/>
        </w:trPr>
        <w:tc>
          <w:tcPr>
            <w:tcW w:w="662" w:type="dxa"/>
            <w:vAlign w:val="center"/>
          </w:tcPr>
          <w:p>
            <w:pPr>
              <w:spacing w:line="300" w:lineRule="exact"/>
              <w:jc w:val="center"/>
              <w:rPr>
                <w:rFonts w:hAnsi="宋体" w:eastAsia="宋体" w:cs="宋体"/>
                <w:sz w:val="21"/>
                <w:szCs w:val="21"/>
              </w:rPr>
            </w:pPr>
            <w:r>
              <w:rPr>
                <w:rFonts w:hint="eastAsia" w:hAnsi="宋体" w:eastAsia="宋体" w:cs="宋体"/>
                <w:sz w:val="21"/>
                <w:szCs w:val="21"/>
              </w:rPr>
              <w:t>序号</w:t>
            </w:r>
          </w:p>
        </w:tc>
        <w:tc>
          <w:tcPr>
            <w:tcW w:w="1797" w:type="dxa"/>
            <w:vAlign w:val="center"/>
          </w:tcPr>
          <w:p>
            <w:pPr>
              <w:spacing w:line="300" w:lineRule="exact"/>
              <w:jc w:val="center"/>
              <w:rPr>
                <w:rFonts w:hAnsi="宋体" w:eastAsia="宋体" w:cs="宋体"/>
                <w:sz w:val="21"/>
                <w:szCs w:val="21"/>
              </w:rPr>
            </w:pPr>
            <w:r>
              <w:rPr>
                <w:rFonts w:hint="eastAsia" w:hAnsi="宋体" w:eastAsia="宋体" w:cs="宋体"/>
                <w:b/>
                <w:sz w:val="21"/>
                <w:szCs w:val="21"/>
              </w:rPr>
              <w:t>量化因素</w:t>
            </w:r>
          </w:p>
        </w:tc>
        <w:tc>
          <w:tcPr>
            <w:tcW w:w="5602" w:type="dxa"/>
            <w:vAlign w:val="center"/>
          </w:tcPr>
          <w:p>
            <w:pPr>
              <w:spacing w:line="300" w:lineRule="exact"/>
              <w:jc w:val="center"/>
              <w:rPr>
                <w:rFonts w:hAnsi="宋体" w:eastAsia="宋体" w:cs="宋体"/>
                <w:sz w:val="21"/>
                <w:szCs w:val="21"/>
              </w:rPr>
            </w:pPr>
            <w:r>
              <w:rPr>
                <w:rFonts w:hint="eastAsia" w:hAnsi="宋体" w:eastAsia="宋体" w:cs="宋体"/>
                <w:b/>
                <w:sz w:val="21"/>
                <w:szCs w:val="21"/>
              </w:rPr>
              <w:t>评分标准</w:t>
            </w:r>
          </w:p>
        </w:tc>
        <w:tc>
          <w:tcPr>
            <w:tcW w:w="1675" w:type="dxa"/>
            <w:vAlign w:val="center"/>
          </w:tcPr>
          <w:p>
            <w:pPr>
              <w:spacing w:line="300" w:lineRule="exact"/>
              <w:jc w:val="center"/>
              <w:rPr>
                <w:rFonts w:hAnsi="宋体" w:eastAsia="宋体" w:cs="宋体"/>
                <w:b/>
                <w:sz w:val="21"/>
                <w:szCs w:val="21"/>
              </w:rPr>
            </w:pPr>
            <w:r>
              <w:rPr>
                <w:rFonts w:hint="eastAsia" w:hAnsi="宋体" w:eastAsia="宋体" w:cs="宋体"/>
                <w:b/>
                <w:sz w:val="21"/>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spacing w:line="300" w:lineRule="exact"/>
              <w:jc w:val="center"/>
              <w:rPr>
                <w:rFonts w:eastAsia="宋体"/>
                <w:sz w:val="21"/>
                <w:szCs w:val="21"/>
              </w:rPr>
            </w:pPr>
            <w:r>
              <w:rPr>
                <w:rFonts w:hint="eastAsia"/>
                <w:sz w:val="21"/>
                <w:szCs w:val="21"/>
              </w:rPr>
              <w:t>1</w:t>
            </w:r>
          </w:p>
        </w:tc>
        <w:tc>
          <w:tcPr>
            <w:tcW w:w="1797" w:type="dxa"/>
            <w:vAlign w:val="center"/>
          </w:tcPr>
          <w:p>
            <w:pPr>
              <w:autoSpaceDE w:val="0"/>
              <w:autoSpaceDN w:val="0"/>
              <w:adjustRightInd w:val="0"/>
              <w:spacing w:line="300" w:lineRule="exact"/>
              <w:rPr>
                <w:sz w:val="21"/>
                <w:szCs w:val="21"/>
              </w:rPr>
            </w:pPr>
            <w:r>
              <w:rPr>
                <w:rFonts w:hint="eastAsia"/>
                <w:sz w:val="21"/>
                <w:szCs w:val="21"/>
              </w:rPr>
              <w:t>企业业绩</w:t>
            </w:r>
          </w:p>
        </w:tc>
        <w:tc>
          <w:tcPr>
            <w:tcW w:w="5602" w:type="dxa"/>
            <w:vAlign w:val="center"/>
          </w:tcPr>
          <w:p>
            <w:pPr>
              <w:snapToGrid w:val="0"/>
              <w:spacing w:line="300" w:lineRule="exact"/>
              <w:rPr>
                <w:sz w:val="21"/>
                <w:szCs w:val="21"/>
              </w:rPr>
            </w:pPr>
            <w:r>
              <w:rPr>
                <w:rFonts w:hint="eastAsia" w:hAnsi="宋体" w:eastAsia="宋体" w:cs="宋体"/>
                <w:sz w:val="21"/>
                <w:szCs w:val="21"/>
              </w:rPr>
              <w:t>2016年1月1日以来（以合同签订时间为准）：企业具有类似工程施工业绩者，每项得2分，本项最高得4分。（以施工合同和竣工验收表为准或施工合同和中标通知书为准）</w:t>
            </w:r>
          </w:p>
        </w:tc>
        <w:tc>
          <w:tcPr>
            <w:tcW w:w="1675" w:type="dxa"/>
            <w:vAlign w:val="center"/>
          </w:tcPr>
          <w:p>
            <w:pPr>
              <w:jc w:val="center"/>
              <w:rPr>
                <w:sz w:val="21"/>
                <w:szCs w:val="21"/>
              </w:rPr>
            </w:pPr>
            <w:r>
              <w:rPr>
                <w:rFonts w:hint="eastAsia" w:hAnsi="宋体" w:eastAsia="宋体" w:cs="宋体"/>
                <w:kern w:val="2"/>
                <w:sz w:val="21"/>
                <w:szCs w:val="21"/>
              </w:rPr>
              <w:t>0＜得分≤4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662" w:type="dxa"/>
            <w:vAlign w:val="center"/>
          </w:tcPr>
          <w:p>
            <w:pPr>
              <w:spacing w:line="300" w:lineRule="exact"/>
              <w:jc w:val="center"/>
              <w:rPr>
                <w:rFonts w:eastAsia="宋体"/>
                <w:sz w:val="21"/>
                <w:szCs w:val="21"/>
              </w:rPr>
            </w:pPr>
            <w:r>
              <w:rPr>
                <w:rFonts w:hint="eastAsia"/>
                <w:sz w:val="21"/>
                <w:szCs w:val="21"/>
              </w:rPr>
              <w:t>2</w:t>
            </w:r>
          </w:p>
        </w:tc>
        <w:tc>
          <w:tcPr>
            <w:tcW w:w="1797" w:type="dxa"/>
            <w:vAlign w:val="center"/>
          </w:tcPr>
          <w:p>
            <w:pPr>
              <w:spacing w:line="300" w:lineRule="exact"/>
              <w:rPr>
                <w:sz w:val="21"/>
                <w:szCs w:val="21"/>
              </w:rPr>
            </w:pPr>
            <w:r>
              <w:rPr>
                <w:rFonts w:hint="eastAsia"/>
                <w:sz w:val="21"/>
                <w:szCs w:val="21"/>
              </w:rPr>
              <w:t>项目经理业绩</w:t>
            </w:r>
          </w:p>
        </w:tc>
        <w:tc>
          <w:tcPr>
            <w:tcW w:w="5602" w:type="dxa"/>
            <w:vAlign w:val="center"/>
          </w:tcPr>
          <w:p>
            <w:pPr>
              <w:snapToGrid w:val="0"/>
              <w:spacing w:line="300" w:lineRule="exact"/>
              <w:rPr>
                <w:sz w:val="21"/>
                <w:szCs w:val="21"/>
              </w:rPr>
            </w:pPr>
            <w:r>
              <w:rPr>
                <w:rFonts w:hint="eastAsia" w:hAnsi="宋体" w:eastAsia="宋体" w:cs="宋体"/>
                <w:sz w:val="21"/>
                <w:szCs w:val="21"/>
              </w:rPr>
              <w:t>2016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1675" w:type="dxa"/>
            <w:vAlign w:val="center"/>
          </w:tcPr>
          <w:p>
            <w:pPr>
              <w:jc w:val="center"/>
              <w:rPr>
                <w:sz w:val="21"/>
                <w:szCs w:val="21"/>
              </w:rPr>
            </w:pPr>
            <w:r>
              <w:rPr>
                <w:rFonts w:hint="eastAsia" w:hAnsi="宋体" w:eastAsia="宋体" w:cs="宋体"/>
                <w:kern w:val="2"/>
                <w:sz w:val="21"/>
                <w:szCs w:val="21"/>
              </w:rPr>
              <w:t>0＜得分≤6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restart"/>
            <w:vAlign w:val="center"/>
          </w:tcPr>
          <w:p>
            <w:pPr>
              <w:spacing w:line="300" w:lineRule="exact"/>
              <w:jc w:val="center"/>
              <w:rPr>
                <w:rFonts w:eastAsia="宋体"/>
                <w:sz w:val="21"/>
                <w:szCs w:val="21"/>
              </w:rPr>
            </w:pPr>
            <w:r>
              <w:rPr>
                <w:rFonts w:hint="eastAsia"/>
                <w:sz w:val="21"/>
                <w:szCs w:val="21"/>
              </w:rPr>
              <w:t>3</w:t>
            </w:r>
          </w:p>
        </w:tc>
        <w:tc>
          <w:tcPr>
            <w:tcW w:w="1797" w:type="dxa"/>
            <w:vMerge w:val="restart"/>
            <w:vAlign w:val="center"/>
          </w:tcPr>
          <w:p>
            <w:pPr>
              <w:spacing w:line="300" w:lineRule="exact"/>
              <w:jc w:val="left"/>
              <w:rPr>
                <w:sz w:val="21"/>
                <w:szCs w:val="21"/>
              </w:rPr>
            </w:pPr>
            <w:r>
              <w:rPr>
                <w:rFonts w:hint="eastAsia"/>
                <w:sz w:val="21"/>
                <w:szCs w:val="21"/>
              </w:rPr>
              <w:t>优惠承诺</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优惠承诺应是书面的符合工程实际情况，确保依法依规，优惠合理，详实可行。</w:t>
            </w:r>
          </w:p>
        </w:tc>
        <w:tc>
          <w:tcPr>
            <w:tcW w:w="1675" w:type="dxa"/>
            <w:vAlign w:val="center"/>
          </w:tcPr>
          <w:p>
            <w:pPr>
              <w:jc w:val="center"/>
              <w:rPr>
                <w:sz w:val="21"/>
                <w:szCs w:val="21"/>
              </w:rPr>
            </w:pPr>
            <w:r>
              <w:rPr>
                <w:rFonts w:hint="eastAsia" w:hAnsi="宋体" w:eastAsia="宋体" w:cs="宋体"/>
                <w:kern w:val="2"/>
                <w:sz w:val="21"/>
                <w:szCs w:val="21"/>
              </w:rPr>
              <w:t>3＜得分≤4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continue"/>
            <w:vAlign w:val="center"/>
          </w:tcPr>
          <w:p>
            <w:pPr>
              <w:spacing w:line="300" w:lineRule="exact"/>
              <w:jc w:val="left"/>
              <w:rPr>
                <w:sz w:val="21"/>
                <w:szCs w:val="21"/>
              </w:rPr>
            </w:pPr>
          </w:p>
        </w:tc>
        <w:tc>
          <w:tcPr>
            <w:tcW w:w="1797" w:type="dxa"/>
            <w:vMerge w:val="continue"/>
            <w:vAlign w:val="center"/>
          </w:tcPr>
          <w:p>
            <w:pPr>
              <w:spacing w:line="300" w:lineRule="exact"/>
              <w:jc w:val="left"/>
              <w:rPr>
                <w:sz w:val="21"/>
                <w:szCs w:val="21"/>
              </w:rPr>
            </w:pP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优惠承诺符合工程实际情况，确保依法依规，优惠基本合理，基本详实可行。</w:t>
            </w:r>
          </w:p>
        </w:tc>
        <w:tc>
          <w:tcPr>
            <w:tcW w:w="1675" w:type="dxa"/>
            <w:vAlign w:val="center"/>
          </w:tcPr>
          <w:p>
            <w:pPr>
              <w:jc w:val="center"/>
              <w:rPr>
                <w:sz w:val="21"/>
                <w:szCs w:val="21"/>
              </w:rPr>
            </w:pPr>
            <w:r>
              <w:rPr>
                <w:rFonts w:hint="eastAsia" w:hAnsi="宋体" w:eastAsia="宋体" w:cs="宋体"/>
                <w:kern w:val="2"/>
                <w:sz w:val="21"/>
                <w:szCs w:val="21"/>
              </w:rPr>
              <w:t>1≤得分≤3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 w:hRule="atLeast"/>
          <w:jc w:val="center"/>
        </w:trPr>
        <w:tc>
          <w:tcPr>
            <w:tcW w:w="662" w:type="dxa"/>
            <w:vMerge w:val="restart"/>
            <w:vAlign w:val="center"/>
          </w:tcPr>
          <w:p>
            <w:pPr>
              <w:tabs>
                <w:tab w:val="left" w:pos="366"/>
              </w:tabs>
              <w:spacing w:line="300" w:lineRule="exact"/>
              <w:jc w:val="center"/>
              <w:rPr>
                <w:rFonts w:eastAsia="宋体"/>
                <w:sz w:val="21"/>
                <w:szCs w:val="21"/>
              </w:rPr>
            </w:pPr>
            <w:r>
              <w:rPr>
                <w:rFonts w:hint="eastAsia"/>
                <w:sz w:val="21"/>
                <w:szCs w:val="21"/>
              </w:rPr>
              <w:t>4</w:t>
            </w:r>
          </w:p>
        </w:tc>
        <w:tc>
          <w:tcPr>
            <w:tcW w:w="1797" w:type="dxa"/>
            <w:vMerge w:val="restart"/>
            <w:vAlign w:val="center"/>
          </w:tcPr>
          <w:p>
            <w:pPr>
              <w:spacing w:line="300" w:lineRule="exact"/>
              <w:jc w:val="left"/>
              <w:rPr>
                <w:sz w:val="21"/>
                <w:szCs w:val="21"/>
              </w:rPr>
            </w:pPr>
            <w:r>
              <w:rPr>
                <w:rFonts w:hint="eastAsia"/>
                <w:sz w:val="21"/>
                <w:szCs w:val="21"/>
              </w:rPr>
              <w:t>履职尽责承诺</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sz w:val="21"/>
                <w:szCs w:val="21"/>
              </w:rPr>
            </w:pPr>
            <w:r>
              <w:rPr>
                <w:rFonts w:hint="eastAsia" w:hAnsi="宋体" w:eastAsia="宋体" w:cs="宋体"/>
                <w:kern w:val="2"/>
                <w:sz w:val="21"/>
                <w:szCs w:val="21"/>
              </w:rPr>
              <w:t>2＜得分≤3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2" w:type="dxa"/>
            <w:vMerge w:val="continue"/>
            <w:vAlign w:val="center"/>
          </w:tcPr>
          <w:p>
            <w:pPr>
              <w:spacing w:line="300" w:lineRule="exact"/>
              <w:jc w:val="left"/>
              <w:rPr>
                <w:sz w:val="21"/>
                <w:szCs w:val="21"/>
              </w:rPr>
            </w:pPr>
          </w:p>
        </w:tc>
        <w:tc>
          <w:tcPr>
            <w:tcW w:w="1797" w:type="dxa"/>
            <w:vMerge w:val="continue"/>
            <w:vAlign w:val="center"/>
          </w:tcPr>
          <w:p>
            <w:pPr>
              <w:spacing w:line="300" w:lineRule="exact"/>
              <w:jc w:val="left"/>
              <w:rPr>
                <w:sz w:val="21"/>
                <w:szCs w:val="21"/>
              </w:rPr>
            </w:pP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具有可行、合法有效的书面保证技术措施落实到位的承诺和落实不到位的处理承诺，提供承包商履约保证</w:t>
            </w:r>
            <w:r>
              <w:rPr>
                <w:rFonts w:hint="eastAsia" w:ascii="新宋体" w:hAnsi="新宋体" w:eastAsia="新宋体" w:cs="新宋体"/>
                <w:sz w:val="21"/>
                <w:szCs w:val="21"/>
              </w:rPr>
              <w:t>，其中包括各关键岗位人员（项目负责人、技术负责人及相关技术人员、质量员、安全员、材料员、施工员等）的在岗、更换等履职尽责承诺，提供承包商履约保证。</w:t>
            </w:r>
          </w:p>
        </w:tc>
        <w:tc>
          <w:tcPr>
            <w:tcW w:w="1675" w:type="dxa"/>
            <w:vAlign w:val="center"/>
          </w:tcPr>
          <w:p>
            <w:pPr>
              <w:jc w:val="center"/>
              <w:rPr>
                <w:sz w:val="21"/>
                <w:szCs w:val="21"/>
              </w:rPr>
            </w:pPr>
            <w:r>
              <w:rPr>
                <w:rFonts w:hint="eastAsia" w:hAnsi="宋体" w:eastAsia="宋体" w:cs="宋体"/>
                <w:kern w:val="2"/>
                <w:sz w:val="21"/>
                <w:szCs w:val="21"/>
              </w:rPr>
              <w:t>1≤得分≤2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spacing w:line="300" w:lineRule="exact"/>
              <w:jc w:val="center"/>
              <w:rPr>
                <w:rFonts w:eastAsia="宋体"/>
                <w:sz w:val="21"/>
                <w:szCs w:val="21"/>
              </w:rPr>
            </w:pPr>
            <w:r>
              <w:rPr>
                <w:rFonts w:hint="eastAsia"/>
                <w:sz w:val="21"/>
                <w:szCs w:val="21"/>
              </w:rPr>
              <w:t>5</w:t>
            </w:r>
          </w:p>
        </w:tc>
        <w:tc>
          <w:tcPr>
            <w:tcW w:w="1797" w:type="dxa"/>
            <w:vAlign w:val="center"/>
          </w:tcPr>
          <w:p>
            <w:pPr>
              <w:spacing w:line="300" w:lineRule="exact"/>
              <w:jc w:val="left"/>
              <w:rPr>
                <w:sz w:val="21"/>
                <w:szCs w:val="21"/>
              </w:rPr>
            </w:pPr>
            <w:r>
              <w:rPr>
                <w:rFonts w:hint="eastAsia"/>
                <w:sz w:val="21"/>
                <w:szCs w:val="21"/>
              </w:rPr>
              <w:t>企业信用</w:t>
            </w:r>
          </w:p>
        </w:tc>
        <w:tc>
          <w:tcPr>
            <w:tcW w:w="5602" w:type="dxa"/>
            <w:vAlign w:val="center"/>
          </w:tcPr>
          <w:p>
            <w:pPr>
              <w:spacing w:line="300" w:lineRule="exact"/>
              <w:jc w:val="left"/>
            </w:pPr>
            <w:r>
              <w:rPr>
                <w:rFonts w:hint="eastAsia" w:hAnsi="宋体" w:cs="宋体"/>
                <w:sz w:val="24"/>
                <w:szCs w:val="24"/>
              </w:rPr>
              <w:t>1、企业获得过质量管理体系、环境管理体系、职业健康安全管理体系三体系认证的，得2分。（以有效期内的证书原件扫描件为准）</w:t>
            </w:r>
          </w:p>
          <w:p>
            <w:pPr>
              <w:snapToGrid w:val="0"/>
              <w:spacing w:line="300" w:lineRule="exact"/>
              <w:rPr>
                <w:rFonts w:hAnsi="宋体" w:eastAsia="宋体" w:cs="宋体"/>
                <w:sz w:val="21"/>
                <w:szCs w:val="21"/>
              </w:rPr>
            </w:pPr>
            <w:r>
              <w:rPr>
                <w:rFonts w:hAnsi="宋体" w:cs="宋体"/>
                <w:sz w:val="24"/>
                <w:szCs w:val="24"/>
              </w:rPr>
              <w:t>2</w:t>
            </w:r>
            <w:r>
              <w:rPr>
                <w:rFonts w:hint="eastAsia" w:hAnsi="宋体" w:cs="宋体"/>
                <w:sz w:val="24"/>
                <w:szCs w:val="24"/>
              </w:rPr>
              <w:t>、投标人提供</w:t>
            </w:r>
            <w:r>
              <w:rPr>
                <w:rFonts w:hAnsi="宋体" w:cs="宋体"/>
                <w:sz w:val="24"/>
                <w:szCs w:val="24"/>
              </w:rPr>
              <w:t>2016</w:t>
            </w:r>
            <w:r>
              <w:rPr>
                <w:rFonts w:hint="eastAsia" w:hAnsi="宋体" w:cs="宋体"/>
                <w:sz w:val="24"/>
                <w:szCs w:val="24"/>
              </w:rPr>
              <w:t>年</w:t>
            </w:r>
            <w:r>
              <w:rPr>
                <w:rFonts w:hAnsi="宋体" w:cs="宋体"/>
                <w:sz w:val="24"/>
                <w:szCs w:val="24"/>
              </w:rPr>
              <w:t>1</w:t>
            </w:r>
            <w:r>
              <w:rPr>
                <w:rFonts w:hint="eastAsia" w:hAnsi="宋体" w:cs="宋体"/>
                <w:sz w:val="24"/>
                <w:szCs w:val="24"/>
              </w:rPr>
              <w:t>月1日以来信用评级机构出具的有效的企业信用等级证书原件扫描件，等级为</w:t>
            </w:r>
            <w:r>
              <w:rPr>
                <w:rFonts w:hAnsi="宋体" w:cs="宋体"/>
                <w:sz w:val="24"/>
                <w:szCs w:val="24"/>
              </w:rPr>
              <w:t>AAA</w:t>
            </w:r>
            <w:r>
              <w:rPr>
                <w:rFonts w:hint="eastAsia" w:hAnsi="宋体" w:cs="宋体"/>
                <w:sz w:val="24"/>
                <w:szCs w:val="24"/>
              </w:rPr>
              <w:t>级的得</w:t>
            </w:r>
            <w:r>
              <w:rPr>
                <w:rFonts w:hAnsi="宋体" w:cs="宋体"/>
                <w:sz w:val="24"/>
                <w:szCs w:val="24"/>
              </w:rPr>
              <w:t>2</w:t>
            </w:r>
            <w:r>
              <w:rPr>
                <w:rFonts w:hint="eastAsia" w:hAnsi="宋体" w:cs="宋体"/>
                <w:sz w:val="24"/>
                <w:szCs w:val="24"/>
              </w:rPr>
              <w:t>分。</w:t>
            </w:r>
          </w:p>
        </w:tc>
        <w:tc>
          <w:tcPr>
            <w:tcW w:w="1675" w:type="dxa"/>
            <w:vAlign w:val="center"/>
          </w:tcPr>
          <w:p>
            <w:pPr>
              <w:jc w:val="center"/>
              <w:rPr>
                <w:sz w:val="21"/>
                <w:szCs w:val="21"/>
              </w:rPr>
            </w:pPr>
            <w:r>
              <w:rPr>
                <w:rFonts w:hint="eastAsia" w:hAnsi="宋体" w:eastAsia="宋体" w:cs="宋体"/>
                <w:kern w:val="2"/>
                <w:sz w:val="21"/>
                <w:szCs w:val="21"/>
              </w:rPr>
              <w:t>0≤得分≤4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spacing w:line="300" w:lineRule="exact"/>
              <w:jc w:val="center"/>
              <w:rPr>
                <w:sz w:val="21"/>
                <w:szCs w:val="21"/>
              </w:rPr>
            </w:pPr>
            <w:r>
              <w:rPr>
                <w:rFonts w:hint="eastAsia"/>
                <w:sz w:val="21"/>
                <w:szCs w:val="21"/>
              </w:rPr>
              <w:t>6</w:t>
            </w:r>
          </w:p>
        </w:tc>
        <w:tc>
          <w:tcPr>
            <w:tcW w:w="1797" w:type="dxa"/>
            <w:vAlign w:val="center"/>
          </w:tcPr>
          <w:p>
            <w:pPr>
              <w:spacing w:line="300" w:lineRule="exact"/>
              <w:jc w:val="left"/>
              <w:rPr>
                <w:sz w:val="21"/>
                <w:szCs w:val="21"/>
              </w:rPr>
            </w:pPr>
            <w:r>
              <w:rPr>
                <w:rFonts w:hint="eastAsia"/>
                <w:sz w:val="21"/>
                <w:szCs w:val="21"/>
              </w:rPr>
              <w:t>项目经理信用</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自2016年1月1日以来项目经理连续三年获得过省级以上优秀项目经理者得2分。（需提供获奖证书和同级奖励文件扫描件，以证书时间为准）</w:t>
            </w:r>
          </w:p>
        </w:tc>
        <w:tc>
          <w:tcPr>
            <w:tcW w:w="1675" w:type="dxa"/>
            <w:vAlign w:val="center"/>
          </w:tcPr>
          <w:p>
            <w:pPr>
              <w:jc w:val="center"/>
              <w:rPr>
                <w:sz w:val="21"/>
                <w:szCs w:val="21"/>
              </w:rPr>
            </w:pPr>
            <w:r>
              <w:rPr>
                <w:rFonts w:hint="eastAsia" w:hAnsi="宋体" w:eastAsia="宋体" w:cs="宋体"/>
                <w:kern w:val="2"/>
                <w:sz w:val="21"/>
                <w:szCs w:val="21"/>
              </w:rPr>
              <w:t>0≤得分≤2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spacing w:line="300" w:lineRule="exact"/>
              <w:jc w:val="center"/>
              <w:rPr>
                <w:sz w:val="21"/>
                <w:szCs w:val="21"/>
              </w:rPr>
            </w:pPr>
            <w:r>
              <w:rPr>
                <w:rFonts w:hint="eastAsia"/>
                <w:sz w:val="21"/>
                <w:szCs w:val="21"/>
              </w:rPr>
              <w:t>7</w:t>
            </w:r>
          </w:p>
        </w:tc>
        <w:tc>
          <w:tcPr>
            <w:tcW w:w="1797" w:type="dxa"/>
            <w:vAlign w:val="center"/>
          </w:tcPr>
          <w:p>
            <w:pPr>
              <w:spacing w:line="300" w:lineRule="exact"/>
              <w:jc w:val="center"/>
              <w:rPr>
                <w:sz w:val="21"/>
                <w:szCs w:val="21"/>
              </w:rPr>
            </w:pPr>
            <w:r>
              <w:rPr>
                <w:rFonts w:hint="eastAsia"/>
                <w:sz w:val="21"/>
                <w:szCs w:val="21"/>
              </w:rPr>
              <w:t>招标人意见</w:t>
            </w:r>
          </w:p>
        </w:tc>
        <w:tc>
          <w:tcPr>
            <w:tcW w:w="5602" w:type="dxa"/>
            <w:vAlign w:val="center"/>
          </w:tcPr>
          <w:p>
            <w:pPr>
              <w:snapToGrid w:val="0"/>
              <w:spacing w:line="300" w:lineRule="exact"/>
              <w:rPr>
                <w:rFonts w:hAnsi="宋体" w:eastAsia="宋体" w:cs="宋体"/>
                <w:sz w:val="21"/>
                <w:szCs w:val="21"/>
              </w:rPr>
            </w:pPr>
            <w:r>
              <w:rPr>
                <w:rFonts w:hint="eastAsia" w:hAnsi="宋体" w:eastAsia="宋体" w:cs="宋体"/>
                <w:sz w:val="21"/>
                <w:szCs w:val="21"/>
              </w:rPr>
              <w:t>招标人意见均为2分</w:t>
            </w:r>
          </w:p>
        </w:tc>
        <w:tc>
          <w:tcPr>
            <w:tcW w:w="1675" w:type="dxa"/>
            <w:vAlign w:val="center"/>
          </w:tcPr>
          <w:p>
            <w:pPr>
              <w:jc w:val="center"/>
              <w:rPr>
                <w:sz w:val="21"/>
                <w:szCs w:val="21"/>
              </w:rPr>
            </w:pPr>
            <w:r>
              <w:rPr>
                <w:rFonts w:hint="eastAsia" w:hAnsi="宋体" w:eastAsia="宋体" w:cs="宋体"/>
                <w:kern w:val="2"/>
                <w:sz w:val="21"/>
                <w:szCs w:val="21"/>
              </w:rPr>
              <w:t>0≤得分≤2</w:t>
            </w:r>
          </w:p>
        </w:tc>
      </w:tr>
    </w:tbl>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七、定标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40" w:lineRule="exact"/>
        <w:ind w:firstLine="480" w:firstLineChars="200"/>
        <w:rPr>
          <w:rFonts w:ascii="新宋体" w:hAnsi="新宋体" w:eastAsia="新宋体"/>
          <w:sz w:val="24"/>
        </w:rPr>
      </w:pPr>
      <w:r>
        <w:rPr>
          <w:rFonts w:hint="eastAsia" w:ascii="新宋体" w:hAnsi="新宋体" w:eastAsia="新宋体"/>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sz w:val="24"/>
        </w:rPr>
      </w:pPr>
      <w:r>
        <w:rPr>
          <w:rFonts w:hint="eastAsia" w:hAnsi="宋体" w:cs="宋体"/>
          <w:bCs/>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sz w:val="24"/>
          <w:szCs w:val="24"/>
        </w:rPr>
      </w:pPr>
      <w:r>
        <w:rPr>
          <w:rFonts w:hint="eastAsia" w:hAnsi="宋体" w:cs="宋体"/>
          <w:bCs/>
          <w:sz w:val="24"/>
          <w:szCs w:val="24"/>
        </w:rPr>
        <w:t>3.分数计算过程中，保留两位小数，小数点后第三位四舍五入。</w:t>
      </w:r>
    </w:p>
    <w:p>
      <w:pPr>
        <w:pStyle w:val="20"/>
        <w:keepNext w:val="0"/>
        <w:keepLines w:val="0"/>
        <w:ind w:firstLine="480" w:firstLineChars="200"/>
        <w:rPr>
          <w:rFonts w:ascii="新宋体" w:hAnsi="新宋体" w:eastAsia="新宋体"/>
          <w:b/>
          <w:szCs w:val="24"/>
        </w:rPr>
      </w:pPr>
      <w:r>
        <w:rPr>
          <w:rFonts w:hint="eastAsia" w:ascii="新宋体" w:hAnsi="新宋体" w:eastAsia="新宋体"/>
          <w:b/>
          <w:szCs w:val="24"/>
        </w:rPr>
        <w:t>九、评标报告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20"/>
        <w:keepNext w:val="0"/>
        <w:keepLines w:val="0"/>
        <w:ind w:firstLine="480" w:firstLineChars="200"/>
        <w:rPr>
          <w:rFonts w:ascii="新宋体" w:hAnsi="新宋体" w:eastAsia="新宋体"/>
          <w:b/>
          <w:szCs w:val="24"/>
        </w:rPr>
      </w:pPr>
      <w:r>
        <w:rPr>
          <w:rFonts w:hint="eastAsia" w:ascii="新宋体" w:hAnsi="新宋体" w:eastAsia="新宋体"/>
          <w:b/>
        </w:rPr>
        <w:t>十、</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十一、特殊情况的处置程序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pStyle w:val="2"/>
        <w:ind w:firstLine="234"/>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w:t>
      </w:r>
      <w:bookmarkEnd w:id="70"/>
    </w:p>
    <w:p>
      <w:pPr>
        <w:tabs>
          <w:tab w:val="left" w:pos="5000"/>
        </w:tabs>
        <w:spacing w:line="360" w:lineRule="auto"/>
        <w:ind w:firstLine="490"/>
        <w:rPr>
          <w:rFonts w:hAnsi="宋体" w:cs="宋体"/>
          <w:bCs/>
          <w:sz w:val="28"/>
          <w:szCs w:val="28"/>
        </w:rPr>
      </w:pPr>
      <w:bookmarkStart w:id="75" w:name="_Toc278443514"/>
    </w:p>
    <w:p>
      <w:pPr>
        <w:tabs>
          <w:tab w:val="left" w:pos="5000"/>
        </w:tabs>
        <w:spacing w:line="360" w:lineRule="auto"/>
        <w:ind w:firstLine="490"/>
        <w:rPr>
          <w:rFonts w:hAnsi="宋体" w:cs="宋体"/>
          <w:b/>
          <w:sz w:val="32"/>
          <w:szCs w:val="32"/>
        </w:rPr>
      </w:pPr>
      <w:r>
        <w:rPr>
          <w:rFonts w:hint="eastAsia" w:hAnsi="宋体" w:cs="宋体"/>
          <w:bCs/>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sz w:val="28"/>
          <w:szCs w:val="28"/>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《河南省市政工程预算定额》(HAA1-31-2016)、《河南省房屋建筑与装饰工程预算定额》(HA01-31-2016)、《河南省通用安装工程预算定额》(HA02-31-2016)、《建设工程工程量清单计价规范》（GB50500-2013）及其有关配套文件；</w:t>
      </w:r>
    </w:p>
    <w:p>
      <w:pPr>
        <w:spacing w:line="440" w:lineRule="exact"/>
        <w:ind w:left="1" w:firstLine="480" w:firstLineChars="200"/>
        <w:rPr>
          <w:rFonts w:hAnsi="宋体" w:cs="宋体"/>
          <w:sz w:val="24"/>
        </w:rPr>
      </w:pPr>
      <w:r>
        <w:rPr>
          <w:rFonts w:hint="eastAsia" w:hAnsi="宋体" w:cs="宋体"/>
          <w:sz w:val="24"/>
        </w:rPr>
        <w:t>(3) 主要材料价格按2019年第三期《许昌工程造价信息》及市场调查价；</w:t>
      </w:r>
    </w:p>
    <w:p>
      <w:pPr>
        <w:spacing w:line="440" w:lineRule="exact"/>
        <w:ind w:left="1" w:firstLine="480" w:firstLineChars="200"/>
        <w:rPr>
          <w:rFonts w:hAnsi="宋体" w:cs="宋体"/>
          <w:sz w:val="24"/>
        </w:rPr>
      </w:pPr>
      <w:r>
        <w:rPr>
          <w:rFonts w:hint="eastAsia" w:hAnsi="宋体" w:cs="宋体"/>
          <w:sz w:val="24"/>
        </w:rPr>
        <w:t>(4) 人工费指数、机械类指数、管理类指数依据豫建标定[2019]26号文，第5期（2019年1~6月）价格指数调整；</w:t>
      </w:r>
    </w:p>
    <w:p>
      <w:pPr>
        <w:spacing w:line="440" w:lineRule="exact"/>
        <w:ind w:left="1" w:firstLine="480" w:firstLineChars="200"/>
        <w:rPr>
          <w:rFonts w:hAnsi="宋体" w:cs="宋体"/>
          <w:sz w:val="24"/>
        </w:rPr>
      </w:pPr>
      <w:r>
        <w:rPr>
          <w:rFonts w:hint="eastAsia" w:hAnsi="宋体" w:cs="宋体"/>
          <w:sz w:val="24"/>
        </w:rPr>
        <w:t>(5) 税金依据建办标函[2019]193号文，按9%计入；</w:t>
      </w:r>
    </w:p>
    <w:p>
      <w:pPr>
        <w:spacing w:line="440" w:lineRule="exact"/>
        <w:ind w:left="1" w:firstLine="480" w:firstLineChars="200"/>
        <w:rPr>
          <w:rFonts w:hAnsi="宋体" w:cs="宋体"/>
          <w:sz w:val="24"/>
        </w:rPr>
      </w:pPr>
      <w:r>
        <w:rPr>
          <w:rFonts w:hint="eastAsia" w:hAnsi="宋体" w:cs="宋体"/>
          <w:sz w:val="24"/>
        </w:rPr>
        <w:t>(6) 其他措施费（夜间施工增加费、二次搬运费、冬雨季施工增加费）按定额足额计取。</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(7)其他的相关资料：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widowControl/>
        <w:jc w:val="center"/>
        <w:rPr>
          <w:rFonts w:hAnsi="宋体" w:cs="宋体"/>
          <w:b/>
          <w:sz w:val="36"/>
          <w:szCs w:val="36"/>
        </w:rPr>
      </w:pPr>
      <w:r>
        <w:rPr>
          <w:rFonts w:hAnsi="宋体" w:cs="宋体"/>
          <w:b/>
          <w:sz w:val="36"/>
          <w:szCs w:val="36"/>
        </w:rPr>
        <w:br w:type="page"/>
      </w: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 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我方承诺，若我方中标，愿意按国家发改委“计价格（2002）1980号”规定缴纳招标代理服务费等相关费用。</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eastAsia="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rPr>
          <w:rFonts w:hAnsi="宋体" w:cs="宋体"/>
          <w:sz w:val="24"/>
        </w:rPr>
      </w:pP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tbl>
      <w:tblPr>
        <w:tblStyle w:val="11"/>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3"/>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0" w:firstLineChars="50"/>
        <w:jc w:val="left"/>
        <w:rPr>
          <w:rFonts w:hAnsi="宋体" w:cs="宋体"/>
          <w:b/>
          <w:sz w:val="26"/>
          <w:szCs w:val="26"/>
        </w:rPr>
      </w:pPr>
      <w:r>
        <w:rPr>
          <w:rFonts w:hint="eastAsia" w:hAnsi="宋体" w:cs="宋体"/>
          <w:b/>
          <w:bCs/>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0" w:type="first"/>
      <w:footerReference r:id="rId9"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4"/>
                  </w:rPr>
                  <w:instrText xml:space="preserve"> PAGE </w:instrText>
                </w:r>
                <w:r>
                  <w:fldChar w:fldCharType="separate"/>
                </w:r>
                <w:r>
                  <w:rPr>
                    <w:rStyle w:val="14"/>
                  </w:rPr>
                  <w:t>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1673"/>
    <w:rsid w:val="00026094"/>
    <w:rsid w:val="000310D4"/>
    <w:rsid w:val="0003329B"/>
    <w:rsid w:val="000432ED"/>
    <w:rsid w:val="0006136C"/>
    <w:rsid w:val="0007083C"/>
    <w:rsid w:val="00071018"/>
    <w:rsid w:val="000A4B70"/>
    <w:rsid w:val="000A4B94"/>
    <w:rsid w:val="000C408F"/>
    <w:rsid w:val="000E5DE8"/>
    <w:rsid w:val="000F3E50"/>
    <w:rsid w:val="000F459D"/>
    <w:rsid w:val="000F66D9"/>
    <w:rsid w:val="000F6F95"/>
    <w:rsid w:val="00100CE6"/>
    <w:rsid w:val="001015B8"/>
    <w:rsid w:val="00106D22"/>
    <w:rsid w:val="00112BE9"/>
    <w:rsid w:val="0012336D"/>
    <w:rsid w:val="00123585"/>
    <w:rsid w:val="00124C0C"/>
    <w:rsid w:val="001311B8"/>
    <w:rsid w:val="00153D65"/>
    <w:rsid w:val="00154AC4"/>
    <w:rsid w:val="00184B91"/>
    <w:rsid w:val="0018555F"/>
    <w:rsid w:val="00190CA3"/>
    <w:rsid w:val="001A6353"/>
    <w:rsid w:val="001B3FB5"/>
    <w:rsid w:val="001D1431"/>
    <w:rsid w:val="001D6C4E"/>
    <w:rsid w:val="001F2568"/>
    <w:rsid w:val="001F417A"/>
    <w:rsid w:val="001F5720"/>
    <w:rsid w:val="0020445D"/>
    <w:rsid w:val="00204E6B"/>
    <w:rsid w:val="002415A9"/>
    <w:rsid w:val="002639F8"/>
    <w:rsid w:val="00276551"/>
    <w:rsid w:val="00294330"/>
    <w:rsid w:val="00294ACF"/>
    <w:rsid w:val="002963C0"/>
    <w:rsid w:val="00296B80"/>
    <w:rsid w:val="002A2A43"/>
    <w:rsid w:val="002A696E"/>
    <w:rsid w:val="002B0DFE"/>
    <w:rsid w:val="002B535B"/>
    <w:rsid w:val="002B616B"/>
    <w:rsid w:val="002C5BF9"/>
    <w:rsid w:val="002C61C6"/>
    <w:rsid w:val="002D33A7"/>
    <w:rsid w:val="002E2FFB"/>
    <w:rsid w:val="002F3583"/>
    <w:rsid w:val="0031627C"/>
    <w:rsid w:val="00336A88"/>
    <w:rsid w:val="00337A96"/>
    <w:rsid w:val="00344E21"/>
    <w:rsid w:val="003702A0"/>
    <w:rsid w:val="00392100"/>
    <w:rsid w:val="003B534F"/>
    <w:rsid w:val="003C299D"/>
    <w:rsid w:val="003F28E5"/>
    <w:rsid w:val="00425696"/>
    <w:rsid w:val="00455C8F"/>
    <w:rsid w:val="00470530"/>
    <w:rsid w:val="00470E7E"/>
    <w:rsid w:val="00472957"/>
    <w:rsid w:val="004B37FB"/>
    <w:rsid w:val="004B7AB0"/>
    <w:rsid w:val="004F5208"/>
    <w:rsid w:val="00500738"/>
    <w:rsid w:val="0050085D"/>
    <w:rsid w:val="00524065"/>
    <w:rsid w:val="00531547"/>
    <w:rsid w:val="005458F0"/>
    <w:rsid w:val="00547524"/>
    <w:rsid w:val="00576C6C"/>
    <w:rsid w:val="00590089"/>
    <w:rsid w:val="005D27A6"/>
    <w:rsid w:val="005D3872"/>
    <w:rsid w:val="0061290A"/>
    <w:rsid w:val="0061481C"/>
    <w:rsid w:val="00615E17"/>
    <w:rsid w:val="00620DF2"/>
    <w:rsid w:val="006259AD"/>
    <w:rsid w:val="00631E65"/>
    <w:rsid w:val="00634E07"/>
    <w:rsid w:val="00644B21"/>
    <w:rsid w:val="00682561"/>
    <w:rsid w:val="006B072C"/>
    <w:rsid w:val="006B7778"/>
    <w:rsid w:val="006D5D6D"/>
    <w:rsid w:val="006E08B6"/>
    <w:rsid w:val="006E7BEB"/>
    <w:rsid w:val="006F39BA"/>
    <w:rsid w:val="0070276D"/>
    <w:rsid w:val="007122BF"/>
    <w:rsid w:val="007318DC"/>
    <w:rsid w:val="007570DC"/>
    <w:rsid w:val="00772E5C"/>
    <w:rsid w:val="00776137"/>
    <w:rsid w:val="00783FCD"/>
    <w:rsid w:val="00790DBC"/>
    <w:rsid w:val="00792C2C"/>
    <w:rsid w:val="007B2BE7"/>
    <w:rsid w:val="007B6D1A"/>
    <w:rsid w:val="007C0EAF"/>
    <w:rsid w:val="007C1FB6"/>
    <w:rsid w:val="007D3457"/>
    <w:rsid w:val="007E1335"/>
    <w:rsid w:val="007E6EC1"/>
    <w:rsid w:val="00807369"/>
    <w:rsid w:val="0084516D"/>
    <w:rsid w:val="008612AE"/>
    <w:rsid w:val="00882E9E"/>
    <w:rsid w:val="00892C13"/>
    <w:rsid w:val="008A4823"/>
    <w:rsid w:val="008D074E"/>
    <w:rsid w:val="008D2093"/>
    <w:rsid w:val="008E640B"/>
    <w:rsid w:val="008E6A24"/>
    <w:rsid w:val="008F5FB7"/>
    <w:rsid w:val="0090127E"/>
    <w:rsid w:val="00902390"/>
    <w:rsid w:val="00916381"/>
    <w:rsid w:val="00921082"/>
    <w:rsid w:val="00942073"/>
    <w:rsid w:val="009425BA"/>
    <w:rsid w:val="0095421D"/>
    <w:rsid w:val="0095656E"/>
    <w:rsid w:val="00957C23"/>
    <w:rsid w:val="00964592"/>
    <w:rsid w:val="009725E8"/>
    <w:rsid w:val="00985A7A"/>
    <w:rsid w:val="009A5E0F"/>
    <w:rsid w:val="009B403B"/>
    <w:rsid w:val="009D4DFC"/>
    <w:rsid w:val="009F0235"/>
    <w:rsid w:val="00A016E5"/>
    <w:rsid w:val="00A11AEA"/>
    <w:rsid w:val="00A11B8C"/>
    <w:rsid w:val="00A200A7"/>
    <w:rsid w:val="00A20BFD"/>
    <w:rsid w:val="00A335BB"/>
    <w:rsid w:val="00A34834"/>
    <w:rsid w:val="00A410F4"/>
    <w:rsid w:val="00A422F6"/>
    <w:rsid w:val="00A7544A"/>
    <w:rsid w:val="00A948AA"/>
    <w:rsid w:val="00AA6FA3"/>
    <w:rsid w:val="00AD624F"/>
    <w:rsid w:val="00AD79EB"/>
    <w:rsid w:val="00AE07B7"/>
    <w:rsid w:val="00AE1046"/>
    <w:rsid w:val="00AE1A2D"/>
    <w:rsid w:val="00AE21F0"/>
    <w:rsid w:val="00AF29A7"/>
    <w:rsid w:val="00AF431D"/>
    <w:rsid w:val="00B2280C"/>
    <w:rsid w:val="00B258EF"/>
    <w:rsid w:val="00B31840"/>
    <w:rsid w:val="00B354CE"/>
    <w:rsid w:val="00B35EB0"/>
    <w:rsid w:val="00B40224"/>
    <w:rsid w:val="00B555D9"/>
    <w:rsid w:val="00B5742F"/>
    <w:rsid w:val="00B65C6B"/>
    <w:rsid w:val="00B66F77"/>
    <w:rsid w:val="00B80677"/>
    <w:rsid w:val="00BC1F1F"/>
    <w:rsid w:val="00BC5B90"/>
    <w:rsid w:val="00BE0598"/>
    <w:rsid w:val="00BE55A1"/>
    <w:rsid w:val="00BE7B04"/>
    <w:rsid w:val="00C05D1F"/>
    <w:rsid w:val="00C26BCD"/>
    <w:rsid w:val="00C43D25"/>
    <w:rsid w:val="00C61680"/>
    <w:rsid w:val="00C63C42"/>
    <w:rsid w:val="00C70C78"/>
    <w:rsid w:val="00C81278"/>
    <w:rsid w:val="00C92076"/>
    <w:rsid w:val="00CA2F93"/>
    <w:rsid w:val="00CC5433"/>
    <w:rsid w:val="00CE106D"/>
    <w:rsid w:val="00CE3AB9"/>
    <w:rsid w:val="00CF1BCA"/>
    <w:rsid w:val="00D53566"/>
    <w:rsid w:val="00D55744"/>
    <w:rsid w:val="00D60CE0"/>
    <w:rsid w:val="00D70280"/>
    <w:rsid w:val="00D77007"/>
    <w:rsid w:val="00D840C4"/>
    <w:rsid w:val="00DA6A64"/>
    <w:rsid w:val="00DA7ADB"/>
    <w:rsid w:val="00DB7688"/>
    <w:rsid w:val="00DC5756"/>
    <w:rsid w:val="00DD38F1"/>
    <w:rsid w:val="00DD68BE"/>
    <w:rsid w:val="00DF203A"/>
    <w:rsid w:val="00DF67C1"/>
    <w:rsid w:val="00E17AC8"/>
    <w:rsid w:val="00E52957"/>
    <w:rsid w:val="00E65D2F"/>
    <w:rsid w:val="00EA7812"/>
    <w:rsid w:val="00EB1ECD"/>
    <w:rsid w:val="00ED4F12"/>
    <w:rsid w:val="00EF567C"/>
    <w:rsid w:val="00EF7D94"/>
    <w:rsid w:val="00F11597"/>
    <w:rsid w:val="00F21EAE"/>
    <w:rsid w:val="00F23030"/>
    <w:rsid w:val="00F244BB"/>
    <w:rsid w:val="00F45404"/>
    <w:rsid w:val="00F51DBA"/>
    <w:rsid w:val="00F65359"/>
    <w:rsid w:val="00F65C07"/>
    <w:rsid w:val="00F67A2C"/>
    <w:rsid w:val="00F727C7"/>
    <w:rsid w:val="00F907B9"/>
    <w:rsid w:val="00F9449A"/>
    <w:rsid w:val="00F95ABF"/>
    <w:rsid w:val="00FE4A3E"/>
    <w:rsid w:val="01DB434E"/>
    <w:rsid w:val="025A1A0E"/>
    <w:rsid w:val="05B347DC"/>
    <w:rsid w:val="05C54C49"/>
    <w:rsid w:val="06E835F7"/>
    <w:rsid w:val="07E778CA"/>
    <w:rsid w:val="07F46824"/>
    <w:rsid w:val="08CA67DF"/>
    <w:rsid w:val="08F576CB"/>
    <w:rsid w:val="0A4866D0"/>
    <w:rsid w:val="0A8E6F0E"/>
    <w:rsid w:val="0A9A38CE"/>
    <w:rsid w:val="0B0010DA"/>
    <w:rsid w:val="0B4C6956"/>
    <w:rsid w:val="0BAC12EB"/>
    <w:rsid w:val="0C410EA5"/>
    <w:rsid w:val="0D8116DE"/>
    <w:rsid w:val="0E274A96"/>
    <w:rsid w:val="0EB217EF"/>
    <w:rsid w:val="0F3930AA"/>
    <w:rsid w:val="0FE557E4"/>
    <w:rsid w:val="10085E52"/>
    <w:rsid w:val="13CC49C6"/>
    <w:rsid w:val="14D972B5"/>
    <w:rsid w:val="14EC08FF"/>
    <w:rsid w:val="151E2293"/>
    <w:rsid w:val="15AC6033"/>
    <w:rsid w:val="15B305CC"/>
    <w:rsid w:val="1769612C"/>
    <w:rsid w:val="176C0E13"/>
    <w:rsid w:val="1A6627AB"/>
    <w:rsid w:val="1A8C3E4C"/>
    <w:rsid w:val="1AC14286"/>
    <w:rsid w:val="1ADA0CB9"/>
    <w:rsid w:val="1B1A0113"/>
    <w:rsid w:val="1B8D32EB"/>
    <w:rsid w:val="1C063260"/>
    <w:rsid w:val="1CE276BD"/>
    <w:rsid w:val="1D004958"/>
    <w:rsid w:val="1D726CFF"/>
    <w:rsid w:val="1F701F28"/>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1861CA"/>
    <w:rsid w:val="3945175B"/>
    <w:rsid w:val="39D40903"/>
    <w:rsid w:val="3A4820C8"/>
    <w:rsid w:val="3BCA3EEE"/>
    <w:rsid w:val="3C526FDA"/>
    <w:rsid w:val="3E0C767D"/>
    <w:rsid w:val="3EDE5F9D"/>
    <w:rsid w:val="3F557D77"/>
    <w:rsid w:val="3F653ECD"/>
    <w:rsid w:val="40B1193E"/>
    <w:rsid w:val="41A24648"/>
    <w:rsid w:val="42B750E0"/>
    <w:rsid w:val="42E171A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775FB9"/>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9123F0"/>
    <w:rsid w:val="74FF5FC2"/>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F22565"/>
    <w:rsid w:val="7EBE4303"/>
    <w:rsid w:val="7F0707C4"/>
    <w:rsid w:val="7F436895"/>
    <w:rsid w:val="7F590637"/>
    <w:rsid w:val="7F78421F"/>
    <w:rsid w:val="7FF55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6">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0"/>
    <w:pPr>
      <w:keepNext/>
      <w:keepLines/>
      <w:spacing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table" w:styleId="12">
    <w:name w:val="Table Grid"/>
    <w:basedOn w:val="1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yperlink"/>
    <w:basedOn w:val="13"/>
    <w:qFormat/>
    <w:uiPriority w:val="0"/>
    <w:rPr>
      <w:color w:val="000000"/>
      <w:u w:val="none"/>
    </w:rPr>
  </w:style>
  <w:style w:type="character" w:customStyle="1" w:styleId="18">
    <w:name w:val="标题 2 Char"/>
    <w:basedOn w:val="13"/>
    <w:link w:val="6"/>
    <w:semiHidden/>
    <w:qFormat/>
    <w:uiPriority w:val="0"/>
    <w:rPr>
      <w:rFonts w:asciiTheme="majorHAnsi" w:hAnsiTheme="majorHAnsi" w:eastAsiaTheme="majorEastAsia" w:cstheme="majorBidi"/>
      <w:b/>
      <w:bCs/>
      <w:sz w:val="32"/>
      <w:szCs w:val="32"/>
    </w:rPr>
  </w:style>
  <w:style w:type="paragraph" w:customStyle="1" w:styleId="1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0">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character" w:customStyle="1" w:styleId="21">
    <w:name w:val="red"/>
    <w:basedOn w:val="13"/>
    <w:qFormat/>
    <w:uiPriority w:val="0"/>
    <w:rPr>
      <w:color w:val="FF0000"/>
      <w:sz w:val="18"/>
      <w:szCs w:val="18"/>
    </w:rPr>
  </w:style>
  <w:style w:type="character" w:customStyle="1" w:styleId="22">
    <w:name w:val="red1"/>
    <w:basedOn w:val="13"/>
    <w:qFormat/>
    <w:uiPriority w:val="0"/>
    <w:rPr>
      <w:color w:val="FF0000"/>
      <w:sz w:val="18"/>
      <w:szCs w:val="18"/>
    </w:rPr>
  </w:style>
  <w:style w:type="character" w:customStyle="1" w:styleId="23">
    <w:name w:val="red2"/>
    <w:basedOn w:val="13"/>
    <w:qFormat/>
    <w:uiPriority w:val="0"/>
    <w:rPr>
      <w:color w:val="CC0000"/>
    </w:rPr>
  </w:style>
  <w:style w:type="character" w:customStyle="1" w:styleId="24">
    <w:name w:val="red3"/>
    <w:basedOn w:val="13"/>
    <w:qFormat/>
    <w:uiPriority w:val="0"/>
    <w:rPr>
      <w:color w:val="FF0000"/>
    </w:rPr>
  </w:style>
  <w:style w:type="character" w:customStyle="1" w:styleId="25">
    <w:name w:val="hover25"/>
    <w:basedOn w:val="13"/>
    <w:qFormat/>
    <w:uiPriority w:val="0"/>
  </w:style>
  <w:style w:type="character" w:customStyle="1" w:styleId="26">
    <w:name w:val="green"/>
    <w:basedOn w:val="13"/>
    <w:qFormat/>
    <w:uiPriority w:val="0"/>
    <w:rPr>
      <w:color w:val="66AE00"/>
      <w:sz w:val="18"/>
      <w:szCs w:val="18"/>
    </w:rPr>
  </w:style>
  <w:style w:type="character" w:customStyle="1" w:styleId="27">
    <w:name w:val="green1"/>
    <w:basedOn w:val="13"/>
    <w:qFormat/>
    <w:uiPriority w:val="0"/>
    <w:rPr>
      <w:color w:val="66AE00"/>
      <w:sz w:val="18"/>
      <w:szCs w:val="18"/>
    </w:rPr>
  </w:style>
  <w:style w:type="character" w:customStyle="1" w:styleId="28">
    <w:name w:val="blue"/>
    <w:basedOn w:val="13"/>
    <w:qFormat/>
    <w:uiPriority w:val="0"/>
    <w:rPr>
      <w:color w:val="0371C6"/>
      <w:sz w:val="21"/>
      <w:szCs w:val="21"/>
    </w:rPr>
  </w:style>
  <w:style w:type="character" w:customStyle="1" w:styleId="29">
    <w:name w:val="gb-jt"/>
    <w:basedOn w:val="13"/>
    <w:qFormat/>
    <w:uiPriority w:val="0"/>
  </w:style>
  <w:style w:type="character" w:customStyle="1" w:styleId="30">
    <w:name w:val="right"/>
    <w:basedOn w:val="13"/>
    <w:qFormat/>
    <w:uiPriority w:val="0"/>
    <w:rPr>
      <w:color w:val="999999"/>
      <w:sz w:val="18"/>
      <w:szCs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5116</Words>
  <Characters>29164</Characters>
  <Lines>243</Lines>
  <Paragraphs>68</Paragraphs>
  <TotalTime>342</TotalTime>
  <ScaleCrop>false</ScaleCrop>
  <LinksUpToDate>false</LinksUpToDate>
  <CharactersWithSpaces>34212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2019-10-12T08:16:00Z</dcterms:created>
  <dc:creator>Administrator</dc:creator>
  <cp:lastModifiedBy>中大国信工程管理有限公司:中大国信工程管理有限公司</cp:lastModifiedBy>
  <cp:lastPrinted>2019-11-14T07:58:00Z</cp:lastPrinted>
  <dcterms:modified xsi:type="dcterms:W3CDTF">2019-11-28T05:58:13Z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