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sz w:val="18"/>
        </w:rPr>
      </w:pPr>
    </w:p>
    <w:p>
      <w:pPr>
        <w:jc w:val="center"/>
        <w:rPr>
          <w:rFonts w:ascii="仿宋" w:hAnsi="仿宋" w:eastAsia="仿宋"/>
          <w:sz w:val="72"/>
          <w:szCs w:val="84"/>
        </w:rPr>
      </w:pPr>
      <w:r>
        <w:rPr>
          <w:rFonts w:hint="eastAsia" w:ascii="仿宋" w:hAnsi="仿宋" w:eastAsia="仿宋"/>
          <w:sz w:val="72"/>
          <w:szCs w:val="84"/>
        </w:rPr>
        <w:t>建安区建设工程</w:t>
      </w:r>
    </w:p>
    <w:p>
      <w:pPr>
        <w:jc w:val="center"/>
        <w:rPr>
          <w:rFonts w:ascii="仿宋" w:hAnsi="仿宋" w:eastAsia="仿宋"/>
          <w:sz w:val="10"/>
          <w:szCs w:val="11"/>
        </w:rPr>
      </w:pPr>
    </w:p>
    <w:p>
      <w:pPr>
        <w:jc w:val="center"/>
        <w:rPr>
          <w:rFonts w:ascii="仿宋" w:hAnsi="仿宋" w:eastAsia="仿宋"/>
          <w:sz w:val="10"/>
          <w:szCs w:val="11"/>
        </w:rPr>
      </w:pPr>
    </w:p>
    <w:p>
      <w:pPr>
        <w:pStyle w:val="2"/>
        <w:ind w:firstLine="0" w:firstLineChars="0"/>
      </w:pPr>
    </w:p>
    <w:p>
      <w:pPr>
        <w:jc w:val="center"/>
        <w:rPr>
          <w:rFonts w:ascii="仿宋" w:hAnsi="仿宋" w:eastAsia="仿宋"/>
          <w:sz w:val="10"/>
          <w:szCs w:val="11"/>
        </w:rPr>
      </w:pPr>
    </w:p>
    <w:p>
      <w:pPr>
        <w:jc w:val="center"/>
        <w:rPr>
          <w:rFonts w:ascii="仿宋" w:hAnsi="仿宋" w:eastAsia="仿宋"/>
          <w:sz w:val="72"/>
          <w:szCs w:val="84"/>
        </w:rPr>
      </w:pPr>
      <w:r>
        <w:rPr>
          <w:rFonts w:hint="eastAsia" w:ascii="仿宋" w:hAnsi="仿宋" w:eastAsia="仿宋"/>
          <w:sz w:val="72"/>
          <w:szCs w:val="84"/>
        </w:rPr>
        <w:t>招</w:t>
      </w:r>
    </w:p>
    <w:p>
      <w:pPr>
        <w:jc w:val="center"/>
        <w:rPr>
          <w:rFonts w:ascii="仿宋" w:hAnsi="仿宋" w:eastAsia="仿宋"/>
          <w:sz w:val="72"/>
          <w:szCs w:val="84"/>
        </w:rPr>
      </w:pPr>
      <w:r>
        <w:rPr>
          <w:rFonts w:hint="eastAsia" w:ascii="仿宋" w:hAnsi="仿宋" w:eastAsia="仿宋"/>
          <w:sz w:val="72"/>
          <w:szCs w:val="84"/>
        </w:rPr>
        <w:t>标</w:t>
      </w:r>
    </w:p>
    <w:p>
      <w:pPr>
        <w:jc w:val="center"/>
        <w:rPr>
          <w:rFonts w:ascii="仿宋" w:hAnsi="仿宋" w:eastAsia="仿宋"/>
          <w:sz w:val="72"/>
          <w:szCs w:val="84"/>
        </w:rPr>
      </w:pPr>
      <w:r>
        <w:rPr>
          <w:rFonts w:hint="eastAsia" w:ascii="仿宋" w:hAnsi="仿宋" w:eastAsia="仿宋"/>
          <w:sz w:val="72"/>
          <w:szCs w:val="84"/>
        </w:rPr>
        <w:t>文</w:t>
      </w:r>
    </w:p>
    <w:p>
      <w:pPr>
        <w:jc w:val="center"/>
        <w:rPr>
          <w:rFonts w:ascii="仿宋" w:hAnsi="仿宋" w:eastAsia="仿宋"/>
          <w:sz w:val="84"/>
          <w:szCs w:val="84"/>
        </w:rPr>
      </w:pPr>
      <w:r>
        <w:rPr>
          <w:rFonts w:hint="eastAsia" w:ascii="仿宋" w:hAnsi="仿宋" w:eastAsia="仿宋"/>
          <w:sz w:val="72"/>
          <w:szCs w:val="84"/>
        </w:rPr>
        <w:t>件</w:t>
      </w:r>
    </w:p>
    <w:p>
      <w:pPr>
        <w:jc w:val="center"/>
        <w:rPr>
          <w:rFonts w:ascii="仿宋" w:hAnsi="仿宋" w:eastAsia="仿宋"/>
          <w:sz w:val="13"/>
          <w:szCs w:val="13"/>
        </w:rPr>
      </w:pPr>
    </w:p>
    <w:p>
      <w:pPr>
        <w:jc w:val="center"/>
        <w:rPr>
          <w:rFonts w:ascii="仿宋" w:hAnsi="仿宋" w:eastAsia="仿宋"/>
          <w:sz w:val="13"/>
          <w:szCs w:val="13"/>
        </w:rPr>
      </w:pPr>
    </w:p>
    <w:p>
      <w:pPr>
        <w:pStyle w:val="2"/>
        <w:ind w:firstLine="0" w:firstLineChars="0"/>
      </w:pPr>
    </w:p>
    <w:p>
      <w:pPr>
        <w:pStyle w:val="2"/>
        <w:ind w:firstLine="0" w:firstLineChars="0"/>
      </w:pPr>
    </w:p>
    <w:p>
      <w:pPr>
        <w:pStyle w:val="2"/>
        <w:ind w:firstLine="0" w:firstLineChars="0"/>
      </w:pPr>
    </w:p>
    <w:p>
      <w:pPr>
        <w:spacing w:beforeLines="50" w:line="360" w:lineRule="auto"/>
        <w:ind w:firstLine="1280" w:firstLineChars="400"/>
        <w:rPr>
          <w:rFonts w:ascii="仿宋" w:hAnsi="仿宋" w:eastAsia="仿宋"/>
          <w:sz w:val="32"/>
          <w:szCs w:val="36"/>
        </w:rPr>
      </w:pPr>
      <w:r>
        <w:rPr>
          <w:rFonts w:hint="eastAsia" w:ascii="仿宋" w:hAnsi="仿宋" w:eastAsia="仿宋"/>
          <w:sz w:val="32"/>
          <w:szCs w:val="36"/>
        </w:rPr>
        <w:t>项目编号：</w:t>
      </w:r>
      <w:r>
        <w:rPr>
          <w:rFonts w:hint="eastAsia" w:ascii="仿宋" w:hAnsi="仿宋" w:eastAsia="仿宋"/>
          <w:bCs/>
          <w:sz w:val="32"/>
          <w:szCs w:val="36"/>
        </w:rPr>
        <w:t>建安建工公字〔2019〕212号</w:t>
      </w:r>
    </w:p>
    <w:p>
      <w:pPr>
        <w:spacing w:beforeLines="50" w:line="360" w:lineRule="auto"/>
        <w:ind w:left="3198" w:leftChars="376" w:hanging="1920" w:hangingChars="600"/>
        <w:rPr>
          <w:rFonts w:ascii="仿宋" w:hAnsi="仿宋" w:eastAsia="仿宋"/>
          <w:sz w:val="32"/>
          <w:szCs w:val="36"/>
        </w:rPr>
      </w:pPr>
      <w:r>
        <w:rPr>
          <w:rFonts w:hint="eastAsia" w:ascii="仿宋" w:hAnsi="仿宋" w:eastAsia="仿宋"/>
          <w:sz w:val="32"/>
          <w:szCs w:val="36"/>
        </w:rPr>
        <w:t>项目名称: 许昌市建安区远东传动系智能产业园项目清表工程</w:t>
      </w:r>
    </w:p>
    <w:p>
      <w:pPr>
        <w:spacing w:beforeLines="50" w:line="360" w:lineRule="auto"/>
        <w:ind w:firstLine="1280" w:firstLineChars="400"/>
        <w:rPr>
          <w:rFonts w:ascii="仿宋" w:hAnsi="仿宋" w:eastAsia="仿宋"/>
          <w:sz w:val="32"/>
          <w:szCs w:val="36"/>
        </w:rPr>
      </w:pPr>
      <w:r>
        <w:rPr>
          <w:rFonts w:hint="eastAsia" w:ascii="仿宋" w:hAnsi="仿宋" w:eastAsia="仿宋"/>
          <w:sz w:val="32"/>
          <w:szCs w:val="36"/>
        </w:rPr>
        <w:t>招 标 人：许昌市建安区交通运输局</w:t>
      </w:r>
    </w:p>
    <w:p>
      <w:pPr>
        <w:spacing w:beforeLines="50" w:line="360" w:lineRule="auto"/>
        <w:ind w:firstLine="1280" w:firstLineChars="400"/>
        <w:rPr>
          <w:rFonts w:ascii="仿宋" w:hAnsi="仿宋" w:eastAsia="仿宋"/>
          <w:sz w:val="32"/>
          <w:szCs w:val="36"/>
        </w:rPr>
      </w:pPr>
      <w:r>
        <w:rPr>
          <w:rFonts w:hint="eastAsia" w:ascii="仿宋" w:hAnsi="仿宋" w:eastAsia="仿宋"/>
          <w:sz w:val="32"/>
          <w:szCs w:val="36"/>
        </w:rPr>
        <w:t>代理机构：</w:t>
      </w:r>
      <w:r>
        <w:rPr>
          <w:rFonts w:hint="eastAsia" w:ascii="仿宋" w:hAnsi="仿宋" w:eastAsia="仿宋"/>
          <w:bCs/>
          <w:sz w:val="32"/>
          <w:szCs w:val="36"/>
        </w:rPr>
        <w:t>陕西恒瑞项目管理有限公司</w:t>
      </w:r>
    </w:p>
    <w:p>
      <w:pPr>
        <w:spacing w:beforeLines="50" w:line="360" w:lineRule="auto"/>
        <w:jc w:val="center"/>
        <w:rPr>
          <w:rFonts w:ascii="仿宋" w:hAnsi="仿宋" w:eastAsia="仿宋"/>
          <w:bCs/>
          <w:sz w:val="32"/>
          <w:szCs w:val="36"/>
        </w:rPr>
      </w:pPr>
      <w:r>
        <w:rPr>
          <w:rFonts w:hint="eastAsia" w:ascii="仿宋" w:hAnsi="仿宋" w:eastAsia="仿宋"/>
          <w:sz w:val="32"/>
          <w:szCs w:val="36"/>
        </w:rPr>
        <w:t>二〇一九年十一月</w:t>
      </w:r>
    </w:p>
    <w:p>
      <w:pPr>
        <w:rPr>
          <w:rFonts w:hAnsi="华文中宋" w:eastAsia="华文中宋"/>
          <w:sz w:val="28"/>
          <w:szCs w:val="28"/>
        </w:rPr>
        <w:sectPr>
          <w:headerReference r:id="rId3" w:type="first"/>
          <w:footerReference r:id="rId4" w:type="default"/>
          <w:pgSz w:w="11906" w:h="16838"/>
          <w:pgMar w:top="1304" w:right="1134" w:bottom="1304" w:left="1134" w:header="851" w:footer="992" w:gutter="0"/>
          <w:pgNumType w:fmt="numberInDash" w:start="1"/>
          <w:cols w:space="720" w:num="1"/>
          <w:docGrid w:type="linesAndChars" w:linePitch="312" w:charSpace="0"/>
        </w:sectPr>
      </w:pPr>
    </w:p>
    <w:p>
      <w:pPr>
        <w:jc w:val="center"/>
        <w:rPr>
          <w:rFonts w:ascii="黑体" w:hAnsi="宋体" w:eastAsia="黑体"/>
          <w:b/>
          <w:sz w:val="44"/>
        </w:r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pStyle w:val="24"/>
        <w:tabs>
          <w:tab w:val="right" w:leader="dot" w:pos="9638"/>
          <w:tab w:val="clear" w:pos="9060"/>
        </w:tabs>
        <w:spacing w:line="600" w:lineRule="auto"/>
        <w:jc w:val="left"/>
        <w:rPr>
          <w:rFonts w:ascii="宋体" w:eastAsia="宋体" w:cs="宋体"/>
          <w:sz w:val="28"/>
          <w:szCs w:val="28"/>
        </w:rPr>
      </w:pPr>
    </w:p>
    <w:p>
      <w:pPr>
        <w:pStyle w:val="24"/>
        <w:tabs>
          <w:tab w:val="right" w:leader="dot" w:pos="9638"/>
          <w:tab w:val="clear" w:pos="9060"/>
        </w:tabs>
        <w:spacing w:line="600" w:lineRule="auto"/>
        <w:jc w:val="left"/>
        <w:rPr>
          <w:rFonts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TOC \o "1-2" \h \u </w:instrText>
      </w:r>
      <w:r>
        <w:rPr>
          <w:rFonts w:hint="eastAsia" w:ascii="宋体" w:eastAsia="宋体" w:cs="宋体"/>
          <w:sz w:val="28"/>
          <w:szCs w:val="28"/>
        </w:rPr>
        <w:fldChar w:fldCharType="separate"/>
      </w:r>
      <w:r>
        <w:fldChar w:fldCharType="begin"/>
      </w:r>
      <w:r>
        <w:instrText xml:space="preserve"> HYPERLINK \l "_Toc556" </w:instrText>
      </w:r>
      <w:r>
        <w:fldChar w:fldCharType="separate"/>
      </w:r>
      <w:r>
        <w:rPr>
          <w:rFonts w:hint="eastAsia" w:ascii="宋体" w:eastAsia="宋体" w:cs="宋体"/>
          <w:sz w:val="28"/>
          <w:szCs w:val="28"/>
        </w:rPr>
        <w:t>第一章 招标公告</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_Toc556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"_Toc1315" </w:instrText>
      </w:r>
      <w:r>
        <w:fldChar w:fldCharType="separate"/>
      </w:r>
      <w:r>
        <w:rPr>
          <w:rFonts w:hint="eastAsia" w:ascii="宋体" w:eastAsia="宋体" w:cs="宋体"/>
          <w:sz w:val="28"/>
          <w:szCs w:val="28"/>
        </w:rPr>
        <w:t>第二章 投标人须知</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_Toc1315 </w:instrText>
      </w:r>
      <w:r>
        <w:rPr>
          <w:rFonts w:hint="eastAsia" w:ascii="宋体" w:eastAsia="宋体" w:cs="宋体"/>
          <w:sz w:val="28"/>
          <w:szCs w:val="28"/>
        </w:rPr>
        <w:fldChar w:fldCharType="separate"/>
      </w:r>
      <w:r>
        <w:rPr>
          <w:rFonts w:hint="eastAsia" w:ascii="宋体" w:eastAsia="宋体" w:cs="宋体"/>
          <w:sz w:val="28"/>
          <w:szCs w:val="28"/>
        </w:rPr>
        <w:t>- 7 -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"_Toc28513" </w:instrText>
      </w:r>
      <w:r>
        <w:fldChar w:fldCharType="separate"/>
      </w:r>
      <w:r>
        <w:rPr>
          <w:rFonts w:hint="eastAsia" w:ascii="宋体" w:eastAsia="宋体" w:cs="宋体"/>
          <w:sz w:val="28"/>
          <w:szCs w:val="28"/>
        </w:rPr>
        <w:t>第三章 评标办法</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_Toc28513 </w:instrText>
      </w:r>
      <w:r>
        <w:rPr>
          <w:rFonts w:hint="eastAsia" w:ascii="宋体" w:eastAsia="宋体" w:cs="宋体"/>
          <w:sz w:val="28"/>
          <w:szCs w:val="28"/>
        </w:rPr>
        <w:fldChar w:fldCharType="separate"/>
      </w:r>
      <w:r>
        <w:rPr>
          <w:rFonts w:hint="eastAsia" w:ascii="宋体" w:eastAsia="宋体" w:cs="宋体"/>
          <w:sz w:val="28"/>
          <w:szCs w:val="28"/>
        </w:rPr>
        <w:t>- 40 -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"_Toc28513" </w:instrText>
      </w:r>
      <w:r>
        <w:fldChar w:fldCharType="separate"/>
      </w:r>
      <w:r>
        <w:rPr>
          <w:rFonts w:hint="eastAsia" w:ascii="宋体" w:eastAsia="宋体" w:cs="宋体"/>
          <w:sz w:val="28"/>
          <w:szCs w:val="28"/>
        </w:rPr>
        <w:t>第四章 合同条款及格式</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_Toc28513 </w:instrText>
      </w:r>
      <w:r>
        <w:rPr>
          <w:rFonts w:hint="eastAsia" w:ascii="宋体" w:eastAsia="宋体" w:cs="宋体"/>
          <w:sz w:val="28"/>
          <w:szCs w:val="28"/>
        </w:rPr>
        <w:fldChar w:fldCharType="separate"/>
      </w:r>
      <w:r>
        <w:rPr>
          <w:rFonts w:hint="eastAsia" w:ascii="宋体" w:eastAsia="宋体" w:cs="宋体"/>
          <w:sz w:val="28"/>
          <w:szCs w:val="28"/>
        </w:rPr>
        <w:t>- 40 -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"_Toc7273" </w:instrText>
      </w:r>
      <w:r>
        <w:fldChar w:fldCharType="separate"/>
      </w:r>
      <w:r>
        <w:rPr>
          <w:rFonts w:hint="eastAsia" w:ascii="宋体" w:eastAsia="宋体" w:cs="宋体"/>
          <w:sz w:val="28"/>
          <w:szCs w:val="28"/>
        </w:rPr>
        <w:t>第五章 工程量清单</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_Toc7273 </w:instrText>
      </w:r>
      <w:r>
        <w:rPr>
          <w:rFonts w:hint="eastAsia" w:ascii="宋体" w:eastAsia="宋体" w:cs="宋体"/>
          <w:sz w:val="28"/>
          <w:szCs w:val="28"/>
        </w:rPr>
        <w:fldChar w:fldCharType="separate"/>
      </w:r>
      <w:r>
        <w:rPr>
          <w:rFonts w:hint="eastAsia" w:ascii="宋体" w:eastAsia="宋体" w:cs="宋体"/>
          <w:sz w:val="28"/>
          <w:szCs w:val="28"/>
        </w:rPr>
        <w:t>- 41 -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"_Toc4759" </w:instrText>
      </w:r>
      <w:r>
        <w:fldChar w:fldCharType="separate"/>
      </w:r>
      <w:r>
        <w:rPr>
          <w:rFonts w:hint="eastAsia" w:ascii="宋体" w:eastAsia="宋体" w:cs="宋体"/>
          <w:sz w:val="28"/>
          <w:szCs w:val="28"/>
        </w:rPr>
        <w:t>第六章 图 纸(电子版另附)</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_Toc4759 </w:instrText>
      </w:r>
      <w:r>
        <w:rPr>
          <w:rFonts w:hint="eastAsia" w:ascii="宋体" w:eastAsia="宋体" w:cs="宋体"/>
          <w:sz w:val="28"/>
          <w:szCs w:val="28"/>
        </w:rPr>
        <w:fldChar w:fldCharType="separate"/>
      </w:r>
      <w:r>
        <w:rPr>
          <w:rFonts w:hint="eastAsia" w:ascii="宋体" w:eastAsia="宋体" w:cs="宋体"/>
          <w:sz w:val="28"/>
          <w:szCs w:val="28"/>
        </w:rPr>
        <w:t>- 47 -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"_Toc16552" </w:instrText>
      </w:r>
      <w:r>
        <w:fldChar w:fldCharType="separate"/>
      </w:r>
      <w:r>
        <w:rPr>
          <w:rFonts w:hint="eastAsia" w:ascii="宋体" w:eastAsia="宋体" w:cs="宋体"/>
          <w:sz w:val="28"/>
          <w:szCs w:val="28"/>
        </w:rPr>
        <w:t>第七章 技术标准和要求</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_Toc16552 </w:instrText>
      </w:r>
      <w:r>
        <w:rPr>
          <w:rFonts w:hint="eastAsia" w:ascii="宋体" w:eastAsia="宋体" w:cs="宋体"/>
          <w:sz w:val="28"/>
          <w:szCs w:val="28"/>
        </w:rPr>
        <w:fldChar w:fldCharType="separate"/>
      </w:r>
      <w:r>
        <w:rPr>
          <w:rFonts w:hint="eastAsia" w:ascii="宋体" w:eastAsia="宋体" w:cs="宋体"/>
          <w:sz w:val="28"/>
          <w:szCs w:val="28"/>
        </w:rPr>
        <w:t>- 47 -</w:t>
      </w:r>
      <w:r>
        <w:rPr>
          <w:rFonts w:hint="eastAsia" w:ascii="宋体" w:eastAsia="宋体" w:cs="宋体"/>
          <w:sz w:val="28"/>
          <w:szCs w:val="28"/>
        </w:rPr>
        <w:fldChar w:fldCharType="end"/>
      </w:r>
      <w:r>
        <w:rPr>
          <w:rFonts w:hint="eastAsia" w:ascii="宋体" w:eastAsia="宋体" w:cs="宋体"/>
          <w:sz w:val="28"/>
          <w:szCs w:val="28"/>
        </w:rPr>
        <w:fldChar w:fldCharType="end"/>
      </w:r>
    </w:p>
    <w:p>
      <w:pPr>
        <w:pStyle w:val="24"/>
        <w:tabs>
          <w:tab w:val="right" w:leader="dot" w:pos="9638"/>
          <w:tab w:val="clear" w:pos="9060"/>
        </w:tabs>
        <w:spacing w:line="600" w:lineRule="auto"/>
        <w:jc w:val="left"/>
        <w:rPr>
          <w:rFonts w:ascii="宋体" w:eastAsia="宋体" w:cs="宋体"/>
          <w:sz w:val="28"/>
          <w:szCs w:val="28"/>
        </w:rPr>
      </w:pPr>
      <w:r>
        <w:fldChar w:fldCharType="begin"/>
      </w:r>
      <w:r>
        <w:instrText xml:space="preserve"> HYPERLINK \l "_Toc11095" </w:instrText>
      </w:r>
      <w:r>
        <w:fldChar w:fldCharType="separate"/>
      </w:r>
      <w:r>
        <w:rPr>
          <w:rFonts w:hint="eastAsia" w:ascii="宋体" w:eastAsia="宋体" w:cs="宋体"/>
          <w:sz w:val="28"/>
          <w:szCs w:val="28"/>
        </w:rPr>
        <w:t>第八章 投标文件格式</w:t>
      </w:r>
      <w:r>
        <w:rPr>
          <w:rFonts w:hint="eastAsia" w:ascii="宋体" w:eastAsia="宋体" w:cs="宋体"/>
          <w:sz w:val="28"/>
          <w:szCs w:val="28"/>
        </w:rPr>
        <w:tab/>
      </w:r>
      <w:r>
        <w:rPr>
          <w:rFonts w:hint="eastAsia" w:ascii="宋体" w:eastAsia="宋体" w:cs="宋体"/>
          <w:sz w:val="28"/>
          <w:szCs w:val="28"/>
        </w:rPr>
        <w:fldChar w:fldCharType="begin"/>
      </w:r>
      <w:r>
        <w:rPr>
          <w:rFonts w:hint="eastAsia" w:ascii="宋体" w:eastAsia="宋体" w:cs="宋体"/>
          <w:sz w:val="28"/>
          <w:szCs w:val="28"/>
        </w:rPr>
        <w:instrText xml:space="preserve"> PAGEREF _Toc11095 </w:instrText>
      </w:r>
      <w:r>
        <w:rPr>
          <w:rFonts w:hint="eastAsia" w:ascii="宋体" w:eastAsia="宋体" w:cs="宋体"/>
          <w:sz w:val="28"/>
          <w:szCs w:val="28"/>
        </w:rPr>
        <w:fldChar w:fldCharType="separate"/>
      </w:r>
      <w:r>
        <w:rPr>
          <w:rFonts w:hint="eastAsia" w:ascii="宋体" w:eastAsia="宋体" w:cs="宋体"/>
          <w:sz w:val="28"/>
          <w:szCs w:val="28"/>
        </w:rPr>
        <w:t>- 48 -</w:t>
      </w:r>
      <w:r>
        <w:rPr>
          <w:rFonts w:hint="eastAsia" w:ascii="宋体" w:eastAsia="宋体" w:cs="宋体"/>
          <w:sz w:val="28"/>
          <w:szCs w:val="28"/>
        </w:rPr>
        <w:fldChar w:fldCharType="end"/>
      </w:r>
      <w:r>
        <w:rPr>
          <w:rFonts w:hint="eastAsia" w:ascii="宋体" w:eastAsia="宋体" w:cs="宋体"/>
          <w:sz w:val="28"/>
          <w:szCs w:val="28"/>
        </w:rPr>
        <w:fldChar w:fldCharType="end"/>
      </w:r>
    </w:p>
    <w:p>
      <w:pPr>
        <w:spacing w:line="600" w:lineRule="auto"/>
        <w:ind w:firstLine="3032" w:firstLineChars="1083"/>
        <w:rPr>
          <w:rFonts w:ascii="黑体" w:hAnsi="宋体" w:eastAsia="黑体"/>
          <w:b/>
          <w:sz w:val="44"/>
        </w:rPr>
        <w:sectPr>
          <w:headerReference r:id="rId5" w:type="default"/>
          <w:footerReference r:id="rId6" w:type="default"/>
          <w:pgSz w:w="11906" w:h="16838"/>
          <w:pgMar w:top="1304" w:right="1134" w:bottom="1304" w:left="1134" w:header="851" w:footer="992" w:gutter="0"/>
          <w:pgNumType w:fmt="numberInDash" w:start="1"/>
          <w:cols w:space="720" w:num="1"/>
          <w:docGrid w:type="linesAndChars" w:linePitch="312" w:charSpace="0"/>
        </w:sectPr>
      </w:pPr>
      <w:r>
        <w:rPr>
          <w:rFonts w:hint="eastAsia" w:hAnsi="宋体" w:cs="宋体"/>
          <w:sz w:val="28"/>
          <w:szCs w:val="28"/>
        </w:rPr>
        <w:fldChar w:fldCharType="end"/>
      </w:r>
    </w:p>
    <w:p>
      <w:pPr>
        <w:ind w:firstLine="3465" w:firstLineChars="1083"/>
        <w:jc w:val="right"/>
        <w:rPr>
          <w:rFonts w:hAnsi="宋体" w:cs="黑体"/>
          <w:b/>
          <w:sz w:val="32"/>
          <w:szCs w:val="32"/>
        </w:rPr>
      </w:pPr>
    </w:p>
    <w:p>
      <w:pPr>
        <w:tabs>
          <w:tab w:val="left" w:pos="3185"/>
          <w:tab w:val="center" w:pos="5452"/>
        </w:tabs>
        <w:snapToGrid w:val="0"/>
        <w:spacing w:beforeLines="50"/>
        <w:jc w:val="left"/>
        <w:rPr>
          <w:rFonts w:hAnsi="宋体" w:cs="黑体"/>
          <w:b/>
          <w:sz w:val="36"/>
          <w:szCs w:val="36"/>
        </w:rPr>
      </w:pPr>
      <w:r>
        <w:rPr>
          <w:rFonts w:hint="eastAsia" w:ascii="黑体" w:hAnsi="宋体" w:eastAsia="黑体"/>
          <w:b/>
          <w:sz w:val="44"/>
        </w:rPr>
        <w:t xml:space="preserve">                </w:t>
      </w:r>
      <w:bookmarkStart w:id="0" w:name="_Toc215282124"/>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pPr>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pgNumType w:fmt="numberInDash"/>
          <w:cols w:space="720" w:num="1"/>
          <w:titlePg/>
          <w:docGrid w:type="linesAndChars" w:linePitch="312" w:charSpace="0"/>
        </w:sectPr>
      </w:pPr>
    </w:p>
    <w:p>
      <w:pPr>
        <w:tabs>
          <w:tab w:val="left" w:pos="3185"/>
          <w:tab w:val="center" w:pos="5452"/>
        </w:tabs>
        <w:snapToGrid w:val="0"/>
        <w:spacing w:beforeLines="50" w:line="360" w:lineRule="auto"/>
        <w:jc w:val="center"/>
        <w:rPr>
          <w:rFonts w:hAnsi="宋体" w:cs="黑体"/>
          <w:b/>
          <w:sz w:val="44"/>
          <w:szCs w:val="44"/>
        </w:rPr>
      </w:pPr>
      <w:bookmarkStart w:id="1" w:name="_Toc556"/>
      <w:bookmarkStart w:id="2" w:name="_Toc19468_WPSOffice_Level1"/>
      <w:r>
        <w:rPr>
          <w:rFonts w:hint="eastAsia" w:hAnsi="宋体" w:cs="黑体"/>
          <w:b/>
          <w:sz w:val="44"/>
          <w:szCs w:val="44"/>
        </w:rPr>
        <w:t>第一章 招标公告</w:t>
      </w:r>
      <w:bookmarkEnd w:id="1"/>
      <w:bookmarkEnd w:id="2"/>
    </w:p>
    <w:p>
      <w:pPr>
        <w:autoSpaceDE w:val="0"/>
        <w:autoSpaceDN w:val="0"/>
        <w:adjustRightInd w:val="0"/>
        <w:spacing w:line="360" w:lineRule="auto"/>
        <w:ind w:firstLine="880" w:firstLineChars="200"/>
        <w:jc w:val="center"/>
        <w:outlineLvl w:val="0"/>
        <w:rPr>
          <w:rFonts w:hAnsi="宋体" w:cs="宋体"/>
          <w:b/>
          <w:sz w:val="44"/>
          <w:szCs w:val="44"/>
        </w:rPr>
      </w:pPr>
      <w:r>
        <w:rPr>
          <w:rFonts w:hint="eastAsia" w:hAnsi="宋体" w:cs="宋体"/>
          <w:b/>
          <w:sz w:val="44"/>
          <w:szCs w:val="44"/>
        </w:rPr>
        <w:t>建安建工公字〔2019〕212号</w:t>
      </w:r>
    </w:p>
    <w:p>
      <w:pPr>
        <w:autoSpaceDE w:val="0"/>
        <w:autoSpaceDN w:val="0"/>
        <w:adjustRightInd w:val="0"/>
        <w:spacing w:line="360" w:lineRule="auto"/>
        <w:jc w:val="center"/>
        <w:outlineLvl w:val="0"/>
        <w:rPr>
          <w:rFonts w:hAnsi="宋体" w:cs="宋体"/>
          <w:b/>
          <w:sz w:val="44"/>
          <w:szCs w:val="44"/>
        </w:rPr>
      </w:pPr>
      <w:r>
        <w:rPr>
          <w:rFonts w:hint="eastAsia" w:hAnsi="宋体" w:cs="宋体"/>
          <w:b/>
          <w:sz w:val="44"/>
          <w:szCs w:val="44"/>
        </w:rPr>
        <w:t>许昌市建安区交通运输局</w:t>
      </w:r>
    </w:p>
    <w:p>
      <w:pPr>
        <w:autoSpaceDE w:val="0"/>
        <w:autoSpaceDN w:val="0"/>
        <w:adjustRightInd w:val="0"/>
        <w:spacing w:line="360" w:lineRule="auto"/>
        <w:jc w:val="center"/>
        <w:outlineLvl w:val="0"/>
        <w:rPr>
          <w:rFonts w:hAnsi="宋体" w:cs="宋体"/>
          <w:b/>
          <w:sz w:val="44"/>
          <w:szCs w:val="44"/>
        </w:rPr>
      </w:pPr>
      <w:r>
        <w:rPr>
          <w:rFonts w:hint="eastAsia" w:hAnsi="宋体" w:cs="宋体"/>
          <w:b/>
          <w:sz w:val="44"/>
          <w:szCs w:val="44"/>
        </w:rPr>
        <w:t>许昌市建安区远东传动系智能产业园项目</w:t>
      </w:r>
    </w:p>
    <w:p>
      <w:pPr>
        <w:autoSpaceDE w:val="0"/>
        <w:autoSpaceDN w:val="0"/>
        <w:adjustRightInd w:val="0"/>
        <w:spacing w:line="360" w:lineRule="auto"/>
        <w:jc w:val="center"/>
        <w:outlineLvl w:val="0"/>
        <w:rPr>
          <w:rFonts w:hAnsi="宋体" w:cs="宋体"/>
          <w:b/>
          <w:sz w:val="44"/>
          <w:szCs w:val="44"/>
        </w:rPr>
      </w:pPr>
      <w:r>
        <w:rPr>
          <w:rFonts w:hint="eastAsia" w:hAnsi="宋体" w:cs="宋体"/>
          <w:b/>
          <w:sz w:val="44"/>
          <w:szCs w:val="44"/>
        </w:rPr>
        <w:t>清表工程</w:t>
      </w:r>
      <w:r>
        <w:rPr>
          <w:rFonts w:hAnsi="宋体" w:cs="宋体"/>
          <w:b/>
          <w:sz w:val="44"/>
          <w:szCs w:val="44"/>
        </w:rPr>
        <w:t>公开招标公告</w:t>
      </w:r>
    </w:p>
    <w:p>
      <w:pPr>
        <w:widowControl/>
        <w:spacing w:line="520" w:lineRule="exact"/>
        <w:rPr>
          <w:rFonts w:ascii="黑体" w:hAnsi="黑体" w:eastAsia="黑体"/>
          <w:b/>
          <w:sz w:val="32"/>
          <w:szCs w:val="32"/>
        </w:rPr>
      </w:pPr>
      <w:r>
        <w:rPr>
          <w:rFonts w:hint="eastAsia" w:ascii="黑体" w:hAnsi="黑体" w:eastAsia="黑体"/>
          <w:b/>
          <w:sz w:val="32"/>
          <w:szCs w:val="32"/>
        </w:rPr>
        <w:t>一、项目概况</w:t>
      </w:r>
    </w:p>
    <w:p>
      <w:pPr>
        <w:widowControl/>
        <w:autoSpaceDE w:val="0"/>
        <w:autoSpaceDN w:val="0"/>
        <w:adjustRightInd w:val="0"/>
        <w:spacing w:line="520" w:lineRule="exact"/>
        <w:ind w:firstLine="640" w:firstLineChars="200"/>
        <w:rPr>
          <w:rFonts w:ascii="仿宋" w:hAnsi="仿宋" w:eastAsia="仿宋" w:cs="宋体"/>
          <w:bCs/>
          <w:sz w:val="32"/>
          <w:szCs w:val="32"/>
        </w:rPr>
      </w:pPr>
      <w:r>
        <w:rPr>
          <w:rFonts w:hint="eastAsia" w:ascii="楷体" w:hAnsi="楷体" w:eastAsia="楷体" w:cs="宋体"/>
          <w:b/>
          <w:sz w:val="32"/>
          <w:szCs w:val="32"/>
        </w:rPr>
        <w:t>1、</w:t>
      </w:r>
      <w:r>
        <w:rPr>
          <w:rFonts w:ascii="楷体" w:hAnsi="楷体" w:eastAsia="楷体" w:cs="宋体"/>
          <w:b/>
          <w:sz w:val="32"/>
          <w:szCs w:val="32"/>
        </w:rPr>
        <w:t>项目编号</w:t>
      </w:r>
      <w:r>
        <w:rPr>
          <w:rFonts w:ascii="仿宋" w:hAnsi="仿宋" w:eastAsia="仿宋" w:cs="宋体"/>
          <w:sz w:val="32"/>
          <w:szCs w:val="32"/>
        </w:rPr>
        <w:t>：</w:t>
      </w:r>
      <w:r>
        <w:rPr>
          <w:rFonts w:hint="eastAsia" w:ascii="仿宋" w:hAnsi="仿宋" w:eastAsia="仿宋" w:cs="宋体"/>
          <w:bCs/>
          <w:sz w:val="32"/>
          <w:szCs w:val="32"/>
        </w:rPr>
        <w:t>建安建工公字〔2019〕212号</w:t>
      </w:r>
    </w:p>
    <w:p>
      <w:pPr>
        <w:widowControl/>
        <w:autoSpaceDE w:val="0"/>
        <w:autoSpaceDN w:val="0"/>
        <w:adjustRightInd w:val="0"/>
        <w:spacing w:line="520" w:lineRule="exact"/>
        <w:ind w:firstLine="640" w:firstLineChars="200"/>
        <w:rPr>
          <w:rFonts w:ascii="仿宋" w:hAnsi="仿宋" w:eastAsia="仿宋"/>
          <w:sz w:val="32"/>
          <w:szCs w:val="32"/>
        </w:rPr>
      </w:pPr>
      <w:r>
        <w:rPr>
          <w:rFonts w:hint="eastAsia" w:ascii="楷体" w:hAnsi="楷体" w:eastAsia="楷体" w:cs="宋体"/>
          <w:b/>
          <w:sz w:val="32"/>
          <w:szCs w:val="32"/>
        </w:rPr>
        <w:t>2、</w:t>
      </w:r>
      <w:r>
        <w:rPr>
          <w:rFonts w:ascii="楷体" w:hAnsi="楷体" w:eastAsia="楷体" w:cs="宋体"/>
          <w:b/>
          <w:sz w:val="32"/>
          <w:szCs w:val="32"/>
        </w:rPr>
        <w:t>项目名称</w:t>
      </w:r>
      <w:r>
        <w:rPr>
          <w:rFonts w:ascii="仿宋" w:hAnsi="仿宋" w:eastAsia="仿宋" w:cs="宋体"/>
          <w:sz w:val="32"/>
          <w:szCs w:val="32"/>
        </w:rPr>
        <w:t>：</w:t>
      </w:r>
      <w:r>
        <w:rPr>
          <w:rFonts w:hint="eastAsia" w:ascii="仿宋" w:hAnsi="仿宋" w:eastAsia="仿宋"/>
          <w:sz w:val="32"/>
          <w:szCs w:val="36"/>
        </w:rPr>
        <w:t>许昌市建安区远东传动系智能产业园项目清表工程</w:t>
      </w:r>
    </w:p>
    <w:p>
      <w:pPr>
        <w:widowControl/>
        <w:autoSpaceDE w:val="0"/>
        <w:autoSpaceDN w:val="0"/>
        <w:adjustRightInd w:val="0"/>
        <w:spacing w:line="520" w:lineRule="exact"/>
        <w:ind w:firstLine="640" w:firstLineChars="200"/>
        <w:rPr>
          <w:rFonts w:ascii="仿宋" w:hAnsi="仿宋" w:eastAsia="仿宋"/>
          <w:sz w:val="32"/>
          <w:szCs w:val="36"/>
        </w:rPr>
      </w:pPr>
      <w:r>
        <w:rPr>
          <w:rFonts w:hint="eastAsia" w:ascii="楷体" w:hAnsi="楷体" w:eastAsia="楷体" w:cs="宋体"/>
          <w:b/>
          <w:sz w:val="32"/>
          <w:szCs w:val="32"/>
        </w:rPr>
        <w:t>3、招标单位：</w:t>
      </w:r>
      <w:r>
        <w:rPr>
          <w:rFonts w:hint="eastAsia" w:ascii="仿宋" w:hAnsi="仿宋" w:eastAsia="仿宋"/>
          <w:sz w:val="32"/>
          <w:szCs w:val="36"/>
        </w:rPr>
        <w:t>许昌市建安区交通运输局</w:t>
      </w:r>
    </w:p>
    <w:p>
      <w:pPr>
        <w:widowControl/>
        <w:spacing w:line="520" w:lineRule="exact"/>
        <w:ind w:firstLine="640" w:firstLineChars="200"/>
        <w:rPr>
          <w:rFonts w:ascii="仿宋" w:hAnsi="仿宋" w:eastAsia="仿宋"/>
          <w:sz w:val="32"/>
          <w:szCs w:val="36"/>
        </w:rPr>
      </w:pPr>
      <w:r>
        <w:rPr>
          <w:rFonts w:hint="eastAsia" w:ascii="楷体" w:hAnsi="楷体" w:eastAsia="楷体" w:cs="宋体"/>
          <w:b/>
          <w:sz w:val="32"/>
          <w:szCs w:val="32"/>
        </w:rPr>
        <w:t>4、项目简介：</w:t>
      </w:r>
      <w:r>
        <w:rPr>
          <w:rFonts w:hint="eastAsia" w:ascii="仿宋" w:hAnsi="仿宋" w:eastAsia="仿宋"/>
          <w:sz w:val="32"/>
          <w:szCs w:val="36"/>
        </w:rPr>
        <w:t>建设地点位于许昌市建安区建安区北苑路以南，农大路以北，许州路以西。主要工程内容为东院墙、西院墙、南院墙、北院墙新建及围墙灯安装工程。</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楷体" w:hAnsi="楷体" w:eastAsia="楷体" w:cs="宋体"/>
          <w:b/>
          <w:sz w:val="32"/>
          <w:szCs w:val="32"/>
        </w:rPr>
        <w:t>5、资金预算</w:t>
      </w:r>
      <w:r>
        <w:rPr>
          <w:rFonts w:hint="eastAsia" w:ascii="仿宋" w:hAnsi="仿宋" w:eastAsia="仿宋" w:cs="宋体"/>
          <w:sz w:val="32"/>
          <w:szCs w:val="32"/>
        </w:rPr>
        <w:t>：888767.04元</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楷体" w:hAnsi="楷体" w:eastAsia="楷体" w:cs="宋体"/>
          <w:b/>
          <w:sz w:val="32"/>
          <w:szCs w:val="32"/>
        </w:rPr>
        <w:t>6、计划工期</w:t>
      </w:r>
      <w:r>
        <w:rPr>
          <w:rFonts w:hint="eastAsia" w:ascii="仿宋" w:hAnsi="仿宋" w:eastAsia="仿宋" w:cs="宋体"/>
          <w:sz w:val="32"/>
          <w:szCs w:val="32"/>
        </w:rPr>
        <w:t>：15日历天。</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楷体" w:hAnsi="楷体" w:eastAsia="楷体" w:cs="宋体"/>
          <w:b/>
          <w:sz w:val="32"/>
          <w:szCs w:val="32"/>
        </w:rPr>
        <w:t>7、质量要求</w:t>
      </w:r>
      <w:r>
        <w:rPr>
          <w:rFonts w:hint="eastAsia" w:ascii="仿宋" w:hAnsi="仿宋" w:eastAsia="仿宋" w:cs="宋体"/>
          <w:sz w:val="32"/>
          <w:szCs w:val="32"/>
        </w:rPr>
        <w:t>：合格（符合国家建设工程质量验收规范和标准）。</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楷体" w:hAnsi="楷体" w:eastAsia="楷体" w:cs="宋体"/>
          <w:b/>
          <w:sz w:val="32"/>
          <w:szCs w:val="32"/>
        </w:rPr>
        <w:t>8、标段划分</w:t>
      </w:r>
      <w:r>
        <w:rPr>
          <w:rFonts w:hint="eastAsia" w:ascii="仿宋" w:hAnsi="仿宋" w:eastAsia="仿宋" w:cs="宋体"/>
          <w:sz w:val="32"/>
          <w:szCs w:val="32"/>
        </w:rPr>
        <w:t>：本工程共设一个标段。</w:t>
      </w:r>
    </w:p>
    <w:p>
      <w:pPr>
        <w:widowControl/>
        <w:autoSpaceDE w:val="0"/>
        <w:autoSpaceDN w:val="0"/>
        <w:adjustRightInd w:val="0"/>
        <w:spacing w:line="520" w:lineRule="exact"/>
        <w:ind w:firstLine="640" w:firstLineChars="200"/>
        <w:rPr>
          <w:rFonts w:ascii="楷体" w:hAnsi="楷体" w:eastAsia="楷体" w:cs="宋体"/>
          <w:b/>
          <w:sz w:val="32"/>
          <w:szCs w:val="32"/>
        </w:rPr>
      </w:pPr>
      <w:r>
        <w:rPr>
          <w:rFonts w:hint="eastAsia" w:ascii="楷体" w:hAnsi="楷体" w:eastAsia="楷体" w:cs="宋体"/>
          <w:b/>
          <w:sz w:val="32"/>
          <w:szCs w:val="32"/>
        </w:rPr>
        <w:t>9、本项目不组织勘察现场。</w:t>
      </w:r>
    </w:p>
    <w:p>
      <w:pPr>
        <w:widowControl/>
        <w:spacing w:line="520" w:lineRule="exact"/>
        <w:rPr>
          <w:rFonts w:ascii="黑体" w:hAnsi="黑体" w:eastAsia="黑体"/>
          <w:b/>
          <w:sz w:val="32"/>
          <w:szCs w:val="32"/>
        </w:rPr>
      </w:pPr>
      <w:r>
        <w:rPr>
          <w:rFonts w:hint="eastAsia" w:ascii="黑体" w:hAnsi="黑体" w:eastAsia="黑体"/>
          <w:b/>
          <w:sz w:val="32"/>
          <w:szCs w:val="32"/>
        </w:rPr>
        <w:t>二、投标人资格要求</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1、须具备独立的法人资格，投标人须具备建设行政主管部门颁发的建筑工程施工总承包三级及以上资质，并具备有效的企业安全生产许可证，在人员、设备、资金等方面具有相应的施工能力。</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拟派项目负责人须具备贰级及以上建筑工程专业注册建造师执业资格，具备有效的项目经理安全生产考核合格证书，且未担任其他在施建设项目的项目经理。拟派项目总工须具备中级及以上相关专业技术职称。</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4、不接受联合体投标。</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5、本次招标实行资格后审。</w:t>
      </w:r>
    </w:p>
    <w:p>
      <w:pPr>
        <w:widowControl/>
        <w:spacing w:line="520" w:lineRule="exact"/>
        <w:rPr>
          <w:rFonts w:ascii="黑体" w:hAnsi="黑体" w:eastAsia="黑体"/>
          <w:b/>
          <w:sz w:val="32"/>
          <w:szCs w:val="32"/>
        </w:rPr>
      </w:pPr>
      <w:r>
        <w:rPr>
          <w:rFonts w:hint="eastAsia" w:ascii="黑体" w:hAnsi="黑体" w:eastAsia="黑体"/>
          <w:b/>
          <w:sz w:val="32"/>
          <w:szCs w:val="32"/>
        </w:rPr>
        <w:t>三、投标报名时间及方式</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2、在投标截止时间前均可登录【全国公共资源交易平台（河南省·许昌市）】“投标人/供应商登录”入口（http://221.14.6.70:8088/ggzy/）自行下载招标文件等（详见“常见问题解答-交易系统操作手册”）。</w:t>
      </w:r>
    </w:p>
    <w:p>
      <w:pPr>
        <w:widowControl/>
        <w:spacing w:line="520" w:lineRule="exact"/>
        <w:rPr>
          <w:rFonts w:ascii="黑体" w:hAnsi="黑体" w:eastAsia="黑体"/>
          <w:b/>
          <w:sz w:val="32"/>
          <w:szCs w:val="32"/>
        </w:rPr>
      </w:pPr>
      <w:r>
        <w:rPr>
          <w:rFonts w:hint="eastAsia" w:ascii="黑体" w:hAnsi="黑体" w:eastAsia="黑体"/>
          <w:b/>
          <w:sz w:val="32"/>
          <w:szCs w:val="32"/>
        </w:rPr>
        <w:t>四、招标文件和施工图纸的获取</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1、招标文件和工程量清单及施工图纸的获取：投标人于投标文件递交截止时间前均可登录《全国公共资源交易平台(河南省▪许昌市)》（http://ggzy.xuchang.gov.cn/），通过“投标人/供应商登录” 入口自行下载。</w:t>
      </w:r>
    </w:p>
    <w:p>
      <w:pPr>
        <w:widowControl/>
        <w:autoSpaceDE w:val="0"/>
        <w:autoSpaceDN w:val="0"/>
        <w:adjustRightInd w:val="0"/>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2、招标文件每套售价100元，于递交投标文件时缴纳给招标代理机构，售后不退。</w:t>
      </w:r>
    </w:p>
    <w:p>
      <w:pPr>
        <w:widowControl/>
        <w:spacing w:line="520" w:lineRule="exact"/>
        <w:rPr>
          <w:rFonts w:ascii="黑体" w:hAnsi="黑体" w:eastAsia="黑体"/>
          <w:b/>
          <w:sz w:val="32"/>
          <w:szCs w:val="32"/>
        </w:rPr>
      </w:pPr>
      <w:r>
        <w:rPr>
          <w:rFonts w:hint="eastAsia" w:ascii="黑体" w:hAnsi="黑体" w:eastAsia="黑体"/>
          <w:b/>
          <w:sz w:val="32"/>
          <w:szCs w:val="32"/>
        </w:rPr>
        <w:t>五、投标文件的递交</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1、本项目为全流程电子化交易项目，须提电子投标文件和电子介质（U盘）存储的备份文件。</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2、投标文件提交的截止时间及开标时间：2019年12月20日09时30分。</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3、电子投标文件的提交：电子投标文件应在投标文件提交截止时间（开标时间）之前成功提交至《全国公共资源交易平台(河南省▪许昌市)》公共资源交易系统，并同时提交2份使用电子介质（U盘）存储的备份文件。</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4、电子介质存储的投标文件提交地点：许昌市建安区新元大道兴业大厦4楼开标</w:t>
      </w:r>
      <w:r>
        <w:rPr>
          <w:rFonts w:hint="eastAsia" w:ascii="仿宋" w:hAnsi="仿宋" w:eastAsia="仿宋" w:cs="宋体"/>
          <w:sz w:val="32"/>
          <w:szCs w:val="32"/>
          <w:u w:val="single"/>
        </w:rPr>
        <w:t xml:space="preserve"> 一 </w:t>
      </w:r>
      <w:r>
        <w:rPr>
          <w:rFonts w:hint="eastAsia" w:ascii="仿宋" w:hAnsi="仿宋" w:eastAsia="仿宋" w:cs="宋体"/>
          <w:sz w:val="32"/>
          <w:szCs w:val="32"/>
        </w:rPr>
        <w:t>室。</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5、逾期送达的或者未送达指定地点的电子介质存储的投标文件，招标人不予受理。</w:t>
      </w:r>
    </w:p>
    <w:p>
      <w:pPr>
        <w:widowControl/>
        <w:spacing w:line="520" w:lineRule="exact"/>
        <w:rPr>
          <w:rFonts w:ascii="黑体" w:hAnsi="黑体" w:eastAsia="黑体"/>
          <w:b/>
          <w:sz w:val="32"/>
          <w:szCs w:val="32"/>
        </w:rPr>
      </w:pPr>
      <w:r>
        <w:rPr>
          <w:rFonts w:hint="eastAsia" w:ascii="黑体" w:hAnsi="黑体" w:eastAsia="黑体"/>
          <w:b/>
          <w:sz w:val="32"/>
          <w:szCs w:val="32"/>
        </w:rPr>
        <w:t>六、发布公告的媒介</w:t>
      </w:r>
    </w:p>
    <w:p>
      <w:pPr>
        <w:widowControl/>
        <w:snapToGrid w:val="0"/>
        <w:spacing w:line="520" w:lineRule="exact"/>
        <w:ind w:left="-170" w:leftChars="-50" w:right="-170" w:rightChars="-50" w:firstLine="640" w:firstLineChars="200"/>
        <w:rPr>
          <w:rFonts w:ascii="仿宋" w:hAnsi="仿宋" w:eastAsia="仿宋" w:cs="宋体"/>
          <w:sz w:val="32"/>
          <w:szCs w:val="32"/>
        </w:rPr>
      </w:pPr>
      <w:r>
        <w:rPr>
          <w:rFonts w:hint="eastAsia" w:ascii="仿宋" w:hAnsi="仿宋" w:eastAsia="仿宋" w:cs="宋体"/>
          <w:sz w:val="32"/>
          <w:szCs w:val="32"/>
        </w:rPr>
        <w:t>本公告同时在《全国公共资源交易平台(河南省▪许昌市)》、《河南省电子招标投标公共服务平台》上发布。</w:t>
      </w:r>
    </w:p>
    <w:p>
      <w:pPr>
        <w:widowControl/>
        <w:spacing w:line="520" w:lineRule="exact"/>
        <w:rPr>
          <w:rFonts w:ascii="黑体" w:hAnsi="黑体" w:eastAsia="黑体"/>
          <w:b/>
          <w:sz w:val="32"/>
          <w:szCs w:val="32"/>
        </w:rPr>
      </w:pPr>
      <w:r>
        <w:rPr>
          <w:rFonts w:hint="eastAsia" w:ascii="黑体" w:hAnsi="黑体" w:eastAsia="黑体"/>
          <w:b/>
          <w:sz w:val="32"/>
          <w:szCs w:val="32"/>
        </w:rPr>
        <w:t>七、联系方式</w:t>
      </w:r>
    </w:p>
    <w:p>
      <w:pPr>
        <w:widowControl/>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招 标 人：</w:t>
      </w:r>
      <w:r>
        <w:rPr>
          <w:rFonts w:hint="eastAsia" w:ascii="仿宋" w:hAnsi="仿宋" w:eastAsia="仿宋"/>
          <w:sz w:val="32"/>
          <w:szCs w:val="36"/>
        </w:rPr>
        <w:t>许昌市建安区交通运输局</w:t>
      </w:r>
    </w:p>
    <w:p>
      <w:pPr>
        <w:widowControl/>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项目负责人：王浩    5113276</w:t>
      </w:r>
    </w:p>
    <w:p>
      <w:pPr>
        <w:widowControl/>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代理机构：陕西恒瑞项目管理有限公司</w:t>
      </w:r>
    </w:p>
    <w:p>
      <w:pPr>
        <w:widowControl/>
        <w:spacing w:line="520" w:lineRule="exact"/>
        <w:ind w:firstLine="640" w:firstLineChars="200"/>
        <w:rPr>
          <w:rFonts w:ascii="仿宋" w:hAnsi="仿宋" w:eastAsia="仿宋" w:cs="宋体"/>
          <w:sz w:val="32"/>
          <w:szCs w:val="32"/>
        </w:rPr>
      </w:pPr>
      <w:r>
        <w:rPr>
          <w:rFonts w:hint="eastAsia" w:ascii="仿宋" w:hAnsi="仿宋" w:eastAsia="仿宋" w:cs="宋体"/>
          <w:sz w:val="32"/>
          <w:szCs w:val="32"/>
        </w:rPr>
        <w:t>项目负责人：徐翠    18737187037</w:t>
      </w:r>
    </w:p>
    <w:p>
      <w:pPr>
        <w:widowControl/>
        <w:autoSpaceDE w:val="0"/>
        <w:autoSpaceDN w:val="0"/>
        <w:adjustRightInd w:val="0"/>
        <w:spacing w:line="520" w:lineRule="exact"/>
        <w:rPr>
          <w:rFonts w:ascii="仿宋" w:hAnsi="仿宋" w:eastAsia="仿宋" w:cs="宋体"/>
          <w:sz w:val="32"/>
          <w:szCs w:val="32"/>
        </w:rPr>
      </w:pPr>
    </w:p>
    <w:p>
      <w:pPr>
        <w:widowControl/>
        <w:spacing w:line="520" w:lineRule="exact"/>
        <w:ind w:left="5433" w:leftChars="1504" w:hanging="320" w:hangingChars="100"/>
        <w:rPr>
          <w:rFonts w:ascii="仿宋" w:hAnsi="仿宋" w:eastAsia="仿宋"/>
          <w:sz w:val="32"/>
          <w:szCs w:val="36"/>
        </w:rPr>
      </w:pPr>
      <w:r>
        <w:rPr>
          <w:rFonts w:hint="eastAsia" w:ascii="仿宋" w:hAnsi="仿宋" w:eastAsia="仿宋"/>
          <w:sz w:val="32"/>
          <w:szCs w:val="36"/>
        </w:rPr>
        <w:t>许昌市建安区交通运输局</w:t>
      </w:r>
    </w:p>
    <w:p>
      <w:pPr>
        <w:widowControl/>
        <w:spacing w:line="520" w:lineRule="exact"/>
        <w:ind w:left="5440" w:hanging="5440" w:hangingChars="1700"/>
        <w:rPr>
          <w:rFonts w:ascii="仿宋" w:hAnsi="仿宋" w:eastAsia="仿宋" w:cs="宋体"/>
          <w:sz w:val="32"/>
          <w:szCs w:val="32"/>
        </w:rPr>
      </w:pPr>
      <w:r>
        <w:rPr>
          <w:rFonts w:hint="eastAsia" w:ascii="仿宋" w:hAnsi="仿宋" w:eastAsia="仿宋" w:cs="宋体"/>
          <w:sz w:val="32"/>
          <w:szCs w:val="32"/>
        </w:rPr>
        <w:t xml:space="preserve">                                                        2019年11月2</w:t>
      </w:r>
      <w:r>
        <w:rPr>
          <w:rFonts w:hint="eastAsia" w:ascii="仿宋" w:hAnsi="仿宋" w:eastAsia="仿宋" w:cs="宋体"/>
          <w:sz w:val="32"/>
          <w:szCs w:val="32"/>
          <w:lang w:val="en-US" w:eastAsia="zh-CN"/>
        </w:rPr>
        <w:t>8</w:t>
      </w:r>
      <w:bookmarkStart w:id="51" w:name="_GoBack"/>
      <w:bookmarkEnd w:id="51"/>
      <w:r>
        <w:rPr>
          <w:rFonts w:hint="eastAsia" w:ascii="仿宋" w:hAnsi="仿宋" w:eastAsia="仿宋" w:cs="宋体"/>
          <w:sz w:val="32"/>
          <w:szCs w:val="32"/>
        </w:rPr>
        <w:t>日</w:t>
      </w:r>
    </w:p>
    <w:p>
      <w:pPr>
        <w:widowControl/>
        <w:spacing w:line="520" w:lineRule="exact"/>
        <w:rPr>
          <w:rFonts w:ascii="仿宋" w:hAnsi="仿宋" w:eastAsia="仿宋" w:cs="宋体"/>
          <w:sz w:val="32"/>
          <w:szCs w:val="32"/>
        </w:rPr>
      </w:pPr>
    </w:p>
    <w:p>
      <w:pPr>
        <w:widowControl/>
        <w:spacing w:line="520" w:lineRule="exact"/>
        <w:ind w:left="4779" w:hanging="4760" w:hangingChars="1700"/>
        <w:rPr>
          <w:rFonts w:hAnsi="宋体"/>
          <w:b/>
          <w:sz w:val="28"/>
          <w:szCs w:val="21"/>
        </w:rPr>
      </w:pPr>
    </w:p>
    <w:p>
      <w:pPr>
        <w:widowControl/>
        <w:spacing w:line="520" w:lineRule="exact"/>
        <w:ind w:left="4779" w:hanging="4760" w:hangingChars="1700"/>
        <w:rPr>
          <w:rFonts w:hAnsi="宋体"/>
          <w:b/>
          <w:sz w:val="28"/>
          <w:szCs w:val="21"/>
        </w:rPr>
      </w:pPr>
    </w:p>
    <w:p>
      <w:pPr>
        <w:widowControl/>
        <w:spacing w:line="520" w:lineRule="exact"/>
        <w:ind w:left="4779" w:hanging="4760" w:hangingChars="1700"/>
        <w:rPr>
          <w:rFonts w:hAnsi="宋体"/>
          <w:b/>
          <w:sz w:val="28"/>
          <w:szCs w:val="21"/>
        </w:rPr>
      </w:pPr>
      <w:r>
        <w:rPr>
          <w:rFonts w:hint="eastAsia" w:hAnsi="宋体"/>
          <w:b/>
          <w:sz w:val="28"/>
          <w:szCs w:val="21"/>
        </w:rPr>
        <w:t>温馨提示：</w:t>
      </w:r>
    </w:p>
    <w:p>
      <w:pPr>
        <w:widowControl/>
        <w:spacing w:line="312" w:lineRule="auto"/>
        <w:ind w:firstLine="560" w:firstLineChars="200"/>
        <w:rPr>
          <w:rFonts w:hAnsi="宋体"/>
          <w:b/>
          <w:sz w:val="28"/>
          <w:szCs w:val="21"/>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pStyle w:val="2"/>
        <w:ind w:firstLine="240"/>
        <w:jc w:val="center"/>
        <w:rPr>
          <w:rFonts w:hAnsi="宋体" w:cs="宋体"/>
          <w:sz w:val="24"/>
          <w:szCs w:val="24"/>
        </w:rPr>
      </w:pPr>
    </w:p>
    <w:p>
      <w:pPr>
        <w:pStyle w:val="2"/>
        <w:ind w:firstLine="0" w:firstLineChars="0"/>
        <w:rPr>
          <w:rFonts w:hAnsi="宋体" w:cs="宋体"/>
          <w:sz w:val="24"/>
          <w:szCs w:val="24"/>
        </w:rPr>
      </w:pPr>
    </w:p>
    <w:p>
      <w:pPr>
        <w:widowControl/>
        <w:spacing w:line="360" w:lineRule="auto"/>
        <w:jc w:val="center"/>
        <w:outlineLvl w:val="0"/>
        <w:rPr>
          <w:rFonts w:hAnsi="宋体" w:cs="黑体"/>
          <w:b/>
          <w:sz w:val="36"/>
          <w:szCs w:val="36"/>
        </w:rPr>
      </w:pPr>
      <w:r>
        <w:rPr>
          <w:rFonts w:hint="eastAsia" w:hAnsi="宋体" w:cs="黑体"/>
          <w:b/>
          <w:sz w:val="36"/>
          <w:szCs w:val="36"/>
        </w:rPr>
        <w:br w:type="page"/>
      </w:r>
      <w:bookmarkStart w:id="3" w:name="_Toc1315"/>
      <w:bookmarkStart w:id="4" w:name="_Toc23196_WPSOffice_Level1"/>
    </w:p>
    <w:p>
      <w:pPr>
        <w:widowControl/>
        <w:spacing w:line="200" w:lineRule="exact"/>
        <w:jc w:val="center"/>
        <w:outlineLvl w:val="0"/>
        <w:rPr>
          <w:rFonts w:hAnsi="宋体" w:cs="黑体"/>
          <w:b/>
          <w:sz w:val="36"/>
          <w:szCs w:val="36"/>
        </w:rPr>
      </w:pPr>
    </w:p>
    <w:p>
      <w:pPr>
        <w:widowControl/>
        <w:spacing w:line="360" w:lineRule="auto"/>
        <w:jc w:val="center"/>
        <w:outlineLvl w:val="0"/>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bookmarkEnd w:id="3"/>
      <w:bookmarkEnd w:id="4"/>
    </w:p>
    <w:p>
      <w:pPr>
        <w:autoSpaceDE w:val="0"/>
        <w:autoSpaceDN w:val="0"/>
        <w:adjustRightInd w:val="0"/>
        <w:rPr>
          <w:rFonts w:hAnsi="宋体" w:cs="黑体"/>
          <w:b/>
          <w:sz w:val="28"/>
          <w:szCs w:val="28"/>
        </w:rPr>
      </w:pPr>
      <w:bookmarkStart w:id="5" w:name="_Toc283559940"/>
      <w:r>
        <w:rPr>
          <w:rFonts w:hint="eastAsia" w:hAnsi="宋体" w:cs="黑体"/>
          <w:b/>
          <w:sz w:val="28"/>
          <w:szCs w:val="28"/>
        </w:rPr>
        <w:t>投标人须知前附表</w:t>
      </w:r>
      <w:bookmarkEnd w:id="5"/>
    </w:p>
    <w:tbl>
      <w:tblPr>
        <w:tblStyle w:val="3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447"/>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3" w:type="dxa"/>
            <w:vAlign w:val="center"/>
          </w:tcPr>
          <w:p>
            <w:pPr>
              <w:autoSpaceDE w:val="0"/>
              <w:autoSpaceDN w:val="0"/>
              <w:adjustRightInd w:val="0"/>
              <w:spacing w:line="400" w:lineRule="exact"/>
              <w:jc w:val="center"/>
              <w:rPr>
                <w:rFonts w:hAnsi="宋体" w:cs="仿宋_GB2312"/>
                <w:b/>
                <w:sz w:val="24"/>
              </w:rPr>
            </w:pPr>
            <w:r>
              <w:rPr>
                <w:rFonts w:hint="eastAsia" w:hAnsi="宋体" w:cs="仿宋_GB2312"/>
                <w:b/>
                <w:sz w:val="24"/>
              </w:rPr>
              <w:t>条款号</w:t>
            </w:r>
          </w:p>
        </w:tc>
        <w:tc>
          <w:tcPr>
            <w:tcW w:w="2447" w:type="dxa"/>
            <w:vAlign w:val="center"/>
          </w:tcPr>
          <w:p>
            <w:pPr>
              <w:autoSpaceDE w:val="0"/>
              <w:autoSpaceDN w:val="0"/>
              <w:adjustRightInd w:val="0"/>
              <w:spacing w:line="40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25" w:type="dxa"/>
            <w:vAlign w:val="center"/>
          </w:tcPr>
          <w:p>
            <w:pPr>
              <w:autoSpaceDE w:val="0"/>
              <w:autoSpaceDN w:val="0"/>
              <w:adjustRightInd w:val="0"/>
              <w:spacing w:line="40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1.1.</w:t>
            </w:r>
            <w:r>
              <w:rPr>
                <w:rFonts w:hint="eastAsia" w:hAnsi="宋体" w:cs="TimesNewRomanPSMT"/>
                <w:sz w:val="24"/>
              </w:rPr>
              <w:t>1</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招标人</w:t>
            </w:r>
          </w:p>
        </w:tc>
        <w:tc>
          <w:tcPr>
            <w:tcW w:w="6225" w:type="dxa"/>
            <w:vAlign w:val="center"/>
          </w:tcPr>
          <w:p>
            <w:pPr>
              <w:autoSpaceDE w:val="0"/>
              <w:autoSpaceDN w:val="0"/>
              <w:adjustRightInd w:val="0"/>
              <w:spacing w:line="400" w:lineRule="exact"/>
              <w:jc w:val="left"/>
              <w:rPr>
                <w:rFonts w:hAnsi="宋体"/>
                <w:sz w:val="24"/>
                <w:szCs w:val="22"/>
              </w:rPr>
            </w:pPr>
            <w:r>
              <w:rPr>
                <w:rFonts w:hint="eastAsia" w:hAnsi="宋体"/>
                <w:sz w:val="24"/>
                <w:szCs w:val="22"/>
              </w:rPr>
              <w:t>招标人：许昌市建安区交通运输局</w:t>
            </w:r>
          </w:p>
          <w:p>
            <w:pPr>
              <w:autoSpaceDE w:val="0"/>
              <w:autoSpaceDN w:val="0"/>
              <w:adjustRightInd w:val="0"/>
              <w:spacing w:line="400" w:lineRule="exact"/>
              <w:jc w:val="left"/>
              <w:rPr>
                <w:rFonts w:hAnsi="宋体"/>
                <w:sz w:val="24"/>
                <w:szCs w:val="22"/>
              </w:rPr>
            </w:pPr>
            <w:r>
              <w:rPr>
                <w:rFonts w:hint="eastAsia" w:hAnsi="宋体"/>
                <w:sz w:val="24"/>
                <w:szCs w:val="22"/>
              </w:rPr>
              <w:t>地址：许昌市建安区</w:t>
            </w:r>
          </w:p>
          <w:p>
            <w:pPr>
              <w:autoSpaceDE w:val="0"/>
              <w:autoSpaceDN w:val="0"/>
              <w:adjustRightInd w:val="0"/>
              <w:spacing w:line="400" w:lineRule="exact"/>
              <w:jc w:val="left"/>
              <w:rPr>
                <w:rFonts w:hAnsi="宋体"/>
                <w:sz w:val="24"/>
                <w:szCs w:val="22"/>
              </w:rPr>
            </w:pPr>
            <w:r>
              <w:rPr>
                <w:rFonts w:hint="eastAsia" w:hAnsi="宋体"/>
                <w:sz w:val="24"/>
                <w:szCs w:val="22"/>
              </w:rPr>
              <w:t xml:space="preserve">联系人：王浩     </w:t>
            </w:r>
          </w:p>
          <w:p>
            <w:pPr>
              <w:autoSpaceDE w:val="0"/>
              <w:autoSpaceDN w:val="0"/>
              <w:adjustRightInd w:val="0"/>
              <w:spacing w:line="400" w:lineRule="exact"/>
              <w:jc w:val="left"/>
              <w:rPr>
                <w:rFonts w:hAnsi="宋体"/>
                <w:sz w:val="24"/>
                <w:szCs w:val="22"/>
              </w:rPr>
            </w:pPr>
            <w:r>
              <w:rPr>
                <w:rFonts w:hint="eastAsia" w:hAnsi="宋体"/>
                <w:sz w:val="24"/>
                <w:szCs w:val="22"/>
              </w:rPr>
              <w:t>电  话: 5113276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spacing w:line="400" w:lineRule="exact"/>
              <w:jc w:val="center"/>
              <w:rPr>
                <w:rFonts w:hAnsi="宋体" w:cs="TimesNewRomanPSMT"/>
                <w:sz w:val="24"/>
              </w:rPr>
            </w:pPr>
            <w:r>
              <w:rPr>
                <w:rFonts w:hint="eastAsia" w:hAnsi="宋体" w:cs="TimesNewRomanPSMT"/>
                <w:sz w:val="24"/>
              </w:rPr>
              <w:t>1.1.2</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代理机构</w:t>
            </w:r>
          </w:p>
        </w:tc>
        <w:tc>
          <w:tcPr>
            <w:tcW w:w="6225" w:type="dxa"/>
            <w:vAlign w:val="center"/>
          </w:tcPr>
          <w:p>
            <w:pPr>
              <w:autoSpaceDE w:val="0"/>
              <w:autoSpaceDN w:val="0"/>
              <w:adjustRightInd w:val="0"/>
              <w:spacing w:line="400" w:lineRule="exact"/>
              <w:jc w:val="left"/>
              <w:rPr>
                <w:rFonts w:hAnsi="宋体"/>
                <w:sz w:val="24"/>
                <w:szCs w:val="22"/>
              </w:rPr>
            </w:pPr>
            <w:r>
              <w:rPr>
                <w:rFonts w:hint="eastAsia" w:hAnsi="宋体"/>
                <w:sz w:val="24"/>
                <w:szCs w:val="22"/>
              </w:rPr>
              <w:t>代理机构：陕西恒瑞项目管理有限公司</w:t>
            </w:r>
          </w:p>
          <w:p>
            <w:pPr>
              <w:autoSpaceDE w:val="0"/>
              <w:autoSpaceDN w:val="0"/>
              <w:adjustRightInd w:val="0"/>
              <w:spacing w:line="400" w:lineRule="exact"/>
              <w:jc w:val="left"/>
              <w:rPr>
                <w:rFonts w:hAnsi="宋体"/>
                <w:sz w:val="24"/>
                <w:szCs w:val="22"/>
              </w:rPr>
            </w:pPr>
            <w:r>
              <w:rPr>
                <w:rFonts w:hint="eastAsia" w:hAnsi="宋体"/>
                <w:sz w:val="24"/>
                <w:szCs w:val="22"/>
              </w:rPr>
              <w:t>联系人：徐翠</w:t>
            </w:r>
          </w:p>
          <w:p>
            <w:pPr>
              <w:autoSpaceDE w:val="0"/>
              <w:autoSpaceDN w:val="0"/>
              <w:adjustRightInd w:val="0"/>
              <w:spacing w:line="400" w:lineRule="exact"/>
              <w:jc w:val="left"/>
              <w:rPr>
                <w:rFonts w:hAnsi="宋体"/>
                <w:sz w:val="24"/>
                <w:szCs w:val="22"/>
              </w:rPr>
            </w:pPr>
            <w:r>
              <w:rPr>
                <w:rFonts w:hint="eastAsia" w:hAnsi="宋体"/>
                <w:sz w:val="24"/>
                <w:szCs w:val="22"/>
              </w:rPr>
              <w:t>联系电话：18737187037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项目名称</w:t>
            </w:r>
          </w:p>
        </w:tc>
        <w:tc>
          <w:tcPr>
            <w:tcW w:w="6225" w:type="dxa"/>
            <w:vAlign w:val="center"/>
          </w:tcPr>
          <w:p>
            <w:pPr>
              <w:autoSpaceDE w:val="0"/>
              <w:autoSpaceDN w:val="0"/>
              <w:adjustRightInd w:val="0"/>
              <w:spacing w:line="400" w:lineRule="exact"/>
              <w:jc w:val="left"/>
              <w:rPr>
                <w:rFonts w:hAnsi="宋体"/>
                <w:sz w:val="24"/>
                <w:szCs w:val="22"/>
              </w:rPr>
            </w:pPr>
            <w:r>
              <w:rPr>
                <w:rFonts w:hint="eastAsia" w:hAnsi="宋体"/>
                <w:sz w:val="24"/>
                <w:szCs w:val="22"/>
              </w:rPr>
              <w:t>许昌市建安区远东传动系智能产业园项目清表工程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建设地点</w:t>
            </w:r>
          </w:p>
        </w:tc>
        <w:tc>
          <w:tcPr>
            <w:tcW w:w="6225" w:type="dxa"/>
            <w:vAlign w:val="center"/>
          </w:tcPr>
          <w:p>
            <w:pPr>
              <w:autoSpaceDE w:val="0"/>
              <w:autoSpaceDN w:val="0"/>
              <w:adjustRightInd w:val="0"/>
              <w:spacing w:line="400" w:lineRule="exact"/>
              <w:jc w:val="left"/>
              <w:rPr>
                <w:rFonts w:hAnsi="宋体"/>
                <w:sz w:val="24"/>
                <w:szCs w:val="22"/>
              </w:rPr>
            </w:pPr>
            <w:r>
              <w:rPr>
                <w:rFonts w:hint="eastAsia" w:hAnsi="宋体"/>
                <w:sz w:val="24"/>
                <w:szCs w:val="22"/>
              </w:rPr>
              <w:t>许昌市建安区北苑路以南，农大路以北，许州路以西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1.2.1</w:t>
            </w:r>
          </w:p>
        </w:tc>
        <w:tc>
          <w:tcPr>
            <w:tcW w:w="2447" w:type="dxa"/>
            <w:vAlign w:val="center"/>
          </w:tcPr>
          <w:p>
            <w:pPr>
              <w:tabs>
                <w:tab w:val="center" w:pos="4739"/>
              </w:tabs>
              <w:spacing w:line="400" w:lineRule="exact"/>
              <w:jc w:val="center"/>
              <w:rPr>
                <w:rFonts w:hAnsi="宋体" w:cs="TimesNewRomanPSMT"/>
                <w:sz w:val="24"/>
              </w:rPr>
            </w:pPr>
            <w:r>
              <w:rPr>
                <w:rFonts w:hint="eastAsia" w:hAnsi="宋体" w:cs="TimesNewRomanPSMT"/>
                <w:sz w:val="24"/>
              </w:rPr>
              <w:t>资金来源</w:t>
            </w:r>
          </w:p>
        </w:tc>
        <w:tc>
          <w:tcPr>
            <w:tcW w:w="6225" w:type="dxa"/>
            <w:vAlign w:val="center"/>
          </w:tcPr>
          <w:p>
            <w:pPr>
              <w:tabs>
                <w:tab w:val="center" w:pos="4739"/>
              </w:tabs>
              <w:spacing w:line="400" w:lineRule="exact"/>
              <w:rPr>
                <w:rFonts w:hAnsi="宋体" w:cs="TimesNewRomanPSMT"/>
                <w:sz w:val="24"/>
              </w:rPr>
            </w:pPr>
            <w:r>
              <w:rPr>
                <w:rFonts w:hint="eastAsia" w:hAnsi="宋体" w:cs="TimesNewRomanPSMT"/>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1.2.2</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出资比例</w:t>
            </w:r>
          </w:p>
        </w:tc>
        <w:tc>
          <w:tcPr>
            <w:tcW w:w="6225" w:type="dxa"/>
            <w:vAlign w:val="center"/>
          </w:tcPr>
          <w:p>
            <w:pPr>
              <w:autoSpaceDE w:val="0"/>
              <w:autoSpaceDN w:val="0"/>
              <w:adjustRightInd w:val="0"/>
              <w:spacing w:line="400" w:lineRule="exact"/>
              <w:rPr>
                <w:rFonts w:hAnsi="宋体" w:cs="黑体"/>
                <w:sz w:val="24"/>
              </w:rPr>
            </w:pPr>
            <w:r>
              <w:rPr>
                <w:rFonts w:hint="eastAsia" w:cs="仿宋_GB2312" w:asciiTheme="minorEastAsia" w:hAnsiTheme="minorEastAsia" w:eastAsiaTheme="minorEastAsia"/>
                <w:kern w:val="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1.2.3</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资金落实情况</w:t>
            </w:r>
          </w:p>
        </w:tc>
        <w:tc>
          <w:tcPr>
            <w:tcW w:w="6225" w:type="dxa"/>
            <w:vAlign w:val="center"/>
          </w:tcPr>
          <w:p>
            <w:pPr>
              <w:autoSpaceDE w:val="0"/>
              <w:autoSpaceDN w:val="0"/>
              <w:adjustRightInd w:val="0"/>
              <w:spacing w:line="400" w:lineRule="exac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1.3.1</w:t>
            </w:r>
          </w:p>
        </w:tc>
        <w:tc>
          <w:tcPr>
            <w:tcW w:w="2447" w:type="dxa"/>
            <w:vAlign w:val="center"/>
          </w:tcPr>
          <w:p>
            <w:pPr>
              <w:autoSpaceDE w:val="0"/>
              <w:autoSpaceDN w:val="0"/>
              <w:adjustRightInd w:val="0"/>
              <w:spacing w:line="400" w:lineRule="exact"/>
              <w:jc w:val="center"/>
              <w:rPr>
                <w:rFonts w:hAnsi="宋体" w:cs="仿宋_GB2312"/>
                <w:sz w:val="24"/>
              </w:rPr>
            </w:pPr>
            <w:r>
              <w:rPr>
                <w:rFonts w:hint="eastAsia" w:hAnsi="宋体" w:cs="仿宋_GB2312"/>
                <w:sz w:val="24"/>
              </w:rPr>
              <w:t>招标范围</w:t>
            </w:r>
          </w:p>
        </w:tc>
        <w:tc>
          <w:tcPr>
            <w:tcW w:w="6225" w:type="dxa"/>
            <w:tcBorders>
              <w:bottom w:val="single" w:color="auto" w:sz="4" w:space="0"/>
            </w:tcBorders>
            <w:vAlign w:val="center"/>
          </w:tcPr>
          <w:p>
            <w:pPr>
              <w:autoSpaceDE w:val="0"/>
              <w:autoSpaceDN w:val="0"/>
              <w:adjustRightInd w:val="0"/>
              <w:spacing w:line="400" w:lineRule="exact"/>
              <w:rPr>
                <w:rFonts w:hAnsi="宋体" w:cs="黑体"/>
                <w:sz w:val="24"/>
              </w:rPr>
            </w:pPr>
            <w:r>
              <w:rPr>
                <w:rFonts w:hint="eastAsia" w:hAnsi="宋体" w:cs="黑体"/>
                <w:sz w:val="24"/>
              </w:rPr>
              <w:t>招标文件、工程量清单、设计施工图纸、招标前的设计变更（如有）、答疑纪要（如有）等范围内的所有内容。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1.3.2</w:t>
            </w:r>
          </w:p>
        </w:tc>
        <w:tc>
          <w:tcPr>
            <w:tcW w:w="2447" w:type="dxa"/>
            <w:tcBorders>
              <w:right w:val="single" w:color="auto" w:sz="4" w:space="0"/>
            </w:tcBorders>
            <w:vAlign w:val="center"/>
          </w:tcPr>
          <w:p>
            <w:pPr>
              <w:autoSpaceDE w:val="0"/>
              <w:autoSpaceDN w:val="0"/>
              <w:adjustRightInd w:val="0"/>
              <w:spacing w:line="400" w:lineRule="exact"/>
              <w:ind w:firstLine="600" w:firstLineChars="250"/>
              <w:rPr>
                <w:rFonts w:hAnsi="宋体" w:cs="黑体"/>
                <w:sz w:val="24"/>
              </w:rPr>
            </w:pPr>
            <w:r>
              <w:rPr>
                <w:rFonts w:hint="eastAsia" w:hAnsi="宋体" w:cs="黑体"/>
                <w:sz w:val="24"/>
              </w:rPr>
              <w:t>计划工期</w:t>
            </w:r>
          </w:p>
        </w:tc>
        <w:tc>
          <w:tcPr>
            <w:tcW w:w="62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Ansi="宋体" w:cs="黑体"/>
                <w:sz w:val="24"/>
              </w:rPr>
            </w:pPr>
            <w:r>
              <w:rPr>
                <w:rFonts w:hint="eastAsia" w:hAnsi="宋体" w:cs="黑体"/>
                <w:sz w:val="24"/>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1.3.3</w:t>
            </w:r>
          </w:p>
        </w:tc>
        <w:tc>
          <w:tcPr>
            <w:tcW w:w="2447" w:type="dxa"/>
            <w:vAlign w:val="center"/>
          </w:tcPr>
          <w:p>
            <w:pPr>
              <w:autoSpaceDE w:val="0"/>
              <w:autoSpaceDN w:val="0"/>
              <w:adjustRightInd w:val="0"/>
              <w:spacing w:line="400" w:lineRule="exact"/>
              <w:jc w:val="center"/>
              <w:rPr>
                <w:rFonts w:hAnsi="宋体" w:cs="仿宋_GB2312"/>
                <w:sz w:val="24"/>
                <w:szCs w:val="22"/>
              </w:rPr>
            </w:pPr>
            <w:r>
              <w:rPr>
                <w:rFonts w:hint="eastAsia" w:hAnsi="宋体" w:cs="仿宋_GB2312"/>
                <w:sz w:val="24"/>
                <w:szCs w:val="22"/>
              </w:rPr>
              <w:t>质量要求</w:t>
            </w:r>
          </w:p>
        </w:tc>
        <w:tc>
          <w:tcPr>
            <w:tcW w:w="6225" w:type="dxa"/>
            <w:tcBorders>
              <w:top w:val="single" w:color="auto" w:sz="4" w:space="0"/>
            </w:tcBorders>
            <w:vAlign w:val="center"/>
          </w:tcPr>
          <w:p>
            <w:pPr>
              <w:autoSpaceDE w:val="0"/>
              <w:autoSpaceDN w:val="0"/>
              <w:adjustRightInd w:val="0"/>
              <w:spacing w:line="400" w:lineRule="exact"/>
              <w:rPr>
                <w:rFonts w:hAnsi="宋体" w:cs="仿宋_GB2312"/>
                <w:sz w:val="24"/>
                <w:szCs w:val="22"/>
              </w:rPr>
            </w:pPr>
            <w:r>
              <w:rPr>
                <w:rFonts w:hint="eastAsia" w:hAnsi="宋体" w:cs="仿宋_GB2312"/>
                <w:sz w:val="24"/>
                <w:szCs w:val="22"/>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03" w:type="dxa"/>
            <w:vAlign w:val="center"/>
          </w:tcPr>
          <w:p>
            <w:pPr>
              <w:spacing w:line="400" w:lineRule="exact"/>
              <w:jc w:val="center"/>
              <w:rPr>
                <w:rFonts w:hAnsi="宋体" w:cs="TimesNewRomanPSMT"/>
                <w:sz w:val="24"/>
              </w:rPr>
            </w:pPr>
            <w:r>
              <w:rPr>
                <w:rFonts w:hint="eastAsia" w:hAnsi="宋体"/>
                <w:kern w:val="2"/>
                <w:sz w:val="24"/>
                <w:szCs w:val="24"/>
              </w:rPr>
              <w:t>1.3.4</w:t>
            </w:r>
          </w:p>
        </w:tc>
        <w:tc>
          <w:tcPr>
            <w:tcW w:w="2447" w:type="dxa"/>
            <w:vAlign w:val="center"/>
          </w:tcPr>
          <w:p>
            <w:pPr>
              <w:spacing w:line="400" w:lineRule="exact"/>
              <w:jc w:val="center"/>
              <w:rPr>
                <w:rFonts w:hAnsi="宋体" w:cs="仿宋_GB2312"/>
                <w:sz w:val="24"/>
              </w:rPr>
            </w:pPr>
            <w:r>
              <w:rPr>
                <w:rFonts w:hint="eastAsia" w:hAnsi="宋体"/>
                <w:kern w:val="2"/>
                <w:sz w:val="24"/>
                <w:szCs w:val="24"/>
              </w:rPr>
              <w:t>安全目标</w:t>
            </w:r>
          </w:p>
        </w:tc>
        <w:tc>
          <w:tcPr>
            <w:tcW w:w="6225" w:type="dxa"/>
            <w:tcBorders>
              <w:top w:val="single" w:color="auto" w:sz="4" w:space="0"/>
            </w:tcBorders>
            <w:vAlign w:val="center"/>
          </w:tcPr>
          <w:p>
            <w:pPr>
              <w:tabs>
                <w:tab w:val="right" w:leader="dot" w:pos="8295"/>
              </w:tabs>
              <w:spacing w:line="400" w:lineRule="exact"/>
              <w:rPr>
                <w:rFonts w:hAnsi="宋体" w:cs="宋体"/>
                <w:sz w:val="22"/>
              </w:rPr>
            </w:pPr>
            <w:r>
              <w:rPr>
                <w:rFonts w:hint="eastAsia" w:hAnsi="宋体"/>
                <w:sz w:val="24"/>
                <w:szCs w:val="22"/>
              </w:rPr>
              <w:t>安全生产零事故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1.4.1</w:t>
            </w:r>
          </w:p>
        </w:tc>
        <w:tc>
          <w:tcPr>
            <w:tcW w:w="2447" w:type="dxa"/>
            <w:vAlign w:val="center"/>
          </w:tcPr>
          <w:p>
            <w:pPr>
              <w:spacing w:line="400" w:lineRule="exact"/>
              <w:jc w:val="center"/>
              <w:rPr>
                <w:rFonts w:hAnsi="宋体" w:cs="黑体"/>
                <w:sz w:val="24"/>
              </w:rPr>
            </w:pPr>
            <w:r>
              <w:rPr>
                <w:rFonts w:hAnsi="宋体"/>
                <w:kern w:val="2"/>
                <w:sz w:val="24"/>
                <w:szCs w:val="24"/>
              </w:rPr>
              <w:t>投标人资质条件、能力和信誉</w:t>
            </w:r>
          </w:p>
        </w:tc>
        <w:tc>
          <w:tcPr>
            <w:tcW w:w="6225" w:type="dxa"/>
            <w:vAlign w:val="center"/>
          </w:tcPr>
          <w:p>
            <w:pPr>
              <w:autoSpaceDE w:val="0"/>
              <w:autoSpaceDN w:val="0"/>
              <w:adjustRightInd w:val="0"/>
              <w:spacing w:line="400" w:lineRule="exact"/>
              <w:rPr>
                <w:rFonts w:hAnsi="宋体" w:cs="仿宋_GB2312"/>
                <w:sz w:val="24"/>
                <w:szCs w:val="22"/>
              </w:rPr>
            </w:pPr>
            <w:r>
              <w:rPr>
                <w:rFonts w:hint="eastAsia" w:hAnsi="宋体" w:cs="仿宋_GB2312"/>
                <w:sz w:val="24"/>
                <w:szCs w:val="22"/>
              </w:rPr>
              <w:t>1、须具备独立的法人资格，投标人须具备建设行政主管部门颁发的建筑工程施工总承包三级及以上资质，并具备有效的企业安全生产许可证，在人员、设备、资金等方面具有相应的施工能力。</w:t>
            </w:r>
          </w:p>
          <w:p>
            <w:pPr>
              <w:autoSpaceDE w:val="0"/>
              <w:autoSpaceDN w:val="0"/>
              <w:adjustRightInd w:val="0"/>
              <w:spacing w:line="400" w:lineRule="exact"/>
              <w:rPr>
                <w:rFonts w:hAnsi="宋体" w:cs="仿宋_GB2312"/>
                <w:sz w:val="24"/>
                <w:szCs w:val="22"/>
              </w:rPr>
            </w:pPr>
            <w:r>
              <w:rPr>
                <w:rFonts w:hint="eastAsia" w:hAnsi="宋体" w:cs="仿宋_GB2312"/>
                <w:sz w:val="24"/>
                <w:szCs w:val="22"/>
              </w:rPr>
              <w:t>2、拟派项目负责人须具备贰级及以上建筑工程专业注册建造师执业资格，具备有效的项目经理安全生产考核合格证书，且未担任其他在施建设项目的项目经理。拟派项目总工须具备中级及以上相关专业技术职称。</w:t>
            </w:r>
          </w:p>
          <w:p>
            <w:pPr>
              <w:autoSpaceDE w:val="0"/>
              <w:autoSpaceDN w:val="0"/>
              <w:adjustRightInd w:val="0"/>
              <w:spacing w:line="400" w:lineRule="exact"/>
              <w:rPr>
                <w:rFonts w:hAnsi="宋体" w:cs="仿宋_GB2312"/>
                <w:sz w:val="24"/>
                <w:szCs w:val="22"/>
              </w:rPr>
            </w:pPr>
            <w:r>
              <w:rPr>
                <w:rFonts w:hint="eastAsia" w:hAnsi="宋体" w:cs="仿宋_GB2312"/>
                <w:sz w:val="24"/>
                <w:szCs w:val="22"/>
              </w:rPr>
              <w:t xml:space="preserve">3、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  </w:t>
            </w:r>
          </w:p>
          <w:p>
            <w:pPr>
              <w:autoSpaceDE w:val="0"/>
              <w:autoSpaceDN w:val="0"/>
              <w:adjustRightInd w:val="0"/>
              <w:spacing w:line="400" w:lineRule="exact"/>
              <w:rPr>
                <w:rFonts w:hAnsi="宋体" w:cs="仿宋_GB2312"/>
                <w:sz w:val="24"/>
                <w:szCs w:val="22"/>
              </w:rPr>
            </w:pPr>
            <w:r>
              <w:rPr>
                <w:rFonts w:hint="eastAsia" w:hAnsi="宋体" w:cs="仿宋_GB2312"/>
                <w:sz w:val="24"/>
                <w:szCs w:val="22"/>
              </w:rPr>
              <w:t>5、不接受联合体投标。</w:t>
            </w:r>
          </w:p>
          <w:p>
            <w:pPr>
              <w:autoSpaceDE w:val="0"/>
              <w:autoSpaceDN w:val="0"/>
              <w:adjustRightInd w:val="0"/>
              <w:spacing w:line="400" w:lineRule="exact"/>
              <w:rPr>
                <w:rFonts w:hAnsi="宋体" w:cs="黑体"/>
                <w:sz w:val="24"/>
              </w:rPr>
            </w:pPr>
            <w:r>
              <w:rPr>
                <w:rFonts w:hint="eastAsia" w:hAnsi="宋体" w:cs="仿宋_GB2312"/>
                <w:sz w:val="24"/>
                <w:szCs w:val="22"/>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03" w:type="dxa"/>
            <w:vAlign w:val="center"/>
          </w:tcPr>
          <w:p>
            <w:pPr>
              <w:autoSpaceDE w:val="0"/>
              <w:autoSpaceDN w:val="0"/>
              <w:adjustRightInd w:val="0"/>
              <w:spacing w:line="400" w:lineRule="exact"/>
              <w:jc w:val="center"/>
              <w:rPr>
                <w:rFonts w:hAnsi="宋体" w:cs="黑体"/>
                <w:sz w:val="24"/>
              </w:rPr>
            </w:pPr>
            <w:r>
              <w:rPr>
                <w:rFonts w:hAnsi="宋体" w:cs="TimesNewRomanPSMT"/>
                <w:sz w:val="24"/>
              </w:rPr>
              <w:t>1.4.2</w:t>
            </w:r>
          </w:p>
        </w:tc>
        <w:tc>
          <w:tcPr>
            <w:tcW w:w="2447" w:type="dxa"/>
            <w:vAlign w:val="center"/>
          </w:tcPr>
          <w:p>
            <w:pPr>
              <w:autoSpaceDE w:val="0"/>
              <w:autoSpaceDN w:val="0"/>
              <w:adjustRightInd w:val="0"/>
              <w:spacing w:line="400" w:lineRule="exact"/>
              <w:jc w:val="center"/>
              <w:rPr>
                <w:rFonts w:hAnsi="宋体" w:cs="仿宋_GB2312"/>
                <w:sz w:val="24"/>
                <w:szCs w:val="22"/>
              </w:rPr>
            </w:pPr>
            <w:r>
              <w:rPr>
                <w:rFonts w:hint="eastAsia" w:hAnsi="宋体" w:cs="仿宋_GB2312"/>
                <w:sz w:val="24"/>
                <w:szCs w:val="22"/>
              </w:rPr>
              <w:t>是否接受联合体投标</w:t>
            </w:r>
          </w:p>
        </w:tc>
        <w:tc>
          <w:tcPr>
            <w:tcW w:w="6225" w:type="dxa"/>
            <w:vAlign w:val="center"/>
          </w:tcPr>
          <w:p>
            <w:pPr>
              <w:autoSpaceDE w:val="0"/>
              <w:autoSpaceDN w:val="0"/>
              <w:adjustRightInd w:val="0"/>
              <w:spacing w:line="400" w:lineRule="exact"/>
              <w:rPr>
                <w:rFonts w:hAnsi="宋体" w:cs="仿宋_GB2312"/>
                <w:sz w:val="24"/>
                <w:szCs w:val="22"/>
              </w:rPr>
            </w:pPr>
            <w:r>
              <w:rPr>
                <w:rFonts w:hint="eastAsia" w:hAnsi="宋体" w:cs="仿宋_GB2312"/>
                <w:sz w:val="24"/>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1.</w:t>
            </w:r>
            <w:r>
              <w:rPr>
                <w:rFonts w:hint="eastAsia" w:cs="TimesNewRomanPSMT" w:asciiTheme="minorEastAsia" w:hAnsiTheme="minorEastAsia" w:eastAsiaTheme="minorEastAsia"/>
                <w:kern w:val="2"/>
                <w:sz w:val="24"/>
                <w:szCs w:val="24"/>
              </w:rPr>
              <w:t>9</w:t>
            </w:r>
            <w:r>
              <w:rPr>
                <w:rFonts w:cs="TimesNewRomanPSMT" w:asciiTheme="minorEastAsia" w:hAnsiTheme="minorEastAsia" w:eastAsiaTheme="minorEastAsia"/>
                <w:kern w:val="2"/>
                <w:sz w:val="24"/>
                <w:szCs w:val="24"/>
              </w:rPr>
              <w:t>.1</w:t>
            </w:r>
          </w:p>
        </w:tc>
        <w:tc>
          <w:tcPr>
            <w:tcW w:w="2447" w:type="dxa"/>
            <w:vAlign w:val="center"/>
          </w:tcPr>
          <w:p>
            <w:pPr>
              <w:autoSpaceDE w:val="0"/>
              <w:autoSpaceDN w:val="0"/>
              <w:adjustRightInd w:val="0"/>
              <w:spacing w:line="32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踏勘现场</w:t>
            </w:r>
          </w:p>
        </w:tc>
        <w:tc>
          <w:tcPr>
            <w:tcW w:w="6225" w:type="dxa"/>
            <w:vAlign w:val="center"/>
          </w:tcPr>
          <w:p>
            <w:pPr>
              <w:autoSpaceDE w:val="0"/>
              <w:autoSpaceDN w:val="0"/>
              <w:adjustRightInd w:val="0"/>
              <w:spacing w:line="320" w:lineRule="exac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1.10.1</w:t>
            </w:r>
          </w:p>
        </w:tc>
        <w:tc>
          <w:tcPr>
            <w:tcW w:w="2447" w:type="dxa"/>
            <w:vAlign w:val="center"/>
          </w:tcPr>
          <w:p>
            <w:pPr>
              <w:spacing w:line="400" w:lineRule="exact"/>
              <w:jc w:val="center"/>
              <w:rPr>
                <w:rFonts w:hAnsi="宋体" w:cs="黑体"/>
                <w:sz w:val="24"/>
              </w:rPr>
            </w:pPr>
            <w:r>
              <w:rPr>
                <w:rFonts w:hint="eastAsia" w:hAnsi="宋体"/>
                <w:kern w:val="2"/>
                <w:sz w:val="24"/>
                <w:szCs w:val="24"/>
              </w:rPr>
              <w:t>投标预备会</w:t>
            </w:r>
          </w:p>
        </w:tc>
        <w:tc>
          <w:tcPr>
            <w:tcW w:w="6225" w:type="dxa"/>
            <w:vAlign w:val="center"/>
          </w:tcPr>
          <w:p>
            <w:pPr>
              <w:spacing w:line="400" w:lineRule="exact"/>
              <w:rPr>
                <w:rFonts w:hAnsi="宋体" w:cs="仿宋_GB2312"/>
                <w:sz w:val="24"/>
              </w:rPr>
            </w:pPr>
            <w:r>
              <w:rPr>
                <w:rFonts w:hint="eastAsia" w:hAnsi="宋体"/>
                <w:kern w:val="2"/>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1</w:t>
            </w:r>
            <w:r>
              <w:rPr>
                <w:rFonts w:hint="eastAsia" w:cs="TimesNewRomanPSMT" w:asciiTheme="minorEastAsia" w:hAnsiTheme="minorEastAsia" w:eastAsiaTheme="minorEastAsia"/>
                <w:kern w:val="2"/>
                <w:sz w:val="24"/>
                <w:szCs w:val="24"/>
              </w:rPr>
              <w:t>.10</w:t>
            </w:r>
            <w:r>
              <w:rPr>
                <w:rFonts w:cs="TimesNewRomanPSMT" w:asciiTheme="minorEastAsia" w:hAnsiTheme="minorEastAsia" w:eastAsiaTheme="minorEastAsia"/>
                <w:kern w:val="2"/>
                <w:sz w:val="24"/>
                <w:szCs w:val="24"/>
              </w:rPr>
              <w:t>.</w:t>
            </w:r>
            <w:r>
              <w:rPr>
                <w:rFonts w:hint="eastAsia" w:cs="TimesNewRomanPSMT" w:asciiTheme="minorEastAsia" w:hAnsiTheme="minorEastAsia" w:eastAsiaTheme="minorEastAsia"/>
                <w:kern w:val="2"/>
                <w:sz w:val="24"/>
                <w:szCs w:val="24"/>
              </w:rPr>
              <w:t>2</w:t>
            </w:r>
          </w:p>
        </w:tc>
        <w:tc>
          <w:tcPr>
            <w:tcW w:w="2447" w:type="dxa"/>
            <w:vAlign w:val="center"/>
          </w:tcPr>
          <w:p>
            <w:pPr>
              <w:autoSpaceDE w:val="0"/>
              <w:autoSpaceDN w:val="0"/>
              <w:adjustRightInd w:val="0"/>
              <w:spacing w:line="320" w:lineRule="exact"/>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投标人提出问题的截止时间</w:t>
            </w:r>
          </w:p>
        </w:tc>
        <w:tc>
          <w:tcPr>
            <w:tcW w:w="6225" w:type="dxa"/>
            <w:vAlign w:val="center"/>
          </w:tcPr>
          <w:p>
            <w:pPr>
              <w:spacing w:line="3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投标截止时间10日</w:t>
            </w:r>
            <w:r>
              <w:rPr>
                <w:rFonts w:asciiTheme="minorEastAsia" w:hAnsiTheme="minorEastAsia" w:eastAsiaTheme="minorEastAsia"/>
                <w:kern w:val="2"/>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03" w:type="dxa"/>
            <w:vAlign w:val="center"/>
          </w:tcPr>
          <w:p>
            <w:pPr>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1.10.3</w:t>
            </w:r>
          </w:p>
        </w:tc>
        <w:tc>
          <w:tcPr>
            <w:tcW w:w="2447" w:type="dxa"/>
            <w:vAlign w:val="center"/>
          </w:tcPr>
          <w:p>
            <w:pPr>
              <w:spacing w:line="34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招标人澄清的时间</w:t>
            </w:r>
          </w:p>
        </w:tc>
        <w:tc>
          <w:tcPr>
            <w:tcW w:w="6225" w:type="dxa"/>
            <w:vAlign w:val="center"/>
          </w:tcPr>
          <w:p>
            <w:pPr>
              <w:spacing w:line="34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投标截止时间15日</w:t>
            </w:r>
            <w:r>
              <w:rPr>
                <w:rFonts w:asciiTheme="minorEastAsia" w:hAnsiTheme="minorEastAsia" w:eastAsiaTheme="minorEastAsia"/>
                <w:kern w:val="2"/>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1.</w:t>
            </w:r>
            <w:r>
              <w:rPr>
                <w:rFonts w:hint="eastAsia" w:cs="TimesNewRomanPSMT" w:asciiTheme="minorEastAsia" w:hAnsiTheme="minorEastAsia" w:eastAsiaTheme="minorEastAsia"/>
                <w:kern w:val="2"/>
                <w:sz w:val="24"/>
                <w:szCs w:val="24"/>
              </w:rPr>
              <w:t>11</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分包</w:t>
            </w:r>
          </w:p>
        </w:tc>
        <w:tc>
          <w:tcPr>
            <w:tcW w:w="6225" w:type="dxa"/>
            <w:vAlign w:val="center"/>
          </w:tcPr>
          <w:p>
            <w:pPr>
              <w:autoSpaceDE w:val="0"/>
              <w:autoSpaceDN w:val="0"/>
              <w:adjustRightInd w:val="0"/>
              <w:spacing w:line="340" w:lineRule="exact"/>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1.1</w:t>
            </w:r>
            <w:r>
              <w:rPr>
                <w:rFonts w:hint="eastAsia" w:cs="TimesNewRomanPSMT" w:asciiTheme="minorEastAsia" w:hAnsiTheme="minorEastAsia" w:eastAsiaTheme="minorEastAsia"/>
                <w:kern w:val="2"/>
                <w:sz w:val="24"/>
                <w:szCs w:val="24"/>
              </w:rPr>
              <w:t>2</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偏离</w:t>
            </w:r>
          </w:p>
        </w:tc>
        <w:tc>
          <w:tcPr>
            <w:tcW w:w="6225" w:type="dxa"/>
            <w:vAlign w:val="center"/>
          </w:tcPr>
          <w:p>
            <w:pPr>
              <w:autoSpaceDE w:val="0"/>
              <w:autoSpaceDN w:val="0"/>
              <w:adjustRightInd w:val="0"/>
              <w:spacing w:line="340" w:lineRule="exact"/>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 xml:space="preserve">2.1 </w:t>
            </w:r>
          </w:p>
        </w:tc>
        <w:tc>
          <w:tcPr>
            <w:tcW w:w="2447" w:type="dxa"/>
            <w:vAlign w:val="center"/>
          </w:tcPr>
          <w:p>
            <w:pPr>
              <w:autoSpaceDE w:val="0"/>
              <w:autoSpaceDN w:val="0"/>
              <w:adjustRightInd w:val="0"/>
              <w:spacing w:line="340" w:lineRule="exact"/>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招标文件和工程量清单及图纸的获取</w:t>
            </w:r>
          </w:p>
        </w:tc>
        <w:tc>
          <w:tcPr>
            <w:tcW w:w="6225" w:type="dxa"/>
          </w:tcPr>
          <w:p>
            <w:pPr>
              <w:autoSpaceDE w:val="0"/>
              <w:autoSpaceDN w:val="0"/>
              <w:adjustRightInd w:val="0"/>
              <w:spacing w:line="340" w:lineRule="exact"/>
              <w:rPr>
                <w:rFonts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招标文件和工程量清单及图纸的获取：投标人于投标文件递交截止时间前均可登录《全国公共资源交易平台(河南省▪许昌市)》（</w:t>
            </w:r>
            <w:r>
              <w:rPr>
                <w:rFonts w:cs="仿宋_GB2312" w:asciiTheme="minorEastAsia" w:hAnsiTheme="minorEastAsia" w:eastAsiaTheme="minorEastAsia"/>
                <w:kern w:val="2"/>
                <w:sz w:val="24"/>
                <w:szCs w:val="24"/>
              </w:rPr>
              <w:t>ggzy.xuchang.gov.cn</w:t>
            </w:r>
            <w:r>
              <w:rPr>
                <w:rFonts w:hint="eastAsia" w:cs="仿宋_GB2312" w:asciiTheme="minorEastAsia" w:hAnsiTheme="minorEastAsia" w:eastAsiaTheme="minorEastAsia"/>
                <w:kern w:val="2"/>
                <w:sz w:val="24"/>
                <w:szCs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cs="TimesNewRomanPSMT" w:asciiTheme="minorEastAsia" w:hAnsiTheme="minorEastAsia" w:eastAsiaTheme="minorEastAsia"/>
                <w:kern w:val="2"/>
                <w:sz w:val="24"/>
                <w:szCs w:val="24"/>
              </w:rPr>
            </w:pPr>
            <w:bookmarkStart w:id="6" w:name="OLE_LINK4" w:colFirst="0" w:colLast="2"/>
            <w:bookmarkStart w:id="7" w:name="OLE_LINK3" w:colFirst="0" w:colLast="2"/>
            <w:bookmarkStart w:id="8" w:name="_Hlk424659721"/>
            <w:r>
              <w:rPr>
                <w:rFonts w:hint="eastAsia" w:cs="TimesNewRomanPSMT" w:asciiTheme="minorEastAsia" w:hAnsiTheme="minorEastAsia" w:eastAsiaTheme="minorEastAsia"/>
                <w:kern w:val="2"/>
                <w:sz w:val="24"/>
                <w:szCs w:val="24"/>
              </w:rPr>
              <w:t>2.1.1</w:t>
            </w:r>
          </w:p>
        </w:tc>
        <w:tc>
          <w:tcPr>
            <w:tcW w:w="2447" w:type="dxa"/>
            <w:vAlign w:val="center"/>
          </w:tcPr>
          <w:p>
            <w:pPr>
              <w:autoSpaceDE w:val="0"/>
              <w:autoSpaceDN w:val="0"/>
              <w:adjustRightInd w:val="0"/>
              <w:spacing w:line="340" w:lineRule="exact"/>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构成招标文件的其他材料</w:t>
            </w:r>
          </w:p>
        </w:tc>
        <w:tc>
          <w:tcPr>
            <w:tcW w:w="6225" w:type="dxa"/>
            <w:vAlign w:val="center"/>
          </w:tcPr>
          <w:p>
            <w:pPr>
              <w:autoSpaceDE w:val="0"/>
              <w:autoSpaceDN w:val="0"/>
              <w:adjustRightInd w:val="0"/>
              <w:spacing w:line="340" w:lineRule="exac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2.2.1</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投标人要求澄清招标文件的截止时间</w:t>
            </w:r>
          </w:p>
        </w:tc>
        <w:tc>
          <w:tcPr>
            <w:tcW w:w="6225" w:type="dxa"/>
            <w:vAlign w:val="center"/>
          </w:tcPr>
          <w:p>
            <w:pPr>
              <w:autoSpaceDE w:val="0"/>
              <w:autoSpaceDN w:val="0"/>
              <w:adjustRightInd w:val="0"/>
              <w:spacing w:line="340" w:lineRule="exact"/>
              <w:rPr>
                <w:rFonts w:cs="黑体" w:asciiTheme="minorEastAsia" w:hAnsiTheme="minorEastAsia" w:eastAsiaTheme="minorEastAsia"/>
                <w:kern w:val="2"/>
                <w:sz w:val="24"/>
                <w:szCs w:val="24"/>
              </w:rPr>
            </w:pPr>
            <w:r>
              <w:rPr>
                <w:rFonts w:hint="eastAsia" w:asciiTheme="minorEastAsia" w:hAnsiTheme="minorEastAsia" w:eastAsiaTheme="minorEastAsia"/>
                <w:bCs/>
                <w:kern w:val="2"/>
                <w:sz w:val="24"/>
                <w:szCs w:val="24"/>
              </w:rPr>
              <w:t>潜在投标人或者其他利害关系人对招标文件有异议的，应当在投标截止时间10日前提出。招标人应当自收到异议之日起3日内作出答复。</w:t>
            </w:r>
          </w:p>
        </w:tc>
      </w:tr>
      <w:bookmarkEnd w:id="6"/>
      <w:bookmarkEnd w:id="7"/>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cs="TimesNewRomanPSMT" w:asciiTheme="minorEastAsia" w:hAnsiTheme="minorEastAsia" w:eastAsiaTheme="minorEastAsia"/>
                <w:kern w:val="2"/>
                <w:sz w:val="24"/>
                <w:szCs w:val="24"/>
              </w:rPr>
              <w:t>2.2.2</w:t>
            </w:r>
          </w:p>
        </w:tc>
        <w:tc>
          <w:tcPr>
            <w:tcW w:w="2447" w:type="dxa"/>
            <w:vAlign w:val="center"/>
          </w:tcPr>
          <w:p>
            <w:pPr>
              <w:autoSpaceDE w:val="0"/>
              <w:autoSpaceDN w:val="0"/>
              <w:adjustRightInd w:val="0"/>
              <w:spacing w:line="340" w:lineRule="exact"/>
              <w:jc w:val="center"/>
              <w:rPr>
                <w:rFonts w:hAnsi="宋体" w:cs="仿宋_GB2312"/>
                <w:sz w:val="24"/>
              </w:rPr>
            </w:pPr>
            <w:r>
              <w:rPr>
                <w:rFonts w:hint="eastAsia" w:asciiTheme="minorEastAsia" w:hAnsiTheme="minorEastAsia" w:eastAsiaTheme="minorEastAsia"/>
                <w:bCs/>
                <w:kern w:val="2"/>
                <w:sz w:val="24"/>
                <w:szCs w:val="24"/>
              </w:rPr>
              <w:t>投标截止时间</w:t>
            </w:r>
          </w:p>
        </w:tc>
        <w:tc>
          <w:tcPr>
            <w:tcW w:w="6225" w:type="dxa"/>
            <w:vAlign w:val="center"/>
          </w:tcPr>
          <w:p>
            <w:pPr>
              <w:autoSpaceDE w:val="0"/>
              <w:autoSpaceDN w:val="0"/>
              <w:adjustRightInd w:val="0"/>
              <w:spacing w:line="340" w:lineRule="exact"/>
              <w:jc w:val="center"/>
              <w:rPr>
                <w:rFonts w:hAnsi="宋体" w:cs="TimesNewRomanPSMT"/>
                <w:sz w:val="24"/>
              </w:rPr>
            </w:pPr>
            <w:r>
              <w:rPr>
                <w:rFonts w:hint="eastAsia" w:asciiTheme="minorEastAsia" w:hAnsiTheme="minorEastAsia" w:eastAsiaTheme="minorEastAsia"/>
                <w:bCs/>
                <w:kern w:val="2"/>
                <w:sz w:val="24"/>
                <w:szCs w:val="24"/>
              </w:rPr>
              <w:t>2019年12月20日09时30分（北京时间）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2.2.3</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投标人确认收到招标文件澄清的时间</w:t>
            </w:r>
          </w:p>
        </w:tc>
        <w:tc>
          <w:tcPr>
            <w:tcW w:w="6225"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2.</w:t>
            </w:r>
            <w:r>
              <w:rPr>
                <w:rFonts w:hint="eastAsia" w:cs="TimesNewRomanPSMT" w:asciiTheme="minorEastAsia" w:hAnsiTheme="minorEastAsia" w:eastAsiaTheme="minorEastAsia"/>
                <w:kern w:val="2"/>
                <w:sz w:val="24"/>
                <w:szCs w:val="24"/>
              </w:rPr>
              <w:t>3</w:t>
            </w:r>
            <w:r>
              <w:rPr>
                <w:rFonts w:cs="TimesNewRomanPSMT" w:asciiTheme="minorEastAsia" w:hAnsiTheme="minorEastAsia" w:eastAsiaTheme="minorEastAsia"/>
                <w:kern w:val="2"/>
                <w:sz w:val="24"/>
                <w:szCs w:val="24"/>
              </w:rPr>
              <w:t>.</w:t>
            </w:r>
            <w:r>
              <w:rPr>
                <w:rFonts w:hint="eastAsia" w:cs="TimesNewRomanPSMT" w:asciiTheme="minorEastAsia" w:hAnsiTheme="minorEastAsia" w:eastAsiaTheme="minorEastAsia"/>
                <w:kern w:val="2"/>
                <w:sz w:val="24"/>
                <w:szCs w:val="24"/>
              </w:rPr>
              <w:t>1</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投标人确认收到招标文件修改的时间</w:t>
            </w:r>
          </w:p>
        </w:tc>
        <w:tc>
          <w:tcPr>
            <w:tcW w:w="6225"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3.1.1</w:t>
            </w:r>
          </w:p>
        </w:tc>
        <w:tc>
          <w:tcPr>
            <w:tcW w:w="2447"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构成投标文件的其他材料</w:t>
            </w:r>
          </w:p>
        </w:tc>
        <w:tc>
          <w:tcPr>
            <w:tcW w:w="6225" w:type="dxa"/>
            <w:vAlign w:val="center"/>
          </w:tcPr>
          <w:p>
            <w:pPr>
              <w:autoSpaceDE w:val="0"/>
              <w:autoSpaceDN w:val="0"/>
              <w:adjustRightInd w:val="0"/>
              <w:spacing w:line="340" w:lineRule="exact"/>
              <w:jc w:val="center"/>
              <w:rPr>
                <w:rFonts w:cs="黑体" w:asciiTheme="minorEastAsia" w:hAnsiTheme="minorEastAsia" w:eastAsiaTheme="minorEastAsia"/>
                <w:kern w:val="2"/>
                <w:sz w:val="24"/>
                <w:szCs w:val="24"/>
              </w:rPr>
            </w:pPr>
            <w:r>
              <w:rPr>
                <w:rFonts w:hint="eastAsia" w:cs="黑体" w:asciiTheme="minorEastAsia" w:hAnsiTheme="minorEastAsia" w:eastAsiaTheme="minorEastAsia"/>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3.3.1</w:t>
            </w:r>
          </w:p>
        </w:tc>
        <w:tc>
          <w:tcPr>
            <w:tcW w:w="2447" w:type="dxa"/>
            <w:vAlign w:val="center"/>
          </w:tcPr>
          <w:p>
            <w:pPr>
              <w:spacing w:line="400" w:lineRule="exact"/>
              <w:jc w:val="center"/>
              <w:rPr>
                <w:rFonts w:hAnsi="宋体" w:cs="黑体"/>
                <w:sz w:val="24"/>
              </w:rPr>
            </w:pPr>
            <w:r>
              <w:rPr>
                <w:rFonts w:hint="eastAsia" w:hAnsi="宋体"/>
                <w:kern w:val="2"/>
                <w:sz w:val="24"/>
                <w:szCs w:val="24"/>
              </w:rPr>
              <w:t>投标有效期</w:t>
            </w:r>
          </w:p>
        </w:tc>
        <w:tc>
          <w:tcPr>
            <w:tcW w:w="6225" w:type="dxa"/>
            <w:vAlign w:val="center"/>
          </w:tcPr>
          <w:p>
            <w:pPr>
              <w:spacing w:line="400" w:lineRule="exact"/>
              <w:rPr>
                <w:rFonts w:hAnsi="宋体" w:cs="仿宋_GB2312"/>
                <w:sz w:val="24"/>
              </w:rPr>
            </w:pPr>
            <w:r>
              <w:rPr>
                <w:rFonts w:hint="eastAsia" w:hAnsi="宋体"/>
                <w:kern w:val="2"/>
                <w:sz w:val="24"/>
                <w:szCs w:val="24"/>
              </w:rPr>
              <w:t>自投标人提交投标文件截止之日起计算60日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3.4.1</w:t>
            </w:r>
          </w:p>
        </w:tc>
        <w:tc>
          <w:tcPr>
            <w:tcW w:w="2447" w:type="dxa"/>
            <w:vAlign w:val="center"/>
          </w:tcPr>
          <w:p>
            <w:pPr>
              <w:spacing w:line="400" w:lineRule="exact"/>
              <w:jc w:val="center"/>
              <w:rPr>
                <w:rFonts w:hAnsi="宋体" w:cs="黑体"/>
                <w:sz w:val="24"/>
              </w:rPr>
            </w:pPr>
            <w:r>
              <w:rPr>
                <w:rFonts w:hint="eastAsia" w:hAnsi="宋体"/>
                <w:kern w:val="2"/>
                <w:sz w:val="24"/>
                <w:szCs w:val="24"/>
              </w:rPr>
              <w:t>投标保证金</w:t>
            </w:r>
          </w:p>
        </w:tc>
        <w:tc>
          <w:tcPr>
            <w:tcW w:w="6225" w:type="dxa"/>
            <w:vAlign w:val="center"/>
          </w:tcPr>
          <w:p>
            <w:pPr>
              <w:spacing w:line="400" w:lineRule="exact"/>
              <w:rPr>
                <w:rFonts w:ascii="新宋体" w:hAnsi="新宋体" w:eastAsia="新宋体"/>
                <w:sz w:val="24"/>
              </w:rPr>
            </w:pPr>
            <w:r>
              <w:rPr>
                <w:rFonts w:hint="eastAsia" w:hAnsi="宋体"/>
                <w:kern w:val="2"/>
                <w:sz w:val="24"/>
                <w:szCs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cs="TimesNewRomanPSMT" w:asciiTheme="minorEastAsia" w:hAnsiTheme="minorEastAsia" w:eastAsiaTheme="minorEastAsia"/>
                <w:kern w:val="2"/>
                <w:sz w:val="24"/>
                <w:szCs w:val="24"/>
              </w:rPr>
              <w:t>3.4.2</w:t>
            </w:r>
          </w:p>
        </w:tc>
        <w:tc>
          <w:tcPr>
            <w:tcW w:w="2447" w:type="dxa"/>
            <w:vAlign w:val="center"/>
          </w:tcPr>
          <w:p>
            <w:pPr>
              <w:autoSpaceDE w:val="0"/>
              <w:autoSpaceDN w:val="0"/>
              <w:adjustRightInd w:val="0"/>
              <w:spacing w:line="340" w:lineRule="exact"/>
              <w:jc w:val="center"/>
              <w:rPr>
                <w:rFonts w:hAnsi="宋体" w:cs="仿宋_GB2312"/>
                <w:sz w:val="24"/>
              </w:rPr>
            </w:pPr>
            <w:r>
              <w:rPr>
                <w:rFonts w:hint="eastAsia" w:cs="仿宋_GB2312" w:asciiTheme="minorEastAsia" w:hAnsiTheme="minorEastAsia" w:eastAsiaTheme="minorEastAsia"/>
                <w:kern w:val="2"/>
                <w:sz w:val="24"/>
                <w:szCs w:val="24"/>
              </w:rPr>
              <w:t>履约保证金</w:t>
            </w:r>
          </w:p>
        </w:tc>
        <w:tc>
          <w:tcPr>
            <w:tcW w:w="6225" w:type="dxa"/>
            <w:vAlign w:val="center"/>
          </w:tcPr>
          <w:p>
            <w:pPr>
              <w:spacing w:line="340" w:lineRule="exact"/>
              <w:rPr>
                <w:rFonts w:ascii="新宋体" w:hAnsi="新宋体" w:eastAsia="新宋体"/>
                <w:sz w:val="24"/>
              </w:rPr>
            </w:pPr>
            <w:r>
              <w:rPr>
                <w:rFonts w:hint="eastAsia" w:cs="仿宋_GB2312" w:asciiTheme="minorEastAsia" w:hAnsiTheme="minorEastAsia" w:eastAsiaTheme="minorEastAsia"/>
                <w:kern w:val="2"/>
                <w:sz w:val="24"/>
                <w:szCs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3.5.2</w:t>
            </w:r>
          </w:p>
        </w:tc>
        <w:tc>
          <w:tcPr>
            <w:tcW w:w="2447" w:type="dxa"/>
            <w:vAlign w:val="center"/>
          </w:tcPr>
          <w:p>
            <w:pPr>
              <w:spacing w:line="400" w:lineRule="exact"/>
              <w:ind w:left="-81" w:leftChars="-67" w:right="-173" w:rightChars="-51" w:hanging="146" w:hangingChars="61"/>
              <w:jc w:val="center"/>
              <w:rPr>
                <w:rFonts w:hAnsi="宋体" w:cs="黑体"/>
                <w:sz w:val="24"/>
              </w:rPr>
            </w:pPr>
            <w:r>
              <w:rPr>
                <w:rFonts w:hint="eastAsia" w:hAnsi="宋体"/>
                <w:kern w:val="2"/>
                <w:sz w:val="24"/>
                <w:szCs w:val="24"/>
              </w:rPr>
              <w:t>近年财务状况的年份要求</w:t>
            </w:r>
          </w:p>
        </w:tc>
        <w:tc>
          <w:tcPr>
            <w:tcW w:w="6225" w:type="dxa"/>
            <w:vAlign w:val="center"/>
          </w:tcPr>
          <w:p>
            <w:pPr>
              <w:spacing w:line="400" w:lineRule="exact"/>
              <w:rPr>
                <w:rFonts w:hAnsi="宋体" w:cs="仿宋_GB2312"/>
                <w:sz w:val="24"/>
              </w:rPr>
            </w:pPr>
            <w:r>
              <w:rPr>
                <w:rFonts w:hint="eastAsia" w:hAnsi="宋体"/>
                <w:kern w:val="2"/>
                <w:sz w:val="24"/>
                <w:szCs w:val="24"/>
              </w:rPr>
              <w:t>近年，指2016、2017、2018年(若公司成立未满三年，须提供成立当年至今的财务报告)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3.5.3</w:t>
            </w:r>
          </w:p>
        </w:tc>
        <w:tc>
          <w:tcPr>
            <w:tcW w:w="2447" w:type="dxa"/>
            <w:vAlign w:val="center"/>
          </w:tcPr>
          <w:p>
            <w:pPr>
              <w:spacing w:line="400" w:lineRule="exact"/>
              <w:ind w:left="-81" w:leftChars="-67" w:right="-173" w:rightChars="-51" w:hanging="146" w:hangingChars="61"/>
              <w:jc w:val="center"/>
              <w:rPr>
                <w:rFonts w:hAnsi="宋体" w:cs="黑体"/>
                <w:sz w:val="24"/>
              </w:rPr>
            </w:pPr>
            <w:r>
              <w:rPr>
                <w:rFonts w:hint="eastAsia" w:hAnsi="宋体"/>
                <w:kern w:val="2"/>
                <w:sz w:val="24"/>
                <w:szCs w:val="24"/>
              </w:rPr>
              <w:t>近年完成的类似项目情况的时间要求</w:t>
            </w:r>
          </w:p>
        </w:tc>
        <w:tc>
          <w:tcPr>
            <w:tcW w:w="6225" w:type="dxa"/>
            <w:vAlign w:val="center"/>
          </w:tcPr>
          <w:p>
            <w:pPr>
              <w:spacing w:line="400" w:lineRule="exact"/>
              <w:rPr>
                <w:rFonts w:hAnsi="宋体" w:cs="黑体"/>
                <w:sz w:val="24"/>
              </w:rPr>
            </w:pPr>
            <w:r>
              <w:rPr>
                <w:rFonts w:hint="eastAsia" w:hAnsi="宋体"/>
                <w:kern w:val="2"/>
                <w:sz w:val="24"/>
                <w:szCs w:val="24"/>
              </w:rPr>
              <w:t>近年，2016年1月1日至今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003" w:type="dxa"/>
            <w:vAlign w:val="center"/>
          </w:tcPr>
          <w:p>
            <w:pPr>
              <w:autoSpaceDE w:val="0"/>
              <w:autoSpaceDN w:val="0"/>
              <w:adjustRightInd w:val="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3.5.4</w:t>
            </w:r>
          </w:p>
        </w:tc>
        <w:tc>
          <w:tcPr>
            <w:tcW w:w="2447" w:type="dxa"/>
            <w:vAlign w:val="center"/>
          </w:tcPr>
          <w:p>
            <w:pPr>
              <w:autoSpaceDE w:val="0"/>
              <w:autoSpaceDN w:val="0"/>
              <w:adjustRightInd w:val="0"/>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近年发生的诉讼及仲裁情况的年份要求</w:t>
            </w:r>
          </w:p>
        </w:tc>
        <w:tc>
          <w:tcPr>
            <w:tcW w:w="6225" w:type="dxa"/>
            <w:vAlign w:val="center"/>
          </w:tcPr>
          <w:p>
            <w:pPr>
              <w:autoSpaceDE w:val="0"/>
              <w:autoSpaceDN w:val="0"/>
              <w:adjustRightInd w:val="0"/>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3.6</w:t>
            </w:r>
          </w:p>
        </w:tc>
        <w:tc>
          <w:tcPr>
            <w:tcW w:w="2447" w:type="dxa"/>
            <w:vAlign w:val="center"/>
          </w:tcPr>
          <w:p>
            <w:pPr>
              <w:spacing w:line="400" w:lineRule="exact"/>
              <w:ind w:left="-81" w:leftChars="-67" w:right="-173" w:rightChars="-51" w:hanging="146" w:hangingChars="61"/>
              <w:jc w:val="center"/>
              <w:rPr>
                <w:rFonts w:hAnsi="宋体" w:cs="黑体"/>
                <w:sz w:val="24"/>
              </w:rPr>
            </w:pPr>
            <w:r>
              <w:rPr>
                <w:rFonts w:hint="eastAsia" w:hAnsi="宋体"/>
                <w:kern w:val="2"/>
                <w:sz w:val="24"/>
                <w:szCs w:val="24"/>
              </w:rPr>
              <w:t>是否允许递交备选投标方案</w:t>
            </w:r>
          </w:p>
        </w:tc>
        <w:tc>
          <w:tcPr>
            <w:tcW w:w="6225" w:type="dxa"/>
            <w:vAlign w:val="center"/>
          </w:tcPr>
          <w:p>
            <w:pPr>
              <w:spacing w:line="400" w:lineRule="exact"/>
              <w:rPr>
                <w:rFonts w:hAnsi="宋体" w:cs="黑体"/>
                <w:sz w:val="24"/>
              </w:rPr>
            </w:pPr>
            <w:r>
              <w:rPr>
                <w:rFonts w:hint="eastAsia" w:hAnsi="宋体"/>
                <w:kern w:val="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spacing w:line="400" w:lineRule="exact"/>
              <w:jc w:val="center"/>
              <w:rPr>
                <w:rFonts w:hAnsi="宋体"/>
                <w:kern w:val="2"/>
                <w:sz w:val="24"/>
                <w:szCs w:val="24"/>
              </w:rPr>
            </w:pPr>
            <w:r>
              <w:rPr>
                <w:rFonts w:hint="eastAsia" w:asciiTheme="minorEastAsia" w:hAnsiTheme="minorEastAsia" w:eastAsiaTheme="minorEastAsia"/>
                <w:sz w:val="24"/>
              </w:rPr>
              <w:t>3.7.3</w:t>
            </w:r>
          </w:p>
        </w:tc>
        <w:tc>
          <w:tcPr>
            <w:tcW w:w="2447" w:type="dxa"/>
            <w:vAlign w:val="center"/>
          </w:tcPr>
          <w:p>
            <w:pPr>
              <w:spacing w:line="400" w:lineRule="exact"/>
              <w:jc w:val="center"/>
              <w:rPr>
                <w:rFonts w:hAnsi="宋体"/>
                <w:kern w:val="2"/>
                <w:sz w:val="24"/>
                <w:szCs w:val="24"/>
              </w:rPr>
            </w:pPr>
            <w:r>
              <w:rPr>
                <w:rFonts w:hint="eastAsia" w:asciiTheme="minorEastAsia" w:hAnsiTheme="minorEastAsia" w:eastAsiaTheme="minorEastAsia"/>
                <w:sz w:val="24"/>
              </w:rPr>
              <w:t>签字或盖章要求</w:t>
            </w:r>
          </w:p>
        </w:tc>
        <w:tc>
          <w:tcPr>
            <w:tcW w:w="6225" w:type="dxa"/>
            <w:vAlign w:val="center"/>
          </w:tcPr>
          <w:p>
            <w:pPr>
              <w:spacing w:line="400" w:lineRule="exact"/>
              <w:jc w:val="left"/>
              <w:rPr>
                <w:rFonts w:hAnsi="宋体"/>
                <w:kern w:val="2"/>
                <w:sz w:val="24"/>
                <w:szCs w:val="24"/>
              </w:rPr>
            </w:pPr>
            <w:r>
              <w:rPr>
                <w:rFonts w:hint="eastAsia" w:cs="TimesNewRomanPSMT" w:asciiTheme="minorEastAsia" w:hAnsiTheme="minorEastAsia" w:eastAsiaTheme="minorEastAsia"/>
                <w:b/>
                <w:bCs/>
                <w:kern w:val="2"/>
                <w:sz w:val="24"/>
                <w:szCs w:val="24"/>
              </w:rPr>
              <w:t>电子投标文件：按招标文件要求加盖</w:t>
            </w:r>
            <w:r>
              <w:rPr>
                <w:rFonts w:hint="eastAsia" w:cs="TimesNewRomanPSMT" w:asciiTheme="minorEastAsia" w:hAnsiTheme="minorEastAsia" w:eastAsiaTheme="minorEastAsia"/>
                <w:b/>
                <w:bCs/>
                <w:kern w:val="2"/>
                <w:sz w:val="24"/>
                <w:szCs w:val="24"/>
                <w:lang w:val="zh-CN"/>
              </w:rPr>
              <w:t>电子印章和法人电子印章</w:t>
            </w:r>
            <w:r>
              <w:rPr>
                <w:rFonts w:hint="eastAsia" w:cs="TimesNewRomanPSMT" w:asciiTheme="minorEastAsia" w:hAnsiTheme="minorEastAsia" w:eastAsiaTheme="minorEastAsia"/>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spacing w:line="400" w:lineRule="exact"/>
              <w:jc w:val="center"/>
              <w:rPr>
                <w:rFonts w:hAnsi="宋体" w:cs="黑体"/>
                <w:sz w:val="24"/>
              </w:rPr>
            </w:pPr>
            <w:r>
              <w:rPr>
                <w:rFonts w:hint="eastAsia" w:hAnsi="宋体"/>
                <w:kern w:val="2"/>
                <w:sz w:val="24"/>
                <w:szCs w:val="24"/>
              </w:rPr>
              <w:t>3.7.4</w:t>
            </w:r>
          </w:p>
        </w:tc>
        <w:tc>
          <w:tcPr>
            <w:tcW w:w="2447" w:type="dxa"/>
            <w:vAlign w:val="center"/>
          </w:tcPr>
          <w:p>
            <w:pPr>
              <w:spacing w:line="400" w:lineRule="exact"/>
              <w:jc w:val="center"/>
              <w:rPr>
                <w:rFonts w:hAnsi="宋体" w:cs="黑体"/>
                <w:sz w:val="24"/>
              </w:rPr>
            </w:pPr>
            <w:r>
              <w:rPr>
                <w:rFonts w:hint="eastAsia" w:hAnsi="宋体"/>
                <w:kern w:val="2"/>
                <w:sz w:val="24"/>
                <w:szCs w:val="24"/>
              </w:rPr>
              <w:t>投标文件副本份数及其他要求</w:t>
            </w:r>
          </w:p>
        </w:tc>
        <w:tc>
          <w:tcPr>
            <w:tcW w:w="6225" w:type="dxa"/>
            <w:vAlign w:val="center"/>
          </w:tcPr>
          <w:p>
            <w:pPr>
              <w:autoSpaceDE w:val="0"/>
              <w:autoSpaceDN w:val="0"/>
              <w:adjustRightInd w:val="0"/>
              <w:spacing w:line="420" w:lineRule="exact"/>
              <w:rPr>
                <w:rFonts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zh-CN"/>
              </w:rPr>
              <w:t>1</w:t>
            </w:r>
            <w:r>
              <w:rPr>
                <w:rFonts w:hint="eastAsia" w:asciiTheme="minorEastAsia" w:hAnsiTheme="minorEastAsia" w:eastAsiaTheme="minorEastAsia"/>
                <w:kern w:val="2"/>
                <w:sz w:val="24"/>
                <w:szCs w:val="24"/>
              </w:rPr>
              <w:t>、电子投标文件</w:t>
            </w:r>
          </w:p>
          <w:p>
            <w:pPr>
              <w:autoSpaceDE w:val="0"/>
              <w:autoSpaceDN w:val="0"/>
              <w:adjustRightIn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（1）成功上传至【全国公共资源交易平台（河南省·许昌市）】公共资源交易系统电子投标文件1份（文件格式为：XX公司XXX项目编号.file）。</w:t>
            </w:r>
          </w:p>
          <w:p>
            <w:pPr>
              <w:autoSpaceDE w:val="0"/>
              <w:autoSpaceDN w:val="0"/>
              <w:adjustRightIn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pPr>
              <w:autoSpaceDE w:val="0"/>
              <w:autoSpaceDN w:val="0"/>
              <w:adjustRightIn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2、电子介质（U盘）须用标签标注投标单位名称、项目编号。</w:t>
            </w:r>
          </w:p>
          <w:p>
            <w:pPr>
              <w:spacing w:line="400" w:lineRule="exact"/>
              <w:rPr>
                <w:sz w:val="24"/>
              </w:rPr>
            </w:pPr>
            <w:r>
              <w:rPr>
                <w:rFonts w:hint="eastAsia" w:asciiTheme="minorEastAsia" w:hAnsiTheme="minorEastAsia" w:eastAsiaTheme="minorEastAsia"/>
                <w:b/>
                <w:kern w:val="2"/>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03" w:type="dxa"/>
            <w:vAlign w:val="center"/>
          </w:tcPr>
          <w:p>
            <w:pPr>
              <w:spacing w:line="400" w:lineRule="exact"/>
              <w:jc w:val="center"/>
              <w:rPr>
                <w:rFonts w:hAnsi="宋体" w:cs="TimesNewRomanPSMT"/>
                <w:sz w:val="24"/>
              </w:rPr>
            </w:pPr>
            <w:r>
              <w:rPr>
                <w:rFonts w:hint="eastAsia" w:hAnsi="宋体"/>
                <w:kern w:val="2"/>
                <w:sz w:val="24"/>
                <w:szCs w:val="24"/>
              </w:rPr>
              <w:t>3.7.5</w:t>
            </w:r>
          </w:p>
        </w:tc>
        <w:tc>
          <w:tcPr>
            <w:tcW w:w="2447" w:type="dxa"/>
            <w:vAlign w:val="center"/>
          </w:tcPr>
          <w:p>
            <w:pPr>
              <w:spacing w:line="400" w:lineRule="exact"/>
              <w:jc w:val="center"/>
              <w:rPr>
                <w:rFonts w:hAnsi="宋体" w:cs="仿宋_GB2312"/>
                <w:sz w:val="24"/>
              </w:rPr>
            </w:pPr>
            <w:r>
              <w:rPr>
                <w:rFonts w:hint="eastAsia" w:hAnsi="宋体"/>
                <w:kern w:val="2"/>
                <w:sz w:val="24"/>
                <w:szCs w:val="24"/>
              </w:rPr>
              <w:t>装订要求</w:t>
            </w:r>
          </w:p>
        </w:tc>
        <w:tc>
          <w:tcPr>
            <w:tcW w:w="6225" w:type="dxa"/>
            <w:vAlign w:val="center"/>
          </w:tcPr>
          <w:p>
            <w:pPr>
              <w:spacing w:line="400" w:lineRule="exact"/>
              <w:rPr>
                <w:rFonts w:hAnsi="宋体" w:cs="仿宋_GB2312" w:eastAsiaTheme="minorEastAsia"/>
                <w:sz w:val="24"/>
              </w:rPr>
            </w:pPr>
            <w:r>
              <w:rPr>
                <w:rFonts w:hint="eastAsia" w:hAnsi="宋体" w:cs="宋体"/>
                <w:sz w:val="24"/>
              </w:rPr>
              <w:t>使用电子介质存储的备份文件（U盘）2份应密封包装、盖章，并在投标文件递交截止时间前提交至开标现场。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400" w:lineRule="exact"/>
              <w:jc w:val="center"/>
              <w:rPr>
                <w:rFonts w:hAnsi="宋体"/>
                <w:kern w:val="2"/>
                <w:sz w:val="24"/>
                <w:szCs w:val="24"/>
              </w:rPr>
            </w:pPr>
            <w:r>
              <w:rPr>
                <w:rFonts w:hint="eastAsia" w:hAnsi="宋体"/>
                <w:kern w:val="2"/>
                <w:sz w:val="24"/>
                <w:szCs w:val="24"/>
              </w:rPr>
              <w:t>4.1.2</w:t>
            </w:r>
          </w:p>
        </w:tc>
        <w:tc>
          <w:tcPr>
            <w:tcW w:w="2447" w:type="dxa"/>
            <w:vAlign w:val="center"/>
          </w:tcPr>
          <w:p>
            <w:pPr>
              <w:spacing w:line="400" w:lineRule="exact"/>
              <w:jc w:val="center"/>
              <w:rPr>
                <w:rFonts w:hAnsi="宋体"/>
                <w:kern w:val="2"/>
                <w:sz w:val="24"/>
                <w:szCs w:val="24"/>
              </w:rPr>
            </w:pPr>
            <w:r>
              <w:rPr>
                <w:rFonts w:hint="eastAsia" w:hAnsi="宋体"/>
                <w:kern w:val="2"/>
                <w:sz w:val="24"/>
                <w:szCs w:val="24"/>
              </w:rPr>
              <w:t>封套上应载明的信息</w:t>
            </w:r>
          </w:p>
        </w:tc>
        <w:tc>
          <w:tcPr>
            <w:tcW w:w="6225" w:type="dxa"/>
            <w:vAlign w:val="center"/>
          </w:tcPr>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招标人名称：</w:t>
            </w:r>
          </w:p>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投标人名称：（盖章）</w:t>
            </w:r>
          </w:p>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项目名称、标段：</w:t>
            </w:r>
          </w:p>
          <w:p>
            <w:pPr>
              <w:spacing w:line="400" w:lineRule="exact"/>
              <w:ind w:left="113"/>
              <w:rPr>
                <w:rFonts w:hAnsi="宋体"/>
                <w:kern w:val="2"/>
                <w:sz w:val="24"/>
                <w:szCs w:val="24"/>
              </w:rPr>
            </w:pPr>
            <w:r>
              <w:rPr>
                <w:rFonts w:hint="eastAsia" w:hAnsi="宋体"/>
                <w:sz w:val="24"/>
              </w:rPr>
              <w:t>在</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r>
              <w:rPr>
                <w:rFonts w:hint="eastAsia" w:hAnsi="宋体"/>
                <w:sz w:val="24"/>
                <w:u w:val="single"/>
              </w:rPr>
              <w:t xml:space="preserve">    </w:t>
            </w:r>
            <w:r>
              <w:rPr>
                <w:rFonts w:hint="eastAsia" w:hAnsi="宋体"/>
                <w:sz w:val="24"/>
              </w:rPr>
              <w:t>时</w:t>
            </w:r>
            <w:r>
              <w:rPr>
                <w:rFonts w:hint="eastAsia" w:hAnsi="宋体"/>
                <w:sz w:val="24"/>
                <w:u w:val="single"/>
              </w:rPr>
              <w:t xml:space="preserve">    </w:t>
            </w:r>
            <w:r>
              <w:rPr>
                <w:rFonts w:hint="eastAsia" w:hAnsi="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4.2.2</w:t>
            </w:r>
          </w:p>
        </w:tc>
        <w:tc>
          <w:tcPr>
            <w:tcW w:w="2447"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递交投标文件地点</w:t>
            </w:r>
          </w:p>
        </w:tc>
        <w:tc>
          <w:tcPr>
            <w:tcW w:w="6225" w:type="dxa"/>
            <w:vAlign w:val="center"/>
          </w:tcPr>
          <w:p>
            <w:pPr>
              <w:tabs>
                <w:tab w:val="left" w:pos="0"/>
              </w:tabs>
              <w:spacing w:line="288" w:lineRule="auto"/>
              <w:ind w:firstLine="240" w:firstLineChars="100"/>
              <w:rPr>
                <w:rFonts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许昌市建安区新元大道兴业大厦4楼开标</w:t>
            </w:r>
            <w:r>
              <w:rPr>
                <w:rFonts w:hint="eastAsia" w:cs="宋体" w:asciiTheme="minorEastAsia" w:hAnsiTheme="minorEastAsia" w:eastAsiaTheme="minorEastAsia"/>
                <w:kern w:val="2"/>
                <w:sz w:val="24"/>
                <w:szCs w:val="24"/>
                <w:u w:val="single"/>
              </w:rPr>
              <w:t xml:space="preserve"> 一 </w:t>
            </w:r>
            <w:r>
              <w:rPr>
                <w:rFonts w:hint="eastAsia" w:cs="宋体" w:asciiTheme="minorEastAsia" w:hAnsiTheme="minorEastAsia" w:eastAsiaTheme="minorEastAsia"/>
                <w:kern w:val="2"/>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4.2.3</w:t>
            </w:r>
          </w:p>
        </w:tc>
        <w:tc>
          <w:tcPr>
            <w:tcW w:w="2447"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是否退还投标文件</w:t>
            </w:r>
          </w:p>
        </w:tc>
        <w:tc>
          <w:tcPr>
            <w:tcW w:w="6225" w:type="dxa"/>
            <w:vAlign w:val="center"/>
          </w:tcPr>
          <w:p>
            <w:pPr>
              <w:autoSpaceDE w:val="0"/>
              <w:autoSpaceDN w:val="0"/>
              <w:adjustRightInd w:val="0"/>
              <w:spacing w:line="420" w:lineRule="exact"/>
              <w:jc w:val="center"/>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3" w:type="dxa"/>
            <w:vAlign w:val="center"/>
          </w:tcPr>
          <w:p>
            <w:pPr>
              <w:spacing w:line="400" w:lineRule="exact"/>
              <w:jc w:val="center"/>
              <w:rPr>
                <w:rFonts w:hAnsi="宋体"/>
                <w:kern w:val="2"/>
                <w:sz w:val="24"/>
                <w:szCs w:val="24"/>
              </w:rPr>
            </w:pPr>
            <w:r>
              <w:rPr>
                <w:rFonts w:hint="eastAsia" w:hAnsi="宋体"/>
                <w:kern w:val="2"/>
                <w:sz w:val="24"/>
                <w:szCs w:val="24"/>
              </w:rPr>
              <w:t>5.1</w:t>
            </w:r>
          </w:p>
        </w:tc>
        <w:tc>
          <w:tcPr>
            <w:tcW w:w="2447" w:type="dxa"/>
            <w:vAlign w:val="center"/>
          </w:tcPr>
          <w:p>
            <w:pPr>
              <w:spacing w:line="400" w:lineRule="exact"/>
              <w:ind w:left="190" w:leftChars="56" w:right="113" w:firstLine="240" w:firstLineChars="100"/>
              <w:rPr>
                <w:rFonts w:hAnsi="宋体"/>
                <w:kern w:val="2"/>
                <w:sz w:val="24"/>
                <w:szCs w:val="24"/>
              </w:rPr>
            </w:pPr>
            <w:r>
              <w:rPr>
                <w:rFonts w:hint="eastAsia" w:hAnsi="宋体"/>
                <w:sz w:val="24"/>
                <w:szCs w:val="24"/>
              </w:rPr>
              <w:t>开标时间和地点</w:t>
            </w:r>
          </w:p>
        </w:tc>
        <w:tc>
          <w:tcPr>
            <w:tcW w:w="6225" w:type="dxa"/>
            <w:vAlign w:val="center"/>
          </w:tcPr>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开标时间：同投标截止时间。</w:t>
            </w:r>
          </w:p>
          <w:p>
            <w:pPr>
              <w:spacing w:line="400" w:lineRule="exact"/>
              <w:ind w:right="113"/>
              <w:rPr>
                <w:rFonts w:hAnsi="宋体"/>
                <w:kern w:val="2"/>
                <w:sz w:val="24"/>
                <w:szCs w:val="24"/>
              </w:rPr>
            </w:pPr>
            <w:r>
              <w:rPr>
                <w:rFonts w:hint="eastAsia" w:cs="仿宋_GB2312" w:asciiTheme="minorEastAsia" w:hAnsiTheme="minorEastAsia" w:eastAsiaTheme="minorEastAsia"/>
                <w:kern w:val="2"/>
                <w:sz w:val="24"/>
                <w:szCs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03"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cs="TimesNewRomanPSMT" w:asciiTheme="minorEastAsia" w:hAnsiTheme="minorEastAsia" w:eastAsiaTheme="minorEastAsia"/>
                <w:kern w:val="2"/>
                <w:sz w:val="24"/>
                <w:szCs w:val="24"/>
              </w:rPr>
              <w:t xml:space="preserve">5.2 </w:t>
            </w:r>
          </w:p>
        </w:tc>
        <w:tc>
          <w:tcPr>
            <w:tcW w:w="2447" w:type="dxa"/>
            <w:vAlign w:val="center"/>
          </w:tcPr>
          <w:p>
            <w:pPr>
              <w:autoSpaceDE w:val="0"/>
              <w:autoSpaceDN w:val="0"/>
              <w:adjustRightInd w:val="0"/>
              <w:spacing w:line="420" w:lineRule="exact"/>
              <w:jc w:val="center"/>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开标程序</w:t>
            </w:r>
          </w:p>
        </w:tc>
        <w:tc>
          <w:tcPr>
            <w:tcW w:w="6225" w:type="dxa"/>
            <w:vAlign w:val="center"/>
          </w:tcPr>
          <w:p>
            <w:pPr>
              <w:autoSpaceDE w:val="0"/>
              <w:autoSpaceDN w:val="0"/>
              <w:adjustRightInd w:val="0"/>
              <w:spacing w:line="420" w:lineRule="exact"/>
              <w:rPr>
                <w:rFonts w:cs="黑体"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003" w:type="dxa"/>
            <w:vAlign w:val="center"/>
          </w:tcPr>
          <w:p>
            <w:pPr>
              <w:spacing w:line="400" w:lineRule="exact"/>
              <w:jc w:val="center"/>
              <w:rPr>
                <w:rFonts w:hAnsi="宋体"/>
                <w:kern w:val="2"/>
                <w:sz w:val="24"/>
                <w:szCs w:val="24"/>
              </w:rPr>
            </w:pPr>
            <w:r>
              <w:rPr>
                <w:rFonts w:hint="eastAsia" w:hAnsi="宋体"/>
                <w:kern w:val="2"/>
                <w:sz w:val="24"/>
                <w:szCs w:val="24"/>
              </w:rPr>
              <w:t>6.1.1</w:t>
            </w:r>
          </w:p>
        </w:tc>
        <w:tc>
          <w:tcPr>
            <w:tcW w:w="2447" w:type="dxa"/>
            <w:vAlign w:val="center"/>
          </w:tcPr>
          <w:p>
            <w:pPr>
              <w:spacing w:line="400" w:lineRule="exact"/>
              <w:rPr>
                <w:rFonts w:hAnsi="宋体"/>
                <w:kern w:val="2"/>
                <w:sz w:val="24"/>
                <w:szCs w:val="24"/>
              </w:rPr>
            </w:pPr>
            <w:r>
              <w:rPr>
                <w:rFonts w:hint="eastAsia" w:hAnsi="宋体" w:cs="仿宋_GB2312"/>
                <w:kern w:val="2"/>
                <w:sz w:val="24"/>
                <w:szCs w:val="24"/>
              </w:rPr>
              <w:t>评标委员会的组建</w:t>
            </w:r>
          </w:p>
        </w:tc>
        <w:tc>
          <w:tcPr>
            <w:tcW w:w="6225" w:type="dxa"/>
            <w:vAlign w:val="center"/>
          </w:tcPr>
          <w:p>
            <w:pPr>
              <w:spacing w:line="400" w:lineRule="exact"/>
              <w:rPr>
                <w:rFonts w:hAnsi="宋体" w:cs="仿宋_GB2312"/>
                <w:kern w:val="2"/>
                <w:sz w:val="24"/>
                <w:szCs w:val="24"/>
              </w:rPr>
            </w:pPr>
            <w:r>
              <w:rPr>
                <w:rFonts w:hint="eastAsia" w:hAnsi="宋体" w:cs="仿宋_GB2312"/>
                <w:kern w:val="2"/>
                <w:sz w:val="24"/>
                <w:szCs w:val="24"/>
              </w:rPr>
              <w:t>评标委员会构成：共5人，由招标人代表和经济、技术类专家组成，其中招标人代表1人，经济、技术类专家4人（含注册造价师2人）。</w:t>
            </w:r>
          </w:p>
          <w:p>
            <w:pPr>
              <w:spacing w:line="400" w:lineRule="exact"/>
              <w:rPr>
                <w:rFonts w:hAnsi="宋体"/>
                <w:kern w:val="2"/>
                <w:sz w:val="24"/>
                <w:szCs w:val="24"/>
              </w:rPr>
            </w:pPr>
            <w:r>
              <w:rPr>
                <w:rFonts w:hint="eastAsia" w:hAnsi="宋体" w:cs="仿宋_GB2312"/>
                <w:kern w:val="2"/>
                <w:sz w:val="24"/>
                <w:szCs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spacing w:line="400" w:lineRule="exact"/>
              <w:jc w:val="center"/>
              <w:rPr>
                <w:rFonts w:hAnsi="宋体"/>
                <w:kern w:val="2"/>
                <w:sz w:val="24"/>
                <w:szCs w:val="24"/>
              </w:rPr>
            </w:pPr>
            <w:r>
              <w:rPr>
                <w:rFonts w:cs="TimesNewRomanPSMT" w:asciiTheme="minorEastAsia" w:hAnsiTheme="minorEastAsia" w:eastAsiaTheme="minorEastAsia"/>
                <w:kern w:val="2"/>
                <w:sz w:val="24"/>
                <w:szCs w:val="24"/>
              </w:rPr>
              <w:t>7.1</w:t>
            </w:r>
          </w:p>
        </w:tc>
        <w:tc>
          <w:tcPr>
            <w:tcW w:w="2447" w:type="dxa"/>
            <w:vAlign w:val="center"/>
          </w:tcPr>
          <w:p>
            <w:pPr>
              <w:spacing w:line="400" w:lineRule="exact"/>
              <w:ind w:left="-173" w:leftChars="-51" w:right="-173" w:rightChars="-51"/>
              <w:jc w:val="center"/>
              <w:rPr>
                <w:rFonts w:hAnsi="宋体"/>
                <w:kern w:val="2"/>
                <w:sz w:val="24"/>
                <w:szCs w:val="24"/>
              </w:rPr>
            </w:pPr>
            <w:r>
              <w:rPr>
                <w:rFonts w:hint="eastAsia" w:hAnsi="宋体"/>
                <w:kern w:val="2"/>
                <w:sz w:val="24"/>
                <w:szCs w:val="24"/>
              </w:rPr>
              <w:t>评标委员会推荐中标候选人的人数</w:t>
            </w:r>
          </w:p>
        </w:tc>
        <w:tc>
          <w:tcPr>
            <w:tcW w:w="6225" w:type="dxa"/>
            <w:vAlign w:val="center"/>
          </w:tcPr>
          <w:p>
            <w:pPr>
              <w:spacing w:line="400" w:lineRule="exact"/>
              <w:ind w:firstLine="240" w:firstLineChars="100"/>
              <w:rPr>
                <w:rFonts w:hAnsi="宋体"/>
                <w:kern w:val="2"/>
                <w:sz w:val="24"/>
                <w:szCs w:val="24"/>
              </w:rPr>
            </w:pPr>
            <w:r>
              <w:rPr>
                <w:rFonts w:hint="eastAsia" w:cs="仿宋_GB2312" w:asciiTheme="minorEastAsia" w:hAnsiTheme="minorEastAsia" w:eastAsiaTheme="minorEastAsia"/>
                <w:kern w:val="2"/>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675" w:type="dxa"/>
            <w:gridSpan w:val="3"/>
            <w:vAlign w:val="center"/>
          </w:tcPr>
          <w:p>
            <w:pPr>
              <w:spacing w:line="400" w:lineRule="exact"/>
              <w:rPr>
                <w:rFonts w:cs="仿宋_GB2312" w:asciiTheme="minorEastAsia" w:hAnsiTheme="minorEastAsia" w:eastAsiaTheme="minorEastAsia"/>
                <w:kern w:val="2"/>
                <w:sz w:val="24"/>
                <w:szCs w:val="24"/>
              </w:rPr>
            </w:pPr>
            <w:r>
              <w:rPr>
                <w:rFonts w:hint="eastAsia" w:hAnsi="宋体" w:cs="TimesNewRomanPSMT"/>
                <w:sz w:val="24"/>
              </w:rPr>
              <w:t>8.需要补充的其他内容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cs="TimesNewRomanPSMT" w:asciiTheme="minorEastAsia" w:hAnsiTheme="minorEastAsia" w:eastAsiaTheme="minorEastAsia"/>
                <w:kern w:val="2"/>
                <w:sz w:val="24"/>
                <w:szCs w:val="24"/>
              </w:rPr>
            </w:pPr>
            <w:r>
              <w:rPr>
                <w:rFonts w:hint="eastAsia" w:cs="TimesNewRomanPSMT" w:asciiTheme="minorEastAsia" w:hAnsiTheme="minorEastAsia" w:eastAsiaTheme="minorEastAsia"/>
                <w:kern w:val="2"/>
                <w:sz w:val="24"/>
                <w:szCs w:val="24"/>
              </w:rPr>
              <w:t>8.1</w:t>
            </w:r>
          </w:p>
        </w:tc>
        <w:tc>
          <w:tcPr>
            <w:tcW w:w="2447" w:type="dxa"/>
            <w:vAlign w:val="center"/>
          </w:tcPr>
          <w:p>
            <w:pPr>
              <w:autoSpaceDE w:val="0"/>
              <w:autoSpaceDN w:val="0"/>
              <w:adjustRightInd w:val="0"/>
              <w:spacing w:line="420" w:lineRule="exact"/>
              <w:jc w:val="center"/>
              <w:rPr>
                <w:rFonts w:cs="TimesNewRomanPSMT" w:asciiTheme="minorEastAsia" w:hAnsiTheme="minorEastAsia" w:eastAsiaTheme="minorEastAsia"/>
                <w:kern w:val="2"/>
                <w:sz w:val="24"/>
                <w:szCs w:val="24"/>
              </w:rPr>
            </w:pPr>
            <w:r>
              <w:rPr>
                <w:rFonts w:hint="eastAsia" w:cs="TimesNewRomanPSMT" w:asciiTheme="minorEastAsia" w:hAnsiTheme="minorEastAsia" w:eastAsiaTheme="minorEastAsia"/>
                <w:kern w:val="2"/>
                <w:sz w:val="24"/>
                <w:szCs w:val="24"/>
              </w:rPr>
              <w:t>类似项目</w:t>
            </w:r>
          </w:p>
        </w:tc>
        <w:tc>
          <w:tcPr>
            <w:tcW w:w="6225" w:type="dxa"/>
            <w:vAlign w:val="center"/>
          </w:tcPr>
          <w:p>
            <w:pPr>
              <w:autoSpaceDE w:val="0"/>
              <w:autoSpaceDN w:val="0"/>
              <w:adjustRightInd w:val="0"/>
              <w:spacing w:line="420" w:lineRule="exact"/>
              <w:jc w:val="left"/>
              <w:rPr>
                <w:rFonts w:cs="仿宋_GB2312" w:asciiTheme="minorEastAsia" w:hAnsiTheme="minorEastAsia" w:eastAsiaTheme="minorEastAsia"/>
                <w:kern w:val="2"/>
                <w:sz w:val="24"/>
                <w:szCs w:val="24"/>
              </w:rPr>
            </w:pPr>
            <w:r>
              <w:rPr>
                <w:rFonts w:hint="eastAsia" w:cs="TimesNewRomanPSMT" w:asciiTheme="minorEastAsia" w:hAnsiTheme="minorEastAsia" w:eastAsiaTheme="minorEastAsia"/>
                <w:kern w:val="2"/>
                <w:sz w:val="24"/>
                <w:szCs w:val="24"/>
              </w:rPr>
              <w:t>指2016年1月1日以来承接过的建筑工程施工项目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hAnsi="宋体"/>
                <w:kern w:val="2"/>
                <w:sz w:val="24"/>
                <w:szCs w:val="24"/>
              </w:rPr>
            </w:pPr>
            <w:r>
              <w:rPr>
                <w:rFonts w:hint="eastAsia" w:asciiTheme="minorEastAsia" w:hAnsiTheme="minorEastAsia" w:eastAsiaTheme="minorEastAsia"/>
                <w:sz w:val="24"/>
              </w:rPr>
              <w:t>8.2</w:t>
            </w:r>
          </w:p>
        </w:tc>
        <w:tc>
          <w:tcPr>
            <w:tcW w:w="2447" w:type="dxa"/>
            <w:vAlign w:val="center"/>
          </w:tcPr>
          <w:p>
            <w:pPr>
              <w:spacing w:line="400" w:lineRule="exact"/>
              <w:ind w:left="113" w:right="113"/>
              <w:jc w:val="center"/>
              <w:rPr>
                <w:rFonts w:hAnsi="宋体"/>
                <w:kern w:val="2"/>
                <w:sz w:val="24"/>
                <w:szCs w:val="24"/>
              </w:rPr>
            </w:pPr>
            <w:r>
              <w:rPr>
                <w:rFonts w:hint="eastAsia" w:asciiTheme="minorEastAsia" w:hAnsiTheme="minorEastAsia" w:eastAsiaTheme="minorEastAsia"/>
                <w:sz w:val="24"/>
              </w:rPr>
              <w:t>招标控制价</w:t>
            </w:r>
          </w:p>
        </w:tc>
        <w:tc>
          <w:tcPr>
            <w:tcW w:w="6225" w:type="dxa"/>
            <w:vAlign w:val="center"/>
          </w:tcPr>
          <w:p>
            <w:pPr>
              <w:spacing w:line="400" w:lineRule="exact"/>
              <w:rPr>
                <w:rFonts w:hAnsi="宋体" w:cs="仿宋_GB2312"/>
                <w:kern w:val="2"/>
                <w:sz w:val="24"/>
                <w:szCs w:val="24"/>
              </w:rPr>
            </w:pPr>
            <w:r>
              <w:rPr>
                <w:rFonts w:hint="eastAsia" w:hAnsi="宋体" w:cs="仿宋_GB2312"/>
                <w:kern w:val="2"/>
                <w:sz w:val="24"/>
                <w:szCs w:val="24"/>
              </w:rPr>
              <w:t>大写：捌拾捌万捌仟柒佰陆拾柒圆零肆分整</w:t>
            </w:r>
          </w:p>
          <w:p>
            <w:pPr>
              <w:spacing w:line="400" w:lineRule="exact"/>
              <w:rPr>
                <w:rFonts w:hAnsi="宋体" w:cs="仿宋_GB2312"/>
                <w:kern w:val="2"/>
                <w:sz w:val="24"/>
                <w:szCs w:val="24"/>
              </w:rPr>
            </w:pPr>
            <w:r>
              <w:rPr>
                <w:rFonts w:hint="eastAsia" w:hAnsi="宋体" w:cs="仿宋_GB2312"/>
                <w:kern w:val="2"/>
                <w:sz w:val="24"/>
                <w:szCs w:val="24"/>
              </w:rPr>
              <w:t>（小写：888767.04元）</w:t>
            </w:r>
          </w:p>
          <w:p>
            <w:pPr>
              <w:autoSpaceDE w:val="0"/>
              <w:autoSpaceDN w:val="0"/>
              <w:adjustRightInd w:val="0"/>
              <w:spacing w:line="276" w:lineRule="auto"/>
              <w:ind w:firstLine="480" w:firstLineChars="200"/>
              <w:rPr>
                <w:rFonts w:hAnsi="宋体" w:cs="宋体"/>
                <w:sz w:val="24"/>
              </w:rPr>
            </w:pPr>
            <w:r>
              <w:rPr>
                <w:rFonts w:hint="eastAsia" w:hAnsi="宋体" w:cs="宋体"/>
                <w:sz w:val="24"/>
              </w:rPr>
              <w:t>国有资金投资的建设工程采用工程量清单方式招标，必须编制招标控制价。招标控制价（招标控制价的总价、以及各单位工程的分部分项工程费、措施项目费、其他项目费、规费和税金）在招标时公布。</w:t>
            </w:r>
          </w:p>
          <w:p>
            <w:pPr>
              <w:autoSpaceDE w:val="0"/>
              <w:autoSpaceDN w:val="0"/>
              <w:adjustRightInd w:val="0"/>
              <w:spacing w:line="276" w:lineRule="auto"/>
              <w:ind w:firstLine="480" w:firstLineChars="200"/>
              <w:rPr>
                <w:rFonts w:hAnsi="宋体" w:cs="宋体"/>
                <w:sz w:val="24"/>
              </w:rPr>
            </w:pPr>
            <w:r>
              <w:rPr>
                <w:rFonts w:hint="eastAsia" w:hAnsi="宋体" w:cs="宋体"/>
                <w:sz w:val="24"/>
              </w:rPr>
              <w:t>招标控制价由招标人依据国家计价规范、《河南省建设工程工程量清单招标控制价管理规定》、河南省现行计价依据的规定编制。</w:t>
            </w:r>
          </w:p>
          <w:p>
            <w:pPr>
              <w:spacing w:line="400" w:lineRule="exact"/>
              <w:rPr>
                <w:rFonts w:hAnsi="宋体" w:cs="仿宋_GB2312"/>
                <w:b/>
                <w:bCs/>
                <w:kern w:val="2"/>
                <w:sz w:val="24"/>
                <w:szCs w:val="24"/>
              </w:rPr>
            </w:pPr>
            <w:r>
              <w:rPr>
                <w:rFonts w:hint="eastAsia" w:hAnsi="宋体" w:cs="仿宋_GB2312"/>
                <w:b/>
                <w:bCs/>
                <w:kern w:val="2"/>
                <w:sz w:val="24"/>
                <w:szCs w:val="24"/>
              </w:rPr>
              <w:t>特别说明：</w:t>
            </w:r>
          </w:p>
          <w:p>
            <w:pPr>
              <w:spacing w:line="400" w:lineRule="exact"/>
              <w:rPr>
                <w:rFonts w:hAnsi="宋体" w:cs="仿宋_GB2312"/>
                <w:kern w:val="2"/>
                <w:sz w:val="24"/>
                <w:szCs w:val="24"/>
              </w:rPr>
            </w:pPr>
            <w:r>
              <w:rPr>
                <w:rFonts w:hint="eastAsia" w:hAnsi="宋体" w:cs="仿宋_GB2312"/>
                <w:kern w:val="2"/>
                <w:sz w:val="24"/>
                <w:szCs w:val="24"/>
              </w:rPr>
              <w:t>1、凡投标人的投标报价高于招标控制价（不含等于“招标控制价”）的，该投标人的投标文件应予拒绝。</w:t>
            </w:r>
          </w:p>
          <w:p>
            <w:pPr>
              <w:spacing w:line="400" w:lineRule="exact"/>
              <w:rPr>
                <w:rFonts w:hAnsi="宋体" w:cs="仿宋_GB2312"/>
                <w:kern w:val="2"/>
                <w:sz w:val="24"/>
                <w:szCs w:val="24"/>
              </w:rPr>
            </w:pPr>
            <w:r>
              <w:rPr>
                <w:rFonts w:hint="eastAsia" w:hAnsi="宋体" w:cs="仿宋_GB2312"/>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400" w:lineRule="exact"/>
              <w:rPr>
                <w:rFonts w:hAnsi="宋体"/>
                <w:kern w:val="2"/>
                <w:sz w:val="24"/>
                <w:szCs w:val="24"/>
              </w:rPr>
            </w:pPr>
            <w:r>
              <w:rPr>
                <w:rFonts w:hint="eastAsia" w:hAnsi="宋体" w:cs="仿宋_GB2312"/>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仿宋_GB2312"/>
                <w:b/>
                <w:bCs/>
                <w:kern w:val="2"/>
                <w:sz w:val="24"/>
                <w:szCs w:val="24"/>
              </w:rPr>
              <w:t>若不提出，则视为投标人对招标人公布的工程量清单无异议，中标后因此造成的工程量的增加，由中标人承担。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kern w:val="2"/>
                <w:sz w:val="24"/>
                <w:szCs w:val="24"/>
              </w:rPr>
              <w:t>8.3</w:t>
            </w:r>
          </w:p>
        </w:tc>
        <w:tc>
          <w:tcPr>
            <w:tcW w:w="2447" w:type="dxa"/>
            <w:vAlign w:val="center"/>
          </w:tcPr>
          <w:p>
            <w:pPr>
              <w:spacing w:line="400" w:lineRule="exact"/>
              <w:ind w:left="113" w:right="113"/>
              <w:jc w:val="center"/>
              <w:rPr>
                <w:rFonts w:asciiTheme="minorEastAsia" w:hAnsiTheme="minorEastAsia" w:eastAsiaTheme="minorEastAsia"/>
                <w:sz w:val="24"/>
              </w:rPr>
            </w:pPr>
            <w:r>
              <w:rPr>
                <w:rFonts w:hint="eastAsia" w:cs="宋体" w:asciiTheme="minorEastAsia" w:hAnsiTheme="minorEastAsia" w:eastAsiaTheme="minorEastAsia"/>
                <w:kern w:val="2"/>
                <w:sz w:val="24"/>
                <w:szCs w:val="24"/>
              </w:rPr>
              <w:t>技术标是否采用</w:t>
            </w:r>
            <w:r>
              <w:rPr>
                <w:rFonts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暗标</w:t>
            </w:r>
            <w:r>
              <w:rPr>
                <w:rFonts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评审方式</w:t>
            </w:r>
          </w:p>
        </w:tc>
        <w:tc>
          <w:tcPr>
            <w:tcW w:w="6225" w:type="dxa"/>
            <w:vAlign w:val="center"/>
          </w:tcPr>
          <w:p>
            <w:pPr>
              <w:spacing w:line="400" w:lineRule="exact"/>
              <w:rPr>
                <w:rFonts w:hAnsi="宋体" w:cs="仿宋_GB2312" w:eastAsiaTheme="minorEastAsia"/>
                <w:b/>
                <w:bCs/>
                <w:kern w:val="2"/>
                <w:sz w:val="24"/>
                <w:szCs w:val="24"/>
              </w:rPr>
            </w:pPr>
            <w:r>
              <w:rPr>
                <w:rFonts w:hint="eastAsia" w:cs="宋体" w:asciiTheme="minorEastAsia" w:hAnsiTheme="minorEastAsia" w:eastAsiaTheme="minorEastAsia"/>
                <w:kern w:val="2"/>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8.4</w:t>
            </w:r>
          </w:p>
        </w:tc>
        <w:tc>
          <w:tcPr>
            <w:tcW w:w="2447" w:type="dxa"/>
            <w:vAlign w:val="center"/>
          </w:tcPr>
          <w:p>
            <w:pPr>
              <w:spacing w:line="400" w:lineRule="exact"/>
              <w:ind w:left="113" w:right="113"/>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投标人代表出席开标会</w:t>
            </w:r>
          </w:p>
        </w:tc>
        <w:tc>
          <w:tcPr>
            <w:tcW w:w="6225" w:type="dxa"/>
            <w:vAlign w:val="center"/>
          </w:tcPr>
          <w:p>
            <w:pPr>
              <w:spacing w:line="400" w:lineRule="exact"/>
              <w:rPr>
                <w:rFonts w:cs="宋体" w:asciiTheme="minorEastAsia" w:hAnsiTheme="minorEastAsia" w:eastAsiaTheme="minorEastAsia"/>
                <w:kern w:val="2"/>
                <w:sz w:val="24"/>
                <w:szCs w:val="24"/>
              </w:rPr>
            </w:pPr>
            <w:r>
              <w:rPr>
                <w:rFonts w:hint="eastAsia" w:asciiTheme="minorEastAsia" w:hAnsiTheme="minorEastAsia" w:eastAsiaTheme="minorEastAsia"/>
                <w:b/>
                <w:kern w:val="2"/>
                <w:sz w:val="24"/>
                <w:szCs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8.5</w:t>
            </w:r>
          </w:p>
        </w:tc>
        <w:tc>
          <w:tcPr>
            <w:tcW w:w="2447" w:type="dxa"/>
            <w:vAlign w:val="center"/>
          </w:tcPr>
          <w:p>
            <w:pPr>
              <w:spacing w:line="400" w:lineRule="exact"/>
              <w:ind w:left="113" w:right="113"/>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中标公示</w:t>
            </w:r>
          </w:p>
        </w:tc>
        <w:tc>
          <w:tcPr>
            <w:tcW w:w="6225" w:type="dxa"/>
            <w:vAlign w:val="center"/>
          </w:tcPr>
          <w:p>
            <w:pPr>
              <w:spacing w:line="400" w:lineRule="exact"/>
              <w:rPr>
                <w:rFonts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8.6</w:t>
            </w:r>
          </w:p>
        </w:tc>
        <w:tc>
          <w:tcPr>
            <w:tcW w:w="2447" w:type="dxa"/>
            <w:vAlign w:val="center"/>
          </w:tcPr>
          <w:p>
            <w:pPr>
              <w:spacing w:line="400" w:lineRule="exact"/>
              <w:ind w:left="113" w:right="113"/>
              <w:jc w:val="center"/>
              <w:rPr>
                <w:rFonts w:cs="宋体" w:asciiTheme="minorEastAsia" w:hAnsiTheme="minorEastAsia" w:eastAsiaTheme="minorEastAsia"/>
                <w:kern w:val="2"/>
                <w:sz w:val="24"/>
                <w:szCs w:val="24"/>
              </w:rPr>
            </w:pPr>
            <w:r>
              <w:rPr>
                <w:rFonts w:hint="eastAsia" w:asciiTheme="minorEastAsia" w:hAnsiTheme="minorEastAsia" w:eastAsiaTheme="minorEastAsia"/>
                <w:kern w:val="2"/>
                <w:sz w:val="24"/>
                <w:szCs w:val="24"/>
              </w:rPr>
              <w:t>知识产权</w:t>
            </w:r>
          </w:p>
        </w:tc>
        <w:tc>
          <w:tcPr>
            <w:tcW w:w="6225" w:type="dxa"/>
            <w:vAlign w:val="center"/>
          </w:tcPr>
          <w:p>
            <w:pPr>
              <w:spacing w:line="400" w:lineRule="exact"/>
              <w:rPr>
                <w:rFonts w:cs="仿宋_GB2312" w:asciiTheme="minorEastAsia" w:hAnsiTheme="minorEastAsia" w:eastAsiaTheme="minorEastAsia"/>
                <w:kern w:val="2"/>
                <w:sz w:val="24"/>
                <w:szCs w:val="24"/>
              </w:rPr>
            </w:pPr>
            <w:r>
              <w:rPr>
                <w:rFonts w:hint="eastAsia" w:asciiTheme="minorEastAsia" w:hAnsiTheme="minorEastAsia" w:eastAsiaTheme="minor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8.7</w:t>
            </w:r>
          </w:p>
        </w:tc>
        <w:tc>
          <w:tcPr>
            <w:tcW w:w="2447" w:type="dxa"/>
            <w:vAlign w:val="center"/>
          </w:tcPr>
          <w:p>
            <w:pPr>
              <w:spacing w:line="400" w:lineRule="exact"/>
              <w:ind w:left="113" w:right="113"/>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重新招标的其他情形</w:t>
            </w:r>
          </w:p>
        </w:tc>
        <w:tc>
          <w:tcPr>
            <w:tcW w:w="6225" w:type="dxa"/>
            <w:vAlign w:val="center"/>
          </w:tcPr>
          <w:p>
            <w:pPr>
              <w:spacing w:line="40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8.8</w:t>
            </w:r>
          </w:p>
        </w:tc>
        <w:tc>
          <w:tcPr>
            <w:tcW w:w="2447" w:type="dxa"/>
            <w:vAlign w:val="center"/>
          </w:tcPr>
          <w:p>
            <w:pPr>
              <w:spacing w:line="400" w:lineRule="exact"/>
              <w:ind w:left="113" w:right="113"/>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同义词语</w:t>
            </w:r>
          </w:p>
        </w:tc>
        <w:tc>
          <w:tcPr>
            <w:tcW w:w="6225" w:type="dxa"/>
            <w:vAlign w:val="center"/>
          </w:tcPr>
          <w:p>
            <w:pPr>
              <w:spacing w:line="40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8.9</w:t>
            </w:r>
          </w:p>
        </w:tc>
        <w:tc>
          <w:tcPr>
            <w:tcW w:w="2447" w:type="dxa"/>
            <w:vAlign w:val="center"/>
          </w:tcPr>
          <w:p>
            <w:pPr>
              <w:spacing w:line="400" w:lineRule="exact"/>
              <w:ind w:left="113" w:right="113"/>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监  督</w:t>
            </w:r>
          </w:p>
        </w:tc>
        <w:tc>
          <w:tcPr>
            <w:tcW w:w="6225" w:type="dxa"/>
            <w:vAlign w:val="center"/>
          </w:tcPr>
          <w:p>
            <w:pPr>
              <w:spacing w:line="40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Align w:val="center"/>
          </w:tcPr>
          <w:p>
            <w:pPr>
              <w:spacing w:line="400" w:lineRule="exact"/>
              <w:jc w:val="center"/>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8.10</w:t>
            </w:r>
          </w:p>
        </w:tc>
        <w:tc>
          <w:tcPr>
            <w:tcW w:w="2447" w:type="dxa"/>
            <w:vAlign w:val="center"/>
          </w:tcPr>
          <w:p>
            <w:pPr>
              <w:spacing w:line="400" w:lineRule="exact"/>
              <w:ind w:left="113" w:right="113"/>
              <w:jc w:val="center"/>
              <w:rPr>
                <w:rFonts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解释权</w:t>
            </w:r>
          </w:p>
        </w:tc>
        <w:tc>
          <w:tcPr>
            <w:tcW w:w="6225" w:type="dxa"/>
            <w:vAlign w:val="center"/>
          </w:tcPr>
          <w:p>
            <w:pPr>
              <w:adjustRightInd w:val="0"/>
              <w:snapToGrid w:val="0"/>
              <w:spacing w:line="420" w:lineRule="exact"/>
              <w:rPr>
                <w:rFonts w:cs="仿宋_GB2312" w:asciiTheme="minorEastAsia" w:hAnsiTheme="minorEastAsia" w:eastAsiaTheme="minorEastAsia"/>
                <w:kern w:val="2"/>
                <w:sz w:val="24"/>
                <w:szCs w:val="24"/>
              </w:rPr>
            </w:pPr>
            <w:r>
              <w:rPr>
                <w:rFonts w:hint="eastAsia" w:cs="仿宋_GB2312" w:asciiTheme="minorEastAsia" w:hAnsiTheme="minorEastAsia" w:eastAsiaTheme="minorEastAsia"/>
                <w:kern w:val="2"/>
                <w:sz w:val="24"/>
                <w:szCs w:val="24"/>
              </w:rPr>
              <w:t>构成本招标文件的各个组成文件应互为解释，互为说明；</w:t>
            </w:r>
          </w:p>
          <w:p>
            <w:pPr>
              <w:adjustRightInd w:val="0"/>
              <w:snapToGri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1、如有不明确或不一致，构成合同文件组成内容，以合同文件约定内容为准，且以专用合同条款约定的合同文件优先顺序解释；</w:t>
            </w:r>
          </w:p>
          <w:p>
            <w:pPr>
              <w:adjustRightInd w:val="0"/>
              <w:snapToGri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3、同一组成文件中就同一事项的规定或约定不一致的，以编排顺序在后者为准；</w:t>
            </w:r>
          </w:p>
          <w:p>
            <w:pPr>
              <w:adjustRightInd w:val="0"/>
              <w:snapToGrid w:val="0"/>
              <w:spacing w:line="42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4、同一组成文件不同版本之间有不一致的，以形成时间在后者为准。</w:t>
            </w:r>
          </w:p>
          <w:p>
            <w:pPr>
              <w:spacing w:line="400" w:lineRule="exact"/>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按本款前述规定仍不能形成结论的，由招标人负</w:t>
            </w:r>
            <w:r>
              <w:rPr>
                <w:rFonts w:hint="eastAsia" w:cs="仿宋_GB2312" w:asciiTheme="minorEastAsia" w:hAnsiTheme="minorEastAsia" w:eastAsiaTheme="minorEastAsia"/>
                <w:kern w:val="2"/>
                <w:sz w:val="24"/>
                <w:szCs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75" w:type="dxa"/>
            <w:gridSpan w:val="3"/>
            <w:vAlign w:val="center"/>
          </w:tcPr>
          <w:p>
            <w:pPr>
              <w:spacing w:line="400" w:lineRule="exact"/>
              <w:rPr>
                <w:rFonts w:asciiTheme="minorEastAsia" w:hAnsiTheme="minorEastAsia" w:eastAsiaTheme="minorEastAsia"/>
                <w:kern w:val="2"/>
                <w:sz w:val="24"/>
                <w:szCs w:val="24"/>
              </w:rPr>
            </w:pPr>
            <w:r>
              <w:rPr>
                <w:rFonts w:hint="eastAsia" w:hAnsi="宋体" w:cs="仿宋_GB2312"/>
                <w:b/>
                <w:sz w:val="24"/>
              </w:rPr>
              <w:t>9.招标人补充的其他内容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Align w:val="center"/>
          </w:tcPr>
          <w:p>
            <w:pPr>
              <w:spacing w:line="400" w:lineRule="exact"/>
              <w:jc w:val="center"/>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9.1</w:t>
            </w:r>
          </w:p>
        </w:tc>
        <w:tc>
          <w:tcPr>
            <w:tcW w:w="2447" w:type="dxa"/>
            <w:vAlign w:val="center"/>
          </w:tcPr>
          <w:p>
            <w:pPr>
              <w:spacing w:line="400" w:lineRule="exact"/>
              <w:ind w:left="113" w:right="113"/>
              <w:jc w:val="center"/>
              <w:rPr>
                <w:rFonts w:cs="仿宋_GB2312"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投标文件的拒收</w:t>
            </w:r>
          </w:p>
        </w:tc>
        <w:tc>
          <w:tcPr>
            <w:tcW w:w="6225" w:type="dxa"/>
            <w:vAlign w:val="center"/>
          </w:tcPr>
          <w:p>
            <w:pPr>
              <w:spacing w:line="400" w:lineRule="exact"/>
              <w:rPr>
                <w:rFonts w:cs="仿宋_GB2312" w:asciiTheme="minorEastAsia" w:hAnsiTheme="minorEastAsia" w:eastAsiaTheme="minorEastAsia"/>
                <w:b/>
                <w:sz w:val="24"/>
                <w:szCs w:val="22"/>
              </w:rPr>
            </w:pPr>
            <w:r>
              <w:rPr>
                <w:rFonts w:hint="eastAsia" w:cs="仿宋_GB2312" w:asciiTheme="minorEastAsia" w:hAnsiTheme="minorEastAsia" w:eastAsiaTheme="minorEastAsia"/>
                <w:b/>
                <w:sz w:val="24"/>
                <w:szCs w:val="22"/>
              </w:rPr>
              <w:t>1、逾期送达的或者未送达指定地点的电子介质存储的投标文件；</w:t>
            </w:r>
          </w:p>
          <w:p>
            <w:pPr>
              <w:spacing w:line="400" w:lineRule="exact"/>
              <w:rPr>
                <w:rFonts w:cs="仿宋_GB2312" w:asciiTheme="minorEastAsia" w:hAnsiTheme="minorEastAsia" w:eastAsiaTheme="minorEastAsia"/>
                <w:b/>
                <w:sz w:val="24"/>
                <w:szCs w:val="22"/>
              </w:rPr>
            </w:pPr>
            <w:r>
              <w:rPr>
                <w:rFonts w:hint="eastAsia" w:cs="仿宋_GB2312" w:asciiTheme="minorEastAsia" w:hAnsiTheme="minorEastAsia" w:eastAsiaTheme="minorEastAsia"/>
                <w:b/>
                <w:sz w:val="24"/>
                <w:szCs w:val="22"/>
              </w:rPr>
              <w:t>2、电子介质存储的投标文件未按招标文件要求密封的；</w:t>
            </w:r>
          </w:p>
          <w:p>
            <w:pPr>
              <w:spacing w:line="400" w:lineRule="exact"/>
              <w:rPr>
                <w:rFonts w:cs="仿宋_GB2312" w:asciiTheme="minorEastAsia" w:hAnsiTheme="minorEastAsia" w:eastAsiaTheme="minorEastAsia"/>
                <w:b/>
                <w:sz w:val="24"/>
                <w:szCs w:val="22"/>
              </w:rPr>
            </w:pPr>
            <w:r>
              <w:rPr>
                <w:rFonts w:hint="eastAsia" w:cs="仿宋_GB2312" w:asciiTheme="minorEastAsia" w:hAnsiTheme="minorEastAsia" w:eastAsiaTheme="minorEastAsia"/>
                <w:b/>
                <w:sz w:val="24"/>
                <w:szCs w:val="22"/>
              </w:rPr>
              <w:t>3、未按招标文件要求缴纳投标保证金的；</w:t>
            </w:r>
          </w:p>
          <w:p>
            <w:pPr>
              <w:spacing w:line="400" w:lineRule="exact"/>
              <w:rPr>
                <w:rFonts w:cs="仿宋_GB2312" w:asciiTheme="minorEastAsia" w:hAnsiTheme="minorEastAsia" w:eastAsiaTheme="minorEastAsia"/>
                <w:b/>
                <w:sz w:val="24"/>
                <w:szCs w:val="22"/>
              </w:rPr>
            </w:pPr>
            <w:r>
              <w:rPr>
                <w:rFonts w:hint="eastAsia" w:cs="仿宋_GB2312" w:asciiTheme="minorEastAsia" w:hAnsiTheme="minorEastAsia" w:eastAsiaTheme="minorEastAsia"/>
                <w:b/>
                <w:sz w:val="24"/>
                <w:szCs w:val="22"/>
              </w:rPr>
              <w:t>4、开标时法人或授权委托人（持有效的授权委托书）未携带本人身份证原件到开标现场并签到的；</w:t>
            </w:r>
          </w:p>
          <w:p>
            <w:pPr>
              <w:spacing w:line="400" w:lineRule="exact"/>
              <w:jc w:val="left"/>
              <w:rPr>
                <w:rFonts w:cs="仿宋_GB2312" w:asciiTheme="minorEastAsia" w:hAnsiTheme="minorEastAsia" w:eastAsiaTheme="minorEastAsia"/>
                <w:b/>
                <w:sz w:val="24"/>
                <w:szCs w:val="22"/>
              </w:rPr>
            </w:pPr>
            <w:r>
              <w:rPr>
                <w:rFonts w:hint="eastAsia" w:cs="仿宋_GB2312" w:asciiTheme="minorEastAsia" w:hAnsiTheme="minorEastAsia" w:eastAsiaTheme="minorEastAsia"/>
                <w:b/>
                <w:sz w:val="24"/>
              </w:rPr>
              <w:t>5、</w:t>
            </w:r>
            <w:r>
              <w:rPr>
                <w:rFonts w:hint="eastAsia" w:cs="仿宋_GB2312" w:asciiTheme="minorEastAsia" w:hAnsiTheme="minorEastAsia" w:eastAsiaTheme="minorEastAsia"/>
                <w:b/>
                <w:sz w:val="24"/>
                <w:szCs w:val="22"/>
              </w:rPr>
              <w:t>投标截止时间前未按照规定支付招标文件费用的。</w:t>
            </w:r>
          </w:p>
          <w:p>
            <w:pPr>
              <w:spacing w:line="400" w:lineRule="exact"/>
              <w:rPr>
                <w:rFonts w:asciiTheme="minorEastAsia" w:hAnsiTheme="minorEastAsia" w:eastAsiaTheme="minorEastAsia"/>
                <w:kern w:val="2"/>
                <w:sz w:val="24"/>
                <w:szCs w:val="24"/>
              </w:rPr>
            </w:pPr>
            <w:r>
              <w:rPr>
                <w:rFonts w:hint="eastAsia" w:cs="仿宋_GB2312" w:asciiTheme="minorEastAsia" w:hAnsiTheme="minorEastAsia" w:eastAsiaTheme="minorEastAsia"/>
                <w:b/>
                <w:sz w:val="24"/>
                <w:szCs w:val="22"/>
              </w:rPr>
              <w:t>6</w:t>
            </w:r>
            <w:r>
              <w:rPr>
                <w:rFonts w:cs="仿宋_GB2312" w:asciiTheme="minorEastAsia" w:hAnsiTheme="minorEastAsia" w:eastAsiaTheme="minorEastAsia"/>
                <w:b/>
                <w:sz w:val="24"/>
                <w:szCs w:val="22"/>
              </w:rPr>
              <w:t>、未通过【全国公共资源交易平台(</w:t>
            </w:r>
            <w:r>
              <w:rPr>
                <w:rFonts w:hint="eastAsia" w:cs="仿宋_GB2312" w:asciiTheme="minorEastAsia" w:hAnsiTheme="minorEastAsia" w:eastAsiaTheme="minorEastAsia"/>
                <w:b/>
                <w:sz w:val="24"/>
                <w:szCs w:val="22"/>
              </w:rPr>
              <w:t>河南省▪许昌市</w:t>
            </w:r>
            <w:r>
              <w:rPr>
                <w:rFonts w:cs="仿宋_GB2312" w:asciiTheme="minorEastAsia" w:hAnsiTheme="minorEastAsia" w:eastAsiaTheme="minorEastAsia"/>
                <w:b/>
                <w:sz w:val="24"/>
                <w:szCs w:val="22"/>
              </w:rPr>
              <w:t>)】交易系统下载招标文件的</w:t>
            </w:r>
            <w:r>
              <w:rPr>
                <w:rFonts w:hint="eastAsia" w:cs="仿宋_GB2312" w:asciiTheme="minorEastAsia" w:hAnsiTheme="minorEastAsia" w:eastAsiaTheme="minorEastAsia"/>
                <w:b/>
                <w:sz w:val="24"/>
                <w:szCs w:val="22"/>
              </w:rPr>
              <w:t>，视为自动放弃投标。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3" w:type="dxa"/>
            <w:vAlign w:val="center"/>
          </w:tcPr>
          <w:p>
            <w:pPr>
              <w:spacing w:line="400" w:lineRule="exact"/>
              <w:jc w:val="center"/>
              <w:rPr>
                <w:rFonts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9.2</w:t>
            </w:r>
          </w:p>
        </w:tc>
        <w:tc>
          <w:tcPr>
            <w:tcW w:w="2447" w:type="dxa"/>
            <w:vAlign w:val="center"/>
          </w:tcPr>
          <w:p>
            <w:pPr>
              <w:spacing w:line="400" w:lineRule="exact"/>
              <w:ind w:left="113" w:right="113"/>
              <w:jc w:val="center"/>
              <w:rPr>
                <w:rFonts w:cs="宋体" w:asciiTheme="minorEastAsia" w:hAnsiTheme="minorEastAsia" w:eastAsiaTheme="minorEastAsia"/>
                <w:b/>
                <w:bCs/>
                <w:kern w:val="2"/>
                <w:sz w:val="24"/>
                <w:szCs w:val="24"/>
              </w:rPr>
            </w:pPr>
            <w:r>
              <w:rPr>
                <w:rFonts w:hint="eastAsia" w:asciiTheme="minorEastAsia" w:hAnsiTheme="minorEastAsia" w:eastAsiaTheme="minorEastAsia"/>
                <w:b/>
                <w:bCs/>
                <w:kern w:val="2"/>
                <w:sz w:val="24"/>
                <w:szCs w:val="24"/>
              </w:rPr>
              <w:t>相关费用</w:t>
            </w:r>
          </w:p>
        </w:tc>
        <w:tc>
          <w:tcPr>
            <w:tcW w:w="6225" w:type="dxa"/>
            <w:vAlign w:val="center"/>
          </w:tcPr>
          <w:p>
            <w:pPr>
              <w:spacing w:line="400" w:lineRule="exact"/>
              <w:rPr>
                <w:rFonts w:cs="仿宋_GB2312" w:asciiTheme="minorEastAsia" w:hAnsiTheme="minorEastAsia" w:eastAsiaTheme="minorEastAsia"/>
                <w:b/>
                <w:sz w:val="24"/>
                <w:szCs w:val="22"/>
              </w:rPr>
            </w:pPr>
            <w:r>
              <w:rPr>
                <w:rFonts w:hint="eastAsia" w:cs="宋体" w:asciiTheme="minorEastAsia" w:hAnsiTheme="minorEastAsia" w:eastAsiaTheme="minorEastAsia"/>
                <w:b/>
                <w:bCs/>
                <w:kern w:val="2"/>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75" w:type="dxa"/>
            <w:gridSpan w:val="3"/>
            <w:vAlign w:val="center"/>
          </w:tcPr>
          <w:p>
            <w:pPr>
              <w:adjustRightInd w:val="0"/>
              <w:snapToGrid w:val="0"/>
              <w:spacing w:line="400" w:lineRule="exact"/>
              <w:jc w:val="left"/>
              <w:rPr>
                <w:rFonts w:hAnsi="宋体" w:cs="仿宋_GB2312"/>
                <w:b/>
                <w:sz w:val="24"/>
              </w:rPr>
            </w:pPr>
            <w:r>
              <w:rPr>
                <w:rFonts w:hint="eastAsia" w:hAnsi="宋体" w:cs="仿宋_GB2312"/>
                <w:b/>
                <w:sz w:val="24"/>
              </w:rPr>
              <w:t>10.特别提醒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1003" w:type="dxa"/>
            <w:vAlign w:val="center"/>
          </w:tcPr>
          <w:p>
            <w:pPr>
              <w:spacing w:line="400" w:lineRule="exact"/>
              <w:jc w:val="center"/>
              <w:rPr>
                <w:sz w:val="24"/>
              </w:rPr>
            </w:pPr>
            <w:r>
              <w:rPr>
                <w:rFonts w:hint="eastAsia"/>
                <w:sz w:val="24"/>
              </w:rPr>
              <w:t>10.1</w:t>
            </w:r>
          </w:p>
        </w:tc>
        <w:tc>
          <w:tcPr>
            <w:tcW w:w="8672" w:type="dxa"/>
            <w:gridSpan w:val="2"/>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2、潜在投标人如对招标文件有异议，请在规定时间内在《全国公共资源交易平台（河南省·许昌市）》公共资源交易系统中提出，以其他方式递交的异议不予接受。</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3、投标人在投标截止时间前应随时关注《全国公共资源交易平台（河南省·许昌市）》公共资源交易系统发出的有关本项目的答疑、修改等相关内容。</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4、本项目试行全流程电子化交易，如因交易系统异常情况无法完成，将以人工方式进行。</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5、投标文件依据最终的招标文件进行编制。如果招标文件发生变更，投标人应以招标人最终发出的电子招标文件为准，编制投标文件，务请投标人随时关注项目变更信息。</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6、投标人电子投标文件成功提交后，应打印“投标文件提交回执单”，供开标现场备查。</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7、商务标投标文件制作注意事项：</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7.1 投标人登录《全国公共资源交易平台（河南省·许昌市）》公共资源交易系统下载“许昌投标文件制作系统SEARUN V1.1” 和操作手册（工程项目），按招标文件要求制作商务标投标文件。</w:t>
            </w:r>
          </w:p>
          <w:p>
            <w:pPr>
              <w:spacing w:line="400" w:lineRule="exact"/>
              <w:jc w:val="left"/>
              <w:rPr>
                <w:rFonts w:ascii="新宋体" w:eastAsia="新宋体"/>
                <w:sz w:val="24"/>
              </w:rPr>
            </w:pPr>
            <w:r>
              <w:rPr>
                <w:rFonts w:hint="eastAsia" w:asciiTheme="minorEastAsia" w:hAnsiTheme="minorEastAsia" w:eastAsiaTheme="minorEastAsia"/>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003" w:type="dxa"/>
            <w:vAlign w:val="center"/>
          </w:tcPr>
          <w:p>
            <w:pPr>
              <w:spacing w:line="400" w:lineRule="exact"/>
              <w:jc w:val="center"/>
              <w:rPr>
                <w:sz w:val="24"/>
              </w:rPr>
            </w:pPr>
            <w:r>
              <w:rPr>
                <w:rFonts w:hint="eastAsia"/>
                <w:sz w:val="24"/>
              </w:rPr>
              <w:t>10.2</w:t>
            </w:r>
          </w:p>
        </w:tc>
        <w:tc>
          <w:tcPr>
            <w:tcW w:w="8672" w:type="dxa"/>
            <w:gridSpan w:val="2"/>
            <w:vAlign w:val="center"/>
          </w:tcPr>
          <w:p>
            <w:pPr>
              <w:spacing w:line="400" w:lineRule="exact"/>
              <w:ind w:firstLine="480" w:firstLineChars="200"/>
              <w:rPr>
                <w:rFonts w:asciiTheme="minorEastAsia" w:hAnsiTheme="minorEastAsia" w:eastAsiaTheme="minorEastAsia"/>
                <w:sz w:val="24"/>
              </w:rPr>
            </w:pPr>
            <w:r>
              <w:rPr>
                <w:rFonts w:hint="eastAsia" w:hAnsi="宋体" w:cs="宋体"/>
                <w:b/>
                <w:bCs/>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spacing w:line="480" w:lineRule="exact"/>
        <w:jc w:val="left"/>
        <w:rPr>
          <w:rFonts w:ascii="华文中宋" w:hAnsi="华文中宋" w:eastAsia="华文中宋"/>
          <w:b/>
          <w:bCs/>
          <w:sz w:val="32"/>
          <w:szCs w:val="32"/>
        </w:rPr>
      </w:pPr>
      <w:bookmarkStart w:id="9" w:name="_Toc283559947"/>
    </w:p>
    <w:p>
      <w:pPr>
        <w:autoSpaceDE w:val="0"/>
        <w:autoSpaceDN w:val="0"/>
        <w:adjustRightInd w:val="0"/>
        <w:snapToGrid w:val="0"/>
        <w:spacing w:line="420" w:lineRule="exact"/>
        <w:jc w:val="left"/>
        <w:rPr>
          <w:rFonts w:hAnsi="宋体" w:cs="仿宋_GB2312"/>
          <w:sz w:val="24"/>
        </w:rPr>
      </w:pPr>
      <w:r>
        <w:rPr>
          <w:rFonts w:hint="eastAsia" w:hAnsi="宋体" w:cs="仿宋_GB2312"/>
          <w:sz w:val="24"/>
        </w:rPr>
        <w:br w:type="page"/>
      </w:r>
    </w:p>
    <w:p>
      <w:pPr>
        <w:autoSpaceDE w:val="0"/>
        <w:autoSpaceDN w:val="0"/>
        <w:spacing w:line="40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 总则</w:t>
      </w:r>
    </w:p>
    <w:p>
      <w:pPr>
        <w:autoSpaceDE w:val="0"/>
        <w:autoSpaceDN w:val="0"/>
        <w:spacing w:line="40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项目概况</w:t>
      </w:r>
      <w:r>
        <w:rPr>
          <w:rFonts w:hint="eastAsia" w:cs="宋体" w:asciiTheme="minorEastAsia" w:hAnsiTheme="minorEastAsia" w:eastAsiaTheme="minorEastAsia"/>
          <w:b/>
          <w:sz w:val="24"/>
          <w:szCs w:val="24"/>
        </w:rPr>
        <w:tab/>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1.1.1根据《中华人民共和国招标投标法》等有关法律、法规和规章的规定，本招标项目已具备招标条件，现对本工程进行招标。</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1.1.2 本招标项目招标人：见投标人须知前附表。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1.1.3 本招标项目名称：见投标人须知前附表。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1.1.4 本标段建设地点：见申请人须知前附表。</w:t>
      </w:r>
    </w:p>
    <w:p>
      <w:pPr>
        <w:autoSpaceDE w:val="0"/>
        <w:autoSpaceDN w:val="0"/>
        <w:spacing w:line="40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1.2 资金来源和落实情况</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1.2.1 本招标项目的资金来源：见投标人须知前附表。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1.2.2 本招标项目的出资比例：见投标人须知前附表。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1.2.3 本招标项目的资金落实情况：见投标人须知前附表。</w:t>
      </w:r>
    </w:p>
    <w:p>
      <w:pPr>
        <w:autoSpaceDE w:val="0"/>
        <w:autoSpaceDN w:val="0"/>
        <w:spacing w:line="40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1.3 招标范围、工期和质量要求</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1.3.1 本招标项目的招标范围：见投标人须知前附表。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1.3.2 本招标项目的工期要求：见投标人须知前附表。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1.3.3 本招标项目的质量要求：见投标人须知前附表。</w:t>
      </w:r>
    </w:p>
    <w:p>
      <w:pPr>
        <w:autoSpaceDE w:val="0"/>
        <w:autoSpaceDN w:val="0"/>
        <w:spacing w:line="400" w:lineRule="exact"/>
        <w:jc w:val="left"/>
        <w:outlineLvl w:val="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1.4 投标人及项目经理资格要求</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1.4.1投标人、</w:t>
      </w:r>
      <w:r>
        <w:rPr>
          <w:rFonts w:hint="eastAsia" w:asciiTheme="minorEastAsia" w:hAnsiTheme="minorEastAsia" w:eastAsiaTheme="minorEastAsia"/>
          <w:sz w:val="24"/>
          <w:szCs w:val="24"/>
        </w:rPr>
        <w:t>项目经理</w:t>
      </w:r>
      <w:r>
        <w:rPr>
          <w:rFonts w:hint="eastAsia" w:cs="仿宋_GB2312" w:asciiTheme="minorEastAsia" w:hAnsiTheme="minorEastAsia" w:eastAsiaTheme="minorEastAsia"/>
          <w:sz w:val="24"/>
          <w:szCs w:val="24"/>
        </w:rPr>
        <w:t>资格要求：见投标人须知前附表。</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1.4.2 投标人资格要求（详见投标人须知前附表）</w:t>
      </w:r>
    </w:p>
    <w:p>
      <w:pPr>
        <w:spacing w:line="400" w:lineRule="exact"/>
        <w:ind w:firstLine="480" w:firstLineChars="200"/>
        <w:rPr>
          <w:rFonts w:hAnsi="宋体" w:cs="宋体"/>
          <w:sz w:val="24"/>
          <w:szCs w:val="24"/>
        </w:rPr>
      </w:pPr>
      <w:r>
        <w:rPr>
          <w:rFonts w:hint="eastAsia" w:hAnsi="宋体" w:cs="宋体"/>
          <w:sz w:val="24"/>
          <w:szCs w:val="24"/>
        </w:rPr>
        <w:t>1.4.3 投标人不得存在下列情形之一：</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（1）为招标人不具有独立法人资格的附属机构（单位）；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（2）为本标段前期准备提供设计或咨询服务的；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（3）为本标段的监理人；</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（4）为本标段的代建人；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（5）为本标段提供招标代理服务的；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（6）与本标段的监理人或代建人或招标代理机构同为一个法定代表人的；</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（7）与本标段的监理人或代建人或招标代理机构相互控股或参股的；</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（8）与本标段的监理人或代建人或招标代理机构相互任职或工作的；</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（9）被责令停业的；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（10）被暂停或取消投标资格的； </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（11）财产被接管或冻结的；</w:t>
      </w:r>
    </w:p>
    <w:p>
      <w:pPr>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（12）在最近三年内有骗取中标或严重违约或重大工程质量问题的。</w:t>
      </w:r>
    </w:p>
    <w:p>
      <w:pPr>
        <w:numPr>
          <w:ilvl w:val="0"/>
          <w:numId w:val="1"/>
        </w:numPr>
        <w:tabs>
          <w:tab w:val="left" w:pos="480"/>
        </w:tabs>
        <w:spacing w:line="400" w:lineRule="exact"/>
        <w:ind w:left="480" w:hanging="471"/>
        <w:rPr>
          <w:rFonts w:hAnsi="宋体" w:cs="宋体"/>
          <w:b/>
          <w:sz w:val="24"/>
          <w:szCs w:val="24"/>
        </w:rPr>
      </w:pPr>
      <w:r>
        <w:rPr>
          <w:rFonts w:hint="eastAsia" w:hAnsi="宋体" w:cs="宋体"/>
          <w:b/>
          <w:sz w:val="24"/>
          <w:szCs w:val="24"/>
        </w:rPr>
        <w:t>费用承担</w:t>
      </w:r>
    </w:p>
    <w:p>
      <w:pPr>
        <w:pStyle w:val="2"/>
        <w:spacing w:line="400" w:lineRule="exact"/>
        <w:ind w:firstLine="240"/>
        <w:rPr>
          <w:rFonts w:hAnsi="宋体" w:cs="宋体"/>
          <w:sz w:val="24"/>
          <w:szCs w:val="24"/>
        </w:rPr>
      </w:pPr>
      <w:r>
        <w:rPr>
          <w:rFonts w:hint="eastAsia" w:hAnsi="宋体" w:cs="宋体"/>
          <w:sz w:val="24"/>
          <w:szCs w:val="24"/>
        </w:rPr>
        <w:t>投标人准备和参加投标活动发生的费用自理。</w:t>
      </w:r>
    </w:p>
    <w:p>
      <w:pPr>
        <w:tabs>
          <w:tab w:val="left" w:pos="480"/>
        </w:tabs>
        <w:spacing w:line="400" w:lineRule="exact"/>
        <w:ind w:left="9"/>
        <w:rPr>
          <w:rFonts w:hAnsi="宋体" w:cs="宋体"/>
          <w:sz w:val="24"/>
          <w:szCs w:val="24"/>
        </w:rPr>
      </w:pPr>
      <w:r>
        <w:rPr>
          <w:rFonts w:hint="eastAsia" w:hAnsi="宋体" w:cs="宋体"/>
          <w:b/>
          <w:sz w:val="24"/>
          <w:szCs w:val="24"/>
        </w:rPr>
        <w:t>1.6保密</w:t>
      </w:r>
    </w:p>
    <w:p>
      <w:pPr>
        <w:spacing w:line="400" w:lineRule="exact"/>
        <w:ind w:firstLine="480"/>
        <w:rPr>
          <w:rFonts w:hAnsi="宋体" w:cs="宋体"/>
          <w:sz w:val="24"/>
          <w:szCs w:val="24"/>
        </w:rPr>
      </w:pPr>
      <w:r>
        <w:rPr>
          <w:rFonts w:hint="eastAsia" w:hAnsi="宋体" w:cs="宋体"/>
          <w:sz w:val="24"/>
          <w:szCs w:val="24"/>
        </w:rPr>
        <w:t>参与招标投标活动的各方应对招标文件和投标文件中的商业和技术等秘密保密，否则应承担相应的法律责任。</w:t>
      </w:r>
    </w:p>
    <w:p>
      <w:pPr>
        <w:tabs>
          <w:tab w:val="left" w:pos="480"/>
        </w:tabs>
        <w:spacing w:line="400" w:lineRule="exact"/>
        <w:rPr>
          <w:rFonts w:hAnsi="宋体" w:cs="宋体"/>
          <w:b/>
          <w:sz w:val="24"/>
          <w:szCs w:val="24"/>
        </w:rPr>
      </w:pPr>
      <w:r>
        <w:rPr>
          <w:rFonts w:hint="eastAsia" w:hAnsi="宋体" w:cs="宋体"/>
          <w:b/>
          <w:sz w:val="24"/>
          <w:szCs w:val="24"/>
        </w:rPr>
        <w:t>1.7语言文字</w:t>
      </w:r>
    </w:p>
    <w:p>
      <w:pPr>
        <w:spacing w:line="400" w:lineRule="exact"/>
        <w:ind w:firstLine="480" w:firstLineChars="200"/>
        <w:rPr>
          <w:rFonts w:hAnsi="宋体" w:cs="宋体"/>
          <w:sz w:val="24"/>
          <w:szCs w:val="24"/>
        </w:rPr>
      </w:pPr>
      <w:r>
        <w:rPr>
          <w:rFonts w:hint="eastAsia" w:hAnsi="宋体" w:cs="宋体"/>
          <w:sz w:val="24"/>
          <w:szCs w:val="24"/>
        </w:rPr>
        <w:t>招标投标文件使用的语言文字为中文。专用术语使用外文的，应附有中文注释。</w:t>
      </w:r>
    </w:p>
    <w:p>
      <w:pPr>
        <w:tabs>
          <w:tab w:val="left" w:pos="480"/>
        </w:tabs>
        <w:spacing w:line="400" w:lineRule="exact"/>
        <w:rPr>
          <w:rFonts w:hAnsi="宋体" w:cs="宋体"/>
          <w:b/>
          <w:sz w:val="24"/>
          <w:szCs w:val="24"/>
        </w:rPr>
      </w:pPr>
      <w:r>
        <w:rPr>
          <w:rFonts w:hint="eastAsia" w:hAnsi="宋体" w:cs="宋体"/>
          <w:b/>
          <w:sz w:val="24"/>
          <w:szCs w:val="24"/>
        </w:rPr>
        <w:t>1.8计量单位</w:t>
      </w:r>
    </w:p>
    <w:p>
      <w:pPr>
        <w:pStyle w:val="2"/>
        <w:spacing w:line="400" w:lineRule="exact"/>
        <w:ind w:firstLine="480" w:firstLineChars="200"/>
        <w:rPr>
          <w:rFonts w:hAnsi="宋体" w:cs="宋体"/>
          <w:sz w:val="24"/>
          <w:szCs w:val="24"/>
        </w:rPr>
      </w:pPr>
      <w:r>
        <w:rPr>
          <w:rFonts w:hint="eastAsia" w:hAnsi="宋体" w:cs="宋体"/>
          <w:sz w:val="24"/>
          <w:szCs w:val="24"/>
        </w:rPr>
        <w:t>所有计量均采用中华共和国和国家计量单位</w:t>
      </w:r>
    </w:p>
    <w:p>
      <w:pPr>
        <w:tabs>
          <w:tab w:val="left" w:pos="480"/>
        </w:tabs>
        <w:spacing w:line="400" w:lineRule="exact"/>
        <w:rPr>
          <w:rFonts w:hAnsi="宋体" w:cs="宋体"/>
          <w:b/>
          <w:sz w:val="24"/>
          <w:szCs w:val="24"/>
        </w:rPr>
      </w:pPr>
      <w:r>
        <w:rPr>
          <w:rFonts w:hint="eastAsia" w:hAnsi="宋体" w:cs="宋体"/>
          <w:b/>
          <w:sz w:val="24"/>
          <w:szCs w:val="24"/>
        </w:rPr>
        <w:t>1.9踏勘现场</w:t>
      </w:r>
    </w:p>
    <w:p>
      <w:pPr>
        <w:tabs>
          <w:tab w:val="left" w:pos="480"/>
        </w:tabs>
        <w:spacing w:line="400" w:lineRule="exact"/>
        <w:ind w:firstLine="480" w:firstLineChars="200"/>
        <w:rPr>
          <w:rFonts w:hAnsi="宋体" w:cs="宋体"/>
          <w:b/>
          <w:sz w:val="24"/>
          <w:szCs w:val="24"/>
        </w:rPr>
      </w:pPr>
      <w:r>
        <w:rPr>
          <w:rFonts w:hint="eastAsia" w:hAnsi="宋体" w:cs="宋体"/>
          <w:sz w:val="24"/>
          <w:szCs w:val="24"/>
        </w:rPr>
        <w:t>1.9.1 投标人须知前附表规定组织踏勘现场的，招标人按投标人须知前附表规定的时间、地点组织投标人踏勘项目现场。</w:t>
      </w:r>
    </w:p>
    <w:p>
      <w:pPr>
        <w:tabs>
          <w:tab w:val="left" w:pos="480"/>
        </w:tabs>
        <w:spacing w:line="400" w:lineRule="exact"/>
        <w:ind w:firstLine="480" w:firstLineChars="200"/>
        <w:rPr>
          <w:rFonts w:hAnsi="宋体" w:cs="宋体"/>
          <w:b/>
          <w:sz w:val="24"/>
          <w:szCs w:val="24"/>
        </w:rPr>
      </w:pPr>
      <w:r>
        <w:rPr>
          <w:rFonts w:hint="eastAsia" w:hAnsi="宋体" w:cs="宋体"/>
          <w:sz w:val="24"/>
          <w:szCs w:val="24"/>
        </w:rPr>
        <w:t>1.9.2 投标人踏勘现场发生的费用自理。</w:t>
      </w:r>
    </w:p>
    <w:p>
      <w:pPr>
        <w:tabs>
          <w:tab w:val="left" w:pos="480"/>
        </w:tabs>
        <w:spacing w:line="400" w:lineRule="exact"/>
        <w:ind w:firstLine="480" w:firstLineChars="200"/>
        <w:rPr>
          <w:rFonts w:hAnsi="宋体" w:cs="宋体"/>
          <w:b/>
          <w:sz w:val="24"/>
          <w:szCs w:val="24"/>
        </w:rPr>
      </w:pPr>
      <w:r>
        <w:rPr>
          <w:rFonts w:hint="eastAsia" w:hAnsi="宋体" w:cs="宋体"/>
          <w:sz w:val="24"/>
          <w:szCs w:val="24"/>
        </w:rPr>
        <w:t>1.9.3 除招标人的原因外，投标人自行负责在踏勘现场中所发生的人员伤亡和财产损失。</w:t>
      </w:r>
    </w:p>
    <w:p>
      <w:pPr>
        <w:tabs>
          <w:tab w:val="left" w:pos="480"/>
        </w:tabs>
        <w:spacing w:line="400" w:lineRule="exact"/>
        <w:ind w:firstLine="480" w:firstLineChars="200"/>
        <w:rPr>
          <w:rFonts w:hAnsi="宋体" w:cs="宋体"/>
          <w:b/>
          <w:sz w:val="24"/>
          <w:szCs w:val="24"/>
        </w:rPr>
      </w:pPr>
      <w:r>
        <w:rPr>
          <w:rFonts w:hint="eastAsia" w:hAnsi="宋体" w:cs="宋体"/>
          <w:sz w:val="24"/>
          <w:szCs w:val="24"/>
        </w:rPr>
        <w:t>1.9.4 招标人在踏勘现场中介绍的工程场地和相关的周边环境情况，供投标人在编制投标文件时参考，招标人不对投标人据此作出的判断和决策负责。</w:t>
      </w:r>
    </w:p>
    <w:p>
      <w:pPr>
        <w:tabs>
          <w:tab w:val="left" w:pos="600"/>
        </w:tabs>
        <w:spacing w:line="400" w:lineRule="exact"/>
        <w:ind w:left="9"/>
        <w:rPr>
          <w:rFonts w:hAnsi="宋体" w:cs="宋体"/>
          <w:sz w:val="24"/>
          <w:szCs w:val="24"/>
        </w:rPr>
      </w:pPr>
      <w:r>
        <w:rPr>
          <w:rFonts w:hint="eastAsia" w:hAnsi="宋体" w:cs="宋体"/>
          <w:b/>
          <w:sz w:val="24"/>
          <w:szCs w:val="24"/>
        </w:rPr>
        <w:t>1.10投标预备会(无)</w:t>
      </w:r>
    </w:p>
    <w:p>
      <w:pPr>
        <w:tabs>
          <w:tab w:val="left" w:pos="720"/>
        </w:tabs>
        <w:spacing w:line="400" w:lineRule="exact"/>
        <w:rPr>
          <w:rFonts w:hAnsi="宋体" w:cs="宋体"/>
          <w:sz w:val="24"/>
          <w:szCs w:val="24"/>
        </w:rPr>
      </w:pPr>
      <w:bookmarkStart w:id="10" w:name="page51"/>
      <w:bookmarkEnd w:id="10"/>
      <w:r>
        <w:rPr>
          <w:rFonts w:hint="eastAsia" w:hAnsi="宋体" w:cs="宋体"/>
          <w:b/>
          <w:sz w:val="24"/>
          <w:szCs w:val="24"/>
        </w:rPr>
        <w:t>1.11分包（本项目不适用）</w:t>
      </w:r>
    </w:p>
    <w:p>
      <w:pPr>
        <w:autoSpaceDE w:val="0"/>
        <w:autoSpaceDN w:val="0"/>
        <w:spacing w:line="40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tabs>
          <w:tab w:val="left" w:pos="720"/>
        </w:tabs>
        <w:spacing w:line="400" w:lineRule="exact"/>
        <w:rPr>
          <w:rFonts w:hAnsi="宋体" w:cs="宋体"/>
          <w:sz w:val="24"/>
          <w:szCs w:val="24"/>
        </w:rPr>
      </w:pPr>
      <w:r>
        <w:rPr>
          <w:rFonts w:hint="eastAsia" w:hAnsi="宋体" w:cs="宋体"/>
          <w:b/>
          <w:sz w:val="24"/>
          <w:szCs w:val="24"/>
        </w:rPr>
        <w:t>1.12响应和偏差</w:t>
      </w:r>
    </w:p>
    <w:p>
      <w:pPr>
        <w:autoSpaceDE w:val="0"/>
        <w:autoSpaceDN w:val="0"/>
        <w:adjustRightInd w:val="0"/>
        <w:spacing w:line="400" w:lineRule="exact"/>
        <w:ind w:firstLine="480" w:firstLineChars="200"/>
        <w:jc w:val="left"/>
        <w:outlineLvl w:val="0"/>
        <w:rPr>
          <w:rFonts w:cs="宋体" w:asciiTheme="minorEastAsia" w:hAnsiTheme="minorEastAsia" w:eastAsiaTheme="minorEastAsia"/>
          <w:b/>
          <w:sz w:val="24"/>
          <w:szCs w:val="24"/>
        </w:rPr>
      </w:pPr>
      <w:r>
        <w:rPr>
          <w:rFonts w:hint="eastAsia" w:asciiTheme="minorEastAsia" w:hAnsiTheme="minorEastAsia" w:eastAsiaTheme="minorEastAsia"/>
          <w:sz w:val="24"/>
          <w:szCs w:val="24"/>
        </w:rPr>
        <w:t>投标人须知前附表允许投标文件偏离招标文件某些要求的，偏离应当符合招标文件规定的偏离范围和幅度。</w:t>
      </w:r>
    </w:p>
    <w:p>
      <w:pPr>
        <w:pStyle w:val="73"/>
        <w:spacing w:line="400" w:lineRule="exact"/>
        <w:jc w:val="both"/>
        <w:outlineLvl w:val="0"/>
        <w:rPr>
          <w:rFonts w:hAnsi="宋体"/>
          <w:b/>
          <w:color w:val="auto"/>
        </w:rPr>
      </w:pPr>
    </w:p>
    <w:p>
      <w:pPr>
        <w:pStyle w:val="73"/>
        <w:spacing w:line="400" w:lineRule="exact"/>
        <w:jc w:val="both"/>
        <w:outlineLvl w:val="0"/>
        <w:rPr>
          <w:rFonts w:hAnsi="宋体"/>
          <w:b/>
          <w:color w:val="auto"/>
        </w:rPr>
      </w:pPr>
      <w:r>
        <w:rPr>
          <w:rFonts w:hAnsi="宋体"/>
          <w:b/>
          <w:color w:val="auto"/>
        </w:rPr>
        <w:t xml:space="preserve">2. </w:t>
      </w:r>
      <w:r>
        <w:rPr>
          <w:rFonts w:hint="eastAsia" w:hAnsi="宋体"/>
          <w:b/>
          <w:color w:val="auto"/>
        </w:rPr>
        <w:t>招标文件</w:t>
      </w:r>
    </w:p>
    <w:p>
      <w:pPr>
        <w:autoSpaceDE w:val="0"/>
        <w:autoSpaceDN w:val="0"/>
        <w:spacing w:line="400" w:lineRule="exact"/>
        <w:jc w:val="left"/>
        <w:outlineLvl w:val="0"/>
        <w:rPr>
          <w:rFonts w:hAnsi="宋体" w:cs="宋体"/>
          <w:b/>
          <w:sz w:val="24"/>
        </w:rPr>
      </w:pPr>
      <w:r>
        <w:rPr>
          <w:rFonts w:hAnsi="宋体" w:cs="宋体"/>
          <w:b/>
          <w:sz w:val="24"/>
        </w:rPr>
        <w:t xml:space="preserve">2.1 </w:t>
      </w:r>
      <w:r>
        <w:rPr>
          <w:rFonts w:hint="eastAsia" w:hAnsi="宋体" w:cs="宋体"/>
          <w:b/>
          <w:sz w:val="24"/>
        </w:rPr>
        <w:t>招标文件的组成</w:t>
      </w:r>
    </w:p>
    <w:p>
      <w:pPr>
        <w:autoSpaceDE w:val="0"/>
        <w:autoSpaceDN w:val="0"/>
        <w:spacing w:line="400" w:lineRule="exact"/>
        <w:ind w:firstLine="480" w:firstLineChars="200"/>
        <w:jc w:val="left"/>
        <w:outlineLvl w:val="0"/>
        <w:rPr>
          <w:rFonts w:hAnsi="宋体" w:cs="宋体"/>
          <w:sz w:val="24"/>
        </w:rPr>
      </w:pPr>
      <w:r>
        <w:rPr>
          <w:rFonts w:hint="eastAsia" w:hAnsi="宋体" w:cs="宋体"/>
          <w:sz w:val="24"/>
        </w:rPr>
        <w:t>本招标文件包括：</w:t>
      </w:r>
    </w:p>
    <w:p>
      <w:pPr>
        <w:spacing w:line="400" w:lineRule="exact"/>
        <w:ind w:firstLine="410" w:firstLineChars="171"/>
        <w:rPr>
          <w:sz w:val="24"/>
        </w:rPr>
      </w:pPr>
      <w:r>
        <w:rPr>
          <w:rFonts w:hint="eastAsia"/>
          <w:sz w:val="24"/>
        </w:rPr>
        <w:t>（1）招标公告；</w:t>
      </w:r>
    </w:p>
    <w:p>
      <w:pPr>
        <w:spacing w:line="400" w:lineRule="exact"/>
        <w:ind w:firstLine="410" w:firstLineChars="171"/>
        <w:rPr>
          <w:sz w:val="24"/>
        </w:rPr>
      </w:pPr>
      <w:r>
        <w:rPr>
          <w:rFonts w:hint="eastAsia"/>
          <w:sz w:val="24"/>
        </w:rPr>
        <w:t>（2）投标人须知；</w:t>
      </w:r>
    </w:p>
    <w:p>
      <w:pPr>
        <w:spacing w:line="400" w:lineRule="exact"/>
        <w:ind w:firstLine="410" w:firstLineChars="171"/>
        <w:rPr>
          <w:sz w:val="24"/>
        </w:rPr>
      </w:pPr>
      <w:r>
        <w:rPr>
          <w:rFonts w:hint="eastAsia"/>
          <w:sz w:val="24"/>
        </w:rPr>
        <w:t>（3）评标办法；</w:t>
      </w:r>
    </w:p>
    <w:p>
      <w:pPr>
        <w:spacing w:line="400" w:lineRule="exact"/>
        <w:ind w:firstLine="410" w:firstLineChars="171"/>
        <w:rPr>
          <w:sz w:val="24"/>
        </w:rPr>
      </w:pPr>
      <w:r>
        <w:rPr>
          <w:rFonts w:hint="eastAsia"/>
          <w:sz w:val="24"/>
        </w:rPr>
        <w:t>（4）合同条款及格式；</w:t>
      </w:r>
    </w:p>
    <w:p>
      <w:pPr>
        <w:spacing w:line="400" w:lineRule="exact"/>
        <w:ind w:firstLine="410" w:firstLineChars="171"/>
        <w:rPr>
          <w:sz w:val="24"/>
        </w:rPr>
      </w:pPr>
      <w:r>
        <w:rPr>
          <w:rFonts w:hint="eastAsia"/>
          <w:sz w:val="24"/>
        </w:rPr>
        <w:t xml:space="preserve">（5）工程量清单； </w:t>
      </w:r>
    </w:p>
    <w:p>
      <w:pPr>
        <w:spacing w:line="400" w:lineRule="exact"/>
        <w:ind w:firstLine="410" w:firstLineChars="171"/>
        <w:rPr>
          <w:sz w:val="24"/>
        </w:rPr>
      </w:pPr>
      <w:r>
        <w:rPr>
          <w:rFonts w:hint="eastAsia"/>
          <w:sz w:val="24"/>
        </w:rPr>
        <w:t xml:space="preserve">（6）图纸； </w:t>
      </w:r>
    </w:p>
    <w:p>
      <w:pPr>
        <w:spacing w:line="400" w:lineRule="exact"/>
        <w:ind w:firstLine="410" w:firstLineChars="171"/>
        <w:rPr>
          <w:sz w:val="24"/>
        </w:rPr>
      </w:pPr>
      <w:r>
        <w:rPr>
          <w:rFonts w:hint="eastAsia"/>
          <w:sz w:val="24"/>
        </w:rPr>
        <w:t>（7）技术标准和要求；</w:t>
      </w:r>
    </w:p>
    <w:p>
      <w:pPr>
        <w:spacing w:line="400" w:lineRule="exact"/>
        <w:ind w:firstLine="410" w:firstLineChars="171"/>
        <w:rPr>
          <w:sz w:val="24"/>
        </w:rPr>
      </w:pPr>
      <w:r>
        <w:rPr>
          <w:rFonts w:hint="eastAsia"/>
          <w:sz w:val="24"/>
        </w:rPr>
        <w:t>（8）投标文件格式；</w:t>
      </w:r>
    </w:p>
    <w:p>
      <w:pPr>
        <w:adjustRightInd w:val="0"/>
        <w:snapToGrid w:val="0"/>
        <w:spacing w:line="400" w:lineRule="exact"/>
        <w:ind w:firstLine="480" w:firstLineChars="200"/>
      </w:pPr>
      <w:r>
        <w:rPr>
          <w:rFonts w:hAnsi="宋体"/>
          <w:sz w:val="24"/>
        </w:rPr>
        <w:t>（</w:t>
      </w:r>
      <w:r>
        <w:rPr>
          <w:rFonts w:hint="eastAsia" w:hAnsi="宋体"/>
          <w:sz w:val="24"/>
        </w:rPr>
        <w:t>9</w:t>
      </w:r>
      <w:r>
        <w:rPr>
          <w:rFonts w:hAnsi="宋体"/>
          <w:sz w:val="24"/>
        </w:rPr>
        <w:t>）</w:t>
      </w:r>
      <w:r>
        <w:rPr>
          <w:rFonts w:hint="eastAsia" w:hAnsi="宋体"/>
          <w:sz w:val="24"/>
        </w:rPr>
        <w:t>投标人须知前附表规定的其他材料。</w:t>
      </w:r>
    </w:p>
    <w:p>
      <w:pPr>
        <w:autoSpaceDE w:val="0"/>
        <w:autoSpaceDN w:val="0"/>
        <w:spacing w:line="40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00" w:lineRule="exact"/>
        <w:jc w:val="left"/>
        <w:outlineLvl w:val="0"/>
        <w:rPr>
          <w:rFonts w:hAnsi="宋体" w:cs="宋体"/>
          <w:b/>
          <w:sz w:val="24"/>
        </w:rPr>
      </w:pPr>
      <w:r>
        <w:rPr>
          <w:rFonts w:hAnsi="宋体" w:cs="宋体"/>
          <w:b/>
          <w:sz w:val="24"/>
        </w:rPr>
        <w:t xml:space="preserve">2.2 </w:t>
      </w:r>
      <w:r>
        <w:rPr>
          <w:rFonts w:hint="eastAsia" w:hAnsi="宋体" w:cs="宋体"/>
          <w:b/>
          <w:sz w:val="24"/>
        </w:rPr>
        <w:t>招标文件的澄清</w:t>
      </w:r>
    </w:p>
    <w:p>
      <w:pPr>
        <w:spacing w:line="40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Theme="minorEastAsia" w:hAnsiTheme="minorEastAsia" w:eastAsiaTheme="minorEastAsia"/>
          <w:b/>
          <w:bCs/>
          <w:sz w:val="24"/>
          <w:szCs w:val="24"/>
        </w:rPr>
        <w:t>如未提出异议，视为全面接受。</w:t>
      </w:r>
    </w:p>
    <w:p>
      <w:pPr>
        <w:spacing w:line="400" w:lineRule="exact"/>
        <w:ind w:firstLine="410" w:firstLineChars="171"/>
        <w:rPr>
          <w:rFonts w:asciiTheme="minorEastAsia" w:hAnsiTheme="minorEastAsia" w:eastAsiaTheme="minorEastAsia"/>
          <w:sz w:val="24"/>
          <w:szCs w:val="24"/>
        </w:rPr>
      </w:pPr>
      <w:r>
        <w:rPr>
          <w:rFonts w:hint="eastAsia" w:asciiTheme="minorEastAsia" w:hAnsiTheme="minorEastAsia" w:eastAsiaTheme="minor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spacing w:line="400" w:lineRule="exact"/>
        <w:ind w:firstLine="480" w:firstLineChars="200"/>
        <w:jc w:val="left"/>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2.2.3 所有澄清、答疑全部以【全国公共资源交易平台（河南省·许昌市）】公共资源交易系统发出的为准，不再接受书面形式的递交。</w:t>
      </w:r>
    </w:p>
    <w:p>
      <w:pPr>
        <w:autoSpaceDE w:val="0"/>
        <w:autoSpaceDN w:val="0"/>
        <w:spacing w:line="40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p>
    <w:p>
      <w:pPr>
        <w:tabs>
          <w:tab w:val="left" w:pos="480"/>
        </w:tabs>
        <w:spacing w:line="400" w:lineRule="exact"/>
        <w:ind w:left="480"/>
        <w:rPr>
          <w:rFonts w:hAnsi="宋体" w:cs="宋体"/>
          <w:sz w:val="24"/>
          <w:szCs w:val="24"/>
        </w:rPr>
      </w:pPr>
      <w:r>
        <w:rPr>
          <w:rFonts w:hint="eastAsia" w:hAnsi="宋体" w:cs="宋体"/>
          <w:sz w:val="24"/>
          <w:szCs w:val="24"/>
        </w:rPr>
        <w:t>2.3.1 在投标截止时间15天前，招标人可以通过全国公共资源交易平台（河南</w:t>
      </w:r>
    </w:p>
    <w:p>
      <w:pPr>
        <w:tabs>
          <w:tab w:val="left" w:pos="480"/>
        </w:tabs>
        <w:spacing w:line="400" w:lineRule="exact"/>
        <w:rPr>
          <w:rFonts w:hAnsi="宋体" w:cs="宋体"/>
          <w:sz w:val="24"/>
          <w:szCs w:val="24"/>
        </w:rPr>
      </w:pPr>
      <w:r>
        <w:rPr>
          <w:rFonts w:hint="eastAsia" w:hAnsi="宋体" w:cs="宋体"/>
          <w:sz w:val="24"/>
          <w:szCs w:val="24"/>
        </w:rPr>
        <w:t>省·许昌市）修改招标文件，如果修改招标文件的时间距投标截止时间不足15 天，相应延长投标截止时间。</w:t>
      </w:r>
    </w:p>
    <w:p>
      <w:pPr>
        <w:tabs>
          <w:tab w:val="left" w:pos="480"/>
        </w:tabs>
        <w:spacing w:line="400" w:lineRule="exact"/>
        <w:ind w:firstLine="480" w:firstLineChars="200"/>
        <w:rPr>
          <w:rFonts w:hAnsi="宋体" w:cs="宋体"/>
          <w:sz w:val="24"/>
          <w:szCs w:val="24"/>
        </w:rPr>
      </w:pPr>
      <w:r>
        <w:rPr>
          <w:rFonts w:hint="eastAsia" w:hAnsi="宋体" w:cs="宋体"/>
          <w:sz w:val="24"/>
          <w:szCs w:val="24"/>
        </w:rPr>
        <w:t>2.3.2 当招标文件（含评标、定标办法）、补充通知且修改内容可能影响投标文件编制的，内容相互矛盾时，以最后发出的通知（或纪要）为准。</w:t>
      </w:r>
    </w:p>
    <w:p>
      <w:pPr>
        <w:spacing w:line="400" w:lineRule="exact"/>
        <w:rPr>
          <w:rFonts w:hAnsi="宋体" w:cs="宋体"/>
          <w:b/>
          <w:sz w:val="24"/>
          <w:szCs w:val="24"/>
        </w:rPr>
      </w:pPr>
      <w:r>
        <w:rPr>
          <w:rFonts w:hint="eastAsia" w:hAnsi="宋体" w:cs="宋体"/>
          <w:b/>
          <w:sz w:val="24"/>
          <w:szCs w:val="24"/>
        </w:rPr>
        <w:t>2.4 招标文件的异议</w:t>
      </w:r>
    </w:p>
    <w:p>
      <w:pPr>
        <w:tabs>
          <w:tab w:val="left" w:pos="480"/>
        </w:tabs>
        <w:spacing w:line="400" w:lineRule="exact"/>
        <w:ind w:firstLine="480" w:firstLineChars="200"/>
        <w:rPr>
          <w:rFonts w:hAnsi="宋体" w:cs="宋体"/>
          <w:sz w:val="24"/>
          <w:szCs w:val="24"/>
        </w:rPr>
      </w:pPr>
      <w:r>
        <w:rPr>
          <w:rFonts w:hint="eastAsia" w:hAnsi="宋体" w:cs="宋体"/>
          <w:sz w:val="24"/>
          <w:szCs w:val="24"/>
        </w:rPr>
        <w:t>投标人或其他利害关系人对招标文件有异议的，应在投标截止时间 10 日前通过公共资源交易系统电子平台提出，不再接受书面形式的递交。招标人将在收到异议之日起3日内作出答复；作出答复前，将暂停招标投标活动。</w:t>
      </w:r>
    </w:p>
    <w:p>
      <w:pPr>
        <w:autoSpaceDE w:val="0"/>
        <w:autoSpaceDN w:val="0"/>
        <w:spacing w:line="400" w:lineRule="exact"/>
        <w:jc w:val="left"/>
        <w:outlineLvl w:val="0"/>
        <w:rPr>
          <w:rFonts w:hAnsi="宋体" w:cs="宋体"/>
          <w:b/>
          <w:sz w:val="24"/>
        </w:rPr>
      </w:pPr>
    </w:p>
    <w:p>
      <w:pPr>
        <w:autoSpaceDE w:val="0"/>
        <w:autoSpaceDN w:val="0"/>
        <w:spacing w:line="400" w:lineRule="exact"/>
        <w:jc w:val="left"/>
        <w:outlineLvl w:val="0"/>
        <w:rPr>
          <w:rFonts w:hAnsi="宋体" w:cs="宋体"/>
          <w:b/>
          <w:sz w:val="24"/>
          <w:szCs w:val="22"/>
        </w:rPr>
      </w:pPr>
      <w:r>
        <w:rPr>
          <w:rFonts w:hint="eastAsia" w:hAnsi="宋体" w:cs="宋体"/>
          <w:b/>
          <w:sz w:val="24"/>
          <w:szCs w:val="22"/>
        </w:rPr>
        <w:t>3. 投标文件</w:t>
      </w:r>
    </w:p>
    <w:p>
      <w:pPr>
        <w:autoSpaceDE w:val="0"/>
        <w:autoSpaceDN w:val="0"/>
        <w:spacing w:line="400" w:lineRule="exact"/>
        <w:jc w:val="left"/>
        <w:outlineLvl w:val="0"/>
        <w:rPr>
          <w:rFonts w:hAnsi="宋体" w:cs="宋体"/>
          <w:b/>
          <w:sz w:val="24"/>
          <w:szCs w:val="22"/>
        </w:rPr>
      </w:pPr>
      <w:r>
        <w:rPr>
          <w:rFonts w:hint="eastAsia" w:hAnsi="宋体" w:cs="宋体"/>
          <w:b/>
          <w:sz w:val="24"/>
          <w:szCs w:val="22"/>
        </w:rPr>
        <w:t>3.1 投标文件由商务标、综合（信用）标和技术标三部分组成。</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3.1.1 商务标组成：</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已标价工程量清单。</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3.1.2 综合（信用）标组成：</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（1）投标函；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（2）投标函附录；</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（3）法定代表人身份证明及授权委托书；</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（4）投标保证金；</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（5）项目管理机构配备情况；</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（6）投标单位基本信息表；</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（7）资格证明文件；</w:t>
      </w:r>
    </w:p>
    <w:p>
      <w:pPr>
        <w:autoSpaceDE w:val="0"/>
        <w:autoSpaceDN w:val="0"/>
        <w:spacing w:line="40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0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0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00" w:lineRule="exact"/>
        <w:ind w:firstLine="480" w:firstLineChars="200"/>
        <w:jc w:val="left"/>
        <w:rPr>
          <w:rFonts w:cs="仿宋" w:asciiTheme="minorEastAsia" w:hAnsiTheme="minorEastAsia" w:eastAsiaTheme="minorEastAsia"/>
          <w:sz w:val="24"/>
          <w:szCs w:val="22"/>
        </w:rPr>
      </w:pPr>
      <w:r>
        <w:rPr>
          <w:rFonts w:hint="eastAsia" w:hAnsi="宋体" w:cs="宋体"/>
          <w:sz w:val="24"/>
        </w:rPr>
        <w:t>（11）其它材料。</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3.1.3 技术标组成：</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（1）内容完整性；</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（2）主要施工方案和技术措施；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（3）质量管理体系与措施；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（4）安全管理体系与措施；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（5）文明施工、环境保护管理体系及施工现场扬尘治理措施；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（6）工期保证措施；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（7）拟投入资源配备计划；</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（8）施工进度表与网络计划图；</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（9）施工总平面图布置；</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（10）技术创新的应用实施措施；</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（11）采用新工艺、新技术、新设备、新材料、BIM等的程度；</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（12）施工现场实施信息化监控和数据处理；</w:t>
      </w:r>
    </w:p>
    <w:p>
      <w:pPr>
        <w:adjustRightInd w:val="0"/>
        <w:snapToGrid w:val="0"/>
        <w:spacing w:line="400" w:lineRule="exact"/>
        <w:ind w:firstLine="480" w:firstLineChars="200"/>
        <w:rPr>
          <w:rFonts w:cs="仿宋" w:asciiTheme="minorEastAsia" w:hAnsiTheme="minorEastAsia" w:eastAsiaTheme="minorEastAsia"/>
          <w:sz w:val="24"/>
          <w:szCs w:val="22"/>
        </w:rPr>
      </w:pPr>
      <w:r>
        <w:rPr>
          <w:rFonts w:hint="eastAsia" w:cs="仿宋" w:asciiTheme="minorEastAsia" w:hAnsiTheme="minorEastAsia" w:eastAsiaTheme="minorEastAsia"/>
          <w:sz w:val="24"/>
          <w:szCs w:val="22"/>
        </w:rPr>
        <w:t>（13）风险管理措施。</w:t>
      </w:r>
    </w:p>
    <w:p>
      <w:pPr>
        <w:autoSpaceDE w:val="0"/>
        <w:autoSpaceDN w:val="0"/>
        <w:spacing w:line="40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3.2.1 投标人应按第五章“工程量清单”的要求填写相应表格。</w:t>
      </w:r>
    </w:p>
    <w:p>
      <w:pPr>
        <w:tabs>
          <w:tab w:val="left" w:pos="1260"/>
        </w:tabs>
        <w:autoSpaceDE w:val="0"/>
        <w:autoSpaceDN w:val="0"/>
        <w:adjustRightInd w:val="0"/>
        <w:spacing w:line="400" w:lineRule="exact"/>
        <w:ind w:firstLine="480" w:firstLineChars="20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b/>
          <w:sz w:val="24"/>
          <w:szCs w:val="24"/>
        </w:rPr>
      </w:pPr>
      <w:bookmarkStart w:id="11" w:name="OLE_LINK21"/>
      <w:r>
        <w:rPr>
          <w:rFonts w:hint="eastAsia" w:cs="宋体" w:asciiTheme="minorEastAsia" w:hAnsiTheme="minorEastAsia" w:eastAsiaTheme="minorEastAsia"/>
          <w:b/>
          <w:sz w:val="24"/>
          <w:szCs w:val="24"/>
        </w:rPr>
        <w:t>3.2.3 “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11"/>
    <w:p>
      <w:pPr>
        <w:tabs>
          <w:tab w:val="left" w:pos="420"/>
        </w:tabs>
        <w:spacing w:line="400" w:lineRule="exact"/>
        <w:ind w:left="9"/>
        <w:rPr>
          <w:rFonts w:hAnsi="宋体" w:cs="宋体"/>
          <w:b/>
          <w:bCs/>
          <w:sz w:val="24"/>
          <w:szCs w:val="24"/>
        </w:rPr>
      </w:pPr>
      <w:r>
        <w:rPr>
          <w:rFonts w:hint="eastAsia" w:hAnsi="宋体" w:cs="宋体"/>
          <w:b/>
          <w:bCs/>
          <w:sz w:val="24"/>
          <w:szCs w:val="24"/>
        </w:rPr>
        <w:t>3.3投标有效期</w:t>
      </w:r>
    </w:p>
    <w:p>
      <w:pPr>
        <w:numPr>
          <w:ilvl w:val="1"/>
          <w:numId w:val="2"/>
        </w:numPr>
        <w:tabs>
          <w:tab w:val="left" w:pos="1080"/>
        </w:tabs>
        <w:spacing w:line="400" w:lineRule="exact"/>
        <w:ind w:left="1080" w:hanging="591"/>
        <w:rPr>
          <w:rFonts w:hAnsi="宋体" w:cs="宋体"/>
          <w:sz w:val="24"/>
          <w:szCs w:val="24"/>
        </w:rPr>
      </w:pPr>
      <w:r>
        <w:rPr>
          <w:rFonts w:hint="eastAsia" w:hAnsi="宋体" w:cs="宋体"/>
          <w:sz w:val="24"/>
          <w:szCs w:val="24"/>
        </w:rPr>
        <w:t>除投标人须知前附表另有规定外，投标有效期为60日。</w:t>
      </w:r>
    </w:p>
    <w:p>
      <w:pPr>
        <w:tabs>
          <w:tab w:val="left" w:pos="1080"/>
        </w:tabs>
        <w:spacing w:line="400" w:lineRule="exact"/>
        <w:ind w:firstLine="480" w:firstLineChars="200"/>
        <w:rPr>
          <w:rFonts w:hAnsi="宋体" w:cs="宋体"/>
          <w:sz w:val="24"/>
          <w:szCs w:val="24"/>
        </w:rPr>
      </w:pPr>
      <w:r>
        <w:rPr>
          <w:rFonts w:hint="eastAsia" w:hAnsi="宋体" w:cs="宋体"/>
          <w:sz w:val="24"/>
          <w:szCs w:val="24"/>
        </w:rPr>
        <w:t>3.3.2在投标有效期内，投标人撤销投标文件的，应承担招标文件和法律规定的责任。</w:t>
      </w:r>
    </w:p>
    <w:p>
      <w:pPr>
        <w:tabs>
          <w:tab w:val="left" w:pos="1080"/>
        </w:tabs>
        <w:spacing w:line="400" w:lineRule="exact"/>
        <w:ind w:firstLine="480" w:firstLineChars="200"/>
        <w:rPr>
          <w:rFonts w:hAnsi="宋体" w:cs="宋体"/>
          <w:b/>
          <w:bCs/>
          <w:sz w:val="24"/>
        </w:rPr>
      </w:pPr>
      <w:r>
        <w:rPr>
          <w:rFonts w:hint="eastAsia" w:hAnsi="宋体" w:cs="宋体"/>
          <w:sz w:val="24"/>
          <w:szCs w:val="24"/>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autoSpaceDE w:val="0"/>
        <w:autoSpaceDN w:val="0"/>
        <w:spacing w:line="400" w:lineRule="exact"/>
        <w:jc w:val="left"/>
        <w:outlineLvl w:val="0"/>
        <w:rPr>
          <w:rFonts w:hAnsi="宋体" w:cs="宋体"/>
          <w:b/>
          <w:bCs/>
          <w:sz w:val="24"/>
        </w:rPr>
      </w:pPr>
      <w:r>
        <w:rPr>
          <w:rFonts w:hint="eastAsia" w:hAnsi="宋体" w:cs="宋体"/>
          <w:b/>
          <w:bCs/>
          <w:sz w:val="24"/>
        </w:rPr>
        <w:t xml:space="preserve">3.4 </w:t>
      </w:r>
      <w:r>
        <w:rPr>
          <w:rFonts w:hint="eastAsia" w:hAnsi="宋体" w:cs="宋体"/>
          <w:b/>
          <w:sz w:val="24"/>
          <w:szCs w:val="24"/>
        </w:rPr>
        <w:t>投标保证金及履约保证金</w:t>
      </w:r>
    </w:p>
    <w:p>
      <w:pPr>
        <w:tabs>
          <w:tab w:val="left" w:pos="600"/>
        </w:tabs>
        <w:spacing w:line="400" w:lineRule="exact"/>
        <w:rPr>
          <w:rFonts w:hAnsi="宋体" w:cs="宋体"/>
          <w:b/>
          <w:sz w:val="24"/>
          <w:szCs w:val="24"/>
        </w:rPr>
      </w:pPr>
      <w:r>
        <w:rPr>
          <w:rFonts w:hint="eastAsia" w:hAnsi="宋体" w:cs="宋体"/>
          <w:b/>
          <w:sz w:val="24"/>
          <w:szCs w:val="24"/>
        </w:rPr>
        <w:t>3.4.1投标保证金</w:t>
      </w:r>
    </w:p>
    <w:p>
      <w:pPr>
        <w:spacing w:line="400" w:lineRule="exact"/>
        <w:ind w:firstLine="360" w:firstLineChars="150"/>
        <w:rPr>
          <w:rFonts w:hAnsi="宋体" w:cs="宋体"/>
          <w:sz w:val="24"/>
          <w:szCs w:val="24"/>
        </w:rPr>
      </w:pPr>
      <w:r>
        <w:rPr>
          <w:rFonts w:hint="eastAsia" w:hAnsi="宋体" w:cs="宋体"/>
          <w:sz w:val="24"/>
          <w:szCs w:val="24"/>
        </w:rPr>
        <w:t>3.4.1.1投标人应按投标人须知前附表后规定缴纳投标保证金。</w:t>
      </w:r>
    </w:p>
    <w:p>
      <w:pPr>
        <w:spacing w:line="400" w:lineRule="exact"/>
        <w:ind w:firstLine="360" w:firstLineChars="150"/>
        <w:rPr>
          <w:rFonts w:hAnsi="宋体" w:cs="宋体"/>
          <w:sz w:val="24"/>
          <w:szCs w:val="24"/>
        </w:rPr>
      </w:pPr>
      <w:r>
        <w:rPr>
          <w:rFonts w:hint="eastAsia" w:hAnsi="宋体" w:cs="宋体"/>
          <w:sz w:val="24"/>
          <w:szCs w:val="24"/>
        </w:rPr>
        <w:t>3.4.1.2投标保证金的相关规定</w:t>
      </w:r>
    </w:p>
    <w:p>
      <w:pPr>
        <w:spacing w:line="400" w:lineRule="exact"/>
        <w:ind w:firstLine="480" w:firstLineChars="200"/>
        <w:rPr>
          <w:rFonts w:hAnsi="宋体" w:cs="宋体"/>
          <w:sz w:val="24"/>
          <w:szCs w:val="24"/>
        </w:rPr>
      </w:pPr>
      <w:r>
        <w:rPr>
          <w:rFonts w:hint="eastAsia" w:hAnsi="宋体" w:cs="宋体"/>
          <w:sz w:val="24"/>
          <w:szCs w:val="24"/>
        </w:rPr>
        <w:t>1、 投标保证金的退还：</w:t>
      </w:r>
    </w:p>
    <w:p>
      <w:pPr>
        <w:spacing w:line="400" w:lineRule="exact"/>
        <w:ind w:firstLine="480" w:firstLineChars="200"/>
        <w:rPr>
          <w:rFonts w:hAnsi="宋体" w:cs="宋体"/>
          <w:sz w:val="24"/>
          <w:szCs w:val="24"/>
        </w:rPr>
      </w:pPr>
      <w:r>
        <w:rPr>
          <w:rFonts w:hint="eastAsia" w:hAnsi="宋体" w:cs="宋体"/>
          <w:sz w:val="24"/>
          <w:szCs w:val="24"/>
        </w:rPr>
        <w:t>（1）中标公告发出后，5个工作日内退还非中标候选人投标保证金及银行同期活期存款利息。</w:t>
      </w:r>
    </w:p>
    <w:p>
      <w:pPr>
        <w:spacing w:line="400" w:lineRule="exact"/>
        <w:ind w:firstLine="480" w:firstLineChars="200"/>
        <w:rPr>
          <w:rFonts w:hAnsi="宋体" w:cs="宋体"/>
          <w:sz w:val="24"/>
          <w:szCs w:val="24"/>
        </w:rPr>
      </w:pPr>
      <w:r>
        <w:rPr>
          <w:rFonts w:hint="eastAsia" w:hAnsi="宋体" w:cs="宋体"/>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00" w:lineRule="exact"/>
        <w:ind w:firstLine="480" w:firstLineChars="200"/>
        <w:rPr>
          <w:rFonts w:hAnsi="宋体" w:cs="宋体"/>
          <w:sz w:val="24"/>
          <w:szCs w:val="24"/>
        </w:rPr>
      </w:pPr>
      <w:r>
        <w:rPr>
          <w:rFonts w:hint="eastAsia" w:hAnsi="宋体" w:cs="宋体"/>
          <w:sz w:val="24"/>
          <w:szCs w:val="24"/>
        </w:rPr>
        <w:t>（3）项目废标或招标人终止招标的，在此后5个工作日内退还投标保证金及银行同期活期存利息。</w:t>
      </w:r>
    </w:p>
    <w:p>
      <w:pPr>
        <w:spacing w:line="400" w:lineRule="exact"/>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spacing w:line="400" w:lineRule="exact"/>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spacing w:line="400" w:lineRule="exact"/>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spacing w:line="400" w:lineRule="exact"/>
        <w:ind w:firstLine="480" w:firstLineChars="200"/>
        <w:rPr>
          <w:rFonts w:hAnsi="宋体" w:cs="宋体"/>
          <w:sz w:val="24"/>
          <w:szCs w:val="24"/>
        </w:rPr>
      </w:pPr>
      <w:r>
        <w:rPr>
          <w:rFonts w:hint="eastAsia" w:hAnsi="宋体" w:cs="宋体"/>
          <w:sz w:val="24"/>
          <w:szCs w:val="24"/>
        </w:rPr>
        <w:t>2、投标人有下列情形之一的，不予退还投标保证金：</w:t>
      </w:r>
    </w:p>
    <w:p>
      <w:pPr>
        <w:adjustRightInd w:val="0"/>
        <w:snapToGrid w:val="0"/>
        <w:spacing w:line="400" w:lineRule="exact"/>
        <w:ind w:firstLine="480" w:firstLineChars="200"/>
        <w:rPr>
          <w:rFonts w:hAnsi="宋体"/>
          <w:sz w:val="24"/>
        </w:rPr>
      </w:pPr>
      <w:r>
        <w:rPr>
          <w:rFonts w:hint="eastAsia" w:hAnsi="宋体"/>
          <w:sz w:val="24"/>
        </w:rPr>
        <w:t xml:space="preserve">（一）在招标文件要求提交投标文件的截止时间后至投标文件有效期满前撤回投标的； </w:t>
      </w:r>
    </w:p>
    <w:p>
      <w:pPr>
        <w:adjustRightInd w:val="0"/>
        <w:snapToGrid w:val="0"/>
        <w:spacing w:line="400" w:lineRule="exact"/>
        <w:ind w:firstLine="480" w:firstLineChars="200"/>
        <w:rPr>
          <w:rFonts w:hAnsi="宋体"/>
          <w:sz w:val="24"/>
        </w:rPr>
      </w:pPr>
      <w:r>
        <w:rPr>
          <w:rFonts w:hint="eastAsia" w:hAnsi="宋体"/>
          <w:sz w:val="24"/>
        </w:rPr>
        <w:t xml:space="preserve">（二）中标通知书发出后，中标人无故放弃中标项目或无正当理由在规定时间内不与招标人签订合同或未按招标文件规定提交履约担保的； </w:t>
      </w:r>
    </w:p>
    <w:p>
      <w:pPr>
        <w:adjustRightInd w:val="0"/>
        <w:snapToGrid w:val="0"/>
        <w:spacing w:line="400" w:lineRule="exact"/>
        <w:ind w:firstLine="480" w:firstLineChars="200"/>
        <w:rPr>
          <w:rFonts w:hAnsi="宋体"/>
          <w:sz w:val="24"/>
        </w:rPr>
      </w:pPr>
      <w:r>
        <w:rPr>
          <w:rFonts w:hint="eastAsia" w:hAnsi="宋体"/>
          <w:sz w:val="24"/>
        </w:rPr>
        <w:t xml:space="preserve">（三）将中标项目转让给他人，或者在投标文件中未说明，且未经招标人同意，将中标项目分包给他人的； </w:t>
      </w:r>
    </w:p>
    <w:p>
      <w:pPr>
        <w:adjustRightInd w:val="0"/>
        <w:snapToGrid w:val="0"/>
        <w:spacing w:line="400" w:lineRule="exact"/>
        <w:ind w:firstLine="480" w:firstLineChars="200"/>
        <w:rPr>
          <w:rFonts w:hAnsi="宋体"/>
          <w:sz w:val="24"/>
        </w:rPr>
      </w:pPr>
      <w:r>
        <w:rPr>
          <w:rFonts w:hint="eastAsia" w:hAnsi="宋体"/>
          <w:sz w:val="24"/>
        </w:rPr>
        <w:t xml:space="preserve">（四）投标人在招投标活动中弄虚作假、围标串标，骗取中标并经招投标行政监督部门调查核实的； </w:t>
      </w:r>
    </w:p>
    <w:p>
      <w:pPr>
        <w:adjustRightInd w:val="0"/>
        <w:snapToGrid w:val="0"/>
        <w:spacing w:line="400" w:lineRule="exact"/>
        <w:ind w:firstLine="480" w:firstLineChars="200"/>
        <w:rPr>
          <w:rFonts w:hAnsi="宋体"/>
          <w:sz w:val="24"/>
        </w:rPr>
      </w:pPr>
      <w:r>
        <w:rPr>
          <w:rFonts w:hint="eastAsia" w:hAnsi="宋体"/>
          <w:sz w:val="24"/>
        </w:rPr>
        <w:t>（五）拒绝履行合同义务的；</w:t>
      </w:r>
    </w:p>
    <w:p>
      <w:pPr>
        <w:adjustRightInd w:val="0"/>
        <w:snapToGrid w:val="0"/>
        <w:spacing w:line="400" w:lineRule="exact"/>
        <w:ind w:firstLine="480" w:firstLineChars="200"/>
        <w:rPr>
          <w:rFonts w:hAnsi="宋体"/>
          <w:sz w:val="24"/>
        </w:rPr>
      </w:pPr>
      <w:r>
        <w:rPr>
          <w:rFonts w:hint="eastAsia" w:hAnsi="宋体"/>
          <w:sz w:val="24"/>
        </w:rPr>
        <w:t>（六）相关法律、法规规定不予退还的其它情形。</w:t>
      </w:r>
    </w:p>
    <w:p>
      <w:pPr>
        <w:adjustRightInd w:val="0"/>
        <w:snapToGrid w:val="0"/>
        <w:spacing w:line="400" w:lineRule="exact"/>
        <w:ind w:firstLine="480" w:firstLineChars="200"/>
        <w:rPr>
          <w:rFonts w:hAnsi="宋体"/>
          <w:sz w:val="24"/>
        </w:rPr>
      </w:pPr>
      <w:r>
        <w:rPr>
          <w:rFonts w:hint="eastAsia" w:hAnsi="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00" w:lineRule="exact"/>
        <w:jc w:val="left"/>
        <w:rPr>
          <w:rFonts w:hAnsi="宋体" w:cs="宋体"/>
          <w:b/>
          <w:sz w:val="24"/>
          <w:szCs w:val="24"/>
        </w:rPr>
      </w:pPr>
      <w:r>
        <w:rPr>
          <w:rFonts w:hint="eastAsia" w:hAnsi="宋体" w:cs="宋体"/>
          <w:b/>
          <w:sz w:val="24"/>
          <w:szCs w:val="24"/>
        </w:rPr>
        <w:t>3.4.2 履约保证金</w:t>
      </w:r>
    </w:p>
    <w:p>
      <w:pPr>
        <w:spacing w:line="400" w:lineRule="exact"/>
        <w:ind w:firstLine="360" w:firstLineChars="150"/>
        <w:rPr>
          <w:rFonts w:hAnsi="宋体" w:cs="宋体"/>
          <w:sz w:val="24"/>
          <w:szCs w:val="24"/>
        </w:rPr>
      </w:pPr>
      <w:r>
        <w:rPr>
          <w:rFonts w:hint="eastAsia" w:hAnsi="宋体" w:cs="宋体"/>
          <w:sz w:val="24"/>
          <w:szCs w:val="24"/>
        </w:rPr>
        <w:t xml:space="preserve">3.4.2.1履约保证金提交方式 </w:t>
      </w:r>
    </w:p>
    <w:p>
      <w:pPr>
        <w:spacing w:line="400" w:lineRule="exact"/>
        <w:ind w:firstLine="480" w:firstLineChars="200"/>
        <w:rPr>
          <w:rFonts w:hAnsi="宋体" w:cs="宋体"/>
          <w:sz w:val="24"/>
          <w:szCs w:val="24"/>
        </w:rPr>
      </w:pPr>
      <w:r>
        <w:rPr>
          <w:rFonts w:hint="eastAsia" w:hAnsi="宋体" w:cs="宋体"/>
          <w:sz w:val="24"/>
          <w:szCs w:val="24"/>
        </w:rPr>
        <w:t xml:space="preserve">1、以网银、银行转账支票、银行电汇方式提交。  </w:t>
      </w:r>
    </w:p>
    <w:p>
      <w:pPr>
        <w:spacing w:line="400" w:lineRule="exact"/>
        <w:ind w:firstLine="480" w:firstLineChars="200"/>
        <w:rPr>
          <w:rFonts w:hAnsi="宋体" w:cs="宋体"/>
          <w:sz w:val="24"/>
          <w:szCs w:val="24"/>
        </w:rPr>
      </w:pPr>
      <w:r>
        <w:rPr>
          <w:rFonts w:hint="eastAsia" w:hAnsi="宋体" w:cs="宋体"/>
          <w:sz w:val="24"/>
          <w:szCs w:val="24"/>
        </w:rPr>
        <w:t xml:space="preserve">2、现金支票和现金不得作为履约保证金提交方式。  </w:t>
      </w:r>
    </w:p>
    <w:p>
      <w:pPr>
        <w:spacing w:line="400" w:lineRule="exact"/>
        <w:ind w:firstLine="480" w:firstLineChars="200"/>
        <w:rPr>
          <w:rFonts w:hAnsi="宋体" w:cs="宋体"/>
          <w:sz w:val="24"/>
          <w:szCs w:val="24"/>
        </w:rPr>
      </w:pPr>
      <w:r>
        <w:rPr>
          <w:rFonts w:hint="eastAsia" w:hAnsi="宋体" w:cs="宋体"/>
          <w:sz w:val="24"/>
          <w:szCs w:val="24"/>
        </w:rPr>
        <w:t>3、中标人必须通过其公司账户按照规定的方式提交，其名称应与中标单位的名称一致。</w:t>
      </w:r>
    </w:p>
    <w:p>
      <w:pPr>
        <w:spacing w:line="400" w:lineRule="exact"/>
        <w:ind w:firstLine="480" w:firstLineChars="200"/>
        <w:rPr>
          <w:rFonts w:hAnsi="宋体" w:cs="宋体"/>
          <w:sz w:val="24"/>
          <w:szCs w:val="24"/>
        </w:rPr>
      </w:pPr>
      <w:r>
        <w:rPr>
          <w:rFonts w:hint="eastAsia" w:hAnsi="宋体" w:cs="宋体"/>
          <w:sz w:val="24"/>
          <w:szCs w:val="24"/>
        </w:rPr>
        <w:t>4、中标人在缴纳履约保证金时，必须在附言、备注和用途栏注明“项目编号及标段”，否则可能造成延迟退还。</w:t>
      </w:r>
    </w:p>
    <w:p>
      <w:pPr>
        <w:spacing w:line="400" w:lineRule="exact"/>
        <w:ind w:firstLine="360" w:firstLineChars="150"/>
        <w:rPr>
          <w:rFonts w:hAnsi="宋体" w:cs="宋体"/>
          <w:sz w:val="24"/>
          <w:szCs w:val="24"/>
        </w:rPr>
      </w:pPr>
      <w:r>
        <w:rPr>
          <w:rFonts w:hint="eastAsia" w:hAnsi="宋体" w:cs="宋体"/>
          <w:sz w:val="24"/>
          <w:szCs w:val="24"/>
        </w:rPr>
        <w:t xml:space="preserve">3.4.2.2履约保证金提交比例和数额 </w:t>
      </w:r>
    </w:p>
    <w:p>
      <w:pPr>
        <w:spacing w:line="400" w:lineRule="exact"/>
        <w:ind w:firstLine="240" w:firstLineChars="100"/>
        <w:rPr>
          <w:rFonts w:hAnsi="宋体" w:cs="宋体"/>
          <w:sz w:val="24"/>
          <w:szCs w:val="24"/>
        </w:rPr>
      </w:pPr>
      <w:r>
        <w:rPr>
          <w:rFonts w:hint="eastAsia" w:hAnsi="宋体" w:cs="宋体"/>
          <w:sz w:val="24"/>
          <w:szCs w:val="24"/>
        </w:rPr>
        <w:t>履约保证金数额为不超过中标合同金额的10%。</w:t>
      </w:r>
    </w:p>
    <w:p>
      <w:pPr>
        <w:spacing w:line="400" w:lineRule="exact"/>
        <w:ind w:firstLine="360" w:firstLineChars="150"/>
        <w:rPr>
          <w:rFonts w:hAnsi="宋体" w:cs="宋体"/>
          <w:sz w:val="24"/>
          <w:szCs w:val="24"/>
        </w:rPr>
      </w:pPr>
      <w:r>
        <w:rPr>
          <w:rFonts w:hint="eastAsia" w:hAnsi="宋体" w:cs="宋体"/>
          <w:sz w:val="24"/>
          <w:szCs w:val="24"/>
        </w:rPr>
        <w:t xml:space="preserve">3.4.2.3履约保证金的退还 </w:t>
      </w:r>
    </w:p>
    <w:p>
      <w:pPr>
        <w:spacing w:line="400" w:lineRule="exact"/>
        <w:ind w:firstLine="480" w:firstLineChars="200"/>
        <w:rPr>
          <w:rFonts w:hAnsi="宋体" w:cs="宋体"/>
          <w:sz w:val="24"/>
          <w:szCs w:val="24"/>
        </w:rPr>
      </w:pPr>
      <w:r>
        <w:rPr>
          <w:rFonts w:hint="eastAsia" w:hAnsi="宋体" w:cs="宋体"/>
          <w:sz w:val="24"/>
          <w:szCs w:val="24"/>
        </w:rPr>
        <w:t xml:space="preserve">1、项目完工后，由招标人出具《履约保证金退还通知单》，中心财务凭《履约保证金退还通知单》在五个工作日内退还履约保证金及银行同期活期存款利息至中标人账户。  </w:t>
      </w:r>
    </w:p>
    <w:p>
      <w:pPr>
        <w:spacing w:line="400" w:lineRule="exact"/>
        <w:ind w:firstLine="480" w:firstLineChars="200"/>
        <w:rPr>
          <w:rFonts w:hAnsi="宋体" w:cs="宋体"/>
          <w:b/>
          <w:sz w:val="24"/>
        </w:rPr>
      </w:pPr>
      <w:r>
        <w:rPr>
          <w:rFonts w:hint="eastAsia" w:hAnsi="宋体" w:cs="宋体"/>
          <w:sz w:val="24"/>
          <w:szCs w:val="24"/>
        </w:rPr>
        <w:t>2、中标人因发生质疑、投诉、举报或有关部门立案调查的，中心依据相关行政监督部门的意见暂停退还或没收其履约保证金，待行政监督部门对相关情况处置后，按照有关规定办理。</w:t>
      </w:r>
    </w:p>
    <w:p>
      <w:pPr>
        <w:tabs>
          <w:tab w:val="left" w:pos="1260"/>
        </w:tabs>
        <w:autoSpaceDE w:val="0"/>
        <w:autoSpaceDN w:val="0"/>
        <w:adjustRightInd w:val="0"/>
        <w:spacing w:line="40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val="zh-CN"/>
        </w:rPr>
        <w:t>3.5.1 “投标人基本情况表”应附投标人营业执照副本、资质证书副本和安全生产许可证等</w:t>
      </w:r>
      <w:r>
        <w:rPr>
          <w:rFonts w:hint="eastAsia" w:cs="宋体" w:asciiTheme="minorEastAsia" w:hAnsiTheme="minorEastAsia" w:eastAsiaTheme="minorEastAsia"/>
          <w:sz w:val="24"/>
          <w:szCs w:val="24"/>
        </w:rPr>
        <w:t>材料的原件扫描件。</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rPr>
        <w:t>3.5.3 “</w:t>
      </w:r>
      <w:r>
        <w:rPr>
          <w:rFonts w:hint="eastAsia" w:cs="宋体" w:asciiTheme="minorEastAsia" w:hAnsiTheme="minorEastAsia" w:eastAsiaTheme="minor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00" w:lineRule="exact"/>
        <w:ind w:firstLine="360" w:firstLineChars="15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3.5.5 “正在施工和新承接的项目情况表”应附合同协议书的原件扫描件。每张表格只填写一个项目，并标明序号。</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sz w:val="24"/>
          <w:szCs w:val="24"/>
          <w:lang w:val="zh-CN"/>
        </w:rPr>
      </w:pPr>
      <w:r>
        <w:rPr>
          <w:rFonts w:hint="eastAsia" w:cs="宋体" w:asciiTheme="minorEastAsia" w:hAnsiTheme="minorEastAsia" w:eastAsiaTheme="minorEastAsia"/>
          <w:sz w:val="24"/>
          <w:szCs w:val="24"/>
          <w:lang w:val="zh-CN"/>
        </w:rPr>
        <w:t>3.5.6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00" w:lineRule="exact"/>
        <w:ind w:firstLine="480" w:firstLineChars="200"/>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（具体审查内容详见第三章评标办法）</w:t>
      </w:r>
    </w:p>
    <w:p>
      <w:pPr>
        <w:autoSpaceDE w:val="0"/>
        <w:autoSpaceDN w:val="0"/>
        <w:spacing w:line="400" w:lineRule="exact"/>
        <w:jc w:val="left"/>
        <w:rPr>
          <w:rFonts w:hAnsi="宋体" w:cs="宋体"/>
          <w:b/>
          <w:sz w:val="24"/>
        </w:rPr>
      </w:pPr>
      <w:r>
        <w:rPr>
          <w:rFonts w:hint="eastAsia" w:hAnsi="宋体" w:cs="宋体"/>
          <w:b/>
          <w:sz w:val="24"/>
        </w:rPr>
        <w:t>3.6 备选投标方案</w:t>
      </w:r>
    </w:p>
    <w:p>
      <w:pPr>
        <w:numPr>
          <w:ilvl w:val="1"/>
          <w:numId w:val="3"/>
        </w:numPr>
        <w:tabs>
          <w:tab w:val="left" w:pos="1080"/>
        </w:tabs>
        <w:spacing w:line="400" w:lineRule="exact"/>
        <w:ind w:firstLine="489"/>
        <w:rPr>
          <w:rFonts w:hAnsi="宋体" w:cs="宋体"/>
          <w:sz w:val="24"/>
          <w:szCs w:val="24"/>
        </w:rPr>
      </w:pPr>
      <w:r>
        <w:rPr>
          <w:rFonts w:hint="eastAsia" w:hAnsi="宋体" w:cs="宋体"/>
          <w:sz w:val="24"/>
          <w:szCs w:val="24"/>
        </w:rPr>
        <w:t>除投标人须知前附表规定允许外，投标人不得递交备选投标方案，否则其投标将被否决。</w:t>
      </w:r>
    </w:p>
    <w:p>
      <w:pPr>
        <w:numPr>
          <w:ilvl w:val="1"/>
          <w:numId w:val="3"/>
        </w:numPr>
        <w:tabs>
          <w:tab w:val="left" w:pos="1080"/>
        </w:tabs>
        <w:spacing w:line="400" w:lineRule="exact"/>
        <w:ind w:firstLine="489"/>
        <w:rPr>
          <w:rFonts w:hAnsi="宋体" w:cs="宋体"/>
          <w:sz w:val="24"/>
          <w:szCs w:val="24"/>
        </w:rPr>
      </w:pPr>
      <w:r>
        <w:rPr>
          <w:rFonts w:hint="eastAsia" w:hAnsi="宋体" w:cs="宋体"/>
          <w:sz w:val="24"/>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tabs>
          <w:tab w:val="left" w:pos="1080"/>
        </w:tabs>
        <w:spacing w:line="400" w:lineRule="exact"/>
        <w:ind w:firstLine="480" w:firstLineChars="200"/>
        <w:rPr>
          <w:rFonts w:hAnsi="宋体" w:cs="宋体"/>
          <w:b/>
          <w:sz w:val="24"/>
        </w:rPr>
      </w:pPr>
      <w:r>
        <w:rPr>
          <w:rFonts w:hint="eastAsia" w:hAnsi="宋体" w:cs="宋体"/>
          <w:sz w:val="24"/>
          <w:szCs w:val="24"/>
        </w:rPr>
        <w:t>3.6.3 投标人提供两个或两个以上投标报价，或在投标文件中提供一个报价，但同时提供两个或两个以上施工组织设计的，视为提供备选方案。</w:t>
      </w:r>
    </w:p>
    <w:p>
      <w:pPr>
        <w:autoSpaceDE w:val="0"/>
        <w:autoSpaceDN w:val="0"/>
        <w:spacing w:line="400" w:lineRule="exact"/>
        <w:jc w:val="left"/>
        <w:rPr>
          <w:rFonts w:hAnsi="宋体" w:cs="宋体"/>
          <w:b/>
          <w:sz w:val="24"/>
        </w:rPr>
      </w:pPr>
      <w:r>
        <w:rPr>
          <w:rFonts w:hint="eastAsia" w:hAnsi="宋体" w:cs="宋体"/>
          <w:b/>
          <w:sz w:val="24"/>
        </w:rPr>
        <w:t>3.7 投标文件的编制</w:t>
      </w:r>
    </w:p>
    <w:p>
      <w:pPr>
        <w:tabs>
          <w:tab w:val="left" w:pos="1080"/>
        </w:tabs>
        <w:spacing w:line="400" w:lineRule="exact"/>
        <w:ind w:firstLine="480" w:firstLineChars="200"/>
        <w:rPr>
          <w:rFonts w:hAnsi="宋体" w:cs="宋体"/>
          <w:sz w:val="24"/>
          <w:szCs w:val="24"/>
        </w:rPr>
      </w:pPr>
      <w:r>
        <w:rPr>
          <w:rFonts w:hint="eastAsia" w:hAnsi="宋体" w:cs="宋体"/>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tabs>
          <w:tab w:val="left" w:pos="1080"/>
        </w:tabs>
        <w:spacing w:line="400" w:lineRule="exact"/>
        <w:ind w:firstLine="480" w:firstLineChars="200"/>
        <w:rPr>
          <w:rFonts w:hAnsi="宋体" w:cs="宋体"/>
          <w:sz w:val="24"/>
          <w:szCs w:val="24"/>
        </w:rPr>
      </w:pPr>
      <w:r>
        <w:rPr>
          <w:rFonts w:hint="eastAsia" w:hAnsi="宋体" w:cs="宋体"/>
          <w:sz w:val="24"/>
          <w:szCs w:val="24"/>
        </w:rPr>
        <w:t>3.7.2 投标文件应当对招标文件有关工期、投标有效期、质量要求、招标范围作出响应。</w:t>
      </w:r>
    </w:p>
    <w:p>
      <w:pPr>
        <w:tabs>
          <w:tab w:val="left" w:pos="1080"/>
        </w:tabs>
        <w:spacing w:line="400" w:lineRule="exact"/>
        <w:ind w:firstLine="480" w:firstLineChars="200"/>
        <w:rPr>
          <w:rFonts w:hAnsi="宋体" w:cs="宋体"/>
          <w:sz w:val="24"/>
          <w:szCs w:val="24"/>
        </w:rPr>
      </w:pPr>
      <w:r>
        <w:rPr>
          <w:rFonts w:hint="eastAsia" w:hAnsi="宋体" w:cs="宋体"/>
          <w:sz w:val="24"/>
          <w:szCs w:val="24"/>
        </w:rPr>
        <w:t>3.7.3 投标人编制的投标文件应分为商务标、综合（信用）标和技术标。</w:t>
      </w:r>
    </w:p>
    <w:p>
      <w:pPr>
        <w:tabs>
          <w:tab w:val="left" w:pos="1080"/>
        </w:tabs>
        <w:spacing w:line="400" w:lineRule="exact"/>
        <w:ind w:firstLine="480" w:firstLineChars="200"/>
        <w:rPr>
          <w:rFonts w:hAnsi="宋体" w:cs="宋体"/>
          <w:sz w:val="24"/>
          <w:szCs w:val="24"/>
        </w:rPr>
      </w:pPr>
      <w:r>
        <w:rPr>
          <w:rFonts w:hint="eastAsia" w:hAnsi="宋体" w:cs="宋体"/>
          <w:sz w:val="24"/>
          <w:szCs w:val="24"/>
        </w:rPr>
        <w:t>3.7.4 投标人登录【全国公共资源交易平台（河南省·许昌市）】公共资源交易系统下载“许昌投标文件制作系统SEARUN V1.1” 和操作手册（工程项目），按招标文件要求制作投标文件。</w:t>
      </w:r>
    </w:p>
    <w:p>
      <w:pPr>
        <w:tabs>
          <w:tab w:val="left" w:pos="1080"/>
        </w:tabs>
        <w:spacing w:line="400" w:lineRule="exact"/>
        <w:ind w:firstLine="480" w:firstLineChars="200"/>
        <w:rPr>
          <w:rFonts w:hAnsi="宋体" w:cs="宋体"/>
          <w:sz w:val="24"/>
          <w:szCs w:val="24"/>
        </w:rPr>
      </w:pPr>
      <w:r>
        <w:rPr>
          <w:rFonts w:hint="eastAsia" w:hAnsi="宋体" w:cs="宋体"/>
          <w:sz w:val="24"/>
          <w:szCs w:val="24"/>
        </w:rPr>
        <w:t>3.7.5  使用电子介质存储的投标文件2份（文件格式为：xxx公司XXX（项目编号）XXX标段.bin）。</w:t>
      </w:r>
    </w:p>
    <w:p>
      <w:pPr>
        <w:tabs>
          <w:tab w:val="left" w:pos="1080"/>
        </w:tabs>
        <w:spacing w:line="400" w:lineRule="exact"/>
        <w:ind w:firstLine="480" w:firstLineChars="200"/>
        <w:rPr>
          <w:rFonts w:hAnsi="宋体" w:cs="宋体"/>
          <w:sz w:val="24"/>
          <w:szCs w:val="24"/>
        </w:rPr>
      </w:pPr>
      <w:r>
        <w:rPr>
          <w:rFonts w:hint="eastAsia" w:hAnsi="宋体" w:cs="宋体"/>
          <w:sz w:val="24"/>
          <w:szCs w:val="24"/>
        </w:rPr>
        <w:t>3.7.6 同时生成与电子投标文件内容、水印码、电子签章一致的PDF文件,用于监督部门、招标人及代理机构存档。</w:t>
      </w:r>
    </w:p>
    <w:p>
      <w:pPr>
        <w:tabs>
          <w:tab w:val="left" w:pos="1080"/>
        </w:tabs>
        <w:spacing w:line="400" w:lineRule="exact"/>
        <w:ind w:firstLine="480" w:firstLineChars="200"/>
        <w:rPr>
          <w:rFonts w:hAnsi="宋体" w:cs="宋体"/>
          <w:sz w:val="24"/>
          <w:szCs w:val="24"/>
        </w:rPr>
      </w:pPr>
      <w:r>
        <w:rPr>
          <w:rFonts w:hint="eastAsia" w:hAnsi="宋体" w:cs="宋体"/>
          <w:sz w:val="24"/>
          <w:szCs w:val="24"/>
        </w:rPr>
        <w:t>3.7.7 投标文件制作技术咨询：0374-2961598。</w:t>
      </w:r>
    </w:p>
    <w:p>
      <w:pPr>
        <w:tabs>
          <w:tab w:val="left" w:pos="1080"/>
        </w:tabs>
        <w:spacing w:line="400" w:lineRule="exact"/>
        <w:ind w:firstLine="480" w:firstLineChars="200"/>
        <w:rPr>
          <w:rFonts w:hAnsi="宋体" w:cs="宋体"/>
          <w:sz w:val="24"/>
          <w:szCs w:val="24"/>
        </w:rPr>
      </w:pPr>
      <w:r>
        <w:rPr>
          <w:rFonts w:hint="eastAsia" w:hAnsi="宋体" w:cs="宋体"/>
          <w:sz w:val="24"/>
          <w:szCs w:val="24"/>
        </w:rPr>
        <w:t>3.7.8 当生成的电子投标文件投标报价大小写不一致时，以大写为准。</w:t>
      </w:r>
    </w:p>
    <w:p>
      <w:pPr>
        <w:spacing w:line="400" w:lineRule="exact"/>
        <w:ind w:firstLine="480" w:firstLineChars="200"/>
        <w:rPr>
          <w:rFonts w:hAnsi="宋体" w:cs="宋体"/>
          <w:sz w:val="24"/>
          <w:szCs w:val="24"/>
        </w:rPr>
      </w:pPr>
    </w:p>
    <w:p>
      <w:pPr>
        <w:spacing w:line="400" w:lineRule="exact"/>
        <w:rPr>
          <w:rFonts w:hAnsi="宋体" w:cs="宋体"/>
          <w:b/>
          <w:bCs/>
          <w:sz w:val="24"/>
          <w:szCs w:val="24"/>
        </w:rPr>
      </w:pPr>
      <w:r>
        <w:rPr>
          <w:rFonts w:hint="eastAsia" w:hAnsi="宋体" w:cs="宋体"/>
          <w:b/>
          <w:bCs/>
          <w:sz w:val="24"/>
          <w:szCs w:val="24"/>
        </w:rPr>
        <w:t>4. 投标</w:t>
      </w:r>
    </w:p>
    <w:p>
      <w:pPr>
        <w:adjustRightInd w:val="0"/>
        <w:snapToGrid w:val="0"/>
        <w:spacing w:line="400" w:lineRule="exact"/>
        <w:rPr>
          <w:rFonts w:hAnsi="宋体"/>
          <w:b/>
          <w:bCs/>
          <w:sz w:val="24"/>
        </w:rPr>
      </w:pPr>
      <w:bookmarkStart w:id="12" w:name="_Toc486277890"/>
      <w:bookmarkStart w:id="13" w:name="_Toc234382617"/>
      <w:bookmarkStart w:id="14" w:name="_Toc485889029"/>
      <w:bookmarkStart w:id="15" w:name="_Toc26813"/>
      <w:r>
        <w:rPr>
          <w:rFonts w:hint="eastAsia" w:hAnsi="宋体"/>
          <w:b/>
          <w:bCs/>
          <w:sz w:val="24"/>
        </w:rPr>
        <w:t>4.1 投标文件的密封和标记</w:t>
      </w:r>
      <w:bookmarkEnd w:id="12"/>
      <w:bookmarkEnd w:id="13"/>
      <w:bookmarkEnd w:id="14"/>
      <w:bookmarkEnd w:id="15"/>
      <w:bookmarkStart w:id="16" w:name="_Toc234382618"/>
      <w:bookmarkStart w:id="17" w:name="_Toc486277891"/>
      <w:bookmarkStart w:id="18" w:name="_Toc31665"/>
      <w:bookmarkStart w:id="19" w:name="_Toc485889030"/>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4.1.1 </w:t>
      </w:r>
      <w:r>
        <w:rPr>
          <w:rFonts w:hint="eastAsia" w:hAnsi="宋体" w:cs="宋体"/>
          <w:sz w:val="24"/>
        </w:rPr>
        <w:t>使用电子介质存储的投标文件应密封包装</w:t>
      </w:r>
      <w:r>
        <w:rPr>
          <w:rFonts w:hint="eastAsia" w:cs="宋体" w:asciiTheme="minorEastAsia" w:hAnsiTheme="minorEastAsia" w:eastAsiaTheme="minorEastAsia"/>
          <w:sz w:val="24"/>
          <w:szCs w:val="24"/>
        </w:rPr>
        <w:t>，封套上写明“招标人名称、投标人名称、项目名称、标段，在</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时</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分前不得开启”，并加盖单位公章及密封印章，法定代表人或委托代理人签名，在投标截止时间前递交。</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4.1.2 未按本章第4.1.1项要求密封和加写标记的投标文件，招标人不予受理。</w:t>
      </w:r>
    </w:p>
    <w:p>
      <w:pPr>
        <w:adjustRightInd w:val="0"/>
        <w:snapToGrid w:val="0"/>
        <w:spacing w:line="400" w:lineRule="exact"/>
        <w:rPr>
          <w:rFonts w:hAnsi="宋体"/>
          <w:b/>
          <w:bCs/>
          <w:sz w:val="24"/>
        </w:rPr>
      </w:pPr>
      <w:r>
        <w:rPr>
          <w:rFonts w:hint="eastAsia" w:hAnsi="宋体"/>
          <w:b/>
          <w:bCs/>
          <w:sz w:val="24"/>
        </w:rPr>
        <w:t>4.2 投标文件的递交</w:t>
      </w:r>
      <w:bookmarkEnd w:id="16"/>
      <w:bookmarkEnd w:id="17"/>
      <w:bookmarkEnd w:id="18"/>
      <w:bookmarkEnd w:id="19"/>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4.2.1 投标人应在投标人须知前附表中规定的投标截止时间前成功上传电子投标文件和现场提交电子介质存储的投标文件。</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4.2.2 投标人提交电子介质存储的投标文件地点：见投标人须知前附表。</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4.2.3 除投标人须知前附表另有规定外，投标人所提交的电子投标文件及电子介质存储的投标文件不予退还。</w:t>
      </w:r>
    </w:p>
    <w:p>
      <w:pPr>
        <w:autoSpaceDE w:val="0"/>
        <w:autoSpaceDN w:val="0"/>
        <w:spacing w:line="400" w:lineRule="exact"/>
        <w:ind w:firstLine="480" w:firstLineChars="200"/>
        <w:jc w:val="left"/>
        <w:outlineLvl w:val="0"/>
        <w:rPr>
          <w:rFonts w:hAnsi="宋体" w:cs="宋体"/>
          <w:sz w:val="24"/>
          <w:szCs w:val="24"/>
        </w:rPr>
      </w:pPr>
      <w:r>
        <w:rPr>
          <w:rFonts w:hint="eastAsia" w:cs="宋体" w:asciiTheme="minorEastAsia" w:hAnsiTheme="minorEastAsia" w:eastAsiaTheme="minorEastAsia"/>
          <w:sz w:val="24"/>
          <w:szCs w:val="24"/>
        </w:rPr>
        <w:t>4.2.4 逾期送达的或者未送达指定地点的电子介质存储的投标文件，招标人不予受理</w:t>
      </w:r>
      <w:r>
        <w:rPr>
          <w:rFonts w:hint="eastAsia" w:hAnsi="宋体"/>
          <w:sz w:val="24"/>
        </w:rPr>
        <w:t>。</w:t>
      </w:r>
    </w:p>
    <w:p>
      <w:pPr>
        <w:spacing w:line="400" w:lineRule="exact"/>
        <w:rPr>
          <w:rFonts w:hAnsi="宋体" w:cs="宋体"/>
          <w:b/>
          <w:bCs/>
          <w:sz w:val="24"/>
          <w:szCs w:val="24"/>
        </w:rPr>
      </w:pPr>
      <w:r>
        <w:rPr>
          <w:rFonts w:hint="eastAsia" w:hAnsi="宋体" w:cs="宋体"/>
          <w:b/>
          <w:bCs/>
          <w:sz w:val="24"/>
          <w:szCs w:val="24"/>
        </w:rPr>
        <w:t>4.3 投标文件的修改与撤回</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4.3.1 在本章第2.2.2 项规定的投标截止时间前，投标人可以修改或撤回已提交的投标文件，电子介质存储投标文件的修改或撤回应以书面形式通知招标人。</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4.3.2 投标人修改或撤回已提交电子介质存储投标文件的书面通知应按照投标人须知前附表第3.7.3 项的要求签字或盖章。招标人收到书面通知后，向投标人出具签收凭证。</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4.3.3 修改的内容为投标文件的组成部分。修改的电子介质存储投标文件应按照本章第3条、第4条规定进行编制、密封、标记和提交，并标明“修改”字样。</w:t>
      </w:r>
    </w:p>
    <w:p>
      <w:pPr>
        <w:autoSpaceDE w:val="0"/>
        <w:autoSpaceDN w:val="0"/>
        <w:spacing w:line="400" w:lineRule="exact"/>
        <w:ind w:firstLine="480" w:firstLineChars="200"/>
        <w:jc w:val="left"/>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4.3.4 投标人应当在投标截止时间前完成电子投标文件的提交，可以补充、修改或撤回。投标截止时间前未完成电子投标文件提交、取得“投标文件提交回执单”的，视为撤回投标文件。</w:t>
      </w:r>
    </w:p>
    <w:p>
      <w:pPr>
        <w:spacing w:line="400" w:lineRule="exact"/>
        <w:ind w:firstLine="480" w:firstLineChars="200"/>
        <w:rPr>
          <w:rFonts w:hAnsi="宋体" w:cs="宋体"/>
          <w:sz w:val="24"/>
          <w:szCs w:val="24"/>
        </w:rPr>
      </w:pPr>
    </w:p>
    <w:p>
      <w:pPr>
        <w:spacing w:line="400" w:lineRule="exact"/>
        <w:rPr>
          <w:rFonts w:hAnsi="宋体" w:cs="宋体"/>
          <w:b/>
          <w:bCs/>
          <w:sz w:val="24"/>
          <w:szCs w:val="24"/>
        </w:rPr>
      </w:pPr>
      <w:r>
        <w:rPr>
          <w:rFonts w:hint="eastAsia" w:hAnsi="宋体" w:cs="宋体"/>
          <w:b/>
          <w:bCs/>
          <w:sz w:val="24"/>
          <w:szCs w:val="24"/>
        </w:rPr>
        <w:t>5. 开标</w:t>
      </w:r>
    </w:p>
    <w:p>
      <w:pPr>
        <w:spacing w:line="400" w:lineRule="exact"/>
        <w:rPr>
          <w:rFonts w:hAnsi="宋体" w:cs="宋体"/>
          <w:b/>
          <w:bCs/>
          <w:sz w:val="24"/>
          <w:szCs w:val="24"/>
        </w:rPr>
      </w:pPr>
      <w:r>
        <w:rPr>
          <w:rFonts w:hint="eastAsia" w:hAnsi="宋体" w:cs="宋体"/>
          <w:b/>
          <w:bCs/>
          <w:sz w:val="24"/>
          <w:szCs w:val="24"/>
        </w:rPr>
        <w:t>5.1 开标时间和地点</w:t>
      </w:r>
    </w:p>
    <w:p>
      <w:pPr>
        <w:spacing w:line="400" w:lineRule="exact"/>
        <w:ind w:firstLine="480" w:firstLineChars="200"/>
        <w:rPr>
          <w:rFonts w:hAnsi="宋体" w:cs="宋体"/>
          <w:sz w:val="24"/>
          <w:szCs w:val="24"/>
        </w:rPr>
      </w:pPr>
      <w:r>
        <w:rPr>
          <w:rFonts w:hint="eastAsia" w:asciiTheme="minorEastAsia" w:hAnsiTheme="minorEastAsia" w:eastAsiaTheme="minorEastAsia"/>
          <w:sz w:val="24"/>
          <w:szCs w:val="24"/>
        </w:rPr>
        <w:t>招标人在投标人须知前附表第2.2.2项规定的投标截止时间（开标时间）和投标人须知前附表规定的地点公开开标，并邀请所有投标人的法定代表人或授权委托人准时参加</w:t>
      </w:r>
      <w:r>
        <w:rPr>
          <w:rFonts w:hint="eastAsia" w:hAnsi="宋体" w:cs="宋体"/>
          <w:sz w:val="24"/>
          <w:szCs w:val="24"/>
        </w:rPr>
        <w:t>。</w:t>
      </w:r>
    </w:p>
    <w:p>
      <w:pPr>
        <w:spacing w:line="400" w:lineRule="exact"/>
        <w:rPr>
          <w:rFonts w:hAnsi="宋体" w:cs="宋体"/>
          <w:b/>
          <w:bCs/>
          <w:sz w:val="24"/>
          <w:szCs w:val="24"/>
        </w:rPr>
      </w:pPr>
      <w:r>
        <w:rPr>
          <w:rFonts w:hint="eastAsia" w:hAnsi="宋体" w:cs="宋体"/>
          <w:b/>
          <w:bCs/>
          <w:sz w:val="24"/>
          <w:szCs w:val="24"/>
        </w:rPr>
        <w:t>5.2 开标、解密、唱标程序</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5.2.1主持人按下列程序进行开标：</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（1）宣布投标截止时间，并公布招标人、代理机构、监督部门名称；</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（2）宣布开标纪律；</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（3）公布在投标截止时间前递交投标文件的投标人名称和投标保证金缴纳情况。</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（4）电子投标文件解密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5</w:t>
      </w:r>
      <w:r>
        <w:rPr>
          <w:rFonts w:hint="eastAsia" w:cs="宋体" w:asciiTheme="minorEastAsia" w:hAnsiTheme="minorEastAsia" w:eastAsiaTheme="minorEastAsia"/>
          <w:sz w:val="24"/>
          <w:szCs w:val="24"/>
        </w:rPr>
        <w:t>）宣布唱标顺序，按已定顺序唱标，唱标内容为：投标人名称、投标报价、质量目标、工期及其他内容，并记录；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6</w:t>
      </w:r>
      <w:r>
        <w:rPr>
          <w:rFonts w:hint="eastAsia" w:cs="宋体" w:asciiTheme="minorEastAsia" w:hAnsiTheme="minorEastAsia" w:eastAsiaTheme="minorEastAsia"/>
          <w:sz w:val="24"/>
          <w:szCs w:val="24"/>
        </w:rPr>
        <w:t>）现场抽取参与计算评标基准价的K值并宣布，同时公布招标控制价；</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）投标人代表、招标人代表、监标人、记录人等有关人员在开标记录上签字确认；</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）开标结束。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.2 电子投标文件的解密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5.2.2.1本项目为全流程电子化交易项目，电子投标文件采用双重加密。在投标截止时间到达后，分标段进行解密。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(1)投标人解密：投标人使用本单位CA数字证书远程或现场进行解密。需现场使用一体机进行解密的，请在代理机构引导下进行。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(2)代理机构解密：代理机构</w:t>
      </w:r>
      <w:r>
        <w:rPr>
          <w:rFonts w:cs="宋体" w:asciiTheme="minorEastAsia" w:hAnsiTheme="minorEastAsia" w:eastAsiaTheme="minorEastAsia"/>
          <w:sz w:val="24"/>
          <w:szCs w:val="24"/>
        </w:rPr>
        <w:t>按</w:t>
      </w:r>
      <w:r>
        <w:rPr>
          <w:rFonts w:hint="eastAsia" w:cs="宋体" w:asciiTheme="minorEastAsia" w:hAnsiTheme="minorEastAsia" w:eastAsiaTheme="minorEastAsia"/>
          <w:sz w:val="24"/>
          <w:szCs w:val="24"/>
        </w:rPr>
        <w:t>电子</w:t>
      </w:r>
      <w:r>
        <w:rPr>
          <w:rFonts w:cs="宋体" w:asciiTheme="minorEastAsia" w:hAnsiTheme="minorEastAsia" w:eastAsiaTheme="minorEastAsia"/>
          <w:sz w:val="24"/>
          <w:szCs w:val="24"/>
        </w:rPr>
        <w:t>投标</w:t>
      </w:r>
      <w:r>
        <w:rPr>
          <w:rFonts w:hint="eastAsia" w:cs="宋体" w:asciiTheme="minorEastAsia" w:hAnsiTheme="minorEastAsia" w:eastAsiaTheme="minorEastAsia"/>
          <w:sz w:val="24"/>
          <w:szCs w:val="24"/>
        </w:rPr>
        <w:t>文件到达交易系统</w:t>
      </w:r>
      <w:r>
        <w:rPr>
          <w:rFonts w:cs="宋体" w:asciiTheme="minorEastAsia" w:hAnsiTheme="minorEastAsia" w:eastAsiaTheme="minorEastAsia"/>
          <w:sz w:val="24"/>
          <w:szCs w:val="24"/>
        </w:rPr>
        <w:t>的先后顺序</w:t>
      </w:r>
      <w:r>
        <w:rPr>
          <w:rFonts w:hint="eastAsia" w:cs="宋体" w:asciiTheme="minorEastAsia" w:hAnsiTheme="minorEastAsia" w:eastAsiaTheme="minorEastAsia"/>
          <w:sz w:val="24"/>
          <w:szCs w:val="24"/>
        </w:rPr>
        <w:t>，使用本单位CA数字证书进行再次解密。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5.2.2.2电子投标文件解密异常情况处理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）因电子交易系统异常无法解密电子投标文件的，使用</w:t>
      </w:r>
      <w:r>
        <w:rPr>
          <w:rFonts w:hint="eastAsia" w:asciiTheme="minorEastAsia" w:hAnsiTheme="minorEastAsia" w:eastAsiaTheme="minorEastAsia"/>
          <w:sz w:val="24"/>
          <w:szCs w:val="24"/>
        </w:rPr>
        <w:t>电子版投标文件</w:t>
      </w:r>
      <w:r>
        <w:rPr>
          <w:rFonts w:hint="eastAsia" w:cs="宋体" w:asciiTheme="minorEastAsia" w:hAnsiTheme="minorEastAsia" w:eastAsiaTheme="minorEastAsia"/>
          <w:sz w:val="24"/>
          <w:szCs w:val="24"/>
        </w:rPr>
        <w:t>，以人工方式进行。</w:t>
      </w:r>
    </w:p>
    <w:p>
      <w:pPr>
        <w:spacing w:line="400" w:lineRule="exact"/>
        <w:ind w:firstLine="480" w:firstLineChars="200"/>
        <w:rPr>
          <w:rFonts w:hAnsi="宋体"/>
          <w:sz w:val="24"/>
        </w:rPr>
      </w:pPr>
      <w:r>
        <w:rPr>
          <w:rFonts w:hint="eastAsia" w:asciiTheme="minorEastAsia" w:hAnsiTheme="minorEastAsia" w:eastAsiaTheme="minorEastAsia"/>
          <w:sz w:val="24"/>
          <w:szCs w:val="24"/>
        </w:rPr>
        <w:t>（2）因投标人原因电子投标文件解密失败的，</w:t>
      </w:r>
      <w:r>
        <w:rPr>
          <w:rFonts w:hint="eastAsia" w:cs="宋体" w:asciiTheme="minorEastAsia" w:hAnsiTheme="minorEastAsia" w:eastAsiaTheme="minorEastAsia"/>
          <w:sz w:val="24"/>
          <w:szCs w:val="24"/>
        </w:rPr>
        <w:t>由系统技术人员协助投标人将备份文件（电子介质储存）导入系统。若备份文件（电子介质存储）无法导入系统或导入系统仍无法解密的，视为</w:t>
      </w:r>
      <w:r>
        <w:rPr>
          <w:rFonts w:hint="eastAsia" w:asciiTheme="minorEastAsia" w:hAnsiTheme="minorEastAsia" w:eastAsiaTheme="minorEastAsia"/>
          <w:sz w:val="24"/>
          <w:szCs w:val="24"/>
        </w:rPr>
        <w:t>投标人撤销其投标文件</w:t>
      </w:r>
      <w:r>
        <w:rPr>
          <w:rFonts w:hint="eastAsia" w:hAnsi="宋体"/>
          <w:sz w:val="24"/>
        </w:rPr>
        <w:t>。</w:t>
      </w:r>
    </w:p>
    <w:p>
      <w:pPr>
        <w:spacing w:line="400" w:lineRule="exact"/>
        <w:rPr>
          <w:rFonts w:hAnsi="宋体" w:cs="宋体"/>
          <w:b/>
          <w:bCs/>
          <w:sz w:val="24"/>
          <w:szCs w:val="24"/>
        </w:rPr>
      </w:pPr>
      <w:r>
        <w:rPr>
          <w:rFonts w:hint="eastAsia" w:hAnsi="宋体" w:cs="宋体"/>
          <w:b/>
          <w:bCs/>
          <w:sz w:val="24"/>
          <w:szCs w:val="24"/>
        </w:rPr>
        <w:t>5.3开标异议</w:t>
      </w:r>
    </w:p>
    <w:p>
      <w:pPr>
        <w:spacing w:line="400" w:lineRule="exact"/>
        <w:ind w:firstLine="480" w:firstLineChars="200"/>
        <w:rPr>
          <w:rFonts w:hAnsi="宋体" w:cs="宋体"/>
          <w:sz w:val="24"/>
          <w:szCs w:val="24"/>
        </w:rPr>
      </w:pPr>
      <w:r>
        <w:rPr>
          <w:rFonts w:hint="eastAsia" w:hAnsi="宋体" w:cs="宋体"/>
          <w:sz w:val="24"/>
          <w:szCs w:val="24"/>
        </w:rPr>
        <w:t>投标人对开标有异议的，应在开标现场提出，招标人当场作出答复，并制作记录，有异议的投标人代表、招标人代表、记录人等有关人员在记录上签字确认。</w:t>
      </w:r>
    </w:p>
    <w:p>
      <w:pPr>
        <w:spacing w:line="400" w:lineRule="exact"/>
        <w:ind w:firstLine="480" w:firstLineChars="200"/>
        <w:rPr>
          <w:rFonts w:hAnsi="宋体" w:cs="宋体"/>
          <w:sz w:val="24"/>
          <w:szCs w:val="24"/>
        </w:rPr>
      </w:pPr>
    </w:p>
    <w:p>
      <w:pPr>
        <w:spacing w:line="400" w:lineRule="exact"/>
        <w:rPr>
          <w:rFonts w:hAnsi="宋体" w:cs="宋体"/>
          <w:b/>
          <w:bCs/>
          <w:sz w:val="24"/>
          <w:szCs w:val="24"/>
        </w:rPr>
      </w:pPr>
      <w:r>
        <w:rPr>
          <w:rFonts w:hint="eastAsia" w:hAnsi="宋体" w:cs="宋体"/>
          <w:b/>
          <w:bCs/>
          <w:sz w:val="24"/>
          <w:szCs w:val="24"/>
        </w:rPr>
        <w:t>6. 评标</w:t>
      </w:r>
    </w:p>
    <w:p>
      <w:pPr>
        <w:spacing w:line="400" w:lineRule="exact"/>
        <w:rPr>
          <w:rFonts w:hAnsi="宋体" w:cs="宋体"/>
          <w:b/>
          <w:bCs/>
          <w:sz w:val="24"/>
          <w:szCs w:val="24"/>
        </w:rPr>
      </w:pPr>
      <w:r>
        <w:rPr>
          <w:rFonts w:hint="eastAsia" w:hAnsi="宋体" w:cs="宋体"/>
          <w:b/>
          <w:bCs/>
          <w:sz w:val="24"/>
          <w:szCs w:val="24"/>
        </w:rPr>
        <w:t>6.1 评标委员会</w:t>
      </w:r>
    </w:p>
    <w:p>
      <w:pPr>
        <w:spacing w:line="400" w:lineRule="exact"/>
        <w:ind w:firstLine="480" w:firstLineChars="200"/>
        <w:rPr>
          <w:rFonts w:hAnsi="宋体" w:cs="宋体"/>
          <w:sz w:val="24"/>
          <w:szCs w:val="24"/>
        </w:rPr>
      </w:pPr>
      <w:r>
        <w:rPr>
          <w:rFonts w:hint="eastAsia" w:hAnsi="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hAnsi="宋体" w:cs="宋体"/>
          <w:sz w:val="24"/>
          <w:szCs w:val="24"/>
        </w:rPr>
      </w:pPr>
      <w:r>
        <w:rPr>
          <w:rFonts w:hint="eastAsia" w:hAnsi="宋体" w:cs="宋体"/>
          <w:sz w:val="24"/>
          <w:szCs w:val="24"/>
        </w:rPr>
        <w:t>6.1.2 评标委员会成员有下列情形之一的，应当回避：</w:t>
      </w:r>
    </w:p>
    <w:p>
      <w:pPr>
        <w:spacing w:line="400" w:lineRule="exact"/>
        <w:ind w:firstLine="480" w:firstLineChars="200"/>
        <w:rPr>
          <w:rFonts w:hAnsi="宋体" w:cs="宋体"/>
          <w:sz w:val="24"/>
          <w:szCs w:val="24"/>
        </w:rPr>
      </w:pPr>
      <w:r>
        <w:rPr>
          <w:rFonts w:hint="eastAsia" w:hAnsi="宋体" w:cs="宋体"/>
          <w:sz w:val="24"/>
          <w:szCs w:val="24"/>
        </w:rPr>
        <w:t>（1）为负责招标项目监督管理的交通运输主管部门的工作人员；</w:t>
      </w:r>
    </w:p>
    <w:p>
      <w:pPr>
        <w:spacing w:line="400" w:lineRule="exact"/>
        <w:ind w:firstLine="480" w:firstLineChars="200"/>
        <w:rPr>
          <w:rFonts w:hAnsi="宋体" w:cs="宋体"/>
          <w:sz w:val="24"/>
          <w:szCs w:val="24"/>
        </w:rPr>
      </w:pPr>
      <w:r>
        <w:rPr>
          <w:rFonts w:hint="eastAsia" w:hAnsi="宋体" w:cs="宋体"/>
          <w:sz w:val="24"/>
          <w:szCs w:val="24"/>
        </w:rPr>
        <w:t>（2）与投标人法定代表人或其委托代理人有近亲属关系；</w:t>
      </w:r>
    </w:p>
    <w:p>
      <w:pPr>
        <w:spacing w:line="400" w:lineRule="exact"/>
        <w:ind w:firstLine="480" w:firstLineChars="200"/>
        <w:rPr>
          <w:rFonts w:hAnsi="宋体" w:cs="宋体"/>
          <w:sz w:val="24"/>
          <w:szCs w:val="24"/>
        </w:rPr>
      </w:pPr>
      <w:r>
        <w:rPr>
          <w:rFonts w:hint="eastAsia" w:hAnsi="宋体" w:cs="宋体"/>
          <w:sz w:val="24"/>
          <w:szCs w:val="24"/>
        </w:rPr>
        <w:t>（3）为投标人的工作人员或退休人员；</w:t>
      </w:r>
    </w:p>
    <w:p>
      <w:pPr>
        <w:spacing w:line="400" w:lineRule="exact"/>
        <w:ind w:firstLine="480" w:firstLineChars="200"/>
        <w:rPr>
          <w:rFonts w:hAnsi="宋体" w:cs="宋体"/>
          <w:sz w:val="24"/>
          <w:szCs w:val="24"/>
        </w:rPr>
      </w:pPr>
      <w:r>
        <w:rPr>
          <w:rFonts w:hint="eastAsia" w:hAnsi="宋体" w:cs="宋体"/>
          <w:sz w:val="24"/>
          <w:szCs w:val="24"/>
        </w:rPr>
        <w:t>（4）与投标人有其他利害关系，可能影响评标活动公正性；</w:t>
      </w:r>
    </w:p>
    <w:p>
      <w:pPr>
        <w:spacing w:line="400" w:lineRule="exact"/>
        <w:ind w:firstLine="480" w:firstLineChars="200"/>
        <w:rPr>
          <w:rFonts w:hAnsi="宋体" w:cs="宋体"/>
          <w:sz w:val="24"/>
          <w:szCs w:val="24"/>
        </w:rPr>
      </w:pPr>
      <w:r>
        <w:rPr>
          <w:rFonts w:hint="eastAsia" w:hAnsi="宋体" w:cs="宋体"/>
          <w:sz w:val="24"/>
          <w:szCs w:val="24"/>
        </w:rPr>
        <w:t>（5）在与招标投标有关的活动中有过违法违规行为、曾受过行政处罚或刑事处罚。</w:t>
      </w:r>
    </w:p>
    <w:p>
      <w:pPr>
        <w:spacing w:line="400" w:lineRule="exact"/>
        <w:ind w:firstLine="480" w:firstLineChars="200"/>
        <w:rPr>
          <w:rFonts w:hAnsi="宋体" w:cs="宋体"/>
          <w:sz w:val="24"/>
          <w:szCs w:val="24"/>
        </w:rPr>
      </w:pPr>
      <w:r>
        <w:rPr>
          <w:rFonts w:hint="eastAsia" w:hAnsi="宋体" w:cs="宋体"/>
          <w:sz w:val="24"/>
          <w:szCs w:val="24"/>
        </w:rPr>
        <w:t>6.1.3 评标过程中，评标委员会成员有回避事由、擅离职守或因健康等原因不能 继续评标的，招标人有权更换。被更换的评标委员会成员作出的评审结论无效，由更 换后的评标委员会成员重新进行评审。</w:t>
      </w:r>
    </w:p>
    <w:p>
      <w:pPr>
        <w:spacing w:line="400" w:lineRule="exact"/>
        <w:rPr>
          <w:rFonts w:hAnsi="宋体" w:cs="宋体"/>
          <w:b/>
          <w:bCs/>
          <w:sz w:val="24"/>
          <w:szCs w:val="24"/>
        </w:rPr>
      </w:pPr>
      <w:r>
        <w:rPr>
          <w:rFonts w:hint="eastAsia" w:hAnsi="宋体" w:cs="宋体"/>
          <w:b/>
          <w:bCs/>
          <w:sz w:val="24"/>
          <w:szCs w:val="24"/>
        </w:rPr>
        <w:t>6.2 评标原则</w:t>
      </w:r>
    </w:p>
    <w:p>
      <w:pPr>
        <w:spacing w:line="400" w:lineRule="exact"/>
        <w:ind w:firstLine="480" w:firstLineChars="200"/>
        <w:rPr>
          <w:rFonts w:hAnsi="宋体" w:cs="宋体"/>
          <w:sz w:val="24"/>
          <w:szCs w:val="24"/>
        </w:rPr>
      </w:pPr>
      <w:r>
        <w:rPr>
          <w:rFonts w:hint="eastAsia" w:hAnsi="宋体" w:cs="宋体"/>
          <w:sz w:val="24"/>
          <w:szCs w:val="24"/>
        </w:rPr>
        <w:t>评标活动遵循公平、公正、科学和择优的原则。</w:t>
      </w:r>
    </w:p>
    <w:p>
      <w:pPr>
        <w:spacing w:line="400" w:lineRule="exact"/>
        <w:rPr>
          <w:rFonts w:hAnsi="宋体" w:cs="宋体"/>
          <w:b/>
          <w:bCs/>
          <w:sz w:val="24"/>
          <w:szCs w:val="24"/>
        </w:rPr>
      </w:pPr>
      <w:r>
        <w:rPr>
          <w:rFonts w:hint="eastAsia" w:hAnsi="宋体" w:cs="宋体"/>
          <w:b/>
          <w:bCs/>
          <w:sz w:val="24"/>
          <w:szCs w:val="24"/>
        </w:rPr>
        <w:t>6.3 评标</w:t>
      </w:r>
    </w:p>
    <w:p>
      <w:pPr>
        <w:spacing w:line="400" w:lineRule="exact"/>
        <w:ind w:firstLine="480" w:firstLineChars="200"/>
        <w:rPr>
          <w:rFonts w:hAnsi="宋体" w:cs="宋体"/>
          <w:sz w:val="24"/>
          <w:szCs w:val="24"/>
        </w:rPr>
      </w:pPr>
      <w:r>
        <w:rPr>
          <w:rFonts w:hint="eastAsia" w:hAnsi="宋体" w:cs="宋体"/>
          <w:sz w:val="24"/>
          <w:szCs w:val="24"/>
        </w:rPr>
        <w:t>6.3.1评标委员会按照第三章“评标办法”规定的方法、评审因素、标准和程序对投标文件进行评审。第三章“评标办法”没有规定的方法、评审因素和标准，不作为评标依据。</w:t>
      </w:r>
    </w:p>
    <w:p>
      <w:pPr>
        <w:spacing w:line="400" w:lineRule="exact"/>
        <w:ind w:firstLine="480" w:firstLineChars="200"/>
        <w:rPr>
          <w:rFonts w:hAnsi="宋体" w:cs="宋体"/>
          <w:sz w:val="24"/>
          <w:szCs w:val="24"/>
        </w:rPr>
      </w:pPr>
      <w:r>
        <w:rPr>
          <w:rFonts w:hint="eastAsia" w:hAnsi="宋体" w:cs="宋体"/>
          <w:sz w:val="24"/>
          <w:szCs w:val="24"/>
        </w:rPr>
        <w:t>6.3.2评标完成后，评标委员会应向招标人提交书面评标报告和中标候选人名单。评标委员会推荐中标候选人的人数见投标人须知前附表。</w:t>
      </w:r>
    </w:p>
    <w:p>
      <w:pPr>
        <w:spacing w:line="400" w:lineRule="exact"/>
        <w:ind w:firstLine="480" w:firstLineChars="200"/>
        <w:rPr>
          <w:rFonts w:hAnsi="宋体" w:cs="宋体"/>
          <w:sz w:val="24"/>
          <w:szCs w:val="24"/>
        </w:rPr>
      </w:pPr>
    </w:p>
    <w:p>
      <w:pPr>
        <w:spacing w:line="400" w:lineRule="exact"/>
        <w:rPr>
          <w:rFonts w:hAnsi="宋体" w:cs="宋体"/>
          <w:b/>
          <w:bCs/>
          <w:sz w:val="24"/>
          <w:szCs w:val="24"/>
        </w:rPr>
      </w:pPr>
      <w:r>
        <w:rPr>
          <w:rFonts w:hint="eastAsia" w:hAnsi="宋体" w:cs="宋体"/>
          <w:b/>
          <w:bCs/>
          <w:sz w:val="24"/>
          <w:szCs w:val="24"/>
        </w:rPr>
        <w:t>7. 合同授予</w:t>
      </w:r>
    </w:p>
    <w:p>
      <w:pPr>
        <w:spacing w:line="400" w:lineRule="exact"/>
        <w:rPr>
          <w:rFonts w:hAnsi="宋体" w:cs="宋体"/>
          <w:b/>
          <w:bCs/>
          <w:sz w:val="24"/>
          <w:szCs w:val="24"/>
        </w:rPr>
      </w:pPr>
      <w:r>
        <w:rPr>
          <w:rFonts w:hint="eastAsia" w:hAnsi="宋体" w:cs="宋体"/>
          <w:b/>
          <w:bCs/>
          <w:sz w:val="24"/>
          <w:szCs w:val="24"/>
        </w:rPr>
        <w:t>7.1 中标候选人公示</w:t>
      </w:r>
    </w:p>
    <w:p>
      <w:pPr>
        <w:spacing w:line="400" w:lineRule="exact"/>
        <w:ind w:firstLine="480" w:firstLineChars="200"/>
        <w:rPr>
          <w:rFonts w:hAnsi="宋体" w:cs="宋体"/>
          <w:sz w:val="24"/>
          <w:szCs w:val="24"/>
        </w:rPr>
      </w:pPr>
      <w:r>
        <w:rPr>
          <w:rFonts w:hint="eastAsia" w:hAnsi="宋体" w:cs="宋体"/>
          <w:sz w:val="24"/>
          <w:szCs w:val="24"/>
        </w:rPr>
        <w:t>招标人在收到评标报告之日起3日内，按照投标人须知前附表规定的公示媒介和期限公示中标候选人，公示期不得少于3日，公示内容包括：</w:t>
      </w:r>
    </w:p>
    <w:p>
      <w:pPr>
        <w:spacing w:line="400" w:lineRule="exact"/>
        <w:ind w:firstLine="480" w:firstLineChars="200"/>
        <w:rPr>
          <w:rFonts w:hAnsi="宋体" w:cs="宋体"/>
          <w:sz w:val="24"/>
          <w:szCs w:val="24"/>
        </w:rPr>
      </w:pPr>
      <w:r>
        <w:rPr>
          <w:rFonts w:hint="eastAsia" w:hAnsi="宋体" w:cs="宋体"/>
          <w:sz w:val="24"/>
          <w:szCs w:val="24"/>
        </w:rPr>
        <w:t>（1）中标候选人排序、名称、投标报价，对工程质量要求和工期的响应情况；</w:t>
      </w:r>
    </w:p>
    <w:p>
      <w:pPr>
        <w:spacing w:line="400" w:lineRule="exact"/>
        <w:ind w:firstLine="480" w:firstLineChars="200"/>
        <w:rPr>
          <w:rFonts w:hAnsi="宋体" w:cs="宋体"/>
          <w:sz w:val="24"/>
          <w:szCs w:val="24"/>
        </w:rPr>
      </w:pPr>
      <w:r>
        <w:rPr>
          <w:rFonts w:hint="eastAsia" w:hAnsi="宋体" w:cs="宋体"/>
          <w:sz w:val="24"/>
          <w:szCs w:val="24"/>
        </w:rPr>
        <w:t>（2）中标候选人在投标文件中承诺的项目经理和项目总工姓名、个人业绩、相关证书名称和编号；</w:t>
      </w:r>
    </w:p>
    <w:p>
      <w:pPr>
        <w:spacing w:line="400" w:lineRule="exact"/>
        <w:ind w:firstLine="480" w:firstLineChars="200"/>
        <w:rPr>
          <w:rFonts w:hAnsi="宋体" w:cs="宋体"/>
          <w:sz w:val="24"/>
          <w:szCs w:val="24"/>
        </w:rPr>
      </w:pPr>
      <w:r>
        <w:rPr>
          <w:rFonts w:hint="eastAsia" w:hAnsi="宋体" w:cs="宋体"/>
          <w:sz w:val="24"/>
          <w:szCs w:val="24"/>
        </w:rPr>
        <w:t>（3）中标候选人在投标文件中填报的项目业绩；</w:t>
      </w:r>
    </w:p>
    <w:p>
      <w:pPr>
        <w:spacing w:line="400" w:lineRule="exact"/>
        <w:ind w:firstLine="480" w:firstLineChars="200"/>
        <w:rPr>
          <w:rFonts w:hAnsi="宋体" w:cs="宋体"/>
          <w:sz w:val="24"/>
          <w:szCs w:val="24"/>
        </w:rPr>
      </w:pPr>
      <w:r>
        <w:rPr>
          <w:rFonts w:hint="eastAsia" w:hAnsi="宋体" w:cs="宋体"/>
          <w:sz w:val="24"/>
          <w:szCs w:val="24"/>
        </w:rPr>
        <w:t>（4）被否决投标的投标人名称、否决依据和原因；</w:t>
      </w:r>
    </w:p>
    <w:p>
      <w:pPr>
        <w:spacing w:line="400" w:lineRule="exact"/>
        <w:ind w:firstLine="480" w:firstLineChars="200"/>
        <w:rPr>
          <w:rFonts w:hAnsi="宋体" w:cs="宋体"/>
          <w:sz w:val="24"/>
          <w:szCs w:val="24"/>
        </w:rPr>
      </w:pPr>
      <w:r>
        <w:rPr>
          <w:rFonts w:hint="eastAsia" w:hAnsi="宋体" w:cs="宋体"/>
          <w:sz w:val="24"/>
          <w:szCs w:val="24"/>
        </w:rPr>
        <w:t>（5）提出异议的渠道和方式；</w:t>
      </w:r>
    </w:p>
    <w:p>
      <w:pPr>
        <w:spacing w:line="400" w:lineRule="exact"/>
        <w:ind w:firstLine="480" w:firstLineChars="200"/>
        <w:rPr>
          <w:rFonts w:hAnsi="宋体" w:cs="宋体"/>
          <w:sz w:val="24"/>
          <w:szCs w:val="24"/>
        </w:rPr>
      </w:pPr>
      <w:r>
        <w:rPr>
          <w:rFonts w:hint="eastAsia" w:hAnsi="宋体" w:cs="宋体"/>
          <w:sz w:val="24"/>
          <w:szCs w:val="24"/>
        </w:rPr>
        <w:t>（6）投标人须知前附表规定公示的其他内容。</w:t>
      </w:r>
    </w:p>
    <w:p>
      <w:pPr>
        <w:spacing w:line="400" w:lineRule="exact"/>
        <w:rPr>
          <w:rFonts w:hAnsi="宋体" w:cs="宋体"/>
          <w:b/>
          <w:bCs/>
          <w:sz w:val="24"/>
          <w:szCs w:val="24"/>
        </w:rPr>
      </w:pPr>
      <w:bookmarkStart w:id="20" w:name="_bookmark72"/>
      <w:bookmarkEnd w:id="20"/>
      <w:r>
        <w:rPr>
          <w:rFonts w:hint="eastAsia" w:hAnsi="宋体" w:cs="宋体"/>
          <w:b/>
          <w:bCs/>
          <w:sz w:val="24"/>
          <w:szCs w:val="24"/>
        </w:rPr>
        <w:t>7.2 评标结果异议</w:t>
      </w:r>
    </w:p>
    <w:p>
      <w:pPr>
        <w:spacing w:line="400" w:lineRule="exact"/>
        <w:ind w:firstLine="480" w:firstLineChars="200"/>
        <w:rPr>
          <w:rFonts w:hAnsi="宋体" w:cs="宋体"/>
          <w:sz w:val="24"/>
          <w:szCs w:val="24"/>
        </w:rPr>
      </w:pPr>
      <w:r>
        <w:rPr>
          <w:rFonts w:hint="eastAsia" w:hAnsi="宋体" w:cs="宋体"/>
          <w:sz w:val="24"/>
          <w:szCs w:val="24"/>
        </w:rPr>
        <w:t>投标人或其他利害关系人对依法必须进行招标的项目的评标结果有异议的，应在 中标候选人公示期间提出。招标人将在收到异议之日起3日内作出答复；作出答复前， 将暂停招标投标活动。</w:t>
      </w:r>
    </w:p>
    <w:p>
      <w:pPr>
        <w:spacing w:line="400" w:lineRule="exact"/>
        <w:rPr>
          <w:rFonts w:hAnsi="宋体" w:cs="宋体"/>
          <w:b/>
          <w:bCs/>
          <w:sz w:val="24"/>
          <w:szCs w:val="24"/>
        </w:rPr>
      </w:pPr>
      <w:bookmarkStart w:id="21" w:name="_bookmark73"/>
      <w:bookmarkEnd w:id="21"/>
      <w:r>
        <w:rPr>
          <w:rFonts w:hint="eastAsia" w:hAnsi="宋体" w:cs="宋体"/>
          <w:b/>
          <w:bCs/>
          <w:sz w:val="24"/>
          <w:szCs w:val="24"/>
        </w:rPr>
        <w:t>7.3 中标候选人履约能力审查</w:t>
      </w:r>
    </w:p>
    <w:p>
      <w:pPr>
        <w:spacing w:line="400" w:lineRule="exact"/>
        <w:ind w:firstLine="480" w:firstLineChars="20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spacing w:line="400" w:lineRule="exact"/>
        <w:rPr>
          <w:rFonts w:hAnsi="宋体" w:cs="宋体"/>
          <w:b/>
          <w:bCs/>
          <w:sz w:val="24"/>
          <w:szCs w:val="24"/>
        </w:rPr>
      </w:pPr>
      <w:bookmarkStart w:id="22" w:name="_bookmark74"/>
      <w:bookmarkEnd w:id="22"/>
      <w:r>
        <w:rPr>
          <w:rFonts w:hint="eastAsia" w:hAnsi="宋体" w:cs="宋体"/>
          <w:b/>
          <w:bCs/>
          <w:sz w:val="24"/>
          <w:szCs w:val="24"/>
        </w:rPr>
        <w:t>7.4 定标</w:t>
      </w:r>
    </w:p>
    <w:p>
      <w:pPr>
        <w:adjustRightInd w:val="0"/>
        <w:snapToGrid w:val="0"/>
        <w:spacing w:line="400" w:lineRule="exact"/>
        <w:ind w:firstLine="480" w:firstLineChars="200"/>
        <w:rPr>
          <w:rFonts w:hAnsi="宋体" w:cs="宋体"/>
          <w:sz w:val="24"/>
          <w:szCs w:val="24"/>
        </w:rPr>
      </w:pPr>
      <w:r>
        <w:rPr>
          <w:rFonts w:hAnsi="宋体"/>
          <w:sz w:val="24"/>
        </w:rPr>
        <w:t>除投标人须知前附表规定评标委员会直接确定中标人外，招标人依据评标委员会推荐的中标候选人确定中标人，评标委员会推荐中标候选人的人数见投标人须知前附表。</w:t>
      </w:r>
    </w:p>
    <w:p>
      <w:pPr>
        <w:spacing w:line="400" w:lineRule="exact"/>
        <w:rPr>
          <w:rFonts w:hAnsi="宋体" w:cs="宋体"/>
          <w:b/>
          <w:bCs/>
          <w:sz w:val="24"/>
          <w:szCs w:val="24"/>
        </w:rPr>
      </w:pPr>
      <w:bookmarkStart w:id="23" w:name="_bookmark75"/>
      <w:bookmarkEnd w:id="23"/>
      <w:r>
        <w:rPr>
          <w:rFonts w:hint="eastAsia" w:hAnsi="宋体" w:cs="宋体"/>
          <w:b/>
          <w:bCs/>
          <w:sz w:val="24"/>
          <w:szCs w:val="24"/>
        </w:rPr>
        <w:t>7.5 中标通知</w:t>
      </w:r>
    </w:p>
    <w:p>
      <w:pPr>
        <w:spacing w:line="400" w:lineRule="exact"/>
        <w:ind w:firstLine="480" w:firstLineChars="200"/>
        <w:rPr>
          <w:rFonts w:hAnsi="宋体" w:cs="宋体"/>
          <w:sz w:val="24"/>
          <w:szCs w:val="24"/>
        </w:rPr>
      </w:pPr>
      <w:r>
        <w:rPr>
          <w:rFonts w:hint="eastAsia" w:hAnsi="宋体" w:cs="宋体"/>
          <w:sz w:val="24"/>
          <w:szCs w:val="24"/>
        </w:rPr>
        <w:t>在本章第3.3 款规定的投标有效期内，招标人以投标人须知前附表规定的形式向 中标人发出中标通知书，同时将中标结果通知未中标的投标人。</w:t>
      </w:r>
    </w:p>
    <w:p>
      <w:pPr>
        <w:spacing w:line="400" w:lineRule="exact"/>
        <w:rPr>
          <w:rFonts w:hAnsi="宋体" w:cs="宋体"/>
          <w:b/>
          <w:bCs/>
          <w:sz w:val="24"/>
          <w:szCs w:val="24"/>
        </w:rPr>
      </w:pPr>
      <w:bookmarkStart w:id="24" w:name="_bookmark76"/>
      <w:bookmarkEnd w:id="24"/>
      <w:r>
        <w:rPr>
          <w:rFonts w:hint="eastAsia" w:hAnsi="宋体" w:cs="宋体"/>
          <w:b/>
          <w:bCs/>
          <w:sz w:val="24"/>
          <w:szCs w:val="24"/>
        </w:rPr>
        <w:t>7.6 中标结果公告</w:t>
      </w:r>
    </w:p>
    <w:p>
      <w:pPr>
        <w:spacing w:line="400" w:lineRule="exact"/>
        <w:ind w:firstLine="480" w:firstLineChars="200"/>
        <w:rPr>
          <w:rFonts w:hAnsi="宋体" w:cs="宋体"/>
          <w:sz w:val="24"/>
          <w:szCs w:val="24"/>
        </w:rPr>
      </w:pPr>
      <w:r>
        <w:rPr>
          <w:rFonts w:hint="eastAsia" w:hAnsi="宋体" w:cs="宋体"/>
          <w:sz w:val="24"/>
          <w:szCs w:val="24"/>
        </w:rPr>
        <w:t>招标人在确定中标人之日起3日内，按照投标人须知前附表规定的公告媒介和期限公告中标结果，公告期不得少于3日。公告内容包括中标人名称、中标价。</w:t>
      </w:r>
    </w:p>
    <w:p>
      <w:pPr>
        <w:spacing w:line="400" w:lineRule="exact"/>
        <w:rPr>
          <w:rFonts w:hAnsi="宋体" w:cs="宋体"/>
          <w:b/>
          <w:bCs/>
          <w:sz w:val="24"/>
          <w:szCs w:val="24"/>
        </w:rPr>
      </w:pPr>
      <w:bookmarkStart w:id="25" w:name="_bookmark78"/>
      <w:bookmarkEnd w:id="25"/>
      <w:r>
        <w:rPr>
          <w:rFonts w:hint="eastAsia" w:hAnsi="宋体" w:cs="宋体"/>
          <w:b/>
          <w:bCs/>
          <w:sz w:val="24"/>
          <w:szCs w:val="24"/>
        </w:rPr>
        <w:t>7.7 签订合同</w:t>
      </w:r>
    </w:p>
    <w:p>
      <w:pPr>
        <w:spacing w:line="400" w:lineRule="exact"/>
        <w:ind w:firstLine="480" w:firstLineChars="200"/>
        <w:rPr>
          <w:rFonts w:hAnsi="宋体" w:cs="宋体"/>
          <w:sz w:val="24"/>
          <w:szCs w:val="24"/>
        </w:rPr>
      </w:pPr>
      <w:r>
        <w:rPr>
          <w:rFonts w:hint="eastAsia" w:hAnsi="宋体" w:cs="宋体"/>
          <w:sz w:val="24"/>
          <w:szCs w:val="24"/>
        </w:rPr>
        <w:t>7.7.1 招标人和中标人应在中标通知书发出之日起 30 日内，根据招标文件和中标 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spacing w:line="400" w:lineRule="exact"/>
        <w:ind w:firstLine="480" w:firstLineChars="200"/>
        <w:rPr>
          <w:rFonts w:hAnsi="宋体" w:cs="宋体"/>
          <w:sz w:val="24"/>
          <w:szCs w:val="24"/>
        </w:rPr>
      </w:pPr>
      <w:r>
        <w:rPr>
          <w:rFonts w:hint="eastAsia" w:hAnsi="宋体" w:cs="宋体"/>
          <w:sz w:val="24"/>
          <w:szCs w:val="24"/>
        </w:rPr>
        <w:t>7.7.2 发出中标通知书后，招标人无正当理由拒签合同，或在签订合同时向中标人提出附加条件的，招标人向中标人退还投标保证金；给中标人造成损失的，还应赔偿损失。</w:t>
      </w:r>
    </w:p>
    <w:p>
      <w:pPr>
        <w:spacing w:line="400" w:lineRule="exact"/>
        <w:ind w:firstLine="480" w:firstLineChars="200"/>
        <w:rPr>
          <w:rFonts w:hAnsi="宋体" w:cs="宋体"/>
          <w:sz w:val="24"/>
          <w:szCs w:val="24"/>
        </w:rPr>
      </w:pPr>
      <w:r>
        <w:rPr>
          <w:rFonts w:hint="eastAsia" w:hAnsi="宋体" w:cs="宋体"/>
          <w:sz w:val="24"/>
          <w:szCs w:val="24"/>
        </w:rPr>
        <w:t>7.7.3  签约合同价的确定原则如下：</w:t>
      </w:r>
    </w:p>
    <w:p>
      <w:pPr>
        <w:spacing w:line="400" w:lineRule="exact"/>
        <w:ind w:firstLine="480" w:firstLineChars="200"/>
        <w:rPr>
          <w:rFonts w:hAnsi="宋体" w:cs="宋体"/>
          <w:sz w:val="24"/>
          <w:szCs w:val="24"/>
        </w:rPr>
      </w:pPr>
      <w:r>
        <w:rPr>
          <w:rFonts w:hint="eastAsia" w:hAnsi="宋体" w:cs="宋体"/>
          <w:sz w:val="24"/>
          <w:szCs w:val="24"/>
        </w:rPr>
        <w:t>（1）按照评标办法规定对投标报价进行修正后，若修正后的最终投标报价小于开标时的投标函大写金额报价，则签订合同时以修正后的最终投标报价为准；</w:t>
      </w:r>
    </w:p>
    <w:p>
      <w:pPr>
        <w:spacing w:line="400" w:lineRule="exact"/>
        <w:ind w:firstLine="480" w:firstLineChars="200"/>
        <w:rPr>
          <w:rFonts w:hAnsi="宋体" w:cs="宋体"/>
          <w:sz w:val="24"/>
          <w:szCs w:val="24"/>
        </w:rPr>
      </w:pPr>
      <w:r>
        <w:rPr>
          <w:rFonts w:hint="eastAsia" w:hAnsi="宋体" w:cs="宋体"/>
          <w:sz w:val="24"/>
          <w:szCs w:val="24"/>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400" w:lineRule="exact"/>
        <w:ind w:firstLine="480" w:firstLineChars="200"/>
        <w:rPr>
          <w:rFonts w:hAnsi="宋体" w:cs="宋体"/>
          <w:sz w:val="24"/>
          <w:szCs w:val="24"/>
        </w:rPr>
      </w:pPr>
      <w:r>
        <w:rPr>
          <w:rFonts w:hint="eastAsia" w:hAnsi="宋体" w:cs="宋体"/>
          <w:sz w:val="24"/>
          <w:szCs w:val="24"/>
        </w:rPr>
        <w:t>7.7.4 招标人和中标人在签订合同协议书的同时，须按照本招标文件规定的格式和要求签订廉政合同及安全生产合同，明确双方在廉政建设和安全生产方面的权利和 义务以及应承担的违约责任。</w:t>
      </w:r>
    </w:p>
    <w:p>
      <w:pPr>
        <w:autoSpaceDE w:val="0"/>
        <w:autoSpaceDN w:val="0"/>
        <w:spacing w:line="400" w:lineRule="exact"/>
        <w:jc w:val="left"/>
        <w:outlineLvl w:val="0"/>
        <w:rPr>
          <w:rFonts w:hAnsi="宋体" w:cs="宋体"/>
          <w:b/>
          <w:sz w:val="24"/>
        </w:rPr>
      </w:pPr>
    </w:p>
    <w:p>
      <w:pPr>
        <w:autoSpaceDE w:val="0"/>
        <w:autoSpaceDN w:val="0"/>
        <w:spacing w:line="40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p>
    <w:p>
      <w:pPr>
        <w:autoSpaceDE w:val="0"/>
        <w:autoSpaceDN w:val="0"/>
        <w:adjustRightInd w:val="0"/>
        <w:spacing w:line="400" w:lineRule="exact"/>
        <w:jc w:val="left"/>
        <w:outlineLvl w:val="0"/>
        <w:rPr>
          <w:rFonts w:hAnsi="宋体" w:cs="宋体"/>
          <w:b/>
          <w:sz w:val="24"/>
        </w:rPr>
      </w:pPr>
      <w:r>
        <w:rPr>
          <w:rFonts w:hAnsi="宋体" w:cs="宋体"/>
          <w:b/>
          <w:sz w:val="24"/>
        </w:rPr>
        <w:t xml:space="preserve">8.1 </w:t>
      </w:r>
      <w:r>
        <w:rPr>
          <w:rFonts w:hint="eastAsia" w:hAnsi="宋体" w:cs="宋体"/>
          <w:b/>
          <w:sz w:val="24"/>
        </w:rPr>
        <w:t>重新招标</w:t>
      </w:r>
    </w:p>
    <w:p>
      <w:pPr>
        <w:spacing w:line="400" w:lineRule="exact"/>
        <w:ind w:firstLine="480" w:firstLineChars="200"/>
        <w:rPr>
          <w:rFonts w:hAnsi="宋体" w:cs="宋体"/>
          <w:sz w:val="24"/>
          <w:szCs w:val="24"/>
        </w:rPr>
      </w:pPr>
      <w:r>
        <w:rPr>
          <w:rFonts w:hint="eastAsia" w:hAnsi="宋体" w:cs="宋体"/>
          <w:sz w:val="24"/>
          <w:szCs w:val="24"/>
        </w:rPr>
        <w:t>有下列情形之一的，招标人将重新招标：</w:t>
      </w:r>
    </w:p>
    <w:p>
      <w:pPr>
        <w:spacing w:line="400" w:lineRule="exact"/>
        <w:ind w:firstLine="480" w:firstLineChars="200"/>
        <w:rPr>
          <w:rFonts w:hAnsi="宋体" w:cs="宋体"/>
          <w:sz w:val="24"/>
          <w:szCs w:val="24"/>
        </w:rPr>
      </w:pPr>
      <w:r>
        <w:rPr>
          <w:rFonts w:hint="eastAsia" w:hAnsi="宋体" w:cs="宋体"/>
          <w:sz w:val="24"/>
          <w:szCs w:val="24"/>
        </w:rPr>
        <w:t>（1）投标截止时间止，投标人少于3个的；</w:t>
      </w:r>
    </w:p>
    <w:p>
      <w:pPr>
        <w:spacing w:line="400" w:lineRule="exact"/>
        <w:ind w:firstLine="480" w:firstLineChars="200"/>
        <w:rPr>
          <w:rFonts w:hAnsi="宋体" w:cs="宋体"/>
          <w:sz w:val="24"/>
          <w:szCs w:val="24"/>
        </w:rPr>
      </w:pPr>
      <w:r>
        <w:rPr>
          <w:rFonts w:hint="eastAsia" w:hAnsi="宋体" w:cs="宋体"/>
          <w:sz w:val="24"/>
          <w:szCs w:val="24"/>
        </w:rPr>
        <w:t>（2）经评标委员会评审后否决所有投标的；</w:t>
      </w:r>
    </w:p>
    <w:p>
      <w:pPr>
        <w:spacing w:line="400" w:lineRule="exact"/>
        <w:ind w:firstLine="480" w:firstLineChars="200"/>
        <w:rPr>
          <w:rFonts w:hAnsi="宋体" w:cs="宋体"/>
          <w:sz w:val="24"/>
          <w:szCs w:val="24"/>
        </w:rPr>
      </w:pPr>
      <w:r>
        <w:rPr>
          <w:rFonts w:hint="eastAsia" w:hAnsi="宋体" w:cs="宋体"/>
          <w:sz w:val="24"/>
          <w:szCs w:val="24"/>
        </w:rPr>
        <w:t>（3）中标候选人均未与招标人签订合同的；</w:t>
      </w:r>
    </w:p>
    <w:p>
      <w:pPr>
        <w:spacing w:line="400" w:lineRule="exact"/>
        <w:ind w:firstLine="480" w:firstLineChars="200"/>
        <w:rPr>
          <w:rFonts w:hAnsi="宋体" w:cs="宋体"/>
          <w:sz w:val="24"/>
          <w:szCs w:val="24"/>
        </w:rPr>
      </w:pPr>
      <w:r>
        <w:rPr>
          <w:rFonts w:hint="eastAsia" w:hAnsi="宋体" w:cs="宋体"/>
          <w:sz w:val="24"/>
          <w:szCs w:val="24"/>
        </w:rPr>
        <w:t>（4）法律规定的其他情形。</w:t>
      </w:r>
    </w:p>
    <w:p>
      <w:pPr>
        <w:autoSpaceDE w:val="0"/>
        <w:autoSpaceDN w:val="0"/>
        <w:adjustRightInd w:val="0"/>
        <w:spacing w:line="400" w:lineRule="exact"/>
        <w:jc w:val="left"/>
        <w:outlineLvl w:val="0"/>
        <w:rPr>
          <w:rFonts w:hAnsi="宋体" w:cs="宋体"/>
          <w:b/>
          <w:sz w:val="24"/>
        </w:rPr>
      </w:pPr>
      <w:r>
        <w:rPr>
          <w:rFonts w:hAnsi="宋体" w:cs="宋体"/>
          <w:b/>
          <w:sz w:val="24"/>
        </w:rPr>
        <w:t xml:space="preserve">8.2 </w:t>
      </w:r>
      <w:r>
        <w:rPr>
          <w:rFonts w:hint="eastAsia" w:hAnsi="宋体" w:cs="宋体"/>
          <w:b/>
          <w:sz w:val="24"/>
        </w:rPr>
        <w:t>不再招标</w:t>
      </w:r>
    </w:p>
    <w:p>
      <w:pPr>
        <w:autoSpaceDE w:val="0"/>
        <w:autoSpaceDN w:val="0"/>
        <w:adjustRightInd w:val="0"/>
        <w:spacing w:line="40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73"/>
        <w:spacing w:line="400" w:lineRule="exact"/>
        <w:jc w:val="both"/>
        <w:outlineLvl w:val="0"/>
        <w:rPr>
          <w:rFonts w:hAnsi="宋体"/>
          <w:b/>
          <w:color w:val="auto"/>
        </w:rPr>
      </w:pPr>
    </w:p>
    <w:p>
      <w:pPr>
        <w:pStyle w:val="73"/>
        <w:spacing w:line="400" w:lineRule="exact"/>
        <w:jc w:val="both"/>
        <w:outlineLvl w:val="0"/>
        <w:rPr>
          <w:rFonts w:hAnsi="宋体"/>
          <w:b/>
          <w:color w:val="auto"/>
        </w:rPr>
      </w:pPr>
      <w:r>
        <w:rPr>
          <w:rFonts w:hAnsi="宋体"/>
          <w:b/>
          <w:color w:val="auto"/>
        </w:rPr>
        <w:t xml:space="preserve">9. </w:t>
      </w:r>
      <w:r>
        <w:rPr>
          <w:rFonts w:hint="eastAsia" w:hAnsi="宋体"/>
          <w:b/>
          <w:color w:val="auto"/>
        </w:rPr>
        <w:t>纪律和监督</w:t>
      </w:r>
    </w:p>
    <w:p>
      <w:pPr>
        <w:autoSpaceDE w:val="0"/>
        <w:autoSpaceDN w:val="0"/>
        <w:adjustRightInd w:val="0"/>
        <w:spacing w:line="400" w:lineRule="exact"/>
        <w:jc w:val="left"/>
        <w:outlineLvl w:val="0"/>
        <w:rPr>
          <w:rFonts w:hAnsi="宋体" w:cs="宋体"/>
          <w:b/>
          <w:sz w:val="24"/>
        </w:rPr>
      </w:pPr>
      <w:r>
        <w:rPr>
          <w:rFonts w:hAnsi="宋体" w:cs="宋体"/>
          <w:b/>
          <w:sz w:val="24"/>
        </w:rPr>
        <w:t xml:space="preserve">9.1 </w:t>
      </w:r>
      <w:r>
        <w:rPr>
          <w:rFonts w:hint="eastAsia" w:hAnsi="宋体" w:cs="宋体"/>
          <w:b/>
          <w:sz w:val="24"/>
        </w:rPr>
        <w:t>对招标人的纪律要求</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jc w:val="left"/>
        <w:outlineLvl w:val="0"/>
        <w:rPr>
          <w:rFonts w:hAnsi="宋体" w:cs="宋体"/>
          <w:b/>
          <w:sz w:val="24"/>
        </w:rPr>
      </w:pPr>
      <w:r>
        <w:rPr>
          <w:rFonts w:hAnsi="宋体" w:cs="宋体"/>
          <w:b/>
          <w:sz w:val="24"/>
        </w:rPr>
        <w:t xml:space="preserve">9.2 </w:t>
      </w:r>
      <w:r>
        <w:rPr>
          <w:rFonts w:hint="eastAsia" w:hAnsi="宋体" w:cs="宋体"/>
          <w:b/>
          <w:sz w:val="24"/>
        </w:rPr>
        <w:t>对投标人的纪律要求</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jc w:val="left"/>
        <w:outlineLvl w:val="0"/>
        <w:rPr>
          <w:rFonts w:hAnsi="宋体" w:cs="宋体"/>
          <w:b/>
          <w:sz w:val="24"/>
        </w:rPr>
      </w:pPr>
      <w:r>
        <w:rPr>
          <w:rFonts w:hAnsi="宋体" w:cs="宋体"/>
          <w:b/>
          <w:sz w:val="24"/>
        </w:rPr>
        <w:t xml:space="preserve">9.3 </w:t>
      </w:r>
      <w:r>
        <w:rPr>
          <w:rFonts w:hint="eastAsia" w:hAnsi="宋体" w:cs="宋体"/>
          <w:b/>
          <w:sz w:val="24"/>
        </w:rPr>
        <w:t>对评标委员会成员的纪律要求</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00" w:lineRule="exact"/>
        <w:jc w:val="left"/>
        <w:outlineLvl w:val="0"/>
        <w:rPr>
          <w:rFonts w:hAnsi="宋体" w:cs="宋体"/>
          <w:b/>
          <w:sz w:val="24"/>
        </w:rPr>
      </w:pPr>
      <w:r>
        <w:rPr>
          <w:rFonts w:hAnsi="宋体" w:cs="宋体"/>
          <w:b/>
          <w:sz w:val="24"/>
        </w:rPr>
        <w:t xml:space="preserve">9.4 </w:t>
      </w:r>
      <w:r>
        <w:rPr>
          <w:rFonts w:hint="eastAsia" w:hAnsi="宋体" w:cs="宋体"/>
          <w:b/>
          <w:sz w:val="24"/>
        </w:rPr>
        <w:t>对与评标活动有关的工作人员的纪律要求</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jc w:val="left"/>
        <w:outlineLvl w:val="0"/>
        <w:rPr>
          <w:rFonts w:hAnsi="宋体" w:cs="宋体"/>
          <w:b/>
          <w:sz w:val="24"/>
        </w:rPr>
      </w:pPr>
      <w:r>
        <w:rPr>
          <w:rFonts w:hAnsi="宋体" w:cs="宋体"/>
          <w:b/>
          <w:sz w:val="24"/>
        </w:rPr>
        <w:t xml:space="preserve">9.5 </w:t>
      </w:r>
      <w:r>
        <w:rPr>
          <w:rFonts w:hint="eastAsia" w:hAnsi="宋体" w:cs="宋体"/>
          <w:b/>
          <w:sz w:val="24"/>
        </w:rPr>
        <w:t>投诉</w:t>
      </w:r>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73"/>
        <w:spacing w:line="400" w:lineRule="exact"/>
        <w:jc w:val="both"/>
        <w:outlineLvl w:val="0"/>
        <w:rPr>
          <w:rFonts w:hAnsi="宋体"/>
          <w:b/>
          <w:color w:val="auto"/>
        </w:rPr>
      </w:pPr>
    </w:p>
    <w:p>
      <w:pPr>
        <w:pStyle w:val="73"/>
        <w:spacing w:line="40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p>
    <w:p>
      <w:pPr>
        <w:autoSpaceDE w:val="0"/>
        <w:autoSpaceDN w:val="0"/>
        <w:adjustRightInd w:val="0"/>
        <w:spacing w:line="40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p>
    <w:p>
      <w:pPr>
        <w:widowControl/>
        <w:spacing w:line="400" w:lineRule="exact"/>
        <w:jc w:val="left"/>
        <w:rPr>
          <w:rFonts w:ascii="新宋体" w:hAnsi="新宋体" w:eastAsia="新宋体"/>
          <w:b/>
          <w:sz w:val="24"/>
        </w:rPr>
      </w:pPr>
      <w:r>
        <w:rPr>
          <w:rFonts w:ascii="新宋体" w:hAnsi="新宋体" w:eastAsia="新宋体"/>
          <w:b/>
          <w:sz w:val="24"/>
        </w:rPr>
        <w:br w:type="page"/>
      </w:r>
    </w:p>
    <w:p>
      <w:pPr>
        <w:autoSpaceDE w:val="0"/>
        <w:autoSpaceDN w:val="0"/>
        <w:adjustRightInd w:val="0"/>
        <w:snapToGrid w:val="0"/>
        <w:spacing w:line="420" w:lineRule="exact"/>
        <w:jc w:val="left"/>
        <w:rPr>
          <w:rFonts w:hAnsi="宋体" w:cs="仿宋_GB2312"/>
          <w:b/>
          <w:bCs/>
          <w:sz w:val="24"/>
        </w:rPr>
      </w:pPr>
      <w:r>
        <w:rPr>
          <w:rFonts w:hint="eastAsia" w:hAnsi="宋体" w:cs="仿宋_GB2312"/>
          <w:b/>
          <w:bCs/>
          <w:sz w:val="24"/>
        </w:rPr>
        <w:t>附件一：投标保证金</w:t>
      </w:r>
    </w:p>
    <w:tbl>
      <w:tblPr>
        <w:tblStyle w:val="30"/>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jc w:val="center"/>
              <w:rPr>
                <w:rFonts w:hAnsi="宋体" w:cs="仿宋_GB2312"/>
                <w:sz w:val="24"/>
              </w:rPr>
            </w:pPr>
            <w:r>
              <w:rPr>
                <w:rFonts w:hint="eastAsia" w:hAnsi="宋体" w:cs="宋体"/>
                <w:sz w:val="24"/>
                <w:szCs w:val="24"/>
              </w:rPr>
              <w:t xml:space="preserve">建安建工公字〔2019〕212号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jc w:val="center"/>
              <w:rPr>
                <w:rFonts w:hAnsi="宋体" w:cs="仿宋_GB2312"/>
                <w:sz w:val="24"/>
              </w:rPr>
            </w:pPr>
            <w:r>
              <w:rPr>
                <w:rFonts w:hint="eastAsia" w:hAnsi="宋体" w:cs="宋体"/>
                <w:sz w:val="24"/>
                <w:szCs w:val="24"/>
              </w:rPr>
              <w:t>许昌市建安区远东传动系智能产业园项目清表工程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标段名称</w:t>
            </w:r>
          </w:p>
        </w:tc>
        <w:tc>
          <w:tcPr>
            <w:tcW w:w="79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s="仿宋_GB2312"/>
                <w:sz w:val="24"/>
              </w:rPr>
            </w:pP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投标保证金</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firstLine="240" w:firstLineChars="100"/>
              <w:rPr>
                <w:rFonts w:hAnsi="宋体" w:cs="仿宋_GB2312"/>
                <w:sz w:val="24"/>
              </w:rPr>
            </w:pPr>
            <w:r>
              <w:rPr>
                <w:rFonts w:hint="eastAsia" w:hAnsi="宋体" w:cs="宋体"/>
                <w:sz w:val="24"/>
                <w:szCs w:val="24"/>
              </w:rPr>
              <w:t>金额：人民币壹万伍仟元整（元）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ind w:firstLine="240" w:firstLineChars="100"/>
              <w:jc w:val="left"/>
              <w:rPr>
                <w:rFonts w:hAnsi="宋体" w:cs="仿宋_GB2312"/>
                <w:sz w:val="24"/>
              </w:rPr>
            </w:pPr>
            <w:r>
              <w:rPr>
                <w:rFonts w:hint="eastAsia" w:hAnsi="宋体" w:cs="仿宋_GB2312"/>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widowControl/>
              <w:spacing w:line="37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widowControl/>
              <w:spacing w:line="37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widowControl/>
              <w:spacing w:line="370" w:lineRule="exact"/>
              <w:ind w:firstLine="480" w:firstLineChars="200"/>
              <w:rPr>
                <w:rFonts w:hAnsi="宋体" w:cs="宋体"/>
                <w:sz w:val="24"/>
                <w:szCs w:val="24"/>
              </w:rPr>
            </w:pPr>
            <w:r>
              <w:rPr>
                <w:rFonts w:hint="eastAsia" w:hAnsi="宋体" w:cs="宋体"/>
                <w:sz w:val="24"/>
                <w:szCs w:val="24"/>
              </w:rPr>
              <w:t>2、投标保证金缴纳方式：</w:t>
            </w:r>
          </w:p>
          <w:p>
            <w:pPr>
              <w:widowControl/>
              <w:spacing w:line="37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7"/>
                <w:rFonts w:hint="eastAsia" w:hAnsi="宋体" w:cs="宋体"/>
                <w:color w:val="auto"/>
                <w:sz w:val="24"/>
                <w:szCs w:val="24"/>
              </w:rPr>
              <w:t>http://221.14.6.70:8088/ggzy</w:t>
            </w:r>
            <w:r>
              <w:rPr>
                <w:rStyle w:val="37"/>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widowControl/>
              <w:spacing w:line="37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widowControl/>
              <w:spacing w:line="37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widowControl/>
              <w:spacing w:line="37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widowControl/>
              <w:spacing w:line="37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widowControl/>
              <w:spacing w:line="370" w:lineRule="exact"/>
              <w:ind w:firstLine="480" w:firstLineChars="200"/>
              <w:rPr>
                <w:rFonts w:hAnsi="宋体" w:cs="宋体"/>
                <w:sz w:val="24"/>
                <w:szCs w:val="24"/>
              </w:rPr>
            </w:pPr>
            <w:r>
              <w:rPr>
                <w:rFonts w:hint="eastAsia" w:hAnsi="宋体" w:cs="宋体"/>
                <w:sz w:val="24"/>
                <w:szCs w:val="24"/>
              </w:rPr>
              <w:t>4、汇款凭证无须备注项目编号和项目名称。</w:t>
            </w:r>
          </w:p>
          <w:p>
            <w:pPr>
              <w:widowControl/>
              <w:spacing w:line="37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widowControl/>
              <w:spacing w:line="370" w:lineRule="exact"/>
              <w:ind w:firstLine="480" w:firstLineChars="200"/>
              <w:rPr>
                <w:rFonts w:hAnsi="宋体" w:cs="宋体"/>
                <w:sz w:val="24"/>
                <w:szCs w:val="24"/>
              </w:rPr>
            </w:pPr>
            <w:r>
              <w:rPr>
                <w:rFonts w:hint="eastAsia" w:hAnsi="宋体" w:cs="宋体"/>
                <w:sz w:val="24"/>
                <w:szCs w:val="24"/>
              </w:rPr>
              <w:t>(1)投标保证金未从投标人的基本账户转出；</w:t>
            </w:r>
          </w:p>
          <w:p>
            <w:pPr>
              <w:widowControl/>
              <w:spacing w:line="37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widowControl/>
              <w:spacing w:line="370" w:lineRule="exact"/>
              <w:ind w:firstLine="480" w:firstLineChars="200"/>
              <w:rPr>
                <w:rFonts w:hAnsi="宋体" w:cs="宋体"/>
                <w:sz w:val="24"/>
                <w:szCs w:val="24"/>
              </w:rPr>
            </w:pPr>
            <w:r>
              <w:rPr>
                <w:rFonts w:hint="eastAsia" w:hAnsi="宋体" w:cs="宋体"/>
                <w:sz w:val="24"/>
                <w:szCs w:val="24"/>
              </w:rPr>
              <w:t>6、《保证金缴纳绑定操作指南》获取方法：</w:t>
            </w:r>
          </w:p>
          <w:p>
            <w:pPr>
              <w:autoSpaceDE w:val="0"/>
              <w:autoSpaceDN w:val="0"/>
              <w:adjustRightInd w:val="0"/>
              <w:snapToGrid w:val="0"/>
              <w:spacing w:line="370" w:lineRule="exact"/>
              <w:jc w:val="left"/>
              <w:rPr>
                <w:rFonts w:hAnsi="宋体" w:cs="仿宋_GB2312"/>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15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40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widowControl/>
              <w:adjustRightInd w:val="0"/>
              <w:spacing w:line="40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widowControl/>
              <w:adjustRightInd w:val="0"/>
              <w:spacing w:line="40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adjustRightInd w:val="0"/>
              <w:spacing w:line="400" w:lineRule="exact"/>
              <w:ind w:firstLine="470" w:firstLineChars="196"/>
              <w:rPr>
                <w:rFonts w:hAnsi="宋体" w:cs="宋体"/>
                <w:bCs/>
                <w:sz w:val="24"/>
                <w:szCs w:val="24"/>
              </w:rPr>
            </w:pPr>
            <w:r>
              <w:rPr>
                <w:rFonts w:hint="eastAsia" w:hAnsi="宋体" w:cs="宋体"/>
                <w:bCs/>
                <w:sz w:val="24"/>
                <w:szCs w:val="24"/>
              </w:rPr>
              <w:t>4、特殊情况处理</w:t>
            </w:r>
          </w:p>
          <w:p>
            <w:pPr>
              <w:autoSpaceDE w:val="0"/>
              <w:autoSpaceDN w:val="0"/>
              <w:adjustRightInd w:val="0"/>
              <w:snapToGrid w:val="0"/>
              <w:spacing w:line="420" w:lineRule="exact"/>
              <w:jc w:val="left"/>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napToGrid w:val="0"/>
        <w:spacing w:line="420" w:lineRule="exact"/>
        <w:rPr>
          <w:rFonts w:cs="宋体" w:asciiTheme="minorEastAsia" w:hAnsiTheme="minorEastAsia" w:eastAsiaTheme="minorEastAsia"/>
          <w:b/>
          <w:kern w:val="2"/>
          <w:sz w:val="36"/>
          <w:szCs w:val="36"/>
        </w:rPr>
      </w:pPr>
    </w:p>
    <w:p>
      <w:pPr>
        <w:autoSpaceDE w:val="0"/>
        <w:autoSpaceDN w:val="0"/>
        <w:adjustRightInd w:val="0"/>
        <w:snapToGrid w:val="0"/>
        <w:spacing w:line="420" w:lineRule="exact"/>
        <w:jc w:val="center"/>
        <w:rPr>
          <w:rFonts w:cs="宋体" w:asciiTheme="minorEastAsia" w:hAnsiTheme="minorEastAsia" w:eastAsiaTheme="minorEastAsia"/>
          <w:b/>
          <w:kern w:val="2"/>
          <w:sz w:val="32"/>
          <w:szCs w:val="32"/>
        </w:rPr>
      </w:pPr>
    </w:p>
    <w:p>
      <w:pPr>
        <w:autoSpaceDE w:val="0"/>
        <w:autoSpaceDN w:val="0"/>
        <w:adjustRightInd w:val="0"/>
        <w:snapToGrid w:val="0"/>
        <w:spacing w:line="420" w:lineRule="exact"/>
        <w:jc w:val="center"/>
        <w:rPr>
          <w:rFonts w:cs="仿宋_GB2312" w:asciiTheme="minorEastAsia" w:hAnsiTheme="minorEastAsia" w:eastAsiaTheme="minorEastAsia"/>
          <w:b/>
          <w:sz w:val="32"/>
          <w:szCs w:val="32"/>
        </w:rPr>
      </w:pPr>
      <w:r>
        <w:rPr>
          <w:rFonts w:hint="eastAsia" w:cs="宋体" w:asciiTheme="minorEastAsia" w:hAnsiTheme="minorEastAsia" w:eastAsiaTheme="minorEastAsia"/>
          <w:b/>
          <w:kern w:val="2"/>
          <w:sz w:val="32"/>
          <w:szCs w:val="32"/>
        </w:rPr>
        <w:t>投标保证金退还申请表</w:t>
      </w:r>
    </w:p>
    <w:tbl>
      <w:tblPr>
        <w:tblStyle w:val="30"/>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722"/>
        <w:gridCol w:w="471"/>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项目编号</w:t>
            </w:r>
          </w:p>
        </w:tc>
        <w:tc>
          <w:tcPr>
            <w:tcW w:w="3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是否中标</w:t>
            </w:r>
          </w:p>
        </w:tc>
        <w:tc>
          <w:tcPr>
            <w:tcW w:w="27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ind w:firstLine="480" w:firstLineChars="200"/>
              <w:jc w:val="left"/>
              <w:rPr>
                <w:rFonts w:hAnsi="宋体" w:cs="仿宋_GB2312"/>
                <w:sz w:val="24"/>
              </w:rPr>
            </w:pPr>
            <w:r>
              <w:rPr>
                <w:rFonts w:hint="eastAsia" w:hAnsi="宋体" w:cs="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申请单位（签章）</w:t>
            </w:r>
          </w:p>
        </w:tc>
        <w:tc>
          <w:tcPr>
            <w:tcW w:w="774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0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申请金额</w:t>
            </w:r>
          </w:p>
        </w:tc>
        <w:tc>
          <w:tcPr>
            <w:tcW w:w="774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828" w:type="dxa"/>
            <w:gridSpan w:val="5"/>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420" w:lineRule="exact"/>
              <w:jc w:val="center"/>
              <w:rPr>
                <w:rFonts w:hAnsi="宋体" w:cs="仿宋_GB2312"/>
                <w:sz w:val="24"/>
              </w:rPr>
            </w:pPr>
            <w:r>
              <w:rPr>
                <w:rFonts w:hint="eastAsia" w:hAnsi="宋体" w:cs="仿宋_GB2312"/>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jc w:val="left"/>
              <w:rPr>
                <w:rFonts w:hAnsi="宋体" w:cs="仿宋_GB2312"/>
                <w:sz w:val="24"/>
              </w:rPr>
            </w:pPr>
          </w:p>
          <w:p>
            <w:pPr>
              <w:autoSpaceDE w:val="0"/>
              <w:autoSpaceDN w:val="0"/>
              <w:adjustRightInd w:val="0"/>
              <w:snapToGrid w:val="0"/>
              <w:spacing w:line="420" w:lineRule="exact"/>
              <w:ind w:firstLine="7200" w:firstLineChars="3000"/>
              <w:jc w:val="left"/>
              <w:rPr>
                <w:rFonts w:hAnsi="宋体" w:cs="仿宋_GB2312"/>
                <w:sz w:val="24"/>
              </w:rPr>
            </w:pPr>
            <w:r>
              <w:rPr>
                <w:rFonts w:hint="eastAsia" w:hAnsi="宋体" w:cs="仿宋_GB2312"/>
                <w:sz w:val="24"/>
              </w:rPr>
              <w:t>年   月   日</w:t>
            </w:r>
          </w:p>
        </w:tc>
      </w:tr>
    </w:tbl>
    <w:p>
      <w:pPr>
        <w:autoSpaceDE w:val="0"/>
        <w:autoSpaceDN w:val="0"/>
        <w:adjustRightInd w:val="0"/>
        <w:snapToGrid w:val="0"/>
        <w:spacing w:line="200" w:lineRule="exact"/>
        <w:jc w:val="left"/>
        <w:rPr>
          <w:rFonts w:hAnsi="宋体" w:cs="仿宋_GB2312"/>
          <w:sz w:val="24"/>
        </w:rPr>
      </w:pPr>
    </w:p>
    <w:p>
      <w:pPr>
        <w:autoSpaceDE w:val="0"/>
        <w:autoSpaceDN w:val="0"/>
        <w:spacing w:line="440" w:lineRule="exact"/>
        <w:jc w:val="left"/>
        <w:rPr>
          <w:rFonts w:hAnsi="宋体" w:cs="宋体"/>
          <w:b/>
          <w:sz w:val="28"/>
          <w:szCs w:val="28"/>
        </w:rPr>
      </w:pPr>
    </w:p>
    <w:p>
      <w:pPr>
        <w:autoSpaceDE w:val="0"/>
        <w:autoSpaceDN w:val="0"/>
        <w:adjustRightInd w:val="0"/>
        <w:snapToGrid w:val="0"/>
        <w:spacing w:line="420" w:lineRule="exact"/>
        <w:jc w:val="left"/>
        <w:rPr>
          <w:rFonts w:hAnsi="宋体" w:cs="仿宋_GB2312"/>
          <w:sz w:val="24"/>
        </w:rPr>
      </w:pPr>
      <w:r>
        <w:rPr>
          <w:rFonts w:hint="eastAsia" w:hAnsi="宋体" w:cs="仿宋_GB2312"/>
          <w:sz w:val="24"/>
        </w:rPr>
        <w:t>备注：中标单位使用此表退还保证金时，此表格大小及格式不得改变。</w:t>
      </w:r>
    </w:p>
    <w:p>
      <w:pPr>
        <w:rPr>
          <w:rFonts w:hAnsi="宋体"/>
          <w:sz w:val="36"/>
          <w:szCs w:val="36"/>
        </w:rPr>
      </w:pPr>
    </w:p>
    <w:p>
      <w:pPr>
        <w:autoSpaceDE w:val="0"/>
        <w:autoSpaceDN w:val="0"/>
        <w:adjustRightInd w:val="0"/>
        <w:snapToGrid w:val="0"/>
        <w:spacing w:line="420" w:lineRule="exact"/>
        <w:jc w:val="center"/>
        <w:rPr>
          <w:rFonts w:cs="仿宋_GB2312" w:asciiTheme="minorEastAsia" w:hAnsiTheme="minorEastAsia" w:eastAsiaTheme="minorEastAsia"/>
          <w:b/>
          <w:sz w:val="32"/>
          <w:szCs w:val="32"/>
        </w:rPr>
      </w:pPr>
    </w:p>
    <w:p>
      <w:pPr>
        <w:autoSpaceDE w:val="0"/>
        <w:autoSpaceDN w:val="0"/>
        <w:adjustRightInd w:val="0"/>
        <w:snapToGrid w:val="0"/>
        <w:spacing w:line="420" w:lineRule="exact"/>
        <w:jc w:val="center"/>
        <w:rPr>
          <w:rFonts w:cs="仿宋_GB2312" w:asciiTheme="minorEastAsia" w:hAnsiTheme="minorEastAsia" w:eastAsiaTheme="minorEastAsia"/>
          <w:b/>
          <w:sz w:val="32"/>
          <w:szCs w:val="32"/>
        </w:rPr>
      </w:pPr>
    </w:p>
    <w:p>
      <w:pPr>
        <w:autoSpaceDE w:val="0"/>
        <w:autoSpaceDN w:val="0"/>
        <w:adjustRightInd w:val="0"/>
        <w:snapToGrid w:val="0"/>
        <w:spacing w:line="420" w:lineRule="exact"/>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履约保证金退还通知单</w:t>
      </w:r>
    </w:p>
    <w:p>
      <w:pPr>
        <w:pStyle w:val="2"/>
        <w:spacing w:line="200" w:lineRule="exact"/>
        <w:ind w:firstLine="0" w:firstLineChars="0"/>
      </w:pPr>
    </w:p>
    <w:p>
      <w:pPr>
        <w:pStyle w:val="2"/>
        <w:spacing w:line="200" w:lineRule="exact"/>
        <w:ind w:firstLine="0" w:firstLineChars="0"/>
      </w:pPr>
    </w:p>
    <w:tbl>
      <w:tblPr>
        <w:tblStyle w:val="3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exact"/>
          <w:jc w:val="center"/>
        </w:trPr>
        <w:tc>
          <w:tcPr>
            <w:tcW w:w="2086" w:type="dxa"/>
            <w:noWrap/>
            <w:vAlign w:val="center"/>
          </w:tcPr>
          <w:p>
            <w:pPr>
              <w:spacing w:line="360" w:lineRule="exact"/>
              <w:jc w:val="center"/>
              <w:rPr>
                <w:rFonts w:hAnsi="宋体"/>
                <w:sz w:val="24"/>
              </w:rPr>
            </w:pPr>
            <w:r>
              <w:rPr>
                <w:rFonts w:hint="eastAsia" w:hAnsi="宋体"/>
                <w:sz w:val="24"/>
              </w:rPr>
              <w:t>项目编号</w:t>
            </w:r>
          </w:p>
        </w:tc>
        <w:tc>
          <w:tcPr>
            <w:tcW w:w="4140" w:type="dxa"/>
            <w:gridSpan w:val="2"/>
            <w:noWrap/>
            <w:vAlign w:val="center"/>
          </w:tcPr>
          <w:p>
            <w:pPr>
              <w:spacing w:line="360" w:lineRule="exact"/>
              <w:jc w:val="center"/>
              <w:rPr>
                <w:rFonts w:hAnsi="宋体"/>
                <w:sz w:val="24"/>
              </w:rPr>
            </w:pPr>
          </w:p>
        </w:tc>
        <w:tc>
          <w:tcPr>
            <w:tcW w:w="1440" w:type="dxa"/>
            <w:gridSpan w:val="2"/>
            <w:noWrap/>
            <w:vAlign w:val="center"/>
          </w:tcPr>
          <w:p>
            <w:pPr>
              <w:spacing w:line="360" w:lineRule="exact"/>
              <w:jc w:val="center"/>
              <w:rPr>
                <w:rFonts w:hAnsi="宋体"/>
                <w:sz w:val="24"/>
              </w:rPr>
            </w:pPr>
            <w:r>
              <w:rPr>
                <w:rFonts w:hint="eastAsia" w:hAnsi="宋体"/>
                <w:sz w:val="24"/>
              </w:rPr>
              <w:t>是否完工</w:t>
            </w:r>
          </w:p>
        </w:tc>
        <w:tc>
          <w:tcPr>
            <w:tcW w:w="2162" w:type="dxa"/>
            <w:noWrap/>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2086" w:type="dxa"/>
            <w:noWrap/>
            <w:vAlign w:val="center"/>
          </w:tcPr>
          <w:p>
            <w:pPr>
              <w:spacing w:line="360" w:lineRule="exact"/>
              <w:jc w:val="center"/>
              <w:rPr>
                <w:rFonts w:hAnsi="宋体"/>
                <w:sz w:val="24"/>
              </w:rPr>
            </w:pPr>
            <w:r>
              <w:rPr>
                <w:rFonts w:hint="eastAsia" w:hAnsi="宋体"/>
                <w:sz w:val="24"/>
              </w:rPr>
              <w:t>中标企业名称</w:t>
            </w:r>
          </w:p>
        </w:tc>
        <w:tc>
          <w:tcPr>
            <w:tcW w:w="7742" w:type="dxa"/>
            <w:gridSpan w:val="5"/>
            <w:noWrap/>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exact"/>
          <w:jc w:val="center"/>
        </w:trPr>
        <w:tc>
          <w:tcPr>
            <w:tcW w:w="2086" w:type="dxa"/>
            <w:noWrap/>
            <w:vAlign w:val="center"/>
          </w:tcPr>
          <w:p>
            <w:pPr>
              <w:spacing w:line="360" w:lineRule="exact"/>
              <w:ind w:firstLine="480" w:firstLineChars="200"/>
              <w:rPr>
                <w:rFonts w:hAnsi="宋体"/>
                <w:sz w:val="24"/>
              </w:rPr>
            </w:pPr>
            <w:r>
              <w:rPr>
                <w:rFonts w:hint="eastAsia" w:hAnsi="宋体"/>
                <w:sz w:val="24"/>
              </w:rPr>
              <w:t>开户银行</w:t>
            </w:r>
          </w:p>
        </w:tc>
        <w:tc>
          <w:tcPr>
            <w:tcW w:w="3780" w:type="dxa"/>
            <w:noWrap/>
            <w:vAlign w:val="center"/>
          </w:tcPr>
          <w:p>
            <w:pPr>
              <w:rPr>
                <w:rFonts w:hAnsi="宋体"/>
                <w:sz w:val="24"/>
              </w:rPr>
            </w:pPr>
          </w:p>
        </w:tc>
        <w:tc>
          <w:tcPr>
            <w:tcW w:w="722" w:type="dxa"/>
            <w:gridSpan w:val="2"/>
            <w:noWrap/>
            <w:vAlign w:val="center"/>
          </w:tcPr>
          <w:p>
            <w:pPr>
              <w:spacing w:line="360" w:lineRule="exact"/>
              <w:jc w:val="center"/>
              <w:rPr>
                <w:rFonts w:hAnsi="宋体"/>
                <w:sz w:val="24"/>
              </w:rPr>
            </w:pPr>
            <w:r>
              <w:rPr>
                <w:rFonts w:hint="eastAsia" w:hAnsi="宋体"/>
                <w:sz w:val="24"/>
              </w:rPr>
              <w:t>账号</w:t>
            </w:r>
          </w:p>
        </w:tc>
        <w:tc>
          <w:tcPr>
            <w:tcW w:w="3240" w:type="dxa"/>
            <w:gridSpan w:val="2"/>
            <w:noWrap/>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2086" w:type="dxa"/>
            <w:tcBorders>
              <w:bottom w:val="single" w:color="auto" w:sz="4" w:space="0"/>
            </w:tcBorders>
            <w:noWrap/>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noWrap/>
            <w:vAlign w:val="center"/>
          </w:tcPr>
          <w:p>
            <w:pPr>
              <w:spacing w:line="360" w:lineRule="exact"/>
              <w:ind w:firstLine="240" w:firstLineChars="100"/>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exact"/>
          <w:jc w:val="center"/>
        </w:trPr>
        <w:tc>
          <w:tcPr>
            <w:tcW w:w="9828" w:type="dxa"/>
            <w:gridSpan w:val="6"/>
            <w:tcBorders>
              <w:top w:val="nil"/>
            </w:tcBorders>
            <w:noWrap/>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jc w:val="center"/>
        </w:trPr>
        <w:tc>
          <w:tcPr>
            <w:tcW w:w="9828" w:type="dxa"/>
            <w:gridSpan w:val="6"/>
            <w:noWrap/>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jc w:val="right"/>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rPr>
        <w:t>年    月    日</w:t>
      </w:r>
    </w:p>
    <w:p>
      <w:pPr>
        <w:spacing w:line="400" w:lineRule="exact"/>
        <w:ind w:firstLine="480" w:firstLineChars="200"/>
        <w:rPr>
          <w:rFonts w:ascii="新宋体" w:hAnsi="新宋体" w:eastAsia="新宋体"/>
          <w:b/>
          <w:sz w:val="24"/>
        </w:rPr>
      </w:pPr>
    </w:p>
    <w:p>
      <w:pPr>
        <w:pStyle w:val="2"/>
        <w:ind w:firstLine="340"/>
      </w:pPr>
    </w:p>
    <w:p>
      <w:pPr>
        <w:pStyle w:val="2"/>
        <w:ind w:firstLine="340"/>
      </w:pPr>
    </w:p>
    <w:p>
      <w:pPr>
        <w:spacing w:line="400" w:lineRule="exact"/>
        <w:ind w:firstLine="480" w:firstLineChars="200"/>
        <w:rPr>
          <w:rFonts w:ascii="新宋体" w:hAnsi="新宋体" w:eastAsia="新宋体"/>
          <w:b/>
          <w:sz w:val="24"/>
        </w:rPr>
      </w:pPr>
    </w:p>
    <w:p>
      <w:pPr>
        <w:spacing w:line="400" w:lineRule="exact"/>
        <w:rPr>
          <w:rFonts w:hAnsi="宋体" w:cs="宋体"/>
          <w:b/>
          <w:bCs/>
          <w:sz w:val="24"/>
        </w:rPr>
      </w:pPr>
    </w:p>
    <w:p>
      <w:pPr>
        <w:spacing w:line="400" w:lineRule="exact"/>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     月    日</w:t>
      </w:r>
    </w:p>
    <w:p>
      <w:pPr>
        <w:spacing w:line="480" w:lineRule="exact"/>
        <w:rPr>
          <w:rFonts w:hAnsi="宋体" w:cs="宋体"/>
          <w:sz w:val="24"/>
        </w:rPr>
      </w:pPr>
      <w:r>
        <w:rPr>
          <w:rFonts w:hint="eastAsia" w:hAnsi="宋体" w:cs="宋体"/>
          <w:sz w:val="24"/>
        </w:rPr>
        <w:br w:type="page"/>
      </w:r>
    </w:p>
    <w:p>
      <w:pPr>
        <w:spacing w:line="400" w:lineRule="exact"/>
        <w:jc w:val="center"/>
        <w:outlineLvl w:val="0"/>
        <w:rPr>
          <w:rFonts w:hAnsi="宋体"/>
          <w:b/>
          <w:sz w:val="36"/>
          <w:szCs w:val="36"/>
        </w:rPr>
      </w:pPr>
    </w:p>
    <w:p>
      <w:pPr>
        <w:spacing w:line="400" w:lineRule="exact"/>
        <w:jc w:val="center"/>
        <w:outlineLvl w:val="0"/>
        <w:rPr>
          <w:rFonts w:hAnsi="宋体"/>
          <w:b/>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00" w:lineRule="exact"/>
        <w:rPr>
          <w:rFonts w:cs="新宋体" w:asciiTheme="minorEastAsia" w:hAnsiTheme="minorEastAsia" w:eastAsiaTheme="minorEastAsia"/>
          <w:b/>
          <w:bCs/>
          <w:sz w:val="24"/>
          <w:szCs w:val="24"/>
        </w:rPr>
      </w:pPr>
    </w:p>
    <w:p>
      <w:pPr>
        <w:snapToGrid w:val="0"/>
        <w:spacing w:line="400" w:lineRule="exact"/>
        <w:rPr>
          <w:rFonts w:asciiTheme="minorEastAsia" w:hAnsiTheme="minorEastAsia" w:eastAsiaTheme="minorEastAsia"/>
          <w:b/>
          <w:sz w:val="24"/>
          <w:szCs w:val="24"/>
        </w:rPr>
      </w:pPr>
      <w:r>
        <w:rPr>
          <w:rFonts w:hint="eastAsia" w:cs="新宋体" w:asciiTheme="minorEastAsia" w:hAnsiTheme="minorEastAsia" w:eastAsiaTheme="minorEastAsia"/>
          <w:b/>
          <w:bCs/>
          <w:sz w:val="24"/>
          <w:szCs w:val="24"/>
        </w:rPr>
        <w:t>评标依据：《河南省建设工程工程量清单招标评标办法》( 豫建〔2018〕161号)。</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一、评标应遵循公正、公平、择优的原则严格按照招标文件进行。</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hint="eastAsia" w:cs="宋体" w:asciiTheme="minorEastAsia" w:hAnsiTheme="minorEastAsia" w:eastAsiaTheme="minorEastAsia"/>
          <w:sz w:val="24"/>
          <w:szCs w:val="24"/>
        </w:rPr>
        <w:t>评标由招标人依法组建的评标委员会负责，评标委员会成员详见前附表。与投标人有利害关系的专家不得进入评标委员会</w:t>
      </w:r>
      <w:r>
        <w:rPr>
          <w:rFonts w:hint="eastAsia" w:asciiTheme="minorEastAsia" w:hAnsiTheme="minorEastAsia" w:eastAsiaTheme="minorEastAsia"/>
          <w:sz w:val="24"/>
          <w:szCs w:val="24"/>
        </w:rPr>
        <w:t>。</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三、评标采用综合计分法，是指评标委员会根据招标文件要求，应从技术标、商务标、综合（信用）标三部分进行综合评审。</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四、评标程序为：</w:t>
      </w:r>
    </w:p>
    <w:p>
      <w:pPr>
        <w:adjustRightInd w:val="0"/>
        <w:snapToGrid w:val="0"/>
        <w:spacing w:line="400" w:lineRule="exact"/>
        <w:ind w:firstLine="480" w:firstLineChars="200"/>
        <w:rPr>
          <w:rFonts w:hAnsi="宋体" w:cs="宋体"/>
          <w:sz w:val="24"/>
        </w:rPr>
      </w:pPr>
      <w:r>
        <w:rPr>
          <w:rFonts w:hint="eastAsia" w:hAnsi="宋体" w:cs="宋体"/>
          <w:sz w:val="24"/>
        </w:rPr>
        <w:t>（一）清标；</w:t>
      </w:r>
    </w:p>
    <w:p>
      <w:pPr>
        <w:adjustRightInd w:val="0"/>
        <w:snapToGrid w:val="0"/>
        <w:spacing w:line="400" w:lineRule="exact"/>
        <w:ind w:firstLine="480" w:firstLineChars="200"/>
        <w:rPr>
          <w:rFonts w:hAnsi="宋体" w:cs="宋体"/>
          <w:sz w:val="24"/>
        </w:rPr>
      </w:pPr>
      <w:r>
        <w:rPr>
          <w:rFonts w:hint="eastAsia" w:hAnsi="宋体" w:cs="宋体"/>
          <w:sz w:val="24"/>
        </w:rPr>
        <w:t>（二）初步评审；</w:t>
      </w:r>
    </w:p>
    <w:p>
      <w:pPr>
        <w:adjustRightInd w:val="0"/>
        <w:snapToGrid w:val="0"/>
        <w:spacing w:line="400" w:lineRule="exact"/>
        <w:ind w:firstLine="480" w:firstLineChars="200"/>
        <w:rPr>
          <w:rFonts w:hAnsi="宋体" w:cs="宋体"/>
          <w:sz w:val="24"/>
        </w:rPr>
      </w:pPr>
      <w:r>
        <w:rPr>
          <w:rFonts w:hint="eastAsia" w:hAnsi="宋体" w:cs="宋体"/>
          <w:sz w:val="24"/>
        </w:rPr>
        <w:t>（三）详细评审；</w:t>
      </w:r>
    </w:p>
    <w:p>
      <w:pPr>
        <w:adjustRightInd w:val="0"/>
        <w:snapToGrid w:val="0"/>
        <w:spacing w:line="40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00" w:lineRule="exact"/>
        <w:ind w:firstLine="480" w:firstLineChars="200"/>
        <w:rPr>
          <w:rFonts w:hAnsi="宋体" w:cs="宋体"/>
          <w:sz w:val="24"/>
        </w:rPr>
      </w:pPr>
      <w:r>
        <w:rPr>
          <w:rFonts w:hint="eastAsia" w:hAnsi="宋体" w:cs="宋体"/>
          <w:sz w:val="24"/>
        </w:rPr>
        <w:t>（五）推荐中标候选人；</w:t>
      </w:r>
    </w:p>
    <w:p>
      <w:pPr>
        <w:adjustRightInd w:val="0"/>
        <w:snapToGrid w:val="0"/>
        <w:spacing w:line="40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00" w:lineRule="exact"/>
        <w:ind w:firstLine="480" w:firstLineChars="200"/>
        <w:rPr>
          <w:rFonts w:cs="宋体" w:asciiTheme="minorEastAsia" w:hAnsiTheme="minorEastAsia" w:eastAsiaTheme="minorEastAsia"/>
          <w:sz w:val="24"/>
          <w:szCs w:val="24"/>
        </w:rPr>
      </w:pPr>
    </w:p>
    <w:p>
      <w:pPr>
        <w:spacing w:line="400" w:lineRule="exac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hint="eastAsia" w:cs="宋体" w:asciiTheme="minorEastAsia" w:hAnsiTheme="minorEastAsia" w:eastAsiaTheme="minorEastAsia"/>
          <w:b/>
          <w:bCs/>
          <w:sz w:val="24"/>
          <w:szCs w:val="24"/>
        </w:rPr>
        <w:t>初步评审</w:t>
      </w:r>
    </w:p>
    <w:p>
      <w:pPr>
        <w:autoSpaceDE w:val="0"/>
        <w:autoSpaceDN w:val="0"/>
        <w:adjustRightInd w:val="0"/>
        <w:snapToGrid w:val="0"/>
        <w:spacing w:line="400" w:lineRule="exact"/>
        <w:ind w:firstLine="470" w:firstLineChars="196"/>
        <w:jc w:val="left"/>
        <w:rPr>
          <w:rFonts w:ascii="新宋体" w:hAnsi="新宋体" w:eastAsia="新宋体"/>
          <w:b/>
          <w:sz w:val="24"/>
        </w:rPr>
      </w:pPr>
      <w:r>
        <w:rPr>
          <w:rFonts w:hint="eastAsia" w:ascii="新宋体" w:hAnsi="新宋体" w:eastAsia="新宋体"/>
          <w:b/>
          <w:sz w:val="24"/>
        </w:rPr>
        <w:t xml:space="preserve"> 先由评标委员会在商务标清标系统的辅助下对投标文件进行基础性数据分析和整理（清标内容见下表），形成清标成果。</w:t>
      </w:r>
    </w:p>
    <w:p>
      <w:pPr>
        <w:snapToGrid w:val="0"/>
        <w:spacing w:line="400" w:lineRule="exact"/>
        <w:ind w:firstLine="480" w:firstLineChars="200"/>
        <w:rPr>
          <w:rFonts w:hAnsi="宋体" w:cs="宋体"/>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400" w:lineRule="exact"/>
        <w:ind w:firstLine="480" w:firstLineChars="200"/>
        <w:rPr>
          <w:rFonts w:hAnsi="宋体" w:cs="宋体"/>
          <w:sz w:val="24"/>
        </w:rPr>
      </w:pPr>
      <w:r>
        <w:rPr>
          <w:rFonts w:hint="eastAsia" w:hAnsi="宋体" w:cs="宋体"/>
          <w:sz w:val="24"/>
        </w:rPr>
        <w:t>投标文件存在下列情形之一的，按废标处理：</w:t>
      </w:r>
    </w:p>
    <w:p>
      <w:pPr>
        <w:snapToGrid w:val="0"/>
        <w:spacing w:line="400" w:lineRule="exact"/>
        <w:ind w:firstLine="480" w:firstLineChars="200"/>
        <w:rPr>
          <w:rFonts w:hAnsi="宋体" w:cs="宋体"/>
          <w:sz w:val="24"/>
        </w:rPr>
      </w:pPr>
      <w:r>
        <w:rPr>
          <w:rFonts w:hint="eastAsia" w:hAnsi="宋体" w:cs="宋体"/>
          <w:sz w:val="24"/>
        </w:rPr>
        <w:t>1.未按招标文件规定编制各项报价的；</w:t>
      </w:r>
    </w:p>
    <w:p>
      <w:pPr>
        <w:snapToGrid w:val="0"/>
        <w:spacing w:line="400" w:lineRule="exact"/>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400" w:lineRule="exact"/>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400" w:lineRule="exact"/>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spacing w:line="400" w:lineRule="exact"/>
        <w:ind w:firstLine="480" w:firstLineChars="200"/>
        <w:rPr>
          <w:rFonts w:hAnsi="宋体" w:cs="宋体"/>
          <w:sz w:val="24"/>
        </w:rPr>
      </w:pPr>
      <w:r>
        <w:rPr>
          <w:rFonts w:hint="eastAsia" w:hAnsi="宋体" w:cs="宋体"/>
          <w:sz w:val="24"/>
        </w:rPr>
        <w:t>5.未按照暂列金额或者暂估价编制投标报价的。</w:t>
      </w:r>
    </w:p>
    <w:p>
      <w:pPr>
        <w:spacing w:line="400" w:lineRule="exact"/>
        <w:ind w:firstLine="480" w:firstLineChars="200"/>
        <w:rPr>
          <w:rFonts w:hAnsi="宋体"/>
          <w:bCs/>
          <w:sz w:val="24"/>
          <w:szCs w:val="22"/>
        </w:rPr>
      </w:pPr>
      <w:r>
        <w:rPr>
          <w:rFonts w:hint="eastAsia" w:hAnsi="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00" w:lineRule="exact"/>
        <w:ind w:firstLine="480" w:firstLineChars="200"/>
        <w:rPr>
          <w:rFonts w:hAnsi="宋体" w:cs="宋体"/>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00" w:lineRule="exact"/>
        <w:rPr>
          <w:rFonts w:asciiTheme="minorEastAsia" w:hAnsiTheme="minorEastAsia" w:eastAsiaTheme="minorEastAsia"/>
          <w:b/>
          <w:sz w:val="24"/>
          <w:szCs w:val="24"/>
        </w:rPr>
      </w:pPr>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清标内容：</w:t>
      </w:r>
    </w:p>
    <w:tbl>
      <w:tblPr>
        <w:tblStyle w:val="30"/>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00" w:lineRule="exact"/>
              <w:ind w:firstLine="480" w:firstLineChars="200"/>
              <w:jc w:val="center"/>
              <w:rPr>
                <w:rFonts w:asciiTheme="minorEastAsia" w:hAnsiTheme="minorEastAsia" w:eastAsiaTheme="minorEastAsia"/>
                <w:b/>
                <w:kern w:val="2"/>
                <w:sz w:val="24"/>
                <w:szCs w:val="24"/>
              </w:rPr>
            </w:pPr>
          </w:p>
        </w:tc>
      </w:tr>
    </w:tbl>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注：不在上述范围内且不具有实质性影响的内容，均不能作为清标的依据或理由。</w:t>
      </w:r>
    </w:p>
    <w:p>
      <w:pPr>
        <w:pStyle w:val="2"/>
        <w:spacing w:line="400" w:lineRule="exact"/>
        <w:ind w:firstLine="480" w:firstLineChars="200"/>
        <w:rPr>
          <w:rFonts w:hAnsi="宋体" w:cs="宋体"/>
          <w:b/>
          <w:sz w:val="24"/>
          <w:szCs w:val="24"/>
        </w:rPr>
      </w:pPr>
      <w:r>
        <w:rPr>
          <w:rFonts w:hint="eastAsia" w:hAnsi="宋体" w:cs="宋体"/>
          <w:b/>
          <w:sz w:val="24"/>
          <w:szCs w:val="24"/>
        </w:rPr>
        <w:t>“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spacing w:line="400" w:lineRule="exact"/>
        <w:rPr>
          <w:rFonts w:hAnsi="宋体" w:cs="宋体"/>
          <w:b/>
          <w:sz w:val="24"/>
        </w:rPr>
      </w:pPr>
    </w:p>
    <w:p>
      <w:pPr>
        <w:spacing w:line="400" w:lineRule="exact"/>
        <w:rPr>
          <w:rFonts w:hAnsi="宋体" w:cs="宋体"/>
          <w:b/>
          <w:sz w:val="24"/>
        </w:rPr>
      </w:pPr>
      <w:r>
        <w:rPr>
          <w:rFonts w:hint="eastAsia" w:hAnsi="宋体" w:cs="宋体"/>
          <w:b/>
          <w:sz w:val="24"/>
        </w:rPr>
        <w:t>六、初步评审</w:t>
      </w:r>
    </w:p>
    <w:p>
      <w:pPr>
        <w:spacing w:line="40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00" w:lineRule="exact"/>
        <w:ind w:firstLine="480" w:firstLineChars="200"/>
        <w:rPr>
          <w:rFonts w:ascii="新宋体" w:hAnsi="新宋体" w:eastAsia="新宋体"/>
          <w:sz w:val="24"/>
        </w:rPr>
      </w:pPr>
      <w:r>
        <w:rPr>
          <w:rFonts w:hint="eastAsia" w:ascii="新宋体" w:hAnsi="新宋体" w:eastAsia="新宋体"/>
          <w:sz w:val="24"/>
        </w:rPr>
        <w:t>（1）是否按招标文件要求签字盖章（无需逐页签字盖章）</w:t>
      </w:r>
    </w:p>
    <w:p>
      <w:pPr>
        <w:spacing w:line="40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0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w:t>
      </w:r>
    </w:p>
    <w:p>
      <w:pPr>
        <w:spacing w:line="40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00" w:lineRule="exact"/>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400" w:lineRule="exact"/>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400" w:lineRule="exact"/>
        <w:ind w:firstLine="480" w:firstLineChars="200"/>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400" w:lineRule="exact"/>
        <w:ind w:firstLine="480" w:firstLineChars="200"/>
        <w:rPr>
          <w:rFonts w:hAnsi="宋体" w:cs="宋体"/>
          <w:sz w:val="24"/>
        </w:rPr>
      </w:pPr>
      <w:r>
        <w:rPr>
          <w:rFonts w:hint="eastAsia" w:hAnsi="宋体" w:cs="宋体"/>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napToGrid w:val="0"/>
        <w:spacing w:line="400" w:lineRule="exact"/>
        <w:ind w:firstLine="480" w:firstLineChars="200"/>
        <w:rPr>
          <w:rFonts w:hAnsi="宋体" w:cs="宋体"/>
          <w:sz w:val="24"/>
        </w:rPr>
      </w:pPr>
      <w:r>
        <w:rPr>
          <w:rFonts w:hint="eastAsia" w:hAnsi="宋体" w:cs="宋体"/>
          <w:sz w:val="24"/>
        </w:rPr>
        <w:t>初步评审经审查后应写出评审意见。</w:t>
      </w:r>
    </w:p>
    <w:p>
      <w:pPr>
        <w:snapToGrid w:val="0"/>
        <w:spacing w:line="400" w:lineRule="exact"/>
        <w:rPr>
          <w:rFonts w:hAnsi="宋体" w:cs="宋体"/>
          <w:b/>
          <w:sz w:val="24"/>
        </w:rPr>
      </w:pPr>
    </w:p>
    <w:p>
      <w:pPr>
        <w:snapToGrid w:val="0"/>
        <w:spacing w:line="400" w:lineRule="exact"/>
        <w:rPr>
          <w:rFonts w:hAnsi="宋体" w:cs="宋体"/>
          <w:b/>
          <w:sz w:val="24"/>
        </w:rPr>
      </w:pPr>
      <w:r>
        <w:rPr>
          <w:rFonts w:hint="eastAsia" w:hAnsi="宋体" w:cs="宋体"/>
          <w:b/>
          <w:sz w:val="24"/>
        </w:rPr>
        <w:t>七、详细评审</w:t>
      </w:r>
    </w:p>
    <w:p>
      <w:pPr>
        <w:snapToGrid w:val="0"/>
        <w:spacing w:line="400" w:lineRule="exact"/>
        <w:rPr>
          <w:rFonts w:cs="宋体" w:asciiTheme="minorEastAsia" w:hAnsiTheme="minorEastAsia" w:eastAsiaTheme="minorEastAsia"/>
          <w:sz w:val="24"/>
          <w:szCs w:val="24"/>
        </w:rPr>
      </w:pPr>
      <w:r>
        <w:rPr>
          <w:rFonts w:hint="eastAsia" w:hAnsi="宋体" w:cs="宋体"/>
          <w:sz w:val="24"/>
          <w:szCs w:val="24"/>
          <w:shd w:val="clear" w:color="auto" w:fill="FFFFFF"/>
        </w:rPr>
        <w:t xml:space="preserve">   评标委员会根据招标文件要求应从技术标、商务标、综合（信用）标三部分进行综合评审。技术标的权重占25%，商务标的权重占50%，综合（信用）标的权重占25%。</w:t>
      </w:r>
      <w:r>
        <w:rPr>
          <w:rFonts w:hint="eastAsia" w:cs="宋体" w:asciiTheme="minorEastAsia" w:hAnsiTheme="minorEastAsia" w:eastAsiaTheme="minorEastAsia"/>
          <w:sz w:val="24"/>
          <w:szCs w:val="24"/>
        </w:rPr>
        <w:t xml:space="preserve">   </w:t>
      </w:r>
    </w:p>
    <w:p>
      <w:pPr>
        <w:snapToGrid w:val="0"/>
        <w:spacing w:line="400" w:lineRule="exact"/>
        <w:rPr>
          <w:rFonts w:cs="宋体" w:asciiTheme="minorEastAsia" w:hAnsiTheme="minorEastAsia" w:eastAsiaTheme="minorEastAsia"/>
          <w:b/>
          <w:bCs/>
          <w:sz w:val="24"/>
          <w:szCs w:val="24"/>
        </w:rPr>
      </w:pPr>
    </w:p>
    <w:p>
      <w:pPr>
        <w:snapToGrid w:val="0"/>
        <w:spacing w:line="400" w:lineRule="exact"/>
        <w:rPr>
          <w:rFonts w:hAnsi="宋体" w:cs="宋体"/>
          <w:sz w:val="24"/>
          <w:szCs w:val="24"/>
          <w:shd w:val="clear" w:color="auto" w:fill="FFFFFF"/>
        </w:rPr>
      </w:pPr>
      <w:r>
        <w:rPr>
          <w:rFonts w:hint="eastAsia" w:cs="宋体" w:asciiTheme="minorEastAsia" w:hAnsiTheme="minorEastAsia" w:eastAsiaTheme="minorEastAsia"/>
          <w:b/>
          <w:bCs/>
          <w:sz w:val="24"/>
          <w:szCs w:val="24"/>
        </w:rPr>
        <w:t>（一）技术标（25分）</w:t>
      </w:r>
    </w:p>
    <w:tbl>
      <w:tblPr>
        <w:tblStyle w:val="30"/>
        <w:tblpPr w:leftFromText="180" w:rightFromText="180" w:vertAnchor="text" w:horzAnchor="page" w:tblpXSpec="center" w:tblpY="468"/>
        <w:tblOverlap w:val="never"/>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061"/>
        <w:gridCol w:w="1005"/>
        <w:gridCol w:w="5902"/>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567"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序号</w:t>
            </w:r>
          </w:p>
        </w:tc>
        <w:tc>
          <w:tcPr>
            <w:tcW w:w="1061"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内容</w:t>
            </w:r>
          </w:p>
        </w:tc>
        <w:tc>
          <w:tcPr>
            <w:tcW w:w="100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分值</w:t>
            </w:r>
          </w:p>
        </w:tc>
        <w:tc>
          <w:tcPr>
            <w:tcW w:w="590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评审标准</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w:t>
            </w:r>
          </w:p>
        </w:tc>
        <w:tc>
          <w:tcPr>
            <w:tcW w:w="1061"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内容完整性</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0-0.5分</w:t>
            </w:r>
          </w:p>
        </w:tc>
        <w:tc>
          <w:tcPr>
            <w:tcW w:w="590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技术标的主要内容具有完整性，符合招标文件的要求。</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技术标不符合招标文件要求。</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1"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主要施工方案与技术措施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 1-3分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施工方案（含工程特点、施工重点与难点及绿色施工）总体安排合理，运用先进、合理的施工工艺、施工机械；对施工难点有先进和合理的建议。</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施工方案（含工程特点、施工重点与难点及绿色施工）总体安排合理，施工工艺、施工机械合理、可行；对施工难点有合理的建议。</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5"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质量管理体系与措施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95"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安全管理体系与措施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 1-2分</w:t>
            </w:r>
          </w:p>
        </w:tc>
        <w:tc>
          <w:tcPr>
            <w:tcW w:w="5902" w:type="dxa"/>
            <w:vAlign w:val="center"/>
          </w:tcPr>
          <w:p>
            <w:pPr>
              <w:spacing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5"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5</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文明施工、环境保护管理体系及施工现场扬尘治理措施  </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1-3分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5"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6</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工期保证措施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工期承诺满足招标文件要求，工期保证措施合理且有针对性，有具体的违约责任承诺。</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工期承诺满足招标文件要求，工期保证措施基本合理，有具体的违约责任承诺。</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5"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7</w:t>
            </w:r>
          </w:p>
        </w:tc>
        <w:tc>
          <w:tcPr>
            <w:tcW w:w="1061"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拟投入资源配备计划</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1.机械：投入计划与进度计划呼应，采用先进机械设备且配置合理、先进，满足安全技术规范和施工进度需要；PC构件运输、安装设备满足施工要求；</w:t>
            </w:r>
          </w:p>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2.劳动力：投入计划与进度计划呼应，较好满足施工需要，调配投入计划合理、准确；</w:t>
            </w:r>
          </w:p>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3.主要物资计划：主要物资（含PC构件的供应需求）投入计划与进度计划呼应，较好满足施工需要，调配投入计划合理、准确。</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5"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1.机械：投入计划与进度计划呼应，机械设备配置基本合理，满足安全技术规范和施工进度需要；</w:t>
            </w:r>
          </w:p>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2.劳动力：投入计划与进度计划呼应，基本满足施工需要，调配投入计划基本合理；</w:t>
            </w:r>
          </w:p>
          <w:p>
            <w:pPr>
              <w:spacing w:line="400" w:lineRule="exact"/>
              <w:ind w:firstLine="464" w:firstLineChars="200"/>
              <w:rPr>
                <w:rFonts w:cs="宋体" w:asciiTheme="minorEastAsia" w:hAnsiTheme="minorEastAsia" w:eastAsiaTheme="minorEastAsia"/>
                <w:spacing w:val="-4"/>
                <w:kern w:val="2"/>
                <w:sz w:val="24"/>
                <w:szCs w:val="24"/>
              </w:rPr>
            </w:pPr>
            <w:r>
              <w:rPr>
                <w:rFonts w:hint="eastAsia" w:cs="宋体" w:asciiTheme="minorEastAsia" w:hAnsiTheme="minorEastAsia" w:eastAsiaTheme="minorEastAsia"/>
                <w:spacing w:val="-4"/>
                <w:kern w:val="2"/>
                <w:sz w:val="24"/>
                <w:szCs w:val="24"/>
              </w:rPr>
              <w:t>3.主要物资计划：主要物资（含PC构件的供应需求）投入计划与进度计划呼应，基本满足施工需要，调配投入计划基本合理。</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0"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8</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施工进度表与网络计划图</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关键线路清晰、准确、完整、计划编制合理、可行、满足招标文件对工期的要求。</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关键线路基本准确，计划编制基本可行。</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施工总平面图布置</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0.5-1分</w:t>
            </w:r>
          </w:p>
        </w:tc>
        <w:tc>
          <w:tcPr>
            <w:tcW w:w="5902" w:type="dxa"/>
            <w:vAlign w:val="center"/>
          </w:tcPr>
          <w:p>
            <w:pPr>
              <w:spacing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总体布置有针对性、合理、能较好满足施工需要，符合安全、文明施工要求；材料堆放有序。</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总体布置基本合理、基本满足施工需要。</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w:t>
            </w:r>
          </w:p>
        </w:tc>
        <w:tc>
          <w:tcPr>
            <w:tcW w:w="1061" w:type="dxa"/>
            <w:vMerge w:val="restart"/>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技术创新的应用实施措施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（1）节能减排、（2）绿色施工、（3）工艺创新、（4）装配式建筑等技术创新的应用实施措施符合工程情况，具有针对性、可行性、经济适用性。</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48"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spacing w:val="-8"/>
                <w:kern w:val="2"/>
                <w:sz w:val="24"/>
                <w:szCs w:val="24"/>
              </w:rPr>
              <w:t>（1）节能减排、（2）绿色施工、（3）工艺创新、（4）装配式建筑等技术创新的应用实施措施基本符合工程情况，具有针</w:t>
            </w:r>
            <w:r>
              <w:rPr>
                <w:rFonts w:hint="eastAsia" w:cs="宋体" w:asciiTheme="minorEastAsia" w:hAnsiTheme="minorEastAsia" w:eastAsiaTheme="minorEastAsia"/>
                <w:kern w:val="2"/>
                <w:sz w:val="24"/>
                <w:szCs w:val="24"/>
              </w:rPr>
              <w:t>对性。</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6"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11</w:t>
            </w:r>
          </w:p>
        </w:tc>
        <w:tc>
          <w:tcPr>
            <w:tcW w:w="1061"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采用新工艺、新技术、新设备、新材料、BIM等的程度</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采用新工艺、新技术、新设备、新材料、BIM等的程度满足设计要求，符合施工需要和相应技术标准等规定，经济适用。</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1"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采用新工艺、新技术、新设备、新材料、BIM等的程度满足设计要求， 基本符合施工要求和相应技术标准等规定。</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w:t>
            </w:r>
          </w:p>
        </w:tc>
        <w:tc>
          <w:tcPr>
            <w:tcW w:w="1061"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施工现场实施信息化监控和数据处理</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0.5-1.5分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施工现场实施信息化监控和数据处理系统布置合理，满足需要。</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施工现场实施信息化监控和数据处理系统布置基本符合需要。</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567"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13</w:t>
            </w:r>
          </w:p>
        </w:tc>
        <w:tc>
          <w:tcPr>
            <w:tcW w:w="1061"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风险管理措施</w:t>
            </w:r>
          </w:p>
        </w:tc>
        <w:tc>
          <w:tcPr>
            <w:tcW w:w="100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1-2分</w:t>
            </w: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风险防控管理措施齐全，风险预控符合规范要求，风险控制要点定位准确，各阶段风险控制及应急措施得力。</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1" w:hRule="atLeast"/>
          <w:jc w:val="center"/>
        </w:trPr>
        <w:tc>
          <w:tcPr>
            <w:tcW w:w="567"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61"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00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5902" w:type="dxa"/>
            <w:vAlign w:val="center"/>
          </w:tcPr>
          <w:p>
            <w:pPr>
              <w:spacing w:line="400" w:lineRule="exact"/>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风险防控管理措施基本齐全，风险预控符合规范要求，风险控制要点定位基本准确，有各阶段风险控制及应急措施。</w:t>
            </w: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28" w:type="dxa"/>
            <w:gridSpan w:val="2"/>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合计</w:t>
            </w:r>
          </w:p>
        </w:tc>
        <w:tc>
          <w:tcPr>
            <w:tcW w:w="100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10-25分</w:t>
            </w:r>
          </w:p>
        </w:tc>
        <w:tc>
          <w:tcPr>
            <w:tcW w:w="5902" w:type="dxa"/>
            <w:vAlign w:val="center"/>
          </w:tcPr>
          <w:p>
            <w:pPr>
              <w:spacing w:line="400" w:lineRule="exact"/>
              <w:rPr>
                <w:rFonts w:cs="宋体" w:asciiTheme="minorEastAsia" w:hAnsiTheme="minorEastAsia" w:eastAsiaTheme="minorEastAsia"/>
                <w:kern w:val="2"/>
                <w:sz w:val="24"/>
                <w:szCs w:val="24"/>
              </w:rPr>
            </w:pPr>
          </w:p>
        </w:tc>
        <w:tc>
          <w:tcPr>
            <w:tcW w:w="1289"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10≤得分≤25</w:t>
            </w:r>
          </w:p>
        </w:tc>
      </w:tr>
    </w:tbl>
    <w:p>
      <w:pPr>
        <w:pStyle w:val="2"/>
        <w:spacing w:line="400" w:lineRule="exact"/>
        <w:ind w:firstLine="24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  </w:t>
      </w:r>
    </w:p>
    <w:p>
      <w:pPr>
        <w:pStyle w:val="2"/>
        <w:spacing w:line="400" w:lineRule="exact"/>
        <w:ind w:firstLine="240"/>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以上项目若有缺项，该项为0分。</w:t>
      </w:r>
    </w:p>
    <w:p>
      <w:pPr>
        <w:snapToGrid w:val="0"/>
        <w:spacing w:line="400" w:lineRule="exac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（二）商务标（50分）</w:t>
      </w:r>
    </w:p>
    <w:p>
      <w:pPr>
        <w:spacing w:line="400" w:lineRule="exact"/>
        <w:rPr>
          <w:rFonts w:hAnsi="宋体" w:cs="宋体"/>
          <w:b/>
          <w:bCs/>
          <w:sz w:val="24"/>
          <w:szCs w:val="24"/>
        </w:rPr>
      </w:pPr>
      <w:r>
        <w:rPr>
          <w:rFonts w:hint="eastAsia" w:hAnsi="宋体" w:cs="宋体"/>
          <w:b/>
          <w:bCs/>
          <w:sz w:val="24"/>
          <w:szCs w:val="24"/>
        </w:rPr>
        <w:t xml:space="preserve">  工程量清单报价评标基准价按下列公式确定：</w:t>
      </w:r>
    </w:p>
    <w:p>
      <w:pPr>
        <w:spacing w:line="400" w:lineRule="exact"/>
        <w:ind w:firstLine="480" w:firstLineChars="200"/>
        <w:rPr>
          <w:rFonts w:hAnsi="宋体"/>
          <w:sz w:val="24"/>
        </w:rPr>
      </w:pPr>
      <w:bookmarkStart w:id="26" w:name="_Toc5078"/>
      <w:r>
        <w:rPr>
          <w:rFonts w:hint="eastAsia" w:hAnsi="宋体"/>
          <w:sz w:val="24"/>
        </w:rPr>
        <w:t>评标基准价＝招标控制价×K+投标报价×（1－K）</w:t>
      </w:r>
    </w:p>
    <w:p>
      <w:pPr>
        <w:spacing w:line="400" w:lineRule="exact"/>
        <w:ind w:firstLine="480" w:firstLineChars="200"/>
        <w:rPr>
          <w:rFonts w:hAnsi="宋体"/>
          <w:sz w:val="24"/>
        </w:rPr>
      </w:pPr>
      <w:r>
        <w:rPr>
          <w:rFonts w:hint="eastAsia" w:hAnsi="宋体"/>
          <w:sz w:val="24"/>
        </w:rPr>
        <w:t>其中：投标报价为各投标人有效投标报价去掉一个最高和一个最低报价后的算术平均值。当有效投标少于5家时（不含5家），则以所有有效投标报价的算术平均值作为投标报价。</w:t>
      </w:r>
    </w:p>
    <w:p>
      <w:pPr>
        <w:spacing w:line="400" w:lineRule="exact"/>
        <w:ind w:firstLine="480" w:firstLineChars="200"/>
        <w:rPr>
          <w:rFonts w:hAnsi="宋体"/>
          <w:sz w:val="24"/>
        </w:rPr>
      </w:pPr>
      <w:r>
        <w:rPr>
          <w:rFonts w:hint="eastAsia" w:hAnsi="宋体"/>
          <w:sz w:val="24"/>
        </w:rPr>
        <w:t>注：①有效投标人指通过清标和初步评审的投标人；</w:t>
      </w:r>
    </w:p>
    <w:p>
      <w:pPr>
        <w:spacing w:line="400" w:lineRule="exact"/>
        <w:ind w:firstLine="480" w:firstLineChars="200"/>
        <w:rPr>
          <w:rFonts w:hAnsi="宋体"/>
          <w:sz w:val="24"/>
        </w:rPr>
      </w:pPr>
      <w:r>
        <w:rPr>
          <w:rFonts w:hint="eastAsia" w:hAnsi="宋体"/>
          <w:sz w:val="24"/>
        </w:rPr>
        <w:t xml:space="preserve">    ②K为招标控制价权重系数，0.3≤K≤0.5（K的取值：0.3、0.35、0.4、0.45、0.5），在开标现场随机抽取。</w:t>
      </w:r>
    </w:p>
    <w:p>
      <w:pPr>
        <w:spacing w:line="400" w:lineRule="exact"/>
        <w:ind w:firstLine="960" w:firstLineChars="400"/>
        <w:rPr>
          <w:rFonts w:cs="宋体" w:asciiTheme="minorEastAsia" w:hAnsiTheme="minorEastAsia" w:eastAsiaTheme="minorEastAsia"/>
          <w:b/>
          <w:bCs/>
          <w:sz w:val="24"/>
          <w:szCs w:val="24"/>
        </w:rPr>
      </w:pPr>
      <w:r>
        <w:rPr>
          <w:rFonts w:hint="eastAsia" w:hAnsi="宋体"/>
          <w:sz w:val="24"/>
          <w:szCs w:val="22"/>
        </w:rPr>
        <w:fldChar w:fldCharType="begin"/>
      </w:r>
      <w:r>
        <w:rPr>
          <w:rFonts w:hint="eastAsia" w:hAnsi="宋体"/>
          <w:sz w:val="24"/>
          <w:szCs w:val="22"/>
        </w:rPr>
        <w:instrText xml:space="preserve"> = 3 \* GB3 \* MERGEFORMAT </w:instrText>
      </w:r>
      <w:r>
        <w:rPr>
          <w:rFonts w:hint="eastAsia" w:hAnsi="宋体"/>
          <w:sz w:val="24"/>
          <w:szCs w:val="22"/>
        </w:rPr>
        <w:fldChar w:fldCharType="separate"/>
      </w:r>
      <w:r>
        <w:rPr>
          <w:rFonts w:hint="eastAsia" w:hAnsi="宋体"/>
          <w:sz w:val="24"/>
          <w:szCs w:val="22"/>
        </w:rPr>
        <w:t>③</w:t>
      </w:r>
      <w:r>
        <w:rPr>
          <w:rFonts w:hint="eastAsia" w:hAnsi="宋体"/>
          <w:sz w:val="24"/>
          <w:szCs w:val="22"/>
        </w:rPr>
        <w:fldChar w:fldCharType="end"/>
      </w:r>
      <w:r>
        <w:rPr>
          <w:rFonts w:hint="eastAsia" w:hAnsi="宋体"/>
          <w:sz w:val="24"/>
          <w:szCs w:val="22"/>
        </w:rPr>
        <w:t>上述招标控制价、投标报价、有效投标报价在参与评标基准价计算时，均不含：规费、安全文明施工措施费、暂列金额与专业暂估价、增值税。</w:t>
      </w:r>
      <w:bookmarkEnd w:id="26"/>
    </w:p>
    <w:p>
      <w:pPr>
        <w:snapToGrid w:val="0"/>
        <w:spacing w:line="400" w:lineRule="exact"/>
        <w:ind w:firstLine="480" w:firstLineChars="200"/>
        <w:rPr>
          <w:rFonts w:hAnsi="宋体" w:cs="宋体"/>
          <w:b/>
          <w:bCs/>
          <w:sz w:val="24"/>
          <w:szCs w:val="24"/>
        </w:rPr>
      </w:pPr>
      <w:r>
        <w:rPr>
          <w:rFonts w:hint="eastAsia" w:hAnsi="宋体" w:cs="宋体"/>
          <w:b/>
          <w:bCs/>
          <w:sz w:val="24"/>
          <w:szCs w:val="24"/>
        </w:rPr>
        <w:t xml:space="preserve">1、投标报价（30分） </w:t>
      </w:r>
    </w:p>
    <w:p>
      <w:pPr>
        <w:snapToGrid w:val="0"/>
        <w:spacing w:line="400" w:lineRule="exact"/>
        <w:ind w:firstLine="481"/>
        <w:rPr>
          <w:rFonts w:hAnsi="宋体" w:cs="宋体"/>
          <w:sz w:val="24"/>
          <w:szCs w:val="24"/>
        </w:rPr>
      </w:pPr>
      <w:r>
        <w:rPr>
          <w:rFonts w:hint="eastAsia" w:hAnsi="宋体" w:cs="宋体"/>
          <w:sz w:val="24"/>
          <w:szCs w:val="24"/>
        </w:rPr>
        <w:t xml:space="preserve">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 </w:t>
      </w:r>
    </w:p>
    <w:p>
      <w:pPr>
        <w:adjustRightInd w:val="0"/>
        <w:snapToGrid w:val="0"/>
        <w:spacing w:line="40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2、分部分项工程项目清单单价评审，共计10分。</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从最高投标限价中分部分项工程项目权重最大的前10-30项清单项目中抽取15项，在剩余的分部分项工程项目清单项目中抽取5项。</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综合单价基准值是以各有效投标报价中（当有效投标人5名及以上时，去掉1个最高、1个最低值）对应抽取清单项目综合单价的算术平均值。</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3、措施项目费的评审（不含安全文明措施费），共计5分。</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00" w:lineRule="exact"/>
        <w:ind w:firstLine="578" w:firstLineChars="241"/>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4、主要材料单价的评审，共计5分。</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从最高投标限价中材料总价权重最大的前10-20项材料中抽取6项，在剩余材料中抽取4项。</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主要材料单价基准值是以各有效投标报价中（当有效投标人5名及以上时，去掉1个最高、1个最低值）对应抽取材料单价的算术平均值。</w:t>
      </w:r>
    </w:p>
    <w:p>
      <w:pPr>
        <w:adjustRightInd w:val="0"/>
        <w:snapToGrid w:val="0"/>
        <w:spacing w:line="400" w:lineRule="exact"/>
        <w:ind w:firstLine="578" w:firstLineChars="241"/>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00" w:lineRule="exact"/>
        <w:ind w:firstLine="578" w:firstLineChars="241"/>
        <w:rPr>
          <w:rFonts w:hAnsi="宋体" w:cs="宋体"/>
          <w:b/>
          <w:bCs/>
          <w:sz w:val="24"/>
          <w:szCs w:val="24"/>
        </w:rPr>
      </w:pPr>
      <w:r>
        <w:rPr>
          <w:rFonts w:hint="eastAsia" w:cs="宋体" w:asciiTheme="minorEastAsia" w:hAnsiTheme="minorEastAsia" w:eastAsiaTheme="minorEastAsia"/>
          <w:b/>
          <w:bCs/>
          <w:sz w:val="24"/>
          <w:szCs w:val="24"/>
        </w:rPr>
        <w:t>针对上述2、4款项中部分分部分项工程项目数量较少、施工工艺简单、主材种类较少而不能满足最低抽项要求的，应将所有分部分项工程项目或主要材料项目纳入评审范围。</w:t>
      </w:r>
      <w:bookmarkStart w:id="27" w:name="_Toc272833453"/>
      <w:bookmarkStart w:id="28" w:name="_Toc273546398"/>
      <w:bookmarkStart w:id="29" w:name="_Toc270931534"/>
      <w:bookmarkStart w:id="30" w:name="_Toc295572535"/>
    </w:p>
    <w:p>
      <w:pPr>
        <w:spacing w:line="400" w:lineRule="exact"/>
        <w:rPr>
          <w:rFonts w:asciiTheme="minorEastAsia" w:hAnsiTheme="minorEastAsia" w:eastAsiaTheme="minorEastAsia"/>
          <w:strike/>
          <w:sz w:val="24"/>
          <w:szCs w:val="24"/>
        </w:rPr>
      </w:pPr>
      <w:r>
        <w:rPr>
          <w:rFonts w:hint="eastAsia" w:hAnsi="宋体" w:cs="宋体"/>
          <w:b/>
          <w:bCs/>
          <w:sz w:val="24"/>
          <w:szCs w:val="24"/>
        </w:rPr>
        <w:t>（三）综合（信用）标的评标分值（25分）</w:t>
      </w:r>
    </w:p>
    <w:tbl>
      <w:tblPr>
        <w:tblStyle w:val="30"/>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5"/>
        <w:gridCol w:w="637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0"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序号</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项  目</w:t>
            </w:r>
          </w:p>
        </w:tc>
        <w:tc>
          <w:tcPr>
            <w:tcW w:w="637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评  审   标   准</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30"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企业业绩</w:t>
            </w:r>
          </w:p>
        </w:tc>
        <w:tc>
          <w:tcPr>
            <w:tcW w:w="6375" w:type="dxa"/>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自2016年1月1日以来（以合同签订时间为准）企业具有类似业绩者每项得2分，本项最高得4分。</w:t>
            </w:r>
            <w:r>
              <w:rPr>
                <w:rFonts w:hint="eastAsia" w:hAnsi="宋体" w:cs="宋体"/>
                <w:sz w:val="24"/>
                <w:szCs w:val="24"/>
              </w:rPr>
              <w:t>【提供施工合同和竣工验收备案表或施工合同和中标通知书】</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30"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项目经理业绩</w:t>
            </w:r>
          </w:p>
        </w:tc>
        <w:tc>
          <w:tcPr>
            <w:tcW w:w="6375" w:type="dxa"/>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自2016年1月1日以来（以合同签订时间为准）项目经理具有类似业绩者每项得2分，本项最高得6分。</w:t>
            </w:r>
            <w:r>
              <w:rPr>
                <w:rFonts w:hint="eastAsia" w:hAnsi="宋体"/>
                <w:sz w:val="24"/>
                <w:szCs w:val="24"/>
              </w:rPr>
              <w:t>【提供施工合同和竣工验收备案表或施工合同和中标通知书】</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w:t>
            </w:r>
          </w:p>
        </w:tc>
        <w:tc>
          <w:tcPr>
            <w:tcW w:w="129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优惠承诺</w:t>
            </w:r>
          </w:p>
        </w:tc>
        <w:tc>
          <w:tcPr>
            <w:tcW w:w="6375" w:type="dxa"/>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优惠承诺应是书面的符合工程实际情况，确保依法依规，优惠合理，详实可行。</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29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6375" w:type="dxa"/>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优惠承诺符合工程实际情况，确保依法依规，优惠基本合理，基本详实可行。</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w:t>
            </w:r>
          </w:p>
        </w:tc>
        <w:tc>
          <w:tcPr>
            <w:tcW w:w="1295" w:type="dxa"/>
            <w:vMerge w:val="restart"/>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履职尽责承诺</w:t>
            </w:r>
          </w:p>
        </w:tc>
        <w:tc>
          <w:tcPr>
            <w:tcW w:w="6375" w:type="dxa"/>
            <w:vAlign w:val="center"/>
          </w:tcPr>
          <w:p>
            <w:pPr>
              <w:spacing w:line="40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1295" w:type="dxa"/>
            <w:vMerge w:val="continue"/>
            <w:vAlign w:val="center"/>
          </w:tcPr>
          <w:p>
            <w:pPr>
              <w:spacing w:line="400" w:lineRule="exact"/>
              <w:jc w:val="left"/>
              <w:rPr>
                <w:rFonts w:cs="宋体" w:asciiTheme="minorEastAsia" w:hAnsiTheme="minorEastAsia" w:eastAsiaTheme="minorEastAsia"/>
                <w:kern w:val="2"/>
                <w:sz w:val="24"/>
                <w:szCs w:val="24"/>
              </w:rPr>
            </w:pPr>
          </w:p>
        </w:tc>
        <w:tc>
          <w:tcPr>
            <w:tcW w:w="6375" w:type="dxa"/>
            <w:vAlign w:val="center"/>
          </w:tcPr>
          <w:p>
            <w:pPr>
              <w:spacing w:line="40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400" w:lineRule="exact"/>
              <w:jc w:val="center"/>
              <w:rPr>
                <w:rFonts w:cs="宋体" w:asciiTheme="minorEastAsia" w:hAnsiTheme="minorEastAsia" w:eastAsiaTheme="minorEastAsia"/>
                <w:kern w:val="2"/>
                <w:sz w:val="24"/>
                <w:szCs w:val="24"/>
              </w:rPr>
            </w:pPr>
            <w:r>
              <w:rPr>
                <w:rFonts w:ascii="Times New Roman"/>
                <w:kern w:val="2"/>
                <w:sz w:val="21"/>
                <w:szCs w:val="21"/>
              </w:rPr>
              <w:t>5</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企业信用（含纳税诚信）</w:t>
            </w:r>
          </w:p>
        </w:tc>
        <w:tc>
          <w:tcPr>
            <w:tcW w:w="6375" w:type="dxa"/>
            <w:vAlign w:val="center"/>
          </w:tcPr>
          <w:p>
            <w:pPr>
              <w:spacing w:line="40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1、自2016年1月1日以来投标人获得环境管理体系认证、职业健康安全管理体系认证、质量管理体系认证者得2分。【以证书原件扫描件为准】</w:t>
            </w:r>
          </w:p>
          <w:p>
            <w:pPr>
              <w:spacing w:line="40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2、投标人提供2016年1月以来信用评级机构出具的有效的企业信用等级证书和信用等级报告的原件扫描件，等级为AAA级的得1分，AA级的得0.5分，A级的得0.3分。</w:t>
            </w:r>
          </w:p>
          <w:p>
            <w:pPr>
              <w:spacing w:line="400" w:lineRule="exact"/>
              <w:ind w:firstLine="480" w:firstLineChars="200"/>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3、企业近三年获得过市级守合同重信用奖的得1分，本项最高得1分。【以证书原件扫描件为准】</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-4</w:t>
            </w:r>
            <w:r>
              <w:rPr>
                <w:rFonts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得分</w:t>
            </w:r>
            <w:r>
              <w:rPr>
                <w:rFonts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spacing w:line="400" w:lineRule="exact"/>
              <w:jc w:val="center"/>
              <w:rPr>
                <w:rFonts w:ascii="Times New Roman"/>
                <w:kern w:val="2"/>
                <w:sz w:val="21"/>
                <w:szCs w:val="21"/>
              </w:rPr>
            </w:pPr>
            <w:r>
              <w:rPr>
                <w:rFonts w:ascii="Times New Roman"/>
                <w:kern w:val="2"/>
                <w:sz w:val="21"/>
                <w:szCs w:val="21"/>
              </w:rPr>
              <w:t>6</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hAnsi="宋体" w:cs="宋体"/>
                <w:sz w:val="24"/>
                <w:szCs w:val="24"/>
              </w:rPr>
              <w:t>项目经理信用</w:t>
            </w:r>
          </w:p>
        </w:tc>
        <w:tc>
          <w:tcPr>
            <w:tcW w:w="6375" w:type="dxa"/>
            <w:vAlign w:val="center"/>
          </w:tcPr>
          <w:p>
            <w:pPr>
              <w:spacing w:line="400" w:lineRule="exact"/>
              <w:jc w:val="left"/>
              <w:rPr>
                <w:rFonts w:cs="宋体" w:asciiTheme="minorEastAsia" w:hAnsiTheme="minorEastAsia" w:eastAsiaTheme="minorEastAsia"/>
                <w:kern w:val="2"/>
                <w:sz w:val="24"/>
                <w:szCs w:val="24"/>
              </w:rPr>
            </w:pPr>
            <w:r>
              <w:rPr>
                <w:rFonts w:hint="eastAsia" w:hAnsi="宋体" w:cs="宋体"/>
                <w:sz w:val="24"/>
                <w:szCs w:val="24"/>
              </w:rPr>
              <w:t>项目经理近三年获得建筑业企业优秀项目经理荣誉证书，本项最高得2分。</w:t>
            </w:r>
            <w:r>
              <w:rPr>
                <w:rFonts w:hint="eastAsia" w:hAnsi="宋体"/>
                <w:sz w:val="24"/>
                <w:szCs w:val="24"/>
              </w:rPr>
              <w:t>【</w:t>
            </w:r>
            <w:r>
              <w:rPr>
                <w:rFonts w:hint="eastAsia" w:hAnsi="宋体" w:cs="宋体"/>
                <w:sz w:val="24"/>
                <w:szCs w:val="24"/>
              </w:rPr>
              <w:t>以证书原件扫描件为准</w:t>
            </w:r>
            <w:r>
              <w:rPr>
                <w:rFonts w:hint="eastAsia" w:hAnsi="宋体"/>
                <w:sz w:val="24"/>
                <w:szCs w:val="24"/>
              </w:rPr>
              <w:t>】</w:t>
            </w:r>
          </w:p>
        </w:tc>
        <w:tc>
          <w:tcPr>
            <w:tcW w:w="1662" w:type="dxa"/>
            <w:vAlign w:val="center"/>
          </w:tcPr>
          <w:p>
            <w:pPr>
              <w:spacing w:line="400" w:lineRule="exact"/>
              <w:jc w:val="left"/>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w:t>
            </w:r>
            <w:r>
              <w:rPr>
                <w:rFonts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得分</w:t>
            </w:r>
            <w:r>
              <w:rPr>
                <w:rFonts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30" w:type="dxa"/>
            <w:vAlign w:val="center"/>
          </w:tcPr>
          <w:p>
            <w:pPr>
              <w:spacing w:line="400" w:lineRule="exact"/>
              <w:jc w:val="center"/>
              <w:rPr>
                <w:rFonts w:ascii="Times New Roman"/>
                <w:kern w:val="2"/>
                <w:sz w:val="21"/>
                <w:szCs w:val="21"/>
              </w:rPr>
            </w:pPr>
            <w:r>
              <w:rPr>
                <w:rFonts w:ascii="Times New Roman"/>
                <w:kern w:val="2"/>
                <w:sz w:val="21"/>
                <w:szCs w:val="21"/>
              </w:rPr>
              <w:t>7</w:t>
            </w:r>
          </w:p>
        </w:tc>
        <w:tc>
          <w:tcPr>
            <w:tcW w:w="1295" w:type="dxa"/>
            <w:vAlign w:val="center"/>
          </w:tcPr>
          <w:p>
            <w:pPr>
              <w:spacing w:line="400" w:lineRule="exact"/>
              <w:jc w:val="center"/>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招标人                        意见</w:t>
            </w:r>
          </w:p>
        </w:tc>
        <w:tc>
          <w:tcPr>
            <w:tcW w:w="6375" w:type="dxa"/>
            <w:vAlign w:val="center"/>
          </w:tcPr>
          <w:p>
            <w:pPr>
              <w:spacing w:line="400" w:lineRule="exact"/>
              <w:jc w:val="left"/>
              <w:rPr>
                <w:rFonts w:cs="宋体" w:asciiTheme="minorEastAsia" w:hAnsiTheme="minorEastAsia"/>
                <w:kern w:val="2"/>
                <w:sz w:val="24"/>
                <w:szCs w:val="24"/>
              </w:rPr>
            </w:pPr>
            <w:r>
              <w:rPr>
                <w:rFonts w:hint="eastAsia" w:hAnsi="宋体" w:cs="宋体"/>
                <w:sz w:val="24"/>
                <w:szCs w:val="24"/>
              </w:rPr>
              <w:t>招标人意见均为2分。</w:t>
            </w:r>
          </w:p>
        </w:tc>
        <w:tc>
          <w:tcPr>
            <w:tcW w:w="1662" w:type="dxa"/>
            <w:vAlign w:val="center"/>
          </w:tcPr>
          <w:p>
            <w:pPr>
              <w:spacing w:line="400" w:lineRule="exact"/>
              <w:jc w:val="center"/>
              <w:rPr>
                <w:rFonts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0≤</w:t>
            </w:r>
            <w:r>
              <w:rPr>
                <w:rFonts w:hint="eastAsia" w:cs="宋体" w:asciiTheme="minorEastAsia" w:hAnsiTheme="minorEastAsia" w:eastAsiaTheme="minorEastAsia"/>
                <w:kern w:val="2"/>
                <w:sz w:val="24"/>
                <w:szCs w:val="24"/>
              </w:rPr>
              <w:t>得分</w:t>
            </w:r>
            <w:r>
              <w:rPr>
                <w:rFonts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rPr>
              <w:t>2</w:t>
            </w:r>
          </w:p>
        </w:tc>
      </w:tr>
    </w:tbl>
    <w:p>
      <w:pPr>
        <w:spacing w:line="400" w:lineRule="exact"/>
        <w:rPr>
          <w:rFonts w:asciiTheme="minorEastAsia" w:hAnsiTheme="minorEastAsia" w:eastAsiaTheme="minorEastAsia"/>
          <w:b/>
          <w:sz w:val="24"/>
          <w:szCs w:val="24"/>
        </w:rPr>
      </w:pPr>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注：1）业绩合同以合同签订日期为准，项目经理业绩可与企业业绩重复计算。</w:t>
      </w:r>
    </w:p>
    <w:p>
      <w:pPr>
        <w:spacing w:line="400" w:lineRule="exact"/>
        <w:ind w:left="475" w:leftChars="140"/>
        <w:rPr>
          <w:rFonts w:asciiTheme="minorEastAsia" w:hAnsiTheme="minorEastAsia" w:eastAsiaTheme="minorEastAsia"/>
          <w:b/>
          <w:sz w:val="24"/>
          <w:szCs w:val="24"/>
        </w:rPr>
      </w:pPr>
      <w:r>
        <w:rPr>
          <w:rFonts w:hint="eastAsia" w:asciiTheme="minorEastAsia" w:hAnsiTheme="minorEastAsia" w:eastAsiaTheme="minorEastAsia"/>
          <w:b/>
          <w:sz w:val="24"/>
          <w:szCs w:val="24"/>
        </w:rPr>
        <w:t>2）凡评标办法里涉及到的证书、证件及业绩材料等，均应在电子版投标文件中附其原件扫描件（或图片），所有扫描件和图片须加盖企业电子公章，否则该项得分应作0分处理。</w:t>
      </w:r>
    </w:p>
    <w:p>
      <w:pPr>
        <w:snapToGrid w:val="0"/>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3）近年来指2016年1月1日以来。</w:t>
      </w:r>
    </w:p>
    <w:p>
      <w:pPr>
        <w:snapToGrid w:val="0"/>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（四）投标人综合得分</w:t>
      </w:r>
    </w:p>
    <w:p>
      <w:pPr>
        <w:snapToGrid w:val="0"/>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投标人综合得分＝技术标平均得分＋商务标得分＋综合（信用）标平均得分 </w:t>
      </w:r>
    </w:p>
    <w:p>
      <w:pPr>
        <w:spacing w:line="400" w:lineRule="exac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 xml:space="preserve">（五）投标人的最终得分及中标候选人排序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40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1.2评标委员会人数在5人以上时，去掉一个最高分和一个最低分取平均值；评标委员会人数在5人时，取所有评委评分的平均值。</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400" w:lineRule="exac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0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八、定标</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27"/>
    <w:bookmarkEnd w:id="28"/>
    <w:bookmarkEnd w:id="29"/>
    <w:bookmarkEnd w:id="30"/>
    <w:p>
      <w:pPr>
        <w:pStyle w:val="70"/>
        <w:keepNext w:val="0"/>
        <w:keepLines w:val="0"/>
        <w:ind w:firstLine="480" w:firstLineChars="200"/>
        <w:rPr>
          <w:rFonts w:asciiTheme="minorEastAsia" w:hAnsiTheme="minorEastAsia" w:eastAsiaTheme="minorEastAsia"/>
          <w:b/>
          <w:szCs w:val="24"/>
        </w:rPr>
      </w:pPr>
      <w:r>
        <w:rPr>
          <w:rFonts w:hint="eastAsia" w:asciiTheme="minorEastAsia" w:hAnsiTheme="minorEastAsia" w:eastAsiaTheme="minorEastAsia"/>
          <w:b/>
          <w:szCs w:val="24"/>
        </w:rPr>
        <w:t>九、评标报告</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评标委员会根据投标人须知前附表7.1条的规定向招标人提交评标报告。评标报告应当由全体评标委员会成员签字，并于评标结束时抄送有关行政监督部门。</w:t>
      </w:r>
    </w:p>
    <w:p>
      <w:pPr>
        <w:pStyle w:val="70"/>
        <w:keepNext w:val="0"/>
        <w:keepLines w:val="0"/>
        <w:ind w:firstLine="480" w:firstLineChars="200"/>
        <w:rPr>
          <w:rFonts w:asciiTheme="minorEastAsia" w:hAnsiTheme="minorEastAsia" w:eastAsiaTheme="minorEastAsia"/>
          <w:b/>
          <w:szCs w:val="24"/>
        </w:rPr>
      </w:pPr>
      <w:r>
        <w:rPr>
          <w:rFonts w:hint="eastAsia" w:asciiTheme="minorEastAsia" w:hAnsiTheme="minorEastAsia" w:eastAsiaTheme="minorEastAsia"/>
          <w:b/>
          <w:szCs w:val="24"/>
        </w:rPr>
        <w:t>十、公示</w:t>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中标人确定后，招标人应当在</w:t>
      </w:r>
      <w:r>
        <w:rPr>
          <w:rFonts w:hint="eastAsia" w:asciiTheme="minorEastAsia" w:hAnsiTheme="minorEastAsia" w:eastAsiaTheme="minorEastAsia"/>
          <w:sz w:val="24"/>
          <w:szCs w:val="24"/>
        </w:rPr>
        <w:t>《全国公共资源交易平台(河南省▪许昌市</w:t>
      </w:r>
      <w:r>
        <w:rPr>
          <w:rFonts w:asciiTheme="minorEastAsia" w:hAnsiTheme="minorEastAsia" w:eastAsiaTheme="minorEastAsia"/>
          <w:sz w:val="24"/>
          <w:szCs w:val="24"/>
        </w:rPr>
        <w:t>)</w:t>
      </w:r>
      <w:r>
        <w:rPr>
          <w:rFonts w:hint="eastAsia" w:asciiTheme="minorEastAsia" w:hAnsiTheme="minorEastAsia" w:eastAsiaTheme="minorEastAsia"/>
          <w:sz w:val="24"/>
          <w:szCs w:val="24"/>
        </w:rPr>
        <w:t>》、《河南省电子招标投标公共服务平台》</w:t>
      </w:r>
      <w:r>
        <w:rPr>
          <w:rFonts w:asciiTheme="minorEastAsia" w:hAnsiTheme="minorEastAsia" w:eastAsia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十一、特殊情况的处置程序</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11.1关于澄清、说明或补正</w:t>
      </w:r>
    </w:p>
    <w:p>
      <w:pPr>
        <w:spacing w:line="40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11.2关于评标活动暂停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11.2.1评标委员会应当执行连续评标的原则，按评标办法中规定的程序、内容、方法、标准完成全部评标工作。只有发生不可抗力导致评标工作无法继续时，评标活动方可暂停。</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11.2.2发生评标暂停情况时，评标委员会应当封存全部投标文件和评标记录，待不可抗力的影响结束且具备继续评标的条件时，由原评标委员会继续评标。</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11.3关于评标中途更换评标委员会成员</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11.3.1除非发生下列情况之一，评标委员会成员不得在评标中途更换：</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（1）因不可抗拒的客观原因，不能到场或需在评标中途退出评标活动。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（2）根据法律法规规定，某个或某几个评标委员会成员需要回避。</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11.3.2退出评标的评标委员会成员，其已完成的评标行为无效。由招标人根据本招标文件规定的评标委员会成员产生方式另行确定替代者进行评标。</w:t>
      </w:r>
    </w:p>
    <w:p>
      <w:pPr>
        <w:spacing w:line="400" w:lineRule="exact"/>
        <w:ind w:firstLine="480" w:firstLineChars="20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11.4记名投票</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在任何评标环节中，需评标委员会就某项定性的评审结论做出表决的，由评标委员会全体成员按照少数服从多数的原则，以记名投票方式表决。</w:t>
      </w:r>
    </w:p>
    <w:p>
      <w:pPr>
        <w:spacing w:line="400" w:lineRule="exact"/>
        <w:ind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11.5评标委员会对评标结果有异议的</w:t>
      </w:r>
    </w:p>
    <w:p>
      <w:pPr>
        <w:spacing w:line="400" w:lineRule="exact"/>
        <w:ind w:firstLine="468" w:firstLineChars="200"/>
        <w:rPr>
          <w:rFonts w:asciiTheme="minorEastAsia" w:hAnsiTheme="minorEastAsia" w:eastAsiaTheme="minorEastAsia"/>
          <w:b/>
          <w:sz w:val="24"/>
          <w:szCs w:val="24"/>
        </w:rPr>
      </w:pPr>
      <w:r>
        <w:rPr>
          <w:rFonts w:hint="eastAsia" w:asciiTheme="minorEastAsia" w:hAnsiTheme="minorEastAsia" w:eastAsiaTheme="minor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ind w:firstLine="340"/>
      </w:pPr>
    </w:p>
    <w:p>
      <w:pPr>
        <w:spacing w:line="480" w:lineRule="exact"/>
        <w:rPr>
          <w:sz w:val="24"/>
        </w:rPr>
      </w:pPr>
    </w:p>
    <w:bookmarkEnd w:id="9"/>
    <w:p>
      <w:pPr>
        <w:autoSpaceDE w:val="0"/>
        <w:autoSpaceDN w:val="0"/>
        <w:spacing w:line="440" w:lineRule="exact"/>
        <w:jc w:val="center"/>
        <w:rPr>
          <w:rFonts w:hAnsi="宋体" w:cs="黑体"/>
          <w:b/>
          <w:sz w:val="36"/>
          <w:szCs w:val="36"/>
        </w:rPr>
      </w:pPr>
      <w:bookmarkStart w:id="31" w:name="_Toc283559990"/>
      <w:bookmarkStart w:id="32" w:name="_Toc28513"/>
      <w:bookmarkStart w:id="33" w:name="_Toc6599_WPSOffice_Level1"/>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rPr>
          <w:rFonts w:hAnsi="宋体" w:cs="黑体"/>
          <w:b/>
          <w:sz w:val="36"/>
          <w:szCs w:val="36"/>
        </w:rPr>
      </w:pPr>
    </w:p>
    <w:p>
      <w:pPr>
        <w:autoSpaceDE w:val="0"/>
        <w:autoSpaceDN w:val="0"/>
        <w:spacing w:line="440" w:lineRule="exact"/>
        <w:jc w:val="center"/>
        <w:rPr>
          <w:rFonts w:hAnsi="宋体" w:cs="黑体"/>
          <w:b/>
          <w:sz w:val="36"/>
          <w:szCs w:val="36"/>
        </w:rPr>
      </w:pPr>
    </w:p>
    <w:p>
      <w:pPr>
        <w:autoSpaceDE w:val="0"/>
        <w:autoSpaceDN w:val="0"/>
        <w:spacing w:line="440" w:lineRule="exact"/>
        <w:jc w:val="center"/>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31"/>
      <w:bookmarkEnd w:id="32"/>
      <w:bookmarkEnd w:id="33"/>
    </w:p>
    <w:p>
      <w:pPr>
        <w:autoSpaceDE w:val="0"/>
        <w:autoSpaceDN w:val="0"/>
        <w:adjustRightInd w:val="0"/>
        <w:spacing w:line="500" w:lineRule="exact"/>
        <w:ind w:firstLine="480" w:firstLineChars="200"/>
        <w:rPr>
          <w:rFonts w:cs="黑体"/>
          <w:b/>
          <w:sz w:val="24"/>
          <w:szCs w:val="24"/>
        </w:rPr>
      </w:pPr>
      <w:bookmarkStart w:id="34" w:name="_Toc278443518"/>
    </w:p>
    <w:p>
      <w:pPr>
        <w:snapToGrid w:val="0"/>
        <w:spacing w:line="360" w:lineRule="auto"/>
        <w:jc w:val="center"/>
        <w:outlineLvl w:val="0"/>
        <w:rPr>
          <w:rFonts w:hAnsi="宋体" w:cs="黑体"/>
          <w:b/>
          <w:sz w:val="36"/>
          <w:szCs w:val="36"/>
        </w:rPr>
      </w:pPr>
    </w:p>
    <w:p>
      <w:pPr>
        <w:autoSpaceDE w:val="0"/>
        <w:autoSpaceDN w:val="0"/>
        <w:adjustRightInd w:val="0"/>
        <w:jc w:val="center"/>
        <w:outlineLvl w:val="0"/>
        <w:rPr>
          <w:rFonts w:hAnsi="宋体" w:cs="黑体"/>
          <w:b/>
          <w:sz w:val="28"/>
          <w:szCs w:val="28"/>
        </w:rPr>
      </w:pPr>
      <w:bookmarkStart w:id="35" w:name="_Toc278443514"/>
      <w:r>
        <w:rPr>
          <w:rFonts w:hint="eastAsia" w:hAnsi="宋体" w:cs="黑体"/>
          <w:b/>
          <w:sz w:val="28"/>
          <w:szCs w:val="28"/>
        </w:rPr>
        <w:t>采用由中华人民共和国住房和城乡建设部与国家工商行政管理局联合制定的《建设工程施工合同示范文本》（GF-2017-0201）签订合</w:t>
      </w:r>
      <w:bookmarkEnd w:id="35"/>
      <w:r>
        <w:rPr>
          <w:rFonts w:hint="eastAsia" w:hAnsi="宋体" w:cs="黑体"/>
          <w:b/>
          <w:sz w:val="28"/>
          <w:szCs w:val="28"/>
        </w:rPr>
        <w:t>同。</w:t>
      </w: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snapToGrid w:val="0"/>
        <w:spacing w:line="360" w:lineRule="auto"/>
        <w:jc w:val="center"/>
        <w:outlineLvl w:val="0"/>
        <w:rPr>
          <w:rFonts w:hAnsi="宋体" w:cs="黑体"/>
          <w:b/>
          <w:sz w:val="36"/>
          <w:szCs w:val="36"/>
        </w:rPr>
      </w:pPr>
    </w:p>
    <w:p>
      <w:pPr>
        <w:autoSpaceDE w:val="0"/>
        <w:autoSpaceDN w:val="0"/>
        <w:adjustRightInd w:val="0"/>
        <w:outlineLvl w:val="0"/>
        <w:rPr>
          <w:rFonts w:hAnsi="宋体" w:cs="黑体"/>
          <w:b/>
          <w:sz w:val="36"/>
          <w:szCs w:val="36"/>
        </w:rPr>
      </w:pPr>
      <w:bookmarkStart w:id="36" w:name="_Toc1369_WPSOffice_Level1"/>
      <w:bookmarkStart w:id="37" w:name="_Toc7273"/>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36"/>
      <w:bookmarkEnd w:id="37"/>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1、工程量清单说明</w:t>
      </w:r>
    </w:p>
    <w:p>
      <w:pPr>
        <w:spacing w:line="40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0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 本工程量清单应与招标文件中的投标人须知、通用合同条款、专用合同条款、技术标准和要求及图纸等章节内容一起阅读和理解。</w:t>
      </w:r>
    </w:p>
    <w:p>
      <w:pPr>
        <w:spacing w:line="40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00" w:lineRule="exact"/>
        <w:ind w:left="1"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1.4补充子目的子目特征、计量单位、工程量计算规则及工作内容说明如下：</w:t>
      </w:r>
      <w:r>
        <w:rPr>
          <w:rFonts w:hint="eastAsia" w:asciiTheme="minorEastAsia" w:hAnsiTheme="minorEastAsia" w:eastAsiaTheme="minorEastAsia"/>
          <w:sz w:val="24"/>
          <w:szCs w:val="24"/>
          <w:u w:val="single"/>
        </w:rPr>
        <w:t>本工程使用《建设工程工程量清单计价规范》（GB50500-2013）</w:t>
      </w:r>
    </w:p>
    <w:p>
      <w:pPr>
        <w:spacing w:line="400" w:lineRule="exact"/>
        <w:ind w:left="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 本条第1.1款中约定的计量和计价规则适用于合同履约过程中工程量计量与价款支付、工程变更、索赔和工程结算。</w:t>
      </w:r>
    </w:p>
    <w:p>
      <w:pPr>
        <w:tabs>
          <w:tab w:val="left" w:pos="0"/>
        </w:tabs>
        <w:spacing w:line="400" w:lineRule="exact"/>
        <w:ind w:left="321" w:firstLine="112" w:firstLineChars="47"/>
        <w:rPr>
          <w:rFonts w:asciiTheme="minorEastAsia" w:hAnsiTheme="minorEastAsia" w:eastAsiaTheme="minorEastAsia"/>
          <w:sz w:val="24"/>
          <w:szCs w:val="24"/>
        </w:rPr>
      </w:pPr>
      <w:r>
        <w:rPr>
          <w:rFonts w:hint="eastAsia" w:asciiTheme="minorEastAsia" w:hAnsiTheme="minorEastAsia" w:eastAsiaTheme="minorEastAsia"/>
          <w:sz w:val="24"/>
          <w:szCs w:val="24"/>
        </w:rPr>
        <w:t>1.6 本条与下述第2条和第3条的说明内容是构成合同文件的已标价工程量清单的组成部分。</w:t>
      </w:r>
    </w:p>
    <w:p>
      <w:pPr>
        <w:spacing w:line="4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 《河南省房屋建筑与装饰工程预算定额》（HA01-31-2016）及有关配套文件；</w:t>
      </w:r>
    </w:p>
    <w:p>
      <w:pPr>
        <w:spacing w:line="440" w:lineRule="exact"/>
        <w:ind w:left="1" w:firstLine="480" w:firstLineChars="200"/>
        <w:rPr>
          <w:rFonts w:hAnsi="宋体" w:cs="宋体"/>
          <w:sz w:val="24"/>
        </w:rPr>
      </w:pPr>
      <w:r>
        <w:rPr>
          <w:rFonts w:hint="eastAsia" w:hAnsi="宋体" w:cs="宋体"/>
          <w:sz w:val="24"/>
        </w:rPr>
        <w:t>(3) 《建设工程工程量清单计价规范》（GB50500-2013）；</w:t>
      </w:r>
    </w:p>
    <w:p>
      <w:pPr>
        <w:spacing w:line="440" w:lineRule="exact"/>
        <w:ind w:left="1" w:firstLine="480" w:firstLineChars="200"/>
        <w:rPr>
          <w:rFonts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(5) 建设工程设计文件及相关资料；</w:t>
      </w:r>
    </w:p>
    <w:p>
      <w:pPr>
        <w:spacing w:line="440" w:lineRule="exact"/>
        <w:ind w:left="1" w:firstLine="480" w:firstLineChars="200"/>
        <w:rPr>
          <w:rFonts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(7) 与建设项目相关的标准、规定等技术资料；</w:t>
      </w:r>
    </w:p>
    <w:p>
      <w:pPr>
        <w:spacing w:line="440" w:lineRule="exact"/>
        <w:ind w:left="1" w:firstLine="480" w:firstLineChars="200"/>
        <w:rPr>
          <w:rFonts w:hAnsi="宋体" w:cs="宋体"/>
          <w:sz w:val="24"/>
        </w:rPr>
      </w:pPr>
      <w:r>
        <w:rPr>
          <w:rFonts w:hint="eastAsia" w:hAnsi="宋体" w:cs="宋体"/>
          <w:sz w:val="24"/>
        </w:rPr>
        <w:t>(8) 材料价格参考2019年第4期《许昌工程造价信息》材料价及市场调查价执行；</w:t>
      </w:r>
    </w:p>
    <w:p>
      <w:pPr>
        <w:spacing w:line="440" w:lineRule="exact"/>
        <w:ind w:firstLine="360" w:firstLineChars="150"/>
        <w:rPr>
          <w:rFonts w:hAnsi="宋体" w:cs="宋体"/>
          <w:sz w:val="24"/>
        </w:rPr>
      </w:pPr>
      <w:r>
        <w:rPr>
          <w:rFonts w:hint="eastAsia" w:hAnsi="宋体" w:cs="宋体"/>
          <w:sz w:val="24"/>
        </w:rPr>
        <w:t>（9）价格指数依据豫建标定【2019】26号文发布的2019年1-6月价格指数进行调制，税金按9%计入；</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szCs w:val="22"/>
        </w:rPr>
      </w:pPr>
      <w:r>
        <w:rPr>
          <w:rFonts w:hint="eastAsia" w:hAnsi="宋体" w:cs="宋体"/>
          <w:sz w:val="24"/>
          <w:szCs w:val="22"/>
        </w:rPr>
        <w:t>3.1.7 税金</w:t>
      </w:r>
    </w:p>
    <w:p>
      <w:pPr>
        <w:spacing w:line="430" w:lineRule="exact"/>
        <w:ind w:left="1" w:firstLine="480" w:firstLineChars="200"/>
        <w:rPr>
          <w:rFonts w:hAnsi="宋体" w:cs="宋体"/>
          <w:sz w:val="24"/>
          <w:szCs w:val="22"/>
        </w:rPr>
      </w:pPr>
      <w:r>
        <w:rPr>
          <w:rFonts w:hint="eastAsia" w:hAnsi="宋体" w:cs="宋体"/>
          <w:sz w:val="24"/>
          <w:szCs w:val="22"/>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4．工程量清单</w:t>
      </w:r>
    </w:p>
    <w:p>
      <w:pPr>
        <w:spacing w:line="400" w:lineRule="exact"/>
        <w:ind w:left="1"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工程量清单在《全国公共资源交易平台(河南省▪许昌市)》（http://ggzy.xuchang.gov.cn/），通过“投标人/供应商登录”后自行下载。</w:t>
      </w:r>
      <w:r>
        <w:rPr>
          <w:rFonts w:hint="eastAsia" w:cs="宋体" w:asciiTheme="minorEastAsia" w:hAnsiTheme="minorEastAsia" w:eastAsiaTheme="minorEastAsia"/>
          <w:sz w:val="24"/>
          <w:szCs w:val="24"/>
        </w:rPr>
        <w:t>如有缺项、漏项或少算现象，请及时在【全国公共资源交易平台(河南省▪许昌市)】上提出。</w:t>
      </w:r>
    </w:p>
    <w:p>
      <w:pPr>
        <w:spacing w:line="400" w:lineRule="exact"/>
        <w:ind w:left="1"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投标人按照下载的工程量清单编制投标报价，未尽事宜按照国家、省、市、行业现行的文件执行。</w:t>
      </w:r>
    </w:p>
    <w:p>
      <w:pPr>
        <w:pStyle w:val="2"/>
        <w:ind w:firstLine="0" w:firstLineChars="0"/>
        <w:rPr>
          <w:rFonts w:hAnsi="宋体"/>
          <w:b/>
          <w:bCs/>
          <w:sz w:val="24"/>
        </w:rPr>
      </w:pPr>
    </w:p>
    <w:p>
      <w:pPr>
        <w:spacing w:line="440" w:lineRule="exact"/>
        <w:rPr>
          <w:rFonts w:ascii="新宋体" w:hAnsi="新宋体" w:eastAsia="新宋体"/>
          <w:sz w:val="24"/>
          <w:u w:val="single"/>
        </w:rPr>
      </w:pPr>
      <w:r>
        <w:rPr>
          <w:rFonts w:ascii="新宋体" w:hAnsi="新宋体" w:eastAsia="新宋体"/>
          <w:sz w:val="21"/>
          <w:szCs w:val="21"/>
          <w:u w:val="single"/>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38" w:name="_Toc21430_WPSOffice_Level1"/>
      <w:bookmarkStart w:id="39" w:name="_Toc4759"/>
    </w:p>
    <w:p>
      <w:pPr>
        <w:autoSpaceDE w:val="0"/>
        <w:autoSpaceDN w:val="0"/>
        <w:adjustRightInd w:val="0"/>
        <w:jc w:val="center"/>
        <w:outlineLvl w:val="0"/>
        <w:rPr>
          <w:rFonts w:hAnsi="宋体" w:cs="黑体"/>
          <w:b/>
          <w:sz w:val="36"/>
          <w:szCs w:val="36"/>
        </w:rPr>
      </w:pPr>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34"/>
      <w:r>
        <w:rPr>
          <w:rFonts w:hint="eastAsia" w:hAnsi="宋体" w:cs="黑体"/>
          <w:b/>
          <w:sz w:val="36"/>
          <w:szCs w:val="36"/>
        </w:rPr>
        <w:t>(电子版另附)</w:t>
      </w:r>
      <w:bookmarkEnd w:id="38"/>
      <w:bookmarkEnd w:id="39"/>
    </w:p>
    <w:p>
      <w:pPr>
        <w:autoSpaceDE w:val="0"/>
        <w:autoSpaceDN w:val="0"/>
        <w:adjustRightInd w:val="0"/>
        <w:spacing w:line="420" w:lineRule="exact"/>
        <w:jc w:val="center"/>
        <w:rPr>
          <w:rFonts w:hAnsi="宋体" w:cs="黑体"/>
          <w:sz w:val="24"/>
          <w:szCs w:val="24"/>
        </w:rPr>
      </w:pPr>
    </w:p>
    <w:p>
      <w:pPr>
        <w:autoSpaceDE w:val="0"/>
        <w:autoSpaceDN w:val="0"/>
        <w:adjustRightInd w:val="0"/>
        <w:spacing w:line="420" w:lineRule="exact"/>
        <w:jc w:val="center"/>
        <w:rPr>
          <w:rFonts w:hAnsi="宋体" w:cs="黑体"/>
          <w:sz w:val="24"/>
          <w:szCs w:val="24"/>
        </w:rPr>
      </w:pPr>
      <w:r>
        <w:rPr>
          <w:rFonts w:hint="eastAsia" w:hAnsi="宋体" w:cs="黑体"/>
          <w:sz w:val="24"/>
          <w:szCs w:val="24"/>
        </w:rPr>
        <w:t>按照招标文件中第二章投标人须知前附表第2.1项所给的网址自行下载。</w:t>
      </w:r>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rPr>
          <w:rFonts w:hAnsi="宋体" w:cs="黑体"/>
          <w:b/>
          <w:sz w:val="36"/>
          <w:szCs w:val="36"/>
        </w:rPr>
      </w:pPr>
      <w:bookmarkStart w:id="40" w:name="_Toc278443522"/>
      <w:bookmarkStart w:id="41" w:name="_Toc16552"/>
      <w:bookmarkStart w:id="42" w:name="_Toc11410_WPSOffice_Level1"/>
    </w:p>
    <w:p>
      <w:pPr>
        <w:pStyle w:val="2"/>
        <w:ind w:firstLine="361"/>
        <w:rPr>
          <w:rFonts w:hAnsi="宋体" w:cs="黑体"/>
          <w:b/>
          <w:sz w:val="36"/>
          <w:szCs w:val="36"/>
        </w:rPr>
      </w:pPr>
    </w:p>
    <w:p>
      <w:pPr>
        <w:pStyle w:val="2"/>
        <w:ind w:firstLine="361"/>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40"/>
      <w:bookmarkEnd w:id="41"/>
      <w:bookmarkEnd w:id="42"/>
    </w:p>
    <w:p>
      <w:pPr>
        <w:spacing w:line="500" w:lineRule="exact"/>
        <w:ind w:firstLine="480" w:firstLineChars="200"/>
        <w:jc w:val="left"/>
        <w:rPr>
          <w:rFonts w:ascii="新宋体" w:hAnsi="新宋体" w:eastAsia="新宋体"/>
          <w:sz w:val="24"/>
        </w:rPr>
      </w:pPr>
    </w:p>
    <w:p>
      <w:pPr>
        <w:spacing w:line="400" w:lineRule="exact"/>
        <w:ind w:firstLine="480" w:firstLineChars="200"/>
        <w:jc w:val="left"/>
        <w:rPr>
          <w:bCs/>
          <w:sz w:val="24"/>
        </w:rPr>
      </w:pPr>
      <w:r>
        <w:rPr>
          <w:rFonts w:hint="eastAsia"/>
          <w:bCs/>
          <w:sz w:val="24"/>
        </w:rPr>
        <w:t>1、本工程技术标准和要求以适用的国家、行业以及地方规范、标准和规程为准。</w:t>
      </w:r>
    </w:p>
    <w:p>
      <w:pPr>
        <w:tabs>
          <w:tab w:val="left" w:pos="6510"/>
        </w:tabs>
        <w:spacing w:line="400" w:lineRule="exact"/>
        <w:ind w:firstLine="470" w:firstLineChars="196"/>
        <w:jc w:val="left"/>
        <w:rPr>
          <w:sz w:val="30"/>
          <w:szCs w:val="30"/>
        </w:rPr>
      </w:pPr>
      <w:r>
        <w:rPr>
          <w:rFonts w:hint="eastAsia"/>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tabs>
          <w:tab w:val="left" w:pos="6510"/>
        </w:tabs>
        <w:spacing w:line="400" w:lineRule="exact"/>
        <w:ind w:firstLine="470" w:firstLineChars="196"/>
        <w:jc w:val="left"/>
        <w:rPr>
          <w:bCs/>
          <w:sz w:val="24"/>
        </w:rPr>
      </w:pPr>
      <w:r>
        <w:rPr>
          <w:rFonts w:hint="eastAsia"/>
          <w:bCs/>
          <w:sz w:val="24"/>
        </w:rPr>
        <w:t>2、现行有效的主要设计和施工验收规范索引</w:t>
      </w:r>
    </w:p>
    <w:p>
      <w:pPr>
        <w:spacing w:line="400" w:lineRule="exact"/>
        <w:ind w:firstLine="480" w:firstLineChars="200"/>
        <w:jc w:val="left"/>
        <w:rPr>
          <w:rFonts w:hAnsi="宋体" w:cs="宋体"/>
          <w:sz w:val="24"/>
        </w:rPr>
      </w:pPr>
      <w:r>
        <w:rPr>
          <w:rFonts w:hint="eastAsia"/>
          <w:bCs/>
          <w:sz w:val="24"/>
        </w:rPr>
        <w:t>2.1</w:t>
      </w:r>
      <w:r>
        <w:rPr>
          <w:rFonts w:hint="eastAsia" w:hAnsi="宋体" w:cs="宋体"/>
          <w:sz w:val="24"/>
        </w:rPr>
        <w:t>施工工地扬尘污染整治标准以《许昌市施工工地扬尘污染综合整治工作方案》许气联办【2016】21号文件为准。</w:t>
      </w:r>
    </w:p>
    <w:p>
      <w:pPr>
        <w:tabs>
          <w:tab w:val="left" w:pos="6510"/>
        </w:tabs>
        <w:spacing w:line="400" w:lineRule="exact"/>
        <w:ind w:firstLine="470" w:firstLineChars="196"/>
        <w:jc w:val="left"/>
        <w:rPr>
          <w:bCs/>
          <w:sz w:val="24"/>
        </w:rPr>
      </w:pPr>
      <w:r>
        <w:rPr>
          <w:rFonts w:hint="eastAsia"/>
          <w:bCs/>
          <w:sz w:val="24"/>
        </w:rPr>
        <w:t>2.2技术标须承诺：保证施工现场扬尘治理达标。</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beforeLines="100" w:afterLines="100"/>
        <w:rPr>
          <w:rFonts w:hAnsi="宋体" w:cs="黑体"/>
          <w:b/>
          <w:sz w:val="44"/>
          <w:szCs w:val="44"/>
        </w:rPr>
      </w:pPr>
      <w:bookmarkStart w:id="43" w:name="_Toc278443525"/>
      <w:bookmarkStart w:id="44" w:name="_Toc11095"/>
      <w:bookmarkStart w:id="45" w:name="_Toc12435_WPSOffice_Level1"/>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w:t>
      </w:r>
      <w:r>
        <w:rPr>
          <w:rFonts w:hAnsi="宋体" w:cs="黑体"/>
          <w:b/>
          <w:sz w:val="44"/>
          <w:szCs w:val="44"/>
        </w:rPr>
        <w:t xml:space="preserve"> </w:t>
      </w:r>
      <w:r>
        <w:rPr>
          <w:rFonts w:hint="eastAsia" w:hAnsi="宋体" w:cs="黑体"/>
          <w:b/>
          <w:sz w:val="44"/>
          <w:szCs w:val="44"/>
        </w:rPr>
        <w:t>投标文件格式</w:t>
      </w:r>
      <w:bookmarkEnd w:id="43"/>
      <w:bookmarkEnd w:id="44"/>
      <w:bookmarkEnd w:id="45"/>
    </w:p>
    <w:p>
      <w:pPr>
        <w:tabs>
          <w:tab w:val="center" w:pos="4739"/>
        </w:tabs>
        <w:spacing w:beforeLines="100" w:afterLines="100"/>
        <w:ind w:firstLine="7360" w:firstLineChars="2300"/>
        <w:rPr>
          <w:sz w:val="32"/>
          <w:szCs w:val="32"/>
        </w:rPr>
      </w:pPr>
    </w:p>
    <w:p>
      <w:pPr>
        <w:tabs>
          <w:tab w:val="center" w:pos="4739"/>
          <w:tab w:val="center" w:pos="4909"/>
          <w:tab w:val="left" w:pos="7140"/>
        </w:tabs>
        <w:ind w:left="180"/>
        <w:jc w:val="center"/>
        <w:rPr>
          <w:rFonts w:ascii="黑体" w:eastAsia="黑体"/>
          <w:b/>
          <w:sz w:val="32"/>
        </w:rPr>
      </w:pPr>
      <w:r>
        <w:rPr>
          <w:rFonts w:hint="eastAsia" w:ascii="黑体" w:eastAsia="黑体"/>
          <w:b/>
          <w:bCs/>
          <w:iCs/>
          <w:sz w:val="32"/>
          <w:u w:val="single"/>
        </w:rPr>
        <w:t xml:space="preserve">                                  </w:t>
      </w:r>
      <w:r>
        <w:rPr>
          <w:rFonts w:hint="eastAsia" w:ascii="黑体" w:eastAsia="黑体"/>
          <w:b/>
          <w:bCs/>
          <w:iCs/>
          <w:sz w:val="32"/>
        </w:rPr>
        <w:t>（项目名称）施工</w:t>
      </w:r>
    </w:p>
    <w:p>
      <w:pPr>
        <w:tabs>
          <w:tab w:val="center" w:pos="4739"/>
        </w:tabs>
        <w:ind w:left="180"/>
        <w:rPr>
          <w:sz w:val="24"/>
        </w:rPr>
      </w:pPr>
    </w:p>
    <w:p>
      <w:pPr>
        <w:tabs>
          <w:tab w:val="center" w:pos="4739"/>
        </w:tabs>
        <w:ind w:left="180"/>
        <w:rPr>
          <w:sz w:val="24"/>
        </w:rPr>
      </w:pPr>
    </w:p>
    <w:p>
      <w:pPr>
        <w:spacing w:line="600" w:lineRule="exact"/>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autoSpaceDE w:val="0"/>
        <w:autoSpaceDN w:val="0"/>
        <w:adjustRightInd w:val="0"/>
        <w:jc w:val="center"/>
        <w:rPr>
          <w:bCs/>
          <w:sz w:val="44"/>
          <w:szCs w:val="44"/>
        </w:rPr>
      </w:pPr>
    </w:p>
    <w:p>
      <w:pPr>
        <w:autoSpaceDE w:val="0"/>
        <w:autoSpaceDN w:val="0"/>
        <w:adjustRightInd w:val="0"/>
        <w:jc w:val="center"/>
        <w:rPr>
          <w:rFonts w:hAnsi="宋体" w:cs="宋体"/>
          <w:b/>
          <w:sz w:val="44"/>
        </w:rPr>
      </w:pPr>
      <w:r>
        <w:rPr>
          <w:rFonts w:hint="eastAsia"/>
          <w:b/>
          <w:sz w:val="44"/>
          <w:szCs w:val="44"/>
        </w:rPr>
        <w:t>商务标</w:t>
      </w:r>
    </w:p>
    <w:p>
      <w:pPr>
        <w:spacing w:line="300" w:lineRule="exact"/>
        <w:jc w:val="center"/>
        <w:rPr>
          <w:rFonts w:hAnsi="宋体" w:cs="宋体"/>
          <w:b/>
          <w:sz w:val="32"/>
          <w:szCs w:val="32"/>
        </w:rPr>
      </w:pPr>
    </w:p>
    <w:p>
      <w:pPr>
        <w:spacing w:line="360" w:lineRule="auto"/>
        <w:jc w:val="center"/>
        <w:rPr>
          <w:rFonts w:asciiTheme="majorEastAsia" w:hAnsiTheme="majorEastAsia" w:eastAsiaTheme="majorEastAsia"/>
          <w:b/>
          <w:sz w:val="52"/>
          <w:szCs w:val="52"/>
        </w:rPr>
      </w:pPr>
      <w:r>
        <w:rPr>
          <w:rFonts w:hint="eastAsia" w:hAnsi="宋体" w:cs="宋体"/>
          <w:b/>
          <w:sz w:val="32"/>
          <w:szCs w:val="32"/>
        </w:rPr>
        <w:t>项目编号：建安建工公字〔2019〕   号</w:t>
      </w:r>
    </w:p>
    <w:p>
      <w:pPr>
        <w:tabs>
          <w:tab w:val="center" w:pos="4739"/>
        </w:tabs>
        <w:ind w:left="180"/>
        <w:rPr>
          <w:sz w:val="24"/>
        </w:rPr>
      </w:pPr>
    </w:p>
    <w:p>
      <w:pPr>
        <w:tabs>
          <w:tab w:val="center" w:pos="4739"/>
        </w:tabs>
        <w:ind w:left="180"/>
        <w:rPr>
          <w:sz w:val="24"/>
        </w:rPr>
      </w:pPr>
    </w:p>
    <w:p>
      <w:pPr>
        <w:pStyle w:val="2"/>
        <w:ind w:firstLine="0" w:firstLineChars="0"/>
        <w:rPr>
          <w:sz w:val="24"/>
        </w:rPr>
      </w:pPr>
    </w:p>
    <w:p>
      <w:pPr>
        <w:pStyle w:val="2"/>
        <w:ind w:firstLine="0" w:firstLineChars="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szCs w:val="22"/>
        </w:rPr>
        <w:t xml:space="preserve">法定代表人或其委托代理人:  </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sz w:val="36"/>
          <w:szCs w:val="36"/>
        </w:rPr>
      </w:pPr>
      <w:r>
        <w:rPr>
          <w:rFonts w:hAnsi="宋体" w:cs="黑体"/>
          <w:b/>
          <w:sz w:val="36"/>
          <w:szCs w:val="36"/>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eastAsia="新宋体" w:cs="宋体"/>
          <w:sz w:val="24"/>
        </w:rPr>
      </w:pPr>
      <w:r>
        <w:rPr>
          <w:rFonts w:hint="eastAsia" w:hAnsi="宋体" w:eastAsia="新宋体" w:cs="宋体"/>
          <w:sz w:val="24"/>
        </w:rPr>
        <w:t xml:space="preserve">  </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left"/>
        <w:rPr>
          <w:rFonts w:hAnsi="宋体" w:cs="黑体"/>
          <w:b/>
          <w:sz w:val="36"/>
          <w:szCs w:val="36"/>
        </w:rPr>
      </w:pPr>
    </w:p>
    <w:p>
      <w:pPr>
        <w:tabs>
          <w:tab w:val="center" w:pos="4739"/>
        </w:tabs>
        <w:spacing w:beforeLines="100" w:afterLines="100" w:line="200" w:lineRule="exact"/>
        <w:ind w:firstLine="7360" w:firstLineChars="2300"/>
        <w:rPr>
          <w:sz w:val="32"/>
          <w:szCs w:val="32"/>
        </w:rPr>
      </w:pPr>
    </w:p>
    <w:p>
      <w:pPr>
        <w:tabs>
          <w:tab w:val="center" w:pos="4739"/>
          <w:tab w:val="center" w:pos="4909"/>
          <w:tab w:val="left" w:pos="7140"/>
        </w:tabs>
        <w:ind w:left="180"/>
        <w:jc w:val="center"/>
        <w:rPr>
          <w:rFonts w:ascii="黑体" w:eastAsia="黑体"/>
          <w:b/>
          <w:bCs/>
          <w:iCs/>
          <w:sz w:val="32"/>
          <w:u w:val="single"/>
        </w:rPr>
      </w:pPr>
    </w:p>
    <w:p>
      <w:pPr>
        <w:tabs>
          <w:tab w:val="center" w:pos="4739"/>
          <w:tab w:val="center" w:pos="4909"/>
          <w:tab w:val="left" w:pos="7140"/>
        </w:tabs>
        <w:ind w:left="180"/>
        <w:jc w:val="center"/>
        <w:rPr>
          <w:rFonts w:ascii="黑体" w:eastAsia="黑体"/>
          <w:b/>
          <w:sz w:val="32"/>
        </w:rPr>
      </w:pPr>
      <w:r>
        <w:rPr>
          <w:rFonts w:hint="eastAsia" w:ascii="黑体" w:eastAsia="黑体"/>
          <w:b/>
          <w:bCs/>
          <w:iCs/>
          <w:sz w:val="32"/>
          <w:u w:val="single"/>
        </w:rPr>
        <w:t xml:space="preserve">                                  </w:t>
      </w:r>
      <w:r>
        <w:rPr>
          <w:rFonts w:hint="eastAsia" w:ascii="黑体" w:eastAsia="黑体"/>
          <w:b/>
          <w:bCs/>
          <w:iCs/>
          <w:sz w:val="32"/>
        </w:rPr>
        <w:t>（项目名称）施工</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spacing w:line="600" w:lineRule="exact"/>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autoSpaceDE w:val="0"/>
        <w:autoSpaceDN w:val="0"/>
        <w:adjustRightInd w:val="0"/>
        <w:jc w:val="center"/>
        <w:rPr>
          <w:bCs/>
          <w:sz w:val="44"/>
          <w:szCs w:val="44"/>
        </w:rPr>
      </w:pPr>
    </w:p>
    <w:p>
      <w:pPr>
        <w:autoSpaceDE w:val="0"/>
        <w:autoSpaceDN w:val="0"/>
        <w:adjustRightInd w:val="0"/>
        <w:spacing w:line="800" w:lineRule="exact"/>
        <w:jc w:val="center"/>
        <w:rPr>
          <w:rFonts w:hAnsi="宋体" w:cs="宋体"/>
          <w:b/>
          <w:sz w:val="44"/>
        </w:rPr>
      </w:pPr>
      <w:r>
        <w:rPr>
          <w:rFonts w:hint="eastAsia"/>
          <w:b/>
          <w:sz w:val="44"/>
          <w:szCs w:val="44"/>
        </w:rPr>
        <w:t>综合（信用）标</w:t>
      </w:r>
    </w:p>
    <w:p>
      <w:pPr>
        <w:spacing w:line="360" w:lineRule="auto"/>
        <w:jc w:val="center"/>
        <w:rPr>
          <w:rFonts w:hAnsi="宋体" w:cs="宋体"/>
          <w:b/>
          <w:sz w:val="32"/>
          <w:szCs w:val="32"/>
        </w:rPr>
      </w:pPr>
      <w:r>
        <w:rPr>
          <w:rFonts w:hint="eastAsia" w:hAnsi="宋体" w:cs="宋体"/>
          <w:b/>
          <w:sz w:val="32"/>
          <w:szCs w:val="32"/>
        </w:rPr>
        <w:t xml:space="preserve"> </w:t>
      </w:r>
    </w:p>
    <w:p>
      <w:pPr>
        <w:spacing w:line="360" w:lineRule="auto"/>
        <w:jc w:val="center"/>
        <w:rPr>
          <w:rFonts w:asciiTheme="majorEastAsia" w:hAnsiTheme="majorEastAsia" w:eastAsiaTheme="majorEastAsia"/>
          <w:b/>
          <w:sz w:val="52"/>
          <w:szCs w:val="52"/>
        </w:rPr>
      </w:pPr>
      <w:r>
        <w:rPr>
          <w:rFonts w:hint="eastAsia" w:hAnsi="宋体" w:cs="宋体"/>
          <w:b/>
          <w:sz w:val="32"/>
          <w:szCs w:val="32"/>
        </w:rPr>
        <w:t>项目编号：建安建工公字〔2019〕   号</w:t>
      </w:r>
    </w:p>
    <w:p>
      <w:pPr>
        <w:tabs>
          <w:tab w:val="center" w:pos="4739"/>
        </w:tabs>
        <w:ind w:left="180"/>
        <w:rPr>
          <w:sz w:val="24"/>
        </w:rPr>
      </w:pPr>
    </w:p>
    <w:p>
      <w:pPr>
        <w:tabs>
          <w:tab w:val="center" w:pos="4739"/>
        </w:tabs>
        <w:ind w:left="180"/>
        <w:rPr>
          <w:sz w:val="24"/>
        </w:rPr>
      </w:pPr>
    </w:p>
    <w:p>
      <w:pPr>
        <w:pStyle w:val="2"/>
        <w:ind w:firstLine="0" w:firstLineChars="0"/>
        <w:rPr>
          <w:sz w:val="24"/>
        </w:rPr>
      </w:pPr>
    </w:p>
    <w:p>
      <w:pPr>
        <w:tabs>
          <w:tab w:val="center" w:pos="4739"/>
        </w:tabs>
        <w:ind w:left="180"/>
        <w:rPr>
          <w:sz w:val="24"/>
        </w:rPr>
      </w:pPr>
    </w:p>
    <w:p>
      <w:pPr>
        <w:pStyle w:val="2"/>
        <w:ind w:firstLine="240"/>
        <w:rPr>
          <w:sz w:val="24"/>
        </w:rPr>
      </w:pPr>
    </w:p>
    <w:p>
      <w:pPr>
        <w:pStyle w:val="2"/>
        <w:ind w:firstLine="240"/>
        <w:rPr>
          <w:sz w:val="24"/>
        </w:rPr>
      </w:pPr>
    </w:p>
    <w:p>
      <w:pPr>
        <w:pStyle w:val="2"/>
        <w:ind w:firstLine="24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szCs w:val="22"/>
        </w:rPr>
        <w:t xml:space="preserve">法定代表人或其委托代理人:  </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黑体"/>
          <w:b/>
          <w:sz w:val="36"/>
          <w:szCs w:val="36"/>
        </w:rPr>
      </w:pPr>
      <w:r>
        <w:rPr>
          <w:rFonts w:hint="eastAsia" w:hAnsi="宋体" w:cs="黑体"/>
          <w:b/>
          <w:sz w:val="36"/>
          <w:szCs w:val="36"/>
        </w:rPr>
        <w:t>目    录</w:t>
      </w:r>
    </w:p>
    <w:p>
      <w:pPr>
        <w:pStyle w:val="2"/>
        <w:ind w:firstLine="0" w:firstLineChars="0"/>
        <w:rPr>
          <w:rFonts w:hAnsi="宋体" w:cs="黑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一、投标函；</w:t>
      </w:r>
    </w:p>
    <w:p>
      <w:pPr>
        <w:autoSpaceDE w:val="0"/>
        <w:autoSpaceDN w:val="0"/>
        <w:spacing w:line="540" w:lineRule="exact"/>
        <w:jc w:val="left"/>
        <w:rPr>
          <w:rFonts w:hAnsi="宋体" w:cs="宋体"/>
          <w:b/>
          <w:sz w:val="26"/>
          <w:szCs w:val="26"/>
        </w:rPr>
      </w:pPr>
      <w:r>
        <w:rPr>
          <w:rFonts w:hint="eastAsia" w:hAnsi="宋体" w:cs="宋体"/>
          <w:b/>
          <w:sz w:val="26"/>
          <w:szCs w:val="26"/>
        </w:rPr>
        <w:t xml:space="preserve">    二、投标函附录；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三、法定代表人身份证明及授权委托书；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四、投标保证金；</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五、项目管理机构配备情况；</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六、投标单位基本信息表；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七、资格证明文件；</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八、近年完成的类似项目情况；</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九、正在施工的和新承接的项目情况；</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十、近年发生的诉讼及仲裁；</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十一、其它材料；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ind w:firstLine="1619" w:firstLineChars="771"/>
        <w:jc w:val="left"/>
        <w:rPr>
          <w:rFonts w:hAnsi="宋体" w:cs="宋体"/>
          <w:sz w:val="21"/>
          <w:szCs w:val="21"/>
        </w:rPr>
      </w:pPr>
      <w:r>
        <w:rPr>
          <w:rFonts w:hint="eastAsia" w:hAnsi="宋体" w:cs="宋体"/>
          <w:sz w:val="21"/>
          <w:szCs w:val="21"/>
        </w:rPr>
        <w:t xml:space="preserve"> </w:t>
      </w:r>
    </w:p>
    <w:p>
      <w:pPr>
        <w:autoSpaceDE w:val="0"/>
        <w:autoSpaceDN w:val="0"/>
        <w:adjustRightInd w:val="0"/>
        <w:spacing w:line="420" w:lineRule="exact"/>
        <w:jc w:val="center"/>
        <w:rPr>
          <w:rFonts w:hAnsi="宋体" w:cs="宋体"/>
          <w:b/>
          <w:kern w:val="2"/>
          <w:sz w:val="32"/>
          <w:szCs w:val="32"/>
        </w:rPr>
      </w:pPr>
      <w:r>
        <w:rPr>
          <w:rFonts w:hint="eastAsia" w:hAnsi="宋体" w:cs="宋体"/>
          <w:kern w:val="2"/>
          <w:sz w:val="30"/>
          <w:szCs w:val="30"/>
        </w:rPr>
        <w:br w:type="page"/>
      </w:r>
      <w:bookmarkStart w:id="46" w:name="_Toc3198_WPSOffice_Level1"/>
      <w:bookmarkStart w:id="47" w:name="_Toc453_WPSOffice_Level1"/>
    </w:p>
    <w:bookmarkEnd w:id="46"/>
    <w:bookmarkEnd w:id="47"/>
    <w:p>
      <w:pPr>
        <w:tabs>
          <w:tab w:val="center" w:pos="4739"/>
        </w:tabs>
        <w:ind w:left="180"/>
        <w:jc w:val="center"/>
        <w:rPr>
          <w:rFonts w:hAnsi="宋体" w:cs="宋体"/>
          <w:b/>
          <w:sz w:val="23"/>
          <w:u w:val="single"/>
        </w:rPr>
      </w:pPr>
    </w:p>
    <w:p>
      <w:pPr>
        <w:tabs>
          <w:tab w:val="center" w:pos="4739"/>
        </w:tabs>
        <w:ind w:left="180"/>
        <w:jc w:val="center"/>
        <w:rPr>
          <w:rFonts w:hAnsi="宋体" w:cs="宋体"/>
          <w:b/>
          <w:sz w:val="23"/>
          <w:u w:val="single"/>
        </w:rPr>
      </w:pPr>
    </w:p>
    <w:p>
      <w:pPr>
        <w:tabs>
          <w:tab w:val="center" w:pos="4739"/>
        </w:tabs>
        <w:jc w:val="center"/>
        <w:rPr>
          <w:rFonts w:hAnsi="宋体" w:cs="宋体"/>
          <w:sz w:val="28"/>
          <w:szCs w:val="28"/>
        </w:rPr>
      </w:pPr>
      <w:r>
        <w:rPr>
          <w:rFonts w:hint="eastAsia" w:hAnsi="宋体" w:cs="宋体"/>
          <w:b/>
          <w:sz w:val="32"/>
        </w:rPr>
        <w:t>一、投标函</w:t>
      </w:r>
      <w:bookmarkStart w:id="48"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sz w:val="24"/>
        </w:rPr>
      </w:pPr>
      <w:r>
        <w:rPr>
          <w:rFonts w:hint="eastAsia" w:hAnsi="宋体" w:cs="宋体"/>
          <w:sz w:val="24"/>
        </w:rPr>
        <w:br w:type="page"/>
      </w:r>
    </w:p>
    <w:p>
      <w:pPr>
        <w:spacing w:line="480" w:lineRule="exact"/>
        <w:ind w:firstLine="480" w:firstLineChars="200"/>
        <w:jc w:val="center"/>
        <w:rPr>
          <w:rFonts w:hAnsi="宋体" w:cs="宋体"/>
          <w:sz w:val="24"/>
        </w:rPr>
      </w:pPr>
    </w:p>
    <w:p>
      <w:pPr>
        <w:spacing w:line="480" w:lineRule="exact"/>
        <w:ind w:firstLine="640" w:firstLineChars="200"/>
        <w:jc w:val="center"/>
        <w:rPr>
          <w:rFonts w:hAnsi="宋体" w:cs="宋体"/>
          <w:b/>
          <w:sz w:val="32"/>
        </w:rPr>
      </w:pPr>
      <w:r>
        <w:rPr>
          <w:rFonts w:hint="eastAsia" w:hAnsi="宋体" w:cs="宋体"/>
          <w:b/>
          <w:sz w:val="32"/>
        </w:rPr>
        <w:t>二、投标函附录</w:t>
      </w:r>
    </w:p>
    <w:p>
      <w:pPr>
        <w:rPr>
          <w:rFonts w:hAnsi="宋体" w:cs="宋体"/>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800"/>
        <w:gridCol w:w="1010"/>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800" w:type="dxa"/>
            <w:vAlign w:val="center"/>
          </w:tcPr>
          <w:p>
            <w:pPr>
              <w:jc w:val="center"/>
              <w:rPr>
                <w:rFonts w:hAnsi="宋体" w:cs="宋体"/>
                <w:sz w:val="24"/>
              </w:rPr>
            </w:pPr>
            <w:r>
              <w:rPr>
                <w:rFonts w:hint="eastAsia" w:hAnsi="宋体" w:cs="宋体"/>
                <w:sz w:val="24"/>
              </w:rPr>
              <w:t>级别</w:t>
            </w:r>
          </w:p>
        </w:tc>
        <w:tc>
          <w:tcPr>
            <w:tcW w:w="1010"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800" w:type="dxa"/>
            <w:vAlign w:val="center"/>
          </w:tcPr>
          <w:p>
            <w:pPr>
              <w:jc w:val="center"/>
              <w:rPr>
                <w:rFonts w:hAnsi="宋体" w:cs="宋体"/>
                <w:sz w:val="24"/>
              </w:rPr>
            </w:pPr>
            <w:r>
              <w:rPr>
                <w:rFonts w:hint="eastAsia" w:hAnsi="宋体" w:cs="宋体"/>
                <w:sz w:val="24"/>
              </w:rPr>
              <w:t>级别</w:t>
            </w:r>
          </w:p>
        </w:tc>
        <w:tc>
          <w:tcPr>
            <w:tcW w:w="1010"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256"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tc>
      </w:tr>
    </w:tbl>
    <w:p>
      <w:pPr>
        <w:ind w:right="475"/>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48"/>
      <w:r>
        <w:rPr>
          <w:rFonts w:hint="eastAsia" w:hAnsi="宋体" w:cs="宋体"/>
          <w:b/>
          <w:sz w:val="28"/>
          <w:szCs w:val="28"/>
        </w:rPr>
        <w:t>法定代表人身份证明、授权委托书</w:t>
      </w:r>
    </w:p>
    <w:p>
      <w:pPr>
        <w:autoSpaceDE w:val="0"/>
        <w:autoSpaceDN w:val="0"/>
        <w:adjustRightInd w:val="0"/>
        <w:spacing w:line="420" w:lineRule="exact"/>
        <w:jc w:val="center"/>
        <w:rPr>
          <w:rFonts w:hAnsi="宋体" w:cs="宋体"/>
          <w:b/>
          <w:bCs/>
          <w:sz w:val="28"/>
          <w:szCs w:val="28"/>
        </w:rPr>
      </w:pPr>
      <w:bookmarkStart w:id="49" w:name="_Toc271787731"/>
      <w:r>
        <w:rPr>
          <w:rFonts w:hint="eastAsia" w:hAnsi="宋体" w:cs="宋体"/>
          <w:b/>
          <w:bCs/>
          <w:sz w:val="28"/>
          <w:szCs w:val="28"/>
        </w:rPr>
        <w:t>（一）法定代表人身份证明</w:t>
      </w:r>
      <w:bookmarkEnd w:id="4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50" w:name="_Toc271787732"/>
      <w:r>
        <w:rPr>
          <w:rFonts w:hint="eastAsia" w:hAnsi="宋体" w:cs="宋体"/>
          <w:b/>
          <w:bCs/>
          <w:sz w:val="28"/>
          <w:szCs w:val="28"/>
        </w:rPr>
        <w:t>（二）授权委托书</w:t>
      </w:r>
      <w:bookmarkEnd w:id="5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jc w:val="center"/>
        <w:rPr>
          <w:rFonts w:hAnsi="宋体" w:cs="宋体"/>
          <w:b/>
          <w:sz w:val="32"/>
        </w:rPr>
      </w:pPr>
    </w:p>
    <w:p>
      <w:pPr>
        <w:spacing w:line="360" w:lineRule="auto"/>
        <w:jc w:val="center"/>
        <w:rPr>
          <w:rFonts w:hAnsi="宋体" w:cs="宋体"/>
          <w:b/>
          <w:sz w:val="36"/>
          <w:szCs w:val="36"/>
        </w:rPr>
      </w:pPr>
    </w:p>
    <w:p>
      <w:pPr>
        <w:spacing w:line="360" w:lineRule="auto"/>
        <w:jc w:val="center"/>
        <w:rPr>
          <w:rFonts w:hAnsi="宋体" w:cs="宋体"/>
          <w:b/>
          <w:sz w:val="36"/>
          <w:szCs w:val="36"/>
        </w:rPr>
      </w:pPr>
    </w:p>
    <w:p>
      <w:pPr>
        <w:spacing w:line="360" w:lineRule="auto"/>
        <w:jc w:val="center"/>
        <w:rPr>
          <w:rFonts w:hAnsi="宋体" w:cs="宋体"/>
          <w:b/>
          <w:sz w:val="36"/>
          <w:szCs w:val="36"/>
        </w:rPr>
      </w:pPr>
      <w: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图片 1" descr="说明: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66"/>
                    <pic:cNvPicPr>
                      <a:picLocks noChangeAspect="1"/>
                    </pic:cNvPicPr>
                  </pic:nvPicPr>
                  <pic:blipFill>
                    <a:blip r:embed="rId10" cstate="print"/>
                    <a:stretch>
                      <a:fillRect/>
                    </a:stretch>
                  </pic:blipFill>
                  <pic:spPr>
                    <a:xfrm>
                      <a:off x="0" y="0"/>
                      <a:ext cx="952500" cy="927100"/>
                    </a:xfrm>
                    <a:prstGeom prst="rect">
                      <a:avLst/>
                    </a:prstGeom>
                    <a:noFill/>
                    <a:ln>
                      <a:noFill/>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附投标保证金有效银行转账凭证原件扫描件（或图片）；</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项目负责人应附项目负责人注册证书、安全生产考核合格证书、身份证、养老保险原件扫描件（或图片）及未担任其他在施建设工程项目项目负责人的承诺书，管理过的项目业绩须</w:t>
      </w:r>
      <w:r>
        <w:rPr>
          <w:rFonts w:hint="eastAsia" w:hAnsi="宋体"/>
          <w:sz w:val="24"/>
          <w:szCs w:val="24"/>
        </w:rPr>
        <w:t>提供施工合同和竣工验收备案表或施工合同和中标通知书</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养老保险原件扫描件（或图片），专职安全生产管理人员应附安全生产考核合格证书，主要业绩须附合同协议书。</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Ansi="宋体" w:cs="宋体"/>
          <w:b/>
          <w:sz w:val="32"/>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七、</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w:t>
      </w:r>
      <w:r>
        <w:rPr>
          <w:rFonts w:hint="eastAsia" w:hAnsi="宋体" w:cs="宋体"/>
          <w:sz w:val="24"/>
          <w:szCs w:val="24"/>
        </w:rPr>
        <w:t>原件扫描件（或图片）</w:t>
      </w:r>
    </w:p>
    <w:p>
      <w:pPr>
        <w:autoSpaceDE w:val="0"/>
        <w:autoSpaceDN w:val="0"/>
        <w:adjustRightInd w:val="0"/>
        <w:spacing w:line="360" w:lineRule="auto"/>
        <w:ind w:right="215" w:firstLine="420"/>
        <w:jc w:val="center"/>
        <w:rPr>
          <w:rFonts w:hAnsi="宋体" w:cs="宋体"/>
          <w:b/>
          <w:sz w:val="32"/>
          <w:szCs w:val="32"/>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center"/>
        <w:rPr>
          <w:rFonts w:hAnsi="宋体" w:cs="宋体"/>
          <w:sz w:val="24"/>
          <w:szCs w:val="24"/>
        </w:rPr>
      </w:pPr>
      <w:r>
        <w:rPr>
          <w:rFonts w:hint="eastAsia" w:hAnsi="宋体" w:cs="宋体"/>
          <w:sz w:val="24"/>
          <w:szCs w:val="24"/>
        </w:rPr>
        <w:br w:type="page"/>
      </w:r>
    </w:p>
    <w:p>
      <w:pPr>
        <w:jc w:val="center"/>
        <w:rPr>
          <w:rFonts w:hAnsi="宋体" w:cs="宋体"/>
          <w:sz w:val="24"/>
          <w:szCs w:val="24"/>
        </w:rPr>
      </w:pPr>
    </w:p>
    <w:p>
      <w:pPr>
        <w:jc w:val="center"/>
        <w:rPr>
          <w:rFonts w:hAnsi="宋体" w:cs="宋体"/>
          <w:sz w:val="24"/>
          <w:szCs w:val="24"/>
        </w:rPr>
      </w:pPr>
    </w:p>
    <w:p>
      <w:pPr>
        <w:jc w:val="center"/>
        <w:rPr>
          <w:rFonts w:hAnsi="宋体" w:cs="宋体"/>
          <w:b/>
          <w:sz w:val="32"/>
          <w:szCs w:val="32"/>
        </w:rPr>
      </w:pP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十一、其它材料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center"/>
        <w:rPr>
          <w:rFonts w:hAnsi="宋体" w:cs="宋体"/>
          <w:b/>
          <w:sz w:val="23"/>
          <w:u w:val="single"/>
        </w:rPr>
      </w:pPr>
    </w:p>
    <w:p>
      <w:pPr>
        <w:tabs>
          <w:tab w:val="center" w:pos="4739"/>
        </w:tabs>
        <w:ind w:left="180"/>
        <w:jc w:val="center"/>
        <w:rPr>
          <w:rFonts w:hAnsi="宋体" w:cs="宋体"/>
          <w:b/>
          <w:sz w:val="23"/>
          <w:u w:val="single"/>
        </w:rPr>
      </w:pPr>
    </w:p>
    <w:p>
      <w:pPr>
        <w:tabs>
          <w:tab w:val="center" w:pos="4739"/>
        </w:tabs>
        <w:ind w:left="180"/>
        <w:jc w:val="center"/>
        <w:rPr>
          <w:rFonts w:hAnsi="宋体" w:cs="宋体"/>
          <w:b/>
          <w:sz w:val="23"/>
          <w:u w:val="single"/>
        </w:rPr>
      </w:pPr>
    </w:p>
    <w:p>
      <w:pPr>
        <w:autoSpaceDE w:val="0"/>
        <w:autoSpaceDN w:val="0"/>
        <w:adjustRightInd w:val="0"/>
        <w:spacing w:line="420" w:lineRule="exact"/>
        <w:rPr>
          <w:rFonts w:hAnsi="宋体" w:cs="宋体"/>
          <w:b/>
          <w:sz w:val="23"/>
          <w:u w:val="single"/>
        </w:rPr>
      </w:pPr>
      <w:r>
        <w:rPr>
          <w:rFonts w:hint="eastAsia" w:hAnsi="宋体" w:cs="宋体"/>
          <w:b/>
          <w:sz w:val="23"/>
          <w:u w:val="single"/>
        </w:rPr>
        <w:t xml:space="preserve">   </w:t>
      </w:r>
    </w:p>
    <w:p>
      <w:pPr>
        <w:pStyle w:val="2"/>
        <w:ind w:firstLine="231"/>
        <w:rPr>
          <w:rFonts w:hAnsi="宋体" w:cs="宋体"/>
          <w:b/>
          <w:sz w:val="23"/>
          <w:u w:val="single"/>
        </w:rPr>
      </w:pPr>
    </w:p>
    <w:p>
      <w:pPr>
        <w:pStyle w:val="2"/>
        <w:ind w:firstLine="231"/>
        <w:rPr>
          <w:rFonts w:hAnsi="宋体" w:cs="宋体"/>
          <w:b/>
          <w:sz w:val="23"/>
          <w:u w:val="single"/>
        </w:rPr>
      </w:pPr>
    </w:p>
    <w:p>
      <w:pPr>
        <w:pStyle w:val="2"/>
        <w:ind w:firstLine="0" w:firstLineChars="0"/>
        <w:rPr>
          <w:rFonts w:hAnsi="宋体" w:cs="宋体"/>
          <w:b/>
          <w:sz w:val="23"/>
          <w:u w:val="single"/>
        </w:rPr>
      </w:pPr>
    </w:p>
    <w:p>
      <w:pPr>
        <w:rPr>
          <w:rFonts w:hAnsi="宋体" w:cs="宋体"/>
          <w:sz w:val="24"/>
          <w:szCs w:val="24"/>
        </w:rPr>
      </w:pPr>
    </w:p>
    <w:p>
      <w:pPr>
        <w:pStyle w:val="2"/>
        <w:ind w:firstLine="0" w:firstLineChars="0"/>
        <w:rPr>
          <w:rFonts w:hAnsi="宋体" w:cs="宋体"/>
          <w:sz w:val="24"/>
          <w:szCs w:val="24"/>
        </w:rPr>
      </w:pPr>
    </w:p>
    <w:p>
      <w:pPr>
        <w:pStyle w:val="2"/>
        <w:ind w:firstLine="240"/>
        <w:rPr>
          <w:rFonts w:hAnsi="宋体" w:cs="宋体"/>
          <w:sz w:val="24"/>
          <w:szCs w:val="24"/>
        </w:rPr>
      </w:pPr>
    </w:p>
    <w:p>
      <w:pPr>
        <w:tabs>
          <w:tab w:val="center" w:pos="4739"/>
          <w:tab w:val="center" w:pos="4909"/>
          <w:tab w:val="left" w:pos="7140"/>
        </w:tabs>
        <w:ind w:left="180"/>
        <w:jc w:val="center"/>
        <w:rPr>
          <w:rFonts w:ascii="黑体" w:eastAsia="黑体"/>
          <w:b/>
          <w:bCs/>
          <w:iCs/>
          <w:sz w:val="32"/>
          <w:u w:val="single"/>
        </w:rPr>
      </w:pPr>
    </w:p>
    <w:p>
      <w:pPr>
        <w:tabs>
          <w:tab w:val="center" w:pos="4739"/>
          <w:tab w:val="center" w:pos="4909"/>
          <w:tab w:val="left" w:pos="7140"/>
        </w:tabs>
        <w:ind w:left="180"/>
        <w:jc w:val="center"/>
        <w:rPr>
          <w:rFonts w:ascii="黑体" w:eastAsia="黑体"/>
          <w:b/>
          <w:sz w:val="32"/>
        </w:rPr>
      </w:pPr>
      <w:r>
        <w:rPr>
          <w:rFonts w:hint="eastAsia" w:ascii="黑体" w:eastAsia="黑体"/>
          <w:b/>
          <w:bCs/>
          <w:iCs/>
          <w:sz w:val="32"/>
          <w:u w:val="single"/>
        </w:rPr>
        <w:t xml:space="preserve">                                  </w:t>
      </w:r>
      <w:r>
        <w:rPr>
          <w:rFonts w:hint="eastAsia" w:ascii="黑体" w:eastAsia="黑体"/>
          <w:b/>
          <w:bCs/>
          <w:iCs/>
          <w:sz w:val="32"/>
        </w:rPr>
        <w:t>（项目名称）施工</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spacing w:line="600" w:lineRule="exact"/>
        <w:jc w:val="center"/>
        <w:rPr>
          <w:rFonts w:asciiTheme="majorEastAsia" w:hAnsiTheme="majorEastAsia" w:eastAsiaTheme="majorEastAsia"/>
          <w:b/>
          <w:sz w:val="52"/>
          <w:szCs w:val="52"/>
        </w:rPr>
      </w:pPr>
    </w:p>
    <w:p>
      <w:pPr>
        <w:spacing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投 标 文 件</w:t>
      </w:r>
    </w:p>
    <w:p>
      <w:pPr>
        <w:autoSpaceDE w:val="0"/>
        <w:autoSpaceDN w:val="0"/>
        <w:adjustRightInd w:val="0"/>
        <w:jc w:val="center"/>
        <w:rPr>
          <w:bCs/>
          <w:sz w:val="44"/>
          <w:szCs w:val="44"/>
        </w:rPr>
      </w:pPr>
    </w:p>
    <w:p>
      <w:pPr>
        <w:autoSpaceDE w:val="0"/>
        <w:autoSpaceDN w:val="0"/>
        <w:adjustRightInd w:val="0"/>
        <w:spacing w:line="800" w:lineRule="exact"/>
        <w:jc w:val="center"/>
        <w:rPr>
          <w:rFonts w:hAnsi="宋体" w:cs="宋体"/>
          <w:b/>
          <w:sz w:val="44"/>
        </w:rPr>
      </w:pPr>
      <w:r>
        <w:rPr>
          <w:rFonts w:hint="eastAsia"/>
          <w:b/>
          <w:sz w:val="44"/>
          <w:szCs w:val="44"/>
        </w:rPr>
        <w:t>技术标</w:t>
      </w:r>
    </w:p>
    <w:p>
      <w:pPr>
        <w:spacing w:line="360" w:lineRule="auto"/>
        <w:jc w:val="center"/>
        <w:rPr>
          <w:rFonts w:hAnsi="宋体" w:cs="宋体"/>
          <w:b/>
          <w:sz w:val="32"/>
          <w:szCs w:val="32"/>
        </w:rPr>
      </w:pPr>
      <w:r>
        <w:rPr>
          <w:rFonts w:hint="eastAsia" w:hAnsi="宋体" w:cs="宋体"/>
          <w:b/>
          <w:sz w:val="32"/>
          <w:szCs w:val="32"/>
        </w:rPr>
        <w:t xml:space="preserve"> </w:t>
      </w:r>
    </w:p>
    <w:p>
      <w:pPr>
        <w:spacing w:line="360" w:lineRule="auto"/>
        <w:jc w:val="center"/>
        <w:rPr>
          <w:rFonts w:asciiTheme="majorEastAsia" w:hAnsiTheme="majorEastAsia" w:eastAsiaTheme="majorEastAsia"/>
          <w:b/>
          <w:sz w:val="52"/>
          <w:szCs w:val="52"/>
        </w:rPr>
      </w:pPr>
      <w:r>
        <w:rPr>
          <w:rFonts w:hint="eastAsia" w:hAnsi="宋体" w:cs="宋体"/>
          <w:b/>
          <w:sz w:val="32"/>
          <w:szCs w:val="32"/>
        </w:rPr>
        <w:t>项目编号：建安建工公字〔2019〕   号</w:t>
      </w:r>
    </w:p>
    <w:p>
      <w:pPr>
        <w:tabs>
          <w:tab w:val="center" w:pos="4739"/>
        </w:tabs>
        <w:ind w:left="180"/>
        <w:rPr>
          <w:sz w:val="24"/>
        </w:rPr>
      </w:pPr>
    </w:p>
    <w:p>
      <w:pPr>
        <w:tabs>
          <w:tab w:val="center" w:pos="4739"/>
        </w:tabs>
        <w:ind w:left="180"/>
        <w:rPr>
          <w:sz w:val="24"/>
        </w:rPr>
      </w:pPr>
    </w:p>
    <w:p>
      <w:pPr>
        <w:pStyle w:val="2"/>
        <w:ind w:firstLine="0" w:firstLineChars="0"/>
        <w:rPr>
          <w:sz w:val="24"/>
        </w:rPr>
      </w:pPr>
    </w:p>
    <w:p>
      <w:pPr>
        <w:tabs>
          <w:tab w:val="center" w:pos="4739"/>
        </w:tabs>
        <w:ind w:left="180"/>
        <w:rPr>
          <w:sz w:val="24"/>
        </w:rPr>
      </w:pPr>
    </w:p>
    <w:p>
      <w:pPr>
        <w:pStyle w:val="2"/>
        <w:ind w:firstLine="240"/>
        <w:rPr>
          <w:sz w:val="24"/>
        </w:rPr>
      </w:pPr>
    </w:p>
    <w:p>
      <w:pPr>
        <w:pStyle w:val="2"/>
        <w:ind w:firstLine="240"/>
        <w:rPr>
          <w:sz w:val="24"/>
        </w:rPr>
      </w:pPr>
    </w:p>
    <w:p>
      <w:pPr>
        <w:pStyle w:val="2"/>
        <w:ind w:firstLine="240"/>
        <w:rPr>
          <w:sz w:val="24"/>
        </w:rPr>
      </w:pPr>
    </w:p>
    <w:p>
      <w:pPr>
        <w:tabs>
          <w:tab w:val="center" w:pos="4739"/>
        </w:tabs>
        <w:ind w:left="180"/>
        <w:rPr>
          <w:sz w:val="24"/>
        </w:rPr>
      </w:pPr>
    </w:p>
    <w:p>
      <w:pPr>
        <w:tabs>
          <w:tab w:val="center" w:pos="4739"/>
        </w:tabs>
        <w:ind w:left="180"/>
        <w:jc w:val="center"/>
        <w:rPr>
          <w:rFonts w:ascii="黑体" w:eastAsia="黑体"/>
          <w:b/>
          <w:sz w:val="32"/>
        </w:rPr>
      </w:pPr>
      <w:r>
        <w:rPr>
          <w:rFonts w:hint="eastAsia" w:ascii="黑体" w:eastAsia="黑体"/>
          <w:b/>
          <w:sz w:val="32"/>
        </w:rPr>
        <w:t xml:space="preserve"> 投标人:</w:t>
      </w:r>
      <w:r>
        <w:rPr>
          <w:rFonts w:hint="eastAsia" w:ascii="黑体" w:eastAsia="黑体"/>
          <w:b/>
          <w:sz w:val="32"/>
          <w:u w:val="single"/>
        </w:rPr>
        <w:t xml:space="preserve">                            </w:t>
      </w:r>
      <w:r>
        <w:rPr>
          <w:rFonts w:hint="eastAsia" w:ascii="黑体" w:eastAsia="黑体"/>
          <w:b/>
          <w:sz w:val="32"/>
        </w:rPr>
        <w:t>(盖单位章)</w:t>
      </w:r>
    </w:p>
    <w:p>
      <w:pPr>
        <w:tabs>
          <w:tab w:val="center" w:pos="4739"/>
        </w:tabs>
        <w:ind w:left="180"/>
        <w:jc w:val="center"/>
        <w:rPr>
          <w:rFonts w:ascii="黑体" w:eastAsia="黑体"/>
          <w:b/>
          <w:sz w:val="32"/>
        </w:rPr>
      </w:pPr>
    </w:p>
    <w:p>
      <w:pPr>
        <w:tabs>
          <w:tab w:val="center" w:pos="4739"/>
        </w:tabs>
        <w:ind w:left="180"/>
        <w:jc w:val="center"/>
        <w:rPr>
          <w:rFonts w:ascii="黑体" w:eastAsia="黑体"/>
          <w:b/>
          <w:sz w:val="32"/>
        </w:rPr>
      </w:pPr>
      <w:r>
        <w:rPr>
          <w:rFonts w:hint="eastAsia" w:ascii="黑体" w:eastAsia="黑体"/>
          <w:b/>
          <w:sz w:val="32"/>
          <w:szCs w:val="22"/>
        </w:rPr>
        <w:t xml:space="preserve">法定代表人或其委托代理人:  </w:t>
      </w:r>
      <w:r>
        <w:rPr>
          <w:rFonts w:hint="eastAsia" w:ascii="黑体" w:eastAsia="黑体"/>
          <w:b/>
          <w:sz w:val="32"/>
          <w:u w:val="single"/>
        </w:rPr>
        <w:t xml:space="preserve">           </w:t>
      </w:r>
      <w:r>
        <w:rPr>
          <w:rFonts w:hint="eastAsia" w:ascii="黑体" w:eastAsia="黑体"/>
          <w:b/>
          <w:sz w:val="32"/>
        </w:rPr>
        <w:t>(签字)</w:t>
      </w:r>
    </w:p>
    <w:p>
      <w:pPr>
        <w:tabs>
          <w:tab w:val="center" w:pos="4739"/>
        </w:tabs>
        <w:ind w:left="180"/>
        <w:jc w:val="center"/>
        <w:rPr>
          <w:rFonts w:ascii="黑体" w:eastAsia="黑体"/>
          <w:b/>
          <w:sz w:val="32"/>
        </w:rPr>
      </w:pPr>
    </w:p>
    <w:p>
      <w:pPr>
        <w:tabs>
          <w:tab w:val="center" w:pos="4739"/>
        </w:tabs>
        <w:ind w:left="180"/>
        <w:jc w:val="center"/>
        <w:rPr>
          <w:rFonts w:hAnsi="宋体" w:cs="黑体"/>
          <w:b/>
          <w:sz w:val="36"/>
          <w:szCs w:val="36"/>
        </w:rPr>
      </w:pPr>
      <w:r>
        <w:rPr>
          <w:rFonts w:hint="eastAsia" w:ascii="黑体" w:eastAsia="黑体"/>
          <w:b/>
          <w:sz w:val="32"/>
          <w:u w:val="single"/>
        </w:rPr>
        <w:t xml:space="preserve">        </w:t>
      </w:r>
      <w:r>
        <w:rPr>
          <w:rFonts w:hint="eastAsia" w:ascii="黑体" w:eastAsia="黑体"/>
          <w:b/>
          <w:sz w:val="32"/>
        </w:rPr>
        <w:t>年</w:t>
      </w:r>
      <w:r>
        <w:rPr>
          <w:rFonts w:hint="eastAsia" w:ascii="黑体" w:eastAsia="黑体"/>
          <w:b/>
          <w:sz w:val="32"/>
          <w:u w:val="single"/>
        </w:rPr>
        <w:t xml:space="preserve">      </w:t>
      </w:r>
      <w:r>
        <w:rPr>
          <w:rFonts w:hint="eastAsia" w:ascii="黑体" w:eastAsia="黑体"/>
          <w:b/>
          <w:sz w:val="32"/>
        </w:rPr>
        <w:t>月</w:t>
      </w:r>
      <w:r>
        <w:rPr>
          <w:rFonts w:hint="eastAsia" w:ascii="黑体" w:eastAsia="黑体"/>
          <w:b/>
          <w:sz w:val="32"/>
          <w:u w:val="single"/>
        </w:rPr>
        <w:t xml:space="preserve">       </w:t>
      </w:r>
      <w:r>
        <w:rPr>
          <w:rFonts w:hint="eastAsia" w:ascii="黑体" w:eastAsia="黑体"/>
          <w:b/>
          <w:sz w:val="32"/>
        </w:rPr>
        <w:t>日</w:t>
      </w:r>
    </w:p>
    <w:p>
      <w:pPr>
        <w:spacing w:line="301" w:lineRule="auto"/>
        <w:ind w:left="920" w:hanging="265"/>
        <w:rPr>
          <w:rFonts w:hAnsi="宋体" w:cs="宋体"/>
          <w:b/>
          <w:sz w:val="23"/>
          <w:u w:val="single"/>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420" w:lineRule="exact"/>
        <w:ind w:firstLine="480" w:firstLineChars="200"/>
        <w:jc w:val="left"/>
        <w:outlineLvl w:val="0"/>
        <w:rPr>
          <w:rFonts w:hAnsi="宋体" w:cs="宋体"/>
          <w:sz w:val="24"/>
        </w:rPr>
      </w:pP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（1）内容完整性；</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（2）主要施工方案与技术措施；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（3）质量管理体系与措施；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（4）安全管理体系与措施；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（5）文明施工、环境保护管理体系及施工现场扬尘治理措施；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（6）工期保证措施；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（7）拟投入资源配备计划；</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（8）施工进度表与网络计划图；</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（9）施工总平面图布置；</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（10）技术创新的应用实施措施；</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（11）采用新工艺、新技术、新设备、新材料、BIM等的程度；</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（12）施工现场实施信息化监控和数据处理；</w:t>
      </w:r>
    </w:p>
    <w:p>
      <w:pPr>
        <w:autoSpaceDE w:val="0"/>
        <w:autoSpaceDN w:val="0"/>
        <w:spacing w:line="500" w:lineRule="exact"/>
        <w:ind w:firstLine="480" w:firstLineChars="200"/>
        <w:jc w:val="left"/>
        <w:outlineLvl w:val="0"/>
        <w:rPr>
          <w:rFonts w:hAnsi="宋体" w:cs="宋体"/>
          <w:b/>
          <w:bCs/>
          <w:sz w:val="24"/>
        </w:rPr>
      </w:pPr>
      <w:r>
        <w:rPr>
          <w:rFonts w:hint="eastAsia" w:hAnsi="宋体" w:cs="宋体"/>
          <w:b/>
          <w:bCs/>
          <w:sz w:val="24"/>
        </w:rPr>
        <w:t>（13）风险管理措施。</w:t>
      </w:r>
    </w:p>
    <w:p>
      <w:pPr>
        <w:pStyle w:val="2"/>
        <w:ind w:firstLine="340"/>
      </w:pPr>
    </w:p>
    <w:sectPr>
      <w:footerReference r:id="rId8" w:type="first"/>
      <w:footerReference r:id="rId7" w:type="default"/>
      <w:pgSz w:w="11906" w:h="16838"/>
      <w:pgMar w:top="1304" w:right="1134" w:bottom="1304" w:left="1134"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025"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JM4+HLoBAABYAwAADgAAAAAAAAABACAAAAAiAQAAZHJzL2Uyb0RvYy54bWxQSwUGAAAA&#10;AAYABgBZAQAATgUAAAAA&#10;">
          <v:path/>
          <v:fill on="f" focussize="0,0"/>
          <v:stroke on="f" weight="1.25pt" joinstyle="miter"/>
          <v:imagedata o:title=""/>
          <o:lock v:ext="edit"/>
          <v:textbox inset="0mm,0mm,0mm,0mm" style="mso-fit-shape-to-text:t;">
            <w:txbxContent>
              <w:p>
                <w:pPr>
                  <w:pStyle w:val="2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026" o:spid="_x0000_s3078"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lBvOO7AQAAWA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fqHEMoMj2j3+3T097/79IdNydpE61PtQY+Kdx9Q4fHcDTnq8D3iZ&#10;hA8STPqiJIJx7PX22F8xRMLTo2pWVSWGOMZGB/GL1+ceQvwhnCHJaCjgAHNf2eZXiPvUMSVVs+5a&#10;aZ2HqC3pEfW8+nqeXxxDiK4tFkkq9myTFYflcJC2dO0WlfW4BQ21uKaU6J8Wm5wWZjRgNJajsfag&#10;Vh2SnOZ6wX9bR6STWaYKe9hDYRxf1nlYtbQfb/2c9fpD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KlBvOO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030" o:spid="_x0000_s3074"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Yjp/2boBAABYAwAADgAAAAAAAAABACAAAAAiAQAAZHJzL2Uyb0RvYy54bWxQSwUGAAAA&#10;AAYABgBZAQAATgUAAAAA&#1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- 65 -</w:t>
                </w:r>
                <w:r>
                  <w:fldChar w:fldCharType="end"/>
                </w:r>
              </w:p>
            </w:txbxContent>
          </v:textbox>
        </v:shape>
      </w:pict>
    </w:r>
    <w:r>
      <w:pict>
        <v:shape id="文本框 1031" o:spid="_x0000_s3079" o:spt="202" type="#_x0000_t202" style="position:absolute;left:0pt;margin-left:245.65pt;margin-top:-1.05pt;height:11.65pt;width:4.55pt;mso-position-horizontal-relative:margin;mso-wrap-style:none;z-index:251655168;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YS1C9kAAAAJAQAADwAAAAAAAAABACAAAAAiAAAAZHJzL2Rvd25yZXYueG1s&#10;UEsBAhQAFAAAAAgAh07iQI3cQai+AQAAVQMAAA4AAAAAAAAAAQAgAAAAKAEAAGRycy9lMm9Eb2Mu&#10;eG1sUEsFBgAAAAAGAAYAWQEAAFgFA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029"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PdG/D67AQAAWAMAAA4AAAAAAAAAAQAgAAAAIgEAAGRycy9lMm9Eb2MueG1sUEsFBgAA&#10;AAAGAAYAWQEAAE8FAAAAAA==&#10;">
          <v:path/>
          <v:fill on="f" focussize="0,0"/>
          <v:stroke on="f" weight="1.2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- 2 -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w:rPr>
        <w:rFonts w:hint="eastAsia" w:ascii="华文新魏" w:eastAsia="华文新魏"/>
        <w:b/>
        <w:bCs/>
        <w:i/>
        <w:iCs/>
      </w:rPr>
      <w:t xml:space="preserve"> 许昌市建安区远东传动系智能产业园项目清表工程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90" w:firstLineChars="50"/>
      <w:jc w:val="left"/>
      <w:rPr>
        <w:sz w:val="18"/>
        <w:szCs w:val="18"/>
      </w:rPr>
    </w:pPr>
    <w:r>
      <w:rPr>
        <w:rFonts w:hint="eastAsia" w:ascii="华文新魏" w:eastAsia="华文新魏"/>
        <w:b/>
        <w:bCs/>
        <w:i/>
        <w:iCs/>
        <w:sz w:val="18"/>
        <w:szCs w:val="18"/>
        <w:u w:val="single"/>
      </w:rPr>
      <w:t xml:space="preserve">许昌市建安区远东传动系智能产业园项目清表工程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F06"/>
    <w:rsid w:val="00002165"/>
    <w:rsid w:val="000206AB"/>
    <w:rsid w:val="00020C45"/>
    <w:rsid w:val="00023827"/>
    <w:rsid w:val="0002487C"/>
    <w:rsid w:val="000307B7"/>
    <w:rsid w:val="00042D78"/>
    <w:rsid w:val="00046CAF"/>
    <w:rsid w:val="00052AA8"/>
    <w:rsid w:val="00053998"/>
    <w:rsid w:val="0005578B"/>
    <w:rsid w:val="00056F61"/>
    <w:rsid w:val="00061BCD"/>
    <w:rsid w:val="0008358D"/>
    <w:rsid w:val="00091ABC"/>
    <w:rsid w:val="000948C6"/>
    <w:rsid w:val="000A720A"/>
    <w:rsid w:val="000D038F"/>
    <w:rsid w:val="000D17EA"/>
    <w:rsid w:val="000D70F0"/>
    <w:rsid w:val="000E3153"/>
    <w:rsid w:val="000F52B5"/>
    <w:rsid w:val="001037C1"/>
    <w:rsid w:val="00103902"/>
    <w:rsid w:val="00115DAA"/>
    <w:rsid w:val="0012247C"/>
    <w:rsid w:val="00135BC1"/>
    <w:rsid w:val="001375FA"/>
    <w:rsid w:val="00141371"/>
    <w:rsid w:val="00145308"/>
    <w:rsid w:val="001617DE"/>
    <w:rsid w:val="001621DF"/>
    <w:rsid w:val="001663F1"/>
    <w:rsid w:val="00170351"/>
    <w:rsid w:val="00172A27"/>
    <w:rsid w:val="0018661F"/>
    <w:rsid w:val="00190A8C"/>
    <w:rsid w:val="001912DC"/>
    <w:rsid w:val="001A030E"/>
    <w:rsid w:val="001B55BE"/>
    <w:rsid w:val="001B5718"/>
    <w:rsid w:val="001C111C"/>
    <w:rsid w:val="001C3EE6"/>
    <w:rsid w:val="001C7AF9"/>
    <w:rsid w:val="001C7C8B"/>
    <w:rsid w:val="001D1438"/>
    <w:rsid w:val="001E7FAC"/>
    <w:rsid w:val="001F6278"/>
    <w:rsid w:val="002171FE"/>
    <w:rsid w:val="002225A8"/>
    <w:rsid w:val="00223978"/>
    <w:rsid w:val="00224EA5"/>
    <w:rsid w:val="002330D7"/>
    <w:rsid w:val="00242CE2"/>
    <w:rsid w:val="00262141"/>
    <w:rsid w:val="002838F3"/>
    <w:rsid w:val="00285179"/>
    <w:rsid w:val="00290A21"/>
    <w:rsid w:val="0029683B"/>
    <w:rsid w:val="002A0E74"/>
    <w:rsid w:val="002A38DB"/>
    <w:rsid w:val="002A78E2"/>
    <w:rsid w:val="002B6CFD"/>
    <w:rsid w:val="002C349A"/>
    <w:rsid w:val="002D261F"/>
    <w:rsid w:val="002D6FC5"/>
    <w:rsid w:val="002D7055"/>
    <w:rsid w:val="002E4AC4"/>
    <w:rsid w:val="0030520C"/>
    <w:rsid w:val="00312467"/>
    <w:rsid w:val="0032098B"/>
    <w:rsid w:val="00321B54"/>
    <w:rsid w:val="00324DA6"/>
    <w:rsid w:val="0035257C"/>
    <w:rsid w:val="003666F0"/>
    <w:rsid w:val="0037397D"/>
    <w:rsid w:val="00386B3C"/>
    <w:rsid w:val="00387FCF"/>
    <w:rsid w:val="003B04D0"/>
    <w:rsid w:val="003B483B"/>
    <w:rsid w:val="003D2119"/>
    <w:rsid w:val="003E08ED"/>
    <w:rsid w:val="003E5FBF"/>
    <w:rsid w:val="003F16E6"/>
    <w:rsid w:val="004072D6"/>
    <w:rsid w:val="00410C35"/>
    <w:rsid w:val="0041298A"/>
    <w:rsid w:val="00415BC0"/>
    <w:rsid w:val="00415F75"/>
    <w:rsid w:val="00425C54"/>
    <w:rsid w:val="00442035"/>
    <w:rsid w:val="00445D0C"/>
    <w:rsid w:val="00455F1D"/>
    <w:rsid w:val="00455F9F"/>
    <w:rsid w:val="00460F8C"/>
    <w:rsid w:val="00461496"/>
    <w:rsid w:val="004622E3"/>
    <w:rsid w:val="00467F57"/>
    <w:rsid w:val="0047049E"/>
    <w:rsid w:val="0047079D"/>
    <w:rsid w:val="00477253"/>
    <w:rsid w:val="00493559"/>
    <w:rsid w:val="004B6B38"/>
    <w:rsid w:val="004D2B00"/>
    <w:rsid w:val="004D4388"/>
    <w:rsid w:val="004E06CE"/>
    <w:rsid w:val="004E3A03"/>
    <w:rsid w:val="004F1948"/>
    <w:rsid w:val="004F6FB3"/>
    <w:rsid w:val="005046F1"/>
    <w:rsid w:val="00505474"/>
    <w:rsid w:val="0051467F"/>
    <w:rsid w:val="005160F6"/>
    <w:rsid w:val="005203E6"/>
    <w:rsid w:val="0052096F"/>
    <w:rsid w:val="0053252F"/>
    <w:rsid w:val="005422B6"/>
    <w:rsid w:val="005606A4"/>
    <w:rsid w:val="00567406"/>
    <w:rsid w:val="00595A75"/>
    <w:rsid w:val="005A016B"/>
    <w:rsid w:val="005B6478"/>
    <w:rsid w:val="005C253E"/>
    <w:rsid w:val="005C2FC1"/>
    <w:rsid w:val="005C7B38"/>
    <w:rsid w:val="005C7D89"/>
    <w:rsid w:val="005E039E"/>
    <w:rsid w:val="005E73A1"/>
    <w:rsid w:val="005F0F41"/>
    <w:rsid w:val="0061516E"/>
    <w:rsid w:val="00615F04"/>
    <w:rsid w:val="00621F96"/>
    <w:rsid w:val="006239B0"/>
    <w:rsid w:val="00643AE4"/>
    <w:rsid w:val="00661C56"/>
    <w:rsid w:val="00666AFD"/>
    <w:rsid w:val="006851BB"/>
    <w:rsid w:val="006864B4"/>
    <w:rsid w:val="006915DA"/>
    <w:rsid w:val="006A0D66"/>
    <w:rsid w:val="006A1CF2"/>
    <w:rsid w:val="006A3BD6"/>
    <w:rsid w:val="006B17D5"/>
    <w:rsid w:val="006B61F5"/>
    <w:rsid w:val="006C58EE"/>
    <w:rsid w:val="006D0A57"/>
    <w:rsid w:val="006D6288"/>
    <w:rsid w:val="006E2D74"/>
    <w:rsid w:val="006F2F1D"/>
    <w:rsid w:val="006F31C1"/>
    <w:rsid w:val="006F63CB"/>
    <w:rsid w:val="00704ED2"/>
    <w:rsid w:val="00711825"/>
    <w:rsid w:val="007258B7"/>
    <w:rsid w:val="0073452B"/>
    <w:rsid w:val="0074106E"/>
    <w:rsid w:val="00751460"/>
    <w:rsid w:val="007545F3"/>
    <w:rsid w:val="00760E51"/>
    <w:rsid w:val="00760E93"/>
    <w:rsid w:val="00785360"/>
    <w:rsid w:val="00792E2E"/>
    <w:rsid w:val="007A249B"/>
    <w:rsid w:val="007A71DE"/>
    <w:rsid w:val="007D260D"/>
    <w:rsid w:val="007E6E4C"/>
    <w:rsid w:val="007F00E2"/>
    <w:rsid w:val="00806D87"/>
    <w:rsid w:val="008100C7"/>
    <w:rsid w:val="0081250A"/>
    <w:rsid w:val="0081767F"/>
    <w:rsid w:val="00824A06"/>
    <w:rsid w:val="00827E47"/>
    <w:rsid w:val="00836BA1"/>
    <w:rsid w:val="00837836"/>
    <w:rsid w:val="00843389"/>
    <w:rsid w:val="008527BF"/>
    <w:rsid w:val="00855EAA"/>
    <w:rsid w:val="00891864"/>
    <w:rsid w:val="008A01BF"/>
    <w:rsid w:val="008A6355"/>
    <w:rsid w:val="008A6702"/>
    <w:rsid w:val="008B19B5"/>
    <w:rsid w:val="008C6BA2"/>
    <w:rsid w:val="008D64E5"/>
    <w:rsid w:val="008E24D5"/>
    <w:rsid w:val="008E2940"/>
    <w:rsid w:val="008E553C"/>
    <w:rsid w:val="008F5961"/>
    <w:rsid w:val="008F788D"/>
    <w:rsid w:val="009046D3"/>
    <w:rsid w:val="00913652"/>
    <w:rsid w:val="00914023"/>
    <w:rsid w:val="009142FB"/>
    <w:rsid w:val="00914A65"/>
    <w:rsid w:val="00915485"/>
    <w:rsid w:val="00926EE9"/>
    <w:rsid w:val="00953E1B"/>
    <w:rsid w:val="00960292"/>
    <w:rsid w:val="00967F09"/>
    <w:rsid w:val="00980164"/>
    <w:rsid w:val="009A35F0"/>
    <w:rsid w:val="009A54C5"/>
    <w:rsid w:val="009B0078"/>
    <w:rsid w:val="009C15B6"/>
    <w:rsid w:val="009C2C8B"/>
    <w:rsid w:val="009E605F"/>
    <w:rsid w:val="009E6D32"/>
    <w:rsid w:val="009F6862"/>
    <w:rsid w:val="009F78F2"/>
    <w:rsid w:val="00A02446"/>
    <w:rsid w:val="00A11DD3"/>
    <w:rsid w:val="00A1386A"/>
    <w:rsid w:val="00A20EE8"/>
    <w:rsid w:val="00A23EC7"/>
    <w:rsid w:val="00A36B25"/>
    <w:rsid w:val="00A500A7"/>
    <w:rsid w:val="00A5380D"/>
    <w:rsid w:val="00A728AE"/>
    <w:rsid w:val="00A74405"/>
    <w:rsid w:val="00A86794"/>
    <w:rsid w:val="00A926DB"/>
    <w:rsid w:val="00A96E47"/>
    <w:rsid w:val="00A97016"/>
    <w:rsid w:val="00A976FA"/>
    <w:rsid w:val="00AC4975"/>
    <w:rsid w:val="00AD0941"/>
    <w:rsid w:val="00AE432D"/>
    <w:rsid w:val="00B16E2D"/>
    <w:rsid w:val="00B33A32"/>
    <w:rsid w:val="00B5067A"/>
    <w:rsid w:val="00B57A07"/>
    <w:rsid w:val="00B66CD6"/>
    <w:rsid w:val="00B6798D"/>
    <w:rsid w:val="00B73DF3"/>
    <w:rsid w:val="00B97E45"/>
    <w:rsid w:val="00BA1328"/>
    <w:rsid w:val="00BC00A8"/>
    <w:rsid w:val="00BC2BAE"/>
    <w:rsid w:val="00BC4B75"/>
    <w:rsid w:val="00BC7F7A"/>
    <w:rsid w:val="00BE0B07"/>
    <w:rsid w:val="00BE3E23"/>
    <w:rsid w:val="00BE5665"/>
    <w:rsid w:val="00BF3412"/>
    <w:rsid w:val="00C11ECC"/>
    <w:rsid w:val="00C122BB"/>
    <w:rsid w:val="00C159B8"/>
    <w:rsid w:val="00C178F8"/>
    <w:rsid w:val="00C179DF"/>
    <w:rsid w:val="00C33BA7"/>
    <w:rsid w:val="00C37A3A"/>
    <w:rsid w:val="00C40DF7"/>
    <w:rsid w:val="00C433EE"/>
    <w:rsid w:val="00C616A4"/>
    <w:rsid w:val="00C6286A"/>
    <w:rsid w:val="00C65A19"/>
    <w:rsid w:val="00C810FB"/>
    <w:rsid w:val="00C83852"/>
    <w:rsid w:val="00C840A3"/>
    <w:rsid w:val="00C94803"/>
    <w:rsid w:val="00C96F90"/>
    <w:rsid w:val="00C97E9A"/>
    <w:rsid w:val="00CC0220"/>
    <w:rsid w:val="00CE113F"/>
    <w:rsid w:val="00CE64DE"/>
    <w:rsid w:val="00D14B49"/>
    <w:rsid w:val="00D17798"/>
    <w:rsid w:val="00D25733"/>
    <w:rsid w:val="00D277DA"/>
    <w:rsid w:val="00D30BB3"/>
    <w:rsid w:val="00D32D97"/>
    <w:rsid w:val="00D3629C"/>
    <w:rsid w:val="00D73BD8"/>
    <w:rsid w:val="00D763A0"/>
    <w:rsid w:val="00D76418"/>
    <w:rsid w:val="00DA29A1"/>
    <w:rsid w:val="00DA3EDB"/>
    <w:rsid w:val="00DB63F7"/>
    <w:rsid w:val="00DC47C4"/>
    <w:rsid w:val="00DF08C2"/>
    <w:rsid w:val="00DF7149"/>
    <w:rsid w:val="00DF7701"/>
    <w:rsid w:val="00E01FFD"/>
    <w:rsid w:val="00E14AD6"/>
    <w:rsid w:val="00E44B4D"/>
    <w:rsid w:val="00E538F9"/>
    <w:rsid w:val="00E64858"/>
    <w:rsid w:val="00E91C23"/>
    <w:rsid w:val="00EA5008"/>
    <w:rsid w:val="00EC038E"/>
    <w:rsid w:val="00ED5DB1"/>
    <w:rsid w:val="00EF7CA7"/>
    <w:rsid w:val="00F10827"/>
    <w:rsid w:val="00F133D9"/>
    <w:rsid w:val="00F467A0"/>
    <w:rsid w:val="00F5093D"/>
    <w:rsid w:val="00F623CE"/>
    <w:rsid w:val="00F63C92"/>
    <w:rsid w:val="00F65A66"/>
    <w:rsid w:val="00F70363"/>
    <w:rsid w:val="00F728FE"/>
    <w:rsid w:val="00F7314E"/>
    <w:rsid w:val="00FA563C"/>
    <w:rsid w:val="00FC0C1C"/>
    <w:rsid w:val="00FC4498"/>
    <w:rsid w:val="00FD14FD"/>
    <w:rsid w:val="00FD2C2A"/>
    <w:rsid w:val="00FF206D"/>
    <w:rsid w:val="00FF2163"/>
    <w:rsid w:val="00FF29C1"/>
    <w:rsid w:val="00FF7975"/>
    <w:rsid w:val="01110E06"/>
    <w:rsid w:val="01D772A3"/>
    <w:rsid w:val="01F27C77"/>
    <w:rsid w:val="02052A0B"/>
    <w:rsid w:val="02201428"/>
    <w:rsid w:val="023B5027"/>
    <w:rsid w:val="0248240F"/>
    <w:rsid w:val="024E222F"/>
    <w:rsid w:val="02675512"/>
    <w:rsid w:val="026E716C"/>
    <w:rsid w:val="02A2470A"/>
    <w:rsid w:val="02B65F06"/>
    <w:rsid w:val="02CD1577"/>
    <w:rsid w:val="02FB6A26"/>
    <w:rsid w:val="03120308"/>
    <w:rsid w:val="032248BA"/>
    <w:rsid w:val="037039DE"/>
    <w:rsid w:val="03771167"/>
    <w:rsid w:val="038E41B6"/>
    <w:rsid w:val="04054A2B"/>
    <w:rsid w:val="040E3166"/>
    <w:rsid w:val="041729A1"/>
    <w:rsid w:val="0438675C"/>
    <w:rsid w:val="046A0239"/>
    <w:rsid w:val="04FE4CEC"/>
    <w:rsid w:val="05036BC0"/>
    <w:rsid w:val="053D00B6"/>
    <w:rsid w:val="05C4650F"/>
    <w:rsid w:val="06030411"/>
    <w:rsid w:val="063A215A"/>
    <w:rsid w:val="06F60527"/>
    <w:rsid w:val="0702214E"/>
    <w:rsid w:val="07023B66"/>
    <w:rsid w:val="072221F1"/>
    <w:rsid w:val="07D17C7C"/>
    <w:rsid w:val="085975F7"/>
    <w:rsid w:val="086F58A5"/>
    <w:rsid w:val="08816622"/>
    <w:rsid w:val="089C4071"/>
    <w:rsid w:val="092B3D47"/>
    <w:rsid w:val="092F2FF0"/>
    <w:rsid w:val="093D1C53"/>
    <w:rsid w:val="09D669FD"/>
    <w:rsid w:val="09E337AF"/>
    <w:rsid w:val="0A1942F9"/>
    <w:rsid w:val="0A1E5F0A"/>
    <w:rsid w:val="0A3E2179"/>
    <w:rsid w:val="0A934D9E"/>
    <w:rsid w:val="0A9A5D3D"/>
    <w:rsid w:val="0A9B67F9"/>
    <w:rsid w:val="0ABD3BCC"/>
    <w:rsid w:val="0AFE4389"/>
    <w:rsid w:val="0B0978FC"/>
    <w:rsid w:val="0B15582D"/>
    <w:rsid w:val="0B2E5EC4"/>
    <w:rsid w:val="0B6364EE"/>
    <w:rsid w:val="0B8D3B33"/>
    <w:rsid w:val="0BAF573C"/>
    <w:rsid w:val="0BF0362D"/>
    <w:rsid w:val="0BF37F40"/>
    <w:rsid w:val="0C057449"/>
    <w:rsid w:val="0C3D510A"/>
    <w:rsid w:val="0C9234A9"/>
    <w:rsid w:val="0C9E0D95"/>
    <w:rsid w:val="0CDB2A0A"/>
    <w:rsid w:val="0D29260D"/>
    <w:rsid w:val="0D8F1F77"/>
    <w:rsid w:val="0DAD65D8"/>
    <w:rsid w:val="0DD731FC"/>
    <w:rsid w:val="0DF37423"/>
    <w:rsid w:val="0DFF582A"/>
    <w:rsid w:val="0E0C2AFD"/>
    <w:rsid w:val="0E0E47F0"/>
    <w:rsid w:val="0E121D9A"/>
    <w:rsid w:val="0E21310F"/>
    <w:rsid w:val="0E3B7750"/>
    <w:rsid w:val="0E727819"/>
    <w:rsid w:val="0E7A66D6"/>
    <w:rsid w:val="0EA744AE"/>
    <w:rsid w:val="0EAB77A0"/>
    <w:rsid w:val="0ED5142C"/>
    <w:rsid w:val="0EEE2758"/>
    <w:rsid w:val="0F1C38A1"/>
    <w:rsid w:val="0F540BFC"/>
    <w:rsid w:val="0F5E1E20"/>
    <w:rsid w:val="0FCE6FEC"/>
    <w:rsid w:val="100867EA"/>
    <w:rsid w:val="10660739"/>
    <w:rsid w:val="106F11B4"/>
    <w:rsid w:val="10783A86"/>
    <w:rsid w:val="10BD4BB5"/>
    <w:rsid w:val="10CC1D6A"/>
    <w:rsid w:val="10CF1CAA"/>
    <w:rsid w:val="110A150E"/>
    <w:rsid w:val="111E3BBB"/>
    <w:rsid w:val="115660BF"/>
    <w:rsid w:val="11596574"/>
    <w:rsid w:val="11AD7E33"/>
    <w:rsid w:val="11E70DCC"/>
    <w:rsid w:val="123021D6"/>
    <w:rsid w:val="12721834"/>
    <w:rsid w:val="129D4EC1"/>
    <w:rsid w:val="12B85C88"/>
    <w:rsid w:val="1306646C"/>
    <w:rsid w:val="13396B15"/>
    <w:rsid w:val="13724422"/>
    <w:rsid w:val="139643B4"/>
    <w:rsid w:val="13D17EE1"/>
    <w:rsid w:val="141B4934"/>
    <w:rsid w:val="14216B57"/>
    <w:rsid w:val="1487448F"/>
    <w:rsid w:val="14B67BFC"/>
    <w:rsid w:val="14E36CEF"/>
    <w:rsid w:val="15691448"/>
    <w:rsid w:val="157B5D24"/>
    <w:rsid w:val="15915822"/>
    <w:rsid w:val="15993788"/>
    <w:rsid w:val="15BE121B"/>
    <w:rsid w:val="16180A85"/>
    <w:rsid w:val="16594C62"/>
    <w:rsid w:val="16DA63EA"/>
    <w:rsid w:val="1744502D"/>
    <w:rsid w:val="17A72250"/>
    <w:rsid w:val="17A93E41"/>
    <w:rsid w:val="17E04FBA"/>
    <w:rsid w:val="17E7645E"/>
    <w:rsid w:val="181513AA"/>
    <w:rsid w:val="188C2F9B"/>
    <w:rsid w:val="189916D9"/>
    <w:rsid w:val="18EC0846"/>
    <w:rsid w:val="18F7484A"/>
    <w:rsid w:val="18FF026F"/>
    <w:rsid w:val="191A476F"/>
    <w:rsid w:val="19376D41"/>
    <w:rsid w:val="195A7B34"/>
    <w:rsid w:val="1998712F"/>
    <w:rsid w:val="19C373F7"/>
    <w:rsid w:val="19D065B2"/>
    <w:rsid w:val="1A031C47"/>
    <w:rsid w:val="1A156060"/>
    <w:rsid w:val="1A4A02D3"/>
    <w:rsid w:val="1AD86972"/>
    <w:rsid w:val="1AEB1DF7"/>
    <w:rsid w:val="1B2120AC"/>
    <w:rsid w:val="1BC36646"/>
    <w:rsid w:val="1BC715E8"/>
    <w:rsid w:val="1BD22DFA"/>
    <w:rsid w:val="1BD9428A"/>
    <w:rsid w:val="1BF51208"/>
    <w:rsid w:val="1C514673"/>
    <w:rsid w:val="1C6B0F54"/>
    <w:rsid w:val="1C8708CB"/>
    <w:rsid w:val="1C9D5B1D"/>
    <w:rsid w:val="1CEC79F8"/>
    <w:rsid w:val="1D3C3646"/>
    <w:rsid w:val="1DD90759"/>
    <w:rsid w:val="1DEA6025"/>
    <w:rsid w:val="1E116D0E"/>
    <w:rsid w:val="1F2F403B"/>
    <w:rsid w:val="1F522A7D"/>
    <w:rsid w:val="1F7719B8"/>
    <w:rsid w:val="1FCC3593"/>
    <w:rsid w:val="20352E2A"/>
    <w:rsid w:val="20497170"/>
    <w:rsid w:val="20562365"/>
    <w:rsid w:val="20D3484E"/>
    <w:rsid w:val="20D47DB9"/>
    <w:rsid w:val="212B57FE"/>
    <w:rsid w:val="21870621"/>
    <w:rsid w:val="21B467FE"/>
    <w:rsid w:val="21C31062"/>
    <w:rsid w:val="21FB5EC6"/>
    <w:rsid w:val="22245AE8"/>
    <w:rsid w:val="227D5178"/>
    <w:rsid w:val="228251F5"/>
    <w:rsid w:val="22BC2C2B"/>
    <w:rsid w:val="22C20631"/>
    <w:rsid w:val="23536CFF"/>
    <w:rsid w:val="23ED5BF9"/>
    <w:rsid w:val="24253A31"/>
    <w:rsid w:val="244F0613"/>
    <w:rsid w:val="245453D0"/>
    <w:rsid w:val="253C3A6C"/>
    <w:rsid w:val="257F7140"/>
    <w:rsid w:val="258F4524"/>
    <w:rsid w:val="25D964E6"/>
    <w:rsid w:val="26206288"/>
    <w:rsid w:val="267C4723"/>
    <w:rsid w:val="26825152"/>
    <w:rsid w:val="268E0AD7"/>
    <w:rsid w:val="26C24EE1"/>
    <w:rsid w:val="26FD2231"/>
    <w:rsid w:val="271D34AE"/>
    <w:rsid w:val="2736620A"/>
    <w:rsid w:val="27603D51"/>
    <w:rsid w:val="277C52F1"/>
    <w:rsid w:val="27AE535B"/>
    <w:rsid w:val="27B6132B"/>
    <w:rsid w:val="27C41A8F"/>
    <w:rsid w:val="27F01DF4"/>
    <w:rsid w:val="289A661F"/>
    <w:rsid w:val="28C84107"/>
    <w:rsid w:val="29047AD9"/>
    <w:rsid w:val="292B2876"/>
    <w:rsid w:val="29314F76"/>
    <w:rsid w:val="29AA0784"/>
    <w:rsid w:val="29C32496"/>
    <w:rsid w:val="29D827B0"/>
    <w:rsid w:val="29D90988"/>
    <w:rsid w:val="29EF08CA"/>
    <w:rsid w:val="2A2D6002"/>
    <w:rsid w:val="2A3C2B26"/>
    <w:rsid w:val="2A85071B"/>
    <w:rsid w:val="2A872837"/>
    <w:rsid w:val="2ADB6607"/>
    <w:rsid w:val="2AF730EF"/>
    <w:rsid w:val="2B0954B0"/>
    <w:rsid w:val="2B15284B"/>
    <w:rsid w:val="2B247616"/>
    <w:rsid w:val="2B2926C1"/>
    <w:rsid w:val="2B351489"/>
    <w:rsid w:val="2B3F2BE0"/>
    <w:rsid w:val="2B661A55"/>
    <w:rsid w:val="2B803644"/>
    <w:rsid w:val="2B967A5F"/>
    <w:rsid w:val="2BE85CD5"/>
    <w:rsid w:val="2BF47537"/>
    <w:rsid w:val="2C1E5300"/>
    <w:rsid w:val="2C41373D"/>
    <w:rsid w:val="2C4338B1"/>
    <w:rsid w:val="2C5F1A17"/>
    <w:rsid w:val="2C7E4129"/>
    <w:rsid w:val="2CAC4621"/>
    <w:rsid w:val="2CBD63FA"/>
    <w:rsid w:val="2CC262CE"/>
    <w:rsid w:val="2D92187C"/>
    <w:rsid w:val="2DA53C82"/>
    <w:rsid w:val="2DBB7F08"/>
    <w:rsid w:val="2E4C12F6"/>
    <w:rsid w:val="2E666495"/>
    <w:rsid w:val="2E674F90"/>
    <w:rsid w:val="2E9E04DF"/>
    <w:rsid w:val="2EDF2A3C"/>
    <w:rsid w:val="2EF13C96"/>
    <w:rsid w:val="2F2307EC"/>
    <w:rsid w:val="2F2E5819"/>
    <w:rsid w:val="2F561AB2"/>
    <w:rsid w:val="2F8B1FAF"/>
    <w:rsid w:val="30033829"/>
    <w:rsid w:val="300A19BE"/>
    <w:rsid w:val="302D0111"/>
    <w:rsid w:val="303323D8"/>
    <w:rsid w:val="30531075"/>
    <w:rsid w:val="30721749"/>
    <w:rsid w:val="307655A9"/>
    <w:rsid w:val="309C5159"/>
    <w:rsid w:val="30BB211F"/>
    <w:rsid w:val="30F34025"/>
    <w:rsid w:val="310F08BA"/>
    <w:rsid w:val="317923F6"/>
    <w:rsid w:val="318B12BC"/>
    <w:rsid w:val="31A6072E"/>
    <w:rsid w:val="31A815F8"/>
    <w:rsid w:val="31B10DB3"/>
    <w:rsid w:val="31D315D8"/>
    <w:rsid w:val="31D7165E"/>
    <w:rsid w:val="320D00ED"/>
    <w:rsid w:val="32712CB1"/>
    <w:rsid w:val="33307ACF"/>
    <w:rsid w:val="335A1BCF"/>
    <w:rsid w:val="33821842"/>
    <w:rsid w:val="33C24013"/>
    <w:rsid w:val="33CD78A4"/>
    <w:rsid w:val="33D134FA"/>
    <w:rsid w:val="350267A3"/>
    <w:rsid w:val="352A4911"/>
    <w:rsid w:val="3543129D"/>
    <w:rsid w:val="35AF338A"/>
    <w:rsid w:val="35BD057A"/>
    <w:rsid w:val="364411F3"/>
    <w:rsid w:val="365C3261"/>
    <w:rsid w:val="368552C1"/>
    <w:rsid w:val="36E118CF"/>
    <w:rsid w:val="37321611"/>
    <w:rsid w:val="37891E0E"/>
    <w:rsid w:val="37BB35DF"/>
    <w:rsid w:val="382F4F00"/>
    <w:rsid w:val="38EF58A0"/>
    <w:rsid w:val="38F81758"/>
    <w:rsid w:val="39C11B0C"/>
    <w:rsid w:val="39C522F1"/>
    <w:rsid w:val="3A211E8A"/>
    <w:rsid w:val="3A426B31"/>
    <w:rsid w:val="3A495FB5"/>
    <w:rsid w:val="3A6148EB"/>
    <w:rsid w:val="3B5102FE"/>
    <w:rsid w:val="3B6454B1"/>
    <w:rsid w:val="3B651539"/>
    <w:rsid w:val="3B81545F"/>
    <w:rsid w:val="3BD17AE7"/>
    <w:rsid w:val="3BFC0F79"/>
    <w:rsid w:val="3C0A747E"/>
    <w:rsid w:val="3C0F2C7B"/>
    <w:rsid w:val="3C1079DE"/>
    <w:rsid w:val="3C1C3F63"/>
    <w:rsid w:val="3C416BDA"/>
    <w:rsid w:val="3D072998"/>
    <w:rsid w:val="3D4959F7"/>
    <w:rsid w:val="3D8E194A"/>
    <w:rsid w:val="3DB27522"/>
    <w:rsid w:val="3DC208D7"/>
    <w:rsid w:val="3E0811A4"/>
    <w:rsid w:val="3E692422"/>
    <w:rsid w:val="3E9D334D"/>
    <w:rsid w:val="3EB21143"/>
    <w:rsid w:val="3ECE18DE"/>
    <w:rsid w:val="3ECF777D"/>
    <w:rsid w:val="3ED830C1"/>
    <w:rsid w:val="3F015D53"/>
    <w:rsid w:val="3F5F5B0A"/>
    <w:rsid w:val="3F6E75BE"/>
    <w:rsid w:val="3F6F3B4F"/>
    <w:rsid w:val="3F7A3DFA"/>
    <w:rsid w:val="3FD225D7"/>
    <w:rsid w:val="3FED5807"/>
    <w:rsid w:val="3FF3302E"/>
    <w:rsid w:val="40A77301"/>
    <w:rsid w:val="41243D95"/>
    <w:rsid w:val="41380022"/>
    <w:rsid w:val="413A779B"/>
    <w:rsid w:val="414D65C2"/>
    <w:rsid w:val="419D59EE"/>
    <w:rsid w:val="41CD1F19"/>
    <w:rsid w:val="41F91632"/>
    <w:rsid w:val="420B640A"/>
    <w:rsid w:val="4246277F"/>
    <w:rsid w:val="42525B4F"/>
    <w:rsid w:val="426C6E2F"/>
    <w:rsid w:val="426E0393"/>
    <w:rsid w:val="42756582"/>
    <w:rsid w:val="43074B6B"/>
    <w:rsid w:val="431427AA"/>
    <w:rsid w:val="433E69F9"/>
    <w:rsid w:val="43592661"/>
    <w:rsid w:val="43C37AB0"/>
    <w:rsid w:val="43C5413E"/>
    <w:rsid w:val="43D73B50"/>
    <w:rsid w:val="43FC4765"/>
    <w:rsid w:val="4413719D"/>
    <w:rsid w:val="44190BF7"/>
    <w:rsid w:val="44563766"/>
    <w:rsid w:val="4473656A"/>
    <w:rsid w:val="447E5AB4"/>
    <w:rsid w:val="44D14757"/>
    <w:rsid w:val="44E86CB8"/>
    <w:rsid w:val="44EC4145"/>
    <w:rsid w:val="44F53618"/>
    <w:rsid w:val="44FD16E5"/>
    <w:rsid w:val="46262A9C"/>
    <w:rsid w:val="4634113C"/>
    <w:rsid w:val="465C610C"/>
    <w:rsid w:val="46A20458"/>
    <w:rsid w:val="46E031D8"/>
    <w:rsid w:val="46E061F1"/>
    <w:rsid w:val="46E74935"/>
    <w:rsid w:val="46E813ED"/>
    <w:rsid w:val="47361C65"/>
    <w:rsid w:val="47544683"/>
    <w:rsid w:val="47645B43"/>
    <w:rsid w:val="47C759B2"/>
    <w:rsid w:val="47F0273E"/>
    <w:rsid w:val="47FA0320"/>
    <w:rsid w:val="48400915"/>
    <w:rsid w:val="48651BCD"/>
    <w:rsid w:val="487E013D"/>
    <w:rsid w:val="493F1D69"/>
    <w:rsid w:val="494E3A1D"/>
    <w:rsid w:val="49AA59B2"/>
    <w:rsid w:val="4A0F57C3"/>
    <w:rsid w:val="4A4A286B"/>
    <w:rsid w:val="4A8376CF"/>
    <w:rsid w:val="4AB11443"/>
    <w:rsid w:val="4B157C35"/>
    <w:rsid w:val="4B8D7C37"/>
    <w:rsid w:val="4BEC39C9"/>
    <w:rsid w:val="4BF47C24"/>
    <w:rsid w:val="4BFF06A6"/>
    <w:rsid w:val="4C23524A"/>
    <w:rsid w:val="4C3C0DAF"/>
    <w:rsid w:val="4C563314"/>
    <w:rsid w:val="4C635831"/>
    <w:rsid w:val="4C9301B2"/>
    <w:rsid w:val="4D3B6DAA"/>
    <w:rsid w:val="4D687814"/>
    <w:rsid w:val="4D7067C3"/>
    <w:rsid w:val="4D7F5C38"/>
    <w:rsid w:val="4DB70212"/>
    <w:rsid w:val="4DBC24D9"/>
    <w:rsid w:val="4DBF68C1"/>
    <w:rsid w:val="4DCB073B"/>
    <w:rsid w:val="4E5E1C79"/>
    <w:rsid w:val="4E630C40"/>
    <w:rsid w:val="4ECC0A63"/>
    <w:rsid w:val="4ED11A46"/>
    <w:rsid w:val="4ED350C1"/>
    <w:rsid w:val="4F2B024A"/>
    <w:rsid w:val="4F3344B5"/>
    <w:rsid w:val="4F4C3A53"/>
    <w:rsid w:val="4F760AE0"/>
    <w:rsid w:val="4FB66C61"/>
    <w:rsid w:val="502450E7"/>
    <w:rsid w:val="502B6460"/>
    <w:rsid w:val="502D6CF6"/>
    <w:rsid w:val="50583DB2"/>
    <w:rsid w:val="50673B5C"/>
    <w:rsid w:val="50760C36"/>
    <w:rsid w:val="50982913"/>
    <w:rsid w:val="50CE42A9"/>
    <w:rsid w:val="50DF6033"/>
    <w:rsid w:val="510420F7"/>
    <w:rsid w:val="514B43E3"/>
    <w:rsid w:val="51567631"/>
    <w:rsid w:val="5162639F"/>
    <w:rsid w:val="51AA21BB"/>
    <w:rsid w:val="51F66CD0"/>
    <w:rsid w:val="522846C4"/>
    <w:rsid w:val="52AC49F5"/>
    <w:rsid w:val="52AD4347"/>
    <w:rsid w:val="52CA2BF0"/>
    <w:rsid w:val="53021B29"/>
    <w:rsid w:val="5325513A"/>
    <w:rsid w:val="53FC307D"/>
    <w:rsid w:val="54151BF2"/>
    <w:rsid w:val="54153A4D"/>
    <w:rsid w:val="54A93422"/>
    <w:rsid w:val="54B70268"/>
    <w:rsid w:val="54BE34EB"/>
    <w:rsid w:val="555979C7"/>
    <w:rsid w:val="55643B7D"/>
    <w:rsid w:val="55A6717A"/>
    <w:rsid w:val="55CD0C94"/>
    <w:rsid w:val="55E910B6"/>
    <w:rsid w:val="55F64876"/>
    <w:rsid w:val="55F877EC"/>
    <w:rsid w:val="55F940B7"/>
    <w:rsid w:val="55FD470E"/>
    <w:rsid w:val="563655E8"/>
    <w:rsid w:val="56365C2E"/>
    <w:rsid w:val="56770197"/>
    <w:rsid w:val="56D87421"/>
    <w:rsid w:val="57025219"/>
    <w:rsid w:val="571A030C"/>
    <w:rsid w:val="574040F3"/>
    <w:rsid w:val="57690E4F"/>
    <w:rsid w:val="57A42ECB"/>
    <w:rsid w:val="57B02BD0"/>
    <w:rsid w:val="57B45167"/>
    <w:rsid w:val="57CD08A3"/>
    <w:rsid w:val="57F51D84"/>
    <w:rsid w:val="57F60E39"/>
    <w:rsid w:val="5808336B"/>
    <w:rsid w:val="583E5434"/>
    <w:rsid w:val="58AD2E24"/>
    <w:rsid w:val="58F75018"/>
    <w:rsid w:val="58F87A38"/>
    <w:rsid w:val="593F4BEA"/>
    <w:rsid w:val="5948761B"/>
    <w:rsid w:val="59591EC0"/>
    <w:rsid w:val="595D1FDE"/>
    <w:rsid w:val="59B53395"/>
    <w:rsid w:val="5A1A2C4A"/>
    <w:rsid w:val="5A4A12C4"/>
    <w:rsid w:val="5A5574BB"/>
    <w:rsid w:val="5AF01F35"/>
    <w:rsid w:val="5BB2634E"/>
    <w:rsid w:val="5BB31251"/>
    <w:rsid w:val="5BC04523"/>
    <w:rsid w:val="5BC97DE9"/>
    <w:rsid w:val="5BF279CB"/>
    <w:rsid w:val="5C244811"/>
    <w:rsid w:val="5C671D5D"/>
    <w:rsid w:val="5C780D81"/>
    <w:rsid w:val="5C7A4359"/>
    <w:rsid w:val="5C7E21C5"/>
    <w:rsid w:val="5C891CFD"/>
    <w:rsid w:val="5CD449CD"/>
    <w:rsid w:val="5D2819EB"/>
    <w:rsid w:val="5D6E22AC"/>
    <w:rsid w:val="5D6E6F7A"/>
    <w:rsid w:val="5D80529C"/>
    <w:rsid w:val="5D99050D"/>
    <w:rsid w:val="5EB64D5F"/>
    <w:rsid w:val="5EFC3C5C"/>
    <w:rsid w:val="5F2556F8"/>
    <w:rsid w:val="5F5F6638"/>
    <w:rsid w:val="5F7E77E2"/>
    <w:rsid w:val="5F851A81"/>
    <w:rsid w:val="5FAA7F21"/>
    <w:rsid w:val="5FCE152B"/>
    <w:rsid w:val="5FE734D1"/>
    <w:rsid w:val="60182510"/>
    <w:rsid w:val="60527275"/>
    <w:rsid w:val="6057500D"/>
    <w:rsid w:val="60C50406"/>
    <w:rsid w:val="60D04FFB"/>
    <w:rsid w:val="60E503A6"/>
    <w:rsid w:val="60F74E51"/>
    <w:rsid w:val="61335E3E"/>
    <w:rsid w:val="61517B3C"/>
    <w:rsid w:val="615F4317"/>
    <w:rsid w:val="61827B47"/>
    <w:rsid w:val="61CE2D22"/>
    <w:rsid w:val="62263F49"/>
    <w:rsid w:val="62322573"/>
    <w:rsid w:val="624278F8"/>
    <w:rsid w:val="625C5240"/>
    <w:rsid w:val="62664464"/>
    <w:rsid w:val="62727B75"/>
    <w:rsid w:val="62AE4AA8"/>
    <w:rsid w:val="62B33161"/>
    <w:rsid w:val="62CA6F4A"/>
    <w:rsid w:val="62E12F1D"/>
    <w:rsid w:val="62E719F2"/>
    <w:rsid w:val="631471BD"/>
    <w:rsid w:val="63160605"/>
    <w:rsid w:val="63181161"/>
    <w:rsid w:val="6331469C"/>
    <w:rsid w:val="63583687"/>
    <w:rsid w:val="63613B44"/>
    <w:rsid w:val="638C029E"/>
    <w:rsid w:val="63BF2AA4"/>
    <w:rsid w:val="63D40918"/>
    <w:rsid w:val="640B2828"/>
    <w:rsid w:val="6452759F"/>
    <w:rsid w:val="646739E2"/>
    <w:rsid w:val="649912BB"/>
    <w:rsid w:val="64BA0FFC"/>
    <w:rsid w:val="64BC309B"/>
    <w:rsid w:val="64F8178D"/>
    <w:rsid w:val="6585150E"/>
    <w:rsid w:val="65A07268"/>
    <w:rsid w:val="65A15117"/>
    <w:rsid w:val="66222AF8"/>
    <w:rsid w:val="66A51161"/>
    <w:rsid w:val="66D654FF"/>
    <w:rsid w:val="6714676C"/>
    <w:rsid w:val="6738785E"/>
    <w:rsid w:val="6739377F"/>
    <w:rsid w:val="67587940"/>
    <w:rsid w:val="67A105DD"/>
    <w:rsid w:val="67C44765"/>
    <w:rsid w:val="680E7CB8"/>
    <w:rsid w:val="6818556C"/>
    <w:rsid w:val="68320C02"/>
    <w:rsid w:val="684C04C9"/>
    <w:rsid w:val="6865398A"/>
    <w:rsid w:val="68961081"/>
    <w:rsid w:val="68A83129"/>
    <w:rsid w:val="69304EBD"/>
    <w:rsid w:val="698B26D6"/>
    <w:rsid w:val="6AA03F4E"/>
    <w:rsid w:val="6AA131C3"/>
    <w:rsid w:val="6AE65093"/>
    <w:rsid w:val="6AF9501A"/>
    <w:rsid w:val="6BC81A9A"/>
    <w:rsid w:val="6BD95B85"/>
    <w:rsid w:val="6C6F2C78"/>
    <w:rsid w:val="6CA44DB8"/>
    <w:rsid w:val="6CC62C2C"/>
    <w:rsid w:val="6D214955"/>
    <w:rsid w:val="6D531591"/>
    <w:rsid w:val="6D612FC0"/>
    <w:rsid w:val="6D8C58BE"/>
    <w:rsid w:val="6DA46001"/>
    <w:rsid w:val="6DC67B27"/>
    <w:rsid w:val="6DF061FC"/>
    <w:rsid w:val="6E0154FC"/>
    <w:rsid w:val="6E077A4C"/>
    <w:rsid w:val="6E3B57BA"/>
    <w:rsid w:val="6E8E266D"/>
    <w:rsid w:val="6E974D6D"/>
    <w:rsid w:val="6EDF1AD6"/>
    <w:rsid w:val="6EE87BEA"/>
    <w:rsid w:val="6F2464EF"/>
    <w:rsid w:val="6F2C3765"/>
    <w:rsid w:val="6F493831"/>
    <w:rsid w:val="6FB1341C"/>
    <w:rsid w:val="6FEE322F"/>
    <w:rsid w:val="6FF66BEA"/>
    <w:rsid w:val="70091062"/>
    <w:rsid w:val="701F1EAD"/>
    <w:rsid w:val="703D225F"/>
    <w:rsid w:val="703D63C3"/>
    <w:rsid w:val="70670CD0"/>
    <w:rsid w:val="708D192A"/>
    <w:rsid w:val="70A214DF"/>
    <w:rsid w:val="70A57467"/>
    <w:rsid w:val="70AB74CF"/>
    <w:rsid w:val="70D45145"/>
    <w:rsid w:val="71324EEC"/>
    <w:rsid w:val="715044D6"/>
    <w:rsid w:val="71545E1B"/>
    <w:rsid w:val="71C15203"/>
    <w:rsid w:val="720E7838"/>
    <w:rsid w:val="721141D7"/>
    <w:rsid w:val="72A43286"/>
    <w:rsid w:val="730208D7"/>
    <w:rsid w:val="734003CF"/>
    <w:rsid w:val="736B1B21"/>
    <w:rsid w:val="737208A4"/>
    <w:rsid w:val="739A5F82"/>
    <w:rsid w:val="73CE3686"/>
    <w:rsid w:val="73D535AF"/>
    <w:rsid w:val="7401295D"/>
    <w:rsid w:val="743D795A"/>
    <w:rsid w:val="744B3786"/>
    <w:rsid w:val="74A9359E"/>
    <w:rsid w:val="75224721"/>
    <w:rsid w:val="753A5F97"/>
    <w:rsid w:val="75585125"/>
    <w:rsid w:val="755C4181"/>
    <w:rsid w:val="75B2499D"/>
    <w:rsid w:val="75DC41A0"/>
    <w:rsid w:val="761652A6"/>
    <w:rsid w:val="76260B07"/>
    <w:rsid w:val="76634335"/>
    <w:rsid w:val="76647B87"/>
    <w:rsid w:val="7668193E"/>
    <w:rsid w:val="767D01C7"/>
    <w:rsid w:val="768B52C6"/>
    <w:rsid w:val="769E1B2E"/>
    <w:rsid w:val="76A907DA"/>
    <w:rsid w:val="76B10C5B"/>
    <w:rsid w:val="76B11FB5"/>
    <w:rsid w:val="76DC63F8"/>
    <w:rsid w:val="76ED7C5E"/>
    <w:rsid w:val="770B193F"/>
    <w:rsid w:val="77406F97"/>
    <w:rsid w:val="77486AE3"/>
    <w:rsid w:val="776F6B45"/>
    <w:rsid w:val="77705083"/>
    <w:rsid w:val="77DB7F41"/>
    <w:rsid w:val="77FF5915"/>
    <w:rsid w:val="789229CA"/>
    <w:rsid w:val="78F345D6"/>
    <w:rsid w:val="78FE3063"/>
    <w:rsid w:val="79D544BA"/>
    <w:rsid w:val="79F8658C"/>
    <w:rsid w:val="79FB71AC"/>
    <w:rsid w:val="7A214813"/>
    <w:rsid w:val="7AB26B4D"/>
    <w:rsid w:val="7AB36004"/>
    <w:rsid w:val="7ACA7F25"/>
    <w:rsid w:val="7AED79A0"/>
    <w:rsid w:val="7B070F47"/>
    <w:rsid w:val="7B093FED"/>
    <w:rsid w:val="7B291D9A"/>
    <w:rsid w:val="7BA95364"/>
    <w:rsid w:val="7BB327A5"/>
    <w:rsid w:val="7BD357BA"/>
    <w:rsid w:val="7BD83FC3"/>
    <w:rsid w:val="7C852914"/>
    <w:rsid w:val="7D0509A8"/>
    <w:rsid w:val="7D631935"/>
    <w:rsid w:val="7D7B4CC5"/>
    <w:rsid w:val="7DBA3498"/>
    <w:rsid w:val="7DBF6AD2"/>
    <w:rsid w:val="7E2A0B97"/>
    <w:rsid w:val="7E8D6272"/>
    <w:rsid w:val="7EA102C3"/>
    <w:rsid w:val="7EA212D2"/>
    <w:rsid w:val="7EAD5D01"/>
    <w:rsid w:val="7EDD1569"/>
    <w:rsid w:val="7F125C1D"/>
    <w:rsid w:val="7F3823CC"/>
    <w:rsid w:val="7F437605"/>
    <w:rsid w:val="7F7E5012"/>
    <w:rsid w:val="7F927D39"/>
    <w:rsid w:val="7FC338D5"/>
    <w:rsid w:val="7FEF033A"/>
    <w:rsid w:val="7FFE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5"/>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64"/>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3"/>
    <w:qFormat/>
    <w:uiPriority w:val="99"/>
    <w:pPr>
      <w:tabs>
        <w:tab w:val="center" w:pos="4153"/>
        <w:tab w:val="right" w:pos="8306"/>
      </w:tabs>
      <w:snapToGrid w:val="0"/>
      <w:jc w:val="left"/>
    </w:pPr>
    <w:rPr>
      <w:rFonts w:ascii="Times New Roman"/>
      <w:kern w:val="2"/>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spacing w:line="580" w:lineRule="exact"/>
    </w:pPr>
    <w:rPr>
      <w:rFonts w:ascii="黑体" w:hAnsi="宋体" w:eastAsia="黑体" w:cs="TimesNewRomanPSMT"/>
    </w:rPr>
  </w:style>
  <w:style w:type="paragraph" w:styleId="25">
    <w:name w:val="footnote text"/>
    <w:basedOn w:val="1"/>
    <w:qFormat/>
    <w:uiPriority w:val="0"/>
    <w:pPr>
      <w:snapToGrid w:val="0"/>
      <w:jc w:val="left"/>
    </w:pPr>
    <w:rPr>
      <w:sz w:val="18"/>
      <w:szCs w:val="18"/>
    </w:rPr>
  </w:style>
  <w:style w:type="paragraph" w:styleId="26">
    <w:name w:val="Body Text Indent 3"/>
    <w:basedOn w:val="1"/>
    <w:qFormat/>
    <w:uiPriority w:val="0"/>
    <w:pPr>
      <w:ind w:firstLine="420" w:firstLineChars="200"/>
    </w:pPr>
    <w:rPr>
      <w:rFonts w:hAnsi="宋体"/>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28">
    <w:name w:val="Normal (Web)"/>
    <w:basedOn w:val="1"/>
    <w:qFormat/>
    <w:uiPriority w:val="99"/>
    <w:pPr>
      <w:widowControl/>
      <w:spacing w:before="100" w:beforeAutospacing="1" w:after="100" w:afterAutospacing="1"/>
      <w:jc w:val="left"/>
    </w:pPr>
    <w:rPr>
      <w:rFonts w:hAnsi="宋体" w:cs="宋体"/>
      <w:sz w:val="24"/>
    </w:rPr>
  </w:style>
  <w:style w:type="paragraph" w:styleId="29">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qFormat/>
    <w:uiPriority w:val="0"/>
    <w:rPr>
      <w:color w:val="000000"/>
      <w:u w:val="none"/>
    </w:rPr>
  </w:style>
  <w:style w:type="character" w:styleId="36">
    <w:name w:val="Emphasis"/>
    <w:basedOn w:val="32"/>
    <w:qFormat/>
    <w:uiPriority w:val="0"/>
  </w:style>
  <w:style w:type="character" w:styleId="37">
    <w:name w:val="Hyperlink"/>
    <w:basedOn w:val="32"/>
    <w:qFormat/>
    <w:uiPriority w:val="99"/>
    <w:rPr>
      <w:color w:val="000000"/>
      <w:u w:val="none"/>
    </w:rPr>
  </w:style>
  <w:style w:type="character" w:styleId="38">
    <w:name w:val="footnote reference"/>
    <w:qFormat/>
    <w:uiPriority w:val="0"/>
    <w:rPr>
      <w:vertAlign w:val="superscript"/>
    </w:rPr>
  </w:style>
  <w:style w:type="character" w:customStyle="1" w:styleId="39">
    <w:name w:val="blue"/>
    <w:basedOn w:val="32"/>
    <w:qFormat/>
    <w:uiPriority w:val="0"/>
    <w:rPr>
      <w:color w:val="0371C6"/>
      <w:sz w:val="21"/>
      <w:szCs w:val="21"/>
    </w:rPr>
  </w:style>
  <w:style w:type="character" w:customStyle="1" w:styleId="40">
    <w:name w:val="up"/>
    <w:basedOn w:val="32"/>
    <w:qFormat/>
    <w:uiPriority w:val="0"/>
  </w:style>
  <w:style w:type="character" w:customStyle="1" w:styleId="41">
    <w:name w:val="lsr"/>
    <w:basedOn w:val="32"/>
    <w:qFormat/>
    <w:uiPriority w:val="0"/>
  </w:style>
  <w:style w:type="character" w:customStyle="1" w:styleId="42">
    <w:name w:val="down"/>
    <w:qFormat/>
    <w:uiPriority w:val="0"/>
    <w:rPr>
      <w:shd w:val="clear" w:color="auto" w:fill="DAEEF9"/>
    </w:rPr>
  </w:style>
  <w:style w:type="character" w:customStyle="1" w:styleId="43">
    <w:name w:val="页脚 Char"/>
    <w:link w:val="22"/>
    <w:qFormat/>
    <w:uiPriority w:val="99"/>
    <w:rPr>
      <w:kern w:val="2"/>
      <w:sz w:val="18"/>
      <w:szCs w:val="18"/>
    </w:rPr>
  </w:style>
  <w:style w:type="character" w:customStyle="1" w:styleId="44">
    <w:name w:val="down1"/>
    <w:basedOn w:val="32"/>
    <w:qFormat/>
    <w:uiPriority w:val="0"/>
    <w:rPr>
      <w:shd w:val="clear" w:color="auto" w:fill="DAEEF9"/>
    </w:rPr>
  </w:style>
  <w:style w:type="character" w:customStyle="1" w:styleId="45">
    <w:name w:val="textcontents"/>
    <w:basedOn w:val="32"/>
    <w:qFormat/>
    <w:uiPriority w:val="0"/>
  </w:style>
  <w:style w:type="character" w:customStyle="1" w:styleId="46">
    <w:name w:val="green1"/>
    <w:basedOn w:val="32"/>
    <w:qFormat/>
    <w:uiPriority w:val="0"/>
    <w:rPr>
      <w:color w:val="66AE00"/>
      <w:sz w:val="18"/>
      <w:szCs w:val="18"/>
    </w:rPr>
  </w:style>
  <w:style w:type="character" w:customStyle="1" w:styleId="47">
    <w:name w:val="sl"/>
    <w:basedOn w:val="32"/>
    <w:qFormat/>
    <w:uiPriority w:val="0"/>
  </w:style>
  <w:style w:type="character" w:customStyle="1" w:styleId="48">
    <w:name w:val="cpb"/>
    <w:qFormat/>
    <w:uiPriority w:val="0"/>
    <w:rPr>
      <w:color w:val="FFFFFF"/>
    </w:rPr>
  </w:style>
  <w:style w:type="character" w:customStyle="1" w:styleId="49">
    <w:name w:val="apple-converted-space"/>
    <w:basedOn w:val="32"/>
    <w:qFormat/>
    <w:uiPriority w:val="0"/>
  </w:style>
  <w:style w:type="character" w:customStyle="1" w:styleId="50">
    <w:name w:val="正文首行缩进 Char"/>
    <w:basedOn w:val="32"/>
    <w:link w:val="2"/>
    <w:qFormat/>
    <w:uiPriority w:val="99"/>
    <w:rPr>
      <w:rFonts w:ascii="宋体"/>
      <w:sz w:val="34"/>
    </w:rPr>
  </w:style>
  <w:style w:type="character" w:customStyle="1" w:styleId="51">
    <w:name w:val="font161"/>
    <w:qFormat/>
    <w:uiPriority w:val="0"/>
    <w:rPr>
      <w:b/>
      <w:bCs/>
      <w:sz w:val="32"/>
      <w:szCs w:val="32"/>
    </w:rPr>
  </w:style>
  <w:style w:type="character" w:customStyle="1" w:styleId="52">
    <w:name w:val="sr"/>
    <w:basedOn w:val="32"/>
    <w:qFormat/>
    <w:uiPriority w:val="0"/>
  </w:style>
  <w:style w:type="character" w:customStyle="1" w:styleId="53">
    <w:name w:val="right"/>
    <w:basedOn w:val="32"/>
    <w:qFormat/>
    <w:uiPriority w:val="0"/>
    <w:rPr>
      <w:color w:val="999999"/>
      <w:sz w:val="18"/>
      <w:szCs w:val="18"/>
    </w:rPr>
  </w:style>
  <w:style w:type="character" w:customStyle="1" w:styleId="54">
    <w:name w:val="tit1"/>
    <w:basedOn w:val="32"/>
    <w:qFormat/>
    <w:uiPriority w:val="0"/>
  </w:style>
  <w:style w:type="character" w:customStyle="1" w:styleId="55">
    <w:name w:val="10"/>
    <w:basedOn w:val="32"/>
    <w:qFormat/>
    <w:uiPriority w:val="0"/>
    <w:rPr>
      <w:rFonts w:hint="default" w:ascii="Times New Roman" w:hAnsi="Times New Roman" w:eastAsia="宋体" w:cs="Times New Roman"/>
    </w:rPr>
  </w:style>
  <w:style w:type="character" w:customStyle="1" w:styleId="56">
    <w:name w:val="lsl"/>
    <w:basedOn w:val="32"/>
    <w:qFormat/>
    <w:uiPriority w:val="0"/>
  </w:style>
  <w:style w:type="character" w:customStyle="1" w:styleId="57">
    <w:name w:val="15"/>
    <w:qFormat/>
    <w:uiPriority w:val="0"/>
    <w:rPr>
      <w:rFonts w:hint="default" w:ascii="Times New Roman" w:hAnsi="Times New Roman" w:cs="Times New Roman"/>
      <w:color w:val="0000FF"/>
      <w:u w:val="single"/>
    </w:rPr>
  </w:style>
  <w:style w:type="character" w:customStyle="1" w:styleId="58">
    <w:name w:val="red1"/>
    <w:basedOn w:val="32"/>
    <w:qFormat/>
    <w:uiPriority w:val="0"/>
    <w:rPr>
      <w:color w:val="FF0000"/>
      <w:sz w:val="18"/>
      <w:szCs w:val="18"/>
    </w:rPr>
  </w:style>
  <w:style w:type="character" w:customStyle="1" w:styleId="59">
    <w:name w:val="red"/>
    <w:basedOn w:val="32"/>
    <w:qFormat/>
    <w:uiPriority w:val="0"/>
    <w:rPr>
      <w:color w:val="FF0000"/>
    </w:rPr>
  </w:style>
  <w:style w:type="character" w:customStyle="1" w:styleId="60">
    <w:name w:val="hover3"/>
    <w:qFormat/>
    <w:uiPriority w:val="0"/>
    <w:rPr>
      <w:bdr w:val="single" w:color="FFCC33" w:sz="6" w:space="0"/>
    </w:rPr>
  </w:style>
  <w:style w:type="character" w:customStyle="1" w:styleId="61">
    <w:name w:val="tit"/>
    <w:basedOn w:val="32"/>
    <w:qFormat/>
    <w:uiPriority w:val="0"/>
  </w:style>
  <w:style w:type="character" w:customStyle="1" w:styleId="62">
    <w:name w:val="green"/>
    <w:basedOn w:val="32"/>
    <w:qFormat/>
    <w:uiPriority w:val="0"/>
    <w:rPr>
      <w:color w:val="66AE00"/>
      <w:sz w:val="18"/>
      <w:szCs w:val="18"/>
    </w:rPr>
  </w:style>
  <w:style w:type="character" w:customStyle="1" w:styleId="63">
    <w:name w:val="red2"/>
    <w:basedOn w:val="32"/>
    <w:qFormat/>
    <w:uiPriority w:val="0"/>
    <w:rPr>
      <w:color w:val="FF0000"/>
      <w:sz w:val="18"/>
      <w:szCs w:val="18"/>
    </w:rPr>
  </w:style>
  <w:style w:type="character" w:customStyle="1" w:styleId="64">
    <w:name w:val="纯文本 Char"/>
    <w:link w:val="18"/>
    <w:qFormat/>
    <w:uiPriority w:val="0"/>
    <w:rPr>
      <w:rFonts w:ascii="宋体" w:hAnsi="Courier New" w:eastAsia="宋体" w:cs="Courier New"/>
      <w:kern w:val="2"/>
      <w:sz w:val="21"/>
      <w:szCs w:val="21"/>
      <w:lang w:val="en-US" w:eastAsia="zh-CN" w:bidi="ar-SA"/>
    </w:rPr>
  </w:style>
  <w:style w:type="character" w:customStyle="1" w:styleId="65">
    <w:name w:val="标题 2 Char"/>
    <w:link w:val="5"/>
    <w:qFormat/>
    <w:uiPriority w:val="0"/>
    <w:rPr>
      <w:rFonts w:ascii="Arial" w:hAnsi="Arial" w:eastAsia="黑体"/>
      <w:b/>
      <w:bCs/>
      <w:kern w:val="2"/>
      <w:sz w:val="32"/>
      <w:szCs w:val="32"/>
      <w:lang w:val="en-US" w:eastAsia="zh-CN" w:bidi="ar-SA"/>
    </w:rPr>
  </w:style>
  <w:style w:type="character" w:customStyle="1" w:styleId="66">
    <w:name w:val="gb-jt"/>
    <w:basedOn w:val="32"/>
    <w:qFormat/>
    <w:uiPriority w:val="0"/>
  </w:style>
  <w:style w:type="character" w:customStyle="1" w:styleId="67">
    <w:name w:val="hover25"/>
    <w:basedOn w:val="32"/>
    <w:qFormat/>
    <w:uiPriority w:val="0"/>
  </w:style>
  <w:style w:type="paragraph" w:customStyle="1" w:styleId="68">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69">
    <w:name w:val="z-窗体底端1"/>
    <w:basedOn w:val="1"/>
    <w:next w:val="1"/>
    <w:qFormat/>
    <w:uiPriority w:val="0"/>
    <w:pPr>
      <w:pBdr>
        <w:top w:val="single" w:color="auto" w:sz="6" w:space="1"/>
      </w:pBdr>
      <w:jc w:val="center"/>
    </w:pPr>
    <w:rPr>
      <w:rFonts w:ascii="Arial"/>
      <w:vanish/>
      <w:sz w:val="16"/>
    </w:rPr>
  </w:style>
  <w:style w:type="paragraph" w:customStyle="1" w:styleId="70">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1">
    <w:name w:val="cjk"/>
    <w:basedOn w:val="1"/>
    <w:qFormat/>
    <w:uiPriority w:val="0"/>
    <w:pPr>
      <w:widowControl/>
      <w:jc w:val="left"/>
    </w:pPr>
    <w:rPr>
      <w:rFonts w:hAnsi="宋体" w:cs="宋体"/>
      <w:sz w:val="24"/>
      <w:szCs w:val="24"/>
    </w:rPr>
  </w:style>
  <w:style w:type="paragraph" w:customStyle="1" w:styleId="72">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style>
  <w:style w:type="paragraph" w:customStyle="1" w:styleId="75">
    <w:name w:val="默认段落字体 Para Char Char Char Char Char Char Char"/>
    <w:basedOn w:val="1"/>
    <w:qFormat/>
    <w:uiPriority w:val="0"/>
    <w:rPr>
      <w:rFonts w:ascii="Tahoma" w:hAnsi="Tahoma"/>
      <w:sz w:val="24"/>
    </w:rPr>
  </w:style>
  <w:style w:type="paragraph" w:customStyle="1" w:styleId="76">
    <w:name w:val="1"/>
    <w:basedOn w:val="1"/>
    <w:next w:val="1"/>
    <w:qFormat/>
    <w:uiPriority w:val="0"/>
  </w:style>
  <w:style w:type="paragraph" w:customStyle="1" w:styleId="77">
    <w:name w:val="Char1"/>
    <w:basedOn w:val="1"/>
    <w:qFormat/>
    <w:uiPriority w:val="0"/>
    <w:pPr>
      <w:adjustRightInd w:val="0"/>
      <w:spacing w:line="600" w:lineRule="exact"/>
      <w:ind w:firstLine="560" w:firstLineChars="200"/>
      <w:jc w:val="center"/>
    </w:pPr>
  </w:style>
  <w:style w:type="paragraph" w:customStyle="1" w:styleId="7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79">
    <w:name w:val="_Style 6"/>
    <w:qFormat/>
    <w:uiPriority w:val="0"/>
    <w:pPr>
      <w:keepNext/>
      <w:keepLines/>
      <w:widowControl w:val="0"/>
      <w:spacing w:before="340" w:after="330" w:line="576" w:lineRule="auto"/>
      <w:jc w:val="both"/>
    </w:pPr>
    <w:rPr>
      <w:rFonts w:ascii="Calibri" w:hAnsi="Calibri" w:eastAsia="宋体" w:cs="Times New Roman"/>
      <w:b/>
      <w:kern w:val="44"/>
      <w:sz w:val="44"/>
      <w:szCs w:val="44"/>
      <w:lang w:val="en-US" w:eastAsia="zh-CN" w:bidi="ar-SA"/>
    </w:rPr>
  </w:style>
  <w:style w:type="paragraph" w:customStyle="1" w:styleId="80">
    <w:name w:val="p0"/>
    <w:basedOn w:val="1"/>
    <w:qFormat/>
    <w:uiPriority w:val="0"/>
    <w:pPr>
      <w:widowControl/>
      <w:spacing w:line="408" w:lineRule="auto"/>
      <w:ind w:left="1"/>
      <w:textAlignment w:val="bottom"/>
    </w:pPr>
    <w:rPr>
      <w:color w:val="00000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8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85">
    <w:name w:val="Char"/>
    <w:basedOn w:val="1"/>
    <w:qFormat/>
    <w:uiPriority w:val="0"/>
    <w:rPr>
      <w:rFonts w:ascii="仿宋_GB2312" w:eastAsia="仿宋_GB2312"/>
      <w:b/>
      <w:sz w:val="32"/>
      <w:szCs w:val="32"/>
    </w:rPr>
  </w:style>
  <w:style w:type="paragraph" w:customStyle="1" w:styleId="8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7">
    <w:name w:val="WPSOffice手动目录 1"/>
    <w:qFormat/>
    <w:uiPriority w:val="0"/>
    <w:rPr>
      <w:rFonts w:ascii="Times New Roman" w:hAnsi="Times New Roman" w:eastAsia="宋体" w:cs="Times New Roman"/>
      <w:lang w:val="en-US" w:eastAsia="zh-CN" w:bidi="ar-SA"/>
    </w:rPr>
  </w:style>
  <w:style w:type="paragraph" w:customStyle="1" w:styleId="88">
    <w:name w:val="Char2"/>
    <w:basedOn w:val="1"/>
    <w:qFormat/>
    <w:uiPriority w:val="0"/>
    <w:rPr>
      <w:rFonts w:ascii="仿宋_GB2312" w:eastAsia="仿宋_GB2312"/>
      <w:b/>
      <w:sz w:val="32"/>
      <w:szCs w:val="32"/>
    </w:rPr>
  </w:style>
  <w:style w:type="paragraph" w:customStyle="1" w:styleId="89">
    <w:name w:val="z-窗体顶端1"/>
    <w:basedOn w:val="1"/>
    <w:next w:val="1"/>
    <w:qFormat/>
    <w:uiPriority w:val="0"/>
    <w:pPr>
      <w:pBdr>
        <w:bottom w:val="single" w:color="auto" w:sz="6" w:space="1"/>
      </w:pBdr>
      <w:jc w:val="center"/>
    </w:pPr>
    <w:rPr>
      <w:rFonts w:ascii="Arial"/>
      <w:vanish/>
      <w:sz w:val="16"/>
    </w:rPr>
  </w:style>
  <w:style w:type="character" w:customStyle="1" w:styleId="90">
    <w:name w:val="red3"/>
    <w:basedOn w:val="32"/>
    <w:qFormat/>
    <w:uiPriority w:val="0"/>
    <w:rPr>
      <w:color w:val="FF0000"/>
    </w:rPr>
  </w:style>
  <w:style w:type="character" w:customStyle="1" w:styleId="91">
    <w:name w:val="明显参考1"/>
    <w:basedOn w:val="32"/>
    <w:qFormat/>
    <w:uiPriority w:val="32"/>
    <w:rPr>
      <w:b/>
      <w:bCs/>
      <w:smallCaps/>
      <w:color w:val="C0504D"/>
      <w:spacing w:val="5"/>
      <w:u w:val="single"/>
    </w:rPr>
  </w:style>
  <w:style w:type="paragraph" w:styleId="92">
    <w:name w:val="List Paragraph"/>
    <w:basedOn w:val="1"/>
    <w:unhideWhenUsed/>
    <w:qFormat/>
    <w:uiPriority w:val="99"/>
    <w:pPr>
      <w:ind w:firstLine="420" w:firstLineChars="200"/>
    </w:pPr>
  </w:style>
  <w:style w:type="paragraph" w:customStyle="1" w:styleId="93">
    <w:name w:val="纯文本1"/>
    <w:basedOn w:val="1"/>
    <w:qFormat/>
    <w:uiPriority w:val="0"/>
    <w:rPr>
      <w:rFonts w:hAnsi="Courier New"/>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8"/>
    <customShpInfo spid="_x0000_s3074"/>
    <customShpInfo spid="_x0000_s3079"/>
    <customShpInfo spid="_x0000_s307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443BF-08DD-44F4-962B-F3CB046DB4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32769</Words>
  <Characters>6696</Characters>
  <Lines>55</Lines>
  <Paragraphs>78</Paragraphs>
  <TotalTime>29</TotalTime>
  <ScaleCrop>false</ScaleCrop>
  <LinksUpToDate>false</LinksUpToDate>
  <CharactersWithSpaces>39387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2019-01-04T02:13:00Z</dcterms:created>
  <dc:creator>微软用户</dc:creator>
  <cp:lastModifiedBy>Administrator</cp:lastModifiedBy>
  <cp:lastPrinted>2019-11-19T03:08:00Z</cp:lastPrinted>
  <dcterms:modified xsi:type="dcterms:W3CDTF">2019-11-27T06:59:16Z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