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rPr>
      </w:pPr>
      <w:r>
        <w:rPr>
          <w:rFonts w:hint="eastAsia" w:asciiTheme="majorEastAsia" w:hAnsiTheme="majorEastAsia" w:eastAsiaTheme="majorEastAsia" w:cstheme="majorEastAsia"/>
          <w:b/>
          <w:bCs/>
          <w:color w:val="000000"/>
          <w:sz w:val="44"/>
          <w:szCs w:val="44"/>
          <w:lang w:val="zh-CN" w:eastAsia="zh-CN"/>
        </w:rPr>
        <w:t>河南省</w:t>
      </w:r>
      <w:r>
        <w:rPr>
          <w:rFonts w:hint="eastAsia" w:asciiTheme="majorEastAsia" w:hAnsiTheme="majorEastAsia" w:eastAsiaTheme="majorEastAsia" w:cstheme="majorEastAsia"/>
          <w:b/>
          <w:bCs/>
          <w:color w:val="000000"/>
          <w:sz w:val="44"/>
          <w:szCs w:val="44"/>
          <w:lang w:val="zh-CN"/>
        </w:rPr>
        <w:t>许昌市中级人民法院</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车辆</w:t>
      </w: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项目编号：ZFCG-X2019</w:t>
      </w:r>
      <w:r>
        <w:rPr>
          <w:rFonts w:hint="eastAsia" w:asciiTheme="majorEastAsia" w:hAnsiTheme="majorEastAsia" w:eastAsiaTheme="majorEastAsia" w:cstheme="majorEastAsia"/>
          <w:b/>
          <w:bCs/>
          <w:sz w:val="36"/>
          <w:szCs w:val="36"/>
          <w:lang w:val="en-US" w:eastAsia="zh-CN"/>
        </w:rPr>
        <w:t>012-2</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zh-CN" w:eastAsia="zh-CN"/>
        </w:rPr>
        <w:t>河南省</w:t>
      </w:r>
      <w:r>
        <w:rPr>
          <w:rFonts w:hint="eastAsia" w:asciiTheme="majorEastAsia" w:hAnsiTheme="majorEastAsia" w:eastAsiaTheme="majorEastAsia" w:cstheme="majorEastAsia"/>
          <w:b/>
          <w:bCs/>
          <w:sz w:val="36"/>
          <w:szCs w:val="36"/>
          <w:lang w:val="zh-CN"/>
        </w:rPr>
        <w:t>许昌市中级人民法院</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许昌市政府采购服务中心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十一月</w:t>
      </w:r>
      <w:r>
        <w:rPr>
          <w:rFonts w:hint="eastAsia" w:asciiTheme="majorEastAsia" w:hAnsiTheme="majorEastAsia" w:eastAsiaTheme="majorEastAsia" w:cstheme="majorEastAsia"/>
          <w:b/>
          <w:bCs/>
          <w:sz w:val="36"/>
          <w:szCs w:val="36"/>
          <w:lang w:val="en-US" w:eastAsia="zh-CN"/>
        </w:rPr>
        <w:t>二十六</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许昌市政府采购服务中心</w:t>
      </w:r>
      <w:r>
        <w:rPr>
          <w:rFonts w:hint="eastAsia" w:cs="仿宋_GB2312" w:asciiTheme="minorEastAsia" w:hAnsiTheme="minorEastAsia" w:eastAsiaTheme="minorEastAsia"/>
          <w:color w:val="000000"/>
          <w:sz w:val="21"/>
          <w:szCs w:val="21"/>
          <w:shd w:val="clear" w:color="auto" w:fill="FFFFFF"/>
        </w:rPr>
        <w:t>(以下简称采购中心) 受</w:t>
      </w:r>
      <w:r>
        <w:rPr>
          <w:rFonts w:hint="eastAsia" w:cs="仿宋_GB2312" w:asciiTheme="minorEastAsia" w:hAnsiTheme="minorEastAsia" w:eastAsiaTheme="minorEastAsia"/>
          <w:color w:val="000000"/>
          <w:sz w:val="21"/>
          <w:szCs w:val="21"/>
          <w:shd w:val="clear" w:color="auto" w:fill="FFFFFF"/>
          <w:lang w:val="zh-CN" w:eastAsia="zh-CN"/>
        </w:rPr>
        <w:t>河南省</w:t>
      </w:r>
      <w:r>
        <w:rPr>
          <w:rFonts w:hint="eastAsia" w:cs="仿宋_GB2312" w:asciiTheme="minorEastAsia" w:hAnsiTheme="minorEastAsia" w:eastAsiaTheme="minorEastAsia"/>
          <w:color w:val="000000"/>
          <w:sz w:val="21"/>
          <w:szCs w:val="21"/>
          <w:shd w:val="clear" w:color="auto" w:fill="FFFFFF"/>
          <w:lang w:val="zh-CN"/>
        </w:rPr>
        <w:t>许昌市中级人民法院</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eastAsia="zh-CN"/>
        </w:rPr>
        <w:t>车辆</w:t>
      </w:r>
      <w:r>
        <w:rPr>
          <w:rFonts w:hint="eastAsia" w:cs="仿宋_GB2312" w:asciiTheme="minorEastAsia" w:hAnsiTheme="minorEastAsia" w:eastAsiaTheme="minorEastAsia"/>
          <w:color w:val="000000"/>
          <w:sz w:val="21"/>
          <w:szCs w:val="21"/>
          <w:shd w:val="clear" w:color="auto" w:fill="FFFFFF"/>
        </w:rPr>
        <w:t>”项目进行询价采购。现邀请符合本询价文件规定条件的供应商前来投标</w:t>
      </w:r>
      <w:r>
        <w:rPr>
          <w:rFonts w:hint="eastAsia" w:ascii="宋体" w:hAnsi="宋体" w:cs="微软雅黑"/>
          <w:sz w:val="21"/>
          <w:szCs w:val="21"/>
        </w:rPr>
        <w:t>。</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eastAsia="zh-CN"/>
        </w:rPr>
        <w:t>车辆</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（二）项目编号：ZFCG-X2019</w:t>
      </w:r>
      <w:r>
        <w:rPr>
          <w:rFonts w:hint="eastAsia" w:cs="仿宋_GB2312" w:asciiTheme="minorEastAsia" w:hAnsiTheme="minorEastAsia" w:eastAsiaTheme="minorEastAsia"/>
          <w:color w:val="000000"/>
          <w:sz w:val="21"/>
          <w:szCs w:val="21"/>
          <w:shd w:val="clear" w:color="auto" w:fill="FFFFFF"/>
          <w:lang w:val="en-US" w:eastAsia="zh-CN"/>
        </w:rPr>
        <w:t>012-2</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（三）采购方式：询价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w:t>
      </w:r>
      <w:r>
        <w:rPr>
          <w:rFonts w:hint="eastAsia" w:cs="仿宋_GB2312" w:asciiTheme="minorEastAsia" w:hAnsiTheme="minorEastAsia" w:eastAsiaTheme="minorEastAsia"/>
          <w:color w:val="000000"/>
          <w:sz w:val="21"/>
          <w:szCs w:val="21"/>
          <w:shd w:val="clear" w:color="auto" w:fill="FFFFFF"/>
          <w:lang w:val="zh-CN"/>
        </w:rPr>
        <w:t>购买车辆一台，乘坐</w:t>
      </w:r>
      <w:r>
        <w:rPr>
          <w:rFonts w:hint="eastAsia" w:cs="仿宋_GB2312" w:asciiTheme="minorEastAsia" w:hAnsiTheme="minorEastAsia" w:eastAsiaTheme="minorEastAsia"/>
          <w:color w:val="000000"/>
          <w:sz w:val="21"/>
          <w:szCs w:val="21"/>
          <w:shd w:val="clear" w:color="auto" w:fill="FFFFFF"/>
          <w:lang w:val="en-US" w:eastAsia="zh-CN"/>
        </w:rPr>
        <w:t>7人，排量2.0L。</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229900</w:t>
      </w:r>
      <w:r>
        <w:rPr>
          <w:rFonts w:hint="eastAsia" w:cs="仿宋_GB2312" w:asciiTheme="minorEastAsia" w:hAnsiTheme="minorEastAsia" w:eastAsiaTheme="minorEastAsia"/>
          <w:color w:val="000000"/>
          <w:sz w:val="21"/>
          <w:szCs w:val="21"/>
          <w:shd w:val="clear" w:color="auto" w:fill="FFFFFF"/>
        </w:rPr>
        <w:t>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w:t>
      </w:r>
      <w:r>
        <w:rPr>
          <w:rFonts w:hint="eastAsia" w:cs="仿宋_GB2312" w:asciiTheme="minorEastAsia" w:hAnsiTheme="minorEastAsia" w:eastAsiaTheme="minorEastAsia"/>
          <w:color w:val="000000"/>
          <w:sz w:val="21"/>
          <w:szCs w:val="21"/>
          <w:shd w:val="clear" w:color="auto" w:fill="FFFFFF"/>
          <w:lang w:val="en-US" w:eastAsia="zh-CN"/>
        </w:rPr>
        <w:t>40</w:t>
      </w:r>
      <w:r>
        <w:rPr>
          <w:rFonts w:hint="eastAsia" w:cs="仿宋_GB2312" w:asciiTheme="minorEastAsia" w:hAnsiTheme="minorEastAsia" w:eastAsiaTheme="minorEastAsia"/>
          <w:color w:val="000000"/>
          <w:sz w:val="21"/>
          <w:szCs w:val="21"/>
          <w:shd w:val="clear" w:color="auto" w:fill="FFFFFF"/>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val="zh-CN"/>
        </w:rPr>
        <w:t>许昌市中级人民法院</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 xml:space="preserve"> 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四、询价文件的获取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黑体" w:asciiTheme="minorEastAsia" w:hAnsiTheme="minorEastAsia" w:eastAsiaTheme="minorEastAsia"/>
          <w:b/>
          <w:bCs/>
          <w:color w:val="000000"/>
          <w:sz w:val="21"/>
          <w:szCs w:val="21"/>
          <w:shd w:val="clear" w:color="auto" w:fill="FFFFFF"/>
          <w:lang w:eastAsia="zh-CN"/>
        </w:rPr>
        <w:t>响应</w:t>
      </w:r>
      <w:r>
        <w:rPr>
          <w:rFonts w:hint="eastAsia" w:cs="仿宋_GB2312" w:asciiTheme="minorEastAsia" w:hAnsiTheme="minorEastAsia" w:eastAsiaTheme="minorEastAsia"/>
          <w:b/>
          <w:color w:val="000000"/>
          <w:sz w:val="21"/>
          <w:szCs w:val="21"/>
          <w:shd w:val="clear" w:color="auto" w:fill="FFFFFF"/>
        </w:rPr>
        <w:t>文件提交截止时间</w:t>
      </w:r>
      <w:r>
        <w:rPr>
          <w:rFonts w:hint="eastAsia" w:cs="黑体" w:asciiTheme="minorEastAsia" w:hAnsiTheme="minorEastAsia" w:eastAsiaTheme="minorEastAsia"/>
          <w:b/>
          <w:bCs/>
          <w:color w:val="000000"/>
          <w:sz w:val="21"/>
          <w:szCs w:val="21"/>
          <w:shd w:val="clear" w:color="auto" w:fill="FFFFFF"/>
        </w:rPr>
        <w:t>及询价截止时间、</w:t>
      </w:r>
      <w:r>
        <w:rPr>
          <w:rFonts w:hint="eastAsia" w:cs="黑体" w:asciiTheme="minorEastAsia" w:hAnsiTheme="minorEastAsia" w:eastAsiaTheme="minorEastAsia"/>
          <w:b/>
          <w:bCs/>
          <w:color w:val="000000"/>
          <w:sz w:val="21"/>
          <w:szCs w:val="21"/>
          <w:shd w:val="clear" w:color="auto" w:fill="FFFFFF"/>
          <w:lang w:eastAsia="zh-CN"/>
        </w:rPr>
        <w:t>询价</w:t>
      </w:r>
      <w:r>
        <w:rPr>
          <w:rFonts w:hint="eastAsia" w:cs="黑体" w:asciiTheme="minorEastAsia" w:hAnsiTheme="minorEastAsia" w:eastAsiaTheme="minorEastAsia"/>
          <w:b/>
          <w:bCs/>
          <w:color w:val="000000"/>
          <w:sz w:val="21"/>
          <w:szCs w:val="21"/>
          <w:shd w:val="clear" w:color="auto" w:fill="FFFFFF"/>
        </w:rPr>
        <w:t>时间及地点</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w:t>
      </w:r>
      <w:r>
        <w:rPr>
          <w:rFonts w:hint="eastAsia" w:cs="仿宋_GB2312" w:asciiTheme="minorEastAsia" w:hAnsiTheme="minorEastAsia" w:eastAsiaTheme="minorEastAsia"/>
          <w:color w:val="000000"/>
          <w:sz w:val="21"/>
          <w:szCs w:val="21"/>
          <w:lang w:eastAsia="zh-CN"/>
        </w:rPr>
        <w:t>响应</w:t>
      </w:r>
      <w:r>
        <w:rPr>
          <w:rFonts w:hint="eastAsia" w:cs="仿宋_GB2312" w:asciiTheme="minorEastAsia" w:hAnsiTheme="minorEastAsia" w:eastAsiaTheme="minorEastAsia"/>
          <w:color w:val="000000"/>
          <w:sz w:val="21"/>
          <w:szCs w:val="21"/>
        </w:rPr>
        <w:t>文件提交截止时间及询价截止时间、</w:t>
      </w:r>
      <w:r>
        <w:rPr>
          <w:rFonts w:hint="eastAsia" w:cs="仿宋_GB2312" w:asciiTheme="minorEastAsia" w:hAnsiTheme="minorEastAsia" w:eastAsiaTheme="minorEastAsia"/>
          <w:color w:val="000000"/>
          <w:sz w:val="21"/>
          <w:szCs w:val="21"/>
          <w:lang w:eastAsia="zh-CN"/>
        </w:rPr>
        <w:t>询价</w:t>
      </w:r>
      <w:r>
        <w:rPr>
          <w:rFonts w:hint="eastAsia" w:cs="仿宋_GB2312" w:asciiTheme="minorEastAsia" w:hAnsiTheme="minorEastAsia" w:eastAsiaTheme="minorEastAsia"/>
          <w:color w:val="000000"/>
          <w:sz w:val="21"/>
          <w:szCs w:val="21"/>
        </w:rPr>
        <w:t>时间：2019年</w:t>
      </w:r>
      <w:r>
        <w:rPr>
          <w:rFonts w:hint="eastAsia" w:cs="仿宋_GB2312" w:asciiTheme="minorEastAsia" w:hAnsiTheme="minorEastAsia" w:eastAsiaTheme="minorEastAsia"/>
          <w:color w:val="000000"/>
          <w:sz w:val="21"/>
          <w:szCs w:val="21"/>
          <w:lang w:val="en-US" w:eastAsia="zh-CN"/>
        </w:rPr>
        <w:t>12</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lang w:val="en-US" w:eastAsia="zh-CN"/>
        </w:rPr>
        <w:t>3</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（二）响应文件开启时间：同响应文件提交截止时间。</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lang w:eastAsia="zh-CN"/>
        </w:rPr>
        <w:t>三</w:t>
      </w:r>
      <w:r>
        <w:rPr>
          <w:rFonts w:hint="eastAsia" w:cs="仿宋_GB2312" w:asciiTheme="minorEastAsia" w:hAnsiTheme="minorEastAsia" w:eastAsiaTheme="minorEastAsia"/>
          <w:color w:val="000000"/>
          <w:sz w:val="21"/>
          <w:szCs w:val="21"/>
        </w:rPr>
        <w:t>）开标地点：许昌市公共资源交易中心（龙兴路与竹林路交汇处</w:t>
      </w:r>
      <w:r>
        <w:rPr>
          <w:rFonts w:hint="eastAsia" w:cs="仿宋_GB2312" w:asciiTheme="minorEastAsia" w:hAnsiTheme="minorEastAsia" w:eastAsiaTheme="minorEastAsia"/>
          <w:color w:val="000000"/>
          <w:sz w:val="21"/>
          <w:szCs w:val="21"/>
        </w:rPr>
        <w:t>创业服务中心C座）三楼开标</w:t>
      </w:r>
      <w:r>
        <w:rPr>
          <w:rFonts w:hint="eastAsia" w:cs="仿宋_GB2312" w:asciiTheme="minorEastAsia" w:hAnsiTheme="minorEastAsia" w:eastAsiaTheme="minorEastAsia"/>
          <w:color w:val="000000"/>
          <w:sz w:val="21"/>
          <w:szCs w:val="21"/>
          <w:lang w:eastAsia="zh-CN"/>
        </w:rPr>
        <w:t>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lang w:eastAsia="zh-CN"/>
        </w:rPr>
        <w:t>四</w:t>
      </w:r>
      <w:r>
        <w:rPr>
          <w:rFonts w:hint="eastAsia" w:cs="仿宋_GB2312" w:asciiTheme="minorEastAsia" w:hAnsiTheme="minorEastAsia" w:eastAsiaTheme="minorEastAsia"/>
          <w:color w:val="000000"/>
          <w:sz w:val="21"/>
          <w:szCs w:val="21"/>
        </w:rPr>
        <w:t>）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在询价响应截止时间前通过《全国公共资源交易平台(河南省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在询价响应截止时间前须一并递交。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六</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八</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河南省</w:t>
      </w:r>
      <w:r>
        <w:rPr>
          <w:rFonts w:hint="eastAsia" w:cs="仿宋_GB2312" w:asciiTheme="minorEastAsia" w:hAnsiTheme="minorEastAsia" w:eastAsiaTheme="minorEastAsia"/>
          <w:color w:val="000000"/>
          <w:kern w:val="2"/>
          <w:sz w:val="21"/>
          <w:szCs w:val="21"/>
          <w:lang w:val="zh-CN" w:eastAsia="zh-CN" w:bidi="ar-SA"/>
        </w:rPr>
        <w:t>许昌市中级人民法院</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w:t>
      </w:r>
      <w:r>
        <w:rPr>
          <w:rFonts w:hint="eastAsia" w:cs="仿宋_GB2312" w:asciiTheme="minorEastAsia" w:hAnsiTheme="minorEastAsia" w:eastAsiaTheme="minorEastAsia"/>
          <w:color w:val="000000"/>
          <w:kern w:val="2"/>
          <w:sz w:val="21"/>
          <w:szCs w:val="21"/>
          <w:lang w:val="zh-CN" w:eastAsia="zh-CN" w:bidi="ar-SA"/>
        </w:rPr>
        <w:t>许昌市前进路中段</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w:t>
      </w:r>
      <w:r>
        <w:rPr>
          <w:rFonts w:hint="eastAsia" w:cs="仿宋_GB2312" w:asciiTheme="minorEastAsia" w:hAnsiTheme="minorEastAsia" w:eastAsiaTheme="minorEastAsia"/>
          <w:color w:val="000000"/>
          <w:kern w:val="2"/>
          <w:sz w:val="21"/>
          <w:szCs w:val="21"/>
          <w:lang w:val="zh-CN" w:eastAsia="zh-CN" w:bidi="ar-SA"/>
        </w:rPr>
        <w:t>王冲</w:t>
      </w:r>
      <w:r>
        <w:rPr>
          <w:rFonts w:hint="eastAsia" w:cs="仿宋_GB2312" w:asciiTheme="minorEastAsia" w:hAnsiTheme="minorEastAsia" w:eastAsiaTheme="minorEastAsia"/>
          <w:color w:val="000000"/>
          <w:kern w:val="2"/>
          <w:sz w:val="21"/>
          <w:szCs w:val="21"/>
          <w:lang w:val="en-US" w:eastAsia="zh-CN" w:bidi="ar-SA"/>
        </w:rPr>
        <w:t xml:space="preserve">                   联系电话：0374</w:t>
      </w:r>
      <w:r>
        <w:rPr>
          <w:rFonts w:hint="eastAsia" w:cs="仿宋_GB2312" w:asciiTheme="minorEastAsia" w:hAnsiTheme="minorEastAsia"/>
          <w:color w:val="000000"/>
          <w:kern w:val="2"/>
          <w:sz w:val="21"/>
          <w:szCs w:val="21"/>
          <w:lang w:val="en-US" w:eastAsia="zh-CN" w:bidi="ar-SA"/>
        </w:rPr>
        <w:t>-</w:t>
      </w:r>
      <w:r>
        <w:rPr>
          <w:rFonts w:hint="eastAsia" w:cs="仿宋_GB2312" w:asciiTheme="minorEastAsia" w:hAnsiTheme="minorEastAsia" w:eastAsiaTheme="minorEastAsia"/>
          <w:color w:val="000000"/>
          <w:kern w:val="2"/>
          <w:sz w:val="21"/>
          <w:szCs w:val="21"/>
          <w:lang w:val="en-US" w:eastAsia="zh-CN" w:bidi="ar-SA"/>
        </w:rPr>
        <w:t>2929015</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w:t>
      </w:r>
      <w:r>
        <w:rPr>
          <w:rFonts w:hint="eastAsia" w:ascii="宋体" w:hAnsi="宋体"/>
          <w:szCs w:val="21"/>
          <w:lang w:eastAsia="zh-CN"/>
        </w:rPr>
        <w:t>许昌市政府采购服务中心</w:t>
      </w:r>
      <w:r>
        <w:rPr>
          <w:rFonts w:hint="eastAsia" w:ascii="宋体" w:hAnsi="宋体"/>
          <w:szCs w:val="21"/>
        </w:rPr>
        <w:t xml:space="preserve">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w:t>
      </w:r>
      <w:r>
        <w:rPr>
          <w:rFonts w:hint="eastAsia" w:ascii="宋体" w:hAnsi="宋体"/>
          <w:szCs w:val="21"/>
          <w:lang w:eastAsia="zh-CN"/>
        </w:rPr>
        <w:t>：许昌市龙兴路与竹林路交汇处创业服务中心C座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374-296</w:t>
      </w:r>
      <w:r>
        <w:rPr>
          <w:rFonts w:hint="eastAsia" w:ascii="宋体" w:hAnsi="宋体"/>
          <w:szCs w:val="21"/>
          <w:lang w:val="en-US" w:eastAsia="zh-CN"/>
        </w:rPr>
        <w:t>2805</w:t>
      </w:r>
    </w:p>
    <w:p>
      <w:pPr>
        <w:adjustRightInd w:val="0"/>
        <w:spacing w:line="360" w:lineRule="auto"/>
        <w:ind w:firstLine="840" w:firstLineChars="400"/>
        <w:contextualSpacing/>
        <w:jc w:val="left"/>
        <w:rPr>
          <w:rFonts w:ascii="宋体" w:hAnsi="宋体"/>
          <w:szCs w:val="21"/>
        </w:rPr>
      </w:pPr>
    </w:p>
    <w:p>
      <w:pPr>
        <w:adjustRightInd w:val="0"/>
        <w:spacing w:line="360" w:lineRule="auto"/>
        <w:ind w:firstLine="840" w:firstLineChars="400"/>
        <w:contextualSpacing/>
        <w:jc w:val="left"/>
        <w:rPr>
          <w:rFonts w:ascii="宋体" w:hAnsi="宋体"/>
          <w:szCs w:val="21"/>
        </w:rPr>
      </w:pPr>
    </w:p>
    <w:p>
      <w:pPr>
        <w:adjustRightInd w:val="0"/>
        <w:spacing w:line="360" w:lineRule="auto"/>
        <w:ind w:firstLine="840" w:firstLineChars="400"/>
        <w:contextualSpacing/>
        <w:jc w:val="right"/>
        <w:rPr>
          <w:rFonts w:hint="eastAsia" w:cs="仿宋_GB2312" w:asciiTheme="minorEastAsia" w:hAnsiTheme="minorEastAsia" w:eastAsiaTheme="minorEastAsia"/>
          <w:color w:val="000000"/>
          <w:kern w:val="2"/>
          <w:sz w:val="21"/>
          <w:szCs w:val="21"/>
          <w:lang w:val="zh-CN" w:eastAsia="zh-CN" w:bidi="ar-SA"/>
        </w:rPr>
      </w:pPr>
      <w:r>
        <w:rPr>
          <w:rFonts w:hint="eastAsia" w:cs="仿宋_GB2312" w:asciiTheme="minorEastAsia" w:hAnsiTheme="minorEastAsia" w:eastAsiaTheme="minorEastAsia"/>
          <w:color w:val="000000"/>
          <w:kern w:val="2"/>
          <w:sz w:val="21"/>
          <w:szCs w:val="21"/>
          <w:lang w:val="en-US" w:eastAsia="zh-CN" w:bidi="ar-SA"/>
        </w:rPr>
        <w:t>河南省</w:t>
      </w:r>
      <w:r>
        <w:rPr>
          <w:rFonts w:hint="eastAsia" w:cs="仿宋_GB2312" w:asciiTheme="minorEastAsia" w:hAnsiTheme="minorEastAsia" w:eastAsiaTheme="minorEastAsia"/>
          <w:color w:val="000000"/>
          <w:kern w:val="2"/>
          <w:sz w:val="21"/>
          <w:szCs w:val="21"/>
          <w:lang w:val="zh-CN" w:eastAsia="zh-CN" w:bidi="ar-SA"/>
        </w:rPr>
        <w:t>许昌市中级人民法院</w:t>
      </w:r>
    </w:p>
    <w:p>
      <w:pPr>
        <w:adjustRightInd w:val="0"/>
        <w:spacing w:line="360" w:lineRule="auto"/>
        <w:ind w:firstLine="840" w:firstLineChars="400"/>
        <w:contextualSpacing/>
        <w:jc w:val="right"/>
        <w:rPr>
          <w:rFonts w:ascii="宋体" w:hAnsi="宋体"/>
          <w:szCs w:val="21"/>
        </w:rPr>
      </w:pPr>
      <w:r>
        <w:rPr>
          <w:rFonts w:hint="eastAsia" w:ascii="宋体" w:hAnsi="宋体"/>
          <w:szCs w:val="21"/>
        </w:rPr>
        <w:t>二○一九年</w:t>
      </w:r>
      <w:r>
        <w:rPr>
          <w:rFonts w:hint="eastAsia" w:ascii="宋体" w:hAnsi="宋体"/>
          <w:szCs w:val="21"/>
          <w:lang w:val="en-US" w:eastAsia="zh-CN"/>
        </w:rPr>
        <w:t>十一</w:t>
      </w:r>
      <w:r>
        <w:rPr>
          <w:rFonts w:hint="eastAsia" w:ascii="宋体" w:hAnsi="宋体"/>
          <w:szCs w:val="21"/>
        </w:rPr>
        <w:t>月</w:t>
      </w:r>
      <w:r>
        <w:rPr>
          <w:rFonts w:hint="eastAsia" w:ascii="宋体" w:hAnsi="宋体"/>
          <w:szCs w:val="21"/>
          <w:lang w:val="en-US" w:eastAsia="zh-CN"/>
        </w:rPr>
        <w:t>二十六</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本项目购买车辆一台，乘坐</w:t>
      </w:r>
      <w:r>
        <w:rPr>
          <w:rFonts w:hint="eastAsia" w:cs="仿宋_GB2312" w:asciiTheme="minorEastAsia" w:hAnsiTheme="minorEastAsia"/>
          <w:sz w:val="24"/>
          <w:szCs w:val="24"/>
          <w:lang w:val="en-US" w:eastAsia="zh-CN"/>
        </w:rPr>
        <w:t>7人，排量2.0L。</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5"/>
        <w:gridCol w:w="1559"/>
        <w:gridCol w:w="4676"/>
        <w:gridCol w:w="93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8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67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8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Cs w:val="21"/>
              </w:rPr>
            </w:pPr>
            <w:r>
              <w:rPr>
                <w:rFonts w:hint="eastAsia" w:ascii="宋体" w:hAnsi="宋体" w:cs="宋体"/>
                <w:kern w:val="0"/>
                <w:sz w:val="24"/>
              </w:rPr>
              <w:t>1</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both"/>
              <w:rPr>
                <w:rFonts w:ascii="宋体" w:hAnsi="宋体" w:eastAsia="宋体" w:cs="宋体"/>
                <w:color w:val="000000"/>
                <w:kern w:val="0"/>
                <w:szCs w:val="21"/>
              </w:rPr>
            </w:pPr>
            <w:r>
              <w:rPr>
                <w:rFonts w:hint="eastAsia" w:ascii="宋体" w:hAnsi="宋体" w:cs="宋体"/>
                <w:kern w:val="0"/>
                <w:sz w:val="24"/>
                <w:lang w:eastAsia="zh-CN"/>
              </w:rPr>
              <w:t>车辆</w:t>
            </w:r>
            <w:r>
              <w:rPr>
                <w:rFonts w:hint="eastAsia" w:ascii="宋体" w:hAnsi="宋体" w:cs="宋体"/>
                <w:kern w:val="0"/>
                <w:sz w:val="24"/>
              </w:rPr>
              <w:t> </w:t>
            </w:r>
          </w:p>
        </w:tc>
        <w:tc>
          <w:tcPr>
            <w:tcW w:w="467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0"/>
              <w:spacing w:line="240" w:lineRule="atLeast"/>
              <w:jc w:val="both"/>
            </w:pPr>
            <w:r>
              <w:rPr>
                <w:rFonts w:hint="eastAsia"/>
              </w:rPr>
              <w:t>1、燃油方式：汽油</w:t>
            </w:r>
          </w:p>
          <w:p>
            <w:pPr>
              <w:pStyle w:val="20"/>
              <w:spacing w:line="240" w:lineRule="atLeast"/>
              <w:jc w:val="both"/>
            </w:pPr>
            <w:r>
              <w:rPr>
                <w:rFonts w:hint="eastAsia"/>
              </w:rPr>
              <w:t>2、排量：</w:t>
            </w:r>
            <w:r>
              <w:t>≥</w:t>
            </w:r>
            <w:r>
              <w:rPr>
                <w:rFonts w:hint="eastAsia"/>
              </w:rPr>
              <w:t>2.0L</w:t>
            </w:r>
          </w:p>
          <w:p>
            <w:pPr>
              <w:pStyle w:val="20"/>
              <w:spacing w:line="240" w:lineRule="atLeast"/>
              <w:jc w:val="both"/>
            </w:pPr>
            <w:r>
              <w:rPr>
                <w:rFonts w:hint="eastAsia"/>
              </w:rPr>
              <w:t>3、车身结构：5门七座中型MPV</w:t>
            </w:r>
          </w:p>
          <w:p>
            <w:pPr>
              <w:pStyle w:val="20"/>
              <w:spacing w:line="240" w:lineRule="atLeast"/>
              <w:jc w:val="both"/>
            </w:pPr>
            <w:r>
              <w:rPr>
                <w:rFonts w:hint="eastAsia"/>
              </w:rPr>
              <w:t>4、最高车速：</w:t>
            </w:r>
            <w:r>
              <w:t>≥</w:t>
            </w:r>
            <w:r>
              <w:rPr>
                <w:rFonts w:hint="eastAsia"/>
              </w:rPr>
              <w:t>200KM/h</w:t>
            </w:r>
          </w:p>
          <w:p>
            <w:pPr>
              <w:pStyle w:val="20"/>
              <w:spacing w:line="240" w:lineRule="atLeast"/>
              <w:jc w:val="both"/>
            </w:pPr>
            <w:r>
              <w:rPr>
                <w:rFonts w:hint="eastAsia"/>
              </w:rPr>
              <w:t>5、外形尺寸：长</w:t>
            </w:r>
            <w:r>
              <w:t>≥</w:t>
            </w:r>
            <w:r>
              <w:rPr>
                <w:rFonts w:hint="eastAsia"/>
              </w:rPr>
              <w:t>5250mm，宽</w:t>
            </w:r>
            <w:r>
              <w:t>≥</w:t>
            </w:r>
            <w:r>
              <w:rPr>
                <w:rFonts w:hint="eastAsia"/>
              </w:rPr>
              <w:t>1870mm,高</w:t>
            </w:r>
            <w:r>
              <w:t>≥</w:t>
            </w:r>
            <w:r>
              <w:rPr>
                <w:rFonts w:hint="eastAsia"/>
              </w:rPr>
              <w:t>1770mm</w:t>
            </w:r>
          </w:p>
          <w:p>
            <w:pPr>
              <w:pStyle w:val="20"/>
              <w:spacing w:line="240" w:lineRule="atLeast"/>
              <w:jc w:val="both"/>
            </w:pPr>
            <w:r>
              <w:rPr>
                <w:rFonts w:hint="eastAsia"/>
              </w:rPr>
              <w:t>6、轴距：</w:t>
            </w:r>
            <w:r>
              <w:t>≥</w:t>
            </w:r>
            <w:r>
              <w:rPr>
                <w:rFonts w:hint="eastAsia"/>
              </w:rPr>
              <w:t>3080mm</w:t>
            </w:r>
          </w:p>
          <w:p>
            <w:pPr>
              <w:pStyle w:val="20"/>
              <w:spacing w:line="240" w:lineRule="atLeast"/>
              <w:jc w:val="both"/>
            </w:pPr>
            <w:r>
              <w:rPr>
                <w:rFonts w:hint="eastAsia"/>
              </w:rPr>
              <w:t>7、前后轮距：前轮距</w:t>
            </w:r>
            <w:r>
              <w:t>≥</w:t>
            </w:r>
            <w:r>
              <w:rPr>
                <w:rFonts w:hint="eastAsia"/>
              </w:rPr>
              <w:t>1600mm，后轮距</w:t>
            </w:r>
            <w:r>
              <w:t>≥</w:t>
            </w:r>
            <w:r>
              <w:rPr>
                <w:rFonts w:hint="eastAsia"/>
              </w:rPr>
              <w:t>1600mm</w:t>
            </w:r>
          </w:p>
          <w:p>
            <w:pPr>
              <w:pStyle w:val="20"/>
              <w:spacing w:line="240" w:lineRule="atLeast"/>
              <w:jc w:val="both"/>
            </w:pPr>
            <w:r>
              <w:rPr>
                <w:rFonts w:hint="eastAsia"/>
              </w:rPr>
              <w:t>8、装备质量</w:t>
            </w:r>
            <w:r>
              <w:t>≥</w:t>
            </w:r>
            <w:r>
              <w:rPr>
                <w:rFonts w:hint="eastAsia"/>
              </w:rPr>
              <w:t>1850kg</w:t>
            </w:r>
          </w:p>
          <w:p>
            <w:pPr>
              <w:pStyle w:val="20"/>
              <w:spacing w:line="240" w:lineRule="atLeast"/>
              <w:jc w:val="both"/>
            </w:pPr>
            <w:r>
              <w:rPr>
                <w:rFonts w:hint="eastAsia"/>
              </w:rPr>
              <w:t>9、驱动方式：前置前驱</w:t>
            </w:r>
          </w:p>
          <w:p>
            <w:pPr>
              <w:pStyle w:val="20"/>
              <w:spacing w:line="240" w:lineRule="atLeast"/>
              <w:jc w:val="both"/>
            </w:pPr>
            <w:r>
              <w:rPr>
                <w:rFonts w:hint="eastAsia"/>
              </w:rPr>
              <w:t>10、功率：</w:t>
            </w:r>
            <w:r>
              <w:t>≥</w:t>
            </w:r>
            <w:r>
              <w:rPr>
                <w:rFonts w:hint="eastAsia"/>
              </w:rPr>
              <w:t>190KW</w:t>
            </w:r>
          </w:p>
          <w:p>
            <w:pPr>
              <w:pStyle w:val="20"/>
              <w:spacing w:line="240" w:lineRule="atLeast"/>
              <w:jc w:val="both"/>
            </w:pPr>
            <w:r>
              <w:rPr>
                <w:rFonts w:hint="eastAsia"/>
              </w:rPr>
              <w:t>11、变速箱：6档手自一体</w:t>
            </w:r>
          </w:p>
          <w:p>
            <w:pPr>
              <w:pStyle w:val="20"/>
              <w:spacing w:line="240" w:lineRule="atLeast"/>
              <w:jc w:val="both"/>
              <w:rPr>
                <w:rFonts w:hint="eastAsia"/>
              </w:rPr>
            </w:pPr>
            <w:r>
              <w:rPr>
                <w:rFonts w:hint="eastAsia"/>
              </w:rPr>
              <w:t>12、轮胎规格：≥225/60R17</w:t>
            </w:r>
          </w:p>
          <w:p>
            <w:pPr>
              <w:pStyle w:val="20"/>
              <w:spacing w:line="240" w:lineRule="atLeast"/>
              <w:jc w:val="both"/>
              <w:rPr>
                <w:rFonts w:hint="eastAsia"/>
              </w:rPr>
            </w:pPr>
            <w:r>
              <w:rPr>
                <w:rFonts w:hint="eastAsia"/>
              </w:rPr>
              <w:t>13、安全配置：驾驶位</w:t>
            </w:r>
            <w:r>
              <w:rPr>
                <w:rFonts w:hint="eastAsia"/>
                <w:lang w:eastAsia="zh-CN"/>
              </w:rPr>
              <w:t>两个</w:t>
            </w:r>
            <w:r>
              <w:rPr>
                <w:rFonts w:hint="eastAsia"/>
              </w:rPr>
              <w:t>安全气囊，刹车防抱死，制动力分配、刹车辅助、牵引力控制、车身稳定控制、胎压监测、坡道辅助</w:t>
            </w:r>
          </w:p>
          <w:p>
            <w:pPr>
              <w:pStyle w:val="20"/>
              <w:spacing w:line="240" w:lineRule="atLeast"/>
              <w:jc w:val="both"/>
              <w:rPr>
                <w:rFonts w:hint="eastAsia"/>
              </w:rPr>
            </w:pPr>
            <w:r>
              <w:rPr>
                <w:rFonts w:hint="eastAsia"/>
              </w:rPr>
              <w:t>14、辅助操控装置：倒车雷达、电子助力转向、一键启动、发动机远程启动</w:t>
            </w:r>
          </w:p>
          <w:p>
            <w:pPr>
              <w:pStyle w:val="20"/>
              <w:spacing w:line="240" w:lineRule="atLeast"/>
              <w:jc w:val="both"/>
              <w:rPr>
                <w:rFonts w:hint="eastAsia"/>
              </w:rPr>
            </w:pPr>
            <w:r>
              <w:rPr>
                <w:rFonts w:hint="eastAsia"/>
              </w:rPr>
              <w:t>15、外部配置：自动感应式前大灯、LED尾灯、后窗及后档隐私玻璃</w:t>
            </w:r>
          </w:p>
          <w:p>
            <w:pPr>
              <w:pStyle w:val="20"/>
              <w:spacing w:line="240" w:lineRule="atLeast"/>
              <w:jc w:val="both"/>
              <w:rPr>
                <w:rFonts w:hint="eastAsia"/>
              </w:rPr>
            </w:pPr>
            <w:r>
              <w:rPr>
                <w:rFonts w:hint="eastAsia"/>
              </w:rPr>
              <w:t>16、驾驶室：多功能方向盘、定速巡航、真皮座椅、前后排冷暖空调、车载互联技术、蓝牙免提电话</w:t>
            </w:r>
          </w:p>
          <w:p>
            <w:pPr>
              <w:pStyle w:val="20"/>
              <w:spacing w:line="240" w:lineRule="atLeast"/>
              <w:jc w:val="both"/>
              <w:rPr>
                <w:rFonts w:hint="eastAsia"/>
                <w:lang w:eastAsia="zh-CN"/>
              </w:rPr>
            </w:pPr>
            <w:r>
              <w:rPr>
                <w:rFonts w:hint="eastAsia"/>
              </w:rPr>
              <w:t>17、车身颜色：白</w:t>
            </w:r>
            <w:r>
              <w:rPr>
                <w:rFonts w:hint="eastAsia"/>
                <w:lang w:eastAsia="zh-CN"/>
              </w:rPr>
              <w:t>色</w:t>
            </w:r>
          </w:p>
          <w:p>
            <w:pPr>
              <w:pStyle w:val="20"/>
              <w:spacing w:line="240" w:lineRule="atLeast"/>
              <w:jc w:val="both"/>
              <w:rPr>
                <w:rFonts w:hint="eastAsia"/>
              </w:rPr>
            </w:pPr>
            <w:r>
              <w:rPr>
                <w:rFonts w:hint="eastAsia"/>
              </w:rPr>
              <w:t>18、排放标准：符合国六排放标准</w:t>
            </w:r>
          </w:p>
          <w:p>
            <w:pPr>
              <w:pStyle w:val="20"/>
              <w:spacing w:line="240" w:lineRule="atLeast"/>
              <w:jc w:val="both"/>
              <w:rPr>
                <w:rFonts w:hint="eastAsia"/>
                <w:lang w:eastAsia="zh-CN"/>
              </w:rPr>
            </w:pPr>
            <w:r>
              <w:rPr>
                <w:rFonts w:hint="eastAsia"/>
                <w:lang w:val="en-US" w:eastAsia="zh-CN"/>
              </w:rPr>
              <w:t>19、</w:t>
            </w:r>
            <w:r>
              <w:rPr>
                <w:rFonts w:hint="eastAsia"/>
              </w:rPr>
              <w:t>麦弗逊悬挂/扭杆梁悬挂</w:t>
            </w:r>
            <w:r>
              <w:rPr>
                <w:rFonts w:hint="eastAsia"/>
                <w:lang w:eastAsia="zh-CN"/>
              </w:rPr>
              <w:t>系统，前通风盘式/后盘式刹车系统</w:t>
            </w:r>
          </w:p>
          <w:p>
            <w:pPr>
              <w:pStyle w:val="20"/>
              <w:spacing w:line="240" w:lineRule="atLeast"/>
              <w:jc w:val="both"/>
              <w:rPr>
                <w:rFonts w:ascii="Times New Roman" w:hAnsi="Times New Roman" w:eastAsia="仿宋_GB2312" w:cs="Times New Roman"/>
                <w:b/>
                <w:i/>
                <w:color w:val="548DD4" w:themeColor="text2" w:themeTint="99"/>
                <w:kern w:val="0"/>
                <w:szCs w:val="21"/>
              </w:rPr>
            </w:pPr>
            <w:r>
              <w:rPr>
                <w:rFonts w:hint="eastAsia"/>
                <w:lang w:val="en-US" w:eastAsia="zh-CN"/>
              </w:rPr>
              <w:t>20、</w:t>
            </w:r>
            <w:r>
              <w:rPr>
                <w:rFonts w:hint="eastAsia"/>
              </w:rPr>
              <w:t>整车享受3年或10万公里质保，动力总成享受8年或16万公里质保</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tLeast"/>
              <w:jc w:val="center"/>
              <w:rPr>
                <w:rFonts w:ascii="宋体" w:hAnsi="宋体" w:eastAsia="宋体" w:cs="宋体"/>
                <w:color w:val="000000"/>
                <w:kern w:val="0"/>
                <w:szCs w:val="21"/>
              </w:rPr>
            </w:pPr>
            <w:r>
              <w:rPr>
                <w:rFonts w:hint="eastAsia" w:ascii="宋体" w:hAnsi="宋体" w:cs="宋体"/>
                <w:kern w:val="0"/>
                <w:sz w:val="24"/>
              </w:rPr>
              <w:t> 辆</w:t>
            </w:r>
          </w:p>
        </w:tc>
        <w:tc>
          <w:tcPr>
            <w:tcW w:w="93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如投标人所投产品被列入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ascii="宋体" w:cs="宋体"/>
          <w:sz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4"/>
          <w:szCs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229900</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2、支付时间及条件：车辆交付、项目通过验收后支付</w:t>
      </w:r>
      <w:r>
        <w:rPr>
          <w:rFonts w:hint="eastAsia" w:cs="宋体" w:asciiTheme="minorEastAsia" w:hAnsiTheme="minorEastAsia"/>
          <w:color w:val="000000"/>
          <w:kern w:val="0"/>
          <w:sz w:val="24"/>
          <w:szCs w:val="24"/>
          <w:lang w:val="en-US" w:eastAsia="zh-CN"/>
        </w:rPr>
        <w:t>100%。</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车辆</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项目编号：ZFCG-X2019</w:t>
            </w:r>
            <w:r>
              <w:rPr>
                <w:rFonts w:hint="eastAsia" w:cs="仿宋_GB2312" w:asciiTheme="minorEastAsia" w:hAnsiTheme="minorEastAsia"/>
                <w:szCs w:val="21"/>
                <w:lang w:val="en-US" w:eastAsia="zh-CN"/>
              </w:rPr>
              <w:t>012-2</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val="zh-CN"/>
              </w:rPr>
              <w:t>购买车辆一台，乘坐</w:t>
            </w:r>
            <w:r>
              <w:rPr>
                <w:rFonts w:hint="eastAsia" w:cs="仿宋_GB2312" w:asciiTheme="minorEastAsia" w:hAnsiTheme="minorEastAsia"/>
                <w:szCs w:val="21"/>
                <w:lang w:val="en-US" w:eastAsia="zh-CN"/>
              </w:rPr>
              <w:t>7人，排量2.0L</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zh-CN"/>
              </w:rPr>
              <w:t>许昌市中级人民法院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eastAsia="zh-CN"/>
              </w:rPr>
              <w:t>河南省</w:t>
            </w:r>
            <w:r>
              <w:rPr>
                <w:rFonts w:hint="eastAsia" w:cs="仿宋_GB2312" w:asciiTheme="minorEastAsia" w:hAnsiTheme="minorEastAsia"/>
                <w:szCs w:val="21"/>
                <w:lang w:val="zh-CN"/>
              </w:rPr>
              <w:t>许昌市中级人民法院</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zh-CN"/>
              </w:rPr>
              <w:t>许昌市前进路中段</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zh-CN"/>
              </w:rPr>
              <w:t>王冲</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03742929015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许昌市政府采购服务中心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联系人：杨女士                电话：0374-2962805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无须提供信用记录查询结果网页截屏。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229900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12</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二</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2、开启及询价地点：许昌市公共资源交易中心四楼</w:t>
            </w:r>
            <w:r>
              <w:rPr>
                <w:rFonts w:hint="eastAsia" w:cs="仿宋_GB2312" w:asciiTheme="minorEastAsia" w:hAnsiTheme="minorEastAsia"/>
                <w:color w:val="000000"/>
                <w:szCs w:val="21"/>
                <w:lang w:eastAsia="zh-CN"/>
              </w:rPr>
              <w:t>谈判</w:t>
            </w:r>
            <w:r>
              <w:rPr>
                <w:rFonts w:hint="eastAsia" w:cs="仿宋_GB2312" w:asciiTheme="minorEastAsia" w:hAnsiTheme="minorEastAsia"/>
                <w:color w:val="000000"/>
                <w:szCs w:val="21"/>
                <w:lang w:val="en-US" w:eastAsia="zh-CN"/>
              </w:rPr>
              <w:t>一</w:t>
            </w:r>
            <w:r>
              <w:rPr>
                <w:rFonts w:hint="eastAsia" w:cs="仿宋_GB2312" w:asciiTheme="minorEastAsia" w:hAnsiTheme="minorEastAsia"/>
                <w:color w:val="0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送响应报价及分项报价一览表（包含主要成交标的的名称、规格型号、数量、单价、服务要求等）电子文档，并同时电话告知交易见证部。联系电话：0374-2966828；邮箱：jzb2968027@163.com。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w:t>
            </w:r>
            <w:r>
              <w:rPr>
                <w:rFonts w:hint="eastAsia" w:ascii="ˎ̥" w:hAnsi="ˎ̥"/>
                <w:lang w:eastAsia="zh-CN"/>
              </w:rPr>
              <w:t>响应</w:t>
            </w:r>
            <w:r>
              <w:rPr>
                <w:rFonts w:hint="eastAsia" w:ascii="ˎ̥" w:hAnsi="ˎ̥"/>
              </w:rPr>
              <w:t>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hint="eastAsia"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990" w:leftChars="403" w:hanging="144" w:hangingChars="69"/>
        <w:contextualSpacing/>
        <w:rPr>
          <w:rFonts w:hint="eastAsia" w:cs="宋体" w:asciiTheme="minorEastAsia" w:hAnsiTheme="minorEastAsia"/>
          <w:kern w:val="0"/>
          <w:szCs w:val="21"/>
        </w:rPr>
      </w:pPr>
      <w:r>
        <w:rPr>
          <w:rFonts w:hint="eastAsia" w:cs="宋体" w:asciiTheme="minorEastAsia" w:hAnsiTheme="minorEastAsia"/>
          <w:kern w:val="0"/>
          <w:szCs w:val="21"/>
        </w:rPr>
        <w:t>（5）供应商无须提供信用记录查询结果网页截屏。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autoSpaceDE w:val="0"/>
        <w:autoSpaceDN w:val="0"/>
        <w:spacing w:line="360" w:lineRule="auto"/>
        <w:contextualSpacing/>
        <w:rPr>
          <w:rFonts w:cs="宋体" w:asciiTheme="minorEastAsia" w:hAnsiTheme="minorEastAsia"/>
          <w:b/>
          <w:kern w:val="0"/>
          <w:szCs w:val="21"/>
        </w:rPr>
      </w:pP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w:t>
      </w:r>
      <w:r>
        <w:rPr>
          <w:rFonts w:hint="eastAsia" w:ascii="ˎ̥" w:hAnsi="ˎ̥"/>
          <w:lang w:eastAsia="zh-CN"/>
        </w:rPr>
        <w:t>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w:t>
      </w:r>
      <w:r>
        <w:rPr>
          <w:rFonts w:hint="eastAsia" w:ascii="ˎ̥" w:hAnsi="ˎ̥"/>
          <w:lang w:eastAsia="zh-CN"/>
        </w:rPr>
        <w:t>响应</w:t>
      </w:r>
      <w:r>
        <w:rPr>
          <w:rFonts w:hint="eastAsia" w:ascii="ˎ̥" w:hAnsi="ˎ̥"/>
        </w:rPr>
        <w:t>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hint="eastAsia"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hint="eastAsia" w:asciiTheme="minorEastAsia" w:hAnsiTheme="minorEastAsia"/>
                <w:bCs/>
                <w:szCs w:val="21"/>
              </w:rPr>
            </w:pPr>
            <w:r>
              <w:rPr>
                <w:rFonts w:hint="eastAsia" w:asciiTheme="minorEastAsia" w:hAnsiTheme="minorEastAsia"/>
                <w:bCs/>
                <w:szCs w:val="21"/>
              </w:rPr>
              <w:t>（3）信用信息查询记录和证据留存具体方式：经询价小组</w:t>
            </w:r>
            <w:r>
              <w:rPr>
                <w:rFonts w:hint="eastAsia" w:asciiTheme="minorEastAsia" w:hAnsiTheme="minorEastAsia"/>
                <w:bCs/>
                <w:szCs w:val="21"/>
              </w:rPr>
              <w:t>确认的查询结果网页截图作为查询记录和证据，与其他采购文件一并保存；</w:t>
            </w:r>
          </w:p>
          <w:p>
            <w:pPr>
              <w:spacing w:line="360" w:lineRule="auto"/>
              <w:rPr>
                <w:rFonts w:hint="eastAsia" w:asciiTheme="minorEastAsia" w:hAnsiTheme="minorEastAsia"/>
                <w:bCs/>
                <w:szCs w:val="21"/>
              </w:rPr>
            </w:pPr>
            <w:r>
              <w:rPr>
                <w:rFonts w:hint="eastAsia" w:asciiTheme="minorEastAsia" w:hAnsiTheme="minorEastAsia"/>
                <w:bCs/>
                <w:szCs w:val="21"/>
              </w:rPr>
              <w:t>（4）信用信息的使用原则：经询价小组</w:t>
            </w:r>
            <w:r>
              <w:rPr>
                <w:rFonts w:hint="eastAsia" w:asciiTheme="minorEastAsia" w:hAnsiTheme="minorEastAsia"/>
                <w:bCs/>
                <w:szCs w:val="21"/>
              </w:rPr>
              <w:t>确认认定的被列入失信被执行人、重大税收</w:t>
            </w:r>
            <w:bookmarkStart w:id="2" w:name="_GoBack"/>
            <w:bookmarkEnd w:id="2"/>
            <w:r>
              <w:rPr>
                <w:rFonts w:hint="eastAsia" w:asciiTheme="minorEastAsia" w:hAnsiTheme="minorEastAsia"/>
                <w:bCs/>
                <w:szCs w:val="21"/>
              </w:rPr>
              <w:t>违法案件当事人名单、政府采购严重违法失信行为记录名单、严重违法失信社会组织名单</w:t>
            </w:r>
            <w:r>
              <w:rPr>
                <w:rFonts w:hint="eastAsia" w:asciiTheme="minorEastAsia" w:hAnsiTheme="minorEastAsia"/>
                <w:bCs/>
                <w:szCs w:val="21"/>
              </w:rPr>
              <w:t>的供应商，将拒绝其参与本次政府采购活动。</w:t>
            </w:r>
          </w:p>
          <w:p>
            <w:pPr>
              <w:spacing w:line="360" w:lineRule="auto"/>
              <w:rPr>
                <w:rFonts w:asciiTheme="minorEastAsia" w:hAnsiTheme="minorEastAsia"/>
                <w:b/>
                <w:bCs/>
                <w:szCs w:val="21"/>
              </w:rPr>
            </w:pPr>
            <w:r>
              <w:rPr>
                <w:rFonts w:hint="eastAsia" w:asciiTheme="minorEastAsia" w:hAnsiTheme="minorEastAsia"/>
                <w:bCs/>
                <w:szCs w:val="21"/>
              </w:rPr>
              <w:t>（5）供应商无须提供信用记录查询结果网页截屏。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widowControl/>
        <w:jc w:val="left"/>
        <w:rPr>
          <w:rFonts w:cs="黑体" w:asciiTheme="minorEastAsia" w:hAnsiTheme="minorEastAsia"/>
          <w:b/>
          <w:bCs/>
          <w:sz w:val="28"/>
          <w:szCs w:val="28"/>
          <w:lang w:val="zh-CN"/>
        </w:rPr>
      </w:pPr>
      <w:r>
        <w:rPr>
          <w:rFonts w:cs="黑体" w:asciiTheme="minorEastAsia" w:hAnsiTheme="minorEastAsia"/>
          <w:sz w:val="28"/>
          <w:szCs w:val="28"/>
          <w:lang w:val="zh-CN"/>
        </w:rPr>
        <w:br w:type="page"/>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2、如询价公告明确项目交付日期以年为单位，本表应填写完成该项目的年限。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_（项目名称、招标编号）采购的询价公告及采购邀请，_______（姓名和职务）被正式授权并代表供应商（供应商名称、地址）提交。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我方确认收到贵方提供的（项目名称、项目编号）询价文件的全部内容。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我方同意在本项目询价文件中规定的开标日起90天内遵守本询价文件中的承诺且在此期限期满之前均具有约束力。我方同意并遵守本询价文件“投标人须知”中第十四条第三款关于延长投标有效期的规定。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所有与本项目询价有关的一切正式往来请寄：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r>
        <w:rPr>
          <w:rFonts w:hint="eastAsia" w:ascii="ˎ̥" w:hAnsi="ˎ̥"/>
          <w:color w:val="FF0000"/>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rPr>
      </w:pP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三、除因不可抗力或询价文件认可的情形以外，中标后不与采购人签订合同；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五、法律法规及本询价文件规定的其他严重违法行为。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widowControl/>
        <w:jc w:val="left"/>
        <w:rPr>
          <w:rFonts w:cs="黑体" w:asciiTheme="minorEastAsia" w:hAnsiTheme="minorEastAsia"/>
          <w:b/>
          <w:bCs/>
          <w:sz w:val="28"/>
          <w:szCs w:val="28"/>
          <w:lang w:val="zh-CN"/>
        </w:rPr>
      </w:pPr>
      <w:r>
        <w:rPr>
          <w:rFonts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询价文件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 w:val="24"/>
          <w:szCs w:val="24"/>
          <w:lang w:val="zh-CN"/>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r>
        <w:rPr>
          <w:rFonts w:hint="eastAsia" w:cs="宋体" w:asciiTheme="minorEastAsia" w:hAnsiTheme="minorEastAsia"/>
          <w:szCs w:val="21"/>
          <w:u w:val="single"/>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ordWrap w:val="0"/>
        <w:snapToGrid w:val="0"/>
        <w:spacing w:line="500" w:lineRule="exact"/>
        <w:jc w:val="right"/>
        <w:rPr>
          <w:rFonts w:cs="宋体" w:asciiTheme="minorEastAsia" w:hAnsiTheme="minorEastAsia"/>
          <w:szCs w:val="21"/>
          <w:lang w:val="zh-CN"/>
        </w:rPr>
      </w:pP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napToGrid w:val="0"/>
        <w:spacing w:line="500" w:lineRule="exact"/>
        <w:rPr>
          <w:rFonts w:cs="宋体" w:asciiTheme="minorEastAsia" w:hAnsiTheme="minorEastAsia"/>
          <w:szCs w:val="21"/>
          <w:lang w:val="zh-CN"/>
        </w:rPr>
      </w:pPr>
      <w:r>
        <w:rPr>
          <w:rFonts w:hint="eastAsia" w:ascii="宋体" w:hAnsi="宋体"/>
          <w:szCs w:val="21"/>
        </w:rPr>
        <w:t xml:space="preserve">                                   </w:t>
      </w: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供应商名称（并加盖公章）：</w:t>
      </w:r>
      <w:r>
        <w:rPr>
          <w:rFonts w:hint="eastAsia" w:cs="宋体" w:asciiTheme="minorEastAsia" w:hAnsiTheme="minorEastAsia"/>
          <w:szCs w:val="21"/>
          <w:u w:val="single"/>
        </w:rPr>
        <w:t xml:space="preserve">               </w:t>
      </w: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widowControl/>
        <w:jc w:val="left"/>
        <w:rPr>
          <w:rFonts w:cs="黑体" w:asciiTheme="minorEastAsia" w:hAnsiTheme="minorEastAsia"/>
          <w:b/>
          <w:bCs/>
          <w:sz w:val="28"/>
          <w:szCs w:val="28"/>
          <w:lang w:val="zh-CN"/>
        </w:rPr>
      </w:pPr>
      <w:r>
        <w:rPr>
          <w:rFonts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D0A32"/>
    <w:multiLevelType w:val="singleLevel"/>
    <w:tmpl w:val="B3ED0A3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27112"/>
    <w:rsid w:val="0003056A"/>
    <w:rsid w:val="000311FB"/>
    <w:rsid w:val="000321D2"/>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37B"/>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8429E"/>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5CA"/>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C3E42"/>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316"/>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A119F"/>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9C2"/>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916"/>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36CB"/>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14"/>
    <w:rsid w:val="009407DF"/>
    <w:rsid w:val="00943698"/>
    <w:rsid w:val="00944C89"/>
    <w:rsid w:val="009462A9"/>
    <w:rsid w:val="009471BE"/>
    <w:rsid w:val="00947FB1"/>
    <w:rsid w:val="009509B0"/>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4BCF"/>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BF3A6A"/>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231B"/>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1C02"/>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3062"/>
    <w:rsid w:val="00F75216"/>
    <w:rsid w:val="00F847FE"/>
    <w:rsid w:val="00F849D7"/>
    <w:rsid w:val="00F84C4F"/>
    <w:rsid w:val="00F85FCF"/>
    <w:rsid w:val="00F8646D"/>
    <w:rsid w:val="00F86489"/>
    <w:rsid w:val="00F87042"/>
    <w:rsid w:val="00F8732C"/>
    <w:rsid w:val="00F908B9"/>
    <w:rsid w:val="00F90D82"/>
    <w:rsid w:val="00F92C08"/>
    <w:rsid w:val="00F95851"/>
    <w:rsid w:val="00F95BFD"/>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53F5432"/>
    <w:rsid w:val="056A3613"/>
    <w:rsid w:val="064E7C45"/>
    <w:rsid w:val="0689457F"/>
    <w:rsid w:val="09466102"/>
    <w:rsid w:val="0C4C440E"/>
    <w:rsid w:val="0CAE7D79"/>
    <w:rsid w:val="0F492F98"/>
    <w:rsid w:val="100B4F00"/>
    <w:rsid w:val="11BE2195"/>
    <w:rsid w:val="125B4D4A"/>
    <w:rsid w:val="13A552B4"/>
    <w:rsid w:val="13BA773F"/>
    <w:rsid w:val="14214638"/>
    <w:rsid w:val="149819C8"/>
    <w:rsid w:val="14A551FD"/>
    <w:rsid w:val="15EE44D7"/>
    <w:rsid w:val="18EC1332"/>
    <w:rsid w:val="197B011F"/>
    <w:rsid w:val="1BC27E34"/>
    <w:rsid w:val="1C317F37"/>
    <w:rsid w:val="1C527EEE"/>
    <w:rsid w:val="1D90357B"/>
    <w:rsid w:val="1F1D3DE6"/>
    <w:rsid w:val="1F91478F"/>
    <w:rsid w:val="21DF17AC"/>
    <w:rsid w:val="226B1BF9"/>
    <w:rsid w:val="22A3334A"/>
    <w:rsid w:val="22B643D4"/>
    <w:rsid w:val="24EF53E7"/>
    <w:rsid w:val="25720679"/>
    <w:rsid w:val="273E0CD6"/>
    <w:rsid w:val="27906B64"/>
    <w:rsid w:val="27B5253B"/>
    <w:rsid w:val="28C14DE2"/>
    <w:rsid w:val="29167A59"/>
    <w:rsid w:val="29497C46"/>
    <w:rsid w:val="2A7C16A5"/>
    <w:rsid w:val="2C2E4C48"/>
    <w:rsid w:val="2CA869F7"/>
    <w:rsid w:val="2D5F028F"/>
    <w:rsid w:val="2F45482D"/>
    <w:rsid w:val="2F477084"/>
    <w:rsid w:val="305F0D15"/>
    <w:rsid w:val="307D673F"/>
    <w:rsid w:val="3261507D"/>
    <w:rsid w:val="32B20743"/>
    <w:rsid w:val="34FC2A14"/>
    <w:rsid w:val="35306958"/>
    <w:rsid w:val="38E07147"/>
    <w:rsid w:val="38F2636A"/>
    <w:rsid w:val="391E6950"/>
    <w:rsid w:val="398D7BAC"/>
    <w:rsid w:val="3A1A525E"/>
    <w:rsid w:val="3B380893"/>
    <w:rsid w:val="3CB75059"/>
    <w:rsid w:val="3D96637E"/>
    <w:rsid w:val="428970D1"/>
    <w:rsid w:val="42F34EC2"/>
    <w:rsid w:val="432A11D7"/>
    <w:rsid w:val="43722911"/>
    <w:rsid w:val="45BD0A59"/>
    <w:rsid w:val="460C19EE"/>
    <w:rsid w:val="46366161"/>
    <w:rsid w:val="46E35449"/>
    <w:rsid w:val="473960E8"/>
    <w:rsid w:val="4739710B"/>
    <w:rsid w:val="485128BA"/>
    <w:rsid w:val="49574371"/>
    <w:rsid w:val="4CF92757"/>
    <w:rsid w:val="4D005CCE"/>
    <w:rsid w:val="4DB63C13"/>
    <w:rsid w:val="4E105B49"/>
    <w:rsid w:val="4E424EA4"/>
    <w:rsid w:val="4F15704E"/>
    <w:rsid w:val="4F6A19D7"/>
    <w:rsid w:val="505F0174"/>
    <w:rsid w:val="51352836"/>
    <w:rsid w:val="52174F68"/>
    <w:rsid w:val="544C0545"/>
    <w:rsid w:val="55C81208"/>
    <w:rsid w:val="58A31F4C"/>
    <w:rsid w:val="59C14EFE"/>
    <w:rsid w:val="5B1F549D"/>
    <w:rsid w:val="5C9674DB"/>
    <w:rsid w:val="5CB139A0"/>
    <w:rsid w:val="614E3A65"/>
    <w:rsid w:val="61742D12"/>
    <w:rsid w:val="620F1BE0"/>
    <w:rsid w:val="62293B9B"/>
    <w:rsid w:val="644124B5"/>
    <w:rsid w:val="64AA2BFF"/>
    <w:rsid w:val="66652593"/>
    <w:rsid w:val="67341FB4"/>
    <w:rsid w:val="69FB4D8B"/>
    <w:rsid w:val="6D32159C"/>
    <w:rsid w:val="70CF3B44"/>
    <w:rsid w:val="73971171"/>
    <w:rsid w:val="739A63AC"/>
    <w:rsid w:val="751E5EE2"/>
    <w:rsid w:val="755E1E93"/>
    <w:rsid w:val="75AB4839"/>
    <w:rsid w:val="75AB7275"/>
    <w:rsid w:val="767C5E46"/>
    <w:rsid w:val="76B625A7"/>
    <w:rsid w:val="78AF68A0"/>
    <w:rsid w:val="7AD348A0"/>
    <w:rsid w:val="7C745A72"/>
    <w:rsid w:val="7C8270B4"/>
    <w:rsid w:val="7E4C7A10"/>
    <w:rsid w:val="7E583278"/>
    <w:rsid w:val="7E733E2A"/>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7E700-2AEB-4D82-A30D-CA86F62933D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4826</Words>
  <Characters>27509</Characters>
  <Lines>229</Lines>
  <Paragraphs>64</Paragraphs>
  <TotalTime>4</TotalTime>
  <ScaleCrop>false</ScaleCrop>
  <LinksUpToDate>false</LinksUpToDate>
  <CharactersWithSpaces>32271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羊</cp:lastModifiedBy>
  <cp:lastPrinted>2019-08-09T02:20:00Z</cp:lastPrinted>
  <dcterms:modified xsi:type="dcterms:W3CDTF">2019-11-26T00:55:33Z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