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widowControl/>
        <w:shd w:val="clear" w:color="auto" w:fill="FFFFFF"/>
        <w:spacing w:line="420" w:lineRule="atLeast"/>
        <w:ind w:right="160"/>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许昌市财政信息管理中心“《国库支付电子化管理人行端系统软件》软件实施技术服务”</w:t>
      </w:r>
    </w:p>
    <w:p>
      <w:pPr>
        <w:widowControl/>
        <w:shd w:val="clear" w:color="auto" w:fill="FFFFFF"/>
        <w:spacing w:line="420" w:lineRule="atLeast"/>
        <w:ind w:right="160"/>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采　购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项目编号：ZFCG-D2019</w:t>
      </w:r>
      <w:r>
        <w:rPr>
          <w:rFonts w:hint="eastAsia" w:asciiTheme="majorEastAsia" w:hAnsiTheme="majorEastAsia" w:eastAsiaTheme="majorEastAsia" w:cstheme="majorEastAsia"/>
          <w:b/>
          <w:bCs/>
          <w:color w:val="000000"/>
          <w:sz w:val="36"/>
          <w:szCs w:val="36"/>
          <w:lang w:val="en-US" w:eastAsia="zh-CN"/>
        </w:rPr>
        <w:t>009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采购单位：许昌市财政信息管理中心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第三章 供应商须知前附表</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第四章 供应商须知</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合同书格式及合同条款</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jc w:val="center"/>
        <w:rPr>
          <w:rFonts w:cs="宋体" w:asciiTheme="majorEastAsia" w:hAnsiTheme="majorEastAsia" w:eastAsiaTheme="majorEastAsia"/>
          <w:b/>
          <w:kern w:val="0"/>
          <w:sz w:val="32"/>
          <w:szCs w:val="32"/>
        </w:rPr>
      </w:pPr>
    </w:p>
    <w:p>
      <w:pPr>
        <w:pStyle w:val="20"/>
        <w:widowControl/>
        <w:shd w:val="clear" w:color="auto" w:fill="FFFFFF"/>
        <w:spacing w:line="360" w:lineRule="auto"/>
        <w:contextualSpacing/>
        <w:jc w:val="left"/>
        <w:rPr>
          <w:rFonts w:ascii="仿宋_GB2312" w:hAnsi="仿宋_GB2312" w:eastAsia="仿宋_GB2312" w:cs="仿宋_GB2312"/>
          <w:color w:val="000000"/>
          <w:shd w:val="clear" w:color="auto" w:fill="FFFFFF"/>
        </w:rPr>
      </w:pPr>
      <w:r>
        <w:rPr>
          <w:rFonts w:hint="eastAsia" w:cs="仿宋_GB2312" w:asciiTheme="minorEastAsia" w:hAnsiTheme="minorEastAsia" w:eastAsiaTheme="minorEastAsia"/>
          <w:color w:val="000000"/>
          <w:shd w:val="clear" w:color="auto" w:fill="FFFFFF"/>
          <w:lang w:eastAsia="zh-CN"/>
        </w:rPr>
        <w:t>合肥金软信息技术有限公司</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cs="仿宋_GB2312" w:asciiTheme="minorEastAsia" w:hAnsiTheme="minorEastAsia" w:eastAsiaTheme="minorEastAsia"/>
          <w:color w:val="000000"/>
          <w:shd w:val="clear" w:color="auto" w:fill="FFFFFF"/>
        </w:rPr>
        <w:t>许昌市政府采购服务中心</w:t>
      </w:r>
      <w:r>
        <w:rPr>
          <w:rFonts w:hint="eastAsia" w:ascii="宋体" w:hAnsi="宋体" w:cs="仿宋_GB2312"/>
          <w:color w:val="000000"/>
          <w:shd w:val="clear" w:color="auto" w:fill="FFFFFF"/>
        </w:rPr>
        <w:t>(以下简称采购中心) 受许昌市财政信息管理中心的委托，对《国库支付电子化管理人行端系统软件》软件实施技术服务项目进行单一来源采购。现邀请你单位</w:t>
      </w:r>
      <w:r>
        <w:rPr>
          <w:rFonts w:hint="eastAsia" w:cs="仿宋_GB2312" w:asciiTheme="minorEastAsia" w:hAnsiTheme="minorEastAsia" w:eastAsiaTheme="minorEastAsia"/>
          <w:color w:val="000000"/>
          <w:shd w:val="clear" w:color="auto" w:fill="FFFFFF"/>
        </w:rPr>
        <w:t>就该项目的相关事宜前来谈判。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（一）项目名称：《国库支付电子化管理人行端系统软件》软件实施技术服务</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（二）项目编号：ZFCG-D2019</w:t>
      </w:r>
      <w:r>
        <w:rPr>
          <w:rFonts w:hint="eastAsia" w:cs="仿宋_GB2312" w:asciiTheme="minorEastAsia" w:hAnsiTheme="minorEastAsia" w:eastAsiaTheme="minorEastAsia"/>
          <w:color w:val="000000"/>
          <w:shd w:val="clear" w:color="auto" w:fill="FFFFFF"/>
          <w:lang w:val="en-US" w:eastAsia="zh-CN"/>
        </w:rPr>
        <w:t>009</w:t>
      </w:r>
      <w:r>
        <w:rPr>
          <w:rFonts w:hint="eastAsia" w:cs="仿宋_GB2312" w:asciiTheme="minorEastAsia" w:hAnsiTheme="minorEastAsia" w:eastAsiaTheme="minorEastAsia"/>
          <w:color w:val="000000"/>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（三）采购方式：单一来</w:t>
      </w:r>
      <w:bookmarkStart w:id="1" w:name="_GoBack"/>
      <w:bookmarkEnd w:id="1"/>
      <w:r>
        <w:rPr>
          <w:rFonts w:hint="eastAsia" w:cs="仿宋_GB2312" w:asciiTheme="minorEastAsia" w:hAnsiTheme="minorEastAsia" w:eastAsiaTheme="minorEastAsia"/>
          <w:color w:val="000000"/>
          <w:shd w:val="clear" w:color="auto" w:fill="FFFFFF"/>
        </w:rPr>
        <w:t xml:space="preserve">源采购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（四）项目主要内容、数量及要求：完成中国人民银行许昌市中心支行《国库支付电子化管理人行端系统软件》软件实施技术服务，实现国库资金清算电子化处理。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shd w:val="clear" w:color="auto" w:fill="FFFFFF"/>
          <w:lang w:val="en-US" w:eastAsia="zh-CN"/>
        </w:rPr>
        <w:t>16万</w:t>
      </w:r>
      <w:r>
        <w:rPr>
          <w:rFonts w:hint="eastAsia" w:cs="仿宋_GB2312" w:asciiTheme="minorEastAsia" w:hAnsiTheme="minorEastAsia" w:eastAsiaTheme="minorEastAsia"/>
          <w:color w:val="000000"/>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：自合同生效之日起15天。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（七）交付（服务、完工）地点：中国人民银行许昌市中心支行</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360" w:lineRule="auto"/>
        <w:ind w:firstLine="480" w:firstLineChars="20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三、谈判文件的获取</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w:t>
      </w:r>
      <w:r>
        <w:rPr>
          <w:rFonts w:hint="eastAsia" w:cs="仿宋_GB2312" w:asciiTheme="minorEastAsia" w:hAnsiTheme="minorEastAsia" w:eastAsiaTheme="minorEastAsia"/>
          <w:b/>
          <w:color w:val="000000"/>
          <w:shd w:val="clear" w:color="auto" w:fill="FFFFFF"/>
        </w:rPr>
        <w:t>响应文件提交截止时间及</w:t>
      </w:r>
      <w:r>
        <w:rPr>
          <w:rFonts w:hint="eastAsia" w:cs="黑体" w:asciiTheme="minorEastAsia" w:hAnsiTheme="minorEastAsia" w:eastAsiaTheme="minorEastAsia"/>
          <w:b/>
          <w:bCs/>
          <w:color w:val="000000"/>
          <w:shd w:val="clear" w:color="auto" w:fill="FFFFFF"/>
        </w:rPr>
        <w:t>地点</w:t>
      </w:r>
    </w:p>
    <w:p>
      <w:pPr>
        <w:pStyle w:val="20"/>
        <w:widowControl/>
        <w:shd w:val="clear" w:color="auto" w:fill="FFFFFF"/>
        <w:spacing w:line="360" w:lineRule="auto"/>
        <w:ind w:firstLine="420"/>
        <w:contextualSpacing/>
        <w:jc w:val="left"/>
        <w:rPr>
          <w:rFonts w:ascii="宋体" w:hAnsi="宋体" w:cs="微软雅黑"/>
        </w:rPr>
      </w:pPr>
      <w:r>
        <w:rPr>
          <w:rFonts w:hint="eastAsia" w:cs="仿宋_GB2312" w:asciiTheme="minorEastAsia" w:hAnsiTheme="minorEastAsia" w:eastAsiaTheme="minorEastAsia"/>
          <w:color w:val="000000"/>
          <w:shd w:val="clear" w:color="auto" w:fill="FFFFFF"/>
        </w:rPr>
        <w:t>（一）响应文件提交截止时间及</w:t>
      </w:r>
      <w:r>
        <w:rPr>
          <w:rFonts w:hint="eastAsia" w:cs="仿宋_GB2312" w:asciiTheme="minorEastAsia" w:hAnsiTheme="minorEastAsia" w:eastAsiaTheme="minorEastAsia"/>
          <w:color w:val="000000"/>
        </w:rPr>
        <w:t>谈判时间：2019年</w:t>
      </w:r>
      <w:r>
        <w:rPr>
          <w:rFonts w:hint="eastAsia" w:cs="仿宋_GB2312" w:asciiTheme="minorEastAsia" w:hAnsiTheme="minorEastAsia" w:eastAsiaTheme="minorEastAsia"/>
          <w:color w:val="000000"/>
          <w:lang w:val="en-US" w:eastAsia="zh-CN"/>
        </w:rPr>
        <w:t>12</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分（北京时间），逾期送达或不符合规定的响应文件</w:t>
      </w:r>
      <w:r>
        <w:rPr>
          <w:rFonts w:hint="eastAsia" w:ascii="宋体" w:hAnsi="宋体" w:cs="微软雅黑"/>
        </w:rPr>
        <w:t>恕不接受。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（二）谈判响应文件递交地点：许昌市公共资源交易中心（许昌市龙兴路与竹林路交汇处创业服务中心C座）三楼开标</w:t>
      </w:r>
      <w:r>
        <w:rPr>
          <w:rFonts w:hint="eastAsia" w:cs="仿宋_GB2312" w:asciiTheme="minorEastAsia" w:hAnsiTheme="minorEastAsia" w:eastAsiaTheme="minorEastAsia"/>
          <w:color w:val="000000"/>
          <w:lang w:eastAsia="zh-CN"/>
        </w:rPr>
        <w:t>一</w:t>
      </w:r>
      <w:r>
        <w:rPr>
          <w:rFonts w:hint="eastAsia" w:cs="仿宋_GB2312" w:asciiTheme="minorEastAsia" w:hAnsiTheme="minorEastAsia" w:eastAsiaTheme="minorEastAsia"/>
          <w:color w:val="000000"/>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（三）谈判响应文件开启及谈判地点：许昌市公共资源交易中心（</w:t>
      </w:r>
      <w:r>
        <w:rPr>
          <w:rFonts w:cs="仿宋_GB2312"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创业服务中心C座）四楼谈判</w:t>
      </w:r>
      <w:r>
        <w:rPr>
          <w:rFonts w:hint="eastAsia" w:cs="仿宋_GB2312" w:asciiTheme="minorEastAsia" w:hAnsiTheme="minorEastAsia" w:eastAsiaTheme="minorEastAsia"/>
          <w:color w:val="000000"/>
          <w:lang w:eastAsia="zh-CN"/>
        </w:rPr>
        <w:t>一</w:t>
      </w:r>
      <w:r>
        <w:rPr>
          <w:rFonts w:hint="eastAsia" w:cs="仿宋_GB2312" w:asciiTheme="minorEastAsia" w:hAnsiTheme="minorEastAsia" w:eastAsiaTheme="minorEastAsia"/>
          <w:color w:val="000000"/>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（四）本项目为全流程电子化交易项目，供应商须提交电子响应文件和纸质响应文件。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1、加密电子响应文件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在谈判响应截止时间（谈判时间）前通过《全国公共资源交易平台(河南省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cs="仿宋_GB2312" w:asciiTheme="minorEastAsia" w:hAnsiTheme="minorEastAsia" w:eastAsiaTheme="minorEastAsia"/>
          <w:color w:val="000000"/>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2、纸质响应文件（正本、副本各1份）和备份文件1份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六、</w:t>
      </w:r>
      <w:r>
        <w:rPr>
          <w:rFonts w:hint="eastAsia" w:cs="黑体" w:asciiTheme="minorEastAsia" w:hAnsiTheme="minorEastAsia" w:eastAsiaTheme="minorEastAsia"/>
          <w:b/>
          <w:bCs/>
          <w:color w:val="000000"/>
        </w:rPr>
        <w:t>联系方式</w:t>
      </w:r>
    </w:p>
    <w:p>
      <w:pPr>
        <w:adjustRightInd w:val="0"/>
        <w:spacing w:line="360" w:lineRule="auto"/>
        <w:ind w:firstLine="964" w:firstLineChars="400"/>
        <w:contextualSpacing/>
        <w:jc w:val="left"/>
        <w:rPr>
          <w:rFonts w:hint="eastAsia" w:cs="仿宋_GB2312" w:asciiTheme="minorEastAsia" w:hAnsiTheme="minorEastAsia" w:eastAsiaTheme="minorEastAsia"/>
          <w:color w:val="000000"/>
          <w:kern w:val="2"/>
          <w:sz w:val="24"/>
          <w:szCs w:val="24"/>
          <w:lang w:val="en-US" w:eastAsia="zh-CN" w:bidi="ar-SA"/>
        </w:rPr>
      </w:pPr>
      <w:r>
        <w:rPr>
          <w:rFonts w:hint="eastAsia" w:ascii="宋体" w:hAnsi="宋体"/>
          <w:b/>
          <w:sz w:val="24"/>
          <w:szCs w:val="24"/>
        </w:rPr>
        <w:t>采购人</w:t>
      </w:r>
      <w:r>
        <w:rPr>
          <w:rFonts w:hint="eastAsia" w:ascii="宋体" w:hAnsi="宋体"/>
          <w:sz w:val="24"/>
          <w:szCs w:val="24"/>
        </w:rPr>
        <w:t>：</w:t>
      </w:r>
      <w:r>
        <w:rPr>
          <w:rFonts w:hint="eastAsia" w:cs="仿宋_GB2312" w:asciiTheme="minorEastAsia" w:hAnsiTheme="minorEastAsia" w:eastAsiaTheme="minorEastAsia"/>
          <w:color w:val="000000"/>
          <w:kern w:val="2"/>
          <w:sz w:val="24"/>
          <w:szCs w:val="24"/>
          <w:lang w:val="en-US" w:eastAsia="zh-CN" w:bidi="ar-SA"/>
        </w:rPr>
        <w:t>许昌市财政信息管理中心</w:t>
      </w:r>
    </w:p>
    <w:p>
      <w:pPr>
        <w:adjustRightInd w:val="0"/>
        <w:spacing w:line="360" w:lineRule="auto"/>
        <w:ind w:firstLine="960" w:firstLineChars="400"/>
        <w:contextualSpacing/>
        <w:jc w:val="lef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地址：许昌市建安大道东段3099号</w:t>
      </w:r>
    </w:p>
    <w:p>
      <w:pPr>
        <w:adjustRightInd w:val="0"/>
        <w:spacing w:line="360" w:lineRule="auto"/>
        <w:ind w:firstLine="960" w:firstLineChars="400"/>
        <w:contextualSpacing/>
        <w:jc w:val="lef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联系人：郝东珂                   联系电话：18637419006</w:t>
      </w:r>
    </w:p>
    <w:p>
      <w:pPr>
        <w:adjustRightInd w:val="0"/>
        <w:spacing w:line="360" w:lineRule="auto"/>
        <w:ind w:firstLine="964" w:firstLineChars="400"/>
        <w:contextualSpacing/>
        <w:jc w:val="left"/>
        <w:rPr>
          <w:rFonts w:ascii="宋体" w:hAnsi="宋体"/>
          <w:sz w:val="24"/>
          <w:szCs w:val="24"/>
        </w:rPr>
      </w:pPr>
      <w:r>
        <w:rPr>
          <w:rFonts w:hint="eastAsia" w:ascii="宋体" w:hAnsi="宋体"/>
          <w:b/>
          <w:sz w:val="24"/>
          <w:szCs w:val="24"/>
        </w:rPr>
        <w:t>集中采购机构</w:t>
      </w:r>
      <w:r>
        <w:rPr>
          <w:rFonts w:hint="eastAsia" w:ascii="宋体" w:hAnsi="宋体"/>
          <w:sz w:val="24"/>
          <w:szCs w:val="24"/>
        </w:rPr>
        <w:t xml:space="preserve">：许昌市政府采购服务中心 </w:t>
      </w:r>
    </w:p>
    <w:p>
      <w:pPr>
        <w:adjustRightInd w:val="0"/>
        <w:spacing w:line="360" w:lineRule="auto"/>
        <w:ind w:firstLine="960" w:firstLineChars="400"/>
        <w:contextualSpacing/>
        <w:jc w:val="left"/>
        <w:rPr>
          <w:rFonts w:hint="eastAsia" w:cs="仿宋_GB2312" w:asciiTheme="minorEastAsia" w:hAnsiTheme="minorEastAsia" w:eastAsiaTheme="minorEastAsia"/>
          <w:color w:val="000000"/>
          <w:kern w:val="2"/>
          <w:sz w:val="24"/>
          <w:szCs w:val="24"/>
          <w:lang w:val="en-US" w:eastAsia="zh-CN" w:bidi="ar-SA"/>
        </w:rPr>
      </w:pPr>
      <w:r>
        <w:rPr>
          <w:rFonts w:hint="eastAsia" w:ascii="宋体" w:hAnsi="宋体"/>
          <w:sz w:val="24"/>
          <w:szCs w:val="24"/>
        </w:rPr>
        <w:t>地址：</w:t>
      </w:r>
      <w:r>
        <w:rPr>
          <w:rFonts w:hint="eastAsia" w:cs="仿宋_GB2312" w:asciiTheme="minorEastAsia" w:hAnsiTheme="minorEastAsia" w:eastAsiaTheme="minorEastAsia"/>
          <w:color w:val="000000"/>
          <w:kern w:val="2"/>
          <w:sz w:val="24"/>
          <w:szCs w:val="24"/>
          <w:lang w:val="en-US" w:eastAsia="zh-CN" w:bidi="ar-SA"/>
        </w:rPr>
        <w:t>许昌市龙兴路与竹林路交汇处创业服务中心C座</w:t>
      </w:r>
    </w:p>
    <w:p>
      <w:pPr>
        <w:adjustRightInd w:val="0"/>
        <w:spacing w:line="360" w:lineRule="auto"/>
        <w:ind w:firstLine="960" w:firstLineChars="400"/>
        <w:contextualSpacing/>
        <w:jc w:val="left"/>
        <w:rPr>
          <w:rFonts w:hint="default" w:ascii="宋体" w:hAnsi="宋体" w:eastAsiaTheme="minorEastAsia"/>
          <w:sz w:val="24"/>
          <w:szCs w:val="24"/>
          <w:lang w:val="en-US" w:eastAsia="zh-CN"/>
        </w:rPr>
      </w:pPr>
      <w:r>
        <w:rPr>
          <w:rFonts w:hint="eastAsia" w:cs="仿宋_GB2312" w:asciiTheme="minorEastAsia" w:hAnsiTheme="minorEastAsia" w:eastAsiaTheme="minorEastAsia"/>
          <w:color w:val="000000"/>
          <w:kern w:val="2"/>
          <w:sz w:val="24"/>
          <w:szCs w:val="24"/>
          <w:lang w:val="en-US" w:eastAsia="zh-CN" w:bidi="ar-SA"/>
        </w:rPr>
        <w:t>联系人：杨女士                           联系电话：</w:t>
      </w:r>
      <w:bookmarkStart w:id="0" w:name="联系人电话"/>
      <w:r>
        <w:rPr>
          <w:rFonts w:hint="eastAsia" w:cs="仿宋_GB2312" w:asciiTheme="minorEastAsia" w:hAnsiTheme="minorEastAsia" w:eastAsiaTheme="minorEastAsia"/>
          <w:color w:val="000000"/>
          <w:kern w:val="2"/>
          <w:sz w:val="24"/>
          <w:szCs w:val="24"/>
          <w:lang w:val="en-US" w:eastAsia="zh-CN" w:bidi="ar-SA"/>
        </w:rPr>
        <w:t>0</w:t>
      </w:r>
      <w:bookmarkEnd w:id="0"/>
      <w:r>
        <w:rPr>
          <w:rFonts w:hint="eastAsia" w:cs="仿宋_GB2312" w:asciiTheme="minorEastAsia" w:hAnsiTheme="minorEastAsia" w:eastAsiaTheme="minorEastAsia"/>
          <w:color w:val="000000"/>
          <w:kern w:val="2"/>
          <w:sz w:val="24"/>
          <w:szCs w:val="24"/>
          <w:lang w:val="en-US" w:eastAsia="zh-CN" w:bidi="ar-SA"/>
        </w:rPr>
        <w:t>374-</w:t>
      </w:r>
      <w:r>
        <w:rPr>
          <w:rFonts w:hint="eastAsia" w:ascii="宋体" w:hAnsi="宋体"/>
          <w:sz w:val="24"/>
          <w:szCs w:val="24"/>
        </w:rPr>
        <w:t>296</w:t>
      </w:r>
      <w:r>
        <w:rPr>
          <w:rFonts w:hint="eastAsia" w:ascii="宋体" w:hAnsi="宋体"/>
          <w:sz w:val="24"/>
          <w:szCs w:val="24"/>
          <w:lang w:val="en-US" w:eastAsia="zh-CN"/>
        </w:rPr>
        <w:t>2805</w:t>
      </w: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right"/>
        <w:rPr>
          <w:rFonts w:ascii="宋体" w:hAnsi="宋体"/>
          <w:sz w:val="24"/>
          <w:szCs w:val="24"/>
        </w:rPr>
      </w:pPr>
      <w:r>
        <w:rPr>
          <w:rFonts w:hint="eastAsia" w:ascii="宋体" w:hAnsi="宋体"/>
          <w:sz w:val="24"/>
          <w:szCs w:val="24"/>
        </w:rPr>
        <w:t>二〇一九年</w:t>
      </w:r>
      <w:r>
        <w:rPr>
          <w:rFonts w:hint="eastAsia" w:ascii="宋体" w:hAnsi="宋体"/>
          <w:sz w:val="24"/>
          <w:szCs w:val="24"/>
          <w:lang w:eastAsia="zh-CN"/>
        </w:rPr>
        <w:t>十一</w:t>
      </w:r>
      <w:r>
        <w:rPr>
          <w:rFonts w:hint="eastAsia" w:ascii="宋体" w:hAnsi="宋体"/>
          <w:sz w:val="24"/>
          <w:szCs w:val="24"/>
        </w:rPr>
        <w:t>月</w:t>
      </w:r>
      <w:r>
        <w:rPr>
          <w:rFonts w:hint="eastAsia" w:ascii="宋体" w:hAnsi="宋体"/>
          <w:sz w:val="24"/>
          <w:szCs w:val="24"/>
          <w:lang w:eastAsia="zh-CN"/>
        </w:rPr>
        <w:t>二十六</w:t>
      </w:r>
      <w:r>
        <w:rPr>
          <w:rFonts w:hint="eastAsia" w:ascii="宋体" w:hAnsi="宋体"/>
          <w:sz w:val="24"/>
          <w:szCs w:val="24"/>
        </w:rPr>
        <w:t>日</w:t>
      </w: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left"/>
        <w:rPr>
          <w:rFonts w:ascii="宋体" w:hAnsi="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电子文件下载、制作、提交期间和谈判响应文件递交（</w:t>
      </w:r>
      <w:r>
        <w:rPr>
          <w:rFonts w:hint="eastAsia" w:hAnsi="宋体"/>
          <w:sz w:val="24"/>
          <w:szCs w:val="24"/>
        </w:rPr>
        <w:t>电子响应文件的解密</w:t>
      </w:r>
      <w:r>
        <w:rPr>
          <w:rFonts w:hint="eastAsia" w:hAnsi="宋体"/>
          <w:b/>
          <w:color w:val="000000"/>
          <w:sz w:val="24"/>
          <w:szCs w:val="24"/>
        </w:rPr>
        <w:t>）环节，供应商须使用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采用财政部统一的电子凭证库系统实现电子凭证库间传输、电子凭证印章加盖和验证、电子凭证数字证书签名验签、电子凭证保管、电子凭证库间对账等功能，财政支出无纸化联网推广系统侧重于实现报文格式转换、要素补录等功能，主要功能如下：</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（1）支持从电子凭证库读取额度、实拨资金电子凭证信息</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（2）支持从电子凭证库读取财政、商业银行对账数据信息</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（3）支持从电子凭证库读取商行划款申请和退款申请数据</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（4）支持向电子凭证库返回签收结果信息</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（5）支持将财政额度和实拨资金电子凭证数据转换为TIPS接口报文</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（6）支持采用电子凭证库配套OCX控件对额度回单和实拨资金回单进行盖章</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（7）支持采用电子凭证库配套OCX控件对划款申请回单和退款申请回单进行盖章</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（8）支持采用电子凭证库配套OCX控件对预算收入报表进行盖章</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（9）支持向电子凭证库返回额度和实拨资金电子回单信息</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（10）支持向电子凭证库返回划款申请和退款申请回单信息</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（11）支持存储预算收入报表并向电子凭证库返回</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（12）支持每日与电子凭证库核对财政、商业银行数据</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（13）支持每月与电子凭证库核对财政额度和清算数据</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（14）支持查询、打印电子凭证信息（采用电子凭证库配套OCX控件）</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（15）支持导出集中支付额度电子文件（TBS格式）</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（16）支持导出集中支付划款\退款申请文件（TBS格式）</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（17）支持导出实拨资金电子文件（TBS格式）</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（18）支持处理TIPS（上下行）的对账报文（与财政相关）</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（19）支持处理TIPS（上下行）的辅助报文（与财政相关）</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（20）支持存储、转发TIPS电子税票数据</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（21）支持存储、转发TCBS入库流水数据</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（22）提供操作员补录支付系统行号数据功能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（23）提供核算主体参数维护功能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（24）提供国库机构参数维护功能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（25）提供财政机构参数维护功能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（26）提供操作员、角色、权限维护功能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（27）提供操作员登录、退出等辅助管理功能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（28）提供操作日志记载和检索功能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（29）提供电子凭证库接口调用日志记载和检索功能</w:t>
      </w:r>
    </w:p>
    <w:p>
      <w:pPr>
        <w:widowControl/>
        <w:shd w:val="clear" w:color="auto" w:fill="FFFFFF"/>
        <w:spacing w:line="560" w:lineRule="atLeas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（30）提供TIPS接口通讯日志记载和检索功能</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510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bottom"/>
          </w:tcPr>
          <w:p>
            <w:pPr>
              <w:widowControl/>
              <w:spacing w:beforeLines="50"/>
              <w:ind w:left="0" w:leftChars="-2" w:hanging="4" w:hangingChars="2"/>
              <w:jc w:val="both"/>
              <w:rPr>
                <w:rFonts w:cs="宋体" w:asciiTheme="minorEastAsia" w:hAnsiTheme="minorEastAsia" w:eastAsiaTheme="minorEastAsia"/>
                <w:color w:val="000000"/>
                <w:kern w:val="0"/>
                <w:sz w:val="21"/>
                <w:szCs w:val="21"/>
                <w:lang w:val="en-US" w:eastAsia="zh-CN" w:bidi="ar-SA"/>
              </w:rPr>
            </w:pPr>
            <w:r>
              <w:rPr>
                <w:rFonts w:hint="eastAsia" w:asciiTheme="minorEastAsia" w:hAnsiTheme="minorEastAsia"/>
                <w:szCs w:val="21"/>
              </w:rPr>
              <w:t>《国库支付电子化管理人行端系统软件》软件实施技术服务</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应采用集中部署结构</w:t>
            </w:r>
            <w:r>
              <w:rPr>
                <w:rFonts w:cs="Times New Roman" w:asciiTheme="minorEastAsia" w:hAnsiTheme="minorEastAsia"/>
                <w:szCs w:val="21"/>
              </w:rPr>
              <w:t>,</w:t>
            </w:r>
            <w:r>
              <w:rPr>
                <w:rFonts w:hint="eastAsia" w:cs="Times New Roman" w:asciiTheme="minorEastAsia" w:hAnsiTheme="minorEastAsia"/>
                <w:szCs w:val="21"/>
              </w:rPr>
              <w:t>并具有在不同个数终端情况下的服务器负载和网络负载的测试数据，应能满足全市国库业务人员使用时的最大并发处理能力。</w:t>
            </w:r>
          </w:p>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优先采用</w:t>
            </w:r>
            <w:r>
              <w:rPr>
                <w:rFonts w:cs="Times New Roman" w:asciiTheme="minorEastAsia" w:hAnsiTheme="minorEastAsia"/>
                <w:szCs w:val="21"/>
              </w:rPr>
              <w:t>DB2</w:t>
            </w:r>
            <w:r>
              <w:rPr>
                <w:rFonts w:hint="eastAsia" w:cs="Times New Roman" w:asciiTheme="minorEastAsia" w:hAnsiTheme="minorEastAsia"/>
                <w:szCs w:val="21"/>
              </w:rPr>
              <w:t>数据库进行数据管理，且支持数据库服务器单独分设的模式；</w:t>
            </w:r>
            <w:r>
              <w:rPr>
                <w:rFonts w:cs="Times New Roman" w:asciiTheme="minorEastAsia" w:hAnsiTheme="minorEastAsia"/>
                <w:szCs w:val="21"/>
              </w:rPr>
              <w:t>DB2</w:t>
            </w:r>
            <w:r>
              <w:rPr>
                <w:rFonts w:hint="eastAsia" w:cs="Times New Roman" w:asciiTheme="minorEastAsia" w:hAnsiTheme="minorEastAsia"/>
                <w:szCs w:val="21"/>
              </w:rPr>
              <w:t>数据库可采用挂接在</w:t>
            </w:r>
            <w:r>
              <w:rPr>
                <w:rFonts w:cs="Times New Roman" w:asciiTheme="minorEastAsia" w:hAnsiTheme="minorEastAsia"/>
                <w:szCs w:val="21"/>
              </w:rPr>
              <w:t>SAN</w:t>
            </w:r>
            <w:r>
              <w:rPr>
                <w:rFonts w:hint="eastAsia" w:cs="Times New Roman" w:asciiTheme="minorEastAsia" w:hAnsiTheme="minorEastAsia"/>
                <w:szCs w:val="21"/>
              </w:rPr>
              <w:t>上裸设备管理方式；</w:t>
            </w:r>
          </w:p>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系统应使用开放硬件平台，便于硬件升级、扩展和更新，并需提供所用服务器硬件的最低配置清单或推荐配置（硬件项目不列入总体报价）；</w:t>
            </w:r>
          </w:p>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4</w:t>
            </w:r>
            <w:r>
              <w:rPr>
                <w:rFonts w:hint="eastAsia" w:cs="Times New Roman" w:asciiTheme="minorEastAsia" w:hAnsiTheme="minorEastAsia"/>
                <w:szCs w:val="21"/>
              </w:rPr>
              <w:t>支持第三方事件处理接口联动，支持人民银行现有</w:t>
            </w:r>
            <w:r>
              <w:rPr>
                <w:rFonts w:cs="Times New Roman" w:asciiTheme="minorEastAsia" w:hAnsiTheme="minorEastAsia"/>
                <w:szCs w:val="21"/>
              </w:rPr>
              <w:t>IT</w:t>
            </w:r>
            <w:r>
              <w:rPr>
                <w:rFonts w:hint="eastAsia" w:cs="Times New Roman" w:asciiTheme="minorEastAsia" w:hAnsiTheme="minorEastAsia"/>
                <w:szCs w:val="21"/>
              </w:rPr>
              <w:t>运维系统对操作系统、数据库、应用等进行监控；</w:t>
            </w:r>
          </w:p>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5</w:t>
            </w:r>
            <w:r>
              <w:rPr>
                <w:rFonts w:hint="eastAsia" w:cs="Times New Roman" w:asciiTheme="minorEastAsia" w:hAnsiTheme="minorEastAsia"/>
                <w:szCs w:val="21"/>
              </w:rPr>
              <w:t>系统支持市、县二级业务管理、用户管理模式，支持用户根据不同角色分配不同业务权限，并能根据需要与</w:t>
            </w:r>
            <w:r>
              <w:rPr>
                <w:rFonts w:cs="Times New Roman" w:asciiTheme="minorEastAsia" w:hAnsiTheme="minorEastAsia"/>
                <w:szCs w:val="21"/>
              </w:rPr>
              <w:t>TCBS</w:t>
            </w:r>
            <w:r>
              <w:rPr>
                <w:rFonts w:hint="eastAsia" w:cs="Times New Roman" w:asciiTheme="minorEastAsia" w:hAnsiTheme="minorEastAsia"/>
                <w:szCs w:val="21"/>
              </w:rPr>
              <w:t>进行基础数据交换，对相关处理业务进行查询、统计、汇总、跟踪。</w:t>
            </w:r>
          </w:p>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6</w:t>
            </w:r>
            <w:r>
              <w:rPr>
                <w:rFonts w:hint="eastAsia" w:cs="Times New Roman" w:asciiTheme="minorEastAsia" w:hAnsiTheme="minorEastAsia"/>
                <w:szCs w:val="21"/>
              </w:rPr>
              <w:t>系统应符合人民银行总行制定的</w:t>
            </w:r>
            <w:r>
              <w:rPr>
                <w:rFonts w:cs="Times New Roman" w:asciiTheme="minorEastAsia" w:hAnsiTheme="minorEastAsia"/>
                <w:szCs w:val="21"/>
              </w:rPr>
              <w:t>TIPS</w:t>
            </w:r>
            <w:r>
              <w:rPr>
                <w:rFonts w:hint="eastAsia" w:cs="Times New Roman" w:asciiTheme="minorEastAsia" w:hAnsiTheme="minorEastAsia"/>
                <w:szCs w:val="21"/>
              </w:rPr>
              <w:t>财政联网接口报文规范，同时尽量兼顾已有国库核算系统（</w:t>
            </w:r>
            <w:r>
              <w:rPr>
                <w:rFonts w:cs="Times New Roman" w:asciiTheme="minorEastAsia" w:hAnsiTheme="minorEastAsia"/>
                <w:szCs w:val="21"/>
              </w:rPr>
              <w:t>TBS</w:t>
            </w:r>
            <w:r>
              <w:rPr>
                <w:rFonts w:hint="eastAsia" w:cs="Times New Roman" w:asciiTheme="minorEastAsia" w:hAnsiTheme="minorEastAsia"/>
                <w:szCs w:val="21"/>
              </w:rPr>
              <w:t>）的要求，能够做到新旧系统平滑过渡和切换，不影响现有业务运行。</w:t>
            </w:r>
          </w:p>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7</w:t>
            </w:r>
            <w:r>
              <w:rPr>
                <w:rFonts w:hint="eastAsia" w:cs="Times New Roman" w:asciiTheme="minorEastAsia" w:hAnsiTheme="minorEastAsia"/>
                <w:szCs w:val="21"/>
              </w:rPr>
              <w:t>系统应有安全可靠的访问控制机制，所有数据在系统传输过程中都进行加签处理，防止数据篡改。</w:t>
            </w:r>
          </w:p>
          <w:p>
            <w:pPr>
              <w:ind w:left="-2" w:leftChars="-1" w:firstLine="420" w:firstLineChars="200"/>
              <w:outlineLvl w:val="1"/>
              <w:rPr>
                <w:rFonts w:cs="Times New Roman" w:asciiTheme="minorEastAsia" w:hAnsiTheme="minorEastAsia"/>
                <w:szCs w:val="21"/>
              </w:rPr>
            </w:pPr>
            <w:r>
              <w:rPr>
                <w:rFonts w:cs="Times New Roman" w:asciiTheme="minorEastAsia" w:hAnsiTheme="minorEastAsia"/>
                <w:szCs w:val="21"/>
              </w:rPr>
              <w:t>8</w:t>
            </w:r>
            <w:r>
              <w:rPr>
                <w:rFonts w:hint="eastAsia" w:cs="Times New Roman" w:asciiTheme="minorEastAsia" w:hAnsiTheme="minorEastAsia"/>
                <w:szCs w:val="21"/>
              </w:rPr>
              <w:t>系统具有良好的扩展性和灵活性，可根据业务需求及人民银行总行系统接口，方便地增加报表查询和接收总行数据下发功能模块，对于将来系统升级予以良好的支持。</w:t>
            </w:r>
          </w:p>
          <w:p>
            <w:pPr>
              <w:widowControl/>
              <w:spacing w:beforeLines="50"/>
              <w:ind w:left="-2" w:leftChars="-1" w:firstLine="210" w:firstLineChars="100"/>
              <w:jc w:val="left"/>
              <w:rPr>
                <w:rFonts w:cs="宋体" w:asciiTheme="minorEastAsia" w:hAnsiTheme="minorEastAsia" w:eastAsiaTheme="minorEastAsia"/>
                <w:color w:val="000000"/>
                <w:kern w:val="0"/>
                <w:sz w:val="21"/>
                <w:szCs w:val="21"/>
                <w:lang w:val="en-US" w:eastAsia="zh-CN" w:bidi="ar-SA"/>
              </w:rPr>
            </w:pPr>
            <w:r>
              <w:rPr>
                <w:rFonts w:cs="Times New Roman" w:asciiTheme="minorEastAsia" w:hAnsiTheme="minorEastAsia"/>
                <w:szCs w:val="21"/>
              </w:rPr>
              <w:t>9</w:t>
            </w:r>
            <w:r>
              <w:rPr>
                <w:rFonts w:hint="eastAsia" w:cs="Times New Roman" w:asciiTheme="minorEastAsia" w:hAnsiTheme="minorEastAsia"/>
                <w:szCs w:val="21"/>
              </w:rPr>
              <w:t>客户端使用普通</w:t>
            </w:r>
            <w:r>
              <w:rPr>
                <w:rFonts w:cs="Times New Roman" w:asciiTheme="minorEastAsia" w:hAnsiTheme="minorEastAsia"/>
                <w:szCs w:val="21"/>
              </w:rPr>
              <w:t>PC</w:t>
            </w:r>
            <w:r>
              <w:rPr>
                <w:rFonts w:hint="eastAsia" w:cs="Times New Roman" w:asciiTheme="minorEastAsia" w:hAnsiTheme="minorEastAsia"/>
                <w:szCs w:val="21"/>
              </w:rPr>
              <w:t>，操作系统使用</w:t>
            </w:r>
            <w:r>
              <w:rPr>
                <w:rFonts w:cs="Times New Roman" w:asciiTheme="minorEastAsia" w:hAnsiTheme="minorEastAsia"/>
                <w:szCs w:val="21"/>
              </w:rPr>
              <w:t>Windows</w:t>
            </w:r>
            <w:r>
              <w:rPr>
                <w:rFonts w:hint="eastAsia" w:cs="Times New Roman" w:asciiTheme="minorEastAsia" w:hAnsiTheme="minorEastAsia"/>
                <w:szCs w:val="21"/>
              </w:rPr>
              <w:t>平台，应同时具备支持</w:t>
            </w:r>
            <w:r>
              <w:rPr>
                <w:rFonts w:cs="Times New Roman" w:asciiTheme="minorEastAsia" w:hAnsiTheme="minorEastAsia"/>
                <w:szCs w:val="21"/>
              </w:rPr>
              <w:t>XP</w:t>
            </w:r>
            <w:r>
              <w:rPr>
                <w:rFonts w:hint="eastAsia" w:cs="Times New Roman" w:asciiTheme="minorEastAsia" w:hAnsiTheme="minorEastAsia"/>
                <w:szCs w:val="21"/>
              </w:rPr>
              <w:t>、</w:t>
            </w:r>
            <w:r>
              <w:rPr>
                <w:rFonts w:cs="Times New Roman" w:asciiTheme="minorEastAsia" w:hAnsiTheme="minorEastAsia"/>
                <w:szCs w:val="21"/>
              </w:rPr>
              <w:t>win7</w:t>
            </w:r>
            <w:r>
              <w:rPr>
                <w:rFonts w:hint="eastAsia" w:cs="Times New Roman" w:asciiTheme="minorEastAsia" w:hAnsiTheme="minorEastAsia"/>
                <w:szCs w:val="21"/>
              </w:rPr>
              <w:t>的能力。</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Lines="50"/>
              <w:ind w:left="0" w:leftChars="-2" w:hanging="4" w:hangingChars="2"/>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szCs w:val="21"/>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财政部电子凭证库系统接口规范</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中国人民银行国库信息处理系统接口规范</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ordWrap w:val="0"/>
        <w:topLinePunct/>
        <w:spacing w:line="360" w:lineRule="auto"/>
        <w:ind w:firstLine="480" w:firstLineChars="200"/>
        <w:contextualSpacing/>
        <w:rPr>
          <w:rFonts w:hint="eastAsia" w:ascii="宋体" w:cs="宋体"/>
          <w:sz w:val="24"/>
          <w:lang w:val="zh-CN"/>
        </w:rPr>
      </w:pPr>
      <w:r>
        <w:rPr>
          <w:rFonts w:hint="eastAsia" w:ascii="宋体" w:cs="宋体"/>
          <w:sz w:val="24"/>
          <w:lang w:val="zh-CN"/>
        </w:rPr>
        <w:t>中标供应商按照合同的约定完成系统实施全部工作。</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zh-CN"/>
        </w:rPr>
        <w:t>1、投标人须明确投标产品是中国金融电子化公司开发的《国库支付电子化管理人行端系统软件》，提供中国金融电子化公司授权书。</w:t>
      </w:r>
    </w:p>
    <w:p>
      <w:pPr>
        <w:wordWrap w:val="0"/>
        <w:topLinePunct/>
        <w:adjustRightInd w:val="0"/>
        <w:spacing w:line="360" w:lineRule="auto"/>
        <w:ind w:firstLine="482"/>
        <w:contextualSpacing/>
        <w:rPr>
          <w:rFonts w:ascii="宋体" w:cs="宋体"/>
          <w:b/>
          <w:sz w:val="24"/>
          <w:lang w:val="zh-CN"/>
        </w:rPr>
      </w:pPr>
      <w:r>
        <w:rPr>
          <w:rFonts w:hint="eastAsia" w:ascii="宋体" w:cs="宋体"/>
          <w:sz w:val="24"/>
          <w:lang w:val="zh-CN"/>
        </w:rPr>
        <w:t>2、投标人应就本项目完整投标。</w:t>
      </w:r>
    </w:p>
    <w:p>
      <w:pPr>
        <w:wordWrap w:val="0"/>
        <w:topLinePunct/>
        <w:spacing w:line="360" w:lineRule="auto"/>
        <w:ind w:firstLine="480" w:firstLineChars="200"/>
        <w:contextualSpacing/>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contextualSpacing/>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16万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2、支付时间及条件：验收合格后，中标供应商提供发票后，15个工作日内一次性付款。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项目名称：《国库支付电子化管理人行端系统软件》软件实施技术服务</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项目编号：ZFCG-D2019</w:t>
            </w:r>
            <w:r>
              <w:rPr>
                <w:rFonts w:hint="eastAsia" w:cs="宋体" w:asciiTheme="minorEastAsia" w:hAnsiTheme="minorEastAsia"/>
                <w:bCs/>
                <w:szCs w:val="21"/>
                <w:lang w:val="en-US" w:eastAsia="zh-CN"/>
              </w:rPr>
              <w:t>009</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项目内容：完成中国人民银行许昌市中心支行《国库支付电子化管理人行端系统软件》软件实施技术服务，实现国库资金清算电子化处理。</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项目地址：中国人民银行许昌市中心支行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名称：许昌市财政信息管理中心</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地址：许昌市建安大道东段3099号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联系人：郝东珂                    电话：18637419006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名称：许昌市政府采购服务中心</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地址：许昌市龙兴路与竹林路交汇处创业服务中心C座</w:t>
            </w:r>
          </w:p>
          <w:p>
            <w:pPr>
              <w:autoSpaceDE w:val="0"/>
              <w:autoSpaceDN w:val="0"/>
              <w:adjustRightInd w:val="0"/>
              <w:spacing w:line="360" w:lineRule="auto"/>
              <w:ind w:right="-11"/>
              <w:rPr>
                <w:rFonts w:hint="default" w:cs="宋体" w:asciiTheme="minorEastAsia" w:hAnsiTheme="minorEastAsia"/>
                <w:bCs/>
                <w:szCs w:val="21"/>
                <w:lang w:val="en-US" w:eastAsia="zh-CN"/>
              </w:rPr>
            </w:pPr>
            <w:r>
              <w:rPr>
                <w:rFonts w:hint="eastAsia" w:cs="宋体" w:asciiTheme="minorEastAsia" w:hAnsiTheme="minorEastAsia"/>
                <w:bCs/>
                <w:szCs w:val="21"/>
                <w:lang w:val="zh-CN"/>
              </w:rPr>
              <w:t>联系人：</w:t>
            </w:r>
            <w:r>
              <w:rPr>
                <w:rFonts w:hint="eastAsia" w:cs="宋体" w:asciiTheme="minorEastAsia" w:hAnsiTheme="minorEastAsia"/>
                <w:bCs/>
                <w:szCs w:val="21"/>
                <w:lang w:val="zh-CN" w:eastAsia="zh-CN"/>
              </w:rPr>
              <w:t>杨女士</w:t>
            </w:r>
            <w:r>
              <w:rPr>
                <w:rFonts w:hint="eastAsia" w:cs="宋体" w:asciiTheme="minorEastAsia" w:hAnsiTheme="minorEastAsia"/>
                <w:bCs/>
                <w:szCs w:val="21"/>
                <w:lang w:val="zh-CN"/>
              </w:rPr>
              <w:t xml:space="preserve">                    电话：0374-</w:t>
            </w:r>
            <w:r>
              <w:rPr>
                <w:rFonts w:hint="eastAsia" w:cs="宋体" w:asciiTheme="minorEastAsia" w:hAnsiTheme="minorEastAsia"/>
                <w:bCs/>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16万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地点、谈判地点</w:t>
            </w:r>
          </w:p>
        </w:tc>
        <w:tc>
          <w:tcPr>
            <w:tcW w:w="6813" w:type="dxa"/>
            <w:vAlign w:val="center"/>
          </w:tcPr>
          <w:p>
            <w:pPr>
              <w:autoSpaceDE w:val="0"/>
              <w:autoSpaceDN w:val="0"/>
              <w:adjustRightInd w:val="0"/>
              <w:spacing w:line="360" w:lineRule="auto"/>
              <w:rPr>
                <w:rFonts w:hint="eastAsia" w:cs="仿宋_GB2312" w:asciiTheme="minorEastAsia" w:hAnsiTheme="minorEastAsia"/>
                <w:color w:val="000000"/>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w:t>
            </w:r>
            <w:r>
              <w:rPr>
                <w:rFonts w:hint="eastAsia" w:cs="仿宋_GB2312" w:asciiTheme="minorEastAsia" w:hAnsiTheme="minorEastAsia"/>
                <w:color w:val="000000"/>
                <w:szCs w:val="21"/>
                <w:lang w:val="zh-CN"/>
              </w:rPr>
              <w:t>开标一室；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2、谈判地点：许昌市公共资源交易中心四楼谈判</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autoSpaceDE w:val="0"/>
        <w:autoSpaceDN w:val="0"/>
        <w:adjustRightInd w:val="0"/>
        <w:spacing w:line="360" w:lineRule="auto"/>
        <w:ind w:right="-11"/>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6"/>
        <w:autoSpaceDE w:val="0"/>
        <w:autoSpaceDN w:val="0"/>
        <w:spacing w:line="360" w:lineRule="auto"/>
        <w:ind w:left="780"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6"/>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6"/>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确认的查询结果网页截图作为查询记录和证据，与其他采购文件一并保存；</w:t>
      </w:r>
    </w:p>
    <w:p>
      <w:pPr>
        <w:pStyle w:val="46"/>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color w:val="FF0000"/>
          <w:kern w:val="0"/>
          <w:szCs w:val="21"/>
        </w:rPr>
        <w:t>供应商无须提供</w:t>
      </w:r>
      <w:r>
        <w:rPr>
          <w:rFonts w:hint="eastAsia" w:ascii="宋体" w:hAnsi="宋体" w:cs="微软雅黑"/>
          <w:bCs/>
          <w:color w:val="FF0000"/>
          <w:szCs w:val="21"/>
        </w:rPr>
        <w:t>信用记录查询结果网页截屏。</w:t>
      </w:r>
      <w:r>
        <w:rPr>
          <w:rFonts w:hint="eastAsia" w:cs="宋体" w:asciiTheme="minorEastAsia" w:hAnsiTheme="minorEastAsia"/>
          <w:color w:val="FF0000"/>
          <w:kern w:val="0"/>
          <w:szCs w:val="21"/>
        </w:rPr>
        <w:t>供应商不良信用记录以谈判小组查询结果为准，谈判小组查询之后，网站信息发生的任何变更不再作为评审依据，</w:t>
      </w:r>
      <w:r>
        <w:rPr>
          <w:rFonts w:hint="eastAsia" w:ascii="ˎ̥" w:hAnsi="ˎ̥"/>
          <w:color w:val="FF0000"/>
        </w:rPr>
        <w:t>供应商</w:t>
      </w:r>
      <w:r>
        <w:rPr>
          <w:rFonts w:hint="eastAsia" w:cs="宋体" w:asciiTheme="minorEastAsia" w:hAnsiTheme="minorEastAsia"/>
          <w:color w:val="FF0000"/>
          <w:kern w:val="0"/>
          <w:szCs w:val="21"/>
        </w:rPr>
        <w:t>自行提供的与网站信息不一致的其他证明材料亦不作为评审依据。</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供应商应将纸质响应文件“正本”、“副本”密封包装。使用电子介质存储的响应文件单独密封包装，并随纸质响应文件一并提交。</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21.1 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21.1.1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21.1.2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21.2.1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22. 谈判小组组成</w:t>
      </w:r>
    </w:p>
    <w:p>
      <w:pPr>
        <w:autoSpaceDE w:val="0"/>
        <w:autoSpaceDN w:val="0"/>
        <w:spacing w:line="360" w:lineRule="auto"/>
        <w:ind w:left="993" w:leftChars="203"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22.1 采购人将依法组建谈判小组，谈判小组</w:t>
      </w:r>
      <w:r>
        <w:rPr>
          <w:rFonts w:cs="宋体" w:asciiTheme="minorEastAsia" w:hAnsiTheme="minorEastAsia"/>
          <w:kern w:val="0"/>
          <w:szCs w:val="21"/>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22.2 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22.2.2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22.2.3     </w:t>
      </w:r>
      <w:r>
        <w:rPr>
          <w:rFonts w:hint="eastAsia" w:ascii="ˎ̥" w:hAnsi="ˎ̥"/>
        </w:rPr>
        <w:t>与供应商有其他可能影响政府采购活动公平、公正进行的关系。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22.3 采购人不得担任谈判小组组长。</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资格审查与评审）</w:t>
      </w:r>
      <w:r>
        <w:rPr>
          <w:rFonts w:hint="eastAsia" w:cs="宋体" w:asciiTheme="minorEastAsia" w:hAnsiTheme="minorEastAsia"/>
          <w:kern w:val="0"/>
          <w:szCs w:val="21"/>
        </w:rPr>
        <w:t>。</w:t>
      </w:r>
    </w:p>
    <w:p>
      <w:pPr>
        <w:pStyle w:val="46"/>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6"/>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6"/>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ind w:left="420" w:leftChars="200" w:firstLine="525" w:firstLineChars="250"/>
        <w:contextualSpacing/>
        <w:rPr>
          <w:rFonts w:cs="宋体" w:asciiTheme="minorEastAsia" w:hAnsiTheme="minorEastAsia"/>
          <w:kern w:val="0"/>
          <w:szCs w:val="21"/>
        </w:rPr>
      </w:pPr>
      <w:r>
        <w:rPr>
          <w:rFonts w:hint="eastAsia" w:cs="宋体" w:asciiTheme="minorEastAsia" w:hAnsiTheme="minorEastAsia"/>
          <w:kern w:val="0"/>
          <w:szCs w:val="21"/>
        </w:rPr>
        <w:t>26.1.1     未按照谈判文件的规定提交投标承诺函的；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26.1.2     响应文件未按招标文件要求签署、盖章的；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26.1.3     不具备谈判文件中规定的资格要求的；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26.1.4     报价超过谈判文件中规定的预算金额的；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对谈判文件作出的实质性变动是谈判文件的有效组成部分，谈判小组应当及时以书面形式通知参加谈判的供应商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1"/>
          <w:numId w:val="10"/>
        </w:numPr>
        <w:spacing w:line="360" w:lineRule="auto"/>
        <w:contextualSpacing/>
        <w:rPr>
          <w:rFonts w:cs="宋体" w:asciiTheme="minorEastAsia" w:hAnsiTheme="minorEastAsia" w:eastAsiaTheme="minorEastAsia"/>
        </w:rPr>
      </w:pPr>
      <w:r>
        <w:rPr>
          <w:rFonts w:hint="eastAsia" w:cs="宋体" w:asciiTheme="minorEastAsia" w:hAnsiTheme="minorEastAsia" w:eastAsiaTheme="minorEastAsia"/>
        </w:rPr>
        <w:t>谈判小组根据项目情况可进行一轮或多轮谈判。供应商应在规定时间内根据谈判要求进行响应和报价。最后报价以最后一轮谈判结束后的报价为准。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最后报价是供应商响应文件的有效组成部分。</w:t>
      </w:r>
    </w:p>
    <w:p>
      <w:pPr>
        <w:pStyle w:val="46"/>
        <w:autoSpaceDE w:val="0"/>
        <w:autoSpaceDN w:val="0"/>
        <w:spacing w:line="360" w:lineRule="auto"/>
        <w:ind w:left="964" w:firstLine="0" w:firstLineChars="0"/>
        <w:contextualSpacing/>
        <w:rPr>
          <w:rFonts w:ascii="ˎ̥" w:hAnsi="ˎ̥"/>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numPr>
          <w:ilvl w:val="0"/>
          <w:numId w:val="0"/>
        </w:numPr>
        <w:spacing w:line="360" w:lineRule="auto"/>
        <w:ind w:left="105" w:leftChars="50" w:firstLine="315" w:firstLineChars="150"/>
        <w:contextualSpacing/>
        <w:rPr>
          <w:rFonts w:cs="宋体" w:asciiTheme="minorEastAsia" w:hAnsiTheme="minorEastAsia"/>
        </w:rPr>
      </w:pPr>
      <w:r>
        <w:rPr>
          <w:rFonts w:hint="eastAsia" w:cs="微软雅黑"/>
          <w:color w:val="000000"/>
        </w:rPr>
        <w:t>谈判小组推荐实质上响应谈判文件且满足服务要求的供应商为成交候选人</w:t>
      </w:r>
      <w:r>
        <w:rPr>
          <w:rFonts w:ascii="ˎ̥" w:hAnsi="ˎ̥"/>
        </w:rPr>
        <w:t>，并编写评审报告。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autoSpaceDE w:val="0"/>
        <w:autoSpaceDN w:val="0"/>
        <w:spacing w:line="360" w:lineRule="auto"/>
        <w:ind w:firstLine="420" w:firstLineChars="200"/>
        <w:contextualSpacing/>
        <w:rPr>
          <w:rFonts w:cs="宋体" w:asciiTheme="minorEastAsia" w:hAnsiTheme="minorEastAsia"/>
          <w:kern w:val="0"/>
          <w:szCs w:val="21"/>
        </w:rPr>
      </w:pPr>
      <w:r>
        <w:rPr>
          <w:rFonts w:ascii="ˎ̥" w:hAnsi="ˎ̥"/>
        </w:rPr>
        <w:t>采购人应当在收到评审报告后5个工作日内，</w:t>
      </w:r>
      <w:r>
        <w:rPr>
          <w:rFonts w:hint="eastAsia" w:ascii="ˎ̥" w:hAnsi="ˎ̥"/>
        </w:rPr>
        <w:t>根据</w:t>
      </w:r>
      <w:r>
        <w:rPr>
          <w:rFonts w:ascii="ˎ̥" w:hAnsi="ˎ̥"/>
        </w:rPr>
        <w:t>评审报告提出的成交候选人确定成交供应商</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在谈判采购中，出现下列情形之一的，采购人应当终止采购活动，发布项目终止公告并说明原因，重新开展采购活动：</w:t>
      </w:r>
    </w:p>
    <w:p>
      <w:pPr>
        <w:pStyle w:val="46"/>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color w:val="333333"/>
          <w:szCs w:val="21"/>
          <w:shd w:val="clear" w:color="auto" w:fill="FFFFFF"/>
        </w:rPr>
        <w:t>不再符合规定的单一来源采购方式适用情形的</w:t>
      </w:r>
      <w:r>
        <w:rPr>
          <w:rFonts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ascii="ˎ̥" w:hAnsi="ˎ̥"/>
        </w:rPr>
      </w:pPr>
      <w:r>
        <w:rPr>
          <w:rFonts w:hint="eastAsia" w:ascii="ˎ̥" w:hAnsi="ˎ̥"/>
        </w:rPr>
        <w:t>报价超过采购预算的。</w:t>
      </w:r>
    </w:p>
    <w:p>
      <w:pPr>
        <w:pStyle w:val="46"/>
        <w:autoSpaceDE w:val="0"/>
        <w:autoSpaceDN w:val="0"/>
        <w:spacing w:line="360" w:lineRule="auto"/>
        <w:ind w:left="964" w:firstLine="0" w:firstLineChars="0"/>
        <w:contextualSpacing/>
        <w:rPr>
          <w:rFonts w:ascii="ˎ̥" w:hAnsi="ˎ̥"/>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6"/>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6"/>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6"/>
        <w:numPr>
          <w:ilvl w:val="0"/>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6"/>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6"/>
        <w:autoSpaceDE w:val="0"/>
        <w:autoSpaceDN w:val="0"/>
        <w:spacing w:line="360" w:lineRule="auto"/>
        <w:ind w:left="424" w:leftChars="20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hint="eastAsia" w:asciiTheme="minorEastAsia" w:hAnsiTheme="minorEastAsia"/>
                <w:bCs/>
                <w:szCs w:val="21"/>
              </w:rPr>
            </w:pPr>
            <w:r>
              <w:rPr>
                <w:rFonts w:hint="eastAsia" w:asciiTheme="minorEastAsia" w:hAnsiTheme="minorEastAsia"/>
                <w:bCs/>
                <w:szCs w:val="21"/>
              </w:rPr>
              <w:t>（3）信用信息查询记录和证据留存具体方式：经谈判小组确认的查询结果网页截图作为查询记录和证据，与其他采购文件一并保存；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严重违法失信社会组织名单的供应商，将拒绝其参与本次政府采购活动。</w:t>
            </w:r>
          </w:p>
          <w:p>
            <w:pPr>
              <w:spacing w:line="360" w:lineRule="auto"/>
              <w:rPr>
                <w:rFonts w:asciiTheme="minorEastAsia" w:hAnsiTheme="minorEastAsia"/>
                <w:b/>
                <w:bCs/>
                <w:szCs w:val="21"/>
              </w:rPr>
            </w:pPr>
            <w:r>
              <w:rPr>
                <w:rFonts w:hint="eastAsia" w:asciiTheme="minorEastAsia" w:hAnsiTheme="minorEastAsia"/>
                <w:bCs/>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二、评审并编写评审报告</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谈判小组应</w:t>
      </w:r>
      <w:r>
        <w:rPr>
          <w:rFonts w:cs="仿宋_GB2312" w:asciiTheme="minorEastAsia" w:hAnsiTheme="minorEastAsia" w:eastAsiaTheme="minorEastAsia"/>
          <w:sz w:val="21"/>
          <w:szCs w:val="21"/>
          <w:lang w:val="zh-CN"/>
        </w:rPr>
        <w:t>与供应商商定合理的成交价格并保证采购项目质量。</w:t>
      </w:r>
      <w:r>
        <w:rPr>
          <w:rFonts w:hint="eastAsia" w:cs="仿宋_GB2312" w:asciiTheme="minorEastAsia" w:hAnsiTheme="minorEastAsia" w:eastAsiaTheme="minorEastAsia"/>
          <w:sz w:val="21"/>
          <w:szCs w:val="21"/>
          <w:lang w:val="zh-CN"/>
        </w:rPr>
        <w:t>谈判和最终报价结束后，由谈判小组对最终报价文件进行评审，</w:t>
      </w:r>
      <w:r>
        <w:rPr>
          <w:rFonts w:cs="仿宋_GB2312" w:asciiTheme="minorEastAsia" w:hAnsiTheme="minorEastAsia" w:eastAsiaTheme="minorEastAsia"/>
          <w:sz w:val="21"/>
          <w:szCs w:val="21"/>
          <w:lang w:val="zh-CN"/>
        </w:rPr>
        <w:t>协商情况记录应当由采购全体人员签字认可。对记录有异议的</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人员，应当签署不同意见并说明理由。</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人员拒绝在记录上签字又不书面说明其不同意见和理由的，视为同意。</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“第五章资格审查与评审”资格审查表中序号3要求，根据所提供经审计财务报告、基本开户银行资信证明、银行资信证明、政府采购投标担保函情况填写其中一项即可。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“第五章资格审查与评审”资格审查表中序号6要求提供，根据所提供证明材料或承诺函（声明）情况填写其中一项即可。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ascii="ˎ̥" w:hAnsi="ˎ̥"/>
          <w:color w:val="FF0000"/>
        </w:rPr>
        <w:t>供应商</w:t>
      </w:r>
      <w:r>
        <w:rPr>
          <w:rFonts w:hint="eastAsia" w:cs="宋体" w:asciiTheme="minorEastAsia" w:hAnsiTheme="minorEastAsia"/>
          <w:szCs w:val="21"/>
        </w:rPr>
        <w:t>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ascii="ˎ̥" w:hAnsi="ˎ̥"/>
          <w:color w:val="FF0000"/>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FF0000"/>
          <w:szCs w:val="21"/>
          <w:u w:val="single"/>
        </w:rPr>
      </w:pPr>
      <w:r>
        <w:rPr>
          <w:rFonts w:hint="eastAsia" w:cs="Arial" w:asciiTheme="minorEastAsia" w:hAnsiTheme="minorEastAsia"/>
          <w:color w:val="FF0000"/>
          <w:szCs w:val="21"/>
        </w:rPr>
        <w:t>供应商名称（并加盖公章）：</w:t>
      </w:r>
    </w:p>
    <w:p>
      <w:pPr>
        <w:pStyle w:val="5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采购</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863222F"/>
    <w:multiLevelType w:val="multilevel"/>
    <w:tmpl w:val="2863222F"/>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91CA883"/>
    <w:multiLevelType w:val="singleLevel"/>
    <w:tmpl w:val="491CA883"/>
    <w:lvl w:ilvl="0" w:tentative="0">
      <w:start w:val="1"/>
      <w:numFmt w:val="chineseCounting"/>
      <w:suff w:val="nothing"/>
      <w:lvlText w:val="%1、"/>
      <w:lvlJc w:val="left"/>
      <w:rPr>
        <w:rFonts w:hint="eastAsia"/>
      </w:r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6"/>
      <w:suff w:val="nothing"/>
      <w:lvlText w:val="%1、"/>
      <w:lvlJc w:val="left"/>
    </w:lvl>
  </w:abstractNum>
  <w:abstractNum w:abstractNumId="14">
    <w:nsid w:val="6A0C0B1D"/>
    <w:multiLevelType w:val="multilevel"/>
    <w:tmpl w:val="6A0C0B1D"/>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13"/>
  </w:num>
  <w:num w:numId="4">
    <w:abstractNumId w:val="12"/>
  </w:num>
  <w:num w:numId="5">
    <w:abstractNumId w:val="11"/>
  </w:num>
  <w:num w:numId="6">
    <w:abstractNumId w:val="7"/>
  </w:num>
  <w:num w:numId="7">
    <w:abstractNumId w:val="15"/>
  </w:num>
  <w:num w:numId="8">
    <w:abstractNumId w:val="6"/>
  </w:num>
  <w:num w:numId="9">
    <w:abstractNumId w:val="3"/>
  </w:num>
  <w:num w:numId="10">
    <w:abstractNumId w:val="8"/>
  </w:num>
  <w:num w:numId="11">
    <w:abstractNumId w:val="14"/>
  </w:num>
  <w:num w:numId="12">
    <w:abstractNumId w:val="4"/>
  </w:num>
  <w:num w:numId="13">
    <w:abstractNumId w:val="10"/>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AA9"/>
    <w:rsid w:val="000012BD"/>
    <w:rsid w:val="00005700"/>
    <w:rsid w:val="0001141B"/>
    <w:rsid w:val="00016470"/>
    <w:rsid w:val="000229A8"/>
    <w:rsid w:val="000274BC"/>
    <w:rsid w:val="00062B63"/>
    <w:rsid w:val="00062EAD"/>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22F02"/>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E4619"/>
    <w:rsid w:val="005E591E"/>
    <w:rsid w:val="005E7C65"/>
    <w:rsid w:val="005F4C95"/>
    <w:rsid w:val="005F68F4"/>
    <w:rsid w:val="006326A3"/>
    <w:rsid w:val="00636AAD"/>
    <w:rsid w:val="006378D2"/>
    <w:rsid w:val="00640E37"/>
    <w:rsid w:val="00674AB9"/>
    <w:rsid w:val="00677073"/>
    <w:rsid w:val="00683532"/>
    <w:rsid w:val="00685A55"/>
    <w:rsid w:val="00690650"/>
    <w:rsid w:val="00692EAA"/>
    <w:rsid w:val="00693C6E"/>
    <w:rsid w:val="006A10C2"/>
    <w:rsid w:val="006A232F"/>
    <w:rsid w:val="006A43D2"/>
    <w:rsid w:val="006B13A2"/>
    <w:rsid w:val="006B5480"/>
    <w:rsid w:val="006D4DB5"/>
    <w:rsid w:val="006D7AF3"/>
    <w:rsid w:val="00717F6B"/>
    <w:rsid w:val="0072501F"/>
    <w:rsid w:val="00727307"/>
    <w:rsid w:val="00727B08"/>
    <w:rsid w:val="00730E77"/>
    <w:rsid w:val="00747F43"/>
    <w:rsid w:val="0075682B"/>
    <w:rsid w:val="007A5B37"/>
    <w:rsid w:val="007B0D32"/>
    <w:rsid w:val="007B130F"/>
    <w:rsid w:val="007D4E38"/>
    <w:rsid w:val="007E1CBB"/>
    <w:rsid w:val="00857DE9"/>
    <w:rsid w:val="00883662"/>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7B1D"/>
    <w:rsid w:val="00944F38"/>
    <w:rsid w:val="00975357"/>
    <w:rsid w:val="00977D6B"/>
    <w:rsid w:val="00984D95"/>
    <w:rsid w:val="00993AFC"/>
    <w:rsid w:val="00993BE0"/>
    <w:rsid w:val="00994B76"/>
    <w:rsid w:val="00995D87"/>
    <w:rsid w:val="009C12AB"/>
    <w:rsid w:val="009C1300"/>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1913"/>
    <w:rsid w:val="00B3016D"/>
    <w:rsid w:val="00B4257A"/>
    <w:rsid w:val="00B57E63"/>
    <w:rsid w:val="00BA5601"/>
    <w:rsid w:val="00BC01B9"/>
    <w:rsid w:val="00BC572F"/>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215D"/>
    <w:rsid w:val="00E14746"/>
    <w:rsid w:val="00E16045"/>
    <w:rsid w:val="00E1628B"/>
    <w:rsid w:val="00E33DE5"/>
    <w:rsid w:val="00E34C7A"/>
    <w:rsid w:val="00E54043"/>
    <w:rsid w:val="00E63D55"/>
    <w:rsid w:val="00EA0883"/>
    <w:rsid w:val="00EA32C0"/>
    <w:rsid w:val="00EA3828"/>
    <w:rsid w:val="00EA43F1"/>
    <w:rsid w:val="00EC1ADB"/>
    <w:rsid w:val="00ED010D"/>
    <w:rsid w:val="00ED1C9F"/>
    <w:rsid w:val="00EE0A15"/>
    <w:rsid w:val="00EE54E4"/>
    <w:rsid w:val="00EF390B"/>
    <w:rsid w:val="00F5512D"/>
    <w:rsid w:val="00F56BFF"/>
    <w:rsid w:val="00F737CF"/>
    <w:rsid w:val="00FA0ACB"/>
    <w:rsid w:val="00FA231B"/>
    <w:rsid w:val="00FA3CA5"/>
    <w:rsid w:val="00FC6281"/>
    <w:rsid w:val="00FF23E9"/>
    <w:rsid w:val="15164E41"/>
    <w:rsid w:val="2A821CB0"/>
    <w:rsid w:val="2C44054E"/>
    <w:rsid w:val="32FD6CFF"/>
    <w:rsid w:val="38FD037C"/>
    <w:rsid w:val="3A74242A"/>
    <w:rsid w:val="3F3A7DAA"/>
    <w:rsid w:val="47D3623B"/>
    <w:rsid w:val="4B412E26"/>
    <w:rsid w:val="4F112668"/>
    <w:rsid w:val="4F892AF5"/>
    <w:rsid w:val="4FAE0678"/>
    <w:rsid w:val="511C455C"/>
    <w:rsid w:val="51793FC8"/>
    <w:rsid w:val="5DC03F5B"/>
    <w:rsid w:val="63A2373B"/>
    <w:rsid w:val="63BC5EBA"/>
    <w:rsid w:val="660E62FC"/>
    <w:rsid w:val="67B7202E"/>
    <w:rsid w:val="67EE1756"/>
    <w:rsid w:val="688500AB"/>
    <w:rsid w:val="6E5A4D9E"/>
    <w:rsid w:val="6FE74DA6"/>
    <w:rsid w:val="711F5729"/>
    <w:rsid w:val="751D61AA"/>
    <w:rsid w:val="7D6B1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3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38"/>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正文文本缩进 Char1"/>
    <w:basedOn w:val="23"/>
    <w:link w:val="10"/>
    <w:qFormat/>
    <w:uiPriority w:val="99"/>
    <w:rPr>
      <w:sz w:val="24"/>
    </w:rPr>
  </w:style>
  <w:style w:type="character" w:customStyle="1" w:styleId="35">
    <w:name w:val="正文文本缩进 Char"/>
    <w:basedOn w:val="23"/>
    <w:link w:val="10"/>
    <w:qFormat/>
    <w:uiPriority w:val="0"/>
  </w:style>
  <w:style w:type="character" w:customStyle="1" w:styleId="36">
    <w:name w:val="纯文本 Char"/>
    <w:basedOn w:val="23"/>
    <w:link w:val="13"/>
    <w:qFormat/>
    <w:uiPriority w:val="0"/>
    <w:rPr>
      <w:rFonts w:eastAsia="宋体"/>
      <w:sz w:val="24"/>
    </w:rPr>
  </w:style>
  <w:style w:type="character" w:customStyle="1" w:styleId="37">
    <w:name w:val="日期 Char"/>
    <w:basedOn w:val="23"/>
    <w:link w:val="14"/>
    <w:qFormat/>
    <w:uiPriority w:val="99"/>
  </w:style>
  <w:style w:type="character" w:customStyle="1" w:styleId="38">
    <w:name w:val="批注框文本 Char"/>
    <w:basedOn w:val="23"/>
    <w:link w:val="15"/>
    <w:semiHidden/>
    <w:qFormat/>
    <w:uiPriority w:val="99"/>
    <w:rPr>
      <w:sz w:val="18"/>
      <w:szCs w:val="18"/>
    </w:rPr>
  </w:style>
  <w:style w:type="character" w:customStyle="1" w:styleId="39">
    <w:name w:val="页脚 Char"/>
    <w:basedOn w:val="23"/>
    <w:link w:val="16"/>
    <w:qFormat/>
    <w:uiPriority w:val="99"/>
    <w:rPr>
      <w:sz w:val="18"/>
      <w:szCs w:val="18"/>
    </w:rPr>
  </w:style>
  <w:style w:type="character" w:customStyle="1" w:styleId="40">
    <w:name w:val="页眉 Char"/>
    <w:basedOn w:val="23"/>
    <w:link w:val="17"/>
    <w:qFormat/>
    <w:uiPriority w:val="99"/>
    <w:rPr>
      <w:sz w:val="18"/>
      <w:szCs w:val="18"/>
    </w:rPr>
  </w:style>
  <w:style w:type="character" w:customStyle="1" w:styleId="41">
    <w:name w:val="HTML 预设格式 Char"/>
    <w:basedOn w:val="23"/>
    <w:link w:val="19"/>
    <w:semiHidden/>
    <w:qFormat/>
    <w:uiPriority w:val="99"/>
    <w:rPr>
      <w:rFonts w:ascii="宋体" w:hAnsi="宋体" w:eastAsia="宋体" w:cs="宋体"/>
      <w:kern w:val="0"/>
      <w:sz w:val="24"/>
      <w:szCs w:val="24"/>
    </w:rPr>
  </w:style>
  <w:style w:type="character" w:customStyle="1" w:styleId="42">
    <w:name w:val="正文首行缩进 Char"/>
    <w:basedOn w:val="33"/>
    <w:link w:val="21"/>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3"/>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3590</Words>
  <Characters>20464</Characters>
  <Lines>170</Lines>
  <Paragraphs>48</Paragraphs>
  <TotalTime>6</TotalTime>
  <ScaleCrop>false</ScaleCrop>
  <LinksUpToDate>false</LinksUpToDate>
  <CharactersWithSpaces>24006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2019-06-19T01:15:00Z</dcterms:created>
  <dc:creator>许昌市公共资源交易中心:孟莉</dc:creator>
  <cp:lastModifiedBy>羊</cp:lastModifiedBy>
  <cp:lastPrinted>2019-08-20T07:51:00Z</cp:lastPrinted>
  <dcterms:modified xsi:type="dcterms:W3CDTF">2019-11-26T02:03:52Z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