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ind w:firstLine="442" w:firstLineChars="1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禹州市民政局</w:t>
      </w:r>
    </w:p>
    <w:p>
      <w:pPr>
        <w:jc w:val="center"/>
        <w:rPr>
          <w:rFonts w:hint="eastAsia" w:ascii="黑体" w:hAnsi="黑体" w:eastAsia="黑体" w:cs="黑体"/>
          <w:sz w:val="44"/>
          <w:szCs w:val="44"/>
        </w:rPr>
      </w:pPr>
      <w:r>
        <w:rPr>
          <w:rFonts w:hint="eastAsia" w:ascii="黑体" w:hAnsi="黑体" w:eastAsia="黑体" w:cs="黑体"/>
          <w:b/>
          <w:bCs/>
          <w:sz w:val="44"/>
          <w:szCs w:val="44"/>
          <w:lang w:val="en-US" w:eastAsia="zh-CN"/>
        </w:rPr>
        <w:t>“一院两中心”项目空调采购项目</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YZCG-T2019297</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val="en-US" w:eastAsia="zh-CN"/>
        </w:rPr>
        <w:t>民政局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lang w:val="en-US" w:eastAsia="zh-CN"/>
        </w:rPr>
        <w:t>禹州市民政局‘一院两中心’项目空调采购项目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禹州市民政局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禹州市民政局‘一院两中心’项目空调采购项目</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w:t>
      </w:r>
      <w:r>
        <w:rPr>
          <w:rFonts w:hint="eastAsia" w:ascii="新宋体" w:hAnsi="新宋体" w:eastAsia="新宋体" w:cs="新宋体"/>
          <w:sz w:val="24"/>
          <w:szCs w:val="24"/>
          <w:lang w:val="en-US" w:eastAsia="zh-CN"/>
        </w:rPr>
        <w:t>禹州市民政局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val="en-US" w:eastAsia="zh-CN"/>
        </w:rPr>
        <w:t>禹州市民政局‘一院两中心’项目空调采购项目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YZCG-T20192</w:t>
      </w:r>
      <w:r>
        <w:rPr>
          <w:rFonts w:hint="eastAsia" w:ascii="新宋体" w:hAnsi="新宋体" w:eastAsia="新宋体" w:cs="新宋体"/>
          <w:sz w:val="24"/>
          <w:szCs w:val="24"/>
          <w:lang w:val="en-US" w:eastAsia="zh-CN"/>
        </w:rPr>
        <w:t>97</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空调200台</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45.64</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val="en-US"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符合《政府采购法》第二十二条之规定，供应商须具有独立法人资格及相应的经营范围</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以营业执照为准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 xml:space="preserve">、被委托人须是本单位职工，须提供公司为本人缴纳社会保险证明； </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李</w:t>
      </w:r>
      <w:bookmarkStart w:id="83" w:name="_GoBack"/>
      <w:bookmarkEnd w:id="83"/>
      <w:r>
        <w:rPr>
          <w:rFonts w:hint="eastAsia" w:ascii="新宋体" w:hAnsi="新宋体" w:eastAsia="新宋体" w:cs="新宋体"/>
          <w:color w:val="000000"/>
          <w:kern w:val="0"/>
          <w:sz w:val="24"/>
          <w:szCs w:val="24"/>
          <w:lang w:eastAsia="zh-CN"/>
        </w:rPr>
        <w:t>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val="en-US" w:eastAsia="zh-CN"/>
        </w:rPr>
        <w:t>禹州市民政局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val="en-US" w:eastAsia="zh-CN"/>
        </w:rPr>
        <w:t>钧台路</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val="en-US" w:eastAsia="zh-CN"/>
        </w:rPr>
        <w:t xml:space="preserve">魏女士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18803996113</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widowControl/>
        <w:numPr>
          <w:numId w:val="0"/>
        </w:numPr>
        <w:shd w:val="clear" w:color="auto" w:fill="FFFFFF"/>
        <w:spacing w:line="360" w:lineRule="auto"/>
        <w:ind w:firstLine="420"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hAnsi="宋体"/>
          <w:color w:val="000000"/>
          <w:szCs w:val="21"/>
          <w:lang w:val="en-US" w:eastAsia="zh-CN"/>
        </w:rPr>
        <w:t>本次采购的空调为壁挂式冷暖空调，产品须符合国家相应标准及招标要求的主要参数。</w:t>
      </w:r>
    </w:p>
    <w:p>
      <w:pPr>
        <w:widowControl/>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二、采购内容：</w:t>
      </w: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937"/>
        <w:gridCol w:w="9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货物名称</w:t>
            </w: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技术规格及主要参数</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单位</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 xml:space="preserve">1.5P壁挂式空调 </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p>
        </w:tc>
        <w:tc>
          <w:tcPr>
            <w:tcW w:w="49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1、</w:t>
            </w:r>
            <w:r>
              <w:rPr>
                <w:rFonts w:hint="eastAsia" w:ascii="新宋体" w:hAnsi="新宋体" w:eastAsia="新宋体" w:cs="新宋体"/>
                <w:iCs/>
                <w:color w:val="000000"/>
                <w:kern w:val="0"/>
                <w:sz w:val="24"/>
                <w:szCs w:val="24"/>
                <w:lang w:eastAsia="zh-CN"/>
              </w:rPr>
              <w:t>额定制冷量：≥3.2KW;</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2、</w:t>
            </w:r>
            <w:r>
              <w:rPr>
                <w:rFonts w:hint="eastAsia" w:ascii="新宋体" w:hAnsi="新宋体" w:eastAsia="新宋体" w:cs="新宋体"/>
                <w:iCs/>
                <w:color w:val="000000"/>
                <w:kern w:val="0"/>
                <w:sz w:val="24"/>
                <w:szCs w:val="24"/>
                <w:lang w:eastAsia="zh-CN"/>
              </w:rPr>
              <w:t>额定制热量：≥4.5 KW;</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3、</w:t>
            </w:r>
            <w:r>
              <w:rPr>
                <w:rFonts w:hint="eastAsia" w:ascii="新宋体" w:hAnsi="新宋体" w:eastAsia="新宋体" w:cs="新宋体"/>
                <w:iCs/>
                <w:color w:val="000000"/>
                <w:kern w:val="0"/>
                <w:sz w:val="24"/>
                <w:szCs w:val="24"/>
                <w:lang w:eastAsia="zh-CN"/>
              </w:rPr>
              <w:t>制冷额定功率：≤1.05KW；</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4、</w:t>
            </w:r>
            <w:r>
              <w:rPr>
                <w:rFonts w:hint="eastAsia" w:ascii="新宋体" w:hAnsi="新宋体" w:eastAsia="新宋体" w:cs="新宋体"/>
                <w:iCs/>
                <w:color w:val="000000"/>
                <w:kern w:val="0"/>
                <w:sz w:val="24"/>
                <w:szCs w:val="24"/>
                <w:lang w:eastAsia="zh-CN"/>
              </w:rPr>
              <w:t>制热额定功率:≤1.05KW;</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5、</w:t>
            </w:r>
            <w:r>
              <w:rPr>
                <w:rFonts w:hint="eastAsia" w:ascii="新宋体" w:hAnsi="新宋体" w:eastAsia="新宋体" w:cs="新宋体"/>
                <w:iCs/>
                <w:color w:val="000000"/>
                <w:kern w:val="0"/>
                <w:sz w:val="24"/>
                <w:szCs w:val="24"/>
                <w:lang w:eastAsia="zh-CN"/>
              </w:rPr>
              <w:t>电辅加热功率：≤1KW；</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6、</w:t>
            </w:r>
            <w:r>
              <w:rPr>
                <w:rFonts w:hint="eastAsia" w:ascii="新宋体" w:hAnsi="新宋体" w:eastAsia="新宋体" w:cs="新宋体"/>
                <w:iCs/>
                <w:color w:val="000000"/>
                <w:kern w:val="0"/>
                <w:sz w:val="24"/>
                <w:szCs w:val="24"/>
                <w:lang w:eastAsia="zh-CN"/>
              </w:rPr>
              <w:t>室内循环风量:≥550m3/h;</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7、</w:t>
            </w:r>
            <w:r>
              <w:rPr>
                <w:rFonts w:hint="eastAsia" w:ascii="新宋体" w:hAnsi="新宋体" w:eastAsia="新宋体" w:cs="新宋体"/>
                <w:iCs/>
                <w:color w:val="000000"/>
                <w:kern w:val="0"/>
                <w:sz w:val="24"/>
                <w:szCs w:val="24"/>
                <w:lang w:eastAsia="zh-CN"/>
              </w:rPr>
              <w:t>室内机噪音：≤37—42dB;</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8、</w:t>
            </w:r>
            <w:r>
              <w:rPr>
                <w:rFonts w:hint="eastAsia" w:ascii="新宋体" w:hAnsi="新宋体" w:eastAsia="新宋体" w:cs="新宋体"/>
                <w:iCs/>
                <w:color w:val="000000"/>
                <w:kern w:val="0"/>
                <w:sz w:val="24"/>
                <w:szCs w:val="24"/>
                <w:lang w:eastAsia="zh-CN"/>
              </w:rPr>
              <w:t>制冷剂名称：R22</w:t>
            </w:r>
          </w:p>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9、能效等级：≥3级</w:t>
            </w:r>
          </w:p>
        </w:tc>
        <w:tc>
          <w:tcPr>
            <w:tcW w:w="9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台</w:t>
            </w:r>
          </w:p>
        </w:tc>
        <w:tc>
          <w:tcPr>
            <w:tcW w:w="7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val="en-US" w:eastAsia="zh-CN"/>
              </w:rPr>
              <w:t>200</w:t>
            </w:r>
          </w:p>
        </w:tc>
      </w:tr>
    </w:tbl>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特别提示：</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1、投标人须明确投标产品的品牌、型号、厂家及产地，否则为无效投标。</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2、本招标文件所列需求为最低要求，投标产品不得低于最低要求，否则为无效投标。</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3、响应产品系提供彩页或者官网截图，并加盖公章（均需提供官网网址备查），否则为无效投标文件。</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3、投标人须明确免费包修期，在免费包修期内，同一质量问题连续两次维修仍无法正常使用，投标人必须予以更换同品牌、同型号的全新产品，否则为无效投标文件。</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4、投标人须明确维修点地址、负责人、联系人和联系电话。</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5、本项目为交钥匙工程（包括运输、安装调试、专业培训等一切费用）。</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iCs/>
          <w:color w:val="000000"/>
          <w:kern w:val="0"/>
          <w:sz w:val="24"/>
          <w:szCs w:val="24"/>
          <w:lang w:eastAsia="zh-CN"/>
        </w:rPr>
        <w:t>6、为保证后续服务，投标人企业信用需要为AAA级，中标后签合同时需提供证书，否则为无效投标。</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480" w:firstLineChars="200"/>
        <w:contextualSpacing/>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如投标人所投产品属于“中国强制性产品认证”（3C认证）范围内,则需采用《中华人民共和国实施强制性产品认证的产品目录》并在有效期内的产品。</w:t>
      </w:r>
    </w:p>
    <w:p>
      <w:pPr>
        <w:widowControl/>
        <w:shd w:val="clear" w:color="auto" w:fill="FFFFFF"/>
        <w:spacing w:line="360" w:lineRule="auto"/>
        <w:ind w:firstLine="480" w:firstLineChars="200"/>
        <w:contextualSpacing/>
        <w:jc w:val="left"/>
        <w:rPr>
          <w:rFonts w:hint="eastAsia" w:ascii="仿宋_GB2312" w:hAnsi="仿宋_GB2312" w:eastAsia="仿宋_GB2312" w:cs="仿宋_GB2312"/>
          <w:kern w:val="0"/>
          <w:sz w:val="30"/>
          <w:szCs w:val="30"/>
          <w:highlight w:val="none"/>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如投标人所投产品</w:t>
      </w:r>
      <w:r>
        <w:rPr>
          <w:rFonts w:hint="eastAsia" w:ascii="新宋体" w:hAnsi="新宋体" w:eastAsia="新宋体" w:cs="新宋体"/>
          <w:sz w:val="24"/>
          <w:szCs w:val="24"/>
        </w:rPr>
        <w:t>被列入《信息安全产品强制性认证目录》，投标人不能提供超出此目录范畴外的替代品。</w:t>
      </w:r>
    </w:p>
    <w:p>
      <w:pPr>
        <w:widowControl/>
        <w:shd w:val="clear" w:color="auto" w:fill="FFFFFF"/>
        <w:spacing w:line="360" w:lineRule="auto"/>
        <w:ind w:firstLine="482" w:firstLineChars="200"/>
        <w:contextualSpacing/>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1、质保期要求：本项目的质量保证期不低于</w:t>
      </w:r>
      <w:r>
        <w:rPr>
          <w:rFonts w:hint="eastAsia" w:ascii="新宋体" w:hAnsi="新宋体" w:eastAsia="新宋体" w:cs="新宋体"/>
          <w:color w:val="000000"/>
          <w:kern w:val="0"/>
          <w:sz w:val="24"/>
          <w:szCs w:val="24"/>
          <w:lang w:eastAsia="zh-CN"/>
        </w:rPr>
        <w:t>行业要求标准</w:t>
      </w:r>
      <w:r>
        <w:rPr>
          <w:rFonts w:hint="eastAsia" w:ascii="新宋体" w:hAnsi="新宋体" w:eastAsia="新宋体" w:cs="新宋体"/>
          <w:color w:val="000000"/>
          <w:kern w:val="0"/>
          <w:sz w:val="24"/>
          <w:szCs w:val="24"/>
        </w:rPr>
        <w:t>（自验收合格之日起算）。</w:t>
      </w:r>
    </w:p>
    <w:p>
      <w:pPr>
        <w:widowControl/>
        <w:shd w:val="clear" w:color="auto" w:fill="FFFFFF"/>
        <w:spacing w:line="360" w:lineRule="auto"/>
        <w:ind w:firstLine="600"/>
        <w:jc w:val="left"/>
        <w:rPr>
          <w:rFonts w:hint="eastAsia" w:ascii="仿宋_GB2312" w:hAnsi="仿宋_GB2312" w:eastAsia="仿宋_GB2312" w:cs="仿宋_GB2312"/>
          <w:color w:val="000000"/>
          <w:kern w:val="0"/>
          <w:sz w:val="30"/>
          <w:szCs w:val="30"/>
          <w:lang w:bidi="ar"/>
        </w:rPr>
      </w:pPr>
      <w:r>
        <w:rPr>
          <w:rFonts w:hint="eastAsia" w:ascii="新宋体" w:hAnsi="新宋体" w:eastAsia="新宋体" w:cs="新宋体"/>
          <w:color w:val="000000"/>
          <w:kern w:val="0"/>
          <w:sz w:val="24"/>
          <w:szCs w:val="24"/>
        </w:rPr>
        <w:t>2、服务要求：质保期内，所有货物保</w:t>
      </w:r>
      <w:r>
        <w:rPr>
          <w:rFonts w:hint="eastAsia" w:ascii="新宋体" w:hAnsi="新宋体" w:eastAsia="新宋体" w:cs="新宋体"/>
          <w:color w:val="000000"/>
          <w:kern w:val="0"/>
          <w:sz w:val="24"/>
          <w:szCs w:val="24"/>
          <w:lang w:eastAsia="zh-CN"/>
        </w:rPr>
        <w:t>维</w:t>
      </w:r>
      <w:r>
        <w:rPr>
          <w:rFonts w:hint="eastAsia" w:ascii="新宋体" w:hAnsi="新宋体" w:eastAsia="新宋体" w:cs="新宋体"/>
          <w:color w:val="000000"/>
          <w:kern w:val="0"/>
          <w:sz w:val="24"/>
          <w:szCs w:val="24"/>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FF0000"/>
          <w:kern w:val="0"/>
          <w:sz w:val="24"/>
          <w:szCs w:val="24"/>
          <w:lang w:val="en-US" w:eastAsia="zh-CN"/>
        </w:rPr>
      </w:pPr>
      <w:r>
        <w:rPr>
          <w:rFonts w:hint="eastAsia" w:ascii="新宋体" w:hAnsi="新宋体" w:eastAsia="新宋体" w:cs="新宋体"/>
          <w:color w:val="FF0000"/>
          <w:kern w:val="0"/>
          <w:sz w:val="24"/>
          <w:szCs w:val="24"/>
          <w:lang w:val="en-US" w:eastAsia="zh-CN"/>
        </w:rPr>
        <w:t>1、本项目所购货物供应商应安装到招标单位指定单位；</w:t>
      </w:r>
    </w:p>
    <w:p>
      <w:pPr>
        <w:widowControl/>
        <w:shd w:val="clear" w:color="auto" w:fill="FFFFFF"/>
        <w:spacing w:line="360" w:lineRule="auto"/>
        <w:ind w:firstLine="600"/>
        <w:jc w:val="left"/>
        <w:rPr>
          <w:rFonts w:hint="eastAsia" w:ascii="新宋体" w:hAnsi="新宋体" w:eastAsia="新宋体" w:cs="新宋体"/>
          <w:color w:val="FF0000"/>
          <w:kern w:val="0"/>
          <w:sz w:val="24"/>
          <w:szCs w:val="24"/>
          <w:lang w:eastAsia="zh-CN"/>
        </w:rPr>
      </w:pPr>
      <w:r>
        <w:rPr>
          <w:rFonts w:hint="eastAsia" w:ascii="新宋体" w:hAnsi="新宋体" w:eastAsia="新宋体" w:cs="新宋体"/>
          <w:color w:val="FF0000"/>
          <w:kern w:val="0"/>
          <w:sz w:val="24"/>
          <w:szCs w:val="24"/>
          <w:lang w:val="en-US" w:eastAsia="zh-CN"/>
        </w:rPr>
        <w:t>2、本项目要求供应商在签订合同后30日内供货安装完毕；</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禹州市民政局‘一院两中心’项目空调采购项目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YZCG-T2019297</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lang w:val="en-US" w:eastAsia="zh-CN"/>
              </w:rPr>
              <w:t>签订合同后30日内供货安装完毕</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val="en-US" w:eastAsia="zh-CN"/>
              </w:rPr>
              <w:t>钧台路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禹州市民政局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联系人：魏女士     联系电话：18803996113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45.64万元，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2"/>
        </w:numPr>
        <w:autoSpaceDE w:val="0"/>
        <w:autoSpaceDN w:val="0"/>
        <w:spacing w:line="360" w:lineRule="auto"/>
        <w:ind w:firstLineChars="0"/>
        <w:contextualSpacing/>
        <w:rPr>
          <w:rFonts w:ascii="ˎ̥" w:hAnsi="ˎ̥"/>
          <w:vanish/>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64457259"/>
      <w:bookmarkStart w:id="1" w:name="_Toc355649942"/>
      <w:bookmarkStart w:id="2" w:name="_Toc354922980"/>
      <w:bookmarkStart w:id="3" w:name="_Toc357868214"/>
      <w:bookmarkStart w:id="4" w:name="_Toc326060505"/>
      <w:bookmarkStart w:id="5" w:name="_Toc354923119"/>
      <w:bookmarkStart w:id="6" w:name="_Toc329278149"/>
      <w:bookmarkStart w:id="7" w:name="_Toc35440402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7868215"/>
      <w:bookmarkStart w:id="10" w:name="_Toc329278150"/>
      <w:bookmarkStart w:id="11" w:name="_Toc354404030"/>
      <w:bookmarkStart w:id="12" w:name="_Toc364457260"/>
      <w:bookmarkStart w:id="13" w:name="_Toc356744035"/>
      <w:bookmarkStart w:id="14" w:name="_Toc355649943"/>
      <w:bookmarkStart w:id="15" w:name="_Toc354923120"/>
      <w:bookmarkStart w:id="16" w:name="_Toc326060506"/>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6060507"/>
      <w:bookmarkStart w:id="19" w:name="_Toc364457261"/>
      <w:bookmarkStart w:id="20" w:name="_Toc354922982"/>
      <w:bookmarkStart w:id="21" w:name="_Toc357868216"/>
      <w:bookmarkStart w:id="22" w:name="_Toc329278151"/>
      <w:bookmarkStart w:id="23" w:name="_Toc354923121"/>
      <w:bookmarkStart w:id="24" w:name="_Toc354404031"/>
      <w:bookmarkStart w:id="25" w:name="_Toc355649944"/>
      <w:bookmarkStart w:id="26" w:name="_Toc35674403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7868217"/>
      <w:bookmarkStart w:id="28" w:name="_Toc355649945"/>
      <w:bookmarkStart w:id="29" w:name="_Toc354404032"/>
      <w:bookmarkStart w:id="30" w:name="_Toc356744037"/>
      <w:bookmarkStart w:id="31" w:name="_Toc354923122"/>
      <w:bookmarkStart w:id="32" w:name="_Toc354922983"/>
      <w:bookmarkStart w:id="33" w:name="_Toc329278152"/>
      <w:bookmarkStart w:id="34" w:name="_Toc326060508"/>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55649946"/>
      <w:bookmarkStart w:id="38" w:name="_Toc326060509"/>
      <w:bookmarkStart w:id="39" w:name="_Toc356744038"/>
      <w:bookmarkStart w:id="40" w:name="_Toc329278153"/>
      <w:bookmarkStart w:id="41" w:name="_Toc354404033"/>
      <w:bookmarkStart w:id="42" w:name="_Toc357868218"/>
      <w:bookmarkStart w:id="43" w:name="_Toc354922984"/>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923124"/>
      <w:bookmarkStart w:id="46" w:name="_Toc354922985"/>
      <w:bookmarkStart w:id="47" w:name="_Toc356744039"/>
      <w:bookmarkStart w:id="48" w:name="_Toc329278154"/>
      <w:bookmarkStart w:id="49" w:name="_Toc364457264"/>
      <w:bookmarkStart w:id="50" w:name="_Toc326060510"/>
      <w:bookmarkStart w:id="51" w:name="_Toc355649947"/>
      <w:bookmarkStart w:id="52" w:name="_Toc354404034"/>
      <w:bookmarkStart w:id="53" w:name="_Toc35786821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64457265"/>
      <w:bookmarkStart w:id="55" w:name="_Toc357868220"/>
      <w:bookmarkStart w:id="56" w:name="_Toc356744040"/>
      <w:bookmarkStart w:id="57" w:name="_Toc326060511"/>
      <w:bookmarkStart w:id="58" w:name="_Toc354922986"/>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3126"/>
      <w:bookmarkStart w:id="64" w:name="_Toc326060512"/>
      <w:bookmarkStart w:id="65" w:name="_Toc357868221"/>
      <w:bookmarkStart w:id="66" w:name="_Toc356744041"/>
      <w:bookmarkStart w:id="67" w:name="_Toc355649949"/>
      <w:bookmarkStart w:id="68" w:name="_Toc329278156"/>
      <w:bookmarkStart w:id="69" w:name="_Toc364457266"/>
      <w:bookmarkStart w:id="70" w:name="_Toc35440403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4404037"/>
      <w:bookmarkStart w:id="74" w:name="_Toc355649950"/>
      <w:bookmarkStart w:id="75" w:name="_Toc354922988"/>
      <w:bookmarkStart w:id="76" w:name="_Toc354923127"/>
      <w:bookmarkStart w:id="77" w:name="_Toc356744042"/>
      <w:bookmarkStart w:id="78" w:name="_Toc326060513"/>
      <w:bookmarkStart w:id="79" w:name="_Toc329278157"/>
      <w:bookmarkStart w:id="80" w:name="_Toc357868222"/>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07591E"/>
    <w:rsid w:val="02314E41"/>
    <w:rsid w:val="032C493C"/>
    <w:rsid w:val="03625DE6"/>
    <w:rsid w:val="04A6236A"/>
    <w:rsid w:val="053F5432"/>
    <w:rsid w:val="064E7C45"/>
    <w:rsid w:val="07BF5E31"/>
    <w:rsid w:val="07F96DEB"/>
    <w:rsid w:val="0839546F"/>
    <w:rsid w:val="08ED0258"/>
    <w:rsid w:val="08EF08AA"/>
    <w:rsid w:val="09B61E03"/>
    <w:rsid w:val="0A115352"/>
    <w:rsid w:val="0A1E34A8"/>
    <w:rsid w:val="0A2241D5"/>
    <w:rsid w:val="0AED524D"/>
    <w:rsid w:val="0B042130"/>
    <w:rsid w:val="0B391354"/>
    <w:rsid w:val="0CAE7D79"/>
    <w:rsid w:val="0CC96F90"/>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113DC5"/>
    <w:rsid w:val="197867EF"/>
    <w:rsid w:val="197B011F"/>
    <w:rsid w:val="198F1D07"/>
    <w:rsid w:val="1A2B7FB5"/>
    <w:rsid w:val="1A7701C4"/>
    <w:rsid w:val="1B70335D"/>
    <w:rsid w:val="1BA33FF0"/>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83346"/>
    <w:rsid w:val="25720679"/>
    <w:rsid w:val="25DF5154"/>
    <w:rsid w:val="25F75E26"/>
    <w:rsid w:val="265B42DF"/>
    <w:rsid w:val="271710E8"/>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3C4CB4"/>
    <w:rsid w:val="35C46C85"/>
    <w:rsid w:val="35F6337B"/>
    <w:rsid w:val="36D45DBC"/>
    <w:rsid w:val="3749027E"/>
    <w:rsid w:val="37B96E50"/>
    <w:rsid w:val="391E6950"/>
    <w:rsid w:val="394E132D"/>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1352836"/>
    <w:rsid w:val="51A13899"/>
    <w:rsid w:val="51FD06C0"/>
    <w:rsid w:val="52581E68"/>
    <w:rsid w:val="528771C6"/>
    <w:rsid w:val="531600B4"/>
    <w:rsid w:val="535A1FCB"/>
    <w:rsid w:val="536561B2"/>
    <w:rsid w:val="53FA012A"/>
    <w:rsid w:val="544C0545"/>
    <w:rsid w:val="54A2119A"/>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0614B4F"/>
    <w:rsid w:val="614E3A65"/>
    <w:rsid w:val="61BC4DC2"/>
    <w:rsid w:val="62165DE7"/>
    <w:rsid w:val="62183117"/>
    <w:rsid w:val="62677C6F"/>
    <w:rsid w:val="634675E2"/>
    <w:rsid w:val="638962A8"/>
    <w:rsid w:val="63F4509F"/>
    <w:rsid w:val="64041CCC"/>
    <w:rsid w:val="64BF36B4"/>
    <w:rsid w:val="64C76A4D"/>
    <w:rsid w:val="64FE6613"/>
    <w:rsid w:val="66980FBD"/>
    <w:rsid w:val="6702061E"/>
    <w:rsid w:val="672B39CE"/>
    <w:rsid w:val="67341FB4"/>
    <w:rsid w:val="67506641"/>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7C02F42"/>
    <w:rsid w:val="787D7581"/>
    <w:rsid w:val="78AF68A0"/>
    <w:rsid w:val="78C37659"/>
    <w:rsid w:val="790B56C3"/>
    <w:rsid w:val="7BC16393"/>
    <w:rsid w:val="7BE9263D"/>
    <w:rsid w:val="7C1D0C87"/>
    <w:rsid w:val="7C39335E"/>
    <w:rsid w:val="7DE1586C"/>
    <w:rsid w:val="7DF5353A"/>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 w:type="character" w:customStyle="1" w:styleId="62">
    <w:name w:val="font2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10</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2019-11-25T02:01:31Z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