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禹州市公安局购置DNA实验室耗材项目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YZCG-T2019305</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val="en-US" w:eastAsia="zh-CN"/>
        </w:rPr>
        <w:t>禹州市公安局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lang w:val="en-US" w:eastAsia="zh-CN"/>
        </w:rPr>
        <w:t>禹州市公安局购置DNA实验室耗材项目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禹州市公安局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禹州市公安局购置DNA实验室耗材项目</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w:t>
      </w:r>
      <w:r>
        <w:rPr>
          <w:rFonts w:hint="eastAsia" w:ascii="新宋体" w:hAnsi="新宋体" w:eastAsia="新宋体" w:cs="新宋体"/>
          <w:sz w:val="24"/>
          <w:szCs w:val="24"/>
          <w:lang w:val="en-US" w:eastAsia="zh-CN"/>
        </w:rPr>
        <w:t>禹州市公安局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val="en-US" w:eastAsia="zh-CN"/>
        </w:rPr>
        <w:t>禹州市公安局购置DNA实验室耗材项目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305</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购置DNA实验室耗材项目</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36.2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val="en-US"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符合《政府采购法》第二十二条之规定，供应商须具有独立法人资格及相应的经营范围</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以营业执照为准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 xml:space="preserve">、被委托人须是本单位职工，须提供公司为本人缴纳社会保险证明； </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r>
        <w:rPr>
          <w:rFonts w:hint="eastAsia" w:ascii="新宋体" w:hAnsi="新宋体" w:eastAsia="新宋体" w:cs="新宋体"/>
          <w:color w:val="000000"/>
          <w:kern w:val="0"/>
          <w:sz w:val="24"/>
          <w:szCs w:val="24"/>
          <w:lang w:eastAsia="zh-CN"/>
        </w:rPr>
        <w:t>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val="en-US" w:eastAsia="zh-CN"/>
        </w:rPr>
        <w:t>禹州市公安局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val="en-US" w:eastAsia="zh-CN"/>
        </w:rPr>
        <w:t>华夏大道</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董</w:t>
      </w:r>
      <w:r>
        <w:rPr>
          <w:rFonts w:hint="eastAsia" w:ascii="新宋体" w:hAnsi="新宋体" w:eastAsia="新宋体" w:cs="新宋体"/>
          <w:color w:val="000000"/>
          <w:kern w:val="0"/>
          <w:sz w:val="24"/>
          <w:szCs w:val="24"/>
          <w:lang w:eastAsia="zh-CN"/>
        </w:rPr>
        <w:t>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18839906082</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p>
      <w:pPr>
        <w:widowControl/>
        <w:numPr>
          <w:numId w:val="0"/>
        </w:numPr>
        <w:spacing w:line="500" w:lineRule="exact"/>
        <w:jc w:val="left"/>
        <w:rPr>
          <w:rFonts w:hint="eastAsia" w:ascii="新宋体" w:hAnsi="新宋体" w:eastAsia="新宋体" w:cs="新宋体"/>
          <w:b/>
          <w:bCs/>
          <w:color w:val="000000"/>
          <w:sz w:val="24"/>
          <w:szCs w:val="24"/>
          <w:shd w:val="clear" w:color="auto" w:fill="FFFFFF"/>
          <w:lang w:eastAsia="zh-CN"/>
        </w:rPr>
      </w:pPr>
    </w:p>
    <w:tbl>
      <w:tblPr>
        <w:tblStyle w:val="22"/>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1030"/>
        <w:gridCol w:w="6968"/>
        <w:gridCol w:w="558"/>
        <w:gridCol w:w="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46"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新宋体" w:hAnsi="新宋体" w:eastAsia="新宋体" w:cs="新宋体"/>
                <w:sz w:val="24"/>
                <w:szCs w:val="24"/>
                <w:lang w:val="zh-CN"/>
              </w:rPr>
            </w:pPr>
          </w:p>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序号</w:t>
            </w:r>
          </w:p>
        </w:tc>
        <w:tc>
          <w:tcPr>
            <w:tcW w:w="1030"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试剂名称</w:t>
            </w:r>
          </w:p>
        </w:tc>
        <w:tc>
          <w:tcPr>
            <w:tcW w:w="6968"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参数</w:t>
            </w:r>
          </w:p>
        </w:tc>
        <w:tc>
          <w:tcPr>
            <w:tcW w:w="558"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sz w:val="32"/>
                <w:szCs w:val="32"/>
              </w:rPr>
            </w:pPr>
            <w:r>
              <w:rPr>
                <w:rFonts w:hint="eastAsia" w:ascii="新宋体" w:hAnsi="新宋体" w:eastAsia="新宋体" w:cs="新宋体"/>
                <w:sz w:val="24"/>
                <w:szCs w:val="24"/>
                <w:lang w:val="zh-CN"/>
              </w:rPr>
              <w:t>数量</w:t>
            </w:r>
          </w:p>
        </w:tc>
        <w:tc>
          <w:tcPr>
            <w:tcW w:w="47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sz w:val="32"/>
                <w:szCs w:val="32"/>
              </w:rPr>
            </w:pPr>
            <w:r>
              <w:rPr>
                <w:rFonts w:hint="eastAsia" w:ascii="新宋体" w:hAnsi="新宋体" w:eastAsia="新宋体" w:cs="新宋体"/>
                <w:sz w:val="24"/>
                <w:szCs w:val="24"/>
                <w:lang w:val="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2" w:hRule="atLeast"/>
        </w:trPr>
        <w:tc>
          <w:tcPr>
            <w:tcW w:w="446"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1</w:t>
            </w:r>
          </w:p>
        </w:tc>
        <w:tc>
          <w:tcPr>
            <w:tcW w:w="1030"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案件检验STR试剂盒</w:t>
            </w:r>
          </w:p>
        </w:tc>
        <w:tc>
          <w:tcPr>
            <w:tcW w:w="6968"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试剂盒可用于疑难检材的检测，可有效去除样本中血红素、腐植酸等抑制物的干扰；必要时可用于直扩。</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单管同时扩增16个以上基因座，至少包括15个个体识别基因座以及一个性别鉴定基因座Amelogenin。</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试剂盒采用至少五色荧光标记基因座。多色荧光标记，便于更清晰的分辨基因座位点。</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扩增产物的片段长度小于375bp；小片段扩增，对于降解DNA和疑难样品更容易得到完整DNA分型信息，数据更精确更可靠。</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提供与试剂盒配套的消耗品和技术支持等完整保障体系具备一体化的解决方案。</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与公安部DNA数据库中绝大多数数据位点保持一致，便于与国家库中数据进行高效的比对、交换和共享，避免基因座差异造成的潜在风险和成本增高</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符合《法庭科学DNA实验室检验规范》（GA/T 383-2002）要求，便于与国际DNA数据交换，比对。</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具备D2S1338、D19S433等基因座位点；便于与外省及区内案件DNA数据库中的位点比对，满足国家数据库中大多数位点匹配率更高。</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lang w:val="zh-CN"/>
              </w:rPr>
              <w:t>试剂盒中针对不同基因座均设置真实客观的Stutter峰阈值，且最高不超过17%（经大规模群体实验得到的统计数据，非一刀切）。较低峰保证样品的分型更可靠。</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val="zh-CN"/>
              </w:rPr>
              <w:t>Taq已预混至Mix中，无需额外添加。降低污染风险，经济省时。</w:t>
            </w:r>
          </w:p>
        </w:tc>
        <w:tc>
          <w:tcPr>
            <w:tcW w:w="558"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sz w:val="32"/>
                <w:szCs w:val="32"/>
                <w:lang w:eastAsia="zh-CN"/>
              </w:rPr>
            </w:pPr>
            <w:r>
              <w:rPr>
                <w:rFonts w:hint="eastAsia" w:ascii="新宋体" w:hAnsi="新宋体" w:eastAsia="新宋体" w:cs="新宋体"/>
                <w:sz w:val="24"/>
                <w:szCs w:val="24"/>
                <w:lang w:val="en-US" w:eastAsia="zh-CN"/>
              </w:rPr>
              <w:t>4</w:t>
            </w:r>
          </w:p>
        </w:tc>
        <w:tc>
          <w:tcPr>
            <w:tcW w:w="47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sz w:val="32"/>
                <w:szCs w:val="32"/>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trPr>
        <w:tc>
          <w:tcPr>
            <w:tcW w:w="446"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仿宋" w:hAnsi="仿宋" w:eastAsia="仿宋" w:cs="仿宋"/>
                <w:color w:val="000000"/>
                <w:kern w:val="0"/>
                <w:sz w:val="32"/>
                <w:szCs w:val="32"/>
                <w:lang w:val="en-US" w:eastAsia="zh-CN"/>
              </w:rPr>
            </w:pPr>
            <w:r>
              <w:rPr>
                <w:rFonts w:hint="eastAsia" w:ascii="新宋体" w:hAnsi="新宋体" w:eastAsia="新宋体" w:cs="新宋体"/>
                <w:sz w:val="24"/>
                <w:szCs w:val="24"/>
                <w:lang w:val="en-US" w:eastAsia="zh-CN"/>
              </w:rPr>
              <w:t>2</w:t>
            </w:r>
          </w:p>
        </w:tc>
        <w:tc>
          <w:tcPr>
            <w:tcW w:w="1030"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eastAsia="zh-CN"/>
              </w:rPr>
              <w:t>疑难</w:t>
            </w:r>
            <w:r>
              <w:rPr>
                <w:rFonts w:hint="eastAsia" w:ascii="新宋体" w:hAnsi="新宋体" w:eastAsia="新宋体" w:cs="新宋体"/>
                <w:sz w:val="24"/>
                <w:szCs w:val="24"/>
                <w:lang w:val="zh-CN"/>
              </w:rPr>
              <w:t>案件检验STR试剂盒</w:t>
            </w:r>
          </w:p>
        </w:tc>
        <w:tc>
          <w:tcPr>
            <w:tcW w:w="6968" w:type="dxa"/>
            <w:tcBorders>
              <w:top w:val="single" w:color="auto" w:sz="8" w:space="0"/>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1．同时扩增包含CODIS和ESS位点在内的23个STR位点</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2．独特的内质控因子QS，可以指示PCR扩增状况以及抑制剂情况</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3．60分钟即可完成扩增</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4．6色荧光标记</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5．抗抑制剂能力强，检测灵敏度高，可用于降解或微量案件检材</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6．更少的等位基因重叠位点设计，便于更准确地判读结果</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7．试剂盒中包含扩增所需全部试剂（热启动酶、引物对、内标、等位基因Ladder、扩增用水）</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8．模板体积：最大可加总反应体积3/5量的模板量</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9．试剂盒设计等位基因Overlap数最多1个</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10．试剂盒通过ENFSI/SWGDAM国际质量认证，通过ISO 18385质量体系认证，保证绝对不含人类基因组污染</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p>
        </w:tc>
        <w:tc>
          <w:tcPr>
            <w:tcW w:w="558"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新宋体" w:hAnsi="新宋体" w:eastAsia="新宋体" w:cs="新宋体"/>
                <w:sz w:val="24"/>
                <w:szCs w:val="24"/>
                <w:lang w:val="en-US" w:eastAsia="zh-CN"/>
              </w:rPr>
              <w:t>2</w:t>
            </w:r>
          </w:p>
        </w:tc>
        <w:tc>
          <w:tcPr>
            <w:tcW w:w="47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仿宋" w:hAnsi="仿宋" w:eastAsia="仿宋" w:cs="仿宋"/>
                <w:color w:val="000000"/>
                <w:kern w:val="0"/>
                <w:sz w:val="32"/>
                <w:szCs w:val="32"/>
                <w:lang w:eastAsia="zh-CN"/>
              </w:rPr>
            </w:pPr>
            <w:r>
              <w:rPr>
                <w:rFonts w:hint="eastAsia" w:ascii="新宋体" w:hAnsi="新宋体" w:eastAsia="新宋体" w:cs="新宋体"/>
                <w:sz w:val="24"/>
                <w:szCs w:val="24"/>
                <w:lang w:val="zh-CN"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1" w:hRule="atLeast"/>
        </w:trPr>
        <w:tc>
          <w:tcPr>
            <w:tcW w:w="446" w:type="dxa"/>
            <w:tcBorders>
              <w:top w:val="nil"/>
              <w:left w:val="single" w:color="auto" w:sz="8" w:space="0"/>
              <w:bottom w:val="single" w:color="auto" w:sz="8" w:space="0"/>
              <w:right w:val="single" w:color="auto" w:sz="8" w:space="0"/>
            </w:tcBorders>
            <w:vAlign w:val="top"/>
          </w:tcPr>
          <w:p>
            <w:pPr>
              <w:widowControl/>
              <w:jc w:val="left"/>
              <w:rPr>
                <w:rFonts w:hint="eastAsia" w:ascii="仿宋" w:hAnsi="仿宋" w:eastAsia="仿宋" w:cs="仿宋"/>
                <w:color w:val="000000"/>
                <w:kern w:val="0"/>
                <w:sz w:val="32"/>
                <w:szCs w:val="32"/>
                <w:lang w:eastAsia="zh-CN"/>
              </w:rPr>
            </w:pPr>
            <w:r>
              <w:rPr>
                <w:rFonts w:hint="eastAsia" w:ascii="新宋体" w:hAnsi="新宋体" w:eastAsia="新宋体" w:cs="新宋体"/>
                <w:sz w:val="24"/>
                <w:szCs w:val="24"/>
                <w:lang w:val="en-US" w:eastAsia="zh-CN"/>
              </w:rPr>
              <w:t>3</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Y染色体扩增试剂盒</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1、采用六色或六色以上荧光技术,使用的分子量内标用于标定大小在 20-600 个核苷酸范围的片段,包含片段为(20、40、60、80、100、114、120、140、160、180、200、 214、220、 240、250、260、280、300、314、320、340、360、380、400、414、420、440、460、480、500、514、520、540、560、580、600)。 </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2、实现一色荧光标记分子量内标，在维持扩增产物大小不变的条件下，有效提高单个泳道分辨的片段数。多色荧光标记，便于更清晰的分辨基因座标记。</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3、单管同时扩增不少于27个Y染色体基因座。DYS576, DYS389I/II, DYS635, DYS627, DYS 460, DYS458, DYS19, GATA-H4, DYS448, DYS391, DYS456, DYS390，DYS438, DYS392, DYS518, DYS570, DYS437, DYS385a/b, DYS449, DYS393, DYS439, DYS481, DYS387S1a/b, DYS533。</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4、PCR 反应时间80 分钟。</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5、试剂盒的检测灵敏度达到100 pg DNA模板量 （按25 ul体系）。</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6、试剂盒基因座内不少于10个Mini-STR (扩增子长度在200 bp以下) 有利于对降解检材的检测。</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7、进行检测时，在具有女性背景的情况下，在模板量混合比 男性：女性=1:2000 时，都可分辨获得Y染色体的分型信息。</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8、在相同的基因座上具有引物（组）序列，保证对同一个体的检材能够保持同一基因座分型结果的一致性。</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9、试剂盒不仅可以直扩血卡样本，也可用于案件检材提取后</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3</w:t>
            </w:r>
          </w:p>
        </w:tc>
        <w:tc>
          <w:tcPr>
            <w:tcW w:w="476"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default" w:ascii="仿宋" w:hAnsi="仿宋" w:eastAsia="仿宋" w:cs="仿宋"/>
                <w:color w:val="000000"/>
                <w:kern w:val="0"/>
                <w:sz w:val="32"/>
                <w:szCs w:val="32"/>
                <w:lang w:val="en-US" w:eastAsia="zh-CN"/>
              </w:rPr>
            </w:pPr>
            <w:r>
              <w:rPr>
                <w:rFonts w:hint="eastAsia" w:ascii="新宋体" w:hAnsi="新宋体" w:eastAsia="新宋体" w:cs="新宋体"/>
                <w:sz w:val="24"/>
                <w:szCs w:val="24"/>
                <w:lang w:val="en-US" w:eastAsia="zh-CN"/>
              </w:rPr>
              <w:t>4</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LIZ-600</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1、片段分析用600（LIZ波长）标准品，包括16个不同长度的DNA片段</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2、分子量内标，包括16个不同长度的DNA片段，LIZ荧光标记，800次上样。</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6</w:t>
            </w:r>
          </w:p>
        </w:tc>
        <w:tc>
          <w:tcPr>
            <w:tcW w:w="476"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5</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缓冲液BUFFER</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缓冲液溶液，配合测序仪器测序用试剂。</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6</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6</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甲酰胺</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高纯度去离子试剂，适用于ABI 3</w:t>
            </w:r>
            <w:r>
              <w:rPr>
                <w:rFonts w:hint="eastAsia" w:ascii="新宋体" w:hAnsi="新宋体" w:eastAsia="新宋体" w:cs="新宋体"/>
                <w:sz w:val="24"/>
                <w:szCs w:val="24"/>
                <w:lang w:val="en-US" w:eastAsia="zh-CN"/>
              </w:rPr>
              <w:t>130</w:t>
            </w:r>
            <w:r>
              <w:rPr>
                <w:rFonts w:hint="eastAsia" w:ascii="新宋体" w:hAnsi="新宋体" w:eastAsia="新宋体" w:cs="新宋体"/>
                <w:sz w:val="24"/>
                <w:szCs w:val="24"/>
                <w:lang w:val="zh-CN"/>
              </w:rPr>
              <w:t>XL毛细管电泳及DNA链变性。</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5</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蛋白酶K</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消化检材，粉剂，消化能力强100mg</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5</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POP4 胶</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1、即插即用型，进样即可运行</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具有RFID标签，实时监控使用信息</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2、可用于384个样品，液体分离胶，用于法医STR分析，3500 DNA测序仪适用</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15</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9</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疑难检测提取试剂盒</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通过磁珠为介质从脱落细胞或血斑、精斑等检材中提取高质量的DNA，可以提供售后技术支持服务。</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1</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抗人精检测试剂条</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快速定性检测人精斑，在标本中选择性地鉴别人的前列腺抗原（PSA）</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检出时间短：在大约5分钟时间内，能检测出样本中高于5ng／ml浓度的前列腺抗原（PSA）</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高灵敏度： 100～6000倍（5ng／ml）。</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1</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1</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抗人血检测试剂条</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快速定性检测人类血液（痕），在标本中选择性地鉴别人类血红素</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可在大约5分钟时间内，能检测出样本中高于1ng／ml浓度的人类血红素</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高灵敏度： 100～80000倍。</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1</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3"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12</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96孔PCR反应板</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一体化设计，聚碳酸酯框架和聚丙烯孔井，性能卓越</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硬度高，抗变形</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最小程度结合 DNA、RNA 和聚合酶</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4、激光标记的字母数字边框和独特的斜型转角</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5、高出孔的边缘设计确保最佳密封效果并减少交叉污染</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6、可以高温高压灭菌（121 °C，20 分钟）</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7、经鉴定无人类 DNA、DNase、RNase 和 PCR 抑制剂</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50</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13</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一次性丁腈手套</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不含乳胶成分，不致敏</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穿戴服帖舒适，减少手部疲劳</w:t>
            </w:r>
            <w:r>
              <w:rPr>
                <w:rFonts w:hint="eastAsia" w:ascii="新宋体" w:hAnsi="新宋体" w:eastAsia="新宋体" w:cs="新宋体"/>
                <w:sz w:val="24"/>
                <w:szCs w:val="24"/>
                <w:lang w:val="zh-CN" w:eastAsia="zh-CN"/>
              </w:rPr>
              <w:t>。</w:t>
            </w:r>
          </w:p>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防腐蚀，耐穿透，表面纹理结构具有防滑功能</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5</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46" w:type="dxa"/>
            <w:tcBorders>
              <w:top w:val="nil"/>
              <w:left w:val="single" w:color="auto" w:sz="8" w:space="0"/>
              <w:bottom w:val="single" w:color="auto" w:sz="8" w:space="0"/>
              <w:right w:val="single" w:color="auto" w:sz="8" w:space="0"/>
            </w:tcBorders>
            <w:vAlign w:val="top"/>
          </w:tcPr>
          <w:p>
            <w:pPr>
              <w:widowControl/>
              <w:shd w:val="clear" w:color="auto" w:fill="FFFFFF"/>
              <w:spacing w:line="360" w:lineRule="auto"/>
              <w:ind w:firstLine="60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114</w:t>
            </w:r>
          </w:p>
        </w:tc>
        <w:tc>
          <w:tcPr>
            <w:tcW w:w="1030"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磁力分离架</w:t>
            </w:r>
          </w:p>
        </w:tc>
        <w:tc>
          <w:tcPr>
            <w:tcW w:w="6968"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用于磁珠的分离，适用于1.5ml/2.0ml的离心管</w:t>
            </w:r>
            <w:r>
              <w:rPr>
                <w:rFonts w:hint="eastAsia" w:ascii="新宋体" w:hAnsi="新宋体" w:eastAsia="新宋体" w:cs="新宋体"/>
                <w:sz w:val="24"/>
                <w:szCs w:val="24"/>
                <w:lang w:val="zh-CN" w:eastAsia="zh-CN"/>
              </w:rPr>
              <w:t>。</w:t>
            </w:r>
          </w:p>
        </w:tc>
        <w:tc>
          <w:tcPr>
            <w:tcW w:w="558" w:type="dxa"/>
            <w:tcBorders>
              <w:top w:val="nil"/>
              <w:left w:val="nil"/>
              <w:bottom w:val="single" w:color="auto" w:sz="8" w:space="0"/>
              <w:right w:val="single" w:color="auto" w:sz="8" w:space="0"/>
            </w:tcBorders>
            <w:vAlign w:val="center"/>
          </w:tcPr>
          <w:p>
            <w:pPr>
              <w:widowControl/>
              <w:jc w:val="left"/>
              <w:rPr>
                <w:rFonts w:hint="eastAsia" w:ascii="仿宋" w:hAnsi="仿宋" w:eastAsia="仿宋" w:cs="仿宋"/>
                <w:color w:val="000000"/>
                <w:kern w:val="0"/>
                <w:sz w:val="32"/>
                <w:szCs w:val="32"/>
              </w:rPr>
            </w:pPr>
            <w:r>
              <w:rPr>
                <w:rFonts w:hint="eastAsia" w:ascii="新宋体" w:hAnsi="新宋体" w:eastAsia="新宋体" w:cs="新宋体"/>
                <w:sz w:val="24"/>
                <w:szCs w:val="24"/>
                <w:lang w:val="zh-CN"/>
              </w:rPr>
              <w:t>2</w:t>
            </w:r>
          </w:p>
        </w:tc>
        <w:tc>
          <w:tcPr>
            <w:tcW w:w="476" w:type="dxa"/>
            <w:tcBorders>
              <w:top w:val="nil"/>
              <w:left w:val="nil"/>
              <w:bottom w:val="single" w:color="auto" w:sz="8" w:space="0"/>
              <w:right w:val="single" w:color="auto" w:sz="8" w:space="0"/>
            </w:tcBorders>
            <w:vAlign w:val="center"/>
          </w:tcPr>
          <w:p>
            <w:pPr>
              <w:widowControl/>
              <w:shd w:val="clear" w:color="auto" w:fill="FFFFFF"/>
              <w:spacing w:line="360" w:lineRule="auto"/>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eastAsia="zh-CN"/>
              </w:rPr>
              <w:t>个</w:t>
            </w:r>
          </w:p>
        </w:tc>
      </w:tr>
    </w:tbl>
    <w:p>
      <w:pPr>
        <w:widowControl/>
        <w:shd w:val="clear" w:color="auto" w:fill="FFFFFF"/>
        <w:spacing w:line="360" w:lineRule="auto"/>
        <w:ind w:firstLine="600"/>
        <w:jc w:val="left"/>
        <w:rPr>
          <w:rFonts w:hint="eastAsia" w:ascii="新宋体" w:hAnsi="新宋体" w:eastAsia="新宋体" w:cs="新宋体"/>
          <w:sz w:val="24"/>
          <w:szCs w:val="24"/>
          <w:lang w:val="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numPr>
          <w:ilvl w:val="0"/>
          <w:numId w:val="0"/>
        </w:numPr>
        <w:shd w:val="clear" w:color="auto" w:fill="FFFFFF"/>
        <w:spacing w:line="360" w:lineRule="auto"/>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val="en-US" w:eastAsia="zh-CN"/>
        </w:rPr>
        <w:t>三、</w:t>
      </w:r>
      <w:r>
        <w:rPr>
          <w:rFonts w:hint="eastAsia" w:ascii="新宋体" w:hAnsi="新宋体" w:eastAsia="新宋体" w:cs="新宋体"/>
          <w:b/>
          <w:bCs/>
          <w:color w:val="000000"/>
          <w:kern w:val="0"/>
          <w:sz w:val="24"/>
          <w:szCs w:val="24"/>
        </w:rPr>
        <w:t>采购标的执行标准</w:t>
      </w:r>
    </w:p>
    <w:p>
      <w:pPr>
        <w:widowControl/>
        <w:shd w:val="clear" w:color="auto" w:fill="FFFFFF"/>
        <w:spacing w:line="360" w:lineRule="auto"/>
        <w:ind w:firstLine="600"/>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sz w:val="24"/>
          <w:szCs w:val="24"/>
          <w:lang w:val="zh-CN"/>
        </w:rPr>
        <w:t>国家相关标准、行业标准</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val="en-US" w:eastAsia="zh-CN"/>
        </w:rPr>
        <w:t>四</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ordWrap w:val="0"/>
        <w:topLinePunct/>
        <w:spacing w:line="360" w:lineRule="auto"/>
        <w:ind w:firstLine="480" w:firstLineChars="200"/>
        <w:rPr>
          <w:rFonts w:hint="eastAsia" w:ascii="新宋体" w:hAnsi="新宋体" w:eastAsia="新宋体" w:cs="新宋体"/>
          <w:sz w:val="24"/>
          <w:szCs w:val="24"/>
          <w:lang w:val="zh-CN"/>
        </w:rPr>
      </w:pPr>
    </w:p>
    <w:p>
      <w:pPr>
        <w:wordWrap w:val="0"/>
        <w:topLinePunct/>
        <w:spacing w:line="360" w:lineRule="auto"/>
        <w:ind w:firstLine="482" w:firstLineChars="200"/>
        <w:rPr>
          <w:rFonts w:hint="default" w:ascii="新宋体" w:hAnsi="新宋体" w:eastAsia="新宋体" w:cs="新宋体"/>
          <w:color w:val="000000"/>
          <w:kern w:val="0"/>
          <w:sz w:val="24"/>
          <w:szCs w:val="24"/>
          <w:lang w:val="en-US" w:eastAsia="zh-CN"/>
        </w:rPr>
      </w:pPr>
      <w:r>
        <w:rPr>
          <w:rFonts w:hint="eastAsia" w:ascii="新宋体" w:hAnsi="新宋体" w:eastAsia="新宋体" w:cs="新宋体"/>
          <w:b/>
          <w:bCs/>
          <w:sz w:val="24"/>
          <w:szCs w:val="24"/>
          <w:lang w:val="en-US" w:eastAsia="zh-CN"/>
        </w:rPr>
        <w:t>五、付款方式 ：</w:t>
      </w:r>
      <w:r>
        <w:rPr>
          <w:rFonts w:hint="eastAsia" w:ascii="新宋体" w:hAnsi="新宋体" w:eastAsia="新宋体" w:cs="新宋体"/>
          <w:color w:val="000000"/>
          <w:kern w:val="0"/>
          <w:sz w:val="24"/>
          <w:szCs w:val="24"/>
          <w:lang w:val="en-US" w:eastAsia="zh-CN"/>
        </w:rPr>
        <w:t>以签订合同为准</w:t>
      </w: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0"/>
        </w:numPr>
        <w:autoSpaceDE w:val="0"/>
        <w:autoSpaceDN w:val="0"/>
        <w:adjustRightInd w:val="0"/>
        <w:ind w:left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val="en-US" w:eastAsia="zh-CN"/>
        </w:rPr>
        <w:t xml:space="preserve">第三章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禹州市公安局购置DNA实验室耗材项目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YZCG-T2019305</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val="en-US" w:eastAsia="zh-CN"/>
              </w:rPr>
              <w:t>华夏大道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禹州市公安局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董</w:t>
            </w:r>
            <w:r>
              <w:rPr>
                <w:rFonts w:hint="default" w:cs="仿宋_GB2312" w:asciiTheme="minorEastAsia" w:hAnsiTheme="minorEastAsia" w:eastAsiaTheme="minorEastAsia"/>
                <w:szCs w:val="21"/>
                <w:lang w:val="en-US" w:eastAsia="zh-CN"/>
              </w:rPr>
              <w:t>先生     联系电话：18839906082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36.2万元，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bookmarkStart w:id="83" w:name="_GoBack"/>
      <w:bookmarkEnd w:id="83"/>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4922980"/>
      <w:bookmarkStart w:id="1" w:name="_Toc326060505"/>
      <w:bookmarkStart w:id="2" w:name="_Toc354923119"/>
      <w:bookmarkStart w:id="3" w:name="_Toc364457259"/>
      <w:bookmarkStart w:id="4" w:name="_Toc356744034"/>
      <w:bookmarkStart w:id="5" w:name="_Toc354404029"/>
      <w:bookmarkStart w:id="6" w:name="_Toc357868214"/>
      <w:bookmarkStart w:id="7" w:name="_Toc355649942"/>
      <w:bookmarkStart w:id="8" w:name="_Toc32927814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26060506"/>
      <w:bookmarkStart w:id="11" w:name="_Toc357868215"/>
      <w:bookmarkStart w:id="12" w:name="_Toc356744035"/>
      <w:bookmarkStart w:id="13" w:name="_Toc355649943"/>
      <w:bookmarkStart w:id="14" w:name="_Toc354923120"/>
      <w:bookmarkStart w:id="15" w:name="_Toc329278150"/>
      <w:bookmarkStart w:id="16" w:name="_Toc36445726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6744036"/>
      <w:bookmarkStart w:id="19" w:name="_Toc354922982"/>
      <w:bookmarkStart w:id="20" w:name="_Toc364457261"/>
      <w:bookmarkStart w:id="21" w:name="_Toc329278151"/>
      <w:bookmarkStart w:id="22" w:name="_Toc355649944"/>
      <w:bookmarkStart w:id="23" w:name="_Toc326060507"/>
      <w:bookmarkStart w:id="24" w:name="_Toc354404031"/>
      <w:bookmarkStart w:id="25" w:name="_Toc357868216"/>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404032"/>
      <w:bookmarkStart w:id="29" w:name="_Toc354923122"/>
      <w:bookmarkStart w:id="30" w:name="_Toc364457262"/>
      <w:bookmarkStart w:id="31" w:name="_Toc326060508"/>
      <w:bookmarkStart w:id="32" w:name="_Toc329278152"/>
      <w:bookmarkStart w:id="33" w:name="_Toc355649945"/>
      <w:bookmarkStart w:id="34" w:name="_Toc357868217"/>
      <w:bookmarkStart w:id="35" w:name="_Toc356744037"/>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7868218"/>
      <w:bookmarkStart w:id="37" w:name="_Toc354922984"/>
      <w:bookmarkStart w:id="38" w:name="_Toc354404033"/>
      <w:bookmarkStart w:id="39" w:name="_Toc356744038"/>
      <w:bookmarkStart w:id="40" w:name="_Toc326060509"/>
      <w:bookmarkStart w:id="41" w:name="_Toc355649946"/>
      <w:bookmarkStart w:id="42" w:name="_Toc354923123"/>
      <w:bookmarkStart w:id="43" w:name="_Toc329278153"/>
      <w:bookmarkStart w:id="44" w:name="_Toc36445726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64457264"/>
      <w:bookmarkStart w:id="47" w:name="_Toc354922985"/>
      <w:bookmarkStart w:id="48" w:name="_Toc357868219"/>
      <w:bookmarkStart w:id="49" w:name="_Toc356744039"/>
      <w:bookmarkStart w:id="50" w:name="_Toc355649947"/>
      <w:bookmarkStart w:id="51" w:name="_Toc326060510"/>
      <w:bookmarkStart w:id="52" w:name="_Toc354923124"/>
      <w:bookmarkStart w:id="53" w:name="_Toc32927815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6060511"/>
      <w:bookmarkStart w:id="55" w:name="_Toc354923125"/>
      <w:bookmarkStart w:id="56" w:name="_Toc364457265"/>
      <w:bookmarkStart w:id="57" w:name="_Toc354922986"/>
      <w:bookmarkStart w:id="58" w:name="_Toc357868220"/>
      <w:bookmarkStart w:id="59" w:name="_Toc329278155"/>
      <w:bookmarkStart w:id="60" w:name="_Toc354404035"/>
      <w:bookmarkStart w:id="61" w:name="_Toc355649948"/>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3126"/>
      <w:bookmarkStart w:id="64" w:name="_Toc354922987"/>
      <w:bookmarkStart w:id="65" w:name="_Toc354404036"/>
      <w:bookmarkStart w:id="66" w:name="_Toc329278156"/>
      <w:bookmarkStart w:id="67" w:name="_Toc326060512"/>
      <w:bookmarkStart w:id="68" w:name="_Toc357868221"/>
      <w:bookmarkStart w:id="69" w:name="_Toc364457266"/>
      <w:bookmarkStart w:id="70" w:name="_Toc356744041"/>
      <w:bookmarkStart w:id="71" w:name="_Toc355649949"/>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6744042"/>
      <w:bookmarkStart w:id="74" w:name="_Toc354404037"/>
      <w:bookmarkStart w:id="75" w:name="_Toc329278157"/>
      <w:bookmarkStart w:id="76" w:name="_Toc357868222"/>
      <w:bookmarkStart w:id="77" w:name="_Toc354922988"/>
      <w:bookmarkStart w:id="78" w:name="_Toc354923127"/>
      <w:bookmarkStart w:id="79" w:name="_Toc355649950"/>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8838"/>
    <w:multiLevelType w:val="singleLevel"/>
    <w:tmpl w:val="86D48838"/>
    <w:lvl w:ilvl="0" w:tentative="0">
      <w:start w:val="1"/>
      <w:numFmt w:val="chineseCounting"/>
      <w:suff w:val="nothing"/>
      <w:lvlText w:val="%1、"/>
      <w:lvlJc w:val="left"/>
      <w:rPr>
        <w:rFonts w:hint="eastAsia"/>
      </w:r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3"/>
  </w:num>
  <w:num w:numId="4">
    <w:abstractNumId w:val="3"/>
  </w:num>
  <w:num w:numId="5">
    <w:abstractNumId w:val="24"/>
  </w:num>
  <w:num w:numId="6">
    <w:abstractNumId w:val="0"/>
  </w:num>
  <w:num w:numId="7">
    <w:abstractNumId w:val="20"/>
  </w:num>
  <w:num w:numId="8">
    <w:abstractNumId w:val="25"/>
  </w:num>
  <w:num w:numId="9">
    <w:abstractNumId w:val="18"/>
  </w:num>
  <w:num w:numId="10">
    <w:abstractNumId w:val="13"/>
  </w:num>
  <w:num w:numId="11">
    <w:abstractNumId w:val="19"/>
  </w:num>
  <w:num w:numId="12">
    <w:abstractNumId w:val="21"/>
  </w:num>
  <w:num w:numId="13">
    <w:abstractNumId w:val="28"/>
  </w:num>
  <w:num w:numId="14">
    <w:abstractNumId w:val="17"/>
  </w:num>
  <w:num w:numId="15">
    <w:abstractNumId w:val="14"/>
  </w:num>
  <w:num w:numId="16">
    <w:abstractNumId w:val="26"/>
  </w:num>
  <w:num w:numId="17">
    <w:abstractNumId w:val="12"/>
  </w:num>
  <w:num w:numId="18">
    <w:abstractNumId w:val="22"/>
  </w:num>
  <w:num w:numId="19">
    <w:abstractNumId w:val="16"/>
  </w:num>
  <w:num w:numId="20">
    <w:abstractNumId w:val="27"/>
  </w:num>
  <w:num w:numId="21">
    <w:abstractNumId w:val="29"/>
  </w:num>
  <w:num w:numId="22">
    <w:abstractNumId w:val="1"/>
  </w:num>
  <w:num w:numId="23">
    <w:abstractNumId w:val="6"/>
  </w:num>
  <w:num w:numId="24">
    <w:abstractNumId w:val="10"/>
  </w:num>
  <w:num w:numId="25">
    <w:abstractNumId w:val="7"/>
  </w:num>
  <w:num w:numId="26">
    <w:abstractNumId w:val="9"/>
  </w:num>
  <w:num w:numId="27">
    <w:abstractNumId w:val="5"/>
  </w:num>
  <w:num w:numId="28">
    <w:abstractNumId w:val="8"/>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95799D"/>
    <w:rsid w:val="01A03053"/>
    <w:rsid w:val="01E15DEA"/>
    <w:rsid w:val="02042EF4"/>
    <w:rsid w:val="02314E41"/>
    <w:rsid w:val="02A76729"/>
    <w:rsid w:val="032C493C"/>
    <w:rsid w:val="03625DE6"/>
    <w:rsid w:val="04A6236A"/>
    <w:rsid w:val="04FC1582"/>
    <w:rsid w:val="053F5432"/>
    <w:rsid w:val="064E7C45"/>
    <w:rsid w:val="07BF5E31"/>
    <w:rsid w:val="07F96DEB"/>
    <w:rsid w:val="08ED0258"/>
    <w:rsid w:val="08EF08AA"/>
    <w:rsid w:val="09B61E03"/>
    <w:rsid w:val="09D81EDF"/>
    <w:rsid w:val="0A115352"/>
    <w:rsid w:val="0A1E34A8"/>
    <w:rsid w:val="0A2241D5"/>
    <w:rsid w:val="0AED524D"/>
    <w:rsid w:val="0B042130"/>
    <w:rsid w:val="0B391354"/>
    <w:rsid w:val="0CAE7D79"/>
    <w:rsid w:val="0CC96F90"/>
    <w:rsid w:val="0DAC0795"/>
    <w:rsid w:val="0DE54A2F"/>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0855BF"/>
    <w:rsid w:val="18113DC5"/>
    <w:rsid w:val="184233C3"/>
    <w:rsid w:val="186807AA"/>
    <w:rsid w:val="197867EF"/>
    <w:rsid w:val="197B011F"/>
    <w:rsid w:val="19856FF9"/>
    <w:rsid w:val="198F1D07"/>
    <w:rsid w:val="19FB12E4"/>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2E3091F"/>
    <w:rsid w:val="2301785C"/>
    <w:rsid w:val="24326801"/>
    <w:rsid w:val="2461458C"/>
    <w:rsid w:val="24D83346"/>
    <w:rsid w:val="25720679"/>
    <w:rsid w:val="25DF5154"/>
    <w:rsid w:val="25F75E26"/>
    <w:rsid w:val="26092D10"/>
    <w:rsid w:val="265B42DF"/>
    <w:rsid w:val="27A229B2"/>
    <w:rsid w:val="27B5253B"/>
    <w:rsid w:val="281A0202"/>
    <w:rsid w:val="283E3CD3"/>
    <w:rsid w:val="29B77FC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33C7C6D"/>
    <w:rsid w:val="340A14ED"/>
    <w:rsid w:val="34280373"/>
    <w:rsid w:val="3439458D"/>
    <w:rsid w:val="345D5D57"/>
    <w:rsid w:val="350A079B"/>
    <w:rsid w:val="35306958"/>
    <w:rsid w:val="353C4CB4"/>
    <w:rsid w:val="35C46C85"/>
    <w:rsid w:val="35F6337B"/>
    <w:rsid w:val="36D45DBC"/>
    <w:rsid w:val="3749027E"/>
    <w:rsid w:val="37B96E50"/>
    <w:rsid w:val="391E6950"/>
    <w:rsid w:val="398F43B6"/>
    <w:rsid w:val="39FC1D92"/>
    <w:rsid w:val="3A0C6200"/>
    <w:rsid w:val="3A1A525E"/>
    <w:rsid w:val="3A8907AB"/>
    <w:rsid w:val="3ACC560C"/>
    <w:rsid w:val="3B380893"/>
    <w:rsid w:val="3B685AA6"/>
    <w:rsid w:val="3BD0390B"/>
    <w:rsid w:val="3C083134"/>
    <w:rsid w:val="3C175755"/>
    <w:rsid w:val="3C725167"/>
    <w:rsid w:val="3C9839FA"/>
    <w:rsid w:val="3CB04E80"/>
    <w:rsid w:val="3CC67CD4"/>
    <w:rsid w:val="3D96637E"/>
    <w:rsid w:val="3DEC2498"/>
    <w:rsid w:val="3E034405"/>
    <w:rsid w:val="40BE3049"/>
    <w:rsid w:val="41247764"/>
    <w:rsid w:val="41DE3A48"/>
    <w:rsid w:val="42547D8B"/>
    <w:rsid w:val="42F23437"/>
    <w:rsid w:val="432A341D"/>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000D94"/>
    <w:rsid w:val="4A222BB1"/>
    <w:rsid w:val="4A4A7C99"/>
    <w:rsid w:val="4D005CCE"/>
    <w:rsid w:val="4D9B0DFF"/>
    <w:rsid w:val="4DAF7610"/>
    <w:rsid w:val="4DE45808"/>
    <w:rsid w:val="4E9448CD"/>
    <w:rsid w:val="4ECA5CC8"/>
    <w:rsid w:val="4EDA0B77"/>
    <w:rsid w:val="4F374C6E"/>
    <w:rsid w:val="4FF65309"/>
    <w:rsid w:val="505F0174"/>
    <w:rsid w:val="50A050A3"/>
    <w:rsid w:val="51352836"/>
    <w:rsid w:val="51A13899"/>
    <w:rsid w:val="51FD06C0"/>
    <w:rsid w:val="52581E68"/>
    <w:rsid w:val="528771C6"/>
    <w:rsid w:val="531600B4"/>
    <w:rsid w:val="535A1FCB"/>
    <w:rsid w:val="536561B2"/>
    <w:rsid w:val="53FA012A"/>
    <w:rsid w:val="543455C4"/>
    <w:rsid w:val="544C0545"/>
    <w:rsid w:val="55684A64"/>
    <w:rsid w:val="557F3457"/>
    <w:rsid w:val="56626902"/>
    <w:rsid w:val="567A60F1"/>
    <w:rsid w:val="57B8361E"/>
    <w:rsid w:val="57D2139A"/>
    <w:rsid w:val="57DF4B76"/>
    <w:rsid w:val="58057299"/>
    <w:rsid w:val="58A31F4C"/>
    <w:rsid w:val="597451B1"/>
    <w:rsid w:val="5BAE2A99"/>
    <w:rsid w:val="5C1717D9"/>
    <w:rsid w:val="5C20031E"/>
    <w:rsid w:val="5CB139A0"/>
    <w:rsid w:val="5CD938B8"/>
    <w:rsid w:val="5D1F61F2"/>
    <w:rsid w:val="5D5824F9"/>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E6613"/>
    <w:rsid w:val="66980FBD"/>
    <w:rsid w:val="672B39CE"/>
    <w:rsid w:val="67341FB4"/>
    <w:rsid w:val="67F03A67"/>
    <w:rsid w:val="68881403"/>
    <w:rsid w:val="69294622"/>
    <w:rsid w:val="69995CD6"/>
    <w:rsid w:val="69CA0494"/>
    <w:rsid w:val="69FB4D8B"/>
    <w:rsid w:val="6C2234CC"/>
    <w:rsid w:val="6C461311"/>
    <w:rsid w:val="6C863FC4"/>
    <w:rsid w:val="6CAC6174"/>
    <w:rsid w:val="6D32159C"/>
    <w:rsid w:val="6D351CF7"/>
    <w:rsid w:val="6EB746A7"/>
    <w:rsid w:val="6F34277B"/>
    <w:rsid w:val="6F832092"/>
    <w:rsid w:val="704D75D1"/>
    <w:rsid w:val="70506DB5"/>
    <w:rsid w:val="706D1CFF"/>
    <w:rsid w:val="7072440C"/>
    <w:rsid w:val="7092622D"/>
    <w:rsid w:val="70D66EEA"/>
    <w:rsid w:val="70F02C62"/>
    <w:rsid w:val="71CB356E"/>
    <w:rsid w:val="71EC2A56"/>
    <w:rsid w:val="723972A7"/>
    <w:rsid w:val="72FC4A7E"/>
    <w:rsid w:val="737E090F"/>
    <w:rsid w:val="741756AE"/>
    <w:rsid w:val="741A563C"/>
    <w:rsid w:val="74E651D2"/>
    <w:rsid w:val="751414C1"/>
    <w:rsid w:val="755446EC"/>
    <w:rsid w:val="755E1E93"/>
    <w:rsid w:val="75752706"/>
    <w:rsid w:val="75AB4839"/>
    <w:rsid w:val="75FE3373"/>
    <w:rsid w:val="76015A01"/>
    <w:rsid w:val="764D727E"/>
    <w:rsid w:val="767C5E46"/>
    <w:rsid w:val="76B625A7"/>
    <w:rsid w:val="76D609C3"/>
    <w:rsid w:val="787D7581"/>
    <w:rsid w:val="78AF68A0"/>
    <w:rsid w:val="78C37659"/>
    <w:rsid w:val="790B56C3"/>
    <w:rsid w:val="7B8A3823"/>
    <w:rsid w:val="7BB611E0"/>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2019-11-25T03:37:08Z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