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禹州市颍云桥及颍北大道西段工程勘察等项目</w:t>
      </w: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bookmarkStart w:id="9" w:name="_GoBack"/>
      <w:bookmarkEnd w:id="9"/>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采购单位：禹州市住房和城乡建设局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312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十一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pPr>
    </w:p>
    <w:p>
      <w:pPr>
        <w:pStyle w:val="22"/>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2"/>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禹州市颍云桥及颍北大道西段工程勘察等项目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rPr>
          <w:rFonts w:hint="eastAsia"/>
        </w:rPr>
      </w:pPr>
    </w:p>
    <w:p>
      <w:pPr>
        <w:keepNext w:val="0"/>
        <w:keepLines w:val="0"/>
        <w:pageBreakBefore w:val="0"/>
        <w:kinsoku/>
        <w:overflowPunct/>
        <w:bidi w:val="0"/>
        <w:spacing w:line="3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禹州市政府采购中心受禹州市</w:t>
      </w:r>
      <w:r>
        <w:rPr>
          <w:rFonts w:hint="eastAsia" w:ascii="仿宋" w:hAnsi="仿宋" w:eastAsia="仿宋" w:cs="仿宋"/>
          <w:sz w:val="28"/>
          <w:szCs w:val="28"/>
          <w:lang w:eastAsia="zh-CN"/>
        </w:rPr>
        <w:t>住房和城乡建设</w:t>
      </w:r>
      <w:r>
        <w:rPr>
          <w:rFonts w:hint="eastAsia" w:ascii="仿宋" w:hAnsi="仿宋" w:eastAsia="仿宋" w:cs="仿宋"/>
          <w:sz w:val="28"/>
          <w:szCs w:val="28"/>
        </w:rPr>
        <w:t>局的委托，就“</w:t>
      </w:r>
      <w:r>
        <w:rPr>
          <w:rFonts w:hint="eastAsia" w:ascii="仿宋" w:hAnsi="仿宋" w:eastAsia="仿宋" w:cs="仿宋"/>
          <w:sz w:val="28"/>
          <w:szCs w:val="28"/>
          <w:lang w:val="en-US" w:eastAsia="zh-CN"/>
        </w:rPr>
        <w:t>禹州市颍云桥及颍北大道西段工程勘察等项目</w:t>
      </w:r>
      <w:r>
        <w:rPr>
          <w:rFonts w:hint="eastAsia" w:ascii="仿宋" w:hAnsi="仿宋" w:eastAsia="仿宋" w:cs="仿宋"/>
          <w:sz w:val="28"/>
          <w:szCs w:val="28"/>
        </w:rPr>
        <w:t>”进行公开招标，欢迎合格的投标人前来投标。</w:t>
      </w:r>
    </w:p>
    <w:p>
      <w:pPr>
        <w:pStyle w:val="61"/>
        <w:keepNext w:val="0"/>
        <w:keepLines w:val="0"/>
        <w:pageBreakBefore w:val="0"/>
        <w:widowControl/>
        <w:numPr>
          <w:ilvl w:val="0"/>
          <w:numId w:val="5"/>
        </w:numPr>
        <w:shd w:val="clear" w:color="auto" w:fill="FFFFFF"/>
        <w:kinsoku/>
        <w:overflowPunct/>
        <w:bidi w:val="0"/>
        <w:spacing w:line="340" w:lineRule="exact"/>
        <w:ind w:firstLineChars="0"/>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widowControl/>
        <w:numPr>
          <w:ilvl w:val="0"/>
          <w:numId w:val="6"/>
        </w:numPr>
        <w:shd w:val="clear" w:color="auto" w:fill="FFFFFF"/>
        <w:kinsoku/>
        <w:overflowPunct/>
        <w:bidi w:val="0"/>
        <w:spacing w:line="34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t>采购人：禹州市住房和城乡建设局</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2.项目名称</w:t>
      </w:r>
      <w:r>
        <w:rPr>
          <w:rFonts w:hint="eastAsia" w:ascii="仿宋" w:hAnsi="仿宋" w:eastAsia="仿宋" w:cs="仿宋"/>
          <w:color w:val="000000"/>
          <w:kern w:val="0"/>
          <w:sz w:val="28"/>
          <w:szCs w:val="28"/>
          <w:lang w:eastAsia="zh-CN"/>
        </w:rPr>
        <w:t>：禹州市颍云桥及颍北大道西段工程勘察等项目</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采购编号：</w:t>
      </w:r>
      <w:r>
        <w:rPr>
          <w:rFonts w:hint="eastAsia" w:ascii="仿宋" w:hAnsi="仿宋" w:eastAsia="仿宋" w:cs="仿宋"/>
          <w:sz w:val="28"/>
          <w:szCs w:val="28"/>
        </w:rPr>
        <w:t>YZCG-G2019</w:t>
      </w:r>
      <w:r>
        <w:rPr>
          <w:rFonts w:hint="eastAsia" w:ascii="仿宋" w:hAnsi="仿宋" w:eastAsia="仿宋" w:cs="仿宋"/>
          <w:sz w:val="28"/>
          <w:szCs w:val="28"/>
          <w:lang w:val="en-US" w:eastAsia="zh-CN"/>
        </w:rPr>
        <w:t>312</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项目需求：</w:t>
      </w:r>
      <w:r>
        <w:rPr>
          <w:rFonts w:hint="eastAsia" w:ascii="仿宋" w:hAnsi="仿宋" w:eastAsia="仿宋" w:cs="仿宋"/>
          <w:color w:val="000000"/>
          <w:kern w:val="0"/>
          <w:sz w:val="28"/>
          <w:szCs w:val="28"/>
          <w:lang w:eastAsia="zh-CN"/>
        </w:rPr>
        <w:t>本项目分四个标段，第一标段：颍云桥及颍北大道西段工程地质勘察；第二标段：颍云桥及颍北大道西段工程施工图预算编制；第三标段：颍云桥及颍北大道西段施工图审查；第四标段：颍云桥防洪影响评价编制</w:t>
      </w:r>
      <w:r>
        <w:rPr>
          <w:rFonts w:hint="eastAsia" w:ascii="仿宋" w:hAnsi="仿宋" w:eastAsia="仿宋" w:cs="仿宋"/>
          <w:color w:val="000000"/>
          <w:kern w:val="0"/>
          <w:sz w:val="28"/>
          <w:szCs w:val="28"/>
        </w:rPr>
        <w:t>（详见招标文件）</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采购预算：第一标段：40.09万元；第二标段：24.59万元；第三标段：14.76万元；第四标段：19.44万元</w:t>
      </w:r>
    </w:p>
    <w:p>
      <w:pPr>
        <w:keepNext w:val="0"/>
        <w:keepLines w:val="0"/>
        <w:pageBreakBefore w:val="0"/>
        <w:widowControl/>
        <w:numPr>
          <w:ilvl w:val="0"/>
          <w:numId w:val="0"/>
        </w:numPr>
        <w:shd w:val="clear" w:color="auto" w:fill="FFFFFF"/>
        <w:kinsoku/>
        <w:overflowPunct/>
        <w:bidi w:val="0"/>
        <w:spacing w:line="34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采购限价：第一标段：40.09万元；第二标段：24.59万元；第三标段：14.76万元；第四标段：19.44万元</w:t>
      </w:r>
    </w:p>
    <w:p>
      <w:pPr>
        <w:keepNext w:val="0"/>
        <w:keepLines w:val="0"/>
        <w:pageBreakBefore w:val="0"/>
        <w:widowControl/>
        <w:shd w:val="clear" w:color="auto" w:fill="FFFFFF"/>
        <w:kinsoku/>
        <w:overflowPunct/>
        <w:bidi w:val="0"/>
        <w:spacing w:line="340" w:lineRule="exact"/>
        <w:ind w:firstLine="413" w:firstLineChars="147"/>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0"/>
        </w:numPr>
        <w:shd w:val="clear" w:color="auto" w:fill="FFFFFF"/>
        <w:kinsoku/>
        <w:overflowPunct/>
        <w:bidi w:val="0"/>
        <w:spacing w:line="340" w:lineRule="exact"/>
        <w:ind w:firstLine="562" w:firstLineChars="200"/>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三、</w:t>
      </w:r>
      <w:r>
        <w:rPr>
          <w:rFonts w:hint="eastAsia" w:ascii="仿宋" w:hAnsi="仿宋" w:eastAsia="仿宋" w:cs="仿宋"/>
          <w:b/>
          <w:color w:val="000000"/>
          <w:kern w:val="0"/>
          <w:sz w:val="28"/>
          <w:szCs w:val="28"/>
        </w:rPr>
        <w:t>供应商资格要求：</w:t>
      </w:r>
    </w:p>
    <w:p>
      <w:pPr>
        <w:pStyle w:val="2"/>
        <w:keepNext w:val="0"/>
        <w:keepLines w:val="0"/>
        <w:pageBreakBefore w:val="0"/>
        <w:kinsoku/>
        <w:overflowPunct/>
        <w:bidi w:val="0"/>
        <w:spacing w:line="3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第一标段：</w:t>
      </w:r>
    </w:p>
    <w:p>
      <w:pPr>
        <w:keepNext w:val="0"/>
        <w:keepLines w:val="0"/>
        <w:pageBreakBefore w:val="0"/>
        <w:widowControl/>
        <w:shd w:val="clear" w:color="auto" w:fill="FFFFFF"/>
        <w:kinsoku/>
        <w:overflowPunct/>
        <w:bidi w:val="0"/>
        <w:spacing w:line="340" w:lineRule="exact"/>
        <w:ind w:left="482"/>
        <w:jc w:val="left"/>
        <w:textAlignment w:val="auto"/>
        <w:rPr>
          <w:rFonts w:hint="eastAsia" w:ascii="仿宋" w:hAnsi="仿宋" w:eastAsia="仿宋" w:cs="仿宋"/>
          <w:sz w:val="28"/>
          <w:szCs w:val="28"/>
        </w:rPr>
      </w:pPr>
      <w:r>
        <w:rPr>
          <w:rFonts w:hint="eastAsia" w:ascii="仿宋" w:hAnsi="仿宋" w:eastAsia="仿宋" w:cs="仿宋"/>
          <w:sz w:val="28"/>
          <w:szCs w:val="28"/>
        </w:rPr>
        <w:t>1、投标人须符合《政府采购法》二十二条规定；</w:t>
      </w:r>
    </w:p>
    <w:p>
      <w:pPr>
        <w:pStyle w:val="2"/>
        <w:keepNext w:val="0"/>
        <w:keepLines w:val="0"/>
        <w:pageBreakBefore w:val="0"/>
        <w:kinsoku/>
        <w:overflowPunct/>
        <w:bidi w:val="0"/>
        <w:spacing w:line="3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r>
        <w:rPr>
          <w:rFonts w:hint="eastAsia" w:ascii="仿宋" w:hAnsi="仿宋" w:eastAsia="仿宋" w:cs="仿宋"/>
          <w:kern w:val="0"/>
          <w:sz w:val="28"/>
          <w:szCs w:val="28"/>
        </w:rPr>
        <w:t>投标人具有建设行政主管部门核发的工程勘察专业类（岩土工程）甲级资质或工程勘察综合资质，拟派项目负责人具备岩土工程师注册执业资格证书和高级工程师证书</w:t>
      </w:r>
      <w:r>
        <w:rPr>
          <w:rFonts w:hint="eastAsia" w:ascii="仿宋" w:hAnsi="仿宋" w:eastAsia="仿宋" w:cs="仿宋"/>
          <w:color w:val="000000"/>
          <w:kern w:val="0"/>
          <w:sz w:val="28"/>
          <w:szCs w:val="28"/>
          <w:lang w:eastAsia="zh-CN"/>
        </w:rPr>
        <w:t>；</w:t>
      </w:r>
    </w:p>
    <w:p>
      <w:pPr>
        <w:keepNext w:val="0"/>
        <w:keepLines w:val="0"/>
        <w:pageBreakBefore w:val="0"/>
        <w:kinsoku/>
        <w:overflowPunct/>
        <w:bidi w:val="0"/>
        <w:spacing w:line="340" w:lineRule="exact"/>
        <w:ind w:left="319" w:leftChars="152" w:firstLine="140" w:firstLineChars="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、被委托</w:t>
      </w:r>
      <w:r>
        <w:rPr>
          <w:rFonts w:hint="eastAsia" w:ascii="仿宋" w:hAnsi="仿宋" w:eastAsia="仿宋" w:cs="仿宋"/>
          <w:sz w:val="28"/>
          <w:szCs w:val="28"/>
          <w:lang w:eastAsia="zh-CN"/>
        </w:rPr>
        <w:t>人</w:t>
      </w:r>
      <w:r>
        <w:rPr>
          <w:rFonts w:hint="eastAsia" w:ascii="仿宋" w:hAnsi="仿宋" w:eastAsia="仿宋" w:cs="仿宋"/>
          <w:sz w:val="28"/>
          <w:szCs w:val="28"/>
        </w:rPr>
        <w:t>须是本单位职工，须提供公司为本人缴纳社会保险证明；</w:t>
      </w:r>
    </w:p>
    <w:p>
      <w:pPr>
        <w:keepNext w:val="0"/>
        <w:keepLines w:val="0"/>
        <w:pageBreakBefore w:val="0"/>
        <w:kinsoku/>
        <w:overflowPunct/>
        <w:bidi w:val="0"/>
        <w:spacing w:line="340" w:lineRule="exact"/>
        <w:ind w:left="319" w:leftChars="152" w:firstLine="140" w:firstLineChars="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w:t>
      </w:r>
    </w:p>
    <w:p>
      <w:pPr>
        <w:pStyle w:val="2"/>
        <w:keepNext w:val="0"/>
        <w:keepLines w:val="0"/>
        <w:pageBreakBefore w:val="0"/>
        <w:kinsoku/>
        <w:overflowPunct/>
        <w:bidi w:val="0"/>
        <w:spacing w:line="3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第二标段：</w:t>
      </w:r>
    </w:p>
    <w:p>
      <w:pPr>
        <w:keepNext w:val="0"/>
        <w:keepLines w:val="0"/>
        <w:pageBreakBefore w:val="0"/>
        <w:widowControl/>
        <w:shd w:val="clear" w:color="auto" w:fill="FFFFFF"/>
        <w:kinsoku/>
        <w:overflowPunct/>
        <w:bidi w:val="0"/>
        <w:spacing w:line="340" w:lineRule="exact"/>
        <w:ind w:left="482"/>
        <w:jc w:val="left"/>
        <w:textAlignment w:val="auto"/>
        <w:rPr>
          <w:rFonts w:hint="eastAsia" w:ascii="仿宋" w:hAnsi="仿宋" w:eastAsia="仿宋" w:cs="仿宋"/>
          <w:sz w:val="28"/>
          <w:szCs w:val="28"/>
        </w:rPr>
      </w:pPr>
      <w:r>
        <w:rPr>
          <w:rFonts w:hint="eastAsia" w:ascii="仿宋" w:hAnsi="仿宋" w:eastAsia="仿宋" w:cs="仿宋"/>
          <w:sz w:val="28"/>
          <w:szCs w:val="28"/>
        </w:rPr>
        <w:t>1、投标人须符合《政府采购法》二十二条规定；</w:t>
      </w:r>
    </w:p>
    <w:p>
      <w:pPr>
        <w:pStyle w:val="2"/>
        <w:keepNext w:val="0"/>
        <w:keepLines w:val="0"/>
        <w:pageBreakBefore w:val="0"/>
        <w:kinsoku/>
        <w:overflowPunct/>
        <w:bidi w:val="0"/>
        <w:spacing w:line="3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r>
        <w:rPr>
          <w:rFonts w:hint="eastAsia" w:ascii="仿宋" w:hAnsi="仿宋" w:eastAsia="仿宋" w:cs="仿宋"/>
          <w:kern w:val="0"/>
          <w:sz w:val="28"/>
          <w:szCs w:val="28"/>
        </w:rPr>
        <w:t>投标人具有</w:t>
      </w:r>
      <w:r>
        <w:rPr>
          <w:rFonts w:hint="eastAsia" w:ascii="仿宋" w:hAnsi="仿宋" w:eastAsia="仿宋" w:cs="仿宋"/>
          <w:kern w:val="0"/>
          <w:sz w:val="28"/>
          <w:szCs w:val="28"/>
          <w:lang w:eastAsia="zh-CN"/>
        </w:rPr>
        <w:t>工程造价咨询甲级资质证书；</w:t>
      </w:r>
    </w:p>
    <w:p>
      <w:pPr>
        <w:keepNext w:val="0"/>
        <w:keepLines w:val="0"/>
        <w:pageBreakBefore w:val="0"/>
        <w:kinsoku/>
        <w:overflowPunct/>
        <w:bidi w:val="0"/>
        <w:spacing w:line="340" w:lineRule="exact"/>
        <w:ind w:left="319" w:leftChars="152" w:firstLine="140" w:firstLineChars="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、被委托</w:t>
      </w:r>
      <w:r>
        <w:rPr>
          <w:rFonts w:hint="eastAsia" w:ascii="仿宋" w:hAnsi="仿宋" w:eastAsia="仿宋" w:cs="仿宋"/>
          <w:sz w:val="28"/>
          <w:szCs w:val="28"/>
          <w:lang w:eastAsia="zh-CN"/>
        </w:rPr>
        <w:t>人</w:t>
      </w:r>
      <w:r>
        <w:rPr>
          <w:rFonts w:hint="eastAsia" w:ascii="仿宋" w:hAnsi="仿宋" w:eastAsia="仿宋" w:cs="仿宋"/>
          <w:sz w:val="28"/>
          <w:szCs w:val="28"/>
        </w:rPr>
        <w:t>须是本单位职工，须提供公司为本人缴纳社会保险证明；</w:t>
      </w:r>
    </w:p>
    <w:p>
      <w:pPr>
        <w:pStyle w:val="2"/>
        <w:keepNext w:val="0"/>
        <w:keepLines w:val="0"/>
        <w:pageBreakBefore w:val="0"/>
        <w:kinsoku/>
        <w:overflowPunct/>
        <w:bidi w:val="0"/>
        <w:spacing w:line="3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w:t>
      </w:r>
    </w:p>
    <w:p>
      <w:pPr>
        <w:pStyle w:val="2"/>
        <w:keepNext w:val="0"/>
        <w:keepLines w:val="0"/>
        <w:pageBreakBefore w:val="0"/>
        <w:kinsoku/>
        <w:overflowPunct/>
        <w:bidi w:val="0"/>
        <w:spacing w:line="340" w:lineRule="exact"/>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第三标段：</w:t>
      </w:r>
    </w:p>
    <w:p>
      <w:pPr>
        <w:keepNext w:val="0"/>
        <w:keepLines w:val="0"/>
        <w:pageBreakBefore w:val="0"/>
        <w:widowControl/>
        <w:shd w:val="clear" w:color="auto" w:fill="FFFFFF"/>
        <w:kinsoku/>
        <w:overflowPunct/>
        <w:bidi w:val="0"/>
        <w:spacing w:line="340" w:lineRule="exact"/>
        <w:ind w:left="482"/>
        <w:jc w:val="left"/>
        <w:textAlignment w:val="auto"/>
        <w:rPr>
          <w:rFonts w:hint="eastAsia" w:ascii="仿宋" w:hAnsi="仿宋" w:eastAsia="仿宋" w:cs="仿宋"/>
          <w:sz w:val="28"/>
          <w:szCs w:val="28"/>
        </w:rPr>
      </w:pPr>
      <w:r>
        <w:rPr>
          <w:rFonts w:hint="eastAsia" w:ascii="仿宋" w:hAnsi="仿宋" w:eastAsia="仿宋" w:cs="仿宋"/>
          <w:sz w:val="28"/>
          <w:szCs w:val="28"/>
        </w:rPr>
        <w:t>1、投标人须符合《政府采购法》二十二条规定；</w:t>
      </w:r>
    </w:p>
    <w:p>
      <w:pPr>
        <w:pStyle w:val="2"/>
        <w:keepNext w:val="0"/>
        <w:keepLines w:val="0"/>
        <w:pageBreakBefore w:val="0"/>
        <w:kinsoku/>
        <w:overflowPunct/>
        <w:bidi w:val="0"/>
        <w:spacing w:line="3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r>
        <w:rPr>
          <w:rFonts w:hint="eastAsia" w:ascii="仿宋" w:hAnsi="仿宋" w:eastAsia="仿宋" w:cs="仿宋"/>
          <w:kern w:val="0"/>
          <w:sz w:val="28"/>
          <w:szCs w:val="28"/>
        </w:rPr>
        <w:t>投标人具有</w:t>
      </w:r>
      <w:r>
        <w:rPr>
          <w:rFonts w:hint="eastAsia" w:ascii="仿宋" w:hAnsi="仿宋" w:eastAsia="仿宋" w:cs="仿宋"/>
          <w:color w:val="000000"/>
          <w:kern w:val="0"/>
          <w:sz w:val="28"/>
          <w:szCs w:val="28"/>
          <w:lang w:eastAsia="zh-CN"/>
        </w:rPr>
        <w:t>施工图审查（市政</w:t>
      </w:r>
      <w:r>
        <w:rPr>
          <w:rFonts w:hint="eastAsia" w:ascii="仿宋" w:hAnsi="仿宋" w:eastAsia="仿宋" w:cs="仿宋"/>
          <w:color w:val="000000"/>
          <w:kern w:val="0"/>
          <w:sz w:val="28"/>
          <w:szCs w:val="28"/>
          <w:lang w:val="en-US" w:eastAsia="zh-CN"/>
        </w:rPr>
        <w:t>专业）一类资质</w:t>
      </w:r>
      <w:r>
        <w:rPr>
          <w:rFonts w:hint="eastAsia" w:ascii="仿宋" w:hAnsi="仿宋" w:eastAsia="仿宋" w:cs="仿宋"/>
          <w:kern w:val="0"/>
          <w:sz w:val="28"/>
          <w:szCs w:val="28"/>
          <w:lang w:eastAsia="zh-CN"/>
        </w:rPr>
        <w:t>；</w:t>
      </w:r>
    </w:p>
    <w:p>
      <w:pPr>
        <w:keepNext w:val="0"/>
        <w:keepLines w:val="0"/>
        <w:pageBreakBefore w:val="0"/>
        <w:kinsoku/>
        <w:overflowPunct/>
        <w:bidi w:val="0"/>
        <w:spacing w:line="340" w:lineRule="exact"/>
        <w:ind w:left="319" w:leftChars="152" w:firstLine="140" w:firstLineChars="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、被委托</w:t>
      </w:r>
      <w:r>
        <w:rPr>
          <w:rFonts w:hint="eastAsia" w:ascii="仿宋" w:hAnsi="仿宋" w:eastAsia="仿宋" w:cs="仿宋"/>
          <w:sz w:val="28"/>
          <w:szCs w:val="28"/>
          <w:lang w:eastAsia="zh-CN"/>
        </w:rPr>
        <w:t>人</w:t>
      </w:r>
      <w:r>
        <w:rPr>
          <w:rFonts w:hint="eastAsia" w:ascii="仿宋" w:hAnsi="仿宋" w:eastAsia="仿宋" w:cs="仿宋"/>
          <w:sz w:val="28"/>
          <w:szCs w:val="28"/>
        </w:rPr>
        <w:t>须是本单位职工，须提供公司为本人缴纳社会保险证明；</w:t>
      </w:r>
    </w:p>
    <w:p>
      <w:pPr>
        <w:pStyle w:val="2"/>
        <w:keepNext w:val="0"/>
        <w:keepLines w:val="0"/>
        <w:pageBreakBefore w:val="0"/>
        <w:kinsoku/>
        <w:overflowPunct/>
        <w:bidi w:val="0"/>
        <w:spacing w:line="3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w:t>
      </w:r>
    </w:p>
    <w:p>
      <w:pPr>
        <w:pStyle w:val="2"/>
        <w:keepNext w:val="0"/>
        <w:keepLines w:val="0"/>
        <w:pageBreakBefore w:val="0"/>
        <w:kinsoku/>
        <w:overflowPunct/>
        <w:bidi w:val="0"/>
        <w:spacing w:line="340" w:lineRule="exact"/>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第四标段：</w:t>
      </w:r>
    </w:p>
    <w:p>
      <w:pPr>
        <w:keepNext w:val="0"/>
        <w:keepLines w:val="0"/>
        <w:pageBreakBefore w:val="0"/>
        <w:widowControl/>
        <w:shd w:val="clear" w:color="auto" w:fill="FFFFFF"/>
        <w:kinsoku/>
        <w:overflowPunct/>
        <w:bidi w:val="0"/>
        <w:spacing w:line="340" w:lineRule="exact"/>
        <w:ind w:left="482"/>
        <w:jc w:val="left"/>
        <w:textAlignment w:val="auto"/>
        <w:rPr>
          <w:rFonts w:hint="eastAsia" w:ascii="仿宋" w:hAnsi="仿宋" w:eastAsia="仿宋" w:cs="仿宋"/>
          <w:sz w:val="28"/>
          <w:szCs w:val="28"/>
        </w:rPr>
      </w:pPr>
      <w:r>
        <w:rPr>
          <w:rFonts w:hint="eastAsia" w:ascii="仿宋" w:hAnsi="仿宋" w:eastAsia="仿宋" w:cs="仿宋"/>
          <w:sz w:val="28"/>
          <w:szCs w:val="28"/>
        </w:rPr>
        <w:t>1、投标人须符合《政府采购法》二十二条规定；</w:t>
      </w:r>
    </w:p>
    <w:p>
      <w:pPr>
        <w:pStyle w:val="2"/>
        <w:keepNext w:val="0"/>
        <w:keepLines w:val="0"/>
        <w:pageBreakBefore w:val="0"/>
        <w:kinsoku/>
        <w:overflowPunct/>
        <w:bidi w:val="0"/>
        <w:spacing w:line="3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w:t>
      </w:r>
      <w:r>
        <w:rPr>
          <w:rFonts w:hint="eastAsia" w:ascii="仿宋" w:hAnsi="仿宋" w:eastAsia="仿宋" w:cs="仿宋"/>
          <w:kern w:val="0"/>
          <w:sz w:val="28"/>
          <w:szCs w:val="28"/>
        </w:rPr>
        <w:t>投标人须同时具有水利行业专业乙级及以上设计资质和工程勘察专业类（岩土工程（勘察））乙级及以上资质；投标人拟任项目负责人具有水利专业高级或以上职称</w:t>
      </w:r>
    </w:p>
    <w:p>
      <w:pPr>
        <w:keepNext w:val="0"/>
        <w:keepLines w:val="0"/>
        <w:pageBreakBefore w:val="0"/>
        <w:kinsoku/>
        <w:overflowPunct/>
        <w:bidi w:val="0"/>
        <w:spacing w:line="340" w:lineRule="exact"/>
        <w:ind w:left="319" w:leftChars="152" w:firstLine="140" w:firstLineChars="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、被委托</w:t>
      </w:r>
      <w:r>
        <w:rPr>
          <w:rFonts w:hint="eastAsia" w:ascii="仿宋" w:hAnsi="仿宋" w:eastAsia="仿宋" w:cs="仿宋"/>
          <w:sz w:val="28"/>
          <w:szCs w:val="28"/>
          <w:lang w:eastAsia="zh-CN"/>
        </w:rPr>
        <w:t>人</w:t>
      </w:r>
      <w:r>
        <w:rPr>
          <w:rFonts w:hint="eastAsia" w:ascii="仿宋" w:hAnsi="仿宋" w:eastAsia="仿宋" w:cs="仿宋"/>
          <w:sz w:val="28"/>
          <w:szCs w:val="28"/>
        </w:rPr>
        <w:t>须是本单位职工，须提供公司为本人缴纳社会保险证明；</w:t>
      </w:r>
    </w:p>
    <w:p>
      <w:pPr>
        <w:pStyle w:val="2"/>
        <w:keepNext w:val="0"/>
        <w:keepLines w:val="0"/>
        <w:pageBreakBefore w:val="0"/>
        <w:kinsoku/>
        <w:overflowPunct/>
        <w:bidi w:val="0"/>
        <w:spacing w:line="340" w:lineRule="exact"/>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、本项目不接受联合体投标。</w:t>
      </w:r>
    </w:p>
    <w:p>
      <w:pPr>
        <w:keepNext w:val="0"/>
        <w:keepLines w:val="0"/>
        <w:pageBreakBefore w:val="0"/>
        <w:widowControl/>
        <w:shd w:val="clear" w:color="auto" w:fill="FFFFFF"/>
        <w:kinsoku/>
        <w:overflowPunct/>
        <w:bidi w:val="0"/>
        <w:spacing w:line="340" w:lineRule="exact"/>
        <w:ind w:firstLine="482"/>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四、获取招标文件的方式、时间、地点</w:t>
      </w:r>
    </w:p>
    <w:p>
      <w:pPr>
        <w:keepNext w:val="0"/>
        <w:keepLines w:val="0"/>
        <w:pageBreakBefore w:val="0"/>
        <w:kinsoku/>
        <w:wordWrap w:val="0"/>
        <w:overflowPunct/>
        <w:topLinePunct/>
        <w:bidi w:val="0"/>
        <w:snapToGrid w:val="0"/>
        <w:spacing w:line="3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1、持CA数字认证证书，登录</w:t>
      </w:r>
      <w:r>
        <w:rPr>
          <w:rFonts w:hint="eastAsia" w:ascii="仿宋" w:hAnsi="仿宋" w:eastAsia="仿宋" w:cs="仿宋"/>
          <w:color w:val="auto"/>
          <w:sz w:val="28"/>
          <w:szCs w:val="28"/>
          <w:u w:val="none"/>
          <w:lang w:val="zh-CN"/>
        </w:rPr>
        <w:fldChar w:fldCharType="begin"/>
      </w:r>
      <w:r>
        <w:rPr>
          <w:rFonts w:hint="eastAsia" w:ascii="仿宋" w:hAnsi="仿宋" w:eastAsia="仿宋" w:cs="仿宋"/>
          <w:color w:val="auto"/>
          <w:sz w:val="28"/>
          <w:szCs w:val="28"/>
          <w:u w:val="none"/>
          <w:lang w:val="zh-CN"/>
        </w:rPr>
        <w:instrText xml:space="preserve"> HYPERLINK "http://221.14.6.70:8088/ggzy/eps/public/RegistAllJcxx.html" </w:instrText>
      </w:r>
      <w:r>
        <w:rPr>
          <w:rFonts w:hint="eastAsia" w:ascii="仿宋" w:hAnsi="仿宋" w:eastAsia="仿宋" w:cs="仿宋"/>
          <w:color w:val="auto"/>
          <w:sz w:val="28"/>
          <w:szCs w:val="28"/>
          <w:u w:val="none"/>
          <w:lang w:val="zh-CN"/>
        </w:rPr>
        <w:fldChar w:fldCharType="separate"/>
      </w:r>
      <w:r>
        <w:rPr>
          <w:rStyle w:val="30"/>
          <w:rFonts w:hint="eastAsia" w:ascii="仿宋" w:hAnsi="仿宋" w:eastAsia="仿宋" w:cs="仿宋"/>
          <w:sz w:val="28"/>
          <w:szCs w:val="28"/>
          <w:lang w:val="zh-CN"/>
        </w:rPr>
        <w:t>http://221.14.6.70:8088/ggzy/eps/public/RegistAllJcxx.html</w:t>
      </w:r>
      <w:r>
        <w:rPr>
          <w:rFonts w:hint="eastAsia" w:ascii="仿宋" w:hAnsi="仿宋" w:eastAsia="仿宋" w:cs="仿宋"/>
          <w:color w:val="auto"/>
          <w:sz w:val="28"/>
          <w:szCs w:val="28"/>
          <w:u w:val="none"/>
          <w:lang w:val="zh-CN"/>
        </w:rPr>
        <w:fldChar w:fldCharType="end"/>
      </w:r>
      <w:r>
        <w:rPr>
          <w:rFonts w:hint="eastAsia" w:ascii="仿宋" w:hAnsi="仿宋" w:eastAsia="仿宋" w:cs="仿宋"/>
          <w:sz w:val="28"/>
          <w:szCs w:val="28"/>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40" w:lineRule="exact"/>
        <w:ind w:firstLine="482"/>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2、在投标截止时间前登录</w:t>
      </w:r>
      <w:r>
        <w:rPr>
          <w:rFonts w:hint="eastAsia" w:ascii="仿宋" w:hAnsi="仿宋" w:eastAsia="仿宋" w:cs="仿宋"/>
          <w:color w:val="auto"/>
          <w:sz w:val="28"/>
          <w:szCs w:val="28"/>
          <w:u w:val="none"/>
          <w:lang w:val="zh-CN"/>
        </w:rPr>
        <w:fldChar w:fldCharType="begin"/>
      </w:r>
      <w:r>
        <w:rPr>
          <w:rFonts w:hint="eastAsia" w:ascii="仿宋" w:hAnsi="仿宋" w:eastAsia="仿宋" w:cs="仿宋"/>
          <w:color w:val="auto"/>
          <w:sz w:val="28"/>
          <w:szCs w:val="28"/>
          <w:u w:val="none"/>
          <w:lang w:val="zh-CN"/>
        </w:rPr>
        <w:instrText xml:space="preserve"> HYPERLINK "http://ggzy.xuchang.gov.cn/" </w:instrText>
      </w:r>
      <w:r>
        <w:rPr>
          <w:rFonts w:hint="eastAsia" w:ascii="仿宋" w:hAnsi="仿宋" w:eastAsia="仿宋" w:cs="仿宋"/>
          <w:color w:val="auto"/>
          <w:sz w:val="28"/>
          <w:szCs w:val="28"/>
          <w:u w:val="none"/>
          <w:lang w:val="zh-CN"/>
        </w:rPr>
        <w:fldChar w:fldCharType="separate"/>
      </w:r>
      <w:r>
        <w:rPr>
          <w:rStyle w:val="30"/>
          <w:rFonts w:hint="eastAsia" w:ascii="仿宋" w:hAnsi="仿宋" w:eastAsia="仿宋" w:cs="仿宋"/>
          <w:sz w:val="28"/>
          <w:szCs w:val="28"/>
          <w:lang w:val="zh-CN"/>
        </w:rPr>
        <w:t>http://</w:t>
      </w:r>
      <w:r>
        <w:rPr>
          <w:rStyle w:val="30"/>
          <w:rFonts w:hint="eastAsia" w:ascii="仿宋" w:hAnsi="仿宋" w:eastAsia="仿宋" w:cs="仿宋"/>
          <w:sz w:val="28"/>
          <w:szCs w:val="28"/>
          <w:lang w:val="en-US" w:eastAsia="zh-CN"/>
        </w:rPr>
        <w:t>ggzy.xuchang.gov.cn/</w:t>
      </w:r>
      <w:r>
        <w:rPr>
          <w:rFonts w:hint="eastAsia" w:ascii="仿宋" w:hAnsi="仿宋" w:eastAsia="仿宋" w:cs="仿宋"/>
          <w:color w:val="auto"/>
          <w:sz w:val="28"/>
          <w:szCs w:val="28"/>
          <w:u w:val="none"/>
          <w:lang w:val="zh-CN"/>
        </w:rPr>
        <w:fldChar w:fldCharType="end"/>
      </w:r>
      <w:r>
        <w:rPr>
          <w:rFonts w:hint="eastAsia" w:ascii="仿宋" w:hAnsi="仿宋" w:eastAsia="仿宋" w:cs="仿宋"/>
          <w:sz w:val="28"/>
          <w:szCs w:val="28"/>
          <w:lang w:val="zh-CN"/>
        </w:rPr>
        <w:t>，自行下载招标文件（详见全国公共资源交易平台（河南省·许昌市）“常见问题解答-交易系统操作手册”）。</w:t>
      </w:r>
    </w:p>
    <w:p>
      <w:pPr>
        <w:keepNext w:val="0"/>
        <w:keepLines w:val="0"/>
        <w:pageBreakBefore w:val="0"/>
        <w:kinsoku/>
        <w:overflowPunct/>
        <w:bidi w:val="0"/>
        <w:spacing w:line="340" w:lineRule="exact"/>
        <w:textAlignment w:val="auto"/>
        <w:rPr>
          <w:rFonts w:hint="eastAsia" w:ascii="仿宋" w:hAnsi="仿宋" w:eastAsia="仿宋" w:cs="仿宋"/>
          <w:sz w:val="28"/>
          <w:szCs w:val="28"/>
        </w:rPr>
      </w:pPr>
      <w:r>
        <w:rPr>
          <w:rFonts w:hint="eastAsia" w:ascii="仿宋" w:hAnsi="仿宋" w:eastAsia="仿宋" w:cs="仿宋"/>
          <w:sz w:val="28"/>
          <w:szCs w:val="28"/>
        </w:rPr>
        <w:t>　　3、未通过全国公共资源交易平台（河南省·许昌市）下载招标文件的投标企业，拒收其递交的投标文件。</w:t>
      </w:r>
    </w:p>
    <w:p>
      <w:pPr>
        <w:keepNext w:val="0"/>
        <w:keepLines w:val="0"/>
        <w:pageBreakBefore w:val="0"/>
        <w:kinsoku/>
        <w:overflowPunct/>
        <w:bidi w:val="0"/>
        <w:spacing w:line="340" w:lineRule="exact"/>
        <w:ind w:firstLine="640"/>
        <w:textAlignment w:val="auto"/>
        <w:rPr>
          <w:rFonts w:hint="eastAsia" w:ascii="仿宋" w:hAnsi="仿宋" w:eastAsia="仿宋" w:cs="仿宋"/>
          <w:sz w:val="28"/>
          <w:szCs w:val="28"/>
        </w:rPr>
      </w:pPr>
      <w:r>
        <w:rPr>
          <w:rFonts w:hint="eastAsia" w:ascii="仿宋" w:hAnsi="仿宋" w:eastAsia="仿宋" w:cs="仿宋"/>
          <w:sz w:val="28"/>
          <w:szCs w:val="28"/>
        </w:rPr>
        <w:t>4、招标文件每份售价人民</w:t>
      </w:r>
      <w:r>
        <w:rPr>
          <w:rFonts w:hint="eastAsia" w:ascii="仿宋" w:hAnsi="仿宋" w:eastAsia="仿宋" w:cs="仿宋"/>
          <w:sz w:val="28"/>
          <w:szCs w:val="28"/>
          <w:lang w:eastAsia="zh-CN"/>
        </w:rPr>
        <w:t>币</w:t>
      </w:r>
      <w:r>
        <w:rPr>
          <w:rFonts w:hint="eastAsia" w:ascii="仿宋" w:hAnsi="仿宋" w:eastAsia="仿宋" w:cs="仿宋"/>
          <w:sz w:val="28"/>
          <w:szCs w:val="28"/>
        </w:rPr>
        <w:t>500元（开标时现场收取现金），于递交投标文件时缴纳给采购代理机构，售后不退。</w:t>
      </w:r>
    </w:p>
    <w:p>
      <w:pPr>
        <w:keepNext w:val="0"/>
        <w:keepLines w:val="0"/>
        <w:pageBreakBefore w:val="0"/>
        <w:widowControl/>
        <w:shd w:val="clear" w:color="auto" w:fill="FFFFFF"/>
        <w:kinsoku/>
        <w:overflowPunct/>
        <w:bidi w:val="0"/>
        <w:spacing w:line="340" w:lineRule="exact"/>
        <w:ind w:firstLine="482"/>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五、投标截止时间、开标时间及地点：</w:t>
      </w:r>
    </w:p>
    <w:p>
      <w:pPr>
        <w:keepNext w:val="0"/>
        <w:keepLines w:val="0"/>
        <w:pageBreakBefore w:val="0"/>
        <w:widowControl/>
        <w:shd w:val="clear" w:color="auto" w:fill="FFFFFF"/>
        <w:kinsoku/>
        <w:overflowPunct/>
        <w:bidi w:val="0"/>
        <w:spacing w:line="3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1、投标截止及开标时间：2019年</w:t>
      </w:r>
      <w:r>
        <w:rPr>
          <w:rFonts w:hint="eastAsia" w:ascii="仿宋" w:hAnsi="仿宋" w:eastAsia="仿宋" w:cs="仿宋"/>
          <w:color w:val="000000"/>
          <w:kern w:val="0"/>
          <w:sz w:val="28"/>
          <w:szCs w:val="28"/>
          <w:lang w:val="en-US" w:eastAsia="zh-CN"/>
        </w:rPr>
        <w:t>12</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16</w:t>
      </w:r>
      <w:r>
        <w:rPr>
          <w:rFonts w:hint="eastAsia" w:ascii="仿宋" w:hAnsi="仿宋" w:eastAsia="仿宋" w:cs="仿宋"/>
          <w:color w:val="000000"/>
          <w:kern w:val="0"/>
          <w:sz w:val="28"/>
          <w:szCs w:val="28"/>
        </w:rPr>
        <w:t xml:space="preserve">日 </w:t>
      </w:r>
      <w:r>
        <w:rPr>
          <w:rFonts w:hint="eastAsia" w:ascii="仿宋" w:hAnsi="仿宋" w:eastAsia="仿宋" w:cs="仿宋"/>
          <w:color w:val="000000"/>
          <w:kern w:val="0"/>
          <w:sz w:val="28"/>
          <w:szCs w:val="28"/>
          <w:lang w:val="en-US" w:eastAsia="zh-CN"/>
        </w:rPr>
        <w:t xml:space="preserve">9 </w:t>
      </w:r>
      <w:r>
        <w:rPr>
          <w:rFonts w:hint="eastAsia" w:ascii="仿宋" w:hAnsi="仿宋" w:eastAsia="仿宋" w:cs="仿宋"/>
          <w:color w:val="000000"/>
          <w:kern w:val="0"/>
          <w:sz w:val="28"/>
          <w:szCs w:val="28"/>
        </w:rPr>
        <w:t>：00（北京时间），逾期送达或不符合规定的投标文件不予接受。</w:t>
      </w:r>
    </w:p>
    <w:p>
      <w:pPr>
        <w:keepNext w:val="0"/>
        <w:keepLines w:val="0"/>
        <w:pageBreakBefore w:val="0"/>
        <w:kinsoku/>
        <w:overflowPunct/>
        <w:bidi w:val="0"/>
        <w:spacing w:line="34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2、开标地点：</w:t>
      </w:r>
      <w:r>
        <w:rPr>
          <w:rFonts w:hint="eastAsia" w:ascii="仿宋" w:hAnsi="仿宋" w:eastAsia="仿宋" w:cs="仿宋"/>
          <w:sz w:val="28"/>
          <w:szCs w:val="28"/>
        </w:rPr>
        <w:t>禹州市公共资源交易中心第二开标室（禹州市行政服务中心楼9楼）</w:t>
      </w:r>
      <w:r>
        <w:rPr>
          <w:rFonts w:hint="eastAsia" w:ascii="仿宋" w:hAnsi="仿宋" w:eastAsia="仿宋" w:cs="仿宋"/>
          <w:color w:val="000000"/>
          <w:kern w:val="0"/>
          <w:sz w:val="28"/>
          <w:szCs w:val="28"/>
        </w:rPr>
        <w:t xml:space="preserve"> </w:t>
      </w:r>
    </w:p>
    <w:p>
      <w:pPr>
        <w:keepNext w:val="0"/>
        <w:keepLines w:val="0"/>
        <w:pageBreakBefore w:val="0"/>
        <w:kinsoku/>
        <w:overflowPunct/>
        <w:bidi w:val="0"/>
        <w:spacing w:line="34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3、本项目为全流程电子化交易项目，投标人须提交电子投标文件和纸质投标文件。</w:t>
      </w:r>
    </w:p>
    <w:p>
      <w:pPr>
        <w:keepNext w:val="0"/>
        <w:keepLines w:val="0"/>
        <w:pageBreakBefore w:val="0"/>
        <w:kinsoku/>
        <w:overflowPunct/>
        <w:bidi w:val="0"/>
        <w:spacing w:line="34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40" w:lineRule="exact"/>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40" w:lineRule="exact"/>
        <w:ind w:firstLine="562" w:firstLineChars="200"/>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七、代理机构及采购单位地址、联系人、联系电话</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（一）代理机构：禹州市政府采购中心</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r>
        <w:rPr>
          <w:rFonts w:hint="eastAsia" w:ascii="仿宋" w:hAnsi="仿宋" w:eastAsia="仿宋" w:cs="仿宋"/>
          <w:sz w:val="28"/>
          <w:szCs w:val="28"/>
        </w:rPr>
        <w:t>禹州市行政服务中心楼917房间</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eastAsia="zh-CN"/>
        </w:rPr>
        <w:t>侯女士</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 xml:space="preserve"> 联系电话：0374-2077111</w:t>
      </w:r>
    </w:p>
    <w:p>
      <w:pPr>
        <w:keepNext w:val="0"/>
        <w:keepLines w:val="0"/>
        <w:pageBreakBefore w:val="0"/>
        <w:widowControl/>
        <w:shd w:val="clear" w:color="auto" w:fill="FFFFFF"/>
        <w:kinsoku/>
        <w:overflowPunct/>
        <w:bidi w:val="0"/>
        <w:spacing w:line="340" w:lineRule="exact"/>
        <w:ind w:left="481"/>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（二）采购单位：</w:t>
      </w:r>
    </w:p>
    <w:p>
      <w:pPr>
        <w:keepNext w:val="0"/>
        <w:keepLines w:val="0"/>
        <w:pageBreakBefore w:val="0"/>
        <w:widowControl/>
        <w:shd w:val="clear" w:color="auto" w:fill="FFFFFF"/>
        <w:kinsoku/>
        <w:overflowPunct/>
        <w:bidi w:val="0"/>
        <w:spacing w:line="340" w:lineRule="exact"/>
        <w:ind w:firstLine="840" w:firstLineChars="3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地址：禹州市</w:t>
      </w:r>
      <w:r>
        <w:rPr>
          <w:rFonts w:hint="eastAsia" w:ascii="仿宋" w:hAnsi="仿宋" w:eastAsia="仿宋" w:cs="仿宋"/>
          <w:color w:val="000000"/>
          <w:kern w:val="0"/>
          <w:sz w:val="28"/>
          <w:szCs w:val="28"/>
          <w:lang w:eastAsia="zh-CN"/>
        </w:rPr>
        <w:t>行政南路</w:t>
      </w:r>
    </w:p>
    <w:p>
      <w:pPr>
        <w:keepNext w:val="0"/>
        <w:keepLines w:val="0"/>
        <w:pageBreakBefore w:val="0"/>
        <w:widowControl/>
        <w:shd w:val="clear" w:color="auto" w:fill="FFFFFF"/>
        <w:kinsoku/>
        <w:overflowPunct/>
        <w:bidi w:val="0"/>
        <w:spacing w:line="340" w:lineRule="exact"/>
        <w:ind w:firstLine="641"/>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eastAsia="zh-CN"/>
        </w:rPr>
        <w:t>赵女士</w:t>
      </w:r>
      <w:r>
        <w:rPr>
          <w:rFonts w:hint="eastAsia" w:ascii="仿宋" w:hAnsi="仿宋" w:eastAsia="仿宋" w:cs="仿宋"/>
          <w:color w:val="000000"/>
          <w:kern w:val="0"/>
          <w:sz w:val="28"/>
          <w:szCs w:val="28"/>
        </w:rPr>
        <w:t xml:space="preserve">   联系电话：</w:t>
      </w:r>
      <w:r>
        <w:rPr>
          <w:rFonts w:hint="eastAsia" w:ascii="仿宋" w:hAnsi="仿宋" w:eastAsia="仿宋" w:cs="仿宋"/>
          <w:color w:val="000000"/>
          <w:kern w:val="0"/>
          <w:sz w:val="28"/>
          <w:szCs w:val="28"/>
          <w:lang w:val="en-US" w:eastAsia="zh-CN"/>
        </w:rPr>
        <w:t>0374-8113128</w:t>
      </w:r>
    </w:p>
    <w:p>
      <w:pPr>
        <w:keepNext w:val="0"/>
        <w:keepLines w:val="0"/>
        <w:pageBreakBefore w:val="0"/>
        <w:kinsoku/>
        <w:overflowPunct/>
        <w:bidi w:val="0"/>
        <w:spacing w:line="340" w:lineRule="exact"/>
        <w:ind w:firstLine="4760" w:firstLineChars="1700"/>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kinsoku/>
        <w:overflowPunct/>
        <w:bidi w:val="0"/>
        <w:spacing w:line="340" w:lineRule="exact"/>
        <w:ind w:firstLine="3080" w:firstLineChars="1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2019年 </w:t>
      </w:r>
      <w:r>
        <w:rPr>
          <w:rFonts w:hint="eastAsia" w:ascii="仿宋" w:hAnsi="仿宋" w:eastAsia="仿宋" w:cs="仿宋"/>
          <w:sz w:val="28"/>
          <w:szCs w:val="28"/>
          <w:lang w:val="en-US" w:eastAsia="zh-CN"/>
        </w:rPr>
        <w:t xml:space="preserve">11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25 </w:t>
      </w:r>
      <w:r>
        <w:rPr>
          <w:rFonts w:hint="eastAsia" w:ascii="仿宋" w:hAnsi="仿宋" w:eastAsia="仿宋" w:cs="仿宋"/>
          <w:sz w:val="28"/>
          <w:szCs w:val="28"/>
        </w:rPr>
        <w:t>日</w:t>
      </w:r>
    </w:p>
    <w:p>
      <w:pPr>
        <w:pStyle w:val="3"/>
        <w:numPr>
          <w:ilvl w:val="0"/>
          <w:numId w:val="0"/>
        </w:numPr>
        <w:ind w:left="288" w:leftChars="0"/>
        <w:rPr>
          <w:rFonts w:hint="eastAsia" w:ascii="新宋体" w:hAnsi="新宋体" w:eastAsia="新宋体" w:cs="新宋体"/>
          <w:sz w:val="24"/>
          <w:szCs w:val="24"/>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3"/>
        <w:numPr>
          <w:ilvl w:val="0"/>
          <w:numId w:val="0"/>
        </w:numPr>
      </w:pPr>
    </w:p>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numPr>
          <w:ilvl w:val="0"/>
          <w:numId w:val="8"/>
        </w:numPr>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本项目分四个标段第一标段：完成颍云桥及颍北大道西段地质勘察任务；第二标段：完成颍云桥及颍北大道西段施工图预算编制任务；第三标段：完成颍云桥及颍北大道西段施工图纸审查任务；第四标段：完成颍云桥防洪影响评价编制任务。</w:t>
      </w:r>
    </w:p>
    <w:p>
      <w:pPr>
        <w:widowControl/>
        <w:numPr>
          <w:ilvl w:val="0"/>
          <w:numId w:val="8"/>
        </w:numPr>
        <w:shd w:val="clear" w:color="auto" w:fill="FFFFFF"/>
        <w:spacing w:line="360" w:lineRule="auto"/>
        <w:ind w:left="0" w:leftChars="0" w:firstLine="600" w:firstLineChars="0"/>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p>
    <w:p>
      <w:pPr>
        <w:widowControl/>
        <w:numPr>
          <w:numId w:val="0"/>
        </w:numPr>
        <w:shd w:val="clear" w:color="auto" w:fill="FFFFFF"/>
        <w:spacing w:line="360" w:lineRule="auto"/>
        <w:ind w:left="600" w:leftChars="0"/>
        <w:contextualSpacing/>
        <w:jc w:val="left"/>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第一标段：</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1.工程概况：本工程位于禹州市西片区，邻近禹州市第一高级中学。项目所处颍北大道西延伸段道路等级为城市主干路，规划红线宽43米，绿线宽80米。湖滨路道路等级为城市支路，道路红线宽度20m。颍云桥处颍河宽度约140m，桥梁总长度约200m。</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2.</w:t>
      </w:r>
      <w:r>
        <w:rPr>
          <w:rFonts w:hint="eastAsia" w:ascii="新宋体" w:hAnsi="新宋体" w:eastAsia="新宋体" w:cs="新宋体"/>
          <w:color w:val="000000"/>
          <w:kern w:val="0"/>
          <w:sz w:val="24"/>
          <w:szCs w:val="24"/>
          <w:highlight w:val="none"/>
          <w:lang w:val="en-US" w:eastAsia="zh-CN"/>
        </w:rPr>
        <w:t>勘察</w:t>
      </w:r>
      <w:r>
        <w:rPr>
          <w:rFonts w:hint="eastAsia" w:ascii="新宋体" w:hAnsi="新宋体" w:eastAsia="新宋体" w:cs="新宋体"/>
          <w:color w:val="000000"/>
          <w:kern w:val="0"/>
          <w:sz w:val="24"/>
          <w:szCs w:val="24"/>
          <w:highlight w:val="none"/>
        </w:rPr>
        <w:t>范围：颍北大道西段：西起振兴路，东至聂政台路，全长约1000m（含颍云桥）；湖滨路：勤学路至颍北大道，道路全长约230m。主要建设内容有道路、排水、绿化、亮化及桥梁。</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3.成果文本：最终提供颍云桥及颍北大道西段</w:t>
      </w:r>
      <w:r>
        <w:rPr>
          <w:rFonts w:hint="eastAsia" w:ascii="新宋体" w:hAnsi="新宋体" w:eastAsia="新宋体" w:cs="新宋体"/>
          <w:color w:val="000000"/>
          <w:kern w:val="0"/>
          <w:sz w:val="24"/>
          <w:szCs w:val="24"/>
          <w:highlight w:val="none"/>
          <w:lang w:val="en-US" w:eastAsia="zh-CN"/>
        </w:rPr>
        <w:t>岩土工程勘察（详勘）报告</w:t>
      </w:r>
      <w:r>
        <w:rPr>
          <w:rFonts w:hint="eastAsia" w:ascii="新宋体" w:hAnsi="新宋体" w:eastAsia="新宋体" w:cs="新宋体"/>
          <w:color w:val="000000"/>
          <w:kern w:val="0"/>
          <w:sz w:val="24"/>
          <w:szCs w:val="24"/>
          <w:highlight w:val="none"/>
        </w:rPr>
        <w:t>。</w:t>
      </w:r>
    </w:p>
    <w:p>
      <w:pPr>
        <w:widowControl/>
        <w:shd w:val="clear" w:color="auto" w:fill="FFFFFF"/>
        <w:spacing w:line="360" w:lineRule="auto"/>
        <w:ind w:firstLine="707"/>
        <w:contextualSpacing/>
        <w:jc w:val="left"/>
        <w:rPr>
          <w:rFonts w:hint="eastAsia" w:ascii="新宋体" w:hAnsi="新宋体" w:eastAsia="新宋体" w:cs="新宋体"/>
          <w:kern w:val="0"/>
          <w:sz w:val="24"/>
          <w:szCs w:val="24"/>
          <w:highlight w:val="none"/>
          <w:lang w:eastAsia="zh-CN"/>
        </w:rPr>
      </w:pPr>
      <w:r>
        <w:rPr>
          <w:rFonts w:hint="eastAsia" w:ascii="新宋体" w:hAnsi="新宋体" w:eastAsia="新宋体" w:cs="新宋体"/>
          <w:kern w:val="0"/>
          <w:sz w:val="24"/>
          <w:szCs w:val="24"/>
          <w:highlight w:val="none"/>
          <w:lang w:eastAsia="zh-CN"/>
        </w:rPr>
        <w:t>第二标段：</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1.工程概况：本工程位于禹州市西片区，邻近禹州市第一高级中学。项目所处颍北大道西延伸段道路等级为城市主干路，规划红线宽43米，绿线宽80米。湖滨路道路等级为城市支路，道路红线宽度20m。颍云桥处颍河宽度约140m，桥梁总长度约200m。</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2</w:t>
      </w:r>
      <w:r>
        <w:rPr>
          <w:rFonts w:hint="eastAsia" w:ascii="新宋体" w:hAnsi="新宋体" w:eastAsia="新宋体" w:cs="新宋体"/>
          <w:color w:val="000000"/>
          <w:kern w:val="0"/>
          <w:sz w:val="24"/>
          <w:szCs w:val="24"/>
          <w:highlight w:val="none"/>
          <w:lang w:eastAsia="zh-CN"/>
        </w:rPr>
        <w:t>预算编制</w:t>
      </w:r>
      <w:r>
        <w:rPr>
          <w:rFonts w:hint="eastAsia" w:ascii="新宋体" w:hAnsi="新宋体" w:eastAsia="新宋体" w:cs="新宋体"/>
          <w:color w:val="000000"/>
          <w:kern w:val="0"/>
          <w:sz w:val="24"/>
          <w:szCs w:val="24"/>
          <w:highlight w:val="none"/>
        </w:rPr>
        <w:t>范围：颍北大道西段：西起振兴路，东至聂政台路，全长约约1000m（含颍云桥）；湖滨路：勤学路至颍北大道，道路全长约230m。主要建设内容有道路、排水、绿化、亮化及桥梁。</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3.成果文本：最终提供颍云桥及颍北大道西段</w:t>
      </w:r>
      <w:r>
        <w:rPr>
          <w:rFonts w:hint="eastAsia" w:ascii="新宋体" w:hAnsi="新宋体" w:eastAsia="新宋体" w:cs="新宋体"/>
          <w:color w:val="000000"/>
          <w:kern w:val="0"/>
          <w:sz w:val="24"/>
          <w:szCs w:val="24"/>
          <w:highlight w:val="none"/>
          <w:lang w:eastAsia="zh-CN"/>
        </w:rPr>
        <w:t>施工图预算文本</w:t>
      </w:r>
      <w:r>
        <w:rPr>
          <w:rFonts w:hint="eastAsia" w:ascii="新宋体" w:hAnsi="新宋体" w:eastAsia="新宋体" w:cs="新宋体"/>
          <w:color w:val="000000"/>
          <w:kern w:val="0"/>
          <w:sz w:val="24"/>
          <w:szCs w:val="24"/>
          <w:highlight w:val="none"/>
        </w:rPr>
        <w:t>。</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第三标段：</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1.工程概况：本工程位于禹州市西片区，邻近禹州市第一高级中学。项目所处颍北大道西延伸段道路等级为城市主干路，规划红线宽43米，绿线宽80米。湖滨路道路等级为城市支路，道路红线宽度20m。颍云桥处颍河宽度约140m，桥梁总长度约200m。</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2.</w:t>
      </w:r>
      <w:r>
        <w:rPr>
          <w:rFonts w:hint="eastAsia" w:ascii="新宋体" w:hAnsi="新宋体" w:eastAsia="新宋体" w:cs="新宋体"/>
          <w:color w:val="000000"/>
          <w:kern w:val="0"/>
          <w:sz w:val="24"/>
          <w:szCs w:val="24"/>
          <w:highlight w:val="none"/>
          <w:lang w:val="en-US" w:eastAsia="zh-CN"/>
        </w:rPr>
        <w:t>审图</w:t>
      </w:r>
      <w:r>
        <w:rPr>
          <w:rFonts w:hint="eastAsia" w:ascii="新宋体" w:hAnsi="新宋体" w:eastAsia="新宋体" w:cs="新宋体"/>
          <w:color w:val="000000"/>
          <w:kern w:val="0"/>
          <w:sz w:val="24"/>
          <w:szCs w:val="24"/>
          <w:highlight w:val="none"/>
        </w:rPr>
        <w:t>范围：颍北大道西段：西起振兴路，东至聂政台路，全长约约1000m（含颍云桥）；湖滨路：勤学路至颍北大道，道路全长约230m。主要建设内容有道路、排水、绿化、亮化及桥梁。</w:t>
      </w:r>
    </w:p>
    <w:p>
      <w:pPr>
        <w:widowControl/>
        <w:shd w:val="clear" w:color="auto" w:fill="FFFFFF"/>
        <w:spacing w:line="360" w:lineRule="auto"/>
        <w:ind w:firstLine="707"/>
        <w:contextualSpacing/>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3.成果文本：最终提供颍云桥及颍北大道西段</w:t>
      </w:r>
      <w:r>
        <w:rPr>
          <w:rFonts w:hint="eastAsia" w:ascii="新宋体" w:hAnsi="新宋体" w:eastAsia="新宋体" w:cs="新宋体"/>
          <w:color w:val="000000"/>
          <w:kern w:val="0"/>
          <w:sz w:val="24"/>
          <w:szCs w:val="24"/>
          <w:highlight w:val="none"/>
          <w:lang w:val="en-US" w:eastAsia="zh-CN"/>
        </w:rPr>
        <w:t>施工图审查报告文本</w:t>
      </w:r>
      <w:r>
        <w:rPr>
          <w:rFonts w:hint="eastAsia" w:ascii="新宋体" w:hAnsi="新宋体" w:eastAsia="新宋体" w:cs="新宋体"/>
          <w:color w:val="000000"/>
          <w:kern w:val="0"/>
          <w:sz w:val="24"/>
          <w:szCs w:val="24"/>
          <w:highlight w:val="none"/>
        </w:rPr>
        <w:t>。</w:t>
      </w:r>
    </w:p>
    <w:p>
      <w:pPr>
        <w:widowControl/>
        <w:shd w:val="clear" w:color="auto" w:fill="FFFFFF"/>
        <w:spacing w:line="360" w:lineRule="auto"/>
        <w:ind w:firstLine="240" w:firstLineChars="100"/>
        <w:contextualSpacing/>
        <w:rPr>
          <w:rFonts w:hint="eastAsia" w:ascii="新宋体" w:hAnsi="新宋体" w:eastAsia="新宋体" w:cs="新宋体"/>
          <w:color w:val="000000"/>
          <w:kern w:val="0"/>
          <w:sz w:val="24"/>
          <w:szCs w:val="24"/>
          <w:highlight w:val="none"/>
          <w:lang w:val="en-US" w:eastAsia="zh-CN"/>
        </w:rPr>
      </w:pPr>
      <w:r>
        <w:rPr>
          <w:rFonts w:hint="eastAsia" w:ascii="新宋体" w:hAnsi="新宋体" w:eastAsia="新宋体" w:cs="新宋体"/>
          <w:color w:val="000000"/>
          <w:kern w:val="0"/>
          <w:sz w:val="24"/>
          <w:szCs w:val="24"/>
          <w:highlight w:val="none"/>
          <w:lang w:val="en-US" w:eastAsia="zh-CN"/>
        </w:rPr>
        <w:t>第四标段：</w:t>
      </w:r>
    </w:p>
    <w:p>
      <w:pPr>
        <w:widowControl/>
        <w:shd w:val="clear" w:color="auto" w:fill="FFFFFF"/>
        <w:spacing w:line="360" w:lineRule="auto"/>
        <w:ind w:firstLine="707"/>
        <w:contextualSpacing/>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1.工程概况：该项目为禹州市颖云桥防洪评价。项目建设地点位于颍河禹州市西片区，邻近禹州市第一高级中学。颍云桥设计时兼顾城市景观要求。颍云桥处颍河宽度约140m，桥梁总长度约200m。</w:t>
      </w:r>
    </w:p>
    <w:p>
      <w:pPr>
        <w:widowControl/>
        <w:shd w:val="clear" w:color="auto" w:fill="FFFFFF"/>
        <w:spacing w:line="360" w:lineRule="auto"/>
        <w:ind w:firstLine="707"/>
        <w:contextualSpacing/>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2.防洪评价涉及范围：颍河河道基本情况；颍河河道演变；防洪评价计算：颖云桥处颍河建桥后河道防洪能力、水文分析计算、桥面高程复核、建桥后壅水及冲淤计算等；防洪综合评价；防治与补救措施。</w:t>
      </w:r>
    </w:p>
    <w:p>
      <w:pPr>
        <w:widowControl/>
        <w:shd w:val="clear" w:color="auto" w:fill="FFFFFF"/>
        <w:spacing w:line="360" w:lineRule="auto"/>
        <w:ind w:firstLine="709"/>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color w:val="auto"/>
          <w:kern w:val="0"/>
          <w:sz w:val="24"/>
          <w:szCs w:val="24"/>
          <w:highlight w:val="none"/>
        </w:rPr>
        <w:t xml:space="preserve">3.成果文本：最终提供禹州市颖云桥防洪评价报告书（含附图）。 </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b w:val="0"/>
          <w:bCs w:val="0"/>
          <w:color w:val="000000"/>
          <w:kern w:val="0"/>
          <w:sz w:val="24"/>
          <w:szCs w:val="24"/>
          <w:lang w:val="en-US" w:eastAsia="zh-CN" w:bidi="ar-SA"/>
        </w:rPr>
        <w:t>第一标段：需执行的国家相关标准、行业标准、地方标准或者其他标准、规范：</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《市政公用工程设计文件编制深度规定》（2013年版）</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《房屋建筑和市政基础设施工程勘察文件编制深度规定》（2010年版）</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《岩土工程勘察规范》（GB50021-2001）（2009年版）</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《公路工程地质勘察规范》（JTG C20-2011）</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《建筑抗震设计规范》（GB50011-2010）（2016版）</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《岩土工程勘察安全规范》（GB 50585-2010）</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《土工试验方法标准》（GB/T50123-1999）</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《建筑工程地质勘探与取样技术规程》（JGJ/T87-2012）</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《城市桥梁设计规范》（CJJ11-2011)（2019局部修订）</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第二标段：需执行的国家相关标准、行业标准、地方标准或者其他标准、规范；</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执行建设工程工程量清单计价规范GB50500-2013</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第三标段：需执行的国家相关标准、行业标准、地方标准或者其他标准、规范；</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第四标段：需执行的国家相关标准、行业标准、地方标准或者其他标准、规范；</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《防洪标准》（GB50201-2014）；</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《堤防工程设计规范》（GB50286-2013）；</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《堤防工程施工规范》（SL260-2014）；</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《堤防工程管理设计规范》（SL171-96）；</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《水利水电工程等级划分及洪水标准》（SL252-2017）；</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《公路工程水文勘测设计规范》（JTG C30-2015）；</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《水利水电工程水文计算规范》（SL278-2002）；</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《水利水电工程设计洪水计算规范》（SL44-2006）；</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《水利水电工程边坡设计规范》（SL386-2007）；</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《水利水电工程施工组织设计规范》（SL303-2017）；</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《城市防洪工程设计规范》（GB/T50805-2012）；</w:t>
      </w:r>
    </w:p>
    <w:p>
      <w:pPr>
        <w:keepNext w:val="0"/>
        <w:keepLines w:val="0"/>
        <w:pageBreakBefore w:val="0"/>
        <w:widowControl/>
        <w:numPr>
          <w:ilvl w:val="0"/>
          <w:numId w:val="0"/>
        </w:numPr>
        <w:kinsoku/>
        <w:overflowPunct/>
        <w:bidi w:val="0"/>
        <w:snapToGrid/>
        <w:spacing w:line="360" w:lineRule="auto"/>
        <w:ind w:left="600" w:leftChars="0"/>
        <w:jc w:val="both"/>
        <w:textAlignment w:val="center"/>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《河道管理范围内建设项目防洪评价报告编制导则》。</w:t>
      </w:r>
    </w:p>
    <w:p>
      <w:pPr>
        <w:widowControl/>
        <w:numPr>
          <w:ilvl w:val="0"/>
          <w:numId w:val="8"/>
        </w:numPr>
        <w:shd w:val="clear" w:color="auto" w:fill="FFFFFF"/>
        <w:spacing w:line="360" w:lineRule="auto"/>
        <w:ind w:left="0" w:leftChars="0" w:firstLine="600" w:firstLineChars="0"/>
        <w:contextualSpacing/>
        <w:jc w:val="left"/>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服务标准、期限、效率等要求：</w:t>
      </w:r>
    </w:p>
    <w:p>
      <w:pPr>
        <w:widowControl/>
        <w:numPr>
          <w:numId w:val="0"/>
        </w:numPr>
        <w:shd w:val="clear" w:color="auto" w:fill="FFFFFF"/>
        <w:spacing w:line="360" w:lineRule="auto"/>
        <w:ind w:left="600" w:leftChars="0"/>
        <w:contextualSpacing/>
        <w:jc w:val="left"/>
        <w:rPr>
          <w:rFonts w:hint="eastAsia" w:ascii="新宋体" w:hAnsi="新宋体" w:eastAsia="新宋体" w:cs="新宋体"/>
          <w:color w:val="auto"/>
          <w:sz w:val="24"/>
          <w:szCs w:val="24"/>
          <w:highlight w:val="none"/>
          <w:shd w:val="clear" w:color="auto" w:fill="auto"/>
          <w:lang w:eastAsia="zh-CN"/>
        </w:rPr>
      </w:pPr>
      <w:r>
        <w:rPr>
          <w:rFonts w:hint="eastAsia" w:ascii="新宋体" w:hAnsi="新宋体" w:eastAsia="新宋体" w:cs="新宋体"/>
          <w:color w:val="auto"/>
          <w:sz w:val="24"/>
          <w:szCs w:val="24"/>
          <w:highlight w:val="none"/>
          <w:shd w:val="clear" w:color="auto" w:fill="auto"/>
          <w:lang w:eastAsia="zh-CN"/>
        </w:rPr>
        <w:t>第一标段</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1、服务标准：</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人应按国家技术规范、标准、规程及发包人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含设计人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提出的</w:t>
      </w:r>
      <w:r>
        <w:rPr>
          <w:rFonts w:hint="eastAsia" w:ascii="新宋体" w:hAnsi="新宋体" w:eastAsia="新宋体" w:cs="新宋体"/>
          <w:color w:val="auto"/>
          <w:kern w:val="0"/>
          <w:sz w:val="24"/>
          <w:szCs w:val="24"/>
          <w:highlight w:val="none"/>
          <w:lang w:val="en-US" w:eastAsia="zh-CN"/>
        </w:rPr>
        <w:t>勘察技术</w:t>
      </w:r>
      <w:r>
        <w:rPr>
          <w:rFonts w:hint="eastAsia" w:ascii="新宋体" w:hAnsi="新宋体" w:eastAsia="新宋体" w:cs="新宋体"/>
          <w:color w:val="auto"/>
          <w:kern w:val="0"/>
          <w:sz w:val="24"/>
          <w:szCs w:val="24"/>
          <w:highlight w:val="none"/>
        </w:rPr>
        <w:t>要求进行</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，按合同规定的进度要求提交质量合格的</w:t>
      </w:r>
      <w:r>
        <w:rPr>
          <w:rFonts w:hint="eastAsia" w:ascii="新宋体" w:hAnsi="新宋体" w:eastAsia="新宋体" w:cs="新宋体"/>
          <w:color w:val="auto"/>
          <w:kern w:val="0"/>
          <w:sz w:val="24"/>
          <w:szCs w:val="24"/>
          <w:highlight w:val="none"/>
          <w:lang w:val="en-US" w:eastAsia="zh-CN"/>
        </w:rPr>
        <w:t>勘察成果</w:t>
      </w:r>
      <w:r>
        <w:rPr>
          <w:rFonts w:hint="eastAsia" w:ascii="新宋体" w:hAnsi="新宋体" w:eastAsia="新宋体" w:cs="新宋体"/>
          <w:color w:val="auto"/>
          <w:kern w:val="0"/>
          <w:sz w:val="24"/>
          <w:szCs w:val="24"/>
          <w:highlight w:val="none"/>
        </w:rPr>
        <w:t>，并对其负责</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并</w:t>
      </w:r>
      <w:r>
        <w:rPr>
          <w:rFonts w:hint="eastAsia" w:ascii="新宋体" w:hAnsi="新宋体" w:eastAsia="新宋体" w:cs="新宋体"/>
          <w:color w:val="auto"/>
          <w:kern w:val="0"/>
          <w:sz w:val="24"/>
          <w:szCs w:val="24"/>
          <w:highlight w:val="none"/>
        </w:rPr>
        <w:t>按规定参加有关的</w:t>
      </w:r>
      <w:r>
        <w:rPr>
          <w:rFonts w:hint="eastAsia" w:ascii="新宋体" w:hAnsi="新宋体" w:eastAsia="新宋体" w:cs="新宋体"/>
          <w:color w:val="auto"/>
          <w:kern w:val="0"/>
          <w:sz w:val="24"/>
          <w:szCs w:val="24"/>
          <w:highlight w:val="none"/>
          <w:lang w:val="en-US" w:eastAsia="zh-CN"/>
        </w:rPr>
        <w:t>施工图</w:t>
      </w:r>
      <w:r>
        <w:rPr>
          <w:rFonts w:hint="eastAsia" w:ascii="新宋体" w:hAnsi="新宋体" w:eastAsia="新宋体" w:cs="新宋体"/>
          <w:color w:val="auto"/>
          <w:kern w:val="0"/>
          <w:sz w:val="24"/>
          <w:szCs w:val="24"/>
          <w:highlight w:val="none"/>
        </w:rPr>
        <w:t>审查，根据审查结论负责作必要</w:t>
      </w:r>
      <w:r>
        <w:rPr>
          <w:rFonts w:hint="eastAsia" w:ascii="新宋体" w:hAnsi="新宋体" w:eastAsia="新宋体" w:cs="新宋体"/>
          <w:color w:val="auto"/>
          <w:kern w:val="0"/>
          <w:sz w:val="24"/>
          <w:szCs w:val="24"/>
          <w:highlight w:val="none"/>
          <w:lang w:val="en-US" w:eastAsia="zh-CN"/>
        </w:rPr>
        <w:t>的修改、意见回复等工作</w:t>
      </w:r>
      <w:r>
        <w:rPr>
          <w:rFonts w:hint="eastAsia" w:ascii="新宋体" w:hAnsi="新宋体" w:eastAsia="新宋体" w:cs="新宋体"/>
          <w:color w:val="auto"/>
          <w:kern w:val="0"/>
          <w:sz w:val="24"/>
          <w:szCs w:val="24"/>
          <w:highlight w:val="none"/>
        </w:rPr>
        <w:t>。</w:t>
      </w:r>
      <w:r>
        <w:rPr>
          <w:rFonts w:hint="eastAsia" w:ascii="新宋体" w:hAnsi="新宋体" w:eastAsia="新宋体" w:cs="新宋体"/>
          <w:color w:val="auto"/>
          <w:kern w:val="0"/>
          <w:sz w:val="24"/>
          <w:szCs w:val="24"/>
          <w:highlight w:val="none"/>
          <w:lang w:val="en-US" w:eastAsia="zh-CN"/>
        </w:rPr>
        <w:t>参加建设单位组织的</w:t>
      </w:r>
      <w:r>
        <w:rPr>
          <w:rFonts w:hint="eastAsia" w:ascii="新宋体" w:hAnsi="新宋体" w:eastAsia="新宋体" w:cs="新宋体"/>
          <w:color w:val="auto"/>
          <w:kern w:val="0"/>
          <w:sz w:val="24"/>
          <w:szCs w:val="24"/>
          <w:highlight w:val="none"/>
        </w:rPr>
        <w:t>设计交底</w:t>
      </w:r>
      <w:r>
        <w:rPr>
          <w:rFonts w:hint="eastAsia" w:ascii="新宋体" w:hAnsi="新宋体" w:eastAsia="新宋体" w:cs="新宋体"/>
          <w:color w:val="auto"/>
          <w:kern w:val="0"/>
          <w:sz w:val="24"/>
          <w:szCs w:val="24"/>
          <w:highlight w:val="none"/>
          <w:lang w:val="en-US" w:eastAsia="zh-CN"/>
        </w:rPr>
        <w:t>会议</w:t>
      </w:r>
      <w:r>
        <w:rPr>
          <w:rFonts w:hint="eastAsia" w:ascii="新宋体" w:hAnsi="新宋体" w:eastAsia="新宋体" w:cs="新宋体"/>
          <w:color w:val="auto"/>
          <w:kern w:val="0"/>
          <w:sz w:val="24"/>
          <w:szCs w:val="24"/>
          <w:highlight w:val="none"/>
        </w:rPr>
        <w:t>、处理有关</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问题和参加</w:t>
      </w:r>
      <w:r>
        <w:rPr>
          <w:rFonts w:hint="eastAsia" w:ascii="新宋体" w:hAnsi="新宋体" w:eastAsia="新宋体" w:cs="新宋体"/>
          <w:color w:val="auto"/>
          <w:kern w:val="0"/>
          <w:sz w:val="24"/>
          <w:szCs w:val="24"/>
          <w:highlight w:val="none"/>
          <w:lang w:val="en-US" w:eastAsia="zh-CN"/>
        </w:rPr>
        <w:t>必要的</w:t>
      </w:r>
      <w:r>
        <w:rPr>
          <w:rFonts w:hint="eastAsia" w:ascii="新宋体" w:hAnsi="新宋体" w:eastAsia="新宋体" w:cs="新宋体"/>
          <w:color w:val="auto"/>
          <w:kern w:val="0"/>
          <w:sz w:val="24"/>
          <w:szCs w:val="24"/>
          <w:highlight w:val="none"/>
        </w:rPr>
        <w:t>验收。在设计和施工过程中有</w:t>
      </w:r>
      <w:r>
        <w:rPr>
          <w:rFonts w:hint="eastAsia" w:ascii="新宋体" w:hAnsi="新宋体" w:eastAsia="新宋体" w:cs="新宋体"/>
          <w:color w:val="auto"/>
          <w:kern w:val="0"/>
          <w:sz w:val="24"/>
          <w:szCs w:val="24"/>
          <w:highlight w:val="none"/>
          <w:lang w:val="en-US" w:eastAsia="zh-CN"/>
        </w:rPr>
        <w:t>较大的非勘察原因的</w:t>
      </w:r>
      <w:r>
        <w:rPr>
          <w:rFonts w:hint="eastAsia" w:ascii="新宋体" w:hAnsi="新宋体" w:eastAsia="新宋体" w:cs="新宋体"/>
          <w:color w:val="auto"/>
          <w:kern w:val="0"/>
          <w:sz w:val="24"/>
          <w:szCs w:val="24"/>
          <w:highlight w:val="none"/>
        </w:rPr>
        <w:t>变更</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需勘察人进行补偿勘察的，勘察人可</w:t>
      </w:r>
      <w:r>
        <w:rPr>
          <w:rFonts w:hint="eastAsia" w:ascii="新宋体" w:hAnsi="新宋体" w:eastAsia="新宋体" w:cs="新宋体"/>
          <w:color w:val="auto"/>
          <w:kern w:val="0"/>
          <w:sz w:val="24"/>
          <w:szCs w:val="24"/>
          <w:highlight w:val="none"/>
        </w:rPr>
        <w:t>另行收取服务费。</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期限：合同签订之日起30日历天</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r>
        <w:rPr>
          <w:rFonts w:hint="eastAsia" w:ascii="新宋体" w:hAnsi="新宋体" w:eastAsia="新宋体" w:cs="新宋体"/>
          <w:color w:val="auto"/>
          <w:kern w:val="0"/>
          <w:sz w:val="24"/>
          <w:szCs w:val="24"/>
          <w:highlight w:val="none"/>
          <w:lang w:val="en-US" w:eastAsia="zh-CN"/>
        </w:rPr>
        <w:t>勘察</w:t>
      </w:r>
      <w:r>
        <w:rPr>
          <w:rFonts w:hint="eastAsia" w:ascii="新宋体" w:hAnsi="新宋体" w:eastAsia="新宋体" w:cs="新宋体"/>
          <w:color w:val="auto"/>
          <w:kern w:val="0"/>
          <w:sz w:val="24"/>
          <w:szCs w:val="24"/>
          <w:highlight w:val="none"/>
        </w:rPr>
        <w:t>效果：</w:t>
      </w:r>
      <w:r>
        <w:rPr>
          <w:rFonts w:hint="eastAsia" w:ascii="新宋体" w:hAnsi="新宋体" w:eastAsia="新宋体" w:cs="新宋体"/>
          <w:color w:val="auto"/>
          <w:kern w:val="0"/>
          <w:sz w:val="24"/>
          <w:szCs w:val="24"/>
          <w:highlight w:val="none"/>
          <w:lang w:val="en-US" w:eastAsia="zh-CN"/>
        </w:rPr>
        <w:t>按合同约定提供质量满足相关法规、规范要求、满足设计工作要求的勘察成果</w:t>
      </w:r>
      <w:r>
        <w:rPr>
          <w:rFonts w:hint="eastAsia" w:ascii="新宋体" w:hAnsi="新宋体" w:eastAsia="新宋体" w:cs="新宋体"/>
          <w:color w:val="auto"/>
          <w:kern w:val="0"/>
          <w:sz w:val="24"/>
          <w:szCs w:val="24"/>
          <w:highlight w:val="none"/>
        </w:rPr>
        <w:t>。</w:t>
      </w:r>
    </w:p>
    <w:p>
      <w:pPr>
        <w:widowControl/>
        <w:shd w:val="clear" w:color="auto" w:fill="FFFFFF"/>
        <w:spacing w:line="360" w:lineRule="auto"/>
        <w:ind w:firstLine="707"/>
        <w:contextualSpacing/>
        <w:jc w:val="left"/>
        <w:rPr>
          <w:rFonts w:hint="eastAsia" w:ascii="新宋体" w:hAnsi="新宋体" w:eastAsia="新宋体" w:cs="新宋体"/>
          <w:color w:val="auto"/>
          <w:sz w:val="24"/>
          <w:szCs w:val="24"/>
          <w:highlight w:val="none"/>
          <w:shd w:val="clear" w:color="auto" w:fill="auto"/>
          <w:lang w:eastAsia="zh-CN"/>
        </w:rPr>
      </w:pPr>
      <w:r>
        <w:rPr>
          <w:rFonts w:hint="eastAsia" w:ascii="新宋体" w:hAnsi="新宋体" w:eastAsia="新宋体" w:cs="新宋体"/>
          <w:color w:val="auto"/>
          <w:sz w:val="24"/>
          <w:szCs w:val="24"/>
          <w:highlight w:val="none"/>
          <w:shd w:val="clear" w:color="auto" w:fill="auto"/>
          <w:lang w:eastAsia="zh-CN"/>
        </w:rPr>
        <w:t>第二标段</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1、服务标准：</w:t>
      </w:r>
      <w:r>
        <w:rPr>
          <w:rFonts w:hint="eastAsia" w:ascii="新宋体" w:hAnsi="新宋体" w:eastAsia="新宋体" w:cs="新宋体"/>
          <w:color w:val="auto"/>
          <w:kern w:val="0"/>
          <w:sz w:val="24"/>
          <w:szCs w:val="24"/>
          <w:highlight w:val="none"/>
          <w:lang w:val="en-US" w:eastAsia="zh-CN"/>
        </w:rPr>
        <w:t>预算编制人</w:t>
      </w:r>
      <w:r>
        <w:rPr>
          <w:rFonts w:hint="eastAsia" w:ascii="新宋体" w:hAnsi="新宋体" w:eastAsia="新宋体" w:cs="新宋体"/>
          <w:color w:val="auto"/>
          <w:kern w:val="0"/>
          <w:sz w:val="24"/>
          <w:szCs w:val="24"/>
          <w:highlight w:val="none"/>
        </w:rPr>
        <w:t>应按国家技术规范、标准、规程及发包人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含设计人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提出</w:t>
      </w:r>
      <w:r>
        <w:rPr>
          <w:rFonts w:hint="eastAsia" w:ascii="新宋体" w:hAnsi="新宋体" w:eastAsia="新宋体" w:cs="新宋体"/>
          <w:color w:val="auto"/>
          <w:kern w:val="0"/>
          <w:sz w:val="24"/>
          <w:szCs w:val="24"/>
          <w:highlight w:val="none"/>
          <w:lang w:val="en-US" w:eastAsia="zh-CN"/>
        </w:rPr>
        <w:t>技术</w:t>
      </w:r>
      <w:r>
        <w:rPr>
          <w:rFonts w:hint="eastAsia" w:ascii="新宋体" w:hAnsi="新宋体" w:eastAsia="新宋体" w:cs="新宋体"/>
          <w:color w:val="auto"/>
          <w:kern w:val="0"/>
          <w:sz w:val="24"/>
          <w:szCs w:val="24"/>
          <w:highlight w:val="none"/>
        </w:rPr>
        <w:t>要求进</w:t>
      </w:r>
      <w:r>
        <w:rPr>
          <w:rFonts w:hint="eastAsia" w:ascii="新宋体" w:hAnsi="新宋体" w:eastAsia="新宋体" w:cs="新宋体"/>
          <w:color w:val="auto"/>
          <w:kern w:val="0"/>
          <w:sz w:val="24"/>
          <w:szCs w:val="24"/>
          <w:highlight w:val="none"/>
          <w:lang w:eastAsia="zh-CN"/>
        </w:rPr>
        <w:t>预算编制</w:t>
      </w:r>
      <w:r>
        <w:rPr>
          <w:rFonts w:hint="eastAsia" w:ascii="新宋体" w:hAnsi="新宋体" w:eastAsia="新宋体" w:cs="新宋体"/>
          <w:color w:val="auto"/>
          <w:kern w:val="0"/>
          <w:sz w:val="24"/>
          <w:szCs w:val="24"/>
          <w:highlight w:val="none"/>
        </w:rPr>
        <w:t>，按合同规定的进度要求提交质量合格的</w:t>
      </w:r>
      <w:r>
        <w:rPr>
          <w:rFonts w:hint="eastAsia" w:ascii="新宋体" w:hAnsi="新宋体" w:eastAsia="新宋体" w:cs="新宋体"/>
          <w:color w:val="auto"/>
          <w:kern w:val="0"/>
          <w:sz w:val="24"/>
          <w:szCs w:val="24"/>
          <w:highlight w:val="none"/>
          <w:lang w:eastAsia="zh-CN"/>
        </w:rPr>
        <w:t>施工图</w:t>
      </w:r>
      <w:r>
        <w:rPr>
          <w:rFonts w:hint="eastAsia" w:ascii="新宋体" w:hAnsi="新宋体" w:eastAsia="新宋体" w:cs="新宋体"/>
          <w:color w:val="auto"/>
          <w:kern w:val="0"/>
          <w:sz w:val="24"/>
          <w:szCs w:val="24"/>
          <w:highlight w:val="none"/>
          <w:lang w:val="en-US" w:eastAsia="zh-CN"/>
        </w:rPr>
        <w:t>预算编制成果</w:t>
      </w:r>
      <w:r>
        <w:rPr>
          <w:rFonts w:hint="eastAsia" w:ascii="新宋体" w:hAnsi="新宋体" w:eastAsia="新宋体" w:cs="新宋体"/>
          <w:color w:val="auto"/>
          <w:kern w:val="0"/>
          <w:sz w:val="24"/>
          <w:szCs w:val="24"/>
          <w:highlight w:val="none"/>
        </w:rPr>
        <w:t>，并对其负责</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w:t>
      </w:r>
      <w:r>
        <w:rPr>
          <w:rFonts w:hint="eastAsia" w:ascii="新宋体" w:hAnsi="新宋体" w:eastAsia="新宋体" w:cs="新宋体"/>
          <w:color w:val="auto"/>
          <w:kern w:val="0"/>
          <w:sz w:val="24"/>
          <w:szCs w:val="24"/>
          <w:highlight w:val="none"/>
          <w:lang w:eastAsia="zh-CN"/>
        </w:rPr>
        <w:t>预算</w:t>
      </w:r>
      <w:r>
        <w:rPr>
          <w:rFonts w:hint="eastAsia" w:ascii="新宋体" w:hAnsi="新宋体" w:eastAsia="新宋体" w:cs="新宋体"/>
          <w:color w:val="auto"/>
          <w:kern w:val="0"/>
          <w:sz w:val="24"/>
          <w:szCs w:val="24"/>
          <w:highlight w:val="none"/>
          <w:lang w:val="en-US" w:eastAsia="zh-CN"/>
        </w:rPr>
        <w:t>编制</w:t>
      </w:r>
      <w:r>
        <w:rPr>
          <w:rFonts w:hint="eastAsia" w:ascii="新宋体" w:hAnsi="新宋体" w:eastAsia="新宋体" w:cs="新宋体"/>
          <w:color w:val="auto"/>
          <w:kern w:val="0"/>
          <w:sz w:val="24"/>
          <w:szCs w:val="24"/>
          <w:highlight w:val="none"/>
        </w:rPr>
        <w:t>期限：合同签订之日起</w:t>
      </w:r>
      <w:r>
        <w:rPr>
          <w:rFonts w:hint="eastAsia" w:ascii="新宋体" w:hAnsi="新宋体" w:eastAsia="新宋体" w:cs="新宋体"/>
          <w:color w:val="auto"/>
          <w:kern w:val="0"/>
          <w:sz w:val="24"/>
          <w:szCs w:val="24"/>
          <w:highlight w:val="none"/>
          <w:lang w:val="en-US" w:eastAsia="zh-CN"/>
        </w:rPr>
        <w:t>30</w:t>
      </w:r>
      <w:r>
        <w:rPr>
          <w:rFonts w:hint="eastAsia" w:ascii="新宋体" w:hAnsi="新宋体" w:eastAsia="新宋体" w:cs="新宋体"/>
          <w:color w:val="auto"/>
          <w:kern w:val="0"/>
          <w:sz w:val="24"/>
          <w:szCs w:val="24"/>
          <w:highlight w:val="none"/>
        </w:rPr>
        <w:t>日历天</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r>
        <w:rPr>
          <w:rFonts w:hint="eastAsia" w:ascii="新宋体" w:hAnsi="新宋体" w:eastAsia="新宋体" w:cs="新宋体"/>
          <w:color w:val="auto"/>
          <w:kern w:val="0"/>
          <w:sz w:val="24"/>
          <w:szCs w:val="24"/>
          <w:highlight w:val="none"/>
          <w:lang w:eastAsia="zh-CN"/>
        </w:rPr>
        <w:t>预算编制</w:t>
      </w:r>
      <w:r>
        <w:rPr>
          <w:rFonts w:hint="eastAsia" w:ascii="新宋体" w:hAnsi="新宋体" w:eastAsia="新宋体" w:cs="新宋体"/>
          <w:color w:val="auto"/>
          <w:kern w:val="0"/>
          <w:sz w:val="24"/>
          <w:szCs w:val="24"/>
          <w:highlight w:val="none"/>
        </w:rPr>
        <w:t>效果：</w:t>
      </w:r>
      <w:r>
        <w:rPr>
          <w:rFonts w:hint="eastAsia" w:ascii="新宋体" w:hAnsi="新宋体" w:eastAsia="新宋体" w:cs="新宋体"/>
          <w:color w:val="auto"/>
          <w:kern w:val="0"/>
          <w:sz w:val="24"/>
          <w:szCs w:val="24"/>
          <w:highlight w:val="none"/>
          <w:lang w:val="en-US" w:eastAsia="zh-CN"/>
        </w:rPr>
        <w:t>按合同约定提供质量满足相关法规、规范要求、满足设计工作要求的预算编制成果</w:t>
      </w:r>
      <w:r>
        <w:rPr>
          <w:rFonts w:hint="eastAsia" w:ascii="新宋体" w:hAnsi="新宋体" w:eastAsia="新宋体" w:cs="新宋体"/>
          <w:color w:val="auto"/>
          <w:kern w:val="0"/>
          <w:sz w:val="24"/>
          <w:szCs w:val="24"/>
          <w:highlight w:val="none"/>
        </w:rPr>
        <w:t>。</w:t>
      </w:r>
    </w:p>
    <w:p>
      <w:pPr>
        <w:widowControl/>
        <w:shd w:val="clear" w:color="auto" w:fill="FFFFFF"/>
        <w:spacing w:line="360" w:lineRule="auto"/>
        <w:ind w:firstLine="707"/>
        <w:contextualSpacing/>
        <w:jc w:val="left"/>
        <w:rPr>
          <w:rFonts w:hint="eastAsia" w:ascii="新宋体" w:hAnsi="新宋体" w:eastAsia="新宋体" w:cs="新宋体"/>
          <w:color w:val="auto"/>
          <w:sz w:val="24"/>
          <w:szCs w:val="24"/>
          <w:highlight w:val="none"/>
          <w:shd w:val="clear" w:color="auto" w:fill="auto"/>
          <w:lang w:eastAsia="zh-CN"/>
        </w:rPr>
      </w:pPr>
      <w:r>
        <w:rPr>
          <w:rFonts w:hint="eastAsia" w:ascii="新宋体" w:hAnsi="新宋体" w:eastAsia="新宋体" w:cs="新宋体"/>
          <w:color w:val="auto"/>
          <w:sz w:val="24"/>
          <w:szCs w:val="24"/>
          <w:highlight w:val="none"/>
          <w:shd w:val="clear" w:color="auto" w:fill="auto"/>
          <w:lang w:eastAsia="zh-CN"/>
        </w:rPr>
        <w:t>第三标段：</w:t>
      </w:r>
    </w:p>
    <w:p>
      <w:pPr>
        <w:widowControl/>
        <w:numPr>
          <w:ilvl w:val="0"/>
          <w:numId w:val="9"/>
        </w:numPr>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服务标准：</w:t>
      </w:r>
      <w:r>
        <w:rPr>
          <w:rFonts w:hint="eastAsia" w:ascii="新宋体" w:hAnsi="新宋体" w:eastAsia="新宋体" w:cs="新宋体"/>
          <w:color w:val="auto"/>
          <w:kern w:val="0"/>
          <w:sz w:val="24"/>
          <w:szCs w:val="24"/>
          <w:highlight w:val="none"/>
          <w:lang w:val="en-US" w:eastAsia="zh-CN"/>
        </w:rPr>
        <w:t>图纸审查</w:t>
      </w:r>
      <w:r>
        <w:rPr>
          <w:rFonts w:hint="eastAsia" w:ascii="新宋体" w:hAnsi="新宋体" w:eastAsia="新宋体" w:cs="新宋体"/>
          <w:color w:val="auto"/>
          <w:kern w:val="0"/>
          <w:sz w:val="24"/>
          <w:szCs w:val="24"/>
          <w:highlight w:val="none"/>
        </w:rPr>
        <w:t>人应按国家技术规范、标准、规程及发包人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lang w:val="en-US" w:eastAsia="zh-CN"/>
        </w:rPr>
        <w:t>含设计人</w:t>
      </w:r>
      <w:r>
        <w:rPr>
          <w:rFonts w:hint="eastAsia" w:ascii="新宋体" w:hAnsi="新宋体" w:eastAsia="新宋体" w:cs="新宋体"/>
          <w:color w:val="auto"/>
          <w:kern w:val="0"/>
          <w:sz w:val="24"/>
          <w:szCs w:val="24"/>
          <w:highlight w:val="none"/>
          <w:lang w:eastAsia="zh-CN"/>
        </w:rPr>
        <w:t>）</w:t>
      </w:r>
      <w:r>
        <w:rPr>
          <w:rFonts w:hint="eastAsia" w:ascii="新宋体" w:hAnsi="新宋体" w:eastAsia="新宋体" w:cs="新宋体"/>
          <w:color w:val="auto"/>
          <w:kern w:val="0"/>
          <w:sz w:val="24"/>
          <w:szCs w:val="24"/>
          <w:highlight w:val="none"/>
        </w:rPr>
        <w:t>提出的</w:t>
      </w:r>
      <w:r>
        <w:rPr>
          <w:rFonts w:hint="eastAsia" w:ascii="新宋体" w:hAnsi="新宋体" w:eastAsia="新宋体" w:cs="新宋体"/>
          <w:color w:val="auto"/>
          <w:kern w:val="0"/>
          <w:sz w:val="24"/>
          <w:szCs w:val="24"/>
          <w:highlight w:val="none"/>
          <w:lang w:val="en-US" w:eastAsia="zh-CN"/>
        </w:rPr>
        <w:t>勘察设计技术</w:t>
      </w:r>
      <w:r>
        <w:rPr>
          <w:rFonts w:hint="eastAsia" w:ascii="新宋体" w:hAnsi="新宋体" w:eastAsia="新宋体" w:cs="新宋体"/>
          <w:color w:val="auto"/>
          <w:kern w:val="0"/>
          <w:sz w:val="24"/>
          <w:szCs w:val="24"/>
          <w:highlight w:val="none"/>
        </w:rPr>
        <w:t>要求进行</w:t>
      </w:r>
      <w:r>
        <w:rPr>
          <w:rFonts w:hint="eastAsia" w:ascii="新宋体" w:hAnsi="新宋体" w:eastAsia="新宋体" w:cs="新宋体"/>
          <w:color w:val="auto"/>
          <w:kern w:val="0"/>
          <w:sz w:val="24"/>
          <w:szCs w:val="24"/>
          <w:highlight w:val="none"/>
          <w:lang w:val="en-US" w:eastAsia="zh-CN"/>
        </w:rPr>
        <w:t>审查</w:t>
      </w:r>
      <w:r>
        <w:rPr>
          <w:rFonts w:hint="eastAsia" w:ascii="新宋体" w:hAnsi="新宋体" w:eastAsia="新宋体" w:cs="新宋体"/>
          <w:color w:val="auto"/>
          <w:kern w:val="0"/>
          <w:sz w:val="24"/>
          <w:szCs w:val="24"/>
          <w:highlight w:val="none"/>
        </w:rPr>
        <w:t>，按合同规定的进度要求提交质量合格</w:t>
      </w:r>
      <w:r>
        <w:rPr>
          <w:rFonts w:hint="eastAsia" w:ascii="新宋体" w:hAnsi="新宋体" w:eastAsia="新宋体" w:cs="新宋体"/>
          <w:color w:val="auto"/>
          <w:kern w:val="0"/>
          <w:sz w:val="24"/>
          <w:szCs w:val="24"/>
          <w:highlight w:val="none"/>
          <w:lang w:eastAsia="zh-CN"/>
        </w:rPr>
        <w:t>审图</w:t>
      </w:r>
      <w:r>
        <w:rPr>
          <w:rFonts w:hint="eastAsia" w:ascii="新宋体" w:hAnsi="新宋体" w:eastAsia="新宋体" w:cs="新宋体"/>
          <w:color w:val="auto"/>
          <w:kern w:val="0"/>
          <w:sz w:val="24"/>
          <w:szCs w:val="24"/>
          <w:highlight w:val="none"/>
          <w:lang w:val="en-US" w:eastAsia="zh-CN"/>
        </w:rPr>
        <w:t>成果</w:t>
      </w:r>
      <w:r>
        <w:rPr>
          <w:rFonts w:hint="eastAsia" w:ascii="新宋体" w:hAnsi="新宋体" w:eastAsia="新宋体" w:cs="新宋体"/>
          <w:color w:val="auto"/>
          <w:kern w:val="0"/>
          <w:sz w:val="24"/>
          <w:szCs w:val="24"/>
          <w:highlight w:val="none"/>
        </w:rPr>
        <w:t>，并对其负责</w:t>
      </w:r>
      <w:r>
        <w:rPr>
          <w:rFonts w:hint="eastAsia" w:ascii="新宋体" w:hAnsi="新宋体" w:eastAsia="新宋体" w:cs="新宋体"/>
          <w:color w:val="auto"/>
          <w:kern w:val="0"/>
          <w:sz w:val="24"/>
          <w:szCs w:val="24"/>
          <w:highlight w:val="none"/>
          <w:lang w:eastAsia="zh-CN"/>
        </w:rPr>
        <w:t>。</w:t>
      </w:r>
    </w:p>
    <w:p>
      <w:pPr>
        <w:widowControl/>
        <w:numPr>
          <w:ilvl w:val="0"/>
          <w:numId w:val="9"/>
        </w:numPr>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val="en-US" w:eastAsia="zh-CN"/>
        </w:rPr>
        <w:t>审图</w:t>
      </w:r>
      <w:r>
        <w:rPr>
          <w:rFonts w:hint="eastAsia" w:ascii="新宋体" w:hAnsi="新宋体" w:eastAsia="新宋体" w:cs="新宋体"/>
          <w:color w:val="auto"/>
          <w:kern w:val="0"/>
          <w:sz w:val="24"/>
          <w:szCs w:val="24"/>
          <w:highlight w:val="none"/>
        </w:rPr>
        <w:t>期限：合同签订之日起</w:t>
      </w:r>
      <w:r>
        <w:rPr>
          <w:rFonts w:hint="eastAsia" w:ascii="新宋体" w:hAnsi="新宋体" w:eastAsia="新宋体" w:cs="新宋体"/>
          <w:color w:val="auto"/>
          <w:kern w:val="0"/>
          <w:sz w:val="24"/>
          <w:szCs w:val="24"/>
          <w:highlight w:val="none"/>
          <w:lang w:val="en-US" w:eastAsia="zh-CN"/>
        </w:rPr>
        <w:t>30</w:t>
      </w:r>
      <w:r>
        <w:rPr>
          <w:rFonts w:hint="eastAsia" w:ascii="新宋体" w:hAnsi="新宋体" w:eastAsia="新宋体" w:cs="新宋体"/>
          <w:color w:val="auto"/>
          <w:kern w:val="0"/>
          <w:sz w:val="24"/>
          <w:szCs w:val="24"/>
          <w:highlight w:val="none"/>
        </w:rPr>
        <w:t>日历天</w:t>
      </w:r>
    </w:p>
    <w:p>
      <w:pPr>
        <w:widowControl/>
        <w:shd w:val="clear" w:color="auto" w:fill="FFFFFF"/>
        <w:spacing w:line="360" w:lineRule="auto"/>
        <w:ind w:firstLine="707"/>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w:t>
      </w:r>
      <w:r>
        <w:rPr>
          <w:rFonts w:hint="eastAsia" w:ascii="新宋体" w:hAnsi="新宋体" w:eastAsia="新宋体" w:cs="新宋体"/>
          <w:color w:val="auto"/>
          <w:kern w:val="0"/>
          <w:sz w:val="24"/>
          <w:szCs w:val="24"/>
          <w:highlight w:val="none"/>
          <w:lang w:val="en-US" w:eastAsia="zh-CN"/>
        </w:rPr>
        <w:t>审图</w:t>
      </w:r>
      <w:r>
        <w:rPr>
          <w:rFonts w:hint="eastAsia" w:ascii="新宋体" w:hAnsi="新宋体" w:eastAsia="新宋体" w:cs="新宋体"/>
          <w:color w:val="auto"/>
          <w:kern w:val="0"/>
          <w:sz w:val="24"/>
          <w:szCs w:val="24"/>
          <w:highlight w:val="none"/>
        </w:rPr>
        <w:t>效果：</w:t>
      </w:r>
      <w:r>
        <w:rPr>
          <w:rFonts w:hint="eastAsia" w:ascii="新宋体" w:hAnsi="新宋体" w:eastAsia="新宋体" w:cs="新宋体"/>
          <w:color w:val="auto"/>
          <w:kern w:val="0"/>
          <w:sz w:val="24"/>
          <w:szCs w:val="24"/>
          <w:highlight w:val="none"/>
          <w:lang w:val="en-US" w:eastAsia="zh-CN"/>
        </w:rPr>
        <w:t>按合同约定提供质量满足相关法规、规范要求、满足设计工作要求的审图成果</w:t>
      </w:r>
      <w:r>
        <w:rPr>
          <w:rFonts w:hint="eastAsia" w:ascii="新宋体" w:hAnsi="新宋体" w:eastAsia="新宋体" w:cs="新宋体"/>
          <w:color w:val="auto"/>
          <w:kern w:val="0"/>
          <w:sz w:val="24"/>
          <w:szCs w:val="24"/>
          <w:highlight w:val="none"/>
        </w:rPr>
        <w:t>。</w:t>
      </w:r>
    </w:p>
    <w:p>
      <w:pPr>
        <w:pStyle w:val="61"/>
        <w:widowControl/>
        <w:shd w:val="clear" w:color="auto" w:fill="FFFFFF"/>
        <w:spacing w:line="360" w:lineRule="auto"/>
        <w:ind w:firstLine="530" w:firstLineChars="221"/>
        <w:contextualSpacing/>
        <w:rPr>
          <w:rFonts w:hint="eastAsia" w:ascii="新宋体" w:hAnsi="新宋体" w:eastAsia="新宋体" w:cs="新宋体"/>
          <w:color w:val="auto"/>
          <w:sz w:val="24"/>
          <w:szCs w:val="24"/>
          <w:highlight w:val="none"/>
          <w:shd w:val="clear" w:color="auto" w:fill="auto"/>
          <w:lang w:eastAsia="zh-CN"/>
        </w:rPr>
      </w:pPr>
      <w:r>
        <w:rPr>
          <w:rFonts w:hint="eastAsia" w:ascii="新宋体" w:hAnsi="新宋体" w:eastAsia="新宋体" w:cs="新宋体"/>
          <w:color w:val="auto"/>
          <w:sz w:val="24"/>
          <w:szCs w:val="24"/>
          <w:highlight w:val="none"/>
          <w:shd w:val="clear" w:color="auto" w:fill="auto"/>
          <w:lang w:eastAsia="zh-CN"/>
        </w:rPr>
        <w:t>第四标段：</w:t>
      </w:r>
    </w:p>
    <w:p>
      <w:pPr>
        <w:pStyle w:val="61"/>
        <w:widowControl/>
        <w:shd w:val="clear" w:color="auto" w:fill="FFFFFF"/>
        <w:spacing w:line="360" w:lineRule="auto"/>
        <w:ind w:firstLine="530" w:firstLineChars="221"/>
        <w:contextualSpacing/>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1、服务标准：质量标准需符合国家现行规范标准及相关要求；提交的防洪评价报告满足《河道管理范围内建设项目防洪评价报告编制导则》的编制要求及其他有关规程、规范，并通过专家组审查。</w:t>
      </w:r>
    </w:p>
    <w:p>
      <w:pPr>
        <w:widowControl/>
        <w:shd w:val="clear" w:color="auto" w:fill="FFFFFF"/>
        <w:spacing w:line="360" w:lineRule="auto"/>
        <w:ind w:firstLine="530" w:firstLineChars="221"/>
        <w:contextualSpacing/>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2、设计期限：合同签订之日起30日历天</w:t>
      </w:r>
    </w:p>
    <w:p>
      <w:pPr>
        <w:widowControl/>
        <w:shd w:val="clear" w:color="auto" w:fill="FFFFFF"/>
        <w:spacing w:line="360" w:lineRule="auto"/>
        <w:ind w:firstLine="530" w:firstLineChars="221"/>
        <w:contextualSpacing/>
        <w:rPr>
          <w:rFonts w:hint="eastAsia" w:ascii="新宋体" w:hAnsi="新宋体" w:eastAsia="新宋体" w:cs="新宋体"/>
          <w:kern w:val="0"/>
          <w:sz w:val="24"/>
          <w:szCs w:val="24"/>
          <w:lang w:val="en-US" w:eastAsia="zh-CN" w:bidi="ar-SA"/>
        </w:rPr>
      </w:pPr>
      <w:r>
        <w:rPr>
          <w:rFonts w:hint="eastAsia" w:ascii="新宋体" w:hAnsi="新宋体" w:eastAsia="新宋体" w:cs="新宋体"/>
          <w:color w:val="auto"/>
          <w:kern w:val="0"/>
          <w:sz w:val="24"/>
          <w:szCs w:val="24"/>
          <w:highlight w:val="none"/>
        </w:rPr>
        <w:t>3、设计效果：对禹州市颖云桥及颍北大道西段工程设计方案进行防洪影响评价，提供禹州颖云桥防洪评价报告文本（含附图），保质保量完成，并通过审查。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服务期限：以合同为准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服务效率：全市农村“全民触网”，商贸流通、农业生产和种植基地、农产品加工、专业合作组织、农资配送等企业和市场主体普遍应用电子商务；强化电子商务进农村三级服务体系建设，建成22个镇级电子商务服务站，350个村级电子商务服务点，三级服务体系覆盖率达到100%；引进3家以上国内电商平台企业，重点扶持农产品、钧陶瓷、中医药、发制品、刺绣、戏剧用品、乡村旅游等七大产业，完善生产开发、供应商入驻、产品设计、加工、检测、包装、溯源、认证、品牌策划等供应链服务；聚焦农产品上行，整合全市电商企业，形成多元化全渠道销售体系，打造10个以上电商特色村，实现全市电子商务交易总额年复合增长率25%以上，其中农产品网络零售总额年复合增长率30%以上。</w:t>
      </w:r>
    </w:p>
    <w:p>
      <w:pPr>
        <w:keepNext w:val="0"/>
        <w:keepLines w:val="0"/>
        <w:pageBreakBefore w:val="0"/>
        <w:kinsoku/>
        <w:wordWrap w:val="0"/>
        <w:overflowPunct/>
        <w:topLinePunct/>
        <w:bidi w:val="0"/>
        <w:snapToGrid/>
        <w:spacing w:line="360" w:lineRule="auto"/>
        <w:ind w:firstLine="723" w:firstLineChars="300"/>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1"/>
        <w:wordWrap w:val="0"/>
        <w:topLinePunct/>
        <w:autoSpaceDE w:val="0"/>
        <w:autoSpaceDN w:val="0"/>
        <w:adjustRightInd w:val="0"/>
        <w:spacing w:line="360" w:lineRule="auto"/>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10"/>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pStyle w:val="3"/>
        <w:numPr>
          <w:ilvl w:val="0"/>
          <w:numId w:val="0"/>
        </w:numPr>
        <w:rPr>
          <w:rFonts w:hint="eastAsia"/>
        </w:rPr>
      </w:pPr>
    </w:p>
    <w:p>
      <w:pPr>
        <w:rPr>
          <w:rFonts w:hint="eastAsia"/>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项目名称：禹州市颍云桥及颍北大道西段工程勘察等项目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YZCG-G2019312</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名称：禹州市住房和城乡建设局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地址：禹州市行政南路</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赵女士   联系电话：0374-8113128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spacing w:line="360" w:lineRule="auto"/>
              <w:rPr>
                <w:rFonts w:hint="eastAsia"/>
                <w:lang w:val="en-US" w:eastAsia="zh-CN"/>
              </w:rPr>
            </w:pPr>
            <w:r>
              <w:rPr>
                <w:rFonts w:hint="eastAsia"/>
                <w:lang w:val="en-US" w:eastAsia="zh-CN"/>
              </w:rPr>
              <w:t>八、第一标段：</w:t>
            </w:r>
          </w:p>
          <w:p>
            <w:pPr>
              <w:spacing w:line="360" w:lineRule="auto"/>
              <w:rPr>
                <w:rFonts w:hint="eastAsia"/>
                <w:lang w:val="en-US" w:eastAsia="zh-CN"/>
              </w:rPr>
            </w:pPr>
            <w:r>
              <w:rPr>
                <w:rFonts w:hint="eastAsia"/>
                <w:lang w:val="en-US" w:eastAsia="zh-CN"/>
              </w:rPr>
              <w:t>投标人具有建设行政主管部门核发的工程勘察专业类（岩土工程）甲级资质或工程勘察综合资质，拟派项目负责人具备岩土工程师注册执业资格证书和高级工程师证书；</w:t>
            </w:r>
          </w:p>
          <w:p>
            <w:pPr>
              <w:spacing w:line="360" w:lineRule="auto"/>
              <w:rPr>
                <w:rFonts w:hint="eastAsia"/>
                <w:lang w:val="en-US" w:eastAsia="zh-CN"/>
              </w:rPr>
            </w:pPr>
            <w:r>
              <w:rPr>
                <w:rFonts w:hint="eastAsia"/>
                <w:lang w:val="en-US" w:eastAsia="zh-CN"/>
              </w:rPr>
              <w:t>第二标段：</w:t>
            </w:r>
          </w:p>
          <w:p>
            <w:pPr>
              <w:spacing w:line="360" w:lineRule="auto"/>
              <w:rPr>
                <w:rFonts w:hint="eastAsia"/>
                <w:lang w:val="en-US" w:eastAsia="zh-CN"/>
              </w:rPr>
            </w:pPr>
            <w:r>
              <w:rPr>
                <w:rFonts w:hint="eastAsia"/>
                <w:lang w:val="en-US" w:eastAsia="zh-CN"/>
              </w:rPr>
              <w:t>投标人具有工程造价咨询甲级资质证书；</w:t>
            </w:r>
          </w:p>
          <w:p>
            <w:pPr>
              <w:spacing w:line="360" w:lineRule="auto"/>
              <w:rPr>
                <w:rFonts w:hint="eastAsia"/>
                <w:lang w:val="en-US" w:eastAsia="zh-CN"/>
              </w:rPr>
            </w:pPr>
            <w:r>
              <w:rPr>
                <w:rFonts w:hint="eastAsia"/>
                <w:lang w:val="en-US" w:eastAsia="zh-CN"/>
              </w:rPr>
              <w:t>第三标段：</w:t>
            </w:r>
          </w:p>
          <w:p>
            <w:pPr>
              <w:spacing w:line="360" w:lineRule="auto"/>
              <w:rPr>
                <w:rFonts w:hint="eastAsia"/>
                <w:lang w:val="en-US" w:eastAsia="zh-CN"/>
              </w:rPr>
            </w:pPr>
            <w:r>
              <w:rPr>
                <w:rFonts w:hint="eastAsia"/>
                <w:lang w:val="en-US" w:eastAsia="zh-CN"/>
              </w:rPr>
              <w:t>投标人具有施工图审查（市政专业）一类资质；</w:t>
            </w:r>
          </w:p>
          <w:p>
            <w:pPr>
              <w:spacing w:line="360" w:lineRule="auto"/>
              <w:rPr>
                <w:rFonts w:hint="eastAsia"/>
                <w:lang w:val="en-US" w:eastAsia="zh-CN"/>
              </w:rPr>
            </w:pPr>
            <w:r>
              <w:rPr>
                <w:rFonts w:hint="eastAsia"/>
                <w:lang w:val="en-US" w:eastAsia="zh-CN"/>
              </w:rPr>
              <w:t>第四标段：</w:t>
            </w:r>
          </w:p>
          <w:p>
            <w:pPr>
              <w:keepNext w:val="0"/>
              <w:keepLines w:val="0"/>
              <w:pageBreakBefore w:val="0"/>
              <w:widowControl/>
              <w:shd w:val="clear" w:color="auto" w:fill="FFFFFF"/>
              <w:kinsoku/>
              <w:overflowPunct/>
              <w:bidi w:val="0"/>
              <w:spacing w:line="400" w:lineRule="exact"/>
              <w:jc w:val="left"/>
              <w:textAlignment w:val="auto"/>
              <w:rPr>
                <w:rFonts w:hint="eastAsia"/>
                <w:lang w:val="en-US" w:eastAsia="zh-CN"/>
              </w:rPr>
            </w:pPr>
            <w:r>
              <w:rPr>
                <w:rFonts w:hint="eastAsia"/>
                <w:lang w:val="en-US" w:eastAsia="zh-CN"/>
              </w:rPr>
              <w:t>投标人须同时具有水利行业专业乙级及以上设计资质和工程勘察专业类（岩土工程（勘察））乙级及以上资质；投标人拟任项目负责人具有水利专业高级或以上职称</w:t>
            </w:r>
          </w:p>
          <w:p>
            <w:pPr>
              <w:pStyle w:val="2"/>
              <w:rPr>
                <w:rFonts w:hint="eastAsia"/>
                <w:lang w:val="en-US" w:eastAsia="zh-CN"/>
              </w:rPr>
            </w:pPr>
            <w:r>
              <w:rPr>
                <w:rFonts w:hint="eastAsia" w:asciiTheme="minorEastAsia" w:hAnsiTheme="minorEastAsia"/>
                <w:b w:val="0"/>
                <w:bCs w:val="0"/>
                <w:szCs w:val="21"/>
                <w:lang w:val="en-US" w:eastAsia="zh-CN"/>
              </w:rPr>
              <w:t>被委托人须是本单位职工，须提供本公司缴纳社保证明。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第一标段：</w:t>
            </w:r>
            <w:r>
              <w:rPr>
                <w:rFonts w:hint="eastAsia" w:ascii="新宋体" w:hAnsi="新宋体" w:eastAsia="新宋体" w:cs="新宋体"/>
                <w:sz w:val="24"/>
                <w:szCs w:val="24"/>
                <w:lang w:val="en-US" w:eastAsia="zh-CN"/>
              </w:rPr>
              <w:t>40.09</w:t>
            </w:r>
            <w:r>
              <w:rPr>
                <w:rFonts w:hint="eastAsia" w:ascii="新宋体" w:hAnsi="新宋体" w:eastAsia="新宋体" w:cs="新宋体"/>
                <w:sz w:val="24"/>
                <w:szCs w:val="24"/>
                <w:lang w:val="zh-CN"/>
              </w:rPr>
              <w:t>万元</w:t>
            </w:r>
          </w:p>
          <w:p>
            <w:pPr>
              <w:autoSpaceDE w:val="0"/>
              <w:autoSpaceDN w:val="0"/>
              <w:adjustRightInd w:val="0"/>
              <w:spacing w:line="276" w:lineRule="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第二标段：</w:t>
            </w:r>
            <w:r>
              <w:rPr>
                <w:rFonts w:hint="eastAsia" w:ascii="新宋体" w:hAnsi="新宋体" w:eastAsia="新宋体" w:cs="新宋体"/>
                <w:sz w:val="24"/>
                <w:szCs w:val="24"/>
                <w:lang w:val="en-US" w:eastAsia="zh-CN"/>
              </w:rPr>
              <w:t>24.59</w:t>
            </w:r>
            <w:r>
              <w:rPr>
                <w:rFonts w:hint="eastAsia" w:ascii="新宋体" w:hAnsi="新宋体" w:eastAsia="新宋体" w:cs="新宋体"/>
                <w:sz w:val="24"/>
                <w:szCs w:val="24"/>
                <w:lang w:val="zh-CN"/>
              </w:rPr>
              <w:t>万元</w:t>
            </w:r>
          </w:p>
          <w:p>
            <w:pPr>
              <w:autoSpaceDE w:val="0"/>
              <w:autoSpaceDN w:val="0"/>
              <w:adjustRightInd w:val="0"/>
              <w:spacing w:line="276" w:lineRule="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第三标段：</w:t>
            </w:r>
            <w:r>
              <w:rPr>
                <w:rFonts w:hint="eastAsia" w:ascii="新宋体" w:hAnsi="新宋体" w:eastAsia="新宋体" w:cs="新宋体"/>
                <w:sz w:val="24"/>
                <w:szCs w:val="24"/>
                <w:lang w:val="en-US" w:eastAsia="zh-CN"/>
              </w:rPr>
              <w:t>14.76</w:t>
            </w:r>
            <w:r>
              <w:rPr>
                <w:rFonts w:hint="eastAsia" w:ascii="新宋体" w:hAnsi="新宋体" w:eastAsia="新宋体" w:cs="新宋体"/>
                <w:sz w:val="24"/>
                <w:szCs w:val="24"/>
                <w:lang w:val="zh-CN"/>
              </w:rPr>
              <w:t>万元</w:t>
            </w:r>
          </w:p>
          <w:p>
            <w:pPr>
              <w:pStyle w:val="2"/>
              <w:rPr>
                <w:rFonts w:hint="eastAsia" w:ascii="新宋体" w:hAnsi="新宋体" w:eastAsia="新宋体" w:cs="新宋体"/>
                <w:bCs/>
                <w:sz w:val="24"/>
                <w:szCs w:val="24"/>
                <w:lang w:val="en-US" w:eastAsia="zh-CN"/>
              </w:rPr>
            </w:pPr>
            <w:r>
              <w:rPr>
                <w:rFonts w:hint="eastAsia" w:ascii="新宋体" w:hAnsi="新宋体" w:eastAsia="新宋体" w:cs="新宋体"/>
                <w:bCs/>
                <w:sz w:val="24"/>
                <w:szCs w:val="24"/>
                <w:lang w:val="zh-CN"/>
              </w:rPr>
              <w:t>第四标段：</w:t>
            </w:r>
            <w:r>
              <w:rPr>
                <w:rFonts w:hint="eastAsia" w:ascii="新宋体" w:hAnsi="新宋体" w:eastAsia="新宋体" w:cs="新宋体"/>
                <w:bCs/>
                <w:sz w:val="24"/>
                <w:szCs w:val="24"/>
                <w:lang w:val="en-US" w:eastAsia="zh-CN"/>
              </w:rPr>
              <w:t>19.44万元</w:t>
            </w:r>
          </w:p>
          <w:p>
            <w:pPr>
              <w:pStyle w:val="2"/>
              <w:rPr>
                <w:rFonts w:hint="default"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超出最高限价者为无效标。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12</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16</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0"/>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11"/>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61"/>
        <w:numPr>
          <w:ilvl w:val="1"/>
          <w:numId w:val="11"/>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pStyle w:val="31"/>
        <w:rPr>
          <w:rFonts w:hint="eastAsia"/>
          <w:sz w:val="24"/>
          <w:szCs w:val="24"/>
        </w:rPr>
      </w:pPr>
      <w:r>
        <w:rPr>
          <w:rFonts w:hint="eastAsia"/>
          <w:sz w:val="24"/>
          <w:szCs w:val="24"/>
        </w:rPr>
        <w:t>（2）截止时间：同投标截止时间；</w:t>
      </w:r>
    </w:p>
    <w:p>
      <w:pPr>
        <w:pStyle w:val="31"/>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0"/>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szCs w:val="21"/>
              </w:rPr>
              <w:t>www.creditchina.gov.cn</w:t>
            </w:r>
            <w:r>
              <w:rPr>
                <w:rStyle w:val="30"/>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bCs/>
                <w:szCs w:val="21"/>
                <w:lang w:val="en-US" w:eastAsia="zh-CN"/>
              </w:rPr>
              <w:t>第</w:t>
            </w:r>
            <w:r>
              <w:rPr>
                <w:rFonts w:hint="eastAsia" w:asciiTheme="minorEastAsia" w:hAnsiTheme="minorEastAsia" w:eastAsiaTheme="minorEastAsia"/>
                <w:b w:val="0"/>
                <w:bCs w:val="0"/>
                <w:szCs w:val="21"/>
                <w:lang w:val="en-US" w:eastAsia="zh-CN"/>
              </w:rPr>
              <w:t>一标段：</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投标人具有建设行政主管部门核发的工程勘察专业类（岩土工程）甲级资质或工程勘察综合资质，拟派项目负责人具备岩土工程师注册执业资格证书和高级工程师证书；</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第二标段：</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投标人具有工程造价咨询甲级资质证书；</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第三标段：</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投标人具有施工图审查（市政专业）一类资质；</w:t>
            </w:r>
          </w:p>
          <w:p>
            <w:pPr>
              <w:spacing w:line="360" w:lineRule="auto"/>
              <w:rPr>
                <w:rFonts w:hint="eastAsia" w:asciiTheme="minorEastAsia" w:hAnsiTheme="minorEastAsia" w:eastAsiaTheme="minorEastAsia"/>
                <w:b w:val="0"/>
                <w:bCs w:val="0"/>
                <w:szCs w:val="21"/>
                <w:lang w:val="en-US" w:eastAsia="zh-CN"/>
              </w:rPr>
            </w:pPr>
            <w:r>
              <w:rPr>
                <w:rFonts w:hint="eastAsia" w:asciiTheme="minorEastAsia" w:hAnsiTheme="minorEastAsia" w:eastAsiaTheme="minorEastAsia"/>
                <w:b w:val="0"/>
                <w:bCs w:val="0"/>
                <w:szCs w:val="21"/>
                <w:lang w:val="en-US" w:eastAsia="zh-CN"/>
              </w:rPr>
              <w:t>第四标段：</w:t>
            </w:r>
          </w:p>
          <w:p>
            <w:pPr>
              <w:spacing w:line="360" w:lineRule="auto"/>
              <w:rPr>
                <w:rFonts w:hint="eastAsia" w:asciiTheme="minorEastAsia" w:hAnsiTheme="minorEastAsia" w:eastAsiaTheme="minorEastAsia"/>
                <w:b/>
                <w:bCs/>
                <w:szCs w:val="21"/>
                <w:lang w:val="en-US" w:eastAsia="zh-CN"/>
              </w:rPr>
            </w:pPr>
            <w:r>
              <w:rPr>
                <w:rFonts w:hint="eastAsia" w:asciiTheme="minorEastAsia" w:hAnsiTheme="minorEastAsia" w:eastAsiaTheme="minorEastAsia"/>
                <w:b w:val="0"/>
                <w:bCs w:val="0"/>
                <w:szCs w:val="21"/>
                <w:lang w:val="en-US" w:eastAsia="zh-CN"/>
              </w:rPr>
              <w:t>投标人须同时具有水利行业专业乙级及以上设计资质和工程勘察专业类（岩土工程（勘察））乙级及以上资质；投标人拟任项目负责人具有水利专业高级或以上职称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6"/>
        <w:spacing w:line="360" w:lineRule="auto"/>
        <w:contextualSpacing/>
        <w:jc w:val="both"/>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
        <w:rPr>
          <w:rFonts w:hint="eastAsia" w:ascii="新宋体" w:hAnsi="新宋体" w:eastAsia="新宋体" w:cs="新宋体"/>
          <w:sz w:val="24"/>
          <w:szCs w:val="24"/>
          <w:lang w:val="en-US" w:eastAsia="zh-CN"/>
        </w:rPr>
      </w:pPr>
      <w:r>
        <w:rPr>
          <w:rFonts w:hint="eastAsia" w:cs="仿宋_GB2312" w:asciiTheme="minorEastAsia" w:hAnsiTheme="minorEastAsia"/>
          <w:szCs w:val="21"/>
          <w:lang w:val="en-US" w:eastAsia="zh-CN"/>
        </w:rPr>
        <w:t xml:space="preserve">                           </w:t>
      </w:r>
      <w:r>
        <w:rPr>
          <w:rFonts w:hint="eastAsia" w:ascii="新宋体" w:hAnsi="新宋体" w:eastAsia="新宋体" w:cs="新宋体"/>
          <w:sz w:val="24"/>
          <w:szCs w:val="24"/>
          <w:lang w:val="en-US" w:eastAsia="zh-CN"/>
        </w:rPr>
        <w:t xml:space="preserve">  第一标段</w:t>
      </w:r>
    </w:p>
    <w:tbl>
      <w:tblPr>
        <w:tblStyle w:val="25"/>
        <w:tblW w:w="8882" w:type="dxa"/>
        <w:jc w:val="center"/>
        <w:tblInd w:w="0" w:type="dxa"/>
        <w:tblLayout w:type="fixed"/>
        <w:tblCellMar>
          <w:top w:w="0" w:type="dxa"/>
          <w:left w:w="0" w:type="dxa"/>
          <w:bottom w:w="0" w:type="dxa"/>
          <w:right w:w="0" w:type="dxa"/>
        </w:tblCellMar>
      </w:tblPr>
      <w:tblGrid>
        <w:gridCol w:w="1111"/>
        <w:gridCol w:w="68"/>
        <w:gridCol w:w="1965"/>
        <w:gridCol w:w="5738"/>
      </w:tblGrid>
      <w:tr>
        <w:tblPrEx>
          <w:tblLayout w:type="fixed"/>
          <w:tblCellMar>
            <w:top w:w="0" w:type="dxa"/>
            <w:left w:w="0" w:type="dxa"/>
            <w:bottom w:w="0" w:type="dxa"/>
            <w:right w:w="0" w:type="dxa"/>
          </w:tblCellMar>
        </w:tblPrEx>
        <w:trPr>
          <w:jc w:val="center"/>
        </w:trPr>
        <w:tc>
          <w:tcPr>
            <w:tcW w:w="1179"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评分因素</w:t>
            </w:r>
          </w:p>
        </w:tc>
        <w:tc>
          <w:tcPr>
            <w:tcW w:w="770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评分标准</w:t>
            </w:r>
          </w:p>
        </w:tc>
      </w:tr>
      <w:tr>
        <w:tblPrEx>
          <w:tblLayout w:type="fixed"/>
          <w:tblCellMar>
            <w:top w:w="0" w:type="dxa"/>
            <w:left w:w="0" w:type="dxa"/>
            <w:bottom w:w="0" w:type="dxa"/>
            <w:right w:w="0" w:type="dxa"/>
          </w:tblCellMar>
        </w:tblPrEx>
        <w:trPr>
          <w:jc w:val="center"/>
        </w:trPr>
        <w:tc>
          <w:tcPr>
            <w:tcW w:w="1179"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rPr>
              <w:t>投标</w:t>
            </w:r>
            <w:r>
              <w:rPr>
                <w:rFonts w:hint="eastAsia" w:ascii="新宋体" w:hAnsi="新宋体" w:eastAsia="新宋体" w:cs="新宋体"/>
                <w:color w:val="auto"/>
                <w:spacing w:val="-2"/>
                <w:kern w:val="0"/>
                <w:sz w:val="24"/>
                <w:szCs w:val="24"/>
                <w:highlight w:val="none"/>
              </w:rPr>
              <w:t>报</w:t>
            </w:r>
            <w:r>
              <w:rPr>
                <w:rFonts w:hint="eastAsia" w:ascii="新宋体" w:hAnsi="新宋体" w:eastAsia="新宋体" w:cs="新宋体"/>
                <w:color w:val="auto"/>
                <w:kern w:val="0"/>
                <w:sz w:val="24"/>
                <w:szCs w:val="24"/>
                <w:highlight w:val="none"/>
              </w:rPr>
              <w:t>价（</w:t>
            </w:r>
            <w:r>
              <w:rPr>
                <w:rFonts w:hint="eastAsia" w:ascii="新宋体" w:hAnsi="新宋体" w:eastAsia="新宋体" w:cs="新宋体"/>
                <w:color w:val="auto"/>
                <w:kern w:val="0"/>
                <w:sz w:val="24"/>
                <w:szCs w:val="24"/>
                <w:highlight w:val="none"/>
                <w:lang w:val="en-US" w:eastAsia="zh-CN"/>
              </w:rPr>
              <w:t>30</w:t>
            </w:r>
            <w:r>
              <w:rPr>
                <w:rFonts w:hint="eastAsia" w:ascii="新宋体" w:hAnsi="新宋体" w:eastAsia="新宋体" w:cs="新宋体"/>
                <w:color w:val="auto"/>
                <w:kern w:val="0"/>
                <w:sz w:val="24"/>
                <w:szCs w:val="24"/>
                <w:highlight w:val="none"/>
              </w:rPr>
              <w:t>分）</w:t>
            </w:r>
          </w:p>
        </w:tc>
        <w:tc>
          <w:tcPr>
            <w:tcW w:w="77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spacing w:line="360" w:lineRule="auto"/>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全部满足技术参数要求的有效投标文件，报价最低的得满分，即评标基准价。</w:t>
            </w:r>
          </w:p>
          <w:p>
            <w:pPr>
              <w:widowControl/>
              <w:spacing w:line="360" w:lineRule="auto"/>
              <w:jc w:val="left"/>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其他全部满足技术参数要求的有效投标人的报价，按照以下方式计算：</w:t>
            </w:r>
          </w:p>
          <w:p>
            <w:pPr>
              <w:autoSpaceDE w:val="0"/>
              <w:autoSpaceDN w:val="0"/>
              <w:adjustRightInd w:val="0"/>
              <w:spacing w:line="400" w:lineRule="exact"/>
              <w:ind w:left="38" w:leftChars="18"/>
              <w:jc w:val="left"/>
              <w:rPr>
                <w:rFonts w:hint="eastAsia" w:ascii="新宋体" w:hAnsi="新宋体" w:eastAsia="新宋体" w:cs="新宋体"/>
                <w:color w:val="auto"/>
                <w:kern w:val="0"/>
                <w:sz w:val="24"/>
                <w:szCs w:val="24"/>
                <w:highlight w:val="none"/>
              </w:rPr>
            </w:pPr>
            <w:r>
              <w:rPr>
                <w:rFonts w:hint="eastAsia" w:ascii="新宋体" w:hAnsi="新宋体" w:eastAsia="新宋体" w:cs="新宋体"/>
                <w:color w:val="000000"/>
                <w:kern w:val="0"/>
                <w:sz w:val="24"/>
                <w:szCs w:val="24"/>
                <w:highlight w:val="none"/>
              </w:rPr>
              <w:t>投标报价得分=评标基准价/价格扣除后的投标报价</w:t>
            </w:r>
            <w:r>
              <w:rPr>
                <w:rFonts w:hint="default" w:ascii="Arial" w:hAnsi="Arial" w:eastAsia="新宋体" w:cs="Arial"/>
                <w:color w:val="000000"/>
                <w:kern w:val="0"/>
                <w:sz w:val="24"/>
                <w:szCs w:val="24"/>
                <w:highlight w:val="none"/>
              </w:rPr>
              <w:t>×</w:t>
            </w:r>
            <w:r>
              <w:rPr>
                <w:rFonts w:hint="eastAsia" w:ascii="新宋体" w:hAnsi="新宋体" w:eastAsia="新宋体" w:cs="新宋体"/>
                <w:color w:val="000000"/>
                <w:kern w:val="0"/>
                <w:sz w:val="24"/>
                <w:szCs w:val="24"/>
                <w:highlight w:val="none"/>
                <w:lang w:val="en-US" w:eastAsia="zh-CN"/>
              </w:rPr>
              <w:t>30</w:t>
            </w:r>
          </w:p>
        </w:tc>
      </w:tr>
      <w:tr>
        <w:tblPrEx>
          <w:tblLayout w:type="fixed"/>
          <w:tblCellMar>
            <w:top w:w="0" w:type="dxa"/>
            <w:left w:w="0" w:type="dxa"/>
            <w:bottom w:w="0" w:type="dxa"/>
            <w:right w:w="0" w:type="dxa"/>
          </w:tblCellMar>
        </w:tblPrEx>
        <w:trPr>
          <w:trHeight w:val="1005" w:hRule="atLeast"/>
          <w:jc w:val="center"/>
        </w:trPr>
        <w:tc>
          <w:tcPr>
            <w:tcW w:w="1111" w:type="dxa"/>
            <w:vMerge w:val="restart"/>
            <w:tcBorders>
              <w:top w:val="single" w:color="000000" w:sz="4" w:space="0"/>
              <w:left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eastAsia="zh-CN"/>
              </w:rPr>
              <w:t>企业实力</w:t>
            </w:r>
            <w:r>
              <w:rPr>
                <w:rFonts w:hint="eastAsia" w:ascii="新宋体" w:hAnsi="新宋体" w:eastAsia="新宋体" w:cs="新宋体"/>
                <w:color w:val="auto"/>
                <w:kern w:val="0"/>
                <w:sz w:val="24"/>
                <w:szCs w:val="24"/>
                <w:highlight w:val="none"/>
              </w:rPr>
              <w:t>（</w:t>
            </w:r>
            <w:r>
              <w:rPr>
                <w:rFonts w:hint="eastAsia" w:ascii="新宋体" w:hAnsi="新宋体" w:eastAsia="新宋体" w:cs="新宋体"/>
                <w:color w:val="auto"/>
                <w:kern w:val="0"/>
                <w:sz w:val="24"/>
                <w:szCs w:val="24"/>
                <w:highlight w:val="none"/>
                <w:lang w:val="en-US" w:eastAsia="zh-CN"/>
              </w:rPr>
              <w:t>20</w:t>
            </w:r>
            <w:r>
              <w:rPr>
                <w:rFonts w:hint="eastAsia" w:ascii="新宋体" w:hAnsi="新宋体" w:eastAsia="新宋体" w:cs="新宋体"/>
                <w:color w:val="auto"/>
                <w:kern w:val="0"/>
                <w:sz w:val="24"/>
                <w:szCs w:val="24"/>
                <w:highlight w:val="none"/>
              </w:rPr>
              <w:t>分）</w:t>
            </w:r>
          </w:p>
        </w:tc>
        <w:tc>
          <w:tcPr>
            <w:tcW w:w="77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投标人承担过的项目每获得一项国家级优秀工程勘察类</w:t>
            </w:r>
            <w:r>
              <w:rPr>
                <w:rFonts w:hint="eastAsia" w:ascii="新宋体" w:hAnsi="新宋体" w:eastAsia="新宋体" w:cs="新宋体"/>
                <w:color w:val="auto"/>
                <w:sz w:val="24"/>
                <w:szCs w:val="24"/>
                <w:highlight w:val="none"/>
                <w:lang w:val="en-US" w:eastAsia="zh-CN"/>
              </w:rPr>
              <w:t>一等</w:t>
            </w:r>
            <w:r>
              <w:rPr>
                <w:rFonts w:hint="eastAsia" w:ascii="新宋体" w:hAnsi="新宋体" w:eastAsia="新宋体" w:cs="新宋体"/>
                <w:color w:val="auto"/>
                <w:sz w:val="24"/>
                <w:szCs w:val="24"/>
                <w:highlight w:val="none"/>
              </w:rPr>
              <w:t>奖得</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分。</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备注：以投标文件中所附的加盖公章的获奖证书复印件为准。</w:t>
            </w:r>
          </w:p>
        </w:tc>
      </w:tr>
      <w:tr>
        <w:tblPrEx>
          <w:tblLayout w:type="fixed"/>
          <w:tblCellMar>
            <w:top w:w="0" w:type="dxa"/>
            <w:left w:w="0" w:type="dxa"/>
            <w:bottom w:w="0" w:type="dxa"/>
            <w:right w:w="0" w:type="dxa"/>
          </w:tblCellMar>
        </w:tblPrEx>
        <w:trPr>
          <w:trHeight w:val="1205" w:hRule="atLeast"/>
          <w:jc w:val="center"/>
        </w:trPr>
        <w:tc>
          <w:tcPr>
            <w:tcW w:w="1111" w:type="dxa"/>
            <w:vMerge w:val="continue"/>
            <w:tcBorders>
              <w:left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77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投标人自2016年1月1日以来类似业绩30万元（含</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0万）</w:t>
            </w:r>
            <w:r>
              <w:rPr>
                <w:rFonts w:hint="eastAsia" w:ascii="新宋体" w:hAnsi="新宋体" w:eastAsia="新宋体" w:cs="新宋体"/>
                <w:color w:val="auto"/>
                <w:sz w:val="24"/>
                <w:szCs w:val="24"/>
                <w:highlight w:val="none"/>
                <w:lang w:eastAsia="zh-CN"/>
              </w:rPr>
              <w:t>每有一项</w:t>
            </w:r>
            <w:r>
              <w:rPr>
                <w:rFonts w:hint="eastAsia" w:ascii="新宋体" w:hAnsi="新宋体" w:eastAsia="新宋体" w:cs="新宋体"/>
                <w:color w:val="auto"/>
                <w:sz w:val="24"/>
                <w:szCs w:val="24"/>
                <w:highlight w:val="none"/>
              </w:rPr>
              <w:t>加</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分，本项最多得</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分，时间以合同签订时间为准。</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备注：以投标文件中所附的合同协议书复印件为准。</w:t>
            </w:r>
          </w:p>
        </w:tc>
      </w:tr>
      <w:tr>
        <w:tblPrEx>
          <w:tblLayout w:type="fixed"/>
          <w:tblCellMar>
            <w:top w:w="0" w:type="dxa"/>
            <w:left w:w="0" w:type="dxa"/>
            <w:bottom w:w="0" w:type="dxa"/>
            <w:right w:w="0" w:type="dxa"/>
          </w:tblCellMar>
        </w:tblPrEx>
        <w:trPr>
          <w:trHeight w:val="1550" w:hRule="atLeast"/>
          <w:jc w:val="center"/>
        </w:trPr>
        <w:tc>
          <w:tcPr>
            <w:tcW w:w="1111" w:type="dxa"/>
            <w:vMerge w:val="continue"/>
            <w:tcBorders>
              <w:left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777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项目负责人</w:t>
            </w:r>
            <w:r>
              <w:rPr>
                <w:rFonts w:hint="eastAsia" w:ascii="新宋体" w:hAnsi="新宋体" w:eastAsia="新宋体" w:cs="新宋体"/>
                <w:color w:val="auto"/>
                <w:sz w:val="24"/>
                <w:szCs w:val="24"/>
                <w:highlight w:val="none"/>
                <w:lang w:eastAsia="zh-CN"/>
              </w:rPr>
              <w:t>有类似项目在</w:t>
            </w:r>
            <w:r>
              <w:rPr>
                <w:rFonts w:hint="eastAsia" w:ascii="新宋体" w:hAnsi="新宋体" w:eastAsia="新宋体" w:cs="新宋体"/>
                <w:color w:val="auto"/>
                <w:sz w:val="24"/>
                <w:szCs w:val="24"/>
                <w:highlight w:val="none"/>
              </w:rPr>
              <w:t>30万元（含</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0万）</w:t>
            </w:r>
            <w:r>
              <w:rPr>
                <w:rFonts w:hint="eastAsia" w:ascii="新宋体" w:hAnsi="新宋体" w:eastAsia="新宋体" w:cs="新宋体"/>
                <w:color w:val="auto"/>
                <w:sz w:val="24"/>
                <w:szCs w:val="24"/>
                <w:highlight w:val="none"/>
                <w:lang w:eastAsia="zh-CN"/>
              </w:rPr>
              <w:t>的业绩，每有一项加</w:t>
            </w:r>
            <w:r>
              <w:rPr>
                <w:rFonts w:hint="eastAsia" w:ascii="新宋体" w:hAnsi="新宋体" w:eastAsia="新宋体" w:cs="新宋体"/>
                <w:color w:val="auto"/>
                <w:sz w:val="24"/>
                <w:szCs w:val="24"/>
                <w:highlight w:val="none"/>
                <w:lang w:val="en-US" w:eastAsia="zh-CN"/>
              </w:rPr>
              <w:t>2分</w:t>
            </w:r>
            <w:r>
              <w:rPr>
                <w:rFonts w:hint="eastAsia" w:ascii="新宋体" w:hAnsi="新宋体" w:eastAsia="新宋体" w:cs="新宋体"/>
                <w:color w:val="auto"/>
                <w:sz w:val="24"/>
                <w:szCs w:val="24"/>
                <w:highlight w:val="none"/>
              </w:rPr>
              <w:t>，本项最多得</w:t>
            </w:r>
            <w:r>
              <w:rPr>
                <w:rFonts w:hint="eastAsia" w:ascii="新宋体" w:hAnsi="新宋体" w:eastAsia="新宋体" w:cs="新宋体"/>
                <w:color w:val="auto"/>
                <w:sz w:val="24"/>
                <w:szCs w:val="24"/>
                <w:highlight w:val="none"/>
                <w:lang w:val="en-US" w:eastAsia="zh-CN"/>
              </w:rPr>
              <w:t>8</w:t>
            </w:r>
            <w:r>
              <w:rPr>
                <w:rFonts w:hint="eastAsia" w:ascii="新宋体" w:hAnsi="新宋体" w:eastAsia="新宋体" w:cs="新宋体"/>
                <w:color w:val="auto"/>
                <w:sz w:val="24"/>
                <w:szCs w:val="24"/>
                <w:highlight w:val="none"/>
              </w:rPr>
              <w:t>分，时间以合同签订时间为准。</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备注：企业业绩和项目负责人业绩可重复计取。</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pacing w:val="-2"/>
                <w:kern w:val="0"/>
                <w:position w:val="-1"/>
                <w:sz w:val="24"/>
                <w:szCs w:val="24"/>
                <w:highlight w:val="none"/>
              </w:rPr>
            </w:pPr>
            <w:r>
              <w:rPr>
                <w:rFonts w:hint="eastAsia" w:ascii="新宋体" w:hAnsi="新宋体" w:eastAsia="新宋体" w:cs="新宋体"/>
                <w:color w:val="auto"/>
                <w:sz w:val="24"/>
                <w:szCs w:val="24"/>
                <w:highlight w:val="none"/>
              </w:rPr>
              <w:t>以投标文件中所附的合同协议书复印件为准。</w:t>
            </w:r>
          </w:p>
          <w:p>
            <w:pPr>
              <w:keepNext w:val="0"/>
              <w:keepLines w:val="0"/>
              <w:pageBreakBefore w:val="0"/>
              <w:widowControl w:val="0"/>
              <w:kinsoku/>
              <w:wordWrap/>
              <w:overflowPunct/>
              <w:topLinePunct w:val="0"/>
              <w:bidi w:val="0"/>
              <w:snapToGrid/>
              <w:spacing w:line="240" w:lineRule="exact"/>
              <w:textAlignment w:val="auto"/>
              <w:outlineLvl w:val="9"/>
              <w:rPr>
                <w:rFonts w:hint="eastAsia" w:ascii="新宋体" w:hAnsi="新宋体" w:eastAsia="新宋体" w:cs="新宋体"/>
                <w:color w:val="auto"/>
                <w:sz w:val="24"/>
                <w:szCs w:val="24"/>
                <w:highlight w:val="none"/>
              </w:rPr>
            </w:pPr>
          </w:p>
        </w:tc>
      </w:tr>
      <w:tr>
        <w:tblPrEx>
          <w:tblLayout w:type="fixed"/>
          <w:tblCellMar>
            <w:top w:w="0" w:type="dxa"/>
            <w:left w:w="0" w:type="dxa"/>
            <w:bottom w:w="0" w:type="dxa"/>
            <w:right w:w="0" w:type="dxa"/>
          </w:tblCellMar>
        </w:tblPrEx>
        <w:trPr>
          <w:trHeight w:val="567"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勘察</w:t>
            </w:r>
            <w:r>
              <w:rPr>
                <w:rFonts w:hint="eastAsia" w:ascii="新宋体" w:hAnsi="新宋体" w:eastAsia="新宋体" w:cs="新宋体"/>
                <w:color w:val="auto"/>
                <w:spacing w:val="-2"/>
                <w:kern w:val="0"/>
                <w:sz w:val="24"/>
                <w:szCs w:val="24"/>
                <w:highlight w:val="none"/>
              </w:rPr>
              <w:t>纲</w:t>
            </w:r>
            <w:r>
              <w:rPr>
                <w:rFonts w:hint="eastAsia" w:ascii="新宋体" w:hAnsi="新宋体" w:eastAsia="新宋体" w:cs="新宋体"/>
                <w:color w:val="auto"/>
                <w:kern w:val="0"/>
                <w:sz w:val="24"/>
                <w:szCs w:val="24"/>
                <w:highlight w:val="none"/>
              </w:rPr>
              <w:t>要评分</w:t>
            </w:r>
            <w:r>
              <w:rPr>
                <w:rFonts w:hint="eastAsia" w:ascii="新宋体" w:hAnsi="新宋体" w:eastAsia="新宋体" w:cs="新宋体"/>
                <w:color w:val="auto"/>
                <w:spacing w:val="-2"/>
                <w:kern w:val="0"/>
                <w:sz w:val="24"/>
                <w:szCs w:val="24"/>
                <w:highlight w:val="none"/>
              </w:rPr>
              <w:t>标</w:t>
            </w:r>
            <w:r>
              <w:rPr>
                <w:rFonts w:hint="eastAsia" w:ascii="新宋体" w:hAnsi="新宋体" w:eastAsia="新宋体" w:cs="新宋体"/>
                <w:color w:val="auto"/>
                <w:kern w:val="0"/>
                <w:sz w:val="24"/>
                <w:szCs w:val="24"/>
                <w:highlight w:val="none"/>
              </w:rPr>
              <w:t>准（</w:t>
            </w:r>
            <w:r>
              <w:rPr>
                <w:rFonts w:hint="eastAsia" w:ascii="新宋体" w:hAnsi="新宋体" w:eastAsia="新宋体" w:cs="新宋体"/>
                <w:color w:val="auto"/>
                <w:kern w:val="0"/>
                <w:sz w:val="24"/>
                <w:szCs w:val="24"/>
                <w:highlight w:val="none"/>
                <w:lang w:val="en-US" w:eastAsia="zh-CN"/>
              </w:rPr>
              <w:t>40</w:t>
            </w:r>
            <w:r>
              <w:rPr>
                <w:rFonts w:hint="eastAsia" w:ascii="新宋体" w:hAnsi="新宋体" w:eastAsia="新宋体" w:cs="新宋体"/>
                <w:color w:val="auto"/>
                <w:kern w:val="0"/>
                <w:sz w:val="24"/>
                <w:szCs w:val="24"/>
                <w:highlight w:val="none"/>
              </w:rPr>
              <w:t>分）</w:t>
            </w: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勘察</w:t>
            </w:r>
            <w:r>
              <w:rPr>
                <w:rFonts w:hint="eastAsia" w:ascii="新宋体" w:hAnsi="新宋体" w:eastAsia="新宋体" w:cs="新宋体"/>
                <w:color w:val="auto"/>
                <w:spacing w:val="-2"/>
                <w:kern w:val="0"/>
                <w:sz w:val="24"/>
                <w:szCs w:val="24"/>
                <w:highlight w:val="none"/>
              </w:rPr>
              <w:t>范</w:t>
            </w:r>
            <w:r>
              <w:rPr>
                <w:rFonts w:hint="eastAsia" w:ascii="新宋体" w:hAnsi="新宋体" w:eastAsia="新宋体" w:cs="新宋体"/>
                <w:color w:val="auto"/>
                <w:kern w:val="0"/>
                <w:sz w:val="24"/>
                <w:szCs w:val="24"/>
                <w:highlight w:val="none"/>
              </w:rPr>
              <w:t>围</w:t>
            </w:r>
            <w:r>
              <w:rPr>
                <w:rFonts w:hint="eastAsia" w:ascii="新宋体" w:hAnsi="新宋体" w:eastAsia="新宋体" w:cs="新宋体"/>
                <w:color w:val="auto"/>
                <w:spacing w:val="-2"/>
                <w:kern w:val="0"/>
                <w:sz w:val="24"/>
                <w:szCs w:val="24"/>
                <w:highlight w:val="none"/>
              </w:rPr>
              <w:t>、</w:t>
            </w:r>
            <w:r>
              <w:rPr>
                <w:rFonts w:hint="eastAsia" w:ascii="新宋体" w:hAnsi="新宋体" w:eastAsia="新宋体" w:cs="新宋体"/>
                <w:color w:val="auto"/>
                <w:kern w:val="0"/>
                <w:sz w:val="24"/>
                <w:szCs w:val="24"/>
                <w:highlight w:val="none"/>
              </w:rPr>
              <w:t>勘</w:t>
            </w:r>
            <w:r>
              <w:rPr>
                <w:rFonts w:hint="eastAsia" w:ascii="新宋体" w:hAnsi="新宋体" w:eastAsia="新宋体" w:cs="新宋体"/>
                <w:color w:val="auto"/>
                <w:spacing w:val="-2"/>
                <w:kern w:val="0"/>
                <w:sz w:val="24"/>
                <w:szCs w:val="24"/>
                <w:highlight w:val="none"/>
              </w:rPr>
              <w:t>察</w:t>
            </w:r>
            <w:r>
              <w:rPr>
                <w:rFonts w:hint="eastAsia" w:ascii="新宋体" w:hAnsi="新宋体" w:eastAsia="新宋体" w:cs="新宋体"/>
                <w:color w:val="auto"/>
                <w:kern w:val="0"/>
                <w:sz w:val="24"/>
                <w:szCs w:val="24"/>
                <w:highlight w:val="none"/>
              </w:rPr>
              <w:t>内容</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lang w:val="en-US" w:eastAsia="zh-CN"/>
              </w:rPr>
              <w:t>1-4</w:t>
            </w:r>
            <w:r>
              <w:rPr>
                <w:rFonts w:hint="eastAsia" w:ascii="新宋体" w:hAnsi="新宋体" w:eastAsia="新宋体" w:cs="新宋体"/>
                <w:color w:val="auto"/>
                <w:sz w:val="24"/>
                <w:szCs w:val="24"/>
                <w:highlight w:val="none"/>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勘察</w:t>
            </w:r>
            <w:r>
              <w:rPr>
                <w:rFonts w:hint="eastAsia" w:ascii="新宋体" w:hAnsi="新宋体" w:eastAsia="新宋体" w:cs="新宋体"/>
                <w:color w:val="auto"/>
                <w:spacing w:val="-2"/>
                <w:kern w:val="0"/>
                <w:sz w:val="24"/>
                <w:szCs w:val="24"/>
                <w:highlight w:val="none"/>
              </w:rPr>
              <w:t>依</w:t>
            </w:r>
            <w:r>
              <w:rPr>
                <w:rFonts w:hint="eastAsia" w:ascii="新宋体" w:hAnsi="新宋体" w:eastAsia="新宋体" w:cs="新宋体"/>
                <w:color w:val="auto"/>
                <w:kern w:val="0"/>
                <w:sz w:val="24"/>
                <w:szCs w:val="24"/>
                <w:highlight w:val="none"/>
              </w:rPr>
              <w:t>据</w:t>
            </w:r>
            <w:r>
              <w:rPr>
                <w:rFonts w:hint="eastAsia" w:ascii="新宋体" w:hAnsi="新宋体" w:eastAsia="新宋体" w:cs="新宋体"/>
                <w:color w:val="auto"/>
                <w:spacing w:val="-52"/>
                <w:kern w:val="0"/>
                <w:sz w:val="24"/>
                <w:szCs w:val="24"/>
                <w:highlight w:val="none"/>
              </w:rPr>
              <w:t>、</w:t>
            </w:r>
            <w:r>
              <w:rPr>
                <w:rFonts w:hint="eastAsia" w:ascii="新宋体" w:hAnsi="新宋体" w:eastAsia="新宋体" w:cs="新宋体"/>
                <w:color w:val="auto"/>
                <w:kern w:val="0"/>
                <w:sz w:val="24"/>
                <w:szCs w:val="24"/>
                <w:highlight w:val="none"/>
              </w:rPr>
              <w:t>勘</w:t>
            </w:r>
            <w:r>
              <w:rPr>
                <w:rFonts w:hint="eastAsia" w:ascii="新宋体" w:hAnsi="新宋体" w:eastAsia="新宋体" w:cs="新宋体"/>
                <w:color w:val="auto"/>
                <w:spacing w:val="-2"/>
                <w:kern w:val="0"/>
                <w:sz w:val="24"/>
                <w:szCs w:val="24"/>
                <w:highlight w:val="none"/>
              </w:rPr>
              <w:t>察</w:t>
            </w:r>
            <w:r>
              <w:rPr>
                <w:rFonts w:hint="eastAsia" w:ascii="新宋体" w:hAnsi="新宋体" w:eastAsia="新宋体" w:cs="新宋体"/>
                <w:color w:val="auto"/>
                <w:kern w:val="0"/>
                <w:sz w:val="24"/>
                <w:szCs w:val="24"/>
                <w:highlight w:val="none"/>
              </w:rPr>
              <w:t>工</w:t>
            </w:r>
            <w:r>
              <w:rPr>
                <w:rFonts w:hint="eastAsia" w:ascii="新宋体" w:hAnsi="新宋体" w:eastAsia="新宋体" w:cs="新宋体"/>
                <w:color w:val="auto"/>
                <w:spacing w:val="-2"/>
                <w:kern w:val="0"/>
                <w:sz w:val="24"/>
                <w:szCs w:val="24"/>
                <w:highlight w:val="none"/>
              </w:rPr>
              <w:t>作</w:t>
            </w:r>
            <w:r>
              <w:rPr>
                <w:rFonts w:hint="eastAsia" w:ascii="新宋体" w:hAnsi="新宋体" w:eastAsia="新宋体" w:cs="新宋体"/>
                <w:color w:val="auto"/>
                <w:kern w:val="0"/>
                <w:sz w:val="24"/>
                <w:szCs w:val="24"/>
                <w:highlight w:val="none"/>
              </w:rPr>
              <w:t>目标</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position w:val="-2"/>
                <w:sz w:val="24"/>
                <w:szCs w:val="24"/>
                <w:highlight w:val="none"/>
              </w:rPr>
              <w:t>勘察</w:t>
            </w:r>
            <w:r>
              <w:rPr>
                <w:rFonts w:hint="eastAsia" w:ascii="新宋体" w:hAnsi="新宋体" w:eastAsia="新宋体" w:cs="新宋体"/>
                <w:color w:val="auto"/>
                <w:spacing w:val="-2"/>
                <w:kern w:val="0"/>
                <w:position w:val="-2"/>
                <w:sz w:val="24"/>
                <w:szCs w:val="24"/>
                <w:highlight w:val="none"/>
              </w:rPr>
              <w:t>机</w:t>
            </w:r>
            <w:r>
              <w:rPr>
                <w:rFonts w:hint="eastAsia" w:ascii="新宋体" w:hAnsi="新宋体" w:eastAsia="新宋体" w:cs="新宋体"/>
                <w:color w:val="auto"/>
                <w:kern w:val="0"/>
                <w:position w:val="-2"/>
                <w:sz w:val="24"/>
                <w:szCs w:val="24"/>
                <w:highlight w:val="none"/>
              </w:rPr>
              <w:t>构</w:t>
            </w:r>
            <w:r>
              <w:rPr>
                <w:rFonts w:hint="eastAsia" w:ascii="新宋体" w:hAnsi="新宋体" w:eastAsia="新宋体" w:cs="新宋体"/>
                <w:color w:val="auto"/>
                <w:spacing w:val="-2"/>
                <w:kern w:val="0"/>
                <w:position w:val="-2"/>
                <w:sz w:val="24"/>
                <w:szCs w:val="24"/>
                <w:highlight w:val="none"/>
              </w:rPr>
              <w:t>设</w:t>
            </w:r>
            <w:r>
              <w:rPr>
                <w:rFonts w:hint="eastAsia" w:ascii="新宋体" w:hAnsi="新宋体" w:eastAsia="新宋体" w:cs="新宋体"/>
                <w:color w:val="auto"/>
                <w:kern w:val="0"/>
                <w:position w:val="-2"/>
                <w:sz w:val="24"/>
                <w:szCs w:val="24"/>
                <w:highlight w:val="none"/>
              </w:rPr>
              <w:t>置</w:t>
            </w:r>
            <w:r>
              <w:rPr>
                <w:rFonts w:hint="eastAsia" w:ascii="新宋体" w:hAnsi="新宋体" w:eastAsia="新宋体" w:cs="新宋体"/>
                <w:color w:val="auto"/>
                <w:spacing w:val="-2"/>
                <w:kern w:val="0"/>
                <w:position w:val="-2"/>
                <w:sz w:val="24"/>
                <w:szCs w:val="24"/>
                <w:highlight w:val="none"/>
              </w:rPr>
              <w:t>和</w:t>
            </w:r>
            <w:r>
              <w:rPr>
                <w:rFonts w:hint="eastAsia" w:ascii="新宋体" w:hAnsi="新宋体" w:eastAsia="新宋体" w:cs="新宋体"/>
                <w:color w:val="auto"/>
                <w:kern w:val="0"/>
                <w:position w:val="-2"/>
                <w:sz w:val="24"/>
                <w:szCs w:val="24"/>
                <w:highlight w:val="none"/>
              </w:rPr>
              <w:t>岗</w:t>
            </w:r>
            <w:r>
              <w:rPr>
                <w:rFonts w:hint="eastAsia" w:ascii="新宋体" w:hAnsi="新宋体" w:eastAsia="新宋体" w:cs="新宋体"/>
                <w:color w:val="auto"/>
                <w:spacing w:val="-2"/>
                <w:kern w:val="0"/>
                <w:position w:val="-2"/>
                <w:sz w:val="24"/>
                <w:szCs w:val="24"/>
                <w:highlight w:val="none"/>
              </w:rPr>
              <w:t>位</w:t>
            </w:r>
            <w:r>
              <w:rPr>
                <w:rFonts w:hint="eastAsia" w:ascii="新宋体" w:hAnsi="新宋体" w:eastAsia="新宋体" w:cs="新宋体"/>
                <w:color w:val="auto"/>
                <w:kern w:val="0"/>
                <w:position w:val="-2"/>
                <w:sz w:val="24"/>
                <w:szCs w:val="24"/>
                <w:highlight w:val="none"/>
              </w:rPr>
              <w:t>职责</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position w:val="-1"/>
                <w:sz w:val="24"/>
                <w:szCs w:val="24"/>
                <w:highlight w:val="none"/>
              </w:rPr>
              <w:t>勘察</w:t>
            </w:r>
            <w:r>
              <w:rPr>
                <w:rFonts w:hint="eastAsia" w:ascii="新宋体" w:hAnsi="新宋体" w:eastAsia="新宋体" w:cs="新宋体"/>
                <w:color w:val="auto"/>
                <w:spacing w:val="-2"/>
                <w:kern w:val="0"/>
                <w:position w:val="-1"/>
                <w:sz w:val="24"/>
                <w:szCs w:val="24"/>
                <w:highlight w:val="none"/>
              </w:rPr>
              <w:t>说</w:t>
            </w:r>
            <w:r>
              <w:rPr>
                <w:rFonts w:hint="eastAsia" w:ascii="新宋体" w:hAnsi="新宋体" w:eastAsia="新宋体" w:cs="新宋体"/>
                <w:color w:val="auto"/>
                <w:kern w:val="0"/>
                <w:position w:val="-1"/>
                <w:sz w:val="24"/>
                <w:szCs w:val="24"/>
                <w:highlight w:val="none"/>
              </w:rPr>
              <w:t>明</w:t>
            </w:r>
            <w:r>
              <w:rPr>
                <w:rFonts w:hint="eastAsia" w:ascii="新宋体" w:hAnsi="新宋体" w:eastAsia="新宋体" w:cs="新宋体"/>
                <w:color w:val="auto"/>
                <w:spacing w:val="-2"/>
                <w:kern w:val="0"/>
                <w:position w:val="-1"/>
                <w:sz w:val="24"/>
                <w:szCs w:val="24"/>
                <w:highlight w:val="none"/>
              </w:rPr>
              <w:t>和</w:t>
            </w:r>
            <w:r>
              <w:rPr>
                <w:rFonts w:hint="eastAsia" w:ascii="新宋体" w:hAnsi="新宋体" w:eastAsia="新宋体" w:cs="新宋体"/>
                <w:color w:val="auto"/>
                <w:kern w:val="0"/>
                <w:position w:val="-1"/>
                <w:sz w:val="24"/>
                <w:szCs w:val="24"/>
                <w:highlight w:val="none"/>
              </w:rPr>
              <w:t>勘</w:t>
            </w:r>
            <w:r>
              <w:rPr>
                <w:rFonts w:hint="eastAsia" w:ascii="新宋体" w:hAnsi="新宋体" w:eastAsia="新宋体" w:cs="新宋体"/>
                <w:color w:val="auto"/>
                <w:spacing w:val="-3"/>
                <w:kern w:val="0"/>
                <w:position w:val="-1"/>
                <w:sz w:val="24"/>
                <w:szCs w:val="24"/>
                <w:highlight w:val="none"/>
              </w:rPr>
              <w:t>察</w:t>
            </w:r>
            <w:r>
              <w:rPr>
                <w:rFonts w:hint="eastAsia" w:ascii="新宋体" w:hAnsi="新宋体" w:eastAsia="新宋体" w:cs="新宋体"/>
                <w:color w:val="auto"/>
                <w:kern w:val="0"/>
                <w:position w:val="-1"/>
                <w:sz w:val="24"/>
                <w:szCs w:val="24"/>
                <w:highlight w:val="none"/>
              </w:rPr>
              <w:t>方案</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保证勘察质量的技术组织措施</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勘察进度安排</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 xml:space="preserve">文明勘察的技术组织措施 </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position w:val="-1"/>
                <w:sz w:val="24"/>
                <w:szCs w:val="24"/>
              </w:rPr>
              <w:t>勘察</w:t>
            </w:r>
            <w:r>
              <w:rPr>
                <w:rFonts w:hint="eastAsia" w:ascii="新宋体" w:hAnsi="新宋体" w:eastAsia="新宋体" w:cs="新宋体"/>
                <w:color w:val="auto"/>
                <w:spacing w:val="-2"/>
                <w:kern w:val="0"/>
                <w:position w:val="-1"/>
                <w:sz w:val="24"/>
                <w:szCs w:val="24"/>
              </w:rPr>
              <w:t>安</w:t>
            </w:r>
            <w:r>
              <w:rPr>
                <w:rFonts w:hint="eastAsia" w:ascii="新宋体" w:hAnsi="新宋体" w:eastAsia="新宋体" w:cs="新宋体"/>
                <w:color w:val="auto"/>
                <w:kern w:val="0"/>
                <w:position w:val="-1"/>
                <w:sz w:val="24"/>
                <w:szCs w:val="24"/>
              </w:rPr>
              <w:t>全</w:t>
            </w:r>
            <w:r>
              <w:rPr>
                <w:rFonts w:hint="eastAsia" w:ascii="新宋体" w:hAnsi="新宋体" w:eastAsia="新宋体" w:cs="新宋体"/>
                <w:color w:val="auto"/>
                <w:spacing w:val="-2"/>
                <w:kern w:val="0"/>
                <w:position w:val="-1"/>
                <w:sz w:val="24"/>
                <w:szCs w:val="24"/>
              </w:rPr>
              <w:t>保</w:t>
            </w:r>
            <w:r>
              <w:rPr>
                <w:rFonts w:hint="eastAsia" w:ascii="新宋体" w:hAnsi="新宋体" w:eastAsia="新宋体" w:cs="新宋体"/>
                <w:color w:val="auto"/>
                <w:kern w:val="0"/>
                <w:position w:val="-1"/>
                <w:sz w:val="24"/>
                <w:szCs w:val="24"/>
              </w:rPr>
              <w:t>证</w:t>
            </w:r>
            <w:r>
              <w:rPr>
                <w:rFonts w:hint="eastAsia" w:ascii="新宋体" w:hAnsi="新宋体" w:eastAsia="新宋体" w:cs="新宋体"/>
                <w:color w:val="auto"/>
                <w:spacing w:val="-2"/>
                <w:kern w:val="0"/>
                <w:position w:val="-1"/>
                <w:sz w:val="24"/>
                <w:szCs w:val="24"/>
              </w:rPr>
              <w:t>措</w:t>
            </w:r>
            <w:r>
              <w:rPr>
                <w:rFonts w:hint="eastAsia" w:ascii="新宋体" w:hAnsi="新宋体" w:eastAsia="新宋体" w:cs="新宋体"/>
                <w:color w:val="auto"/>
                <w:kern w:val="0"/>
                <w:position w:val="-1"/>
                <w:sz w:val="24"/>
                <w:szCs w:val="24"/>
              </w:rPr>
              <w:t>施</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position w:val="-1"/>
                <w:sz w:val="24"/>
                <w:szCs w:val="24"/>
              </w:rPr>
              <w:t>勘察</w:t>
            </w:r>
            <w:r>
              <w:rPr>
                <w:rFonts w:hint="eastAsia" w:ascii="新宋体" w:hAnsi="新宋体" w:eastAsia="新宋体" w:cs="新宋体"/>
                <w:color w:val="auto"/>
                <w:spacing w:val="-2"/>
                <w:kern w:val="0"/>
                <w:position w:val="-1"/>
                <w:sz w:val="24"/>
                <w:szCs w:val="24"/>
              </w:rPr>
              <w:t>工</w:t>
            </w:r>
            <w:r>
              <w:rPr>
                <w:rFonts w:hint="eastAsia" w:ascii="新宋体" w:hAnsi="新宋体" w:eastAsia="新宋体" w:cs="新宋体"/>
                <w:color w:val="auto"/>
                <w:kern w:val="0"/>
                <w:position w:val="-1"/>
                <w:sz w:val="24"/>
                <w:szCs w:val="24"/>
              </w:rPr>
              <w:t>作</w:t>
            </w:r>
            <w:r>
              <w:rPr>
                <w:rFonts w:hint="eastAsia" w:ascii="新宋体" w:hAnsi="新宋体" w:eastAsia="新宋体" w:cs="新宋体"/>
                <w:color w:val="auto"/>
                <w:spacing w:val="-2"/>
                <w:kern w:val="0"/>
                <w:position w:val="-1"/>
                <w:sz w:val="24"/>
                <w:szCs w:val="24"/>
              </w:rPr>
              <w:t>重</w:t>
            </w:r>
            <w:r>
              <w:rPr>
                <w:rFonts w:hint="eastAsia" w:ascii="新宋体" w:hAnsi="新宋体" w:eastAsia="新宋体" w:cs="新宋体"/>
                <w:color w:val="auto"/>
                <w:kern w:val="0"/>
                <w:position w:val="-1"/>
                <w:sz w:val="24"/>
                <w:szCs w:val="24"/>
              </w:rPr>
              <w:t>点</w:t>
            </w:r>
            <w:r>
              <w:rPr>
                <w:rFonts w:hint="eastAsia" w:ascii="新宋体" w:hAnsi="新宋体" w:eastAsia="新宋体" w:cs="新宋体"/>
                <w:color w:val="auto"/>
                <w:spacing w:val="-2"/>
                <w:kern w:val="0"/>
                <w:position w:val="-1"/>
                <w:sz w:val="24"/>
                <w:szCs w:val="24"/>
              </w:rPr>
              <w:t>、</w:t>
            </w:r>
            <w:r>
              <w:rPr>
                <w:rFonts w:hint="eastAsia" w:ascii="新宋体" w:hAnsi="新宋体" w:eastAsia="新宋体" w:cs="新宋体"/>
                <w:color w:val="auto"/>
                <w:kern w:val="0"/>
                <w:position w:val="-1"/>
                <w:sz w:val="24"/>
                <w:szCs w:val="24"/>
              </w:rPr>
              <w:t>难</w:t>
            </w:r>
            <w:r>
              <w:rPr>
                <w:rFonts w:hint="eastAsia" w:ascii="新宋体" w:hAnsi="新宋体" w:eastAsia="新宋体" w:cs="新宋体"/>
                <w:color w:val="auto"/>
                <w:spacing w:val="-2"/>
                <w:kern w:val="0"/>
                <w:position w:val="-1"/>
                <w:sz w:val="24"/>
                <w:szCs w:val="24"/>
              </w:rPr>
              <w:t>点</w:t>
            </w:r>
            <w:r>
              <w:rPr>
                <w:rFonts w:hint="eastAsia" w:ascii="新宋体" w:hAnsi="新宋体" w:eastAsia="新宋体" w:cs="新宋体"/>
                <w:color w:val="auto"/>
                <w:kern w:val="0"/>
                <w:position w:val="-1"/>
                <w:sz w:val="24"/>
                <w:szCs w:val="24"/>
              </w:rPr>
              <w:t>分析</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567"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position w:val="-1"/>
                <w:sz w:val="24"/>
                <w:szCs w:val="24"/>
              </w:rPr>
              <w:t>合理</w:t>
            </w:r>
            <w:r>
              <w:rPr>
                <w:rFonts w:hint="eastAsia" w:ascii="新宋体" w:hAnsi="新宋体" w:eastAsia="新宋体" w:cs="新宋体"/>
                <w:color w:val="auto"/>
                <w:spacing w:val="-2"/>
                <w:kern w:val="0"/>
                <w:position w:val="-1"/>
                <w:sz w:val="24"/>
                <w:szCs w:val="24"/>
              </w:rPr>
              <w:t>化</w:t>
            </w:r>
            <w:r>
              <w:rPr>
                <w:rFonts w:hint="eastAsia" w:ascii="新宋体" w:hAnsi="新宋体" w:eastAsia="新宋体" w:cs="新宋体"/>
                <w:color w:val="auto"/>
                <w:kern w:val="0"/>
                <w:position w:val="-1"/>
                <w:sz w:val="24"/>
                <w:szCs w:val="24"/>
              </w:rPr>
              <w:t>建议</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lang w:val="en-US" w:eastAsia="zh-CN"/>
              </w:rPr>
              <w:t>1</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分，缺项得0分。</w:t>
            </w:r>
          </w:p>
        </w:tc>
      </w:tr>
      <w:tr>
        <w:tblPrEx>
          <w:tblLayout w:type="fixed"/>
          <w:tblCellMar>
            <w:top w:w="0" w:type="dxa"/>
            <w:left w:w="0" w:type="dxa"/>
            <w:bottom w:w="0" w:type="dxa"/>
            <w:right w:w="0" w:type="dxa"/>
          </w:tblCellMar>
        </w:tblPrEx>
        <w:trPr>
          <w:trHeight w:val="1541" w:hRule="atLeast"/>
          <w:jc w:val="center"/>
        </w:trPr>
        <w:tc>
          <w:tcPr>
            <w:tcW w:w="3144" w:type="dxa"/>
            <w:gridSpan w:val="3"/>
            <w:tcBorders>
              <w:top w:val="single" w:color="auto" w:sz="4" w:space="0"/>
              <w:left w:val="single" w:color="000000" w:sz="4" w:space="0"/>
              <w:bottom w:val="single" w:color="auto" w:sz="4" w:space="0"/>
              <w:right w:val="single" w:color="000000" w:sz="4" w:space="0"/>
            </w:tcBorders>
            <w:noWrap w:val="0"/>
            <w:vAlign w:val="center"/>
          </w:tcPr>
          <w:p>
            <w:pPr>
              <w:autoSpaceDE w:val="0"/>
              <w:autoSpaceDN w:val="0"/>
              <w:adjustRightInd w:val="0"/>
              <w:spacing w:line="400" w:lineRule="exact"/>
              <w:ind w:left="38" w:leftChars="18"/>
              <w:jc w:val="center"/>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eastAsia="zh-CN"/>
              </w:rPr>
              <w:t>售后服务</w:t>
            </w:r>
            <w:r>
              <w:rPr>
                <w:rFonts w:hint="eastAsia" w:ascii="新宋体" w:hAnsi="新宋体" w:eastAsia="新宋体" w:cs="新宋体"/>
                <w:color w:val="auto"/>
                <w:kern w:val="0"/>
                <w:sz w:val="24"/>
                <w:szCs w:val="24"/>
                <w:lang w:val="en-US" w:eastAsia="zh-CN"/>
              </w:rPr>
              <w:t xml:space="preserve"> （10分）</w:t>
            </w:r>
          </w:p>
        </w:tc>
        <w:tc>
          <w:tcPr>
            <w:tcW w:w="5738" w:type="dxa"/>
            <w:tcBorders>
              <w:top w:val="single" w:color="000000" w:sz="4" w:space="0"/>
              <w:left w:val="single" w:color="000000" w:sz="4" w:space="0"/>
              <w:bottom w:val="single" w:color="000000" w:sz="4" w:space="0"/>
              <w:right w:val="single" w:color="000000" w:sz="4" w:space="0"/>
            </w:tcBorders>
            <w:noWrap w:val="0"/>
            <w:vAlign w:val="center"/>
          </w:tcPr>
          <w:p>
            <w:pPr>
              <w:pStyle w:val="68"/>
              <w:spacing w:line="44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（1）施工期间项目负责人随时到现场0-</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分</w:t>
            </w:r>
          </w:p>
          <w:p>
            <w:pPr>
              <w:pStyle w:val="68"/>
              <w:spacing w:line="44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（2）勘察阶段、后续服务期的服务承诺0-</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分</w:t>
            </w:r>
          </w:p>
          <w:p>
            <w:pPr>
              <w:autoSpaceDE w:val="0"/>
              <w:autoSpaceDN w:val="0"/>
              <w:adjustRightInd w:val="0"/>
              <w:spacing w:line="400" w:lineRule="exact"/>
              <w:ind w:left="38" w:leftChars="18"/>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（3）其它实质性优惠服务承诺0-</w:t>
            </w:r>
            <w:r>
              <w:rPr>
                <w:rFonts w:hint="eastAsia" w:ascii="新宋体" w:hAnsi="新宋体" w:eastAsia="新宋体" w:cs="新宋体"/>
                <w:color w:val="auto"/>
                <w:sz w:val="24"/>
                <w:szCs w:val="24"/>
                <w:lang w:val="en-US" w:eastAsia="zh-CN"/>
              </w:rPr>
              <w:t>3</w:t>
            </w:r>
            <w:r>
              <w:rPr>
                <w:rFonts w:hint="eastAsia" w:ascii="新宋体" w:hAnsi="新宋体" w:eastAsia="新宋体" w:cs="新宋体"/>
                <w:color w:val="auto"/>
                <w:sz w:val="24"/>
                <w:szCs w:val="24"/>
              </w:rPr>
              <w:t>分</w:t>
            </w:r>
          </w:p>
        </w:tc>
      </w:tr>
    </w:tbl>
    <w:p>
      <w:pPr>
        <w:widowControl/>
        <w:shd w:val="clear" w:color="auto" w:fill="FFFFFF"/>
        <w:spacing w:line="360" w:lineRule="auto"/>
        <w:ind w:firstLine="2880" w:firstLineChars="12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第二标段</w:t>
      </w:r>
    </w:p>
    <w:tbl>
      <w:tblPr>
        <w:tblStyle w:val="25"/>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(总分100分)</w:t>
            </w:r>
          </w:p>
        </w:tc>
        <w:tc>
          <w:tcPr>
            <w:tcW w:w="7692" w:type="dxa"/>
            <w:gridSpan w:val="2"/>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20</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u w:val="single"/>
                <w:lang w:val="en-US" w:eastAsia="zh-CN"/>
              </w:rPr>
              <w:t>40</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u w:val="single"/>
                <w:lang w:val="en-US" w:eastAsia="zh-CN"/>
              </w:rPr>
              <w:t>40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9133" w:type="dxa"/>
            <w:gridSpan w:val="3"/>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20</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441"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558"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558" w:type="dxa"/>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全部满足技术参数要求的有效投标文件，报价最低的得满分，即评标基准价。</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其他全部满足技术参数要求的有效投标人的报价，按照以下方式计算：</w:t>
            </w:r>
          </w:p>
          <w:p>
            <w:pPr>
              <w:widowControl/>
              <w:spacing w:line="360" w:lineRule="auto"/>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投标报价得分=评标基准价/价格扣除后的投标报价</w:t>
            </w:r>
            <w:r>
              <w:rPr>
                <w:rFonts w:hint="eastAsia" w:ascii="新宋体" w:hAnsi="新宋体" w:eastAsia="新宋体" w:cs="新宋体"/>
                <w:color w:val="000000"/>
                <w:kern w:val="0"/>
                <w:sz w:val="24"/>
                <w:szCs w:val="24"/>
                <w:lang w:val="en-US" w:eastAsia="zh-CN"/>
              </w:rPr>
              <w:t>x20</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133" w:type="dxa"/>
            <w:gridSpan w:val="3"/>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u w:val="single"/>
                <w:lang w:val="en-US" w:eastAsia="zh-CN"/>
              </w:rPr>
              <w:t>40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bCs/>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441"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投标人业绩</w:t>
            </w:r>
          </w:p>
        </w:tc>
        <w:tc>
          <w:tcPr>
            <w:tcW w:w="6558" w:type="dxa"/>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自201</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年以来投标单位承担过的</w:t>
            </w:r>
            <w:r>
              <w:rPr>
                <w:rFonts w:hint="eastAsia" w:ascii="新宋体" w:hAnsi="新宋体" w:eastAsia="新宋体" w:cs="新宋体"/>
                <w:sz w:val="24"/>
                <w:szCs w:val="24"/>
                <w:lang w:val="en-US" w:eastAsia="zh-CN"/>
              </w:rPr>
              <w:t>5000万以上的市政</w:t>
            </w:r>
            <w:r>
              <w:rPr>
                <w:rFonts w:hint="eastAsia" w:ascii="新宋体" w:hAnsi="新宋体" w:eastAsia="新宋体" w:cs="新宋体"/>
                <w:sz w:val="24"/>
                <w:szCs w:val="24"/>
              </w:rPr>
              <w:t>工程</w:t>
            </w:r>
            <w:r>
              <w:rPr>
                <w:rFonts w:hint="eastAsia" w:ascii="新宋体" w:hAnsi="新宋体" w:eastAsia="新宋体" w:cs="新宋体"/>
                <w:sz w:val="24"/>
                <w:szCs w:val="24"/>
                <w:lang w:eastAsia="zh-CN"/>
              </w:rPr>
              <w:t>招标控制价</w:t>
            </w:r>
            <w:r>
              <w:rPr>
                <w:rFonts w:hint="eastAsia" w:ascii="新宋体" w:hAnsi="新宋体" w:eastAsia="新宋体" w:cs="新宋体"/>
                <w:sz w:val="24"/>
                <w:szCs w:val="24"/>
              </w:rPr>
              <w:t>业绩，每一份业绩得4分，最多得20分。</w:t>
            </w:r>
          </w:p>
          <w:p>
            <w:pPr>
              <w:spacing w:line="360" w:lineRule="auto"/>
              <w:rPr>
                <w:rFonts w:hint="eastAsia" w:ascii="新宋体" w:hAnsi="新宋体" w:eastAsia="新宋体" w:cs="新宋体"/>
                <w:b/>
                <w:sz w:val="24"/>
                <w:szCs w:val="24"/>
              </w:rPr>
            </w:pPr>
            <w:r>
              <w:rPr>
                <w:rFonts w:hint="eastAsia" w:ascii="新宋体" w:hAnsi="新宋体" w:eastAsia="新宋体" w:cs="新宋体"/>
                <w:sz w:val="24"/>
                <w:szCs w:val="24"/>
              </w:rPr>
              <w:t>注：需提供合同及成果文件原件扫描件或图片。</w:t>
            </w:r>
          </w:p>
        </w:tc>
        <w:tc>
          <w:tcPr>
            <w:tcW w:w="1134"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造价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专用软件</w:t>
            </w:r>
          </w:p>
        </w:tc>
        <w:tc>
          <w:tcPr>
            <w:tcW w:w="6558" w:type="dxa"/>
            <w:vAlign w:val="center"/>
          </w:tcPr>
          <w:p>
            <w:pPr>
              <w:spacing w:line="360" w:lineRule="auto"/>
              <w:rPr>
                <w:rFonts w:hint="eastAsia" w:ascii="新宋体" w:hAnsi="新宋体" w:eastAsia="新宋体" w:cs="新宋体"/>
                <w:b/>
                <w:bCs/>
                <w:sz w:val="24"/>
                <w:szCs w:val="24"/>
                <w:lang w:val="zh-CN"/>
              </w:rPr>
            </w:pPr>
            <w:r>
              <w:rPr>
                <w:rFonts w:hint="eastAsia" w:ascii="新宋体" w:hAnsi="新宋体" w:eastAsia="新宋体" w:cs="新宋体"/>
                <w:sz w:val="24"/>
                <w:szCs w:val="24"/>
                <w:lang w:val="zh-CN"/>
              </w:rPr>
              <w:t>单位（购买或租赁）造价专用软件（算量、套价）数量为40套(点)的得</w:t>
            </w:r>
            <w:r>
              <w:rPr>
                <w:rFonts w:hint="eastAsia" w:ascii="新宋体" w:hAnsi="新宋体" w:eastAsia="新宋体" w:cs="新宋体"/>
                <w:sz w:val="24"/>
                <w:szCs w:val="24"/>
              </w:rPr>
              <w:t>4</w:t>
            </w:r>
            <w:r>
              <w:rPr>
                <w:rFonts w:hint="eastAsia" w:ascii="新宋体" w:hAnsi="新宋体" w:eastAsia="新宋体" w:cs="新宋体"/>
                <w:sz w:val="24"/>
                <w:szCs w:val="24"/>
                <w:lang w:val="zh-CN"/>
              </w:rPr>
              <w:t>分，在此基础上每再增加一套(点)增加</w:t>
            </w:r>
            <w:r>
              <w:rPr>
                <w:rFonts w:hint="eastAsia" w:ascii="新宋体" w:hAnsi="新宋体" w:eastAsia="新宋体" w:cs="新宋体"/>
                <w:sz w:val="24"/>
                <w:szCs w:val="24"/>
                <w:lang w:val="en-US" w:eastAsia="zh-CN"/>
              </w:rPr>
              <w:t>2.5</w:t>
            </w:r>
            <w:r>
              <w:rPr>
                <w:rFonts w:hint="eastAsia" w:ascii="新宋体" w:hAnsi="新宋体" w:eastAsia="新宋体" w:cs="新宋体"/>
                <w:sz w:val="24"/>
                <w:szCs w:val="24"/>
                <w:lang w:val="zh-CN"/>
              </w:rPr>
              <w:t>分, 最多加</w:t>
            </w: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lang w:val="zh-CN"/>
              </w:rPr>
              <w:t>分。</w:t>
            </w:r>
            <w:r>
              <w:rPr>
                <w:rFonts w:hint="eastAsia" w:ascii="新宋体" w:hAnsi="新宋体" w:eastAsia="新宋体" w:cs="新宋体"/>
                <w:b/>
                <w:bCs/>
                <w:sz w:val="24"/>
                <w:szCs w:val="24"/>
                <w:lang w:val="zh-CN"/>
              </w:rPr>
              <w:t>（</w:t>
            </w:r>
            <w:r>
              <w:rPr>
                <w:rFonts w:hint="eastAsia" w:ascii="新宋体" w:hAnsi="新宋体" w:eastAsia="新宋体" w:cs="新宋体"/>
                <w:b/>
                <w:bCs/>
                <w:sz w:val="24"/>
                <w:szCs w:val="24"/>
              </w:rPr>
              <w:t>电子标书</w:t>
            </w:r>
            <w:r>
              <w:rPr>
                <w:rFonts w:hint="eastAsia" w:ascii="新宋体" w:hAnsi="新宋体" w:eastAsia="新宋体" w:cs="新宋体"/>
                <w:b/>
                <w:bCs/>
                <w:sz w:val="24"/>
                <w:szCs w:val="24"/>
                <w:lang w:val="zh-CN"/>
              </w:rPr>
              <w:t>中为原件</w:t>
            </w:r>
            <w:r>
              <w:rPr>
                <w:rFonts w:hint="eastAsia" w:ascii="新宋体" w:hAnsi="新宋体" w:eastAsia="新宋体" w:cs="新宋体"/>
                <w:b/>
                <w:bCs/>
                <w:sz w:val="24"/>
                <w:szCs w:val="24"/>
              </w:rPr>
              <w:t>扫描件或图片，</w:t>
            </w:r>
            <w:r>
              <w:rPr>
                <w:rFonts w:hint="eastAsia" w:ascii="新宋体" w:hAnsi="新宋体" w:eastAsia="新宋体" w:cs="新宋体"/>
                <w:b/>
                <w:bCs/>
                <w:sz w:val="24"/>
                <w:szCs w:val="24"/>
                <w:lang w:val="zh-CN"/>
              </w:rPr>
              <w:t>如果是租赁，租赁的期限必需覆盖开标当天的日期；不符合上述要求的不得分。）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3"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u w:val="single"/>
                <w:lang w:val="en-US" w:eastAsia="zh-CN"/>
              </w:rPr>
              <w:t>4</w:t>
            </w:r>
            <w:r>
              <w:rPr>
                <w:rFonts w:hint="eastAsia" w:ascii="新宋体" w:hAnsi="新宋体" w:eastAsia="新宋体" w:cs="新宋体"/>
                <w:b/>
                <w:sz w:val="24"/>
                <w:szCs w:val="24"/>
                <w:u w:val="single"/>
              </w:rPr>
              <w:t>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服务方案</w:t>
            </w:r>
          </w:p>
        </w:tc>
        <w:tc>
          <w:tcPr>
            <w:tcW w:w="6558" w:type="dxa"/>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评标委员会根据各投标人服务方案的内容是否详实完整可行，至少应包括：质量控制、保障措施、技术档案管理制度、风险控制制度。</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1、总体服务方案的内容详实完整、实际可行，思路清楚，各服务要求齐全，制定的服务方案能够保证项目的顺利完成</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得5分，仅为简单概括描述的得3分，缺少不得分；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2、质量控制：针对本项目质量要求，制定出实现质量目标的具体保证措施，并根据工作内容、重点和难点，进行分析并制定出相应的处理方法，得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3、保障措施：对造价咨询工作质量保证措施、时间进度管理措施、组织保障措施详细说明的，得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4、技术档案管理制度：有完善档案的收集、整理、保管、利用和鉴定销毁等管理制度，并采取可靠的安全防护技术和措施，保证档案的真实、完整、可用、安全的管理制度，得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5、风险控制制度：对项目风险的识别及应对有详细方案和措施的，切实可行得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6、有后续服务及其它优化服务方案、违约责任、经济赔偿方案的，得</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分，仅为简单概括描述的得</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分，缺少不得分。</w:t>
            </w:r>
          </w:p>
        </w:tc>
        <w:tc>
          <w:tcPr>
            <w:tcW w:w="1134"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售后服务</w:t>
            </w:r>
          </w:p>
          <w:p>
            <w:pPr>
              <w:spacing w:line="400" w:lineRule="exact"/>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10分</w:t>
            </w:r>
            <w:r>
              <w:rPr>
                <w:rFonts w:hint="eastAsia" w:ascii="新宋体" w:hAnsi="新宋体" w:eastAsia="新宋体" w:cs="新宋体"/>
                <w:sz w:val="24"/>
                <w:szCs w:val="24"/>
                <w:lang w:eastAsia="zh-CN"/>
              </w:rPr>
              <w:t>）</w:t>
            </w:r>
          </w:p>
        </w:tc>
        <w:tc>
          <w:tcPr>
            <w:tcW w:w="6558" w:type="dxa"/>
            <w:vAlign w:val="center"/>
          </w:tcPr>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投标人在方案中是否承诺在中标后入库服务期内提供7×24小时技术支持和项目勘验现场服务；是否承诺在合同执行过程中拟投入本项目注册造价工程师、工作人员为常驻人员；等进行打分。</w:t>
            </w:r>
            <w:r>
              <w:rPr>
                <w:rFonts w:hint="eastAsia" w:ascii="新宋体" w:hAnsi="新宋体" w:eastAsia="新宋体" w:cs="新宋体"/>
                <w:sz w:val="24"/>
                <w:szCs w:val="24"/>
                <w:lang w:eastAsia="zh-CN"/>
              </w:rPr>
              <w:t>优</w:t>
            </w:r>
            <w:r>
              <w:rPr>
                <w:rFonts w:hint="eastAsia" w:ascii="新宋体" w:hAnsi="新宋体" w:eastAsia="新宋体" w:cs="新宋体"/>
                <w:sz w:val="24"/>
                <w:szCs w:val="24"/>
                <w:lang w:val="en-US" w:eastAsia="zh-CN"/>
              </w:rPr>
              <w:t>8-10分，良5-7分，一般1-4分。</w:t>
            </w:r>
            <w:r>
              <w:rPr>
                <w:rFonts w:hint="eastAsia" w:ascii="新宋体" w:hAnsi="新宋体" w:eastAsia="新宋体" w:cs="新宋体"/>
                <w:sz w:val="24"/>
                <w:szCs w:val="24"/>
              </w:rPr>
              <w:t>无承诺的不得分。</w:t>
            </w:r>
          </w:p>
          <w:p>
            <w:pPr>
              <w:spacing w:line="360" w:lineRule="auto"/>
              <w:rPr>
                <w:rFonts w:hint="eastAsia" w:ascii="新宋体" w:hAnsi="新宋体" w:eastAsia="新宋体" w:cs="新宋体"/>
                <w:bCs/>
                <w:sz w:val="24"/>
                <w:szCs w:val="24"/>
              </w:rPr>
            </w:pPr>
            <w:r>
              <w:rPr>
                <w:rFonts w:hint="eastAsia" w:ascii="新宋体" w:hAnsi="新宋体" w:eastAsia="新宋体" w:cs="新宋体"/>
                <w:sz w:val="24"/>
                <w:szCs w:val="24"/>
              </w:rPr>
              <w:t>（“响应时间”是指在项目委托人提出服务需求后，投标人从接到服务需求做出响应时至到达现场时的时间）</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rPr>
              <w:t>10分</w:t>
            </w:r>
          </w:p>
        </w:tc>
      </w:tr>
    </w:tbl>
    <w:p>
      <w:pPr>
        <w:widowControl/>
        <w:shd w:val="clear" w:color="auto" w:fill="FFFFFF"/>
        <w:spacing w:line="360" w:lineRule="auto"/>
        <w:ind w:firstLine="2640" w:firstLineChars="1100"/>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第三标段</w:t>
      </w:r>
    </w:p>
    <w:tbl>
      <w:tblPr>
        <w:tblStyle w:val="25"/>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(总分100分)</w:t>
            </w:r>
          </w:p>
        </w:tc>
        <w:tc>
          <w:tcPr>
            <w:tcW w:w="7692" w:type="dxa"/>
            <w:gridSpan w:val="2"/>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30</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lang w:val="en-US" w:eastAsia="zh-CN"/>
              </w:rPr>
              <w:t>40</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u w:val="single"/>
                <w:lang w:val="en-US" w:eastAsia="zh-CN"/>
              </w:rPr>
              <w:t>40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9133" w:type="dxa"/>
            <w:gridSpan w:val="3"/>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30</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441"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558"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558" w:type="dxa"/>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全部满足技术参数要求的有效投标文件，报价最低的得满分，即评标基准价。</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其他全部满足技术参数要求的有效投标人的报价，按照以下方式计算：</w:t>
            </w:r>
          </w:p>
          <w:p>
            <w:pPr>
              <w:widowControl/>
              <w:spacing w:line="360" w:lineRule="auto"/>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投标报价得分=评标基准价/价格扣除后的投标报价</w:t>
            </w:r>
            <w:r>
              <w:rPr>
                <w:rFonts w:hint="eastAsia" w:ascii="新宋体" w:hAnsi="新宋体" w:eastAsia="新宋体" w:cs="新宋体"/>
                <w:color w:val="000000"/>
                <w:kern w:val="0"/>
                <w:sz w:val="24"/>
                <w:szCs w:val="24"/>
                <w:lang w:val="en-US" w:eastAsia="zh-CN"/>
              </w:rPr>
              <w:t>x30</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133" w:type="dxa"/>
            <w:gridSpan w:val="3"/>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u w:val="single"/>
                <w:lang w:val="en-US" w:eastAsia="zh-CN"/>
              </w:rPr>
              <w:t>30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bCs/>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441" w:type="dxa"/>
            <w:vAlign w:val="center"/>
          </w:tcPr>
          <w:p>
            <w:pPr>
              <w:spacing w:line="40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rPr>
              <w:t>投标人业绩</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10分</w:t>
            </w:r>
            <w:r>
              <w:rPr>
                <w:rFonts w:hint="eastAsia" w:ascii="新宋体" w:hAnsi="新宋体" w:eastAsia="新宋体" w:cs="新宋体"/>
                <w:sz w:val="24"/>
                <w:szCs w:val="24"/>
                <w:lang w:eastAsia="zh-CN"/>
              </w:rPr>
              <w:t>）</w:t>
            </w:r>
          </w:p>
        </w:tc>
        <w:tc>
          <w:tcPr>
            <w:tcW w:w="6558" w:type="dxa"/>
            <w:vAlign w:val="center"/>
          </w:tcPr>
          <w:p>
            <w:pPr>
              <w:spacing w:line="360" w:lineRule="auto"/>
              <w:rPr>
                <w:rFonts w:hint="eastAsia" w:ascii="新宋体" w:hAnsi="新宋体" w:eastAsia="新宋体" w:cs="新宋体"/>
                <w:b/>
                <w:sz w:val="24"/>
                <w:szCs w:val="24"/>
              </w:rPr>
            </w:pPr>
            <w:r>
              <w:rPr>
                <w:rFonts w:hint="eastAsia" w:ascii="新宋体" w:hAnsi="新宋体" w:eastAsia="新宋体" w:cs="新宋体"/>
                <w:color w:val="000000"/>
                <w:kern w:val="0"/>
                <w:sz w:val="24"/>
                <w:szCs w:val="24"/>
                <w:highlight w:val="none"/>
              </w:rPr>
              <w:t>供应商自2016年1月以来承担过</w:t>
            </w:r>
            <w:r>
              <w:rPr>
                <w:rFonts w:hint="eastAsia" w:ascii="新宋体" w:hAnsi="新宋体" w:eastAsia="新宋体" w:cs="新宋体"/>
                <w:color w:val="000000"/>
                <w:kern w:val="0"/>
                <w:sz w:val="24"/>
                <w:szCs w:val="24"/>
                <w:highlight w:val="none"/>
                <w:lang w:eastAsia="zh-CN"/>
              </w:rPr>
              <w:t>类似项目业绩每有一项得</w:t>
            </w:r>
            <w:r>
              <w:rPr>
                <w:rFonts w:hint="eastAsia" w:ascii="新宋体" w:hAnsi="新宋体" w:eastAsia="新宋体" w:cs="新宋体"/>
                <w:color w:val="000000"/>
                <w:kern w:val="0"/>
                <w:sz w:val="24"/>
                <w:szCs w:val="24"/>
                <w:highlight w:val="none"/>
                <w:lang w:val="en-US" w:eastAsia="zh-CN"/>
              </w:rPr>
              <w:t>2分，</w:t>
            </w:r>
            <w:r>
              <w:rPr>
                <w:rFonts w:hint="eastAsia" w:ascii="新宋体" w:hAnsi="新宋体" w:eastAsia="新宋体" w:cs="新宋体"/>
                <w:color w:val="000000"/>
                <w:kern w:val="0"/>
                <w:sz w:val="24"/>
                <w:szCs w:val="24"/>
                <w:highlight w:val="none"/>
              </w:rPr>
              <w:t>最多得</w:t>
            </w:r>
            <w:r>
              <w:rPr>
                <w:rFonts w:hint="eastAsia" w:ascii="新宋体" w:hAnsi="新宋体" w:eastAsia="新宋体" w:cs="新宋体"/>
                <w:color w:val="000000"/>
                <w:kern w:val="0"/>
                <w:sz w:val="24"/>
                <w:szCs w:val="24"/>
                <w:highlight w:val="none"/>
                <w:lang w:val="en-US" w:eastAsia="zh-CN"/>
              </w:rPr>
              <w:t>20</w:t>
            </w:r>
            <w:r>
              <w:rPr>
                <w:rFonts w:hint="eastAsia" w:ascii="新宋体" w:hAnsi="新宋体" w:eastAsia="新宋体" w:cs="新宋体"/>
                <w:color w:val="000000"/>
                <w:kern w:val="0"/>
                <w:sz w:val="24"/>
                <w:szCs w:val="24"/>
                <w:highlight w:val="none"/>
              </w:rPr>
              <w:t>分；（须具有合同和中标（成交）通知书（以合同签订时间为准），在响应文件中附扫描件或照片，否则不得分）。</w:t>
            </w:r>
          </w:p>
        </w:tc>
        <w:tc>
          <w:tcPr>
            <w:tcW w:w="1134"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lang w:val="en-US" w:eastAsia="zh-CN"/>
              </w:rPr>
              <w:t>20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jc w:val="center"/>
        </w:trPr>
        <w:tc>
          <w:tcPr>
            <w:tcW w:w="1441" w:type="dxa"/>
            <w:vAlign w:val="center"/>
          </w:tcPr>
          <w:p>
            <w:pPr>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项目负责人业绩（</w:t>
            </w:r>
            <w:r>
              <w:rPr>
                <w:rFonts w:hint="eastAsia" w:ascii="新宋体" w:hAnsi="新宋体" w:eastAsia="新宋体" w:cs="新宋体"/>
                <w:sz w:val="24"/>
                <w:szCs w:val="24"/>
                <w:lang w:val="en-US" w:eastAsia="zh-CN"/>
              </w:rPr>
              <w:t>6分）</w:t>
            </w:r>
          </w:p>
        </w:tc>
        <w:tc>
          <w:tcPr>
            <w:tcW w:w="6558" w:type="dxa"/>
            <w:vAlign w:val="center"/>
          </w:tcPr>
          <w:p>
            <w:pPr>
              <w:spacing w:line="360" w:lineRule="auto"/>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拟派项目负责人自2016年1月以来每担任过</w:t>
            </w:r>
            <w:r>
              <w:rPr>
                <w:rFonts w:hint="eastAsia" w:ascii="新宋体" w:hAnsi="新宋体" w:eastAsia="新宋体" w:cs="新宋体"/>
                <w:color w:val="000000"/>
                <w:kern w:val="0"/>
                <w:sz w:val="24"/>
                <w:szCs w:val="24"/>
                <w:highlight w:val="none"/>
                <w:lang w:eastAsia="zh-CN"/>
              </w:rPr>
              <w:t>类似项目业绩的每一项</w:t>
            </w:r>
            <w:r>
              <w:rPr>
                <w:rFonts w:hint="eastAsia" w:ascii="新宋体" w:hAnsi="新宋体" w:eastAsia="新宋体" w:cs="新宋体"/>
                <w:color w:val="000000"/>
                <w:kern w:val="0"/>
                <w:sz w:val="24"/>
                <w:szCs w:val="24"/>
                <w:highlight w:val="none"/>
              </w:rPr>
              <w:t>得2分，最高得</w:t>
            </w:r>
            <w:r>
              <w:rPr>
                <w:rFonts w:hint="eastAsia" w:ascii="新宋体" w:hAnsi="新宋体" w:eastAsia="新宋体" w:cs="新宋体"/>
                <w:color w:val="000000"/>
                <w:kern w:val="0"/>
                <w:sz w:val="24"/>
                <w:szCs w:val="24"/>
                <w:highlight w:val="none"/>
                <w:lang w:val="en-US" w:eastAsia="zh-CN"/>
              </w:rPr>
              <w:t>10</w:t>
            </w:r>
            <w:r>
              <w:rPr>
                <w:rFonts w:hint="eastAsia" w:ascii="新宋体" w:hAnsi="新宋体" w:eastAsia="新宋体" w:cs="新宋体"/>
                <w:color w:val="000000"/>
                <w:kern w:val="0"/>
                <w:sz w:val="24"/>
                <w:szCs w:val="24"/>
                <w:highlight w:val="none"/>
              </w:rPr>
              <w:t>分；（须具有合同和中标（成交）通知书（以合同签订时间为准），并在响应文件中附扫描件或照片，否则不得分）。</w:t>
            </w:r>
          </w:p>
        </w:tc>
        <w:tc>
          <w:tcPr>
            <w:tcW w:w="1134" w:type="dxa"/>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3"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u w:val="single"/>
                <w:lang w:val="en-US" w:eastAsia="zh-CN"/>
              </w:rPr>
              <w:t>4</w:t>
            </w:r>
            <w:r>
              <w:rPr>
                <w:rFonts w:hint="eastAsia" w:ascii="新宋体" w:hAnsi="新宋体" w:eastAsia="新宋体" w:cs="新宋体"/>
                <w:b/>
                <w:sz w:val="24"/>
                <w:szCs w:val="24"/>
                <w:u w:val="single"/>
              </w:rPr>
              <w:t>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rPr>
            </w:pPr>
            <w:r>
              <w:rPr>
                <w:rFonts w:hint="eastAsia" w:ascii="新宋体" w:hAnsi="新宋体" w:eastAsia="新宋体" w:cs="新宋体"/>
                <w:color w:val="000000"/>
                <w:kern w:val="0"/>
                <w:sz w:val="24"/>
                <w:szCs w:val="24"/>
                <w:highlight w:val="none"/>
              </w:rPr>
              <w:t>对本项目的理解</w:t>
            </w:r>
          </w:p>
        </w:tc>
        <w:tc>
          <w:tcPr>
            <w:tcW w:w="6558" w:type="dxa"/>
            <w:vAlign w:val="top"/>
          </w:tcPr>
          <w:p>
            <w:pPr>
              <w:widowControl/>
              <w:shd w:val="clear" w:color="auto" w:fill="FFFFFF"/>
              <w:adjustRightInd w:val="0"/>
              <w:snapToGrid w:val="0"/>
              <w:rPr>
                <w:rFonts w:hint="eastAsia" w:ascii="新宋体" w:hAnsi="新宋体" w:eastAsia="新宋体" w:cs="新宋体"/>
                <w:sz w:val="24"/>
                <w:szCs w:val="24"/>
              </w:rPr>
            </w:pPr>
            <w:r>
              <w:rPr>
                <w:rFonts w:hint="eastAsia" w:ascii="新宋体" w:hAnsi="新宋体" w:eastAsia="新宋体" w:cs="新宋体"/>
                <w:color w:val="000000"/>
                <w:kern w:val="0"/>
                <w:sz w:val="24"/>
                <w:szCs w:val="24"/>
                <w:highlight w:val="none"/>
              </w:rPr>
              <w:t>对项目的分析、计算特点、关键技术问题认识准确及对应措施</w:t>
            </w:r>
            <w:r>
              <w:rPr>
                <w:rFonts w:hint="eastAsia" w:ascii="新宋体" w:hAnsi="新宋体" w:eastAsia="新宋体" w:cs="新宋体"/>
                <w:color w:val="000000"/>
                <w:kern w:val="0"/>
                <w:sz w:val="24"/>
                <w:szCs w:val="24"/>
                <w:highlight w:val="none"/>
                <w:lang w:eastAsia="zh-CN"/>
              </w:rPr>
              <w:t>，</w:t>
            </w:r>
            <w:r>
              <w:rPr>
                <w:rFonts w:hint="eastAsia" w:ascii="新宋体" w:hAnsi="新宋体" w:eastAsia="新宋体" w:cs="新宋体"/>
                <w:color w:val="000000"/>
                <w:kern w:val="0"/>
                <w:sz w:val="24"/>
                <w:szCs w:val="24"/>
                <w:highlight w:val="none"/>
              </w:rPr>
              <w:t>合理</w:t>
            </w:r>
            <w:r>
              <w:rPr>
                <w:rFonts w:hint="eastAsia" w:ascii="新宋体" w:hAnsi="新宋体" w:eastAsia="新宋体" w:cs="新宋体"/>
                <w:color w:val="000000"/>
                <w:kern w:val="0"/>
                <w:sz w:val="24"/>
                <w:szCs w:val="24"/>
                <w:highlight w:val="none"/>
                <w:lang w:val="en-US" w:eastAsia="zh-CN"/>
              </w:rPr>
              <w:t>10</w:t>
            </w:r>
            <w:r>
              <w:rPr>
                <w:rFonts w:hint="eastAsia" w:ascii="新宋体" w:hAnsi="新宋体" w:eastAsia="新宋体" w:cs="新宋体"/>
                <w:color w:val="000000"/>
                <w:kern w:val="0"/>
                <w:sz w:val="24"/>
                <w:szCs w:val="24"/>
                <w:highlight w:val="none"/>
              </w:rPr>
              <w:t>分，</w:t>
            </w:r>
            <w:r>
              <w:rPr>
                <w:rFonts w:hint="eastAsia" w:ascii="新宋体" w:hAnsi="新宋体" w:eastAsia="新宋体" w:cs="新宋体"/>
                <w:color w:val="000000"/>
                <w:kern w:val="0"/>
                <w:sz w:val="24"/>
                <w:szCs w:val="24"/>
                <w:highlight w:val="none"/>
                <w:lang w:eastAsia="zh-CN"/>
              </w:rPr>
              <w:t>基本</w:t>
            </w:r>
            <w:r>
              <w:rPr>
                <w:rFonts w:hint="eastAsia" w:ascii="新宋体" w:hAnsi="新宋体" w:eastAsia="新宋体" w:cs="新宋体"/>
                <w:color w:val="000000"/>
                <w:kern w:val="0"/>
                <w:sz w:val="24"/>
                <w:szCs w:val="24"/>
                <w:highlight w:val="none"/>
              </w:rPr>
              <w:t>合理得</w:t>
            </w:r>
            <w:r>
              <w:rPr>
                <w:rFonts w:hint="eastAsia" w:ascii="新宋体" w:hAnsi="新宋体" w:eastAsia="新宋体" w:cs="新宋体"/>
                <w:color w:val="000000"/>
                <w:kern w:val="0"/>
                <w:sz w:val="24"/>
                <w:szCs w:val="24"/>
                <w:highlight w:val="none"/>
                <w:lang w:val="en-US" w:eastAsia="zh-CN"/>
              </w:rPr>
              <w:t>6</w:t>
            </w:r>
            <w:r>
              <w:rPr>
                <w:rFonts w:hint="eastAsia" w:ascii="新宋体" w:hAnsi="新宋体" w:eastAsia="新宋体" w:cs="新宋体"/>
                <w:color w:val="000000"/>
                <w:kern w:val="0"/>
                <w:sz w:val="24"/>
                <w:szCs w:val="24"/>
                <w:highlight w:val="none"/>
              </w:rPr>
              <w:t>分，一般得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分，否则不得分。</w:t>
            </w:r>
          </w:p>
        </w:tc>
        <w:tc>
          <w:tcPr>
            <w:tcW w:w="1134" w:type="dxa"/>
            <w:vAlign w:val="center"/>
          </w:tcPr>
          <w:p>
            <w:pPr>
              <w:jc w:val="center"/>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u w:val="singl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工作大纲</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工作大纲符合规范、规程要求、合理</w:t>
            </w:r>
            <w:r>
              <w:rPr>
                <w:rFonts w:hint="eastAsia" w:ascii="新宋体" w:hAnsi="新宋体" w:eastAsia="新宋体" w:cs="新宋体"/>
                <w:color w:val="000000"/>
                <w:kern w:val="0"/>
                <w:sz w:val="24"/>
                <w:szCs w:val="24"/>
                <w:highlight w:val="none"/>
                <w:lang w:val="en-US" w:eastAsia="zh-CN"/>
              </w:rPr>
              <w:t>10</w:t>
            </w:r>
            <w:r>
              <w:rPr>
                <w:rFonts w:hint="eastAsia" w:ascii="新宋体" w:hAnsi="新宋体" w:eastAsia="新宋体" w:cs="新宋体"/>
                <w:color w:val="000000"/>
                <w:kern w:val="0"/>
                <w:sz w:val="24"/>
                <w:szCs w:val="24"/>
                <w:highlight w:val="none"/>
              </w:rPr>
              <w:t>分，</w:t>
            </w:r>
            <w:r>
              <w:rPr>
                <w:rFonts w:hint="eastAsia" w:ascii="新宋体" w:hAnsi="新宋体" w:eastAsia="新宋体" w:cs="新宋体"/>
                <w:color w:val="000000"/>
                <w:kern w:val="0"/>
                <w:sz w:val="24"/>
                <w:szCs w:val="24"/>
                <w:highlight w:val="none"/>
                <w:lang w:eastAsia="zh-CN"/>
              </w:rPr>
              <w:t>基本</w:t>
            </w:r>
            <w:r>
              <w:rPr>
                <w:rFonts w:hint="eastAsia" w:ascii="新宋体" w:hAnsi="新宋体" w:eastAsia="新宋体" w:cs="新宋体"/>
                <w:color w:val="000000"/>
                <w:kern w:val="0"/>
                <w:sz w:val="24"/>
                <w:szCs w:val="24"/>
                <w:highlight w:val="none"/>
              </w:rPr>
              <w:t>合理得</w:t>
            </w:r>
            <w:r>
              <w:rPr>
                <w:rFonts w:hint="eastAsia" w:ascii="新宋体" w:hAnsi="新宋体" w:eastAsia="新宋体" w:cs="新宋体"/>
                <w:color w:val="000000"/>
                <w:kern w:val="0"/>
                <w:sz w:val="24"/>
                <w:szCs w:val="24"/>
                <w:highlight w:val="none"/>
                <w:lang w:val="en-US" w:eastAsia="zh-CN"/>
              </w:rPr>
              <w:t>6</w:t>
            </w:r>
            <w:r>
              <w:rPr>
                <w:rFonts w:hint="eastAsia" w:ascii="新宋体" w:hAnsi="新宋体" w:eastAsia="新宋体" w:cs="新宋体"/>
                <w:color w:val="000000"/>
                <w:kern w:val="0"/>
                <w:sz w:val="24"/>
                <w:szCs w:val="24"/>
                <w:highlight w:val="none"/>
              </w:rPr>
              <w:t>分，一般得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分，否则不得分。</w:t>
            </w:r>
          </w:p>
        </w:tc>
        <w:tc>
          <w:tcPr>
            <w:tcW w:w="1134" w:type="dxa"/>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总体工作思路</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总体工作思路正确、合理得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进度计划及保障措施</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进度计划及保障措施得力合理得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质量保证体系及保证措施</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质量保证体系健全，措施合理得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后续服务的安排及保证措施</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供应商针对本项目所提供的服务承诺，从服务期限、后期服务等方面进行横向比较，综合评定</w:t>
            </w:r>
            <w:r>
              <w:rPr>
                <w:rFonts w:hint="eastAsia" w:ascii="新宋体" w:hAnsi="新宋体" w:eastAsia="新宋体" w:cs="新宋体"/>
                <w:color w:val="000000"/>
                <w:kern w:val="0"/>
                <w:sz w:val="24"/>
                <w:szCs w:val="24"/>
                <w:highlight w:val="none"/>
                <w:lang w:eastAsia="zh-CN"/>
              </w:rPr>
              <w:t>，</w:t>
            </w:r>
            <w:r>
              <w:rPr>
                <w:rFonts w:hint="eastAsia" w:ascii="新宋体" w:hAnsi="新宋体" w:eastAsia="新宋体" w:cs="新宋体"/>
                <w:color w:val="000000"/>
                <w:kern w:val="0"/>
                <w:sz w:val="24"/>
                <w:szCs w:val="24"/>
                <w:highlight w:val="none"/>
              </w:rPr>
              <w:t>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bl>
    <w:p>
      <w:pPr>
        <w:widowControl/>
        <w:shd w:val="clear" w:color="auto" w:fill="FFFFFF"/>
        <w:spacing w:line="360" w:lineRule="auto"/>
        <w:jc w:val="left"/>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第四标段</w:t>
      </w:r>
    </w:p>
    <w:tbl>
      <w:tblPr>
        <w:tblStyle w:val="25"/>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655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分值构成</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(总分100分)</w:t>
            </w:r>
          </w:p>
        </w:tc>
        <w:tc>
          <w:tcPr>
            <w:tcW w:w="7692" w:type="dxa"/>
            <w:gridSpan w:val="2"/>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价格分值：</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u w:val="single"/>
                <w:lang w:val="en-US" w:eastAsia="zh-CN"/>
              </w:rPr>
              <w:t>30</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商务部分：</w:t>
            </w:r>
            <w:r>
              <w:rPr>
                <w:rFonts w:hint="eastAsia" w:ascii="新宋体" w:hAnsi="新宋体" w:eastAsia="新宋体" w:cs="新宋体"/>
                <w:sz w:val="24"/>
                <w:szCs w:val="24"/>
                <w:lang w:val="en-US" w:eastAsia="zh-CN"/>
              </w:rPr>
              <w:t>40</w:t>
            </w:r>
            <w:r>
              <w:rPr>
                <w:rFonts w:hint="eastAsia" w:ascii="新宋体" w:hAnsi="新宋体" w:eastAsia="新宋体" w:cs="新宋体"/>
                <w:sz w:val="24"/>
                <w:szCs w:val="24"/>
              </w:rPr>
              <w:t>分</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技术部分：</w:t>
            </w:r>
            <w:r>
              <w:rPr>
                <w:rFonts w:hint="eastAsia" w:ascii="新宋体" w:hAnsi="新宋体" w:eastAsia="新宋体" w:cs="新宋体"/>
                <w:sz w:val="24"/>
                <w:szCs w:val="24"/>
                <w:u w:val="single"/>
                <w:lang w:val="en-US" w:eastAsia="zh-CN"/>
              </w:rPr>
              <w:t>40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9133" w:type="dxa"/>
            <w:gridSpan w:val="3"/>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价格部分（满分</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u w:val="single"/>
                <w:lang w:val="en-US" w:eastAsia="zh-CN"/>
              </w:rPr>
              <w:t>30</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441"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评分因素</w:t>
            </w:r>
          </w:p>
        </w:tc>
        <w:tc>
          <w:tcPr>
            <w:tcW w:w="6558"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w:t>
            </w:r>
            <w:r>
              <w:rPr>
                <w:rFonts w:hint="eastAsia" w:ascii="新宋体" w:hAnsi="新宋体" w:eastAsia="新宋体" w:cs="新宋体"/>
                <w:sz w:val="24"/>
                <w:szCs w:val="24"/>
              </w:rPr>
              <w:t>投标报价</w:t>
            </w:r>
          </w:p>
          <w:p>
            <w:pPr>
              <w:spacing w:line="360" w:lineRule="auto"/>
              <w:jc w:val="center"/>
              <w:rPr>
                <w:rFonts w:hint="eastAsia" w:ascii="新宋体" w:hAnsi="新宋体" w:eastAsia="新宋体" w:cs="新宋体"/>
                <w:sz w:val="24"/>
                <w:szCs w:val="24"/>
              </w:rPr>
            </w:pPr>
            <w:r>
              <w:rPr>
                <w:rFonts w:hint="eastAsia" w:ascii="新宋体" w:hAnsi="新宋体" w:eastAsia="新宋体" w:cs="新宋体"/>
                <w:sz w:val="24"/>
                <w:szCs w:val="24"/>
              </w:rPr>
              <w:t>评分标准</w:t>
            </w:r>
          </w:p>
        </w:tc>
        <w:tc>
          <w:tcPr>
            <w:tcW w:w="6558" w:type="dxa"/>
            <w:vAlign w:val="center"/>
          </w:tcPr>
          <w:p>
            <w:pPr>
              <w:widowControl/>
              <w:shd w:val="clear" w:color="auto" w:fill="FFFFFF"/>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全部满足技术参数要求的有效投标文件，报价最低的得满分，即评标基准价。</w:t>
            </w:r>
          </w:p>
          <w:p>
            <w:pPr>
              <w:widowControl/>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其他全部满足技术参数要求的有效投标人的报价，按照以下方式计算：</w:t>
            </w:r>
          </w:p>
          <w:p>
            <w:pPr>
              <w:widowControl/>
              <w:spacing w:line="360" w:lineRule="auto"/>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投标报价得分=评标基准价/价格扣除后的投标报价</w:t>
            </w:r>
            <w:r>
              <w:rPr>
                <w:rFonts w:hint="eastAsia" w:ascii="新宋体" w:hAnsi="新宋体" w:eastAsia="新宋体" w:cs="新宋体"/>
                <w:color w:val="000000"/>
                <w:kern w:val="0"/>
                <w:sz w:val="24"/>
                <w:szCs w:val="24"/>
                <w:lang w:val="en-US" w:eastAsia="zh-CN"/>
              </w:rPr>
              <w:t>x30</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133" w:type="dxa"/>
            <w:gridSpan w:val="3"/>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商务部分（满分</w:t>
            </w:r>
            <w:r>
              <w:rPr>
                <w:rFonts w:hint="eastAsia" w:ascii="新宋体" w:hAnsi="新宋体" w:eastAsia="新宋体" w:cs="新宋体"/>
                <w:b/>
                <w:sz w:val="24"/>
                <w:szCs w:val="24"/>
                <w:u w:val="single"/>
                <w:lang w:val="en-US" w:eastAsia="zh-CN"/>
              </w:rPr>
              <w:t>30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441"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bCs/>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441" w:type="dxa"/>
            <w:vAlign w:val="center"/>
          </w:tcPr>
          <w:p>
            <w:pPr>
              <w:spacing w:line="400" w:lineRule="exact"/>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rPr>
              <w:t>投标人业绩</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10分</w:t>
            </w:r>
            <w:r>
              <w:rPr>
                <w:rFonts w:hint="eastAsia" w:ascii="新宋体" w:hAnsi="新宋体" w:eastAsia="新宋体" w:cs="新宋体"/>
                <w:sz w:val="24"/>
                <w:szCs w:val="24"/>
                <w:lang w:eastAsia="zh-CN"/>
              </w:rPr>
              <w:t>）</w:t>
            </w:r>
          </w:p>
        </w:tc>
        <w:tc>
          <w:tcPr>
            <w:tcW w:w="6558" w:type="dxa"/>
            <w:vAlign w:val="center"/>
          </w:tcPr>
          <w:p>
            <w:pPr>
              <w:spacing w:line="360" w:lineRule="auto"/>
              <w:rPr>
                <w:rFonts w:hint="eastAsia" w:ascii="新宋体" w:hAnsi="新宋体" w:eastAsia="新宋体" w:cs="新宋体"/>
                <w:b/>
                <w:sz w:val="24"/>
                <w:szCs w:val="24"/>
              </w:rPr>
            </w:pPr>
            <w:r>
              <w:rPr>
                <w:rFonts w:hint="eastAsia" w:ascii="新宋体" w:hAnsi="新宋体" w:eastAsia="新宋体" w:cs="新宋体"/>
                <w:color w:val="000000"/>
                <w:kern w:val="0"/>
                <w:sz w:val="24"/>
                <w:szCs w:val="24"/>
                <w:highlight w:val="none"/>
              </w:rPr>
              <w:t>供应商自2016年1月以来承担过河道治理设计或防洪评价业绩的每项得2分，最多得10分；（须具有合同和中标（成交）通知书（以合同签订时间为准），在响应文件中附扫描件或照片，否则不得分）。</w:t>
            </w:r>
          </w:p>
        </w:tc>
        <w:tc>
          <w:tcPr>
            <w:tcW w:w="1134" w:type="dxa"/>
            <w:vAlign w:val="center"/>
          </w:tcPr>
          <w:p>
            <w:pPr>
              <w:jc w:val="center"/>
              <w:rPr>
                <w:rFonts w:hint="eastAsia" w:ascii="新宋体" w:hAnsi="新宋体" w:eastAsia="新宋体" w:cs="新宋体"/>
                <w:sz w:val="24"/>
                <w:szCs w:val="24"/>
                <w:u w:val="single"/>
              </w:rPr>
            </w:pPr>
            <w:r>
              <w:rPr>
                <w:rFonts w:hint="eastAsia" w:ascii="新宋体" w:hAnsi="新宋体" w:eastAsia="新宋体" w:cs="新宋体"/>
                <w:sz w:val="24"/>
                <w:szCs w:val="24"/>
                <w:lang w:val="en-US" w:eastAsia="zh-CN"/>
              </w:rPr>
              <w:t>10</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jc w:val="center"/>
        </w:trPr>
        <w:tc>
          <w:tcPr>
            <w:tcW w:w="1441" w:type="dxa"/>
            <w:vAlign w:val="center"/>
          </w:tcPr>
          <w:p>
            <w:pPr>
              <w:spacing w:line="360" w:lineRule="auto"/>
              <w:jc w:val="center"/>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项目负责人业绩（</w:t>
            </w:r>
            <w:r>
              <w:rPr>
                <w:rFonts w:hint="eastAsia" w:ascii="新宋体" w:hAnsi="新宋体" w:eastAsia="新宋体" w:cs="新宋体"/>
                <w:sz w:val="24"/>
                <w:szCs w:val="24"/>
                <w:lang w:val="en-US" w:eastAsia="zh-CN"/>
              </w:rPr>
              <w:t>6分）</w:t>
            </w:r>
          </w:p>
        </w:tc>
        <w:tc>
          <w:tcPr>
            <w:tcW w:w="6558" w:type="dxa"/>
            <w:vAlign w:val="center"/>
          </w:tcPr>
          <w:p>
            <w:pPr>
              <w:spacing w:line="360" w:lineRule="auto"/>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拟派项目负责人自2016年1月以来每担任过</w:t>
            </w:r>
            <w:r>
              <w:rPr>
                <w:rFonts w:hint="eastAsia" w:ascii="新宋体" w:hAnsi="新宋体" w:eastAsia="新宋体" w:cs="新宋体"/>
                <w:color w:val="000000"/>
                <w:kern w:val="0"/>
                <w:sz w:val="24"/>
                <w:szCs w:val="24"/>
                <w:highlight w:val="none"/>
                <w:lang w:eastAsia="zh-CN"/>
              </w:rPr>
              <w:t>类似项目业绩的每一项</w:t>
            </w:r>
            <w:r>
              <w:rPr>
                <w:rFonts w:hint="eastAsia" w:ascii="新宋体" w:hAnsi="新宋体" w:eastAsia="新宋体" w:cs="新宋体"/>
                <w:color w:val="000000"/>
                <w:kern w:val="0"/>
                <w:sz w:val="24"/>
                <w:szCs w:val="24"/>
                <w:highlight w:val="none"/>
              </w:rPr>
              <w:t>得2分，最高得6分；（须具有合同和中标（成交）通知书（以合同签订时间为准），并在响应文件中附扫描件或照片，否则不得分）。</w:t>
            </w:r>
          </w:p>
        </w:tc>
        <w:tc>
          <w:tcPr>
            <w:tcW w:w="1134" w:type="dxa"/>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441" w:type="dxa"/>
            <w:vAlign w:val="center"/>
          </w:tcPr>
          <w:p>
            <w:pPr>
              <w:spacing w:line="360" w:lineRule="auto"/>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企业实力（14）</w:t>
            </w:r>
          </w:p>
        </w:tc>
        <w:tc>
          <w:tcPr>
            <w:tcW w:w="6558" w:type="dxa"/>
            <w:vAlign w:val="center"/>
          </w:tcPr>
          <w:p>
            <w:pPr>
              <w:widowControl/>
              <w:numPr>
                <w:ilvl w:val="0"/>
                <w:numId w:val="13"/>
              </w:numPr>
              <w:shd w:val="clear" w:color="auto" w:fill="FFFFFF"/>
              <w:adjustRightInd w:val="0"/>
              <w:snapToGrid w:val="0"/>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自2016年1月</w:t>
            </w:r>
            <w:r>
              <w:rPr>
                <w:rFonts w:hint="eastAsia" w:ascii="新宋体" w:hAnsi="新宋体" w:eastAsia="新宋体" w:cs="新宋体"/>
                <w:color w:val="000000"/>
                <w:kern w:val="0"/>
                <w:sz w:val="24"/>
                <w:szCs w:val="24"/>
                <w:highlight w:val="none"/>
                <w:lang w:val="en-US" w:eastAsia="zh-CN"/>
              </w:rPr>
              <w:t>1日</w:t>
            </w:r>
            <w:r>
              <w:rPr>
                <w:rFonts w:hint="eastAsia" w:ascii="新宋体" w:hAnsi="新宋体" w:eastAsia="新宋体" w:cs="新宋体"/>
                <w:color w:val="000000"/>
                <w:kern w:val="0"/>
                <w:sz w:val="24"/>
                <w:szCs w:val="24"/>
                <w:highlight w:val="none"/>
              </w:rPr>
              <w:t>以来</w:t>
            </w:r>
            <w:r>
              <w:rPr>
                <w:rFonts w:hint="eastAsia" w:ascii="新宋体" w:hAnsi="新宋体" w:eastAsia="新宋体" w:cs="新宋体"/>
                <w:color w:val="000000"/>
                <w:kern w:val="0"/>
                <w:sz w:val="24"/>
                <w:szCs w:val="24"/>
                <w:highlight w:val="none"/>
                <w:lang w:eastAsia="zh-CN"/>
              </w:rPr>
              <w:t>投标人</w:t>
            </w:r>
            <w:r>
              <w:rPr>
                <w:rFonts w:hint="eastAsia" w:ascii="新宋体" w:hAnsi="新宋体" w:eastAsia="新宋体" w:cs="新宋体"/>
                <w:color w:val="000000"/>
                <w:kern w:val="0"/>
                <w:sz w:val="24"/>
                <w:szCs w:val="24"/>
                <w:highlight w:val="none"/>
              </w:rPr>
              <w:t>获得全国优秀水利水电工程勘测设计金质奖，每提供一项得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分；银质奖每提供一项得2分；铜质奖每提供一项得1分；最多得</w:t>
            </w:r>
            <w:r>
              <w:rPr>
                <w:rFonts w:hint="eastAsia" w:ascii="新宋体" w:hAnsi="新宋体" w:eastAsia="新宋体" w:cs="新宋体"/>
                <w:color w:val="000000"/>
                <w:kern w:val="0"/>
                <w:sz w:val="24"/>
                <w:szCs w:val="24"/>
                <w:highlight w:val="none"/>
                <w:lang w:val="en-US" w:eastAsia="zh-CN"/>
              </w:rPr>
              <w:t>6</w:t>
            </w:r>
            <w:r>
              <w:rPr>
                <w:rFonts w:hint="eastAsia" w:ascii="新宋体" w:hAnsi="新宋体" w:eastAsia="新宋体" w:cs="新宋体"/>
                <w:color w:val="000000"/>
                <w:kern w:val="0"/>
                <w:sz w:val="24"/>
                <w:szCs w:val="24"/>
                <w:highlight w:val="none"/>
              </w:rPr>
              <w:t>分；</w:t>
            </w:r>
          </w:p>
          <w:p>
            <w:pPr>
              <w:widowControl/>
              <w:numPr>
                <w:ilvl w:val="0"/>
                <w:numId w:val="0"/>
              </w:numPr>
              <w:shd w:val="clear" w:color="auto" w:fill="FFFFFF"/>
              <w:adjustRightInd w:val="0"/>
              <w:snapToGrid w:val="0"/>
              <w:rPr>
                <w:rFonts w:hint="eastAsia" w:ascii="新宋体" w:hAnsi="新宋体" w:eastAsia="新宋体" w:cs="新宋体"/>
                <w:color w:val="000000"/>
                <w:kern w:val="0"/>
                <w:sz w:val="24"/>
                <w:szCs w:val="24"/>
                <w:highlight w:val="none"/>
              </w:rPr>
            </w:pPr>
            <w:r>
              <w:rPr>
                <w:rFonts w:hint="eastAsia" w:ascii="新宋体" w:hAnsi="新宋体" w:eastAsia="新宋体" w:cs="新宋体"/>
                <w:color w:val="000000"/>
                <w:kern w:val="0"/>
                <w:sz w:val="24"/>
                <w:szCs w:val="24"/>
                <w:highlight w:val="none"/>
              </w:rPr>
              <w:t>2、</w:t>
            </w:r>
            <w:r>
              <w:rPr>
                <w:rFonts w:hint="eastAsia" w:ascii="新宋体" w:hAnsi="新宋体" w:eastAsia="新宋体" w:cs="新宋体"/>
                <w:color w:val="000000"/>
                <w:kern w:val="0"/>
                <w:sz w:val="24"/>
                <w:szCs w:val="24"/>
                <w:highlight w:val="none"/>
                <w:lang w:eastAsia="zh-CN"/>
              </w:rPr>
              <w:t>投标人</w:t>
            </w:r>
            <w:r>
              <w:rPr>
                <w:rFonts w:hint="eastAsia" w:ascii="新宋体" w:hAnsi="新宋体" w:eastAsia="新宋体" w:cs="新宋体"/>
                <w:color w:val="000000"/>
                <w:kern w:val="0"/>
                <w:sz w:val="24"/>
                <w:szCs w:val="24"/>
                <w:highlight w:val="none"/>
              </w:rPr>
              <w:t>获得省、部级</w:t>
            </w:r>
            <w:r>
              <w:rPr>
                <w:rFonts w:hint="eastAsia" w:ascii="新宋体" w:hAnsi="新宋体" w:eastAsia="新宋体" w:cs="新宋体"/>
                <w:color w:val="000000"/>
                <w:kern w:val="0"/>
                <w:sz w:val="24"/>
                <w:szCs w:val="24"/>
                <w:highlight w:val="none"/>
                <w:lang w:eastAsia="zh-CN"/>
              </w:rPr>
              <w:t>及以上</w:t>
            </w:r>
            <w:r>
              <w:rPr>
                <w:rFonts w:hint="eastAsia" w:ascii="新宋体" w:hAnsi="新宋体" w:eastAsia="新宋体" w:cs="新宋体"/>
                <w:color w:val="000000"/>
                <w:kern w:val="0"/>
                <w:sz w:val="24"/>
                <w:szCs w:val="24"/>
                <w:highlight w:val="none"/>
              </w:rPr>
              <w:t>优秀工程勘察设计一等奖，每提供一项得1分；最多得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w:t>
            </w:r>
            <w:r>
              <w:rPr>
                <w:rFonts w:hint="eastAsia" w:ascii="新宋体" w:hAnsi="新宋体" w:eastAsia="新宋体" w:cs="新宋体"/>
                <w:color w:val="000000"/>
                <w:kern w:val="0"/>
                <w:sz w:val="24"/>
                <w:szCs w:val="24"/>
                <w:highlight w:val="none"/>
                <w:lang w:eastAsia="zh-CN"/>
              </w:rPr>
              <w:t>；</w:t>
            </w:r>
            <w:r>
              <w:rPr>
                <w:rFonts w:hint="eastAsia" w:ascii="新宋体" w:hAnsi="新宋体" w:eastAsia="新宋体" w:cs="新宋体"/>
                <w:color w:val="000000"/>
                <w:kern w:val="0"/>
                <w:sz w:val="24"/>
                <w:szCs w:val="24"/>
                <w:highlight w:val="none"/>
              </w:rPr>
              <w:t>（须提供有效的证书，在响应文件中附扫描件或照片，否则不得分）。</w:t>
            </w:r>
          </w:p>
          <w:p>
            <w:pPr>
              <w:spacing w:line="360" w:lineRule="auto"/>
              <w:rPr>
                <w:rFonts w:hint="eastAsia" w:ascii="新宋体" w:hAnsi="新宋体" w:eastAsia="新宋体" w:cs="新宋体"/>
                <w:b/>
                <w:bCs/>
                <w:sz w:val="24"/>
                <w:szCs w:val="24"/>
                <w:lang w:val="zh-CN"/>
              </w:rPr>
            </w:pPr>
            <w:r>
              <w:rPr>
                <w:rFonts w:hint="eastAsia" w:ascii="新宋体" w:hAnsi="新宋体" w:eastAsia="新宋体" w:cs="新宋体"/>
                <w:color w:val="000000"/>
                <w:kern w:val="0"/>
                <w:sz w:val="24"/>
                <w:szCs w:val="24"/>
                <w:highlight w:val="none"/>
              </w:rPr>
              <w:t>3、</w:t>
            </w:r>
            <w:r>
              <w:rPr>
                <w:rFonts w:hint="eastAsia" w:ascii="新宋体" w:hAnsi="新宋体" w:eastAsia="新宋体" w:cs="新宋体"/>
                <w:color w:val="000000"/>
                <w:kern w:val="0"/>
                <w:sz w:val="24"/>
                <w:szCs w:val="24"/>
                <w:highlight w:val="none"/>
                <w:lang w:eastAsia="zh-CN"/>
              </w:rPr>
              <w:t>投标人</w:t>
            </w:r>
            <w:r>
              <w:rPr>
                <w:rFonts w:hint="eastAsia" w:ascii="新宋体" w:hAnsi="新宋体" w:eastAsia="新宋体" w:cs="新宋体"/>
                <w:color w:val="000000"/>
                <w:kern w:val="0"/>
                <w:sz w:val="24"/>
                <w:szCs w:val="24"/>
                <w:highlight w:val="none"/>
              </w:rPr>
              <w:t>获得的信用等级证书为AAA级得3分，AA级得2分，否则不得分。（具有有效的证书，在响应文件中附扫描件或照片，否则不得分）。</w:t>
            </w:r>
          </w:p>
        </w:tc>
        <w:tc>
          <w:tcPr>
            <w:tcW w:w="1134" w:type="dxa"/>
            <w:vAlign w:val="center"/>
          </w:tcPr>
          <w:p>
            <w:pPr>
              <w:jc w:val="center"/>
              <w:rPr>
                <w:rFonts w:hint="eastAsia"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33" w:type="dxa"/>
            <w:gridSpan w:val="3"/>
            <w:vAlign w:val="center"/>
          </w:tcPr>
          <w:p>
            <w:pPr>
              <w:jc w:val="center"/>
              <w:rPr>
                <w:rFonts w:hint="eastAsia" w:ascii="新宋体" w:hAnsi="新宋体" w:eastAsia="新宋体" w:cs="新宋体"/>
                <w:b/>
                <w:sz w:val="24"/>
                <w:szCs w:val="24"/>
              </w:rPr>
            </w:pPr>
            <w:r>
              <w:rPr>
                <w:rFonts w:hint="eastAsia" w:ascii="新宋体" w:hAnsi="新宋体" w:eastAsia="新宋体" w:cs="新宋体"/>
                <w:b/>
                <w:sz w:val="24"/>
                <w:szCs w:val="24"/>
              </w:rPr>
              <w:t>技术部分（满分</w:t>
            </w:r>
            <w:r>
              <w:rPr>
                <w:rFonts w:hint="eastAsia" w:ascii="新宋体" w:hAnsi="新宋体" w:eastAsia="新宋体" w:cs="新宋体"/>
                <w:b/>
                <w:sz w:val="24"/>
                <w:szCs w:val="24"/>
                <w:u w:val="single"/>
                <w:lang w:val="en-US" w:eastAsia="zh-CN"/>
              </w:rPr>
              <w:t>4</w:t>
            </w:r>
            <w:r>
              <w:rPr>
                <w:rFonts w:hint="eastAsia" w:ascii="新宋体" w:hAnsi="新宋体" w:eastAsia="新宋体" w:cs="新宋体"/>
                <w:b/>
                <w:sz w:val="24"/>
                <w:szCs w:val="24"/>
                <w:u w:val="single"/>
              </w:rPr>
              <w:t>0</w:t>
            </w:r>
            <w:r>
              <w:rPr>
                <w:rFonts w:hint="eastAsia" w:ascii="新宋体" w:hAnsi="新宋体" w:eastAsia="新宋体" w:cs="新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spacing w:line="400" w:lineRule="exact"/>
              <w:jc w:val="center"/>
              <w:rPr>
                <w:rFonts w:hint="eastAsia" w:ascii="新宋体" w:hAnsi="新宋体" w:eastAsia="新宋体" w:cs="新宋体"/>
                <w:sz w:val="24"/>
                <w:szCs w:val="24"/>
              </w:rPr>
            </w:pPr>
            <w:r>
              <w:rPr>
                <w:rFonts w:hint="eastAsia" w:ascii="新宋体" w:hAnsi="新宋体" w:eastAsia="新宋体" w:cs="新宋体"/>
                <w:b/>
                <w:sz w:val="24"/>
                <w:szCs w:val="24"/>
              </w:rPr>
              <w:t>评分因素</w:t>
            </w:r>
          </w:p>
        </w:tc>
        <w:tc>
          <w:tcPr>
            <w:tcW w:w="6558" w:type="dxa"/>
            <w:vAlign w:val="center"/>
          </w:tcPr>
          <w:p>
            <w:pPr>
              <w:spacing w:line="360" w:lineRule="auto"/>
              <w:jc w:val="center"/>
              <w:rPr>
                <w:rFonts w:hint="eastAsia" w:ascii="新宋体" w:hAnsi="新宋体" w:eastAsia="新宋体" w:cs="新宋体"/>
                <w:sz w:val="24"/>
                <w:szCs w:val="24"/>
              </w:rPr>
            </w:pPr>
            <w:r>
              <w:rPr>
                <w:rFonts w:hint="eastAsia" w:ascii="新宋体" w:hAnsi="新宋体" w:eastAsia="新宋体" w:cs="新宋体"/>
                <w:b/>
                <w:sz w:val="24"/>
                <w:szCs w:val="24"/>
              </w:rPr>
              <w:t>评标标准</w:t>
            </w:r>
          </w:p>
        </w:tc>
        <w:tc>
          <w:tcPr>
            <w:tcW w:w="1134" w:type="dxa"/>
            <w:vAlign w:val="center"/>
          </w:tcPr>
          <w:p>
            <w:pPr>
              <w:jc w:val="center"/>
              <w:rPr>
                <w:rFonts w:hint="eastAsia" w:ascii="新宋体" w:hAnsi="新宋体" w:eastAsia="新宋体" w:cs="新宋体"/>
                <w:sz w:val="24"/>
                <w:szCs w:val="24"/>
              </w:rPr>
            </w:pPr>
            <w:r>
              <w:rPr>
                <w:rFonts w:hint="eastAsia" w:ascii="新宋体" w:hAnsi="新宋体" w:eastAsia="新宋体" w:cs="新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rPr>
            </w:pPr>
            <w:r>
              <w:rPr>
                <w:rFonts w:hint="eastAsia" w:ascii="新宋体" w:hAnsi="新宋体" w:eastAsia="新宋体" w:cs="新宋体"/>
                <w:color w:val="000000"/>
                <w:kern w:val="0"/>
                <w:sz w:val="24"/>
                <w:szCs w:val="24"/>
                <w:highlight w:val="none"/>
              </w:rPr>
              <w:t>对本项目的理解</w:t>
            </w:r>
          </w:p>
        </w:tc>
        <w:tc>
          <w:tcPr>
            <w:tcW w:w="6558" w:type="dxa"/>
            <w:vAlign w:val="top"/>
          </w:tcPr>
          <w:p>
            <w:pPr>
              <w:widowControl/>
              <w:shd w:val="clear" w:color="auto" w:fill="FFFFFF"/>
              <w:adjustRightInd w:val="0"/>
              <w:snapToGrid w:val="0"/>
              <w:rPr>
                <w:rFonts w:hint="eastAsia" w:ascii="新宋体" w:hAnsi="新宋体" w:eastAsia="新宋体" w:cs="新宋体"/>
                <w:sz w:val="24"/>
                <w:szCs w:val="24"/>
              </w:rPr>
            </w:pPr>
            <w:r>
              <w:rPr>
                <w:rFonts w:hint="eastAsia" w:ascii="新宋体" w:hAnsi="新宋体" w:eastAsia="新宋体" w:cs="新宋体"/>
                <w:color w:val="000000"/>
                <w:kern w:val="0"/>
                <w:sz w:val="24"/>
                <w:szCs w:val="24"/>
                <w:highlight w:val="none"/>
              </w:rPr>
              <w:t>对项目的分析、计算特点、关键技术问题认识准确及对应措施</w:t>
            </w:r>
            <w:r>
              <w:rPr>
                <w:rFonts w:hint="eastAsia" w:ascii="新宋体" w:hAnsi="新宋体" w:eastAsia="新宋体" w:cs="新宋体"/>
                <w:color w:val="000000"/>
                <w:kern w:val="0"/>
                <w:sz w:val="24"/>
                <w:szCs w:val="24"/>
                <w:highlight w:val="none"/>
                <w:lang w:eastAsia="zh-CN"/>
              </w:rPr>
              <w:t>，</w:t>
            </w:r>
            <w:r>
              <w:rPr>
                <w:rFonts w:hint="eastAsia" w:ascii="新宋体" w:hAnsi="新宋体" w:eastAsia="新宋体" w:cs="新宋体"/>
                <w:color w:val="000000"/>
                <w:kern w:val="0"/>
                <w:sz w:val="24"/>
                <w:szCs w:val="24"/>
                <w:highlight w:val="none"/>
              </w:rPr>
              <w:t>合理</w:t>
            </w:r>
            <w:r>
              <w:rPr>
                <w:rFonts w:hint="eastAsia" w:ascii="新宋体" w:hAnsi="新宋体" w:eastAsia="新宋体" w:cs="新宋体"/>
                <w:color w:val="000000"/>
                <w:kern w:val="0"/>
                <w:sz w:val="24"/>
                <w:szCs w:val="24"/>
                <w:highlight w:val="none"/>
                <w:lang w:val="en-US" w:eastAsia="zh-CN"/>
              </w:rPr>
              <w:t>10</w:t>
            </w:r>
            <w:r>
              <w:rPr>
                <w:rFonts w:hint="eastAsia" w:ascii="新宋体" w:hAnsi="新宋体" w:eastAsia="新宋体" w:cs="新宋体"/>
                <w:color w:val="000000"/>
                <w:kern w:val="0"/>
                <w:sz w:val="24"/>
                <w:szCs w:val="24"/>
                <w:highlight w:val="none"/>
              </w:rPr>
              <w:t>分，</w:t>
            </w:r>
            <w:r>
              <w:rPr>
                <w:rFonts w:hint="eastAsia" w:ascii="新宋体" w:hAnsi="新宋体" w:eastAsia="新宋体" w:cs="新宋体"/>
                <w:color w:val="000000"/>
                <w:kern w:val="0"/>
                <w:sz w:val="24"/>
                <w:szCs w:val="24"/>
                <w:highlight w:val="none"/>
                <w:lang w:eastAsia="zh-CN"/>
              </w:rPr>
              <w:t>基本</w:t>
            </w:r>
            <w:r>
              <w:rPr>
                <w:rFonts w:hint="eastAsia" w:ascii="新宋体" w:hAnsi="新宋体" w:eastAsia="新宋体" w:cs="新宋体"/>
                <w:color w:val="000000"/>
                <w:kern w:val="0"/>
                <w:sz w:val="24"/>
                <w:szCs w:val="24"/>
                <w:highlight w:val="none"/>
              </w:rPr>
              <w:t>合理得</w:t>
            </w:r>
            <w:r>
              <w:rPr>
                <w:rFonts w:hint="eastAsia" w:ascii="新宋体" w:hAnsi="新宋体" w:eastAsia="新宋体" w:cs="新宋体"/>
                <w:color w:val="000000"/>
                <w:kern w:val="0"/>
                <w:sz w:val="24"/>
                <w:szCs w:val="24"/>
                <w:highlight w:val="none"/>
                <w:lang w:val="en-US" w:eastAsia="zh-CN"/>
              </w:rPr>
              <w:t>6</w:t>
            </w:r>
            <w:r>
              <w:rPr>
                <w:rFonts w:hint="eastAsia" w:ascii="新宋体" w:hAnsi="新宋体" w:eastAsia="新宋体" w:cs="新宋体"/>
                <w:color w:val="000000"/>
                <w:kern w:val="0"/>
                <w:sz w:val="24"/>
                <w:szCs w:val="24"/>
                <w:highlight w:val="none"/>
              </w:rPr>
              <w:t>分，一般得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分，否则不得分。</w:t>
            </w:r>
          </w:p>
        </w:tc>
        <w:tc>
          <w:tcPr>
            <w:tcW w:w="1134" w:type="dxa"/>
            <w:vAlign w:val="center"/>
          </w:tcPr>
          <w:p>
            <w:pPr>
              <w:jc w:val="center"/>
              <w:rPr>
                <w:rFonts w:hint="eastAsia" w:ascii="新宋体" w:hAnsi="新宋体" w:eastAsia="新宋体" w:cs="新宋体"/>
                <w:sz w:val="24"/>
                <w:szCs w:val="24"/>
                <w:u w:val="single"/>
                <w:lang w:val="en-US" w:eastAsia="zh-CN"/>
              </w:rPr>
            </w:pPr>
            <w:r>
              <w:rPr>
                <w:rFonts w:hint="eastAsia" w:ascii="新宋体" w:hAnsi="新宋体" w:eastAsia="新宋体" w:cs="新宋体"/>
                <w:sz w:val="24"/>
                <w:szCs w:val="24"/>
                <w:u w:val="singl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工作大纲</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工作大纲符合规范、规程要求、合理</w:t>
            </w:r>
            <w:r>
              <w:rPr>
                <w:rFonts w:hint="eastAsia" w:ascii="新宋体" w:hAnsi="新宋体" w:eastAsia="新宋体" w:cs="新宋体"/>
                <w:color w:val="000000"/>
                <w:kern w:val="0"/>
                <w:sz w:val="24"/>
                <w:szCs w:val="24"/>
                <w:highlight w:val="none"/>
                <w:lang w:val="en-US" w:eastAsia="zh-CN"/>
              </w:rPr>
              <w:t>10</w:t>
            </w:r>
            <w:r>
              <w:rPr>
                <w:rFonts w:hint="eastAsia" w:ascii="新宋体" w:hAnsi="新宋体" w:eastAsia="新宋体" w:cs="新宋体"/>
                <w:color w:val="000000"/>
                <w:kern w:val="0"/>
                <w:sz w:val="24"/>
                <w:szCs w:val="24"/>
                <w:highlight w:val="none"/>
              </w:rPr>
              <w:t>分，</w:t>
            </w:r>
            <w:r>
              <w:rPr>
                <w:rFonts w:hint="eastAsia" w:ascii="新宋体" w:hAnsi="新宋体" w:eastAsia="新宋体" w:cs="新宋体"/>
                <w:color w:val="000000"/>
                <w:kern w:val="0"/>
                <w:sz w:val="24"/>
                <w:szCs w:val="24"/>
                <w:highlight w:val="none"/>
                <w:lang w:eastAsia="zh-CN"/>
              </w:rPr>
              <w:t>基本</w:t>
            </w:r>
            <w:r>
              <w:rPr>
                <w:rFonts w:hint="eastAsia" w:ascii="新宋体" w:hAnsi="新宋体" w:eastAsia="新宋体" w:cs="新宋体"/>
                <w:color w:val="000000"/>
                <w:kern w:val="0"/>
                <w:sz w:val="24"/>
                <w:szCs w:val="24"/>
                <w:highlight w:val="none"/>
              </w:rPr>
              <w:t>合理得</w:t>
            </w:r>
            <w:r>
              <w:rPr>
                <w:rFonts w:hint="eastAsia" w:ascii="新宋体" w:hAnsi="新宋体" w:eastAsia="新宋体" w:cs="新宋体"/>
                <w:color w:val="000000"/>
                <w:kern w:val="0"/>
                <w:sz w:val="24"/>
                <w:szCs w:val="24"/>
                <w:highlight w:val="none"/>
                <w:lang w:val="en-US" w:eastAsia="zh-CN"/>
              </w:rPr>
              <w:t>6</w:t>
            </w:r>
            <w:r>
              <w:rPr>
                <w:rFonts w:hint="eastAsia" w:ascii="新宋体" w:hAnsi="新宋体" w:eastAsia="新宋体" w:cs="新宋体"/>
                <w:color w:val="000000"/>
                <w:kern w:val="0"/>
                <w:sz w:val="24"/>
                <w:szCs w:val="24"/>
                <w:highlight w:val="none"/>
              </w:rPr>
              <w:t>分，一般得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分，否则不得分。</w:t>
            </w:r>
          </w:p>
        </w:tc>
        <w:tc>
          <w:tcPr>
            <w:tcW w:w="1134" w:type="dxa"/>
            <w:vAlign w:val="center"/>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总体工作思路</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总体工作思路正确、合理得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进度计划及保障措施</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进度计划及保障措施得力合理得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质量保证体系及保证措施</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质量保证体系健全，措施合理得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widowControl/>
              <w:shd w:val="clear" w:color="auto" w:fill="FFFFFF"/>
              <w:adjustRightInd w:val="0"/>
              <w:snapToGrid w:val="0"/>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highlight w:val="none"/>
              </w:rPr>
              <w:t>后续服务的安排及保证措施</w:t>
            </w:r>
          </w:p>
        </w:tc>
        <w:tc>
          <w:tcPr>
            <w:tcW w:w="6558" w:type="dxa"/>
            <w:vAlign w:val="top"/>
          </w:tcPr>
          <w:p>
            <w:pPr>
              <w:widowControl/>
              <w:shd w:val="clear" w:color="auto" w:fill="FFFFFF"/>
              <w:adjustRightInd w:val="0"/>
              <w:snapToGrid w:val="0"/>
              <w:rPr>
                <w:rFonts w:hint="eastAsia" w:ascii="新宋体" w:hAnsi="新宋体" w:eastAsia="新宋体" w:cs="新宋体"/>
                <w:bCs/>
                <w:sz w:val="24"/>
                <w:szCs w:val="24"/>
              </w:rPr>
            </w:pPr>
            <w:r>
              <w:rPr>
                <w:rFonts w:hint="eastAsia" w:ascii="新宋体" w:hAnsi="新宋体" w:eastAsia="新宋体" w:cs="新宋体"/>
                <w:color w:val="000000"/>
                <w:kern w:val="0"/>
                <w:sz w:val="24"/>
                <w:szCs w:val="24"/>
                <w:highlight w:val="none"/>
              </w:rPr>
              <w:t>供应商针对本项目所提供的服务承诺，从服务期限、后期服务等方面进行横向比较，综合评定</w:t>
            </w:r>
            <w:r>
              <w:rPr>
                <w:rFonts w:hint="eastAsia" w:ascii="新宋体" w:hAnsi="新宋体" w:eastAsia="新宋体" w:cs="新宋体"/>
                <w:color w:val="000000"/>
                <w:kern w:val="0"/>
                <w:sz w:val="24"/>
                <w:szCs w:val="24"/>
                <w:highlight w:val="none"/>
                <w:lang w:eastAsia="zh-CN"/>
              </w:rPr>
              <w:t>，</w:t>
            </w:r>
            <w:r>
              <w:rPr>
                <w:rFonts w:hint="eastAsia" w:ascii="新宋体" w:hAnsi="新宋体" w:eastAsia="新宋体" w:cs="新宋体"/>
                <w:color w:val="000000"/>
                <w:kern w:val="0"/>
                <w:sz w:val="24"/>
                <w:szCs w:val="24"/>
                <w:highlight w:val="none"/>
              </w:rPr>
              <w:t>合理得</w:t>
            </w:r>
            <w:r>
              <w:rPr>
                <w:rFonts w:hint="eastAsia" w:ascii="新宋体" w:hAnsi="新宋体" w:eastAsia="新宋体" w:cs="新宋体"/>
                <w:color w:val="000000"/>
                <w:kern w:val="0"/>
                <w:sz w:val="24"/>
                <w:szCs w:val="24"/>
                <w:highlight w:val="none"/>
                <w:lang w:val="en-US" w:eastAsia="zh-CN"/>
              </w:rPr>
              <w:t>5</w:t>
            </w:r>
            <w:r>
              <w:rPr>
                <w:rFonts w:hint="eastAsia" w:ascii="新宋体" w:hAnsi="新宋体" w:eastAsia="新宋体" w:cs="新宋体"/>
                <w:color w:val="000000"/>
                <w:kern w:val="0"/>
                <w:sz w:val="24"/>
                <w:szCs w:val="24"/>
                <w:highlight w:val="none"/>
              </w:rPr>
              <w:t>分，基本合理得</w:t>
            </w:r>
            <w:r>
              <w:rPr>
                <w:rFonts w:hint="eastAsia" w:ascii="新宋体" w:hAnsi="新宋体" w:eastAsia="新宋体" w:cs="新宋体"/>
                <w:color w:val="000000"/>
                <w:kern w:val="0"/>
                <w:sz w:val="24"/>
                <w:szCs w:val="24"/>
                <w:highlight w:val="none"/>
                <w:lang w:val="en-US" w:eastAsia="zh-CN"/>
              </w:rPr>
              <w:t>3</w:t>
            </w:r>
            <w:r>
              <w:rPr>
                <w:rFonts w:hint="eastAsia" w:ascii="新宋体" w:hAnsi="新宋体" w:eastAsia="新宋体" w:cs="新宋体"/>
                <w:color w:val="000000"/>
                <w:kern w:val="0"/>
                <w:sz w:val="24"/>
                <w:szCs w:val="24"/>
                <w:highlight w:val="none"/>
              </w:rPr>
              <w:t>分，一般得1分，否则不得分。</w:t>
            </w:r>
          </w:p>
        </w:tc>
        <w:tc>
          <w:tcPr>
            <w:tcW w:w="1134" w:type="dxa"/>
          </w:tcPr>
          <w:p>
            <w:pPr>
              <w:jc w:val="cente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w:t>
            </w:r>
          </w:p>
        </w:tc>
      </w:tr>
    </w:tbl>
    <w:p>
      <w:pPr>
        <w:pStyle w:val="2"/>
        <w:rPr>
          <w:rFonts w:hint="eastAsia" w:cs="仿宋_GB2312" w:asciiTheme="minorEastAsia" w:hAnsiTheme="minorEastAsia"/>
          <w:szCs w:val="21"/>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contextualSpacing/>
        <w:jc w:val="both"/>
        <w:rPr>
          <w:rFonts w:hint="eastAsia" w:cs="宋体" w:asciiTheme="majorEastAsia" w:hAnsiTheme="majorEastAsia" w:eastAsiaTheme="majorEastAsia"/>
          <w:b/>
          <w:kern w:val="0"/>
          <w:sz w:val="36"/>
          <w:szCs w:val="36"/>
        </w:rPr>
      </w:pPr>
    </w:p>
    <w:p>
      <w:pPr>
        <w:pStyle w:val="16"/>
        <w:spacing w:line="360" w:lineRule="auto"/>
        <w:contextualSpacing/>
        <w:jc w:val="center"/>
        <w:rPr>
          <w:rFonts w:hint="eastAsia" w:cs="宋体" w:asciiTheme="majorEastAsia" w:hAnsiTheme="majorEastAsia" w:eastAsiaTheme="majorEastAsia"/>
          <w:b/>
          <w:kern w:val="0"/>
          <w:sz w:val="36"/>
          <w:szCs w:val="36"/>
        </w:rPr>
      </w:pPr>
    </w:p>
    <w:p>
      <w:pPr>
        <w:pStyle w:val="16"/>
        <w:spacing w:line="360" w:lineRule="auto"/>
        <w:contextualSpacing/>
        <w:jc w:val="center"/>
        <w:rPr>
          <w:rFonts w:hint="eastAsia" w:cs="宋体" w:asciiTheme="majorEastAsia" w:hAnsiTheme="majorEastAsia" w:eastAsiaTheme="majorEastAsia"/>
          <w:b/>
          <w:kern w:val="0"/>
          <w:sz w:val="36"/>
          <w:szCs w:val="36"/>
        </w:rPr>
      </w:pPr>
    </w:p>
    <w:p>
      <w:pPr>
        <w:pStyle w:val="16"/>
        <w:spacing w:line="360" w:lineRule="auto"/>
        <w:contextualSpacing/>
        <w:jc w:val="center"/>
        <w:rPr>
          <w:rFonts w:hint="eastAsia" w:cs="宋体" w:asciiTheme="majorEastAsia" w:hAnsiTheme="majorEastAsia" w:eastAsiaTheme="majorEastAsia"/>
          <w:b/>
          <w:kern w:val="0"/>
          <w:sz w:val="36"/>
          <w:szCs w:val="36"/>
        </w:rPr>
      </w:pPr>
    </w:p>
    <w:p>
      <w:pPr>
        <w:pStyle w:val="16"/>
        <w:spacing w:line="360" w:lineRule="auto"/>
        <w:contextualSpacing/>
        <w:jc w:val="center"/>
        <w:rPr>
          <w:rFonts w:hint="eastAsia" w:cs="宋体" w:asciiTheme="majorEastAsia" w:hAnsiTheme="majorEastAsia" w:eastAsiaTheme="majorEastAsia"/>
          <w:b/>
          <w:kern w:val="0"/>
          <w:sz w:val="36"/>
          <w:szCs w:val="36"/>
        </w:rPr>
      </w:pPr>
    </w:p>
    <w:p>
      <w:pPr>
        <w:pStyle w:val="16"/>
        <w:spacing w:line="360" w:lineRule="auto"/>
        <w:contextualSpacing/>
        <w:jc w:val="center"/>
        <w:rPr>
          <w:rFonts w:hint="eastAsia" w:cs="宋体" w:asciiTheme="majorEastAsia" w:hAnsiTheme="majorEastAsia" w:eastAsiaTheme="majorEastAsia"/>
          <w:b/>
          <w:kern w:val="0"/>
          <w:sz w:val="36"/>
          <w:szCs w:val="36"/>
        </w:rPr>
      </w:pPr>
    </w:p>
    <w:p>
      <w:pPr>
        <w:pStyle w:val="16"/>
        <w:spacing w:line="360" w:lineRule="auto"/>
        <w:contextualSpacing/>
        <w:jc w:val="center"/>
        <w:rPr>
          <w:rFonts w:hint="eastAsia" w:cs="宋体" w:asciiTheme="majorEastAsia" w:hAnsiTheme="majorEastAsia" w:eastAsiaTheme="majorEastAsia"/>
          <w:b/>
          <w:kern w:val="0"/>
          <w:sz w:val="36"/>
          <w:szCs w:val="36"/>
        </w:rPr>
      </w:pPr>
    </w:p>
    <w:p>
      <w:pPr>
        <w:pStyle w:val="16"/>
        <w:spacing w:line="360" w:lineRule="auto"/>
        <w:contextualSpacing/>
        <w:jc w:val="center"/>
        <w:rPr>
          <w:rFonts w:hint="eastAsia" w:cs="宋体" w:asciiTheme="majorEastAsia" w:hAnsiTheme="majorEastAsia" w:eastAsiaTheme="majorEastAsia"/>
          <w:b/>
          <w:kern w:val="0"/>
          <w:sz w:val="36"/>
          <w:szCs w:val="36"/>
        </w:rPr>
      </w:pPr>
    </w:p>
    <w:p>
      <w:pPr>
        <w:pStyle w:val="16"/>
        <w:spacing w:line="360" w:lineRule="auto"/>
        <w:contextualSpacing/>
        <w:jc w:val="center"/>
        <w:rPr>
          <w:rFonts w:hint="eastAsia" w:cs="宋体" w:asciiTheme="majorEastAsia" w:hAnsiTheme="majorEastAsia" w:eastAsiaTheme="majorEastAsia"/>
          <w:b/>
          <w:kern w:val="0"/>
          <w:sz w:val="36"/>
          <w:szCs w:val="36"/>
        </w:rPr>
      </w:pPr>
    </w:p>
    <w:p>
      <w:pPr>
        <w:pStyle w:val="16"/>
        <w:spacing w:line="360" w:lineRule="auto"/>
        <w:contextualSpacing/>
        <w:jc w:val="center"/>
        <w:rPr>
          <w:rFonts w:hint="eastAsia"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54D8C"/>
    <w:multiLevelType w:val="singleLevel"/>
    <w:tmpl w:val="A3E54D8C"/>
    <w:lvl w:ilvl="0" w:tentative="0">
      <w:start w:val="1"/>
      <w:numFmt w:val="decimal"/>
      <w:suff w:val="nothing"/>
      <w:lvlText w:val="%1、"/>
      <w:lvlJc w:val="left"/>
    </w:lvl>
  </w:abstractNum>
  <w:abstractNum w:abstractNumId="1">
    <w:nsid w:val="C4BEEA5C"/>
    <w:multiLevelType w:val="singleLevel"/>
    <w:tmpl w:val="C4BEEA5C"/>
    <w:lvl w:ilvl="0" w:tentative="0">
      <w:start w:val="1"/>
      <w:numFmt w:val="decimal"/>
      <w:lvlText w:val="%1."/>
      <w:lvlJc w:val="left"/>
      <w:pPr>
        <w:tabs>
          <w:tab w:val="left" w:pos="312"/>
        </w:tabs>
      </w:p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FFE3234"/>
    <w:multiLevelType w:val="singleLevel"/>
    <w:tmpl w:val="1FFE3234"/>
    <w:lvl w:ilvl="0" w:tentative="0">
      <w:start w:val="1"/>
      <w:numFmt w:val="decimal"/>
      <w:suff w:val="nothing"/>
      <w:lvlText w:val="%1、"/>
      <w:lvlJc w:val="left"/>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F9EBF59"/>
    <w:multiLevelType w:val="singleLevel"/>
    <w:tmpl w:val="2F9EBF59"/>
    <w:lvl w:ilvl="0" w:tentative="0">
      <w:start w:val="1"/>
      <w:numFmt w:val="chineseCounting"/>
      <w:suff w:val="nothing"/>
      <w:lvlText w:val="（%1）"/>
      <w:lvlJc w:val="left"/>
      <w:rPr>
        <w:rFonts w:hint="eastAsia"/>
      </w:rPr>
    </w:lvl>
  </w:abstractNum>
  <w:abstractNum w:abstractNumId="10">
    <w:nsid w:val="31D40CE9"/>
    <w:multiLevelType w:val="singleLevel"/>
    <w:tmpl w:val="31D40CE9"/>
    <w:lvl w:ilvl="0" w:tentative="0">
      <w:start w:val="1"/>
      <w:numFmt w:val="chineseCounting"/>
      <w:suff w:val="space"/>
      <w:lvlText w:val="第%1章"/>
      <w:lvlJc w:val="left"/>
      <w:rPr>
        <w:rFonts w:hint="eastAsia"/>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54"/>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2"/>
  </w:num>
  <w:num w:numId="4">
    <w:abstractNumId w:val="10"/>
  </w:num>
  <w:num w:numId="5">
    <w:abstractNumId w:val="5"/>
  </w:num>
  <w:num w:numId="6">
    <w:abstractNumId w:val="1"/>
  </w:num>
  <w:num w:numId="7">
    <w:abstractNumId w:val="11"/>
  </w:num>
  <w:num w:numId="8">
    <w:abstractNumId w:val="9"/>
  </w:num>
  <w:num w:numId="9">
    <w:abstractNumId w:val="7"/>
  </w:num>
  <w:num w:numId="10">
    <w:abstractNumId w:val="2"/>
  </w:num>
  <w:num w:numId="11">
    <w:abstractNumId w:val="8"/>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630250D"/>
    <w:rsid w:val="067B2CDB"/>
    <w:rsid w:val="07732CDA"/>
    <w:rsid w:val="07DA78CD"/>
    <w:rsid w:val="080C2BBA"/>
    <w:rsid w:val="08C0181D"/>
    <w:rsid w:val="08FD5745"/>
    <w:rsid w:val="0A3A482D"/>
    <w:rsid w:val="0A5E16AE"/>
    <w:rsid w:val="0A7C3AAF"/>
    <w:rsid w:val="0A997A60"/>
    <w:rsid w:val="0AB50907"/>
    <w:rsid w:val="0B01317F"/>
    <w:rsid w:val="0BBD5765"/>
    <w:rsid w:val="0C1C3D54"/>
    <w:rsid w:val="0C1D2223"/>
    <w:rsid w:val="0C3D4298"/>
    <w:rsid w:val="0C9523A6"/>
    <w:rsid w:val="0CA67F00"/>
    <w:rsid w:val="0CAB7FE2"/>
    <w:rsid w:val="0CCD3572"/>
    <w:rsid w:val="0CF46B6D"/>
    <w:rsid w:val="0CF874BC"/>
    <w:rsid w:val="0D057A5F"/>
    <w:rsid w:val="0D403087"/>
    <w:rsid w:val="0DA22AE9"/>
    <w:rsid w:val="0E3648A2"/>
    <w:rsid w:val="0EF84FFA"/>
    <w:rsid w:val="0F485C64"/>
    <w:rsid w:val="0F7B5351"/>
    <w:rsid w:val="0FD30C14"/>
    <w:rsid w:val="101B403B"/>
    <w:rsid w:val="105D734C"/>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7847FF"/>
    <w:rsid w:val="1BAE49D7"/>
    <w:rsid w:val="1C2D1536"/>
    <w:rsid w:val="1CCF2F1D"/>
    <w:rsid w:val="1CF87F0B"/>
    <w:rsid w:val="1CFB73D3"/>
    <w:rsid w:val="1D3B1EEC"/>
    <w:rsid w:val="1D767D0D"/>
    <w:rsid w:val="1E8E722F"/>
    <w:rsid w:val="1F8E45BB"/>
    <w:rsid w:val="1FE15514"/>
    <w:rsid w:val="1FF158F3"/>
    <w:rsid w:val="208614E5"/>
    <w:rsid w:val="213729F0"/>
    <w:rsid w:val="2157706F"/>
    <w:rsid w:val="21DC7D3C"/>
    <w:rsid w:val="21DD4A96"/>
    <w:rsid w:val="2298317C"/>
    <w:rsid w:val="22CE29EE"/>
    <w:rsid w:val="22E01AF5"/>
    <w:rsid w:val="24D35795"/>
    <w:rsid w:val="255E48CD"/>
    <w:rsid w:val="26B87348"/>
    <w:rsid w:val="26BD0C2F"/>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8A4286"/>
    <w:rsid w:val="347F0816"/>
    <w:rsid w:val="34B644B7"/>
    <w:rsid w:val="35D905EB"/>
    <w:rsid w:val="36B46A4A"/>
    <w:rsid w:val="36E65B38"/>
    <w:rsid w:val="36F866E5"/>
    <w:rsid w:val="375656B9"/>
    <w:rsid w:val="375B6549"/>
    <w:rsid w:val="37627558"/>
    <w:rsid w:val="37AC24EF"/>
    <w:rsid w:val="37B91083"/>
    <w:rsid w:val="383731D3"/>
    <w:rsid w:val="38C076BF"/>
    <w:rsid w:val="38ED1382"/>
    <w:rsid w:val="39FD28B4"/>
    <w:rsid w:val="3A332610"/>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1260813"/>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3817"/>
    <w:rsid w:val="57024892"/>
    <w:rsid w:val="5703196B"/>
    <w:rsid w:val="57140DA8"/>
    <w:rsid w:val="574A43AC"/>
    <w:rsid w:val="58077CBD"/>
    <w:rsid w:val="5812110B"/>
    <w:rsid w:val="582E1358"/>
    <w:rsid w:val="58323449"/>
    <w:rsid w:val="58854954"/>
    <w:rsid w:val="589505A8"/>
    <w:rsid w:val="58D254DE"/>
    <w:rsid w:val="58FD658D"/>
    <w:rsid w:val="59454145"/>
    <w:rsid w:val="5A836AC3"/>
    <w:rsid w:val="5B0C6CA4"/>
    <w:rsid w:val="5B410FDE"/>
    <w:rsid w:val="5BCD4474"/>
    <w:rsid w:val="5BDD720D"/>
    <w:rsid w:val="5CFD3C28"/>
    <w:rsid w:val="5E075123"/>
    <w:rsid w:val="5E2C7B65"/>
    <w:rsid w:val="5E8E1ADB"/>
    <w:rsid w:val="5EB8046C"/>
    <w:rsid w:val="5EC23D91"/>
    <w:rsid w:val="5EEA6FD8"/>
    <w:rsid w:val="5F5D3B89"/>
    <w:rsid w:val="5F91300B"/>
    <w:rsid w:val="5FBD74DE"/>
    <w:rsid w:val="601812B8"/>
    <w:rsid w:val="603F2634"/>
    <w:rsid w:val="6041372E"/>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8594ADA"/>
    <w:rsid w:val="68741D48"/>
    <w:rsid w:val="693A6BDC"/>
    <w:rsid w:val="6A7735B4"/>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A634D"/>
    <w:rsid w:val="6E6F4DC3"/>
    <w:rsid w:val="6E7511ED"/>
    <w:rsid w:val="6E76180E"/>
    <w:rsid w:val="6ED546F7"/>
    <w:rsid w:val="6F272507"/>
    <w:rsid w:val="6F2F7205"/>
    <w:rsid w:val="6F992BAA"/>
    <w:rsid w:val="6FF11A89"/>
    <w:rsid w:val="70117814"/>
    <w:rsid w:val="70602224"/>
    <w:rsid w:val="70C1699F"/>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AB41BE"/>
    <w:rsid w:val="75EA3934"/>
    <w:rsid w:val="76AF6448"/>
    <w:rsid w:val="774700AD"/>
    <w:rsid w:val="777E0158"/>
    <w:rsid w:val="777F7752"/>
    <w:rsid w:val="77A5121A"/>
    <w:rsid w:val="78771340"/>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w:basedOn w:val="1"/>
    <w:link w:val="55"/>
    <w:unhideWhenUsed/>
    <w:qFormat/>
    <w:uiPriority w:val="99"/>
    <w:pPr>
      <w:spacing w:after="120"/>
    </w:pPr>
  </w:style>
  <w:style w:type="paragraph" w:styleId="11">
    <w:name w:val="Body Text Indent"/>
    <w:basedOn w:val="1"/>
    <w:next w:val="12"/>
    <w:qFormat/>
    <w:uiPriority w:val="0"/>
    <w:pPr>
      <w:spacing w:line="400" w:lineRule="exact"/>
      <w:ind w:left="630"/>
    </w:pPr>
    <w:rPr>
      <w:rFonts w:ascii="楷体_GB2312" w:eastAsia="宋体"/>
      <w:sz w:val="21"/>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7"/>
    <w:qFormat/>
    <w:uiPriority w:val="0"/>
    <w:rPr>
      <w:rFonts w:eastAsia="宋体"/>
      <w:sz w:val="24"/>
    </w:rPr>
  </w:style>
  <w:style w:type="paragraph" w:styleId="17">
    <w:name w:val="Date"/>
    <w:basedOn w:val="1"/>
    <w:next w:val="1"/>
    <w:link w:val="38"/>
    <w:unhideWhenUsed/>
    <w:qFormat/>
    <w:uiPriority w:val="99"/>
    <w:pPr>
      <w:ind w:left="100" w:leftChars="2500"/>
    </w:p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link w:val="56"/>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7">
    <w:name w:val="Strong"/>
    <w:basedOn w:val="26"/>
    <w:qFormat/>
    <w:uiPriority w:val="22"/>
    <w:rPr>
      <w:b/>
      <w:bCs/>
    </w:rPr>
  </w:style>
  <w:style w:type="character" w:styleId="28">
    <w:name w:val="FollowedHyperlink"/>
    <w:basedOn w:val="26"/>
    <w:unhideWhenUsed/>
    <w:qFormat/>
    <w:uiPriority w:val="99"/>
    <w:rPr>
      <w:color w:val="800080" w:themeColor="followedHyperlink"/>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6"/>
    <w:link w:val="3"/>
    <w:qFormat/>
    <w:uiPriority w:val="0"/>
    <w:rPr>
      <w:rFonts w:ascii="Calibri" w:hAnsi="Calibri" w:eastAsia="宋体" w:cs="Times New Roman"/>
      <w:b/>
      <w:bCs/>
      <w:kern w:val="44"/>
      <w:sz w:val="44"/>
      <w:szCs w:val="44"/>
    </w:rPr>
  </w:style>
  <w:style w:type="character" w:customStyle="1" w:styleId="34">
    <w:name w:val="标题 2 Char"/>
    <w:basedOn w:val="26"/>
    <w:link w:val="4"/>
    <w:qFormat/>
    <w:uiPriority w:val="0"/>
    <w:rPr>
      <w:rFonts w:ascii="Arial" w:hAnsi="Arial" w:eastAsia="黑体" w:cs="Times New Roman"/>
      <w:b/>
      <w:bCs/>
      <w:kern w:val="0"/>
      <w:sz w:val="32"/>
      <w:szCs w:val="32"/>
    </w:rPr>
  </w:style>
  <w:style w:type="character" w:customStyle="1" w:styleId="35">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6"/>
    <w:link w:val="6"/>
    <w:qFormat/>
    <w:uiPriority w:val="0"/>
    <w:rPr>
      <w:rFonts w:ascii="Arial" w:hAnsi="Arial" w:eastAsia="黑体" w:cs="Times New Roman"/>
      <w:b/>
      <w:bCs/>
      <w:kern w:val="0"/>
      <w:sz w:val="28"/>
      <w:szCs w:val="28"/>
    </w:rPr>
  </w:style>
  <w:style w:type="character" w:customStyle="1" w:styleId="37">
    <w:name w:val="纯文本 Char"/>
    <w:basedOn w:val="26"/>
    <w:link w:val="16"/>
    <w:qFormat/>
    <w:uiPriority w:val="0"/>
    <w:rPr>
      <w:rFonts w:eastAsia="宋体"/>
      <w:sz w:val="24"/>
    </w:rPr>
  </w:style>
  <w:style w:type="character" w:customStyle="1" w:styleId="38">
    <w:name w:val="日期 Char"/>
    <w:basedOn w:val="26"/>
    <w:link w:val="17"/>
    <w:qFormat/>
    <w:uiPriority w:val="99"/>
  </w:style>
  <w:style w:type="character" w:customStyle="1" w:styleId="39">
    <w:name w:val="页脚 Char"/>
    <w:basedOn w:val="26"/>
    <w:link w:val="18"/>
    <w:qFormat/>
    <w:uiPriority w:val="99"/>
    <w:rPr>
      <w:sz w:val="18"/>
      <w:szCs w:val="18"/>
    </w:rPr>
  </w:style>
  <w:style w:type="character" w:customStyle="1" w:styleId="40">
    <w:name w:val="页眉 Char"/>
    <w:basedOn w:val="26"/>
    <w:link w:val="19"/>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6"/>
    <w:link w:val="9"/>
    <w:qFormat/>
    <w:uiPriority w:val="0"/>
    <w:rPr>
      <w:rFonts w:ascii="Times New Roman" w:hAnsi="Times New Roman" w:eastAsia="宋体" w:cs="Times New Roman"/>
      <w:color w:val="FF0000"/>
      <w:sz w:val="24"/>
      <w:szCs w:val="24"/>
    </w:rPr>
  </w:style>
  <w:style w:type="character" w:customStyle="1" w:styleId="52">
    <w:name w:val="edittexttarea"/>
    <w:basedOn w:val="26"/>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6"/>
    <w:link w:val="10"/>
    <w:semiHidden/>
    <w:qFormat/>
    <w:uiPriority w:val="99"/>
  </w:style>
  <w:style w:type="character" w:customStyle="1" w:styleId="56">
    <w:name w:val="正文首行缩进 Char"/>
    <w:basedOn w:val="55"/>
    <w:link w:val="23"/>
    <w:qFormat/>
    <w:uiPriority w:val="0"/>
    <w:rPr>
      <w:rFonts w:ascii="宋体" w:hAnsi="Times New Roman" w:eastAsia="宋体" w:cs="Times New Roman"/>
      <w:kern w:val="0"/>
      <w:sz w:val="34"/>
      <w:szCs w:val="20"/>
    </w:rPr>
  </w:style>
  <w:style w:type="character" w:customStyle="1" w:styleId="57">
    <w:name w:val="HTML 预设格式 Char"/>
    <w:basedOn w:val="26"/>
    <w:link w:val="21"/>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6"/>
    <w:qFormat/>
    <w:uiPriority w:val="0"/>
    <w:rPr>
      <w:rFonts w:hint="eastAsia" w:ascii="宋体" w:hAnsi="宋体" w:eastAsia="宋体" w:cs="宋体"/>
      <w:color w:val="000000"/>
      <w:sz w:val="22"/>
      <w:szCs w:val="22"/>
      <w:u w:val="none"/>
    </w:rPr>
  </w:style>
  <w:style w:type="character" w:customStyle="1" w:styleId="63">
    <w:name w:val="font21"/>
    <w:basedOn w:val="26"/>
    <w:qFormat/>
    <w:uiPriority w:val="0"/>
    <w:rPr>
      <w:rFonts w:hint="eastAsia" w:ascii="宋体" w:hAnsi="宋体" w:eastAsia="宋体" w:cs="宋体"/>
      <w:color w:val="000000"/>
      <w:sz w:val="28"/>
      <w:szCs w:val="28"/>
      <w:u w:val="none"/>
    </w:rPr>
  </w:style>
  <w:style w:type="character" w:customStyle="1" w:styleId="64">
    <w:name w:val="font11"/>
    <w:basedOn w:val="26"/>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 w:type="paragraph" w:customStyle="1" w:styleId="68">
    <w:name w:val="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4</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2019-11-25T06:36:13Z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