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Theme="majorEastAsia" w:hAnsiTheme="majorEastAsia" w:eastAsiaTheme="majorEastAsia" w:cstheme="majorEastAsia"/>
          <w:b/>
          <w:bCs w:val="0"/>
          <w:i w:val="0"/>
          <w:color w:val="000000"/>
          <w:kern w:val="0"/>
          <w:sz w:val="36"/>
          <w:szCs w:val="36"/>
          <w:u w:val="none"/>
          <w:shd w:val="clear" w:fill="FFFFFF"/>
          <w:lang w:val="en-US" w:eastAsia="zh-CN" w:bidi="ar"/>
        </w:rPr>
      </w:pPr>
      <w:r>
        <w:rPr>
          <w:rFonts w:hint="eastAsia" w:asciiTheme="majorEastAsia" w:hAnsiTheme="majorEastAsia" w:eastAsiaTheme="majorEastAsia" w:cstheme="majorEastAsia"/>
          <w:b/>
          <w:bCs w:val="0"/>
          <w:i w:val="0"/>
          <w:color w:val="000000"/>
          <w:kern w:val="0"/>
          <w:sz w:val="36"/>
          <w:szCs w:val="36"/>
          <w:u w:val="none"/>
          <w:shd w:val="clear" w:fill="FFFFFF"/>
          <w:lang w:val="en-US" w:eastAsia="zh-CN" w:bidi="ar"/>
        </w:rPr>
        <w:t>禹州市颍河湿地公园及禹药养生农业森林公园项目可行性研究报告编制设计费</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226" w:beforeAutospacing="0" w:after="0" w:afterAutospacing="0"/>
        <w:ind w:left="0" w:right="0"/>
        <w:jc w:val="center"/>
        <w:rPr>
          <w:rFonts w:hint="eastAsia" w:asciiTheme="majorEastAsia" w:hAnsiTheme="majorEastAsia" w:eastAsiaTheme="majorEastAsia" w:cstheme="majorEastAsia"/>
          <w:b/>
          <w:bCs w:val="0"/>
          <w:i w:val="0"/>
          <w:color w:val="000000"/>
          <w:kern w:val="0"/>
          <w:sz w:val="36"/>
          <w:szCs w:val="36"/>
          <w:u w:val="none"/>
          <w:shd w:val="clear" w:fill="FFFFFF"/>
          <w:lang w:val="en-US" w:eastAsia="zh-CN" w:bidi="ar"/>
        </w:rPr>
      </w:pPr>
      <w:r>
        <w:rPr>
          <w:rFonts w:hint="eastAsia" w:asciiTheme="majorEastAsia" w:hAnsiTheme="majorEastAsia" w:eastAsiaTheme="majorEastAsia" w:cstheme="majorEastAsia"/>
          <w:b/>
          <w:bCs w:val="0"/>
          <w:i w:val="0"/>
          <w:color w:val="000000"/>
          <w:kern w:val="0"/>
          <w:sz w:val="36"/>
          <w:szCs w:val="36"/>
          <w:u w:val="none"/>
          <w:shd w:val="clear" w:fill="FFFFFF"/>
          <w:lang w:val="en-US" w:eastAsia="zh-CN" w:bidi="ar"/>
        </w:rPr>
        <w:t>评标报告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一、项目概况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1、采购人：禹州市林业发展中心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2、项目名称：禹州市颍河湿地公园及禹药养生农业森林公园项目可行性研究报告编制设计费</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3、采购编号：YZCG-G2019251</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4.项目需求：禹州市颍河湿地公园及禹药养生农业森林公园项目可行性研究报告编制设计（详见招标文件）</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5.采购预算：65.52万元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6.采购限价：65.52万元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综合评分</w:t>
      </w:r>
      <w:r>
        <w:rPr>
          <w:rFonts w:hint="eastAsia" w:ascii="仿宋" w:hAnsi="仿宋" w:eastAsia="仿宋" w:cs="仿宋"/>
          <w:color w:val="000000"/>
          <w:sz w:val="32"/>
          <w:szCs w:val="32"/>
          <w:u w:val="none"/>
          <w:shd w:val="clear" w:fill="FFFFFF"/>
        </w:rPr>
        <w:t>法</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开标结束后，采购人（采购代理机构）依法对投标人资格进行审查。</w:t>
      </w:r>
      <w:r>
        <w:rPr>
          <w:rFonts w:hint="eastAsia" w:ascii="仿宋" w:hAnsi="仿宋" w:eastAsia="仿宋" w:cs="仿宋"/>
          <w:color w:val="000000"/>
          <w:sz w:val="32"/>
          <w:szCs w:val="32"/>
          <w:u w:val="none"/>
          <w:shd w:val="clear" w:fill="FFFFFF"/>
          <w:lang w:val="en-US"/>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left"/>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 xml:space="preserve">9. 招标公告刊登的媒体：中国政府采购网、河南省政府采购网、全国公共资源交易平台（河南省·许昌市）发布等。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7"/>
        <w:tblW w:w="9600" w:type="dxa"/>
        <w:jc w:val="center"/>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27"/>
        <w:gridCol w:w="4405"/>
        <w:gridCol w:w="2004"/>
        <w:gridCol w:w="256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833" w:hRule="atLeast"/>
          <w:tblCellSpacing w:w="0" w:type="dxa"/>
          <w:jc w:val="center"/>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0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jc w:val="center"/>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4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河南省工程咨询中心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default" w:ascii="仿宋" w:hAnsi="仿宋" w:eastAsia="仿宋" w:cs="仿宋"/>
                <w:b w:val="0"/>
                <w:i w:val="0"/>
                <w:color w:val="000000"/>
                <w:kern w:val="0"/>
                <w:sz w:val="32"/>
                <w:szCs w:val="32"/>
                <w:u w:val="none"/>
                <w:shd w:val="clear" w:fill="FFFFFF"/>
                <w:lang w:val="en-US" w:eastAsia="zh-CN" w:bidi="ar"/>
              </w:rPr>
            </w:pPr>
          </w:p>
        </w:tc>
        <w:tc>
          <w:tcPr>
            <w:tcW w:w="20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jc w:val="left"/>
              <w:textAlignment w:val="auto"/>
              <w:rPr>
                <w:rFonts w:hint="default"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638000.00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jc w:val="left"/>
              <w:textAlignment w:val="auto"/>
              <w:rPr>
                <w:rFonts w:hint="default"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签订合同后20日历天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jc w:val="center"/>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2</w:t>
            </w:r>
          </w:p>
        </w:tc>
        <w:tc>
          <w:tcPr>
            <w:tcW w:w="4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中元国际投资咨询中心有限公司</w:t>
            </w:r>
          </w:p>
        </w:tc>
        <w:tc>
          <w:tcPr>
            <w:tcW w:w="20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jc w:val="left"/>
              <w:textAlignment w:val="auto"/>
              <w:rPr>
                <w:rFonts w:hint="default"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630000.00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jc w:val="left"/>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签订合同后20日历天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19" w:hRule="atLeast"/>
          <w:tblCellSpacing w:w="0" w:type="dxa"/>
          <w:jc w:val="center"/>
        </w:trPr>
        <w:tc>
          <w:tcPr>
            <w:tcW w:w="62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3</w:t>
            </w:r>
          </w:p>
        </w:tc>
        <w:tc>
          <w:tcPr>
            <w:tcW w:w="440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北京中金万瑞工程咨询有限公司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p>
        </w:tc>
        <w:tc>
          <w:tcPr>
            <w:tcW w:w="200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jc w:val="left"/>
              <w:textAlignment w:val="auto"/>
              <w:rPr>
                <w:rFonts w:hint="default"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649000.00</w:t>
            </w:r>
          </w:p>
        </w:tc>
        <w:tc>
          <w:tcPr>
            <w:tcW w:w="256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jc w:val="left"/>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签订合同后20日历天</w:t>
            </w:r>
          </w:p>
        </w:tc>
      </w:tr>
    </w:tbl>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lang w:val="en-US" w:eastAsia="zh-CN"/>
        </w:rPr>
      </w:pPr>
    </w:p>
    <w:p>
      <w:pPr>
        <w:pStyle w:val="5"/>
        <w:keepNext w:val="0"/>
        <w:keepLines w:val="0"/>
        <w:pageBreakBefore w:val="0"/>
        <w:widowControl/>
        <w:numPr>
          <w:ilvl w:val="0"/>
          <w:numId w:val="1"/>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tbl>
      <w:tblPr>
        <w:tblStyle w:val="7"/>
        <w:tblW w:w="8260" w:type="dxa"/>
        <w:jc w:val="center"/>
        <w:tblCellSpacing w:w="0" w:type="dxa"/>
        <w:tblInd w:w="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186"/>
        <w:gridCol w:w="7074"/>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30" w:hRule="atLeast"/>
          <w:tblCellSpacing w:w="0" w:type="dxa"/>
          <w:jc w:val="center"/>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河南省工程咨询中心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中元国际投资咨询中心有限公司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118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07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北京中金万瑞工程咨询有限公司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right="0" w:firstLine="640" w:firstLineChars="200"/>
              <w:jc w:val="center"/>
              <w:textAlignment w:val="auto"/>
              <w:rPr>
                <w:rFonts w:hint="eastAsia" w:ascii="仿宋" w:hAnsi="仿宋" w:eastAsia="仿宋" w:cs="仿宋"/>
                <w:b w:val="0"/>
                <w:i w:val="0"/>
                <w:color w:val="000000"/>
                <w:kern w:val="0"/>
                <w:sz w:val="32"/>
                <w:szCs w:val="32"/>
                <w:u w:val="none"/>
                <w:shd w:val="clear" w:fill="FFFFFF"/>
                <w:lang w:val="en-US" w:eastAsia="zh-CN" w:bidi="ar"/>
              </w:rPr>
            </w:pP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320" w:firstLineChars="100"/>
        <w:jc w:val="left"/>
        <w:textAlignment w:val="auto"/>
      </w:pPr>
      <w:r>
        <w:rPr>
          <w:rFonts w:hint="eastAsia" w:ascii="黑体" w:hAnsi="宋体" w:eastAsia="黑体" w:cs="黑体"/>
          <w:color w:val="000000"/>
          <w:sz w:val="32"/>
          <w:szCs w:val="32"/>
          <w:u w:val="none"/>
          <w:shd w:val="clear" w:fill="FFFFFF"/>
        </w:rPr>
        <w:t>四、评审情况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三家</w:t>
      </w:r>
      <w:r>
        <w:rPr>
          <w:rFonts w:hint="eastAsia" w:ascii="仿宋" w:hAnsi="仿宋" w:eastAsia="仿宋" w:cs="仿宋"/>
          <w:b w:val="0"/>
          <w:i w:val="0"/>
          <w:color w:val="auto"/>
          <w:sz w:val="32"/>
          <w:szCs w:val="32"/>
          <w:u w:val="none"/>
          <w:shd w:val="clear" w:fill="FFFFFF"/>
        </w:rPr>
        <w:t>投标人均通过符合性审查</w:t>
      </w:r>
      <w:r>
        <w:rPr>
          <w:rFonts w:hint="eastAsia" w:ascii="仿宋" w:hAnsi="仿宋" w:eastAsia="仿宋" w:cs="仿宋"/>
          <w:b w:val="0"/>
          <w:i w:val="0"/>
          <w:color w:val="auto"/>
          <w:sz w:val="32"/>
          <w:szCs w:val="32"/>
          <w:u w:val="none"/>
          <w:shd w:val="clear" w:fill="FFFFFF"/>
          <w:lang w:eastAsia="zh-CN"/>
        </w:rPr>
        <w:t>。</w:t>
      </w:r>
      <w:r>
        <w:rPr>
          <w:rFonts w:hint="eastAsia" w:ascii="仿宋" w:hAnsi="仿宋" w:eastAsia="仿宋" w:cs="仿宋"/>
          <w:b w:val="0"/>
          <w:i w:val="0"/>
          <w:color w:val="auto"/>
          <w:sz w:val="32"/>
          <w:szCs w:val="32"/>
          <w:u w:val="none"/>
          <w:shd w:val="clear" w:fill="FFFFFF"/>
          <w:lang w:val="en-US" w:eastAsia="zh-CN"/>
        </w:rPr>
        <w:t>三家投标企业均通过硬件特征码防串围标分析。</w:t>
      </w:r>
    </w:p>
    <w:p>
      <w:pPr>
        <w:pStyle w:val="5"/>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rPr>
        <w:t>综合比较与评价</w:t>
      </w:r>
    </w:p>
    <w:tbl>
      <w:tblPr>
        <w:tblStyle w:val="7"/>
        <w:tblW w:w="8815" w:type="dxa"/>
        <w:jc w:val="center"/>
        <w:tblInd w:w="0" w:type="dxa"/>
        <w:shd w:val="clear" w:color="auto" w:fill="auto"/>
        <w:tblLayout w:type="fixed"/>
        <w:tblCellMar>
          <w:top w:w="0" w:type="dxa"/>
          <w:left w:w="0" w:type="dxa"/>
          <w:bottom w:w="0" w:type="dxa"/>
          <w:right w:w="0" w:type="dxa"/>
        </w:tblCellMar>
      </w:tblPr>
      <w:tblGrid>
        <w:gridCol w:w="904"/>
        <w:gridCol w:w="2150"/>
        <w:gridCol w:w="2237"/>
        <w:gridCol w:w="2086"/>
        <w:gridCol w:w="778"/>
        <w:gridCol w:w="240"/>
        <w:gridCol w:w="90"/>
        <w:gridCol w:w="240"/>
        <w:gridCol w:w="90"/>
      </w:tblGrid>
      <w:tr>
        <w:tblPrEx>
          <w:tblLayout w:type="fixed"/>
          <w:tblCellMar>
            <w:top w:w="0" w:type="dxa"/>
            <w:left w:w="0" w:type="dxa"/>
            <w:bottom w:w="0" w:type="dxa"/>
            <w:right w:w="0" w:type="dxa"/>
          </w:tblCellMar>
        </w:tblPrEx>
        <w:trPr>
          <w:trHeight w:val="690" w:hRule="atLeast"/>
          <w:jc w:val="center"/>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微软雅黑" w:hAnsi="微软雅黑" w:eastAsia="微软雅黑" w:cs="微软雅黑"/>
                <w:sz w:val="28"/>
                <w:szCs w:val="28"/>
                <w:lang w:val="en-US" w:eastAsia="zh-CN"/>
              </w:rPr>
              <w:t>河南省工程咨询中心</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trHeight w:val="9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29.62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89.62</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tblLayout w:type="fixed"/>
          <w:tblCellMar>
            <w:top w:w="0" w:type="dxa"/>
            <w:left w:w="0" w:type="dxa"/>
            <w:bottom w:w="0" w:type="dxa"/>
            <w:right w:w="0" w:type="dxa"/>
          </w:tblCellMar>
        </w:tblPrEx>
        <w:trPr>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78.62</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79.62</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90.62</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87.62</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b w:val="0"/>
                <w:i w:val="0"/>
              </w:rPr>
            </w:pPr>
            <w:r>
              <w:rPr>
                <w:rFonts w:hint="eastAsia" w:ascii="仿宋" w:hAnsi="仿宋" w:eastAsia="仿宋" w:cs="仿宋"/>
                <w:b w:val="0"/>
                <w:i w:val="0"/>
                <w:color w:val="000000"/>
                <w:sz w:val="24"/>
                <w:szCs w:val="24"/>
                <w:u w:val="none"/>
                <w:lang w:val="en-US"/>
              </w:rPr>
              <w:t> </w:t>
            </w: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b w:val="0"/>
                <w:i w:val="0"/>
              </w:rPr>
            </w:pPr>
            <w:r>
              <w:rPr>
                <w:rFonts w:hint="eastAsia" w:ascii="微软雅黑" w:hAnsi="微软雅黑" w:eastAsia="微软雅黑" w:cs="微软雅黑"/>
                <w:b w:val="0"/>
                <w:i w:val="0"/>
                <w:color w:val="000000"/>
                <w:kern w:val="0"/>
                <w:sz w:val="24"/>
                <w:szCs w:val="24"/>
                <w:lang w:val="en-US" w:eastAsia="zh-CN" w:bidi="ar"/>
              </w:rPr>
              <w:t> </w:t>
            </w: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85.22</w:t>
            </w:r>
          </w:p>
        </w:tc>
        <w:tc>
          <w:tcPr>
            <w:tcW w:w="240" w:type="dxa"/>
            <w:tcBorders>
              <w:top w:val="nil"/>
              <w:left w:val="single" w:color="auto" w:sz="4" w:space="0"/>
              <w:bottom w:val="nil"/>
              <w:right w:val="nil"/>
            </w:tcBorders>
            <w:shd w:val="clear" w:color="auto" w:fill="auto"/>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仿宋" w:hAnsi="仿宋" w:eastAsia="仿宋" w:cs="仿宋"/>
                <w:b w:val="0"/>
                <w:i w:val="0"/>
                <w:color w:val="000000"/>
                <w:sz w:val="24"/>
                <w:szCs w:val="24"/>
                <w:u w:val="none"/>
                <w:lang w:val="en-US"/>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24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c>
          <w:tcPr>
            <w:tcW w:w="90" w:type="dxa"/>
            <w:tcBorders>
              <w:top w:val="nil"/>
              <w:left w:val="nil"/>
              <w:bottom w:val="nil"/>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b w:val="0"/>
                <w:i w:val="0"/>
                <w:color w:val="000000"/>
                <w:kern w:val="0"/>
                <w:sz w:val="24"/>
                <w:szCs w:val="24"/>
                <w:lang w:val="en-US" w:eastAsia="zh-CN" w:bidi="ar"/>
              </w:rPr>
            </w:pPr>
          </w:p>
        </w:tc>
      </w:tr>
      <w:tr>
        <w:tblPrEx>
          <w:shd w:val="clear" w:color="auto" w:fill="auto"/>
          <w:tblLayout w:type="fixed"/>
          <w:tblCellMar>
            <w:top w:w="0" w:type="dxa"/>
            <w:left w:w="0" w:type="dxa"/>
            <w:bottom w:w="0" w:type="dxa"/>
            <w:right w:w="0" w:type="dxa"/>
          </w:tblCellMar>
        </w:tblPrEx>
        <w:trPr>
          <w:gridAfter w:val="4"/>
          <w:wAfter w:w="660" w:type="dxa"/>
          <w:trHeight w:val="690" w:hRule="atLeast"/>
          <w:jc w:val="center"/>
        </w:trPr>
        <w:tc>
          <w:tcPr>
            <w:tcW w:w="8155" w:type="dxa"/>
            <w:gridSpan w:val="5"/>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b w:val="0"/>
                <w:i w:val="0"/>
              </w:rPr>
            </w:pPr>
          </w:p>
        </w:tc>
      </w:tr>
      <w:tr>
        <w:tblPrEx>
          <w:shd w:val="clear" w:color="auto" w:fill="auto"/>
          <w:tblLayout w:type="fixed"/>
          <w:tblCellMar>
            <w:top w:w="0" w:type="dxa"/>
            <w:left w:w="0" w:type="dxa"/>
            <w:bottom w:w="0" w:type="dxa"/>
            <w:right w:w="0" w:type="dxa"/>
          </w:tblCellMar>
        </w:tblPrEx>
        <w:trPr>
          <w:gridAfter w:val="4"/>
          <w:wAfter w:w="660" w:type="dxa"/>
          <w:trHeight w:val="690" w:hRule="atLeast"/>
          <w:jc w:val="center"/>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中元国际投资咨询中心有限公司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rFonts w:hint="eastAsia"/>
                <w:lang w:val="en-US" w:eastAsia="zh-CN"/>
              </w:rPr>
            </w:pPr>
          </w:p>
        </w:tc>
      </w:tr>
      <w:tr>
        <w:tblPrEx>
          <w:shd w:val="clear" w:color="auto" w:fill="auto"/>
          <w:tblLayout w:type="fixed"/>
          <w:tblCellMar>
            <w:top w:w="0" w:type="dxa"/>
            <w:left w:w="0" w:type="dxa"/>
            <w:bottom w:w="0" w:type="dxa"/>
            <w:right w:w="0" w:type="dxa"/>
          </w:tblCellMar>
        </w:tblPrEx>
        <w:trPr>
          <w:gridAfter w:val="4"/>
          <w:wAfter w:w="660" w:type="dxa"/>
          <w:trHeight w:val="708"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b w:val="0"/>
                <w:i w:val="0"/>
                <w:lang w:val="en-US" w:eastAsia="zh-CN"/>
              </w:rPr>
            </w:pPr>
            <w:r>
              <w:rPr>
                <w:rFonts w:hint="eastAsia"/>
                <w:b w:val="0"/>
                <w:i w:val="0"/>
                <w:lang w:val="en-US" w:eastAsia="zh-CN"/>
              </w:rPr>
              <w:t>30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97</w:t>
            </w:r>
          </w:p>
        </w:tc>
      </w:tr>
      <w:tr>
        <w:tblPrEx>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82</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30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93</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30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89</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88.40</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nil"/>
              <w:bottom w:val="single" w:color="auto" w:sz="4"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仿宋" w:hAnsi="仿宋" w:eastAsia="仿宋" w:cs="仿宋"/>
                <w:b/>
                <w:i w:val="0"/>
                <w:color w:val="000000"/>
                <w:kern w:val="0"/>
                <w:sz w:val="24"/>
                <w:szCs w:val="24"/>
                <w:u w:val="none"/>
                <w:lang w:val="en-US" w:eastAsia="zh-CN" w:bidi="ar"/>
              </w:rPr>
            </w:pPr>
          </w:p>
        </w:tc>
        <w:tc>
          <w:tcPr>
            <w:tcW w:w="7251" w:type="dxa"/>
            <w:gridSpan w:val="4"/>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b w:val="0"/>
                <w:i w:val="0"/>
                <w:lang w:val="en-US" w:eastAsia="zh-CN"/>
              </w:rPr>
            </w:pPr>
          </w:p>
        </w:tc>
      </w:tr>
      <w:tr>
        <w:tblPrEx>
          <w:tblLayout w:type="fixed"/>
          <w:tblCellMar>
            <w:top w:w="0" w:type="dxa"/>
            <w:left w:w="0" w:type="dxa"/>
            <w:bottom w:w="0" w:type="dxa"/>
            <w:right w:w="0" w:type="dxa"/>
          </w:tblCellMar>
        </w:tblPrEx>
        <w:trPr>
          <w:gridAfter w:val="4"/>
          <w:wAfter w:w="660" w:type="dxa"/>
          <w:trHeight w:val="690" w:hRule="atLeast"/>
          <w:jc w:val="center"/>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北京中金万瑞工程咨询有限公司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tc>
      </w:tr>
      <w:tr>
        <w:tblPrEx>
          <w:shd w:val="clear" w:color="auto" w:fill="auto"/>
          <w:tblLayout w:type="fixed"/>
          <w:tblCellMar>
            <w:top w:w="0" w:type="dxa"/>
            <w:left w:w="0" w:type="dxa"/>
            <w:bottom w:w="0" w:type="dxa"/>
            <w:right w:w="0" w:type="dxa"/>
          </w:tblCellMar>
        </w:tblPrEx>
        <w:trPr>
          <w:gridAfter w:val="4"/>
          <w:wAfter w:w="660" w:type="dxa"/>
          <w:trHeight w:val="731"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20分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27.37</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15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33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75.37</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27.37</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62.37</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27.37</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62.37</w:t>
            </w:r>
          </w:p>
        </w:tc>
      </w:tr>
      <w:tr>
        <w:tblPrEx>
          <w:shd w:val="clear" w:color="auto" w:fill="auto"/>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27.37</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73.37</w:t>
            </w:r>
          </w:p>
        </w:tc>
      </w:tr>
      <w:tr>
        <w:tblPrEx>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27.37</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70.37</w:t>
            </w:r>
          </w:p>
        </w:tc>
      </w:tr>
      <w:tr>
        <w:tblPrEx>
          <w:tblLayout w:type="fixed"/>
          <w:tblCellMar>
            <w:top w:w="0" w:type="dxa"/>
            <w:left w:w="0" w:type="dxa"/>
            <w:bottom w:w="0" w:type="dxa"/>
            <w:right w:w="0" w:type="dxa"/>
          </w:tblCellMar>
        </w:tblPrEx>
        <w:trPr>
          <w:gridAfter w:val="4"/>
          <w:wAfter w:w="660" w:type="dxa"/>
          <w:trHeight w:val="510" w:hRule="atLeast"/>
          <w:jc w:val="center"/>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68.77</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widowControl/>
        <w:suppressLineNumbers w:val="0"/>
        <w:ind w:firstLine="560" w:firstLineChars="200"/>
        <w:jc w:val="left"/>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三家投标企业有两家为中小企业（河南省工程咨询中心和中元国际投资咨询中心有限公司）。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default"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7"/>
        <w:tblpPr w:leftFromText="180" w:rightFromText="180" w:vertAnchor="text" w:horzAnchor="page" w:tblpX="1650" w:tblpY="181"/>
        <w:tblOverlap w:val="never"/>
        <w:tblW w:w="9320"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03"/>
        <w:gridCol w:w="4484"/>
        <w:gridCol w:w="1909"/>
        <w:gridCol w:w="202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677"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72"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1</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中元国际投资咨询中心有限公司</w:t>
            </w:r>
          </w:p>
          <w:p>
            <w:pPr>
              <w:spacing w:line="320" w:lineRule="exact"/>
              <w:jc w:val="left"/>
              <w:textAlignment w:val="baseline"/>
              <w:rPr>
                <w:rFonts w:hint="default"/>
                <w:lang w:val="en-US" w:eastAsia="zh-CN"/>
              </w:rPr>
            </w:pP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32"/>
                <w:szCs w:val="32"/>
                <w:lang w:val="en-US" w:eastAsia="zh-CN"/>
              </w:rPr>
            </w:pPr>
            <w:r>
              <w:rPr>
                <w:rFonts w:hint="eastAsia"/>
                <w:color w:val="auto"/>
                <w:sz w:val="32"/>
                <w:szCs w:val="32"/>
                <w:lang w:val="en-US" w:eastAsia="zh-CN"/>
              </w:rPr>
              <w:t>88.40</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32"/>
                <w:szCs w:val="32"/>
                <w:lang w:val="en-US" w:eastAsia="zh-CN"/>
              </w:rPr>
            </w:pPr>
            <w:r>
              <w:rPr>
                <w:rFonts w:hint="eastAsia"/>
                <w:color w:val="auto"/>
                <w:sz w:val="32"/>
                <w:szCs w:val="32"/>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72"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河南省工程咨询中心</w:t>
            </w:r>
          </w:p>
          <w:p>
            <w:pPr>
              <w:spacing w:line="320" w:lineRule="exact"/>
              <w:jc w:val="left"/>
              <w:textAlignment w:val="baseline"/>
              <w:rPr>
                <w:rFonts w:hint="eastAsia" w:ascii="仿宋" w:hAnsi="仿宋" w:eastAsia="仿宋"/>
                <w:sz w:val="30"/>
                <w:szCs w:val="30"/>
                <w:lang w:val="en-US" w:eastAsia="zh-CN"/>
              </w:rPr>
            </w:pP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32"/>
                <w:szCs w:val="32"/>
                <w:lang w:val="en-US" w:eastAsia="zh-CN"/>
              </w:rPr>
            </w:pPr>
            <w:r>
              <w:rPr>
                <w:rFonts w:hint="eastAsia"/>
                <w:color w:val="auto"/>
                <w:sz w:val="32"/>
                <w:szCs w:val="32"/>
                <w:lang w:val="en-US" w:eastAsia="zh-CN"/>
              </w:rPr>
              <w:t>85.22</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92" w:hRule="atLeast"/>
          <w:tblCellSpacing w:w="0" w:type="dxa"/>
        </w:trPr>
        <w:tc>
          <w:tcPr>
            <w:tcW w:w="9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3</w:t>
            </w:r>
          </w:p>
        </w:tc>
        <w:tc>
          <w:tcPr>
            <w:tcW w:w="44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北京中金万瑞工程咨询有限公司</w:t>
            </w:r>
          </w:p>
          <w:p>
            <w:pPr>
              <w:spacing w:line="320" w:lineRule="exact"/>
              <w:jc w:val="left"/>
              <w:textAlignment w:val="baseline"/>
              <w:rPr>
                <w:rFonts w:hint="eastAsia" w:ascii="仿宋" w:hAnsi="仿宋" w:eastAsia="仿宋" w:cs="仿宋"/>
                <w:b w:val="0"/>
                <w:bCs/>
                <w:kern w:val="0"/>
                <w:sz w:val="24"/>
                <w:szCs w:val="24"/>
                <w:lang w:val="en-US" w:eastAsia="zh-CN"/>
              </w:rPr>
            </w:pPr>
          </w:p>
        </w:tc>
        <w:tc>
          <w:tcPr>
            <w:tcW w:w="190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32"/>
                <w:szCs w:val="32"/>
                <w:lang w:val="en-US" w:eastAsia="zh-CN"/>
              </w:rPr>
            </w:pPr>
            <w:r>
              <w:rPr>
                <w:rFonts w:hint="eastAsia"/>
                <w:color w:val="auto"/>
                <w:sz w:val="32"/>
                <w:szCs w:val="32"/>
                <w:lang w:val="en-US" w:eastAsia="zh-CN"/>
              </w:rPr>
              <w:t>68.77</w:t>
            </w:r>
          </w:p>
        </w:tc>
        <w:tc>
          <w:tcPr>
            <w:tcW w:w="202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321" w:firstLineChars="100"/>
        <w:jc w:val="left"/>
        <w:textAlignment w:val="auto"/>
        <w:rPr>
          <w:b/>
          <w:bCs/>
        </w:rPr>
      </w:pPr>
      <w:r>
        <w:rPr>
          <w:rFonts w:hint="eastAsia" w:ascii="仿宋" w:hAnsi="仿宋" w:eastAsia="仿宋" w:cs="仿宋"/>
          <w:b/>
          <w:bCs/>
          <w:color w:val="000000"/>
          <w:sz w:val="32"/>
          <w:szCs w:val="32"/>
          <w:u w:val="none"/>
          <w:shd w:val="clear" w:fill="FFFFFF"/>
        </w:rPr>
        <w:t>第一中标候选人</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中标候选人</w:t>
      </w:r>
      <w:r>
        <w:rPr>
          <w:rFonts w:hint="eastAsia" w:ascii="仿宋" w:hAnsi="仿宋" w:eastAsia="仿宋" w:cs="仿宋"/>
          <w:color w:val="000000"/>
          <w:sz w:val="32"/>
          <w:szCs w:val="32"/>
          <w:u w:val="none"/>
          <w:shd w:val="clear" w:fill="FFFFFF"/>
          <w:lang w:val="en-US" w:eastAsia="zh-CN"/>
        </w:rPr>
        <w:t>名称：中元国际投资咨询</w:t>
      </w:r>
      <w:r>
        <w:rPr>
          <w:rFonts w:hint="eastAsia" w:ascii="仿宋" w:hAnsi="仿宋" w:eastAsia="仿宋" w:cs="仿宋"/>
          <w:color w:val="000000"/>
          <w:sz w:val="32"/>
          <w:szCs w:val="32"/>
          <w:u w:val="none"/>
          <w:shd w:val="clear" w:fill="FFFFFF"/>
        </w:rPr>
        <w:t>有限公司</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rPr>
        <w:t>地址：</w:t>
      </w:r>
      <w:r>
        <w:rPr>
          <w:rFonts w:hint="eastAsia" w:ascii="仿宋" w:hAnsi="仿宋" w:eastAsia="仿宋" w:cs="仿宋"/>
          <w:color w:val="000000"/>
          <w:sz w:val="32"/>
          <w:szCs w:val="32"/>
          <w:u w:val="none"/>
          <w:shd w:val="clear" w:fill="FFFFFF"/>
          <w:lang w:val="en-US" w:eastAsia="zh-CN"/>
        </w:rPr>
        <w:t>北京市朝阳区和平街东土城路 12 号院 3 号楼F4</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41"/>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联系人：</w:t>
      </w:r>
      <w:r>
        <w:rPr>
          <w:rFonts w:hint="eastAsia" w:ascii="仿宋" w:hAnsi="仿宋" w:eastAsia="仿宋" w:cs="仿宋"/>
          <w:color w:val="000000"/>
          <w:sz w:val="32"/>
          <w:szCs w:val="32"/>
          <w:u w:val="none"/>
          <w:shd w:val="clear" w:fill="FFFFFF"/>
          <w:lang w:val="en-US" w:eastAsia="zh-CN"/>
        </w:rPr>
        <w:t xml:space="preserve">李佳弥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010-64512011</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firstLine="630"/>
        <w:jc w:val="left"/>
        <w:textAlignment w:val="auto"/>
        <w:rPr>
          <w:rFonts w:hint="eastAsia" w:ascii="ËÎÌå" w:hAnsi="ËÎÌå" w:eastAsia="宋体"/>
          <w:sz w:val="24"/>
          <w:lang w:eastAsia="zh-CN"/>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陆拾叁万元整（</w:t>
      </w:r>
      <w:r>
        <w:rPr>
          <w:rFonts w:hint="eastAsia" w:ascii="ËÎÌå" w:hAnsi="ËÎÌå" w:eastAsia="宋体"/>
          <w:sz w:val="28"/>
          <w:szCs w:val="28"/>
          <w:lang w:val="en-US" w:eastAsia="zh-CN"/>
        </w:rPr>
        <w:t>630000</w:t>
      </w:r>
      <w:r>
        <w:rPr>
          <w:rFonts w:hint="default" w:ascii="ËÎÌå" w:hAnsi="ËÎÌå" w:eastAsia="ËÎÌå"/>
          <w:sz w:val="28"/>
          <w:szCs w:val="28"/>
        </w:rPr>
        <w:t>.</w:t>
      </w:r>
      <w:r>
        <w:rPr>
          <w:rFonts w:hint="eastAsia" w:ascii="ËÎÌå" w:hAnsi="ËÎÌå" w:eastAsia="宋体"/>
          <w:sz w:val="28"/>
          <w:szCs w:val="28"/>
          <w:lang w:val="en-US" w:eastAsia="zh-CN"/>
        </w:rPr>
        <w:t>0</w:t>
      </w:r>
      <w:r>
        <w:rPr>
          <w:rFonts w:hint="default" w:ascii="ËÎÌå" w:hAnsi="ËÎÌå" w:eastAsia="ËÎÌå"/>
          <w:sz w:val="28"/>
          <w:szCs w:val="28"/>
        </w:rPr>
        <w:t>0</w:t>
      </w:r>
      <w:r>
        <w:rPr>
          <w:rFonts w:hint="eastAsia" w:ascii="ËÎÌå" w:hAnsi="ËÎÌå" w:eastAsia="宋体"/>
          <w:sz w:val="24"/>
          <w:lang w:val="en-US" w:eastAsia="zh-CN"/>
        </w:rPr>
        <w:t>元</w:t>
      </w:r>
      <w:r>
        <w:rPr>
          <w:rFonts w:hint="eastAsia" w:ascii="ËÎÌå" w:hAnsi="ËÎÌå" w:eastAsia="宋体"/>
          <w:sz w:val="24"/>
          <w:lang w:eastAsia="zh-CN"/>
        </w:rPr>
        <w:t>）</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301" w:firstLineChars="100"/>
        <w:jc w:val="left"/>
        <w:textAlignment w:val="auto"/>
        <w:rPr>
          <w:rFonts w:hint="eastAsia" w:ascii="仿宋" w:hAnsi="仿宋" w:eastAsia="仿宋" w:cstheme="minorBidi"/>
          <w:b/>
          <w:bCs/>
          <w:kern w:val="2"/>
          <w:sz w:val="30"/>
          <w:szCs w:val="30"/>
          <w:lang w:val="en-US" w:eastAsia="zh-CN" w:bidi="ar-SA"/>
        </w:rPr>
      </w:pPr>
      <w:r>
        <w:rPr>
          <w:rFonts w:hint="eastAsia" w:ascii="仿宋" w:hAnsi="仿宋" w:eastAsia="仿宋" w:cstheme="minorBidi"/>
          <w:b/>
          <w:bCs/>
          <w:kern w:val="2"/>
          <w:sz w:val="30"/>
          <w:szCs w:val="30"/>
          <w:lang w:val="en-US" w:eastAsia="zh-CN" w:bidi="ar-SA"/>
        </w:rPr>
        <w:t>第二中标候选人</w:t>
      </w:r>
    </w:p>
    <w:p>
      <w:pPr>
        <w:keepNext w:val="0"/>
        <w:keepLines w:val="0"/>
        <w:widowControl/>
        <w:suppressLineNumbers w:val="0"/>
        <w:ind w:firstLine="600" w:firstLineChars="200"/>
        <w:jc w:val="left"/>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（一）中标候选人名称：河南省工程咨询中心</w:t>
      </w:r>
    </w:p>
    <w:p>
      <w:pPr>
        <w:keepNext w:val="0"/>
        <w:keepLines w:val="0"/>
        <w:widowControl/>
        <w:suppressLineNumbers w:val="0"/>
        <w:ind w:firstLine="600" w:firstLineChars="200"/>
        <w:jc w:val="left"/>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（二）地址：郑东新区金水东路 49 号 3 号楼 A 座</w:t>
      </w:r>
    </w:p>
    <w:p>
      <w:pPr>
        <w:keepNext w:val="0"/>
        <w:keepLines w:val="0"/>
        <w:widowControl/>
        <w:suppressLineNumbers w:val="0"/>
        <w:ind w:firstLine="600" w:firstLineChars="200"/>
        <w:jc w:val="left"/>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（三）联系人：严鹏         联系方式：0371-63910687</w:t>
      </w:r>
    </w:p>
    <w:p>
      <w:pPr>
        <w:keepNext w:val="0"/>
        <w:keepLines w:val="0"/>
        <w:widowControl/>
        <w:suppressLineNumbers w:val="0"/>
        <w:ind w:firstLine="600" w:firstLineChars="200"/>
        <w:jc w:val="left"/>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（四）中标金额：陆拾叁万捌仟元整（638000.00元）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321" w:firstLineChars="100"/>
        <w:jc w:val="left"/>
        <w:textAlignment w:val="auto"/>
        <w:rPr>
          <w:b/>
          <w:bCs/>
        </w:rPr>
      </w:pPr>
      <w:r>
        <w:rPr>
          <w:rFonts w:hint="eastAsia" w:ascii="仿宋" w:hAnsi="仿宋" w:eastAsia="仿宋" w:cs="仿宋"/>
          <w:b/>
          <w:bCs/>
          <w:color w:val="000000"/>
          <w:sz w:val="32"/>
          <w:szCs w:val="32"/>
          <w:u w:val="none"/>
          <w:shd w:val="clear" w:fill="FFFFFF"/>
        </w:rPr>
        <w:t>第</w:t>
      </w:r>
      <w:r>
        <w:rPr>
          <w:rFonts w:hint="eastAsia" w:ascii="仿宋" w:hAnsi="仿宋" w:eastAsia="仿宋" w:cs="仿宋"/>
          <w:b/>
          <w:bCs/>
          <w:color w:val="000000"/>
          <w:sz w:val="32"/>
          <w:szCs w:val="32"/>
          <w:u w:val="none"/>
          <w:shd w:val="clear" w:fill="FFFFFF"/>
          <w:lang w:val="en-US" w:eastAsia="zh-CN"/>
        </w:rPr>
        <w:t>三</w:t>
      </w:r>
      <w:r>
        <w:rPr>
          <w:rFonts w:hint="eastAsia" w:ascii="仿宋" w:hAnsi="仿宋" w:eastAsia="仿宋" w:cs="仿宋"/>
          <w:b/>
          <w:bCs/>
          <w:color w:val="000000"/>
          <w:sz w:val="32"/>
          <w:szCs w:val="32"/>
          <w:u w:val="none"/>
          <w:shd w:val="clear" w:fill="FFFFFF"/>
        </w:rPr>
        <w:t>中标候选人</w:t>
      </w:r>
    </w:p>
    <w:p>
      <w:pPr>
        <w:keepNext w:val="0"/>
        <w:keepLines w:val="0"/>
        <w:widowControl/>
        <w:suppressLineNumbers w:val="0"/>
        <w:ind w:firstLine="600" w:firstLineChars="200"/>
        <w:jc w:val="left"/>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（一）中标候选人名称：北京中金万瑞工程咨询有限公司</w:t>
      </w:r>
    </w:p>
    <w:p>
      <w:pPr>
        <w:keepNext w:val="0"/>
        <w:keepLines w:val="0"/>
        <w:widowControl/>
        <w:suppressLineNumbers w:val="0"/>
        <w:ind w:firstLine="600" w:firstLineChars="200"/>
        <w:jc w:val="left"/>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（二）地址：北京市丰台区马家堡西路 15 号 2-2205</w:t>
      </w:r>
    </w:p>
    <w:p>
      <w:pPr>
        <w:keepNext w:val="0"/>
        <w:keepLines w:val="0"/>
        <w:widowControl/>
        <w:suppressLineNumbers w:val="0"/>
        <w:ind w:firstLine="600" w:firstLineChars="200"/>
        <w:jc w:val="left"/>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（三）联系人：李颖谦     联系方式：010-67525296.</w:t>
      </w:r>
    </w:p>
    <w:p>
      <w:pPr>
        <w:keepNext w:val="0"/>
        <w:keepLines w:val="0"/>
        <w:widowControl/>
        <w:suppressLineNumbers w:val="0"/>
        <w:ind w:firstLine="600" w:firstLineChars="200"/>
        <w:jc w:val="left"/>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（四）中标金额：陆拾肆万玖仟元整（649000.00元）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firstLine="640" w:firstLineChars="200"/>
        <w:jc w:val="left"/>
        <w:textAlignment w:val="auto"/>
      </w:pPr>
      <w:r>
        <w:rPr>
          <w:rFonts w:hint="eastAsia" w:ascii="黑体" w:hAnsi="宋体" w:eastAsia="黑体" w:cs="黑体"/>
          <w:color w:val="000000"/>
          <w:sz w:val="32"/>
          <w:szCs w:val="32"/>
          <w:u w:val="none"/>
          <w:shd w:val="clear" w:fill="FFFFFF"/>
        </w:rPr>
        <w:t>六、投标人根据评标委员会要求进行的澄清、说明或者补正：无。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auto"/>
        <w:ind w:left="0" w:right="0"/>
        <w:jc w:val="left"/>
        <w:textAlignment w:val="auto"/>
      </w:pPr>
      <w:r>
        <w:rPr>
          <w:rFonts w:hint="eastAsia" w:ascii="微软雅黑" w:hAnsi="微软雅黑" w:eastAsia="微软雅黑" w:cs="微软雅黑"/>
          <w:color w:val="333333"/>
          <w:sz w:val="18"/>
          <w:szCs w:val="18"/>
          <w:u w:val="none"/>
          <w:shd w:val="clear" w:fill="FFFFFF"/>
          <w:lang w:val="en-US"/>
        </w:rPr>
        <w:t>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微软雅黑" w:hAnsi="微软雅黑" w:eastAsia="微软雅黑" w:cs="微软雅黑"/>
          <w:color w:val="333333"/>
          <w:sz w:val="18"/>
          <w:szCs w:val="18"/>
          <w:u w:val="none"/>
          <w:shd w:val="clear" w:fill="FFFFFF"/>
          <w:lang w:val="en-US"/>
        </w:rPr>
        <w:t xml:space="preserve">  </w:t>
      </w:r>
      <w:r>
        <w:rPr>
          <w:rFonts w:hint="eastAsia" w:ascii="黑体" w:hAnsi="宋体" w:eastAsia="黑体" w:cs="黑体"/>
          <w:color w:val="000000"/>
          <w:sz w:val="32"/>
          <w:szCs w:val="32"/>
          <w:u w:val="none"/>
          <w:shd w:val="clear" w:fill="FFFFFF"/>
        </w:rPr>
        <w:t>七、是否存在评标委员会成员更换：无。</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640" w:firstLineChars="200"/>
        <w:jc w:val="left"/>
        <w:textAlignment w:val="auto"/>
        <w:rPr>
          <w:rFonts w:hint="eastAsia" w:ascii="黑体" w:hAnsi="宋体" w:eastAsia="黑体" w:cs="黑体"/>
          <w:color w:val="000000"/>
          <w:sz w:val="32"/>
          <w:szCs w:val="32"/>
          <w:u w:val="none"/>
          <w:shd w:val="clear" w:fill="FFFFFF"/>
          <w:lang w:val="en-US" w:eastAsia="zh-CN"/>
        </w:rPr>
      </w:pP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640" w:firstLineChars="2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八、评标委员会主任：宋京铎</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360" w:lineRule="auto"/>
        <w:ind w:right="0" w:rightChars="0" w:firstLine="640" w:firstLineChars="2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评标委员会成员：宋京铎、化伟炜、耿进环、杨会超、李超锋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bookmarkStart w:id="0" w:name="_GoBack"/>
      <w:bookmarkEnd w:id="0"/>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jc w:val="left"/>
        <w:textAlignment w:val="auto"/>
        <w:rPr>
          <w:rFonts w:hint="eastAsia" w:ascii="黑体" w:hAnsi="宋体" w:eastAsia="黑体" w:cs="黑体"/>
          <w:color w:val="000000"/>
          <w:sz w:val="32"/>
          <w:szCs w:val="32"/>
          <w:u w:val="none"/>
          <w:shd w:val="clear" w:fill="FFFFFF"/>
          <w:lang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default"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2019年11月21日</w:t>
      </w:r>
    </w:p>
    <w:sectPr>
      <w:footerReference r:id="rId3" w:type="default"/>
      <w:pgSz w:w="11906" w:h="16838"/>
      <w:pgMar w:top="1134" w:right="952" w:bottom="1134" w:left="1066"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ËÎÌå">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910D5A"/>
    <w:multiLevelType w:val="singleLevel"/>
    <w:tmpl w:val="AD910D5A"/>
    <w:lvl w:ilvl="0" w:tentative="0">
      <w:start w:val="2"/>
      <w:numFmt w:val="chineseCounting"/>
      <w:suff w:val="nothing"/>
      <w:lvlText w:val="（%1）"/>
      <w:lvlJc w:val="left"/>
      <w:rPr>
        <w:rFonts w:hint="eastAsia"/>
      </w:rPr>
    </w:lvl>
  </w:abstractNum>
  <w:abstractNum w:abstractNumId="1">
    <w:nsid w:val="00F323F2"/>
    <w:multiLevelType w:val="singleLevel"/>
    <w:tmpl w:val="00F323F2"/>
    <w:lvl w:ilvl="0" w:tentative="0">
      <w:start w:val="3"/>
      <w:numFmt w:val="chineseCounting"/>
      <w:suff w:val="nothing"/>
      <w:lvlText w:val="%1、"/>
      <w:lvlJc w:val="left"/>
      <w:rPr>
        <w:rFonts w:hint="eastAsia"/>
      </w:rPr>
    </w:lvl>
  </w:abstractNum>
  <w:abstractNum w:abstractNumId="2">
    <w:nsid w:val="2C4EE6C9"/>
    <w:multiLevelType w:val="singleLevel"/>
    <w:tmpl w:val="2C4EE6C9"/>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55112"/>
    <w:rsid w:val="011D6BF3"/>
    <w:rsid w:val="02293BCF"/>
    <w:rsid w:val="03945596"/>
    <w:rsid w:val="04671CFA"/>
    <w:rsid w:val="04D90A7E"/>
    <w:rsid w:val="05540414"/>
    <w:rsid w:val="084D7982"/>
    <w:rsid w:val="090E1295"/>
    <w:rsid w:val="0CC365CC"/>
    <w:rsid w:val="0D9349B6"/>
    <w:rsid w:val="0E3D02A4"/>
    <w:rsid w:val="10692AA0"/>
    <w:rsid w:val="10CF5CB0"/>
    <w:rsid w:val="110856A5"/>
    <w:rsid w:val="11365DD9"/>
    <w:rsid w:val="15F80B12"/>
    <w:rsid w:val="17941A50"/>
    <w:rsid w:val="17D926FA"/>
    <w:rsid w:val="1B3D4029"/>
    <w:rsid w:val="1C411794"/>
    <w:rsid w:val="1F2255FF"/>
    <w:rsid w:val="241B0D7E"/>
    <w:rsid w:val="2726556D"/>
    <w:rsid w:val="27E979DF"/>
    <w:rsid w:val="29323931"/>
    <w:rsid w:val="2C2048EF"/>
    <w:rsid w:val="2ED67925"/>
    <w:rsid w:val="2F4729AA"/>
    <w:rsid w:val="314F13DD"/>
    <w:rsid w:val="35330DB1"/>
    <w:rsid w:val="36356700"/>
    <w:rsid w:val="37010A7F"/>
    <w:rsid w:val="37412482"/>
    <w:rsid w:val="39232410"/>
    <w:rsid w:val="399B24AE"/>
    <w:rsid w:val="3AC062E3"/>
    <w:rsid w:val="3B403C77"/>
    <w:rsid w:val="3DE177DD"/>
    <w:rsid w:val="3FA9469F"/>
    <w:rsid w:val="407D60D1"/>
    <w:rsid w:val="42A668D7"/>
    <w:rsid w:val="43157E87"/>
    <w:rsid w:val="44D91D9E"/>
    <w:rsid w:val="463B1FB6"/>
    <w:rsid w:val="47C10BA9"/>
    <w:rsid w:val="48B2260A"/>
    <w:rsid w:val="497479F3"/>
    <w:rsid w:val="4A6149B1"/>
    <w:rsid w:val="4CEE4856"/>
    <w:rsid w:val="4E227001"/>
    <w:rsid w:val="50A67D40"/>
    <w:rsid w:val="53D270CB"/>
    <w:rsid w:val="53D32935"/>
    <w:rsid w:val="54664783"/>
    <w:rsid w:val="549433D5"/>
    <w:rsid w:val="54FD6E01"/>
    <w:rsid w:val="5530500D"/>
    <w:rsid w:val="56173DAF"/>
    <w:rsid w:val="579F7AD9"/>
    <w:rsid w:val="58463D8D"/>
    <w:rsid w:val="58835CFD"/>
    <w:rsid w:val="593461A4"/>
    <w:rsid w:val="59780E4E"/>
    <w:rsid w:val="5A1C57AD"/>
    <w:rsid w:val="5D3E6B5A"/>
    <w:rsid w:val="5D5C6114"/>
    <w:rsid w:val="5DA23E33"/>
    <w:rsid w:val="5DE74906"/>
    <w:rsid w:val="5FCF11E9"/>
    <w:rsid w:val="61B341FB"/>
    <w:rsid w:val="62433A0F"/>
    <w:rsid w:val="63063A96"/>
    <w:rsid w:val="66A91641"/>
    <w:rsid w:val="67741462"/>
    <w:rsid w:val="696571F2"/>
    <w:rsid w:val="725F08F8"/>
    <w:rsid w:val="72702DD6"/>
    <w:rsid w:val="7280777C"/>
    <w:rsid w:val="75F8518C"/>
    <w:rsid w:val="77885C7D"/>
    <w:rsid w:val="77B97AA5"/>
    <w:rsid w:val="797803F6"/>
    <w:rsid w:val="7E842FE0"/>
    <w:rsid w:val="7F241F7A"/>
    <w:rsid w:val="7F39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6">
    <w:name w:val="Body Text First Indent"/>
    <w:basedOn w:val="2"/>
    <w:qFormat/>
    <w:uiPriority w:val="0"/>
    <w:pPr>
      <w:ind w:firstLine="420" w:firstLineChars="100"/>
    </w:pPr>
    <w:rPr>
      <w:rFonts w:ascii="宋体" w:hAnsi="Times New Roman" w:eastAsia="宋体" w:cs="Times New Roman"/>
      <w:kern w:val="0"/>
      <w:sz w:val="34"/>
      <w:szCs w:val="20"/>
    </w:r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sz w:val="18"/>
      <w:szCs w:val="18"/>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CC0000"/>
    </w:rPr>
  </w:style>
  <w:style w:type="character" w:customStyle="1" w:styleId="15">
    <w:name w:val="red3"/>
    <w:basedOn w:val="8"/>
    <w:qFormat/>
    <w:uiPriority w:val="0"/>
    <w:rPr>
      <w:color w:val="FF0000"/>
    </w:rPr>
  </w:style>
  <w:style w:type="character" w:customStyle="1" w:styleId="16">
    <w:name w:val="green"/>
    <w:basedOn w:val="8"/>
    <w:qFormat/>
    <w:uiPriority w:val="0"/>
    <w:rPr>
      <w:color w:val="66AE00"/>
      <w:sz w:val="18"/>
      <w:szCs w:val="18"/>
    </w:rPr>
  </w:style>
  <w:style w:type="character" w:customStyle="1" w:styleId="17">
    <w:name w:val="green1"/>
    <w:basedOn w:val="8"/>
    <w:qFormat/>
    <w:uiPriority w:val="0"/>
    <w:rPr>
      <w:color w:val="66AE00"/>
      <w:sz w:val="18"/>
      <w:szCs w:val="18"/>
    </w:rPr>
  </w:style>
  <w:style w:type="character" w:customStyle="1" w:styleId="18">
    <w:name w:val="hover25"/>
    <w:basedOn w:val="8"/>
    <w:qFormat/>
    <w:uiPriority w:val="0"/>
  </w:style>
  <w:style w:type="character" w:customStyle="1" w:styleId="19">
    <w:name w:val="gb-jt"/>
    <w:basedOn w:val="8"/>
    <w:qFormat/>
    <w:uiPriority w:val="0"/>
  </w:style>
  <w:style w:type="character" w:customStyle="1" w:styleId="20">
    <w:name w:val="blue"/>
    <w:basedOn w:val="8"/>
    <w:qFormat/>
    <w:uiPriority w:val="0"/>
    <w:rPr>
      <w:color w:val="0371C6"/>
      <w:sz w:val="21"/>
      <w:szCs w:val="21"/>
    </w:rPr>
  </w:style>
  <w:style w:type="character" w:customStyle="1" w:styleId="21">
    <w:name w:val="right"/>
    <w:basedOn w:val="8"/>
    <w:qFormat/>
    <w:uiPriority w:val="0"/>
    <w:rPr>
      <w:color w:val="999999"/>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2019-10-28T06:15:00Z</cp:lastPrinted>
  <dcterms:modified xsi:type="dcterms:W3CDTF">2019-11-21T04:29:48Z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