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48"/>
          <w:szCs w:val="48"/>
          <w:lang w:val="en-US" w:eastAsia="zh-CN"/>
        </w:rPr>
      </w:pPr>
      <w:r>
        <w:rPr>
          <w:rFonts w:hint="eastAsia" w:ascii="黑体" w:hAnsi="黑体" w:eastAsia="黑体" w:cs="黑体"/>
          <w:b/>
          <w:bCs/>
          <w:sz w:val="48"/>
          <w:szCs w:val="48"/>
          <w:lang w:eastAsia="zh-CN"/>
        </w:rPr>
        <w:t>禹州市</w:t>
      </w:r>
      <w:r>
        <w:rPr>
          <w:rFonts w:hint="eastAsia" w:ascii="黑体" w:hAnsi="黑体" w:eastAsia="黑体" w:cs="黑体"/>
          <w:b/>
          <w:bCs/>
          <w:sz w:val="48"/>
          <w:szCs w:val="48"/>
          <w:lang w:val="en-US" w:eastAsia="zh-CN"/>
        </w:rPr>
        <w:t>劳务输出工作办公室</w:t>
      </w:r>
    </w:p>
    <w:p>
      <w:pPr>
        <w:jc w:val="center"/>
        <w:rPr>
          <w:rFonts w:hint="eastAsia" w:ascii="黑体" w:hAnsi="黑体" w:eastAsia="黑体" w:cs="黑体"/>
          <w:color w:val="000000"/>
          <w:sz w:val="44"/>
          <w:szCs w:val="44"/>
        </w:rPr>
      </w:pPr>
      <w:r>
        <w:rPr>
          <w:rFonts w:hint="eastAsia" w:ascii="黑体" w:hAnsi="黑体" w:eastAsia="黑体" w:cs="黑体"/>
          <w:b/>
          <w:bCs/>
          <w:sz w:val="48"/>
          <w:szCs w:val="48"/>
          <w:lang w:val="en-US" w:eastAsia="zh-CN"/>
        </w:rPr>
        <w:t>基层公共服务平台信息网络系统建设项目</w:t>
      </w: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w:t>
      </w:r>
      <w:r>
        <w:rPr>
          <w:rFonts w:hint="eastAsia" w:ascii="仿宋" w:hAnsi="仿宋" w:eastAsia="仿宋" w:cs="仿宋"/>
          <w:b/>
          <w:bCs/>
          <w:color w:val="000000"/>
          <w:sz w:val="32"/>
          <w:szCs w:val="32"/>
          <w:lang w:val="en-US" w:eastAsia="zh-CN"/>
        </w:rPr>
        <w:t>劳务输出工作办公室</w:t>
      </w:r>
    </w:p>
    <w:p>
      <w:pPr>
        <w:ind w:firstLine="1285" w:firstLineChars="400"/>
        <w:rPr>
          <w:rFonts w:hint="default" w:ascii="仿宋" w:hAnsi="仿宋" w:eastAsia="仿宋" w:cs="仿宋"/>
          <w:b/>
          <w:bCs/>
          <w:color w:val="000000"/>
          <w:sz w:val="32"/>
          <w:szCs w:val="32"/>
          <w:lang w:val="en-US"/>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309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禹州市</w:t>
      </w:r>
      <w:r>
        <w:rPr>
          <w:rFonts w:hint="eastAsia" w:ascii="仿宋" w:hAnsi="仿宋" w:eastAsia="仿宋" w:cs="仿宋"/>
          <w:b/>
          <w:bCs/>
          <w:sz w:val="36"/>
          <w:szCs w:val="36"/>
          <w:lang w:val="en-US" w:eastAsia="zh-CN"/>
        </w:rPr>
        <w:t>劳务输出工作办公室</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val="en-US" w:eastAsia="zh-CN"/>
        </w:rPr>
        <w:t>基层公共服务平台信息网络系统建设项目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邀  请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函</w:t>
      </w:r>
    </w:p>
    <w:p>
      <w:pPr>
        <w:pStyle w:val="30"/>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劳务输出工作办公室基层公共服务平台信息网络系统建设项目</w:t>
      </w:r>
      <w:r>
        <w:rPr>
          <w:rFonts w:hint="eastAsia" w:ascii="新宋体" w:hAnsi="新宋体" w:eastAsia="新宋体" w:cs="新宋体"/>
          <w:sz w:val="24"/>
          <w:szCs w:val="24"/>
        </w:rPr>
        <w:t>”进行公开招标，欢迎合格的投标人前来投标。</w:t>
      </w:r>
    </w:p>
    <w:p>
      <w:pPr>
        <w:pStyle w:val="60"/>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劳务输出工作办公室基层公共服务平台信息网络系统建设项目</w:t>
      </w:r>
    </w:p>
    <w:p>
      <w:pPr>
        <w:widowControl/>
        <w:shd w:val="clear" w:color="auto" w:fill="FFFFFF"/>
        <w:spacing w:line="400" w:lineRule="exact"/>
        <w:ind w:firstLine="240" w:firstLineChars="100"/>
        <w:jc w:val="left"/>
        <w:rPr>
          <w:rFonts w:hint="default" w:ascii="新宋体" w:hAnsi="新宋体" w:eastAsia="新宋体" w:cs="新宋体"/>
          <w:sz w:val="24"/>
          <w:szCs w:val="24"/>
          <w:lang w:val="en-US"/>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309</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电脑、显示器、扫描枪</w:t>
      </w:r>
      <w:r>
        <w:rPr>
          <w:rFonts w:hint="eastAsia" w:ascii="新宋体" w:hAnsi="新宋体" w:eastAsia="新宋体" w:cs="新宋体"/>
          <w:color w:val="000000"/>
          <w:kern w:val="0"/>
          <w:sz w:val="24"/>
          <w:szCs w:val="24"/>
          <w:lang w:eastAsia="zh-CN"/>
        </w:rPr>
        <w:t>等一批</w:t>
      </w:r>
      <w:r>
        <w:rPr>
          <w:rFonts w:hint="eastAsia" w:ascii="新宋体" w:hAnsi="新宋体" w:eastAsia="新宋体" w:cs="新宋体"/>
          <w:color w:val="000000"/>
          <w:kern w:val="0"/>
          <w:sz w:val="24"/>
          <w:szCs w:val="24"/>
        </w:rPr>
        <w:t>（详见招标文件）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79.7249</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79.7249</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9"/>
          <w:rFonts w:hint="eastAsia" w:ascii="新宋体" w:hAnsi="新宋体" w:eastAsia="新宋体" w:cs="新宋体"/>
          <w:sz w:val="24"/>
          <w:szCs w:val="24"/>
        </w:rPr>
        <w:t>http://221.14.6.70:8088/ggzy/eps/public/RegistAllJcxx.html</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9"/>
          <w:rFonts w:hint="eastAsia" w:ascii="新宋体" w:hAnsi="新宋体" w:eastAsia="新宋体" w:cs="新宋体"/>
          <w:sz w:val="24"/>
          <w:szCs w:val="24"/>
        </w:rPr>
        <w:t>http://ggzy.xuchang.gov.cn/</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13</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r>
        <w:rPr>
          <w:rFonts w:hint="eastAsia" w:ascii="新宋体" w:hAnsi="新宋体" w:eastAsia="新宋体" w:cs="新宋体"/>
          <w:color w:val="000000"/>
          <w:kern w:val="0"/>
          <w:sz w:val="24"/>
          <w:szCs w:val="24"/>
        </w:rPr>
        <w:t>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劳务输出工作办公室</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禹王大道</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张</w:t>
      </w:r>
      <w:r>
        <w:rPr>
          <w:rFonts w:hint="eastAsia" w:ascii="新宋体" w:hAnsi="新宋体" w:eastAsia="新宋体" w:cs="新宋体"/>
          <w:color w:val="000000"/>
          <w:kern w:val="0"/>
          <w:sz w:val="24"/>
          <w:szCs w:val="24"/>
          <w:lang w:eastAsia="zh-CN"/>
        </w:rPr>
        <w:t>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13703748789</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tabs>
          <w:tab w:val="left" w:pos="7095"/>
        </w:tabs>
        <w:spacing w:line="360" w:lineRule="auto"/>
        <w:ind w:firstLine="480" w:firstLineChars="200"/>
        <w:contextualSpacing/>
        <w:rPr>
          <w:rFonts w:hint="eastAsia" w:hAnsi="宋体"/>
          <w:color w:val="000000"/>
          <w:sz w:val="24"/>
          <w:szCs w:val="24"/>
          <w:lang w:val="en-US" w:eastAsia="zh-CN"/>
        </w:rPr>
      </w:pPr>
    </w:p>
    <w:p>
      <w:pPr>
        <w:tabs>
          <w:tab w:val="left" w:pos="7095"/>
        </w:tabs>
        <w:spacing w:line="360" w:lineRule="auto"/>
        <w:ind w:firstLine="562" w:firstLineChars="200"/>
        <w:contextualSpacing/>
        <w:rPr>
          <w:rFonts w:hint="eastAsia" w:hAnsi="宋体"/>
          <w:b/>
          <w:bCs/>
          <w:color w:val="000000"/>
          <w:sz w:val="28"/>
          <w:szCs w:val="28"/>
          <w:lang w:val="en-US" w:eastAsia="zh-CN"/>
        </w:rPr>
      </w:pPr>
      <w:r>
        <w:rPr>
          <w:rFonts w:hint="eastAsia" w:hAnsi="宋体"/>
          <w:b/>
          <w:bCs/>
          <w:color w:val="000000"/>
          <w:sz w:val="28"/>
          <w:szCs w:val="28"/>
          <w:lang w:val="en-US" w:eastAsia="zh-CN"/>
        </w:rPr>
        <w:t>一、采购需求</w:t>
      </w:r>
    </w:p>
    <w:p>
      <w:pPr>
        <w:tabs>
          <w:tab w:val="left" w:pos="7095"/>
        </w:tabs>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rPr>
        <w:t>（一）本项目需实现的功能或者目标</w:t>
      </w:r>
    </w:p>
    <w:p>
      <w:pPr>
        <w:tabs>
          <w:tab w:val="left" w:pos="7095"/>
        </w:tabs>
        <w:spacing w:line="360" w:lineRule="auto"/>
        <w:ind w:firstLine="480" w:firstLineChars="200"/>
        <w:contextualSpacing/>
        <w:rPr>
          <w:rFonts w:hint="eastAsia" w:ascii="仿宋" w:hAnsi="仿宋" w:eastAsia="仿宋" w:cs="宋体"/>
          <w:color w:val="000000"/>
          <w:kern w:val="0"/>
          <w:sz w:val="32"/>
          <w:szCs w:val="32"/>
          <w:lang w:eastAsia="zh-CN"/>
        </w:rPr>
      </w:pPr>
      <w:r>
        <w:rPr>
          <w:rFonts w:hint="eastAsia" w:hAnsi="宋体"/>
          <w:color w:val="000000"/>
          <w:sz w:val="24"/>
          <w:szCs w:val="24"/>
          <w:lang w:val="en-US" w:eastAsia="zh-CN"/>
        </w:rPr>
        <w:t>为切实做好我市贫困人口的就业及培训等工作，充分深入乡镇和企业进行摸底调查,使就业岗位的挖掘更充分，就业信息的透明度更高，培训工作更加有针对性、普及性，城乡居民待遇落实进一步规范有序。按照服务下沉、保障下移、政务服务标准化、信息化的要求，不断完善基层便民服务平台、运行机制，着力提升基层便民服务质量和效率，为基层群众提供公共、优质、便捷的服务，着力使我市就业、创业、保障等工作上一个新台阶</w:t>
      </w:r>
      <w:r>
        <w:rPr>
          <w:rFonts w:hint="eastAsia" w:ascii="仿宋" w:hAnsi="仿宋" w:eastAsia="仿宋" w:cs="宋体"/>
          <w:color w:val="000000"/>
          <w:kern w:val="0"/>
          <w:sz w:val="32"/>
          <w:szCs w:val="32"/>
          <w:lang w:val="en-US" w:eastAsia="zh-CN"/>
        </w:rPr>
        <w:t>。</w:t>
      </w:r>
    </w:p>
    <w:p>
      <w:pPr>
        <w:tabs>
          <w:tab w:val="left" w:pos="7095"/>
        </w:tabs>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lang w:val="en-US" w:eastAsia="zh-CN"/>
        </w:rPr>
        <w:t>（二）采购清单及要求</w:t>
      </w:r>
    </w:p>
    <w:tbl>
      <w:tblPr>
        <w:tblStyle w:val="23"/>
        <w:tblpPr w:leftFromText="180" w:rightFromText="180" w:vertAnchor="text" w:horzAnchor="page" w:tblpX="1432" w:tblpY="6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1237"/>
        <w:gridCol w:w="5172"/>
        <w:gridCol w:w="660"/>
        <w:gridCol w:w="672"/>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123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货物名称</w:t>
            </w:r>
          </w:p>
        </w:tc>
        <w:tc>
          <w:tcPr>
            <w:tcW w:w="517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技术规格及主要参数</w:t>
            </w:r>
          </w:p>
        </w:tc>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单位</w:t>
            </w:r>
          </w:p>
        </w:tc>
        <w:tc>
          <w:tcPr>
            <w:tcW w:w="67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数量</w:t>
            </w:r>
          </w:p>
        </w:tc>
        <w:tc>
          <w:tcPr>
            <w:tcW w:w="67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1"/>
                <w:szCs w:val="21"/>
              </w:rPr>
              <w:t>是否为核心</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扫描枪</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1.扫描模式：一维二维影像式，</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2.支持扫描屏幕条码；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3.描速度：230次/秒；</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4.接口类型：USB</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5.传输模式：2.4G；1800mAH锂电池；</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6.支持自动连续扫描</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7.可扫微信与支付宝条码</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手写板</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1、屏幕尺寸：≥10.1英寸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2、显示器类型：IPS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3、分辨率：1280×800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4、LED背光亮度：≥300cd/㎡</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5、响应时间：≤ 8ms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6、显示LED寿命: ≥ 20000小时</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7、屏幕保护：6H钢化玻璃</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8、显示接口：USB显卡，Displaylink触控方式/触控技术：电磁感应式/无源无线</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9、读取速度：133pps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★10、认证：提供产品3C认证证书</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★11、提供产品生产厂家 CMMI5级认证证书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★12、提供产品生产厂家软件企业认定证书</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提供证书复印件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高拍仪</w:t>
            </w:r>
          </w:p>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1、A3幅面，双镜头，辅助镜头支持标准USB热拔插。底板预留第三镜头插口位于金属拉杆右侧旁凸起，可因以后业务方便后期自由配置第三镜头。</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2、主镜头1000万像素≥3672×2754分辨率 辅助镜头≥200万像素1600×1200分辨率。      </w:t>
            </w:r>
            <w:r>
              <w:rPr>
                <w:rFonts w:hint="eastAsia" w:asciiTheme="minorEastAsia" w:hAnsiTheme="minorEastAsia" w:eastAsiaTheme="minorEastAsia" w:cstheme="minorEastAsia"/>
                <w:color w:val="000000"/>
                <w:kern w:val="0"/>
                <w:sz w:val="24"/>
                <w:szCs w:val="24"/>
                <w:lang w:val="en-US" w:eastAsia="zh-CN"/>
              </w:rPr>
              <w:br w:type="textWrapping"/>
            </w:r>
            <w:r>
              <w:rPr>
                <w:rFonts w:hint="eastAsia" w:asciiTheme="minorEastAsia" w:hAnsiTheme="minorEastAsia" w:eastAsiaTheme="minorEastAsia" w:cstheme="minorEastAsia"/>
                <w:color w:val="000000"/>
                <w:kern w:val="0"/>
                <w:sz w:val="24"/>
                <w:szCs w:val="24"/>
                <w:lang w:val="en-US" w:eastAsia="zh-CN"/>
              </w:rPr>
              <w:t>3、底板带A3\A4\A5\CARD刻度，底板四角需配置A3拉伸杆，方便扩展A3纸张的平铺。镜头部位带A3\A4对焦9级刻度标识，方便微调。</w:t>
            </w:r>
            <w:r>
              <w:rPr>
                <w:rFonts w:hint="eastAsia" w:asciiTheme="minorEastAsia" w:hAnsiTheme="minorEastAsia" w:eastAsiaTheme="minorEastAsia" w:cstheme="minorEastAsia"/>
                <w:color w:val="000000"/>
                <w:kern w:val="0"/>
                <w:sz w:val="24"/>
                <w:szCs w:val="24"/>
                <w:lang w:val="en-US" w:eastAsia="zh-CN"/>
              </w:rPr>
              <w:br w:type="textWrapping"/>
            </w:r>
            <w:r>
              <w:rPr>
                <w:rFonts w:hint="eastAsia" w:asciiTheme="minorEastAsia" w:hAnsiTheme="minorEastAsia" w:eastAsiaTheme="minorEastAsia" w:cstheme="minorEastAsia"/>
                <w:color w:val="000000"/>
                <w:kern w:val="0"/>
                <w:sz w:val="24"/>
                <w:szCs w:val="24"/>
                <w:lang w:val="en-US" w:eastAsia="zh-CN"/>
              </w:rPr>
              <w:t>4、触摸调节光时有蓝色指示灯指示，表示设备正常。底板可扩展指纹仪、银行卡插卡器接口，根据人体工程学使用方便性，指纹仪与银行卡卡槽置放于高拍仪的前右侧。</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5、高拍仪二合一设计，高拍仪底板带有二代身份证阅读器识别区域，支持身份证识别功能，能获取身份证内照片和基础信息；</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6、全金属方杆材质结构,2档定位拉杆，拉高拍摄A3，降低拍摄A4，机器直插到底板底座自动连接通讯供电。底板至少需要配置≥4个标准USB2.0扩展口。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7、触控三档光源，≥八颗LED灯，LED光源为倾斜≥30度向前，以免直射反光。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★8、提供产品3C认证证书。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★9、提供生产厂家 “科技小巨人与软件企业”和“高拍仪应用软件”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★10、提供生产厂家或法人获得“高拍仪WEB网络软件”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★11、提供生产厂家或法人获得“高拍仪计算机软件”</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★12、提供生产厂家或法人获得 “身份证阅读器软件”软件著作权以满足目前系统所使用到的技术提供知识产权保护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提供证书复印件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指纹</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登录仪</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1.指纹采集方式：按压方式</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2.传感器类型：半导体电容式传路器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3.灰虔图图像深度：256级(8位)</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4.像素阵型大小：208*288</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5.图像采集区的尺寸14,4mmx10.4mm</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6.传感器尺寸：33.4mm*20.4mm*2.47mm</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7.像素分辨率：508DPI</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8.指纹图像畸变：无畸变</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9.处理器（CPU）SOC安全芯片HS32U2（符合国家认证）增强版</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10.指纹存储容量：可存储2000枚</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11.比对模式：1：N识/1：1验证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12.指纹转值大小,256字节(Byte)</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13.指纹模板大小：512字节（Byte）</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14.识别率（FAR：&lt;0.0001%(Security Level: 3)</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15.拒识率(FBR)：&lt;0.1%( Security Level:3)</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16.指线图像录入时间：≤1.0秒</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17.搜索时间：&lt;1秒（1:1000）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18.响应时间：指纹预处理&lt;0.20s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19.指纹质量检测：0~10级可调</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20.提示功能：单色指示灯醒目提示</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21.驱动程序：免驱</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22.通讯接口：高速USB2.0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23.供电：输入电压：DC3.3V-6V</w:t>
            </w:r>
            <w:r>
              <w:rPr>
                <w:rFonts w:hint="eastAsia" w:asciiTheme="minorEastAsia" w:hAnsiTheme="minorEastAsia" w:eastAsiaTheme="minorEastAsia" w:cstheme="minorEastAsia"/>
                <w:color w:val="000000"/>
                <w:kern w:val="0"/>
                <w:sz w:val="24"/>
                <w:szCs w:val="24"/>
                <w:lang w:val="en-US" w:eastAsia="zh-CN"/>
              </w:rPr>
              <w:tab/>
            </w:r>
            <w:r>
              <w:rPr>
                <w:rFonts w:hint="eastAsia" w:asciiTheme="minorEastAsia" w:hAnsiTheme="minorEastAsia" w:eastAsiaTheme="minorEastAsia" w:cstheme="minorEastAsia"/>
                <w:color w:val="000000"/>
                <w:kern w:val="0"/>
                <w:sz w:val="24"/>
                <w:szCs w:val="24"/>
                <w:lang w:val="en-US" w:eastAsia="zh-CN"/>
              </w:rPr>
              <w:t>工作动态电流：小于40mA   休眠静态电流：小于20uA</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24.支持系统：WindowsXP, 2003,Vista(32bit/64bit)，</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Windows2008/7/8/10(32bit64bit), Android</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社保卡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读卡器</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1.接口类型：USB2.0接口或兼容USB1.1模式（HID协议或CCID协议）</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2.接触式智能卡模块：</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3.支持卡片标准：符合ISO7816 1/2/3 的各类逻辑卡、CPU卡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4.卡读写器速度：9600bps~307200bps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5.接触点：≥8个</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6.卡拔插寿命：超过200,000次，且带电插拔卡对卡无损伤</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7.SAM卡槽模块：≥ 4个</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8.内嵌式标准SAM卡插槽</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9.键盘寿命：按键寿命超过50万次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10.安全要求：同时支持DUKPT及Master/Session密钥管理、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11.支持DES和3DES加密、支持ANSI X9.8/X9.19 MAC算法、支持多组主密钥，支持多组工作密钥</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操作提示：语音发生器应至少能发出长短可调的蜂鸣音和“请输入密码”、“请输入新密码”、“请确认新密码”、“密码错误”、“读卡错误”、“操作成功”、“操作失败”七条语音。同时支持语音、指示灯、蜂鸣器提示</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身份证</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读卡器</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类型：二代身份证阅读器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1.通讯接口：USB接口兼容USB1.1/USB2.0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2.有效读卡距离0～3cm</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3.读卡时间：≤1秒</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4.平均无故障工作时间（MTBF）≥5000小时</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5.天线谐振频率：13.56MHz</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6.天线能量输出：天线表面磁场强度（Hmax）≤7.5A/m（rms），天线表面法线方向5cm处电磁场强度（Hmin）≥1.5A/m（rms）</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7.电源电压5V±5%，采用USB接口馈电方式或者外接电源适配器</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平板电脑</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1.屏幕尺寸：≥8英寸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2.内存：≥4GB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3.容量：≥64GB</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4.Android OS 6.0+Emotion UI 4.1</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显示器</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1.屏幕尺寸：≥21英寸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2.最佳分辨率：1920*1080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3.屏幕比例：16：9</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4.与电脑为同一品牌</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★5.提供产品3C认证证书。（提供证书复印件）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电脑</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机型：商用台式计算机</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1．CPU：Intel第八代六核 Core i5-8500及以上处理器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2.主板：Intel 300系列或以上商用芯片组</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3.扩展槽：≥1个PCI-E*16，≥1个PCI-E*1，≥1个PCI</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4.声卡：集成或独立5.1声道声卡，提供后置3个立体声输出接口。</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5.内存：≥8G内存</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6.硬盘：≥1TB 7200rpm 3.5英寸 SATA3接口</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7.显卡：≥高性能集成显卡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8.网卡：≥集成10/100/1000M以太网卡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9.机箱：≥15L立式机箱</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10.标配接口：VGA接口≥1个，HDMI或DP高清接口≥1个，串口≥1个，USB 3.0接口≥6个，至少2个原生高速USB 3.1 Gen2接口前置。</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11.键盘及鼠标：防水键盘和光电鼠标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12.显示器：≥21.5寸宽屏液晶，</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13.具有低蓝光护眼功能</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14.认证：3C、节能、环境认证证书</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★15. 中国合格评定国家认可委员会（CNAS）可靠性实验室认证证书，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★16.生产厂商设有产品设计中心且通过工业和信息化部国家级工业设计中心认定资质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17.服务要求：提供生产厂商主机主要部件三年保修及三年上门服务。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提供复印件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双显示器支架</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1.承载重量：单屏2-9kg</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2.VESA标准：75*75  100*100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3.适用范围：10-32寸显示器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4.桌子厚度：20-120mm</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5.可上下高度调节，左右旋转调节，仰俯角调节。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A3激光</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打印机</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A3一体机</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1.输出速度：21页/分钟,</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2.首页输出时间：少于7.4秒,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3.打印分辨率：600dpi*600dpi</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4.接口：USB2.0复印倍率，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5.供纸量：250张+100张(最大850页)，</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5.标配一键唤醒，电子分页、图像合并,10+1账户管理，实现ID卡（身份证）复印专用键，能实现证卡复印的自动对齐，实现多张证卡的对齐&amp;复印；支持超细微粒（UFP）技术；EA环保碳粉，无废粉。</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★6.认证：3C、节能、环境认证证书（提供证书复印件）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彩色激光打印机</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1.处理器：400MHz</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2.标准（最大）内存：64 MB</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3.LCD显示：LED指示灯</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4.接口类型：Hi-Speed USB 2.0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5.打印幅面：A4</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6.打印速度："黑白：18页/分钟、彩色：4页/分钟</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7.打印分辨率：600 x 600 dpi,HQ1200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8.首页输出时间：少于 14秒（黑白） / 26 秒（彩色）</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9.标准纸盘纸张输入容量：150页</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9.纸张输出容量：50页</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10.双面打印：手动双面打印</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11.打印介质种类：普通纸、薄纸、票据纸、预印纸、再生纸、标签、卡片纸、厚纸、棉纸、彩纸、相纸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12.保修和服务信息：一年全国免费上门服务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★13.认证信息：CCC、节能认证、环境认证、能效标识（提供证书复印件）</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★14.提供产品宣传彩页</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行政执法记录仪</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1.屏幕尺寸：2英寸，支持触摸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2.分辨率：320*240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3.视频输入：主摄像头1920*1080可选1280*720分辨率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4.水平视场角：≥99°</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5.防摔高度：≥2米</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6.防护等级:IP56</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7.夜视距离: 10米看清人体轮廓、4米看清人脸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8.容量：64GB</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9.网络类型/频段：国内全网通4G</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10.产品尺寸≤85*60*35mm</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★11.支持执法/视频通话双镜头</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★12.支持NFC证件读取功能</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★13.支持快速充电（小于等于2小时充满）以及更换电池五分钟不断电。</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笔记本</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电脑</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1.处理器：英特尔第八代四核及以上处理器，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2.内存：≥4G DDR4 内存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3.硬盘：≥1T HDD+128G SSD 硬盘；</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4.显示屏：15.6 LED  （1920*1080）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5.显卡： ≥2G独立显卡，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6.网卡:千兆网卡以及802.11 AC无线网卡；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7.声卡:集成音频，双扬声器；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8.摄像头:720P高清摄像头；</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9.接口:4个USB接口、1个HDMI、1个VGA接口、耳机输出/麦克输出combo接口、1个网口、1个多合一读卡器；</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10.系统安全：原厂同品牌一键恢复操作系统（非Windows自带功能）， 可保留出厂备份和用户自定义备份；</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★11、产品认证：3C、节能、环境认证证书（提供证书复印件）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电脑</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1.处理器：Intel酷睿I5-9400T 六核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2.内存：≥8G DDR4</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3.硬盘：≥256GB  SSD</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4.显卡：高性能集成显卡/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5.屏幕：≥ 23 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6.网卡：网卡：≥集成10/100/1000M以太网卡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7.接口：USB ≥4，HDMI接口≥1个，多合一读卡器接口≥1个</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8.键鼠：防水键盘和光电鼠标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9.服务：提供生产厂商三年有限质保，三年上门服务, 2小时电话响应，第二自然日上门，365天全年无休（包括周六、日和节假日）。</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移动硬盘</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4TB</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移动硬盘</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2TB</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单反相机</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1.屏幕尺寸：3英寸</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2.显示屏像素：104万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3.有效像素：2420万</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4.最高分辨率：6000*4000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5.摄像：全高清1080</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6.镜头：18-135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碎纸机</w:t>
            </w:r>
          </w:p>
        </w:tc>
        <w:tc>
          <w:tcPr>
            <w:tcW w:w="5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1.碎纸能力：≥ 5张/次</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2.碎纸速度：≥3米/分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3.碎纸箱容积：≥14L</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4.连续碎纸时间：≥40min</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5.噪音：≤ 55db</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bl>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24"/>
          <w:szCs w:val="24"/>
          <w:lang w:val="en-US" w:eastAsia="zh-CN"/>
        </w:rPr>
        <w:t>注：中标单位所投的手写板、高拍仪（带身份证阅读器）、指纹登陆仪需满足河南省社会保障系统对计算机外部设备的技术要求，能够应用于城镇职工五项社会保险及城乡居民两项社会保险业务。其中标后需针对招标文件内容进行演示，满足要求后方可签订供货合同。若产品不能满足招标文件参数或者无法达到河南省社会保障系统对计算机外部设备的技术要求，不予签订供货合同，取消其中标资格，作虚假应标处理，并承担相应责任，同时纳入政府采购严重违法失信行为记录名单。</w:t>
      </w:r>
    </w:p>
    <w:p>
      <w:pPr>
        <w:widowControl/>
        <w:shd w:val="clear" w:color="auto" w:fill="FFFFFF"/>
        <w:spacing w:line="360" w:lineRule="auto"/>
        <w:ind w:firstLine="640" w:firstLineChars="200"/>
        <w:contextualSpacing/>
        <w:jc w:val="left"/>
        <w:rPr>
          <w:rFonts w:hint="eastAsia" w:asciiTheme="minorEastAsia" w:hAnsiTheme="minorEastAsia" w:eastAsiaTheme="minorEastAsia" w:cstheme="minorEastAsia"/>
          <w:color w:val="000000"/>
          <w:kern w:val="0"/>
          <w:sz w:val="32"/>
          <w:szCs w:val="32"/>
        </w:rPr>
      </w:pPr>
    </w:p>
    <w:p>
      <w:pPr>
        <w:widowControl/>
        <w:numPr>
          <w:ilvl w:val="0"/>
          <w:numId w:val="7"/>
        </w:numPr>
        <w:shd w:val="clear" w:color="auto" w:fill="FFFFFF"/>
        <w:spacing w:line="360" w:lineRule="auto"/>
        <w:contextualSpacing/>
        <w:jc w:val="left"/>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采购标的执行标准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1、强制性产品认证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2、信息安全产品强制性认证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如投标人所投产品被列入《信息安全产品强制性认证目录》，投标人不能提供出此目录范畴外的替代品并须在投标文件中提供：</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（1）中国信息安全认证中心官网(http://www.isccc.gov.cn/index.shtml)产品查询结果截图并加盖投标人公章；</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（2）中国信息安全认证中心颁发的《中国国家信息安全产品认证证书》的原件扫描件(或图片)并加盖投标人公章。</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TW" w:eastAsia="zh-TW"/>
        </w:rPr>
        <w:t>注:仅需提供序号（1）~（2）其中之一即可</w:t>
      </w:r>
      <w:r>
        <w:rPr>
          <w:rFonts w:hint="eastAsia" w:asciiTheme="minorEastAsia" w:hAnsiTheme="minorEastAsia" w:eastAsiaTheme="minorEastAsia" w:cstheme="minorEastAsia"/>
          <w:color w:val="000000"/>
          <w:kern w:val="0"/>
          <w:sz w:val="24"/>
          <w:szCs w:val="24"/>
          <w:lang w:val="zh-TW" w:eastAsia="zh-CN"/>
        </w:rPr>
        <w:t>。</w:t>
      </w:r>
    </w:p>
    <w:p>
      <w:pPr>
        <w:widowControl/>
        <w:shd w:val="clear" w:color="auto" w:fill="FFFFFF"/>
        <w:spacing w:line="360" w:lineRule="auto"/>
        <w:ind w:firstLine="562" w:firstLineChars="200"/>
        <w:contextualSpacing/>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8"/>
          <w:szCs w:val="28"/>
        </w:rPr>
        <w:t>（四）服务标准、期限、效率等要求</w:t>
      </w:r>
      <w:r>
        <w:rPr>
          <w:rFonts w:hint="eastAsia" w:asciiTheme="minorEastAsia" w:hAnsiTheme="minorEastAsia" w:eastAsiaTheme="minorEastAsia" w:cstheme="minorEastAsia"/>
          <w:b/>
          <w:color w:val="000000"/>
          <w:kern w:val="0"/>
          <w:sz w:val="24"/>
          <w:szCs w:val="24"/>
        </w:rPr>
        <w:t xml:space="preserve"> </w:t>
      </w:r>
    </w:p>
    <w:p>
      <w:pPr>
        <w:widowControl/>
        <w:shd w:val="clear" w:color="auto" w:fill="FFFFFF"/>
        <w:spacing w:line="360" w:lineRule="auto"/>
        <w:ind w:firstLine="600"/>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采购设备需支持河南省社保信息系统和“互联网+就业创业”信息系统</w:t>
      </w:r>
      <w:r>
        <w:rPr>
          <w:rFonts w:hint="eastAsia" w:asciiTheme="minorEastAsia" w:hAnsiTheme="minorEastAsia" w:eastAsiaTheme="minorEastAsia" w:cstheme="minorEastAsia"/>
          <w:color w:val="000000"/>
          <w:kern w:val="0"/>
          <w:sz w:val="24"/>
          <w:szCs w:val="24"/>
          <w:lang w:val="zh-TW" w:eastAsia="zh-TW"/>
        </w:rPr>
        <w:t>，</w:t>
      </w:r>
      <w:r>
        <w:rPr>
          <w:rFonts w:hint="eastAsia" w:asciiTheme="minorEastAsia" w:hAnsiTheme="minorEastAsia" w:eastAsiaTheme="minorEastAsia" w:cstheme="minorEastAsia"/>
          <w:color w:val="000000"/>
          <w:kern w:val="0"/>
          <w:sz w:val="24"/>
          <w:szCs w:val="24"/>
          <w:lang w:val="zh-TW" w:eastAsia="zh-CN"/>
        </w:rPr>
        <w:t>确保信息系统正常应用、稳定运行，</w:t>
      </w:r>
      <w:r>
        <w:rPr>
          <w:rFonts w:hint="eastAsia" w:asciiTheme="minorEastAsia" w:hAnsiTheme="minorEastAsia" w:eastAsiaTheme="minorEastAsia" w:cstheme="minorEastAsia"/>
          <w:color w:val="000000"/>
          <w:kern w:val="0"/>
          <w:sz w:val="24"/>
          <w:szCs w:val="24"/>
          <w:lang w:val="zh-TW" w:eastAsia="zh-TW"/>
        </w:rPr>
        <w:t>保质保量完成项目，并在约定期限内完成各项工作。</w:t>
      </w:r>
    </w:p>
    <w:p>
      <w:pPr>
        <w:widowControl/>
        <w:shd w:val="clear" w:color="auto" w:fill="FFFFFF"/>
        <w:spacing w:line="360" w:lineRule="auto"/>
        <w:ind w:firstLine="600"/>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8"/>
          <w:szCs w:val="28"/>
        </w:rPr>
        <w:t>（五）验收标准</w:t>
      </w:r>
      <w:r>
        <w:rPr>
          <w:rFonts w:hint="eastAsia" w:asciiTheme="minorEastAsia" w:hAnsiTheme="minorEastAsia" w:eastAsiaTheme="minorEastAsia" w:cstheme="minorEastAsia"/>
          <w:color w:val="000000"/>
          <w:kern w:val="0"/>
          <w:sz w:val="24"/>
          <w:szCs w:val="24"/>
        </w:rPr>
        <w:t>（符合国家和履约地相关安全质量标准；行业技术规范标准；环保节能标准；强制认证相关标准）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8"/>
        </w:numPr>
        <w:shd w:val="clear" w:color="auto" w:fill="FFFFFF"/>
        <w:spacing w:line="360" w:lineRule="auto"/>
        <w:ind w:firstLine="600"/>
        <w:jc w:val="left"/>
        <w:rPr>
          <w:rFonts w:hint="eastAsia" w:asciiTheme="minorEastAsia" w:hAnsiTheme="minorEastAsia" w:eastAsiaTheme="minorEastAsia" w:cstheme="minorEastAsia"/>
          <w:iCs/>
          <w:color w:val="000000"/>
          <w:kern w:val="0"/>
          <w:sz w:val="24"/>
          <w:szCs w:val="24"/>
        </w:rPr>
      </w:pPr>
      <w:r>
        <w:rPr>
          <w:rFonts w:hint="eastAsia" w:asciiTheme="minorEastAsia" w:hAnsiTheme="minorEastAsia" w:eastAsiaTheme="minorEastAsia" w:cstheme="minorEastAsia"/>
          <w:iCs/>
          <w:color w:val="000000"/>
          <w:kern w:val="0"/>
          <w:sz w:val="24"/>
          <w:szCs w:val="24"/>
        </w:rPr>
        <w:t>按照国家相关标准、行业标准、地方标准或者其他标准、规范验收</w:t>
      </w:r>
      <w:r>
        <w:rPr>
          <w:rFonts w:hint="eastAsia" w:asciiTheme="minorEastAsia" w:hAnsiTheme="minorEastAsia" w:eastAsiaTheme="minorEastAsia" w:cstheme="minorEastAsia"/>
          <w:iCs/>
          <w:color w:val="000000"/>
          <w:kern w:val="0"/>
          <w:sz w:val="24"/>
          <w:szCs w:val="24"/>
          <w:lang w:eastAsia="zh-CN"/>
        </w:rPr>
        <w:t>。</w:t>
      </w:r>
    </w:p>
    <w:p>
      <w:pPr>
        <w:widowControl/>
        <w:numPr>
          <w:ilvl w:val="0"/>
          <w:numId w:val="0"/>
        </w:numPr>
        <w:shd w:val="clear" w:color="auto" w:fill="FFFFFF"/>
        <w:spacing w:line="360" w:lineRule="auto"/>
        <w:ind w:left="600"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按照招标文件要求、投标文件响应和承诺验收；</w:t>
      </w:r>
    </w:p>
    <w:p>
      <w:pPr>
        <w:widowControl/>
        <w:numPr>
          <w:ilvl w:val="0"/>
          <w:numId w:val="0"/>
        </w:numPr>
        <w:shd w:val="clear" w:color="auto" w:fill="FFFFFF"/>
        <w:spacing w:line="360" w:lineRule="auto"/>
        <w:ind w:left="600" w:leftChars="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按照双方签订的合同验收。</w:t>
      </w:r>
    </w:p>
    <w:p>
      <w:pPr>
        <w:pStyle w:val="30"/>
        <w:rPr>
          <w:rFonts w:hint="default" w:ascii="仿宋" w:hAnsi="仿宋" w:eastAsia="仿宋" w:cs="宋体"/>
          <w:b/>
          <w:color w:val="000000"/>
          <w:kern w:val="0"/>
          <w:sz w:val="28"/>
          <w:szCs w:val="28"/>
          <w:lang w:val="en-US" w:eastAsia="zh-CN" w:bidi="ar-SA"/>
        </w:rPr>
      </w:pPr>
      <w:r>
        <w:rPr>
          <w:rFonts w:hint="eastAsia" w:asciiTheme="minorEastAsia" w:hAnsiTheme="minorEastAsia" w:eastAsiaTheme="minorEastAsia" w:cstheme="minorEastAsia"/>
          <w:b/>
          <w:color w:val="000000"/>
          <w:kern w:val="0"/>
          <w:sz w:val="28"/>
          <w:szCs w:val="28"/>
          <w:lang w:val="en-US" w:eastAsia="zh-CN" w:bidi="ar-SA"/>
        </w:rPr>
        <w:t>（六）采购资金支付:以签订合同为准</w:t>
      </w:r>
    </w:p>
    <w:p>
      <w:pPr>
        <w:pStyle w:val="3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pStyle w:val="3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81"/>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38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700"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700"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 xml:space="preserve">项目名称： </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劳务输出工作办公室基层公共服务平台信息网络系统建设项目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309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劳务输出工作办公室</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w:t>
            </w:r>
            <w:r>
              <w:rPr>
                <w:rFonts w:hint="eastAsia" w:cs="仿宋_GB2312" w:asciiTheme="minorEastAsia" w:hAnsiTheme="minorEastAsia"/>
                <w:sz w:val="24"/>
                <w:szCs w:val="24"/>
                <w:lang w:val="en-US" w:eastAsia="zh-CN"/>
              </w:rPr>
              <w:t>禹王大道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张</w:t>
            </w:r>
            <w:r>
              <w:rPr>
                <w:rFonts w:hint="eastAsia" w:cs="仿宋_GB2312" w:asciiTheme="minorEastAsia" w:hAnsiTheme="minorEastAsia"/>
                <w:sz w:val="24"/>
                <w:szCs w:val="24"/>
                <w:lang w:eastAsia="zh-CN"/>
              </w:rPr>
              <w:t>先生</w:t>
            </w:r>
            <w:r>
              <w:rPr>
                <w:rFonts w:hint="eastAsia" w:cs="仿宋_GB2312" w:asciiTheme="minorEastAsia" w:hAnsiTheme="minorEastAsia"/>
                <w:sz w:val="24"/>
                <w:szCs w:val="24"/>
              </w:rPr>
              <w:t xml:space="preserve">    </w:t>
            </w:r>
            <w:bookmarkStart w:id="9" w:name="_GoBack"/>
            <w:bookmarkEnd w:id="9"/>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13703748789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381" w:type="dxa"/>
            <w:vAlign w:val="center"/>
          </w:tcPr>
          <w:p>
            <w:pPr>
              <w:autoSpaceDE w:val="0"/>
              <w:autoSpaceDN w:val="0"/>
              <w:adjustRightInd w:val="0"/>
              <w:spacing w:line="276"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投标人</w:t>
            </w:r>
          </w:p>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资格</w:t>
            </w:r>
          </w:p>
        </w:tc>
        <w:tc>
          <w:tcPr>
            <w:tcW w:w="77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default"/>
              </w:rPr>
              <w:t>③</w:t>
            </w:r>
            <w:r>
              <w:rPr>
                <w:rFonts w:hint="eastAsia"/>
              </w:rPr>
              <w:t>“中国社会组织公共服务平台”网站（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5、投标人不良信用记录以采购人查询结果为准，采购人查询之后，网站信息发生的任何变更不再作为评审依据，投标人自行提供的与网站信息不一致的其他证明材料亦不作为审依据。</w:t>
            </w:r>
          </w:p>
          <w:p>
            <w:pPr>
              <w:pStyle w:val="30"/>
              <w:rPr>
                <w:rFonts w:hint="default" w:eastAsiaTheme="minorEastAsia"/>
                <w:lang w:val="en-US" w:eastAsia="zh-CN"/>
              </w:rPr>
            </w:pPr>
            <w:r>
              <w:rPr>
                <w:rFonts w:hint="eastAsia"/>
                <w:lang w:val="en-US" w:eastAsia="zh-CN"/>
              </w:rPr>
              <w:t>八、1、被委托人须是本单位职工，须提供公司为本人缴纳社会保险证明。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79.7249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700"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700"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700"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700"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13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700"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7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700"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700"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381"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381"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700"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700"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700"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381"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700"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（2）截止时间：同响应截止时间。</w:t>
      </w:r>
    </w:p>
    <w:p>
      <w:pPr>
        <w:autoSpaceDE w:val="0"/>
        <w:autoSpaceDN w:val="0"/>
        <w:spacing w:line="360" w:lineRule="auto"/>
        <w:ind w:firstLine="120" w:firstLineChars="50"/>
        <w:contextualSpacing/>
        <w:rPr>
          <w:rFonts w:hint="eastAsia"/>
          <w:sz w:val="24"/>
          <w:szCs w:val="24"/>
        </w:rPr>
      </w:pPr>
      <w:r>
        <w:rPr>
          <w:rFonts w:hint="eastAsia"/>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en-US"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p>
      <w:pPr>
        <w:pStyle w:val="30"/>
        <w:rPr>
          <w:rFonts w:hint="eastAsia" w:cs="仿宋_GB2312" w:asciiTheme="minorEastAsia" w:hAnsiTheme="minorEastAsia"/>
          <w:szCs w:val="21"/>
        </w:rPr>
      </w:pPr>
    </w:p>
    <w:p>
      <w:pPr>
        <w:pStyle w:val="30"/>
        <w:rPr>
          <w:rFonts w:hint="eastAsia" w:cs="仿宋_GB2312" w:asciiTheme="minorEastAsia" w:hAnsiTheme="minorEastAsia"/>
          <w:szCs w:val="21"/>
        </w:rPr>
      </w:pPr>
    </w:p>
    <w:p>
      <w:pPr>
        <w:pStyle w:val="30"/>
        <w:rPr>
          <w:rFonts w:hint="eastAsia" w:cs="仿宋_GB2312" w:asciiTheme="minorEastAsia" w:hAnsiTheme="minorEastAsia"/>
          <w:szCs w:val="21"/>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98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分值构成</w:t>
            </w:r>
          </w:p>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(100分)</w:t>
            </w:r>
          </w:p>
        </w:tc>
        <w:tc>
          <w:tcPr>
            <w:tcW w:w="781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b/>
                <w:bCs/>
                <w:sz w:val="28"/>
                <w:szCs w:val="28"/>
              </w:rPr>
            </w:pPr>
            <w:r>
              <w:rPr>
                <w:rFonts w:hint="eastAsia" w:ascii="仿宋" w:hAnsi="仿宋" w:eastAsia="仿宋" w:cs="仿宋"/>
                <w:b/>
                <w:bCs/>
                <w:sz w:val="28"/>
                <w:szCs w:val="28"/>
              </w:rPr>
              <w:t xml:space="preserve">价格分值：50分 </w:t>
            </w:r>
          </w:p>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b/>
                <w:bCs/>
                <w:sz w:val="28"/>
                <w:szCs w:val="28"/>
              </w:rPr>
            </w:pPr>
            <w:r>
              <w:rPr>
                <w:rFonts w:hint="eastAsia" w:ascii="仿宋" w:hAnsi="仿宋" w:eastAsia="仿宋" w:cs="仿宋"/>
                <w:b/>
                <w:bCs/>
                <w:sz w:val="28"/>
                <w:szCs w:val="28"/>
              </w:rPr>
              <w:t>商务部分：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分</w:t>
            </w:r>
          </w:p>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b/>
                <w:bCs/>
                <w:sz w:val="28"/>
                <w:szCs w:val="28"/>
              </w:rPr>
              <w:t>技术及售后部分：</w:t>
            </w:r>
            <w:r>
              <w:rPr>
                <w:rFonts w:hint="eastAsia" w:ascii="仿宋" w:hAnsi="仿宋" w:eastAsia="仿宋" w:cs="仿宋"/>
                <w:b/>
                <w:bCs/>
                <w:sz w:val="28"/>
                <w:szCs w:val="28"/>
                <w:lang w:val="en-US" w:eastAsia="zh-CN"/>
              </w:rPr>
              <w:t>42</w:t>
            </w:r>
            <w:r>
              <w:rPr>
                <w:rFonts w:hint="eastAsia" w:ascii="仿宋" w:hAnsi="仿宋" w:eastAsia="仿宋" w:cs="仿宋"/>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b/>
                <w:bCs/>
                <w:sz w:val="28"/>
                <w:szCs w:val="28"/>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投标报价</w:t>
            </w:r>
          </w:p>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评分标准</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4"/>
                <w:szCs w:val="28"/>
              </w:rPr>
            </w:pPr>
            <w:r>
              <w:rPr>
                <w:rFonts w:hint="eastAsia" w:ascii="仿宋" w:hAnsi="仿宋" w:eastAsia="仿宋" w:cs="仿宋"/>
                <w:sz w:val="24"/>
                <w:szCs w:val="28"/>
              </w:rPr>
              <w:t>评标基准价：满足招标文件要求的有效投标报价中，最低的投标报价为评标基准价。</w:t>
            </w:r>
          </w:p>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4"/>
                <w:szCs w:val="28"/>
              </w:rPr>
            </w:pPr>
            <w:r>
              <w:rPr>
                <w:rFonts w:hint="eastAsia" w:ascii="仿宋" w:hAnsi="仿宋" w:eastAsia="仿宋" w:cs="仿宋"/>
                <w:sz w:val="24"/>
                <w:szCs w:val="28"/>
              </w:rPr>
              <w:t>投标报价得分=（评标基准价/投标报价）×50</w:t>
            </w:r>
          </w:p>
          <w:p>
            <w:pPr>
              <w:pStyle w:val="2"/>
              <w:rPr>
                <w:rFonts w:hint="eastAsia"/>
              </w:rPr>
            </w:pPr>
          </w:p>
          <w:p>
            <w:pPr>
              <w:pStyle w:val="2"/>
              <w:rPr>
                <w:rFonts w:hint="eastAsia"/>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b/>
                <w:bCs/>
                <w:sz w:val="28"/>
                <w:szCs w:val="28"/>
              </w:rPr>
              <w:t>二、商务部分（满分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投标人企业实力</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4"/>
                <w:szCs w:val="28"/>
              </w:rPr>
            </w:pPr>
            <w:r>
              <w:rPr>
                <w:rFonts w:hint="eastAsia" w:ascii="仿宋" w:hAnsi="仿宋" w:eastAsia="仿宋" w:cs="仿宋"/>
                <w:sz w:val="24"/>
                <w:szCs w:val="28"/>
              </w:rPr>
              <w:t>投标人具有同类业绩50万以上的每提供一份得2分（提供中标通知书、合同），最</w:t>
            </w:r>
            <w:r>
              <w:rPr>
                <w:rFonts w:hint="eastAsia" w:ascii="仿宋" w:hAnsi="仿宋" w:eastAsia="仿宋" w:cs="仿宋"/>
                <w:sz w:val="24"/>
                <w:szCs w:val="28"/>
                <w:lang w:eastAsia="zh-CN"/>
              </w:rPr>
              <w:t>多得</w:t>
            </w:r>
            <w:r>
              <w:rPr>
                <w:rFonts w:hint="eastAsia" w:ascii="仿宋" w:hAnsi="仿宋" w:eastAsia="仿宋" w:cs="仿宋"/>
                <w:sz w:val="24"/>
                <w:szCs w:val="28"/>
                <w:lang w:val="en-US" w:eastAsia="zh-CN"/>
              </w:rPr>
              <w:t>8</w:t>
            </w:r>
            <w:r>
              <w:rPr>
                <w:rFonts w:hint="eastAsia" w:ascii="仿宋" w:hAnsi="仿宋" w:eastAsia="仿宋" w:cs="仿宋"/>
                <w:sz w:val="24"/>
                <w:szCs w:val="28"/>
              </w:rPr>
              <w:t>分；</w:t>
            </w:r>
          </w:p>
          <w:p>
            <w:pPr>
              <w:pStyle w:val="2"/>
              <w:rPr>
                <w:rFonts w:hint="eastAsia"/>
              </w:rPr>
            </w:pPr>
          </w:p>
          <w:p>
            <w:pPr>
              <w:pStyle w:val="2"/>
              <w:ind w:left="0" w:leftChars="0" w:firstLine="0" w:firstLineChars="0"/>
              <w:rPr>
                <w:rFonts w:hint="eastAsia" w:ascii="仿宋" w:hAnsi="仿宋" w:eastAsia="仿宋" w:cs="仿宋"/>
                <w:sz w:val="28"/>
                <w:szCs w:val="28"/>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b/>
                <w:bCs/>
                <w:sz w:val="28"/>
                <w:szCs w:val="28"/>
              </w:rPr>
              <w:t>三、技术及售后部分（满分4</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技术指标</w:t>
            </w:r>
          </w:p>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响应情况</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8"/>
              <w:pageBreakBefore w:val="0"/>
              <w:kinsoku/>
              <w:overflowPunct/>
              <w:topLinePunct w:val="0"/>
              <w:autoSpaceDE/>
              <w:autoSpaceDN/>
              <w:bidi w:val="0"/>
              <w:adjustRightInd/>
              <w:spacing w:before="0" w:beforeLines="0" w:after="0" w:afterLines="0" w:line="500" w:lineRule="exact"/>
              <w:jc w:val="both"/>
              <w:outlineLvl w:val="9"/>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1、未标注“★”的技术参数为基础性能要求，根据投标人提供的技术参数偏离表对照招标文件的招标内容及具体要求进行比较评分，有一项不满足要求的扣1分，设备技术性能分扣完为止。</w:t>
            </w:r>
          </w:p>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8"/>
                <w:szCs w:val="28"/>
              </w:rPr>
            </w:pPr>
            <w:r>
              <w:rPr>
                <w:rFonts w:hint="eastAsia" w:ascii="仿宋" w:hAnsi="仿宋" w:eastAsia="仿宋" w:cs="仿宋"/>
                <w:b w:val="0"/>
                <w:kern w:val="2"/>
                <w:sz w:val="24"/>
                <w:szCs w:val="24"/>
                <w:lang w:val="en-US" w:eastAsia="zh-CN" w:bidi="ar-SA"/>
              </w:rPr>
              <w:t>2、标注“★”的技术参数为关键性能要求，投标人响应满足标注“★”的技术参数时，必须提供所投产品生产厂家加盖公章的证明文件进行评分，每个标注“★”项不满足扣3分，设备技术性能分扣完为止。</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rPr>
              <w:t>培训、售后服务承诺</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4"/>
                <w:szCs w:val="24"/>
              </w:rPr>
            </w:pPr>
            <w:r>
              <w:rPr>
                <w:rFonts w:hint="eastAsia" w:ascii="仿宋" w:hAnsi="仿宋" w:eastAsia="仿宋" w:cs="仿宋"/>
                <w:sz w:val="24"/>
                <w:szCs w:val="24"/>
              </w:rPr>
              <w:t>1、投标人所投台式电脑制造商能通过微信服务平台提供全天候自助服务和12小时在线人工服务，可实现咨询在线客服、查询服务网点、预约服务及产品批量绑定并报修等功能的得</w:t>
            </w:r>
            <w:r>
              <w:rPr>
                <w:rFonts w:hint="eastAsia" w:ascii="仿宋" w:hAnsi="仿宋" w:eastAsia="仿宋" w:cs="仿宋"/>
                <w:sz w:val="24"/>
                <w:szCs w:val="24"/>
                <w:lang w:val="en-US" w:eastAsia="zh-CN"/>
              </w:rPr>
              <w:t>5</w:t>
            </w:r>
            <w:r>
              <w:rPr>
                <w:rFonts w:hint="eastAsia" w:ascii="仿宋" w:hAnsi="仿宋" w:eastAsia="仿宋" w:cs="仿宋"/>
                <w:sz w:val="24"/>
                <w:szCs w:val="24"/>
              </w:rPr>
              <w:t>分（需提供微信平台功能截图加盖厂家公章）。</w:t>
            </w:r>
          </w:p>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4"/>
                <w:szCs w:val="24"/>
              </w:rPr>
            </w:pPr>
            <w:r>
              <w:rPr>
                <w:rFonts w:hint="eastAsia" w:ascii="仿宋" w:hAnsi="仿宋" w:eastAsia="仿宋" w:cs="仿宋"/>
                <w:sz w:val="24"/>
                <w:szCs w:val="24"/>
              </w:rPr>
              <w:t>2、详细说明售后服务的内容、形式、含维修人员组成、免费维修时间、解决质量或操作问题的响应时间、解决问题时间、维修单位名称、地点。（0-3分）</w:t>
            </w:r>
          </w:p>
          <w:p>
            <w:pPr>
              <w:pageBreakBefore w:val="0"/>
              <w:kinsoku/>
              <w:overflowPunct/>
              <w:topLinePunct w:val="0"/>
              <w:autoSpaceDE/>
              <w:autoSpaceDN/>
              <w:bidi w:val="0"/>
              <w:adjustRightInd/>
              <w:spacing w:before="0" w:beforeLines="0" w:after="0" w:afterLines="0" w:line="500" w:lineRule="exact"/>
              <w:outlineLvl w:val="9"/>
              <w:rPr>
                <w:rFonts w:hint="eastAsia" w:ascii="仿宋" w:hAnsi="仿宋" w:eastAsia="仿宋" w:cs="仿宋"/>
                <w:sz w:val="28"/>
                <w:szCs w:val="28"/>
              </w:rPr>
            </w:pPr>
            <w:r>
              <w:rPr>
                <w:rFonts w:hint="eastAsia" w:ascii="仿宋" w:hAnsi="仿宋" w:eastAsia="仿宋" w:cs="仿宋"/>
                <w:sz w:val="24"/>
                <w:szCs w:val="24"/>
              </w:rPr>
              <w:t>3、承诺为采购方人员进行免费培训，根据培训计划的详尽性和可行性打分。（0-2分）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r>
    </w:tbl>
    <w:p>
      <w:pPr>
        <w:pStyle w:val="64"/>
        <w:shd w:val="clear" w:color="auto" w:fill="FFFFFF"/>
        <w:jc w:val="left"/>
        <w:rPr>
          <w:rFonts w:ascii="新宋体" w:hAnsi="新宋体" w:eastAsia="新宋体" w:cs="新宋体"/>
          <w:kern w:val="0"/>
          <w:sz w:val="24"/>
          <w:szCs w:val="24"/>
        </w:rPr>
      </w:pPr>
    </w:p>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pStyle w:val="30"/>
        <w:rPr>
          <w:rFonts w:cs="黑体" w:asciiTheme="minorEastAsia" w:hAnsiTheme="minorEastAsia"/>
          <w:b/>
          <w:bCs/>
          <w:sz w:val="28"/>
          <w:szCs w:val="28"/>
          <w:lang w:val="zh-CN"/>
        </w:rPr>
      </w:pPr>
    </w:p>
    <w:p>
      <w:pPr>
        <w:pStyle w:val="30"/>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467FF"/>
    <w:multiLevelType w:val="singleLevel"/>
    <w:tmpl w:val="C57467FF"/>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EA0851"/>
    <w:multiLevelType w:val="singleLevel"/>
    <w:tmpl w:val="0DEA0851"/>
    <w:lvl w:ilvl="0" w:tentative="0">
      <w:start w:val="3"/>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5"/>
  </w:num>
  <w:num w:numId="8">
    <w:abstractNumId w:val="0"/>
  </w:num>
  <w:num w:numId="9">
    <w:abstractNumId w:val="1"/>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175FB0"/>
    <w:rsid w:val="014F25D8"/>
    <w:rsid w:val="01F0498B"/>
    <w:rsid w:val="01FC76C9"/>
    <w:rsid w:val="027C7D92"/>
    <w:rsid w:val="02E813E8"/>
    <w:rsid w:val="032449BC"/>
    <w:rsid w:val="037217D3"/>
    <w:rsid w:val="037D2EFC"/>
    <w:rsid w:val="03A87C38"/>
    <w:rsid w:val="03C54AE6"/>
    <w:rsid w:val="05530FDE"/>
    <w:rsid w:val="067B2CDB"/>
    <w:rsid w:val="067E306B"/>
    <w:rsid w:val="07732CDA"/>
    <w:rsid w:val="07DA78CD"/>
    <w:rsid w:val="080C2BBA"/>
    <w:rsid w:val="08866B85"/>
    <w:rsid w:val="08BA0002"/>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D5F2164"/>
    <w:rsid w:val="0DAC158A"/>
    <w:rsid w:val="0EAA6EAD"/>
    <w:rsid w:val="0F485C64"/>
    <w:rsid w:val="0FD30C14"/>
    <w:rsid w:val="101B403B"/>
    <w:rsid w:val="10483DBD"/>
    <w:rsid w:val="10E862A7"/>
    <w:rsid w:val="110E6851"/>
    <w:rsid w:val="116D26CD"/>
    <w:rsid w:val="119F1D23"/>
    <w:rsid w:val="11C23651"/>
    <w:rsid w:val="11E13F76"/>
    <w:rsid w:val="12204073"/>
    <w:rsid w:val="129267D1"/>
    <w:rsid w:val="12C422CE"/>
    <w:rsid w:val="12EF53A4"/>
    <w:rsid w:val="13903C42"/>
    <w:rsid w:val="13EB69AF"/>
    <w:rsid w:val="13EF7D11"/>
    <w:rsid w:val="140778EB"/>
    <w:rsid w:val="155C6126"/>
    <w:rsid w:val="158908A7"/>
    <w:rsid w:val="160E3E81"/>
    <w:rsid w:val="16EE4E99"/>
    <w:rsid w:val="171A4F3B"/>
    <w:rsid w:val="171E620C"/>
    <w:rsid w:val="175F012D"/>
    <w:rsid w:val="177F77A3"/>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A2593"/>
    <w:rsid w:val="1CCF2F1D"/>
    <w:rsid w:val="1CF87F0B"/>
    <w:rsid w:val="1CFB73D3"/>
    <w:rsid w:val="1D767D0D"/>
    <w:rsid w:val="1DAB4E8F"/>
    <w:rsid w:val="1E516E0E"/>
    <w:rsid w:val="1E6A062B"/>
    <w:rsid w:val="1E8E722F"/>
    <w:rsid w:val="1F8E45BB"/>
    <w:rsid w:val="1FE15514"/>
    <w:rsid w:val="1FF158F3"/>
    <w:rsid w:val="208614E5"/>
    <w:rsid w:val="20D22F9F"/>
    <w:rsid w:val="211E56E5"/>
    <w:rsid w:val="2157706F"/>
    <w:rsid w:val="21DC7D3C"/>
    <w:rsid w:val="21DD4A96"/>
    <w:rsid w:val="2298317C"/>
    <w:rsid w:val="22CE29EE"/>
    <w:rsid w:val="242212EC"/>
    <w:rsid w:val="24D35795"/>
    <w:rsid w:val="255E48CD"/>
    <w:rsid w:val="25A73210"/>
    <w:rsid w:val="260E7254"/>
    <w:rsid w:val="26B87348"/>
    <w:rsid w:val="271F4B16"/>
    <w:rsid w:val="275038F3"/>
    <w:rsid w:val="27CB63E1"/>
    <w:rsid w:val="27CD14F5"/>
    <w:rsid w:val="27D75029"/>
    <w:rsid w:val="28C41F2B"/>
    <w:rsid w:val="28E96646"/>
    <w:rsid w:val="29081640"/>
    <w:rsid w:val="29337FCE"/>
    <w:rsid w:val="293C5FB1"/>
    <w:rsid w:val="29A55E19"/>
    <w:rsid w:val="29F94CB1"/>
    <w:rsid w:val="2A553543"/>
    <w:rsid w:val="2A745111"/>
    <w:rsid w:val="2AF87034"/>
    <w:rsid w:val="2B022C78"/>
    <w:rsid w:val="2B79591F"/>
    <w:rsid w:val="2C014C3B"/>
    <w:rsid w:val="2D4A693F"/>
    <w:rsid w:val="2E252DC4"/>
    <w:rsid w:val="2E7954A4"/>
    <w:rsid w:val="2EE200E1"/>
    <w:rsid w:val="2F566BBD"/>
    <w:rsid w:val="2F650AED"/>
    <w:rsid w:val="2FFD3F6B"/>
    <w:rsid w:val="30EA79C7"/>
    <w:rsid w:val="30FD56B7"/>
    <w:rsid w:val="31904533"/>
    <w:rsid w:val="329E1B24"/>
    <w:rsid w:val="32BF12F4"/>
    <w:rsid w:val="330A73B6"/>
    <w:rsid w:val="33563CED"/>
    <w:rsid w:val="338A4286"/>
    <w:rsid w:val="33A248F8"/>
    <w:rsid w:val="3401632B"/>
    <w:rsid w:val="347F0816"/>
    <w:rsid w:val="3495779B"/>
    <w:rsid w:val="34B644B7"/>
    <w:rsid w:val="34DB5209"/>
    <w:rsid w:val="35850A1F"/>
    <w:rsid w:val="35C53FC8"/>
    <w:rsid w:val="36621D69"/>
    <w:rsid w:val="36B46A4A"/>
    <w:rsid w:val="36E65B38"/>
    <w:rsid w:val="37561C08"/>
    <w:rsid w:val="375656B9"/>
    <w:rsid w:val="375B6549"/>
    <w:rsid w:val="37627558"/>
    <w:rsid w:val="37B36A7F"/>
    <w:rsid w:val="37B91083"/>
    <w:rsid w:val="395049CE"/>
    <w:rsid w:val="39734983"/>
    <w:rsid w:val="39FD28B4"/>
    <w:rsid w:val="3A50664E"/>
    <w:rsid w:val="3AC47AB6"/>
    <w:rsid w:val="3ADD0A2E"/>
    <w:rsid w:val="3B4C7808"/>
    <w:rsid w:val="3B7A3E82"/>
    <w:rsid w:val="3B8D0CE8"/>
    <w:rsid w:val="3BA71EF1"/>
    <w:rsid w:val="3C1651F0"/>
    <w:rsid w:val="3C2006E5"/>
    <w:rsid w:val="3C3966F8"/>
    <w:rsid w:val="3CBF1608"/>
    <w:rsid w:val="3CC749D9"/>
    <w:rsid w:val="3CFB31CE"/>
    <w:rsid w:val="3D0B4A04"/>
    <w:rsid w:val="3D1C787B"/>
    <w:rsid w:val="3DCA2531"/>
    <w:rsid w:val="3DDA3322"/>
    <w:rsid w:val="3E3A26DB"/>
    <w:rsid w:val="3EA20E92"/>
    <w:rsid w:val="3EF36E15"/>
    <w:rsid w:val="3F160F7B"/>
    <w:rsid w:val="3F263B0E"/>
    <w:rsid w:val="3FE210C6"/>
    <w:rsid w:val="413258DA"/>
    <w:rsid w:val="414D7438"/>
    <w:rsid w:val="41572B91"/>
    <w:rsid w:val="419C3BA5"/>
    <w:rsid w:val="41A16B13"/>
    <w:rsid w:val="41EF3AE9"/>
    <w:rsid w:val="42065704"/>
    <w:rsid w:val="423A7A11"/>
    <w:rsid w:val="428968C5"/>
    <w:rsid w:val="430D37F8"/>
    <w:rsid w:val="43420F67"/>
    <w:rsid w:val="43AF27C5"/>
    <w:rsid w:val="44237FCC"/>
    <w:rsid w:val="443E3AC2"/>
    <w:rsid w:val="444225CD"/>
    <w:rsid w:val="444772BC"/>
    <w:rsid w:val="444A0A6A"/>
    <w:rsid w:val="444D773E"/>
    <w:rsid w:val="44972791"/>
    <w:rsid w:val="44F0621D"/>
    <w:rsid w:val="458D2A4C"/>
    <w:rsid w:val="459D509E"/>
    <w:rsid w:val="45A926DC"/>
    <w:rsid w:val="45FC4042"/>
    <w:rsid w:val="475521A8"/>
    <w:rsid w:val="477C4489"/>
    <w:rsid w:val="477E79DB"/>
    <w:rsid w:val="47EC2F8F"/>
    <w:rsid w:val="48163D9E"/>
    <w:rsid w:val="48BB1E61"/>
    <w:rsid w:val="48D05818"/>
    <w:rsid w:val="48E44347"/>
    <w:rsid w:val="49174D2D"/>
    <w:rsid w:val="49951B10"/>
    <w:rsid w:val="49A5443C"/>
    <w:rsid w:val="4A205008"/>
    <w:rsid w:val="4AB4093D"/>
    <w:rsid w:val="4AE22F4C"/>
    <w:rsid w:val="4B536EA5"/>
    <w:rsid w:val="4C8A6EA9"/>
    <w:rsid w:val="4CA91082"/>
    <w:rsid w:val="4D1C4C00"/>
    <w:rsid w:val="4D3E056B"/>
    <w:rsid w:val="4D6D63A9"/>
    <w:rsid w:val="4E8A1C6C"/>
    <w:rsid w:val="4E8F0D2C"/>
    <w:rsid w:val="4E9D24DB"/>
    <w:rsid w:val="4EAC4ADD"/>
    <w:rsid w:val="4EB72836"/>
    <w:rsid w:val="4ED23FD5"/>
    <w:rsid w:val="4EE945C2"/>
    <w:rsid w:val="4EFB1FC3"/>
    <w:rsid w:val="4F3C1178"/>
    <w:rsid w:val="4F661CEB"/>
    <w:rsid w:val="4F6D0305"/>
    <w:rsid w:val="4FEB5C49"/>
    <w:rsid w:val="4FF123BD"/>
    <w:rsid w:val="50EE3DA0"/>
    <w:rsid w:val="51551B42"/>
    <w:rsid w:val="520D1A84"/>
    <w:rsid w:val="526717EF"/>
    <w:rsid w:val="527B1821"/>
    <w:rsid w:val="53087B80"/>
    <w:rsid w:val="5310611D"/>
    <w:rsid w:val="53276344"/>
    <w:rsid w:val="53293BFC"/>
    <w:rsid w:val="533D55CA"/>
    <w:rsid w:val="535D3032"/>
    <w:rsid w:val="53673EE3"/>
    <w:rsid w:val="53C97953"/>
    <w:rsid w:val="53E15B41"/>
    <w:rsid w:val="53F5577A"/>
    <w:rsid w:val="546B668A"/>
    <w:rsid w:val="5590515E"/>
    <w:rsid w:val="55EF2276"/>
    <w:rsid w:val="562B4D59"/>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B0C6CA4"/>
    <w:rsid w:val="5BCD4474"/>
    <w:rsid w:val="5C944AE4"/>
    <w:rsid w:val="5CFD3C28"/>
    <w:rsid w:val="5E2C7B65"/>
    <w:rsid w:val="5EB8046C"/>
    <w:rsid w:val="5EC23D91"/>
    <w:rsid w:val="5EEA6FD8"/>
    <w:rsid w:val="5F5D3B89"/>
    <w:rsid w:val="5F91300B"/>
    <w:rsid w:val="5FBD74DE"/>
    <w:rsid w:val="601812B8"/>
    <w:rsid w:val="604A0851"/>
    <w:rsid w:val="608416F1"/>
    <w:rsid w:val="60BD0412"/>
    <w:rsid w:val="616C5D6E"/>
    <w:rsid w:val="61775FA5"/>
    <w:rsid w:val="619B680C"/>
    <w:rsid w:val="61B05CCC"/>
    <w:rsid w:val="622D3D3C"/>
    <w:rsid w:val="62E53998"/>
    <w:rsid w:val="64124C78"/>
    <w:rsid w:val="648D2FFF"/>
    <w:rsid w:val="64D156E0"/>
    <w:rsid w:val="653348F4"/>
    <w:rsid w:val="656839C3"/>
    <w:rsid w:val="65725730"/>
    <w:rsid w:val="65B92974"/>
    <w:rsid w:val="65C80747"/>
    <w:rsid w:val="65C83ABD"/>
    <w:rsid w:val="665D6AFD"/>
    <w:rsid w:val="66834498"/>
    <w:rsid w:val="672B7704"/>
    <w:rsid w:val="68594ADA"/>
    <w:rsid w:val="686606F0"/>
    <w:rsid w:val="68741D48"/>
    <w:rsid w:val="691E4234"/>
    <w:rsid w:val="6A0D5579"/>
    <w:rsid w:val="6AB31C19"/>
    <w:rsid w:val="6B357A50"/>
    <w:rsid w:val="6B5B7DCB"/>
    <w:rsid w:val="6B930197"/>
    <w:rsid w:val="6BB95672"/>
    <w:rsid w:val="6C1E4AF0"/>
    <w:rsid w:val="6C4712E8"/>
    <w:rsid w:val="6C6B0B7F"/>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8D23FE"/>
    <w:rsid w:val="71C32A07"/>
    <w:rsid w:val="71E53350"/>
    <w:rsid w:val="720E5D3A"/>
    <w:rsid w:val="72254E2A"/>
    <w:rsid w:val="72E83FB1"/>
    <w:rsid w:val="72ED3426"/>
    <w:rsid w:val="72F74901"/>
    <w:rsid w:val="73184127"/>
    <w:rsid w:val="73733509"/>
    <w:rsid w:val="73D40348"/>
    <w:rsid w:val="74304EB5"/>
    <w:rsid w:val="74AB41BE"/>
    <w:rsid w:val="75304144"/>
    <w:rsid w:val="755A041E"/>
    <w:rsid w:val="75EA3934"/>
    <w:rsid w:val="76AF6448"/>
    <w:rsid w:val="76FE772E"/>
    <w:rsid w:val="774700AD"/>
    <w:rsid w:val="777E0158"/>
    <w:rsid w:val="788A0F31"/>
    <w:rsid w:val="78AD1534"/>
    <w:rsid w:val="78DE6336"/>
    <w:rsid w:val="78F56DD8"/>
    <w:rsid w:val="79373D17"/>
    <w:rsid w:val="7A77760E"/>
    <w:rsid w:val="7AC70899"/>
    <w:rsid w:val="7B3F7553"/>
    <w:rsid w:val="7B7986D1"/>
    <w:rsid w:val="7B877587"/>
    <w:rsid w:val="7C113822"/>
    <w:rsid w:val="7C52078C"/>
    <w:rsid w:val="7D1D2C00"/>
    <w:rsid w:val="7E0F106D"/>
    <w:rsid w:val="7E4F5023"/>
    <w:rsid w:val="7EE52F06"/>
    <w:rsid w:val="7F2F256F"/>
    <w:rsid w:val="7F590E4F"/>
    <w:rsid w:val="7F5A64D2"/>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59"/>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列出段落1"/>
    <w:basedOn w:val="1"/>
    <w:unhideWhenUsed/>
    <w:qFormat/>
    <w:uiPriority w:val="99"/>
    <w:pPr>
      <w:ind w:firstLine="420" w:firstLineChars="200"/>
    </w:pPr>
  </w:style>
  <w:style w:type="character" w:customStyle="1" w:styleId="32">
    <w:name w:val="标题 1 字符"/>
    <w:basedOn w:val="25"/>
    <w:link w:val="3"/>
    <w:qFormat/>
    <w:uiPriority w:val="0"/>
    <w:rPr>
      <w:rFonts w:ascii="Calibri" w:hAnsi="Calibri" w:eastAsia="宋体" w:cs="Times New Roman"/>
      <w:b/>
      <w:bCs/>
      <w:kern w:val="44"/>
      <w:sz w:val="44"/>
      <w:szCs w:val="44"/>
    </w:rPr>
  </w:style>
  <w:style w:type="character" w:customStyle="1" w:styleId="33">
    <w:name w:val="标题 2 字符"/>
    <w:basedOn w:val="25"/>
    <w:link w:val="4"/>
    <w:qFormat/>
    <w:uiPriority w:val="0"/>
    <w:rPr>
      <w:rFonts w:ascii="Arial" w:hAnsi="Arial" w:eastAsia="黑体" w:cs="Times New Roman"/>
      <w:b/>
      <w:bCs/>
      <w:kern w:val="0"/>
      <w:sz w:val="32"/>
      <w:szCs w:val="32"/>
    </w:rPr>
  </w:style>
  <w:style w:type="character" w:customStyle="1" w:styleId="34">
    <w:name w:val="标题 3 字符"/>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5"/>
    <w:link w:val="6"/>
    <w:qFormat/>
    <w:uiPriority w:val="0"/>
    <w:rPr>
      <w:rFonts w:ascii="Arial" w:hAnsi="Arial" w:eastAsia="黑体" w:cs="Times New Roman"/>
      <w:b/>
      <w:bCs/>
      <w:kern w:val="0"/>
      <w:sz w:val="28"/>
      <w:szCs w:val="28"/>
    </w:rPr>
  </w:style>
  <w:style w:type="character" w:customStyle="1" w:styleId="36">
    <w:name w:val="纯文本 字符"/>
    <w:basedOn w:val="25"/>
    <w:link w:val="14"/>
    <w:qFormat/>
    <w:uiPriority w:val="0"/>
    <w:rPr>
      <w:rFonts w:eastAsia="宋体"/>
      <w:sz w:val="24"/>
    </w:rPr>
  </w:style>
  <w:style w:type="character" w:customStyle="1" w:styleId="37">
    <w:name w:val="日期 字符"/>
    <w:basedOn w:val="25"/>
    <w:link w:val="15"/>
    <w:qFormat/>
    <w:uiPriority w:val="99"/>
  </w:style>
  <w:style w:type="character" w:customStyle="1" w:styleId="38">
    <w:name w:val="页脚 字符"/>
    <w:basedOn w:val="25"/>
    <w:link w:val="16"/>
    <w:qFormat/>
    <w:uiPriority w:val="99"/>
    <w:rPr>
      <w:sz w:val="18"/>
      <w:szCs w:val="18"/>
    </w:rPr>
  </w:style>
  <w:style w:type="character" w:customStyle="1" w:styleId="39">
    <w:name w:val="页眉 字符"/>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5"/>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8"/>
      <w:szCs w:val="28"/>
      <w:u w:val="none"/>
    </w:rPr>
  </w:style>
  <w:style w:type="character" w:customStyle="1" w:styleId="63">
    <w:name w:val="font11"/>
    <w:basedOn w:val="25"/>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CellMar>
        <w:top w:w="0" w:type="dxa"/>
        <w:left w:w="0" w:type="dxa"/>
        <w:bottom w:w="0" w:type="dxa"/>
        <w:right w:w="0" w:type="dxa"/>
      </w:tblCellMar>
    </w:tblPr>
  </w:style>
  <w:style w:type="paragraph" w:customStyle="1" w:styleId="6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USE 1"/>
    <w:basedOn w:val="1"/>
    <w:qFormat/>
    <w:uiPriority w:val="0"/>
    <w:pPr>
      <w:spacing w:line="200" w:lineRule="atLeast"/>
      <w:jc w:val="left"/>
    </w:pPr>
    <w:rPr>
      <w:rFonts w:ascii="宋体" w:hAnsi="宋体"/>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23</TotalTime>
  <ScaleCrop>false</ScaleCrop>
  <LinksUpToDate>false</LinksUpToDate>
  <CharactersWithSpaces>40142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河北恒基建设招标有限公司:丁宏宁</cp:lastModifiedBy>
  <cp:lastPrinted>2018-08-01T18:20:00Z</cp:lastPrinted>
  <dcterms:modified xsi:type="dcterms:W3CDTF">2019-11-20T07:05:22Z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