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评分标准</w:t>
      </w:r>
    </w:p>
    <w:tbl>
      <w:tblPr>
        <w:tblStyle w:val="5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32"/>
        <w:gridCol w:w="7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分值构成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(总分100分)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价格部分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0分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商务部分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分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auto"/>
              </w:rPr>
              <w:t>技术及服务能力部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  <w:t>评审项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  <w:t>评分因素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shd w:val="clear" w:color="auto" w:fill="auto"/>
              </w:rPr>
              <w:t>评标标准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snapToGrid w:val="0"/>
              <w:ind w:leftChars="-2" w:hanging="4" w:hangingChars="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报价部分</w:t>
            </w:r>
          </w:p>
          <w:p>
            <w:pPr>
              <w:widowControl/>
              <w:snapToGrid w:val="0"/>
              <w:ind w:leftChars="-2" w:hanging="4" w:hangingChars="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shd w:val="clear" w:color="auto" w:fill="auto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分）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报价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shd w:val="clear" w:color="auto" w:fill="auto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分）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投标报价得分=（评标基准价/投标报价）×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leftChars="-2" w:hanging="4" w:hangingChars="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商务部分</w:t>
            </w:r>
          </w:p>
          <w:bookmarkEnd w:id="0"/>
          <w:bookmarkEnd w:id="1"/>
          <w:p>
            <w:pPr>
              <w:widowControl/>
              <w:snapToGrid w:val="0"/>
              <w:ind w:leftChars="-2" w:hanging="4" w:hangingChars="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分）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供应商履约保证能力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供应商201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年以来具有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200万以上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项目业绩，每份业绩得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分，最多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投标文件里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应提供法定媒介中标(成交)公示网页截图，合同和中标通知书电子扫描件，三者缺一不计分。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1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投标人具备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质量管理体系认证、环境管理体系认证、职业健康安全管理体系认证、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企业诚信管理体系证书，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售后服务五星认证证书、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每个证书得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分，最高得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缺项不得分。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投标文件中附完整的扫描件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2、投标人具备信用等级为AAA级得2分，AA级的得1分，AA级以下的不得分（提供评估报告、信用河南网上截图）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投标文件中附完整的扫描件</w:t>
            </w:r>
            <w:r>
              <w:rPr>
                <w:rFonts w:hint="eastAsia" w:cs="仿宋" w:asciiTheme="majorEastAsia" w:hAnsiTheme="majorEastAsia" w:eastAsiaTheme="majorEastAsia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技术及服务能力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技术参数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响应程度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供应商所投产品对照招标文件中技术指标参数，全部满足招标要求的得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分；每有一项不满足的扣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71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1、提供完善的售后服务方案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及售后服务能力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（综合对比分为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三档进行打分，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缺项不得分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2、提供完善的培训计划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及培训能力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（综合对比分为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三档进行打分，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缺项不得分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）；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0F90"/>
    <w:rsid w:val="06755163"/>
    <w:rsid w:val="57832B63"/>
    <w:rsid w:val="63F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首行缩进"/>
    <w:basedOn w:val="1"/>
    <w:qFormat/>
    <w:uiPriority w:val="0"/>
    <w:pPr>
      <w:ind w:firstLine="0" w:firstLineChars="0"/>
    </w:pPr>
    <w:rPr>
      <w:rFonts w:ascii="Times New Roman" w:hAnsi="Times New Roman" w:cs="宋体"/>
      <w:kern w:val="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2019-11-13T07:55:00Z</dcterms:created>
  <dc:creator>易科电子</dc:creator>
  <cp:lastModifiedBy>Administrator</cp:lastModifiedBy>
  <cp:lastPrinted>2019-11-13T09:24:44Z</cp:lastPrinted>
  <dcterms:modified xsi:type="dcterms:W3CDTF">2019-11-13T09:27:02Z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