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禹州市妇幼保健院</w:t>
      </w:r>
    </w:p>
    <w:p>
      <w:pPr>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信息化数据中心升级改造</w:t>
      </w:r>
      <w:r>
        <w:rPr>
          <w:rFonts w:hint="eastAsia" w:ascii="黑体" w:hAnsi="黑体" w:eastAsia="黑体" w:cs="黑体"/>
          <w:color w:val="000000"/>
          <w:sz w:val="44"/>
          <w:szCs w:val="44"/>
          <w:lang w:val="en-US" w:eastAsia="zh-CN"/>
        </w:rPr>
        <w:t>项目</w:t>
      </w: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300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禹州市妇幼保健院信息化数据中心升级改造项目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禹州市政府采购中心受禹州市妇幼保健院的委托，就“禹州市妇幼保健院信息化数据中心升级改造项目”进行公开招标，欢迎合格的投标人前来投标。</w:t>
      </w:r>
    </w:p>
    <w:p>
      <w:pPr>
        <w:pStyle w:val="60"/>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1.采购人：禹州市妇幼保健院</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2.项目名称：禹州市妇幼保健院信息化数据中心升级改造项目</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300</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数据储存系统，数据库服务器等一批</w:t>
      </w:r>
      <w:r>
        <w:rPr>
          <w:rFonts w:hint="eastAsia" w:ascii="新宋体" w:hAnsi="新宋体" w:eastAsia="新宋体" w:cs="新宋体"/>
          <w:color w:val="000000"/>
          <w:kern w:val="0"/>
          <w:sz w:val="24"/>
          <w:szCs w:val="24"/>
        </w:rPr>
        <w:t>（详见招标文件）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165</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165</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9"/>
          <w:rFonts w:hint="eastAsia" w:ascii="新宋体" w:hAnsi="新宋体" w:eastAsia="新宋体" w:cs="新宋体"/>
          <w:sz w:val="24"/>
          <w:szCs w:val="24"/>
        </w:rPr>
        <w:t>http://221.14.6.70:8088/ggzy/eps/public/RegistAllJcxx.html</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9"/>
          <w:rFonts w:hint="eastAsia" w:ascii="新宋体" w:hAnsi="新宋体" w:eastAsia="新宋体" w:cs="新宋体"/>
          <w:sz w:val="24"/>
          <w:szCs w:val="24"/>
        </w:rPr>
        <w:t>http://ggzy.xuchang.gov.cn/</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（二）采购单位：禹州市妇幼保健院</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禹州市健康路</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18539026326</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b/>
          <w:bCs/>
          <w:lang w:val="en-US" w:eastAsia="zh-CN"/>
        </w:rPr>
      </w:pPr>
    </w:p>
    <w:p>
      <w:pPr>
        <w:pStyle w:val="30"/>
        <w:rPr>
          <w:rFonts w:hint="eastAsia" w:ascii="仿宋" w:hAnsi="仿宋" w:eastAsia="仿宋" w:cs="宋体"/>
          <w:b/>
          <w:color w:val="000000"/>
          <w:kern w:val="0"/>
          <w:sz w:val="32"/>
          <w:szCs w:val="32"/>
          <w:lang w:val="en-US" w:eastAsia="zh-CN" w:bidi="ar-SA"/>
        </w:rPr>
      </w:pPr>
      <w:r>
        <w:rPr>
          <w:rFonts w:hint="eastAsia" w:ascii="仿宋" w:hAnsi="仿宋" w:eastAsia="仿宋" w:cs="宋体"/>
          <w:b/>
          <w:color w:val="000000"/>
          <w:kern w:val="0"/>
          <w:sz w:val="32"/>
          <w:szCs w:val="32"/>
          <w:lang w:val="en-US" w:eastAsia="zh-CN" w:bidi="ar-SA"/>
        </w:rPr>
        <w:t>一、采购需求</w:t>
      </w:r>
    </w:p>
    <w:p>
      <w:pPr>
        <w:widowControl/>
        <w:shd w:val="clear" w:color="auto" w:fill="FFFFFF"/>
        <w:spacing w:line="360" w:lineRule="auto"/>
        <w:ind w:firstLine="6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满足数字化医院评审的要求，全方面为医院的信息化系统提供安全可靠的保障。</w:t>
      </w:r>
    </w:p>
    <w:p>
      <w:pPr>
        <w:widowControl/>
        <w:shd w:val="clear" w:color="auto" w:fill="FFFFFF"/>
        <w:spacing w:line="360" w:lineRule="auto"/>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（二）采购清单及要求</w:t>
      </w:r>
    </w:p>
    <w:tbl>
      <w:tblPr>
        <w:tblStyle w:val="23"/>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3615"/>
        <w:gridCol w:w="960"/>
        <w:gridCol w:w="121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货物名称</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单位</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数量</w:t>
            </w:r>
          </w:p>
        </w:tc>
        <w:tc>
          <w:tcPr>
            <w:tcW w:w="2520" w:type="dxa"/>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存储系统</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数据库</w:t>
            </w:r>
            <w:r>
              <w:rPr>
                <w:rFonts w:hint="eastAsia" w:ascii="仿宋" w:hAnsi="仿宋" w:eastAsia="仿宋" w:cs="宋体"/>
                <w:color w:val="000000"/>
                <w:kern w:val="0"/>
                <w:sz w:val="32"/>
                <w:szCs w:val="32"/>
                <w:lang w:val="en-US" w:eastAsia="zh-CN"/>
              </w:rPr>
              <w:t xml:space="preserve"> 服务器</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光纤交换机</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HBA卡</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光纤网卡</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UPS</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套</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ROSE HA</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套</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中心机房</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套</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服务器机柜</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8口PDU</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11</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视频监控</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套</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核心交换机</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13</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千兆接入交换机（48口）</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14</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千兆接入交换机（24口）</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15</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千兆光模块</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16</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网络机柜</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180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17</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综合布线</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个</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480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18</w:t>
            </w:r>
          </w:p>
        </w:tc>
        <w:tc>
          <w:tcPr>
            <w:tcW w:w="3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系统集成</w:t>
            </w:r>
          </w:p>
        </w:tc>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台</w:t>
            </w:r>
          </w:p>
        </w:tc>
        <w:tc>
          <w:tcPr>
            <w:tcW w:w="12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否</w:t>
            </w:r>
          </w:p>
        </w:tc>
      </w:tr>
    </w:tbl>
    <w:p>
      <w:pPr>
        <w:widowControl/>
        <w:shd w:val="clear" w:color="auto" w:fill="FFFFFF"/>
        <w:spacing w:line="360" w:lineRule="auto"/>
        <w:ind w:firstLine="320" w:firstLineChars="100"/>
        <w:jc w:val="left"/>
        <w:rPr>
          <w:rFonts w:hint="eastAsia" w:ascii="仿宋" w:hAnsi="仿宋" w:eastAsia="仿宋" w:cs="宋体"/>
          <w:color w:val="000000"/>
          <w:kern w:val="0"/>
          <w:sz w:val="32"/>
          <w:szCs w:val="32"/>
        </w:rPr>
      </w:pP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主要设备参数</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数据库</w:t>
      </w:r>
      <w:r>
        <w:rPr>
          <w:rFonts w:hint="eastAsia" w:ascii="仿宋" w:hAnsi="仿宋" w:eastAsia="仿宋" w:cs="宋体"/>
          <w:color w:val="000000"/>
          <w:kern w:val="0"/>
          <w:sz w:val="32"/>
          <w:szCs w:val="32"/>
          <w:lang w:val="en-US" w:eastAsia="zh-CN"/>
        </w:rPr>
        <w:t>服务器</w:t>
      </w:r>
    </w:p>
    <w:tbl>
      <w:tblPr>
        <w:tblStyle w:val="24"/>
        <w:tblW w:w="954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lang w:eastAsia="zh-CN"/>
              </w:rPr>
              <w:t>规格：19英寸工业标准4U4路机架式服务器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lang w:eastAsia="zh-CN"/>
              </w:rPr>
              <w:t>芯片组：Intel C602芯片组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lang w:eastAsia="zh-CN"/>
              </w:rPr>
              <w:t>处理器：4颗Intel XeonE7-4800系列CPU（ 不低于8核/2.0GHz/20M缓存）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lang w:eastAsia="zh-CN"/>
              </w:rPr>
              <w:t>内存：不低于32GB 1600MHz LV-DIMM  1.35V低功耗内存，支持8个内</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存板最少96条内存插槽，≥3TB内存扩展, 支持单条32GB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硬盘：4块300GB 10000转 热插拔2.5寸SAS硬盘,支持12个2.5寸SAS硬盘扩展(非外挂存储)，可支持SSD硬盘扩展, 最低SSD容量80GB</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RAID功能： 外插独立SAS RAID卡，≥512MB缓存，可选电池，支持RAID6,60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lang w:eastAsia="zh-CN"/>
              </w:rPr>
              <w:t>网卡：标配双口Intel千兆网卡，含1个独享的管理端口或共享的数据端口，以及两块单口光纤网卡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lang w:eastAsia="zh-CN"/>
              </w:rPr>
              <w:t>HBA卡:两个单口8GHBA卡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lang w:eastAsia="zh-CN"/>
              </w:rPr>
              <w:t>配件：DVD-RW光驱，机架安装滑动导轨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lang w:eastAsia="zh-CN"/>
              </w:rPr>
              <w:t>电源：电源输出功率≥1600W 80+白金电源，满足能源之星2.0规范，2+2冗余电源冷却系统：支持8个冗余热插拔系统风扇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lang w:eastAsia="zh-CN"/>
              </w:rPr>
              <w:t>RAS：支持热插内存板，支持热插拔PCI-e板卡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11、</w:t>
            </w:r>
            <w:r>
              <w:rPr>
                <w:rFonts w:hint="eastAsia" w:ascii="仿宋" w:hAnsi="仿宋" w:eastAsia="仿宋" w:cs="宋体"/>
                <w:color w:val="000000"/>
                <w:kern w:val="0"/>
                <w:sz w:val="32"/>
                <w:szCs w:val="32"/>
                <w:lang w:eastAsia="zh-CN"/>
              </w:rPr>
              <w:t>I/O扩展：≥2个PCI-E 3.0x16, ≥8个PCI-E 3.0x8，7个USB 2.0接口，1个串口,1个VGA接口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w:t>
            </w:r>
            <w:r>
              <w:rPr>
                <w:rFonts w:hint="eastAsia" w:ascii="仿宋" w:hAnsi="仿宋" w:eastAsia="仿宋" w:cs="宋体"/>
                <w:color w:val="000000"/>
                <w:kern w:val="0"/>
                <w:sz w:val="32"/>
                <w:szCs w:val="32"/>
                <w:lang w:eastAsia="zh-CN"/>
              </w:rPr>
              <w:t>服务器管理：标配千台以上服务器节点的管理授权，IPMI 2.0，B/S架构，支持管理本地和远程的服务器，可实现服务器故障报警、批量的系统资源管理以及系统性能监控等功能；被管理的服务器无需安装代理软件；鼠标所到之处显示提示信息；跟踪服务器硬件配置变化；远程服务器控制及电源管理，并从控制台远程监控系统ID状态；高级功能：支持实现远程的iKVM管理和光驱、软驱的重定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13、</w:t>
            </w:r>
            <w:r>
              <w:rPr>
                <w:rFonts w:hint="eastAsia" w:ascii="仿宋" w:hAnsi="仿宋" w:eastAsia="仿宋" w:cs="宋体"/>
                <w:color w:val="000000"/>
                <w:kern w:val="0"/>
                <w:sz w:val="32"/>
                <w:szCs w:val="32"/>
                <w:lang w:eastAsia="zh-CN"/>
              </w:rPr>
              <w:t>故障定位：标配前置故障诊断模块，可实现对CPU/内存/硬盘/网卡/风扇/温度/电源等关键部件的故障诊断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40"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14、</w:t>
            </w:r>
            <w:r>
              <w:rPr>
                <w:rFonts w:hint="eastAsia" w:ascii="仿宋" w:hAnsi="仿宋" w:eastAsia="仿宋" w:cs="宋体"/>
                <w:color w:val="000000"/>
                <w:kern w:val="0"/>
                <w:sz w:val="32"/>
                <w:szCs w:val="32"/>
                <w:lang w:eastAsia="zh-CN"/>
              </w:rPr>
              <w:t>服务：原厂商3年保修</w:t>
            </w:r>
          </w:p>
        </w:tc>
      </w:tr>
    </w:tbl>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存储系统</w:t>
      </w:r>
    </w:p>
    <w:tbl>
      <w:tblPr>
        <w:tblStyle w:val="23"/>
        <w:tblW w:w="952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4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指标项目</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技术规格及配置要求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571" w:type="dxa"/>
            <w:tcBorders>
              <w:top w:val="single" w:color="auto" w:sz="4" w:space="0"/>
              <w:left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基础要求</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专业性</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bookmarkStart w:id="0" w:name="OLE_LINK3"/>
            <w:bookmarkStart w:id="1" w:name="OLE_LINK2"/>
            <w:r>
              <w:rPr>
                <w:rFonts w:hint="eastAsia" w:ascii="仿宋" w:hAnsi="仿宋" w:eastAsia="仿宋" w:cs="宋体"/>
                <w:color w:val="000000"/>
                <w:kern w:val="0"/>
                <w:sz w:val="32"/>
                <w:szCs w:val="32"/>
              </w:rPr>
              <w:t>★</w:t>
            </w:r>
            <w:bookmarkEnd w:id="0"/>
            <w:bookmarkEnd w:id="1"/>
            <w:r>
              <w:rPr>
                <w:rFonts w:hint="eastAsia" w:ascii="仿宋" w:hAnsi="仿宋" w:eastAsia="仿宋" w:cs="宋体"/>
                <w:color w:val="000000"/>
                <w:kern w:val="0"/>
                <w:sz w:val="32"/>
                <w:szCs w:val="32"/>
              </w:rPr>
              <w:t>知名品牌, 具有ISO9001:2008质量体系认证（认证范围包含存储系统的设计、开发、生产和服务, 提供有效认证证书的复印件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控制器</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体系架构</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★统一存储系统,配置双控制器，Active-Active模式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Cache配置</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★配置32GB高速缓存 （非SSD盘、Flash卡模拟）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Cache保护</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支持双Cache互为镜像技术，支持Cache断电数据保护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存储协议</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支持FC,ISCSI,CIFS,NFS,FTP,HTTP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主机接口</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★本次配置4个千兆网络端口、2个 12Gb SAS端口、8个16Gb光纤主机接口(包含8条LC-LC-10M光纤线缆)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硬盘系统</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支持磁盘类型</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支持2.5’及3.5’ SSD/SAS/SATA硬盘，支持硬盘混插；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支持RAID级别</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支持RAID 0/1/5/6/10和ERDS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硬盘配置</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★本次配置12块1.2T 2.5寸专用SAS磁盘,10K rpm,要求存储软件安装不能占用前端硬盘空间；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硬盘数据安全</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支持优化的RAID技术，不需单独设置热备盘,所有硬盘都参与数据存储,所有磁盘组成统一资源池提供数据服务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路径冗余</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★提供统一的多路径冗余管理软件，同时要提供无license限制的多路径冗余软件，支持流量负载均衡和切换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数据压缩</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支持硬件数据压缩功能，提升数据读写速度和空间利用率；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自动精简配置</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配置瘦供给（Thin Provision）功能且无容量限制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71" w:type="dxa"/>
            <w:vMerge w:val="continue"/>
            <w:tcBorders>
              <w:left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存储容灾软件</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★配置存储级容灾软件,包含远程复制等,支持存储系统之间数据同步及异步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运维管理</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数据迁移</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支持透明的、不影响应用运行的数据在不同存储设备和同一存储设备上的迁移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tcBorders>
              <w:left w:val="single" w:color="auto" w:sz="4" w:space="0"/>
              <w:bottom w:val="single" w:color="auto" w:sz="4" w:space="0"/>
              <w:right w:val="single" w:color="auto" w:sz="4" w:space="0"/>
            </w:tcBorders>
            <w:noWrap w:val="0"/>
            <w:vAlign w:val="top"/>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管理方式</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支持CLI/WebGUI/Client等图形化管理界面,中英文图形化管理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Borders>
              <w:top w:val="single" w:color="auto" w:sz="4" w:space="0"/>
              <w:left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兼容性</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支持的操作系统及数据库</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支持Windows Server 2003/2008/2008 R2/2012(包括Hyper-V)，Red Hat Enterprise Linux，SUSE Linux Enterprise，Sun Solaris，Mac OS X,HP-UX,IBM AIX,VMware,Citrix XenServer等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71"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厂商服务</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资质</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★省/直辖市颁发的专利试点单位证书；★国防部三级保密资格单位证书；以上需提供有效认证证书的复印件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71" w:type="dxa"/>
            <w:vMerge w:val="continue"/>
            <w:tcBorders>
              <w:left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w:t>
            </w:r>
          </w:p>
        </w:tc>
        <w:tc>
          <w:tcPr>
            <w:tcW w:w="640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★原厂商提供首次设备现场安装服务，三年产品质保与原厂工程师上门服务</w:t>
            </w:r>
          </w:p>
        </w:tc>
      </w:tr>
    </w:tbl>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光纤交换机</w:t>
      </w:r>
    </w:p>
    <w:tbl>
      <w:tblPr>
        <w:tblStyle w:val="24"/>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3"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8Gb，24端口交换机，16端口激活，含16个8Gb/s短波SFP，含Web tools、Zoning、EGM软件授权，全光纤支持级联，可按需扩展到24个通讯端口，单电源（固定），机架套件，原厂保修1年</w:t>
            </w:r>
          </w:p>
        </w:tc>
      </w:tr>
    </w:tbl>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核心交换机</w:t>
      </w:r>
    </w:p>
    <w:tbl>
      <w:tblPr>
        <w:tblStyle w:val="23"/>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1、★基本要求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提供7插槽机箱、背板、风扇、主控和电源，主控板槽位数≥2，业务槽位数≥5，主控和电源冗余配置；必须能支持高压直流电源：3</w:t>
            </w:r>
            <w:r>
              <w:rPr>
                <w:rFonts w:hint="eastAsia" w:ascii="仿宋" w:hAnsi="仿宋" w:eastAsia="仿宋" w:cs="宋体"/>
                <w:color w:val="000000"/>
                <w:kern w:val="0"/>
                <w:sz w:val="32"/>
                <w:szCs w:val="32"/>
                <w:lang w:val="en-US" w:eastAsia="zh-CN"/>
              </w:rPr>
              <w:t>80</w:t>
            </w:r>
            <w:r>
              <w:rPr>
                <w:rFonts w:hint="eastAsia" w:ascii="仿宋" w:hAnsi="仿宋" w:eastAsia="仿宋" w:cs="宋体"/>
                <w:color w:val="000000"/>
                <w:kern w:val="0"/>
                <w:sz w:val="32"/>
                <w:szCs w:val="32"/>
              </w:rPr>
              <w:t>V HVDC；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2、★整机性能</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支持交换容量≥15Tbps，包转发率≥3</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00Mpps，主控板、电源、接口模块等关键部件必须支持可热插拔；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3、★虚拟化技术</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支持虚拟化技术；支持≥320Gbps虚拟化带宽；支持长距离虚拟化，最大距离≥80KM，支持堆叠口和业务口共板卡且均可以正常工作，提供第三方检测报告；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4、时钟同步特性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★支持IEEE 1588v2、同步以太网。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5、QoS/ACL</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至少具备8个QoS优先级；支持基于二层ACL、扩展ACL（五元组）、混合ACL、自定义ACL；支持基于时间段的ACL配置；支持出、入方向的双向ACL；平均每板提供ACl条目数不小于100K条。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6、可靠性功能</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★支持快速以太网的环网保护技术，环网故障恢复时间不超过50ms；支持环网、开环拓扑及双上行的拓扑保护；支持多实例的负荷分担；支持UDLD或同类协议。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7、链路聚合</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支持IEEE 802.3ad LACP 链路聚合协议；支持静态Trunk端口，聚合数目支持最大128组/每组最大8端口。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8、VLAN</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支持4K个VLAN；支持基于端口/协议/IP子网/MAC的VLAN；支持QinQ功能、灵活QinQ功能；支持SuperVLAN和VLAN翻译。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9、镜像</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支持基于端口的出方向/入方向/双向数据的流量镜像功能；支持一对一、多对一、多对多的端口镜像；支持基于流的出方向/入方向/双向数据的镜像功能；支持远程镜像RSPAN和支持增强的远程镜像ERSPAN功能。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10、IP路由(IPv4、IPv6)</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支持静态路由；静态路由For IPv6；支持RIPv1/v2、RIPng、OSPFv2/v3、  ISIS、ISISv6、BGP4、BGP4+ For IPv6、策略路由、等价路由等协议。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11、IPv6特性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硬件支持分布式IPv6线速处理；支持IPv6 Ping、IPv6 Telnet；支持ND（Neighbor Discovery）、MLD Snooping、DHCPv6 snooping、IPv6 ACL、IPv4/IPv6双栈、6to4 tunnel、ISATAP tunnel等协议。★要求设备通过IPv6 Ready Phase II认证，并提供相应的证书复印件。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12、MPLS/MPLS VPN</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支持LDP协议、静态LSP配置、MPLS TE、VPWS、VPLS、H-VPLS和MPLS L3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13、组播协议</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组播协议必须支持IGMP V1/V2/V3 Snooping、组播VLAN注册MVR、IGMP侦听、过滤、代理和快速离开；支持基于VLAN/Group加入用户数量的限制；支持PIM-SM、PIM-DM、PIM-SSM和MSDP协议。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14、设备管理</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支持SD卡；支持CLI、Telnet、SSH方式的设备管理；支持本地和远程（Radius/Tacacs+）的用户登录认证和授权；支持SNMPv1/v2/v3；支持NTP、SYSLOG、RMON等。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15、★产品资质</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需要提供工信部入网证。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16、★配置要求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本次提供主控板≥2，提供GE电接口≥</w:t>
            </w:r>
            <w:r>
              <w:rPr>
                <w:rFonts w:hint="eastAsia" w:ascii="仿宋" w:hAnsi="仿宋" w:eastAsia="仿宋" w:cs="宋体"/>
                <w:color w:val="000000"/>
                <w:kern w:val="0"/>
                <w:sz w:val="32"/>
                <w:szCs w:val="32"/>
                <w:lang w:val="en-US" w:eastAsia="zh-CN"/>
              </w:rPr>
              <w:t>48</w:t>
            </w:r>
            <w:r>
              <w:rPr>
                <w:rFonts w:hint="eastAsia" w:ascii="仿宋" w:hAnsi="仿宋" w:eastAsia="仿宋" w:cs="宋体"/>
                <w:color w:val="000000"/>
                <w:kern w:val="0"/>
                <w:sz w:val="32"/>
                <w:szCs w:val="32"/>
              </w:rPr>
              <w:t>，提供GE SFP接口≥</w:t>
            </w:r>
            <w:r>
              <w:rPr>
                <w:rFonts w:hint="eastAsia" w:ascii="仿宋" w:hAnsi="仿宋" w:eastAsia="仿宋" w:cs="宋体"/>
                <w:color w:val="000000"/>
                <w:kern w:val="0"/>
                <w:sz w:val="32"/>
                <w:szCs w:val="32"/>
                <w:lang w:val="en-US" w:eastAsia="zh-CN"/>
              </w:rPr>
              <w:t>24</w:t>
            </w:r>
            <w:r>
              <w:rPr>
                <w:rFonts w:hint="eastAsia" w:ascii="仿宋" w:hAnsi="仿宋" w:eastAsia="仿宋" w:cs="宋体"/>
                <w:color w:val="000000"/>
                <w:kern w:val="0"/>
                <w:sz w:val="32"/>
                <w:szCs w:val="32"/>
                <w:lang w:eastAsia="zh-CN"/>
              </w:rPr>
              <w:t>。</w:t>
            </w:r>
          </w:p>
        </w:tc>
      </w:tr>
    </w:tbl>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千兆接入交换机（48口）</w:t>
      </w:r>
    </w:p>
    <w:tbl>
      <w:tblPr>
        <w:tblStyle w:val="2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1、★基本要求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国产主流品牌，可提供GE电接口≥48，GE光接口≥4。</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交换容量≥256Gbps，包转发率≥108Mpps，MAC地址表≥16K,官网有多个参数时以较小的参数为准。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2、二层特性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支持4K VLAN，支持Voice VLAN。支持灵活的QinQ功能。支持STP、RSTP、MSTP。支持LACP。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3、三层特性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支持至少120条以上静态路由；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4、IPv6</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★支持静态路由For IPv6。为确保设备能够支持IPv6，需要产品通过IPv6 Ready Phrase II。</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支持IPv6 ACL，支持IPv6 Ping，IPv6 Telnet。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5、组播</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支持可控组播，CAC品当访问控制。支持用户组播访问控制，用户组播访问记录。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6、ACL</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支持基于时间段的ACL配置，支持出、入方向的双向ACL。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7、安全</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支持802.1X，支持CPU防护，CPU过载保护。</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★支持以太环网保护技术；支持环网、开环拓扑及双上行的拓扑保护，支持多实例的负荷分担，可实现以太网环路50ms级的保护。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8、★节能环保</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支持可调速风扇，根据环境温度调整风扇转速，支持国际标准协议802.3az能效以太网EEE。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9、系统管理</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支持SNMP v1/v2/v3和RMON，支持WEB管理,支持FTP、TFTP。</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★支持增强VCT，单个命令显示所有端口VCT状态，</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支持零部署。</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★支持通过端口的指示灯直观获取设备端口、内存、CPU状态等信息。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10、★资质要求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提供信息产业部的电信设备入网许可证</w:t>
            </w:r>
          </w:p>
        </w:tc>
      </w:tr>
    </w:tbl>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千兆接入交换机（24口</w:t>
      </w:r>
      <w:r>
        <w:rPr>
          <w:rFonts w:hint="eastAsia" w:ascii="仿宋" w:hAnsi="仿宋" w:eastAsia="仿宋" w:cs="宋体"/>
          <w:color w:val="000000"/>
          <w:kern w:val="0"/>
          <w:sz w:val="32"/>
          <w:szCs w:val="32"/>
          <w:lang w:eastAsia="zh-CN"/>
        </w:rPr>
        <w:t>）</w:t>
      </w:r>
    </w:p>
    <w:tbl>
      <w:tblPr>
        <w:tblStyle w:val="2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1、★基本要求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国产主流品牌，可提供GE电接口≥24，可提供GE SFP接口≥2；可提供GE COMBO接口≥2。</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交换容量≥256 Gbps，包转发率≥72Mpps，MAC地址表≥16K, 官网有多个参数时以较小的参数为准。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2、二层特性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支持4K VLAN，支持Voice VLAN。支持灵活的QinQ功能。支持STP、RSTP、MSTP。支持LACP</w:t>
            </w:r>
            <w:r>
              <w:rPr>
                <w:rFonts w:hint="eastAsia" w:ascii="仿宋" w:hAnsi="仿宋" w:eastAsia="仿宋" w:cs="宋体"/>
                <w:color w:val="000000"/>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3、三层特性</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支持至少120条以上静态路由；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4、IPv6</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★支持静态路由For IPv6。为确保设备能够支持IPv6，需要产品通过IPv6 Ready Phrase II。</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支持IPv6 ACL，支持IPv6 Ping，IPv6 Telnet。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5、组播</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支持可控组播，CAC品当访问控制。支持用户组播访问控制，用户组播访问记录。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6、ACL</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支持基于时间段的ACL配置，支持出、入方向的双向ACL。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7、安全</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支持802.1X，支持CPU防护，CPU过载保护。</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★支持以太环网保护技术；支持环网、开环拓扑及双上行的拓扑保护，支持多实例的负荷分担，可实现以太网环路50ms级的保护</w:t>
            </w:r>
            <w:r>
              <w:rPr>
                <w:rFonts w:hint="eastAsia" w:ascii="仿宋" w:hAnsi="仿宋" w:eastAsia="仿宋" w:cs="宋体"/>
                <w:color w:val="000000"/>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8、★节能环保</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支持可调速风扇，根据环境温度调整风扇转速</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支持国际标准协议802.3az能效以太网EEE</w:t>
            </w:r>
            <w:r>
              <w:rPr>
                <w:rFonts w:hint="eastAsia" w:ascii="仿宋" w:hAnsi="仿宋" w:eastAsia="仿宋" w:cs="宋体"/>
                <w:color w:val="000000"/>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9、系统管理</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支持SNMP v1/v2/v3和RMON，支持WEB管理,支持FTP、TFTP。</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★支持增强VCT，单个命令显示所有端口VCT状态</w:t>
            </w:r>
            <w:r>
              <w:rPr>
                <w:rFonts w:hint="eastAsia" w:ascii="仿宋" w:hAnsi="仿宋" w:eastAsia="仿宋" w:cs="宋体"/>
                <w:color w:val="000000"/>
                <w:kern w:val="0"/>
                <w:sz w:val="32"/>
                <w:szCs w:val="32"/>
                <w:lang w:eastAsia="zh-CN"/>
              </w:rPr>
              <w:t>，</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支持零部署。</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★支持通过端口的指示灯直观获取设备端口、内存、CPU状态等信息。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518" w:type="dxa"/>
          </w:tcPr>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10、★资质要求</w:t>
            </w:r>
          </w:p>
          <w:p>
            <w:pPr>
              <w:widowControl/>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提供信息产业部的电信设备入网许可证</w:t>
            </w:r>
          </w:p>
        </w:tc>
      </w:tr>
    </w:tbl>
    <w:p>
      <w:pPr>
        <w:widowControl/>
        <w:shd w:val="clear" w:color="auto" w:fill="FFFFFF"/>
        <w:spacing w:line="360" w:lineRule="auto"/>
        <w:ind w:firstLine="640" w:firstLineChars="200"/>
        <w:contextualSpacing/>
        <w:jc w:val="left"/>
        <w:rPr>
          <w:rFonts w:ascii="仿宋" w:hAnsi="仿宋" w:eastAsia="仿宋" w:cs="宋体"/>
          <w:color w:val="000000"/>
          <w:kern w:val="0"/>
          <w:sz w:val="32"/>
          <w:szCs w:val="32"/>
        </w:rPr>
      </w:pPr>
    </w:p>
    <w:p>
      <w:pPr>
        <w:widowControl/>
        <w:numPr>
          <w:ilvl w:val="0"/>
          <w:numId w:val="7"/>
        </w:numPr>
        <w:shd w:val="clear" w:color="auto" w:fill="FFFFFF"/>
        <w:spacing w:line="360" w:lineRule="auto"/>
        <w:contextualSpacing/>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采购标的执行标准</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1、强制性产品认证</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2、信息安全产品强制性认证</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如投标人所投产品被列入《信息安全产品强制性认证目录》，投标人不能提供出此目录范畴外的替代品并须在投标文件中提供：</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（1）中国信息安全认证中心官网(http://www.isccc.gov.cn/index.shtml)产品查询结果截图并加盖投标人公章；</w:t>
      </w:r>
    </w:p>
    <w:p>
      <w:pPr>
        <w:widowControl/>
        <w:shd w:val="clear" w:color="auto" w:fill="FFFFFF"/>
        <w:spacing w:line="360" w:lineRule="auto"/>
        <w:ind w:firstLine="600"/>
        <w:jc w:val="left"/>
        <w:rPr>
          <w:rFonts w:hint="eastAsia" w:ascii="仿宋" w:hAnsi="仿宋" w:eastAsia="仿宋" w:cs="宋体"/>
          <w:color w:val="000000"/>
          <w:kern w:val="0"/>
          <w:sz w:val="32"/>
          <w:szCs w:val="32"/>
          <w:lang w:val="zh-TW" w:eastAsia="zh-TW"/>
        </w:rPr>
      </w:pPr>
      <w:r>
        <w:rPr>
          <w:rFonts w:hint="eastAsia" w:ascii="仿宋" w:hAnsi="仿宋" w:eastAsia="仿宋" w:cs="宋体"/>
          <w:color w:val="000000"/>
          <w:kern w:val="0"/>
          <w:sz w:val="32"/>
          <w:szCs w:val="32"/>
          <w:lang w:val="zh-TW" w:eastAsia="zh-TW"/>
        </w:rPr>
        <w:t>（2）中国信息安全认证中心颁发的《中国国家信息安全产品认证证书》的原件扫描件(或图片)并加盖投标人公章。</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zh-TW" w:eastAsia="zh-TW"/>
        </w:rPr>
        <w:t>注:仅需提供序号（1）~（2）其中之一即可</w:t>
      </w:r>
      <w:r>
        <w:rPr>
          <w:rFonts w:hint="eastAsia" w:ascii="仿宋" w:hAnsi="仿宋" w:eastAsia="仿宋" w:cs="宋体"/>
          <w:color w:val="000000"/>
          <w:kern w:val="0"/>
          <w:sz w:val="32"/>
          <w:szCs w:val="32"/>
          <w:lang w:val="zh-TW" w:eastAsia="zh-CN"/>
        </w:rPr>
        <w:t>。</w:t>
      </w:r>
    </w:p>
    <w:p>
      <w:pPr>
        <w:widowControl/>
        <w:shd w:val="clear" w:color="auto" w:fill="FFFFFF"/>
        <w:spacing w:line="360" w:lineRule="auto"/>
        <w:ind w:firstLine="643" w:firstLineChars="200"/>
        <w:contextualSpacing/>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 xml:space="preserve">（四）服务标准、期限、效率等要求 </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硬件提供原厂</w:t>
      </w:r>
      <w:r>
        <w:rPr>
          <w:rFonts w:hint="eastAsia" w:ascii="仿宋" w:hAnsi="仿宋" w:eastAsia="仿宋" w:cs="宋体"/>
          <w:color w:val="000000"/>
          <w:kern w:val="0"/>
          <w:sz w:val="32"/>
          <w:szCs w:val="32"/>
          <w:lang w:val="en-US" w:eastAsia="zh-CN"/>
        </w:rPr>
        <w:t>3年7*24小时原厂服务，软件提供1年厂家原厂质保服务</w:t>
      </w:r>
    </w:p>
    <w:p>
      <w:pPr>
        <w:widowControl/>
        <w:shd w:val="clear" w:color="auto" w:fill="FFFFFF"/>
        <w:spacing w:line="360" w:lineRule="auto"/>
        <w:ind w:firstLine="6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（五）验收标准</w:t>
      </w:r>
      <w:r>
        <w:rPr>
          <w:rFonts w:hint="eastAsia" w:ascii="仿宋" w:hAnsi="仿宋" w:eastAsia="仿宋" w:cs="宋体"/>
          <w:color w:val="000000"/>
          <w:kern w:val="0"/>
          <w:sz w:val="32"/>
          <w:szCs w:val="32"/>
        </w:rPr>
        <w:t>（符合国家和履约地相关安全质量标准；行业技术规范标准；环保节能标准；强制认证相关标准）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8"/>
        </w:numPr>
        <w:shd w:val="clear" w:color="auto" w:fill="FFFFFF"/>
        <w:spacing w:line="360" w:lineRule="auto"/>
        <w:ind w:firstLine="600"/>
        <w:jc w:val="left"/>
        <w:rPr>
          <w:rFonts w:hint="eastAsia" w:ascii="仿宋" w:hAnsi="仿宋" w:eastAsia="仿宋" w:cs="宋体"/>
          <w:iCs/>
          <w:color w:val="000000"/>
          <w:kern w:val="0"/>
          <w:sz w:val="32"/>
          <w:szCs w:val="32"/>
        </w:rPr>
      </w:pPr>
      <w:r>
        <w:rPr>
          <w:rFonts w:hint="eastAsia" w:ascii="仿宋" w:hAnsi="仿宋" w:eastAsia="仿宋" w:cs="宋体"/>
          <w:iCs/>
          <w:color w:val="000000"/>
          <w:kern w:val="0"/>
          <w:sz w:val="32"/>
          <w:szCs w:val="32"/>
        </w:rPr>
        <w:t>按照国家相关标准、行业标准、地方标准或者其他标准、规范验收</w:t>
      </w:r>
      <w:r>
        <w:rPr>
          <w:rFonts w:hint="eastAsia" w:ascii="仿宋" w:hAnsi="仿宋" w:eastAsia="仿宋" w:cs="宋体"/>
          <w:iCs/>
          <w:color w:val="000000"/>
          <w:kern w:val="0"/>
          <w:sz w:val="32"/>
          <w:szCs w:val="32"/>
          <w:lang w:eastAsia="zh-CN"/>
        </w:rPr>
        <w:t>。</w:t>
      </w:r>
    </w:p>
    <w:p>
      <w:pPr>
        <w:widowControl/>
        <w:numPr>
          <w:ilvl w:val="0"/>
          <w:numId w:val="0"/>
        </w:numPr>
        <w:shd w:val="clear" w:color="auto" w:fill="FFFFFF"/>
        <w:spacing w:line="360" w:lineRule="auto"/>
        <w:ind w:left="600" w:leftChars="0"/>
        <w:jc w:val="left"/>
        <w:rPr>
          <w:rFonts w:hint="eastAsia"/>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按照招标文件要求、投标文件响应和承诺验收；</w:t>
      </w:r>
    </w:p>
    <w:p>
      <w:pPr>
        <w:widowControl/>
        <w:numPr>
          <w:ilvl w:val="0"/>
          <w:numId w:val="0"/>
        </w:numPr>
        <w:shd w:val="clear" w:color="auto" w:fill="FFFFFF"/>
        <w:spacing w:line="360" w:lineRule="auto"/>
        <w:ind w:left="600" w:leftChars="0"/>
        <w:jc w:val="left"/>
        <w:rPr>
          <w:rFonts w:hint="eastAsia" w:cs="宋体" w:asciiTheme="majorEastAsia" w:hAnsiTheme="majorEastAsia" w:eastAsiaTheme="majorEastAsia"/>
          <w:b/>
          <w:kern w:val="0"/>
          <w:sz w:val="36"/>
          <w:szCs w:val="36"/>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按照双方签订的合同验收。</w:t>
      </w:r>
    </w:p>
    <w:p>
      <w:pPr>
        <w:pStyle w:val="2"/>
        <w:rPr>
          <w:rFonts w:hint="eastAsia" w:ascii="仿宋" w:hAnsi="仿宋" w:eastAsia="仿宋" w:cs="宋体"/>
          <w:b/>
          <w:color w:val="000000"/>
          <w:kern w:val="0"/>
          <w:sz w:val="32"/>
          <w:szCs w:val="32"/>
          <w:lang w:val="en-US" w:eastAsia="zh-CN" w:bidi="ar-SA"/>
        </w:rPr>
      </w:pPr>
      <w:r>
        <w:rPr>
          <w:rFonts w:hint="eastAsia" w:ascii="仿宋" w:hAnsi="仿宋" w:eastAsia="仿宋" w:cs="宋体"/>
          <w:b/>
          <w:color w:val="000000"/>
          <w:kern w:val="0"/>
          <w:sz w:val="32"/>
          <w:szCs w:val="32"/>
          <w:lang w:val="en-US" w:eastAsia="zh-CN" w:bidi="ar-SA"/>
        </w:rPr>
        <w:t>（六）采购资金支付</w:t>
      </w:r>
    </w:p>
    <w:p>
      <w:pPr>
        <w:widowControl/>
        <w:numPr>
          <w:ilvl w:val="0"/>
          <w:numId w:val="0"/>
        </w:numPr>
        <w:shd w:val="clear" w:color="auto" w:fill="FFFFFF"/>
        <w:spacing w:line="360" w:lineRule="auto"/>
        <w:ind w:left="600" w:leftChars="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（一）支付方式：直接支付</w:t>
      </w:r>
    </w:p>
    <w:p>
      <w:pPr>
        <w:widowControl/>
        <w:numPr>
          <w:ilvl w:val="0"/>
          <w:numId w:val="0"/>
        </w:numPr>
        <w:shd w:val="clear" w:color="auto" w:fill="FFFFFF"/>
        <w:spacing w:line="360" w:lineRule="auto"/>
        <w:ind w:left="600" w:leftChars="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（二）支付时间及条件：投标人在采购人验收合格后，一次性向采购人开具全额发票。设备验收合格后支付95%，剩余5%满1年无质量问题后无息支付。</w:t>
      </w: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bookmarkStart w:id="11" w:name="_GoBack"/>
      <w:bookmarkEnd w:id="11"/>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81"/>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38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700"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700"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 禹州市妇幼保健院信息化数据中心升级改造项目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300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val="en-US" w:eastAsia="zh-CN"/>
              </w:rPr>
              <w:t>供货</w:t>
            </w:r>
            <w:r>
              <w:rPr>
                <w:rFonts w:hint="eastAsia" w:cs="仿宋_GB2312" w:asciiTheme="minorEastAsia" w:hAnsiTheme="minorEastAsia"/>
                <w:szCs w:val="21"/>
              </w:rPr>
              <w:t>期：</w:t>
            </w:r>
            <w:r>
              <w:rPr>
                <w:rFonts w:hint="eastAsia" w:cs="仿宋_GB2312" w:asciiTheme="minorEastAsia" w:hAnsiTheme="minorEastAsia"/>
                <w:szCs w:val="21"/>
                <w:lang w:eastAsia="zh-CN"/>
              </w:rPr>
              <w:t>签订合同后</w:t>
            </w:r>
            <w:r>
              <w:rPr>
                <w:rFonts w:hint="eastAsia" w:cs="仿宋_GB2312" w:asciiTheme="minorEastAsia" w:hAnsiTheme="minorEastAsia"/>
                <w:szCs w:val="21"/>
                <w:lang w:val="en-US" w:eastAsia="zh-CN"/>
              </w:rPr>
              <w:t>60日内完成调试及验收。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名称：禹州市妇幼保健院</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禹州市健康路</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18539026326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381" w:type="dxa"/>
            <w:vAlign w:val="center"/>
          </w:tcPr>
          <w:p>
            <w:pPr>
              <w:autoSpaceDE w:val="0"/>
              <w:autoSpaceDN w:val="0"/>
              <w:adjustRightInd w:val="0"/>
              <w:spacing w:line="276"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投标人</w:t>
            </w:r>
          </w:p>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资格</w:t>
            </w:r>
          </w:p>
        </w:tc>
        <w:tc>
          <w:tcPr>
            <w:tcW w:w="77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default"/>
              </w:rPr>
              <w:t>③</w:t>
            </w:r>
            <w:r>
              <w:rPr>
                <w:rFonts w:hint="eastAsia"/>
              </w:rPr>
              <w:t>“中国社会组织公共服务平台”网站（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5、投标人不良信用记录以采购人查询结果为准，采购人查询之后，网站信息发生的任何变更不再作为评审依据，投标人自行提供的与网站信息不一致的其他证明材料亦不作为审依据。</w:t>
            </w:r>
          </w:p>
          <w:p>
            <w:pPr>
              <w:pStyle w:val="2"/>
              <w:rPr>
                <w:rFonts w:hint="default" w:eastAsiaTheme="minorEastAsia"/>
                <w:lang w:val="en-US" w:eastAsia="zh-CN"/>
              </w:rPr>
            </w:pPr>
            <w:r>
              <w:rPr>
                <w:rFonts w:hint="eastAsia"/>
                <w:lang w:val="en-US" w:eastAsia="zh-CN"/>
              </w:rPr>
              <w:t>八、1、被委托人须是本单位职工，须提供公司为本人缴纳社会保险证明。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165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700"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700"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700"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700"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700"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7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700"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700"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381"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381"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700"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700"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700"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381"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700"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（2）截止时间：同响应截止时间。</w:t>
      </w:r>
    </w:p>
    <w:p>
      <w:pPr>
        <w:autoSpaceDE w:val="0"/>
        <w:autoSpaceDN w:val="0"/>
        <w:spacing w:line="360" w:lineRule="auto"/>
        <w:ind w:firstLine="120" w:firstLineChars="50"/>
        <w:contextualSpacing/>
        <w:rPr>
          <w:rFonts w:hint="eastAsia"/>
          <w:sz w:val="24"/>
          <w:szCs w:val="24"/>
        </w:rPr>
      </w:pPr>
      <w:r>
        <w:rPr>
          <w:rFonts w:hint="eastAsia"/>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en-US"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rPr>
      </w:pPr>
      <w:r>
        <w:rPr>
          <w:rFonts w:hint="eastAsia" w:cs="仿宋_GB2312" w:asciiTheme="minorEastAsia" w:hAnsiTheme="minorEastAsia"/>
          <w:szCs w:val="21"/>
        </w:rPr>
        <w:t xml:space="preserve">   （5）评分标准</w:t>
      </w:r>
    </w:p>
    <w:p>
      <w:pPr>
        <w:pStyle w:val="2"/>
        <w:rPr>
          <w:rFonts w:hint="eastAsia" w:cs="仿宋_GB2312" w:asciiTheme="minorEastAsia" w:hAnsiTheme="minorEastAsia"/>
          <w:szCs w:val="21"/>
        </w:rPr>
      </w:pPr>
    </w:p>
    <w:p>
      <w:pPr>
        <w:pStyle w:val="2"/>
        <w:rPr>
          <w:rFonts w:hint="eastAsia" w:cs="仿宋_GB2312" w:asciiTheme="minorEastAsia" w:hAnsiTheme="minorEastAsia"/>
          <w:szCs w:val="21"/>
        </w:rPr>
      </w:pPr>
    </w:p>
    <w:p>
      <w:pPr>
        <w:pStyle w:val="2"/>
        <w:rPr>
          <w:rFonts w:hint="eastAsia" w:cs="仿宋_GB2312" w:asciiTheme="minorEastAsia" w:hAnsiTheme="minorEastAsia"/>
          <w:szCs w:val="21"/>
        </w:rPr>
      </w:pPr>
    </w:p>
    <w:p>
      <w:pPr>
        <w:pStyle w:val="64"/>
        <w:shd w:val="clear" w:color="auto" w:fill="FFFFFF"/>
        <w:jc w:val="left"/>
        <w:rPr>
          <w:rFonts w:ascii="新宋体" w:hAnsi="新宋体" w:eastAsia="新宋体" w:cs="新宋体"/>
          <w:kern w:val="0"/>
          <w:sz w:val="24"/>
          <w:szCs w:val="24"/>
        </w:rPr>
      </w:pPr>
    </w:p>
    <w:tbl>
      <w:tblPr>
        <w:tblStyle w:val="23"/>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820"/>
        <w:gridCol w:w="454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(总分100分)</w:t>
            </w:r>
          </w:p>
        </w:tc>
        <w:tc>
          <w:tcPr>
            <w:tcW w:w="758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3" w:firstLineChars="62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价格分值： </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分</w:t>
            </w:r>
          </w:p>
          <w:p>
            <w:pPr>
              <w:widowControl/>
              <w:spacing w:line="360" w:lineRule="auto"/>
              <w:ind w:firstLine="2003" w:firstLineChars="62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商务部分： </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分</w:t>
            </w:r>
          </w:p>
          <w:p>
            <w:pPr>
              <w:widowControl/>
              <w:spacing w:line="360" w:lineRule="auto"/>
              <w:ind w:firstLine="2003" w:firstLineChars="626"/>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技术部分： </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3"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一、价格部分（满分 </w:t>
            </w:r>
            <w:r>
              <w:rPr>
                <w:rFonts w:hint="eastAsia" w:ascii="仿宋" w:hAnsi="仿宋" w:eastAsia="仿宋" w:cs="仿宋"/>
                <w:bCs/>
                <w:color w:val="000000"/>
                <w:kern w:val="0"/>
                <w:sz w:val="32"/>
                <w:szCs w:val="32"/>
                <w:lang w:val="en-US" w:eastAsia="zh-CN"/>
              </w:rPr>
              <w:t>50</w:t>
            </w:r>
            <w:r>
              <w:rPr>
                <w:rFonts w:hint="eastAsia" w:ascii="仿宋" w:hAnsi="仿宋" w:eastAsia="仿宋" w:cs="仿宋"/>
                <w:bCs/>
                <w:color w:val="000000"/>
                <w:kern w:val="0"/>
                <w:sz w:val="32"/>
                <w:szCs w:val="32"/>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投标报价得分=（评标基准价/投标报价）× </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xml:space="preserve">  </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3"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二、商务部分（满分 </w:t>
            </w:r>
            <w:r>
              <w:rPr>
                <w:rFonts w:hint="eastAsia" w:ascii="仿宋" w:hAnsi="仿宋" w:eastAsia="仿宋" w:cs="仿宋"/>
                <w:bCs/>
                <w:color w:val="000000"/>
                <w:kern w:val="0"/>
                <w:sz w:val="32"/>
                <w:szCs w:val="32"/>
                <w:lang w:val="en-US" w:eastAsia="zh-CN"/>
              </w:rPr>
              <w:t>23</w:t>
            </w:r>
            <w:r>
              <w:rPr>
                <w:rFonts w:hint="eastAsia" w:ascii="仿宋" w:hAnsi="仿宋" w:eastAsia="仿宋" w:cs="仿宋"/>
                <w:bCs/>
                <w:color w:val="000000"/>
                <w:kern w:val="0"/>
                <w:sz w:val="32"/>
                <w:szCs w:val="32"/>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企业实力</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投标单位</w:t>
            </w:r>
            <w:r>
              <w:rPr>
                <w:rFonts w:hint="eastAsia" w:ascii="仿宋" w:hAnsi="仿宋" w:eastAsia="仿宋" w:cs="仿宋"/>
                <w:color w:val="000000"/>
                <w:kern w:val="0"/>
                <w:sz w:val="32"/>
                <w:szCs w:val="32"/>
                <w:lang w:eastAsia="zh-CN"/>
              </w:rPr>
              <w:t>所</w:t>
            </w:r>
            <w:r>
              <w:rPr>
                <w:rFonts w:hint="eastAsia" w:ascii="仿宋" w:hAnsi="仿宋" w:eastAsia="仿宋" w:cs="仿宋"/>
                <w:color w:val="000000"/>
                <w:kern w:val="0"/>
                <w:sz w:val="32"/>
                <w:szCs w:val="32"/>
              </w:rPr>
              <w:t>提供</w:t>
            </w:r>
            <w:r>
              <w:rPr>
                <w:rFonts w:hint="eastAsia" w:ascii="仿宋" w:hAnsi="仿宋" w:eastAsia="仿宋" w:cs="仿宋"/>
                <w:color w:val="000000"/>
                <w:kern w:val="0"/>
                <w:sz w:val="32"/>
                <w:szCs w:val="32"/>
                <w:lang w:eastAsia="zh-CN"/>
              </w:rPr>
              <w:t>核心产品需</w:t>
            </w:r>
            <w:r>
              <w:rPr>
                <w:rFonts w:hint="eastAsia" w:ascii="仿宋" w:hAnsi="仿宋" w:eastAsia="仿宋" w:cs="仿宋"/>
                <w:color w:val="000000"/>
                <w:kern w:val="0"/>
                <w:sz w:val="32"/>
                <w:szCs w:val="32"/>
              </w:rPr>
              <w:t>通过ISO 9001质量管理体系认证； ISO14001 环境管理体系认证证书；（每提供一项得</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分，满分</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业绩</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2016年以来完成类似项目业绩，</w:t>
            </w:r>
            <w:r>
              <w:rPr>
                <w:rFonts w:hint="eastAsia" w:ascii="仿宋" w:hAnsi="仿宋" w:eastAsia="仿宋" w:cs="仿宋"/>
                <w:color w:val="000000"/>
                <w:kern w:val="0"/>
                <w:sz w:val="32"/>
                <w:szCs w:val="32"/>
                <w:lang w:eastAsia="zh-CN"/>
              </w:rPr>
              <w:t>中标通知书、</w:t>
            </w:r>
            <w:r>
              <w:rPr>
                <w:rFonts w:hint="eastAsia" w:ascii="仿宋" w:hAnsi="仿宋" w:eastAsia="仿宋" w:cs="仿宋"/>
                <w:color w:val="000000"/>
                <w:kern w:val="0"/>
                <w:sz w:val="32"/>
                <w:szCs w:val="32"/>
              </w:rPr>
              <w:t>合同</w:t>
            </w:r>
            <w:r>
              <w:rPr>
                <w:rFonts w:hint="eastAsia" w:ascii="仿宋" w:hAnsi="仿宋" w:eastAsia="仿宋" w:cs="仿宋"/>
                <w:color w:val="000000"/>
                <w:kern w:val="0"/>
                <w:sz w:val="32"/>
                <w:szCs w:val="32"/>
                <w:lang w:eastAsia="zh-CN"/>
              </w:rPr>
              <w:t>及</w:t>
            </w:r>
            <w:r>
              <w:rPr>
                <w:rFonts w:hint="eastAsia" w:ascii="仿宋" w:hAnsi="仿宋" w:eastAsia="仿宋" w:cs="仿宋"/>
                <w:color w:val="000000"/>
                <w:kern w:val="0"/>
                <w:sz w:val="32"/>
                <w:szCs w:val="32"/>
              </w:rPr>
              <w:t>验收报告齐全。每个业绩得</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分，满分</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投标文件规范程度</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投标文件的编制符合招标文件的规定，评委根据投标文件编制规范、条理是否清楚、有无错误在1-</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分内打分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03"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三、技术部分（满分 </w:t>
            </w:r>
            <w:r>
              <w:rPr>
                <w:rFonts w:hint="eastAsia" w:ascii="仿宋" w:hAnsi="仿宋" w:eastAsia="仿宋" w:cs="仿宋"/>
                <w:bCs/>
                <w:color w:val="000000"/>
                <w:kern w:val="0"/>
                <w:sz w:val="32"/>
                <w:szCs w:val="32"/>
                <w:lang w:val="en-US" w:eastAsia="zh-CN"/>
              </w:rPr>
              <w:t>27</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spacing w:val="10"/>
                <w:sz w:val="32"/>
                <w:szCs w:val="32"/>
              </w:rPr>
              <w:t>技术参数</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32"/>
                <w:szCs w:val="32"/>
              </w:rPr>
            </w:pPr>
            <w:r>
              <w:rPr>
                <w:rFonts w:hint="eastAsia" w:ascii="仿宋" w:hAnsi="仿宋" w:eastAsia="仿宋" w:cs="仿宋"/>
                <w:sz w:val="32"/>
                <w:szCs w:val="32"/>
              </w:rPr>
              <w:t>技术参数完全符合或优于招标文件要求的，得</w:t>
            </w:r>
            <w:r>
              <w:rPr>
                <w:rFonts w:hint="eastAsia" w:ascii="仿宋" w:hAnsi="仿宋" w:eastAsia="仿宋" w:cs="仿宋"/>
                <w:sz w:val="32"/>
                <w:szCs w:val="32"/>
                <w:lang w:val="en-US" w:eastAsia="zh-CN"/>
              </w:rPr>
              <w:t>17</w:t>
            </w:r>
            <w:r>
              <w:rPr>
                <w:rFonts w:hint="eastAsia" w:ascii="仿宋" w:hAnsi="仿宋" w:eastAsia="仿宋" w:cs="仿宋"/>
                <w:sz w:val="32"/>
                <w:szCs w:val="32"/>
              </w:rPr>
              <w:t>分，招标文件技术参数要求带★的，每一项不满足的扣2分，不带★的，每一项不满足的扣1分，扣完为止。</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1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技术实力</w:t>
            </w:r>
          </w:p>
        </w:tc>
        <w:tc>
          <w:tcPr>
            <w:tcW w:w="182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服务器</w:t>
            </w:r>
          </w:p>
        </w:tc>
        <w:tc>
          <w:tcPr>
            <w:tcW w:w="4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1、产品稳定性：投标产品平均无故障时间MTBF≥100000小时，并提供国家级认证机构NCTC相关证明材料加盖原厂商公章。</w:t>
            </w:r>
          </w:p>
        </w:tc>
        <w:tc>
          <w:tcPr>
            <w:tcW w:w="121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18" w:type="dxa"/>
            <w:vMerge w:val="continue"/>
            <w:tcBorders>
              <w:left w:val="single" w:color="auto" w:sz="4" w:space="0"/>
              <w:right w:val="single" w:color="auto" w:sz="4" w:space="0"/>
            </w:tcBorders>
            <w:vAlign w:val="center"/>
          </w:tcPr>
          <w:p>
            <w:pPr>
              <w:widowControl/>
              <w:spacing w:line="360" w:lineRule="auto"/>
              <w:jc w:val="center"/>
              <w:rPr>
                <w:rFonts w:hint="eastAsia" w:ascii="仿宋" w:hAnsi="仿宋" w:eastAsia="仿宋" w:cs="仿宋"/>
                <w:sz w:val="32"/>
                <w:szCs w:val="32"/>
              </w:rPr>
            </w:pPr>
          </w:p>
        </w:tc>
        <w:tc>
          <w:tcPr>
            <w:tcW w:w="182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p>
        </w:tc>
        <w:tc>
          <w:tcPr>
            <w:tcW w:w="45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2、服务器支持温度：支持ASHRAE A4标准，工作温度支持0-50摄氏度，并提供国家级认证机构NCTC相关证明材料加盖原厂商公章。</w:t>
            </w:r>
          </w:p>
        </w:tc>
        <w:tc>
          <w:tcPr>
            <w:tcW w:w="1219" w:type="dxa"/>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191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p>
        </w:tc>
        <w:tc>
          <w:tcPr>
            <w:tcW w:w="182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集群存储系统</w:t>
            </w:r>
          </w:p>
        </w:tc>
        <w:tc>
          <w:tcPr>
            <w:tcW w:w="454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1、GJB9001质量体系包含有存储系统的设计、开发、总成和服务的认证证书加盖原厂商公章</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p>
            <w:pPr>
              <w:widowControl/>
              <w:spacing w:line="360" w:lineRule="auto"/>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售后服务承诺</w:t>
            </w:r>
          </w:p>
        </w:tc>
        <w:tc>
          <w:tcPr>
            <w:tcW w:w="63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投标人针对本项目提供详细、完善的售后服务方案，明确响应时间（1个小时响应，2个小时人员到位）、服务内容。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1-5分</w:t>
            </w:r>
            <w:r>
              <w:rPr>
                <w:rFonts w:hint="eastAsia" w:ascii="仿宋" w:hAnsi="仿宋" w:eastAsia="仿宋" w:cs="仿宋"/>
                <w:color w:val="000000"/>
                <w:kern w:val="0"/>
                <w:sz w:val="32"/>
                <w:szCs w:val="32"/>
                <w:lang w:eastAsia="zh-CN"/>
              </w:rPr>
              <w:t>）</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5分</w:t>
            </w: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rPr>
          <w:rFonts w:asciiTheme="minorEastAsia" w:hAnsiTheme="minorEastAsia"/>
          <w:color w:val="000000"/>
          <w:sz w:val="24"/>
          <w:szCs w:val="24"/>
        </w:rPr>
      </w:pPr>
    </w:p>
    <w:p>
      <w:pPr>
        <w:pStyle w:val="2"/>
        <w:rPr>
          <w:rFonts w:asciiTheme="minorEastAsia" w:hAnsiTheme="minorEastAsia"/>
          <w:color w:val="000000"/>
          <w:sz w:val="24"/>
          <w:szCs w:val="24"/>
        </w:rPr>
      </w:pPr>
    </w:p>
    <w:p>
      <w:pPr>
        <w:pStyle w:val="2"/>
        <w:rPr>
          <w:rFonts w:asciiTheme="minorEastAsia" w:hAnsiTheme="minorEastAsia"/>
          <w:color w:val="000000"/>
          <w:sz w:val="24"/>
          <w:szCs w:val="24"/>
        </w:rPr>
      </w:pPr>
    </w:p>
    <w:p>
      <w:pPr>
        <w:pStyle w:val="2"/>
        <w:rPr>
          <w:rFonts w:asciiTheme="minorEastAsia" w:hAnsiTheme="minorEastAsia"/>
          <w:color w:val="000000"/>
          <w:sz w:val="24"/>
          <w:szCs w:val="24"/>
        </w:rPr>
      </w:pPr>
    </w:p>
    <w:p>
      <w:pPr>
        <w:pStyle w:val="2"/>
        <w:rPr>
          <w:rFonts w:asciiTheme="minorEastAsia" w:hAnsiTheme="minorEastAsia"/>
          <w:color w:val="000000"/>
          <w:sz w:val="24"/>
          <w:szCs w:val="24"/>
        </w:rPr>
      </w:pPr>
    </w:p>
    <w:p>
      <w:pPr>
        <w:pStyle w:val="2"/>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467FF"/>
    <w:multiLevelType w:val="singleLevel"/>
    <w:tmpl w:val="C57467FF"/>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EA0851"/>
    <w:multiLevelType w:val="singleLevel"/>
    <w:tmpl w:val="0DEA0851"/>
    <w:lvl w:ilvl="0" w:tentative="0">
      <w:start w:val="3"/>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5"/>
  </w:num>
  <w:num w:numId="8">
    <w:abstractNumId w:val="0"/>
  </w:num>
  <w:num w:numId="9">
    <w:abstractNumId w:val="1"/>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175FB0"/>
    <w:rsid w:val="014F25D8"/>
    <w:rsid w:val="01F0498B"/>
    <w:rsid w:val="01FC76C9"/>
    <w:rsid w:val="027C7D92"/>
    <w:rsid w:val="02E813E8"/>
    <w:rsid w:val="032449BC"/>
    <w:rsid w:val="037217D3"/>
    <w:rsid w:val="037D2EFC"/>
    <w:rsid w:val="03A87C38"/>
    <w:rsid w:val="03C54AE6"/>
    <w:rsid w:val="05530FDE"/>
    <w:rsid w:val="067B2CDB"/>
    <w:rsid w:val="07732CDA"/>
    <w:rsid w:val="07DA78CD"/>
    <w:rsid w:val="080C2BBA"/>
    <w:rsid w:val="08866B85"/>
    <w:rsid w:val="08BA0002"/>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DAC158A"/>
    <w:rsid w:val="0F485C64"/>
    <w:rsid w:val="0FD30C14"/>
    <w:rsid w:val="101B403B"/>
    <w:rsid w:val="10483DBD"/>
    <w:rsid w:val="10E862A7"/>
    <w:rsid w:val="110E6851"/>
    <w:rsid w:val="116D26CD"/>
    <w:rsid w:val="119F1D23"/>
    <w:rsid w:val="11C23651"/>
    <w:rsid w:val="11E13F76"/>
    <w:rsid w:val="12204073"/>
    <w:rsid w:val="129267D1"/>
    <w:rsid w:val="12C422CE"/>
    <w:rsid w:val="12EF53A4"/>
    <w:rsid w:val="13903C42"/>
    <w:rsid w:val="13EB69AF"/>
    <w:rsid w:val="13EF7D11"/>
    <w:rsid w:val="140778EB"/>
    <w:rsid w:val="155C6126"/>
    <w:rsid w:val="158908A7"/>
    <w:rsid w:val="160E3E81"/>
    <w:rsid w:val="16EE4E99"/>
    <w:rsid w:val="171A4F3B"/>
    <w:rsid w:val="171E620C"/>
    <w:rsid w:val="175F012D"/>
    <w:rsid w:val="177F77A3"/>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A2593"/>
    <w:rsid w:val="1CCF2F1D"/>
    <w:rsid w:val="1CF87F0B"/>
    <w:rsid w:val="1CFB73D3"/>
    <w:rsid w:val="1D767D0D"/>
    <w:rsid w:val="1DAB4E8F"/>
    <w:rsid w:val="1E516E0E"/>
    <w:rsid w:val="1E6A062B"/>
    <w:rsid w:val="1E8E722F"/>
    <w:rsid w:val="1F8E45BB"/>
    <w:rsid w:val="1FE15514"/>
    <w:rsid w:val="1FF158F3"/>
    <w:rsid w:val="208614E5"/>
    <w:rsid w:val="211E56E5"/>
    <w:rsid w:val="2157706F"/>
    <w:rsid w:val="21DC7D3C"/>
    <w:rsid w:val="21DD4A96"/>
    <w:rsid w:val="2298317C"/>
    <w:rsid w:val="22CE29EE"/>
    <w:rsid w:val="242212EC"/>
    <w:rsid w:val="24D35795"/>
    <w:rsid w:val="255E48CD"/>
    <w:rsid w:val="25A73210"/>
    <w:rsid w:val="26B87348"/>
    <w:rsid w:val="271F4B16"/>
    <w:rsid w:val="275038F3"/>
    <w:rsid w:val="27CB63E1"/>
    <w:rsid w:val="27CD14F5"/>
    <w:rsid w:val="27D75029"/>
    <w:rsid w:val="28E96646"/>
    <w:rsid w:val="29081640"/>
    <w:rsid w:val="293C5FB1"/>
    <w:rsid w:val="29A55E19"/>
    <w:rsid w:val="29F94CB1"/>
    <w:rsid w:val="2A553543"/>
    <w:rsid w:val="2A745111"/>
    <w:rsid w:val="2AF87034"/>
    <w:rsid w:val="2B022C78"/>
    <w:rsid w:val="2B79591F"/>
    <w:rsid w:val="2C014C3B"/>
    <w:rsid w:val="2D4A693F"/>
    <w:rsid w:val="2E252DC4"/>
    <w:rsid w:val="2E7954A4"/>
    <w:rsid w:val="2EE200E1"/>
    <w:rsid w:val="2F566BBD"/>
    <w:rsid w:val="2F650AED"/>
    <w:rsid w:val="2FFD3F6B"/>
    <w:rsid w:val="30EA79C7"/>
    <w:rsid w:val="30FD56B7"/>
    <w:rsid w:val="329E1B24"/>
    <w:rsid w:val="32BF12F4"/>
    <w:rsid w:val="33563CED"/>
    <w:rsid w:val="338A4286"/>
    <w:rsid w:val="33A248F8"/>
    <w:rsid w:val="347F0816"/>
    <w:rsid w:val="3495779B"/>
    <w:rsid w:val="34B644B7"/>
    <w:rsid w:val="34DB5209"/>
    <w:rsid w:val="35850A1F"/>
    <w:rsid w:val="35C53FC8"/>
    <w:rsid w:val="36621D69"/>
    <w:rsid w:val="36B46A4A"/>
    <w:rsid w:val="36E65B38"/>
    <w:rsid w:val="37561C08"/>
    <w:rsid w:val="375656B9"/>
    <w:rsid w:val="375B6549"/>
    <w:rsid w:val="37627558"/>
    <w:rsid w:val="37B36A7F"/>
    <w:rsid w:val="37B91083"/>
    <w:rsid w:val="395049CE"/>
    <w:rsid w:val="39734983"/>
    <w:rsid w:val="39FD28B4"/>
    <w:rsid w:val="3A50664E"/>
    <w:rsid w:val="3AC47AB6"/>
    <w:rsid w:val="3ADD0A2E"/>
    <w:rsid w:val="3B4C7808"/>
    <w:rsid w:val="3B7A3E82"/>
    <w:rsid w:val="3B8D0CE8"/>
    <w:rsid w:val="3BA71EF1"/>
    <w:rsid w:val="3C1651F0"/>
    <w:rsid w:val="3C2006E5"/>
    <w:rsid w:val="3CBF1608"/>
    <w:rsid w:val="3CC749D9"/>
    <w:rsid w:val="3CFB31CE"/>
    <w:rsid w:val="3D0B4A04"/>
    <w:rsid w:val="3DCA2531"/>
    <w:rsid w:val="3DDA3322"/>
    <w:rsid w:val="3E3A26DB"/>
    <w:rsid w:val="3EA20E92"/>
    <w:rsid w:val="3EF36E15"/>
    <w:rsid w:val="3F263B0E"/>
    <w:rsid w:val="3FE210C6"/>
    <w:rsid w:val="414D7438"/>
    <w:rsid w:val="41572B91"/>
    <w:rsid w:val="41A16B13"/>
    <w:rsid w:val="41EF3AE9"/>
    <w:rsid w:val="42065704"/>
    <w:rsid w:val="423A7A11"/>
    <w:rsid w:val="428968C5"/>
    <w:rsid w:val="430D37F8"/>
    <w:rsid w:val="43420F67"/>
    <w:rsid w:val="43AF27C5"/>
    <w:rsid w:val="44237FCC"/>
    <w:rsid w:val="443E3AC2"/>
    <w:rsid w:val="444225CD"/>
    <w:rsid w:val="444772BC"/>
    <w:rsid w:val="444A0A6A"/>
    <w:rsid w:val="444D773E"/>
    <w:rsid w:val="44972791"/>
    <w:rsid w:val="44F0621D"/>
    <w:rsid w:val="458D2A4C"/>
    <w:rsid w:val="459D509E"/>
    <w:rsid w:val="45A926DC"/>
    <w:rsid w:val="45FC4042"/>
    <w:rsid w:val="475521A8"/>
    <w:rsid w:val="477C4489"/>
    <w:rsid w:val="477E79DB"/>
    <w:rsid w:val="47EC2F8F"/>
    <w:rsid w:val="48163D9E"/>
    <w:rsid w:val="48BB1E61"/>
    <w:rsid w:val="48D05818"/>
    <w:rsid w:val="48E44347"/>
    <w:rsid w:val="49174D2D"/>
    <w:rsid w:val="49951B10"/>
    <w:rsid w:val="4A205008"/>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0EE3DA0"/>
    <w:rsid w:val="51551B42"/>
    <w:rsid w:val="526717EF"/>
    <w:rsid w:val="527B1821"/>
    <w:rsid w:val="5310611D"/>
    <w:rsid w:val="53276344"/>
    <w:rsid w:val="53293BFC"/>
    <w:rsid w:val="533D55CA"/>
    <w:rsid w:val="535D3032"/>
    <w:rsid w:val="53673EE3"/>
    <w:rsid w:val="53C97953"/>
    <w:rsid w:val="53E15B41"/>
    <w:rsid w:val="53F5577A"/>
    <w:rsid w:val="5590515E"/>
    <w:rsid w:val="55EF2276"/>
    <w:rsid w:val="562B4D59"/>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B0C6CA4"/>
    <w:rsid w:val="5BCD4474"/>
    <w:rsid w:val="5C944AE4"/>
    <w:rsid w:val="5CFD3C28"/>
    <w:rsid w:val="5E2C7B65"/>
    <w:rsid w:val="5EB8046C"/>
    <w:rsid w:val="5EC23D91"/>
    <w:rsid w:val="5EEA6FD8"/>
    <w:rsid w:val="5F5D3B89"/>
    <w:rsid w:val="5F91300B"/>
    <w:rsid w:val="5FBD74DE"/>
    <w:rsid w:val="601812B8"/>
    <w:rsid w:val="608416F1"/>
    <w:rsid w:val="60BD0412"/>
    <w:rsid w:val="616C5D6E"/>
    <w:rsid w:val="61775FA5"/>
    <w:rsid w:val="619B680C"/>
    <w:rsid w:val="61B05CCC"/>
    <w:rsid w:val="622D3D3C"/>
    <w:rsid w:val="62E53998"/>
    <w:rsid w:val="64124C78"/>
    <w:rsid w:val="648D2FFF"/>
    <w:rsid w:val="64D156E0"/>
    <w:rsid w:val="653348F4"/>
    <w:rsid w:val="656839C3"/>
    <w:rsid w:val="65725730"/>
    <w:rsid w:val="65B92974"/>
    <w:rsid w:val="65C80747"/>
    <w:rsid w:val="65C83ABD"/>
    <w:rsid w:val="665D6AFD"/>
    <w:rsid w:val="66834498"/>
    <w:rsid w:val="672B7704"/>
    <w:rsid w:val="68594ADA"/>
    <w:rsid w:val="68741D48"/>
    <w:rsid w:val="6A0D5579"/>
    <w:rsid w:val="6AB31C19"/>
    <w:rsid w:val="6B357A50"/>
    <w:rsid w:val="6B5B7DCB"/>
    <w:rsid w:val="6B930197"/>
    <w:rsid w:val="6BB95672"/>
    <w:rsid w:val="6C1E4AF0"/>
    <w:rsid w:val="6C4712E8"/>
    <w:rsid w:val="6C6B0B7F"/>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8D23FE"/>
    <w:rsid w:val="71C32A07"/>
    <w:rsid w:val="71E53350"/>
    <w:rsid w:val="720E5D3A"/>
    <w:rsid w:val="72254E2A"/>
    <w:rsid w:val="72E83FB1"/>
    <w:rsid w:val="72ED3426"/>
    <w:rsid w:val="73184127"/>
    <w:rsid w:val="73733509"/>
    <w:rsid w:val="73D40348"/>
    <w:rsid w:val="74304EB5"/>
    <w:rsid w:val="74AB41BE"/>
    <w:rsid w:val="75304144"/>
    <w:rsid w:val="755A041E"/>
    <w:rsid w:val="75EA3934"/>
    <w:rsid w:val="76AF6448"/>
    <w:rsid w:val="76FE772E"/>
    <w:rsid w:val="774700AD"/>
    <w:rsid w:val="777E0158"/>
    <w:rsid w:val="788A0F31"/>
    <w:rsid w:val="78AD1534"/>
    <w:rsid w:val="78DE6336"/>
    <w:rsid w:val="78F56DD8"/>
    <w:rsid w:val="79373D17"/>
    <w:rsid w:val="7A77760E"/>
    <w:rsid w:val="7AC70899"/>
    <w:rsid w:val="7B3F7553"/>
    <w:rsid w:val="7B7986D1"/>
    <w:rsid w:val="7B877587"/>
    <w:rsid w:val="7D1D2C00"/>
    <w:rsid w:val="7E0F106D"/>
    <w:rsid w:val="7E4F5023"/>
    <w:rsid w:val="7EE52F06"/>
    <w:rsid w:val="7F2F256F"/>
    <w:rsid w:val="7F590E4F"/>
    <w:rsid w:val="7F5A64D2"/>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59"/>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5"/>
    <w:link w:val="3"/>
    <w:qFormat/>
    <w:uiPriority w:val="0"/>
    <w:rPr>
      <w:rFonts w:ascii="Calibri" w:hAnsi="Calibri" w:eastAsia="宋体" w:cs="Times New Roman"/>
      <w:b/>
      <w:bCs/>
      <w:kern w:val="44"/>
      <w:sz w:val="44"/>
      <w:szCs w:val="44"/>
    </w:rPr>
  </w:style>
  <w:style w:type="character" w:customStyle="1" w:styleId="33">
    <w:name w:val="标题 2 字符"/>
    <w:basedOn w:val="25"/>
    <w:link w:val="4"/>
    <w:qFormat/>
    <w:uiPriority w:val="0"/>
    <w:rPr>
      <w:rFonts w:ascii="Arial" w:hAnsi="Arial" w:eastAsia="黑体" w:cs="Times New Roman"/>
      <w:b/>
      <w:bCs/>
      <w:kern w:val="0"/>
      <w:sz w:val="32"/>
      <w:szCs w:val="32"/>
    </w:rPr>
  </w:style>
  <w:style w:type="character" w:customStyle="1" w:styleId="34">
    <w:name w:val="标题 3 字符"/>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5"/>
    <w:link w:val="6"/>
    <w:qFormat/>
    <w:uiPriority w:val="0"/>
    <w:rPr>
      <w:rFonts w:ascii="Arial" w:hAnsi="Arial" w:eastAsia="黑体" w:cs="Times New Roman"/>
      <w:b/>
      <w:bCs/>
      <w:kern w:val="0"/>
      <w:sz w:val="28"/>
      <w:szCs w:val="28"/>
    </w:rPr>
  </w:style>
  <w:style w:type="character" w:customStyle="1" w:styleId="36">
    <w:name w:val="纯文本 字符"/>
    <w:basedOn w:val="25"/>
    <w:link w:val="14"/>
    <w:qFormat/>
    <w:uiPriority w:val="0"/>
    <w:rPr>
      <w:rFonts w:eastAsia="宋体"/>
      <w:sz w:val="24"/>
    </w:rPr>
  </w:style>
  <w:style w:type="character" w:customStyle="1" w:styleId="37">
    <w:name w:val="日期 字符"/>
    <w:basedOn w:val="25"/>
    <w:link w:val="15"/>
    <w:qFormat/>
    <w:uiPriority w:val="99"/>
  </w:style>
  <w:style w:type="character" w:customStyle="1" w:styleId="38">
    <w:name w:val="页脚 字符"/>
    <w:basedOn w:val="25"/>
    <w:link w:val="16"/>
    <w:qFormat/>
    <w:uiPriority w:val="99"/>
    <w:rPr>
      <w:sz w:val="18"/>
      <w:szCs w:val="18"/>
    </w:rPr>
  </w:style>
  <w:style w:type="character" w:customStyle="1" w:styleId="39">
    <w:name w:val="页眉 字符"/>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5"/>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8"/>
      <w:szCs w:val="28"/>
      <w:u w:val="none"/>
    </w:rPr>
  </w:style>
  <w:style w:type="character" w:customStyle="1" w:styleId="63">
    <w:name w:val="font11"/>
    <w:basedOn w:val="25"/>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CellMar>
        <w:top w:w="0" w:type="dxa"/>
        <w:left w:w="0" w:type="dxa"/>
        <w:bottom w:w="0" w:type="dxa"/>
        <w:right w:w="0" w:type="dxa"/>
      </w:tblCellMar>
    </w:tblPr>
  </w:style>
  <w:style w:type="paragraph" w:customStyle="1" w:styleId="6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0</TotalTime>
  <ScaleCrop>false</ScaleCrop>
  <LinksUpToDate>false</LinksUpToDate>
  <CharactersWithSpaces>40142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2019-11-15T08:10:05Z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