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883" w:firstLineChars="200"/>
        <w:jc w:val="both"/>
        <w:rPr>
          <w:rFonts w:hint="eastAsia" w:ascii="黑体" w:hAnsi="黑体" w:eastAsia="黑体" w:cs="黑体"/>
          <w:b/>
          <w:bCs/>
          <w:sz w:val="44"/>
          <w:szCs w:val="44"/>
          <w:lang w:val="en-US" w:eastAsia="zh-CN"/>
        </w:rPr>
      </w:pPr>
      <w:r>
        <w:rPr>
          <w:rFonts w:hint="eastAsia" w:ascii="黑体" w:hAnsi="黑体" w:eastAsia="黑体" w:cs="黑体"/>
          <w:b/>
          <w:bCs/>
          <w:sz w:val="44"/>
          <w:szCs w:val="44"/>
        </w:rPr>
        <w:t>禹州市</w:t>
      </w:r>
      <w:r>
        <w:rPr>
          <w:rFonts w:hint="eastAsia" w:ascii="黑体" w:hAnsi="黑体" w:eastAsia="黑体" w:cs="黑体"/>
          <w:b/>
          <w:bCs/>
          <w:sz w:val="44"/>
          <w:szCs w:val="44"/>
          <w:lang w:eastAsia="zh-CN"/>
        </w:rPr>
        <w:t>消防大队办公家具采购项目</w:t>
      </w:r>
    </w:p>
    <w:p>
      <w:pPr>
        <w:ind w:firstLine="1325" w:firstLineChars="300"/>
        <w:rPr>
          <w:rFonts w:asciiTheme="majorEastAsia" w:hAnsiTheme="majorEastAsia" w:eastAsiaTheme="majorEastAsia" w:cstheme="majorEastAsia"/>
          <w:b/>
          <w:bCs/>
          <w:sz w:val="44"/>
          <w:szCs w:val="44"/>
        </w:rPr>
      </w:pPr>
    </w:p>
    <w:p>
      <w:pPr>
        <w:rPr>
          <w:rFonts w:ascii="微软简隶书" w:eastAsia="微软简隶书"/>
        </w:rPr>
      </w:pPr>
    </w:p>
    <w:p>
      <w:pPr>
        <w:rPr>
          <w:rFonts w:ascii="微软简隶书" w:eastAsia="微软简隶书"/>
        </w:rPr>
      </w:pPr>
    </w:p>
    <w:p>
      <w:pPr>
        <w:jc w:val="center"/>
        <w:rPr>
          <w:rFonts w:hint="eastAsia" w:ascii="华文隶书" w:eastAsia="华文隶书"/>
          <w:bCs/>
          <w:w w:val="90"/>
          <w:sz w:val="44"/>
          <w:szCs w:val="44"/>
          <w:lang w:eastAsia="zh-CN"/>
        </w:rPr>
      </w:pPr>
    </w:p>
    <w:p>
      <w:pPr>
        <w:jc w:val="center"/>
        <w:rPr>
          <w:rFonts w:hint="eastAsia" w:ascii="华文隶书" w:eastAsia="华文隶书"/>
          <w:b/>
          <w:bCs w:val="0"/>
          <w:w w:val="90"/>
          <w:sz w:val="48"/>
          <w:szCs w:val="48"/>
          <w:lang w:eastAsia="zh-CN"/>
        </w:rPr>
      </w:pPr>
    </w:p>
    <w:p>
      <w:pPr>
        <w:jc w:val="center"/>
        <w:rPr>
          <w:rFonts w:hint="eastAsia" w:ascii="华文隶书" w:eastAsia="华文隶书"/>
          <w:b/>
          <w:bCs w:val="0"/>
          <w:w w:val="90"/>
          <w:sz w:val="48"/>
          <w:szCs w:val="48"/>
          <w:lang w:eastAsia="zh-CN"/>
        </w:rPr>
      </w:pPr>
    </w:p>
    <w:p>
      <w:pPr>
        <w:jc w:val="center"/>
        <w:rPr>
          <w:rFonts w:hint="eastAsia" w:ascii="黑体" w:hAnsi="黑体" w:eastAsia="黑体" w:cs="黑体"/>
          <w:b/>
          <w:bCs w:val="0"/>
          <w:w w:val="90"/>
          <w:sz w:val="48"/>
          <w:szCs w:val="48"/>
        </w:rPr>
      </w:pPr>
      <w:r>
        <w:rPr>
          <w:rFonts w:hint="eastAsia" w:ascii="黑体" w:hAnsi="黑体" w:eastAsia="黑体" w:cs="黑体"/>
          <w:b/>
          <w:bCs w:val="0"/>
          <w:w w:val="90"/>
          <w:sz w:val="48"/>
          <w:szCs w:val="48"/>
          <w:lang w:eastAsia="zh-CN"/>
        </w:rPr>
        <w:t>竞争性谈判</w:t>
      </w:r>
      <w:r>
        <w:rPr>
          <w:rFonts w:hint="eastAsia" w:ascii="黑体" w:hAnsi="黑体" w:eastAsia="黑体" w:cs="黑体"/>
          <w:b/>
          <w:bCs w:val="0"/>
          <w:w w:val="90"/>
          <w:sz w:val="48"/>
          <w:szCs w:val="48"/>
        </w:rPr>
        <w:t>文件</w:t>
      </w: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hint="default" w:asciiTheme="majorEastAsia" w:hAnsiTheme="majorEastAsia" w:eastAsiaTheme="majorEastAsia" w:cstheme="majorEastAsia"/>
          <w:b w:val="0"/>
          <w:bCs w:val="0"/>
          <w:sz w:val="36"/>
          <w:szCs w:val="36"/>
          <w:lang w:val="en-US" w:eastAsia="zh-CN"/>
        </w:rPr>
      </w:pPr>
      <w:r>
        <w:rPr>
          <w:rFonts w:hint="eastAsia" w:asciiTheme="majorEastAsia" w:hAnsiTheme="majorEastAsia" w:eastAsiaTheme="majorEastAsia" w:cstheme="majorEastAsia"/>
          <w:b/>
          <w:bCs/>
          <w:sz w:val="36"/>
          <w:szCs w:val="36"/>
        </w:rPr>
        <w:t xml:space="preserve">     </w:t>
      </w:r>
      <w:r>
        <w:rPr>
          <w:rFonts w:hint="eastAsia" w:asciiTheme="majorEastAsia" w:hAnsiTheme="majorEastAsia" w:eastAsiaTheme="majorEastAsia" w:cstheme="majorEastAsia"/>
          <w:b w:val="0"/>
          <w:bCs w:val="0"/>
          <w:sz w:val="36"/>
          <w:szCs w:val="36"/>
        </w:rPr>
        <w:t xml:space="preserve"> 项目编号：</w:t>
      </w:r>
      <w:r>
        <w:rPr>
          <w:rFonts w:hint="eastAsia" w:asciiTheme="majorEastAsia" w:hAnsiTheme="majorEastAsia" w:eastAsiaTheme="majorEastAsia" w:cstheme="majorEastAsia"/>
          <w:b w:val="0"/>
          <w:bCs w:val="0"/>
          <w:sz w:val="36"/>
          <w:szCs w:val="36"/>
          <w:lang w:val="en-US" w:eastAsia="zh-CN"/>
        </w:rPr>
        <w:t>YZCG-T2019226</w:t>
      </w:r>
    </w:p>
    <w:p>
      <w:pPr>
        <w:ind w:firstLine="1080" w:firstLineChars="300"/>
        <w:rPr>
          <w:rFonts w:hint="eastAsia" w:asciiTheme="majorEastAsia" w:hAnsiTheme="majorEastAsia" w:eastAsiaTheme="majorEastAsia" w:cstheme="majorEastAsia"/>
          <w:b w:val="0"/>
          <w:bCs w:val="0"/>
          <w:sz w:val="36"/>
          <w:szCs w:val="36"/>
          <w:lang w:eastAsia="zh-CN"/>
        </w:rPr>
      </w:pPr>
      <w:r>
        <w:rPr>
          <w:rFonts w:hint="eastAsia" w:asciiTheme="majorEastAsia" w:hAnsiTheme="majorEastAsia" w:eastAsiaTheme="majorEastAsia" w:cstheme="majorEastAsia"/>
          <w:b w:val="0"/>
          <w:bCs w:val="0"/>
          <w:sz w:val="36"/>
          <w:szCs w:val="36"/>
        </w:rPr>
        <w:t>采购单位：禹州市</w:t>
      </w:r>
      <w:r>
        <w:rPr>
          <w:rFonts w:hint="eastAsia" w:asciiTheme="majorEastAsia" w:hAnsiTheme="majorEastAsia" w:eastAsiaTheme="majorEastAsia" w:cstheme="majorEastAsia"/>
          <w:b w:val="0"/>
          <w:bCs w:val="0"/>
          <w:sz w:val="36"/>
          <w:szCs w:val="36"/>
          <w:lang w:eastAsia="zh-CN"/>
        </w:rPr>
        <w:t>公安消防大队</w:t>
      </w:r>
    </w:p>
    <w:p>
      <w:pPr>
        <w:ind w:firstLine="1080" w:firstLineChars="300"/>
        <w:rPr>
          <w:rFonts w:asciiTheme="majorEastAsia" w:hAnsiTheme="majorEastAsia" w:eastAsiaTheme="majorEastAsia" w:cstheme="majorEastAsia"/>
          <w:b w:val="0"/>
          <w:bCs w:val="0"/>
          <w:sz w:val="36"/>
          <w:szCs w:val="36"/>
        </w:rPr>
      </w:pPr>
      <w:r>
        <w:rPr>
          <w:rFonts w:hint="eastAsia" w:asciiTheme="majorEastAsia" w:hAnsiTheme="majorEastAsia" w:eastAsiaTheme="majorEastAsia" w:cstheme="majorEastAsia"/>
          <w:b w:val="0"/>
          <w:bCs w:val="0"/>
          <w:sz w:val="36"/>
          <w:szCs w:val="36"/>
        </w:rPr>
        <w:t>代理机构：</w:t>
      </w:r>
      <w:r>
        <w:rPr>
          <w:rFonts w:hint="eastAsia" w:asciiTheme="majorEastAsia" w:hAnsiTheme="majorEastAsia" w:eastAsiaTheme="majorEastAsia" w:cstheme="majorEastAsia"/>
          <w:b w:val="0"/>
          <w:bCs w:val="0"/>
          <w:sz w:val="36"/>
          <w:szCs w:val="36"/>
          <w:lang w:eastAsia="zh-CN"/>
        </w:rPr>
        <w:t>禹州</w:t>
      </w:r>
      <w:r>
        <w:rPr>
          <w:rFonts w:hint="eastAsia" w:asciiTheme="majorEastAsia" w:hAnsiTheme="majorEastAsia" w:eastAsiaTheme="majorEastAsia" w:cstheme="majorEastAsia"/>
          <w:b w:val="0"/>
          <w:bCs w:val="0"/>
          <w:sz w:val="36"/>
          <w:szCs w:val="36"/>
        </w:rPr>
        <w:t>市政府采购中心</w:t>
      </w:r>
    </w:p>
    <w:p>
      <w:pPr>
        <w:rPr>
          <w:rFonts w:asciiTheme="majorEastAsia" w:hAnsiTheme="majorEastAsia" w:eastAsiaTheme="majorEastAsia" w:cstheme="majorEastAsia"/>
          <w:b/>
          <w:bCs/>
          <w:sz w:val="36"/>
          <w:szCs w:val="36"/>
        </w:rPr>
      </w:pP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二〇一九年</w:t>
      </w:r>
      <w:r>
        <w:rPr>
          <w:rFonts w:hint="eastAsia" w:asciiTheme="majorEastAsia" w:hAnsiTheme="majorEastAsia" w:eastAsiaTheme="majorEastAsia" w:cstheme="majorEastAsia"/>
          <w:b/>
          <w:bCs/>
          <w:sz w:val="36"/>
          <w:szCs w:val="36"/>
          <w:lang w:eastAsia="zh-CN"/>
        </w:rPr>
        <w:t>十一</w:t>
      </w:r>
      <w:r>
        <w:rPr>
          <w:rFonts w:hint="eastAsia" w:asciiTheme="majorEastAsia" w:hAnsiTheme="majorEastAsia" w:eastAsiaTheme="majorEastAsia" w:cstheme="majorEastAsia"/>
          <w:b/>
          <w:bCs/>
          <w:sz w:val="36"/>
          <w:szCs w:val="36"/>
        </w:rPr>
        <w:t>月</w:t>
      </w:r>
    </w:p>
    <w:p>
      <w:pPr>
        <w:rPr>
          <w:rFonts w:asciiTheme="majorEastAsia" w:hAnsiTheme="majorEastAsia" w:eastAsiaTheme="majorEastAsia" w:cstheme="majorEastAsia"/>
          <w:b/>
          <w:bCs/>
          <w:sz w:val="36"/>
          <w:szCs w:val="36"/>
        </w:rPr>
      </w:pPr>
    </w:p>
    <w:p>
      <w:pPr>
        <w:widowControl/>
        <w:jc w:val="left"/>
        <w:rPr>
          <w:rFonts w:cs="黑体" w:asciiTheme="minorEastAsia" w:hAnsiTheme="minorEastAsia"/>
          <w:b/>
          <w:bCs/>
          <w:sz w:val="44"/>
          <w:szCs w:val="44"/>
          <w:lang w:val="zh-CN"/>
        </w:rPr>
      </w:pPr>
      <w:r>
        <w:rPr>
          <w:rFonts w:cs="黑体" w:asciiTheme="minorEastAsia" w:hAnsiTheme="minorEastAsia"/>
          <w:b/>
          <w:bCs/>
          <w:sz w:val="44"/>
          <w:szCs w:val="44"/>
          <w:lang w:val="zh-CN"/>
        </w:rPr>
        <w:br w:type="page"/>
      </w:r>
    </w:p>
    <w:p>
      <w:pPr>
        <w:autoSpaceDE w:val="0"/>
        <w:autoSpaceDN w:val="0"/>
        <w:adjustRightInd w:val="0"/>
        <w:spacing w:line="700" w:lineRule="exact"/>
        <w:jc w:val="center"/>
        <w:rPr>
          <w:rFonts w:cs="黑体" w:asciiTheme="minorEastAsia" w:hAnsiTheme="minorEastAsia"/>
          <w:b/>
          <w:bCs/>
          <w:sz w:val="44"/>
          <w:szCs w:val="44"/>
          <w:lang w:val="zh-CN"/>
        </w:rPr>
      </w:pPr>
      <w:r>
        <w:rPr>
          <w:rFonts w:hint="eastAsia" w:cs="黑体" w:asciiTheme="minorEastAsia" w:hAnsiTheme="minorEastAsia"/>
          <w:b/>
          <w:bCs/>
          <w:sz w:val="44"/>
          <w:szCs w:val="44"/>
          <w:lang w:val="zh-CN"/>
        </w:rPr>
        <w:t>目    录</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谈判邀请</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第二章 采购需求</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第三章 </w:t>
      </w:r>
      <w:r>
        <w:rPr>
          <w:rFonts w:hint="eastAsia" w:asciiTheme="majorEastAsia" w:hAnsiTheme="majorEastAsia" w:eastAsiaTheme="majorEastAsia" w:cstheme="majorEastAsia"/>
          <w:b/>
          <w:kern w:val="0"/>
          <w:sz w:val="32"/>
          <w:szCs w:val="32"/>
        </w:rPr>
        <w:t>供应商须知前附表</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第四章 </w:t>
      </w:r>
      <w:r>
        <w:rPr>
          <w:rFonts w:hint="eastAsia" w:asciiTheme="majorEastAsia" w:hAnsiTheme="majorEastAsia" w:eastAsiaTheme="majorEastAsia" w:cstheme="majorEastAsia"/>
          <w:b/>
          <w:kern w:val="0"/>
          <w:sz w:val="32"/>
          <w:szCs w:val="32"/>
        </w:rPr>
        <w:t>供应商须知</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二、采购文件说明</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三、响应文件的编制</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四、响应文件的递交</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五、谈判和评审</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六、确认成交供应商和授予合同</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第五章 </w:t>
      </w:r>
      <w:r>
        <w:rPr>
          <w:rFonts w:hint="eastAsia" w:asciiTheme="majorEastAsia" w:hAnsiTheme="majorEastAsia" w:eastAsiaTheme="majorEastAsia" w:cstheme="majorEastAsia"/>
          <w:b/>
          <w:kern w:val="0"/>
          <w:sz w:val="32"/>
          <w:szCs w:val="32"/>
        </w:rPr>
        <w:t>政府采购政策功能</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第六章 </w:t>
      </w:r>
      <w:r>
        <w:rPr>
          <w:rFonts w:hint="eastAsia" w:asciiTheme="majorEastAsia" w:hAnsiTheme="majorEastAsia" w:eastAsiaTheme="majorEastAsia" w:cstheme="majorEastAsia"/>
          <w:b/>
          <w:kern w:val="0"/>
          <w:sz w:val="32"/>
          <w:szCs w:val="32"/>
        </w:rPr>
        <w:t>资格审查与评审</w:t>
      </w:r>
    </w:p>
    <w:p>
      <w:pPr>
        <w:autoSpaceDE w:val="0"/>
        <w:autoSpaceDN w:val="0"/>
        <w:adjustRightInd w:val="0"/>
        <w:spacing w:line="700" w:lineRule="exact"/>
        <w:ind w:firstLine="551"/>
        <w:outlineLvl w:val="0"/>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第七章 </w:t>
      </w:r>
      <w:r>
        <w:rPr>
          <w:rFonts w:hint="eastAsia" w:asciiTheme="majorEastAsia" w:hAnsiTheme="majorEastAsia" w:eastAsiaTheme="majorEastAsia" w:cstheme="majorEastAsia"/>
          <w:b/>
          <w:kern w:val="0"/>
          <w:sz w:val="30"/>
          <w:szCs w:val="30"/>
        </w:rPr>
        <w:t>合同书格式及合同条款</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第八章 </w:t>
      </w:r>
      <w:r>
        <w:rPr>
          <w:rFonts w:hint="eastAsia" w:asciiTheme="majorEastAsia" w:hAnsiTheme="majorEastAsia" w:eastAsiaTheme="majorEastAsia" w:cstheme="majorEastAsia"/>
          <w:b/>
          <w:kern w:val="0"/>
          <w:sz w:val="32"/>
          <w:szCs w:val="32"/>
        </w:rPr>
        <w:t>响应文件有关格式</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p>
    <w:p>
      <w:pPr>
        <w:widowControl/>
        <w:jc w:val="left"/>
        <w:rPr>
          <w:rFonts w:ascii="宋体" w:hAnsi="宋体" w:eastAsia="宋体" w:cs="宋体"/>
          <w:b/>
          <w:sz w:val="36"/>
          <w:szCs w:val="36"/>
          <w:shd w:val="clear" w:color="auto" w:fill="FFFFFF"/>
        </w:rPr>
      </w:pPr>
      <w:r>
        <w:rPr>
          <w:rFonts w:ascii="宋体" w:hAnsi="宋体" w:cs="宋体"/>
          <w:b/>
          <w:sz w:val="36"/>
          <w:szCs w:val="36"/>
          <w:shd w:val="clear" w:color="auto" w:fill="FFFFFF"/>
        </w:rPr>
        <w:br w:type="page"/>
      </w:r>
    </w:p>
    <w:p>
      <w:pPr>
        <w:numPr>
          <w:ilvl w:val="0"/>
          <w:numId w:val="4"/>
        </w:numPr>
        <w:jc w:val="center"/>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谈判邀请</w:t>
      </w:r>
    </w:p>
    <w:p>
      <w:pPr>
        <w:numPr>
          <w:ilvl w:val="0"/>
          <w:numId w:val="0"/>
        </w:numPr>
        <w:jc w:val="both"/>
        <w:rPr>
          <w:rFonts w:hint="eastAsia" w:cs="宋体" w:asciiTheme="majorEastAsia" w:hAnsiTheme="majorEastAsia" w:eastAsiaTheme="majorEastAsia"/>
          <w:b/>
          <w:kern w:val="0"/>
          <w:sz w:val="32"/>
          <w:szCs w:val="32"/>
        </w:rPr>
      </w:pPr>
    </w:p>
    <w:p>
      <w:pPr>
        <w:spacing w:line="600" w:lineRule="exact"/>
        <w:ind w:firstLine="1446" w:firstLineChars="400"/>
        <w:jc w:val="both"/>
        <w:rPr>
          <w:rFonts w:hint="eastAsia" w:eastAsiaTheme="minorEastAsia"/>
          <w:b/>
          <w:bCs/>
          <w:sz w:val="44"/>
          <w:szCs w:val="44"/>
          <w:lang w:val="en-US" w:eastAsia="zh-CN"/>
        </w:rPr>
      </w:pPr>
      <w:r>
        <w:rPr>
          <w:rFonts w:hint="eastAsia"/>
          <w:b/>
          <w:bCs/>
          <w:sz w:val="36"/>
          <w:szCs w:val="36"/>
          <w:lang w:eastAsia="zh-CN"/>
        </w:rPr>
        <w:t>禹州市消防大队办公家具采购项目</w:t>
      </w:r>
    </w:p>
    <w:p>
      <w:pPr>
        <w:spacing w:line="600" w:lineRule="exact"/>
        <w:jc w:val="center"/>
        <w:rPr>
          <w:rFonts w:hint="eastAsia"/>
          <w:b/>
          <w:bCs/>
          <w:sz w:val="36"/>
          <w:szCs w:val="36"/>
          <w:lang w:eastAsia="zh-CN"/>
        </w:rPr>
      </w:pPr>
      <w:r>
        <w:rPr>
          <w:rFonts w:hint="eastAsia"/>
          <w:b/>
          <w:bCs/>
          <w:sz w:val="36"/>
          <w:szCs w:val="36"/>
          <w:lang w:eastAsia="zh-CN"/>
        </w:rPr>
        <w:t>谈判邀请函</w:t>
      </w:r>
    </w:p>
    <w:p>
      <w:pPr>
        <w:spacing w:line="600" w:lineRule="exact"/>
        <w:jc w:val="center"/>
        <w:rPr>
          <w:rFonts w:hint="eastAsia"/>
          <w:b/>
          <w:bCs/>
          <w:sz w:val="36"/>
          <w:szCs w:val="36"/>
          <w:lang w:eastAsia="zh-CN"/>
        </w:rPr>
      </w:pPr>
    </w:p>
    <w:p>
      <w:pPr>
        <w:keepNext w:val="0"/>
        <w:keepLines w:val="0"/>
        <w:pageBreakBefore w:val="0"/>
        <w:kinsoku/>
        <w:overflowPunct/>
        <w:bidi w:val="0"/>
        <w:spacing w:line="420" w:lineRule="exact"/>
        <w:ind w:firstLine="480" w:firstLineChars="200"/>
        <w:jc w:val="left"/>
        <w:textAlignment w:val="auto"/>
        <w:rPr>
          <w:rFonts w:ascii="仿宋" w:hAnsi="仿宋" w:eastAsia="仿宋" w:cs="仿宋_GB2312"/>
          <w:sz w:val="24"/>
          <w:szCs w:val="24"/>
        </w:rPr>
      </w:pPr>
      <w:r>
        <w:rPr>
          <w:rFonts w:hint="eastAsia" w:ascii="仿宋" w:hAnsi="仿宋" w:eastAsia="仿宋" w:cs="仿宋_GB2312"/>
          <w:sz w:val="24"/>
          <w:szCs w:val="24"/>
        </w:rPr>
        <w:t>禹州市政府采购中心受禹州市</w:t>
      </w:r>
      <w:r>
        <w:rPr>
          <w:rFonts w:hint="eastAsia" w:ascii="仿宋" w:hAnsi="仿宋" w:eastAsia="仿宋" w:cs="仿宋_GB2312"/>
          <w:sz w:val="24"/>
          <w:szCs w:val="24"/>
          <w:lang w:eastAsia="zh-CN"/>
        </w:rPr>
        <w:t>公安消防大队</w:t>
      </w:r>
      <w:r>
        <w:rPr>
          <w:rFonts w:hint="eastAsia" w:ascii="仿宋" w:hAnsi="仿宋" w:eastAsia="仿宋" w:cs="仿宋_GB2312"/>
          <w:sz w:val="24"/>
          <w:szCs w:val="24"/>
        </w:rPr>
        <w:t>的委托，就“禹州市消防大队办公家具采购项目”进行竞争性谈判，欢迎合格的投标人前来投标。</w:t>
      </w:r>
    </w:p>
    <w:p>
      <w:pPr>
        <w:keepNext w:val="0"/>
        <w:keepLines w:val="0"/>
        <w:pageBreakBefore w:val="0"/>
        <w:widowControl/>
        <w:numPr>
          <w:ilvl w:val="0"/>
          <w:numId w:val="5"/>
        </w:numPr>
        <w:shd w:val="clear" w:color="auto" w:fill="FFFFFF"/>
        <w:kinsoku/>
        <w:overflowPunct/>
        <w:bidi w:val="0"/>
        <w:spacing w:line="420" w:lineRule="exact"/>
        <w:ind w:firstLine="482"/>
        <w:jc w:val="left"/>
        <w:textAlignment w:val="auto"/>
        <w:rPr>
          <w:rFonts w:ascii="黑体" w:hAnsi="黑体" w:eastAsia="黑体" w:cs="Arial"/>
          <w:b/>
          <w:color w:val="000000"/>
          <w:kern w:val="0"/>
          <w:sz w:val="24"/>
          <w:szCs w:val="24"/>
        </w:rPr>
      </w:pPr>
      <w:r>
        <w:rPr>
          <w:rFonts w:ascii="黑体" w:hAnsi="黑体" w:eastAsia="黑体" w:cs="Arial"/>
          <w:b/>
          <w:color w:val="000000"/>
          <w:kern w:val="0"/>
          <w:sz w:val="24"/>
          <w:szCs w:val="24"/>
        </w:rPr>
        <w:t>项目基本情况</w:t>
      </w:r>
    </w:p>
    <w:p>
      <w:pPr>
        <w:keepNext w:val="0"/>
        <w:keepLines w:val="0"/>
        <w:pageBreakBefore w:val="0"/>
        <w:widowControl/>
        <w:shd w:val="clear" w:color="auto" w:fill="FFFFFF"/>
        <w:kinsoku/>
        <w:overflowPunct/>
        <w:bidi w:val="0"/>
        <w:spacing w:line="420" w:lineRule="exact"/>
        <w:jc w:val="left"/>
        <w:textAlignment w:val="auto"/>
        <w:rPr>
          <w:rFonts w:hint="eastAsia" w:ascii="仿宋" w:hAnsi="仿宋" w:eastAsia="仿宋" w:cs="仿宋_GB2312"/>
          <w:sz w:val="24"/>
          <w:szCs w:val="24"/>
          <w:lang w:eastAsia="zh-CN"/>
        </w:rPr>
      </w:pPr>
      <w:r>
        <w:rPr>
          <w:rFonts w:hint="eastAsia" w:ascii="黑体" w:hAnsi="黑体" w:eastAsia="黑体" w:cs="Arial"/>
          <w:b/>
          <w:color w:val="000000"/>
          <w:kern w:val="0"/>
          <w:sz w:val="24"/>
          <w:szCs w:val="24"/>
        </w:rPr>
        <w:t xml:space="preserve">  </w:t>
      </w:r>
      <w:r>
        <w:rPr>
          <w:rFonts w:hint="eastAsia" w:ascii="仿宋" w:hAnsi="仿宋" w:eastAsia="仿宋" w:cs="仿宋_GB2312"/>
          <w:sz w:val="24"/>
          <w:szCs w:val="24"/>
        </w:rPr>
        <w:t xml:space="preserve"> 1、采购人：禹州市</w:t>
      </w:r>
      <w:r>
        <w:rPr>
          <w:rFonts w:hint="eastAsia" w:ascii="仿宋" w:hAnsi="仿宋" w:eastAsia="仿宋" w:cs="仿宋_GB2312"/>
          <w:sz w:val="24"/>
          <w:szCs w:val="24"/>
          <w:lang w:eastAsia="zh-CN"/>
        </w:rPr>
        <w:t>公安消防大队</w:t>
      </w:r>
    </w:p>
    <w:p>
      <w:pPr>
        <w:keepNext w:val="0"/>
        <w:keepLines w:val="0"/>
        <w:pageBreakBefore w:val="0"/>
        <w:widowControl/>
        <w:shd w:val="clear" w:color="auto" w:fill="FFFFFF"/>
        <w:tabs>
          <w:tab w:val="right" w:pos="8498"/>
        </w:tabs>
        <w:kinsoku/>
        <w:overflowPunct/>
        <w:bidi w:val="0"/>
        <w:spacing w:line="420" w:lineRule="exact"/>
        <w:ind w:left="529" w:leftChars="252" w:firstLine="0" w:firstLineChars="0"/>
        <w:jc w:val="left"/>
        <w:textAlignment w:val="auto"/>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2、</w:t>
      </w:r>
      <w:r>
        <w:rPr>
          <w:rFonts w:ascii="仿宋" w:hAnsi="仿宋" w:eastAsia="仿宋" w:cs="Arial"/>
          <w:color w:val="000000"/>
          <w:kern w:val="0"/>
          <w:sz w:val="24"/>
          <w:szCs w:val="24"/>
        </w:rPr>
        <w:t>项目名称：</w:t>
      </w:r>
      <w:r>
        <w:rPr>
          <w:rFonts w:hint="eastAsia" w:ascii="仿宋" w:hAnsi="仿宋" w:eastAsia="仿宋" w:cs="Arial"/>
          <w:color w:val="000000"/>
          <w:kern w:val="0"/>
          <w:sz w:val="24"/>
          <w:szCs w:val="24"/>
        </w:rPr>
        <w:t>禹州市消防大队办公家具采购项目</w:t>
      </w:r>
    </w:p>
    <w:p>
      <w:pPr>
        <w:keepNext w:val="0"/>
        <w:keepLines w:val="0"/>
        <w:pageBreakBefore w:val="0"/>
        <w:widowControl/>
        <w:shd w:val="clear" w:color="auto" w:fill="FFFFFF"/>
        <w:tabs>
          <w:tab w:val="right" w:pos="8498"/>
        </w:tabs>
        <w:kinsoku/>
        <w:overflowPunct/>
        <w:bidi w:val="0"/>
        <w:spacing w:line="420" w:lineRule="exact"/>
        <w:ind w:left="529" w:leftChars="252" w:firstLine="0" w:firstLineChars="0"/>
        <w:jc w:val="left"/>
        <w:textAlignment w:val="auto"/>
        <w:rPr>
          <w:rFonts w:ascii="仿宋" w:hAnsi="仿宋" w:eastAsia="仿宋" w:cs="仿宋_GB2312"/>
          <w:sz w:val="24"/>
          <w:szCs w:val="24"/>
        </w:rPr>
      </w:pPr>
      <w:r>
        <w:rPr>
          <w:rFonts w:hint="eastAsia" w:ascii="仿宋" w:hAnsi="仿宋" w:eastAsia="仿宋" w:cs="Arial"/>
          <w:color w:val="000000"/>
          <w:kern w:val="0"/>
          <w:sz w:val="24"/>
          <w:szCs w:val="24"/>
        </w:rPr>
        <w:t>3、采购</w:t>
      </w:r>
      <w:r>
        <w:rPr>
          <w:rFonts w:ascii="仿宋" w:hAnsi="仿宋" w:eastAsia="仿宋" w:cs="Arial"/>
          <w:color w:val="000000"/>
          <w:kern w:val="0"/>
          <w:sz w:val="24"/>
          <w:szCs w:val="24"/>
        </w:rPr>
        <w:t>编号：</w:t>
      </w:r>
      <w:r>
        <w:rPr>
          <w:rFonts w:hint="eastAsia" w:ascii="仿宋" w:hAnsi="仿宋" w:eastAsia="仿宋" w:cs="仿宋_GB2312"/>
          <w:sz w:val="24"/>
          <w:szCs w:val="24"/>
        </w:rPr>
        <w:t>YZCG-T2019</w:t>
      </w:r>
      <w:r>
        <w:rPr>
          <w:rFonts w:hint="eastAsia" w:ascii="仿宋" w:hAnsi="仿宋" w:eastAsia="仿宋" w:cs="仿宋_GB2312"/>
          <w:sz w:val="24"/>
          <w:szCs w:val="24"/>
          <w:lang w:val="en-US" w:eastAsia="zh-CN"/>
        </w:rPr>
        <w:t>226</w:t>
      </w:r>
      <w:r>
        <w:rPr>
          <w:rFonts w:hint="eastAsia" w:ascii="仿宋" w:hAnsi="仿宋" w:eastAsia="仿宋" w:cs="仿宋_GB2312"/>
          <w:sz w:val="24"/>
          <w:szCs w:val="24"/>
        </w:rPr>
        <w:tab/>
      </w:r>
    </w:p>
    <w:p>
      <w:pPr>
        <w:keepNext w:val="0"/>
        <w:keepLines w:val="0"/>
        <w:pageBreakBefore w:val="0"/>
        <w:widowControl/>
        <w:shd w:val="clear" w:color="auto" w:fill="FFFFFF"/>
        <w:kinsoku/>
        <w:overflowPunct/>
        <w:bidi w:val="0"/>
        <w:spacing w:line="420" w:lineRule="exact"/>
        <w:ind w:firstLine="482"/>
        <w:jc w:val="left"/>
        <w:textAlignment w:val="auto"/>
        <w:rPr>
          <w:rFonts w:ascii="仿宋" w:hAnsi="仿宋" w:eastAsia="仿宋" w:cs="Arial"/>
          <w:color w:val="000000"/>
          <w:kern w:val="0"/>
          <w:sz w:val="24"/>
          <w:szCs w:val="24"/>
        </w:rPr>
      </w:pPr>
      <w:r>
        <w:rPr>
          <w:rFonts w:hint="eastAsia" w:ascii="仿宋" w:hAnsi="仿宋" w:eastAsia="仿宋" w:cs="Arial"/>
          <w:color w:val="000000"/>
          <w:kern w:val="0"/>
          <w:sz w:val="24"/>
          <w:szCs w:val="24"/>
        </w:rPr>
        <w:t>4、</w:t>
      </w:r>
      <w:r>
        <w:rPr>
          <w:rFonts w:ascii="仿宋" w:hAnsi="仿宋" w:eastAsia="仿宋" w:cs="Arial"/>
          <w:color w:val="000000"/>
          <w:kern w:val="0"/>
          <w:sz w:val="24"/>
          <w:szCs w:val="24"/>
        </w:rPr>
        <w:t>项目需求：</w:t>
      </w:r>
      <w:r>
        <w:rPr>
          <w:rFonts w:hint="eastAsia" w:ascii="仿宋" w:hAnsi="仿宋" w:eastAsia="仿宋" w:cs="Arial"/>
          <w:color w:val="000000"/>
          <w:kern w:val="0"/>
          <w:sz w:val="24"/>
          <w:szCs w:val="24"/>
          <w:lang w:eastAsia="zh-CN"/>
        </w:rPr>
        <w:t>办公家具一批（</w:t>
      </w:r>
      <w:r>
        <w:rPr>
          <w:rFonts w:hint="eastAsia" w:ascii="仿宋" w:hAnsi="仿宋" w:eastAsia="仿宋" w:cs="仿宋_GB2312"/>
          <w:sz w:val="24"/>
          <w:szCs w:val="24"/>
        </w:rPr>
        <w:t>详见谈判文件）</w:t>
      </w:r>
    </w:p>
    <w:p>
      <w:pPr>
        <w:keepNext w:val="0"/>
        <w:keepLines w:val="0"/>
        <w:pageBreakBefore w:val="0"/>
        <w:widowControl/>
        <w:shd w:val="clear" w:color="auto" w:fill="FFFFFF"/>
        <w:kinsoku/>
        <w:overflowPunct/>
        <w:bidi w:val="0"/>
        <w:spacing w:line="420" w:lineRule="exact"/>
        <w:ind w:firstLine="482"/>
        <w:jc w:val="left"/>
        <w:textAlignment w:val="auto"/>
        <w:rPr>
          <w:rFonts w:ascii="仿宋" w:hAnsi="仿宋" w:eastAsia="仿宋" w:cs="仿宋_GB2312"/>
          <w:sz w:val="24"/>
          <w:szCs w:val="24"/>
        </w:rPr>
      </w:pPr>
      <w:r>
        <w:rPr>
          <w:rFonts w:hint="eastAsia" w:ascii="仿宋" w:hAnsi="仿宋" w:eastAsia="仿宋" w:cs="仿宋_GB2312"/>
          <w:sz w:val="24"/>
          <w:szCs w:val="24"/>
        </w:rPr>
        <w:t>5、采购预算：</w:t>
      </w:r>
      <w:r>
        <w:rPr>
          <w:rFonts w:hint="eastAsia" w:ascii="仿宋" w:hAnsi="仿宋" w:eastAsia="仿宋" w:cs="仿宋_GB2312"/>
          <w:sz w:val="24"/>
          <w:szCs w:val="24"/>
          <w:lang w:val="en-US" w:eastAsia="zh-CN"/>
        </w:rPr>
        <w:t>15.757</w:t>
      </w:r>
      <w:r>
        <w:rPr>
          <w:rFonts w:hint="eastAsia" w:ascii="仿宋" w:hAnsi="仿宋" w:eastAsia="仿宋" w:cs="仿宋_GB2312"/>
          <w:sz w:val="24"/>
          <w:szCs w:val="24"/>
        </w:rPr>
        <w:t>万元</w:t>
      </w:r>
    </w:p>
    <w:p>
      <w:pPr>
        <w:keepNext w:val="0"/>
        <w:keepLines w:val="0"/>
        <w:pageBreakBefore w:val="0"/>
        <w:widowControl/>
        <w:shd w:val="clear" w:color="auto" w:fill="FFFFFF"/>
        <w:kinsoku/>
        <w:overflowPunct/>
        <w:bidi w:val="0"/>
        <w:spacing w:line="420" w:lineRule="exact"/>
        <w:ind w:firstLine="354" w:firstLineChars="147"/>
        <w:jc w:val="left"/>
        <w:textAlignment w:val="auto"/>
        <w:rPr>
          <w:rFonts w:ascii="黑体" w:hAnsi="黑体" w:eastAsia="黑体" w:cs="Arial"/>
          <w:b/>
          <w:color w:val="000000"/>
          <w:kern w:val="0"/>
          <w:sz w:val="24"/>
          <w:szCs w:val="24"/>
        </w:rPr>
      </w:pPr>
      <w:r>
        <w:rPr>
          <w:rFonts w:hint="eastAsia" w:ascii="黑体" w:hAnsi="黑体" w:eastAsia="黑体" w:cs="Arial"/>
          <w:b/>
          <w:color w:val="000000"/>
          <w:kern w:val="0"/>
          <w:sz w:val="24"/>
          <w:szCs w:val="24"/>
        </w:rPr>
        <w:t>二、</w:t>
      </w:r>
      <w:r>
        <w:rPr>
          <w:rFonts w:ascii="黑体" w:hAnsi="黑体" w:eastAsia="黑体" w:cs="Arial"/>
          <w:b/>
          <w:color w:val="000000"/>
          <w:kern w:val="0"/>
          <w:sz w:val="24"/>
          <w:szCs w:val="24"/>
        </w:rPr>
        <w:t>需要落实的政府采购政策</w:t>
      </w:r>
    </w:p>
    <w:p>
      <w:pPr>
        <w:keepNext w:val="0"/>
        <w:keepLines w:val="0"/>
        <w:pageBreakBefore w:val="0"/>
        <w:widowControl/>
        <w:shd w:val="clear" w:color="auto" w:fill="FFFFFF"/>
        <w:kinsoku/>
        <w:overflowPunct/>
        <w:bidi w:val="0"/>
        <w:spacing w:line="420" w:lineRule="exact"/>
        <w:ind w:firstLine="480" w:firstLineChars="200"/>
        <w:jc w:val="left"/>
        <w:textAlignment w:val="auto"/>
        <w:rPr>
          <w:rFonts w:ascii="仿宋" w:hAnsi="仿宋" w:eastAsia="仿宋" w:cs="Arial"/>
          <w:color w:val="000000"/>
          <w:kern w:val="0"/>
          <w:sz w:val="24"/>
          <w:szCs w:val="24"/>
        </w:rPr>
      </w:pPr>
      <w:r>
        <w:rPr>
          <w:rFonts w:ascii="仿宋" w:hAnsi="仿宋" w:eastAsia="仿宋" w:cs="Arial"/>
          <w:color w:val="000000"/>
          <w:kern w:val="0"/>
          <w:sz w:val="24"/>
          <w:szCs w:val="24"/>
        </w:rPr>
        <w:t>本项目落实节约能源、保护环境、扶持不发达地区和少数民族地区、促进中小企业、监狱企业发展等政府采购政策。（详见</w:t>
      </w:r>
      <w:r>
        <w:rPr>
          <w:rFonts w:hint="eastAsia" w:ascii="仿宋" w:hAnsi="仿宋" w:eastAsia="仿宋" w:cs="Arial"/>
          <w:color w:val="000000"/>
          <w:kern w:val="0"/>
          <w:sz w:val="24"/>
          <w:szCs w:val="24"/>
        </w:rPr>
        <w:t>谈判</w:t>
      </w:r>
      <w:r>
        <w:rPr>
          <w:rFonts w:ascii="仿宋" w:hAnsi="仿宋" w:eastAsia="仿宋" w:cs="Arial"/>
          <w:color w:val="000000"/>
          <w:kern w:val="0"/>
          <w:sz w:val="24"/>
          <w:szCs w:val="24"/>
        </w:rPr>
        <w:t>文件）</w:t>
      </w:r>
    </w:p>
    <w:p>
      <w:pPr>
        <w:keepNext w:val="0"/>
        <w:keepLines w:val="0"/>
        <w:pageBreakBefore w:val="0"/>
        <w:widowControl/>
        <w:numPr>
          <w:ilvl w:val="0"/>
          <w:numId w:val="5"/>
        </w:numPr>
        <w:shd w:val="clear" w:color="auto" w:fill="FFFFFF"/>
        <w:kinsoku/>
        <w:overflowPunct/>
        <w:bidi w:val="0"/>
        <w:spacing w:line="420" w:lineRule="exact"/>
        <w:ind w:firstLine="482"/>
        <w:jc w:val="left"/>
        <w:textAlignment w:val="auto"/>
        <w:rPr>
          <w:rFonts w:ascii="黑体" w:hAnsi="黑体" w:eastAsia="黑体" w:cs="Arial"/>
          <w:b/>
          <w:color w:val="000000"/>
          <w:kern w:val="0"/>
          <w:sz w:val="24"/>
          <w:szCs w:val="24"/>
        </w:rPr>
      </w:pPr>
      <w:r>
        <w:rPr>
          <w:rFonts w:ascii="黑体" w:hAnsi="黑体" w:eastAsia="黑体" w:cs="Arial"/>
          <w:b/>
          <w:color w:val="000000"/>
          <w:kern w:val="0"/>
          <w:sz w:val="24"/>
          <w:szCs w:val="24"/>
        </w:rPr>
        <w:t>供应商资格要求</w:t>
      </w:r>
    </w:p>
    <w:p>
      <w:pPr>
        <w:keepNext w:val="0"/>
        <w:keepLines w:val="0"/>
        <w:pageBreakBefore w:val="0"/>
        <w:widowControl/>
        <w:numPr>
          <w:ilvl w:val="0"/>
          <w:numId w:val="6"/>
        </w:numPr>
        <w:shd w:val="clear" w:color="auto" w:fill="FFFFFF"/>
        <w:kinsoku/>
        <w:overflowPunct/>
        <w:bidi w:val="0"/>
        <w:spacing w:line="420" w:lineRule="exact"/>
        <w:ind w:firstLine="480" w:firstLineChars="200"/>
        <w:jc w:val="left"/>
        <w:textAlignment w:val="auto"/>
        <w:rPr>
          <w:rFonts w:ascii="仿宋" w:hAnsi="仿宋" w:eastAsia="仿宋" w:cs="仿宋_GB2312"/>
          <w:sz w:val="24"/>
          <w:szCs w:val="24"/>
        </w:rPr>
      </w:pPr>
      <w:r>
        <w:rPr>
          <w:rFonts w:ascii="仿宋" w:hAnsi="仿宋" w:eastAsia="仿宋" w:cs="仿宋_GB2312"/>
          <w:sz w:val="24"/>
          <w:szCs w:val="24"/>
        </w:rPr>
        <w:t>符合《政府采购法》第二十二条之规定</w:t>
      </w:r>
      <w:r>
        <w:rPr>
          <w:rFonts w:hint="eastAsia" w:ascii="仿宋" w:hAnsi="仿宋" w:eastAsia="仿宋" w:cs="仿宋_GB2312"/>
          <w:sz w:val="24"/>
          <w:szCs w:val="24"/>
        </w:rPr>
        <w:t>，供应商须具有独立法人资格及相应的经营范围；</w:t>
      </w:r>
    </w:p>
    <w:p>
      <w:pPr>
        <w:keepNext w:val="0"/>
        <w:keepLines w:val="0"/>
        <w:pageBreakBefore w:val="0"/>
        <w:kinsoku/>
        <w:overflowPunct/>
        <w:bidi w:val="0"/>
        <w:spacing w:line="420" w:lineRule="exact"/>
        <w:ind w:firstLine="480" w:firstLineChars="200"/>
        <w:textAlignment w:val="auto"/>
        <w:rPr>
          <w:rFonts w:ascii="仿宋" w:hAnsi="仿宋" w:eastAsia="仿宋" w:cs="仿宋_GB2312"/>
          <w:sz w:val="24"/>
          <w:szCs w:val="24"/>
        </w:rPr>
      </w:pPr>
      <w:r>
        <w:rPr>
          <w:rFonts w:hint="eastAsia" w:ascii="仿宋" w:hAnsi="仿宋" w:eastAsia="仿宋" w:cs="仿宋_GB2312"/>
          <w:sz w:val="24"/>
          <w:szCs w:val="24"/>
          <w:lang w:val="en-US" w:eastAsia="zh-CN"/>
        </w:rPr>
        <w:t>2</w:t>
      </w:r>
      <w:r>
        <w:rPr>
          <w:rFonts w:hint="eastAsia" w:ascii="仿宋" w:hAnsi="仿宋" w:eastAsia="仿宋" w:cs="仿宋_GB2312"/>
          <w:sz w:val="24"/>
          <w:szCs w:val="24"/>
        </w:rPr>
        <w:t xml:space="preserve">、被委托人须是本单位职工，须提供公司为本人缴纳社会保险证明； </w:t>
      </w:r>
    </w:p>
    <w:p>
      <w:pPr>
        <w:keepNext w:val="0"/>
        <w:keepLines w:val="0"/>
        <w:pageBreakBefore w:val="0"/>
        <w:kinsoku/>
        <w:overflowPunct/>
        <w:bidi w:val="0"/>
        <w:spacing w:line="420" w:lineRule="exact"/>
        <w:ind w:firstLine="480" w:firstLineChars="200"/>
        <w:textAlignment w:val="auto"/>
        <w:rPr>
          <w:rFonts w:ascii="仿宋" w:hAnsi="仿宋" w:eastAsia="仿宋" w:cs="仿宋_GB2312"/>
          <w:sz w:val="24"/>
          <w:szCs w:val="24"/>
        </w:rPr>
      </w:pPr>
      <w:r>
        <w:rPr>
          <w:rFonts w:hint="eastAsia" w:ascii="仿宋" w:hAnsi="仿宋" w:eastAsia="仿宋" w:cs="仿宋_GB2312"/>
          <w:sz w:val="24"/>
          <w:szCs w:val="24"/>
          <w:lang w:val="en-US" w:eastAsia="zh-CN"/>
        </w:rPr>
        <w:t>3</w:t>
      </w:r>
      <w:r>
        <w:rPr>
          <w:rFonts w:hint="eastAsia" w:ascii="仿宋" w:hAnsi="仿宋" w:eastAsia="仿宋" w:cs="仿宋_GB2312"/>
          <w:sz w:val="24"/>
          <w:szCs w:val="24"/>
        </w:rPr>
        <w:t>、本项目不接受联合体投标。</w:t>
      </w:r>
    </w:p>
    <w:p>
      <w:pPr>
        <w:keepNext w:val="0"/>
        <w:keepLines w:val="0"/>
        <w:pageBreakBefore w:val="0"/>
        <w:widowControl/>
        <w:shd w:val="clear" w:color="auto" w:fill="FFFFFF"/>
        <w:kinsoku/>
        <w:overflowPunct/>
        <w:bidi w:val="0"/>
        <w:spacing w:line="420" w:lineRule="exact"/>
        <w:ind w:firstLine="482"/>
        <w:jc w:val="left"/>
        <w:textAlignment w:val="auto"/>
        <w:rPr>
          <w:rFonts w:ascii="黑体" w:hAnsi="黑体" w:eastAsia="黑体" w:cs="Arial"/>
          <w:b/>
          <w:color w:val="000000"/>
          <w:kern w:val="0"/>
          <w:sz w:val="24"/>
          <w:szCs w:val="24"/>
        </w:rPr>
      </w:pPr>
      <w:r>
        <w:rPr>
          <w:rFonts w:ascii="黑体" w:hAnsi="黑体" w:eastAsia="黑体" w:cs="Arial"/>
          <w:b/>
          <w:color w:val="000000"/>
          <w:kern w:val="0"/>
          <w:sz w:val="24"/>
          <w:szCs w:val="24"/>
        </w:rPr>
        <w:t>四、获取</w:t>
      </w:r>
      <w:r>
        <w:rPr>
          <w:rFonts w:hint="eastAsia" w:ascii="黑体" w:hAnsi="黑体" w:eastAsia="黑体" w:cs="Arial"/>
          <w:b/>
          <w:color w:val="000000"/>
          <w:kern w:val="0"/>
          <w:sz w:val="24"/>
          <w:szCs w:val="24"/>
        </w:rPr>
        <w:t>谈判</w:t>
      </w:r>
      <w:r>
        <w:rPr>
          <w:rFonts w:ascii="黑体" w:hAnsi="黑体" w:eastAsia="黑体" w:cs="Arial"/>
          <w:b/>
          <w:color w:val="000000"/>
          <w:kern w:val="0"/>
          <w:sz w:val="24"/>
          <w:szCs w:val="24"/>
        </w:rPr>
        <w:t>文件的</w:t>
      </w:r>
      <w:r>
        <w:rPr>
          <w:rFonts w:hint="eastAsia" w:ascii="黑体" w:hAnsi="黑体" w:eastAsia="黑体" w:cs="Arial"/>
          <w:b/>
          <w:color w:val="000000"/>
          <w:kern w:val="0"/>
          <w:sz w:val="24"/>
          <w:szCs w:val="24"/>
        </w:rPr>
        <w:t>方式、时间、</w:t>
      </w:r>
      <w:r>
        <w:rPr>
          <w:rFonts w:ascii="黑体" w:hAnsi="黑体" w:eastAsia="黑体" w:cs="Arial"/>
          <w:b/>
          <w:color w:val="000000"/>
          <w:kern w:val="0"/>
          <w:sz w:val="24"/>
          <w:szCs w:val="24"/>
        </w:rPr>
        <w:t>地点</w:t>
      </w:r>
    </w:p>
    <w:p>
      <w:pPr>
        <w:keepNext w:val="0"/>
        <w:keepLines w:val="0"/>
        <w:pageBreakBefore w:val="0"/>
        <w:kinsoku/>
        <w:wordWrap w:val="0"/>
        <w:overflowPunct/>
        <w:topLinePunct/>
        <w:bidi w:val="0"/>
        <w:snapToGrid w:val="0"/>
        <w:spacing w:line="420" w:lineRule="exact"/>
        <w:ind w:firstLine="480" w:firstLineChars="200"/>
        <w:textAlignment w:val="auto"/>
        <w:rPr>
          <w:rFonts w:ascii="仿宋" w:hAnsi="仿宋" w:eastAsia="仿宋" w:cs="宋体"/>
          <w:sz w:val="24"/>
          <w:szCs w:val="24"/>
        </w:rPr>
      </w:pPr>
      <w:r>
        <w:rPr>
          <w:rFonts w:hint="eastAsia" w:ascii="仿宋" w:hAnsi="仿宋" w:eastAsia="仿宋" w:cs="宋体"/>
          <w:sz w:val="24"/>
          <w:szCs w:val="24"/>
        </w:rPr>
        <w:t>1</w:t>
      </w:r>
      <w:r>
        <w:rPr>
          <w:rFonts w:hint="eastAsia" w:ascii="仿宋" w:hAnsi="仿宋" w:eastAsia="仿宋" w:cs="宋体"/>
          <w:sz w:val="24"/>
          <w:szCs w:val="24"/>
          <w:lang w:val="zh-CN"/>
        </w:rPr>
        <w:t>、持</w:t>
      </w:r>
      <w:r>
        <w:rPr>
          <w:rFonts w:hint="eastAsia" w:ascii="仿宋" w:hAnsi="仿宋" w:eastAsia="仿宋" w:cs="宋体"/>
          <w:sz w:val="24"/>
          <w:szCs w:val="24"/>
        </w:rPr>
        <w:t>CA</w:t>
      </w:r>
      <w:r>
        <w:rPr>
          <w:rFonts w:hint="eastAsia" w:ascii="仿宋" w:hAnsi="仿宋" w:eastAsia="仿宋" w:cs="宋体"/>
          <w:sz w:val="24"/>
          <w:szCs w:val="24"/>
          <w:lang w:val="zh-CN"/>
        </w:rPr>
        <w:t>数字认证证书</w:t>
      </w:r>
      <w:r>
        <w:rPr>
          <w:rFonts w:hint="eastAsia" w:ascii="仿宋" w:hAnsi="仿宋" w:eastAsia="仿宋" w:cs="宋体"/>
          <w:sz w:val="24"/>
          <w:szCs w:val="24"/>
        </w:rPr>
        <w:t>，</w:t>
      </w:r>
      <w:r>
        <w:rPr>
          <w:rFonts w:hint="eastAsia" w:ascii="仿宋" w:hAnsi="仿宋" w:eastAsia="仿宋" w:cs="宋体"/>
          <w:sz w:val="24"/>
          <w:szCs w:val="24"/>
          <w:lang w:val="zh-CN"/>
        </w:rPr>
        <w:t>登录</w:t>
      </w:r>
      <w:r>
        <w:rPr>
          <w:sz w:val="24"/>
          <w:szCs w:val="24"/>
        </w:rPr>
        <w:fldChar w:fldCharType="begin"/>
      </w:r>
      <w:r>
        <w:rPr>
          <w:sz w:val="24"/>
          <w:szCs w:val="24"/>
        </w:rPr>
        <w:instrText xml:space="preserve"> HYPERLINK "http://221.14.6.70:8088/ggzy/eps/public/RegistAllJcxx.html" </w:instrText>
      </w:r>
      <w:r>
        <w:rPr>
          <w:sz w:val="24"/>
          <w:szCs w:val="24"/>
        </w:rPr>
        <w:fldChar w:fldCharType="separate"/>
      </w:r>
      <w:r>
        <w:rPr>
          <w:rStyle w:val="28"/>
          <w:rFonts w:hint="eastAsia" w:ascii="仿宋" w:hAnsi="仿宋" w:eastAsia="仿宋" w:cs="宋体"/>
          <w:sz w:val="24"/>
          <w:szCs w:val="24"/>
        </w:rPr>
        <w:t>http://221.14.6.70:8088/ggzy/eps/public/RegistAllJcxx.html</w:t>
      </w:r>
      <w:r>
        <w:rPr>
          <w:rStyle w:val="28"/>
          <w:rFonts w:hint="eastAsia" w:ascii="仿宋" w:hAnsi="仿宋" w:eastAsia="仿宋" w:cs="宋体"/>
          <w:sz w:val="24"/>
          <w:szCs w:val="24"/>
        </w:rPr>
        <w:fldChar w:fldCharType="end"/>
      </w:r>
      <w:r>
        <w:rPr>
          <w:rFonts w:hint="eastAsia" w:ascii="仿宋" w:hAnsi="仿宋" w:eastAsia="仿宋" w:cs="宋体"/>
          <w:sz w:val="24"/>
          <w:szCs w:val="24"/>
          <w:lang w:val="zh-CN"/>
        </w:rPr>
        <w:t>进行免费注册登记</w:t>
      </w:r>
      <w:r>
        <w:rPr>
          <w:rFonts w:hint="eastAsia" w:ascii="仿宋" w:hAnsi="仿宋" w:eastAsia="仿宋" w:cs="宋体"/>
          <w:sz w:val="24"/>
          <w:szCs w:val="24"/>
        </w:rPr>
        <w:t>（</w:t>
      </w:r>
      <w:r>
        <w:rPr>
          <w:rFonts w:hint="eastAsia" w:ascii="仿宋" w:hAnsi="仿宋" w:eastAsia="仿宋" w:cs="宋体"/>
          <w:sz w:val="24"/>
          <w:szCs w:val="24"/>
          <w:lang w:val="zh-CN"/>
        </w:rPr>
        <w:t>详见全国公共资源交易平台</w:t>
      </w:r>
      <w:r>
        <w:rPr>
          <w:rFonts w:hint="eastAsia" w:ascii="仿宋" w:hAnsi="仿宋" w:eastAsia="仿宋" w:cs="宋体"/>
          <w:sz w:val="24"/>
          <w:szCs w:val="24"/>
        </w:rPr>
        <w:t>（</w:t>
      </w:r>
      <w:r>
        <w:rPr>
          <w:rFonts w:hint="eastAsia" w:ascii="仿宋" w:hAnsi="仿宋" w:eastAsia="仿宋" w:cs="宋体"/>
          <w:sz w:val="24"/>
          <w:szCs w:val="24"/>
          <w:lang w:val="zh-CN"/>
        </w:rPr>
        <w:t>河南省</w:t>
      </w:r>
      <w:r>
        <w:rPr>
          <w:rFonts w:hint="eastAsia" w:ascii="仿宋" w:hAnsi="仿宋" w:eastAsia="仿宋" w:cs="宋体"/>
          <w:sz w:val="24"/>
          <w:szCs w:val="24"/>
        </w:rPr>
        <w:t>·</w:t>
      </w:r>
      <w:r>
        <w:rPr>
          <w:rFonts w:hint="eastAsia" w:ascii="仿宋" w:hAnsi="仿宋" w:eastAsia="仿宋" w:cs="宋体"/>
          <w:sz w:val="24"/>
          <w:szCs w:val="24"/>
          <w:lang w:val="zh-CN"/>
        </w:rPr>
        <w:t>许昌市</w:t>
      </w:r>
      <w:r>
        <w:rPr>
          <w:rFonts w:hint="eastAsia" w:ascii="仿宋" w:hAnsi="仿宋" w:eastAsia="仿宋" w:cs="宋体"/>
          <w:sz w:val="24"/>
          <w:szCs w:val="24"/>
        </w:rPr>
        <w:t>）“</w:t>
      </w:r>
      <w:r>
        <w:rPr>
          <w:rFonts w:hint="eastAsia" w:ascii="仿宋" w:hAnsi="仿宋" w:eastAsia="仿宋" w:cs="宋体"/>
          <w:sz w:val="24"/>
          <w:szCs w:val="24"/>
          <w:lang w:val="zh-CN"/>
        </w:rPr>
        <w:t>常见问题解答</w:t>
      </w:r>
      <w:r>
        <w:rPr>
          <w:rFonts w:hint="eastAsia" w:ascii="仿宋" w:hAnsi="仿宋" w:eastAsia="仿宋" w:cs="宋体"/>
          <w:sz w:val="24"/>
          <w:szCs w:val="24"/>
        </w:rPr>
        <w:t>-</w:t>
      </w:r>
      <w:r>
        <w:rPr>
          <w:rFonts w:hint="eastAsia" w:ascii="仿宋" w:hAnsi="仿宋" w:eastAsia="仿宋" w:cs="宋体"/>
          <w:sz w:val="24"/>
          <w:szCs w:val="24"/>
          <w:lang w:val="zh-CN"/>
        </w:rPr>
        <w:t>诚信库网上注册相关资料下载</w:t>
      </w:r>
      <w:r>
        <w:rPr>
          <w:rFonts w:hint="eastAsia" w:ascii="仿宋" w:hAnsi="仿宋" w:eastAsia="仿宋" w:cs="宋体"/>
          <w:sz w:val="24"/>
          <w:szCs w:val="24"/>
        </w:rPr>
        <w:t>”）；</w:t>
      </w:r>
    </w:p>
    <w:p>
      <w:pPr>
        <w:keepNext w:val="0"/>
        <w:keepLines w:val="0"/>
        <w:pageBreakBefore w:val="0"/>
        <w:kinsoku/>
        <w:wordWrap w:val="0"/>
        <w:overflowPunct/>
        <w:topLinePunct/>
        <w:autoSpaceDE w:val="0"/>
        <w:autoSpaceDN w:val="0"/>
        <w:bidi w:val="0"/>
        <w:adjustRightInd w:val="0"/>
        <w:snapToGrid w:val="0"/>
        <w:spacing w:line="420" w:lineRule="exact"/>
        <w:ind w:firstLine="482"/>
        <w:textAlignment w:val="auto"/>
        <w:rPr>
          <w:rFonts w:ascii="楷体" w:hAnsi="楷体" w:eastAsia="楷体" w:cs="宋体"/>
          <w:sz w:val="24"/>
          <w:szCs w:val="24"/>
        </w:rPr>
      </w:pPr>
      <w:r>
        <w:rPr>
          <w:rFonts w:hint="eastAsia" w:ascii="仿宋" w:hAnsi="仿宋" w:eastAsia="仿宋" w:cs="宋体"/>
          <w:sz w:val="24"/>
          <w:szCs w:val="24"/>
          <w:lang w:val="zh-CN"/>
        </w:rPr>
        <w:t>　</w:t>
      </w:r>
      <w:r>
        <w:rPr>
          <w:rFonts w:hint="eastAsia" w:ascii="仿宋" w:hAnsi="仿宋" w:eastAsia="仿宋" w:cs="宋体"/>
          <w:sz w:val="24"/>
          <w:szCs w:val="24"/>
        </w:rPr>
        <w:t>2</w:t>
      </w:r>
      <w:r>
        <w:rPr>
          <w:rFonts w:hint="eastAsia" w:ascii="仿宋" w:hAnsi="仿宋" w:eastAsia="仿宋" w:cs="宋体"/>
          <w:sz w:val="24"/>
          <w:szCs w:val="24"/>
          <w:lang w:val="zh-CN"/>
        </w:rPr>
        <w:t>、在投标截止时间前登录</w:t>
      </w:r>
      <w:r>
        <w:rPr>
          <w:sz w:val="24"/>
          <w:szCs w:val="24"/>
        </w:rPr>
        <w:fldChar w:fldCharType="begin"/>
      </w:r>
      <w:r>
        <w:rPr>
          <w:sz w:val="24"/>
          <w:szCs w:val="24"/>
        </w:rPr>
        <w:instrText xml:space="preserve"> HYPERLINK "http://221.14.6.70:8088/ggzy/" </w:instrText>
      </w:r>
      <w:r>
        <w:rPr>
          <w:sz w:val="24"/>
          <w:szCs w:val="24"/>
        </w:rPr>
        <w:fldChar w:fldCharType="separate"/>
      </w:r>
      <w:r>
        <w:rPr>
          <w:rStyle w:val="28"/>
          <w:rFonts w:hint="eastAsia" w:ascii="仿宋" w:hAnsi="仿宋" w:eastAsia="仿宋" w:cs="宋体"/>
          <w:sz w:val="24"/>
          <w:szCs w:val="24"/>
        </w:rPr>
        <w:t>http://ggzy.xuchang.gov.cn</w:t>
      </w:r>
      <w:r>
        <w:rPr>
          <w:rStyle w:val="28"/>
          <w:rFonts w:hint="eastAsia" w:ascii="仿宋" w:hAnsi="仿宋" w:eastAsia="仿宋" w:cs="宋体"/>
          <w:sz w:val="24"/>
          <w:szCs w:val="24"/>
        </w:rPr>
        <w:fldChar w:fldCharType="end"/>
      </w:r>
      <w:r>
        <w:rPr>
          <w:rFonts w:hint="eastAsia" w:ascii="仿宋" w:hAnsi="仿宋" w:eastAsia="仿宋" w:cs="宋体"/>
          <w:sz w:val="24"/>
          <w:szCs w:val="24"/>
        </w:rPr>
        <w:t>，</w:t>
      </w:r>
      <w:r>
        <w:rPr>
          <w:rFonts w:hint="eastAsia" w:ascii="仿宋" w:hAnsi="仿宋" w:eastAsia="仿宋" w:cs="宋体"/>
          <w:sz w:val="24"/>
          <w:szCs w:val="24"/>
          <w:lang w:val="zh-CN"/>
        </w:rPr>
        <w:t>自行下载招标文件</w:t>
      </w:r>
      <w:r>
        <w:rPr>
          <w:rFonts w:hint="eastAsia" w:ascii="仿宋" w:hAnsi="仿宋" w:eastAsia="仿宋" w:cs="宋体"/>
          <w:sz w:val="24"/>
          <w:szCs w:val="24"/>
        </w:rPr>
        <w:t>（</w:t>
      </w:r>
      <w:r>
        <w:rPr>
          <w:rFonts w:hint="eastAsia" w:ascii="仿宋" w:hAnsi="仿宋" w:eastAsia="仿宋" w:cs="宋体"/>
          <w:sz w:val="24"/>
          <w:szCs w:val="24"/>
          <w:lang w:val="zh-CN"/>
        </w:rPr>
        <w:t>详见全国公共资源交易平台</w:t>
      </w:r>
      <w:r>
        <w:rPr>
          <w:rFonts w:hint="eastAsia" w:ascii="仿宋" w:hAnsi="仿宋" w:eastAsia="仿宋" w:cs="宋体"/>
          <w:sz w:val="24"/>
          <w:szCs w:val="24"/>
        </w:rPr>
        <w:t>（</w:t>
      </w:r>
      <w:r>
        <w:rPr>
          <w:rFonts w:hint="eastAsia" w:ascii="仿宋" w:hAnsi="仿宋" w:eastAsia="仿宋" w:cs="宋体"/>
          <w:sz w:val="24"/>
          <w:szCs w:val="24"/>
          <w:lang w:val="zh-CN"/>
        </w:rPr>
        <w:t>河南省</w:t>
      </w:r>
      <w:r>
        <w:rPr>
          <w:rFonts w:hint="eastAsia" w:ascii="仿宋" w:hAnsi="仿宋" w:eastAsia="仿宋" w:cs="宋体"/>
          <w:sz w:val="24"/>
          <w:szCs w:val="24"/>
        </w:rPr>
        <w:t>·</w:t>
      </w:r>
      <w:r>
        <w:rPr>
          <w:rFonts w:hint="eastAsia" w:ascii="仿宋" w:hAnsi="仿宋" w:eastAsia="仿宋" w:cs="宋体"/>
          <w:sz w:val="24"/>
          <w:szCs w:val="24"/>
          <w:lang w:val="zh-CN"/>
        </w:rPr>
        <w:t>许昌市</w:t>
      </w:r>
      <w:r>
        <w:rPr>
          <w:rFonts w:hint="eastAsia" w:ascii="仿宋" w:hAnsi="仿宋" w:eastAsia="仿宋" w:cs="宋体"/>
          <w:sz w:val="24"/>
          <w:szCs w:val="24"/>
        </w:rPr>
        <w:t>）“</w:t>
      </w:r>
      <w:r>
        <w:rPr>
          <w:rFonts w:hint="eastAsia" w:ascii="仿宋" w:hAnsi="仿宋" w:eastAsia="仿宋" w:cs="宋体"/>
          <w:sz w:val="24"/>
          <w:szCs w:val="24"/>
          <w:lang w:val="zh-CN"/>
        </w:rPr>
        <w:t>常见问题解答</w:t>
      </w:r>
      <w:r>
        <w:rPr>
          <w:rFonts w:hint="eastAsia" w:ascii="仿宋" w:hAnsi="仿宋" w:eastAsia="仿宋" w:cs="宋体"/>
          <w:sz w:val="24"/>
          <w:szCs w:val="24"/>
        </w:rPr>
        <w:t>-</w:t>
      </w:r>
      <w:r>
        <w:rPr>
          <w:rFonts w:hint="eastAsia" w:ascii="仿宋" w:hAnsi="仿宋" w:eastAsia="仿宋" w:cs="宋体"/>
          <w:sz w:val="24"/>
          <w:szCs w:val="24"/>
          <w:lang w:val="zh-CN"/>
        </w:rPr>
        <w:t>交易系统操作手册</w:t>
      </w:r>
      <w:r>
        <w:rPr>
          <w:rFonts w:hint="eastAsia" w:ascii="仿宋" w:hAnsi="仿宋" w:eastAsia="仿宋" w:cs="宋体"/>
          <w:sz w:val="24"/>
          <w:szCs w:val="24"/>
        </w:rPr>
        <w:t>”）</w:t>
      </w:r>
      <w:r>
        <w:rPr>
          <w:rFonts w:hint="eastAsia" w:ascii="仿宋" w:hAnsi="仿宋" w:eastAsia="仿宋" w:cs="宋体"/>
          <w:sz w:val="24"/>
          <w:szCs w:val="24"/>
          <w:lang w:val="zh-CN"/>
        </w:rPr>
        <w:t>。</w:t>
      </w:r>
    </w:p>
    <w:p>
      <w:pPr>
        <w:keepNext w:val="0"/>
        <w:keepLines w:val="0"/>
        <w:pageBreakBefore w:val="0"/>
        <w:kinsoku/>
        <w:overflowPunct/>
        <w:bidi w:val="0"/>
        <w:spacing w:line="420" w:lineRule="exact"/>
        <w:textAlignment w:val="auto"/>
        <w:rPr>
          <w:rFonts w:ascii="仿宋" w:hAnsi="仿宋" w:eastAsia="仿宋" w:cs="仿宋"/>
          <w:sz w:val="24"/>
          <w:szCs w:val="24"/>
        </w:rPr>
      </w:pPr>
      <w:r>
        <w:rPr>
          <w:rFonts w:hint="eastAsia" w:ascii="仿宋" w:hAnsi="仿宋" w:eastAsia="仿宋" w:cs="仿宋"/>
          <w:sz w:val="24"/>
          <w:szCs w:val="24"/>
        </w:rPr>
        <w:t>　　3、未通过全国公共资源交易平台（河南省·许昌市）下载招标文件的投标企业，拒收其递交的投标文件。</w:t>
      </w:r>
    </w:p>
    <w:p>
      <w:pPr>
        <w:keepNext w:val="0"/>
        <w:keepLines w:val="0"/>
        <w:pageBreakBefore w:val="0"/>
        <w:kinsoku/>
        <w:overflowPunct/>
        <w:bidi w:val="0"/>
        <w:spacing w:line="420" w:lineRule="exact"/>
        <w:ind w:firstLine="640"/>
        <w:textAlignment w:val="auto"/>
        <w:rPr>
          <w:rFonts w:ascii="仿宋" w:hAnsi="仿宋" w:eastAsia="仿宋" w:cs="仿宋_GB2312"/>
          <w:sz w:val="24"/>
          <w:szCs w:val="24"/>
        </w:rPr>
      </w:pPr>
      <w:r>
        <w:rPr>
          <w:rFonts w:hint="eastAsia" w:ascii="仿宋" w:hAnsi="仿宋" w:eastAsia="仿宋" w:cs="仿宋_GB2312"/>
          <w:sz w:val="24"/>
          <w:szCs w:val="24"/>
        </w:rPr>
        <w:t>4、谈判文件每份售价人民币300元（谈判现场现金收取），于递交投标文件时缴纳给采购代理机构，售后不退。</w:t>
      </w:r>
    </w:p>
    <w:p>
      <w:pPr>
        <w:keepNext w:val="0"/>
        <w:keepLines w:val="0"/>
        <w:pageBreakBefore w:val="0"/>
        <w:widowControl/>
        <w:shd w:val="clear" w:color="auto" w:fill="FFFFFF"/>
        <w:kinsoku/>
        <w:overflowPunct/>
        <w:bidi w:val="0"/>
        <w:spacing w:line="420" w:lineRule="exact"/>
        <w:ind w:firstLine="482"/>
        <w:jc w:val="left"/>
        <w:textAlignment w:val="auto"/>
        <w:rPr>
          <w:rFonts w:ascii="黑体" w:hAnsi="黑体" w:eastAsia="黑体" w:cs="Arial"/>
          <w:color w:val="000000"/>
          <w:kern w:val="0"/>
          <w:sz w:val="24"/>
          <w:szCs w:val="24"/>
        </w:rPr>
      </w:pPr>
      <w:r>
        <w:rPr>
          <w:rFonts w:ascii="黑体" w:hAnsi="黑体" w:eastAsia="黑体" w:cs="Arial"/>
          <w:color w:val="000000"/>
          <w:kern w:val="0"/>
          <w:sz w:val="24"/>
          <w:szCs w:val="24"/>
        </w:rPr>
        <w:t>五、</w:t>
      </w:r>
      <w:r>
        <w:rPr>
          <w:rFonts w:hint="eastAsia" w:ascii="黑体" w:hAnsi="黑体" w:eastAsia="黑体" w:cs="Arial"/>
          <w:color w:val="000000"/>
          <w:kern w:val="0"/>
          <w:sz w:val="24"/>
          <w:szCs w:val="24"/>
        </w:rPr>
        <w:t>谈判</w:t>
      </w:r>
      <w:r>
        <w:rPr>
          <w:rFonts w:ascii="黑体" w:hAnsi="黑体" w:eastAsia="黑体" w:cs="Arial"/>
          <w:color w:val="000000"/>
          <w:kern w:val="0"/>
          <w:sz w:val="24"/>
          <w:szCs w:val="24"/>
        </w:rPr>
        <w:t>截止时间、</w:t>
      </w:r>
      <w:r>
        <w:rPr>
          <w:rFonts w:hint="eastAsia" w:ascii="黑体" w:hAnsi="黑体" w:eastAsia="黑体" w:cs="Arial"/>
          <w:color w:val="000000"/>
          <w:kern w:val="0"/>
          <w:sz w:val="24"/>
          <w:szCs w:val="24"/>
        </w:rPr>
        <w:t>谈判</w:t>
      </w:r>
      <w:r>
        <w:rPr>
          <w:rFonts w:ascii="黑体" w:hAnsi="黑体" w:eastAsia="黑体" w:cs="Arial"/>
          <w:color w:val="000000"/>
          <w:kern w:val="0"/>
          <w:sz w:val="24"/>
          <w:szCs w:val="24"/>
        </w:rPr>
        <w:t>时间及地点：</w:t>
      </w:r>
    </w:p>
    <w:p>
      <w:pPr>
        <w:keepNext w:val="0"/>
        <w:keepLines w:val="0"/>
        <w:pageBreakBefore w:val="0"/>
        <w:widowControl/>
        <w:shd w:val="clear" w:color="auto" w:fill="FFFFFF"/>
        <w:kinsoku/>
        <w:overflowPunct/>
        <w:bidi w:val="0"/>
        <w:spacing w:line="420" w:lineRule="exact"/>
        <w:ind w:firstLine="480" w:firstLineChars="200"/>
        <w:jc w:val="left"/>
        <w:textAlignment w:val="auto"/>
        <w:rPr>
          <w:rFonts w:ascii="仿宋" w:hAnsi="仿宋" w:eastAsia="仿宋" w:cs="Arial"/>
          <w:color w:val="000000"/>
          <w:kern w:val="0"/>
          <w:sz w:val="24"/>
          <w:szCs w:val="24"/>
        </w:rPr>
      </w:pPr>
      <w:r>
        <w:rPr>
          <w:rFonts w:hint="eastAsia" w:ascii="仿宋" w:hAnsi="仿宋" w:eastAsia="仿宋" w:cs="Arial"/>
          <w:color w:val="000000"/>
          <w:kern w:val="0"/>
          <w:sz w:val="24"/>
          <w:szCs w:val="24"/>
        </w:rPr>
        <w:t>1、谈判</w:t>
      </w:r>
      <w:r>
        <w:rPr>
          <w:rFonts w:ascii="仿宋" w:hAnsi="仿宋" w:eastAsia="仿宋" w:cs="Arial"/>
          <w:color w:val="000000"/>
          <w:kern w:val="0"/>
          <w:sz w:val="24"/>
          <w:szCs w:val="24"/>
        </w:rPr>
        <w:t>截止及</w:t>
      </w:r>
      <w:r>
        <w:rPr>
          <w:rFonts w:hint="eastAsia" w:ascii="仿宋" w:hAnsi="仿宋" w:eastAsia="仿宋" w:cs="Arial"/>
          <w:color w:val="000000"/>
          <w:kern w:val="0"/>
          <w:sz w:val="24"/>
          <w:szCs w:val="24"/>
        </w:rPr>
        <w:t>谈判</w:t>
      </w:r>
      <w:r>
        <w:rPr>
          <w:rFonts w:ascii="仿宋" w:hAnsi="仿宋" w:eastAsia="仿宋" w:cs="Arial"/>
          <w:color w:val="000000"/>
          <w:kern w:val="0"/>
          <w:sz w:val="24"/>
          <w:szCs w:val="24"/>
        </w:rPr>
        <w:t>时间：</w:t>
      </w:r>
      <w:r>
        <w:rPr>
          <w:rFonts w:hint="eastAsia" w:ascii="仿宋" w:hAnsi="仿宋" w:eastAsia="仿宋" w:cs="Times New Roman"/>
          <w:color w:val="000000"/>
          <w:kern w:val="0"/>
          <w:sz w:val="24"/>
          <w:szCs w:val="24"/>
        </w:rPr>
        <w:t>2019</w:t>
      </w:r>
      <w:r>
        <w:rPr>
          <w:rFonts w:ascii="仿宋" w:hAnsi="仿宋" w:eastAsia="仿宋" w:cs="Arial"/>
          <w:color w:val="000000"/>
          <w:kern w:val="0"/>
          <w:sz w:val="24"/>
          <w:szCs w:val="24"/>
        </w:rPr>
        <w:t>年</w:t>
      </w:r>
      <w:r>
        <w:rPr>
          <w:rFonts w:hint="eastAsia" w:ascii="仿宋" w:hAnsi="仿宋" w:eastAsia="仿宋" w:cs="Arial"/>
          <w:color w:val="000000"/>
          <w:kern w:val="0"/>
          <w:sz w:val="24"/>
          <w:szCs w:val="24"/>
          <w:lang w:val="en-US" w:eastAsia="zh-CN"/>
        </w:rPr>
        <w:t xml:space="preserve"> 11</w:t>
      </w:r>
      <w:r>
        <w:rPr>
          <w:rFonts w:ascii="仿宋" w:hAnsi="仿宋" w:eastAsia="仿宋" w:cs="Arial"/>
          <w:color w:val="000000"/>
          <w:kern w:val="0"/>
          <w:sz w:val="24"/>
          <w:szCs w:val="24"/>
        </w:rPr>
        <w:t>月</w:t>
      </w:r>
      <w:r>
        <w:rPr>
          <w:rFonts w:hint="eastAsia" w:ascii="仿宋" w:hAnsi="仿宋" w:eastAsia="仿宋" w:cs="Arial"/>
          <w:color w:val="000000"/>
          <w:kern w:val="0"/>
          <w:sz w:val="24"/>
          <w:szCs w:val="24"/>
          <w:lang w:val="en-US" w:eastAsia="zh-CN"/>
        </w:rPr>
        <w:t>25</w:t>
      </w:r>
      <w:r>
        <w:rPr>
          <w:rFonts w:ascii="仿宋" w:hAnsi="仿宋" w:eastAsia="仿宋" w:cs="Arial"/>
          <w:color w:val="000000"/>
          <w:kern w:val="0"/>
          <w:sz w:val="24"/>
          <w:szCs w:val="24"/>
        </w:rPr>
        <w:t>日</w:t>
      </w:r>
      <w:r>
        <w:rPr>
          <w:rFonts w:hint="eastAsia" w:ascii="仿宋" w:hAnsi="仿宋" w:eastAsia="仿宋" w:cs="Arial"/>
          <w:color w:val="000000"/>
          <w:kern w:val="0"/>
          <w:sz w:val="24"/>
          <w:szCs w:val="24"/>
          <w:lang w:val="en-US" w:eastAsia="zh-CN"/>
        </w:rPr>
        <w:t>9：30</w:t>
      </w:r>
      <w:r>
        <w:rPr>
          <w:rFonts w:hint="eastAsia" w:ascii="仿宋" w:hAnsi="仿宋" w:eastAsia="仿宋" w:cs="Arial"/>
          <w:color w:val="000000"/>
          <w:kern w:val="0"/>
          <w:sz w:val="24"/>
          <w:szCs w:val="24"/>
        </w:rPr>
        <w:t xml:space="preserve"> </w:t>
      </w:r>
      <w:r>
        <w:rPr>
          <w:rFonts w:hint="eastAsia" w:ascii="仿宋" w:hAnsi="仿宋" w:eastAsia="仿宋" w:cs="Arial"/>
          <w:color w:val="000000"/>
          <w:kern w:val="0"/>
          <w:sz w:val="24"/>
          <w:szCs w:val="24"/>
          <w:lang w:val="en-US" w:eastAsia="zh-CN"/>
        </w:rPr>
        <w:t xml:space="preserve">  </w:t>
      </w:r>
      <w:r>
        <w:rPr>
          <w:rFonts w:ascii="仿宋" w:hAnsi="仿宋" w:eastAsia="仿宋" w:cs="Arial"/>
          <w:color w:val="000000"/>
          <w:kern w:val="0"/>
          <w:sz w:val="24"/>
          <w:szCs w:val="24"/>
        </w:rPr>
        <w:t>（北京时间），逾期送达或不符合规定的投标文件不予接受。</w:t>
      </w:r>
    </w:p>
    <w:p>
      <w:pPr>
        <w:keepNext w:val="0"/>
        <w:keepLines w:val="0"/>
        <w:pageBreakBefore w:val="0"/>
        <w:widowControl/>
        <w:shd w:val="clear" w:color="auto" w:fill="FFFFFF"/>
        <w:kinsoku/>
        <w:overflowPunct/>
        <w:bidi w:val="0"/>
        <w:spacing w:line="420" w:lineRule="exact"/>
        <w:ind w:firstLine="480" w:firstLineChars="200"/>
        <w:jc w:val="left"/>
        <w:textAlignment w:val="auto"/>
        <w:rPr>
          <w:rFonts w:ascii="仿宋" w:hAnsi="仿宋" w:eastAsia="仿宋" w:cs="Arial"/>
          <w:color w:val="000000"/>
          <w:kern w:val="0"/>
          <w:sz w:val="24"/>
          <w:szCs w:val="24"/>
        </w:rPr>
      </w:pPr>
      <w:r>
        <w:rPr>
          <w:rFonts w:hint="eastAsia" w:ascii="仿宋" w:hAnsi="仿宋" w:eastAsia="仿宋" w:cs="Arial"/>
          <w:color w:val="000000"/>
          <w:kern w:val="0"/>
          <w:sz w:val="24"/>
          <w:szCs w:val="24"/>
        </w:rPr>
        <w:t>2、谈判</w:t>
      </w:r>
      <w:r>
        <w:rPr>
          <w:rFonts w:ascii="仿宋" w:hAnsi="仿宋" w:eastAsia="仿宋" w:cs="Arial"/>
          <w:color w:val="000000"/>
          <w:kern w:val="0"/>
          <w:sz w:val="24"/>
          <w:szCs w:val="24"/>
        </w:rPr>
        <w:t>地点：</w:t>
      </w:r>
      <w:r>
        <w:rPr>
          <w:rFonts w:hint="eastAsia" w:ascii="仿宋" w:hAnsi="仿宋" w:eastAsia="仿宋" w:cs="仿宋_GB2312"/>
          <w:sz w:val="24"/>
          <w:szCs w:val="24"/>
        </w:rPr>
        <w:t>禹州市公共资源交易中心第</w:t>
      </w:r>
      <w:r>
        <w:rPr>
          <w:rFonts w:hint="eastAsia" w:ascii="仿宋" w:hAnsi="仿宋" w:eastAsia="仿宋" w:cs="仿宋_GB2312"/>
          <w:sz w:val="24"/>
          <w:szCs w:val="24"/>
          <w:lang w:eastAsia="zh-CN"/>
        </w:rPr>
        <w:t>二</w:t>
      </w:r>
      <w:r>
        <w:rPr>
          <w:rFonts w:hint="eastAsia" w:ascii="仿宋" w:hAnsi="仿宋" w:eastAsia="仿宋" w:cs="仿宋_GB2312"/>
          <w:sz w:val="24"/>
          <w:szCs w:val="24"/>
        </w:rPr>
        <w:t>开标室（禹州市</w:t>
      </w:r>
      <w:r>
        <w:rPr>
          <w:rFonts w:hint="eastAsia" w:ascii="仿宋" w:hAnsi="仿宋" w:eastAsia="仿宋" w:cs="Arial"/>
          <w:color w:val="000000"/>
          <w:kern w:val="0"/>
          <w:sz w:val="24"/>
          <w:szCs w:val="24"/>
        </w:rPr>
        <w:t>行政服务中心楼9楼）</w:t>
      </w:r>
      <w:r>
        <w:rPr>
          <w:rFonts w:ascii="仿宋" w:hAnsi="仿宋" w:eastAsia="仿宋" w:cs="Arial"/>
          <w:color w:val="000000"/>
          <w:kern w:val="0"/>
          <w:sz w:val="24"/>
          <w:szCs w:val="24"/>
        </w:rPr>
        <w:t xml:space="preserve"> </w:t>
      </w:r>
    </w:p>
    <w:p>
      <w:pPr>
        <w:keepNext w:val="0"/>
        <w:keepLines w:val="0"/>
        <w:pageBreakBefore w:val="0"/>
        <w:kinsoku/>
        <w:overflowPunct/>
        <w:bidi w:val="0"/>
        <w:spacing w:line="420" w:lineRule="exact"/>
        <w:ind w:firstLine="480" w:firstLineChars="200"/>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3、本项目为全流程电子化交易项目，投标人须提交电子投标文件和纸质投标文件。</w:t>
      </w:r>
    </w:p>
    <w:p>
      <w:pPr>
        <w:keepNext w:val="0"/>
        <w:keepLines w:val="0"/>
        <w:pageBreakBefore w:val="0"/>
        <w:kinsoku/>
        <w:overflowPunct/>
        <w:bidi w:val="0"/>
        <w:spacing w:line="420" w:lineRule="exact"/>
        <w:ind w:firstLine="480" w:firstLineChars="200"/>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（1）加密电子投标文件（.file格式）须在投标截止时间（开标时间）前通过《全国公共资源交易平台(河南省▪许昌市)》公共资源交易系统成功上传。</w:t>
      </w:r>
    </w:p>
    <w:p>
      <w:pPr>
        <w:keepNext w:val="0"/>
        <w:keepLines w:val="0"/>
        <w:pageBreakBefore w:val="0"/>
        <w:kinsoku/>
        <w:overflowPunct/>
        <w:bidi w:val="0"/>
        <w:spacing w:line="420" w:lineRule="exact"/>
        <w:ind w:firstLine="480" w:firstLineChars="200"/>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（2）纸质投标文件（正本1份、副本1份）和备份文件1份（使用电子介质存储）在投标截止时间（开标时间）前递交至本项目开标地点。</w:t>
      </w:r>
    </w:p>
    <w:p>
      <w:pPr>
        <w:keepNext w:val="0"/>
        <w:keepLines w:val="0"/>
        <w:pageBreakBefore w:val="0"/>
        <w:widowControl/>
        <w:shd w:val="clear" w:color="auto" w:fill="FFFFFF"/>
        <w:kinsoku/>
        <w:overflowPunct/>
        <w:bidi w:val="0"/>
        <w:spacing w:line="420" w:lineRule="exact"/>
        <w:ind w:firstLine="480" w:firstLineChars="200"/>
        <w:jc w:val="lef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六、本次招标公告同时在《中国政府采购网》、《河南省政府采购网》、《全国公共资源交易平台（河南省·许昌市）》发布等。</w:t>
      </w:r>
    </w:p>
    <w:p>
      <w:pPr>
        <w:keepNext w:val="0"/>
        <w:keepLines w:val="0"/>
        <w:pageBreakBefore w:val="0"/>
        <w:widowControl/>
        <w:shd w:val="clear" w:color="auto" w:fill="FFFFFF"/>
        <w:kinsoku/>
        <w:overflowPunct/>
        <w:bidi w:val="0"/>
        <w:spacing w:line="420" w:lineRule="exact"/>
        <w:ind w:firstLine="482" w:firstLineChars="200"/>
        <w:jc w:val="left"/>
        <w:textAlignment w:val="auto"/>
        <w:rPr>
          <w:rFonts w:hint="eastAsia" w:ascii="仿宋" w:hAnsi="仿宋" w:eastAsia="仿宋" w:cs="仿宋"/>
          <w:b/>
          <w:bCs/>
          <w:color w:val="000000"/>
          <w:kern w:val="0"/>
          <w:sz w:val="24"/>
          <w:szCs w:val="24"/>
          <w:lang w:eastAsia="zh-CN"/>
        </w:rPr>
      </w:pPr>
      <w:r>
        <w:rPr>
          <w:rFonts w:hint="eastAsia" w:ascii="仿宋" w:hAnsi="仿宋" w:eastAsia="仿宋" w:cs="仿宋"/>
          <w:b/>
          <w:bCs/>
          <w:color w:val="000000"/>
          <w:kern w:val="0"/>
          <w:sz w:val="24"/>
          <w:szCs w:val="24"/>
        </w:rPr>
        <w:t>七、代理机构及采购单位地址、联系人、联系电话</w:t>
      </w:r>
      <w:r>
        <w:rPr>
          <w:rFonts w:hint="eastAsia" w:ascii="仿宋" w:hAnsi="仿宋" w:eastAsia="仿宋" w:cs="仿宋"/>
          <w:b/>
          <w:bCs/>
          <w:color w:val="000000"/>
          <w:kern w:val="0"/>
          <w:sz w:val="24"/>
          <w:szCs w:val="24"/>
          <w:lang w:eastAsia="zh-CN"/>
        </w:rPr>
        <w:t>：</w:t>
      </w:r>
    </w:p>
    <w:p>
      <w:pPr>
        <w:keepNext w:val="0"/>
        <w:keepLines w:val="0"/>
        <w:pageBreakBefore w:val="0"/>
        <w:widowControl/>
        <w:shd w:val="clear" w:color="auto" w:fill="FFFFFF"/>
        <w:kinsoku/>
        <w:overflowPunct/>
        <w:bidi w:val="0"/>
        <w:spacing w:line="420" w:lineRule="exact"/>
        <w:ind w:firstLine="641"/>
        <w:jc w:val="lef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（一）代理机构：禹州市政府采购中心</w:t>
      </w:r>
    </w:p>
    <w:p>
      <w:pPr>
        <w:keepNext w:val="0"/>
        <w:keepLines w:val="0"/>
        <w:pageBreakBefore w:val="0"/>
        <w:widowControl/>
        <w:shd w:val="clear" w:color="auto" w:fill="FFFFFF"/>
        <w:kinsoku/>
        <w:overflowPunct/>
        <w:bidi w:val="0"/>
        <w:spacing w:line="420" w:lineRule="exact"/>
        <w:ind w:firstLine="641"/>
        <w:jc w:val="lef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地址：</w:t>
      </w:r>
      <w:r>
        <w:rPr>
          <w:rFonts w:hint="eastAsia" w:ascii="仿宋" w:hAnsi="仿宋" w:eastAsia="仿宋" w:cs="仿宋"/>
          <w:sz w:val="24"/>
          <w:szCs w:val="24"/>
        </w:rPr>
        <w:t>禹州市行政服务中心楼917房间</w:t>
      </w:r>
    </w:p>
    <w:p>
      <w:pPr>
        <w:keepNext w:val="0"/>
        <w:keepLines w:val="0"/>
        <w:pageBreakBefore w:val="0"/>
        <w:widowControl/>
        <w:shd w:val="clear" w:color="auto" w:fill="FFFFFF"/>
        <w:kinsoku/>
        <w:overflowPunct/>
        <w:bidi w:val="0"/>
        <w:spacing w:line="420" w:lineRule="exact"/>
        <w:ind w:firstLine="641"/>
        <w:jc w:val="lef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联系人：</w:t>
      </w:r>
      <w:r>
        <w:rPr>
          <w:rFonts w:hint="eastAsia" w:ascii="仿宋" w:hAnsi="仿宋" w:eastAsia="仿宋" w:cs="仿宋"/>
          <w:color w:val="000000"/>
          <w:kern w:val="0"/>
          <w:sz w:val="24"/>
          <w:szCs w:val="24"/>
          <w:lang w:eastAsia="zh-CN"/>
        </w:rPr>
        <w:t>侯女士</w:t>
      </w:r>
      <w:r>
        <w:rPr>
          <w:rFonts w:hint="eastAsia" w:ascii="仿宋" w:hAnsi="仿宋" w:eastAsia="仿宋" w:cs="仿宋"/>
          <w:color w:val="000000"/>
          <w:kern w:val="0"/>
          <w:sz w:val="24"/>
          <w:szCs w:val="24"/>
        </w:rPr>
        <w:t xml:space="preserve">  联系电话：0374-2077111</w:t>
      </w:r>
    </w:p>
    <w:p>
      <w:pPr>
        <w:keepNext w:val="0"/>
        <w:keepLines w:val="0"/>
        <w:pageBreakBefore w:val="0"/>
        <w:widowControl/>
        <w:shd w:val="clear" w:color="auto" w:fill="FFFFFF"/>
        <w:kinsoku/>
        <w:overflowPunct/>
        <w:bidi w:val="0"/>
        <w:spacing w:line="420" w:lineRule="exact"/>
        <w:ind w:left="481"/>
        <w:jc w:val="left"/>
        <w:textAlignment w:val="auto"/>
        <w:rPr>
          <w:rFonts w:hint="eastAsia" w:ascii="仿宋" w:hAnsi="仿宋" w:eastAsia="仿宋" w:cs="仿宋"/>
          <w:sz w:val="24"/>
          <w:szCs w:val="24"/>
          <w:lang w:eastAsia="zh-CN"/>
        </w:rPr>
      </w:pPr>
      <w:r>
        <w:rPr>
          <w:rFonts w:hint="eastAsia" w:ascii="仿宋" w:hAnsi="仿宋" w:eastAsia="仿宋" w:cs="仿宋"/>
          <w:color w:val="000000"/>
          <w:kern w:val="0"/>
          <w:sz w:val="24"/>
          <w:szCs w:val="24"/>
        </w:rPr>
        <w:t>（二）采购单位：</w:t>
      </w:r>
      <w:r>
        <w:rPr>
          <w:rFonts w:hint="eastAsia" w:ascii="仿宋" w:hAnsi="仿宋" w:eastAsia="仿宋" w:cs="仿宋"/>
          <w:sz w:val="24"/>
          <w:szCs w:val="24"/>
        </w:rPr>
        <w:t>禹州市</w:t>
      </w:r>
      <w:r>
        <w:rPr>
          <w:rFonts w:hint="eastAsia" w:ascii="仿宋" w:hAnsi="仿宋" w:eastAsia="仿宋" w:cs="仿宋"/>
          <w:sz w:val="24"/>
          <w:szCs w:val="24"/>
          <w:lang w:eastAsia="zh-CN"/>
        </w:rPr>
        <w:t>公安消防大队</w:t>
      </w:r>
    </w:p>
    <w:p>
      <w:pPr>
        <w:keepNext w:val="0"/>
        <w:keepLines w:val="0"/>
        <w:pageBreakBefore w:val="0"/>
        <w:kinsoku/>
        <w:overflowPunct/>
        <w:bidi w:val="0"/>
        <w:spacing w:line="420" w:lineRule="exact"/>
        <w:ind w:firstLine="480" w:firstLineChars="200"/>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地址：禹州市</w:t>
      </w:r>
      <w:r>
        <w:rPr>
          <w:rFonts w:hint="eastAsia" w:ascii="仿宋" w:hAnsi="仿宋" w:eastAsia="仿宋" w:cs="仿宋"/>
          <w:color w:val="000000"/>
          <w:kern w:val="0"/>
          <w:sz w:val="24"/>
          <w:szCs w:val="24"/>
          <w:lang w:eastAsia="zh-CN"/>
        </w:rPr>
        <w:t>禹王大道西段</w:t>
      </w:r>
    </w:p>
    <w:p>
      <w:pPr>
        <w:keepNext w:val="0"/>
        <w:keepLines w:val="0"/>
        <w:pageBreakBefore w:val="0"/>
        <w:kinsoku/>
        <w:overflowPunct/>
        <w:bidi w:val="0"/>
        <w:spacing w:line="420" w:lineRule="exact"/>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color w:val="000000"/>
          <w:kern w:val="0"/>
          <w:sz w:val="24"/>
          <w:szCs w:val="24"/>
        </w:rPr>
        <w:t>联系人：</w:t>
      </w:r>
      <w:r>
        <w:rPr>
          <w:rFonts w:hint="eastAsia" w:ascii="仿宋" w:hAnsi="仿宋" w:eastAsia="仿宋" w:cs="仿宋"/>
          <w:color w:val="000000"/>
          <w:kern w:val="0"/>
          <w:sz w:val="24"/>
          <w:szCs w:val="24"/>
          <w:lang w:eastAsia="zh-CN"/>
        </w:rPr>
        <w:t>王先生</w:t>
      </w:r>
      <w:r>
        <w:rPr>
          <w:rFonts w:hint="eastAsia" w:ascii="仿宋" w:hAnsi="仿宋" w:eastAsia="仿宋" w:cs="仿宋"/>
          <w:color w:val="000000"/>
          <w:kern w:val="0"/>
          <w:sz w:val="24"/>
          <w:szCs w:val="24"/>
        </w:rPr>
        <w:t>   联系电话：</w:t>
      </w:r>
      <w:r>
        <w:rPr>
          <w:rFonts w:hint="eastAsia" w:ascii="仿宋" w:hAnsi="仿宋" w:eastAsia="仿宋" w:cs="仿宋"/>
          <w:color w:val="000000"/>
          <w:kern w:val="0"/>
          <w:sz w:val="24"/>
          <w:szCs w:val="24"/>
          <w:lang w:val="en-US" w:eastAsia="zh-CN"/>
        </w:rPr>
        <w:t>13782211171</w:t>
      </w:r>
    </w:p>
    <w:p>
      <w:pPr>
        <w:keepNext w:val="0"/>
        <w:keepLines w:val="0"/>
        <w:pageBreakBefore w:val="0"/>
        <w:kinsoku/>
        <w:overflowPunct/>
        <w:bidi w:val="0"/>
        <w:spacing w:line="420" w:lineRule="exact"/>
        <w:ind w:firstLine="2640" w:firstLineChars="1100"/>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p>
    <w:p>
      <w:pPr>
        <w:keepNext w:val="0"/>
        <w:keepLines w:val="0"/>
        <w:pageBreakBefore w:val="0"/>
        <w:kinsoku/>
        <w:overflowPunct/>
        <w:bidi w:val="0"/>
        <w:spacing w:line="420" w:lineRule="exact"/>
        <w:ind w:firstLine="2640" w:firstLineChars="1100"/>
        <w:textAlignment w:val="auto"/>
        <w:rPr>
          <w:rFonts w:hint="eastAsia" w:ascii="仿宋" w:hAnsi="仿宋" w:eastAsia="仿宋" w:cs="仿宋"/>
          <w:sz w:val="24"/>
          <w:szCs w:val="24"/>
        </w:rPr>
      </w:pPr>
    </w:p>
    <w:p>
      <w:pPr>
        <w:keepNext w:val="0"/>
        <w:keepLines w:val="0"/>
        <w:pageBreakBefore w:val="0"/>
        <w:kinsoku/>
        <w:overflowPunct/>
        <w:bidi w:val="0"/>
        <w:spacing w:line="420" w:lineRule="exact"/>
        <w:ind w:firstLine="4080" w:firstLineChars="1700"/>
        <w:textAlignment w:val="auto"/>
        <w:rPr>
          <w:rFonts w:ascii="仿宋" w:hAnsi="仿宋" w:eastAsia="仿宋" w:cs="Arial"/>
          <w:color w:val="000000"/>
          <w:kern w:val="0"/>
          <w:sz w:val="24"/>
          <w:szCs w:val="24"/>
        </w:rPr>
      </w:pPr>
      <w:r>
        <w:rPr>
          <w:rFonts w:hint="eastAsia" w:ascii="仿宋" w:hAnsi="仿宋" w:eastAsia="仿宋" w:cs="仿宋"/>
          <w:sz w:val="24"/>
          <w:szCs w:val="24"/>
        </w:rPr>
        <w:t xml:space="preserve">2019年 </w:t>
      </w:r>
      <w:r>
        <w:rPr>
          <w:rFonts w:hint="eastAsia" w:ascii="仿宋" w:hAnsi="仿宋" w:eastAsia="仿宋" w:cs="仿宋"/>
          <w:sz w:val="24"/>
          <w:szCs w:val="24"/>
          <w:lang w:val="en-US" w:eastAsia="zh-CN"/>
        </w:rPr>
        <w:t>11</w:t>
      </w:r>
      <w:r>
        <w:rPr>
          <w:rFonts w:hint="eastAsia" w:ascii="仿宋" w:hAnsi="仿宋" w:eastAsia="仿宋" w:cs="仿宋"/>
          <w:sz w:val="24"/>
          <w:szCs w:val="24"/>
        </w:rPr>
        <w:t>月</w:t>
      </w:r>
      <w:r>
        <w:rPr>
          <w:rFonts w:hint="eastAsia" w:ascii="仿宋" w:hAnsi="仿宋" w:eastAsia="仿宋" w:cs="仿宋"/>
          <w:sz w:val="24"/>
          <w:szCs w:val="24"/>
          <w:lang w:val="en-US" w:eastAsia="zh-CN"/>
        </w:rPr>
        <w:t>15</w:t>
      </w:r>
      <w:r>
        <w:rPr>
          <w:rFonts w:hint="eastAsia" w:ascii="仿宋" w:hAnsi="仿宋" w:eastAsia="仿宋" w:cs="仿宋"/>
          <w:sz w:val="24"/>
          <w:szCs w:val="24"/>
        </w:rPr>
        <w:t>日</w:t>
      </w:r>
    </w:p>
    <w:p>
      <w:pPr>
        <w:spacing w:line="600" w:lineRule="exact"/>
        <w:jc w:val="center"/>
        <w:rPr>
          <w:rFonts w:hint="eastAsia"/>
          <w:b/>
          <w:bCs/>
          <w:sz w:val="24"/>
          <w:szCs w:val="24"/>
          <w:lang w:eastAsia="zh-CN"/>
        </w:rPr>
      </w:pPr>
    </w:p>
    <w:p>
      <w:pPr>
        <w:spacing w:line="600" w:lineRule="exact"/>
        <w:jc w:val="center"/>
        <w:rPr>
          <w:rFonts w:hint="eastAsia"/>
          <w:b/>
          <w:bCs/>
          <w:sz w:val="24"/>
          <w:szCs w:val="24"/>
          <w:lang w:eastAsia="zh-CN"/>
        </w:rPr>
      </w:pPr>
    </w:p>
    <w:p>
      <w:pPr>
        <w:spacing w:line="360" w:lineRule="auto"/>
        <w:rPr>
          <w:rFonts w:hint="eastAsia" w:hAnsi="宋体"/>
          <w:b/>
          <w:sz w:val="28"/>
          <w:szCs w:val="28"/>
        </w:rPr>
      </w:pPr>
    </w:p>
    <w:p>
      <w:pPr>
        <w:spacing w:line="360" w:lineRule="auto"/>
        <w:rPr>
          <w:rFonts w:hAnsi="宋体"/>
          <w:b/>
          <w:sz w:val="28"/>
          <w:szCs w:val="28"/>
        </w:rPr>
      </w:pPr>
      <w:r>
        <w:rPr>
          <w:rFonts w:hint="eastAsia" w:hAnsi="宋体"/>
          <w:b/>
          <w:sz w:val="28"/>
          <w:szCs w:val="28"/>
        </w:rPr>
        <w:t>温馨提示：</w:t>
      </w:r>
    </w:p>
    <w:p>
      <w:pPr>
        <w:spacing w:line="360" w:lineRule="auto"/>
        <w:ind w:firstLine="562" w:firstLineChars="200"/>
        <w:rPr>
          <w:rFonts w:hAnsi="宋体"/>
          <w:b/>
          <w:sz w:val="28"/>
          <w:szCs w:val="28"/>
        </w:rPr>
      </w:pPr>
      <w:r>
        <w:rPr>
          <w:rFonts w:hint="eastAsia" w:hAnsi="宋体"/>
          <w:b/>
          <w:sz w:val="28"/>
          <w:szCs w:val="28"/>
        </w:rPr>
        <w:t>本项目为全流程电子化交易项目，请认真阅读谈判文件，并注意以下事项。</w:t>
      </w:r>
    </w:p>
    <w:p>
      <w:pPr>
        <w:pStyle w:val="2"/>
        <w:ind w:firstLine="320"/>
        <w:rPr>
          <w:rFonts w:ascii="仿宋_GB2312" w:eastAsia="仿宋_GB2312"/>
          <w:b/>
          <w:sz w:val="32"/>
          <w:szCs w:val="32"/>
        </w:rPr>
      </w:pP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1.</w:t>
      </w:r>
      <w:r>
        <w:rPr>
          <w:rFonts w:hint="eastAsia" w:hAnsi="宋体"/>
          <w:b/>
          <w:color w:val="000000"/>
          <w:szCs w:val="21"/>
        </w:rPr>
        <w:t>供应商应按谈判文件规定编制、提交电子响应文件和纸质响应文件。谈判响应文件递交地点、谈判现场不接受供应商递交的备份电子响应文件和纸质响应文件以外的其他资料。</w:t>
      </w: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2</w:t>
      </w:r>
      <w:r>
        <w:rPr>
          <w:rFonts w:asciiTheme="minorEastAsia" w:hAnsiTheme="minorEastAsia"/>
          <w:b/>
          <w:color w:val="000000"/>
          <w:szCs w:val="21"/>
        </w:rPr>
        <w:t>.</w:t>
      </w:r>
      <w:r>
        <w:rPr>
          <w:rFonts w:hint="eastAsia" w:hAnsi="宋体"/>
          <w:b/>
          <w:color w:val="000000"/>
          <w:szCs w:val="21"/>
        </w:rPr>
        <w:t>电子文件下载、制作、提交期间和谈判响应文件递交（</w:t>
      </w:r>
      <w:r>
        <w:rPr>
          <w:rFonts w:hint="eastAsia" w:hAnsi="宋体"/>
          <w:szCs w:val="21"/>
        </w:rPr>
        <w:t>电子响应文件的解密</w:t>
      </w:r>
      <w:r>
        <w:rPr>
          <w:rFonts w:hint="eastAsia" w:hAnsi="宋体"/>
          <w:b/>
          <w:color w:val="000000"/>
          <w:szCs w:val="21"/>
        </w:rPr>
        <w:t>）环节，供应商须使用</w:t>
      </w:r>
      <w:r>
        <w:rPr>
          <w:rFonts w:hAnsi="宋体"/>
          <w:b/>
          <w:color w:val="000000"/>
          <w:szCs w:val="21"/>
        </w:rPr>
        <w:t>CA数字证书</w:t>
      </w:r>
      <w:r>
        <w:rPr>
          <w:rFonts w:hint="eastAsia" w:hAnsi="宋体"/>
          <w:b/>
          <w:color w:val="000000"/>
          <w:szCs w:val="21"/>
        </w:rPr>
        <w:t>（证书须在有效期内）</w:t>
      </w:r>
      <w:r>
        <w:rPr>
          <w:rFonts w:hAnsi="宋体"/>
          <w:b/>
          <w:color w:val="000000"/>
          <w:szCs w:val="21"/>
        </w:rPr>
        <w:t>。</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3</w:t>
      </w:r>
      <w:r>
        <w:rPr>
          <w:rFonts w:hint="eastAsia" w:asciiTheme="minorEastAsia" w:hAnsiTheme="minorEastAsia"/>
          <w:b/>
          <w:color w:val="000000"/>
          <w:szCs w:val="21"/>
        </w:rPr>
        <w:t>.</w:t>
      </w:r>
      <w:r>
        <w:rPr>
          <w:rFonts w:hint="eastAsia" w:hAnsi="宋体"/>
          <w:b/>
          <w:color w:val="000000"/>
          <w:szCs w:val="21"/>
        </w:rPr>
        <w:t>电子响应文件的制作</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3</w:t>
      </w:r>
      <w:r>
        <w:rPr>
          <w:rFonts w:hint="eastAsia" w:asciiTheme="minorEastAsia" w:hAnsiTheme="minorEastAsia"/>
          <w:color w:val="000000"/>
          <w:szCs w:val="21"/>
        </w:rPr>
        <w:t>.1</w:t>
      </w:r>
      <w:r>
        <w:rPr>
          <w:rFonts w:hint="eastAsia" w:hAnsi="宋体"/>
          <w:color w:val="000000"/>
          <w:szCs w:val="21"/>
        </w:rPr>
        <w:t xml:space="preserve"> 供应商登录《全国公共资源交易平台</w:t>
      </w:r>
      <w:r>
        <w:rPr>
          <w:rFonts w:hint="eastAsia" w:asciiTheme="majorEastAsia" w:hAnsiTheme="majorEastAsia" w:eastAsiaTheme="majorEastAsia"/>
          <w:color w:val="000000"/>
          <w:szCs w:val="21"/>
        </w:rPr>
        <w:t>(</w:t>
      </w:r>
      <w:r>
        <w:rPr>
          <w:rFonts w:hint="eastAsia" w:hAnsi="宋体"/>
          <w:color w:val="000000"/>
          <w:szCs w:val="21"/>
        </w:rPr>
        <w:t>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asciiTheme="minorEastAsia" w:hAnsiTheme="minorEastAsia"/>
          <w:color w:val="000000"/>
          <w:szCs w:val="21"/>
        </w:rPr>
        <w:t>)</w:t>
      </w:r>
      <w:r>
        <w:rPr>
          <w:rFonts w:hint="eastAsia" w:hAnsi="宋体"/>
          <w:color w:val="000000"/>
          <w:szCs w:val="21"/>
        </w:rPr>
        <w:t>》公共资源交易系统（</w:t>
      </w:r>
      <w:r>
        <w:fldChar w:fldCharType="begin"/>
      </w:r>
      <w:r>
        <w:instrText xml:space="preserve"> HYPERLINK "http://221.14.6.70:8088/ggzy/" </w:instrText>
      </w:r>
      <w:r>
        <w:fldChar w:fldCharType="separate"/>
      </w:r>
      <w:r>
        <w:rPr>
          <w:rStyle w:val="28"/>
          <w:rFonts w:hAnsi="宋体"/>
          <w:szCs w:val="21"/>
        </w:rPr>
        <w:t>http://221.14.6.70:8088/ggzy/</w:t>
      </w:r>
      <w:r>
        <w:rPr>
          <w:rStyle w:val="28"/>
          <w:rFonts w:hAnsi="宋体"/>
          <w:szCs w:val="21"/>
        </w:rPr>
        <w:fldChar w:fldCharType="end"/>
      </w:r>
      <w:r>
        <w:rPr>
          <w:rFonts w:hint="eastAsia" w:hAnsi="宋体"/>
          <w:color w:val="000000"/>
          <w:szCs w:val="21"/>
        </w:rPr>
        <w:t>）下载“许昌投标文件制作系统SEARUN 最新版本”，按谈判文件要求制作电子响应文件。</w:t>
      </w:r>
    </w:p>
    <w:p>
      <w:pPr>
        <w:tabs>
          <w:tab w:val="left" w:pos="7095"/>
        </w:tabs>
        <w:spacing w:line="360" w:lineRule="auto"/>
        <w:ind w:firstLine="420" w:firstLineChars="200"/>
        <w:contextualSpacing/>
        <w:rPr>
          <w:rFonts w:hAnsi="宋体"/>
          <w:color w:val="000000"/>
          <w:szCs w:val="21"/>
        </w:rPr>
      </w:pPr>
      <w:r>
        <w:rPr>
          <w:rFonts w:hint="eastAsia" w:hAnsi="宋体"/>
          <w:color w:val="000000"/>
          <w:szCs w:val="21"/>
        </w:rPr>
        <w:t>电子响应文件的制作，参考《全国公共资源交易平台</w:t>
      </w:r>
      <w:r>
        <w:rPr>
          <w:rFonts w:hint="eastAsia" w:asciiTheme="minorEastAsia" w:hAnsiTheme="minorEastAsia"/>
          <w:color w:val="000000"/>
          <w:szCs w:val="21"/>
        </w:rPr>
        <w:t>(</w:t>
      </w:r>
      <w:r>
        <w:rPr>
          <w:rFonts w:hint="eastAsia" w:hAnsi="宋体"/>
          <w:color w:val="000000"/>
          <w:szCs w:val="21"/>
        </w:rPr>
        <w:t>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asciiTheme="minorEastAsia" w:hAnsiTheme="minorEastAsia"/>
          <w:color w:val="000000"/>
          <w:szCs w:val="21"/>
        </w:rPr>
        <w:t>)</w:t>
      </w:r>
      <w:r>
        <w:rPr>
          <w:rFonts w:hint="eastAsia" w:hAnsi="宋体"/>
          <w:color w:val="000000"/>
          <w:szCs w:val="21"/>
        </w:rPr>
        <w:t>》公共资源交易系统——组件下载——交易系统操作手册（投标人、供应商）。</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3</w:t>
      </w:r>
      <w:r>
        <w:rPr>
          <w:rFonts w:hint="eastAsia" w:asciiTheme="minorEastAsia" w:hAnsiTheme="minorEastAsia"/>
          <w:color w:val="000000"/>
          <w:szCs w:val="21"/>
        </w:rPr>
        <w:t>.</w:t>
      </w:r>
      <w:r>
        <w:rPr>
          <w:rFonts w:asciiTheme="minorEastAsia" w:hAnsiTheme="minorEastAsia"/>
          <w:color w:val="000000"/>
          <w:szCs w:val="21"/>
        </w:rPr>
        <w:t>2</w:t>
      </w:r>
      <w:r>
        <w:rPr>
          <w:rFonts w:hint="eastAsia" w:hAnsi="宋体"/>
          <w:color w:val="000000"/>
          <w:szCs w:val="21"/>
        </w:rPr>
        <w:t xml:space="preserve"> 供应商须将谈判文件要求的资质、业绩、荣誉及相关人员证明材料等资料原件扫描件（或图片）制作到所提交的电子响应文件中。</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3.3</w:t>
      </w:r>
      <w:r>
        <w:rPr>
          <w:rFonts w:hint="eastAsia" w:hAnsi="宋体"/>
          <w:color w:val="000000"/>
          <w:szCs w:val="21"/>
        </w:rPr>
        <w:t>供应商对同一项目多个标段进行报价的，应分别下载所响应标段的谈判文件，按标段制作电子响应文件，并</w:t>
      </w:r>
      <w:r>
        <w:rPr>
          <w:rFonts w:hAnsi="宋体"/>
          <w:color w:val="000000"/>
          <w:szCs w:val="21"/>
        </w:rPr>
        <w:t>按</w:t>
      </w:r>
      <w:r>
        <w:rPr>
          <w:rFonts w:hint="eastAsia" w:hAnsi="宋体"/>
          <w:color w:val="000000"/>
          <w:szCs w:val="21"/>
        </w:rPr>
        <w:t>谈判</w:t>
      </w:r>
      <w:r>
        <w:rPr>
          <w:rFonts w:hAnsi="宋体"/>
          <w:color w:val="000000"/>
          <w:szCs w:val="21"/>
        </w:rPr>
        <w:t>文件要求在相应位置加盖</w:t>
      </w:r>
      <w:r>
        <w:rPr>
          <w:rFonts w:hint="eastAsia" w:hAnsi="宋体"/>
          <w:color w:val="000000"/>
          <w:szCs w:val="21"/>
        </w:rPr>
        <w:t>供应商</w:t>
      </w:r>
      <w:r>
        <w:rPr>
          <w:rFonts w:hAnsi="宋体"/>
          <w:color w:val="000000"/>
          <w:szCs w:val="21"/>
        </w:rPr>
        <w:t>电子印章</w:t>
      </w:r>
      <w:r>
        <w:rPr>
          <w:rFonts w:hint="eastAsia" w:hAnsi="宋体"/>
          <w:color w:val="000000"/>
          <w:szCs w:val="21"/>
        </w:rPr>
        <w:t>和法人电子印章。</w:t>
      </w:r>
    </w:p>
    <w:p>
      <w:pPr>
        <w:tabs>
          <w:tab w:val="left" w:pos="7095"/>
        </w:tabs>
        <w:spacing w:line="360" w:lineRule="auto"/>
        <w:ind w:left="105" w:leftChars="50" w:firstLine="315" w:firstLineChars="150"/>
        <w:contextualSpacing/>
        <w:rPr>
          <w:rFonts w:hAnsi="宋体"/>
          <w:color w:val="000000"/>
          <w:szCs w:val="21"/>
        </w:rPr>
      </w:pPr>
      <w:r>
        <w:rPr>
          <w:rFonts w:hint="eastAsia" w:hAnsi="宋体"/>
          <w:color w:val="000000"/>
          <w:szCs w:val="21"/>
        </w:rPr>
        <w:t>一个标段对应生成一个文件夹（xxxx项目xx标段）, 其中包含2个文件和1个文件夹。后缀名为“</w:t>
      </w:r>
      <w:r>
        <w:rPr>
          <w:rFonts w:hAnsi="宋体"/>
          <w:color w:val="000000"/>
          <w:szCs w:val="21"/>
        </w:rPr>
        <w:t>.file</w:t>
      </w:r>
      <w:r>
        <w:rPr>
          <w:rFonts w:hint="eastAsia" w:hAnsi="宋体"/>
          <w:color w:val="000000"/>
          <w:szCs w:val="21"/>
        </w:rPr>
        <w:t>”的文件用于电子响应使用，后缀名为“.PDF”的文件用于打印纸质响应文件，名称为“备份”的文件夹使用电子介质存储，供谈判响应文件递交现场备用。</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4</w:t>
      </w:r>
      <w:r>
        <w:rPr>
          <w:rFonts w:hint="eastAsia" w:asciiTheme="minorEastAsia" w:hAnsiTheme="minorEastAsia"/>
          <w:b/>
          <w:color w:val="000000"/>
          <w:szCs w:val="21"/>
        </w:rPr>
        <w:t>.加密</w:t>
      </w:r>
      <w:r>
        <w:rPr>
          <w:rFonts w:hint="eastAsia" w:hAnsi="宋体"/>
          <w:b/>
          <w:color w:val="000000"/>
          <w:szCs w:val="21"/>
        </w:rPr>
        <w:t>电子响应文件的提交</w:t>
      </w:r>
    </w:p>
    <w:p>
      <w:pPr>
        <w:tabs>
          <w:tab w:val="left" w:pos="7095"/>
        </w:tabs>
        <w:spacing w:line="360" w:lineRule="auto"/>
        <w:contextualSpacing/>
        <w:rPr>
          <w:rFonts w:hAnsi="宋体"/>
          <w:color w:val="000000"/>
          <w:szCs w:val="21"/>
        </w:rPr>
      </w:pPr>
      <w:r>
        <w:rPr>
          <w:rFonts w:asciiTheme="minorEastAsia" w:hAnsiTheme="minorEastAsia"/>
          <w:color w:val="000000"/>
          <w:szCs w:val="21"/>
        </w:rPr>
        <w:t>4</w:t>
      </w:r>
      <w:r>
        <w:rPr>
          <w:rFonts w:hint="eastAsia" w:asciiTheme="minorEastAsia" w:hAnsiTheme="minorEastAsia"/>
          <w:color w:val="000000"/>
          <w:szCs w:val="21"/>
        </w:rPr>
        <w:t>.1加密</w:t>
      </w:r>
      <w:r>
        <w:rPr>
          <w:rFonts w:hint="eastAsia" w:hAnsi="宋体"/>
          <w:color w:val="000000"/>
          <w:szCs w:val="21"/>
        </w:rPr>
        <w:t>电子响应文件应在谈判文件规定的谈判响应截止时间（谈判时间）之前成功提交至《全国公共资源交易平台(河南省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hAnsi="宋体"/>
          <w:color w:val="000000"/>
          <w:szCs w:val="21"/>
        </w:rPr>
        <w:t>)》公共资源交易系统（</w:t>
      </w:r>
      <w:r>
        <w:fldChar w:fldCharType="begin"/>
      </w:r>
      <w:r>
        <w:instrText xml:space="preserve"> HYPERLINK "http://221.14.6.70:8088/ggzy/" </w:instrText>
      </w:r>
      <w:r>
        <w:fldChar w:fldCharType="separate"/>
      </w:r>
      <w:r>
        <w:rPr>
          <w:rStyle w:val="28"/>
          <w:rFonts w:hAnsi="宋体"/>
          <w:szCs w:val="21"/>
        </w:rPr>
        <w:t>http://221.14.6.70:8088/ggzy/</w:t>
      </w:r>
      <w:r>
        <w:rPr>
          <w:rStyle w:val="28"/>
          <w:rFonts w:hAnsi="宋体"/>
          <w:szCs w:val="21"/>
        </w:rPr>
        <w:fldChar w:fldCharType="end"/>
      </w:r>
      <w:r>
        <w:rPr>
          <w:rFonts w:hint="eastAsia" w:hAnsi="宋体"/>
          <w:color w:val="000000"/>
          <w:szCs w:val="21"/>
        </w:rPr>
        <w:t>）。</w:t>
      </w:r>
    </w:p>
    <w:p>
      <w:pPr>
        <w:tabs>
          <w:tab w:val="left" w:pos="7095"/>
        </w:tabs>
        <w:spacing w:line="360" w:lineRule="auto"/>
        <w:ind w:firstLine="420" w:firstLineChars="200"/>
        <w:contextualSpacing/>
        <w:rPr>
          <w:rFonts w:hAnsi="宋体"/>
          <w:color w:val="000000"/>
          <w:szCs w:val="21"/>
        </w:rPr>
      </w:pPr>
      <w:r>
        <w:rPr>
          <w:rFonts w:hint="eastAsia" w:hAnsi="宋体"/>
          <w:color w:val="000000"/>
          <w:szCs w:val="21"/>
        </w:rPr>
        <w:t>供应商应充分考虑并预留技术处理和上传数据所需时间。</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4.</w:t>
      </w:r>
      <w:r>
        <w:rPr>
          <w:rFonts w:hint="eastAsia" w:asciiTheme="minorEastAsia" w:hAnsiTheme="minorEastAsia"/>
          <w:color w:val="000000"/>
          <w:szCs w:val="21"/>
        </w:rPr>
        <w:t xml:space="preserve">2 </w:t>
      </w:r>
      <w:r>
        <w:rPr>
          <w:rFonts w:hint="eastAsia" w:hAnsi="宋体"/>
          <w:color w:val="000000"/>
          <w:szCs w:val="21"/>
        </w:rPr>
        <w:t>供应商对同一项目多个标段进行报价的，加密电子响应文件应按标段分别提交。</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4</w:t>
      </w:r>
      <w:r>
        <w:rPr>
          <w:rFonts w:hint="eastAsia" w:asciiTheme="minorEastAsia" w:hAnsiTheme="minorEastAsia"/>
          <w:color w:val="000000"/>
          <w:szCs w:val="21"/>
        </w:rPr>
        <w:t>.</w:t>
      </w:r>
      <w:r>
        <w:rPr>
          <w:rFonts w:asciiTheme="minorEastAsia" w:hAnsiTheme="minorEastAsia"/>
          <w:color w:val="000000"/>
          <w:szCs w:val="21"/>
        </w:rPr>
        <w:t>3</w:t>
      </w:r>
      <w:r>
        <w:rPr>
          <w:rFonts w:hint="eastAsia" w:asciiTheme="minorEastAsia" w:hAnsiTheme="minorEastAsia"/>
          <w:color w:val="000000"/>
          <w:szCs w:val="21"/>
        </w:rPr>
        <w:t xml:space="preserve"> 加密</w:t>
      </w:r>
      <w:r>
        <w:rPr>
          <w:rFonts w:hint="eastAsia" w:hAnsi="宋体"/>
          <w:color w:val="000000"/>
          <w:szCs w:val="21"/>
        </w:rPr>
        <w:t>电子响应文件成功提交后，供应商应打印“投标文件提交回执单”供谈判响应文件递交现场备查。</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5</w:t>
      </w:r>
      <w:r>
        <w:rPr>
          <w:rFonts w:hint="eastAsia" w:asciiTheme="minorEastAsia" w:hAnsiTheme="minorEastAsia"/>
          <w:b/>
          <w:color w:val="000000"/>
          <w:szCs w:val="21"/>
        </w:rPr>
        <w:t>.</w:t>
      </w:r>
      <w:r>
        <w:rPr>
          <w:rFonts w:hint="eastAsia" w:hAnsi="宋体"/>
          <w:b/>
          <w:color w:val="000000"/>
          <w:szCs w:val="21"/>
        </w:rPr>
        <w:t>评审依据</w:t>
      </w:r>
    </w:p>
    <w:p>
      <w:pPr>
        <w:tabs>
          <w:tab w:val="left" w:pos="7095"/>
        </w:tabs>
        <w:spacing w:line="360" w:lineRule="auto"/>
        <w:ind w:firstLine="420" w:firstLineChars="200"/>
        <w:contextualSpacing/>
        <w:rPr>
          <w:rFonts w:hAnsi="宋体"/>
          <w:color w:val="000000"/>
          <w:szCs w:val="21"/>
        </w:rPr>
      </w:pPr>
      <w:r>
        <w:rPr>
          <w:rFonts w:hint="eastAsia" w:asciiTheme="minorEastAsia" w:hAnsiTheme="minorEastAsia"/>
          <w:color w:val="000000"/>
          <w:szCs w:val="21"/>
        </w:rPr>
        <w:t>5.1</w:t>
      </w:r>
      <w:r>
        <w:rPr>
          <w:rFonts w:hint="eastAsia" w:hAnsi="宋体"/>
          <w:color w:val="000000"/>
          <w:szCs w:val="21"/>
        </w:rPr>
        <w:t>采用全流程电子化交易评审时，谈判小组以电子响应文件为依据评审。</w:t>
      </w:r>
    </w:p>
    <w:p>
      <w:pPr>
        <w:tabs>
          <w:tab w:val="left" w:pos="7095"/>
        </w:tabs>
        <w:spacing w:line="360" w:lineRule="auto"/>
        <w:ind w:firstLine="420" w:firstLineChars="200"/>
        <w:contextualSpacing/>
        <w:rPr>
          <w:rFonts w:hAnsi="宋体"/>
          <w:color w:val="000000"/>
          <w:szCs w:val="21"/>
        </w:rPr>
      </w:pPr>
      <w:r>
        <w:rPr>
          <w:rFonts w:hint="eastAsia" w:asciiTheme="minorEastAsia" w:hAnsiTheme="minorEastAsia"/>
          <w:color w:val="000000"/>
          <w:szCs w:val="21"/>
        </w:rPr>
        <w:t>5.2</w:t>
      </w:r>
      <w:r>
        <w:rPr>
          <w:rFonts w:hint="eastAsia" w:hAnsi="宋体"/>
          <w:color w:val="000000"/>
          <w:szCs w:val="21"/>
        </w:rPr>
        <w:t>全流程电子化交易如因系统异常情况无法完成，将以人工方式进行。谈判小组以纸质响应文件为依据评审。</w:t>
      </w: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jc w:val="center"/>
        <w:rPr>
          <w:rFonts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sectPr>
          <w:footerReference r:id="rId3" w:type="default"/>
          <w:pgSz w:w="11906" w:h="16838"/>
          <w:pgMar w:top="2098" w:right="1474" w:bottom="1928" w:left="1588" w:header="851" w:footer="992" w:gutter="0"/>
          <w:cols w:space="425" w:num="1"/>
          <w:docGrid w:type="lines" w:linePitch="312" w:charSpace="0"/>
        </w:sectPr>
      </w:pPr>
    </w:p>
    <w:p>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第二章 采购需求</w:t>
      </w:r>
    </w:p>
    <w:p>
      <w:pPr>
        <w:rPr>
          <w:rFonts w:cs="宋体" w:asciiTheme="majorEastAsia" w:hAnsiTheme="majorEastAsia" w:eastAsiaTheme="majorEastAsia"/>
          <w:b/>
          <w:kern w:val="0"/>
          <w:sz w:val="32"/>
          <w:szCs w:val="32"/>
        </w:rPr>
      </w:pPr>
    </w:p>
    <w:p>
      <w:pPr>
        <w:widowControl/>
        <w:numPr>
          <w:ilvl w:val="0"/>
          <w:numId w:val="7"/>
        </w:numPr>
        <w:shd w:val="clear" w:color="auto" w:fill="FFFFFF"/>
        <w:spacing w:line="360" w:lineRule="auto"/>
        <w:ind w:firstLine="482" w:firstLineChars="200"/>
        <w:contextualSpacing/>
        <w:jc w:val="left"/>
        <w:rPr>
          <w:rFonts w:hint="eastAsia" w:ascii="新宋体" w:hAnsi="新宋体" w:eastAsia="新宋体" w:cs="新宋体"/>
          <w:b/>
          <w:bCs/>
          <w:color w:val="000000"/>
          <w:sz w:val="24"/>
          <w:szCs w:val="24"/>
          <w:shd w:val="clear" w:color="auto" w:fill="FFFFFF"/>
          <w:lang w:eastAsia="zh-CN"/>
        </w:rPr>
      </w:pPr>
      <w:r>
        <w:rPr>
          <w:rFonts w:hint="eastAsia" w:ascii="新宋体" w:hAnsi="新宋体" w:eastAsia="新宋体" w:cs="新宋体"/>
          <w:b/>
          <w:bCs/>
          <w:color w:val="000000"/>
          <w:sz w:val="24"/>
          <w:szCs w:val="24"/>
          <w:shd w:val="clear" w:color="auto" w:fill="FFFFFF"/>
        </w:rPr>
        <w:t>本项目需实现的功能或者目标</w:t>
      </w:r>
      <w:r>
        <w:rPr>
          <w:rFonts w:hint="eastAsia" w:ascii="新宋体" w:hAnsi="新宋体" w:eastAsia="新宋体" w:cs="新宋体"/>
          <w:b/>
          <w:bCs/>
          <w:color w:val="000000"/>
          <w:sz w:val="24"/>
          <w:szCs w:val="24"/>
          <w:shd w:val="clear" w:color="auto" w:fill="FFFFFF"/>
          <w:lang w:val="en-US" w:eastAsia="zh-CN"/>
        </w:rPr>
        <w:t>:</w:t>
      </w:r>
      <w:r>
        <w:rPr>
          <w:rFonts w:hint="eastAsia" w:ascii="新宋体" w:hAnsi="新宋体" w:eastAsia="新宋体" w:cs="新宋体"/>
          <w:b w:val="0"/>
          <w:bCs w:val="0"/>
          <w:color w:val="000000"/>
          <w:sz w:val="24"/>
          <w:szCs w:val="24"/>
          <w:shd w:val="clear" w:color="auto" w:fill="FFFFFF"/>
          <w:lang w:val="en-US" w:eastAsia="zh-CN"/>
        </w:rPr>
        <w:t>满足办公需求，本次采购所要求物品务必按照采购要求进行供货，严禁以次充好，必须围绕采购要求达到战士日常所需。</w:t>
      </w:r>
    </w:p>
    <w:p>
      <w:pPr>
        <w:widowControl/>
        <w:numPr>
          <w:ilvl w:val="0"/>
          <w:numId w:val="7"/>
        </w:numPr>
        <w:spacing w:line="500" w:lineRule="exact"/>
        <w:ind w:left="0" w:leftChars="0" w:firstLine="482" w:firstLineChars="200"/>
        <w:jc w:val="left"/>
        <w:rPr>
          <w:rFonts w:hint="eastAsia" w:ascii="新宋体" w:hAnsi="新宋体" w:eastAsia="新宋体" w:cs="新宋体"/>
          <w:b/>
          <w:bCs/>
          <w:color w:val="000000"/>
          <w:sz w:val="24"/>
          <w:szCs w:val="24"/>
          <w:shd w:val="clear" w:color="auto" w:fill="FFFFFF"/>
          <w:lang w:eastAsia="zh-CN"/>
        </w:rPr>
      </w:pPr>
      <w:r>
        <w:rPr>
          <w:rFonts w:hint="eastAsia" w:ascii="新宋体" w:hAnsi="新宋体" w:eastAsia="新宋体" w:cs="新宋体"/>
          <w:b/>
          <w:bCs/>
          <w:color w:val="000000"/>
          <w:sz w:val="24"/>
          <w:szCs w:val="24"/>
          <w:shd w:val="clear" w:color="auto" w:fill="FFFFFF"/>
          <w:lang w:eastAsia="zh-CN"/>
        </w:rPr>
        <w:t>采购内容：</w:t>
      </w:r>
    </w:p>
    <w:tbl>
      <w:tblPr>
        <w:tblStyle w:val="23"/>
        <w:tblW w:w="133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99"/>
        <w:gridCol w:w="963"/>
        <w:gridCol w:w="2067"/>
        <w:gridCol w:w="585"/>
        <w:gridCol w:w="5190"/>
        <w:gridCol w:w="3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391"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序号</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名称</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项目</w:t>
            </w:r>
          </w:p>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cs="宋体"/>
                <w:i w:val="0"/>
                <w:color w:val="000000"/>
                <w:sz w:val="28"/>
                <w:szCs w:val="28"/>
                <w:u w:val="none"/>
                <w:lang w:val="en-US" w:eastAsia="zh-CN"/>
              </w:rPr>
              <w:t>规格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数量</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技术参数要求</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cs="宋体"/>
                <w:i w:val="0"/>
                <w:color w:val="000000"/>
                <w:kern w:val="0"/>
                <w:sz w:val="28"/>
                <w:szCs w:val="28"/>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办公桌</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1600*800*760mm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4</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1、面材：采用优质天然胡桃木木皮饰面，厚度≥0.6mm；无腐朽、裂纹、虫眼、夹皮、变色等缺陷；</w:t>
            </w:r>
            <w:r>
              <w:rPr>
                <w:rFonts w:hint="eastAsia"/>
              </w:rPr>
              <w:br w:type="textWrapping"/>
            </w:r>
            <w:r>
              <w:rPr>
                <w:rFonts w:hint="eastAsia"/>
              </w:rPr>
              <w:t>2、封边：采用优质实木封边（实木厚度≥3CM)，木纹纹理协调一致，无色差；</w:t>
            </w:r>
            <w:r>
              <w:rPr>
                <w:rFonts w:hint="eastAsia"/>
              </w:rPr>
              <w:br w:type="textWrapping"/>
            </w:r>
            <w:r>
              <w:rPr>
                <w:rFonts w:hint="eastAsia"/>
              </w:rPr>
              <w:t>3、基材：采用优质中密度板，符合GB/T11718-2009标准。经防虫、防腐等化学处理，木材含水率3-13%，甲醛释放量＜3mg/100g；</w:t>
            </w:r>
            <w:r>
              <w:rPr>
                <w:rFonts w:hint="eastAsia"/>
              </w:rPr>
              <w:br w:type="textWrapping"/>
            </w:r>
            <w:r>
              <w:rPr>
                <w:rFonts w:hint="eastAsia"/>
              </w:rPr>
              <w:t>4、油漆：采用优质环保油漆，符合GB 18581-2009标准，苯含量≤0.1%，甲苯、二甲苯、乙苯含量总和≤20%；</w:t>
            </w:r>
            <w:r>
              <w:rPr>
                <w:rFonts w:hint="eastAsia"/>
              </w:rPr>
              <w:br w:type="textWrapping"/>
            </w:r>
            <w:r>
              <w:rPr>
                <w:rFonts w:hint="eastAsia"/>
              </w:rPr>
              <w:t>5、五金：采用优质五金配件，五金配件紧密拼接，牢固，间隙细小且均匀，平整无毛刺。</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2259965" cy="1697990"/>
                  <wp:effectExtent l="0" t="0" r="6985" b="16510"/>
                  <wp:docPr id="45" name="图片 45" descr="29f47b539dd197ae6861d0c62bab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9f47b539dd197ae6861d0c62bab5bd"/>
                          <pic:cNvPicPr>
                            <a:picLocks noChangeAspect="1"/>
                          </pic:cNvPicPr>
                        </pic:nvPicPr>
                        <pic:blipFill>
                          <a:blip r:embed="rId5"/>
                          <a:stretch>
                            <a:fillRect/>
                          </a:stretch>
                        </pic:blipFill>
                        <pic:spPr>
                          <a:xfrm>
                            <a:off x="0" y="0"/>
                            <a:ext cx="2259965" cy="1697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85"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2</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办公椅</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bookmarkStart w:id="83" w:name="_GoBack"/>
            <w:bookmarkEnd w:id="83"/>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4</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1.面材：采用优质牛皮，纹路细致均匀，色泽柔软有弹性，无异味其光泽好，透气性强。</w:t>
            </w:r>
            <w:r>
              <w:rPr>
                <w:rFonts w:hint="eastAsia"/>
              </w:rPr>
              <w:br w:type="textWrapping"/>
            </w:r>
            <w:r>
              <w:rPr>
                <w:rFonts w:hint="eastAsia"/>
              </w:rPr>
              <w:t>2.海绵：采用高弹性成型泡棉，采用优质海绵，拉伸强度≥110kPa，伸长率≥140%，回弹率≥55%，撕裂强度≥2.8N/cm，干热老化后拉伸强度≥110kPa，湿热老化后拉伸强度≥150kPa</w:t>
            </w:r>
            <w:r>
              <w:rPr>
                <w:rFonts w:hint="eastAsia"/>
                <w:lang w:eastAsia="zh-CN"/>
              </w:rPr>
              <w:t>；采用环保喷胶粘合</w:t>
            </w:r>
            <w:r>
              <w:rPr>
                <w:rFonts w:hint="eastAsia"/>
              </w:rPr>
              <w:t xml:space="preserve">。                             </w:t>
            </w:r>
            <w:r>
              <w:rPr>
                <w:rFonts w:hint="eastAsia"/>
              </w:rPr>
              <w:br w:type="textWrapping"/>
            </w:r>
            <w:r>
              <w:rPr>
                <w:rFonts w:hint="eastAsia"/>
              </w:rPr>
              <w:t>3.优质实木框架。防虫、防腐、防变形。</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r>
              <w:rPr>
                <w:rFonts w:hint="eastAsia" w:ascii="宋体" w:hAnsi="宋体" w:eastAsia="宋体" w:cs="宋体"/>
                <w:i w:val="0"/>
                <w:color w:val="000000"/>
                <w:sz w:val="28"/>
                <w:szCs w:val="28"/>
                <w:u w:val="none"/>
                <w:lang w:eastAsia="zh-CN"/>
              </w:rPr>
              <w:drawing>
                <wp:inline distT="0" distB="0" distL="114300" distR="114300">
                  <wp:extent cx="2341880" cy="1978660"/>
                  <wp:effectExtent l="0" t="0" r="1270" b="2540"/>
                  <wp:docPr id="2" name="图片 2" descr="184373e612c3b3ad136c0651182edec_WPS图片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84373e612c3b3ad136c0651182edec_WPS图片_WPS图片"/>
                          <pic:cNvPicPr>
                            <a:picLocks noChangeAspect="1"/>
                          </pic:cNvPicPr>
                        </pic:nvPicPr>
                        <pic:blipFill>
                          <a:blip r:embed="rId6"/>
                          <a:stretch>
                            <a:fillRect/>
                          </a:stretch>
                        </pic:blipFill>
                        <pic:spPr>
                          <a:xfrm>
                            <a:off x="0" y="0"/>
                            <a:ext cx="2341880" cy="19786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3</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沙发</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8</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rPr>
                <w:rFonts w:hint="eastAsia"/>
              </w:rPr>
            </w:pPr>
            <w:r>
              <w:rPr>
                <w:rFonts w:hint="eastAsia"/>
              </w:rPr>
              <w:t>面材：采用优质牛皮，纹路细致均匀，色泽柔软有弹性，无异味其光泽好，透气性强。</w:t>
            </w:r>
            <w:r>
              <w:rPr>
                <w:rFonts w:hint="eastAsia"/>
              </w:rPr>
              <w:br w:type="textWrapping"/>
            </w:r>
            <w:r>
              <w:rPr>
                <w:rFonts w:hint="eastAsia"/>
              </w:rPr>
              <w:t>2.海绵：采用高弹性成型泡棉，采用优质海绵，拉伸强度≥110kPa，伸长率≥140%，回弹率≥55%，撕裂强度≥2.8N/cm，干热老化后拉伸强度≥110kPa，湿热老化后拉伸强度≥150kPa</w:t>
            </w:r>
            <w:r>
              <w:rPr>
                <w:rFonts w:hint="eastAsia"/>
                <w:lang w:eastAsia="zh-CN"/>
              </w:rPr>
              <w:t>；采用环保喷胶粘合</w:t>
            </w:r>
            <w:r>
              <w:rPr>
                <w:rFonts w:hint="eastAsia"/>
              </w:rPr>
              <w:t>。</w:t>
            </w:r>
          </w:p>
          <w:p>
            <w:pPr>
              <w:numPr>
                <w:ilvl w:val="0"/>
                <w:numId w:val="8"/>
              </w:numPr>
              <w:rPr>
                <w:rFonts w:hint="eastAsia"/>
              </w:rPr>
            </w:pPr>
            <w:r>
              <w:rPr>
                <w:rFonts w:hint="eastAsia"/>
                <w:lang w:val="en-US" w:eastAsia="zh-CN"/>
              </w:rPr>
              <w:t>3.实木扶手。</w:t>
            </w:r>
            <w:r>
              <w:rPr>
                <w:rFonts w:hint="eastAsia"/>
              </w:rPr>
              <w:t xml:space="preserve">                             </w:t>
            </w:r>
            <w:r>
              <w:rPr>
                <w:rFonts w:hint="eastAsia"/>
              </w:rPr>
              <w:br w:type="textWrapping"/>
            </w:r>
            <w:r>
              <w:rPr>
                <w:rFonts w:hint="eastAsia"/>
                <w:lang w:val="en-US" w:eastAsia="zh-CN"/>
              </w:rPr>
              <w:t>4</w:t>
            </w:r>
            <w:r>
              <w:rPr>
                <w:rFonts w:hint="eastAsia"/>
              </w:rPr>
              <w:t xml:space="preserve">.优质实木框架，防虫、防腐、防变形。  </w:t>
            </w:r>
            <w:r>
              <w:rPr>
                <w:rFonts w:hint="eastAsia"/>
              </w:rPr>
              <w:br w:type="textWrapping"/>
            </w:r>
            <w:r>
              <w:rPr>
                <w:rFonts w:hint="eastAsia"/>
                <w:lang w:val="en-US" w:eastAsia="zh-CN"/>
              </w:rPr>
              <w:t>5</w:t>
            </w:r>
            <w:r>
              <w:rPr>
                <w:rFonts w:hint="eastAsia"/>
              </w:rPr>
              <w:t>.配件：弹簧采用高强度蛇形退火弹簧；绷带采用强力织带橡筋</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r>
              <w:rPr>
                <w:rFonts w:hint="eastAsia" w:ascii="宋体" w:hAnsi="宋体" w:eastAsia="宋体" w:cs="宋体"/>
                <w:i w:val="0"/>
                <w:color w:val="000000"/>
                <w:sz w:val="28"/>
                <w:szCs w:val="28"/>
                <w:u w:val="none"/>
                <w:lang w:eastAsia="zh-CN"/>
              </w:rPr>
              <w:drawing>
                <wp:inline distT="0" distB="0" distL="114300" distR="114300">
                  <wp:extent cx="1661160" cy="1661160"/>
                  <wp:effectExtent l="0" t="0" r="15240" b="15240"/>
                  <wp:docPr id="5" name="图片 5" descr="e37f83bc829d1415842fa18365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37f83bc829d1415842fa1836500242"/>
                          <pic:cNvPicPr>
                            <a:picLocks noChangeAspect="1"/>
                          </pic:cNvPicPr>
                        </pic:nvPicPr>
                        <pic:blipFill>
                          <a:blip r:embed="rId7"/>
                          <a:stretch>
                            <a:fillRect/>
                          </a:stretch>
                        </pic:blipFill>
                        <pic:spPr>
                          <a:xfrm>
                            <a:off x="0" y="0"/>
                            <a:ext cx="1661160" cy="16611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4</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茶几</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1500*700*480/700*700*480</w:t>
            </w:r>
            <w:r>
              <w:rPr>
                <w:rFonts w:hint="eastAsia" w:ascii="宋体" w:hAnsi="宋体" w:eastAsia="宋体" w:cs="宋体"/>
                <w:i w:val="0"/>
                <w:color w:val="000000"/>
                <w:sz w:val="24"/>
                <w:szCs w:val="24"/>
                <w:u w:val="none"/>
                <w:lang w:val="en-US" w:eastAsia="zh-CN"/>
              </w:rPr>
              <w:t>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cs="宋体"/>
                <w:i w:val="0"/>
                <w:color w:val="000000"/>
                <w:kern w:val="0"/>
                <w:sz w:val="24"/>
                <w:szCs w:val="24"/>
                <w:u w:val="none"/>
                <w:lang w:val="en-US" w:eastAsia="zh-CN" w:bidi="ar"/>
              </w:rPr>
              <w:t>16</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1、面材：采用优质天然胡桃木木皮饰面，厚度≥0.6mm；无腐朽、裂纹、虫眼、夹皮、变色等缺陷；</w:t>
            </w:r>
            <w:r>
              <w:rPr>
                <w:rFonts w:hint="eastAsia"/>
              </w:rPr>
              <w:br w:type="textWrapping"/>
            </w:r>
            <w:r>
              <w:rPr>
                <w:rFonts w:hint="eastAsia"/>
              </w:rPr>
              <w:t>2、封边：采用优质实木封边（实木厚度≥3CM)，木纹纹理协调一致，无色差；</w:t>
            </w:r>
            <w:r>
              <w:rPr>
                <w:rFonts w:hint="eastAsia"/>
              </w:rPr>
              <w:br w:type="textWrapping"/>
            </w:r>
            <w:r>
              <w:rPr>
                <w:rFonts w:hint="eastAsia"/>
              </w:rPr>
              <w:t>3、基材：采用优质中密度板，符合GB/T11718-2009标准。经防虫、防腐等化学处理，木材含水率3-13%，甲醛释放量＜3mg/100g；</w:t>
            </w:r>
            <w:r>
              <w:rPr>
                <w:rFonts w:hint="eastAsia"/>
              </w:rPr>
              <w:br w:type="textWrapping"/>
            </w:r>
            <w:r>
              <w:rPr>
                <w:rFonts w:hint="eastAsia"/>
              </w:rPr>
              <w:t>4、油漆：采用优质环保油漆，符合GB 18581-2009标准，苯含量≤0.1%，甲苯、二甲苯、乙苯含量总和≤20%；</w:t>
            </w:r>
            <w:r>
              <w:rPr>
                <w:rFonts w:hint="eastAsia"/>
              </w:rPr>
              <w:br w:type="textWrapping"/>
            </w:r>
            <w:r>
              <w:rPr>
                <w:rFonts w:hint="eastAsia"/>
              </w:rPr>
              <w:t>5、五金：采用优质五金配件，五金配件紧密拼接，牢固，间隙细小且均匀，平整无毛刺</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r>
              <w:drawing>
                <wp:inline distT="0" distB="0" distL="114300" distR="114300">
                  <wp:extent cx="1247775" cy="400050"/>
                  <wp:effectExtent l="0" t="0" r="9525" b="0"/>
                  <wp:docPr id="9" name="图片 1106" descr="1528520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06" descr="1528520364(1)"/>
                          <pic:cNvPicPr>
                            <a:picLocks noChangeAspect="1" noChangeArrowheads="1"/>
                          </pic:cNvPicPr>
                        </pic:nvPicPr>
                        <pic:blipFill>
                          <a:blip r:embed="rId8" cstate="print"/>
                          <a:srcRect/>
                          <a:stretch>
                            <a:fillRect/>
                          </a:stretch>
                        </pic:blipFill>
                        <pic:spPr>
                          <a:xfrm>
                            <a:off x="0" y="0"/>
                            <a:ext cx="1247775" cy="40005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5</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书柜</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2700*420*2000mm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kern w:val="0"/>
                <w:sz w:val="28"/>
                <w:szCs w:val="28"/>
                <w:u w:val="none"/>
                <w:lang w:val="en-US" w:eastAsia="zh-CN" w:bidi="ar"/>
              </w:rPr>
              <w:t>6</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1、面材：采用优质天然胡桃木木皮饰面，厚度≥0.6mm；无腐朽、裂纹、虫眼、夹皮、变色等缺陷；</w:t>
            </w:r>
            <w:r>
              <w:rPr>
                <w:rFonts w:hint="eastAsia"/>
              </w:rPr>
              <w:br w:type="textWrapping"/>
            </w:r>
            <w:r>
              <w:rPr>
                <w:rFonts w:hint="eastAsia"/>
              </w:rPr>
              <w:t>2、封边：采用优质实木封边（实木厚度≥3CM)，木纹纹理协调一致，无色差；</w:t>
            </w:r>
            <w:r>
              <w:rPr>
                <w:rFonts w:hint="eastAsia"/>
              </w:rPr>
              <w:br w:type="textWrapping"/>
            </w:r>
            <w:r>
              <w:rPr>
                <w:rFonts w:hint="eastAsia"/>
              </w:rPr>
              <w:t>3、基材：采用优质中密度板，符合GB/T11718-2009标准。经防虫、防腐等化学处理，木材含水率3-13%，甲醛释放量＜3mg/100g；</w:t>
            </w:r>
            <w:r>
              <w:rPr>
                <w:rFonts w:hint="eastAsia"/>
              </w:rPr>
              <w:br w:type="textWrapping"/>
            </w:r>
            <w:r>
              <w:rPr>
                <w:rFonts w:hint="eastAsia"/>
              </w:rPr>
              <w:t>4、油漆：采用优质环保油漆，符合GB 18581-2009标准，苯含量≤0.1%，甲苯、二甲苯、乙苯含量总和≤20%；</w:t>
            </w:r>
            <w:r>
              <w:rPr>
                <w:rFonts w:hint="eastAsia"/>
              </w:rPr>
              <w:br w:type="textWrapping"/>
            </w:r>
            <w:r>
              <w:rPr>
                <w:rFonts w:hint="eastAsia"/>
              </w:rPr>
              <w:t>5、五金：采用优质五金配件，五金配件紧密拼接，牢固，间隙细小且均匀，平整无毛刺</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r>
              <w:rPr>
                <w:rFonts w:hint="eastAsia" w:ascii="宋体" w:hAnsi="宋体" w:eastAsia="宋体" w:cs="宋体"/>
                <w:i w:val="0"/>
                <w:color w:val="000000"/>
                <w:sz w:val="28"/>
                <w:szCs w:val="28"/>
                <w:u w:val="none"/>
                <w:lang w:eastAsia="zh-CN"/>
              </w:rPr>
              <w:drawing>
                <wp:inline distT="0" distB="0" distL="114300" distR="114300">
                  <wp:extent cx="1659890" cy="1352550"/>
                  <wp:effectExtent l="0" t="0" r="16510" b="0"/>
                  <wp:docPr id="14" name="图片 14" descr="26a7053eb052f0abb2118e996f7ada3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6a7053eb052f0abb2118e996f7ada3_WPS图片"/>
                          <pic:cNvPicPr>
                            <a:picLocks noChangeAspect="1"/>
                          </pic:cNvPicPr>
                        </pic:nvPicPr>
                        <pic:blipFill>
                          <a:blip r:embed="rId9"/>
                          <a:stretch>
                            <a:fillRect/>
                          </a:stretch>
                        </pic:blipFill>
                        <pic:spPr>
                          <a:xfrm>
                            <a:off x="0" y="0"/>
                            <a:ext cx="1659890" cy="13525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6</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床</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color w:val="000000"/>
                <w:sz w:val="28"/>
                <w:szCs w:val="28"/>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24</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1.整体尺寸：2000mm(长)×900mm(宽)×</w:t>
            </w:r>
            <w:r>
              <w:rPr>
                <w:rFonts w:hint="eastAsia"/>
                <w:lang w:val="en-US" w:eastAsia="zh-CN"/>
              </w:rPr>
              <w:t>50</w:t>
            </w:r>
            <w:r>
              <w:rPr>
                <w:rFonts w:hint="eastAsia"/>
              </w:rPr>
              <w:t>0mm（高)单层。</w:t>
            </w:r>
          </w:p>
          <w:p>
            <w:pPr>
              <w:rPr>
                <w:rFonts w:hint="eastAsia"/>
              </w:rPr>
            </w:pPr>
            <w:r>
              <w:rPr>
                <w:rFonts w:hint="eastAsia"/>
              </w:rPr>
              <w:t>2.床框上边沿离地400mm 床框与床头连接采用取挂式连接件连接  床头带塑料弯</w:t>
            </w:r>
          </w:p>
          <w:p>
            <w:pPr>
              <w:rPr>
                <w:rFonts w:hint="eastAsia"/>
              </w:rPr>
            </w:pPr>
            <w:r>
              <w:rPr>
                <w:rFonts w:hint="eastAsia"/>
              </w:rPr>
              <w:t>3.立柱采用45mm×45mm方管,厚≥1.</w:t>
            </w:r>
            <w:r>
              <w:rPr>
                <w:rFonts w:hint="eastAsia"/>
                <w:lang w:val="en-US" w:eastAsia="zh-CN"/>
              </w:rPr>
              <w:t>5</w:t>
            </w:r>
            <w:r>
              <w:rPr>
                <w:rFonts w:hint="eastAsia"/>
              </w:rPr>
              <w:t>mm。床头横拉撑采用25mm×25mm方管,厚≥1.</w:t>
            </w:r>
            <w:r>
              <w:rPr>
                <w:rFonts w:hint="eastAsia"/>
                <w:lang w:val="en-US" w:eastAsia="zh-CN"/>
              </w:rPr>
              <w:t>2</w:t>
            </w:r>
            <w:r>
              <w:rPr>
                <w:rFonts w:hint="eastAsia"/>
              </w:rPr>
              <w:t>mm，床头立柱采用Φ22mm圆管, 辅管采用15mm×30mm椭圆管,厚1.</w:t>
            </w:r>
            <w:r>
              <w:rPr>
                <w:rFonts w:hint="eastAsia"/>
                <w:lang w:val="en-US" w:eastAsia="zh-CN"/>
              </w:rPr>
              <w:t>2</w:t>
            </w:r>
            <w:r>
              <w:rPr>
                <w:rFonts w:hint="eastAsia"/>
              </w:rPr>
              <w:t>mm。</w:t>
            </w:r>
          </w:p>
          <w:p>
            <w:pPr>
              <w:rPr>
                <w:rFonts w:hint="eastAsia"/>
              </w:rPr>
            </w:pPr>
            <w:r>
              <w:rPr>
                <w:rFonts w:hint="eastAsia"/>
              </w:rPr>
              <w:t>4.床框采用30mm×50mm方管,厚≥1.</w:t>
            </w:r>
            <w:r>
              <w:rPr>
                <w:rFonts w:hint="eastAsia"/>
                <w:lang w:val="en-US" w:eastAsia="zh-CN"/>
              </w:rPr>
              <w:t>5</w:t>
            </w:r>
            <w:r>
              <w:rPr>
                <w:rFonts w:hint="eastAsia"/>
              </w:rPr>
              <w:t>mm  钢管为方型以起到床板可放罝到床框的上面，増加床板的安全性。床框横撑25mm×25mm方管,厚≥1.</w:t>
            </w:r>
            <w:r>
              <w:rPr>
                <w:rFonts w:hint="eastAsia"/>
                <w:lang w:val="en-US" w:eastAsia="zh-CN"/>
              </w:rPr>
              <w:t>2</w:t>
            </w:r>
            <w:r>
              <w:rPr>
                <w:rFonts w:hint="eastAsia"/>
              </w:rPr>
              <w:t>mm，床撑为 5根。</w:t>
            </w:r>
          </w:p>
          <w:p>
            <w:pPr>
              <w:rPr>
                <w:rFonts w:hint="eastAsia"/>
              </w:rPr>
            </w:pPr>
            <w:r>
              <w:rPr>
                <w:rFonts w:hint="eastAsia"/>
              </w:rPr>
              <w:t>5.床板采用优质</w:t>
            </w:r>
            <w:r>
              <w:rPr>
                <w:rFonts w:hint="eastAsia"/>
                <w:lang w:val="en-US" w:eastAsia="zh-CN"/>
              </w:rPr>
              <w:t>松木</w:t>
            </w:r>
            <w:r>
              <w:rPr>
                <w:rFonts w:hint="eastAsia"/>
              </w:rPr>
              <w:t>板，厚度不小于</w:t>
            </w:r>
            <w:r>
              <w:rPr>
                <w:rFonts w:hint="eastAsia"/>
                <w:lang w:val="en-US" w:eastAsia="zh-CN"/>
              </w:rPr>
              <w:t>20</w:t>
            </w:r>
            <w:r>
              <w:rPr>
                <w:rFonts w:hint="eastAsia"/>
              </w:rPr>
              <w:t>mm结实耐用。</w:t>
            </w:r>
          </w:p>
          <w:p>
            <w:pPr>
              <w:rPr>
                <w:rFonts w:hint="eastAsia"/>
              </w:rPr>
            </w:pPr>
            <w:r>
              <w:rPr>
                <w:rFonts w:hint="eastAsia"/>
              </w:rPr>
              <w:t>6.床护脚套:床上下段需安装护脚，底端与地面之间的塑料厚度不小于8毫米,采用内套式pp工程塑料注塑成型，外围厚度不小于3毫米，底端为防滑波浪，安装牢固。</w:t>
            </w:r>
          </w:p>
          <w:p>
            <w:pPr>
              <w:rPr>
                <w:rFonts w:hint="eastAsia"/>
              </w:rPr>
            </w:pPr>
            <w:r>
              <w:rPr>
                <w:rFonts w:hint="eastAsia"/>
              </w:rPr>
              <w:t>7.工艺流程：钢材厚度采用国标优质钢管。经过抛丸机打沙处理，均采用二氧化碳保护焊技术，焊接要满焊，焊接流畅，无焊渣、无错位、焊瘤、穿焊、假焊。经流水线静电高温喷涂，顔色：灰白色。整套床人性化设计。整体喷塑，无气泡、无流挂</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2259330" cy="959485"/>
                  <wp:effectExtent l="0" t="0" r="7620" b="12065"/>
                  <wp:docPr id="16" name="图片 16" descr="39a91f8536702f9b59e4321b86e807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9a91f8536702f9b59e4321b86e8070_WPS图片"/>
                          <pic:cNvPicPr>
                            <a:picLocks noChangeAspect="1"/>
                          </pic:cNvPicPr>
                        </pic:nvPicPr>
                        <pic:blipFill>
                          <a:blip r:embed="rId10"/>
                          <a:stretch>
                            <a:fillRect/>
                          </a:stretch>
                        </pic:blipFill>
                        <pic:spPr>
                          <a:xfrm>
                            <a:off x="0" y="0"/>
                            <a:ext cx="2259330" cy="9594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7</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实木床</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r>
              <w:rPr>
                <w:rFonts w:hint="eastAsia" w:ascii="宋体" w:hAnsi="宋体" w:eastAsia="宋体" w:cs="宋体"/>
                <w:i w:val="0"/>
                <w:color w:val="000000"/>
                <w:sz w:val="28"/>
                <w:szCs w:val="28"/>
                <w:u w:val="none"/>
                <w:lang w:val="en-US" w:eastAsia="zh-CN"/>
              </w:rPr>
              <w:t>1500*2000mm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lang w:val="en-US" w:eastAsia="zh-CN"/>
              </w:rPr>
            </w:pPr>
            <w:r>
              <w:rPr>
                <w:rFonts w:hint="eastAsia" w:ascii="宋体" w:hAnsi="宋体" w:cs="宋体"/>
                <w:i w:val="0"/>
                <w:color w:val="000000"/>
                <w:kern w:val="0"/>
                <w:sz w:val="28"/>
                <w:szCs w:val="28"/>
                <w:u w:val="none"/>
                <w:lang w:val="en-US" w:eastAsia="zh-CN" w:bidi="ar"/>
              </w:rPr>
              <w:t>9</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基材采用国际环保标准优质实木橡木，外表平整不易吸水、承重能力强、不变形，美观坚固，阻燃、耐磨、耐酸碱，防污能力强、硬度高，容易清洁。（高箱）</w:t>
            </w:r>
          </w:p>
          <w:p>
            <w:pPr>
              <w:rPr>
                <w:rFonts w:hint="eastAsia"/>
              </w:rPr>
            </w:pPr>
            <w:r>
              <w:rPr>
                <w:rFonts w:hint="eastAsia"/>
                <w:lang w:val="en-US" w:eastAsia="zh-CN"/>
              </w:rPr>
              <w:t>床垫：</w:t>
            </w:r>
            <w:r>
              <w:rPr>
                <w:rFonts w:hint="eastAsia"/>
              </w:rPr>
              <w:t>床垫采用零甲醛天然山棕，金色棕丝加纯白高科技纤维棉高压而成，淡黄色提花织锦缎面料，四周透气孔网状面料，厚度10cm</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2258060" cy="1466215"/>
                  <wp:effectExtent l="0" t="0" r="8890" b="635"/>
                  <wp:docPr id="17" name="图片 17" descr="976fb6e778ff45a26cc70e81ee4bd4d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76fb6e778ff45a26cc70e81ee4bd4d_WPS图片"/>
                          <pic:cNvPicPr>
                            <a:picLocks noChangeAspect="1"/>
                          </pic:cNvPicPr>
                        </pic:nvPicPr>
                        <pic:blipFill>
                          <a:blip r:embed="rId11"/>
                          <a:stretch>
                            <a:fillRect/>
                          </a:stretch>
                        </pic:blipFill>
                        <pic:spPr>
                          <a:xfrm>
                            <a:off x="0" y="0"/>
                            <a:ext cx="2258060" cy="14662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8</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床头柜</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sz w:val="28"/>
                <w:szCs w:val="28"/>
                <w:u w:val="none"/>
                <w:lang w:val="en-US"/>
              </w:rPr>
            </w:pPr>
            <w:r>
              <w:rPr>
                <w:rFonts w:hint="eastAsia" w:ascii="宋体" w:hAnsi="宋体" w:eastAsia="宋体" w:cs="宋体"/>
                <w:i w:val="0"/>
                <w:color w:val="000000"/>
                <w:sz w:val="28"/>
                <w:szCs w:val="28"/>
                <w:u w:val="none"/>
                <w:lang w:val="en-US" w:eastAsia="zh-CN"/>
              </w:rPr>
              <w:t>600*420*450mm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kern w:val="0"/>
                <w:sz w:val="28"/>
                <w:szCs w:val="28"/>
                <w:u w:val="none"/>
                <w:lang w:val="en-US" w:eastAsia="zh-CN" w:bidi="ar"/>
              </w:rPr>
              <w:t>24</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柜体采用1mm优质冷轧板，柜体颜色为灰白色。一斗一门。</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838200" cy="1047750"/>
                  <wp:effectExtent l="0" t="0" r="0" b="0"/>
                  <wp:docPr id="15" name="图片 15" descr="a435fce5abde1d3ff390ea23d38b6b6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435fce5abde1d3ff390ea23d38b6b6_WPS图片"/>
                          <pic:cNvPicPr>
                            <a:picLocks noChangeAspect="1"/>
                          </pic:cNvPicPr>
                        </pic:nvPicPr>
                        <pic:blipFill>
                          <a:blip r:embed="rId12"/>
                          <a:stretch>
                            <a:fillRect/>
                          </a:stretch>
                        </pic:blipFill>
                        <pic:spPr>
                          <a:xfrm>
                            <a:off x="0" y="0"/>
                            <a:ext cx="838200" cy="10477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9</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衣柜</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1900*900*450mm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kern w:val="0"/>
                <w:sz w:val="28"/>
                <w:szCs w:val="28"/>
                <w:u w:val="none"/>
                <w:lang w:val="en-US" w:eastAsia="zh-CN" w:bidi="ar"/>
              </w:rPr>
              <w:t>24</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采用冷轧钢板0.</w:t>
            </w:r>
            <w:r>
              <w:rPr>
                <w:rFonts w:hint="eastAsia"/>
                <w:lang w:val="en-US" w:eastAsia="zh-CN"/>
              </w:rPr>
              <w:t>8</w:t>
            </w:r>
            <w:r>
              <w:rPr>
                <w:rFonts w:hint="eastAsia"/>
              </w:rPr>
              <w:t>厚,粉末静电喷涂,焊接牢洗除锈,锌洗磷化后粉末喷涂.防护性好附着力强.。焊接部分采用高标准熔接焊,表面平整光滑采用全自动喷涂流水线，表面静电粉沫喷塑采用国际品牌符合国家标准的粉沫使产品真正的环保无毒害。</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1757680" cy="3491230"/>
                  <wp:effectExtent l="0" t="0" r="13970" b="13970"/>
                  <wp:docPr id="18" name="图片 18" descr="2ca4782cf0e53f861072cca3a4a506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ca4782cf0e53f861072cca3a4a5062_WPS图片"/>
                          <pic:cNvPicPr>
                            <a:picLocks noChangeAspect="1"/>
                          </pic:cNvPicPr>
                        </pic:nvPicPr>
                        <pic:blipFill>
                          <a:blip r:embed="rId13"/>
                          <a:stretch>
                            <a:fillRect/>
                          </a:stretch>
                        </pic:blipFill>
                        <pic:spPr>
                          <a:xfrm>
                            <a:off x="0" y="0"/>
                            <a:ext cx="1757680" cy="34912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10</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实木衣柜</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1200*620*2100mm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lang w:val="en-US" w:eastAsia="zh-CN"/>
              </w:rPr>
            </w:pPr>
            <w:r>
              <w:rPr>
                <w:rFonts w:hint="eastAsia" w:ascii="宋体" w:hAnsi="宋体" w:cs="宋体"/>
                <w:i w:val="0"/>
                <w:color w:val="000000"/>
                <w:kern w:val="0"/>
                <w:sz w:val="28"/>
                <w:szCs w:val="28"/>
                <w:u w:val="none"/>
                <w:lang w:val="en-US" w:eastAsia="zh-CN" w:bidi="ar"/>
              </w:rPr>
              <w:t>8</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9"/>
              </w:numPr>
              <w:rPr>
                <w:rFonts w:hint="eastAsia"/>
              </w:rPr>
            </w:pPr>
            <w:r>
              <w:rPr>
                <w:rFonts w:hint="eastAsia"/>
              </w:rPr>
              <w:t>材质：采用优质优质</w:t>
            </w:r>
            <w:r>
              <w:rPr>
                <w:rFonts w:hint="eastAsia"/>
                <w:lang w:val="en-US" w:eastAsia="zh-CN"/>
              </w:rPr>
              <w:t>橡</w:t>
            </w:r>
            <w:r>
              <w:rPr>
                <w:rFonts w:hint="eastAsia"/>
              </w:rPr>
              <w:t>木，符合GB/T3324-2008标准，木材经干燥处理，含水率≤10%；材质坚硬，加工性良好。</w:t>
            </w:r>
            <w:r>
              <w:rPr>
                <w:rFonts w:hint="eastAsia"/>
              </w:rPr>
              <w:br w:type="textWrapping"/>
            </w:r>
            <w:r>
              <w:rPr>
                <w:rFonts w:hint="eastAsia"/>
              </w:rPr>
              <w:t>2、油漆：采用优质环保油漆，符合GB 18581-2009标准，苯含量≤0.01%，甲苯、二甲苯、乙苯含量总和≤20%；</w:t>
            </w:r>
            <w:r>
              <w:rPr>
                <w:rFonts w:hint="eastAsia"/>
              </w:rPr>
              <w:br w:type="textWrapping"/>
            </w:r>
            <w:r>
              <w:rPr>
                <w:rFonts w:hint="eastAsia"/>
              </w:rPr>
              <w:t>纹路自然，色彩均匀。</w:t>
            </w:r>
          </w:p>
          <w:p>
            <w:pPr>
              <w:numPr>
                <w:ilvl w:val="0"/>
                <w:numId w:val="9"/>
              </w:numPr>
              <w:rPr>
                <w:rFonts w:hint="eastAsia"/>
              </w:rPr>
            </w:pPr>
            <w:r>
              <w:rPr>
                <w:rFonts w:hint="eastAsia"/>
              </w:rPr>
              <w:t>(与床颜色材质一致)</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2260600" cy="3618865"/>
                  <wp:effectExtent l="0" t="0" r="6350" b="635"/>
                  <wp:docPr id="19" name="图片 19" descr="afd504b510c35d5a61b296da6cbe48b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fd504b510c35d5a61b296da6cbe48b_WPS图片"/>
                          <pic:cNvPicPr>
                            <a:picLocks noChangeAspect="1"/>
                          </pic:cNvPicPr>
                        </pic:nvPicPr>
                        <pic:blipFill>
                          <a:blip r:embed="rId14"/>
                          <a:stretch>
                            <a:fillRect/>
                          </a:stretch>
                        </pic:blipFill>
                        <pic:spPr>
                          <a:xfrm>
                            <a:off x="0" y="0"/>
                            <a:ext cx="2260600" cy="36188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11</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茶水柜</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1200*400*800mm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lang w:val="en-US" w:eastAsia="zh-CN"/>
              </w:rPr>
            </w:pPr>
            <w:r>
              <w:rPr>
                <w:rFonts w:hint="eastAsia" w:ascii="宋体" w:hAnsi="宋体" w:cs="宋体"/>
                <w:i w:val="0"/>
                <w:color w:val="000000"/>
                <w:kern w:val="0"/>
                <w:sz w:val="28"/>
                <w:szCs w:val="28"/>
                <w:u w:val="none"/>
                <w:lang w:val="en-US" w:eastAsia="zh-CN" w:bidi="ar"/>
              </w:rPr>
              <w:t>9</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材质：采用优质白蜡木实木，符合GB/T3324-2008标准，木材经干燥处理，含水率≤10%；材质坚硬，加工性良好。</w:t>
            </w:r>
            <w:r>
              <w:rPr>
                <w:rFonts w:hint="eastAsia"/>
              </w:rPr>
              <w:br w:type="textWrapping"/>
            </w:r>
            <w:r>
              <w:rPr>
                <w:rFonts w:hint="eastAsia"/>
              </w:rPr>
              <w:t>2、油漆：采用优质环保油漆，符合GB 18581-2009标准，苯含量≤0.1%，甲苯、二甲苯、乙苯含量总和≤20%；</w:t>
            </w:r>
            <w:r>
              <w:rPr>
                <w:rFonts w:hint="eastAsia"/>
              </w:rPr>
              <w:br w:type="textWrapping"/>
            </w:r>
            <w:r>
              <w:rPr>
                <w:rFonts w:hint="eastAsia"/>
              </w:rPr>
              <w:t>纹路自然，色彩均匀</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2162175" cy="1781175"/>
                  <wp:effectExtent l="0" t="0" r="9525" b="9525"/>
                  <wp:docPr id="49" name="图片 49" descr="e7ba2a7abae6ad84b6a39d8e4aaac0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7ba2a7abae6ad84b6a39d8e4aaac00_WPS图片"/>
                          <pic:cNvPicPr>
                            <a:picLocks noChangeAspect="1"/>
                          </pic:cNvPicPr>
                        </pic:nvPicPr>
                        <pic:blipFill>
                          <a:blip r:embed="rId15"/>
                          <a:stretch>
                            <a:fillRect/>
                          </a:stretch>
                        </pic:blipFill>
                        <pic:spPr>
                          <a:xfrm>
                            <a:off x="0" y="0"/>
                            <a:ext cx="2162175" cy="17811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12</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挂衣架</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cs="宋体"/>
                <w:i w:val="0"/>
                <w:color w:val="000000"/>
                <w:kern w:val="0"/>
                <w:sz w:val="28"/>
                <w:szCs w:val="28"/>
                <w:u w:val="none"/>
                <w:lang w:val="en-US" w:eastAsia="zh-CN" w:bidi="ar"/>
              </w:rPr>
              <w:t>10</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lang w:val="en-US" w:eastAsia="zh-CN"/>
              </w:rPr>
            </w:pPr>
            <w:r>
              <w:rPr>
                <w:rFonts w:hint="eastAsia"/>
                <w:lang w:val="en-US" w:eastAsia="zh-CN"/>
              </w:rPr>
              <w:t>实木</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876300" cy="3790950"/>
                  <wp:effectExtent l="0" t="0" r="0" b="0"/>
                  <wp:docPr id="44" name="图片 44" descr="7731473c418648f565f6d6a7204d178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731473c418648f565f6d6a7204d178_WPS图片"/>
                          <pic:cNvPicPr>
                            <a:picLocks noChangeAspect="1"/>
                          </pic:cNvPicPr>
                        </pic:nvPicPr>
                        <pic:blipFill>
                          <a:blip r:embed="rId16"/>
                          <a:stretch>
                            <a:fillRect/>
                          </a:stretch>
                        </pic:blipFill>
                        <pic:spPr>
                          <a:xfrm>
                            <a:off x="0" y="0"/>
                            <a:ext cx="876300" cy="37909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13</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办公桌</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1800*900*760mm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2</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rPr>
                <w:rFonts w:hint="eastAsia"/>
              </w:rPr>
            </w:pPr>
            <w:r>
              <w:rPr>
                <w:rFonts w:hint="eastAsia"/>
              </w:rPr>
              <w:t>面材：采用优质天然胡桃木木皮饰面，厚度≥0.6mm；无腐朽、裂纹、虫眼、夹皮、变色等缺陷；</w:t>
            </w:r>
            <w:r>
              <w:rPr>
                <w:rFonts w:hint="eastAsia"/>
              </w:rPr>
              <w:br w:type="textWrapping"/>
            </w:r>
            <w:r>
              <w:rPr>
                <w:rFonts w:hint="eastAsia"/>
              </w:rPr>
              <w:t>2、封边：采用优质实木封边（实木厚度≥3CM)，木纹纹理协调一致，无色差；</w:t>
            </w:r>
            <w:r>
              <w:rPr>
                <w:rFonts w:hint="eastAsia"/>
              </w:rPr>
              <w:br w:type="textWrapping"/>
            </w:r>
            <w:r>
              <w:rPr>
                <w:rFonts w:hint="eastAsia"/>
              </w:rPr>
              <w:t>3、基材：采用优质中密度板，符合GB/T11718-2009标准。经防虫、防腐等化学处理，木材含水率3-13%，甲醛释放量＜3mg/100g；</w:t>
            </w:r>
            <w:r>
              <w:rPr>
                <w:rFonts w:hint="eastAsia"/>
              </w:rPr>
              <w:br w:type="textWrapping"/>
            </w:r>
            <w:r>
              <w:rPr>
                <w:rFonts w:hint="eastAsia"/>
              </w:rPr>
              <w:t>4、油漆：采用优质环保油漆，符合GB 18581-2009标准，苯含量≤0.1%，甲苯、二甲苯、乙苯含量总和≤20%；</w:t>
            </w:r>
            <w:r>
              <w:rPr>
                <w:rFonts w:hint="eastAsia"/>
              </w:rPr>
              <w:br w:type="textWrapping"/>
            </w:r>
            <w:r>
              <w:rPr>
                <w:rFonts w:hint="eastAsia"/>
              </w:rPr>
              <w:t>5、五金：采用优质五金配件，五金配件紧密拼接，牢固，间隙细小且均匀，平整无毛刺</w:t>
            </w:r>
          </w:p>
          <w:p>
            <w:pPr>
              <w:numPr>
                <w:ilvl w:val="0"/>
                <w:numId w:val="10"/>
              </w:numPr>
              <w:rPr>
                <w:rFonts w:hint="eastAsia"/>
              </w:rPr>
            </w:pPr>
            <w:r>
              <w:rPr>
                <w:rFonts w:hint="eastAsia"/>
                <w:lang w:val="en-US" w:eastAsia="zh-CN"/>
              </w:rPr>
              <w:t>二、椅子：</w:t>
            </w:r>
            <w:r>
              <w:rPr>
                <w:rFonts w:hint="eastAsia"/>
              </w:rPr>
              <w:t>1、面料:选用优质牛皮,经液态浸色及防潮、防污等工艺处理,皮面更加柔软舒适，泽持久性；2、辅料:采用国内优质PU成型发泡高密度海绵,表面有一层保护面,可防氧化,防碎,经过HD测试永不变形。3、椅框：采用优质实木橡木框架，经防虫、防腐等处理，木材含水率3-13%</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numPr>
                <w:ilvl w:val="0"/>
                <w:numId w:val="0"/>
              </w:numPr>
              <w:ind w:left="0" w:leftChars="0" w:firstLine="0" w:firstLineChars="0"/>
              <w:rPr>
                <w:rFonts w:hint="eastAsia" w:ascii="宋体" w:hAnsi="宋体" w:eastAsia="宋体" w:cs="宋体"/>
                <w:i w:val="0"/>
                <w:color w:val="000000"/>
                <w:sz w:val="28"/>
                <w:szCs w:val="28"/>
                <w:u w:val="none"/>
              </w:rPr>
            </w:pPr>
            <w:r>
              <w:drawing>
                <wp:inline distT="0" distB="0" distL="114300" distR="114300">
                  <wp:extent cx="1510665" cy="966470"/>
                  <wp:effectExtent l="0" t="0" r="13335" b="5080"/>
                  <wp:docPr id="50" name="图片 104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41" descr="IMG_274"/>
                          <pic:cNvPicPr>
                            <a:picLocks noChangeAspect="1" noChangeArrowheads="1"/>
                          </pic:cNvPicPr>
                        </pic:nvPicPr>
                        <pic:blipFill>
                          <a:blip r:embed="rId17" cstate="print"/>
                          <a:srcRect/>
                          <a:stretch>
                            <a:fillRect/>
                          </a:stretch>
                        </pic:blipFill>
                        <pic:spPr>
                          <a:xfrm>
                            <a:off x="0" y="0"/>
                            <a:ext cx="1510665" cy="96647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14</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办公椅</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2</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1、面材：采用优质牛皮，纹路细致均匀，色泽柔软有弹性，无异味其光泽好，透气性强。</w:t>
            </w:r>
            <w:r>
              <w:rPr>
                <w:rFonts w:hint="eastAsia"/>
              </w:rPr>
              <w:br w:type="textWrapping"/>
            </w:r>
            <w:r>
              <w:rPr>
                <w:rFonts w:hint="eastAsia"/>
              </w:rPr>
              <w:t>2、海绵：采用高弹性成型泡棉，采用优质海绵，拉伸强度≥110kPa，伸长率≥140%，回弹率≥55%，撕裂强度≥2.8N/cm，干热老化后拉伸强度≥110kPa，湿热老化后拉伸强度≥150kPa</w:t>
            </w:r>
            <w:r>
              <w:rPr>
                <w:rFonts w:hint="eastAsia"/>
                <w:lang w:eastAsia="zh-CN"/>
              </w:rPr>
              <w:t>；采用环保喷胶粘合</w:t>
            </w:r>
            <w:r>
              <w:rPr>
                <w:rFonts w:hint="eastAsia"/>
              </w:rPr>
              <w:t xml:space="preserve">。                    </w:t>
            </w:r>
            <w:r>
              <w:rPr>
                <w:rFonts w:hint="eastAsia"/>
              </w:rPr>
              <w:br w:type="textWrapping"/>
            </w:r>
            <w:r>
              <w:rPr>
                <w:rFonts w:hint="eastAsia"/>
              </w:rPr>
              <w:t>3、脚架：优质实木框架及电镀五金脚架。防虫、防腐、防变形。</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r>
              <w:drawing>
                <wp:inline distT="0" distB="0" distL="114300" distR="114300">
                  <wp:extent cx="641350" cy="800100"/>
                  <wp:effectExtent l="0" t="0" r="6350" b="0"/>
                  <wp:docPr id="1048" name="图片 104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42" descr="IMG_275"/>
                          <pic:cNvPicPr>
                            <a:picLocks noChangeAspect="1" noChangeArrowheads="1"/>
                          </pic:cNvPicPr>
                        </pic:nvPicPr>
                        <pic:blipFill>
                          <a:blip r:embed="rId18" cstate="print"/>
                          <a:srcRect/>
                          <a:stretch>
                            <a:fillRect/>
                          </a:stretch>
                        </pic:blipFill>
                        <pic:spPr>
                          <a:xfrm>
                            <a:off x="0" y="0"/>
                            <a:ext cx="641350" cy="80010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15</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会议桌</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6*1.8米</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1张</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1、面材：采用优质天然胡桃木木皮饰面，厚度≥0.6mm；无腐朽、裂纹、虫眼、夹皮、变色等缺陷；</w:t>
            </w:r>
            <w:r>
              <w:rPr>
                <w:rFonts w:hint="eastAsia"/>
              </w:rPr>
              <w:br w:type="textWrapping"/>
            </w:r>
            <w:r>
              <w:rPr>
                <w:rFonts w:hint="eastAsia"/>
              </w:rPr>
              <w:t>2、封边：采用优质实木封边（实木厚度≥3CM)，木纹纹理协调一致，无色差；</w:t>
            </w:r>
            <w:r>
              <w:rPr>
                <w:rFonts w:hint="eastAsia"/>
              </w:rPr>
              <w:br w:type="textWrapping"/>
            </w:r>
            <w:r>
              <w:rPr>
                <w:rFonts w:hint="eastAsia"/>
              </w:rPr>
              <w:t>3、基材：采用优质中密度板，符合GB/T11718-2009标准。经防虫、防腐等化学处理，木材含水率3-13%，甲醛释放量＜3mg/100g；</w:t>
            </w:r>
            <w:r>
              <w:rPr>
                <w:rFonts w:hint="eastAsia"/>
              </w:rPr>
              <w:br w:type="textWrapping"/>
            </w:r>
            <w:r>
              <w:rPr>
                <w:rFonts w:hint="eastAsia"/>
              </w:rPr>
              <w:t>4、油漆：采用优质环保油漆，符合GB 18581-2009标准，苯含量≤0.1%，甲苯、二甲苯、乙苯含量总和≤20%；</w:t>
            </w:r>
            <w:r>
              <w:rPr>
                <w:rFonts w:hint="eastAsia"/>
              </w:rPr>
              <w:br w:type="textWrapping"/>
            </w:r>
            <w:r>
              <w:rPr>
                <w:rFonts w:hint="eastAsia"/>
              </w:rPr>
              <w:t>5、五金：采用优质五金配件，五金配件紧密拼接，牢固，间隙细小且均匀，平整无毛刺</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2258695" cy="1042035"/>
                  <wp:effectExtent l="0" t="0" r="8255" b="5715"/>
                  <wp:docPr id="38" name="图片 38" descr="266dbcd6e49185dfa388c0b752ee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66dbcd6e49185dfa388c0b752ee259"/>
                          <pic:cNvPicPr>
                            <a:picLocks noChangeAspect="1"/>
                          </pic:cNvPicPr>
                        </pic:nvPicPr>
                        <pic:blipFill>
                          <a:blip r:embed="rId19"/>
                          <a:stretch>
                            <a:fillRect/>
                          </a:stretch>
                        </pic:blipFill>
                        <pic:spPr>
                          <a:xfrm>
                            <a:off x="0" y="0"/>
                            <a:ext cx="2258695" cy="10420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16</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大床</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r>
              <w:rPr>
                <w:rFonts w:hint="eastAsia" w:ascii="宋体" w:hAnsi="宋体" w:eastAsia="宋体" w:cs="宋体"/>
                <w:i w:val="0"/>
                <w:color w:val="000000"/>
                <w:sz w:val="28"/>
                <w:szCs w:val="28"/>
                <w:u w:val="none"/>
                <w:lang w:val="en-US" w:eastAsia="zh-CN"/>
              </w:rPr>
              <w:t>1800*2200mm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2</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1、材质：采用优质优质</w:t>
            </w:r>
            <w:r>
              <w:rPr>
                <w:rFonts w:hint="eastAsia"/>
                <w:lang w:val="en-US" w:eastAsia="zh-CN"/>
              </w:rPr>
              <w:t>橡</w:t>
            </w:r>
            <w:r>
              <w:rPr>
                <w:rFonts w:hint="eastAsia"/>
              </w:rPr>
              <w:t>木，符合GB/T3324-2008标准，木材经干燥处理，含水率≤10%；材质坚硬，加工性良好。</w:t>
            </w:r>
            <w:r>
              <w:rPr>
                <w:rFonts w:hint="eastAsia"/>
              </w:rPr>
              <w:br w:type="textWrapping"/>
            </w:r>
            <w:r>
              <w:rPr>
                <w:rFonts w:hint="eastAsia"/>
              </w:rPr>
              <w:t>2、油漆：采用优质环保油漆，符合GB 18581-2009标准，苯含量≤0.01%，甲苯、二甲苯、乙苯含量总和≤20%；</w:t>
            </w:r>
            <w:r>
              <w:rPr>
                <w:rFonts w:hint="eastAsia"/>
              </w:rPr>
              <w:br w:type="textWrapping"/>
            </w:r>
            <w:r>
              <w:rPr>
                <w:rFonts w:hint="eastAsia"/>
              </w:rPr>
              <w:t>纹路自然，色彩均匀</w:t>
            </w:r>
          </w:p>
          <w:p>
            <w:pPr>
              <w:rPr>
                <w:rFonts w:hint="eastAsia"/>
              </w:rPr>
            </w:pPr>
            <w:r>
              <w:rPr>
                <w:rFonts w:hint="eastAsia"/>
              </w:rPr>
              <w:t>外表平整不易吸水、承重能力强、不变形，美观坚固，阻燃、耐磨、耐酸碱，防污能力强、硬度高，容易清洁。（高箱）</w:t>
            </w:r>
          </w:p>
          <w:p>
            <w:pPr>
              <w:rPr>
                <w:rFonts w:hint="eastAsia"/>
              </w:rPr>
            </w:pPr>
            <w:r>
              <w:rPr>
                <w:rFonts w:hint="eastAsia"/>
                <w:lang w:val="en-US" w:eastAsia="zh-CN"/>
              </w:rPr>
              <w:t>床垫：</w:t>
            </w:r>
            <w:r>
              <w:rPr>
                <w:rFonts w:hint="eastAsia"/>
              </w:rPr>
              <w:t>床垫采用零甲醛天然山棕，金色棕丝加纯白高科技纤维棉高压而成，淡黄色提花织锦缎面料，四周透气孔网状面料，厚度10cm</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r>
              <w:rPr>
                <w:rFonts w:hint="eastAsia" w:ascii="宋体" w:hAnsi="宋体" w:eastAsia="宋体" w:cs="宋体"/>
                <w:i w:val="0"/>
                <w:color w:val="000000"/>
                <w:sz w:val="28"/>
                <w:szCs w:val="28"/>
                <w:u w:val="none"/>
                <w:lang w:eastAsia="zh-CN"/>
              </w:rPr>
              <w:drawing>
                <wp:inline distT="0" distB="0" distL="114300" distR="114300">
                  <wp:extent cx="2258060" cy="1466215"/>
                  <wp:effectExtent l="0" t="0" r="8890" b="635"/>
                  <wp:docPr id="23" name="图片 23" descr="976fb6e778ff45a26cc70e81ee4bd4d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76fb6e778ff45a26cc70e81ee4bd4d_WPS图片"/>
                          <pic:cNvPicPr>
                            <a:picLocks noChangeAspect="1"/>
                          </pic:cNvPicPr>
                        </pic:nvPicPr>
                        <pic:blipFill>
                          <a:blip r:embed="rId11"/>
                          <a:stretch>
                            <a:fillRect/>
                          </a:stretch>
                        </pic:blipFill>
                        <pic:spPr>
                          <a:xfrm>
                            <a:off x="0" y="0"/>
                            <a:ext cx="2258060" cy="14662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17</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床头柜</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val="en-US"/>
              </w:rPr>
            </w:pPr>
            <w:r>
              <w:rPr>
                <w:rFonts w:hint="eastAsia" w:ascii="宋体" w:hAnsi="宋体" w:eastAsia="宋体" w:cs="宋体"/>
                <w:i w:val="0"/>
                <w:color w:val="000000"/>
                <w:sz w:val="28"/>
                <w:szCs w:val="28"/>
                <w:u w:val="none"/>
                <w:lang w:val="en-US" w:eastAsia="zh-CN"/>
              </w:rPr>
              <w:t>600*420*450mm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eastAsia="zh-CN"/>
              </w:rPr>
            </w:pPr>
            <w:r>
              <w:rPr>
                <w:rFonts w:hint="eastAsia" w:ascii="宋体" w:hAnsi="宋体" w:cs="宋体"/>
                <w:i w:val="0"/>
                <w:color w:val="000000"/>
                <w:kern w:val="0"/>
                <w:sz w:val="28"/>
                <w:szCs w:val="28"/>
                <w:u w:val="none"/>
                <w:lang w:val="en-US" w:eastAsia="zh-CN" w:bidi="ar"/>
              </w:rPr>
              <w:t>18</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基材采用国际环保标准优质实木橡木，外表平整不易吸水、承重能力强、不变形，美观坚固，阻燃、耐磨、耐酸碱，防污能力强、硬度高，容易清洁。(与床颜色材质一致)</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r>
              <w:drawing>
                <wp:inline distT="0" distB="0" distL="114300" distR="114300">
                  <wp:extent cx="695325" cy="793115"/>
                  <wp:effectExtent l="0" t="0" r="9525" b="6985"/>
                  <wp:docPr id="12" name="图片 1049"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49" descr="IMG_282"/>
                          <pic:cNvPicPr>
                            <a:picLocks noChangeAspect="1" noChangeArrowheads="1"/>
                          </pic:cNvPicPr>
                        </pic:nvPicPr>
                        <pic:blipFill>
                          <a:blip r:embed="rId20" cstate="print"/>
                          <a:srcRect/>
                          <a:stretch>
                            <a:fillRect/>
                          </a:stretch>
                        </pic:blipFill>
                        <pic:spPr>
                          <a:xfrm>
                            <a:off x="0" y="0"/>
                            <a:ext cx="695325" cy="793115"/>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18</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大衣柜</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2000*640*2100mm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lang w:val="en-US" w:eastAsia="zh-CN"/>
              </w:rPr>
            </w:pPr>
            <w:r>
              <w:rPr>
                <w:rFonts w:hint="eastAsia" w:ascii="宋体" w:hAnsi="宋体" w:cs="宋体"/>
                <w:i w:val="0"/>
                <w:color w:val="000000"/>
                <w:kern w:val="0"/>
                <w:sz w:val="28"/>
                <w:szCs w:val="28"/>
                <w:u w:val="none"/>
                <w:lang w:val="en-US" w:eastAsia="zh-CN" w:bidi="ar"/>
              </w:rPr>
              <w:t>2</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rPr>
                <w:rFonts w:hint="eastAsia"/>
              </w:rPr>
            </w:pPr>
            <w:r>
              <w:rPr>
                <w:rFonts w:hint="eastAsia"/>
              </w:rPr>
              <w:t>材质：采用优质优质</w:t>
            </w:r>
            <w:r>
              <w:rPr>
                <w:rFonts w:hint="eastAsia"/>
                <w:lang w:val="en-US" w:eastAsia="zh-CN"/>
              </w:rPr>
              <w:t>橡</w:t>
            </w:r>
            <w:r>
              <w:rPr>
                <w:rFonts w:hint="eastAsia"/>
              </w:rPr>
              <w:t>木，符合GB/T3324-2008标准，木材经干燥处理，含水率≤10%；材质坚硬，加工性良好。</w:t>
            </w:r>
            <w:r>
              <w:rPr>
                <w:rFonts w:hint="eastAsia"/>
              </w:rPr>
              <w:br w:type="textWrapping"/>
            </w:r>
            <w:r>
              <w:rPr>
                <w:rFonts w:hint="eastAsia"/>
              </w:rPr>
              <w:t>2、油漆：采用优质环保油漆，符合GB 18581-2009标准，苯含量≤0.01%，甲苯、二甲苯、乙苯含量总和≤20%；</w:t>
            </w:r>
            <w:r>
              <w:rPr>
                <w:rFonts w:hint="eastAsia"/>
              </w:rPr>
              <w:br w:type="textWrapping"/>
            </w:r>
            <w:r>
              <w:rPr>
                <w:rFonts w:hint="eastAsia"/>
              </w:rPr>
              <w:t>纹路自然，色彩均匀。</w:t>
            </w:r>
          </w:p>
          <w:p>
            <w:pPr>
              <w:numPr>
                <w:ilvl w:val="0"/>
                <w:numId w:val="11"/>
              </w:numPr>
              <w:rPr>
                <w:rFonts w:hint="eastAsia"/>
              </w:rPr>
            </w:pPr>
            <w:r>
              <w:rPr>
                <w:rFonts w:hint="eastAsia"/>
              </w:rPr>
              <w:t>(与床颜色材质一致)</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2259965" cy="2884805"/>
                  <wp:effectExtent l="0" t="0" r="6985" b="10795"/>
                  <wp:docPr id="29" name="图片 29" descr="2d053c9db39a7fc5dea924d0449f8ae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d053c9db39a7fc5dea924d0449f8ae_WPS图片"/>
                          <pic:cNvPicPr>
                            <a:picLocks noChangeAspect="1"/>
                          </pic:cNvPicPr>
                        </pic:nvPicPr>
                        <pic:blipFill>
                          <a:blip r:embed="rId21"/>
                          <a:stretch>
                            <a:fillRect/>
                          </a:stretch>
                        </pic:blipFill>
                        <pic:spPr>
                          <a:xfrm>
                            <a:off x="0" y="0"/>
                            <a:ext cx="2259965" cy="28848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19</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鞋柜</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1200*500*800mm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lang w:val="en-US" w:eastAsia="zh-CN"/>
              </w:rPr>
            </w:pPr>
            <w:r>
              <w:rPr>
                <w:rFonts w:hint="eastAsia" w:ascii="宋体" w:hAnsi="宋体" w:cs="宋体"/>
                <w:i w:val="0"/>
                <w:color w:val="000000"/>
                <w:kern w:val="0"/>
                <w:sz w:val="28"/>
                <w:szCs w:val="28"/>
                <w:u w:val="none"/>
                <w:lang w:val="en-US" w:eastAsia="zh-CN" w:bidi="ar"/>
              </w:rPr>
              <w:t>2</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材质：采用优质白蜡木实木，符合GB/T3324-2008标准，木材经干燥处理，含水率≤10%；材质坚硬，加工性良好。</w:t>
            </w:r>
            <w:r>
              <w:rPr>
                <w:rFonts w:hint="eastAsia"/>
              </w:rPr>
              <w:br w:type="textWrapping"/>
            </w:r>
            <w:r>
              <w:rPr>
                <w:rFonts w:hint="eastAsia"/>
              </w:rPr>
              <w:t>2、油漆：采用优质环保油漆，符合GB 18581-2009标准，苯含量≤0.1%，甲苯、二甲苯、乙苯含量总和≤20%；</w:t>
            </w:r>
            <w:r>
              <w:rPr>
                <w:rFonts w:hint="eastAsia"/>
              </w:rPr>
              <w:br w:type="textWrapping"/>
            </w:r>
            <w:r>
              <w:rPr>
                <w:rFonts w:hint="eastAsia"/>
              </w:rPr>
              <w:t>纹路自然，色彩均匀</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2162175" cy="1800225"/>
                  <wp:effectExtent l="0" t="0" r="9525" b="9525"/>
                  <wp:docPr id="30" name="图片 30" descr="e7ba2a7abae6ad84b6a39d8e4aaac0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7ba2a7abae6ad84b6a39d8e4aaac00_WPS图片"/>
                          <pic:cNvPicPr>
                            <a:picLocks noChangeAspect="1"/>
                          </pic:cNvPicPr>
                        </pic:nvPicPr>
                        <pic:blipFill>
                          <a:blip r:embed="rId22"/>
                          <a:stretch>
                            <a:fillRect/>
                          </a:stretch>
                        </pic:blipFill>
                        <pic:spPr>
                          <a:xfrm>
                            <a:off x="0" y="0"/>
                            <a:ext cx="2162175" cy="18002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20</w:t>
            </w:r>
          </w:p>
        </w:tc>
        <w:tc>
          <w:tcPr>
            <w:tcW w:w="963"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主席台桌</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1400*700*800mm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kern w:val="0"/>
                <w:sz w:val="28"/>
                <w:szCs w:val="28"/>
                <w:u w:val="none"/>
                <w:lang w:val="en-US" w:eastAsia="zh-CN" w:bidi="ar"/>
              </w:rPr>
              <w:t>3</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面材：采用优质天然胡桃木木皮饰面，厚度≥0.6mm；无腐朽、裂纹、虫眼、夹皮、变色等缺陷；基材：采用优质中密度板，经防虫、防腐等化学处理，木材含水率3-13%，甲醛释放量＜3mg/100g符合国家标准。油漆：采用优质环保油漆，苯含量≤0.1%，甲苯、二甲苯、乙苯含量总和≤20%；</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2256155" cy="1692275"/>
                  <wp:effectExtent l="0" t="0" r="10795" b="3175"/>
                  <wp:docPr id="33" name="图片 33" descr="c181293fbf4b245c304b68f4850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181293fbf4b245c304b68f48509819"/>
                          <pic:cNvPicPr>
                            <a:picLocks noChangeAspect="1"/>
                          </pic:cNvPicPr>
                        </pic:nvPicPr>
                        <pic:blipFill>
                          <a:blip r:embed="rId23"/>
                          <a:stretch>
                            <a:fillRect/>
                          </a:stretch>
                        </pic:blipFill>
                        <pic:spPr>
                          <a:xfrm>
                            <a:off x="0" y="0"/>
                            <a:ext cx="2256155" cy="1692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21</w:t>
            </w:r>
          </w:p>
        </w:tc>
        <w:tc>
          <w:tcPr>
            <w:tcW w:w="963"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学习桌</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1200*400*760mm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kern w:val="0"/>
                <w:sz w:val="28"/>
                <w:szCs w:val="28"/>
                <w:u w:val="none"/>
                <w:lang w:val="en-US" w:eastAsia="zh-CN" w:bidi="ar"/>
              </w:rPr>
              <w:t>15</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rPr>
              <w:t>面材：采用优质天然胡桃木木皮饰面，厚度≥0.6mm；无腐朽、裂纹、虫眼、夹皮、变色等缺陷；基材：采用优质中密度板，经防虫、防腐等化学处理，木材含水率3-13%，甲醛释放量＜3mg/100g符合国家标准。油漆：采用优质环保油漆，苯含量≤0.1%，甲苯、二甲苯、乙苯含量总和≤20%；</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lang w:eastAsia="zh-CN"/>
              </w:rPr>
            </w:pPr>
            <w:r>
              <w:rPr>
                <w:rFonts w:hint="eastAsia" w:ascii="宋体" w:hAnsi="宋体" w:eastAsia="宋体" w:cs="宋体"/>
                <w:i w:val="0"/>
                <w:color w:val="000000"/>
                <w:sz w:val="28"/>
                <w:szCs w:val="28"/>
                <w:u w:val="none"/>
                <w:lang w:eastAsia="zh-CN"/>
              </w:rPr>
              <w:drawing>
                <wp:inline distT="0" distB="0" distL="114300" distR="114300">
                  <wp:extent cx="2256155" cy="1692275"/>
                  <wp:effectExtent l="0" t="0" r="10795" b="3175"/>
                  <wp:docPr id="34" name="图片 34" descr="2fb45f6f78ac121609b948af61fe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fb45f6f78ac121609b948af61fe776"/>
                          <pic:cNvPicPr>
                            <a:picLocks noChangeAspect="1"/>
                          </pic:cNvPicPr>
                        </pic:nvPicPr>
                        <pic:blipFill>
                          <a:blip r:embed="rId24"/>
                          <a:stretch>
                            <a:fillRect/>
                          </a:stretch>
                        </pic:blipFill>
                        <pic:spPr>
                          <a:xfrm>
                            <a:off x="0" y="0"/>
                            <a:ext cx="2256155" cy="1692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9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22</w:t>
            </w:r>
          </w:p>
        </w:tc>
        <w:tc>
          <w:tcPr>
            <w:tcW w:w="963"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会议椅</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30</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r>
              <w:rPr>
                <w:rFonts w:hint="eastAsia"/>
              </w:rPr>
              <w:t>、面料:采用优质牛皮，纹路细致均匀，色泽柔软有弹性，无异味其光泽好，透气性强；2、辅料:采用国内优质PU成型发泡高密度海绵,表面有一层保护面,可防氧化,防碎,经过HD测试永不变形。3、椅框：采用优质纯实木橡木框架，经防虫、防腐等处理，木材含水率3-13%</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r>
              <w:drawing>
                <wp:inline distT="0" distB="0" distL="114300" distR="114300">
                  <wp:extent cx="619125" cy="790575"/>
                  <wp:effectExtent l="0" t="0" r="9525" b="9525"/>
                  <wp:docPr id="1046" name="图片 104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0" descr="IMG_273"/>
                          <pic:cNvPicPr>
                            <a:picLocks noChangeAspect="1" noChangeArrowheads="1"/>
                          </pic:cNvPicPr>
                        </pic:nvPicPr>
                        <pic:blipFill>
                          <a:blip r:embed="rId25" cstate="print"/>
                          <a:srcRect/>
                          <a:stretch>
                            <a:fillRect/>
                          </a:stretch>
                        </pic:blipFill>
                        <pic:spPr>
                          <a:xfrm>
                            <a:off x="0" y="0"/>
                            <a:ext cx="619125" cy="790575"/>
                          </a:xfrm>
                          <a:prstGeom prst="rect">
                            <a:avLst/>
                          </a:prstGeom>
                          <a:noFill/>
                          <a:ln w="9525">
                            <a:noFill/>
                            <a:miter lim="800000"/>
                            <a:headEnd/>
                            <a:tailEnd/>
                          </a:ln>
                        </pic:spPr>
                      </pic:pic>
                    </a:graphicData>
                  </a:graphic>
                </wp:inline>
              </w:drawing>
            </w:r>
          </w:p>
        </w:tc>
      </w:tr>
    </w:tbl>
    <w:p>
      <w:pPr>
        <w:widowControl/>
        <w:numPr>
          <w:numId w:val="0"/>
        </w:numPr>
        <w:spacing w:line="500" w:lineRule="exact"/>
        <w:ind w:leftChars="200"/>
        <w:jc w:val="left"/>
        <w:rPr>
          <w:rFonts w:hint="eastAsia" w:ascii="新宋体" w:hAnsi="新宋体" w:eastAsia="新宋体" w:cs="新宋体"/>
          <w:b/>
          <w:bCs/>
          <w:color w:val="000000"/>
          <w:sz w:val="24"/>
          <w:szCs w:val="24"/>
          <w:shd w:val="clear" w:color="auto" w:fill="FFFFFF"/>
          <w:lang w:eastAsia="zh-CN"/>
        </w:rPr>
      </w:pPr>
    </w:p>
    <w:p>
      <w:pPr>
        <w:widowControl/>
        <w:shd w:val="clear" w:color="auto" w:fill="FFFFFF"/>
        <w:spacing w:line="360" w:lineRule="auto"/>
        <w:ind w:firstLine="600"/>
        <w:jc w:val="left"/>
        <w:rPr>
          <w:rFonts w:hint="eastAsia" w:ascii="新宋体" w:hAnsi="新宋体" w:eastAsia="新宋体" w:cs="新宋体"/>
          <w:b/>
          <w:bCs/>
          <w:color w:val="000000"/>
          <w:kern w:val="0"/>
          <w:sz w:val="24"/>
          <w:szCs w:val="24"/>
          <w:lang w:eastAsia="zh-CN"/>
        </w:rPr>
      </w:pPr>
      <w:r>
        <w:rPr>
          <w:rFonts w:hint="eastAsia" w:ascii="新宋体" w:hAnsi="新宋体" w:eastAsia="新宋体" w:cs="新宋体"/>
          <w:sz w:val="24"/>
          <w:szCs w:val="24"/>
          <w:lang w:val="zh-CN"/>
        </w:rPr>
        <w:t>注：以上要求为最低要求，投标商不得低于以上要求，否则为无效响应文件。</w:t>
      </w:r>
    </w:p>
    <w:p>
      <w:pPr>
        <w:widowControl/>
        <w:shd w:val="clear" w:color="auto" w:fill="FFFFFF"/>
        <w:spacing w:line="360" w:lineRule="auto"/>
        <w:ind w:firstLine="600"/>
        <w:jc w:val="left"/>
        <w:rPr>
          <w:rFonts w:hint="eastAsia" w:ascii="新宋体" w:hAnsi="新宋体" w:eastAsia="新宋体" w:cs="新宋体"/>
          <w:color w:val="000000"/>
          <w:kern w:val="0"/>
          <w:sz w:val="24"/>
          <w:szCs w:val="24"/>
          <w:lang w:eastAsia="zh-CN"/>
        </w:rPr>
      </w:pPr>
      <w:r>
        <w:rPr>
          <w:rFonts w:hint="eastAsia" w:ascii="新宋体" w:hAnsi="新宋体" w:eastAsia="新宋体" w:cs="新宋体"/>
          <w:b/>
          <w:bCs/>
          <w:color w:val="000000"/>
          <w:kern w:val="0"/>
          <w:sz w:val="24"/>
          <w:szCs w:val="24"/>
          <w:lang w:eastAsia="zh-CN"/>
        </w:rPr>
        <w:t>三、</w:t>
      </w:r>
      <w:r>
        <w:rPr>
          <w:rFonts w:hint="eastAsia" w:ascii="新宋体" w:hAnsi="新宋体" w:eastAsia="新宋体" w:cs="新宋体"/>
          <w:b/>
          <w:bCs/>
          <w:color w:val="000000"/>
          <w:kern w:val="0"/>
          <w:sz w:val="24"/>
          <w:szCs w:val="24"/>
        </w:rPr>
        <w:t>采购标的执行标准</w:t>
      </w:r>
      <w:r>
        <w:rPr>
          <w:rFonts w:hint="eastAsia" w:ascii="新宋体" w:hAnsi="新宋体" w:eastAsia="新宋体" w:cs="新宋体"/>
          <w:b/>
          <w:bCs/>
          <w:color w:val="000000"/>
          <w:kern w:val="0"/>
          <w:sz w:val="24"/>
          <w:szCs w:val="24"/>
          <w:lang w:eastAsia="zh-CN"/>
        </w:rPr>
        <w:t>：</w:t>
      </w:r>
      <w:r>
        <w:rPr>
          <w:rFonts w:hint="eastAsia" w:ascii="新宋体" w:hAnsi="新宋体" w:eastAsia="新宋体" w:cs="新宋体"/>
          <w:iCs/>
          <w:color w:val="000000"/>
          <w:kern w:val="0"/>
          <w:sz w:val="24"/>
          <w:szCs w:val="24"/>
        </w:rPr>
        <w:t>需执行的国家相关标准</w:t>
      </w:r>
      <w:r>
        <w:rPr>
          <w:rFonts w:hint="eastAsia" w:ascii="新宋体" w:hAnsi="新宋体" w:eastAsia="新宋体" w:cs="新宋体"/>
          <w:iCs/>
          <w:color w:val="000000"/>
          <w:kern w:val="0"/>
          <w:sz w:val="24"/>
          <w:szCs w:val="24"/>
          <w:lang w:eastAsia="zh-CN"/>
        </w:rPr>
        <w:t>。</w:t>
      </w:r>
    </w:p>
    <w:p>
      <w:pPr>
        <w:widowControl/>
        <w:shd w:val="clear" w:color="auto" w:fill="FFFFFF"/>
        <w:spacing w:line="360" w:lineRule="auto"/>
        <w:ind w:firstLine="482" w:firstLineChars="200"/>
        <w:contextualSpacing/>
        <w:jc w:val="left"/>
        <w:rPr>
          <w:rFonts w:hint="eastAsia" w:ascii="仿宋" w:hAnsi="仿宋" w:eastAsia="仿宋" w:cs="仿宋"/>
          <w:b w:val="0"/>
          <w:bCs w:val="0"/>
          <w:color w:val="000000"/>
          <w:kern w:val="0"/>
          <w:sz w:val="24"/>
          <w:szCs w:val="24"/>
        </w:rPr>
      </w:pPr>
      <w:r>
        <w:rPr>
          <w:rFonts w:hint="eastAsia" w:ascii="新宋体" w:hAnsi="新宋体" w:eastAsia="新宋体" w:cs="新宋体"/>
          <w:b/>
          <w:bCs/>
          <w:color w:val="000000"/>
          <w:kern w:val="0"/>
          <w:sz w:val="24"/>
          <w:szCs w:val="24"/>
          <w:lang w:eastAsia="zh-CN"/>
        </w:rPr>
        <w:t>四、</w:t>
      </w:r>
      <w:r>
        <w:rPr>
          <w:rFonts w:hint="eastAsia" w:ascii="新宋体" w:hAnsi="新宋体" w:eastAsia="新宋体" w:cs="新宋体"/>
          <w:b/>
          <w:bCs/>
          <w:color w:val="000000"/>
          <w:kern w:val="0"/>
          <w:sz w:val="24"/>
          <w:szCs w:val="24"/>
        </w:rPr>
        <w:t>服务标准、期限、效率等要求</w:t>
      </w:r>
      <w:r>
        <w:rPr>
          <w:rFonts w:hint="eastAsia" w:ascii="新宋体" w:hAnsi="新宋体" w:eastAsia="新宋体" w:cs="新宋体"/>
          <w:b w:val="0"/>
          <w:bCs w:val="0"/>
          <w:color w:val="000000"/>
          <w:kern w:val="0"/>
          <w:sz w:val="24"/>
          <w:szCs w:val="24"/>
        </w:rPr>
        <w:t>：</w:t>
      </w:r>
      <w:r>
        <w:rPr>
          <w:rFonts w:hint="eastAsia" w:ascii="仿宋" w:hAnsi="仿宋" w:eastAsia="仿宋" w:cs="仿宋"/>
          <w:b w:val="0"/>
          <w:bCs w:val="0"/>
          <w:color w:val="000000"/>
          <w:kern w:val="0"/>
          <w:sz w:val="24"/>
          <w:szCs w:val="24"/>
        </w:rPr>
        <w:t>质保期两年，发生技术性故障，两小时内解决，如不能响应，视为无效投标。</w:t>
      </w:r>
    </w:p>
    <w:p>
      <w:pPr>
        <w:widowControl/>
        <w:shd w:val="clear" w:color="auto" w:fill="FFFFFF"/>
        <w:spacing w:line="360" w:lineRule="auto"/>
        <w:ind w:firstLine="600"/>
        <w:jc w:val="left"/>
        <w:rPr>
          <w:rFonts w:hint="eastAsia" w:ascii="新宋体" w:hAnsi="新宋体" w:eastAsia="新宋体" w:cs="新宋体"/>
          <w:b/>
          <w:bCs/>
          <w:color w:val="000000"/>
          <w:kern w:val="0"/>
          <w:sz w:val="24"/>
          <w:szCs w:val="24"/>
        </w:rPr>
      </w:pPr>
      <w:r>
        <w:rPr>
          <w:rFonts w:hint="eastAsia" w:ascii="新宋体" w:hAnsi="新宋体" w:eastAsia="新宋体" w:cs="新宋体"/>
          <w:b/>
          <w:bCs/>
          <w:color w:val="000000"/>
          <w:kern w:val="0"/>
          <w:sz w:val="24"/>
          <w:szCs w:val="24"/>
          <w:lang w:eastAsia="zh-CN"/>
        </w:rPr>
        <w:t>五、</w:t>
      </w:r>
      <w:r>
        <w:rPr>
          <w:rFonts w:hint="eastAsia" w:ascii="新宋体" w:hAnsi="新宋体" w:eastAsia="新宋体" w:cs="新宋体"/>
          <w:b/>
          <w:bCs/>
          <w:color w:val="000000"/>
          <w:kern w:val="0"/>
          <w:sz w:val="24"/>
          <w:szCs w:val="24"/>
        </w:rPr>
        <w:t>验收标准</w:t>
      </w:r>
    </w:p>
    <w:p>
      <w:pPr>
        <w:widowControl/>
        <w:shd w:val="clear" w:color="auto" w:fill="FFFFFF"/>
        <w:spacing w:line="360" w:lineRule="auto"/>
        <w:ind w:firstLine="600"/>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pPr>
        <w:widowControl/>
        <w:shd w:val="clear" w:color="auto" w:fill="FFFFFF"/>
        <w:spacing w:line="360" w:lineRule="auto"/>
        <w:ind w:firstLine="600"/>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1、</w:t>
      </w:r>
      <w:r>
        <w:rPr>
          <w:rFonts w:hint="eastAsia" w:ascii="新宋体" w:hAnsi="新宋体" w:eastAsia="新宋体" w:cs="新宋体"/>
          <w:iCs/>
          <w:color w:val="000000"/>
          <w:kern w:val="0"/>
          <w:sz w:val="24"/>
          <w:szCs w:val="24"/>
        </w:rPr>
        <w:t>按照国家相关标准；</w:t>
      </w:r>
    </w:p>
    <w:p>
      <w:pPr>
        <w:widowControl/>
        <w:shd w:val="clear" w:color="auto" w:fill="FFFFFF"/>
        <w:spacing w:line="360" w:lineRule="auto"/>
        <w:ind w:firstLine="600"/>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2、按照招标文件要求、投标文件响应和承诺验收；</w:t>
      </w:r>
    </w:p>
    <w:p>
      <w:pPr>
        <w:widowControl/>
        <w:shd w:val="clear" w:color="auto" w:fill="FFFFFF"/>
        <w:spacing w:line="360" w:lineRule="auto"/>
        <w:ind w:firstLine="600"/>
        <w:jc w:val="left"/>
        <w:rPr>
          <w:rFonts w:hint="eastAsia"/>
          <w:lang w:eastAsia="zh-CN"/>
        </w:rPr>
      </w:pPr>
      <w:r>
        <w:rPr>
          <w:rFonts w:hint="eastAsia" w:ascii="新宋体" w:hAnsi="新宋体" w:eastAsia="新宋体" w:cs="新宋体"/>
          <w:b/>
          <w:bCs/>
          <w:color w:val="000000"/>
          <w:kern w:val="0"/>
          <w:sz w:val="24"/>
          <w:szCs w:val="24"/>
          <w:lang w:eastAsia="zh-CN"/>
        </w:rPr>
        <w:t>六、</w:t>
      </w:r>
      <w:r>
        <w:rPr>
          <w:rFonts w:hint="eastAsia" w:ascii="新宋体" w:hAnsi="新宋体" w:eastAsia="新宋体" w:cs="新宋体"/>
          <w:b/>
          <w:bCs/>
          <w:color w:val="000000"/>
          <w:kern w:val="0"/>
          <w:sz w:val="24"/>
          <w:szCs w:val="24"/>
        </w:rPr>
        <w:t>采购标的的其他技术、服务等要求</w:t>
      </w:r>
      <w:r>
        <w:rPr>
          <w:rFonts w:hint="eastAsia" w:ascii="新宋体" w:hAnsi="新宋体" w:eastAsia="新宋体" w:cs="新宋体"/>
          <w:b/>
          <w:bCs/>
          <w:color w:val="000000"/>
          <w:kern w:val="0"/>
          <w:sz w:val="24"/>
          <w:szCs w:val="24"/>
          <w:lang w:eastAsia="zh-CN"/>
        </w:rPr>
        <w:t>：</w:t>
      </w:r>
    </w:p>
    <w:p>
      <w:pPr>
        <w:widowControl/>
        <w:shd w:val="clear" w:color="auto" w:fill="FFFFFF"/>
        <w:spacing w:line="360" w:lineRule="auto"/>
        <w:ind w:firstLine="600"/>
        <w:jc w:val="left"/>
        <w:rPr>
          <w:rFonts w:hint="eastAsia" w:ascii="新宋体" w:hAnsi="新宋体" w:eastAsia="新宋体" w:cs="新宋体"/>
          <w:color w:val="000000"/>
          <w:kern w:val="0"/>
          <w:sz w:val="24"/>
          <w:szCs w:val="24"/>
          <w:lang w:val="zh-CN" w:eastAsia="zh-CN"/>
        </w:rPr>
      </w:pPr>
      <w:r>
        <w:rPr>
          <w:rFonts w:hint="eastAsia" w:ascii="新宋体" w:hAnsi="新宋体" w:eastAsia="新宋体" w:cs="新宋体"/>
          <w:color w:val="000000"/>
          <w:kern w:val="0"/>
          <w:sz w:val="24"/>
          <w:szCs w:val="24"/>
          <w:lang w:val="en-US" w:eastAsia="zh-CN"/>
        </w:rPr>
        <w:t>1、</w:t>
      </w:r>
      <w:r>
        <w:rPr>
          <w:rFonts w:hint="eastAsia" w:ascii="新宋体" w:hAnsi="新宋体" w:eastAsia="新宋体" w:cs="新宋体"/>
          <w:color w:val="000000"/>
          <w:kern w:val="0"/>
          <w:sz w:val="24"/>
          <w:szCs w:val="24"/>
          <w:lang w:val="zh-CN" w:eastAsia="zh-CN"/>
        </w:rPr>
        <w:t>供应商须明确响应产品的厂家、产地、品牌、型号、详细参数，否则为无效响应。</w:t>
      </w:r>
    </w:p>
    <w:p>
      <w:pPr>
        <w:widowControl/>
        <w:shd w:val="clear" w:color="auto" w:fill="FFFFFF"/>
        <w:spacing w:line="360" w:lineRule="auto"/>
        <w:ind w:firstLine="600"/>
        <w:jc w:val="left"/>
        <w:rPr>
          <w:rFonts w:hint="eastAsia" w:ascii="新宋体" w:hAnsi="新宋体" w:eastAsia="新宋体" w:cs="新宋体"/>
          <w:color w:val="000000"/>
          <w:kern w:val="0"/>
          <w:sz w:val="24"/>
          <w:szCs w:val="24"/>
          <w:lang w:val="zh-CN"/>
        </w:rPr>
      </w:pPr>
      <w:r>
        <w:rPr>
          <w:rFonts w:hint="eastAsia" w:ascii="新宋体" w:hAnsi="新宋体" w:eastAsia="新宋体" w:cs="新宋体"/>
          <w:color w:val="000000"/>
          <w:kern w:val="0"/>
          <w:sz w:val="24"/>
          <w:szCs w:val="24"/>
          <w:lang w:val="en-US" w:eastAsia="zh-CN"/>
        </w:rPr>
        <w:t>2</w:t>
      </w:r>
      <w:r>
        <w:rPr>
          <w:rFonts w:hint="eastAsia" w:ascii="新宋体" w:hAnsi="新宋体" w:eastAsia="新宋体" w:cs="新宋体"/>
          <w:color w:val="000000"/>
          <w:kern w:val="0"/>
          <w:sz w:val="24"/>
          <w:szCs w:val="24"/>
          <w:lang w:val="zh-CN"/>
        </w:rPr>
        <w:t>、投标商须有合理的工作方案，否则为无效响应文件 。</w:t>
      </w:r>
    </w:p>
    <w:p>
      <w:pPr>
        <w:widowControl/>
        <w:shd w:val="clear" w:color="auto" w:fill="FFFFFF"/>
        <w:spacing w:line="360" w:lineRule="auto"/>
        <w:ind w:firstLine="600"/>
        <w:jc w:val="left"/>
        <w:rPr>
          <w:rFonts w:hint="eastAsia" w:ascii="新宋体" w:hAnsi="新宋体" w:eastAsia="新宋体" w:cs="新宋体"/>
          <w:sz w:val="24"/>
          <w:szCs w:val="24"/>
          <w:lang w:val="zh-CN"/>
        </w:rPr>
      </w:pPr>
      <w:r>
        <w:rPr>
          <w:rFonts w:hint="eastAsia" w:ascii="新宋体" w:hAnsi="新宋体" w:eastAsia="新宋体" w:cs="新宋体"/>
          <w:color w:val="000000"/>
          <w:kern w:val="0"/>
          <w:sz w:val="24"/>
          <w:szCs w:val="24"/>
          <w:lang w:val="en-US" w:eastAsia="zh-CN"/>
        </w:rPr>
        <w:t>3</w:t>
      </w:r>
      <w:r>
        <w:rPr>
          <w:rFonts w:hint="eastAsia" w:ascii="新宋体" w:hAnsi="新宋体" w:eastAsia="新宋体" w:cs="新宋体"/>
          <w:color w:val="000000"/>
          <w:kern w:val="0"/>
          <w:sz w:val="24"/>
          <w:szCs w:val="24"/>
          <w:lang w:val="zh-CN"/>
        </w:rPr>
        <w:t>、投标人应就该项目完整投标（报价含运输费、税费等综合费</w:t>
      </w:r>
      <w:r>
        <w:rPr>
          <w:rFonts w:hint="eastAsia" w:ascii="新宋体" w:hAnsi="新宋体" w:eastAsia="新宋体" w:cs="新宋体"/>
          <w:sz w:val="24"/>
          <w:szCs w:val="24"/>
          <w:lang w:val="zh-CN"/>
        </w:rPr>
        <w:t>用），否则为无效响应文件。</w:t>
      </w:r>
    </w:p>
    <w:p>
      <w:pPr>
        <w:wordWrap w:val="0"/>
        <w:topLinePunct/>
        <w:spacing w:line="360" w:lineRule="auto"/>
        <w:ind w:firstLine="720" w:firstLineChars="300"/>
        <w:rPr>
          <w:rFonts w:hint="eastAsia" w:ascii="新宋体" w:hAnsi="新宋体" w:eastAsia="新宋体" w:cs="新宋体"/>
          <w:sz w:val="24"/>
          <w:szCs w:val="24"/>
          <w:lang w:val="zh-CN"/>
        </w:rPr>
      </w:pPr>
      <w:r>
        <w:rPr>
          <w:rFonts w:hint="eastAsia" w:ascii="新宋体" w:hAnsi="新宋体" w:eastAsia="新宋体" w:cs="新宋体"/>
          <w:sz w:val="24"/>
          <w:szCs w:val="24"/>
          <w:lang w:val="en-US" w:eastAsia="zh-CN"/>
        </w:rPr>
        <w:t>4</w:t>
      </w:r>
      <w:r>
        <w:rPr>
          <w:rFonts w:hint="eastAsia" w:ascii="新宋体" w:hAnsi="新宋体" w:eastAsia="新宋体" w:cs="新宋体"/>
          <w:sz w:val="24"/>
          <w:szCs w:val="24"/>
          <w:lang w:val="zh-CN"/>
        </w:rPr>
        <w:t>、投标商必须由法定代表人或其授权代表参加开标会议，随时接受谈判小组询问，并予作出书面解答。</w:t>
      </w:r>
    </w:p>
    <w:p>
      <w:pPr>
        <w:wordWrap w:val="0"/>
        <w:topLinePunct/>
        <w:spacing w:line="360" w:lineRule="auto"/>
        <w:ind w:firstLine="720" w:firstLineChars="300"/>
        <w:rPr>
          <w:rFonts w:hint="eastAsia" w:ascii="新宋体" w:hAnsi="新宋体" w:eastAsia="新宋体" w:cs="新宋体"/>
          <w:sz w:val="24"/>
          <w:szCs w:val="24"/>
          <w:lang w:val="zh-CN"/>
        </w:rPr>
      </w:pP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lang w:val="zh-CN"/>
        </w:rPr>
        <w:t>、采购人确定成交人后，中标人须向禹州市政府采购中心发送投标报价及分项报价（如果货物需求中有分项的话）一览表电子档，并同时通知采购中心。邮箱：</w:t>
      </w:r>
      <w:r>
        <w:rPr>
          <w:rFonts w:hint="eastAsia" w:ascii="新宋体" w:hAnsi="新宋体" w:eastAsia="新宋体" w:cs="新宋体"/>
          <w:sz w:val="24"/>
          <w:szCs w:val="24"/>
          <w:lang w:val="zh-CN"/>
        </w:rPr>
        <w:fldChar w:fldCharType="begin"/>
      </w:r>
      <w:r>
        <w:rPr>
          <w:rFonts w:hint="eastAsia" w:ascii="新宋体" w:hAnsi="新宋体" w:eastAsia="新宋体" w:cs="新宋体"/>
          <w:sz w:val="24"/>
          <w:szCs w:val="24"/>
          <w:lang w:val="zh-CN"/>
        </w:rPr>
        <w:instrText xml:space="preserve"> HYPERLINK "mailto:YZGGZY2076770@163.com" </w:instrText>
      </w:r>
      <w:r>
        <w:rPr>
          <w:rFonts w:hint="eastAsia" w:ascii="新宋体" w:hAnsi="新宋体" w:eastAsia="新宋体" w:cs="新宋体"/>
          <w:sz w:val="24"/>
          <w:szCs w:val="24"/>
          <w:lang w:val="zh-CN"/>
        </w:rPr>
        <w:fldChar w:fldCharType="separate"/>
      </w:r>
      <w:r>
        <w:rPr>
          <w:rFonts w:hint="eastAsia" w:ascii="新宋体" w:hAnsi="新宋体" w:eastAsia="新宋体" w:cs="新宋体"/>
          <w:sz w:val="24"/>
          <w:szCs w:val="24"/>
          <w:lang w:val="zh-CN"/>
        </w:rPr>
        <w:t>YZGGZY2076770@163.com</w:t>
      </w:r>
      <w:r>
        <w:rPr>
          <w:rFonts w:hint="eastAsia" w:ascii="新宋体" w:hAnsi="新宋体" w:eastAsia="新宋体" w:cs="新宋体"/>
          <w:sz w:val="24"/>
          <w:szCs w:val="24"/>
          <w:lang w:val="zh-CN"/>
        </w:rPr>
        <w:fldChar w:fldCharType="end"/>
      </w:r>
      <w:r>
        <w:rPr>
          <w:rFonts w:hint="eastAsia" w:ascii="新宋体" w:hAnsi="新宋体" w:eastAsia="新宋体" w:cs="新宋体"/>
          <w:sz w:val="24"/>
          <w:szCs w:val="24"/>
          <w:lang w:val="zh-CN"/>
        </w:rPr>
        <w:t>。</w:t>
      </w:r>
    </w:p>
    <w:p>
      <w:pPr>
        <w:wordWrap w:val="0"/>
        <w:topLinePunct/>
        <w:spacing w:line="360" w:lineRule="auto"/>
        <w:ind w:firstLine="482" w:firstLineChars="200"/>
        <w:rPr>
          <w:rFonts w:hint="eastAsia" w:ascii="新宋体" w:hAnsi="新宋体" w:eastAsia="新宋体" w:cs="新宋体"/>
          <w:sz w:val="24"/>
          <w:szCs w:val="24"/>
          <w:lang w:val="en-US" w:eastAsia="zh-CN"/>
        </w:rPr>
      </w:pPr>
      <w:r>
        <w:rPr>
          <w:rFonts w:hint="eastAsia" w:ascii="新宋体" w:hAnsi="新宋体" w:eastAsia="新宋体" w:cs="新宋体"/>
          <w:b/>
          <w:bCs/>
          <w:sz w:val="24"/>
          <w:szCs w:val="24"/>
          <w:lang w:val="en-US" w:eastAsia="zh-CN"/>
        </w:rPr>
        <w:t>（七）付款方式 ：</w:t>
      </w:r>
      <w:r>
        <w:rPr>
          <w:rFonts w:hint="eastAsia" w:ascii="新宋体" w:hAnsi="新宋体" w:eastAsia="新宋体" w:cs="新宋体"/>
          <w:sz w:val="24"/>
          <w:szCs w:val="24"/>
          <w:lang w:val="en-US" w:eastAsia="zh-CN"/>
        </w:rPr>
        <w:t>验收合格正常使用后付款。</w:t>
      </w:r>
    </w:p>
    <w:p>
      <w:pPr>
        <w:spacing w:line="500" w:lineRule="exact"/>
        <w:jc w:val="left"/>
        <w:rPr>
          <w:rFonts w:hint="eastAsia" w:ascii="新宋体" w:hAnsi="新宋体" w:eastAsia="新宋体" w:cs="新宋体"/>
          <w:b/>
          <w:sz w:val="24"/>
          <w:szCs w:val="24"/>
          <w:lang w:val="en-US" w:eastAsia="zh-CN"/>
        </w:rPr>
      </w:pPr>
    </w:p>
    <w:p>
      <w:pPr>
        <w:autoSpaceDE w:val="0"/>
        <w:autoSpaceDN w:val="0"/>
        <w:adjustRightInd w:val="0"/>
        <w:jc w:val="both"/>
        <w:rPr>
          <w:rFonts w:hint="eastAsia" w:ascii="新宋体" w:hAnsi="新宋体" w:eastAsia="新宋体" w:cs="新宋体"/>
          <w:b/>
          <w:kern w:val="0"/>
          <w:sz w:val="24"/>
          <w:szCs w:val="24"/>
        </w:rPr>
      </w:pPr>
    </w:p>
    <w:p>
      <w:pPr>
        <w:autoSpaceDE w:val="0"/>
        <w:autoSpaceDN w:val="0"/>
        <w:adjustRightInd w:val="0"/>
        <w:jc w:val="both"/>
        <w:rPr>
          <w:rFonts w:hint="eastAsia" w:ascii="新宋体" w:hAnsi="新宋体" w:eastAsia="新宋体" w:cs="新宋体"/>
          <w:b/>
          <w:kern w:val="0"/>
          <w:sz w:val="24"/>
          <w:szCs w:val="24"/>
        </w:rPr>
      </w:pPr>
    </w:p>
    <w:p>
      <w:pPr>
        <w:autoSpaceDE w:val="0"/>
        <w:autoSpaceDN w:val="0"/>
        <w:adjustRightInd w:val="0"/>
        <w:jc w:val="both"/>
        <w:rPr>
          <w:rFonts w:hint="eastAsia" w:ascii="新宋体" w:hAnsi="新宋体" w:eastAsia="新宋体" w:cs="新宋体"/>
          <w:b/>
          <w:kern w:val="0"/>
          <w:sz w:val="24"/>
          <w:szCs w:val="24"/>
        </w:rPr>
      </w:pPr>
    </w:p>
    <w:p>
      <w:pPr>
        <w:autoSpaceDE w:val="0"/>
        <w:autoSpaceDN w:val="0"/>
        <w:adjustRightInd w:val="0"/>
        <w:jc w:val="both"/>
        <w:rPr>
          <w:rFonts w:hint="eastAsia" w:ascii="新宋体" w:hAnsi="新宋体" w:eastAsia="新宋体" w:cs="新宋体"/>
          <w:b/>
          <w:kern w:val="0"/>
          <w:sz w:val="24"/>
          <w:szCs w:val="24"/>
        </w:rPr>
      </w:pPr>
    </w:p>
    <w:p>
      <w:pPr>
        <w:autoSpaceDE w:val="0"/>
        <w:autoSpaceDN w:val="0"/>
        <w:adjustRightInd w:val="0"/>
        <w:jc w:val="both"/>
        <w:rPr>
          <w:rFonts w:hint="eastAsia" w:ascii="新宋体" w:hAnsi="新宋体" w:eastAsia="新宋体" w:cs="新宋体"/>
          <w:b/>
          <w:kern w:val="0"/>
          <w:sz w:val="24"/>
          <w:szCs w:val="24"/>
        </w:rPr>
      </w:pPr>
    </w:p>
    <w:p>
      <w:pPr>
        <w:autoSpaceDE w:val="0"/>
        <w:autoSpaceDN w:val="0"/>
        <w:adjustRightInd w:val="0"/>
        <w:jc w:val="both"/>
        <w:rPr>
          <w:rFonts w:hint="eastAsia" w:ascii="新宋体" w:hAnsi="新宋体" w:eastAsia="新宋体" w:cs="新宋体"/>
          <w:b/>
          <w:kern w:val="0"/>
          <w:sz w:val="24"/>
          <w:szCs w:val="24"/>
        </w:rPr>
      </w:pPr>
    </w:p>
    <w:p>
      <w:pPr>
        <w:autoSpaceDE w:val="0"/>
        <w:autoSpaceDN w:val="0"/>
        <w:adjustRightInd w:val="0"/>
        <w:jc w:val="both"/>
        <w:rPr>
          <w:rFonts w:hint="eastAsia" w:ascii="新宋体" w:hAnsi="新宋体" w:eastAsia="新宋体" w:cs="新宋体"/>
          <w:b/>
          <w:kern w:val="0"/>
          <w:sz w:val="24"/>
          <w:szCs w:val="24"/>
        </w:rPr>
      </w:pPr>
    </w:p>
    <w:p>
      <w:pPr>
        <w:autoSpaceDE w:val="0"/>
        <w:autoSpaceDN w:val="0"/>
        <w:adjustRightInd w:val="0"/>
        <w:jc w:val="both"/>
        <w:rPr>
          <w:rFonts w:hint="eastAsia" w:ascii="新宋体" w:hAnsi="新宋体" w:eastAsia="新宋体" w:cs="新宋体"/>
          <w:b/>
          <w:kern w:val="0"/>
          <w:sz w:val="24"/>
          <w:szCs w:val="24"/>
        </w:rPr>
        <w:sectPr>
          <w:pgSz w:w="16838" w:h="11906" w:orient="landscape"/>
          <w:pgMar w:top="1588" w:right="2098" w:bottom="1474" w:left="1928" w:header="851" w:footer="992" w:gutter="0"/>
          <w:cols w:space="425" w:num="1"/>
          <w:docGrid w:type="lines" w:linePitch="312" w:charSpace="0"/>
        </w:sectPr>
      </w:pPr>
    </w:p>
    <w:p>
      <w:pPr>
        <w:autoSpaceDE w:val="0"/>
        <w:autoSpaceDN w:val="0"/>
        <w:adjustRightInd w:val="0"/>
        <w:jc w:val="both"/>
        <w:rPr>
          <w:rFonts w:hint="eastAsia" w:ascii="新宋体" w:hAnsi="新宋体" w:eastAsia="新宋体" w:cs="新宋体"/>
          <w:b/>
          <w:kern w:val="0"/>
          <w:sz w:val="24"/>
          <w:szCs w:val="24"/>
        </w:rPr>
      </w:pPr>
    </w:p>
    <w:p>
      <w:pPr>
        <w:autoSpaceDE w:val="0"/>
        <w:autoSpaceDN w:val="0"/>
        <w:adjustRightInd w:val="0"/>
        <w:jc w:val="both"/>
        <w:rPr>
          <w:rFonts w:hint="eastAsia" w:ascii="新宋体" w:hAnsi="新宋体" w:eastAsia="新宋体" w:cs="新宋体"/>
          <w:b/>
          <w:kern w:val="0"/>
          <w:sz w:val="24"/>
          <w:szCs w:val="24"/>
        </w:rPr>
      </w:pPr>
    </w:p>
    <w:p>
      <w:pPr>
        <w:numPr>
          <w:ilvl w:val="0"/>
          <w:numId w:val="4"/>
        </w:numPr>
        <w:autoSpaceDE w:val="0"/>
        <w:autoSpaceDN w:val="0"/>
        <w:adjustRightInd w:val="0"/>
        <w:ind w:left="0" w:leftChars="0" w:firstLine="0" w:firstLineChars="0"/>
        <w:jc w:val="center"/>
        <w:rPr>
          <w:rFonts w:hint="eastAsia" w:ascii="新宋体" w:hAnsi="新宋体" w:eastAsia="新宋体" w:cs="新宋体"/>
          <w:b/>
          <w:kern w:val="0"/>
          <w:sz w:val="30"/>
          <w:szCs w:val="30"/>
        </w:rPr>
      </w:pPr>
      <w:r>
        <w:rPr>
          <w:rFonts w:hint="eastAsia" w:ascii="新宋体" w:hAnsi="新宋体" w:eastAsia="新宋体" w:cs="新宋体"/>
          <w:b/>
          <w:kern w:val="0"/>
          <w:sz w:val="30"/>
          <w:szCs w:val="30"/>
        </w:rPr>
        <w:t>供应商须知前附表</w:t>
      </w:r>
    </w:p>
    <w:p>
      <w:pPr>
        <w:numPr>
          <w:ilvl w:val="0"/>
          <w:numId w:val="0"/>
        </w:numPr>
        <w:autoSpaceDE w:val="0"/>
        <w:autoSpaceDN w:val="0"/>
        <w:adjustRightInd w:val="0"/>
        <w:ind w:leftChars="0"/>
        <w:jc w:val="both"/>
        <w:rPr>
          <w:rFonts w:hint="eastAsia" w:cs="宋体" w:asciiTheme="majorEastAsia" w:hAnsiTheme="majorEastAsia" w:eastAsiaTheme="majorEastAsia"/>
          <w:b/>
          <w:kern w:val="0"/>
          <w:sz w:val="32"/>
          <w:szCs w:val="32"/>
        </w:rPr>
      </w:pPr>
    </w:p>
    <w:p>
      <w:pPr>
        <w:autoSpaceDE w:val="0"/>
        <w:autoSpaceDN w:val="0"/>
        <w:adjustRightInd w:val="0"/>
        <w:spacing w:line="360" w:lineRule="auto"/>
        <w:ind w:right="-11"/>
        <w:jc w:val="left"/>
        <w:rPr>
          <w:rFonts w:cs="宋体" w:asciiTheme="minorEastAsia" w:hAnsiTheme="minorEastAsia"/>
          <w:b/>
          <w:kern w:val="0"/>
          <w:szCs w:val="21"/>
        </w:rPr>
      </w:pPr>
      <w:r>
        <w:rPr>
          <w:rFonts w:hint="eastAsia" w:cs="微软雅黑"/>
          <w:b/>
          <w:color w:val="FF0000"/>
          <w:szCs w:val="21"/>
        </w:rPr>
        <w:t>谈判文件中凡标有</w:t>
      </w:r>
      <w:r>
        <w:rPr>
          <w:rFonts w:hint="eastAsia" w:cs="微软雅黑" w:asciiTheme="minorEastAsia" w:hAnsiTheme="minorEastAsia"/>
          <w:b/>
          <w:color w:val="FF0000"/>
          <w:szCs w:val="21"/>
        </w:rPr>
        <w:t>★</w:t>
      </w:r>
      <w:r>
        <w:rPr>
          <w:rFonts w:hint="eastAsia" w:cs="微软雅黑"/>
          <w:b/>
          <w:color w:val="FF0000"/>
          <w:szCs w:val="21"/>
        </w:rPr>
        <w:t>条款均为实质性要求条款，响应文件须完全响应，未实质响应的，按照无效报价处理。</w:t>
      </w:r>
    </w:p>
    <w:tbl>
      <w:tblPr>
        <w:tblStyle w:val="23"/>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81"/>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806"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序号</w:t>
            </w:r>
          </w:p>
        </w:tc>
        <w:tc>
          <w:tcPr>
            <w:tcW w:w="2281"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条款名称</w:t>
            </w:r>
          </w:p>
        </w:tc>
        <w:tc>
          <w:tcPr>
            <w:tcW w:w="6800"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w:t>
            </w:r>
          </w:p>
        </w:tc>
        <w:tc>
          <w:tcPr>
            <w:tcW w:w="2281"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采购项目</w:t>
            </w:r>
          </w:p>
        </w:tc>
        <w:tc>
          <w:tcPr>
            <w:tcW w:w="6800" w:type="dxa"/>
          </w:tcPr>
          <w:p>
            <w:pPr>
              <w:spacing w:line="600" w:lineRule="exact"/>
              <w:jc w:val="both"/>
              <w:rPr>
                <w:rFonts w:hint="eastAsia" w:cs="仿宋_GB2312" w:asciiTheme="minorEastAsia" w:hAnsiTheme="minorEastAsia"/>
                <w:szCs w:val="21"/>
              </w:rPr>
            </w:pPr>
            <w:r>
              <w:rPr>
                <w:rFonts w:hint="eastAsia" w:cs="仿宋_GB2312" w:asciiTheme="minorEastAsia" w:hAnsiTheme="minorEastAsia"/>
                <w:szCs w:val="21"/>
              </w:rPr>
              <w:t>项目名称：禹州市消防大队办公家具采购项目</w:t>
            </w:r>
          </w:p>
          <w:p>
            <w:pPr>
              <w:autoSpaceDE w:val="0"/>
              <w:autoSpaceDN w:val="0"/>
              <w:adjustRightInd w:val="0"/>
              <w:spacing w:line="360" w:lineRule="auto"/>
              <w:jc w:val="left"/>
              <w:rPr>
                <w:rFonts w:hint="default" w:cs="仿宋_GB2312" w:asciiTheme="minorEastAsia" w:hAnsiTheme="minorEastAsia"/>
                <w:szCs w:val="21"/>
                <w:lang w:val="en-US" w:eastAsia="zh-CN"/>
              </w:rPr>
            </w:pPr>
            <w:r>
              <w:rPr>
                <w:rFonts w:hint="eastAsia" w:cs="仿宋_GB2312" w:asciiTheme="minorEastAsia" w:hAnsiTheme="minorEastAsia"/>
                <w:szCs w:val="21"/>
              </w:rPr>
              <w:t>项目编号：</w:t>
            </w:r>
            <w:r>
              <w:rPr>
                <w:rFonts w:hint="eastAsia" w:cs="仿宋_GB2312" w:asciiTheme="minorEastAsia" w:hAnsiTheme="minorEastAsia"/>
                <w:szCs w:val="21"/>
                <w:lang w:val="en-US" w:eastAsia="zh-CN"/>
              </w:rPr>
              <w:t>YZCG-T2019226</w:t>
            </w:r>
          </w:p>
          <w:p>
            <w:pPr>
              <w:autoSpaceDE w:val="0"/>
              <w:autoSpaceDN w:val="0"/>
              <w:adjustRightInd w:val="0"/>
              <w:spacing w:line="360" w:lineRule="auto"/>
              <w:jc w:val="left"/>
              <w:rPr>
                <w:rFonts w:hint="default" w:cs="仿宋_GB2312" w:asciiTheme="minorEastAsia" w:hAnsiTheme="minorEastAsia"/>
                <w:szCs w:val="21"/>
                <w:lang w:val="en-US"/>
              </w:rPr>
            </w:pPr>
            <w:r>
              <w:rPr>
                <w:rFonts w:hint="eastAsia" w:cs="仿宋_GB2312" w:asciiTheme="minorEastAsia" w:hAnsiTheme="minorEastAsia"/>
                <w:szCs w:val="21"/>
                <w:lang w:eastAsia="zh-CN"/>
              </w:rPr>
              <w:t>工期：合同签订后</w:t>
            </w:r>
            <w:r>
              <w:rPr>
                <w:rFonts w:hint="eastAsia" w:cs="仿宋_GB2312" w:asciiTheme="minorEastAsia" w:hAnsiTheme="minorEastAsia"/>
                <w:szCs w:val="21"/>
                <w:lang w:val="en-US" w:eastAsia="zh-CN"/>
              </w:rPr>
              <w:t>3日内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1"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w:t>
            </w:r>
          </w:p>
        </w:tc>
        <w:tc>
          <w:tcPr>
            <w:tcW w:w="2281"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采购人</w:t>
            </w:r>
          </w:p>
        </w:tc>
        <w:tc>
          <w:tcPr>
            <w:tcW w:w="6800" w:type="dxa"/>
            <w:vAlign w:val="center"/>
          </w:tcPr>
          <w:p>
            <w:pPr>
              <w:keepNext w:val="0"/>
              <w:keepLines w:val="0"/>
              <w:pageBreakBefore w:val="0"/>
              <w:widowControl/>
              <w:shd w:val="clear" w:color="auto" w:fill="FFFFFF"/>
              <w:kinsoku/>
              <w:overflowPunct/>
              <w:bidi w:val="0"/>
              <w:spacing w:line="440" w:lineRule="exact"/>
              <w:jc w:val="left"/>
              <w:textAlignment w:val="auto"/>
              <w:rPr>
                <w:rFonts w:hint="eastAsia" w:cs="仿宋_GB2312" w:asciiTheme="minorEastAsia" w:hAnsiTheme="minorEastAsia"/>
                <w:szCs w:val="21"/>
              </w:rPr>
            </w:pPr>
            <w:r>
              <w:rPr>
                <w:rFonts w:hint="eastAsia" w:cs="仿宋_GB2312" w:asciiTheme="minorEastAsia" w:hAnsiTheme="minorEastAsia"/>
                <w:szCs w:val="21"/>
              </w:rPr>
              <w:t>名称：禹州市</w:t>
            </w:r>
            <w:r>
              <w:rPr>
                <w:rFonts w:hint="eastAsia" w:cs="仿宋_GB2312" w:asciiTheme="minorEastAsia" w:hAnsiTheme="minorEastAsia"/>
                <w:szCs w:val="21"/>
                <w:lang w:eastAsia="zh-CN"/>
              </w:rPr>
              <w:t>公安</w:t>
            </w:r>
            <w:r>
              <w:rPr>
                <w:rFonts w:hint="eastAsia" w:cs="仿宋_GB2312" w:asciiTheme="minorEastAsia" w:hAnsiTheme="minorEastAsia"/>
                <w:szCs w:val="21"/>
              </w:rPr>
              <w:t>消防大队</w:t>
            </w:r>
          </w:p>
          <w:p>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default" w:cs="仿宋_GB2312" w:asciiTheme="minorEastAsia" w:hAnsiTheme="minorEastAsia" w:eastAsiaTheme="minorEastAsia"/>
                <w:szCs w:val="21"/>
                <w:lang w:val="en-US" w:eastAsia="zh-CN"/>
              </w:rPr>
              <w:t>联系人：</w:t>
            </w:r>
            <w:r>
              <w:rPr>
                <w:rFonts w:hint="eastAsia" w:cs="仿宋_GB2312" w:asciiTheme="minorEastAsia" w:hAnsiTheme="minorEastAsia"/>
                <w:szCs w:val="21"/>
                <w:lang w:val="en-US" w:eastAsia="zh-CN"/>
              </w:rPr>
              <w:t>王</w:t>
            </w:r>
            <w:r>
              <w:rPr>
                <w:rFonts w:hint="default" w:cs="仿宋_GB2312" w:asciiTheme="minorEastAsia" w:hAnsiTheme="minorEastAsia" w:eastAsiaTheme="minorEastAsia"/>
                <w:szCs w:val="21"/>
                <w:lang w:val="en-US" w:eastAsia="zh-CN"/>
              </w:rPr>
              <w:t>先生     联系电话：</w:t>
            </w:r>
            <w:r>
              <w:rPr>
                <w:rFonts w:hint="eastAsia" w:cs="仿宋_GB2312" w:asciiTheme="minorEastAsia" w:hAnsiTheme="minorEastAsia"/>
                <w:szCs w:val="21"/>
                <w:lang w:val="en-US" w:eastAsia="zh-CN"/>
              </w:rPr>
              <w:t>13782211171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w:t>
            </w:r>
          </w:p>
        </w:tc>
        <w:tc>
          <w:tcPr>
            <w:tcW w:w="2281"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lang w:eastAsia="zh-CN"/>
              </w:rPr>
              <w:t>代理</w:t>
            </w:r>
            <w:r>
              <w:rPr>
                <w:rFonts w:hint="eastAsia" w:cs="仿宋_GB2312" w:asciiTheme="minorEastAsia" w:hAnsiTheme="minorEastAsia"/>
                <w:szCs w:val="21"/>
              </w:rPr>
              <w:t>机构</w:t>
            </w:r>
          </w:p>
        </w:tc>
        <w:tc>
          <w:tcPr>
            <w:tcW w:w="6800" w:type="dxa"/>
            <w:vAlign w:val="center"/>
          </w:tcPr>
          <w:p>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Cs w:val="21"/>
              </w:rPr>
              <w:t>名</w:t>
            </w:r>
            <w:r>
              <w:rPr>
                <w:rFonts w:hint="eastAsia" w:cs="仿宋_GB2312" w:asciiTheme="minorEastAsia" w:hAnsiTheme="minorEastAsia"/>
                <w:sz w:val="24"/>
                <w:szCs w:val="24"/>
              </w:rPr>
              <w:t>地址：禹州市行政服务中心楼9楼</w:t>
            </w:r>
          </w:p>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 w:val="24"/>
                <w:szCs w:val="24"/>
              </w:rPr>
              <w:t>联系人：</w:t>
            </w:r>
            <w:r>
              <w:rPr>
                <w:rFonts w:hint="eastAsia" w:cs="仿宋_GB2312" w:asciiTheme="minorEastAsia" w:hAnsiTheme="minorEastAsia"/>
                <w:sz w:val="24"/>
                <w:szCs w:val="24"/>
                <w:lang w:eastAsia="zh-CN"/>
              </w:rPr>
              <w:t>侯女士</w:t>
            </w:r>
            <w:r>
              <w:rPr>
                <w:rFonts w:hint="eastAsia" w:cs="仿宋_GB2312" w:asciiTheme="minorEastAsia" w:hAnsiTheme="minorEastAsia"/>
                <w:sz w:val="24"/>
                <w:szCs w:val="24"/>
              </w:rPr>
              <w:t xml:space="preserve">              电话：0374-2077111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4</w:t>
            </w:r>
          </w:p>
        </w:tc>
        <w:tc>
          <w:tcPr>
            <w:tcW w:w="2281"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供应商资格</w:t>
            </w:r>
          </w:p>
        </w:tc>
        <w:tc>
          <w:tcPr>
            <w:tcW w:w="6800" w:type="dxa"/>
            <w:vAlign w:val="center"/>
          </w:tcPr>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一、</w:t>
            </w:r>
            <w:r>
              <w:rPr>
                <w:rFonts w:cs="宋体" w:asciiTheme="minorEastAsia" w:hAnsiTheme="minorEastAsia"/>
                <w:b/>
                <w:bCs/>
                <w:szCs w:val="21"/>
                <w:lang w:val="zh-CN"/>
              </w:rPr>
              <w:t>法人或者其他组织的营业执照等证明文件，自然人的身份证明</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1、企业法人营业执照或营业执照。（企业提供）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2、事业单位法人证书。（事业单位提供）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3、执业许可证。（非企业专业服务机构提供）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4、个体工商户营业执照。（个体工商户提供）</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5、自然人身份证明。（自然人提供）</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6、民办非企业单位登记证书。（民办非企业单位提供）</w:t>
            </w:r>
          </w:p>
          <w:p>
            <w:pPr>
              <w:autoSpaceDE w:val="0"/>
              <w:autoSpaceDN w:val="0"/>
              <w:adjustRightInd w:val="0"/>
              <w:spacing w:line="360" w:lineRule="auto"/>
              <w:jc w:val="left"/>
              <w:rPr>
                <w:rFonts w:hint="eastAsia" w:cs="仿宋_GB2312" w:asciiTheme="minorEastAsia" w:hAnsiTheme="minorEastAsia"/>
                <w:b/>
                <w:szCs w:val="21"/>
              </w:rPr>
            </w:pPr>
            <w:r>
              <w:rPr>
                <w:rFonts w:hint="eastAsia" w:cs="仿宋_GB2312" w:asciiTheme="minorEastAsia" w:hAnsiTheme="minorEastAsia"/>
                <w:b/>
                <w:szCs w:val="21"/>
              </w:rPr>
              <w:t>二、财务状况报告相关材料</w:t>
            </w:r>
          </w:p>
          <w:p>
            <w:pPr>
              <w:autoSpaceDE w:val="0"/>
              <w:autoSpaceDN w:val="0"/>
              <w:adjustRightInd w:val="0"/>
              <w:spacing w:line="360" w:lineRule="auto"/>
              <w:jc w:val="left"/>
              <w:rPr>
                <w:rFonts w:asciiTheme="minorEastAsia" w:hAnsiTheme="minorEastAsia"/>
                <w:bCs/>
                <w:szCs w:val="21"/>
              </w:rPr>
            </w:pPr>
            <w:r>
              <w:rPr>
                <w:rFonts w:hint="eastAsia" w:asciiTheme="minorEastAsia" w:hAnsiTheme="minorEastAsia"/>
                <w:bCs/>
                <w:szCs w:val="21"/>
              </w:rPr>
              <w:t>（1）供应商是法人（法人包括企业法人、机关法人、事业单位法人和社会团体法人），提供本单位：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（2）供应商（其他组织和自然人）提供本单位：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autoSpaceDE w:val="0"/>
              <w:autoSpaceDN w:val="0"/>
              <w:adjustRightInd w:val="0"/>
              <w:spacing w:line="360" w:lineRule="auto"/>
              <w:ind w:right="-11"/>
              <w:rPr>
                <w:rFonts w:cs="宋体" w:asciiTheme="minorEastAsia" w:hAnsiTheme="minorEastAsia"/>
                <w:bCs/>
                <w:szCs w:val="21"/>
                <w:lang w:val="zh-CN"/>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autoSpaceDE w:val="0"/>
              <w:autoSpaceDN w:val="0"/>
              <w:adjustRightInd w:val="0"/>
              <w:spacing w:line="360" w:lineRule="auto"/>
              <w:ind w:right="-11"/>
              <w:rPr>
                <w:rFonts w:cs="宋体" w:asciiTheme="minorEastAsia" w:hAnsiTheme="minorEastAsia"/>
                <w:bCs/>
                <w:szCs w:val="21"/>
                <w:lang w:val="zh-CN"/>
              </w:rPr>
            </w:pPr>
            <w:r>
              <w:rPr>
                <w:rFonts w:hint="eastAsia" w:cs="仿宋_GB2312" w:asciiTheme="minorEastAsia" w:hAnsiTheme="minorEastAsia"/>
                <w:b/>
                <w:szCs w:val="21"/>
              </w:rPr>
              <w:t>三、依法缴纳税收相关材料</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参加本次政府采购项目谈判响应截止时间前</w:t>
            </w:r>
            <w:r>
              <w:rPr>
                <w:rFonts w:hint="eastAsia" w:cs="宋体" w:asciiTheme="minorEastAsia" w:hAnsiTheme="minorEastAsia"/>
                <w:bCs/>
                <w:szCs w:val="21"/>
                <w:lang w:val="zh-CN" w:eastAsia="zh-CN"/>
              </w:rPr>
              <w:t>三</w:t>
            </w:r>
            <w:r>
              <w:rPr>
                <w:rFonts w:hint="eastAsia" w:cs="宋体" w:asciiTheme="minorEastAsia" w:hAnsiTheme="minorEastAsia"/>
                <w:bCs/>
                <w:szCs w:val="21"/>
                <w:lang w:val="zh-CN"/>
              </w:rPr>
              <w:t>个月内任意一个月缴纳税收凭据。（依法免税的供应商，应提供相应文件证明依法免税）</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四、依法缴纳社会保障资金的证明材料</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参加本次政府采购项目谈判响应截止时间前三个月内任意一个月缴纳社会保险凭据。（依法不需要缴纳社会保障资金的供应商，应提供相应文件证明依法不需要缴纳社会保障资金）</w:t>
            </w:r>
          </w:p>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五、履行合同所必须的设备和专业技术能力的证明材料</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①相关设备的购置发票、专业技术人员职称证书、用工合同等；</w:t>
            </w:r>
          </w:p>
          <w:p>
            <w:pPr>
              <w:spacing w:line="360" w:lineRule="auto"/>
              <w:rPr>
                <w:rFonts w:asciiTheme="minorEastAsia" w:hAnsiTheme="minorEastAsia"/>
                <w:bCs/>
                <w:szCs w:val="21"/>
              </w:rPr>
            </w:pPr>
            <w:r>
              <w:rPr>
                <w:rFonts w:hint="eastAsia" w:asciiTheme="minorEastAsia" w:hAnsiTheme="minorEastAsia"/>
                <w:bCs/>
                <w:szCs w:val="21"/>
              </w:rPr>
              <w:t>②供应商具备履行合同所必须的设备和专业技术能力承诺函或声明（承诺函或声明格式自拟）。</w:t>
            </w:r>
          </w:p>
          <w:p>
            <w:pPr>
              <w:autoSpaceDE w:val="0"/>
              <w:autoSpaceDN w:val="0"/>
              <w:adjustRightInd w:val="0"/>
              <w:spacing w:line="360" w:lineRule="auto"/>
              <w:ind w:right="-11"/>
              <w:rPr>
                <w:rFonts w:ascii="楷体" w:hAnsi="楷体" w:eastAsia="楷体"/>
                <w:color w:val="00000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kern w:val="0"/>
                <w:szCs w:val="21"/>
              </w:rPr>
              <w:t>六、</w:t>
            </w:r>
            <w:r>
              <w:rPr>
                <w:rFonts w:cs="宋体" w:asciiTheme="minorEastAsia" w:hAnsiTheme="minorEastAsia"/>
                <w:b/>
                <w:bCs/>
                <w:szCs w:val="21"/>
                <w:lang w:val="zh-CN"/>
              </w:rPr>
              <w:t>参加政府采购活动前3年内在经营活动中没有重大违法记录的声明</w:t>
            </w:r>
          </w:p>
          <w:p>
            <w:pPr>
              <w:autoSpaceDE w:val="0"/>
              <w:autoSpaceDN w:val="0"/>
              <w:spacing w:line="360" w:lineRule="auto"/>
              <w:contextualSpacing/>
              <w:jc w:val="left"/>
              <w:rPr>
                <w:rFonts w:cs="宋体" w:asciiTheme="minorEastAsia" w:hAnsiTheme="minorEastAsia"/>
                <w:bCs/>
                <w:szCs w:val="21"/>
                <w:lang w:val="zh-CN"/>
              </w:rPr>
            </w:pPr>
            <w:r>
              <w:rPr>
                <w:rFonts w:hint="eastAsia" w:cs="宋体" w:asciiTheme="minorEastAsia" w:hAnsiTheme="minorEastAsia"/>
                <w:bCs/>
                <w:szCs w:val="21"/>
                <w:lang w:val="zh-CN"/>
              </w:rPr>
              <w:t>供应商“</w:t>
            </w:r>
            <w:r>
              <w:rPr>
                <w:rFonts w:cs="宋体" w:asciiTheme="minorEastAsia" w:hAnsiTheme="minorEastAsia"/>
                <w:bCs/>
                <w:szCs w:val="21"/>
                <w:lang w:val="zh-CN"/>
              </w:rPr>
              <w:t>参加政府采购活动前3年内在经营活动中没有重大违法记录的书面声明</w:t>
            </w:r>
            <w:r>
              <w:rPr>
                <w:rFonts w:hint="eastAsia" w:cs="宋体" w:asciiTheme="minorEastAsia" w:hAnsiTheme="minorEastAsia"/>
                <w:bCs/>
                <w:szCs w:val="21"/>
                <w:lang w:val="zh-CN"/>
              </w:rPr>
              <w:t>”。 重大违法记录，是指供应商因违法经营受到刑事处罚或者责令停产停业、吊销许可证或者执照、较大数额罚款等行政处罚。</w:t>
            </w:r>
          </w:p>
          <w:p>
            <w:pPr>
              <w:autoSpaceDE w:val="0"/>
              <w:autoSpaceDN w:val="0"/>
              <w:spacing w:line="360" w:lineRule="auto"/>
              <w:contextualSpacing/>
              <w:jc w:val="left"/>
              <w:rPr>
                <w:rFonts w:cs="宋体" w:asciiTheme="minorEastAsia" w:hAnsiTheme="minorEastAsia"/>
                <w:kern w:val="0"/>
                <w:szCs w:val="21"/>
              </w:rPr>
            </w:pPr>
            <w:r>
              <w:rPr>
                <w:rFonts w:hint="eastAsia" w:cs="宋体" w:asciiTheme="minorEastAsia" w:hAnsiTheme="minorEastAsia"/>
                <w:b/>
                <w:bCs/>
                <w:szCs w:val="21"/>
                <w:lang w:val="zh-CN"/>
              </w:rPr>
              <w:t>七、</w:t>
            </w:r>
            <w:r>
              <w:rPr>
                <w:rFonts w:cs="仿宋_GB2312" w:asciiTheme="minorEastAsia" w:hAnsiTheme="minorEastAsia"/>
                <w:b/>
                <w:color w:val="000000"/>
                <w:szCs w:val="21"/>
                <w:shd w:val="clear" w:color="auto" w:fill="FFFFFF"/>
              </w:rPr>
              <w:t>未被列入“信用中国”网站(www.creditchina.gov.cn)失信被执行人、重大税收违法案件当事人名单；</w:t>
            </w:r>
            <w:r>
              <w:rPr>
                <w:rFonts w:hint="eastAsia" w:cs="仿宋_GB2312" w:asciiTheme="minorEastAsia" w:hAnsiTheme="minorEastAsia"/>
                <w:b/>
                <w:color w:val="000000"/>
                <w:szCs w:val="21"/>
                <w:shd w:val="clear" w:color="auto" w:fill="FFFFFF"/>
              </w:rPr>
              <w:t>“</w:t>
            </w:r>
            <w:r>
              <w:rPr>
                <w:rFonts w:cs="仿宋_GB2312" w:asciiTheme="minorEastAsia" w:hAnsiTheme="minorEastAsia"/>
                <w:b/>
                <w:color w:val="000000"/>
                <w:szCs w:val="21"/>
                <w:shd w:val="clear" w:color="auto" w:fill="FFFFFF"/>
              </w:rPr>
              <w:t>中国政府采购网</w:t>
            </w:r>
            <w:r>
              <w:rPr>
                <w:rFonts w:hint="eastAsia" w:cs="仿宋_GB2312" w:asciiTheme="minorEastAsia" w:hAnsiTheme="minorEastAsia"/>
                <w:b/>
                <w:color w:val="000000"/>
                <w:szCs w:val="21"/>
                <w:shd w:val="clear" w:color="auto" w:fill="FFFFFF"/>
              </w:rPr>
              <w:t>”</w:t>
            </w:r>
            <w:r>
              <w:rPr>
                <w:rFonts w:cs="仿宋_GB2312" w:asciiTheme="minorEastAsia" w:hAnsiTheme="minorEastAsia"/>
                <w:b/>
                <w:color w:val="000000"/>
                <w:szCs w:val="21"/>
                <w:shd w:val="clear" w:color="auto" w:fill="FFFFFF"/>
              </w:rPr>
              <w:t xml:space="preserve"> (www.ccgp.gov.cn)政府采购严重违法失信行为记录名单的</w:t>
            </w:r>
            <w:r>
              <w:rPr>
                <w:rFonts w:hint="eastAsia" w:cs="仿宋_GB2312" w:asciiTheme="minorEastAsia" w:hAnsiTheme="minorEastAsia"/>
                <w:b/>
                <w:color w:val="000000"/>
                <w:szCs w:val="21"/>
                <w:shd w:val="clear" w:color="auto" w:fill="FFFFFF"/>
              </w:rPr>
              <w:t>供应商；“中国社会组织公共服务平台”网站（</w:t>
            </w:r>
            <w:r>
              <w:rPr>
                <w:rFonts w:cs="仿宋_GB2312" w:asciiTheme="minorEastAsia" w:hAnsiTheme="minorEastAsia"/>
                <w:b/>
                <w:color w:val="000000"/>
                <w:szCs w:val="21"/>
                <w:shd w:val="clear" w:color="auto" w:fill="FFFFFF"/>
              </w:rPr>
              <w:t>www.chinanpo.gov.cn</w:t>
            </w:r>
            <w:r>
              <w:rPr>
                <w:rFonts w:hint="eastAsia" w:cs="仿宋_GB2312" w:asciiTheme="minorEastAsia" w:hAnsiTheme="minorEastAsia"/>
                <w:b/>
                <w:color w:val="000000"/>
                <w:szCs w:val="21"/>
                <w:shd w:val="clear" w:color="auto" w:fill="FFFFFF"/>
              </w:rPr>
              <w:t>）严重违法失信社会组织名单的供应商（</w:t>
            </w:r>
            <w:r>
              <w:rPr>
                <w:rFonts w:hint="eastAsia" w:cs="宋体" w:asciiTheme="minorEastAsia" w:hAnsiTheme="minorEastAsia"/>
                <w:kern w:val="0"/>
                <w:szCs w:val="21"/>
              </w:rPr>
              <w:t>联合体形式响应的，联合体成员存在不良信用记录，视同联合体存在不良信用记录）。</w:t>
            </w:r>
          </w:p>
          <w:p>
            <w:pPr>
              <w:spacing w:line="360" w:lineRule="auto"/>
              <w:rPr>
                <w:rFonts w:cs="宋体" w:asciiTheme="minorEastAsia" w:hAnsiTheme="minorEastAsia"/>
                <w:kern w:val="0"/>
                <w:szCs w:val="21"/>
              </w:rPr>
            </w:pPr>
            <w:r>
              <w:rPr>
                <w:rFonts w:hint="eastAsia" w:cs="宋体" w:asciiTheme="minorEastAsia" w:hAnsiTheme="minorEastAsia"/>
                <w:kern w:val="0"/>
                <w:szCs w:val="21"/>
              </w:rPr>
              <w:t>1、查询渠道：</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①“信用中国”网站（</w:t>
            </w:r>
            <w:r>
              <w:fldChar w:fldCharType="begin"/>
            </w:r>
            <w:r>
              <w:instrText xml:space="preserve"> HYPERLINK "http://www.creditchina.gov.cn" </w:instrText>
            </w:r>
            <w:r>
              <w:fldChar w:fldCharType="separate"/>
            </w:r>
            <w:r>
              <w:rPr>
                <w:rFonts w:hint="eastAsia" w:cs="宋体"/>
                <w:kern w:val="0"/>
              </w:rPr>
              <w:t>www.creditchina.gov.cn</w:t>
            </w:r>
            <w:r>
              <w:rPr>
                <w:rFonts w:hint="eastAsia" w:cs="宋体"/>
                <w:kern w:val="0"/>
              </w:rPr>
              <w:fldChar w:fldCharType="end"/>
            </w:r>
            <w:r>
              <w:rPr>
                <w:rFonts w:hint="eastAsia" w:cs="宋体" w:asciiTheme="minorEastAsia" w:hAnsiTheme="minorEastAsia"/>
                <w:kern w:val="0"/>
                <w:szCs w:val="21"/>
              </w:rPr>
              <w:t>）</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②“中国政府采购网”（www.ccgp.gov.cn）</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③“中国社会组织公共服务平台”网站（</w:t>
            </w:r>
            <w:r>
              <w:rPr>
                <w:rFonts w:cs="宋体" w:asciiTheme="minorEastAsia" w:hAnsiTheme="minorEastAsia"/>
                <w:kern w:val="0"/>
                <w:szCs w:val="21"/>
              </w:rPr>
              <w:t>www.chinanpo.gov.cn</w:t>
            </w:r>
            <w:r>
              <w:rPr>
                <w:rFonts w:hint="eastAsia" w:cs="宋体" w:asciiTheme="minorEastAsia" w:hAnsiTheme="minorEastAsia"/>
                <w:kern w:val="0"/>
                <w:szCs w:val="21"/>
              </w:rPr>
              <w:t>）（仅查询社会组织）；</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2、截止时间：同谈判响应截止时间；</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3、信用信息查询记录和证据留存具体方式：经谈判小组确认的查询结果网页截图作为查询记录和证据，与其他采购文件一并保存；</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4、信用信息的使用原则：经谈判小组认定的被列入失信被执行人、重大税收违法案件当事人名单、政府采购严重违法失信行为记录名单、严重违法失信社会组织名单的供应商，将拒绝其参与本次政府采购活动。</w:t>
            </w:r>
          </w:p>
          <w:p>
            <w:pPr>
              <w:autoSpaceDE w:val="0"/>
              <w:autoSpaceDN w:val="0"/>
              <w:spacing w:line="360" w:lineRule="auto"/>
              <w:contextualSpacing/>
              <w:rPr>
                <w:rFonts w:hint="eastAsia" w:cs="宋体" w:asciiTheme="minorEastAsia" w:hAnsiTheme="minorEastAsia"/>
                <w:kern w:val="0"/>
                <w:szCs w:val="21"/>
                <w:lang w:val="en-US" w:eastAsia="zh-CN"/>
              </w:rPr>
            </w:pPr>
            <w:r>
              <w:rPr>
                <w:rFonts w:hint="eastAsia" w:cs="宋体" w:asciiTheme="minorEastAsia" w:hAnsiTheme="minorEastAsia"/>
                <w:kern w:val="0"/>
                <w:szCs w:val="21"/>
              </w:rPr>
              <w:t>5、供应商不良信用记录以谈判小组查询结果为准，谈判小组查询之后，网站信息发生的任何变更不再作为评审依据，供应商自行提供的与网站信息不一致的其他证明材料亦不作为评审依据。</w:t>
            </w:r>
          </w:p>
          <w:p>
            <w:pPr>
              <w:autoSpaceDE w:val="0"/>
              <w:autoSpaceDN w:val="0"/>
              <w:spacing w:line="360" w:lineRule="auto"/>
              <w:contextualSpacing/>
              <w:rPr>
                <w:rFonts w:hint="eastAsia" w:cs="仿宋_GB2312" w:asciiTheme="minorEastAsia" w:hAnsiTheme="minorEastAsia" w:eastAsiaTheme="minorEastAsia"/>
                <w:szCs w:val="21"/>
                <w:lang w:eastAsia="zh-CN"/>
              </w:rPr>
            </w:pPr>
            <w:r>
              <w:rPr>
                <w:rFonts w:hint="eastAsia" w:cs="宋体" w:asciiTheme="minorEastAsia" w:hAnsiTheme="minorEastAsia"/>
                <w:kern w:val="0"/>
                <w:szCs w:val="21"/>
                <w:lang w:val="en-US" w:eastAsia="zh-CN"/>
              </w:rPr>
              <w:t>6</w:t>
            </w:r>
            <w:r>
              <w:rPr>
                <w:rFonts w:hint="eastAsia" w:cs="宋体" w:asciiTheme="minorEastAsia" w:hAnsiTheme="minorEastAsia"/>
                <w:kern w:val="0"/>
                <w:szCs w:val="21"/>
              </w:rPr>
              <w:t>、被委托人是须是本单位职工，须提供公司为本人缴纳社会保险证明</w:t>
            </w:r>
            <w:r>
              <w:rPr>
                <w:rFonts w:hint="eastAsia" w:cs="宋体" w:asciiTheme="minorEastAsia" w:hAnsiTheme="minorEastAsia"/>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5</w:t>
            </w:r>
          </w:p>
        </w:tc>
        <w:tc>
          <w:tcPr>
            <w:tcW w:w="2281"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联合体响应</w:t>
            </w:r>
          </w:p>
        </w:tc>
        <w:tc>
          <w:tcPr>
            <w:tcW w:w="6800" w:type="dxa"/>
            <w:vAlign w:val="center"/>
          </w:tcPr>
          <w:p>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kern w:val="0"/>
                <w:szCs w:val="21"/>
              </w:rPr>
              <w:t>本项目</w:t>
            </w: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kern w:val="0"/>
                <w:szCs w:val="21"/>
              </w:rPr>
              <w:t>不接受</w:t>
            </w:r>
            <w:r>
              <w:rPr>
                <w:rFonts w:hint="eastAsia" w:cs="宋体" w:asciiTheme="minorEastAsia" w:hAnsiTheme="minorEastAsia"/>
                <w:bCs/>
                <w:szCs w:val="21"/>
                <w:lang w:val="zh-CN"/>
              </w:rPr>
              <w:t>□接受</w:t>
            </w:r>
            <w:r>
              <w:rPr>
                <w:rFonts w:hint="eastAsia" w:cs="宋体" w:asciiTheme="minorEastAsia" w:hAnsiTheme="minorEastAsia"/>
                <w:kern w:val="0"/>
                <w:szCs w:val="21"/>
              </w:rPr>
              <w:t>联合体响应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6</w:t>
            </w:r>
          </w:p>
        </w:tc>
        <w:tc>
          <w:tcPr>
            <w:tcW w:w="2281"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预算金额</w:t>
            </w:r>
          </w:p>
        </w:tc>
        <w:tc>
          <w:tcPr>
            <w:tcW w:w="6800" w:type="dxa"/>
            <w:vAlign w:val="center"/>
          </w:tcPr>
          <w:p>
            <w:pPr>
              <w:autoSpaceDE w:val="0"/>
              <w:autoSpaceDN w:val="0"/>
              <w:adjustRightInd w:val="0"/>
              <w:spacing w:line="276" w:lineRule="auto"/>
              <w:rPr>
                <w:rFonts w:hint="eastAsia" w:cs="宋体" w:asciiTheme="minorEastAsia" w:hAnsiTheme="minorEastAsia" w:eastAsiaTheme="minorEastAsia"/>
                <w:bCs/>
                <w:szCs w:val="21"/>
                <w:lang w:val="en-US" w:eastAsia="zh-CN"/>
              </w:rPr>
            </w:pPr>
            <w:r>
              <w:rPr>
                <w:rFonts w:hint="eastAsia" w:cs="宋体" w:asciiTheme="minorEastAsia" w:hAnsiTheme="minorEastAsia"/>
                <w:bCs/>
                <w:szCs w:val="21"/>
                <w:lang w:val="en-US" w:eastAsia="zh-CN"/>
              </w:rPr>
              <w:t>15.757万元，</w:t>
            </w:r>
            <w:r>
              <w:rPr>
                <w:rFonts w:hint="eastAsia" w:cs="宋体" w:asciiTheme="minorEastAsia" w:hAnsiTheme="minorEastAsia"/>
                <w:bCs/>
                <w:szCs w:val="21"/>
                <w:lang w:val="zh-CN"/>
              </w:rPr>
              <w:t>超出预算金额的响应无效</w:t>
            </w:r>
            <w:r>
              <w:rPr>
                <w:rFonts w:hint="eastAsia" w:cs="宋体" w:asciiTheme="minorEastAsia" w:hAnsiTheme="minorEastAsia"/>
                <w:bCs/>
                <w:szCs w:val="21"/>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7</w:t>
            </w:r>
          </w:p>
        </w:tc>
        <w:tc>
          <w:tcPr>
            <w:tcW w:w="2281"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现场考察</w:t>
            </w:r>
          </w:p>
        </w:tc>
        <w:tc>
          <w:tcPr>
            <w:tcW w:w="6800"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不组织</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bCs/>
                <w:szCs w:val="21"/>
                <w:lang w:val="zh-CN"/>
              </w:rPr>
              <w:t>组织，时间：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8</w:t>
            </w:r>
          </w:p>
        </w:tc>
        <w:tc>
          <w:tcPr>
            <w:tcW w:w="2281"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bCs/>
                <w:szCs w:val="21"/>
                <w:lang w:val="zh-CN"/>
              </w:rPr>
              <w:t>谈判</w:t>
            </w:r>
            <w:r>
              <w:rPr>
                <w:rFonts w:cs="宋体" w:asciiTheme="minorEastAsia" w:hAnsiTheme="minorEastAsia"/>
                <w:bCs/>
                <w:szCs w:val="21"/>
                <w:lang w:val="zh-CN"/>
              </w:rPr>
              <w:t>前答疑会</w:t>
            </w:r>
          </w:p>
        </w:tc>
        <w:tc>
          <w:tcPr>
            <w:tcW w:w="6800"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不召开</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9</w:t>
            </w:r>
          </w:p>
        </w:tc>
        <w:tc>
          <w:tcPr>
            <w:tcW w:w="2281"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进口产品参与</w:t>
            </w:r>
          </w:p>
        </w:tc>
        <w:tc>
          <w:tcPr>
            <w:tcW w:w="6800" w:type="dxa"/>
            <w:vAlign w:val="center"/>
          </w:tcPr>
          <w:p>
            <w:pPr>
              <w:autoSpaceDE w:val="0"/>
              <w:autoSpaceDN w:val="0"/>
              <w:adjustRightInd w:val="0"/>
              <w:spacing w:line="276" w:lineRule="auto"/>
              <w:rPr>
                <w:rFonts w:asciiTheme="minorEastAsia" w:hAnsiTheme="minorEastAsia"/>
                <w:szCs w:val="21"/>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10</w:t>
            </w:r>
          </w:p>
        </w:tc>
        <w:tc>
          <w:tcPr>
            <w:tcW w:w="2281"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谈判有效期</w:t>
            </w:r>
          </w:p>
        </w:tc>
        <w:tc>
          <w:tcPr>
            <w:tcW w:w="6800" w:type="dxa"/>
            <w:vAlign w:val="center"/>
          </w:tcPr>
          <w:p>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lang w:val="en-US" w:eastAsia="zh-CN"/>
              </w:rPr>
              <w:t>6</w:t>
            </w:r>
            <w:r>
              <w:rPr>
                <w:rFonts w:hint="eastAsia" w:cs="仿宋_GB2312" w:asciiTheme="minorEastAsia" w:hAnsiTheme="minorEastAsia"/>
                <w:szCs w:val="21"/>
              </w:rPr>
              <w:t>0天（自</w:t>
            </w:r>
            <w:r>
              <w:rPr>
                <w:rFonts w:hint="eastAsia" w:cs="宋体" w:asciiTheme="minorEastAsia" w:hAnsiTheme="minorEastAsia"/>
                <w:kern w:val="0"/>
                <w:szCs w:val="21"/>
              </w:rPr>
              <w:t>提交谈判响应文件的截止之日起算</w:t>
            </w:r>
            <w:r>
              <w:rPr>
                <w:rFonts w:hint="eastAsia" w:cs="仿宋_GB2312" w:asciiTheme="minorEastAsia" w:hAnsiTheme="minorEastAsia"/>
                <w:szCs w:val="21"/>
              </w:rPr>
              <w:t>）</w:t>
            </w:r>
          </w:p>
          <w:p>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lang w:val="zh-CN"/>
              </w:rPr>
              <w:t>成交供应商谈判</w:t>
            </w:r>
            <w:r>
              <w:rPr>
                <w:rFonts w:cs="仿宋_GB2312" w:asciiTheme="minorEastAsia" w:hAnsiTheme="minorEastAsia"/>
                <w:szCs w:val="21"/>
                <w:lang w:val="zh-CN"/>
              </w:rPr>
              <w:t>有效期延</w:t>
            </w:r>
            <w:r>
              <w:rPr>
                <w:rFonts w:hint="eastAsia" w:cs="仿宋_GB2312" w:asciiTheme="minorEastAsia" w:hAnsiTheme="minorEastAsia"/>
                <w:szCs w:val="21"/>
                <w:lang w:val="zh-CN"/>
              </w:rPr>
              <w:t>至合同</w:t>
            </w:r>
            <w:r>
              <w:rPr>
                <w:rFonts w:cs="仿宋_GB2312" w:asciiTheme="minorEastAsia" w:hAnsiTheme="minorEastAsia"/>
                <w:szCs w:val="21"/>
                <w:lang w:val="zh-CN"/>
              </w:rPr>
              <w:t>验收之日</w:t>
            </w:r>
            <w:r>
              <w:rPr>
                <w:rFonts w:hint="eastAsia" w:cs="仿宋_GB2312" w:asciiTheme="minorEastAsia" w:hAnsiTheme="minorEastAsia"/>
                <w:szCs w:val="21"/>
                <w:lang w:val="zh-CN"/>
              </w:rPr>
              <w:t>，</w:t>
            </w:r>
            <w:r>
              <w:rPr>
                <w:rFonts w:hint="eastAsia" w:cs="宋体" w:asciiTheme="minorEastAsia" w:hAnsiTheme="minorEastAsia"/>
                <w:kern w:val="0"/>
                <w:szCs w:val="21"/>
              </w:rPr>
              <w:t>成交供应商全部合同义务履行完毕为止。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11</w:t>
            </w:r>
          </w:p>
        </w:tc>
        <w:tc>
          <w:tcPr>
            <w:tcW w:w="2281" w:type="dxa"/>
            <w:vAlign w:val="center"/>
          </w:tcPr>
          <w:p>
            <w:pPr>
              <w:autoSpaceDE w:val="0"/>
              <w:autoSpaceDN w:val="0"/>
              <w:adjustRightInd w:val="0"/>
              <w:spacing w:line="360" w:lineRule="auto"/>
              <w:rPr>
                <w:rFonts w:cs="仿宋_GB2312" w:asciiTheme="minorEastAsia" w:hAnsiTheme="minorEastAsia"/>
                <w:szCs w:val="21"/>
              </w:rPr>
            </w:pPr>
            <w:r>
              <w:rPr>
                <w:rFonts w:hint="eastAsia" w:cs="宋体" w:asciiTheme="minorEastAsia" w:hAnsiTheme="minorEastAsia"/>
                <w:bCs/>
                <w:szCs w:val="21"/>
                <w:lang w:val="zh-CN"/>
              </w:rPr>
              <w:t>成交供应商</w:t>
            </w:r>
            <w:r>
              <w:rPr>
                <w:rFonts w:cs="宋体" w:asciiTheme="minorEastAsia" w:hAnsiTheme="minorEastAsia"/>
                <w:bCs/>
                <w:szCs w:val="21"/>
                <w:lang w:val="zh-CN"/>
              </w:rPr>
              <w:t>将本项目非主体、非关键性工作分包</w:t>
            </w:r>
          </w:p>
        </w:tc>
        <w:tc>
          <w:tcPr>
            <w:tcW w:w="6800" w:type="dxa"/>
            <w:vAlign w:val="center"/>
          </w:tcPr>
          <w:p>
            <w:pPr>
              <w:autoSpaceDE w:val="0"/>
              <w:autoSpaceDN w:val="0"/>
              <w:adjustRightInd w:val="0"/>
              <w:spacing w:line="276" w:lineRule="auto"/>
              <w:rPr>
                <w:rFonts w:cs="仿宋_GB2312" w:asciiTheme="minorEastAsia" w:hAnsiTheme="minorEastAsia"/>
                <w:szCs w:val="21"/>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cs="仿宋_GB2312"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12</w:t>
            </w:r>
          </w:p>
        </w:tc>
        <w:tc>
          <w:tcPr>
            <w:tcW w:w="2281" w:type="dxa"/>
            <w:vAlign w:val="center"/>
          </w:tcPr>
          <w:p>
            <w:pPr>
              <w:autoSpaceDE w:val="0"/>
              <w:autoSpaceDN w:val="0"/>
              <w:adjustRightInd w:val="0"/>
              <w:spacing w:line="360" w:lineRule="auto"/>
              <w:jc w:val="center"/>
              <w:rPr>
                <w:rFonts w:hint="eastAsia" w:cs="宋体" w:asciiTheme="minorEastAsia" w:hAnsiTheme="minorEastAsia"/>
                <w:bCs/>
                <w:szCs w:val="21"/>
                <w:lang w:val="zh-CN"/>
              </w:rPr>
            </w:pPr>
            <w:r>
              <w:rPr>
                <w:rFonts w:hint="eastAsia" w:cs="宋体" w:asciiTheme="minorEastAsia" w:hAnsiTheme="minorEastAsia"/>
                <w:bCs/>
                <w:szCs w:val="21"/>
                <w:lang w:val="zh-CN"/>
              </w:rPr>
              <w:t>谈判响应截止及</w:t>
            </w:r>
          </w:p>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谈判时间</w:t>
            </w:r>
          </w:p>
        </w:tc>
        <w:tc>
          <w:tcPr>
            <w:tcW w:w="6800" w:type="dxa"/>
            <w:vAlign w:val="center"/>
          </w:tcPr>
          <w:p>
            <w:pPr>
              <w:autoSpaceDE w:val="0"/>
              <w:autoSpaceDN w:val="0"/>
              <w:adjustRightInd w:val="0"/>
              <w:spacing w:line="360" w:lineRule="auto"/>
              <w:ind w:firstLine="210" w:firstLineChars="100"/>
              <w:rPr>
                <w:rFonts w:cs="宋体" w:asciiTheme="minorEastAsia" w:hAnsiTheme="minorEastAsia"/>
                <w:bCs/>
                <w:szCs w:val="21"/>
                <w:lang w:val="zh-CN"/>
              </w:rPr>
            </w:pPr>
            <w:r>
              <w:rPr>
                <w:rFonts w:hint="eastAsia" w:cs="宋体" w:asciiTheme="minorEastAsia" w:hAnsiTheme="minorEastAsia"/>
                <w:bCs/>
                <w:szCs w:val="21"/>
                <w:lang w:val="zh-CN"/>
              </w:rPr>
              <w:t>2019年</w:t>
            </w:r>
            <w:r>
              <w:rPr>
                <w:rFonts w:hint="eastAsia" w:cs="宋体" w:asciiTheme="minorEastAsia" w:hAnsiTheme="minorEastAsia"/>
                <w:bCs/>
                <w:szCs w:val="21"/>
                <w:lang w:val="en-US" w:eastAsia="zh-CN"/>
              </w:rPr>
              <w:t>11</w:t>
            </w:r>
            <w:r>
              <w:rPr>
                <w:rFonts w:hint="eastAsia" w:cs="宋体" w:asciiTheme="minorEastAsia" w:hAnsiTheme="minorEastAsia"/>
                <w:bCs/>
                <w:szCs w:val="21"/>
                <w:lang w:val="zh-CN"/>
              </w:rPr>
              <w:t>月</w:t>
            </w:r>
            <w:r>
              <w:rPr>
                <w:rFonts w:hint="eastAsia" w:cs="宋体" w:asciiTheme="minorEastAsia" w:hAnsiTheme="minorEastAsia"/>
                <w:bCs/>
                <w:szCs w:val="21"/>
                <w:lang w:val="en-US" w:eastAsia="zh-CN"/>
              </w:rPr>
              <w:t>25</w:t>
            </w:r>
            <w:r>
              <w:rPr>
                <w:rFonts w:hint="eastAsia" w:cs="宋体" w:asciiTheme="minorEastAsia" w:hAnsiTheme="minorEastAsia"/>
                <w:bCs/>
                <w:szCs w:val="21"/>
                <w:lang w:val="zh-CN"/>
              </w:rPr>
              <w:t>日</w:t>
            </w:r>
            <w:r>
              <w:rPr>
                <w:rFonts w:hint="eastAsia" w:cs="宋体" w:asciiTheme="minorEastAsia" w:hAnsiTheme="minorEastAsia"/>
                <w:bCs/>
                <w:szCs w:val="21"/>
                <w:lang w:val="en-US" w:eastAsia="zh-CN"/>
              </w:rPr>
              <w:t>9:30</w:t>
            </w:r>
            <w:r>
              <w:rPr>
                <w:rFonts w:hint="eastAsia" w:cs="宋体" w:asciiTheme="minorEastAsia" w:hAnsiTheme="minorEastAsia"/>
                <w:bCs/>
                <w:szCs w:val="21"/>
                <w:lang w:val="zh-CN"/>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13</w:t>
            </w:r>
          </w:p>
        </w:tc>
        <w:tc>
          <w:tcPr>
            <w:tcW w:w="2281"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递交谈判响应文件</w:t>
            </w:r>
          </w:p>
        </w:tc>
        <w:tc>
          <w:tcPr>
            <w:tcW w:w="6800" w:type="dxa"/>
            <w:vAlign w:val="center"/>
          </w:tcPr>
          <w:p>
            <w:pPr>
              <w:autoSpaceDE w:val="0"/>
              <w:autoSpaceDN w:val="0"/>
              <w:adjustRightInd w:val="0"/>
              <w:spacing w:line="360" w:lineRule="auto"/>
              <w:rPr>
                <w:rFonts w:hint="eastAsia" w:cs="宋体" w:asciiTheme="minorEastAsia" w:hAnsiTheme="minorEastAsia"/>
                <w:bCs/>
                <w:szCs w:val="21"/>
                <w:lang w:val="zh-CN" w:eastAsia="zh-CN"/>
              </w:rPr>
            </w:pPr>
            <w:r>
              <w:rPr>
                <w:rFonts w:hint="eastAsia" w:cs="宋体" w:asciiTheme="minorEastAsia" w:hAnsiTheme="minorEastAsia"/>
                <w:bCs/>
                <w:szCs w:val="21"/>
                <w:lang w:val="zh-CN" w:eastAsia="zh-CN"/>
              </w:rPr>
              <w:t>禹州市公共资源交易中心开标一室（地址：禹州市行政服务中心楼九楼）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14</w:t>
            </w:r>
          </w:p>
        </w:tc>
        <w:tc>
          <w:tcPr>
            <w:tcW w:w="2281"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kern w:val="0"/>
                <w:szCs w:val="21"/>
              </w:rPr>
              <w:t>谈判保证金</w:t>
            </w:r>
          </w:p>
        </w:tc>
        <w:tc>
          <w:tcPr>
            <w:tcW w:w="6800" w:type="dxa"/>
            <w:vAlign w:val="center"/>
          </w:tcPr>
          <w:p>
            <w:pPr>
              <w:numPr>
                <w:ilvl w:val="0"/>
                <w:numId w:val="0"/>
              </w:numPr>
              <w:tabs>
                <w:tab w:val="left" w:pos="1260"/>
              </w:tabs>
              <w:autoSpaceDE w:val="0"/>
              <w:autoSpaceDN w:val="0"/>
              <w:spacing w:line="360" w:lineRule="auto"/>
              <w:contextualSpacing/>
              <w:rPr>
                <w:rFonts w:hint="eastAsia" w:cs="仿宋_GB2312" w:asciiTheme="minorEastAsia" w:hAnsiTheme="minorEastAsia"/>
                <w:szCs w:val="21"/>
                <w:lang w:val="en-US" w:eastAsia="zh-CN"/>
              </w:rPr>
            </w:pPr>
            <w:r>
              <w:rPr>
                <w:rFonts w:hint="eastAsia" w:cs="仿宋_GB2312" w:asciiTheme="minorEastAsia" w:hAnsiTheme="minorEastAsia"/>
                <w:szCs w:val="21"/>
                <w:lang w:val="en-US" w:eastAsia="zh-CN"/>
              </w:rPr>
              <w:t>1.不收取。</w:t>
            </w:r>
          </w:p>
          <w:p>
            <w:pPr>
              <w:numPr>
                <w:ilvl w:val="0"/>
                <w:numId w:val="0"/>
              </w:numPr>
              <w:tabs>
                <w:tab w:val="left" w:pos="1260"/>
              </w:tabs>
              <w:autoSpaceDE w:val="0"/>
              <w:autoSpaceDN w:val="0"/>
              <w:spacing w:line="360" w:lineRule="auto"/>
              <w:contextualSpacing/>
              <w:rPr>
                <w:rFonts w:hint="default" w:cs="仿宋_GB2312" w:asciiTheme="minorEastAsia" w:hAnsiTheme="minorEastAsia"/>
                <w:szCs w:val="21"/>
                <w:lang w:val="en-US" w:eastAsia="zh-CN"/>
              </w:rPr>
            </w:pPr>
            <w:r>
              <w:rPr>
                <w:rFonts w:hint="eastAsia" w:cs="仿宋_GB2312" w:asciiTheme="minorEastAsia" w:hAnsiTheme="minorEastAsia"/>
                <w:szCs w:val="21"/>
                <w:lang w:val="en-US" w:eastAsia="zh-CN"/>
              </w:rPr>
              <w:t>2.投标人须做出承诺。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15</w:t>
            </w:r>
          </w:p>
        </w:tc>
        <w:tc>
          <w:tcPr>
            <w:tcW w:w="2281"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公告发布</w:t>
            </w:r>
          </w:p>
        </w:tc>
        <w:tc>
          <w:tcPr>
            <w:tcW w:w="6800" w:type="dxa"/>
            <w:tcBorders>
              <w:top w:val="single" w:color="auto" w:sz="4" w:space="0"/>
            </w:tcBorders>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color w:val="000000"/>
                <w:szCs w:val="21"/>
              </w:rPr>
              <w:t>谈判公告、成交公告、变更（更正）公告、现场勘察答复等相关信息同时在以下网站发布：《中国政府采购网》、《河南省政府采购网》、《全国公共资源交易平台（河南省·许昌市）》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16</w:t>
            </w:r>
          </w:p>
        </w:tc>
        <w:tc>
          <w:tcPr>
            <w:tcW w:w="2281"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仿宋_GB2312" w:asciiTheme="minorEastAsia" w:hAnsiTheme="minorEastAsia"/>
                <w:szCs w:val="21"/>
              </w:rPr>
              <w:t>采购人澄清或修改</w:t>
            </w:r>
          </w:p>
          <w:p>
            <w:pPr>
              <w:autoSpaceDE w:val="0"/>
              <w:autoSpaceDN w:val="0"/>
              <w:adjustRightInd w:val="0"/>
              <w:spacing w:line="360" w:lineRule="auto"/>
              <w:jc w:val="center"/>
              <w:rPr>
                <w:rFonts w:cs="黑体" w:asciiTheme="minorEastAsia" w:hAnsiTheme="minorEastAsia"/>
                <w:szCs w:val="21"/>
              </w:rPr>
            </w:pPr>
            <w:r>
              <w:rPr>
                <w:rFonts w:hint="eastAsia" w:cs="仿宋_GB2312" w:asciiTheme="minorEastAsia" w:hAnsiTheme="minorEastAsia"/>
                <w:szCs w:val="21"/>
              </w:rPr>
              <w:t>谈判文件时间</w:t>
            </w:r>
          </w:p>
        </w:tc>
        <w:tc>
          <w:tcPr>
            <w:tcW w:w="6800"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谈判响应截止时间3个工作日前（</w:t>
            </w:r>
            <w:r>
              <w:rPr>
                <w:rFonts w:hint="eastAsia" w:cs="仿宋_GB2312" w:asciiTheme="minorEastAsia" w:hAnsiTheme="minorEastAsia"/>
                <w:szCs w:val="21"/>
                <w:lang w:val="zh-CN"/>
              </w:rPr>
              <w:t>澄清内容可能影响谈判响应文件编制的）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17</w:t>
            </w:r>
          </w:p>
        </w:tc>
        <w:tc>
          <w:tcPr>
            <w:tcW w:w="2281"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供应商对采购文件</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质疑截止时间</w:t>
            </w:r>
          </w:p>
        </w:tc>
        <w:tc>
          <w:tcPr>
            <w:tcW w:w="6800"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谈判公告期满之日起七个工作日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18</w:t>
            </w:r>
          </w:p>
        </w:tc>
        <w:tc>
          <w:tcPr>
            <w:tcW w:w="2281"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响应文件份数</w:t>
            </w:r>
          </w:p>
        </w:tc>
        <w:tc>
          <w:tcPr>
            <w:tcW w:w="6800" w:type="dxa"/>
            <w:vAlign w:val="center"/>
          </w:tcPr>
          <w:p>
            <w:pPr>
              <w:autoSpaceDE w:val="0"/>
              <w:autoSpaceDN w:val="0"/>
              <w:adjustRightInd w:val="0"/>
              <w:spacing w:line="360" w:lineRule="auto"/>
              <w:rPr>
                <w:rFonts w:cs="宋体" w:asciiTheme="minorEastAsia" w:hAnsiTheme="minorEastAsia"/>
                <w:color w:val="000000"/>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电子响应文件：成功上传至《全国公共资源交易平台（河南省·许昌市）》公共资源交易系统加密电子响应文件1份</w:t>
            </w:r>
            <w:r>
              <w:rPr>
                <w:rFonts w:hint="eastAsia" w:hAnsi="宋体" w:cs="宋体"/>
                <w:szCs w:val="21"/>
                <w:lang w:val="zh-CN"/>
              </w:rPr>
              <w:t>（文件格式为： XXX公司XXX项目编号.file）。</w:t>
            </w:r>
            <w:r>
              <w:rPr>
                <w:rFonts w:hint="eastAsia" w:ascii="新宋体" w:hAnsi="新宋体" w:eastAsia="新宋体"/>
                <w:szCs w:val="21"/>
              </w:rPr>
              <w:t>使用电子介质存储的备份文件1份（文件格式为：名称为“备份”的文件夹）。</w:t>
            </w:r>
          </w:p>
          <w:p>
            <w:pPr>
              <w:autoSpaceDE w:val="0"/>
              <w:autoSpaceDN w:val="0"/>
              <w:adjustRightInd w:val="0"/>
              <w:spacing w:line="360" w:lineRule="auto"/>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纸质响应文件：</w:t>
            </w:r>
            <w:r>
              <w:rPr>
                <w:rFonts w:hint="eastAsia" w:cs="仿宋_GB2312" w:asciiTheme="minorEastAsia" w:hAnsiTheme="minorEastAsia"/>
                <w:szCs w:val="21"/>
              </w:rPr>
              <w:t>正本</w:t>
            </w:r>
            <w:r>
              <w:rPr>
                <w:rFonts w:hint="eastAsia" w:cs="仿宋_GB2312" w:asciiTheme="minorEastAsia" w:hAnsiTheme="minorEastAsia"/>
                <w:b/>
                <w:szCs w:val="21"/>
              </w:rPr>
              <w:t>一</w:t>
            </w:r>
            <w:r>
              <w:rPr>
                <w:rFonts w:hint="eastAsia" w:cs="仿宋_GB2312" w:asciiTheme="minorEastAsia" w:hAnsiTheme="minorEastAsia"/>
                <w:szCs w:val="21"/>
              </w:rPr>
              <w:t>份，</w:t>
            </w:r>
            <w:r>
              <w:rPr>
                <w:rFonts w:hint="eastAsia" w:ascii="新宋体" w:hAnsi="新宋体" w:eastAsia="新宋体"/>
                <w:szCs w:val="21"/>
              </w:rPr>
              <w:t>副本一份</w:t>
            </w:r>
            <w:r>
              <w:rPr>
                <w:rFonts w:hint="eastAsia" w:cs="仿宋_GB2312" w:asciiTheme="minorEastAsia" w:hAnsiTheme="minorEastAsia"/>
                <w:szCs w:val="21"/>
              </w:rPr>
              <w:t>。使用</w:t>
            </w:r>
            <w:r>
              <w:rPr>
                <w:rFonts w:hint="eastAsia" w:ascii="新宋体" w:hAnsi="新宋体" w:eastAsia="新宋体"/>
                <w:szCs w:val="21"/>
              </w:rPr>
              <w:t>格式为“投标文件（供打印）.PDF”的文件</w:t>
            </w:r>
          </w:p>
          <w:p>
            <w:pPr>
              <w:autoSpaceDE w:val="0"/>
              <w:autoSpaceDN w:val="0"/>
              <w:adjustRightInd w:val="0"/>
              <w:spacing w:line="360" w:lineRule="auto"/>
              <w:rPr>
                <w:rFonts w:cs="宋体" w:asciiTheme="minorEastAsia" w:hAnsiTheme="minorEastAsia"/>
                <w:bCs/>
                <w:szCs w:val="21"/>
                <w:highlight w:val="lightGray"/>
                <w:lang w:val="zh-CN"/>
              </w:rPr>
            </w:pPr>
            <w:r>
              <w:rPr>
                <w:rFonts w:hint="eastAsia" w:ascii="新宋体" w:hAnsi="新宋体" w:eastAsia="新宋体"/>
                <w:szCs w:val="21"/>
              </w:rPr>
              <w:t>电子响应文件和纸质响应文件的内容、格式、水印码、签章应一致。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19</w:t>
            </w:r>
          </w:p>
        </w:tc>
        <w:tc>
          <w:tcPr>
            <w:tcW w:w="2281"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响应文件的</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签署盖章</w:t>
            </w:r>
          </w:p>
        </w:tc>
        <w:tc>
          <w:tcPr>
            <w:tcW w:w="6800" w:type="dxa"/>
            <w:vAlign w:val="center"/>
          </w:tcPr>
          <w:p>
            <w:pPr>
              <w:autoSpaceDE w:val="0"/>
              <w:autoSpaceDN w:val="0"/>
              <w:adjustRightInd w:val="0"/>
              <w:spacing w:line="420" w:lineRule="exact"/>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电子响应文件：按谈判文件要求加盖供应商电子印章和法人电子印章。</w:t>
            </w:r>
          </w:p>
          <w:p>
            <w:pPr>
              <w:autoSpaceDE w:val="0"/>
              <w:autoSpaceDN w:val="0"/>
              <w:adjustRightInd w:val="0"/>
              <w:spacing w:line="420" w:lineRule="exact"/>
              <w:rPr>
                <w:rFonts w:cs="仿宋_GB2312" w:asciiTheme="minorEastAsia" w:hAnsiTheme="minorEastAsia"/>
                <w:szCs w:val="21"/>
                <w:highlight w:val="lightGray"/>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纸质响应文件：投标文件封面加盖供应商公章（响应文件是指供应商电子响应文件制作完成后生成的后缀名为</w:t>
            </w:r>
            <w:r>
              <w:rPr>
                <w:rFonts w:hint="eastAsia" w:hAnsi="宋体"/>
                <w:color w:val="000000"/>
                <w:szCs w:val="21"/>
              </w:rPr>
              <w:t>“.PDF”的文件</w:t>
            </w:r>
            <w:r>
              <w:rPr>
                <w:rFonts w:hint="eastAsia" w:ascii="新宋体" w:hAnsi="新宋体" w:eastAsia="新宋体"/>
                <w:szCs w:val="21"/>
              </w:rPr>
              <w:t>打印的纸质响应文件）。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20</w:t>
            </w:r>
          </w:p>
        </w:tc>
        <w:tc>
          <w:tcPr>
            <w:tcW w:w="2281"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黑体" w:asciiTheme="minorEastAsia" w:hAnsiTheme="minorEastAsia"/>
                <w:szCs w:val="21"/>
              </w:rPr>
              <w:t>谈判小组组建</w:t>
            </w:r>
          </w:p>
        </w:tc>
        <w:tc>
          <w:tcPr>
            <w:tcW w:w="6800" w:type="dxa"/>
            <w:vAlign w:val="center"/>
          </w:tcPr>
          <w:p>
            <w:pPr>
              <w:autoSpaceDE w:val="0"/>
              <w:autoSpaceDN w:val="0"/>
              <w:adjustRightInd w:val="0"/>
              <w:spacing w:line="360" w:lineRule="auto"/>
              <w:rPr>
                <w:rFonts w:cs="仿宋_GB2312" w:asciiTheme="minorEastAsia" w:hAnsiTheme="minorEastAsia"/>
                <w:szCs w:val="21"/>
                <w:lang w:val="zh-CN"/>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cs="仿宋_GB2312" w:asciiTheme="minorEastAsia" w:hAnsiTheme="minorEastAsia"/>
                <w:szCs w:val="21"/>
                <w:lang w:val="zh-CN"/>
              </w:rPr>
              <w:t>由采购人代表和评审专家组成，其中评审专家的人数不少于谈判小组成员总数的三分之二。评审专家从政府采购评审专家库中随机抽取。</w:t>
            </w:r>
          </w:p>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21</w:t>
            </w:r>
          </w:p>
        </w:tc>
        <w:tc>
          <w:tcPr>
            <w:tcW w:w="2281"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评审方法</w:t>
            </w:r>
          </w:p>
        </w:tc>
        <w:tc>
          <w:tcPr>
            <w:tcW w:w="6800" w:type="dxa"/>
            <w:vAlign w:val="center"/>
          </w:tcPr>
          <w:p>
            <w:pPr>
              <w:autoSpaceDE w:val="0"/>
              <w:autoSpaceDN w:val="0"/>
              <w:adjustRightInd w:val="0"/>
              <w:spacing w:line="360" w:lineRule="auto"/>
              <w:rPr>
                <w:rFonts w:ascii="新宋体" w:hAnsi="新宋体" w:eastAsia="新宋体"/>
                <w:szCs w:val="21"/>
              </w:rPr>
            </w:pPr>
            <w:r>
              <w:rPr>
                <w:rFonts w:hint="eastAsia"/>
                <w:color w:val="000000"/>
              </w:rPr>
              <w:t>质量和服务均能满足谈判文件实质性响应要求且最后报价最低的原则确定成交供应商</w:t>
            </w:r>
            <w:r>
              <w:rPr>
                <w:rFonts w:hint="eastAsia" w:ascii="新宋体" w:hAnsi="新宋体" w:eastAsia="新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22</w:t>
            </w:r>
          </w:p>
        </w:tc>
        <w:tc>
          <w:tcPr>
            <w:tcW w:w="2281"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授权函</w:t>
            </w:r>
          </w:p>
        </w:tc>
        <w:tc>
          <w:tcPr>
            <w:tcW w:w="6800"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采购单位委派代表参加谈判小组的，须向集中采购机构出具授权函。除授权代表外，采购单位委派纪检监察人员对谈判过程实施监督的须进入禹州市公共资源交易中心九楼电子监督室，并向集中采购机构机构出具授权函，且不得超过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23</w:t>
            </w:r>
          </w:p>
        </w:tc>
        <w:tc>
          <w:tcPr>
            <w:tcW w:w="2281"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履约保证金</w:t>
            </w:r>
          </w:p>
        </w:tc>
        <w:tc>
          <w:tcPr>
            <w:tcW w:w="6800"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无要求</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color w:val="333333"/>
                <w:szCs w:val="21"/>
              </w:rPr>
              <w:t>要求提交。履约保证金的数额为合同金额</w:t>
            </w:r>
            <w:r>
              <w:rPr>
                <w:rFonts w:hint="eastAsia" w:ascii="新宋体" w:hAnsi="新宋体" w:eastAsia="新宋体"/>
                <w:szCs w:val="21"/>
              </w:rPr>
              <w:t>的10%</w:t>
            </w:r>
            <w:r>
              <w:rPr>
                <w:rFonts w:hint="eastAsia" w:cs="宋体" w:asciiTheme="minorEastAsia" w:hAnsiTheme="minorEastAsia"/>
                <w:color w:val="333333"/>
                <w:szCs w:val="21"/>
              </w:rPr>
              <w:t>。成交供应商以支票、汇票、本票或者金融机构、担保机构出具的保函等非现金形式向采购人提交。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24</w:t>
            </w:r>
          </w:p>
        </w:tc>
        <w:tc>
          <w:tcPr>
            <w:tcW w:w="2281"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代理服务费</w:t>
            </w:r>
          </w:p>
        </w:tc>
        <w:tc>
          <w:tcPr>
            <w:tcW w:w="6800" w:type="dxa"/>
            <w:vAlign w:val="center"/>
          </w:tcPr>
          <w:p>
            <w:pPr>
              <w:autoSpaceDE w:val="0"/>
              <w:autoSpaceDN w:val="0"/>
              <w:spacing w:line="360" w:lineRule="auto"/>
              <w:contextualSpacing/>
              <w:rPr>
                <w:rFonts w:cs="宋体" w:asciiTheme="minorEastAsia" w:hAnsiTheme="minorEastAsia"/>
                <w:bCs/>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25</w:t>
            </w:r>
          </w:p>
        </w:tc>
        <w:tc>
          <w:tcPr>
            <w:tcW w:w="2281"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成交供应商需提交</w:t>
            </w:r>
          </w:p>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的资料</w:t>
            </w:r>
          </w:p>
        </w:tc>
        <w:tc>
          <w:tcPr>
            <w:tcW w:w="6800" w:type="dxa"/>
            <w:vAlign w:val="center"/>
          </w:tcPr>
          <w:p>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t>成交供应商在接到成交通知时，须</w:t>
            </w:r>
            <w:r>
              <w:rPr>
                <w:rFonts w:hint="eastAsia" w:ascii="新宋体" w:hAnsi="新宋体" w:eastAsia="新宋体"/>
                <w:szCs w:val="21"/>
              </w:rPr>
              <w:t>向</w:t>
            </w:r>
            <w:r>
              <w:rPr>
                <w:rFonts w:hint="eastAsia" w:ascii="新宋体" w:hAnsi="新宋体" w:eastAsia="新宋体"/>
                <w:szCs w:val="21"/>
                <w:lang w:eastAsia="zh-CN"/>
              </w:rPr>
              <w:t>禹州</w:t>
            </w:r>
            <w:r>
              <w:rPr>
                <w:rFonts w:hint="eastAsia" w:ascii="新宋体" w:hAnsi="新宋体" w:eastAsia="新宋体"/>
                <w:szCs w:val="21"/>
              </w:rPr>
              <w:t>市公共资源交易中心交易见证部发</w:t>
            </w:r>
            <w:r>
              <w:rPr>
                <w:rFonts w:hint="eastAsia" w:cs="宋体" w:asciiTheme="minorEastAsia" w:hAnsiTheme="minorEastAsia"/>
                <w:bCs/>
                <w:szCs w:val="21"/>
                <w:lang w:val="zh-CN"/>
              </w:rPr>
              <w:t>送响应报价及分项报价一览表（包含主要成交标的的名称、规格型号、数量、单价、服务要求等）电子文档，并同时电话告知交易见证部。</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 xml:space="preserve"> </w:t>
            </w:r>
            <w:r>
              <w:rPr>
                <w:rFonts w:hint="eastAsia" w:cs="宋体" w:asciiTheme="minorEastAsia" w:hAnsiTheme="minorEastAsia"/>
                <w:bCs/>
                <w:sz w:val="24"/>
                <w:szCs w:val="24"/>
                <w:lang w:val="zh-CN"/>
              </w:rPr>
              <w:t>联系电话：</w:t>
            </w:r>
            <w:r>
              <w:rPr>
                <w:rFonts w:hint="eastAsia" w:cs="宋体" w:asciiTheme="minorEastAsia" w:hAnsiTheme="minorEastAsia"/>
                <w:bCs/>
                <w:color w:val="FF0000"/>
                <w:sz w:val="24"/>
                <w:szCs w:val="24"/>
                <w:lang w:val="zh-CN"/>
              </w:rPr>
              <w:t>0374-</w:t>
            </w:r>
            <w:r>
              <w:rPr>
                <w:rFonts w:hint="eastAsia" w:cs="宋体" w:asciiTheme="minorEastAsia" w:hAnsiTheme="minorEastAsia"/>
                <w:bCs/>
                <w:color w:val="FF0000"/>
                <w:sz w:val="24"/>
                <w:szCs w:val="24"/>
              </w:rPr>
              <w:t>2077772</w:t>
            </w:r>
            <w:r>
              <w:rPr>
                <w:rFonts w:hint="eastAsia" w:cs="宋体" w:asciiTheme="minorEastAsia" w:hAnsiTheme="minorEastAsia"/>
                <w:bCs/>
                <w:color w:val="FF0000"/>
                <w:sz w:val="24"/>
                <w:szCs w:val="24"/>
                <w:lang w:val="zh-CN"/>
              </w:rPr>
              <w:t>，邮箱：</w:t>
            </w:r>
            <w:r>
              <w:rPr>
                <w:rFonts w:hint="eastAsia" w:cs="宋体" w:asciiTheme="minorEastAsia" w:hAnsiTheme="minorEastAsia"/>
                <w:bCs/>
                <w:color w:val="FF0000"/>
                <w:sz w:val="24"/>
                <w:szCs w:val="24"/>
              </w:rPr>
              <w:t>Y</w:t>
            </w:r>
            <w:r>
              <w:rPr>
                <w:rFonts w:hint="eastAsia" w:cs="宋体" w:asciiTheme="minorEastAsia" w:hAnsiTheme="minorEastAsia"/>
                <w:bCs/>
                <w:color w:val="FF0000"/>
                <w:sz w:val="24"/>
                <w:szCs w:val="24"/>
                <w:lang w:val="en-US" w:eastAsia="zh-CN"/>
              </w:rPr>
              <w:t>Z</w:t>
            </w:r>
            <w:r>
              <w:rPr>
                <w:rFonts w:hint="eastAsia" w:cs="宋体" w:asciiTheme="minorEastAsia" w:hAnsiTheme="minorEastAsia"/>
                <w:bCs/>
                <w:color w:val="FF0000"/>
                <w:sz w:val="24"/>
                <w:szCs w:val="24"/>
              </w:rPr>
              <w:t>GGZY2076770</w:t>
            </w:r>
            <w:r>
              <w:rPr>
                <w:rFonts w:hint="eastAsia" w:cs="宋体" w:asciiTheme="minorEastAsia" w:hAnsiTheme="minorEastAsia"/>
                <w:bCs/>
                <w:color w:val="FF0000"/>
                <w:sz w:val="24"/>
                <w:szCs w:val="24"/>
                <w:lang w:val="zh-CN"/>
              </w:rPr>
              <w:t>@163.com。</w:t>
            </w:r>
            <w:r>
              <w:rPr>
                <w:rFonts w:hint="eastAsia" w:cs="宋体" w:asciiTheme="minorEastAsia" w:hAnsiTheme="minorEastAsia"/>
                <w:bCs/>
                <w:szCs w:val="21"/>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26</w:t>
            </w:r>
          </w:p>
        </w:tc>
        <w:tc>
          <w:tcPr>
            <w:tcW w:w="2281"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电子化采购模式</w:t>
            </w:r>
          </w:p>
        </w:tc>
        <w:tc>
          <w:tcPr>
            <w:tcW w:w="6800" w:type="dxa"/>
            <w:vAlign w:val="center"/>
          </w:tcPr>
          <w:p>
            <w:pPr>
              <w:autoSpaceDE w:val="0"/>
              <w:autoSpaceDN w:val="0"/>
              <w:adjustRightInd w:val="0"/>
              <w:spacing w:line="360" w:lineRule="auto"/>
              <w:contextualSpacing/>
              <w:rPr>
                <w:rFonts w:hAnsi="宋体" w:cs="宋体"/>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是。</w:t>
            </w:r>
            <w:r>
              <w:rPr>
                <w:rFonts w:hint="eastAsia" w:hAnsi="宋体" w:cs="宋体"/>
                <w:szCs w:val="21"/>
                <w:lang w:val="zh-CN"/>
              </w:rPr>
              <w:t>供应商响应时须提供加密电子响应文件、备份文件（使用电子介质存储）、纸质响应文件。供应商资质、业绩、荣誉及相关人员证明材料等资料原件谈判响应文件递交现场不再提供（本谈判文件第六章另有要求提供原件的除外）。</w:t>
            </w:r>
          </w:p>
          <w:p>
            <w:pPr>
              <w:autoSpaceDE w:val="0"/>
              <w:autoSpaceDN w:val="0"/>
              <w:adjustRightInd w:val="0"/>
              <w:spacing w:line="360" w:lineRule="auto"/>
              <w:contextualSpacing/>
              <w:rPr>
                <w:rFonts w:cs="宋体" w:asciiTheme="minorEastAsia" w:hAnsiTheme="minorEastAsia"/>
                <w:bCs/>
                <w:szCs w:val="21"/>
                <w:lang w:val="zh-CN"/>
              </w:rPr>
            </w:pPr>
            <w:r>
              <w:rPr>
                <w:rFonts w:hint="eastAsia" w:hAnsi="宋体" w:cs="宋体"/>
                <w:szCs w:val="21"/>
                <w:lang w:val="zh-CN"/>
              </w:rPr>
              <w:t>□否。供应商响应时须提供纸质响应文件。供应商资质、业绩、荣誉及相关人员证明材料等资料原件根据谈判文件要求提供。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27</w:t>
            </w:r>
          </w:p>
        </w:tc>
        <w:tc>
          <w:tcPr>
            <w:tcW w:w="2281"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特别提示</w:t>
            </w:r>
          </w:p>
        </w:tc>
        <w:tc>
          <w:tcPr>
            <w:tcW w:w="6800" w:type="dxa"/>
            <w:vAlign w:val="center"/>
          </w:tcPr>
          <w:p>
            <w:pPr>
              <w:autoSpaceDE w:val="0"/>
              <w:autoSpaceDN w:val="0"/>
              <w:adjustRightInd w:val="0"/>
              <w:spacing w:line="360" w:lineRule="auto"/>
              <w:contextualSpacing/>
              <w:rPr>
                <w:rFonts w:ascii="ˎ̥" w:hAnsi="ˎ̥"/>
              </w:rPr>
            </w:pPr>
            <w:r>
              <w:rPr>
                <w:rFonts w:hint="eastAsia" w:ascii="ˎ̥" w:hAnsi="ˎ̥"/>
              </w:rPr>
              <w:t>按照《关于推进全流程电子化交易和在线监管工作有关问题的通知》（许公管办[2019]3号）规定：</w:t>
            </w:r>
          </w:p>
          <w:p>
            <w:pPr>
              <w:autoSpaceDE w:val="0"/>
              <w:autoSpaceDN w:val="0"/>
              <w:adjustRightInd w:val="0"/>
              <w:spacing w:line="360" w:lineRule="auto"/>
              <w:contextualSpacing/>
              <w:rPr>
                <w:rFonts w:ascii="ˎ̥" w:hAnsi="ˎ̥"/>
              </w:rPr>
            </w:pPr>
            <w:r>
              <w:rPr>
                <w:rFonts w:hint="eastAsia" w:ascii="ˎ̥" w:hAnsi="ˎ̥"/>
              </w:rPr>
              <w:t>不同供应商电子响应文件制作硬件特征码（网卡MAC地址、CPU序号、硬盘序列号等）雷同时，视为‘</w:t>
            </w:r>
            <w:r>
              <w:rPr>
                <w:rFonts w:ascii="ˎ̥" w:hAnsi="ˎ̥"/>
              </w:rPr>
              <w:t>不同</w:t>
            </w:r>
            <w:r>
              <w:rPr>
                <w:rFonts w:hint="eastAsia" w:ascii="ˎ̥" w:hAnsi="ˎ̥"/>
              </w:rPr>
              <w:t>供应商</w:t>
            </w:r>
            <w:r>
              <w:rPr>
                <w:rFonts w:ascii="ˎ̥" w:hAnsi="ˎ̥"/>
              </w:rPr>
              <w:t>的</w:t>
            </w:r>
            <w:r>
              <w:rPr>
                <w:rFonts w:hint="eastAsia" w:ascii="ˎ̥" w:hAnsi="ˎ̥"/>
              </w:rPr>
              <w:t>响应</w:t>
            </w:r>
            <w:r>
              <w:rPr>
                <w:rFonts w:ascii="ˎ̥" w:hAnsi="ˎ̥"/>
              </w:rPr>
              <w:t>文件由同一单位或者个人编制</w:t>
            </w:r>
            <w:r>
              <w:rPr>
                <w:rFonts w:hint="eastAsia" w:ascii="ˎ̥" w:hAnsi="ˎ̥"/>
              </w:rPr>
              <w:t>’或‘</w:t>
            </w:r>
            <w:r>
              <w:rPr>
                <w:rFonts w:ascii="ˎ̥" w:hAnsi="ˎ̥"/>
              </w:rPr>
              <w:t>不同</w:t>
            </w:r>
            <w:r>
              <w:rPr>
                <w:rFonts w:hint="eastAsia" w:ascii="ˎ̥" w:hAnsi="ˎ̥"/>
              </w:rPr>
              <w:t>供应商</w:t>
            </w:r>
            <w:r>
              <w:rPr>
                <w:rFonts w:ascii="ˎ̥" w:hAnsi="ˎ̥"/>
              </w:rPr>
              <w:t>委托同一单位或者个人办理</w:t>
            </w:r>
            <w:r>
              <w:rPr>
                <w:rFonts w:hint="eastAsia" w:ascii="ˎ̥" w:hAnsi="ˎ̥"/>
              </w:rPr>
              <w:t>响应</w:t>
            </w:r>
            <w:r>
              <w:rPr>
                <w:rFonts w:ascii="ˎ̥" w:hAnsi="ˎ̥"/>
              </w:rPr>
              <w:t>事宜</w:t>
            </w:r>
            <w:r>
              <w:rPr>
                <w:rFonts w:hint="eastAsia" w:ascii="ˎ̥" w:hAnsi="ˎ̥"/>
              </w:rPr>
              <w:t>’，其谈判响应无效。</w:t>
            </w:r>
          </w:p>
          <w:p>
            <w:pPr>
              <w:autoSpaceDE w:val="0"/>
              <w:autoSpaceDN w:val="0"/>
              <w:adjustRightInd w:val="0"/>
              <w:spacing w:line="360" w:lineRule="auto"/>
              <w:contextualSpacing/>
              <w:rPr>
                <w:rFonts w:hAnsi="宋体" w:cs="宋体"/>
                <w:szCs w:val="21"/>
                <w:lang w:val="zh-CN"/>
              </w:rPr>
            </w:pPr>
            <w:r>
              <w:rPr>
                <w:rFonts w:hint="eastAsia" w:ascii="ˎ̥" w:hAnsi="ˎ̥"/>
              </w:rPr>
              <w:t>评审专家应严格按照要求查看“硬件特征码”相关信息并进行评审，在评审报告中显示“不同供应商电子响应文件制作硬件特征码”是否雷同的分析及判定结果。</w:t>
            </w:r>
          </w:p>
        </w:tc>
      </w:tr>
    </w:tbl>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both"/>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供应商须知</w:t>
      </w:r>
    </w:p>
    <w:p>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pPr>
        <w:tabs>
          <w:tab w:val="left" w:pos="1260"/>
        </w:tabs>
        <w:autoSpaceDE w:val="0"/>
        <w:autoSpaceDN w:val="0"/>
        <w:adjustRightInd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一、概念释义</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适用范围</w:t>
      </w:r>
    </w:p>
    <w:p>
      <w:pPr>
        <w:pStyle w:val="44"/>
        <w:numPr>
          <w:ilvl w:val="0"/>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本谈判文件仅适用于本次“采购邀请”</w:t>
      </w:r>
      <w:r>
        <w:rPr>
          <w:rFonts w:hint="eastAsia" w:ascii="宋体" w:hAnsi="宋体"/>
          <w:szCs w:val="21"/>
        </w:rPr>
        <w:t xml:space="preserve"> 和“供应商须知前附表”中所述采购项目的采购。</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本谈判文件解释权属于“采购邀请”</w:t>
      </w:r>
      <w:r>
        <w:rPr>
          <w:rFonts w:hint="eastAsia" w:ascii="宋体" w:hAnsi="宋体"/>
          <w:szCs w:val="21"/>
        </w:rPr>
        <w:t xml:space="preserve"> 和“供应商须知前附表”</w:t>
      </w:r>
      <w:r>
        <w:rPr>
          <w:rFonts w:hint="eastAsia" w:cs="宋体" w:asciiTheme="minorEastAsia" w:hAnsiTheme="minorEastAsia"/>
          <w:kern w:val="0"/>
          <w:szCs w:val="21"/>
        </w:rPr>
        <w:t>所述的采购人、集中采购机构。</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定义</w:t>
      </w:r>
    </w:p>
    <w:p>
      <w:pPr>
        <w:pStyle w:val="44"/>
        <w:numPr>
          <w:ilvl w:val="0"/>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“采购项目”：</w:t>
      </w:r>
      <w:r>
        <w:rPr>
          <w:rFonts w:hint="eastAsia" w:ascii="宋体" w:hAnsi="宋体"/>
          <w:szCs w:val="21"/>
        </w:rPr>
        <w:t xml:space="preserve"> 系指</w:t>
      </w:r>
      <w:r>
        <w:rPr>
          <w:rFonts w:hint="eastAsia" w:cs="宋体" w:asciiTheme="minorEastAsia" w:hAnsiTheme="minorEastAsia"/>
          <w:kern w:val="0"/>
          <w:szCs w:val="21"/>
        </w:rPr>
        <w:t>“供应商须知前附表”中所述的采购项目。</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w:t>
      </w:r>
      <w:r>
        <w:rPr>
          <w:rFonts w:hint="eastAsia" w:ascii="宋体" w:hAnsi="宋体"/>
          <w:szCs w:val="21"/>
        </w:rPr>
        <w:t>系指“供应商须知前附表”中所述的组织本次采购的集中采购机构和采购人。</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“供应商”系指从采购人、集中采购机构处按规定获取谈判文件，并按照谈判文件向采购人、集中采购机构提交响应文件的供应商。</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“成交供应商”系指成交的供应商。</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color w:val="000000"/>
          <w:szCs w:val="21"/>
        </w:rPr>
        <w:t>“甲方”系指采购人。</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“乙方”系指成交并向采购人提供服务的供应商。</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“服务”系指磋商文件规定的供应商为完成采购项目所需承担的全部义务。</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“进口产品”：是指通过中国海关报关验放进入中国境内且产自关境外的产品，包括已经进入中国境内的进口产品。详见《</w:t>
      </w:r>
      <w:r>
        <w:rPr>
          <w:rFonts w:cs="宋体" w:asciiTheme="minorEastAsia" w:hAnsiTheme="minorEastAsia"/>
          <w:kern w:val="0"/>
          <w:szCs w:val="21"/>
        </w:rPr>
        <w:t>关于政府采购进口产品管理有关问题的通知</w:t>
      </w:r>
      <w:r>
        <w:rPr>
          <w:rFonts w:hint="eastAsia" w:cs="宋体" w:asciiTheme="minorEastAsia" w:hAnsiTheme="minorEastAsia"/>
          <w:kern w:val="0"/>
          <w:szCs w:val="21"/>
        </w:rPr>
        <w:t>》(财库[2007]119号)、《关于政府采购进口产品管理有关问题的通知》（财办库［</w:t>
      </w:r>
      <w:r>
        <w:rPr>
          <w:rFonts w:cs="宋体" w:asciiTheme="minorEastAsia" w:hAnsiTheme="minorEastAsia"/>
          <w:kern w:val="0"/>
          <w:szCs w:val="21"/>
        </w:rPr>
        <w:t>2008</w:t>
      </w:r>
      <w:r>
        <w:rPr>
          <w:rFonts w:hint="eastAsia" w:cs="宋体" w:asciiTheme="minorEastAsia" w:hAnsiTheme="minorEastAsia"/>
          <w:kern w:val="0"/>
          <w:szCs w:val="21"/>
        </w:rPr>
        <w:t>］</w:t>
      </w:r>
      <w:r>
        <w:rPr>
          <w:rFonts w:cs="宋体" w:asciiTheme="minorEastAsia" w:hAnsiTheme="minorEastAsia"/>
          <w:kern w:val="0"/>
          <w:szCs w:val="21"/>
        </w:rPr>
        <w:t xml:space="preserve">248 </w:t>
      </w:r>
      <w:r>
        <w:rPr>
          <w:rFonts w:hint="eastAsia" w:cs="宋体" w:asciiTheme="minorEastAsia" w:hAnsiTheme="minorEastAsia"/>
          <w:kern w:val="0"/>
          <w:szCs w:val="21"/>
        </w:rPr>
        <w:t>号）。</w:t>
      </w:r>
    </w:p>
    <w:p>
      <w:pPr>
        <w:autoSpaceDE w:val="0"/>
        <w:autoSpaceDN w:val="0"/>
        <w:spacing w:line="360" w:lineRule="auto"/>
        <w:ind w:left="840" w:leftChars="400"/>
        <w:contextualSpacing/>
        <w:rPr>
          <w:rFonts w:cs="宋体" w:asciiTheme="minorEastAsia" w:hAnsiTheme="minorEastAsia"/>
          <w:kern w:val="0"/>
          <w:szCs w:val="21"/>
        </w:rPr>
      </w:pPr>
      <w:r>
        <w:rPr>
          <w:rFonts w:hint="eastAsia" w:cs="宋体" w:asciiTheme="minorEastAsia" w:hAnsiTheme="minorEastAsia"/>
          <w:kern w:val="0"/>
          <w:szCs w:val="21"/>
        </w:rPr>
        <w:t>2.8.1  谈判</w:t>
      </w:r>
      <w:r>
        <w:rPr>
          <w:rFonts w:cs="宋体" w:asciiTheme="minorEastAsia" w:hAnsiTheme="minorEastAsia"/>
          <w:kern w:val="0"/>
          <w:szCs w:val="21"/>
        </w:rPr>
        <w:t>文件列明不允许或未列明允许进口产品参加</w:t>
      </w:r>
      <w:r>
        <w:rPr>
          <w:rFonts w:hint="eastAsia" w:cs="宋体" w:asciiTheme="minorEastAsia" w:hAnsiTheme="minorEastAsia"/>
          <w:kern w:val="0"/>
          <w:szCs w:val="21"/>
        </w:rPr>
        <w:t>响应</w:t>
      </w:r>
      <w:r>
        <w:rPr>
          <w:rFonts w:cs="宋体" w:asciiTheme="minorEastAsia" w:hAnsiTheme="minorEastAsia"/>
          <w:kern w:val="0"/>
          <w:szCs w:val="21"/>
        </w:rPr>
        <w:t>的，均视为拒绝进口产品参加</w:t>
      </w:r>
      <w:r>
        <w:rPr>
          <w:rFonts w:hint="eastAsia" w:cs="宋体" w:asciiTheme="minorEastAsia" w:hAnsiTheme="minorEastAsia"/>
          <w:kern w:val="0"/>
          <w:szCs w:val="21"/>
        </w:rPr>
        <w:t>响应</w:t>
      </w:r>
      <w:r>
        <w:rPr>
          <w:rFonts w:cs="宋体" w:asciiTheme="minorEastAsia" w:hAnsiTheme="minorEastAsia"/>
          <w:kern w:val="0"/>
          <w:szCs w:val="21"/>
        </w:rPr>
        <w:t>。</w:t>
      </w:r>
    </w:p>
    <w:p>
      <w:pPr>
        <w:autoSpaceDE w:val="0"/>
        <w:autoSpaceDN w:val="0"/>
        <w:spacing w:line="360" w:lineRule="auto"/>
        <w:ind w:left="943" w:leftChars="449"/>
        <w:contextualSpacing/>
        <w:rPr>
          <w:rFonts w:cs="宋体" w:asciiTheme="minorEastAsia" w:hAnsiTheme="minorEastAsia"/>
          <w:kern w:val="0"/>
          <w:szCs w:val="21"/>
        </w:rPr>
      </w:pPr>
      <w:r>
        <w:rPr>
          <w:rFonts w:hint="eastAsia" w:cs="宋体" w:asciiTheme="minorEastAsia" w:hAnsiTheme="minorEastAsia"/>
          <w:kern w:val="0"/>
          <w:szCs w:val="21"/>
        </w:rPr>
        <w:t xml:space="preserve">2.8.2  </w:t>
      </w:r>
      <w:r>
        <w:rPr>
          <w:rFonts w:cs="宋体" w:asciiTheme="minorEastAsia" w:hAnsiTheme="minorEastAsia"/>
          <w:kern w:val="0"/>
          <w:szCs w:val="21"/>
        </w:rPr>
        <w:t>如</w:t>
      </w:r>
      <w:r>
        <w:rPr>
          <w:rFonts w:hint="eastAsia" w:cs="宋体" w:asciiTheme="minorEastAsia" w:hAnsiTheme="minorEastAsia"/>
          <w:kern w:val="0"/>
          <w:szCs w:val="21"/>
        </w:rPr>
        <w:t>响应</w:t>
      </w:r>
      <w:r>
        <w:rPr>
          <w:rFonts w:cs="宋体" w:asciiTheme="minorEastAsia" w:hAnsiTheme="minorEastAsia"/>
          <w:kern w:val="0"/>
          <w:szCs w:val="21"/>
        </w:rPr>
        <w:t>文件中已说明，经财政部门审核同意，允许部分或全部产品采购进口产品，</w:t>
      </w:r>
      <w:r>
        <w:rPr>
          <w:rFonts w:hint="eastAsia" w:cs="宋体" w:asciiTheme="minorEastAsia" w:hAnsiTheme="minorEastAsia"/>
          <w:kern w:val="0"/>
          <w:szCs w:val="21"/>
        </w:rPr>
        <w:t>供应商</w:t>
      </w:r>
      <w:r>
        <w:rPr>
          <w:rFonts w:cs="宋体" w:asciiTheme="minorEastAsia" w:hAnsiTheme="minorEastAsia"/>
          <w:kern w:val="0"/>
          <w:szCs w:val="21"/>
        </w:rPr>
        <w:t>既可提供本国产品，也可以提供进口产品。</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谈判文件中凡标有“</w:t>
      </w:r>
      <w:r>
        <w:rPr>
          <w:rFonts w:hint="eastAsia" w:cs="宋体" w:asciiTheme="minorEastAsia" w:hAnsiTheme="minorEastAsia"/>
          <w:color w:val="FF0000"/>
          <w:kern w:val="0"/>
          <w:szCs w:val="21"/>
        </w:rPr>
        <w:t>★</w:t>
      </w:r>
      <w:r>
        <w:rPr>
          <w:rFonts w:hint="eastAsia" w:cs="宋体" w:asciiTheme="minorEastAsia" w:hAnsiTheme="minorEastAsia"/>
          <w:kern w:val="0"/>
          <w:szCs w:val="21"/>
        </w:rPr>
        <w:t>”的条款均系实质性要求条款。</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合格的供应商</w:t>
      </w:r>
    </w:p>
    <w:p>
      <w:pPr>
        <w:pStyle w:val="44"/>
        <w:numPr>
          <w:ilvl w:val="0"/>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在中华人民共和国境内注册，具有本项目生产、制造、供应或实施能力，符合、承认并承诺履行本磋商文件各项规定的法人、其他组织或者自然人。</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符合本项目“采购邀请”和“供应商须知前附表”中规定的合格供应商所必须具备的条件。</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政府采购活动中查询及使用响应人信用记录的具体要求为：响应人未被列入失信被执行人、重大税收违法案件当事人名单、政府采购严重违法失信行为记录名单、严重违法失信社会组织名单（联合体形式响应的，联合体成员存在不良信用记录，视同联合体存在不良信用记录）。</w:t>
      </w:r>
    </w:p>
    <w:p>
      <w:pPr>
        <w:pStyle w:val="44"/>
        <w:autoSpaceDE w:val="0"/>
        <w:autoSpaceDN w:val="0"/>
        <w:spacing w:line="360" w:lineRule="auto"/>
        <w:ind w:left="991" w:leftChars="472" w:firstLine="0" w:firstLineChars="0"/>
        <w:contextualSpacing/>
        <w:rPr>
          <w:rFonts w:cs="宋体" w:asciiTheme="minorEastAsia" w:hAnsiTheme="minorEastAsia"/>
          <w:kern w:val="0"/>
          <w:szCs w:val="21"/>
        </w:rPr>
      </w:pPr>
      <w:r>
        <w:rPr>
          <w:rFonts w:hint="eastAsia" w:cs="宋体" w:asciiTheme="minorEastAsia" w:hAnsiTheme="minorEastAsia"/>
          <w:kern w:val="0"/>
          <w:szCs w:val="21"/>
        </w:rPr>
        <w:t>（1）查询渠道：“信用中国”网站（</w:t>
      </w:r>
      <w:r>
        <w:rPr>
          <w:rFonts w:cs="宋体" w:asciiTheme="minorEastAsia" w:hAnsiTheme="minorEastAsia"/>
          <w:kern w:val="0"/>
          <w:szCs w:val="21"/>
        </w:rPr>
        <w:t>www.creditchina.gov.cn</w:t>
      </w:r>
      <w:r>
        <w:rPr>
          <w:rFonts w:hint="eastAsia" w:cs="宋体" w:asciiTheme="minorEastAsia" w:hAnsiTheme="minorEastAsia"/>
          <w:kern w:val="0"/>
          <w:szCs w:val="21"/>
        </w:rPr>
        <w:t>）、“中国政府采购网”（</w:t>
      </w:r>
      <w:r>
        <w:rPr>
          <w:rFonts w:cs="宋体" w:asciiTheme="minorEastAsia" w:hAnsiTheme="minorEastAsia"/>
          <w:kern w:val="0"/>
          <w:szCs w:val="21"/>
        </w:rPr>
        <w:t>www.ccgp.gov.cn</w:t>
      </w:r>
      <w:r>
        <w:rPr>
          <w:rFonts w:hint="eastAsia" w:cs="宋体" w:asciiTheme="minorEastAsia" w:hAnsiTheme="minorEastAsia"/>
          <w:kern w:val="0"/>
          <w:szCs w:val="21"/>
        </w:rPr>
        <w:t>）、“中国社会组织公共服务平台”网站（</w:t>
      </w:r>
      <w:r>
        <w:rPr>
          <w:rFonts w:cs="宋体" w:asciiTheme="minorEastAsia" w:hAnsiTheme="minorEastAsia"/>
          <w:kern w:val="0"/>
          <w:szCs w:val="21"/>
        </w:rPr>
        <w:t>www.chinanpo.gov.cn</w:t>
      </w:r>
      <w:r>
        <w:rPr>
          <w:rFonts w:hint="eastAsia" w:cs="宋体" w:asciiTheme="minorEastAsia" w:hAnsiTheme="minorEastAsia"/>
          <w:kern w:val="0"/>
          <w:szCs w:val="21"/>
        </w:rPr>
        <w:t>）。</w:t>
      </w:r>
    </w:p>
    <w:p>
      <w:pPr>
        <w:pStyle w:val="44"/>
        <w:autoSpaceDE w:val="0"/>
        <w:autoSpaceDN w:val="0"/>
        <w:spacing w:line="360" w:lineRule="auto"/>
        <w:ind w:left="420"/>
        <w:contextualSpacing/>
        <w:rPr>
          <w:rFonts w:cs="宋体" w:asciiTheme="minorEastAsia" w:hAnsiTheme="minorEastAsia"/>
          <w:kern w:val="0"/>
          <w:szCs w:val="21"/>
        </w:rPr>
      </w:pPr>
      <w:r>
        <w:rPr>
          <w:rFonts w:hint="eastAsia" w:cs="宋体" w:asciiTheme="minorEastAsia" w:hAnsiTheme="minorEastAsia"/>
          <w:kern w:val="0"/>
          <w:szCs w:val="21"/>
        </w:rPr>
        <w:t>（2）截止时间：同响应截止时间。</w:t>
      </w:r>
    </w:p>
    <w:p>
      <w:pPr>
        <w:pStyle w:val="44"/>
        <w:autoSpaceDE w:val="0"/>
        <w:autoSpaceDN w:val="0"/>
        <w:spacing w:line="360" w:lineRule="auto"/>
        <w:ind w:left="990" w:leftChars="403" w:hanging="144" w:hangingChars="69"/>
        <w:contextualSpacing/>
        <w:rPr>
          <w:rFonts w:cs="宋体" w:asciiTheme="minorEastAsia" w:hAnsiTheme="minorEastAsia"/>
          <w:kern w:val="0"/>
          <w:szCs w:val="21"/>
        </w:rPr>
      </w:pPr>
      <w:r>
        <w:rPr>
          <w:rFonts w:hint="eastAsia" w:cs="宋体" w:asciiTheme="minorEastAsia" w:hAnsiTheme="minorEastAsia"/>
          <w:kern w:val="0"/>
          <w:szCs w:val="21"/>
        </w:rPr>
        <w:t>（3）信用信息查询记录和证据留存具体方式：经谈判小组确认的查询结果网页截图作为查询记录和证据，与其他采购文件一并保存。</w:t>
      </w:r>
    </w:p>
    <w:p>
      <w:pPr>
        <w:pStyle w:val="44"/>
        <w:autoSpaceDE w:val="0"/>
        <w:autoSpaceDN w:val="0"/>
        <w:spacing w:line="360" w:lineRule="auto"/>
        <w:ind w:left="990" w:leftChars="403" w:hanging="144" w:hangingChars="69"/>
        <w:contextualSpacing/>
        <w:rPr>
          <w:rFonts w:cs="宋体" w:asciiTheme="minorEastAsia" w:hAnsiTheme="minorEastAsia"/>
          <w:kern w:val="0"/>
          <w:szCs w:val="21"/>
        </w:rPr>
      </w:pPr>
      <w:r>
        <w:rPr>
          <w:rFonts w:hint="eastAsia" w:cs="宋体" w:asciiTheme="minorEastAsia" w:hAnsiTheme="minorEastAsia"/>
          <w:kern w:val="0"/>
          <w:szCs w:val="21"/>
        </w:rPr>
        <w:t>（4）信用信息的使用原则：经谈判小组认定的被列入失信被执行人、重大税收违法案件当事人名单、政府采购严重违法失信行为记录名单、严重违法失信社会组织名单的响应人，将拒绝其参与本次政府采购活动。</w:t>
      </w:r>
    </w:p>
    <w:p>
      <w:pPr>
        <w:pStyle w:val="44"/>
        <w:autoSpaceDE w:val="0"/>
        <w:autoSpaceDN w:val="0"/>
        <w:spacing w:line="360" w:lineRule="auto"/>
        <w:ind w:left="850" w:leftChars="405" w:firstLine="0" w:firstLineChars="0"/>
        <w:contextualSpacing/>
        <w:rPr>
          <w:rFonts w:cs="宋体" w:asciiTheme="minorEastAsia" w:hAnsiTheme="minorEastAsia"/>
          <w:kern w:val="0"/>
          <w:szCs w:val="21"/>
        </w:rPr>
      </w:pPr>
      <w:r>
        <w:rPr>
          <w:rFonts w:hint="eastAsia" w:cs="宋体" w:asciiTheme="minorEastAsia" w:hAnsiTheme="minorEastAsia"/>
          <w:kern w:val="0"/>
          <w:szCs w:val="21"/>
        </w:rPr>
        <w:t>（5）供应商不良信用记录以谈判小组查询结果为准，谈判小组查询之后，网站信息发生的任何变更不再作为评审依据，供应商自行提供的与网站信息不一致的其他证明材料亦不作为评审依据。</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单位负责人为同一人或者存在直接控股、管理关系的不同供应商，不得同时参加本项目报价。违反规定的，相关响应均无效。</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为采购项目提供整体设计、规范编制或者项目管理、监理、检测等服务的供应商，不得再参加该采购项目的其他采购活动。</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“采购邀请”和“供应商须知前附表”规定接受联合体响应的，除应符合本章第</w:t>
      </w:r>
      <w:r>
        <w:rPr>
          <w:rFonts w:cs="宋体" w:asciiTheme="minorEastAsia" w:hAnsiTheme="minorEastAsia"/>
          <w:kern w:val="0"/>
          <w:szCs w:val="21"/>
        </w:rPr>
        <w:t>3.1</w:t>
      </w:r>
      <w:r>
        <w:rPr>
          <w:rFonts w:hint="eastAsia" w:cs="宋体" w:asciiTheme="minorEastAsia" w:hAnsiTheme="minorEastAsia"/>
          <w:kern w:val="0"/>
          <w:szCs w:val="21"/>
        </w:rPr>
        <w:t>项和3.2项要求外，还应遵守以下规定：</w:t>
      </w:r>
    </w:p>
    <w:p>
      <w:pPr>
        <w:pStyle w:val="44"/>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3.6.1    在响应文件中向采购人提交联合体协议书，明确联合体各方承担的工作和义务；</w:t>
      </w:r>
    </w:p>
    <w:p>
      <w:pPr>
        <w:pStyle w:val="44"/>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3.6.2    联合体中有同类资质的供应商按联合体分工承担相同工作的，应当按照资质等级较低的供应商确定资质等级；</w:t>
      </w:r>
    </w:p>
    <w:p>
      <w:pPr>
        <w:pStyle w:val="44"/>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3.6.3    采购人根据采购项目的特殊要求规定供应商特定条件的，联合体各方中至少应当有一方符合采购规定的特定条件。</w:t>
      </w:r>
    </w:p>
    <w:p>
      <w:pPr>
        <w:pStyle w:val="44"/>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3.6.4    联合体各方不得再单独参加或者与其他供应商另外组成联合体参加同一合同项下的政府采购活动。</w:t>
      </w:r>
    </w:p>
    <w:p>
      <w:pPr>
        <w:pStyle w:val="44"/>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 xml:space="preserve">3.6.5    </w:t>
      </w:r>
      <w:r>
        <w:rPr>
          <w:rFonts w:cs="宋体" w:asciiTheme="minorEastAsia" w:hAnsiTheme="minorEastAsia"/>
          <w:kern w:val="0"/>
          <w:szCs w:val="21"/>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Cs w:val="21"/>
        </w:rPr>
        <w:t>承担连带责任</w:t>
      </w:r>
      <w:r>
        <w:rPr>
          <w:rFonts w:cs="宋体" w:asciiTheme="minorEastAsia" w:hAnsiTheme="minorEastAsia"/>
          <w:kern w:val="0"/>
          <w:szCs w:val="21"/>
        </w:rPr>
        <w:fldChar w:fldCharType="end"/>
      </w:r>
      <w:r>
        <w:rPr>
          <w:rFonts w:cs="宋体" w:asciiTheme="minorEastAsia" w:hAnsiTheme="minorEastAsia"/>
          <w:kern w:val="0"/>
          <w:szCs w:val="21"/>
        </w:rPr>
        <w:t>。</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法律、行政法规规定的其他条件。</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合格的货物和服务</w:t>
      </w:r>
    </w:p>
    <w:p>
      <w:pPr>
        <w:pStyle w:val="44"/>
        <w:numPr>
          <w:ilvl w:val="0"/>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供的货物和服务应当符合谈判文件的要求，并且其质量完全符合国家标准、行业标准或地方标准，均有标准的以高（严格）者为准。没有国家标准、行业标准和企业标准的，按照通常标准或者符合采购目的的特定标准确定。</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供应商所提供的服务应当没有侵犯任何第三方的知识产权、技术秘密等合法权利。</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如供应商所投产品被列入</w:t>
      </w:r>
      <w:r>
        <w:rPr>
          <w:rFonts w:cs="宋体" w:asciiTheme="minorEastAsia" w:hAnsiTheme="minorEastAsia"/>
          <w:kern w:val="0"/>
          <w:szCs w:val="21"/>
        </w:rPr>
        <w:t>《中华人民共和国实施强制性产品认证的产品目录》，</w:t>
      </w:r>
      <w:r>
        <w:rPr>
          <w:rFonts w:hint="eastAsia" w:cs="宋体" w:asciiTheme="minorEastAsia" w:hAnsiTheme="minorEastAsia"/>
          <w:kern w:val="0"/>
          <w:szCs w:val="21"/>
        </w:rPr>
        <w:t>则该产品应</w:t>
      </w:r>
      <w:r>
        <w:rPr>
          <w:rFonts w:cs="宋体" w:asciiTheme="minorEastAsia" w:hAnsiTheme="minorEastAsia"/>
          <w:kern w:val="0"/>
          <w:szCs w:val="21"/>
        </w:rPr>
        <w:t>具备国家认监委</w:t>
      </w:r>
      <w:r>
        <w:rPr>
          <w:rFonts w:hint="eastAsia" w:cs="宋体" w:asciiTheme="minorEastAsia" w:hAnsiTheme="minorEastAsia"/>
          <w:kern w:val="0"/>
          <w:szCs w:val="21"/>
        </w:rPr>
        <w:t>指定强制性产品认证机构</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《中国</w:t>
      </w:r>
      <w:r>
        <w:rPr>
          <w:rFonts w:hint="eastAsia" w:cs="宋体" w:asciiTheme="minorEastAsia" w:hAnsiTheme="minorEastAsia"/>
          <w:kern w:val="0"/>
          <w:szCs w:val="21"/>
        </w:rPr>
        <w:t>国家</w:t>
      </w:r>
      <w:r>
        <w:rPr>
          <w:rFonts w:cs="宋体" w:asciiTheme="minorEastAsia" w:hAnsiTheme="minorEastAsia"/>
          <w:kern w:val="0"/>
          <w:szCs w:val="21"/>
        </w:rPr>
        <w:t>强制</w:t>
      </w:r>
      <w:r>
        <w:rPr>
          <w:rFonts w:hint="eastAsia" w:cs="宋体" w:asciiTheme="minorEastAsia" w:hAnsiTheme="minorEastAsia"/>
          <w:kern w:val="0"/>
          <w:szCs w:val="21"/>
        </w:rPr>
        <w:t>性产品</w:t>
      </w:r>
      <w:r>
        <w:rPr>
          <w:rFonts w:cs="宋体" w:asciiTheme="minorEastAsia" w:hAnsiTheme="minorEastAsia"/>
          <w:kern w:val="0"/>
          <w:szCs w:val="21"/>
        </w:rPr>
        <w:t>认证</w:t>
      </w:r>
      <w:r>
        <w:rPr>
          <w:rFonts w:hint="eastAsia" w:cs="宋体" w:asciiTheme="minorEastAsia" w:hAnsiTheme="minorEastAsia"/>
          <w:kern w:val="0"/>
          <w:szCs w:val="21"/>
        </w:rPr>
        <w:t>证书</w:t>
      </w:r>
      <w:r>
        <w:rPr>
          <w:rFonts w:cs="宋体" w:asciiTheme="minorEastAsia" w:hAnsiTheme="minorEastAsia"/>
          <w:kern w:val="0"/>
          <w:szCs w:val="21"/>
        </w:rPr>
        <w:t>》（CCC 认证）。</w:t>
      </w:r>
      <w:r>
        <w:rPr>
          <w:rFonts w:hint="eastAsia" w:cs="宋体" w:asciiTheme="minorEastAsia" w:hAnsiTheme="minorEastAsia"/>
          <w:kern w:val="0"/>
          <w:szCs w:val="21"/>
        </w:rPr>
        <w:t>供应商</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4"/>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供应商所投产品如被列入</w:t>
      </w:r>
      <w:r>
        <w:rPr>
          <w:rFonts w:cs="宋体" w:asciiTheme="minorEastAsia" w:hAnsiTheme="minorEastAsia"/>
          <w:kern w:val="0"/>
          <w:szCs w:val="21"/>
        </w:rPr>
        <w:t>《信息安全产品强制性认证目录》，</w:t>
      </w:r>
      <w:r>
        <w:rPr>
          <w:rFonts w:hint="eastAsia" w:cs="宋体" w:asciiTheme="minorEastAsia" w:hAnsiTheme="minorEastAsia"/>
          <w:kern w:val="0"/>
          <w:szCs w:val="21"/>
        </w:rPr>
        <w:t>则该产品应</w:t>
      </w:r>
      <w:r>
        <w:rPr>
          <w:rFonts w:cs="宋体" w:asciiTheme="minorEastAsia" w:hAnsiTheme="minorEastAsia"/>
          <w:kern w:val="0"/>
          <w:szCs w:val="21"/>
        </w:rPr>
        <w:t>具备</w:t>
      </w:r>
      <w:r>
        <w:rPr>
          <w:rFonts w:hint="eastAsia" w:cs="宋体" w:asciiTheme="minorEastAsia" w:hAnsiTheme="minorEastAsia"/>
          <w:kern w:val="0"/>
          <w:szCs w:val="21"/>
        </w:rPr>
        <w:t>中国信息安全认证中心</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Cs w:val="21"/>
        </w:rPr>
        <w:t>中国国家信息安全产品认证证书</w:t>
      </w:r>
      <w:r>
        <w:rPr>
          <w:rFonts w:hint="eastAsia" w:cs="宋体" w:asciiTheme="minorEastAsia" w:hAnsiTheme="minorEastAsia"/>
          <w:kern w:val="0"/>
          <w:szCs w:val="21"/>
        </w:rPr>
        <w:fldChar w:fldCharType="end"/>
      </w:r>
      <w:r>
        <w:rPr>
          <w:rFonts w:cs="宋体" w:asciiTheme="minorEastAsia" w:hAnsiTheme="minorEastAsia"/>
          <w:kern w:val="0"/>
          <w:szCs w:val="21"/>
        </w:rPr>
        <w:t>》。</w:t>
      </w:r>
      <w:r>
        <w:rPr>
          <w:rFonts w:hint="eastAsia" w:cs="宋体" w:asciiTheme="minorEastAsia" w:hAnsiTheme="minorEastAsia"/>
          <w:kern w:val="0"/>
          <w:szCs w:val="21"/>
        </w:rPr>
        <w:t>供应商</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谈判费用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不论采购的结果如何，供应商均应自行承担所有与谈判有关的全部费用，采购人、集中采购机构在任何情况下均无义务和责任承担这些费用。</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信息发布</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采购项目需要公开的有关信息，包括谈判公告、谈判文件澄清或修改公告、成交公告以及延长响应文件提交截止时间等与采购活动有关的通知，采购人、集中采购机构均将通过在《中国政府采购网》、《河南省政府采购网》、《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代理费用</w:t>
      </w:r>
    </w:p>
    <w:p>
      <w:pPr>
        <w:pStyle w:val="44"/>
        <w:autoSpaceDE w:val="0"/>
        <w:autoSpaceDN w:val="0"/>
        <w:spacing w:line="360" w:lineRule="auto"/>
        <w:contextualSpacing/>
        <w:rPr>
          <w:rFonts w:cs="宋体" w:asciiTheme="minorEastAsia" w:hAnsiTheme="minorEastAsia"/>
          <w:kern w:val="0"/>
          <w:szCs w:val="21"/>
        </w:rPr>
      </w:pPr>
      <w:r>
        <w:rPr>
          <w:rFonts w:hint="eastAsia" w:cs="微软雅黑"/>
          <w:color w:val="000000"/>
        </w:rPr>
        <w:t>集中采购机构</w:t>
      </w:r>
      <w:r>
        <w:rPr>
          <w:rFonts w:hint="eastAsia" w:cs="微软雅黑"/>
          <w:color w:val="000000"/>
          <w:lang w:eastAsia="zh-CN"/>
        </w:rPr>
        <w:t>除收取标书费用外</w:t>
      </w:r>
      <w:r>
        <w:rPr>
          <w:rFonts w:hint="eastAsia" w:cs="微软雅黑"/>
          <w:color w:val="000000"/>
        </w:rPr>
        <w:t>，不收取费</w:t>
      </w:r>
      <w:r>
        <w:rPr>
          <w:rFonts w:hint="eastAsia" w:cs="微软雅黑"/>
          <w:color w:val="000000"/>
          <w:lang w:eastAsia="zh-CN"/>
        </w:rPr>
        <w:t>用</w:t>
      </w:r>
      <w:r>
        <w:rPr>
          <w:rFonts w:hint="eastAsia" w:cs="宋体" w:asciiTheme="minorEastAsia" w:hAnsiTheme="minorEastAsia"/>
          <w:kern w:val="0"/>
          <w:szCs w:val="21"/>
        </w:rPr>
        <w:t>。</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其他</w:t>
      </w:r>
    </w:p>
    <w:p>
      <w:pPr>
        <w:numPr>
          <w:ilvl w:val="0"/>
          <w:numId w:val="0"/>
        </w:numPr>
        <w:autoSpaceDE w:val="0"/>
        <w:autoSpaceDN w:val="0"/>
        <w:spacing w:line="360" w:lineRule="auto"/>
        <w:contextualSpacing/>
        <w:rPr>
          <w:rFonts w:hint="eastAsia" w:cs="宋体" w:asciiTheme="minorEastAsia" w:hAnsiTheme="minorEastAsia"/>
          <w:kern w:val="0"/>
          <w:szCs w:val="21"/>
        </w:rPr>
      </w:pPr>
      <w:r>
        <w:rPr>
          <w:rFonts w:hint="eastAsia" w:cs="宋体" w:asciiTheme="minorEastAsia" w:hAnsiTheme="minorEastAsia"/>
          <w:kern w:val="0"/>
          <w:szCs w:val="21"/>
          <w:lang w:val="en-US" w:eastAsia="zh-CN"/>
        </w:rPr>
        <w:t>1、</w:t>
      </w:r>
      <w:r>
        <w:rPr>
          <w:rFonts w:hint="eastAsia" w:cs="宋体" w:asciiTheme="minorEastAsia" w:hAnsiTheme="minorEastAsia"/>
          <w:kern w:val="0"/>
          <w:szCs w:val="21"/>
        </w:rPr>
        <w:t>本“供应商须知”的条款如与“采购邀请”、“采购需求”、“供应商须知前附表”和“谈判和评审”就同一内容的表述不一致的，以“采购邀请”、“ 采购需求”、“供应商须知前附表”和“谈判和评审”中规定的内容为准。</w:t>
      </w:r>
    </w:p>
    <w:p>
      <w:pPr>
        <w:autoSpaceDE w:val="0"/>
        <w:autoSpaceDN w:val="0"/>
        <w:adjustRightInd w:val="0"/>
        <w:spacing w:line="360" w:lineRule="auto"/>
        <w:jc w:val="left"/>
        <w:rPr>
          <w:rFonts w:hint="eastAsia" w:cs="宋体" w:asciiTheme="minorEastAsia" w:hAnsiTheme="minorEastAsia"/>
          <w:kern w:val="0"/>
          <w:szCs w:val="21"/>
        </w:rPr>
      </w:pPr>
      <w:r>
        <w:rPr>
          <w:rFonts w:hint="eastAsia" w:cs="宋体" w:asciiTheme="minorEastAsia" w:hAnsiTheme="minorEastAsia"/>
          <w:kern w:val="0"/>
          <w:szCs w:val="21"/>
          <w:lang w:val="en-US" w:eastAsia="zh-CN"/>
        </w:rPr>
        <w:t>2、</w:t>
      </w:r>
      <w:r>
        <w:rPr>
          <w:rFonts w:hint="eastAsia" w:cs="宋体" w:asciiTheme="minorEastAsia" w:hAnsiTheme="minorEastAsia"/>
          <w:kern w:val="0"/>
          <w:szCs w:val="21"/>
          <w:lang w:eastAsia="zh-CN"/>
        </w:rPr>
        <w:t>如“谈判邀请函</w:t>
      </w:r>
      <w:r>
        <w:rPr>
          <w:rFonts w:hint="default" w:cs="宋体" w:asciiTheme="minorEastAsia" w:hAnsiTheme="minorEastAsia"/>
          <w:kern w:val="0"/>
          <w:szCs w:val="21"/>
          <w:lang w:val="en-US" w:eastAsia="zh-CN"/>
        </w:rPr>
        <w:t>”</w:t>
      </w:r>
      <w:r>
        <w:rPr>
          <w:rFonts w:hint="eastAsia" w:cs="宋体" w:asciiTheme="minorEastAsia" w:hAnsiTheme="minorEastAsia"/>
          <w:kern w:val="0"/>
          <w:szCs w:val="21"/>
          <w:lang w:val="en-US" w:eastAsia="zh-CN"/>
        </w:rPr>
        <w:t>中“</w:t>
      </w:r>
      <w:r>
        <w:rPr>
          <w:rFonts w:hint="eastAsia" w:cs="宋体" w:asciiTheme="minorEastAsia" w:hAnsiTheme="minorEastAsia"/>
          <w:kern w:val="0"/>
          <w:szCs w:val="21"/>
          <w:lang w:eastAsia="zh-CN"/>
        </w:rPr>
        <w:t>谈判截止时间及谈判时间”和“投标人须知前附表”中</w:t>
      </w:r>
      <w:r>
        <w:rPr>
          <w:rFonts w:hint="eastAsia" w:ascii="黑体" w:hAnsi="黑体" w:eastAsia="黑体" w:cs="Arial"/>
          <w:color w:val="000000"/>
          <w:kern w:val="0"/>
          <w:sz w:val="32"/>
          <w:szCs w:val="32"/>
          <w:lang w:eastAsia="zh-CN"/>
        </w:rPr>
        <w:t>“</w:t>
      </w:r>
      <w:r>
        <w:rPr>
          <w:rFonts w:hint="eastAsia" w:cs="宋体" w:asciiTheme="minorEastAsia" w:hAnsiTheme="minorEastAsia"/>
          <w:bCs/>
          <w:szCs w:val="21"/>
          <w:lang w:val="zh-CN"/>
        </w:rPr>
        <w:t>谈判响应截止及谈判时间”不一致的，以《河南省政府采购网》发布的“谈判响应截止及谈判时间”为准。</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二、谈判文件说明</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谈判文件构成</w:t>
      </w:r>
    </w:p>
    <w:p>
      <w:pPr>
        <w:pStyle w:val="44"/>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谈判文件由以下部分组成：</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（1）采购邀请（竞争性谈判公告）</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（2）采购需求</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（3）供应商须知前附表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（4）供应商须知</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（5）政府采购政策功能</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（6）资格审查与评审</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（7）合同书格式及合同条款</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（8）响应文件有关格式</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（9）本项目谈判文件的澄清、答复、修改、补充内容（如有的话）</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阅读、并充分理解谈判文件的全部内容（包括所有的补充、修改内容、重要事项、格式、条款和技术规范、参数及要求等），按谈判文件要求和规定编制响应文件，并保证所提供的全部资料的真实性，否则有可能导致响应被拒绝，其风险由供应商自行承担。</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谈判文件的澄清或修改</w:t>
      </w:r>
    </w:p>
    <w:p>
      <w:pPr>
        <w:autoSpaceDE w:val="0"/>
        <w:autoSpaceDN w:val="0"/>
        <w:spacing w:line="360" w:lineRule="auto"/>
        <w:ind w:left="991" w:leftChars="202" w:hanging="567" w:hangingChars="270"/>
        <w:contextualSpacing/>
        <w:rPr>
          <w:rFonts w:cs="宋体" w:asciiTheme="minorEastAsia" w:hAnsiTheme="minorEastAsia"/>
          <w:kern w:val="0"/>
          <w:szCs w:val="21"/>
        </w:rPr>
      </w:pPr>
      <w:r>
        <w:rPr>
          <w:rFonts w:hint="eastAsia" w:cs="宋体" w:asciiTheme="minorEastAsia" w:hAnsiTheme="minorEastAsia"/>
          <w:kern w:val="0"/>
          <w:szCs w:val="21"/>
        </w:rPr>
        <w:t>10.1 在谈判响应截止期前，无论出于何种原因，采购人可主动地或在解答供应商提出的澄清问题时对谈判文件进行修改。</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对已发出的谈判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澄清或修改公告的内容为谈判文件的组成部分，并对供应商具有约束力。当谈判文件与澄清或修改公告就同一内容的表述不一致时，以最后发出的文件内容为准。</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如果澄清或者修改发出的时间距规定的谈判响应截止时间不足3个工作日的，采购人、集中采购机构将顺延提交响应文件的截止时间。</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三、响应文件的编制</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响应文件的语言及计量单位</w:t>
      </w:r>
    </w:p>
    <w:p>
      <w:pPr>
        <w:pStyle w:val="44"/>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供应商提交的响应文件以及供应商与采购人、集中采购机构就有关采购事宜的所有来往书面文件均应使用中文。除签名、盖章、专用名称等特殊情形外，以中文以外的文字表述的响应文件视同未提供。</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响应文件计量单位，谈判文件已有明确规定的，使用谈判文件规定的计量单位；谈判文件没有规定的，一律采用中华人民共和国法定计量单位。</w:t>
      </w:r>
    </w:p>
    <w:p>
      <w:pPr>
        <w:pStyle w:val="44"/>
        <w:autoSpaceDE w:val="0"/>
        <w:autoSpaceDN w:val="0"/>
        <w:spacing w:line="360" w:lineRule="auto"/>
        <w:ind w:left="964" w:firstLine="0" w:firstLineChars="0"/>
        <w:contextualSpacing/>
        <w:rPr>
          <w:rFonts w:cs="宋体" w:asciiTheme="minorEastAsia" w:hAnsiTheme="minorEastAsia"/>
          <w:kern w:val="0"/>
          <w:szCs w:val="21"/>
        </w:rPr>
      </w:pP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报价</w:t>
      </w:r>
    </w:p>
    <w:p>
      <w:pPr>
        <w:pStyle w:val="44"/>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本次谈判项目的报价均以人民币为计算单位。</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采购人不得向供应商索要或者接受其给予的赠品、回扣或者与采购无关的其他商品、服务。</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供应商应对项目要求的全部内容进行报价，少报漏报将导致其响应为非实质性响应予以拒绝。</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供应商应当按照国家相关规定，结合自身服务水平和承受能力进行</w:t>
      </w:r>
      <w:r>
        <w:rPr>
          <w:rFonts w:hint="eastAsia" w:cs="宋体" w:asciiTheme="minorEastAsia" w:hAnsiTheme="minorEastAsia"/>
          <w:kern w:val="0"/>
          <w:szCs w:val="21"/>
          <w:lang w:eastAsia="zh-CN"/>
        </w:rPr>
        <w:t>第二次</w:t>
      </w:r>
      <w:r>
        <w:rPr>
          <w:rFonts w:hint="eastAsia" w:cs="宋体" w:asciiTheme="minorEastAsia" w:hAnsiTheme="minorEastAsia"/>
          <w:kern w:val="0"/>
          <w:szCs w:val="21"/>
        </w:rPr>
        <w:t>报价</w:t>
      </w:r>
      <w:r>
        <w:rPr>
          <w:rFonts w:hint="eastAsia" w:cs="宋体" w:asciiTheme="minorEastAsia" w:hAnsiTheme="minorEastAsia"/>
          <w:kern w:val="0"/>
          <w:szCs w:val="21"/>
          <w:lang w:eastAsia="zh-CN"/>
        </w:rPr>
        <w:t>（即最终报价）</w:t>
      </w:r>
      <w:r>
        <w:rPr>
          <w:rFonts w:hint="eastAsia" w:cs="宋体" w:asciiTheme="minorEastAsia" w:hAnsiTheme="minorEastAsia"/>
          <w:kern w:val="0"/>
          <w:szCs w:val="21"/>
        </w:rPr>
        <w:t>。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r>
        <w:rPr>
          <w:rFonts w:hint="eastAsia" w:ascii="宋体" w:hAnsi="宋体"/>
          <w:color w:val="000000"/>
          <w:szCs w:val="21"/>
        </w:rPr>
        <w:t>经通知参加</w:t>
      </w:r>
      <w:r>
        <w:rPr>
          <w:rFonts w:hint="eastAsia" w:ascii="宋体" w:hAnsi="宋体"/>
          <w:color w:val="000000"/>
          <w:szCs w:val="21"/>
          <w:lang w:eastAsia="zh-CN"/>
        </w:rPr>
        <w:t>谈判</w:t>
      </w:r>
      <w:r>
        <w:rPr>
          <w:rFonts w:hint="eastAsia" w:ascii="宋体" w:hAnsi="宋体"/>
          <w:color w:val="000000"/>
          <w:szCs w:val="21"/>
        </w:rPr>
        <w:t>的供应商，在谈判结束后还有一次最终报价的机会</w:t>
      </w:r>
      <w:r>
        <w:rPr>
          <w:rFonts w:hint="eastAsia" w:cs="宋体" w:asciiTheme="minorEastAsia" w:hAnsiTheme="minorEastAsia"/>
          <w:kern w:val="0"/>
          <w:szCs w:val="21"/>
        </w:rPr>
        <w:t>。</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本项目所涉及的运输、施工、安装、集成、调试、验收、备品和工具等费用均包含在响应报价中。</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报价不得高于本项目预算金额，且不低于成本价。供应商的响应报价高于预算金额（项目控制金额上限）的，该供应商的响应文件将被视为非实质性响应予以拒绝。</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最低报价不能做为成交的保证。</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响应文件有效期</w:t>
      </w:r>
    </w:p>
    <w:p>
      <w:pPr>
        <w:pStyle w:val="44"/>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有效期从提交响应文件的截止之日起算。本项目响应文件有效期详见供应商须知前附表。响应文件中承诺的有效期应当不少于“供应商须知前附表”载明的响应文件有效期。响应文件有效期比谈判文件规定短的属于非实质性响应，将被认定为报价无效。</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w:t>
      </w:r>
      <w:r>
        <w:rPr>
          <w:rFonts w:hint="eastAsia" w:cs="微软雅黑"/>
          <w:color w:val="000000"/>
        </w:rPr>
        <w:t>可根据实际情况，在原报价有效期截止之前，征询供应商是否同意延长响应文件的有效期，供应商同意延长的须作出书面答复。在延长的报价有效期内，供应商将不会被要求和允许修正其报价</w:t>
      </w:r>
      <w:r>
        <w:rPr>
          <w:rFonts w:hint="eastAsia" w:cs="宋体" w:asciiTheme="minorEastAsia" w:hAnsiTheme="minorEastAsia"/>
          <w:kern w:val="0"/>
          <w:szCs w:val="21"/>
        </w:rPr>
        <w:t>。</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成交供应商的响应文件作为项目合同的附件，其有效期至成交供应商全部合同义务履行完毕为止。</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响应文件构成</w:t>
      </w:r>
    </w:p>
    <w:p>
      <w:pPr>
        <w:pStyle w:val="44"/>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响应文件的构成应符合法律法规及谈判文件的要求。</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供应商应当按照谈判文件的要求编制响应文件。响应文件应当对谈判文件提出的要求和条件作出明确响应。</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响应文件由资格证明材料、符合性证明材料、其它材料等组成。</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供应商根据谈判文件的规定和采购项目的实际情况，拟在成交后将成交项目的非主体、非关键性工作分包的，应当在响应文件中载明分包承担主体，分包承担主体应当具备相应资质条件且不得再次分包。</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供应商登录许昌公共资源交易系统下载“许昌投标文件制作系统SEARUN 最新版本”，按谈判文件要求根据所响应标段制作电子响应文件。 一个标段对应生成一个文件夹（xxxx项目xx标段）, 其中包含2个文件和1个文件夹。后缀名为“</w:t>
      </w:r>
      <w:r>
        <w:rPr>
          <w:rFonts w:cs="宋体" w:asciiTheme="minorEastAsia" w:hAnsiTheme="minorEastAsia"/>
          <w:kern w:val="0"/>
          <w:szCs w:val="21"/>
        </w:rPr>
        <w:t>.file</w:t>
      </w:r>
      <w:r>
        <w:rPr>
          <w:rFonts w:hint="eastAsia" w:cs="宋体" w:asciiTheme="minorEastAsia" w:hAnsiTheme="minorEastAsia"/>
          <w:kern w:val="0"/>
          <w:szCs w:val="21"/>
        </w:rPr>
        <w:t>”的文件用于电子响应使用，后缀名为“.PDF”的文件用于打印纸质响应文件，名称为“备份”的文件夹使用电子介质存储，供谈判响应文件递交现场备用。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电子响应文件制作技术咨询：</w:t>
      </w:r>
      <w:r>
        <w:rPr>
          <w:rFonts w:hint="eastAsia" w:cs="宋体" w:asciiTheme="minorEastAsia" w:hAnsiTheme="minorEastAsia"/>
          <w:b/>
          <w:kern w:val="0"/>
          <w:szCs w:val="21"/>
        </w:rPr>
        <w:t>0374-2961598</w:t>
      </w:r>
      <w:r>
        <w:rPr>
          <w:rFonts w:hint="eastAsia" w:cs="宋体" w:asciiTheme="minorEastAsia" w:hAnsiTheme="minorEastAsia"/>
          <w:kern w:val="0"/>
          <w:szCs w:val="21"/>
        </w:rPr>
        <w:t>。</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响应文件格式</w:t>
      </w:r>
    </w:p>
    <w:p>
      <w:pPr>
        <w:pStyle w:val="44"/>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应参照谈判文件第七部分（响应文件有关格式）的内容要求、编排顺序和格式要求，供应商应按照以上要求将响应文件编上唯一的连贯页码并以A4幅面装订成册，并在响应文件封面上注明：正本/副本、所投项目名称、项目编号、供应商名称、日期等字样。</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供应商应按谈判文件提供的格式编写响应文件。谈判文件未提供标准格式的供应商可自行拟定。</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谈判保证金</w:t>
      </w:r>
    </w:p>
    <w:p>
      <w:pPr>
        <w:pStyle w:val="44"/>
        <w:numPr>
          <w:ilvl w:val="0"/>
          <w:numId w:val="0"/>
        </w:numPr>
        <w:autoSpaceDE w:val="0"/>
        <w:autoSpaceDN w:val="0"/>
        <w:spacing w:line="360" w:lineRule="auto"/>
        <w:ind w:leftChars="0"/>
        <w:contextualSpacing/>
        <w:rPr>
          <w:rFonts w:hint="eastAsia" w:cs="宋体" w:asciiTheme="minorEastAsia" w:hAnsiTheme="minorEastAsia"/>
          <w:b/>
          <w:kern w:val="0"/>
          <w:szCs w:val="21"/>
          <w:lang w:val="en-US" w:eastAsia="zh-CN"/>
        </w:rPr>
      </w:pPr>
      <w:r>
        <w:rPr>
          <w:rFonts w:hint="eastAsia" w:cs="宋体" w:asciiTheme="minorEastAsia" w:hAnsiTheme="minorEastAsia"/>
          <w:b/>
          <w:kern w:val="0"/>
          <w:szCs w:val="21"/>
          <w:lang w:val="en-US" w:eastAsia="zh-CN"/>
        </w:rPr>
        <w:t>16.1 不收取。</w:t>
      </w:r>
    </w:p>
    <w:p>
      <w:pPr>
        <w:pStyle w:val="44"/>
        <w:numPr>
          <w:ilvl w:val="0"/>
          <w:numId w:val="0"/>
        </w:numPr>
        <w:autoSpaceDE w:val="0"/>
        <w:autoSpaceDN w:val="0"/>
        <w:spacing w:line="360" w:lineRule="auto"/>
        <w:ind w:leftChars="0"/>
        <w:contextualSpacing/>
        <w:rPr>
          <w:rFonts w:hint="default" w:cs="宋体" w:asciiTheme="minorEastAsia" w:hAnsiTheme="minorEastAsia"/>
          <w:b/>
          <w:kern w:val="0"/>
          <w:szCs w:val="21"/>
          <w:lang w:val="en-US" w:eastAsia="zh-CN"/>
        </w:rPr>
      </w:pPr>
      <w:r>
        <w:rPr>
          <w:rFonts w:hint="eastAsia" w:cs="宋体" w:asciiTheme="minorEastAsia" w:hAnsiTheme="minorEastAsia"/>
          <w:b/>
          <w:kern w:val="0"/>
          <w:szCs w:val="21"/>
          <w:lang w:val="en-US" w:eastAsia="zh-CN"/>
        </w:rPr>
        <w:t>16.2 投标人须做出承诺。</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谈判文件的数量和签署盖章</w:t>
      </w:r>
    </w:p>
    <w:p>
      <w:pPr>
        <w:pStyle w:val="44"/>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供应商应提交响应文件份数见“供应商须知前附表”。</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在谈判文件中已明示需盖章及签名之处，电子响应文件应按谈判文件要求加盖供应商电子印章和法人电子印章或授权代表电子印章。</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纸质响应文件是指供应商电子响应文件制作完成后生成的后缀名为“.PDF”的文件打印的响应文件。纸质响应文件正本和副本封面上应清楚标明</w:t>
      </w:r>
      <w:r>
        <w:rPr>
          <w:rFonts w:cs="宋体" w:asciiTheme="minorEastAsia" w:hAnsiTheme="minorEastAsia"/>
          <w:kern w:val="0"/>
          <w:szCs w:val="21"/>
        </w:rPr>
        <w:t>“</w:t>
      </w:r>
      <w:r>
        <w:rPr>
          <w:rFonts w:hint="eastAsia" w:cs="宋体" w:asciiTheme="minorEastAsia" w:hAnsiTheme="minorEastAsia"/>
          <w:kern w:val="0"/>
          <w:szCs w:val="21"/>
        </w:rPr>
        <w:t>正本</w:t>
      </w:r>
      <w:r>
        <w:rPr>
          <w:rFonts w:cs="宋体" w:asciiTheme="minorEastAsia" w:hAnsiTheme="minorEastAsia"/>
          <w:kern w:val="0"/>
          <w:szCs w:val="21"/>
        </w:rPr>
        <w:t>”</w:t>
      </w:r>
      <w:r>
        <w:rPr>
          <w:rFonts w:hint="eastAsia" w:cs="宋体" w:asciiTheme="minorEastAsia" w:hAnsiTheme="minorEastAsia"/>
          <w:kern w:val="0"/>
          <w:szCs w:val="21"/>
        </w:rPr>
        <w:t>或</w:t>
      </w:r>
      <w:r>
        <w:rPr>
          <w:rFonts w:cs="宋体" w:asciiTheme="minorEastAsia" w:hAnsiTheme="minorEastAsia"/>
          <w:kern w:val="0"/>
          <w:szCs w:val="21"/>
        </w:rPr>
        <w:t>“</w:t>
      </w:r>
      <w:r>
        <w:rPr>
          <w:rFonts w:hint="eastAsia" w:cs="宋体" w:asciiTheme="minorEastAsia" w:hAnsiTheme="minorEastAsia"/>
          <w:kern w:val="0"/>
          <w:szCs w:val="21"/>
        </w:rPr>
        <w:t>副本</w:t>
      </w:r>
      <w:r>
        <w:rPr>
          <w:rFonts w:cs="宋体" w:asciiTheme="minorEastAsia" w:hAnsiTheme="minorEastAsia"/>
          <w:kern w:val="0"/>
          <w:szCs w:val="21"/>
        </w:rPr>
        <w:t>”</w:t>
      </w:r>
      <w:r>
        <w:rPr>
          <w:rFonts w:hint="eastAsia" w:cs="宋体" w:asciiTheme="minorEastAsia" w:hAnsiTheme="minorEastAsia"/>
          <w:kern w:val="0"/>
          <w:szCs w:val="21"/>
        </w:rPr>
        <w:t>字样；一旦正本和副本内容不一致时，以正本为准。纸质响应文件的正本及所有副本的封面均须由供应商加盖供应商公章。</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纸质响应文件副本可以是纸质响应文件的正本复印而成。</w:t>
      </w:r>
    </w:p>
    <w:p>
      <w:pPr>
        <w:tabs>
          <w:tab w:val="left" w:pos="1260"/>
        </w:tabs>
        <w:autoSpaceDE w:val="0"/>
        <w:autoSpaceDN w:val="0"/>
        <w:spacing w:line="360" w:lineRule="auto"/>
        <w:contextualSpacing/>
        <w:rPr>
          <w:rFonts w:cs="仿宋_GB2312" w:asciiTheme="minorEastAsia" w:hAnsiTheme="minorEastAsia"/>
          <w:szCs w:val="21"/>
          <w:lang w:val="zh-CN"/>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四、响应文件的递交</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响应文件的密封</w:t>
      </w:r>
    </w:p>
    <w:p>
      <w:pPr>
        <w:pStyle w:val="44"/>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供应商应将纸质响应文件“正本”、“ 副本”密封包装。使用电子介质存储的响应文件单独密封包装，并随纸质响应文件一并提交。</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响应文件如果未按规定密封，采购人、集中采购机构将拒绝接收。</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谈判响应截止时间</w:t>
      </w:r>
    </w:p>
    <w:p>
      <w:pPr>
        <w:pStyle w:val="44"/>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供应商必须在“采购邀请”和“供应商须知前附表”中规定的谈判响应文件截止时间前，将所有响应文件送达谈判文件指定的地点。</w:t>
      </w:r>
      <w:r>
        <w:rPr>
          <w:rFonts w:hint="eastAsia" w:cs="微软雅黑"/>
          <w:color w:val="000000"/>
        </w:rPr>
        <w:t>在递交截止时间以后送达的响应文件，</w:t>
      </w:r>
      <w:r>
        <w:rPr>
          <w:rFonts w:hint="eastAsia" w:cs="宋体" w:asciiTheme="minorEastAsia" w:hAnsiTheme="minorEastAsia"/>
          <w:kern w:val="0"/>
          <w:szCs w:val="21"/>
        </w:rPr>
        <w:t>采购人、集中采购机构</w:t>
      </w:r>
      <w:r>
        <w:rPr>
          <w:rFonts w:hint="eastAsia" w:cs="微软雅黑"/>
          <w:color w:val="000000"/>
        </w:rPr>
        <w:t>将予以拒绝。</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按本须知第10条规定，通过修改谈判文件自行决定酌情延长谈判响应截止期。在此情况下，采购人和供应商受谈判响应截止期制约的所有权利和义务均应延长至新的截止日期和时间。供应商按采购人修改通知规定的时间递交响应文件。</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迟交的响应文件</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谈判响应文件截止时间之后送达/上传的响应文件，采购人、集中采购机构将将拒绝接收。</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响应文件的修改和撤回</w:t>
      </w:r>
    </w:p>
    <w:p>
      <w:pPr>
        <w:pStyle w:val="44"/>
        <w:numPr>
          <w:ilvl w:val="0"/>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供应商在谈判响应截止时间前，对所递交的纸质响应文件进行补充、修改或者撤回的，须书面通知采购人和集中采购机构。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供应商应当在谈判响应截止时间前完成电子响应文件的提交，可以补充、修改或撤回。谈判响应截止时间前未完成电子响应文件提交、取得“投标文件提交回执单”的，视为撤回响应文件。</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供应商补充、修改的内容并作为响应文件的组成部分。补充或修改应当按谈判文件要求签署、盖章、密封、递交，并应注明“修改</w:t>
      </w:r>
      <w:r>
        <w:rPr>
          <w:rFonts w:cs="宋体" w:asciiTheme="minorEastAsia" w:hAnsiTheme="minorEastAsia"/>
          <w:kern w:val="0"/>
          <w:szCs w:val="21"/>
        </w:rPr>
        <w:t>”</w:t>
      </w:r>
      <w:r>
        <w:rPr>
          <w:rFonts w:hint="eastAsia" w:cs="宋体" w:asciiTheme="minorEastAsia" w:hAnsiTheme="minorEastAsia"/>
          <w:kern w:val="0"/>
          <w:szCs w:val="21"/>
        </w:rPr>
        <w:t>或“补充</w:t>
      </w:r>
      <w:r>
        <w:rPr>
          <w:rFonts w:cs="宋体" w:asciiTheme="minorEastAsia" w:hAnsiTheme="minorEastAsia"/>
          <w:kern w:val="0"/>
          <w:szCs w:val="21"/>
        </w:rPr>
        <w:t>”</w:t>
      </w:r>
      <w:r>
        <w:rPr>
          <w:rFonts w:hint="eastAsia" w:cs="宋体" w:asciiTheme="minorEastAsia" w:hAnsiTheme="minorEastAsia"/>
          <w:kern w:val="0"/>
          <w:szCs w:val="21"/>
        </w:rPr>
        <w:t>字样。</w:t>
      </w: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供应商不得在投标有效期内撤销响应文件</w:t>
      </w:r>
      <w:r>
        <w:rPr>
          <w:rFonts w:hint="eastAsia" w:cs="宋体" w:asciiTheme="minorEastAsia" w:hAnsiTheme="minorEastAsia"/>
          <w:kern w:val="0"/>
          <w:szCs w:val="21"/>
          <w:lang w:eastAsia="zh-CN"/>
        </w:rPr>
        <w:t>，</w:t>
      </w:r>
      <w:r>
        <w:rPr>
          <w:rFonts w:hint="eastAsia" w:cs="宋体" w:asciiTheme="minorEastAsia" w:hAnsiTheme="minorEastAsia"/>
          <w:kern w:val="0"/>
          <w:szCs w:val="21"/>
        </w:rPr>
        <w:t>否则招标人将不退还其谈判保证金。</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除供应商须知前附表另有规定外，供应商所提交的电子响应文件、纸质响应文件及电子介质存储的备份文件不予退还。</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五、谈判和评审</w:t>
      </w:r>
    </w:p>
    <w:p>
      <w:pPr>
        <w:pStyle w:val="44"/>
        <w:numPr>
          <w:ilvl w:val="0"/>
          <w:numId w:val="1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响应文件密封情况检查及解密</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仿宋_GB2312" w:asciiTheme="minorEastAsia" w:hAnsiTheme="minorEastAsia"/>
          <w:color w:val="000000"/>
          <w:szCs w:val="21"/>
        </w:rPr>
        <w:t>谈判响应截止时间</w:t>
      </w:r>
      <w:r>
        <w:rPr>
          <w:rFonts w:hint="eastAsia" w:cs="宋体" w:asciiTheme="minorEastAsia" w:hAnsiTheme="minorEastAsia"/>
          <w:kern w:val="0"/>
          <w:szCs w:val="21"/>
        </w:rPr>
        <w:t>，由供应商或者其推选的代表检查纸质谈判文件和备份文件（使用电子介质存储）的密封情况；经确认无误后进行电子谈判文件的解密。解密后宣布供应商名称、修改和撤回响应的通知（如有的话）和谈判文件规定的需要宣布的其他内容。</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（1）电子谈判文件的解密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全流程电子化交易项目电子谈判文件采用双重加密。解密需分标段进行两次解密。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供应商解密：供应商使用本单位CA数字证书远程或现场进行解密。需递交响应文件现场使用一体机进行解密的，请在集中采购机构引导下进行。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集中采购机构解密：集中采购机构</w:t>
      </w:r>
      <w:r>
        <w:rPr>
          <w:rFonts w:cs="宋体" w:asciiTheme="minorEastAsia" w:hAnsiTheme="minorEastAsia"/>
          <w:kern w:val="0"/>
          <w:szCs w:val="21"/>
        </w:rPr>
        <w:t>按</w:t>
      </w:r>
      <w:r>
        <w:rPr>
          <w:rFonts w:hint="eastAsia" w:cs="宋体" w:asciiTheme="minorEastAsia" w:hAnsiTheme="minorEastAsia"/>
          <w:kern w:val="0"/>
          <w:szCs w:val="21"/>
        </w:rPr>
        <w:t>电子响应文件到达交易系统</w:t>
      </w:r>
      <w:r>
        <w:rPr>
          <w:rFonts w:cs="宋体" w:asciiTheme="minorEastAsia" w:hAnsiTheme="minorEastAsia"/>
          <w:kern w:val="0"/>
          <w:szCs w:val="21"/>
        </w:rPr>
        <w:t>的先后顺序</w:t>
      </w:r>
      <w:r>
        <w:rPr>
          <w:rFonts w:hint="eastAsia" w:cs="宋体" w:asciiTheme="minorEastAsia" w:hAnsiTheme="minorEastAsia"/>
          <w:kern w:val="0"/>
          <w:szCs w:val="21"/>
        </w:rPr>
        <w:t>，使用本单位CA数字证书进行再次解密。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电子响应文件解密异常情况处理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因电子交易系统异常无法解密电子响应文件的，使用纸质响应文件以人工方式进行。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因供应商原因电子响应文件解密失败的，由交易系统技术人员协助供应商将备份文件（电子介质存储）导入系统。若备份文件（电子介质存储）无法导入系统或导入系统仍无法解密的，其响应将被拒绝。</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供应商不足3家的，本项目谈判活动终止。</w:t>
      </w:r>
    </w:p>
    <w:p>
      <w:pPr>
        <w:pStyle w:val="44"/>
        <w:numPr>
          <w:ilvl w:val="0"/>
          <w:numId w:val="17"/>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谈判小组组成</w:t>
      </w:r>
    </w:p>
    <w:p>
      <w:pPr>
        <w:pStyle w:val="44"/>
        <w:numPr>
          <w:ilvl w:val="0"/>
          <w:numId w:val="1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采购人将依法组建谈判小组，谈判小组</w:t>
      </w:r>
      <w:r>
        <w:rPr>
          <w:rFonts w:ascii="ˎ̥" w:hAnsi="ˎ̥"/>
        </w:rPr>
        <w:t>由采购人代表和评审专家共3人以上单数组成，其中评审专家人数不得少于竞争性谈判小组成员总数</w:t>
      </w:r>
      <w:r>
        <w:rPr>
          <w:rFonts w:hint="eastAsia" w:cs="宋体" w:asciiTheme="minorEastAsia" w:hAnsiTheme="minorEastAsia"/>
          <w:kern w:val="0"/>
          <w:szCs w:val="21"/>
        </w:rPr>
        <w:t>的三分之二。评审专家依法从政府采购评审专家库中随机抽取。</w:t>
      </w:r>
    </w:p>
    <w:p>
      <w:pPr>
        <w:autoSpaceDE w:val="0"/>
        <w:autoSpaceDN w:val="0"/>
        <w:spacing w:line="360" w:lineRule="auto"/>
        <w:ind w:left="2156" w:leftChars="452" w:hanging="1207" w:hangingChars="575"/>
        <w:contextualSpacing/>
        <w:rPr>
          <w:rFonts w:cs="宋体" w:asciiTheme="minorEastAsia" w:hAnsiTheme="minorEastAsia"/>
          <w:kern w:val="0"/>
          <w:szCs w:val="21"/>
        </w:rPr>
      </w:pPr>
      <w:r>
        <w:rPr>
          <w:rFonts w:hint="eastAsia" w:cs="宋体" w:asciiTheme="minorEastAsia" w:hAnsiTheme="minorEastAsia"/>
          <w:kern w:val="0"/>
          <w:szCs w:val="21"/>
        </w:rPr>
        <w:t>24.1.1     采购人将依法组建谈判小组，谈判小组由评审专家组成，成员人数应当为</w:t>
      </w:r>
      <w:r>
        <w:rPr>
          <w:rFonts w:ascii="ˎ̥" w:hAnsi="ˎ̥"/>
        </w:rPr>
        <w:t>3人以上单数组成</w:t>
      </w:r>
      <w:r>
        <w:rPr>
          <w:rFonts w:hint="eastAsia" w:cs="宋体" w:asciiTheme="minorEastAsia" w:hAnsiTheme="minorEastAsia"/>
          <w:kern w:val="0"/>
          <w:szCs w:val="21"/>
        </w:rPr>
        <w:t>。评审专家依法从政府采购评审专家库中随机抽取。</w:t>
      </w:r>
    </w:p>
    <w:p>
      <w:pPr>
        <w:autoSpaceDE w:val="0"/>
        <w:autoSpaceDN w:val="0"/>
        <w:spacing w:line="360" w:lineRule="auto"/>
        <w:ind w:left="2156" w:leftChars="473" w:hanging="1163" w:hangingChars="554"/>
        <w:contextualSpacing/>
        <w:rPr>
          <w:rFonts w:cs="宋体" w:asciiTheme="minorEastAsia" w:hAnsiTheme="minorEastAsia"/>
          <w:kern w:val="0"/>
          <w:szCs w:val="21"/>
        </w:rPr>
      </w:pPr>
      <w:r>
        <w:rPr>
          <w:rFonts w:hint="eastAsia" w:cs="宋体" w:asciiTheme="minorEastAsia" w:hAnsiTheme="minorEastAsia"/>
          <w:kern w:val="0"/>
          <w:szCs w:val="21"/>
        </w:rPr>
        <w:t xml:space="preserve">24.1.2     </w:t>
      </w:r>
      <w:r>
        <w:rPr>
          <w:rFonts w:ascii="ˎ̥" w:hAnsi="ˎ̥"/>
        </w:rPr>
        <w:t>达到公开招标数额标准的货物或者服务采购项目，或者达到招标规模标准的政府采购工程，竞争性谈判小组应当由5人以上单数组成</w:t>
      </w:r>
      <w:r>
        <w:rPr>
          <w:rFonts w:hint="eastAsia" w:ascii="ˎ̥" w:hAnsi="ˎ̥"/>
        </w:rPr>
        <w:t>。</w:t>
      </w:r>
    </w:p>
    <w:p>
      <w:pPr>
        <w:pStyle w:val="44"/>
        <w:numPr>
          <w:ilvl w:val="1"/>
          <w:numId w:val="17"/>
        </w:numPr>
        <w:autoSpaceDE w:val="0"/>
        <w:autoSpaceDN w:val="0"/>
        <w:spacing w:line="360" w:lineRule="auto"/>
        <w:ind w:firstLineChars="0"/>
        <w:contextualSpacing/>
        <w:rPr>
          <w:rFonts w:ascii="ˎ̥" w:hAnsi="ˎ̥"/>
          <w:vanish/>
        </w:rPr>
      </w:pP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ascii="ˎ̥" w:hAnsi="ˎ̥"/>
        </w:rPr>
        <w:t>采购人不得以评审专家身份参加本部门或本单位采购项目的评审</w:t>
      </w:r>
      <w:r>
        <w:rPr>
          <w:rFonts w:hint="eastAsia" w:cs="宋体" w:asciiTheme="minorEastAsia" w:hAnsiTheme="minorEastAsia"/>
          <w:kern w:val="0"/>
          <w:szCs w:val="21"/>
        </w:rPr>
        <w:t>。</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谈判小组成员与供应商存在下列利害关系之一的,应当回避:</w:t>
      </w:r>
    </w:p>
    <w:p>
      <w:pPr>
        <w:autoSpaceDE w:val="0"/>
        <w:autoSpaceDN w:val="0"/>
        <w:spacing w:line="360" w:lineRule="auto"/>
        <w:ind w:left="2156" w:leftChars="452" w:hanging="1207" w:hangingChars="575"/>
        <w:contextualSpacing/>
        <w:rPr>
          <w:rFonts w:ascii="ˎ̥" w:hAnsi="ˎ̥"/>
        </w:rPr>
      </w:pPr>
      <w:r>
        <w:rPr>
          <w:rFonts w:hint="eastAsia" w:cs="宋体" w:asciiTheme="minorEastAsia" w:hAnsiTheme="minorEastAsia"/>
          <w:kern w:val="0"/>
          <w:szCs w:val="21"/>
        </w:rPr>
        <w:t xml:space="preserve">24.3.1     </w:t>
      </w:r>
      <w:r>
        <w:rPr>
          <w:rFonts w:hint="eastAsia" w:ascii="ˎ̥" w:hAnsi="ˎ̥"/>
        </w:rPr>
        <w:t>参加采购活动前三年内,与供应商存在劳动关系,或者担任过供应商的董事、监事,或者是供应商的控股股东或实际控制人；</w:t>
      </w:r>
    </w:p>
    <w:p>
      <w:pPr>
        <w:autoSpaceDE w:val="0"/>
        <w:autoSpaceDN w:val="0"/>
        <w:spacing w:line="360" w:lineRule="auto"/>
        <w:ind w:left="2123" w:leftChars="451" w:hanging="1176" w:hangingChars="560"/>
        <w:contextualSpacing/>
        <w:rPr>
          <w:rFonts w:ascii="ˎ̥" w:hAnsi="ˎ̥"/>
        </w:rPr>
      </w:pPr>
      <w:r>
        <w:rPr>
          <w:rFonts w:hint="eastAsia" w:cs="宋体" w:asciiTheme="minorEastAsia" w:hAnsiTheme="minorEastAsia"/>
          <w:kern w:val="0"/>
          <w:szCs w:val="21"/>
        </w:rPr>
        <w:t xml:space="preserve">24.3.2     </w:t>
      </w:r>
      <w:r>
        <w:rPr>
          <w:rFonts w:hint="eastAsia" w:ascii="ˎ̥" w:hAnsi="ˎ̥"/>
        </w:rPr>
        <w:t>与供应商的法定代表人或者负责人有夫妻、直系血亲、三代以内旁系血亲或者近姻亲关系；</w:t>
      </w:r>
    </w:p>
    <w:p>
      <w:pPr>
        <w:autoSpaceDE w:val="0"/>
        <w:autoSpaceDN w:val="0"/>
        <w:spacing w:line="360" w:lineRule="auto"/>
        <w:ind w:left="2156" w:leftChars="452" w:hanging="1207" w:hangingChars="575"/>
        <w:contextualSpacing/>
        <w:rPr>
          <w:rFonts w:ascii="ˎ̥" w:hAnsi="ˎ̥"/>
        </w:rPr>
      </w:pPr>
      <w:r>
        <w:rPr>
          <w:rFonts w:hint="eastAsia" w:cs="宋体" w:asciiTheme="minorEastAsia" w:hAnsiTheme="minorEastAsia"/>
          <w:kern w:val="0"/>
          <w:szCs w:val="21"/>
        </w:rPr>
        <w:t xml:space="preserve">24.3.3     </w:t>
      </w:r>
      <w:r>
        <w:rPr>
          <w:rFonts w:hint="eastAsia" w:ascii="ˎ̥" w:hAnsi="ˎ̥"/>
        </w:rPr>
        <w:t>与供应商有其他可能影响政府采购活动公平、公正进行的关系。</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评审专家发现本人与参加采购活动的供应商有利害关系的,应当主动提出回避。采购人或者集中采购机构发现评审专家与参加采购活动的供应商有利害关系的,应当要求其回避。</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采购人不得担任谈判小组组长。</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谈判小组成员名单在成交结果公告前应当保密。</w:t>
      </w:r>
    </w:p>
    <w:p>
      <w:pPr>
        <w:pStyle w:val="44"/>
        <w:numPr>
          <w:ilvl w:val="0"/>
          <w:numId w:val="17"/>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资格审查和符合性审查</w:t>
      </w:r>
    </w:p>
    <w:p>
      <w:pPr>
        <w:pStyle w:val="44"/>
        <w:numPr>
          <w:ilvl w:val="0"/>
          <w:numId w:val="1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资格审查：谈判小组依据有关法律法规和谈判文件的规定对供应商的资格进行审查。</w:t>
      </w:r>
    </w:p>
    <w:p>
      <w:pPr>
        <w:pStyle w:val="44"/>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b/>
          <w:kern w:val="0"/>
          <w:szCs w:val="21"/>
        </w:rPr>
        <w:t>本项目具体资格审查详见（第六章 资格审查与评审）</w:t>
      </w:r>
      <w:r>
        <w:rPr>
          <w:rFonts w:hint="eastAsia" w:cs="宋体" w:asciiTheme="minorEastAsia" w:hAnsiTheme="minorEastAsia"/>
          <w:kern w:val="0"/>
          <w:szCs w:val="21"/>
        </w:rPr>
        <w:t>。</w:t>
      </w:r>
    </w:p>
    <w:p>
      <w:pPr>
        <w:pStyle w:val="44"/>
        <w:numPr>
          <w:ilvl w:val="0"/>
          <w:numId w:val="12"/>
        </w:numPr>
        <w:autoSpaceDE w:val="0"/>
        <w:autoSpaceDN w:val="0"/>
        <w:spacing w:line="360" w:lineRule="auto"/>
        <w:ind w:firstLineChars="0"/>
        <w:contextualSpacing/>
        <w:rPr>
          <w:rFonts w:cs="宋体" w:asciiTheme="minorEastAsia" w:hAnsiTheme="minorEastAsia"/>
          <w:vanish/>
          <w:kern w:val="0"/>
          <w:szCs w:val="21"/>
        </w:rPr>
      </w:pPr>
    </w:p>
    <w:p>
      <w:pPr>
        <w:pStyle w:val="44"/>
        <w:numPr>
          <w:ilvl w:val="0"/>
          <w:numId w:val="12"/>
        </w:numPr>
        <w:autoSpaceDE w:val="0"/>
        <w:autoSpaceDN w:val="0"/>
        <w:spacing w:line="360" w:lineRule="auto"/>
        <w:ind w:firstLineChars="0"/>
        <w:contextualSpacing/>
        <w:rPr>
          <w:rFonts w:cs="宋体" w:asciiTheme="minorEastAsia" w:hAnsiTheme="minorEastAsia"/>
          <w:vanish/>
          <w:kern w:val="0"/>
          <w:szCs w:val="21"/>
        </w:rPr>
      </w:pPr>
    </w:p>
    <w:p>
      <w:pPr>
        <w:pStyle w:val="44"/>
        <w:numPr>
          <w:ilvl w:val="1"/>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符合性审查：</w:t>
      </w:r>
      <w:r>
        <w:rPr>
          <w:rFonts w:hint="eastAsia" w:ascii="宋体" w:hAnsi="宋体" w:cs="微软雅黑"/>
          <w:szCs w:val="21"/>
        </w:rPr>
        <w:t>依据谈判文件的规定，从响应文件的有效性、完整性和对谈判文件的响应程度进行审查，以确定是否对谈判文件的全部实质性要求作出响应。</w:t>
      </w:r>
    </w:p>
    <w:p>
      <w:pPr>
        <w:pStyle w:val="44"/>
        <w:autoSpaceDE w:val="0"/>
        <w:autoSpaceDN w:val="0"/>
        <w:spacing w:line="360" w:lineRule="auto"/>
        <w:ind w:left="964" w:firstLine="0" w:firstLineChars="0"/>
        <w:contextualSpacing/>
        <w:rPr>
          <w:rFonts w:cs="宋体" w:asciiTheme="minorEastAsia" w:hAnsiTheme="minorEastAsia"/>
          <w:kern w:val="0"/>
          <w:szCs w:val="21"/>
        </w:rPr>
      </w:pPr>
    </w:p>
    <w:p>
      <w:pPr>
        <w:pStyle w:val="44"/>
        <w:numPr>
          <w:ilvl w:val="0"/>
          <w:numId w:val="17"/>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响应文件的澄清</w:t>
      </w:r>
    </w:p>
    <w:p>
      <w:pPr>
        <w:pStyle w:val="44"/>
        <w:numPr>
          <w:ilvl w:val="0"/>
          <w:numId w:val="20"/>
        </w:numPr>
        <w:autoSpaceDE w:val="0"/>
        <w:autoSpaceDN w:val="0"/>
        <w:spacing w:line="360" w:lineRule="auto"/>
        <w:ind w:firstLineChars="0"/>
        <w:contextualSpacing/>
        <w:rPr>
          <w:rFonts w:cs="宋体" w:asciiTheme="minorEastAsia" w:hAnsiTheme="minorEastAsia"/>
          <w:kern w:val="0"/>
          <w:szCs w:val="21"/>
        </w:rPr>
      </w:pPr>
      <w:r>
        <w:rPr>
          <w:rFonts w:ascii="ˎ̥" w:hAnsi="ˎ̥"/>
        </w:rPr>
        <w:t>谈判小组在对响应文件的有效性、完整性和响应程度进行审查时，可以要求供应商对响应文件中含义不明确、同类问题表述不一致或者有明显文字和计算错误的内容等作出必要的澄清、说明或者更正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cs="宋体" w:asciiTheme="minorEastAsia" w:hAnsiTheme="minorEastAsia"/>
          <w:kern w:val="0"/>
          <w:szCs w:val="21"/>
        </w:rPr>
        <w:t>。</w:t>
      </w:r>
      <w:r>
        <w:rPr>
          <w:rFonts w:ascii="ˎ̥" w:hAnsi="ˎ̥"/>
        </w:rPr>
        <w:t>供应商的澄清、说明或者更正不得超出响应文件的范围或者改变响应文件的实质性内容</w:t>
      </w:r>
      <w:r>
        <w:rPr>
          <w:rFonts w:hint="eastAsia" w:ascii="ˎ̥" w:hAnsi="ˎ̥"/>
          <w:lang w:eastAsia="zh-CN"/>
        </w:rPr>
        <w:t>。</w:t>
      </w:r>
    </w:p>
    <w:p>
      <w:pPr>
        <w:pStyle w:val="44"/>
        <w:numPr>
          <w:ilvl w:val="1"/>
          <w:numId w:val="17"/>
        </w:numPr>
        <w:autoSpaceDE w:val="0"/>
        <w:autoSpaceDN w:val="0"/>
        <w:spacing w:line="360" w:lineRule="auto"/>
        <w:ind w:firstLineChars="0"/>
        <w:contextualSpacing/>
        <w:rPr>
          <w:rFonts w:cs="宋体" w:asciiTheme="minorEastAsia" w:hAnsiTheme="minorEastAsia"/>
          <w:vanish/>
          <w:kern w:val="0"/>
          <w:szCs w:val="21"/>
        </w:rPr>
      </w:pP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投标人的澄清、说明或者更正应当采用书面</w:t>
      </w:r>
      <w:r>
        <w:rPr>
          <w:rFonts w:hint="eastAsia" w:ascii="ˎ̥" w:hAnsi="ˎ̥"/>
        </w:rPr>
        <w:t>形式，</w:t>
      </w:r>
      <w:r>
        <w:rPr>
          <w:rFonts w:ascii="ˎ̥" w:hAnsi="ˎ̥"/>
        </w:rPr>
        <w:t>供应商的澄清、说明或者更正应当由法定代表人或其授权代表签字或者加盖公章。由授权代表签字的，应当附法定代表人授权书。供应商为自然人的，应当由本人签字并附身份证明</w:t>
      </w:r>
      <w:r>
        <w:rPr>
          <w:rFonts w:hint="eastAsia" w:ascii="ˎ̥" w:hAnsi="ˎ̥"/>
        </w:rPr>
        <w:t>。投标人的澄清、说明或者补正不得超出</w:t>
      </w:r>
      <w:r>
        <w:rPr>
          <w:rFonts w:hint="eastAsia" w:cs="宋体" w:asciiTheme="minorEastAsia" w:hAnsiTheme="minorEastAsia"/>
          <w:kern w:val="0"/>
          <w:szCs w:val="21"/>
        </w:rPr>
        <w:t>投标文件的范围或者改变投标文件的实质性内容。</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供应商的澄清文件是其响应文件的组成部分。</w:t>
      </w:r>
    </w:p>
    <w:p>
      <w:pPr>
        <w:pStyle w:val="44"/>
        <w:autoSpaceDE w:val="0"/>
        <w:autoSpaceDN w:val="0"/>
        <w:spacing w:line="360" w:lineRule="auto"/>
        <w:ind w:left="964" w:firstLine="0" w:firstLineChars="0"/>
        <w:contextualSpacing/>
        <w:rPr>
          <w:rFonts w:cs="宋体" w:asciiTheme="minorEastAsia" w:hAnsiTheme="minorEastAsia"/>
          <w:kern w:val="0"/>
          <w:szCs w:val="21"/>
        </w:rPr>
      </w:pPr>
    </w:p>
    <w:p>
      <w:pPr>
        <w:pStyle w:val="44"/>
        <w:numPr>
          <w:ilvl w:val="0"/>
          <w:numId w:val="17"/>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响应文件报价出现前后不一致的修正</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大写金额和小写金额不一致的，以大写金额为准；</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单价金额小数点或者百分比有明显错位的，以开标一览表的总价为准，并修改单价；</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总价金额与按单价汇总金额不一致的，以单价金额计算结果为准。同时出现两种以上不一致的，按照前款规定的顺序修正。修正后的报价按照“供应商须知”26.2规定经供应商确认后产生约束力，供应商不确认的，为无效报价。</w:t>
      </w:r>
    </w:p>
    <w:p>
      <w:pPr>
        <w:autoSpaceDE w:val="0"/>
        <w:autoSpaceDN w:val="0"/>
        <w:spacing w:line="360" w:lineRule="auto"/>
        <w:ind w:left="964"/>
        <w:contextualSpacing/>
        <w:rPr>
          <w:rFonts w:cs="宋体" w:asciiTheme="minorEastAsia" w:hAnsiTheme="minorEastAsia"/>
          <w:kern w:val="0"/>
          <w:szCs w:val="21"/>
        </w:rPr>
      </w:pPr>
    </w:p>
    <w:p>
      <w:pPr>
        <w:pStyle w:val="44"/>
        <w:numPr>
          <w:ilvl w:val="0"/>
          <w:numId w:val="17"/>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响应无效情形</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响应文件属下列情况之一的，按照无效响应处理：</w:t>
      </w: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vanish/>
          <w:kern w:val="0"/>
          <w:szCs w:val="21"/>
        </w:rPr>
      </w:pPr>
    </w:p>
    <w:p>
      <w:pPr>
        <w:pStyle w:val="44"/>
        <w:numPr>
          <w:ilvl w:val="0"/>
          <w:numId w:val="21"/>
        </w:numPr>
        <w:autoSpaceDE w:val="0"/>
        <w:autoSpaceDN w:val="0"/>
        <w:spacing w:line="360" w:lineRule="auto"/>
        <w:ind w:firstLine="0" w:firstLineChars="0"/>
        <w:contextualSpacing/>
        <w:rPr>
          <w:rFonts w:cs="宋体" w:asciiTheme="minorEastAsia" w:hAnsiTheme="minorEastAsia"/>
          <w:kern w:val="0"/>
          <w:szCs w:val="21"/>
        </w:rPr>
      </w:pPr>
      <w:r>
        <w:rPr>
          <w:rFonts w:hint="eastAsia" w:cs="宋体" w:asciiTheme="minorEastAsia" w:hAnsiTheme="minorEastAsia"/>
          <w:kern w:val="0"/>
          <w:szCs w:val="21"/>
        </w:rPr>
        <w:t>未按照谈判文件的规定提交投标</w:t>
      </w:r>
      <w:r>
        <w:rPr>
          <w:rFonts w:hint="eastAsia" w:cs="宋体" w:asciiTheme="minorEastAsia" w:hAnsiTheme="minorEastAsia"/>
          <w:kern w:val="0"/>
          <w:szCs w:val="21"/>
          <w:lang w:eastAsia="zh-CN"/>
        </w:rPr>
        <w:t>承诺函</w:t>
      </w:r>
      <w:r>
        <w:rPr>
          <w:rFonts w:hint="eastAsia" w:cs="宋体" w:asciiTheme="minorEastAsia" w:hAnsiTheme="minorEastAsia"/>
          <w:kern w:val="0"/>
          <w:szCs w:val="21"/>
        </w:rPr>
        <w:t>的；</w:t>
      </w:r>
    </w:p>
    <w:p>
      <w:pPr>
        <w:pStyle w:val="44"/>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28.1.2     响应文件未按招标文件要求签署、盖章的；</w:t>
      </w:r>
    </w:p>
    <w:p>
      <w:pPr>
        <w:pStyle w:val="44"/>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28.1.3     不具备谈判文件中规定的资格要求的；</w:t>
      </w:r>
    </w:p>
    <w:p>
      <w:pPr>
        <w:pStyle w:val="44"/>
        <w:autoSpaceDE w:val="0"/>
        <w:autoSpaceDN w:val="0"/>
        <w:spacing w:line="360" w:lineRule="auto"/>
        <w:ind w:left="964" w:firstLine="0" w:firstLineChars="0"/>
        <w:contextualSpacing/>
        <w:rPr>
          <w:rFonts w:hint="eastAsia" w:cs="宋体" w:asciiTheme="minorEastAsia" w:hAnsiTheme="minorEastAsia"/>
          <w:kern w:val="0"/>
          <w:szCs w:val="21"/>
        </w:rPr>
      </w:pPr>
      <w:r>
        <w:rPr>
          <w:rFonts w:hint="eastAsia" w:cs="宋体" w:asciiTheme="minorEastAsia" w:hAnsiTheme="minorEastAsia"/>
          <w:kern w:val="0"/>
          <w:szCs w:val="21"/>
        </w:rPr>
        <w:t>28.1.4     报价超过谈判文件中规定的预算金额的；</w:t>
      </w:r>
    </w:p>
    <w:p>
      <w:pPr>
        <w:pStyle w:val="44"/>
        <w:autoSpaceDE w:val="0"/>
        <w:autoSpaceDN w:val="0"/>
        <w:spacing w:line="360" w:lineRule="auto"/>
        <w:ind w:left="964" w:firstLine="0" w:firstLineChars="0"/>
        <w:contextualSpacing/>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28.1.5    响应文件内容模糊不清，无法辨认的；</w:t>
      </w:r>
    </w:p>
    <w:p>
      <w:pPr>
        <w:pStyle w:val="44"/>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w:t>
      </w:r>
      <w:r>
        <w:rPr>
          <w:rFonts w:hint="eastAsia" w:cs="宋体" w:asciiTheme="minorEastAsia" w:hAnsiTheme="minorEastAsia"/>
          <w:kern w:val="0"/>
          <w:szCs w:val="21"/>
          <w:lang w:val="en-US" w:eastAsia="zh-CN"/>
        </w:rPr>
        <w:t>6</w:t>
      </w:r>
      <w:r>
        <w:rPr>
          <w:rFonts w:hint="eastAsia" w:cs="宋体" w:asciiTheme="minorEastAsia" w:hAnsiTheme="minorEastAsia"/>
          <w:kern w:val="0"/>
          <w:szCs w:val="21"/>
        </w:rPr>
        <w:t xml:space="preserve">    响应</w:t>
      </w:r>
      <w:r>
        <w:rPr>
          <w:rFonts w:cs="宋体" w:asciiTheme="minorEastAsia" w:hAnsiTheme="minorEastAsia"/>
          <w:kern w:val="0"/>
          <w:szCs w:val="21"/>
        </w:rPr>
        <w:t>文件含有采购人不能接受的附加条件的</w:t>
      </w:r>
      <w:r>
        <w:rPr>
          <w:rFonts w:hint="eastAsia" w:cs="宋体" w:asciiTheme="minorEastAsia" w:hAnsiTheme="minorEastAsia"/>
          <w:kern w:val="0"/>
          <w:szCs w:val="21"/>
        </w:rPr>
        <w:t>。</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有下列情形之一的，视为供应商串通谈判，其响应无效：</w:t>
      </w:r>
    </w:p>
    <w:p>
      <w:pPr>
        <w:pStyle w:val="44"/>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28.2.1     不同供应商的响应文件由同一单位或者个人编制；</w:t>
      </w:r>
    </w:p>
    <w:p>
      <w:pPr>
        <w:pStyle w:val="44"/>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28.2.2     不同供应商委托同一单位或者个人办理响应事宜；</w:t>
      </w:r>
    </w:p>
    <w:p>
      <w:pPr>
        <w:pStyle w:val="44"/>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28.2.3     不同供应商的响应文件载明的项目管理成员或者联系人员为同一人；</w:t>
      </w:r>
    </w:p>
    <w:p>
      <w:pPr>
        <w:pStyle w:val="44"/>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28.2.4     不同供应商的响应文件异常一致或者投标报价呈规律性差异；</w:t>
      </w:r>
    </w:p>
    <w:p>
      <w:pPr>
        <w:pStyle w:val="44"/>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28.2.5     不同供应商的响应文件相互混装；</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小组认为供应商的报价明显低于其他通过符合性审查供应商的报价，有可能影响产品质量或者不能诚信履约的，应当要求其在谈判现场合理的时间内提供书面说明，必要时提交相关证明材料；供应商不能证明其报价合理性的，谈判小组应当将其作为无效响应处理。</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hint="eastAsia" w:ascii="ˎ̥" w:hAnsi="ˎ̥"/>
        </w:rPr>
        <w:t>按照《关于推进全流程电子化交易和在线监管工作有关问题的通知》（许公管办[2019]3号）规定，不同供应商电子响应文件制作硬件特征码（网卡MAC地址、CPU序号、硬盘序列号等）雷同时，视为‘</w:t>
      </w:r>
      <w:r>
        <w:rPr>
          <w:rFonts w:ascii="ˎ̥" w:hAnsi="ˎ̥"/>
        </w:rPr>
        <w:t>不同</w:t>
      </w:r>
      <w:r>
        <w:rPr>
          <w:rFonts w:hint="eastAsia" w:ascii="ˎ̥" w:hAnsi="ˎ̥"/>
        </w:rPr>
        <w:t>供应商</w:t>
      </w:r>
      <w:r>
        <w:rPr>
          <w:rFonts w:ascii="ˎ̥" w:hAnsi="ˎ̥"/>
        </w:rPr>
        <w:t>的</w:t>
      </w:r>
      <w:r>
        <w:rPr>
          <w:rFonts w:hint="eastAsia" w:ascii="ˎ̥" w:hAnsi="ˎ̥"/>
        </w:rPr>
        <w:t>响应</w:t>
      </w:r>
      <w:r>
        <w:rPr>
          <w:rFonts w:ascii="ˎ̥" w:hAnsi="ˎ̥"/>
        </w:rPr>
        <w:t>文件由同一单位或者个人编制</w:t>
      </w:r>
      <w:r>
        <w:rPr>
          <w:rFonts w:hint="eastAsia" w:ascii="ˎ̥" w:hAnsi="ˎ̥"/>
        </w:rPr>
        <w:t>’或‘</w:t>
      </w:r>
      <w:r>
        <w:rPr>
          <w:rFonts w:ascii="ˎ̥" w:hAnsi="ˎ̥"/>
        </w:rPr>
        <w:t>不同</w:t>
      </w:r>
      <w:r>
        <w:rPr>
          <w:rFonts w:hint="eastAsia" w:ascii="ˎ̥" w:hAnsi="ˎ̥"/>
        </w:rPr>
        <w:t>供应商</w:t>
      </w:r>
      <w:r>
        <w:rPr>
          <w:rFonts w:ascii="ˎ̥" w:hAnsi="ˎ̥"/>
        </w:rPr>
        <w:t>委托同一单位或者个人办理</w:t>
      </w:r>
      <w:r>
        <w:rPr>
          <w:rFonts w:hint="eastAsia" w:ascii="ˎ̥" w:hAnsi="ˎ̥"/>
        </w:rPr>
        <w:t>响应</w:t>
      </w:r>
      <w:r>
        <w:rPr>
          <w:rFonts w:ascii="ˎ̥" w:hAnsi="ˎ̥"/>
        </w:rPr>
        <w:t>事宜</w:t>
      </w:r>
      <w:r>
        <w:rPr>
          <w:rFonts w:hint="eastAsia" w:ascii="ˎ̥" w:hAnsi="ˎ̥"/>
        </w:rPr>
        <w:t>’，其谈判响应无效。</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法律、法规和</w:t>
      </w:r>
      <w:r>
        <w:rPr>
          <w:rFonts w:hint="eastAsia" w:cs="宋体" w:asciiTheme="minorEastAsia" w:hAnsiTheme="minorEastAsia"/>
          <w:kern w:val="0"/>
          <w:szCs w:val="21"/>
        </w:rPr>
        <w:t>响应</w:t>
      </w:r>
      <w:r>
        <w:rPr>
          <w:rFonts w:cs="宋体" w:asciiTheme="minorEastAsia" w:hAnsiTheme="minorEastAsia"/>
          <w:kern w:val="0"/>
          <w:szCs w:val="21"/>
        </w:rPr>
        <w:t>文件规定的其他无效情形。</w:t>
      </w:r>
    </w:p>
    <w:p>
      <w:pPr>
        <w:pStyle w:val="44"/>
        <w:numPr>
          <w:ilvl w:val="0"/>
          <w:numId w:val="17"/>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响应文件评审与谈判</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谈判小组应当对响应文件进行评审，并根据谈判文件规定的程序、评定成交的标准等事项与实质性响应谈判文件要求的供应商进行谈判。未实质性响应谈判文件的响应文件按无效处理，谈判小组应当告知有关供应商</w:t>
      </w:r>
      <w:r>
        <w:rPr>
          <w:rFonts w:hint="eastAsia" w:cs="宋体" w:asciiTheme="minorEastAsia" w:hAnsiTheme="minorEastAsia"/>
          <w:kern w:val="0"/>
          <w:szCs w:val="21"/>
        </w:rPr>
        <w:t>。</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ascii="ˎ̥" w:hAnsi="ˎ̥"/>
        </w:rPr>
        <w:t>谈判小组所有成员应当集中与单一供应商分别进行谈判，并给予所有参加谈判的供应商平等的谈判机会</w:t>
      </w:r>
      <w:r>
        <w:rPr>
          <w:rFonts w:hint="eastAsia" w:ascii="ˎ̥" w:hAnsi="ˎ̥"/>
        </w:rPr>
        <w:t>。</w:t>
      </w:r>
    </w:p>
    <w:p>
      <w:pPr>
        <w:pStyle w:val="50"/>
        <w:numPr>
          <w:ilvl w:val="1"/>
          <w:numId w:val="17"/>
        </w:numPr>
        <w:spacing w:line="400" w:lineRule="exact"/>
        <w:rPr>
          <w:rFonts w:cs="微软雅黑"/>
          <w:color w:val="000000"/>
        </w:rPr>
      </w:pPr>
      <w:r>
        <w:rPr>
          <w:rFonts w:hint="eastAsia" w:cs="微软雅黑"/>
          <w:color w:val="000000"/>
        </w:rPr>
        <w:t>在谈判中，谈判的任何一方不得透露与谈判有关的其他供应商的技术资料、价格和其他信息。</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ascii="ˎ̥" w:hAnsi="ˎ̥"/>
        </w:rPr>
        <w:t>在谈判过程中，谈判小组可以根据谈判文件和谈判情况实质性变动采购需求中的技术、服务要求以及合同草案条款，但不得变动谈判文件中的其他内容。实质性变动的内容，须经采购人代表确认</w:t>
      </w:r>
      <w:r>
        <w:rPr>
          <w:rFonts w:hint="eastAsia" w:ascii="ˎ̥" w:hAnsi="ˎ̥"/>
        </w:rPr>
        <w:t>。</w:t>
      </w:r>
    </w:p>
    <w:p>
      <w:pPr>
        <w:autoSpaceDE w:val="0"/>
        <w:autoSpaceDN w:val="0"/>
        <w:spacing w:line="360" w:lineRule="auto"/>
        <w:ind w:left="964"/>
        <w:contextualSpacing/>
        <w:rPr>
          <w:rFonts w:ascii="ˎ̥" w:hAnsi="ˎ̥"/>
        </w:rPr>
      </w:pPr>
      <w:r>
        <w:rPr>
          <w:rFonts w:ascii="ˎ̥" w:hAnsi="ˎ̥"/>
        </w:rPr>
        <w:t>对谈判文件作出的实质性变动是谈判文件的有效组成部分，谈判小组应当及时以书面形式同时通知所有参加谈判的供应商</w:t>
      </w:r>
      <w:r>
        <w:rPr>
          <w:rFonts w:hint="eastAsia" w:ascii="ˎ̥" w:hAnsi="ˎ̥"/>
        </w:rPr>
        <w:t>。</w:t>
      </w:r>
    </w:p>
    <w:p>
      <w:pPr>
        <w:autoSpaceDE w:val="0"/>
        <w:autoSpaceDN w:val="0"/>
        <w:spacing w:line="360" w:lineRule="auto"/>
        <w:ind w:left="964"/>
        <w:contextualSpacing/>
        <w:rPr>
          <w:rFonts w:ascii="ˎ̥" w:hAnsi="ˎ̥"/>
        </w:rPr>
      </w:pPr>
      <w:r>
        <w:rPr>
          <w:rFonts w:ascii="ˎ̥" w:hAnsi="ˎ̥"/>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r>
        <w:rPr>
          <w:rFonts w:hint="eastAsia" w:ascii="ˎ̥" w:hAnsi="ˎ̥"/>
        </w:rPr>
        <w:t>。</w:t>
      </w:r>
    </w:p>
    <w:p>
      <w:pPr>
        <w:pStyle w:val="44"/>
        <w:numPr>
          <w:ilvl w:val="1"/>
          <w:numId w:val="17"/>
        </w:numPr>
        <w:autoSpaceDE w:val="0"/>
        <w:autoSpaceDN w:val="0"/>
        <w:spacing w:line="360" w:lineRule="auto"/>
        <w:ind w:firstLineChars="0"/>
        <w:contextualSpacing/>
        <w:rPr>
          <w:rFonts w:ascii="ˎ̥" w:hAnsi="ˎ̥"/>
        </w:rPr>
      </w:pPr>
      <w:r>
        <w:rPr>
          <w:rFonts w:ascii="ˎ̥" w:hAnsi="ˎ̥"/>
        </w:rPr>
        <w:t>谈判文件能够详细列明采购标的的技术、服务要求的，谈判结束后，谈判小组应当要求所有继续参加谈判的供应商在规定时间内提交最后报价</w:t>
      </w:r>
      <w:r>
        <w:rPr>
          <w:rFonts w:hint="eastAsia" w:ascii="ˎ̥" w:hAnsi="ˎ̥"/>
          <w:lang w:eastAsia="zh-CN"/>
        </w:rPr>
        <w:t>（供应商最终报价不能高于第一次报价，采购人改变技术需求的除外）</w:t>
      </w:r>
      <w:r>
        <w:rPr>
          <w:rFonts w:ascii="ˎ̥" w:hAnsi="ˎ̥"/>
        </w:rPr>
        <w:t>，提交最后报价的供应商不得少于3家</w:t>
      </w:r>
      <w:r>
        <w:rPr>
          <w:rFonts w:hint="eastAsia" w:ascii="ˎ̥" w:hAnsi="ˎ̥"/>
        </w:rPr>
        <w:t>。</w:t>
      </w:r>
    </w:p>
    <w:p>
      <w:pPr>
        <w:autoSpaceDE w:val="0"/>
        <w:autoSpaceDN w:val="0"/>
        <w:spacing w:line="360" w:lineRule="auto"/>
        <w:ind w:left="964"/>
        <w:contextualSpacing/>
        <w:rPr>
          <w:rFonts w:hint="eastAsia" w:ascii="ˎ̥" w:hAnsi="ˎ̥" w:eastAsiaTheme="minorEastAsia"/>
          <w:lang w:eastAsia="zh-CN"/>
        </w:rPr>
      </w:pPr>
      <w:r>
        <w:rPr>
          <w:rFonts w:ascii="ˎ̥" w:hAnsi="ˎ̥"/>
        </w:rPr>
        <w:t>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r>
        <w:rPr>
          <w:rFonts w:hint="eastAsia" w:ascii="ˎ̥" w:hAnsi="ˎ̥"/>
        </w:rPr>
        <w:t>。</w:t>
      </w:r>
    </w:p>
    <w:p>
      <w:pPr>
        <w:pStyle w:val="44"/>
        <w:numPr>
          <w:ilvl w:val="1"/>
          <w:numId w:val="17"/>
        </w:numPr>
        <w:autoSpaceDE w:val="0"/>
        <w:autoSpaceDN w:val="0"/>
        <w:spacing w:line="360" w:lineRule="auto"/>
        <w:ind w:firstLineChars="0"/>
        <w:contextualSpacing/>
        <w:rPr>
          <w:rFonts w:ascii="ˎ̥" w:hAnsi="ˎ̥"/>
        </w:rPr>
      </w:pPr>
      <w:r>
        <w:rPr>
          <w:rFonts w:ascii="ˎ̥" w:hAnsi="ˎ̥"/>
        </w:rPr>
        <w:t>最后报价是供应商响应文件的有效组成部分。</w:t>
      </w:r>
    </w:p>
    <w:p>
      <w:pPr>
        <w:pStyle w:val="44"/>
        <w:numPr>
          <w:ilvl w:val="1"/>
          <w:numId w:val="17"/>
        </w:numPr>
        <w:autoSpaceDE w:val="0"/>
        <w:autoSpaceDN w:val="0"/>
        <w:spacing w:line="360" w:lineRule="auto"/>
        <w:ind w:firstLineChars="0"/>
        <w:contextualSpacing/>
        <w:rPr>
          <w:rFonts w:ascii="ˎ̥" w:hAnsi="ˎ̥"/>
        </w:rPr>
      </w:pPr>
      <w:r>
        <w:rPr>
          <w:rFonts w:ascii="ˎ̥" w:hAnsi="ˎ̥"/>
        </w:rPr>
        <w:t>已提交响应文件的供应商，在提交最后报价之前，可以根据谈判情况退出谈判。</w:t>
      </w:r>
    </w:p>
    <w:p>
      <w:pPr>
        <w:pStyle w:val="44"/>
        <w:numPr>
          <w:ilvl w:val="1"/>
          <w:numId w:val="17"/>
        </w:numPr>
        <w:autoSpaceDE w:val="0"/>
        <w:autoSpaceDN w:val="0"/>
        <w:spacing w:line="360" w:lineRule="auto"/>
        <w:ind w:firstLineChars="0"/>
        <w:contextualSpacing/>
        <w:rPr>
          <w:rFonts w:ascii="ˎ̥" w:hAnsi="ˎ̥"/>
        </w:rPr>
      </w:pPr>
      <w:r>
        <w:rPr>
          <w:rFonts w:hint="eastAsia" w:ascii="ˎ̥" w:hAnsi="ˎ̥"/>
        </w:rPr>
        <w:t>按照《关于推进全流程电子化交易和在线监管工作有关问题的通知》（许公管办[2019]3号）规定，评审专家应严格按照要求查看“硬件特征码相” 关信息并进行评审。</w:t>
      </w:r>
    </w:p>
    <w:p>
      <w:pPr>
        <w:pStyle w:val="44"/>
        <w:numPr>
          <w:ilvl w:val="0"/>
          <w:numId w:val="17"/>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评审方法与提出成交候选人</w:t>
      </w:r>
    </w:p>
    <w:p>
      <w:pPr>
        <w:pStyle w:val="44"/>
        <w:autoSpaceDE w:val="0"/>
        <w:autoSpaceDN w:val="0"/>
        <w:spacing w:line="360" w:lineRule="auto"/>
        <w:ind w:left="424" w:leftChars="202" w:firstLine="0" w:firstLineChars="0"/>
        <w:contextualSpacing/>
        <w:rPr>
          <w:rFonts w:cs="宋体" w:asciiTheme="minorEastAsia" w:hAnsiTheme="minorEastAsia"/>
          <w:kern w:val="0"/>
          <w:szCs w:val="21"/>
        </w:rPr>
      </w:pPr>
      <w:r>
        <w:rPr>
          <w:rFonts w:ascii="ˎ̥" w:hAnsi="ˎ̥"/>
        </w:rPr>
        <w:t>谈判小组应当从质量和服务均能满足采购文件实质性响应要求的供应商中，按照最后报价由低到高的顺序</w:t>
      </w:r>
      <w:r>
        <w:rPr>
          <w:rFonts w:hint="eastAsia" w:ascii="ˎ̥" w:hAnsi="ˎ̥"/>
          <w:lang w:eastAsia="zh-CN"/>
        </w:rPr>
        <w:t>提出</w:t>
      </w:r>
      <w:r>
        <w:rPr>
          <w:rFonts w:hint="eastAsia" w:ascii="ˎ̥" w:hAnsi="ˎ̥"/>
          <w:lang w:val="en-US" w:eastAsia="zh-CN"/>
        </w:rPr>
        <w:t>3</w:t>
      </w:r>
      <w:r>
        <w:rPr>
          <w:rFonts w:ascii="ˎ̥" w:hAnsi="ˎ̥"/>
        </w:rPr>
        <w:t>名成交候选人，并编写评审报告。</w:t>
      </w:r>
    </w:p>
    <w:p>
      <w:pPr>
        <w:tabs>
          <w:tab w:val="left" w:pos="1260"/>
        </w:tabs>
        <w:autoSpaceDE w:val="0"/>
        <w:autoSpaceDN w:val="0"/>
        <w:spacing w:line="360" w:lineRule="auto"/>
        <w:contextualSpacing/>
        <w:jc w:val="both"/>
        <w:rPr>
          <w:rFonts w:cs="宋体" w:asciiTheme="minorEastAsia" w:hAnsiTheme="minorEastAsia"/>
          <w:b/>
          <w:kern w:val="0"/>
          <w:szCs w:val="21"/>
        </w:rPr>
      </w:pPr>
    </w:p>
    <w:p>
      <w:pPr>
        <w:numPr>
          <w:ilvl w:val="0"/>
          <w:numId w:val="22"/>
        </w:numPr>
        <w:tabs>
          <w:tab w:val="left" w:pos="1260"/>
        </w:tabs>
        <w:autoSpaceDE w:val="0"/>
        <w:autoSpaceDN w:val="0"/>
        <w:spacing w:line="360" w:lineRule="auto"/>
        <w:contextualSpacing/>
        <w:jc w:val="center"/>
        <w:rPr>
          <w:rFonts w:hint="eastAsia" w:cs="宋体" w:asciiTheme="minorEastAsia" w:hAnsiTheme="minorEastAsia"/>
          <w:b/>
          <w:kern w:val="0"/>
          <w:szCs w:val="21"/>
        </w:rPr>
      </w:pPr>
      <w:r>
        <w:rPr>
          <w:rFonts w:hint="eastAsia" w:cs="宋体" w:asciiTheme="minorEastAsia" w:hAnsiTheme="minorEastAsia"/>
          <w:b/>
          <w:kern w:val="0"/>
          <w:szCs w:val="21"/>
        </w:rPr>
        <w:t>确定成交供应商和授予合同</w:t>
      </w:r>
    </w:p>
    <w:p>
      <w:pPr>
        <w:numPr>
          <w:ilvl w:val="0"/>
          <w:numId w:val="0"/>
        </w:numPr>
        <w:tabs>
          <w:tab w:val="left" w:pos="1260"/>
        </w:tabs>
        <w:autoSpaceDE w:val="0"/>
        <w:autoSpaceDN w:val="0"/>
        <w:spacing w:line="360" w:lineRule="auto"/>
        <w:contextualSpacing/>
        <w:jc w:val="both"/>
        <w:rPr>
          <w:rFonts w:hint="eastAsia" w:cs="宋体" w:asciiTheme="minorEastAsia" w:hAnsiTheme="minorEastAsia"/>
          <w:b/>
          <w:kern w:val="0"/>
          <w:szCs w:val="21"/>
        </w:rPr>
      </w:pPr>
    </w:p>
    <w:p>
      <w:pPr>
        <w:pStyle w:val="44"/>
        <w:numPr>
          <w:ilvl w:val="0"/>
          <w:numId w:val="17"/>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确定成交供应商</w:t>
      </w:r>
    </w:p>
    <w:p>
      <w:pPr>
        <w:pStyle w:val="44"/>
        <w:numPr>
          <w:ilvl w:val="0"/>
          <w:numId w:val="23"/>
        </w:numPr>
        <w:autoSpaceDE w:val="0"/>
        <w:autoSpaceDN w:val="0"/>
        <w:spacing w:line="360" w:lineRule="auto"/>
        <w:ind w:firstLineChars="0"/>
        <w:contextualSpacing/>
        <w:rPr>
          <w:rFonts w:cs="宋体" w:asciiTheme="minorEastAsia" w:hAnsiTheme="minorEastAsia"/>
          <w:kern w:val="0"/>
          <w:szCs w:val="21"/>
        </w:rPr>
      </w:pPr>
      <w:r>
        <w:rPr>
          <w:rFonts w:ascii="ˎ̥" w:hAnsi="ˎ̥"/>
        </w:rPr>
        <w:t>采购人应当在收到评审报告后5个工作日内，从评审报告提出的成交候选人中，根据质量和服务均能满足采购文件实质性响应要求且最后报价最低的原则确定成交供应商</w:t>
      </w:r>
      <w:r>
        <w:rPr>
          <w:rFonts w:hint="eastAsia" w:cs="宋体" w:asciiTheme="minorEastAsia" w:hAnsiTheme="minorEastAsia"/>
          <w:kern w:val="0"/>
          <w:szCs w:val="21"/>
        </w:rPr>
        <w:t>。</w:t>
      </w:r>
    </w:p>
    <w:p>
      <w:pPr>
        <w:pStyle w:val="44"/>
        <w:numPr>
          <w:ilvl w:val="1"/>
          <w:numId w:val="24"/>
        </w:numPr>
        <w:autoSpaceDE w:val="0"/>
        <w:autoSpaceDN w:val="0"/>
        <w:spacing w:line="360" w:lineRule="auto"/>
        <w:ind w:firstLineChars="0"/>
        <w:contextualSpacing/>
        <w:rPr>
          <w:rFonts w:cs="宋体" w:asciiTheme="minorEastAsia" w:hAnsiTheme="minorEastAsia"/>
          <w:kern w:val="0"/>
          <w:szCs w:val="21"/>
        </w:rPr>
      </w:pPr>
      <w:r>
        <w:rPr>
          <w:rFonts w:ascii="ˎ̥" w:hAnsi="ˎ̥"/>
        </w:rPr>
        <w:t>采购人逾期未确定成交供应商且不提出异议的，视为确定评审报告提出的最后报价最低的供应商为成交供应商</w:t>
      </w:r>
      <w:r>
        <w:rPr>
          <w:rFonts w:hint="eastAsia" w:ascii="ˎ̥" w:hAnsi="ˎ̥"/>
        </w:rPr>
        <w:t>。</w:t>
      </w:r>
    </w:p>
    <w:p>
      <w:pPr>
        <w:pStyle w:val="44"/>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微软雅黑"/>
        </w:rPr>
        <w:t>在谈判采购中，出现下列情形之一的，采购人应当终止竞争性谈判采购活动，发布项目终止公告并说明原因，重新开展采购活动：</w:t>
      </w:r>
    </w:p>
    <w:p>
      <w:pPr>
        <w:pStyle w:val="44"/>
        <w:numPr>
          <w:ilvl w:val="0"/>
          <w:numId w:val="17"/>
        </w:numPr>
        <w:autoSpaceDE w:val="0"/>
        <w:autoSpaceDN w:val="0"/>
        <w:spacing w:line="360" w:lineRule="auto"/>
        <w:ind w:firstLineChars="0"/>
        <w:contextualSpacing/>
        <w:rPr>
          <w:rFonts w:cs="宋体" w:asciiTheme="minorEastAsia" w:hAnsiTheme="minorEastAsia"/>
          <w:vanish/>
          <w:kern w:val="0"/>
          <w:szCs w:val="21"/>
        </w:rPr>
      </w:pP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因情况变化，不再符合规定的竞争性谈判采购方式适用情形的；</w:t>
      </w:r>
    </w:p>
    <w:p>
      <w:pPr>
        <w:pStyle w:val="44"/>
        <w:numPr>
          <w:ilvl w:val="1"/>
          <w:numId w:val="17"/>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出现影响采购公正的违法、违规行为的</w:t>
      </w:r>
      <w:r>
        <w:rPr>
          <w:rFonts w:hint="eastAsia" w:cs="宋体" w:asciiTheme="minorEastAsia" w:hAnsiTheme="minorEastAsia"/>
          <w:kern w:val="0"/>
          <w:szCs w:val="21"/>
        </w:rPr>
        <w:t>；</w:t>
      </w:r>
    </w:p>
    <w:p>
      <w:pPr>
        <w:pStyle w:val="44"/>
        <w:numPr>
          <w:ilvl w:val="1"/>
          <w:numId w:val="17"/>
        </w:numPr>
        <w:autoSpaceDE w:val="0"/>
        <w:autoSpaceDN w:val="0"/>
        <w:spacing w:line="360" w:lineRule="auto"/>
        <w:ind w:firstLineChars="0"/>
        <w:contextualSpacing/>
        <w:rPr>
          <w:rFonts w:ascii="ˎ̥" w:hAnsi="ˎ̥"/>
        </w:rPr>
      </w:pPr>
      <w:r>
        <w:rPr>
          <w:rFonts w:hint="eastAsia" w:ascii="ˎ̥" w:hAnsi="ˎ̥"/>
        </w:rPr>
        <w:t>在采购过程中符合竞争要求的供应商或者报价未超过采购预算的供应商不足3家的，但《政府采购非招标采购方式管理办法》第二十七条第二款规定的情形除外。</w:t>
      </w:r>
    </w:p>
    <w:p>
      <w:pPr>
        <w:pStyle w:val="44"/>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成交公告、发出成交通知书</w:t>
      </w:r>
    </w:p>
    <w:p>
      <w:pPr>
        <w:pStyle w:val="44"/>
        <w:numPr>
          <w:ilvl w:val="0"/>
          <w:numId w:val="2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采购人确认成交供应商后，采购人在公告成交结果的同时，向成交供应商发出成交通知书。</w:t>
      </w:r>
    </w:p>
    <w:p>
      <w:pPr>
        <w:pStyle w:val="44"/>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成交通知书发出后，采购人不得违法改变成交结果，成交供应商无正当理由不得放弃成交。</w:t>
      </w:r>
    </w:p>
    <w:p>
      <w:pPr>
        <w:pStyle w:val="44"/>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成交供应商在接到成交通知时，须向集中采购机构发送谈判报价及分项报价一览表（包含主要成交标的的名称、规格型号、数量、单价、服务要求等）电子文档，并同时电话告知集中采购机构联系人。</w:t>
      </w:r>
    </w:p>
    <w:p>
      <w:pPr>
        <w:pStyle w:val="44"/>
        <w:autoSpaceDE w:val="0"/>
        <w:autoSpaceDN w:val="0"/>
        <w:spacing w:line="360" w:lineRule="auto"/>
        <w:ind w:left="964" w:firstLine="0" w:firstLineChars="0"/>
        <w:contextualSpacing/>
        <w:rPr>
          <w:rFonts w:cs="宋体" w:asciiTheme="minorEastAsia" w:hAnsiTheme="minorEastAsia"/>
          <w:kern w:val="0"/>
          <w:szCs w:val="21"/>
        </w:rPr>
      </w:pPr>
    </w:p>
    <w:p>
      <w:pPr>
        <w:pStyle w:val="44"/>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质疑提出与答复</w:t>
      </w:r>
    </w:p>
    <w:p>
      <w:pPr>
        <w:pStyle w:val="44"/>
        <w:numPr>
          <w:ilvl w:val="0"/>
          <w:numId w:val="2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供应商认为谈判文件、采购过程和成交结果使自己的权益受到损害的，可以按照《政府采购质疑和投诉办法》（财政部令第94号）提出质疑。</w:t>
      </w:r>
      <w:r>
        <w:rPr>
          <w:rFonts w:cs="宋体" w:asciiTheme="minorEastAsia" w:hAnsiTheme="minorEastAsia"/>
          <w:kern w:val="0"/>
          <w:szCs w:val="21"/>
        </w:rPr>
        <w:t>提出质疑的供应商应当是参与</w:t>
      </w:r>
      <w:r>
        <w:rPr>
          <w:rFonts w:hint="eastAsia" w:cs="宋体" w:asciiTheme="minorEastAsia" w:hAnsiTheme="minorEastAsia"/>
          <w:kern w:val="0"/>
          <w:szCs w:val="21"/>
        </w:rPr>
        <w:t>本</w:t>
      </w:r>
      <w:r>
        <w:rPr>
          <w:rFonts w:cs="宋体" w:asciiTheme="minorEastAsia" w:hAnsiTheme="minorEastAsia"/>
          <w:kern w:val="0"/>
          <w:szCs w:val="21"/>
        </w:rPr>
        <w:t>项目采购活动的供应商。</w:t>
      </w:r>
    </w:p>
    <w:p>
      <w:pPr>
        <w:pStyle w:val="44"/>
        <w:numPr>
          <w:ilvl w:val="0"/>
          <w:numId w:val="26"/>
        </w:numPr>
        <w:autoSpaceDE w:val="0"/>
        <w:autoSpaceDN w:val="0"/>
        <w:spacing w:line="360" w:lineRule="auto"/>
        <w:ind w:left="2127" w:hanging="1134" w:firstLineChars="0"/>
        <w:contextualSpacing/>
        <w:rPr>
          <w:rFonts w:cs="宋体" w:asciiTheme="minorEastAsia" w:hAnsiTheme="minorEastAsia"/>
          <w:kern w:val="0"/>
          <w:szCs w:val="21"/>
        </w:rPr>
      </w:pPr>
      <w:r>
        <w:rPr>
          <w:rFonts w:hint="eastAsia" w:cs="宋体" w:asciiTheme="minorEastAsia" w:hAnsiTheme="minorEastAsia"/>
          <w:kern w:val="0"/>
          <w:szCs w:val="21"/>
        </w:rPr>
        <w:t>对谈判文件提出质疑的，供应商应</w:t>
      </w:r>
      <w:r>
        <w:rPr>
          <w:rFonts w:cs="宋体" w:asciiTheme="minorEastAsia" w:hAnsiTheme="minorEastAsia"/>
          <w:kern w:val="0"/>
          <w:szCs w:val="21"/>
        </w:rPr>
        <w:t>已依法获取</w:t>
      </w:r>
      <w:r>
        <w:rPr>
          <w:rFonts w:hint="eastAsia" w:cs="宋体" w:asciiTheme="minorEastAsia" w:hAnsiTheme="minorEastAsia"/>
          <w:kern w:val="0"/>
          <w:szCs w:val="21"/>
        </w:rPr>
        <w:t>谈判</w:t>
      </w:r>
      <w:r>
        <w:rPr>
          <w:rFonts w:cs="宋体" w:asciiTheme="minorEastAsia" w:hAnsiTheme="minorEastAsia"/>
          <w:kern w:val="0"/>
          <w:szCs w:val="21"/>
        </w:rPr>
        <w:t>文件</w:t>
      </w:r>
      <w:r>
        <w:rPr>
          <w:rFonts w:hint="eastAsia" w:cs="宋体" w:asciiTheme="minorEastAsia" w:hAnsiTheme="minorEastAsia"/>
          <w:kern w:val="0"/>
          <w:szCs w:val="21"/>
        </w:rPr>
        <w:t>，且应当在</w:t>
      </w:r>
      <w:r>
        <w:rPr>
          <w:rFonts w:cs="宋体" w:asciiTheme="minorEastAsia" w:hAnsiTheme="minorEastAsia"/>
          <w:kern w:val="0"/>
          <w:szCs w:val="21"/>
        </w:rPr>
        <w:t>获取</w:t>
      </w:r>
      <w:r>
        <w:rPr>
          <w:rFonts w:hint="eastAsia" w:cs="宋体" w:asciiTheme="minorEastAsia" w:hAnsiTheme="minorEastAsia"/>
          <w:kern w:val="0"/>
          <w:szCs w:val="21"/>
        </w:rPr>
        <w:t>谈判</w:t>
      </w:r>
      <w:r>
        <w:rPr>
          <w:rFonts w:cs="宋体" w:asciiTheme="minorEastAsia" w:hAnsiTheme="minorEastAsia"/>
          <w:kern w:val="0"/>
          <w:szCs w:val="21"/>
        </w:rPr>
        <w:t>文件或者</w:t>
      </w:r>
      <w:r>
        <w:rPr>
          <w:rFonts w:hint="eastAsia" w:cs="宋体" w:asciiTheme="minorEastAsia" w:hAnsiTheme="minorEastAsia"/>
          <w:kern w:val="0"/>
          <w:szCs w:val="21"/>
        </w:rPr>
        <w:t>谈判</w:t>
      </w:r>
      <w:r>
        <w:rPr>
          <w:rFonts w:cs="宋体" w:asciiTheme="minorEastAsia" w:hAnsiTheme="minorEastAsia"/>
          <w:kern w:val="0"/>
          <w:szCs w:val="21"/>
        </w:rPr>
        <w:t>文件公告期限届满之日起7个工作日内</w:t>
      </w:r>
      <w:r>
        <w:rPr>
          <w:rFonts w:hint="eastAsia" w:cs="宋体" w:asciiTheme="minorEastAsia" w:hAnsiTheme="minorEastAsia"/>
          <w:kern w:val="0"/>
          <w:szCs w:val="21"/>
        </w:rPr>
        <w:t>通过《全国公共资源交易平台（河南省·许昌市）》一次性提出，提出后电话联系本项目谈判公告中集采机构联系人查看，并同时将符合《政府采购质疑和投诉办法》第十二条规定的纸质质疑函和必要的证明材料一式两份送采购单位，如未提出视为全面接受；</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34.1.2     对采购过程提出质疑的，为各采购程序环节结束之日起七个工作日内，以书面形式向采购人和采购代理机构一次性提出；</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34.1.3     对成交结果提出质疑的，为成交结果公告期限届满之日起七个工作日内，以书面形式向采购人和采购代理机构一次性提出。</w:t>
      </w:r>
    </w:p>
    <w:p>
      <w:pPr>
        <w:pStyle w:val="44"/>
        <w:numPr>
          <w:ilvl w:val="1"/>
          <w:numId w:val="24"/>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采购人、采购代理机构认为供应商质疑不成立，或者成立但未对</w:t>
      </w:r>
      <w:r>
        <w:rPr>
          <w:rFonts w:hint="eastAsia" w:cs="宋体" w:asciiTheme="minorEastAsia" w:hAnsiTheme="minorEastAsia"/>
          <w:kern w:val="0"/>
          <w:szCs w:val="21"/>
        </w:rPr>
        <w:t>成交</w:t>
      </w:r>
      <w:r>
        <w:rPr>
          <w:rFonts w:cs="宋体" w:asciiTheme="minorEastAsia" w:hAnsiTheme="minorEastAsia"/>
          <w:kern w:val="0"/>
          <w:szCs w:val="21"/>
        </w:rPr>
        <w:t>结果构成影响的，继续开展采购活动；认为供应商质疑成立且影响或者可能影响</w:t>
      </w:r>
      <w:r>
        <w:rPr>
          <w:rFonts w:hint="eastAsia" w:cs="宋体" w:asciiTheme="minorEastAsia" w:hAnsiTheme="minorEastAsia"/>
          <w:kern w:val="0"/>
          <w:szCs w:val="21"/>
        </w:rPr>
        <w:t>成交</w:t>
      </w:r>
      <w:r>
        <w:rPr>
          <w:rFonts w:cs="宋体" w:asciiTheme="minorEastAsia" w:hAnsiTheme="minorEastAsia"/>
          <w:kern w:val="0"/>
          <w:szCs w:val="21"/>
        </w:rPr>
        <w:t>结果的，按照下列情况处理：</w:t>
      </w:r>
    </w:p>
    <w:p>
      <w:pPr>
        <w:autoSpaceDE w:val="0"/>
        <w:autoSpaceDN w:val="0"/>
        <w:spacing w:line="360" w:lineRule="auto"/>
        <w:ind w:left="2125" w:leftChars="450" w:hanging="1180" w:hangingChars="562"/>
        <w:contextualSpacing/>
        <w:rPr>
          <w:rFonts w:cs="宋体" w:asciiTheme="minorEastAsia" w:hAnsiTheme="minorEastAsia"/>
          <w:kern w:val="0"/>
          <w:szCs w:val="21"/>
        </w:rPr>
      </w:pPr>
      <w:r>
        <w:rPr>
          <w:rFonts w:hint="eastAsia" w:cs="宋体" w:asciiTheme="minorEastAsia" w:hAnsiTheme="minorEastAsia"/>
          <w:kern w:val="0"/>
          <w:szCs w:val="21"/>
        </w:rPr>
        <w:t xml:space="preserve">34.2.1     </w:t>
      </w:r>
      <w:r>
        <w:rPr>
          <w:rFonts w:cs="宋体" w:asciiTheme="minorEastAsia" w:hAnsiTheme="minorEastAsia"/>
          <w:kern w:val="0"/>
          <w:szCs w:val="21"/>
        </w:rPr>
        <w:t>对</w:t>
      </w:r>
      <w:r>
        <w:rPr>
          <w:rFonts w:hint="eastAsia" w:cs="宋体" w:asciiTheme="minorEastAsia" w:hAnsiTheme="minorEastAsia"/>
          <w:kern w:val="0"/>
          <w:szCs w:val="21"/>
        </w:rPr>
        <w:t>谈判</w:t>
      </w:r>
      <w:r>
        <w:rPr>
          <w:rFonts w:cs="宋体" w:asciiTheme="minorEastAsia" w:hAnsiTheme="minorEastAsia"/>
          <w:kern w:val="0"/>
          <w:szCs w:val="21"/>
        </w:rPr>
        <w:t>文件提出的质疑，依法通过澄清或者修改可以继续开展采购活动的，澄清或者修改</w:t>
      </w:r>
      <w:r>
        <w:rPr>
          <w:rFonts w:hint="eastAsia" w:cs="宋体" w:asciiTheme="minorEastAsia" w:hAnsiTheme="minorEastAsia"/>
          <w:kern w:val="0"/>
          <w:szCs w:val="21"/>
        </w:rPr>
        <w:t>谈判</w:t>
      </w:r>
      <w:r>
        <w:rPr>
          <w:rFonts w:cs="宋体" w:asciiTheme="minorEastAsia" w:hAnsiTheme="minorEastAsia"/>
          <w:kern w:val="0"/>
          <w:szCs w:val="21"/>
        </w:rPr>
        <w:t>文件后继续开展采购活动；否则应当修改</w:t>
      </w:r>
      <w:r>
        <w:rPr>
          <w:rFonts w:hint="eastAsia" w:cs="宋体" w:asciiTheme="minorEastAsia" w:hAnsiTheme="minorEastAsia"/>
          <w:kern w:val="0"/>
          <w:szCs w:val="21"/>
        </w:rPr>
        <w:t>谈判</w:t>
      </w:r>
      <w:r>
        <w:rPr>
          <w:rFonts w:cs="宋体" w:asciiTheme="minorEastAsia" w:hAnsiTheme="minorEastAsia"/>
          <w:kern w:val="0"/>
          <w:szCs w:val="21"/>
        </w:rPr>
        <w:t>文件后重新开展采购活动。</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 xml:space="preserve">34.2.2     </w:t>
      </w:r>
      <w:r>
        <w:rPr>
          <w:rFonts w:cs="宋体" w:asciiTheme="minorEastAsia" w:hAnsiTheme="minorEastAsia"/>
          <w:kern w:val="0"/>
          <w:szCs w:val="21"/>
        </w:rPr>
        <w:t>对采购过程、</w:t>
      </w:r>
      <w:r>
        <w:rPr>
          <w:rFonts w:hint="eastAsia" w:cs="宋体" w:asciiTheme="minorEastAsia" w:hAnsiTheme="minorEastAsia"/>
          <w:kern w:val="0"/>
          <w:szCs w:val="21"/>
        </w:rPr>
        <w:t>成交</w:t>
      </w:r>
      <w:r>
        <w:rPr>
          <w:rFonts w:cs="宋体" w:asciiTheme="minorEastAsia" w:hAnsiTheme="minorEastAsia"/>
          <w:kern w:val="0"/>
          <w:szCs w:val="21"/>
        </w:rPr>
        <w:t>结果提出的质疑，合格供应商符合法定数量时，可以从合格的</w:t>
      </w:r>
      <w:r>
        <w:rPr>
          <w:rFonts w:hint="eastAsia" w:cs="宋体" w:asciiTheme="minorEastAsia" w:hAnsiTheme="minorEastAsia"/>
          <w:kern w:val="0"/>
          <w:szCs w:val="21"/>
        </w:rPr>
        <w:t>成交候选人</w:t>
      </w:r>
      <w:r>
        <w:rPr>
          <w:rFonts w:cs="宋体" w:asciiTheme="minorEastAsia" w:hAnsiTheme="minorEastAsia"/>
          <w:kern w:val="0"/>
          <w:szCs w:val="21"/>
        </w:rPr>
        <w:t>中另行确定</w:t>
      </w:r>
      <w:r>
        <w:rPr>
          <w:rFonts w:hint="eastAsia" w:cs="宋体" w:asciiTheme="minorEastAsia" w:hAnsiTheme="minorEastAsia"/>
          <w:kern w:val="0"/>
          <w:szCs w:val="21"/>
        </w:rPr>
        <w:t>成交</w:t>
      </w:r>
      <w:r>
        <w:rPr>
          <w:rFonts w:cs="宋体" w:asciiTheme="minorEastAsia" w:hAnsiTheme="minorEastAsia"/>
          <w:kern w:val="0"/>
          <w:szCs w:val="21"/>
        </w:rPr>
        <w:t>供应商的，应当依法另行确定</w:t>
      </w:r>
      <w:r>
        <w:rPr>
          <w:rFonts w:hint="eastAsia" w:cs="宋体" w:asciiTheme="minorEastAsia" w:hAnsiTheme="minorEastAsia"/>
          <w:kern w:val="0"/>
          <w:szCs w:val="21"/>
        </w:rPr>
        <w:t>成交</w:t>
      </w:r>
      <w:r>
        <w:rPr>
          <w:rFonts w:cs="宋体" w:asciiTheme="minorEastAsia" w:hAnsiTheme="minorEastAsia"/>
          <w:kern w:val="0"/>
          <w:szCs w:val="21"/>
        </w:rPr>
        <w:t>供应商；否则应当重新开展采购活动。</w:t>
      </w:r>
    </w:p>
    <w:p>
      <w:pPr>
        <w:autoSpaceDE w:val="0"/>
        <w:autoSpaceDN w:val="0"/>
        <w:spacing w:line="360" w:lineRule="auto"/>
        <w:ind w:left="964"/>
        <w:contextualSpacing/>
        <w:rPr>
          <w:rFonts w:cs="宋体" w:asciiTheme="minorEastAsia" w:hAnsiTheme="minorEastAsia"/>
          <w:kern w:val="0"/>
          <w:szCs w:val="21"/>
        </w:rPr>
      </w:pPr>
    </w:p>
    <w:p>
      <w:pPr>
        <w:pStyle w:val="44"/>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签订合同</w:t>
      </w:r>
    </w:p>
    <w:p>
      <w:pPr>
        <w:pStyle w:val="44"/>
        <w:numPr>
          <w:ilvl w:val="0"/>
          <w:numId w:val="25"/>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采购人与成交供应商应当在成交通知书发出之日起30日内，按照</w:t>
      </w:r>
      <w:r>
        <w:rPr>
          <w:rFonts w:hint="eastAsia" w:cs="宋体" w:asciiTheme="minorEastAsia" w:hAnsiTheme="minorEastAsia"/>
          <w:kern w:val="0"/>
          <w:szCs w:val="21"/>
        </w:rPr>
        <w:t>谈判</w:t>
      </w:r>
      <w:r>
        <w:rPr>
          <w:rFonts w:cs="宋体" w:asciiTheme="minorEastAsia" w:hAnsiTheme="minorEastAsia"/>
          <w:kern w:val="0"/>
          <w:szCs w:val="21"/>
        </w:rPr>
        <w:t>文件确定的合同文本以及采购标的、规格型号、采购金额、采购数量、技术和服务要求等事项签订政府采购合同</w:t>
      </w:r>
      <w:r>
        <w:rPr>
          <w:rFonts w:hint="eastAsia" w:cs="宋体" w:asciiTheme="minorEastAsia" w:hAnsiTheme="minorEastAsia"/>
          <w:kern w:val="0"/>
          <w:szCs w:val="21"/>
        </w:rPr>
        <w:t>。</w:t>
      </w:r>
    </w:p>
    <w:p>
      <w:pPr>
        <w:pStyle w:val="44"/>
        <w:numPr>
          <w:ilvl w:val="1"/>
          <w:numId w:val="24"/>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采购人不得向成交供应商提出超出采购文件以外的任何要求作为签订合同的条件，不得与成交供应商订立背离</w:t>
      </w:r>
      <w:r>
        <w:rPr>
          <w:rFonts w:hint="eastAsia" w:cs="宋体" w:asciiTheme="minorEastAsia" w:hAnsiTheme="minorEastAsia"/>
          <w:kern w:val="0"/>
          <w:szCs w:val="21"/>
        </w:rPr>
        <w:t>谈判</w:t>
      </w:r>
      <w:r>
        <w:rPr>
          <w:rFonts w:cs="宋体" w:asciiTheme="minorEastAsia" w:hAnsiTheme="minorEastAsia"/>
          <w:kern w:val="0"/>
          <w:szCs w:val="21"/>
        </w:rPr>
        <w:t>文件确定的合同文本以及采购标的、规格型号、采购金额、采购数量、技术和服务要求等实质性内容的协议</w:t>
      </w:r>
      <w:r>
        <w:rPr>
          <w:rFonts w:hint="eastAsia" w:cs="宋体" w:asciiTheme="minorEastAsia" w:hAnsiTheme="minorEastAsia"/>
          <w:kern w:val="0"/>
          <w:szCs w:val="21"/>
        </w:rPr>
        <w:t>。</w:t>
      </w:r>
    </w:p>
    <w:p>
      <w:pPr>
        <w:pStyle w:val="44"/>
        <w:autoSpaceDE w:val="0"/>
        <w:autoSpaceDN w:val="0"/>
        <w:spacing w:line="360" w:lineRule="auto"/>
        <w:ind w:left="964" w:firstLine="0" w:firstLineChars="0"/>
        <w:contextualSpacing/>
        <w:rPr>
          <w:rFonts w:cs="宋体" w:asciiTheme="minorEastAsia" w:hAnsiTheme="minorEastAsia"/>
          <w:kern w:val="0"/>
          <w:szCs w:val="21"/>
        </w:rPr>
      </w:pPr>
    </w:p>
    <w:p>
      <w:pPr>
        <w:pStyle w:val="44"/>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履约保证金</w:t>
      </w:r>
    </w:p>
    <w:p>
      <w:pPr>
        <w:autoSpaceDE w:val="0"/>
        <w:autoSpaceDN w:val="0"/>
        <w:spacing w:line="360" w:lineRule="auto"/>
        <w:ind w:left="964"/>
        <w:contextualSpacing/>
        <w:rPr>
          <w:rFonts w:cs="宋体" w:asciiTheme="majorEastAsia" w:hAnsiTheme="majorEastAsia" w:eastAsiaTheme="majorEastAsia"/>
          <w:b/>
          <w:kern w:val="0"/>
          <w:sz w:val="36"/>
          <w:szCs w:val="36"/>
        </w:rPr>
      </w:pPr>
      <w:r>
        <w:rPr>
          <w:rFonts w:hint="eastAsia" w:cs="宋体" w:asciiTheme="minorEastAsia" w:hAnsiTheme="minorEastAsia"/>
          <w:kern w:val="0"/>
          <w:szCs w:val="21"/>
        </w:rPr>
        <w:t>“供应商须知前附表”中规定成交供应商提交履约保证金的，成交供应商应当以支票、汇票、本票或者金融机构、担保机构出具的保函等非现金形式向采购人提交。履约保证金的数额不得超过政府采购合同金额的10%。</w:t>
      </w:r>
      <w:r>
        <w:rPr>
          <w:rFonts w:hint="eastAsia" w:ascii="宋体" w:hAnsi="宋体" w:eastAsia="宋体" w:cs="宋体"/>
          <w:color w:val="333333"/>
          <w:sz w:val="24"/>
          <w:szCs w:val="24"/>
        </w:rPr>
        <w:br w:type="textWrapping"/>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both"/>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pStyle w:val="2"/>
        <w:rPr>
          <w:rFonts w:hint="eastAsia"/>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第五章 政府采购政策功能</w:t>
      </w:r>
    </w:p>
    <w:p>
      <w:pPr>
        <w:jc w:val="center"/>
        <w:rPr>
          <w:rFonts w:cs="宋体" w:asciiTheme="majorEastAsia" w:hAnsiTheme="majorEastAsia" w:eastAsiaTheme="majorEastAsia"/>
          <w:b/>
          <w:kern w:val="0"/>
          <w:sz w:val="36"/>
          <w:szCs w:val="36"/>
        </w:rPr>
      </w:pP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pPr>
        <w:pStyle w:val="15"/>
        <w:spacing w:line="360" w:lineRule="auto"/>
        <w:ind w:firstLine="422" w:firstLineChars="200"/>
        <w:contextualSpacing/>
        <w:rPr>
          <w:rFonts w:cs="仿宋_GB2312" w:asciiTheme="minorEastAsia" w:hAnsiTheme="minorEastAsia"/>
          <w:b/>
          <w:sz w:val="21"/>
          <w:szCs w:val="21"/>
          <w:lang w:val="zh-CN"/>
        </w:rPr>
      </w:pPr>
      <w:r>
        <w:rPr>
          <w:rFonts w:hint="eastAsia" w:cs="仿宋_GB2312" w:asciiTheme="minorEastAsia" w:hAnsiTheme="minorEastAsia" w:eastAsiaTheme="minorEastAsia"/>
          <w:b/>
          <w:sz w:val="21"/>
          <w:szCs w:val="21"/>
          <w:lang w:val="zh-CN"/>
        </w:rPr>
        <w:t>一、</w:t>
      </w:r>
      <w:r>
        <w:rPr>
          <w:rFonts w:hint="eastAsia" w:cs="仿宋_GB2312" w:asciiTheme="minorEastAsia" w:hAnsiTheme="minorEastAsia"/>
          <w:b/>
          <w:sz w:val="21"/>
          <w:szCs w:val="21"/>
          <w:lang w:val="zh-CN"/>
        </w:rPr>
        <w:t>促进中小企业发展（不含民办非企业）</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按照财政部、工业和信息化部发布的《政府采购促进中小企业发展暂行办法》（财库[2011]181号）规定，本项目为非专门面向中小企业采购的项目，对小型和微型企业产品的价格给予6%-10%的扣除，用扣除后的价格参与评审。</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3、联合体各方均为小型或微型企业的，联合体视同为小型、微型企业。组成联合体的大中型企业或者其他自然人、法人或其他组织，与小型、微型企业之间不得存在投资关系。</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4、中小企业投标应提供《中小企业声明函》，如为联合投标的，联合体各方需分别填写《中小企业声明函》。</w:t>
      </w:r>
    </w:p>
    <w:p>
      <w:pPr>
        <w:topLinePunct/>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二、支持监狱企业发展</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三、促进残疾人就业</w:t>
      </w:r>
    </w:p>
    <w:p>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color w:val="000000"/>
          <w:sz w:val="21"/>
          <w:szCs w:val="21"/>
        </w:rPr>
        <w:t>残疾人福利性单位属于小型、微型企业的，不重复享受政策。</w:t>
      </w:r>
    </w:p>
    <w:p>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15"/>
        <w:spacing w:line="360" w:lineRule="auto"/>
        <w:ind w:firstLine="42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 w:val="21"/>
          <w:szCs w:val="21"/>
          <w:lang w:val="zh-CN"/>
        </w:rPr>
        <w:t>3、成交人为残疾人福利性单位的，招标人应当随成交结果同时公告其《残疾人福利性单位声明函》，接受社会监督。</w:t>
      </w: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资格审查与评标</w:t>
      </w:r>
    </w:p>
    <w:p>
      <w:pPr>
        <w:pStyle w:val="15"/>
        <w:spacing w:line="360" w:lineRule="auto"/>
        <w:contextualSpacing/>
        <w:rPr>
          <w:rFonts w:cs="仿宋_GB2312" w:asciiTheme="minorEastAsia" w:hAnsiTheme="minorEastAsia"/>
          <w:lang w:val="zh-CN"/>
        </w:rPr>
      </w:pPr>
    </w:p>
    <w:p>
      <w:pPr>
        <w:pStyle w:val="15"/>
        <w:spacing w:line="360" w:lineRule="auto"/>
        <w:contextualSpacing/>
        <w:rPr>
          <w:rFonts w:asciiTheme="minorEastAsia" w:hAnsiTheme="minorEastAsia" w:eastAsiaTheme="minorEastAsia"/>
          <w:bCs/>
          <w:sz w:val="21"/>
          <w:szCs w:val="21"/>
        </w:rPr>
      </w:pPr>
      <w:r>
        <w:rPr>
          <w:rFonts w:cs="仿宋_GB2312" w:asciiTheme="minorEastAsia" w:hAnsiTheme="minorEastAsia" w:eastAsiaTheme="minorEastAsia"/>
          <w:b/>
          <w:sz w:val="21"/>
          <w:szCs w:val="21"/>
          <w:lang w:val="zh-CN"/>
        </w:rPr>
        <w:t>一、资格审查</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asciiTheme="minorEastAsia" w:hAnsiTheme="minorEastAsia"/>
          <w:bCs/>
          <w:szCs w:val="21"/>
        </w:rPr>
        <w:t>（一）谈判小组依法对供应商资格进行审查</w:t>
      </w:r>
      <w:r>
        <w:rPr>
          <w:rFonts w:cs="仿宋_GB2312" w:asciiTheme="minorEastAsia" w:hAnsiTheme="minorEastAsia"/>
          <w:szCs w:val="21"/>
          <w:lang w:val="zh-CN"/>
        </w:rPr>
        <w:t>。</w:t>
      </w:r>
      <w:r>
        <w:rPr>
          <w:rFonts w:hint="eastAsia" w:cs="仿宋_GB2312" w:asciiTheme="minorEastAsia" w:hAnsiTheme="minorEastAsia"/>
          <w:szCs w:val="21"/>
          <w:lang w:val="zh-CN"/>
        </w:rPr>
        <w:t>确定符合资格的供应商不少于3家，将</w:t>
      </w:r>
      <w:r>
        <w:rPr>
          <w:rFonts w:ascii="ˎ̥" w:hAnsi="ˎ̥"/>
        </w:rPr>
        <w:t>对响应文件的有效性、完整性和响应程度进行审查</w:t>
      </w:r>
      <w:r>
        <w:rPr>
          <w:rFonts w:hint="eastAsia" w:ascii="ˎ̥" w:hAnsi="ˎ̥"/>
        </w:rPr>
        <w:t>并对响应文件进行评审</w:t>
      </w:r>
      <w:r>
        <w:rPr>
          <w:rFonts w:hint="eastAsia" w:cs="仿宋_GB2312" w:asciiTheme="minorEastAsia" w:hAnsiTheme="minorEastAsia"/>
          <w:szCs w:val="21"/>
          <w:lang w:val="zh-CN"/>
        </w:rPr>
        <w:t>。</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（二）资格证明材料（本栏所列内容为本项目的资格审查条件，如有一项不符合要求，则不能进入下一步评审）。</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（三）资格审查中所涉及到的证书及材料，均须在电子投标文件中提供原件扫描件（或图片）。</w:t>
      </w:r>
    </w:p>
    <w:tbl>
      <w:tblPr>
        <w:tblStyle w:val="2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pPr>
              <w:spacing w:line="360" w:lineRule="auto"/>
              <w:rPr>
                <w:rFonts w:asciiTheme="minorEastAsia" w:hAnsiTheme="minorEastAsia"/>
                <w:b/>
                <w:szCs w:val="21"/>
              </w:rPr>
            </w:pPr>
            <w:r>
              <w:rPr>
                <w:rFonts w:hint="eastAsia" w:ascii="宋体" w:hAnsi="宋体" w:cs="微软雅黑"/>
                <w:bCs/>
                <w:szCs w:val="21"/>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2</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法人或者其他组织的营业执照等证明文件，自然人的身份证明</w:t>
            </w:r>
          </w:p>
        </w:tc>
        <w:tc>
          <w:tcPr>
            <w:tcW w:w="5954" w:type="dxa"/>
            <w:vAlign w:val="center"/>
          </w:tcPr>
          <w:p>
            <w:pPr>
              <w:spacing w:line="360" w:lineRule="auto"/>
              <w:jc w:val="left"/>
              <w:rPr>
                <w:rFonts w:asciiTheme="minorEastAsia" w:hAnsiTheme="minorEastAsia"/>
                <w:bCs/>
                <w:szCs w:val="21"/>
              </w:rPr>
            </w:pPr>
            <w:r>
              <w:rPr>
                <w:rFonts w:hint="eastAsia" w:asciiTheme="minorEastAsia" w:hAnsiTheme="minorEastAsia"/>
                <w:bCs/>
                <w:szCs w:val="21"/>
              </w:rPr>
              <w:t>（1）企业法人营业执照或营业执照。（企业提供）</w:t>
            </w:r>
          </w:p>
          <w:p>
            <w:pPr>
              <w:spacing w:line="360" w:lineRule="auto"/>
              <w:jc w:val="left"/>
              <w:rPr>
                <w:rFonts w:asciiTheme="minorEastAsia" w:hAnsiTheme="minorEastAsia"/>
                <w:bCs/>
                <w:szCs w:val="21"/>
              </w:rPr>
            </w:pPr>
            <w:r>
              <w:rPr>
                <w:rFonts w:hint="eastAsia" w:asciiTheme="minorEastAsia" w:hAnsiTheme="minorEastAsia"/>
                <w:bCs/>
                <w:szCs w:val="21"/>
              </w:rPr>
              <w:t>（2）事业单位法人证书。（事业单位提供）</w:t>
            </w:r>
          </w:p>
          <w:p>
            <w:pPr>
              <w:spacing w:line="360" w:lineRule="auto"/>
              <w:jc w:val="left"/>
              <w:rPr>
                <w:rFonts w:asciiTheme="minorEastAsia" w:hAnsiTheme="minorEastAsia"/>
                <w:bCs/>
                <w:szCs w:val="21"/>
              </w:rPr>
            </w:pPr>
            <w:r>
              <w:rPr>
                <w:rFonts w:hint="eastAsia" w:asciiTheme="minorEastAsia" w:hAnsiTheme="minorEastAsia"/>
                <w:bCs/>
                <w:szCs w:val="21"/>
              </w:rPr>
              <w:t>（3）执业许可证。（非企业专业服务机构提供）</w:t>
            </w:r>
          </w:p>
          <w:p>
            <w:pPr>
              <w:spacing w:line="360" w:lineRule="auto"/>
              <w:jc w:val="left"/>
              <w:rPr>
                <w:rFonts w:asciiTheme="minorEastAsia" w:hAnsiTheme="minorEastAsia"/>
                <w:bCs/>
                <w:szCs w:val="21"/>
              </w:rPr>
            </w:pPr>
            <w:r>
              <w:rPr>
                <w:rFonts w:hint="eastAsia" w:asciiTheme="minorEastAsia" w:hAnsiTheme="minorEastAsia"/>
                <w:bCs/>
                <w:szCs w:val="21"/>
              </w:rPr>
              <w:t>（4）个体工商户营业执照。（个体工商户提供）</w:t>
            </w:r>
          </w:p>
          <w:p>
            <w:pPr>
              <w:spacing w:line="360" w:lineRule="auto"/>
              <w:jc w:val="left"/>
              <w:rPr>
                <w:rFonts w:asciiTheme="minorEastAsia" w:hAnsiTheme="minorEastAsia"/>
                <w:bCs/>
                <w:szCs w:val="21"/>
              </w:rPr>
            </w:pPr>
            <w:r>
              <w:rPr>
                <w:rFonts w:hint="eastAsia" w:asciiTheme="minorEastAsia" w:hAnsiTheme="minorEastAsia"/>
                <w:bCs/>
                <w:szCs w:val="21"/>
              </w:rPr>
              <w:t>（5）自然人身份证明。（自然人提供）</w:t>
            </w:r>
          </w:p>
          <w:p>
            <w:pPr>
              <w:spacing w:line="360" w:lineRule="auto"/>
              <w:jc w:val="left"/>
              <w:rPr>
                <w:rFonts w:asciiTheme="minorEastAsia" w:hAnsiTheme="minorEastAsia"/>
                <w:b/>
                <w:bCs/>
                <w:szCs w:val="21"/>
              </w:rPr>
            </w:pPr>
            <w:r>
              <w:rPr>
                <w:rFonts w:hint="eastAsia" w:asciiTheme="minorEastAsia" w:hAnsiTheme="minorEastAsia"/>
                <w:bCs/>
                <w:szCs w:val="21"/>
              </w:rPr>
              <w:t>（6）民办非企业单位登记证书。（民办非企业单位提供）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3</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财务状况报告相关材料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（1）供应商是法人（法人包括企业法人、机关法人、事业单位法人和社会团体法人），提供本单位：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（2）供应商（其他组织和自然人）提供本单位：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4</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依法缴纳税收相关材料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供应商提供参加本次政府采购项目</w:t>
            </w:r>
            <w:r>
              <w:rPr>
                <w:rFonts w:hint="eastAsia" w:asciiTheme="minorEastAsia" w:hAnsiTheme="minorEastAsia"/>
                <w:bCs/>
                <w:szCs w:val="21"/>
              </w:rPr>
              <w:t>投标截止时间前</w:t>
            </w:r>
            <w:r>
              <w:rPr>
                <w:rFonts w:hint="eastAsia" w:asciiTheme="minorEastAsia" w:hAnsiTheme="minorEastAsia"/>
                <w:bCs/>
                <w:szCs w:val="21"/>
                <w:lang w:eastAsia="zh-CN"/>
              </w:rPr>
              <w:t>三</w:t>
            </w:r>
            <w:r>
              <w:rPr>
                <w:rFonts w:hint="eastAsia" w:asciiTheme="minorEastAsia" w:hAnsiTheme="minorEastAsia"/>
                <w:bCs/>
                <w:szCs w:val="21"/>
              </w:rPr>
              <w:t>个月内任意一个月缴纳税收凭据。（依法免税的供应商，应提供相应文件证明依法免税）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5</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依法缴纳社会保障资金的证明材料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供应商提供参加本次政府采购项目</w:t>
            </w:r>
            <w:r>
              <w:rPr>
                <w:rFonts w:hint="eastAsia" w:asciiTheme="minorEastAsia" w:hAnsiTheme="minorEastAsia"/>
                <w:bCs/>
                <w:szCs w:val="21"/>
              </w:rPr>
              <w:t>投标截止时间前</w:t>
            </w:r>
            <w:r>
              <w:rPr>
                <w:rFonts w:hint="eastAsia" w:asciiTheme="minorEastAsia" w:hAnsiTheme="minorEastAsia"/>
                <w:bCs/>
                <w:szCs w:val="21"/>
                <w:lang w:eastAsia="zh-CN"/>
              </w:rPr>
              <w:t>三</w:t>
            </w:r>
            <w:r>
              <w:rPr>
                <w:rFonts w:hint="eastAsia" w:asciiTheme="minorEastAsia" w:hAnsiTheme="minorEastAsia"/>
                <w:bCs/>
                <w:szCs w:val="21"/>
              </w:rPr>
              <w:t>个月内任意一个月缴纳社会保险凭据。（依法不需要缴纳社会保障资金的供应商，应提供相应文件证明依法不需要缴纳社会保障资金）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6</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履行合同所必须的设备和专业技术能力的证明材料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①与本项目投标相关设备的购置发票、专业技术人员职称证书、用工合同等；</w:t>
            </w:r>
          </w:p>
          <w:p>
            <w:pPr>
              <w:spacing w:line="360" w:lineRule="auto"/>
              <w:rPr>
                <w:rFonts w:asciiTheme="minorEastAsia" w:hAnsiTheme="minorEastAsia"/>
                <w:bCs/>
                <w:szCs w:val="21"/>
              </w:rPr>
            </w:pPr>
            <w:r>
              <w:rPr>
                <w:rFonts w:hint="eastAsia" w:asciiTheme="minorEastAsia" w:hAnsiTheme="minorEastAsia"/>
                <w:bCs/>
                <w:szCs w:val="21"/>
              </w:rPr>
              <w:t>②供应商具备履行合同所必须的设备和专业技术能力承诺函或声明（承诺函或声明格式自拟）。</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7</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参加政府采购活动前3年内在经营活动中没有重大违法记录的声明</w:t>
            </w:r>
          </w:p>
        </w:tc>
        <w:tc>
          <w:tcPr>
            <w:tcW w:w="5954" w:type="dxa"/>
            <w:vAlign w:val="center"/>
          </w:tcPr>
          <w:p>
            <w:pPr>
              <w:spacing w:line="360" w:lineRule="auto"/>
              <w:jc w:val="left"/>
              <w:rPr>
                <w:rFonts w:ascii="宋体" w:hAnsi="宋体" w:cs="微软雅黑"/>
                <w:bCs/>
                <w:szCs w:val="21"/>
              </w:rPr>
            </w:pPr>
            <w:r>
              <w:rPr>
                <w:rFonts w:hint="eastAsia" w:ascii="宋体" w:hAnsi="宋体" w:cs="微软雅黑"/>
                <w:bCs/>
                <w:szCs w:val="21"/>
              </w:rPr>
              <w:t>如无重大违法记录请按照谈判文件提供格式填写。</w:t>
            </w:r>
          </w:p>
          <w:p>
            <w:pPr>
              <w:spacing w:line="360" w:lineRule="auto"/>
              <w:jc w:val="left"/>
              <w:rPr>
                <w:rFonts w:asciiTheme="minorEastAsia" w:hAnsiTheme="minorEastAsia"/>
                <w:b/>
                <w:bCs/>
                <w:szCs w:val="21"/>
              </w:rPr>
            </w:pPr>
            <w:r>
              <w:rPr>
                <w:rFonts w:hint="eastAsia" w:asciiTheme="minorEastAsia" w:hAnsiTheme="minorEastAsia"/>
                <w:bCs/>
                <w:szCs w:val="21"/>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8</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信用记录查询及使用</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政府采购活动中查询及使用供应商信用记录的具体要求为：供应商未被列入</w:t>
            </w:r>
            <w:r>
              <w:rPr>
                <w:rFonts w:asciiTheme="minorEastAsia" w:hAnsiTheme="minorEastAsia"/>
                <w:bCs/>
                <w:szCs w:val="21"/>
              </w:rPr>
              <w:t>“信用中国”网站</w:t>
            </w:r>
            <w:r>
              <w:rPr>
                <w:rFonts w:hint="eastAsia" w:asciiTheme="minorEastAsia" w:hAnsiTheme="minorEastAsia"/>
                <w:bCs/>
                <w:szCs w:val="21"/>
              </w:rPr>
              <w:t>失信被执行人、重大税收违法案件当事人名单、“</w:t>
            </w:r>
            <w:r>
              <w:rPr>
                <w:rFonts w:asciiTheme="minorEastAsia" w:hAnsiTheme="minorEastAsia"/>
                <w:bCs/>
                <w:szCs w:val="21"/>
              </w:rPr>
              <w:t>中国政府采购网</w:t>
            </w:r>
            <w:r>
              <w:rPr>
                <w:rFonts w:hint="eastAsia" w:asciiTheme="minorEastAsia" w:hAnsiTheme="minorEastAsia"/>
                <w:bCs/>
                <w:szCs w:val="21"/>
              </w:rPr>
              <w:t>”政府采购严重违法失信行为记录名单、</w:t>
            </w:r>
            <w:r>
              <w:rPr>
                <w:rFonts w:hint="eastAsia" w:cs="仿宋_GB2312" w:asciiTheme="minorEastAsia" w:hAnsiTheme="minorEastAsia"/>
                <w:color w:val="000000"/>
                <w:szCs w:val="21"/>
              </w:rPr>
              <w:t>“中国社会组织公共服务平台”网站（</w:t>
            </w:r>
            <w:r>
              <w:rPr>
                <w:rFonts w:cs="仿宋_GB2312" w:asciiTheme="minorEastAsia" w:hAnsiTheme="minorEastAsia"/>
                <w:color w:val="000000"/>
                <w:szCs w:val="21"/>
              </w:rPr>
              <w:t>www.chinanpo.gov.cn</w:t>
            </w:r>
            <w:r>
              <w:rPr>
                <w:rFonts w:hint="eastAsia" w:cs="仿宋_GB2312" w:asciiTheme="minorEastAsia" w:hAnsiTheme="minorEastAsia"/>
                <w:color w:val="000000"/>
                <w:szCs w:val="21"/>
              </w:rPr>
              <w:t>）严重违法失信社会组织名单的供应商</w:t>
            </w:r>
            <w:r>
              <w:rPr>
                <w:rFonts w:hint="eastAsia" w:cs="仿宋_GB2312" w:asciiTheme="minorEastAsia" w:hAnsiTheme="minorEastAsia"/>
                <w:b/>
                <w:color w:val="000000"/>
                <w:szCs w:val="21"/>
              </w:rPr>
              <w:t>；</w:t>
            </w:r>
            <w:r>
              <w:rPr>
                <w:rFonts w:hint="eastAsia" w:asciiTheme="minorEastAsia" w:hAnsiTheme="minorEastAsia"/>
                <w:bCs/>
                <w:szCs w:val="21"/>
              </w:rPr>
              <w:t>（联合体形式投标的，联合体成员存在不良信用记录，视同联合体存在不良信用记录）。</w:t>
            </w:r>
          </w:p>
          <w:p>
            <w:pPr>
              <w:spacing w:line="360" w:lineRule="auto"/>
              <w:rPr>
                <w:rFonts w:asciiTheme="minorEastAsia" w:hAnsiTheme="minorEastAsia"/>
                <w:bCs/>
                <w:szCs w:val="21"/>
              </w:rPr>
            </w:pPr>
            <w:r>
              <w:rPr>
                <w:rFonts w:hint="eastAsia" w:asciiTheme="minorEastAsia" w:hAnsiTheme="minorEastAsia"/>
                <w:bCs/>
                <w:szCs w:val="21"/>
              </w:rPr>
              <w:t>（1）查询渠道：</w:t>
            </w:r>
          </w:p>
          <w:p>
            <w:pPr>
              <w:spacing w:line="360" w:lineRule="auto"/>
              <w:rPr>
                <w:rFonts w:asciiTheme="minorEastAsia" w:hAnsiTheme="minorEastAsia"/>
                <w:bCs/>
                <w:szCs w:val="21"/>
              </w:rPr>
            </w:pPr>
            <w:r>
              <w:rPr>
                <w:rFonts w:hint="eastAsia" w:asciiTheme="minorEastAsia" w:hAnsiTheme="minorEastAsia"/>
                <w:bCs/>
                <w:szCs w:val="21"/>
              </w:rPr>
              <w:t>①“信用中国”网站（</w:t>
            </w:r>
            <w:r>
              <w:fldChar w:fldCharType="begin"/>
            </w:r>
            <w:r>
              <w:instrText xml:space="preserve"> HYPERLINK "http://www.creditchina.gov.cn" </w:instrText>
            </w:r>
            <w:r>
              <w:fldChar w:fldCharType="separate"/>
            </w:r>
            <w:r>
              <w:rPr>
                <w:rStyle w:val="28"/>
                <w:rFonts w:hint="eastAsia" w:asciiTheme="minorEastAsia" w:hAnsiTheme="minorEastAsia"/>
                <w:szCs w:val="21"/>
              </w:rPr>
              <w:t>www.creditchina.gov.cn</w:t>
            </w:r>
            <w:r>
              <w:rPr>
                <w:rStyle w:val="28"/>
                <w:rFonts w:hint="eastAsia" w:asciiTheme="minorEastAsia" w:hAnsiTheme="minorEastAsia"/>
                <w:szCs w:val="21"/>
              </w:rPr>
              <w:fldChar w:fldCharType="end"/>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②“中国政府采购网”（www.ccgp.gov.cn）</w:t>
            </w:r>
          </w:p>
          <w:p>
            <w:pPr>
              <w:spacing w:line="360" w:lineRule="auto"/>
              <w:rPr>
                <w:rFonts w:asciiTheme="minorEastAsia" w:hAnsiTheme="minorEastAsia"/>
                <w:bCs/>
                <w:szCs w:val="21"/>
              </w:rPr>
            </w:pPr>
            <w:r>
              <w:rPr>
                <w:rFonts w:hint="eastAsia" w:asciiTheme="minorEastAsia" w:hAnsiTheme="minorEastAsia"/>
                <w:bCs/>
                <w:szCs w:val="21"/>
              </w:rPr>
              <w:t>③</w:t>
            </w:r>
            <w:r>
              <w:rPr>
                <w:rFonts w:hint="eastAsia" w:cs="仿宋_GB2312" w:asciiTheme="minorEastAsia" w:hAnsiTheme="minorEastAsia"/>
                <w:color w:val="000000"/>
                <w:szCs w:val="21"/>
              </w:rPr>
              <w:t>“中国社会组织公共服务平台”网站（</w:t>
            </w:r>
            <w:r>
              <w:rPr>
                <w:rFonts w:cs="仿宋_GB2312" w:asciiTheme="minorEastAsia" w:hAnsiTheme="minorEastAsia"/>
                <w:color w:val="000000"/>
                <w:szCs w:val="21"/>
              </w:rPr>
              <w:t>www.chinanpo.gov.cn</w:t>
            </w:r>
            <w:r>
              <w:rPr>
                <w:rFonts w:hint="eastAsia" w:cs="仿宋_GB2312" w:asciiTheme="minorEastAsia" w:hAnsiTheme="minorEastAsia"/>
                <w:color w:val="000000"/>
                <w:szCs w:val="21"/>
              </w:rPr>
              <w:t>）（仅查询社会组织）</w:t>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（2）截止时间：同投标截止时间；</w:t>
            </w:r>
          </w:p>
          <w:p>
            <w:pPr>
              <w:spacing w:line="360" w:lineRule="auto"/>
              <w:rPr>
                <w:rFonts w:asciiTheme="minorEastAsia" w:hAnsiTheme="minorEastAsia"/>
                <w:bCs/>
                <w:szCs w:val="21"/>
              </w:rPr>
            </w:pPr>
            <w:r>
              <w:rPr>
                <w:rFonts w:hint="eastAsia" w:asciiTheme="minorEastAsia" w:hAnsiTheme="minorEastAsia"/>
                <w:bCs/>
                <w:szCs w:val="21"/>
              </w:rPr>
              <w:t>（3）信用信息查询记录和证据留存具体方式：经</w:t>
            </w:r>
            <w:r>
              <w:rPr>
                <w:rFonts w:hint="eastAsia" w:cs="宋体" w:asciiTheme="minorEastAsia" w:hAnsiTheme="minorEastAsia"/>
                <w:kern w:val="0"/>
                <w:szCs w:val="21"/>
              </w:rPr>
              <w:t>谈判小组</w:t>
            </w:r>
            <w:r>
              <w:rPr>
                <w:rFonts w:hint="eastAsia" w:asciiTheme="minorEastAsia" w:hAnsiTheme="minorEastAsia"/>
                <w:bCs/>
                <w:szCs w:val="21"/>
              </w:rPr>
              <w:t>确认确认的查询结果网页截图作为查询记录和证据，与其他采购文件一并保存；</w:t>
            </w:r>
          </w:p>
          <w:p>
            <w:pPr>
              <w:spacing w:line="360" w:lineRule="auto"/>
              <w:rPr>
                <w:rFonts w:asciiTheme="minorEastAsia" w:hAnsiTheme="minorEastAsia"/>
                <w:b/>
                <w:bCs/>
                <w:szCs w:val="21"/>
              </w:rPr>
            </w:pPr>
            <w:r>
              <w:rPr>
                <w:rFonts w:hint="eastAsia" w:asciiTheme="minorEastAsia" w:hAnsiTheme="minorEastAsia"/>
                <w:bCs/>
                <w:szCs w:val="21"/>
              </w:rPr>
              <w:t>（4）信用信息的使用原则：经</w:t>
            </w:r>
            <w:r>
              <w:rPr>
                <w:rFonts w:hint="eastAsia" w:cs="宋体" w:asciiTheme="minorEastAsia" w:hAnsiTheme="minorEastAsia"/>
                <w:kern w:val="0"/>
                <w:szCs w:val="21"/>
              </w:rPr>
              <w:t>谈判小组</w:t>
            </w:r>
            <w:r>
              <w:rPr>
                <w:rFonts w:hint="eastAsia" w:asciiTheme="minorEastAsia" w:hAnsiTheme="minorEastAsia"/>
                <w:bCs/>
                <w:szCs w:val="21"/>
              </w:rPr>
              <w:t>确认认定的被列入失信被执行人、重大税收违法案件当事人名单、政府采购严重违法失信行为记录名单的供应商，严重违法失信企业名单（黑名单）、</w:t>
            </w:r>
            <w:r>
              <w:rPr>
                <w:rFonts w:hint="eastAsia" w:cs="仿宋_GB2312" w:asciiTheme="minorEastAsia" w:hAnsiTheme="minorEastAsia"/>
                <w:color w:val="000000"/>
                <w:szCs w:val="21"/>
              </w:rPr>
              <w:t>严重违法失信社会组织</w:t>
            </w:r>
            <w:r>
              <w:rPr>
                <w:rFonts w:hint="eastAsia" w:asciiTheme="minorEastAsia" w:hAnsiTheme="minorEastAsia"/>
                <w:bCs/>
                <w:szCs w:val="21"/>
              </w:rPr>
              <w:t>的供应商，将拒绝其参与本次政府采购活动。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9</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szCs w:val="21"/>
              </w:rPr>
              <w:t>供应商须具备的特殊</w:t>
            </w:r>
          </w:p>
          <w:p>
            <w:pPr>
              <w:spacing w:line="360" w:lineRule="auto"/>
              <w:rPr>
                <w:rFonts w:asciiTheme="minorEastAsia" w:hAnsiTheme="minorEastAsia"/>
                <w:b/>
                <w:bCs/>
                <w:szCs w:val="21"/>
              </w:rPr>
            </w:pPr>
            <w:r>
              <w:rPr>
                <w:rFonts w:hint="eastAsia" w:asciiTheme="minorEastAsia" w:hAnsiTheme="minorEastAsia"/>
                <w:b/>
                <w:szCs w:val="21"/>
              </w:rPr>
              <w:t>资质证书</w:t>
            </w:r>
          </w:p>
        </w:tc>
        <w:tc>
          <w:tcPr>
            <w:tcW w:w="5954" w:type="dxa"/>
            <w:vAlign w:val="center"/>
          </w:tcPr>
          <w:p>
            <w:pPr>
              <w:spacing w:line="360" w:lineRule="auto"/>
              <w:rPr>
                <w:rFonts w:hint="eastAsia" w:cs="仿宋_GB2312" w:asciiTheme="minorEastAsia" w:hAnsiTheme="minorEastAsia"/>
                <w:color w:val="000000"/>
                <w:szCs w:val="21"/>
                <w:lang w:val="en-US" w:eastAsia="zh-CN"/>
              </w:rPr>
            </w:pPr>
            <w:r>
              <w:rPr>
                <w:rFonts w:hint="eastAsia" w:cs="仿宋_GB2312" w:asciiTheme="minorEastAsia" w:hAnsiTheme="minorEastAsia"/>
                <w:color w:val="00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10</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谈判</w:t>
            </w:r>
            <w:r>
              <w:rPr>
                <w:rFonts w:hint="eastAsia" w:cs="仿宋_GB2312" w:asciiTheme="minorEastAsia" w:hAnsiTheme="minorEastAsia"/>
                <w:b/>
                <w:szCs w:val="21"/>
                <w:lang w:val="zh-CN"/>
              </w:rPr>
              <w:t>报价</w:t>
            </w:r>
          </w:p>
        </w:tc>
        <w:tc>
          <w:tcPr>
            <w:tcW w:w="5954" w:type="dxa"/>
          </w:tcPr>
          <w:p>
            <w:pPr>
              <w:spacing w:line="360" w:lineRule="auto"/>
              <w:rPr>
                <w:rFonts w:asciiTheme="minorEastAsia" w:hAnsiTheme="minorEastAsia"/>
                <w:b/>
                <w:bCs/>
                <w:szCs w:val="21"/>
              </w:rPr>
            </w:pPr>
            <w:r>
              <w:rPr>
                <w:rFonts w:hint="eastAsia" w:cs="仿宋_GB2312" w:asciiTheme="minorEastAsia" w:hAnsiTheme="minorEastAsia"/>
                <w:szCs w:val="21"/>
                <w:lang w:val="zh-CN"/>
              </w:rPr>
              <w:t>投标报价是否超出谈判文件中规定的预算金额，超出预算金额的报价无效。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11</w:t>
            </w:r>
          </w:p>
        </w:tc>
        <w:tc>
          <w:tcPr>
            <w:tcW w:w="2410" w:type="dxa"/>
            <w:vAlign w:val="center"/>
          </w:tcPr>
          <w:p>
            <w:pPr>
              <w:spacing w:line="360" w:lineRule="auto"/>
              <w:rPr>
                <w:rFonts w:hint="eastAsia" w:asciiTheme="minorEastAsia" w:hAnsiTheme="minorEastAsia" w:eastAsiaTheme="minorEastAsia"/>
                <w:szCs w:val="21"/>
                <w:lang w:eastAsia="zh-CN"/>
              </w:rPr>
            </w:pPr>
            <w:r>
              <w:rPr>
                <w:rFonts w:hint="eastAsia" w:asciiTheme="minorEastAsia" w:hAnsiTheme="minorEastAsia"/>
                <w:b/>
                <w:szCs w:val="21"/>
                <w:lang w:eastAsia="zh-CN"/>
              </w:rPr>
              <w:t>投标承诺函</w:t>
            </w:r>
          </w:p>
        </w:tc>
        <w:tc>
          <w:tcPr>
            <w:tcW w:w="5954" w:type="dxa"/>
            <w:vAlign w:val="center"/>
          </w:tcPr>
          <w:p>
            <w:pPr>
              <w:spacing w:line="360" w:lineRule="auto"/>
              <w:rPr>
                <w:rFonts w:hint="eastAsia" w:asciiTheme="minorEastAsia" w:hAnsiTheme="minorEastAsia" w:eastAsiaTheme="minorEastAsia"/>
                <w:b/>
                <w:szCs w:val="21"/>
                <w:lang w:eastAsia="zh-CN"/>
              </w:rPr>
            </w:pPr>
            <w:r>
              <w:rPr>
                <w:rFonts w:hint="eastAsia" w:cs="仿宋_GB2312" w:asciiTheme="minorEastAsia" w:hAnsiTheme="minorEastAsia"/>
                <w:szCs w:val="21"/>
                <w:lang w:val="zh-CN" w:eastAsia="zh-CN"/>
              </w:rPr>
              <w:t>是否按照谈判文件要求在谈判文件中做出承诺。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12</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联合体协议</w:t>
            </w:r>
          </w:p>
        </w:tc>
        <w:tc>
          <w:tcPr>
            <w:tcW w:w="5954" w:type="dxa"/>
          </w:tcPr>
          <w:p>
            <w:pPr>
              <w:spacing w:line="360" w:lineRule="auto"/>
              <w:rPr>
                <w:rFonts w:asciiTheme="minorEastAsia" w:hAnsiTheme="minorEastAsia"/>
                <w:b/>
                <w:bCs/>
                <w:szCs w:val="21"/>
              </w:rPr>
            </w:pPr>
            <w:r>
              <w:rPr>
                <w:rFonts w:hint="eastAsia" w:asciiTheme="minorEastAsia" w:hAnsiTheme="minorEastAsia"/>
                <w:bCs/>
                <w:szCs w:val="21"/>
              </w:rPr>
              <w:t>谈判文件接受联合体投标且供应商为联合体的，供应商应提供本协议；否则无须提供。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13</w:t>
            </w:r>
          </w:p>
        </w:tc>
        <w:tc>
          <w:tcPr>
            <w:tcW w:w="2410" w:type="dxa"/>
            <w:vAlign w:val="center"/>
          </w:tcPr>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供应商身份证明及授权</w:t>
            </w:r>
          </w:p>
        </w:tc>
        <w:tc>
          <w:tcPr>
            <w:tcW w:w="5954" w:type="dxa"/>
          </w:tcPr>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（1）法定代表人身份证明或提供法定代表人授权委托书及被授权人身份证明和社保证明。（法人提供）</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（2）单位负责人身份证明或提供单位负责人授权委托书及被授权人身份证明和社保证明。（非法人提供）</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①企业（银行、保险、石油石化、电力、电信等行业除外）、事业单位和社会团体以法人身份参加谈判的，法定代表人应与实际提交的“营业执照等证明文件”载明的一致。</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②银行、保险、石油石化、电力、电信等行业：以法人身份参加谈判的，法定代表人应与实际提交的“营业执照等证明文件”载明的一致；以非法人身份参加谈判的，“单位负责人”指代表单位行使职权的主要负责人，应与实际提交的“营业执照等证明文件”载明的一致。</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③供应商为自然人的，无需填写法定代表人授权书。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14</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单位负责人为同一人或者存在直接控股、管理关系的不同供应商，不得参加同一合同项下的政府采购活动</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供应商提供与参加本项目投标的其他供应商之间，单位负责人不为同一人并且不存在直接控股、管理关系承诺函（承诺函格式自拟）。</w:t>
            </w:r>
          </w:p>
          <w:p>
            <w:pPr>
              <w:spacing w:line="360" w:lineRule="auto"/>
              <w:rPr>
                <w:rFonts w:cs="仿宋_GB2312" w:asciiTheme="minorEastAsia" w:hAnsiTheme="minorEastAsia"/>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15</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为本项目提供整体设计、规范编制或者项目管理、监理、检测等服务的供应商不得参加本项目投标</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供应商提供未为本项目提供整体设计、规范编制或者项目管理、监理、检测等服务承诺函（承诺函格式自拟）。</w:t>
            </w:r>
          </w:p>
          <w:p>
            <w:pPr>
              <w:spacing w:line="360" w:lineRule="auto"/>
              <w:rPr>
                <w:rFonts w:asciiTheme="minorEastAsia" w:hAnsiTheme="minorEastAsia"/>
                <w:bCs/>
                <w:szCs w:val="21"/>
              </w:rPr>
            </w:pPr>
          </w:p>
        </w:tc>
      </w:tr>
    </w:tbl>
    <w:p>
      <w:pPr>
        <w:pStyle w:val="15"/>
        <w:spacing w:line="360" w:lineRule="auto"/>
        <w:ind w:firstLine="482" w:firstLineChars="200"/>
        <w:contextualSpacing/>
        <w:rPr>
          <w:rFonts w:cs="仿宋_GB2312" w:asciiTheme="minorEastAsia" w:hAnsiTheme="minorEastAsia" w:eastAsiaTheme="minorEastAsia"/>
          <w:b/>
          <w:szCs w:val="24"/>
          <w:lang w:val="zh-CN"/>
        </w:rPr>
      </w:pPr>
    </w:p>
    <w:p>
      <w:pPr>
        <w:pStyle w:val="15"/>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二、评审</w:t>
      </w:r>
    </w:p>
    <w:p>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（一）评审方法</w:t>
      </w:r>
    </w:p>
    <w:p>
      <w:pPr>
        <w:pStyle w:val="15"/>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所有谈判和最终报价结束后，由谈判小组根据最终报价文件，对最终报价文件进行评审，从质量和服务均能满足采购文件实质性响应要求的供应商中，按照最后报价由低到高的顺序提出</w:t>
      </w:r>
      <w:r>
        <w:rPr>
          <w:rFonts w:cs="仿宋_GB2312" w:asciiTheme="minorEastAsia" w:hAnsiTheme="minorEastAsia" w:eastAsiaTheme="minorEastAsia"/>
          <w:sz w:val="21"/>
          <w:szCs w:val="21"/>
          <w:lang w:val="zh-CN"/>
        </w:rPr>
        <w:t>3</w:t>
      </w:r>
      <w:r>
        <w:rPr>
          <w:rFonts w:hint="eastAsia" w:cs="仿宋_GB2312" w:asciiTheme="minorEastAsia" w:hAnsiTheme="minorEastAsia" w:eastAsiaTheme="minorEastAsia"/>
          <w:sz w:val="21"/>
          <w:szCs w:val="21"/>
          <w:lang w:val="zh-CN"/>
        </w:rPr>
        <w:t>名成交候选人。根据规定</w:t>
      </w:r>
      <w:r>
        <w:rPr>
          <w:rFonts w:cs="仿宋_GB2312" w:asciiTheme="minorEastAsia" w:hAnsiTheme="minorEastAsia" w:eastAsiaTheme="minorEastAsia"/>
          <w:sz w:val="21"/>
          <w:szCs w:val="21"/>
          <w:lang w:val="zh-CN"/>
        </w:rPr>
        <w:t>,</w:t>
      </w:r>
      <w:r>
        <w:rPr>
          <w:rFonts w:hint="eastAsia" w:cs="仿宋_GB2312" w:asciiTheme="minorEastAsia" w:hAnsiTheme="minorEastAsia" w:eastAsiaTheme="minorEastAsia"/>
          <w:sz w:val="21"/>
          <w:szCs w:val="21"/>
          <w:lang w:val="zh-CN"/>
        </w:rPr>
        <w:t>采购人按照成交候选人排名顺序确定成交供应商。</w:t>
      </w:r>
    </w:p>
    <w:p>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（二）落实政府采购政策及强制性认证</w:t>
      </w:r>
    </w:p>
    <w:p>
      <w:pPr>
        <w:pStyle w:val="15"/>
        <w:spacing w:line="360" w:lineRule="auto"/>
        <w:ind w:firstLine="422" w:firstLineChars="200"/>
        <w:contextualSpacing/>
        <w:jc w:val="left"/>
        <w:rPr>
          <w:rFonts w:cs="仿宋_GB2312" w:asciiTheme="minorEastAsia" w:hAnsiTheme="minorEastAsia"/>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因落实政府采购政策进行价格调整的，以调整后的价格计算报价。</w:t>
      </w:r>
    </w:p>
    <w:p>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如果本项目非专门面向中小企业采购，对小型和微型企业产品的价格给予6%的扣除，用扣除后的价格参与评审。如果本项目非专门面向中小企业采购且接受联合体响应，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响应应提供《中小企业声明函》，如为联合响应的，联合体各方需分别填写《中小企业声明函》。</w:t>
      </w:r>
    </w:p>
    <w:p>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小型和微型企业不包含民办非企业单位。</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pPr>
        <w:pStyle w:val="15"/>
        <w:spacing w:line="360" w:lineRule="auto"/>
        <w:ind w:firstLine="420" w:firstLineChars="200"/>
        <w:contextualSpacing/>
        <w:rPr>
          <w:rFonts w:asciiTheme="minorEastAsia" w:hAnsiTheme="minorEastAsia" w:eastAsiaTheme="minorEastAsia"/>
          <w:color w:val="000000"/>
          <w:sz w:val="21"/>
          <w:szCs w:val="21"/>
        </w:rPr>
      </w:pPr>
      <w:r>
        <w:rPr>
          <w:rFonts w:hint="eastAsia" w:cs="仿宋_GB2312" w:asciiTheme="minorEastAsia" w:hAnsiTheme="minorEastAsia" w:eastAsiaTheme="minorEastAsia"/>
          <w:sz w:val="21"/>
          <w:szCs w:val="21"/>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color w:val="000000"/>
          <w:sz w:val="21"/>
          <w:szCs w:val="21"/>
        </w:rPr>
        <w:t>残疾人福利性单位属于小型、微型企业的，不重复享受政策。</w:t>
      </w:r>
    </w:p>
    <w:p>
      <w:pPr>
        <w:spacing w:line="360" w:lineRule="auto"/>
        <w:ind w:firstLine="422" w:firstLineChars="200"/>
        <w:rPr>
          <w:rFonts w:cs="仿宋_GB2312" w:asciiTheme="minorEastAsia" w:hAnsiTheme="minorEastAsia"/>
          <w:b/>
          <w:szCs w:val="21"/>
          <w:lang w:val="zh-CN"/>
        </w:rPr>
      </w:pPr>
      <w:r>
        <w:rPr>
          <w:rFonts w:hint="eastAsia" w:cs="仿宋_GB2312" w:asciiTheme="minorEastAsia" w:hAnsiTheme="minorEastAsia"/>
          <w:b/>
          <w:szCs w:val="21"/>
          <w:lang w:val="zh-CN"/>
        </w:rPr>
        <w:t>落实政府采购政策计算报价</w:t>
      </w:r>
    </w:p>
    <w:tbl>
      <w:tblPr>
        <w:tblStyle w:val="23"/>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序号</w:t>
            </w:r>
          </w:p>
        </w:tc>
        <w:tc>
          <w:tcPr>
            <w:tcW w:w="2823" w:type="dxa"/>
            <w:vAlign w:val="center"/>
          </w:tcPr>
          <w:p>
            <w:pPr>
              <w:jc w:val="center"/>
              <w:rPr>
                <w:rFonts w:ascii="宋体" w:hAnsi="宋体"/>
                <w:b/>
                <w:color w:val="000000"/>
                <w:szCs w:val="21"/>
                <w:lang w:val="en-GB"/>
              </w:rPr>
            </w:pPr>
            <w:r>
              <w:rPr>
                <w:rFonts w:hint="eastAsia" w:ascii="宋体" w:hAnsi="宋体"/>
                <w:b/>
                <w:color w:val="000000"/>
                <w:szCs w:val="21"/>
                <w:lang w:val="en-GB"/>
              </w:rPr>
              <w:t>情形</w:t>
            </w:r>
          </w:p>
        </w:tc>
        <w:tc>
          <w:tcPr>
            <w:tcW w:w="2552" w:type="dxa"/>
            <w:vAlign w:val="center"/>
          </w:tcPr>
          <w:p>
            <w:pPr>
              <w:jc w:val="center"/>
              <w:rPr>
                <w:rFonts w:ascii="宋体" w:hAnsi="宋体"/>
                <w:b/>
                <w:color w:val="000000"/>
                <w:szCs w:val="21"/>
                <w:lang w:val="en-GB"/>
              </w:rPr>
            </w:pPr>
            <w:r>
              <w:rPr>
                <w:rFonts w:hint="eastAsia" w:ascii="宋体" w:hAnsi="宋体"/>
                <w:b/>
                <w:color w:val="000000"/>
                <w:szCs w:val="21"/>
              </w:rPr>
              <w:t>价格扣除</w:t>
            </w:r>
            <w:r>
              <w:rPr>
                <w:rFonts w:hint="eastAsia" w:ascii="宋体" w:hAnsi="宋体"/>
                <w:b/>
                <w:color w:val="000000"/>
                <w:szCs w:val="21"/>
                <w:lang w:val="en-GB"/>
              </w:rPr>
              <w:t>比例</w:t>
            </w:r>
          </w:p>
        </w:tc>
        <w:tc>
          <w:tcPr>
            <w:tcW w:w="2835" w:type="dxa"/>
            <w:vAlign w:val="center"/>
          </w:tcPr>
          <w:p>
            <w:pPr>
              <w:jc w:val="center"/>
              <w:rPr>
                <w:rFonts w:ascii="宋体" w:hAnsi="宋体"/>
                <w:b/>
                <w:color w:val="000000"/>
                <w:szCs w:val="21"/>
                <w:lang w:val="en-GB"/>
              </w:rPr>
            </w:pPr>
            <w:r>
              <w:rPr>
                <w:rFonts w:hint="eastAsia" w:ascii="宋体" w:hAnsi="宋体"/>
                <w:b/>
                <w:color w:val="000000"/>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1</w:t>
            </w:r>
          </w:p>
        </w:tc>
        <w:tc>
          <w:tcPr>
            <w:tcW w:w="2823" w:type="dxa"/>
            <w:vAlign w:val="center"/>
          </w:tcPr>
          <w:p>
            <w:pPr>
              <w:jc w:val="center"/>
              <w:rPr>
                <w:rFonts w:ascii="宋体" w:hAnsi="宋体"/>
                <w:b/>
                <w:color w:val="000000"/>
                <w:szCs w:val="21"/>
                <w:lang w:val="en-GB"/>
              </w:rPr>
            </w:pPr>
            <w:r>
              <w:rPr>
                <w:rFonts w:hint="eastAsia" w:ascii="宋体" w:hAnsi="宋体"/>
                <w:color w:val="000000"/>
                <w:szCs w:val="21"/>
                <w:lang w:val="en-GB"/>
              </w:rPr>
              <w:t>非联合体供应商</w:t>
            </w:r>
          </w:p>
        </w:tc>
        <w:tc>
          <w:tcPr>
            <w:tcW w:w="2552" w:type="dxa"/>
            <w:vAlign w:val="center"/>
          </w:tcPr>
          <w:p>
            <w:pPr>
              <w:jc w:val="center"/>
              <w:rPr>
                <w:rFonts w:ascii="宋体" w:hAnsi="宋体"/>
                <w:b/>
                <w:szCs w:val="21"/>
                <w:lang w:val="en-GB"/>
              </w:rPr>
            </w:pPr>
            <w:r>
              <w:rPr>
                <w:rFonts w:hint="eastAsia" w:ascii="宋体" w:hAnsi="宋体"/>
                <w:color w:val="000000"/>
                <w:szCs w:val="21"/>
              </w:rPr>
              <w:t>对小型和微型企业产品的价格扣除</w:t>
            </w:r>
            <w:r>
              <w:rPr>
                <w:rFonts w:ascii="宋体" w:hAnsi="宋体"/>
                <w:szCs w:val="21"/>
                <w:u w:val="single"/>
              </w:rPr>
              <w:t>6</w:t>
            </w:r>
            <w:r>
              <w:rPr>
                <w:rFonts w:hint="eastAsia" w:ascii="宋体" w:hAnsi="宋体"/>
                <w:szCs w:val="21"/>
              </w:rPr>
              <w:t>%</w:t>
            </w:r>
          </w:p>
        </w:tc>
        <w:tc>
          <w:tcPr>
            <w:tcW w:w="2835" w:type="dxa"/>
            <w:vMerge w:val="restart"/>
            <w:shd w:val="clear" w:color="auto" w:fill="auto"/>
            <w:vAlign w:val="center"/>
          </w:tcPr>
          <w:p>
            <w:pPr>
              <w:jc w:val="center"/>
              <w:rPr>
                <w:color w:val="000000"/>
                <w:szCs w:val="21"/>
                <w:lang w:val="en-GB"/>
              </w:rPr>
            </w:pPr>
            <w:r>
              <w:rPr>
                <w:rFonts w:hint="eastAsia"/>
                <w:color w:val="000000"/>
                <w:szCs w:val="21"/>
                <w:lang w:val="en-GB"/>
              </w:rPr>
              <w:t>评审价格＝响应最终报价—</w:t>
            </w:r>
            <w:r>
              <w:rPr>
                <w:rFonts w:hint="eastAsia"/>
                <w:color w:val="000000"/>
                <w:szCs w:val="21"/>
              </w:rPr>
              <w:t>小型和微型企业产品的价格</w:t>
            </w:r>
            <w:r>
              <w:rPr>
                <w:rFonts w:hint="eastAsia" w:ascii="宋体" w:hAnsi="宋体"/>
                <w:color w:val="000000"/>
                <w:szCs w:val="21"/>
                <w:lang w:val="en-GB"/>
              </w:rPr>
              <w:t>×</w:t>
            </w:r>
            <w:r>
              <w:rPr>
                <w:rFonts w:hint="eastAsia"/>
                <w:color w:val="000000"/>
                <w:szCs w:val="21"/>
                <w:lang w:val="en-GB"/>
              </w:rPr>
              <w:t>6%</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2</w:t>
            </w:r>
          </w:p>
        </w:tc>
        <w:tc>
          <w:tcPr>
            <w:tcW w:w="2823" w:type="dxa"/>
            <w:vAlign w:val="center"/>
          </w:tcPr>
          <w:p>
            <w:pPr>
              <w:jc w:val="center"/>
              <w:rPr>
                <w:rFonts w:ascii="宋体" w:hAnsi="宋体"/>
                <w:b/>
                <w:color w:val="000000"/>
                <w:szCs w:val="21"/>
              </w:rPr>
            </w:pPr>
            <w:r>
              <w:rPr>
                <w:rFonts w:hint="eastAsia" w:ascii="宋体" w:hAnsi="宋体"/>
                <w:color w:val="000000"/>
                <w:szCs w:val="21"/>
                <w:lang w:val="en-GB"/>
              </w:rPr>
              <w:t>联合体各方均为小型、微型企业</w:t>
            </w:r>
          </w:p>
        </w:tc>
        <w:tc>
          <w:tcPr>
            <w:tcW w:w="2552" w:type="dxa"/>
            <w:vAlign w:val="center"/>
          </w:tcPr>
          <w:p>
            <w:pPr>
              <w:jc w:val="center"/>
              <w:rPr>
                <w:rFonts w:ascii="宋体" w:hAnsi="宋体"/>
                <w:szCs w:val="21"/>
              </w:rPr>
            </w:pPr>
            <w:r>
              <w:rPr>
                <w:rFonts w:hint="eastAsia" w:ascii="宋体" w:hAnsi="宋体"/>
                <w:color w:val="000000"/>
                <w:szCs w:val="21"/>
              </w:rPr>
              <w:t>对小型和微型企业产品的价格扣除</w:t>
            </w:r>
            <w:r>
              <w:rPr>
                <w:rFonts w:ascii="宋体" w:hAnsi="宋体"/>
                <w:szCs w:val="21"/>
                <w:u w:val="single"/>
              </w:rPr>
              <w:t>6</w:t>
            </w:r>
            <w:r>
              <w:rPr>
                <w:rFonts w:hint="eastAsia" w:ascii="宋体" w:hAnsi="宋体"/>
                <w:szCs w:val="21"/>
              </w:rPr>
              <w:t>%</w:t>
            </w:r>
          </w:p>
          <w:p>
            <w:pPr>
              <w:jc w:val="center"/>
              <w:rPr>
                <w:rFonts w:ascii="宋体" w:hAnsi="宋体"/>
                <w:b/>
                <w:szCs w:val="21"/>
                <w:lang w:val="en-GB"/>
              </w:rPr>
            </w:pPr>
            <w:r>
              <w:rPr>
                <w:rFonts w:hint="eastAsia" w:ascii="宋体" w:hAnsi="宋体"/>
                <w:szCs w:val="21"/>
              </w:rPr>
              <w:t>（不再享受序号3的价格折扣）</w:t>
            </w:r>
          </w:p>
        </w:tc>
        <w:tc>
          <w:tcPr>
            <w:tcW w:w="2835" w:type="dxa"/>
            <w:vMerge w:val="continue"/>
            <w:shd w:val="clear" w:color="auto" w:fill="auto"/>
          </w:tcPr>
          <w:p>
            <w:pPr>
              <w:rPr>
                <w:rFonts w:ascii="宋体" w:hAnsi="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3</w:t>
            </w:r>
          </w:p>
        </w:tc>
        <w:tc>
          <w:tcPr>
            <w:tcW w:w="2823" w:type="dxa"/>
            <w:vAlign w:val="center"/>
          </w:tcPr>
          <w:p>
            <w:pPr>
              <w:jc w:val="center"/>
              <w:rPr>
                <w:rFonts w:ascii="宋体" w:hAnsi="宋体"/>
                <w:b/>
                <w:color w:val="000000"/>
                <w:szCs w:val="21"/>
                <w:lang w:val="en-GB"/>
              </w:rPr>
            </w:pPr>
            <w:r>
              <w:rPr>
                <w:rFonts w:hint="eastAsia" w:ascii="宋体" w:hAnsi="宋体"/>
                <w:color w:val="000000"/>
                <w:szCs w:val="21"/>
                <w:lang w:val="en-GB"/>
              </w:rPr>
              <w:t>联合体一方为小型、微型企业且小型、微型企业协议合同金额占联合体协议合同总金额30%以上的</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对联合体总金额扣除</w:t>
            </w:r>
          </w:p>
          <w:p>
            <w:pPr>
              <w:jc w:val="center"/>
              <w:rPr>
                <w:rFonts w:ascii="宋体" w:hAnsi="宋体"/>
                <w:b/>
                <w:szCs w:val="21"/>
                <w:lang w:val="en-GB"/>
              </w:rPr>
            </w:pPr>
            <w:r>
              <w:rPr>
                <w:rFonts w:ascii="宋体" w:hAnsi="宋体"/>
                <w:szCs w:val="21"/>
                <w:u w:val="single"/>
              </w:rPr>
              <w:t>2</w:t>
            </w:r>
            <w:r>
              <w:rPr>
                <w:rFonts w:hint="eastAsia" w:ascii="宋体" w:hAnsi="宋体"/>
                <w:szCs w:val="21"/>
              </w:rPr>
              <w:t>%</w:t>
            </w:r>
          </w:p>
        </w:tc>
        <w:tc>
          <w:tcPr>
            <w:tcW w:w="2835" w:type="dxa"/>
            <w:shd w:val="clear" w:color="auto" w:fill="auto"/>
            <w:vAlign w:val="center"/>
          </w:tcPr>
          <w:p>
            <w:pPr>
              <w:jc w:val="center"/>
              <w:rPr>
                <w:rFonts w:ascii="宋体" w:hAnsi="宋体"/>
                <w:color w:val="FF0000"/>
                <w:szCs w:val="21"/>
                <w:u w:val="single"/>
              </w:rPr>
            </w:pPr>
            <w:r>
              <w:rPr>
                <w:rFonts w:hint="eastAsia" w:ascii="宋体" w:hAnsi="宋体"/>
                <w:color w:val="000000"/>
                <w:szCs w:val="21"/>
                <w:lang w:val="en-GB"/>
              </w:rPr>
              <w:t>评审价格＝响应最终报价×</w:t>
            </w: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u w:val="single"/>
                <w14:textFill>
                  <w14:solidFill>
                    <w14:schemeClr w14:val="tx1"/>
                  </w14:solidFill>
                </w14:textFill>
              </w:rPr>
              <w:t>2</w:t>
            </w:r>
            <w:r>
              <w:rPr>
                <w:rFonts w:hint="eastAsia" w:ascii="宋体" w:hAnsi="宋体"/>
                <w:color w:val="000000" w:themeColor="text1"/>
                <w:szCs w:val="21"/>
                <w:u w:val="single"/>
                <w14:textFill>
                  <w14:solidFill>
                    <w14:schemeClr w14:val="tx1"/>
                  </w14:solidFill>
                </w14:textFill>
              </w:rPr>
              <w:t>%)</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4</w:t>
            </w:r>
          </w:p>
        </w:tc>
        <w:tc>
          <w:tcPr>
            <w:tcW w:w="2823" w:type="dxa"/>
            <w:vAlign w:val="center"/>
          </w:tcPr>
          <w:p>
            <w:pPr>
              <w:jc w:val="center"/>
              <w:rPr>
                <w:rFonts w:ascii="宋体" w:hAnsi="宋体"/>
                <w:color w:val="000000"/>
                <w:szCs w:val="21"/>
                <w:lang w:val="en-GB"/>
              </w:rPr>
            </w:pPr>
            <w:r>
              <w:rPr>
                <w:rFonts w:hint="eastAsia" w:ascii="宋体" w:hAnsi="宋体"/>
                <w:color w:val="000000"/>
                <w:szCs w:val="21"/>
                <w:lang w:val="en-GB"/>
              </w:rPr>
              <w:t>监狱企业</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视同小型、微型企业</w:t>
            </w:r>
          </w:p>
          <w:p>
            <w:pPr>
              <w:jc w:val="center"/>
              <w:rPr>
                <w:rFonts w:ascii="宋体" w:hAnsi="宋体"/>
                <w:color w:val="000000"/>
                <w:szCs w:val="21"/>
                <w:lang w:val="en-GB"/>
              </w:rPr>
            </w:pPr>
            <w:r>
              <w:rPr>
                <w:rFonts w:hint="eastAsia" w:ascii="宋体" w:hAnsi="宋体"/>
                <w:color w:val="000000"/>
                <w:szCs w:val="21"/>
                <w:lang w:val="en-GB"/>
              </w:rPr>
              <w:t>对监狱企业产品价格扣除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rFonts w:ascii="宋体" w:hAnsi="宋体"/>
                <w:color w:val="000000"/>
                <w:szCs w:val="21"/>
                <w:lang w:val="en-GB"/>
              </w:rPr>
            </w:pPr>
            <w:r>
              <w:rPr>
                <w:rFonts w:hint="eastAsia"/>
                <w:color w:val="000000"/>
                <w:szCs w:val="21"/>
                <w:lang w:val="en-GB"/>
              </w:rPr>
              <w:t>评审价格＝响应最终报价—</w:t>
            </w:r>
            <w:r>
              <w:rPr>
                <w:rFonts w:hint="eastAsia"/>
                <w:color w:val="000000"/>
                <w:szCs w:val="21"/>
              </w:rPr>
              <w:t>监狱企业产品的价格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5</w:t>
            </w:r>
          </w:p>
        </w:tc>
        <w:tc>
          <w:tcPr>
            <w:tcW w:w="2823" w:type="dxa"/>
            <w:vAlign w:val="center"/>
          </w:tcPr>
          <w:p>
            <w:pPr>
              <w:jc w:val="center"/>
              <w:rPr>
                <w:rFonts w:ascii="宋体" w:hAnsi="宋体"/>
                <w:color w:val="000000"/>
                <w:szCs w:val="21"/>
                <w:lang w:val="en-GB"/>
              </w:rPr>
            </w:pPr>
            <w:r>
              <w:rPr>
                <w:rFonts w:hint="eastAsia" w:ascii="宋体" w:hAnsi="宋体"/>
                <w:color w:val="000000"/>
                <w:szCs w:val="21"/>
                <w:lang w:val="en-GB"/>
              </w:rPr>
              <w:t>残疾人福利性单位</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视同小型、微型企业</w:t>
            </w:r>
          </w:p>
          <w:p>
            <w:pPr>
              <w:jc w:val="center"/>
              <w:rPr>
                <w:rFonts w:ascii="宋体" w:hAnsi="宋体"/>
                <w:color w:val="000000"/>
                <w:szCs w:val="21"/>
                <w:lang w:val="en-GB"/>
              </w:rPr>
            </w:pPr>
            <w:r>
              <w:rPr>
                <w:rFonts w:hint="eastAsia" w:ascii="宋体" w:hAnsi="宋体"/>
                <w:color w:val="000000"/>
                <w:szCs w:val="21"/>
                <w:lang w:val="en-GB"/>
              </w:rPr>
              <w:t>对残疾人福利性单位产品价格扣除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color w:val="000000"/>
                <w:szCs w:val="21"/>
                <w:lang w:val="en-GB"/>
              </w:rPr>
            </w:pPr>
            <w:r>
              <w:rPr>
                <w:rFonts w:hint="eastAsia"/>
                <w:color w:val="000000"/>
                <w:szCs w:val="21"/>
                <w:lang w:val="en-GB"/>
              </w:rPr>
              <w:t>评审价格＝响应最终报价—</w:t>
            </w:r>
            <w:r>
              <w:rPr>
                <w:rFonts w:hint="eastAsia"/>
                <w:color w:val="000000"/>
                <w:szCs w:val="21"/>
              </w:rPr>
              <w:t>残疾人福利性单位产品的价格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2" w:hRule="atLeast"/>
        </w:trPr>
        <w:tc>
          <w:tcPr>
            <w:tcW w:w="8931" w:type="dxa"/>
            <w:gridSpan w:val="4"/>
            <w:vAlign w:val="center"/>
          </w:tcPr>
          <w:p>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pPr>
              <w:adjustRightInd w:val="0"/>
              <w:spacing w:line="360" w:lineRule="auto"/>
              <w:ind w:left="-88" w:leftChars="-42" w:firstLine="449" w:firstLineChars="214"/>
              <w:jc w:val="left"/>
              <w:rPr>
                <w:rFonts w:cs="仿宋_GB2312" w:asciiTheme="minorEastAsia" w:hAnsiTheme="minorEastAsia"/>
                <w:szCs w:val="21"/>
                <w:lang w:val="zh-CN"/>
              </w:rPr>
            </w:pPr>
            <w:r>
              <w:rPr>
                <w:rFonts w:hint="eastAsia" w:cs="仿宋_GB2312" w:asciiTheme="minorEastAsia" w:hAnsiTheme="minorEastAsia"/>
                <w:szCs w:val="21"/>
                <w:lang w:val="zh-CN"/>
              </w:rPr>
              <w:t>2、</w:t>
            </w:r>
            <w:r>
              <w:rPr>
                <w:rFonts w:cs="仿宋_GB2312" w:asciiTheme="minorEastAsia" w:hAnsiTheme="minorEastAsia"/>
                <w:szCs w:val="21"/>
                <w:lang w:val="zh-CN"/>
              </w:rPr>
              <w:t>经</w:t>
            </w:r>
            <w:r>
              <w:rPr>
                <w:rFonts w:hint="eastAsia" w:cs="仿宋_GB2312" w:asciiTheme="minorEastAsia" w:hAnsiTheme="minorEastAsia"/>
                <w:szCs w:val="21"/>
                <w:lang w:val="zh-CN"/>
              </w:rPr>
              <w:t>谈判小组审查、评价</w:t>
            </w:r>
            <w:r>
              <w:rPr>
                <w:rFonts w:cs="仿宋_GB2312" w:asciiTheme="minorEastAsia" w:hAnsiTheme="minorEastAsia"/>
                <w:szCs w:val="21"/>
                <w:lang w:val="zh-CN"/>
              </w:rPr>
              <w:t>，</w:t>
            </w:r>
            <w:r>
              <w:rPr>
                <w:rFonts w:hint="eastAsia" w:cs="仿宋_GB2312" w:asciiTheme="minorEastAsia" w:hAnsiTheme="minorEastAsia"/>
                <w:szCs w:val="21"/>
                <w:lang w:val="zh-CN"/>
              </w:rPr>
              <w:t>响应文件符合谈判</w:t>
            </w:r>
            <w:r>
              <w:rPr>
                <w:rFonts w:cs="仿宋_GB2312" w:asciiTheme="minorEastAsia" w:hAnsiTheme="minorEastAsia"/>
                <w:szCs w:val="21"/>
                <w:lang w:val="zh-CN"/>
              </w:rPr>
              <w:t>文件</w:t>
            </w:r>
            <w:r>
              <w:rPr>
                <w:rFonts w:hint="eastAsia" w:cs="仿宋_GB2312" w:asciiTheme="minorEastAsia" w:hAnsiTheme="minorEastAsia"/>
                <w:szCs w:val="21"/>
                <w:lang w:val="zh-CN"/>
              </w:rPr>
              <w:t>实质性</w:t>
            </w:r>
            <w:r>
              <w:rPr>
                <w:rFonts w:cs="仿宋_GB2312" w:asciiTheme="minorEastAsia" w:hAnsiTheme="minorEastAsia"/>
                <w:szCs w:val="21"/>
                <w:lang w:val="zh-CN"/>
              </w:rPr>
              <w:t>要求且</w:t>
            </w:r>
            <w:r>
              <w:rPr>
                <w:rFonts w:hint="eastAsia" w:cs="仿宋_GB2312" w:asciiTheme="minorEastAsia" w:hAnsiTheme="minorEastAsia"/>
                <w:szCs w:val="21"/>
                <w:lang w:val="zh-CN"/>
              </w:rPr>
              <w:t>进行了政策性价格扣除后，</w:t>
            </w:r>
            <w:r>
              <w:rPr>
                <w:rFonts w:cs="仿宋_GB2312" w:asciiTheme="minorEastAsia" w:hAnsiTheme="minorEastAsia"/>
                <w:szCs w:val="21"/>
                <w:lang w:val="zh-CN"/>
              </w:rPr>
              <w:t>以</w:t>
            </w:r>
            <w:r>
              <w:rPr>
                <w:rFonts w:hint="eastAsia" w:cs="仿宋_GB2312" w:asciiTheme="minorEastAsia" w:hAnsiTheme="minorEastAsia"/>
                <w:szCs w:val="21"/>
                <w:lang w:val="zh-CN"/>
              </w:rPr>
              <w:t>评审价格由低到高的顺序提出</w:t>
            </w:r>
            <w:r>
              <w:rPr>
                <w:rFonts w:cs="仿宋_GB2312" w:asciiTheme="minorEastAsia" w:hAnsiTheme="minorEastAsia"/>
                <w:szCs w:val="21"/>
                <w:lang w:val="zh-CN"/>
              </w:rPr>
              <w:t>3</w:t>
            </w:r>
            <w:r>
              <w:rPr>
                <w:rFonts w:hint="eastAsia" w:cs="仿宋_GB2312" w:asciiTheme="minorEastAsia" w:hAnsiTheme="minorEastAsia"/>
                <w:szCs w:val="21"/>
                <w:lang w:val="zh-CN"/>
              </w:rPr>
              <w:t>名成交候选人。</w:t>
            </w:r>
          </w:p>
        </w:tc>
      </w:tr>
    </w:tbl>
    <w:p>
      <w:pPr>
        <w:tabs>
          <w:tab w:val="left" w:pos="1260"/>
        </w:tabs>
        <w:autoSpaceDE w:val="0"/>
        <w:autoSpaceDN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备注：</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a、不接受联合体响应的项目，本表中第2项、第3项情形不适用。</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b、小型和微型企业产品包括货物及其提供的服务与工程。</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c、中小企业、残疾人福利性单位提供其他企业制造的货物的，则该货物的制造商也必须为上述企业，否则不能享受价格优惠。</w:t>
      </w:r>
    </w:p>
    <w:p>
      <w:pPr>
        <w:tabs>
          <w:tab w:val="left" w:pos="1260"/>
        </w:tabs>
        <w:autoSpaceDE w:val="0"/>
        <w:autoSpaceDN w:val="0"/>
        <w:spacing w:line="360" w:lineRule="auto"/>
        <w:ind w:firstLine="420" w:firstLineChars="200"/>
        <w:contextualSpacing/>
        <w:rPr>
          <w:rFonts w:ascii="宋体" w:hAnsi="宋体"/>
          <w:bCs/>
          <w:color w:val="FF0000"/>
          <w:szCs w:val="21"/>
          <w:lang w:val="en-GB"/>
        </w:rPr>
      </w:pPr>
      <w:r>
        <w:rPr>
          <w:rFonts w:hint="eastAsia" w:cs="仿宋_GB2312" w:asciiTheme="minorEastAsia" w:hAnsiTheme="minorEastAsia"/>
          <w:szCs w:val="21"/>
          <w:lang w:val="zh-CN"/>
        </w:rPr>
        <w:t>d、残疾人福利性单位属于小型、微型企业的，不重复享受政策</w:t>
      </w:r>
      <w:r>
        <w:rPr>
          <w:rFonts w:hint="eastAsia" w:ascii="宋体" w:hAnsi="宋体"/>
          <w:bCs/>
          <w:color w:val="FF0000"/>
          <w:szCs w:val="21"/>
          <w:lang w:val="en-GB"/>
        </w:rPr>
        <w:t>。</w:t>
      </w:r>
    </w:p>
    <w:p>
      <w:pPr>
        <w:spacing w:line="360" w:lineRule="auto"/>
        <w:ind w:firstLine="420" w:firstLineChars="200"/>
        <w:rPr>
          <w:rFonts w:cs="仿宋_GB2312" w:asciiTheme="minorEastAsia" w:hAnsiTheme="minorEastAsia"/>
          <w:szCs w:val="21"/>
          <w:lang w:val="zh-CN"/>
        </w:rPr>
      </w:pPr>
      <w:r>
        <w:rPr>
          <w:rFonts w:cs="仿宋_GB2312" w:asciiTheme="minorEastAsia" w:hAnsiTheme="minorEastAsia"/>
          <w:szCs w:val="21"/>
          <w:lang w:val="zh-CN"/>
        </w:rPr>
        <w:t>E</w:t>
      </w:r>
      <w:r>
        <w:rPr>
          <w:rFonts w:hint="eastAsia" w:cs="仿宋_GB2312" w:asciiTheme="minorEastAsia" w:hAnsiTheme="minorEastAsia"/>
          <w:szCs w:val="21"/>
          <w:lang w:val="zh-CN"/>
        </w:rPr>
        <w:t>、小型和微型企业不包括民办非企业单位。</w:t>
      </w:r>
    </w:p>
    <w:p>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asciiTheme="minorEastAsia" w:hAnsiTheme="minorEastAsia" w:eastAsiaTheme="minorEastAsia"/>
          <w:b/>
          <w:color w:val="000000"/>
          <w:sz w:val="21"/>
          <w:szCs w:val="21"/>
        </w:rPr>
        <w:t>2、</w:t>
      </w:r>
      <w:r>
        <w:rPr>
          <w:rFonts w:hint="eastAsia" w:cs="仿宋_GB2312" w:asciiTheme="minorEastAsia" w:hAnsiTheme="minorEastAsia" w:eastAsiaTheme="minorEastAsia"/>
          <w:b/>
          <w:sz w:val="21"/>
          <w:szCs w:val="21"/>
          <w:lang w:val="zh-CN"/>
        </w:rPr>
        <w:t>关于强制性产品认证</w:t>
      </w:r>
    </w:p>
    <w:p>
      <w:pPr>
        <w:spacing w:line="360" w:lineRule="auto"/>
        <w:ind w:firstLine="420" w:firstLineChars="200"/>
        <w:contextualSpacing/>
        <w:rPr>
          <w:rFonts w:cs="宋体" w:asciiTheme="minorEastAsia" w:hAnsiTheme="minorEastAsia"/>
          <w:kern w:val="0"/>
          <w:szCs w:val="21"/>
        </w:rPr>
      </w:pPr>
      <w:r>
        <w:rPr>
          <w:rFonts w:hint="eastAsia" w:cs="仿宋_GB2312" w:asciiTheme="minorEastAsia" w:hAnsiTheme="minorEastAsia"/>
          <w:szCs w:val="21"/>
          <w:lang w:val="zh-CN"/>
        </w:rPr>
        <w:t>（1）如供应商所响应产品属于“中国强制性产品认证”（3C认证）范围内,则必须承诺采用</w:t>
      </w:r>
      <w:r>
        <w:rPr>
          <w:rFonts w:cs="仿宋_GB2312" w:asciiTheme="minorEastAsia" w:hAnsiTheme="minorEastAsia"/>
          <w:szCs w:val="21"/>
          <w:lang w:val="zh-CN"/>
        </w:rPr>
        <w:t>《中华人民共和国实施强制性产品认证的产品目录》</w:t>
      </w:r>
      <w:r>
        <w:rPr>
          <w:rFonts w:hint="eastAsia" w:cs="仿宋_GB2312" w:asciiTheme="minorEastAsia" w:hAnsiTheme="minorEastAsia"/>
          <w:szCs w:val="21"/>
          <w:lang w:val="zh-CN"/>
        </w:rPr>
        <w:t>并在有效期内的产品，应在响应文件中提供“所投产品符合国家强制性要求承诺函”并加盖供应商公章，否则将承担其响应被视为非实质性响应的风险。</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（2）供应商所响应产品如被列入</w:t>
      </w:r>
      <w:r>
        <w:rPr>
          <w:rFonts w:cs="宋体" w:asciiTheme="minorEastAsia" w:hAnsiTheme="minorEastAsia"/>
          <w:kern w:val="0"/>
          <w:szCs w:val="21"/>
        </w:rPr>
        <w:t>《信息安全产品强制性认证目录》，</w:t>
      </w:r>
      <w:r>
        <w:rPr>
          <w:rFonts w:hint="eastAsia" w:cs="仿宋_GB2312" w:asciiTheme="minorEastAsia" w:hAnsiTheme="minorEastAsia"/>
          <w:szCs w:val="21"/>
          <w:lang w:val="zh-CN"/>
        </w:rPr>
        <w:t>则响应文件中应根据本项目谈判文件“第二章 采购需求”</w:t>
      </w:r>
      <w:r>
        <w:rPr>
          <w:rFonts w:cs="仿宋_GB2312" w:asciiTheme="minorEastAsia" w:hAnsiTheme="minorEastAsia"/>
          <w:szCs w:val="21"/>
          <w:lang w:val="zh-CN"/>
        </w:rPr>
        <w:t>提供</w:t>
      </w:r>
      <w:r>
        <w:rPr>
          <w:rFonts w:hint="eastAsia" w:cs="仿宋_GB2312" w:asciiTheme="minorEastAsia" w:hAnsiTheme="minorEastAsia"/>
          <w:szCs w:val="21"/>
          <w:lang w:val="zh-CN"/>
        </w:rPr>
        <w:t>：</w:t>
      </w:r>
    </w:p>
    <w:p>
      <w:pPr>
        <w:wordWrap w:val="0"/>
        <w:autoSpaceDE w:val="0"/>
        <w:autoSpaceDN w:val="0"/>
        <w:spacing w:line="360" w:lineRule="auto"/>
        <w:ind w:firstLine="420" w:firstLineChars="200"/>
        <w:contextualSpacing/>
        <w:rPr>
          <w:rFonts w:cs="宋体" w:asciiTheme="minorEastAsia" w:hAnsiTheme="minorEastAsia"/>
          <w:kern w:val="0"/>
          <w:szCs w:val="21"/>
        </w:rPr>
      </w:pPr>
      <w:r>
        <w:rPr>
          <w:rFonts w:hint="eastAsia" w:cs="宋体" w:asciiTheme="minorEastAsia" w:hAnsiTheme="minorEastAsia"/>
          <w:kern w:val="0"/>
          <w:szCs w:val="21"/>
        </w:rPr>
        <w:t>①中国信息安全认证中心官网（</w:t>
      </w:r>
      <w:r>
        <w:rPr>
          <w:rFonts w:cs="宋体" w:asciiTheme="minorEastAsia" w:hAnsiTheme="minorEastAsia"/>
          <w:kern w:val="0"/>
          <w:szCs w:val="21"/>
        </w:rPr>
        <w:t>http://www.isccc.gov.cn/index.shtml</w:t>
      </w:r>
      <w:r>
        <w:rPr>
          <w:rFonts w:hint="eastAsia" w:cs="宋体" w:asciiTheme="minorEastAsia" w:hAnsiTheme="minorEastAsia"/>
          <w:kern w:val="0"/>
          <w:szCs w:val="21"/>
        </w:rPr>
        <w:t>）产品查询结果截图并加盖供应商公章；</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②中国信息安全认证中心</w:t>
      </w:r>
      <w:r>
        <w:rPr>
          <w:rFonts w:hint="eastAsia" w:cs="仿宋_GB2312" w:asciiTheme="minorEastAsia" w:hAnsiTheme="minorEastAsia"/>
          <w:szCs w:val="21"/>
          <w:lang w:val="zh-CN"/>
        </w:rPr>
        <w:t>颁发的《中国国家信息安全产品认证证书》加盖供应商公章的原件扫描件（或图片）。</w:t>
      </w:r>
    </w:p>
    <w:p>
      <w:pPr>
        <w:wordWrap w:val="0"/>
        <w:spacing w:line="360" w:lineRule="auto"/>
        <w:ind w:firstLine="480" w:firstLineChars="200"/>
        <w:contextualSpacing/>
        <w:rPr>
          <w:rFonts w:cs="宋体" w:asciiTheme="minorEastAsia" w:hAnsiTheme="minorEastAsia"/>
          <w:kern w:val="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pStyle w:val="15"/>
        <w:numPr>
          <w:ilvl w:val="0"/>
          <w:numId w:val="27"/>
        </w:numPr>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谈判小组编写评审报告。</w:t>
      </w:r>
    </w:p>
    <w:p>
      <w:pPr>
        <w:wordWrap w:val="0"/>
        <w:spacing w:line="360" w:lineRule="auto"/>
        <w:ind w:firstLine="480" w:firstLineChars="200"/>
        <w:contextualSpacing/>
        <w:rPr>
          <w:rFonts w:ascii="楷体" w:hAnsi="楷体" w:eastAsia="楷体" w:cs="仿宋_GB2312"/>
          <w:sz w:val="24"/>
          <w:szCs w:val="24"/>
          <w:lang w:val="zh-CN"/>
        </w:rPr>
      </w:pPr>
      <w:r>
        <w:rPr>
          <w:rFonts w:hint="eastAsia" w:ascii="楷体" w:hAnsi="楷体" w:eastAsia="楷体" w:cs="仿宋_GB2312"/>
          <w:sz w:val="24"/>
          <w:szCs w:val="24"/>
          <w:lang w:val="zh-CN"/>
        </w:rPr>
        <w:t>注：按照《关于推进全流程电子化交易和在线监管工作有关问题的通知》（许公管办[2019]3号）规定：评审专家应严格按照要求查看“硬件特征码” 相关信息并进行评审，在评审报告中显示“不同供应商电子响应文件制作硬件特征码”是否雷同的分析及判定结果。</w:t>
      </w:r>
    </w:p>
    <w:p>
      <w:pPr>
        <w:pStyle w:val="15"/>
        <w:spacing w:line="360" w:lineRule="auto"/>
        <w:contextualSpacing/>
        <w:rPr>
          <w:rFonts w:cs="仿宋_GB2312" w:asciiTheme="minorEastAsia" w:hAnsiTheme="minorEastAsia" w:eastAsiaTheme="minorEastAsia"/>
          <w:b/>
          <w:sz w:val="21"/>
          <w:szCs w:val="21"/>
          <w:lang w:val="zh-CN"/>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both"/>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第七章 合同条款及格式</w:t>
      </w:r>
    </w:p>
    <w:p>
      <w:pPr>
        <w:pStyle w:val="15"/>
        <w:spacing w:line="360" w:lineRule="auto"/>
        <w:contextualSpacing/>
        <w:jc w:val="center"/>
        <w:rPr>
          <w:rFonts w:cs="宋体" w:asciiTheme="majorEastAsia" w:hAnsiTheme="majorEastAsia" w:eastAsiaTheme="majorEastAsia"/>
          <w:b/>
          <w:kern w:val="0"/>
          <w:sz w:val="36"/>
          <w:szCs w:val="36"/>
        </w:rPr>
      </w:pPr>
    </w:p>
    <w:p>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（此合同仅供参考。以最终采购人与中标人签定的合同条款为准进行公示，</w:t>
      </w:r>
    </w:p>
    <w:p>
      <w:pPr>
        <w:spacing w:line="360" w:lineRule="auto"/>
        <w:jc w:val="center"/>
        <w:rPr>
          <w:rFonts w:ascii="宋体" w:hAnsi="宋体" w:cs="微软雅黑"/>
          <w:b/>
          <w:bCs/>
          <w:szCs w:val="21"/>
        </w:rPr>
      </w:pPr>
      <w:r>
        <w:rPr>
          <w:rFonts w:hint="eastAsia" w:ascii="宋体" w:hAnsi="宋体" w:cs="微软雅黑"/>
          <w:b/>
          <w:bCs/>
          <w:szCs w:val="21"/>
        </w:rPr>
        <w:t>最终签定合同的主要条款不能与招标文件有冲突）</w:t>
      </w:r>
    </w:p>
    <w:p>
      <w:pPr>
        <w:pStyle w:val="22"/>
        <w:spacing w:before="75" w:after="75" w:line="360" w:lineRule="auto"/>
        <w:rPr>
          <w:rFonts w:ascii="宋体" w:hAnsi="宋体" w:eastAsia="微软雅黑"/>
          <w:color w:val="000000"/>
          <w:u w:val="single"/>
        </w:rPr>
      </w:pPr>
    </w:p>
    <w:p>
      <w:pPr>
        <w:pStyle w:val="15"/>
        <w:spacing w:line="360" w:lineRule="auto"/>
        <w:contextualSpacing/>
        <w:jc w:val="center"/>
        <w:rPr>
          <w:rFonts w:cs="宋体" w:asciiTheme="majorEastAsia" w:hAnsiTheme="majorEastAsia" w:eastAsiaTheme="majorEastAsia"/>
          <w:b/>
          <w:kern w:val="0"/>
          <w:sz w:val="36"/>
          <w:szCs w:val="36"/>
        </w:rPr>
      </w:pPr>
    </w:p>
    <w:p>
      <w:pPr>
        <w:pStyle w:val="8"/>
        <w:spacing w:line="500" w:lineRule="exact"/>
        <w:jc w:val="center"/>
        <w:rPr>
          <w:rFonts w:hint="eastAsia" w:ascii="仿宋" w:hAnsi="仿宋" w:eastAsia="仿宋"/>
          <w:bCs w:val="0"/>
          <w:color w:val="000000"/>
          <w:sz w:val="24"/>
          <w:szCs w:val="24"/>
        </w:rPr>
      </w:pPr>
      <w:bookmarkStart w:id="0" w:name="_Toc326060505"/>
      <w:bookmarkStart w:id="1" w:name="_Toc354922980"/>
      <w:bookmarkStart w:id="2" w:name="_Toc364457259"/>
      <w:bookmarkStart w:id="3" w:name="_Toc357868214"/>
      <w:bookmarkStart w:id="4" w:name="_Toc355649942"/>
      <w:bookmarkStart w:id="5" w:name="_Toc354923119"/>
      <w:bookmarkStart w:id="6" w:name="_Toc329278149"/>
      <w:bookmarkStart w:id="7" w:name="_Toc354404029"/>
      <w:bookmarkStart w:id="8" w:name="_Toc356744034"/>
      <w:r>
        <w:rPr>
          <w:rFonts w:hint="eastAsia" w:ascii="仿宋" w:hAnsi="仿宋" w:eastAsia="仿宋"/>
          <w:bCs w:val="0"/>
          <w:color w:val="000000"/>
          <w:sz w:val="24"/>
          <w:szCs w:val="24"/>
        </w:rPr>
        <w:t>一、词语定义及合同文件</w:t>
      </w:r>
      <w:bookmarkEnd w:id="0"/>
      <w:bookmarkEnd w:id="1"/>
      <w:bookmarkEnd w:id="2"/>
      <w:bookmarkEnd w:id="3"/>
      <w:bookmarkEnd w:id="4"/>
      <w:bookmarkEnd w:id="5"/>
      <w:bookmarkEnd w:id="6"/>
      <w:bookmarkEnd w:id="7"/>
      <w:bookmarkEnd w:id="8"/>
    </w:p>
    <w:p>
      <w:pPr>
        <w:pStyle w:val="15"/>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1、合同文件及解释顺序</w:t>
      </w:r>
    </w:p>
    <w:p>
      <w:pPr>
        <w:pStyle w:val="15"/>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合同文件组成及解释顺序:       按照通用条款执行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2、语言文字和适用法律、标准及规范</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2．1本合同除使用汉语外，还使用       无                  语言文字。</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2．2适用法律和法规</w:t>
      </w:r>
    </w:p>
    <w:p>
      <w:pPr>
        <w:spacing w:line="500" w:lineRule="exact"/>
        <w:ind w:firstLine="482"/>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需要明示的法律、行政法规:  国家及省、市的法律、法规、规章、规范性文件及协议条款约定的规章。</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2．3适用标准、规范</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适用标准、规范的名称:</w:t>
      </w:r>
    </w:p>
    <w:p>
      <w:pPr>
        <w:numPr>
          <w:ilvl w:val="1"/>
          <w:numId w:val="28"/>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工程设计要求</w:t>
      </w:r>
    </w:p>
    <w:p>
      <w:pPr>
        <w:numPr>
          <w:ilvl w:val="1"/>
          <w:numId w:val="28"/>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国家、河南省、许昌市现行有关工程的施工及验收规定、规程和标准</w:t>
      </w:r>
    </w:p>
    <w:p>
      <w:pPr>
        <w:numPr>
          <w:ilvl w:val="1"/>
          <w:numId w:val="28"/>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对不在规范验评范围内项目，执行设计院、制造厂家或发包人和承包人双方议定的补充技术标准及本标书的施工技术要求；</w:t>
      </w:r>
    </w:p>
    <w:p>
      <w:pPr>
        <w:numPr>
          <w:ilvl w:val="1"/>
          <w:numId w:val="28"/>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新材料、新工艺必须具有省级以上行业主管部门技术鉴定并须征得发包人和监理单位同意。</w:t>
      </w:r>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发包人提供标准、规范的时间: 无。</w:t>
      </w:r>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国内没有相应标准、规范时的约定: 由承包人提供并经发包人和设计单位认可后执行。</w:t>
      </w:r>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3、图纸</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3．1发包人向承包人提供图纸日期和套数: 合同约定。</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 2发包人对图纸的保密要求: 施工图纸应保密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3. 3使用国外图纸的要求及费用承担:  无  </w:t>
      </w:r>
    </w:p>
    <w:p>
      <w:pPr>
        <w:pStyle w:val="8"/>
        <w:spacing w:line="500" w:lineRule="exact"/>
        <w:jc w:val="center"/>
        <w:rPr>
          <w:rFonts w:hint="eastAsia" w:cs="宋体" w:asciiTheme="minorEastAsia" w:hAnsiTheme="minorEastAsia" w:eastAsiaTheme="minorEastAsia"/>
          <w:kern w:val="0"/>
          <w:sz w:val="21"/>
          <w:szCs w:val="21"/>
          <w:lang w:val="en-US" w:eastAsia="zh-CN" w:bidi="ar-SA"/>
        </w:rPr>
      </w:pPr>
      <w:bookmarkStart w:id="9" w:name="_Toc354404030"/>
      <w:bookmarkStart w:id="10" w:name="_Toc364457260"/>
      <w:bookmarkStart w:id="11" w:name="_Toc326060506"/>
      <w:bookmarkStart w:id="12" w:name="_Toc356744035"/>
      <w:bookmarkStart w:id="13" w:name="_Toc355649943"/>
      <w:bookmarkStart w:id="14" w:name="_Toc357868215"/>
      <w:bookmarkStart w:id="15" w:name="_Toc354923120"/>
      <w:bookmarkStart w:id="16" w:name="_Toc329278150"/>
      <w:bookmarkStart w:id="17" w:name="_Toc354922981"/>
      <w:r>
        <w:rPr>
          <w:rFonts w:hint="eastAsia" w:cs="宋体" w:asciiTheme="minorEastAsia" w:hAnsiTheme="minorEastAsia" w:eastAsiaTheme="minorEastAsia"/>
          <w:kern w:val="0"/>
          <w:sz w:val="21"/>
          <w:szCs w:val="21"/>
          <w:lang w:val="en-US" w:eastAsia="zh-CN" w:bidi="ar-SA"/>
        </w:rPr>
        <w:t>二、双方一般权利和义务</w:t>
      </w:r>
      <w:bookmarkEnd w:id="9"/>
      <w:bookmarkEnd w:id="10"/>
      <w:bookmarkEnd w:id="11"/>
      <w:bookmarkEnd w:id="12"/>
      <w:bookmarkEnd w:id="13"/>
      <w:bookmarkEnd w:id="14"/>
      <w:bookmarkEnd w:id="15"/>
      <w:bookmarkEnd w:id="16"/>
      <w:bookmarkEnd w:id="17"/>
    </w:p>
    <w:p>
      <w:pPr>
        <w:pStyle w:val="15"/>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4．工程师</w:t>
      </w:r>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4．1监理单位委派的工程师</w:t>
      </w:r>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姓名：   (待定)      职务:    (待定)    </w:t>
      </w:r>
    </w:p>
    <w:p>
      <w:pPr>
        <w:pStyle w:val="60"/>
        <w:spacing w:line="500" w:lineRule="exact"/>
        <w:ind w:left="0" w:right="9"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发包人委托的职权: 按《建设工程监理规范》(GB50319-2000)执行</w:t>
      </w:r>
    </w:p>
    <w:p>
      <w:pPr>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需要取得发包人批准才能行使的职权：设计变更、发布开(停)工令、工期顺延签认、工程量及费用增减的签认、主要材料的确定、不称职技术(管理)人员撤换建议权、发包人认为须取得批准方可实施的其它重要事项等监理合同中赋予监理工程师的职权。 </w:t>
      </w:r>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4．2发包人派驻的工程师</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姓名：  (待定)         职务:   (待定)     </w:t>
      </w:r>
    </w:p>
    <w:p>
      <w:pPr>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职权: 全权负责施工现场的管理和协调工作，并代表发包人对施工中所用材料(设备)的质量进行检验。</w:t>
      </w:r>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4．3不实行监理的，工程师的职权:  //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5．项目经理(建造师)</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姓名:  (中标项目经理/建造师)      职务:  (待定)  _</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6、发包人工作</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6．1发包人应按约定的时间和要求完成以下工作:</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(1)施工场地具备施工条件的要求及完成的时间： 合同签订后7日内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(2)将施工所需的水、电、电讯线路接至施工场地的时间、地点和供应要求：施工所需的水、电、电讯线路已经具备条件，施工中所产生的费用由承包人负担。</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(3)施工场地与道路的通道开通时间和要求: 已具备。</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(4)工程地质和地下管线资料的提供时间：合同签订日。</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(5)由发包人办理的施工所需证件、批件的名称和完成时间:  合同开工日期前，由承包方负责办理进场的相关手续，发包方配合。</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(6)水准点与坐标控制点交验要求：合同开工日期前7天。</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(7)图纸会审和设计交底时间: 合同开工日期前7天。 </w:t>
      </w:r>
    </w:p>
    <w:p>
      <w:pPr>
        <w:pStyle w:val="15"/>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(8)双方约定发包人应做的其他工作：      无     </w:t>
      </w:r>
    </w:p>
    <w:p>
      <w:pPr>
        <w:pStyle w:val="15"/>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6．2发包人委托承包人办理的工作：       无      </w:t>
      </w:r>
    </w:p>
    <w:p>
      <w:pPr>
        <w:pStyle w:val="15"/>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7．承包人工作</w:t>
      </w:r>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招标范围，具体有招标人与中标人协商                    。</w:t>
      </w:r>
    </w:p>
    <w:p>
      <w:pPr>
        <w:pStyle w:val="15"/>
        <w:spacing w:line="500" w:lineRule="exact"/>
        <w:ind w:left="338" w:leftChars="86" w:hanging="157" w:hangingChars="7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7．1承包人应按约定时间和要求，完成以下工作:</w:t>
      </w:r>
    </w:p>
    <w:p>
      <w:pPr>
        <w:pStyle w:val="15"/>
        <w:numPr>
          <w:ilvl w:val="0"/>
          <w:numId w:val="29"/>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需自设计资质等级和业务范围允许的承包人完成的设计文件提交时间：          无      </w:t>
      </w:r>
    </w:p>
    <w:p>
      <w:pPr>
        <w:pStyle w:val="15"/>
        <w:numPr>
          <w:ilvl w:val="0"/>
          <w:numId w:val="29"/>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应提供计划、报表的名称及完成时间:</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开工前7日提交施工组织设计、总进度计划、施工机械和人员使用计划、主要材料供应计划。</w:t>
      </w:r>
    </w:p>
    <w:p>
      <w:pPr>
        <w:pStyle w:val="15"/>
        <w:numPr>
          <w:ilvl w:val="0"/>
          <w:numId w:val="29"/>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承担施工安全保卫工作及非夜间施工照明的责任和要求:设专职安全保卫人员和安全防护设施，负责施工现场安全保卫，费用自理。</w:t>
      </w:r>
    </w:p>
    <w:p>
      <w:pPr>
        <w:pStyle w:val="15"/>
        <w:numPr>
          <w:ilvl w:val="0"/>
          <w:numId w:val="29"/>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向发包人提供的办公和生活房屋及设施的要求:  无   </w:t>
      </w:r>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需承包人办理的有关施工场地交通、住建、环卫和施工噪音管理等手续: 按照国家、省、市、县有关规定执行。</w:t>
      </w:r>
    </w:p>
    <w:p>
      <w:pPr>
        <w:pStyle w:val="15"/>
        <w:numPr>
          <w:ilvl w:val="0"/>
          <w:numId w:val="29"/>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完工工程成品保护的特殊要求及费用承担:由承包人负责。</w:t>
      </w:r>
    </w:p>
    <w:p>
      <w:pPr>
        <w:pStyle w:val="15"/>
        <w:numPr>
          <w:ilvl w:val="0"/>
          <w:numId w:val="29"/>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施工场地周围地下管线和邻近建筑物、构筑物(含文物保护建筑)、古树名木的保护要求及费用承担: 按照按照国家、省、市有关规定和投标文件的有关承诺执行。由于承包人造成的一切损失由承包人承担。</w:t>
      </w:r>
    </w:p>
    <w:p>
      <w:pPr>
        <w:pStyle w:val="15"/>
        <w:numPr>
          <w:ilvl w:val="0"/>
          <w:numId w:val="29"/>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施工现场清洁卫生的要求：按通用条款，保证每日清理，符合当地有关文明施工的规定，费用由承包方承担。</w:t>
      </w:r>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(8)协调处理施工场地周围地下管线和邻近建筑物、构筑物(含文物保护建筑)、古树名木的保护工作: 场地周围地下管线和邻近建筑物、构筑物的保护工作由承包人负责并承担费用；文物保护建筑、古树名木的保护由施工单位负责，保护费用由承包人承担。</w:t>
      </w:r>
    </w:p>
    <w:p>
      <w:pPr>
        <w:pStyle w:val="15"/>
        <w:tabs>
          <w:tab w:val="left" w:pos="1620"/>
        </w:tabs>
        <w:spacing w:line="500" w:lineRule="exact"/>
        <w:ind w:firstLine="210" w:firstLineChars="1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(9)双方约定承包人应做的其他工作：① 投标文件中确定的项目部的成员必须坚守工作岗位，不得更换。对发包人提出的不合格的项目部工作人员，承包人必须及时更换，所更换人员的资质应不低于被更换人员。项目部组成人员的资格证书、岗位证书必须经过考核备案。② 投标人拟投入现场的施工机械设备必须满足施工要求，并保证及时到位，其主要设备应为承包人自己的设备。承包人投入现场的施工机械和设备必须经过检验或审验合格，并提交检验报告原件。③ 负责竣工资料的整理并完成向档案馆的归档工作。④ 本工程在施工过程中如存在多个单位同时作业，承包人必须顾全大局，相互协作，在人员、设备、工序、时间等方面密切配合，严格服从发包人和监理单位的协调指挥；承包人须积极协调单位工程内各分包人的施工，积极协调解决施工过程中存在的各类问题，确保工程顺利进行；承包人应处理好与相邻施工单位的施工接口关系，否则，发包人有权要求承包人整改或另行指定其他单位来完成相关配合工作，其发生的费用从承包人的工程进度款中扣除，并不需要承包人同意；承包人应始终采取各种合理的预防措施，保证正常的施工秩序，保证现场及第三人的财产和人身安全，若在施工现场发生的一切损失赔偿责任，由承包人承担。 </w:t>
      </w:r>
    </w:p>
    <w:p>
      <w:pPr>
        <w:pStyle w:val="15"/>
        <w:tabs>
          <w:tab w:val="left" w:pos="1620"/>
        </w:tabs>
        <w:spacing w:line="500" w:lineRule="exact"/>
        <w:ind w:firstLine="210" w:firstLineChars="1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(10)按计划完成施工任务。</w:t>
      </w:r>
    </w:p>
    <w:p>
      <w:pPr>
        <w:pStyle w:val="8"/>
        <w:spacing w:line="500" w:lineRule="exact"/>
        <w:jc w:val="center"/>
        <w:rPr>
          <w:rFonts w:hint="eastAsia" w:cs="宋体" w:asciiTheme="minorEastAsia" w:hAnsiTheme="minorEastAsia" w:eastAsiaTheme="minorEastAsia"/>
          <w:kern w:val="0"/>
          <w:sz w:val="21"/>
          <w:szCs w:val="21"/>
          <w:lang w:val="en-US" w:eastAsia="zh-CN" w:bidi="ar-SA"/>
        </w:rPr>
      </w:pPr>
      <w:bookmarkStart w:id="18" w:name="_Toc354923121"/>
      <w:bookmarkStart w:id="19" w:name="_Toc329278151"/>
      <w:bookmarkStart w:id="20" w:name="_Toc355649944"/>
      <w:bookmarkStart w:id="21" w:name="_Toc356744036"/>
      <w:bookmarkStart w:id="22" w:name="_Toc354922982"/>
      <w:bookmarkStart w:id="23" w:name="_Toc326060507"/>
      <w:bookmarkStart w:id="24" w:name="_Toc354404031"/>
      <w:bookmarkStart w:id="25" w:name="_Toc357868216"/>
      <w:bookmarkStart w:id="26" w:name="_Toc364457261"/>
      <w:r>
        <w:rPr>
          <w:rFonts w:hint="eastAsia" w:cs="宋体" w:asciiTheme="minorEastAsia" w:hAnsiTheme="minorEastAsia" w:eastAsiaTheme="minorEastAsia"/>
          <w:kern w:val="0"/>
          <w:sz w:val="21"/>
          <w:szCs w:val="21"/>
          <w:lang w:val="en-US" w:eastAsia="zh-CN" w:bidi="ar-SA"/>
        </w:rPr>
        <w:t>三、施工组织设计和工期</w:t>
      </w:r>
      <w:bookmarkEnd w:id="18"/>
      <w:bookmarkEnd w:id="19"/>
      <w:bookmarkEnd w:id="20"/>
      <w:bookmarkEnd w:id="21"/>
      <w:bookmarkEnd w:id="22"/>
      <w:bookmarkEnd w:id="23"/>
      <w:bookmarkEnd w:id="24"/>
      <w:bookmarkEnd w:id="25"/>
      <w:bookmarkEnd w:id="26"/>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8．进度计划</w:t>
      </w:r>
    </w:p>
    <w:p>
      <w:pPr>
        <w:pStyle w:val="15"/>
        <w:spacing w:line="500" w:lineRule="exact"/>
        <w:ind w:left="1012" w:leftChars="258" w:hanging="470" w:hangingChars="22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8．1承包人提供施工组织设计(施工方案)和进度计划的时间：合同开工日期前7天。工程师确认的时间：7个工作日</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8.2群体工程中有关进度计划的要求：    无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8.3如发包人需要调整施工顺序时，承包人应无条件响应，额外发生的费用视为已包含在合同价内。</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9．工期延误</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1双方约定工期顺延的其他情况:1.重大设计变更和经监理工程师及发包人代表确认的情况。2.招标人提供的地下管网，地下构筑物等资料与现场实际情况不符而增加的工期；3.由于自然及社会因素造成的不可抗力原因而影响工程施工时。</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9.2由于承包人的原因造成工期延误，每延迟一天扣除工程款的     ‰。</w:t>
      </w:r>
    </w:p>
    <w:p>
      <w:pPr>
        <w:pStyle w:val="8"/>
        <w:spacing w:line="500" w:lineRule="exact"/>
        <w:jc w:val="center"/>
        <w:rPr>
          <w:rFonts w:hint="eastAsia" w:cs="宋体" w:asciiTheme="minorEastAsia" w:hAnsiTheme="minorEastAsia" w:eastAsiaTheme="minorEastAsia"/>
          <w:kern w:val="0"/>
          <w:sz w:val="21"/>
          <w:szCs w:val="21"/>
          <w:lang w:val="en-US" w:eastAsia="zh-CN" w:bidi="ar-SA"/>
        </w:rPr>
      </w:pPr>
      <w:bookmarkStart w:id="27" w:name="_Toc354404032"/>
      <w:bookmarkStart w:id="28" w:name="_Toc354922983"/>
      <w:bookmarkStart w:id="29" w:name="_Toc354923122"/>
      <w:bookmarkStart w:id="30" w:name="_Toc326060508"/>
      <w:bookmarkStart w:id="31" w:name="_Toc329278152"/>
      <w:bookmarkStart w:id="32" w:name="_Toc357868217"/>
      <w:bookmarkStart w:id="33" w:name="_Toc356744037"/>
      <w:bookmarkStart w:id="34" w:name="_Toc355649945"/>
      <w:bookmarkStart w:id="35" w:name="_Toc364457262"/>
      <w:r>
        <w:rPr>
          <w:rFonts w:hint="eastAsia" w:cs="宋体" w:asciiTheme="minorEastAsia" w:hAnsiTheme="minorEastAsia" w:eastAsiaTheme="minorEastAsia"/>
          <w:kern w:val="0"/>
          <w:sz w:val="21"/>
          <w:szCs w:val="21"/>
          <w:lang w:val="en-US" w:eastAsia="zh-CN" w:bidi="ar-SA"/>
        </w:rPr>
        <w:t>四、质量与验收</w:t>
      </w:r>
      <w:bookmarkEnd w:id="27"/>
      <w:bookmarkEnd w:id="28"/>
      <w:bookmarkEnd w:id="29"/>
      <w:bookmarkEnd w:id="30"/>
      <w:bookmarkEnd w:id="31"/>
      <w:bookmarkEnd w:id="32"/>
      <w:bookmarkEnd w:id="33"/>
      <w:bookmarkEnd w:id="34"/>
      <w:bookmarkEnd w:id="35"/>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10．隐蔽工程验收和执行规范及适用范围</w:t>
      </w:r>
    </w:p>
    <w:p>
      <w:pPr>
        <w:pStyle w:val="15"/>
        <w:numPr>
          <w:ilvl w:val="1"/>
          <w:numId w:val="30"/>
        </w:numPr>
        <w:spacing w:line="500" w:lineRule="exact"/>
        <w:ind w:hanging="27"/>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双方约定隐蔽工程验收部位：按照国家施工及验收规范要求的执行。</w:t>
      </w:r>
    </w:p>
    <w:p>
      <w:p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10.2 适用范围：使用于本项目工程施工。</w:t>
      </w:r>
    </w:p>
    <w:p>
      <w:pPr>
        <w:pStyle w:val="8"/>
        <w:spacing w:line="500" w:lineRule="exact"/>
        <w:jc w:val="center"/>
        <w:rPr>
          <w:rFonts w:hint="eastAsia" w:cs="宋体" w:asciiTheme="minorEastAsia" w:hAnsiTheme="minorEastAsia" w:eastAsiaTheme="minorEastAsia"/>
          <w:kern w:val="0"/>
          <w:sz w:val="21"/>
          <w:szCs w:val="21"/>
          <w:lang w:val="en-US" w:eastAsia="zh-CN" w:bidi="ar-SA"/>
        </w:rPr>
      </w:pPr>
      <w:bookmarkStart w:id="36" w:name="_Toc329278153"/>
      <w:bookmarkStart w:id="37" w:name="_Toc354404033"/>
      <w:bookmarkStart w:id="38" w:name="_Toc364457263"/>
      <w:bookmarkStart w:id="39" w:name="_Toc357868218"/>
      <w:bookmarkStart w:id="40" w:name="_Toc354923123"/>
      <w:bookmarkStart w:id="41" w:name="_Toc355649946"/>
      <w:bookmarkStart w:id="42" w:name="_Toc326060509"/>
      <w:bookmarkStart w:id="43" w:name="_Toc354922984"/>
      <w:bookmarkStart w:id="44" w:name="_Toc356744038"/>
      <w:r>
        <w:rPr>
          <w:rFonts w:hint="eastAsia" w:cs="宋体" w:asciiTheme="minorEastAsia" w:hAnsiTheme="minorEastAsia" w:eastAsiaTheme="minorEastAsia"/>
          <w:kern w:val="0"/>
          <w:sz w:val="21"/>
          <w:szCs w:val="21"/>
          <w:lang w:val="en-US" w:eastAsia="zh-CN" w:bidi="ar-SA"/>
        </w:rPr>
        <w:t>五、安全施工</w:t>
      </w:r>
      <w:bookmarkEnd w:id="36"/>
      <w:bookmarkEnd w:id="37"/>
      <w:bookmarkEnd w:id="38"/>
      <w:bookmarkEnd w:id="39"/>
      <w:bookmarkEnd w:id="40"/>
      <w:bookmarkEnd w:id="41"/>
      <w:bookmarkEnd w:id="42"/>
      <w:bookmarkEnd w:id="43"/>
      <w:bookmarkEnd w:id="44"/>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按合同文本通用条款执行</w:t>
      </w:r>
    </w:p>
    <w:p>
      <w:pPr>
        <w:pStyle w:val="8"/>
        <w:spacing w:line="500" w:lineRule="exact"/>
        <w:jc w:val="center"/>
        <w:rPr>
          <w:rFonts w:hint="eastAsia" w:cs="宋体" w:asciiTheme="minorEastAsia" w:hAnsiTheme="minorEastAsia" w:eastAsiaTheme="minorEastAsia"/>
          <w:kern w:val="0"/>
          <w:sz w:val="21"/>
          <w:szCs w:val="21"/>
          <w:lang w:val="en-US" w:eastAsia="zh-CN" w:bidi="ar-SA"/>
        </w:rPr>
      </w:pPr>
      <w:bookmarkStart w:id="45" w:name="_Toc356744039"/>
      <w:bookmarkStart w:id="46" w:name="_Toc354922985"/>
      <w:bookmarkStart w:id="47" w:name="_Toc354404034"/>
      <w:bookmarkStart w:id="48" w:name="_Toc357868219"/>
      <w:bookmarkStart w:id="49" w:name="_Toc329278154"/>
      <w:bookmarkStart w:id="50" w:name="_Toc326060510"/>
      <w:bookmarkStart w:id="51" w:name="_Toc354923124"/>
      <w:bookmarkStart w:id="52" w:name="_Toc364457264"/>
      <w:bookmarkStart w:id="53" w:name="_Toc355649947"/>
      <w:r>
        <w:rPr>
          <w:rFonts w:hint="eastAsia" w:cs="宋体" w:asciiTheme="minorEastAsia" w:hAnsiTheme="minorEastAsia" w:eastAsiaTheme="minorEastAsia"/>
          <w:kern w:val="0"/>
          <w:sz w:val="21"/>
          <w:szCs w:val="21"/>
          <w:lang w:val="en-US" w:eastAsia="zh-CN" w:bidi="ar-SA"/>
        </w:rPr>
        <w:t>六、合同价款与支付</w:t>
      </w:r>
      <w:bookmarkEnd w:id="45"/>
      <w:bookmarkEnd w:id="46"/>
      <w:bookmarkEnd w:id="47"/>
      <w:bookmarkEnd w:id="48"/>
      <w:bookmarkEnd w:id="49"/>
      <w:bookmarkEnd w:id="50"/>
      <w:bookmarkEnd w:id="51"/>
      <w:bookmarkEnd w:id="52"/>
      <w:bookmarkEnd w:id="53"/>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11．合同价款及调整</w:t>
      </w:r>
    </w:p>
    <w:p>
      <w:pPr>
        <w:pStyle w:val="15"/>
        <w:spacing w:line="360" w:lineRule="auto"/>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11．1本合同价款采用  固定单价  方式确定。措施费用、其他费用中的总包服务费及承包人为施工便利做出的变更及洽商产生的费用不得调整。实际发生的分部分项工程的工程量与招标文件及答疑提供的相应清单工程量增减工程量清单按实核增核减。</w:t>
      </w:r>
    </w:p>
    <w:p>
      <w:pPr>
        <w:pStyle w:val="15"/>
        <w:spacing w:line="360" w:lineRule="auto"/>
        <w:ind w:firstLine="525" w:firstLineChars="25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当发生下列情况时，合同价可作调整：</w:t>
      </w:r>
    </w:p>
    <w:p>
      <w:pPr>
        <w:pStyle w:val="15"/>
        <w:numPr>
          <w:ilvl w:val="2"/>
          <w:numId w:val="31"/>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发包人相应部门签证后报主管领导批准后的工程变更及工程洽商；</w:t>
      </w:r>
    </w:p>
    <w:p>
      <w:pPr>
        <w:pStyle w:val="15"/>
        <w:numPr>
          <w:ilvl w:val="2"/>
          <w:numId w:val="31"/>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暂估价项目、暂估材料设备及发包人指定的产品价在实际发生前由发包人认可后，按实际发生予以调整，仅计取税金；</w:t>
      </w:r>
    </w:p>
    <w:p>
      <w:pPr>
        <w:pStyle w:val="15"/>
        <w:numPr>
          <w:ilvl w:val="2"/>
          <w:numId w:val="31"/>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发包人提供的地下管网、地下构筑物等资料与现场实际情况不符，而引起的工程处理费用增加，据实调整；</w:t>
      </w:r>
    </w:p>
    <w:p>
      <w:pPr>
        <w:pStyle w:val="15"/>
        <w:numPr>
          <w:ilvl w:val="2"/>
          <w:numId w:val="31"/>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法律、行政法规和国家有关政策变化影响合同价款。</w:t>
      </w:r>
    </w:p>
    <w:p>
      <w:pPr>
        <w:pStyle w:val="15"/>
        <w:spacing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11．2合同价款调整原则及方法：</w:t>
      </w:r>
    </w:p>
    <w:p>
      <w:pPr>
        <w:numPr>
          <w:ilvl w:val="0"/>
          <w:numId w:val="32"/>
        </w:num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增减工程量清单按11.1执行；</w:t>
      </w:r>
    </w:p>
    <w:p>
      <w:pPr>
        <w:numPr>
          <w:ilvl w:val="0"/>
          <w:numId w:val="32"/>
        </w:num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除专用合同条款应有约定外，因变更引起的价格调整按照本款约定处理：①已标价工程量清单中有适用于变更工作的子目的，采用该子目的单价；②已标价工程量清单中无适用于变更工作的子目的，但有类似子目的，可在合理范围内参照类似子目的单价，由监理人与承包人商定变更工作的单价后，报发包人审核批准(发包人批准前应由造价部门出具审核意见)；③已标价工程量清单中无适用或类似子目的单价，即新增项目，参照省定额站颁布的施工期间的定额、费用标准、价格信息，由监理人与承包人商定变更工作的单价后，报发包人审核批准(发包人批准前应由造价部门出具审核意见)。以上价格调整均应考虑承包人中标价与投标总价相比的优惠率，以及不予计取的措施费用。</w:t>
      </w:r>
    </w:p>
    <w:p>
      <w:pPr>
        <w:numPr>
          <w:ilvl w:val="0"/>
          <w:numId w:val="32"/>
        </w:num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材料变更时价格确定：①承包人在投标文件中价格明细表已有的材料，按承包人材料价格明细所列的材料单价计算(风险范围以外的，按(5)款确定)；②承包人材料价格明细表中没有的材料，参照许昌市造价办发布的《许昌市建设工程材料基准价格信息》在施工期间发布的材料单价计算；③许昌市造价办发布的《许昌市建设工程材料基准价格信息》没有公布的材料，由承包人提出适当的价格，经发包人确认签字后，予以认可。</w:t>
      </w:r>
    </w:p>
    <w:p>
      <w:pPr>
        <w:pStyle w:val="61"/>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11．3双方约定合同价款的其他调整因素: 双方协商解决。</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12．工程付款</w:t>
      </w:r>
    </w:p>
    <w:p>
      <w:pPr>
        <w:pStyle w:val="15"/>
        <w:spacing w:line="500" w:lineRule="exact"/>
        <w:ind w:firstLine="525" w:firstLineChars="25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12．1工程款的支付方式：采取银行转帐结算的形式，由项目所属单位支付；</w:t>
      </w:r>
    </w:p>
    <w:p>
      <w:pPr>
        <w:pStyle w:val="15"/>
        <w:spacing w:line="500" w:lineRule="exact"/>
        <w:ind w:firstLine="525" w:firstLineChars="25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12．2设计变更和现场经济签证引起的费用在拨付进度款时暂不予考虑。</w:t>
      </w:r>
    </w:p>
    <w:p>
      <w:pPr>
        <w:pStyle w:val="15"/>
        <w:spacing w:line="500" w:lineRule="exact"/>
        <w:ind w:firstLine="577" w:firstLineChars="27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12．3双方约定的工程款(进度款)支付方式： 工程竣工验收之前，可申请已完成工程量的80% ；竣工验收完成后支付至总合同价的80%，在决算报告通过审计后支付至审定金额的95%；剩余5%做为质量保证金，待质保期满后支付。</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13.工程量增减</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因发包人或设计单位提出的设计变更，导致工程内容的任何变化，承包人均须无条件先执行，其工程量增减按实计算、综合单价按本合同专用条款有关规定执行。</w:t>
      </w:r>
    </w:p>
    <w:p>
      <w:pPr>
        <w:spacing w:line="500" w:lineRule="exact"/>
        <w:ind w:firstLine="499" w:firstLineChars="238"/>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14. 投标报价</w:t>
      </w:r>
    </w:p>
    <w:p>
      <w:pPr>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14.1 投标报价应包括招标文件所确定的招标范围内相应图纸的全部内容，以及为完成上述内容所必须的临时工程、材料、劳务及所需的全部费用；</w:t>
      </w:r>
    </w:p>
    <w:p>
      <w:p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14.2 投标人应充分考虑施工期间政策和价格风险，以及所有根据合同或其它原因应由投标人支付的税金和其它应交纳的费用一并计入总报价，中标后不作调整；</w:t>
      </w:r>
    </w:p>
    <w:p>
      <w:pPr>
        <w:adjustRightInd w:val="0"/>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14.3 投标人只能提出一个不变价格，招标人不接受任何选择价。</w:t>
      </w:r>
    </w:p>
    <w:p>
      <w:pPr>
        <w:pStyle w:val="8"/>
        <w:spacing w:line="500" w:lineRule="exact"/>
        <w:jc w:val="center"/>
        <w:rPr>
          <w:rFonts w:hint="eastAsia" w:cs="宋体" w:asciiTheme="minorEastAsia" w:hAnsiTheme="minorEastAsia" w:eastAsiaTheme="minorEastAsia"/>
          <w:kern w:val="0"/>
          <w:sz w:val="21"/>
          <w:szCs w:val="21"/>
          <w:lang w:val="en-US" w:eastAsia="zh-CN" w:bidi="ar-SA"/>
        </w:rPr>
      </w:pPr>
      <w:bookmarkStart w:id="54" w:name="_Toc356744040"/>
      <w:bookmarkStart w:id="55" w:name="_Toc326060511"/>
      <w:bookmarkStart w:id="56" w:name="_Toc357868220"/>
      <w:bookmarkStart w:id="57" w:name="_Toc354922986"/>
      <w:bookmarkStart w:id="58" w:name="_Toc364457265"/>
      <w:bookmarkStart w:id="59" w:name="_Toc354923125"/>
      <w:bookmarkStart w:id="60" w:name="_Toc354404035"/>
      <w:bookmarkStart w:id="61" w:name="_Toc329278155"/>
      <w:bookmarkStart w:id="62" w:name="_Toc355649948"/>
      <w:r>
        <w:rPr>
          <w:rFonts w:hint="eastAsia" w:cs="宋体" w:asciiTheme="minorEastAsia" w:hAnsiTheme="minorEastAsia" w:eastAsiaTheme="minorEastAsia"/>
          <w:kern w:val="0"/>
          <w:sz w:val="21"/>
          <w:szCs w:val="21"/>
          <w:lang w:val="en-US" w:eastAsia="zh-CN" w:bidi="ar-SA"/>
        </w:rPr>
        <w:t>七、竣工验收与结算</w:t>
      </w:r>
      <w:bookmarkEnd w:id="54"/>
      <w:bookmarkEnd w:id="55"/>
      <w:bookmarkEnd w:id="56"/>
      <w:bookmarkEnd w:id="57"/>
      <w:bookmarkEnd w:id="58"/>
      <w:bookmarkEnd w:id="59"/>
      <w:bookmarkEnd w:id="60"/>
      <w:bookmarkEnd w:id="61"/>
      <w:bookmarkEnd w:id="62"/>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15．竣工验收</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15．1承包人提供竣工图的约定：        (待定)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15．2中间交工工程的范围和竣工时间：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15．3竣工结算：审减金额超过报审金额10%时，超过部分审计费用由施工单位承担，并承担一定的违约责任。</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p>
    <w:p>
      <w:pPr>
        <w:pStyle w:val="8"/>
        <w:spacing w:line="500" w:lineRule="exact"/>
        <w:jc w:val="center"/>
        <w:rPr>
          <w:rFonts w:hint="eastAsia" w:cs="宋体" w:asciiTheme="minorEastAsia" w:hAnsiTheme="minorEastAsia" w:eastAsiaTheme="minorEastAsia"/>
          <w:kern w:val="0"/>
          <w:sz w:val="21"/>
          <w:szCs w:val="21"/>
          <w:lang w:val="en-US" w:eastAsia="zh-CN" w:bidi="ar-SA"/>
        </w:rPr>
      </w:pPr>
      <w:bookmarkStart w:id="63" w:name="_Toc354922987"/>
      <w:bookmarkStart w:id="64" w:name="_Toc354923126"/>
      <w:bookmarkStart w:id="65" w:name="_Toc326060512"/>
      <w:bookmarkStart w:id="66" w:name="_Toc354404036"/>
      <w:bookmarkStart w:id="67" w:name="_Toc329278156"/>
      <w:bookmarkStart w:id="68" w:name="_Toc364457266"/>
      <w:bookmarkStart w:id="69" w:name="_Toc356744041"/>
      <w:bookmarkStart w:id="70" w:name="_Toc355649949"/>
      <w:bookmarkStart w:id="71" w:name="_Toc357868221"/>
      <w:r>
        <w:rPr>
          <w:rFonts w:hint="eastAsia" w:cs="宋体" w:asciiTheme="minorEastAsia" w:hAnsiTheme="minorEastAsia" w:eastAsiaTheme="minorEastAsia"/>
          <w:kern w:val="0"/>
          <w:sz w:val="21"/>
          <w:szCs w:val="21"/>
          <w:lang w:val="en-US" w:eastAsia="zh-CN" w:bidi="ar-SA"/>
        </w:rPr>
        <w:t>八、违约、索赔和争议</w:t>
      </w:r>
      <w:bookmarkEnd w:id="63"/>
      <w:bookmarkEnd w:id="64"/>
      <w:bookmarkEnd w:id="65"/>
      <w:bookmarkEnd w:id="66"/>
      <w:bookmarkEnd w:id="67"/>
      <w:bookmarkEnd w:id="68"/>
      <w:bookmarkEnd w:id="69"/>
      <w:bookmarkEnd w:id="70"/>
      <w:bookmarkEnd w:id="71"/>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16．违约</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16．1本合同中关于发包人违约的具体责任如下，</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本合同通用条款第24条约定发包人违约应承担的违约责任：甲方根据实际情况决定采取处罚措施。</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本合同通用条款第26.4款约定发包人违约应承担的违约责任:     //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本合同通用条款第33.3款约定发包人违约应承担的违约责任:     //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双方约定的发包人其他违约责任: 见补充条款。</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16．2本合同中关于承包人违约的具体责任如下:</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本合同通用条款第14.2款约定承包人违约承担的违约责任:  (待定)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本合同通用条款第15.1款约定承包人违约应承担的违约责任:  (待定)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双方约定的承包人其他违约责任:   (待定)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17．争议</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17．1双方约定，在履行合同过程中产生争议时:</w:t>
      </w:r>
    </w:p>
    <w:p>
      <w:pPr>
        <w:pStyle w:val="15"/>
        <w:numPr>
          <w:ilvl w:val="0"/>
          <w:numId w:val="33"/>
        </w:numPr>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双方本着友好协商方式解决。</w:t>
      </w:r>
    </w:p>
    <w:p>
      <w:pPr>
        <w:pStyle w:val="15"/>
        <w:numPr>
          <w:ilvl w:val="0"/>
          <w:numId w:val="33"/>
        </w:numPr>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协商不成的，向  工程所在地  人民法院提起诉讼。</w:t>
      </w:r>
    </w:p>
    <w:p>
      <w:pPr>
        <w:pStyle w:val="8"/>
        <w:spacing w:line="500" w:lineRule="exact"/>
        <w:jc w:val="center"/>
        <w:rPr>
          <w:rFonts w:hint="eastAsia" w:cs="宋体" w:asciiTheme="minorEastAsia" w:hAnsiTheme="minorEastAsia" w:eastAsiaTheme="minorEastAsia"/>
          <w:kern w:val="0"/>
          <w:sz w:val="21"/>
          <w:szCs w:val="21"/>
          <w:lang w:val="en-US" w:eastAsia="zh-CN" w:bidi="ar-SA"/>
        </w:rPr>
      </w:pPr>
      <w:bookmarkStart w:id="72" w:name="_Toc364457267"/>
      <w:bookmarkStart w:id="73" w:name="_Toc357868222"/>
      <w:bookmarkStart w:id="74" w:name="_Toc354923127"/>
      <w:bookmarkStart w:id="75" w:name="_Toc354922988"/>
      <w:bookmarkStart w:id="76" w:name="_Toc355649950"/>
      <w:bookmarkStart w:id="77" w:name="_Toc354404037"/>
      <w:bookmarkStart w:id="78" w:name="_Toc356744042"/>
      <w:bookmarkStart w:id="79" w:name="_Toc326060513"/>
      <w:bookmarkStart w:id="80" w:name="_Toc329278157"/>
      <w:r>
        <w:rPr>
          <w:rFonts w:hint="eastAsia" w:cs="宋体" w:asciiTheme="minorEastAsia" w:hAnsiTheme="minorEastAsia" w:eastAsiaTheme="minorEastAsia"/>
          <w:kern w:val="0"/>
          <w:sz w:val="21"/>
          <w:szCs w:val="21"/>
          <w:lang w:val="en-US" w:eastAsia="zh-CN" w:bidi="ar-SA"/>
        </w:rPr>
        <w:t>九、其他</w:t>
      </w:r>
      <w:bookmarkEnd w:id="72"/>
      <w:bookmarkEnd w:id="73"/>
      <w:bookmarkEnd w:id="74"/>
      <w:bookmarkEnd w:id="75"/>
      <w:bookmarkEnd w:id="76"/>
      <w:bookmarkEnd w:id="77"/>
      <w:bookmarkEnd w:id="78"/>
      <w:bookmarkEnd w:id="79"/>
      <w:bookmarkEnd w:id="80"/>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18．工程分包</w:t>
      </w:r>
    </w:p>
    <w:p>
      <w:pPr>
        <w:pStyle w:val="5"/>
        <w:spacing w:line="500" w:lineRule="exact"/>
        <w:ind w:left="680"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18．1本工程主体工程不允许分包。其他配套专业若确需分包，分包商须经得发包人同意。</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19．不可抗力</w:t>
      </w:r>
    </w:p>
    <w:p>
      <w:pPr>
        <w:pStyle w:val="5"/>
        <w:spacing w:line="500" w:lineRule="exact"/>
        <w:ind w:left="680"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19．1双方关于不可抗力的约定:  所发生的工期相应顺延，但涉及的费用根据国家有关规定由双方分担。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20．保险</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20．1本工程双方约定投保内容如下:</w:t>
      </w:r>
    </w:p>
    <w:p>
      <w:pPr>
        <w:pStyle w:val="15"/>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(l)发包人投保内容:      无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发包人委托承包人办理的保险事项:    无          </w:t>
      </w:r>
    </w:p>
    <w:p>
      <w:pPr>
        <w:pStyle w:val="15"/>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(2)承包人投保内容:       无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21．担保</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21．1本工程双方约定担保事项如下:</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(l)发包人向承包人提供履约担保，担保方式为:    (待定)     担保合同作为本合同附件。</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(2)承包人向发包人提供履约担保，担保方式为:   中标人在接到中标通知书后10日内，按中标价的5%交纳履约保证金，以转账或电汇交纳至到招标人指定账户。    </w:t>
      </w:r>
    </w:p>
    <w:p>
      <w:pPr>
        <w:pStyle w:val="15"/>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(3)双方约定的其他担保事项:               (待定)                          </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22．合同份数</w:t>
      </w:r>
    </w:p>
    <w:p>
      <w:pPr>
        <w:pStyle w:val="15"/>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22．1双方约定合同副本份数:正本2份，副本4份</w:t>
      </w:r>
    </w:p>
    <w:p>
      <w:pPr>
        <w:pStyle w:val="15"/>
        <w:spacing w:line="500" w:lineRule="exact"/>
        <w:ind w:firstLine="470" w:firstLineChars="22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23．补充条款</w:t>
      </w:r>
    </w:p>
    <w:p>
      <w:pPr>
        <w:pStyle w:val="15"/>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审减金额超过报审金额10%时，超过部分审计费用由施工单位承担，并承担一定的违约责任。</w:t>
      </w:r>
    </w:p>
    <w:p>
      <w:pPr>
        <w:spacing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24．其他未尽事宜由双方协商后确定：</w:t>
      </w:r>
    </w:p>
    <w:p>
      <w:pPr>
        <w:spacing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(1)若承包方未达到双方约定的工程质量要求，承担其由此产生的一切责任。</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(2)经甲乙双方签字盖章后方可生效。</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spacing w:line="360" w:lineRule="auto"/>
        <w:jc w:val="center"/>
        <w:outlineLvl w:val="1"/>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br w:type="page"/>
      </w:r>
    </w:p>
    <w:p>
      <w:pPr>
        <w:spacing w:line="440" w:lineRule="exact"/>
        <w:ind w:firstLine="482" w:firstLineChars="200"/>
        <w:jc w:val="center"/>
        <w:rPr>
          <w:rFonts w:hint="eastAsia" w:ascii="仿宋" w:hAnsi="仿宋" w:eastAsia="仿宋"/>
          <w:b/>
          <w:sz w:val="24"/>
          <w:szCs w:val="24"/>
        </w:rPr>
      </w:pPr>
      <w:r>
        <w:rPr>
          <w:rFonts w:hint="eastAsia" w:ascii="仿宋" w:hAnsi="仿宋" w:eastAsia="仿宋"/>
          <w:b/>
          <w:sz w:val="24"/>
          <w:szCs w:val="24"/>
        </w:rPr>
        <w:t>合同协议书</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(发包人名称，以下简称“发包人” )为实施           (项目名称)，己接受                  (承包人名称，以下简称“承包人” )对该项目工程施工的投标。发包人和承包人共同达成如下协议。</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1．本协议书与下列文件一起构成合同文件：</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(l)中标通知书；</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(2)投标函及投标函附录；</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(3)专用合同条款；</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(4)通用合同条款；</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(5)技术标准和要求；</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 已标价的工程量清单；</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(7)图纸；</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(8)其他合同文件。</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2．上述文件互相补充和解释，如有不明确或不一致之处，以合同约定次序在先者为准。</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3．签约合同价：人民币(大写)                元(￥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4．承包人项目经理(建造师)：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5．工程质量符合                     标准。</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6．承包人承诺按合同约定承担工程的实施、完成及缺陷修复。</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7．发包人承诺按合同约定的条件、时间和方式向承包人支付合同价款。</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8．承包人应按照监理人指示开工，工期为      日历天。</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9．本协议书一式     份，合同双方各执      份。</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10.双方签字盖章后生效。</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11．合同未尽事宜，双方另行签订补充协议。补充协议是合同的组成部分。</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发包人：             (单位盖章)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法定代表人或其委托代理人：     (签字)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承包人：             (单位盖章)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法定代表人或其委托代理人：     (签字)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pStyle w:val="15"/>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黑体" w:asciiTheme="minorEastAsia" w:hAnsiTheme="minorEastAsia"/>
          <w:b/>
          <w:bCs/>
          <w:sz w:val="44"/>
          <w:szCs w:val="44"/>
          <w:lang w:val="zh-CN"/>
        </w:rPr>
      </w:pPr>
      <w:r>
        <w:rPr>
          <w:rFonts w:hint="eastAsia" w:cs="宋体" w:asciiTheme="majorEastAsia" w:hAnsiTheme="majorEastAsia" w:eastAsiaTheme="majorEastAsia"/>
          <w:b/>
          <w:kern w:val="0"/>
          <w:sz w:val="32"/>
          <w:szCs w:val="32"/>
        </w:rPr>
        <w:t>第八章 响应文件有关格式</w:t>
      </w: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pStyle w:val="54"/>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r>
        <w:rPr>
          <w:rFonts w:hint="eastAsia" w:cs="黑体" w:asciiTheme="minorEastAsia" w:hAnsiTheme="minorEastAsia" w:eastAsiaTheme="minorEastAsia"/>
          <w:color w:val="auto"/>
          <w:kern w:val="2"/>
          <w:sz w:val="28"/>
          <w:szCs w:val="28"/>
          <w:lang w:val="zh-CN"/>
        </w:rPr>
        <w:t>一、投标人应答索引表</w:t>
      </w:r>
    </w:p>
    <w:tbl>
      <w:tblPr>
        <w:tblStyle w:val="23"/>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774"/>
        <w:gridCol w:w="284"/>
        <w:gridCol w:w="425"/>
        <w:gridCol w:w="2268"/>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gridSpan w:val="4"/>
            <w:vAlign w:val="center"/>
          </w:tcPr>
          <w:p>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投标人应答</w:t>
            </w:r>
          </w:p>
          <w:p>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201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供应商应答索引表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w:t>
            </w:r>
          </w:p>
        </w:tc>
        <w:tc>
          <w:tcPr>
            <w:tcW w:w="3751" w:type="dxa"/>
            <w:gridSpan w:val="4"/>
            <w:vAlign w:val="center"/>
          </w:tcPr>
          <w:p>
            <w:pPr>
              <w:pStyle w:val="15"/>
              <w:kinsoku w:val="0"/>
              <w:overflowPunct w:val="0"/>
              <w:autoSpaceDE w:val="0"/>
              <w:autoSpaceDN w:val="0"/>
              <w:spacing w:line="320" w:lineRule="exact"/>
              <w:rPr>
                <w:rFonts w:hAnsi="宋体"/>
                <w:kern w:val="0"/>
                <w:sz w:val="21"/>
                <w:szCs w:val="21"/>
              </w:rPr>
            </w:pPr>
            <w:r>
              <w:rPr>
                <w:rFonts w:hint="eastAsia" w:hAnsi="宋体"/>
                <w:kern w:val="0"/>
                <w:sz w:val="21"/>
                <w:szCs w:val="21"/>
              </w:rPr>
              <w:t>报价一览表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投标函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4</w:t>
            </w:r>
          </w:p>
        </w:tc>
        <w:tc>
          <w:tcPr>
            <w:tcW w:w="3751" w:type="dxa"/>
            <w:gridSpan w:val="4"/>
            <w:vAlign w:val="center"/>
          </w:tcPr>
          <w:p>
            <w:pPr>
              <w:pStyle w:val="15"/>
              <w:kinsoku w:val="0"/>
              <w:overflowPunct w:val="0"/>
              <w:autoSpaceDE w:val="0"/>
              <w:autoSpaceDN w:val="0"/>
              <w:spacing w:line="320" w:lineRule="exact"/>
              <w:rPr>
                <w:rFonts w:hAnsi="宋体"/>
                <w:kern w:val="0"/>
                <w:sz w:val="21"/>
                <w:szCs w:val="21"/>
              </w:rPr>
            </w:pPr>
            <w:r>
              <w:rPr>
                <w:rFonts w:hint="eastAsia" w:asciiTheme="majorEastAsia" w:hAnsiTheme="majorEastAsia" w:eastAsiaTheme="majorEastAsia" w:cstheme="majorEastAsia"/>
                <w:bCs/>
                <w:sz w:val="21"/>
                <w:szCs w:val="21"/>
                <w:lang w:val="zh-CN"/>
              </w:rPr>
              <w:t>法定代表人（单位负责人）</w:t>
            </w:r>
            <w:r>
              <w:rPr>
                <w:rFonts w:asciiTheme="majorEastAsia" w:hAnsiTheme="majorEastAsia" w:eastAsiaTheme="majorEastAsia" w:cstheme="majorEastAsia"/>
                <w:bCs/>
                <w:sz w:val="21"/>
                <w:szCs w:val="21"/>
                <w:lang w:val="zh-CN"/>
              </w:rPr>
              <w:t>资</w:t>
            </w:r>
            <w:r>
              <w:rPr>
                <w:rFonts w:hint="eastAsia" w:asciiTheme="majorEastAsia" w:hAnsiTheme="majorEastAsia" w:eastAsiaTheme="majorEastAsia" w:cstheme="majorEastAsia"/>
                <w:bCs/>
                <w:sz w:val="21"/>
                <w:szCs w:val="21"/>
                <w:lang w:val="zh-CN"/>
              </w:rPr>
              <w:t>格</w:t>
            </w:r>
            <w:r>
              <w:rPr>
                <w:rFonts w:asciiTheme="majorEastAsia" w:hAnsiTheme="majorEastAsia" w:eastAsiaTheme="majorEastAsia" w:cstheme="majorEastAsia"/>
                <w:bCs/>
                <w:sz w:val="21"/>
                <w:szCs w:val="21"/>
                <w:lang w:val="zh-CN"/>
              </w:rPr>
              <w:t>证</w:t>
            </w:r>
            <w:r>
              <w:rPr>
                <w:rFonts w:hint="eastAsia" w:asciiTheme="majorEastAsia" w:hAnsiTheme="majorEastAsia" w:eastAsiaTheme="majorEastAsia" w:cstheme="majorEastAsia"/>
                <w:bCs/>
                <w:sz w:val="21"/>
                <w:szCs w:val="21"/>
                <w:lang w:val="zh-CN"/>
              </w:rPr>
              <w:t>明</w:t>
            </w:r>
            <w:r>
              <w:rPr>
                <w:rFonts w:asciiTheme="majorEastAsia" w:hAnsiTheme="majorEastAsia" w:eastAsiaTheme="majorEastAsia" w:cstheme="majorEastAsia"/>
                <w:bCs/>
                <w:sz w:val="21"/>
                <w:szCs w:val="21"/>
                <w:lang w:val="zh-CN"/>
              </w:rPr>
              <w:t>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5</w:t>
            </w:r>
          </w:p>
        </w:tc>
        <w:tc>
          <w:tcPr>
            <w:tcW w:w="3751" w:type="dxa"/>
            <w:gridSpan w:val="4"/>
            <w:vAlign w:val="center"/>
          </w:tcPr>
          <w:p>
            <w:pPr>
              <w:pStyle w:val="15"/>
              <w:kinsoku w:val="0"/>
              <w:overflowPunct w:val="0"/>
              <w:autoSpaceDE w:val="0"/>
              <w:autoSpaceDN w:val="0"/>
              <w:spacing w:line="320" w:lineRule="exact"/>
              <w:rPr>
                <w:rFonts w:hAnsi="宋体"/>
                <w:kern w:val="0"/>
                <w:sz w:val="21"/>
                <w:szCs w:val="21"/>
              </w:rPr>
            </w:pPr>
            <w:r>
              <w:rPr>
                <w:rFonts w:hint="eastAsia" w:hAnsi="宋体"/>
                <w:kern w:val="0"/>
                <w:sz w:val="21"/>
                <w:szCs w:val="21"/>
              </w:rPr>
              <w:t>法定代表人（单位负责人）授权书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6</w:t>
            </w:r>
          </w:p>
        </w:tc>
        <w:tc>
          <w:tcPr>
            <w:tcW w:w="3751" w:type="dxa"/>
            <w:gridSpan w:val="4"/>
            <w:vAlign w:val="center"/>
          </w:tcPr>
          <w:p>
            <w:pPr>
              <w:pStyle w:val="15"/>
              <w:kinsoku w:val="0"/>
              <w:overflowPunct w:val="0"/>
              <w:autoSpaceDE w:val="0"/>
              <w:autoSpaceDN w:val="0"/>
              <w:spacing w:line="320" w:lineRule="exact"/>
              <w:rPr>
                <w:rFonts w:hAnsi="宋体"/>
                <w:kern w:val="0"/>
                <w:sz w:val="21"/>
                <w:szCs w:val="21"/>
              </w:rPr>
            </w:pPr>
            <w:r>
              <w:rPr>
                <w:rFonts w:hint="eastAsia" w:hAnsi="宋体"/>
                <w:kern w:val="0"/>
                <w:sz w:val="21"/>
                <w:szCs w:val="21"/>
              </w:rPr>
              <w:t>营业执照等证明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7</w:t>
            </w:r>
          </w:p>
        </w:tc>
        <w:tc>
          <w:tcPr>
            <w:tcW w:w="3751" w:type="dxa"/>
            <w:gridSpan w:val="4"/>
            <w:vAlign w:val="center"/>
          </w:tcPr>
          <w:p>
            <w:pPr>
              <w:pStyle w:val="15"/>
              <w:kinsoku w:val="0"/>
              <w:overflowPunct w:val="0"/>
              <w:autoSpaceDE w:val="0"/>
              <w:autoSpaceDN w:val="0"/>
              <w:spacing w:line="320" w:lineRule="exact"/>
              <w:rPr>
                <w:rFonts w:hAnsi="宋体"/>
                <w:kern w:val="0"/>
                <w:sz w:val="21"/>
                <w:szCs w:val="21"/>
              </w:rPr>
            </w:pPr>
            <w:r>
              <w:rPr>
                <w:rFonts w:hint="eastAsia" w:asciiTheme="minorEastAsia" w:hAnsiTheme="minorEastAsia"/>
                <w:bCs/>
                <w:sz w:val="21"/>
                <w:szCs w:val="21"/>
              </w:rPr>
              <w:t>依法纳税凭据复印件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8</w:t>
            </w:r>
          </w:p>
        </w:tc>
        <w:tc>
          <w:tcPr>
            <w:tcW w:w="774" w:type="dxa"/>
            <w:vMerge w:val="restart"/>
            <w:tcBorders>
              <w:right w:val="single" w:color="auto" w:sz="4"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财务状况报告</w:t>
            </w:r>
          </w:p>
        </w:tc>
        <w:tc>
          <w:tcPr>
            <w:tcW w:w="709" w:type="dxa"/>
            <w:gridSpan w:val="2"/>
            <w:vMerge w:val="restart"/>
            <w:tcBorders>
              <w:left w:val="single" w:color="auto" w:sz="4" w:space="0"/>
              <w:righ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经审计财务报告</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资产负债表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利润表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现金流量表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所有者权益变动表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附注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基本开户银行资信证明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政府采购投标担保函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9</w:t>
            </w:r>
          </w:p>
        </w:tc>
        <w:tc>
          <w:tcPr>
            <w:tcW w:w="3751" w:type="dxa"/>
            <w:gridSpan w:val="4"/>
            <w:vAlign w:val="center"/>
          </w:tcPr>
          <w:p>
            <w:pPr>
              <w:snapToGrid w:val="0"/>
              <w:spacing w:line="400" w:lineRule="exact"/>
              <w:rPr>
                <w:rFonts w:ascii="宋体" w:hAnsi="宋体" w:cs="微软雅黑"/>
                <w:szCs w:val="21"/>
              </w:rPr>
            </w:pPr>
            <w:r>
              <w:rPr>
                <w:rFonts w:hint="eastAsia" w:asciiTheme="minorEastAsia" w:hAnsiTheme="minorEastAsia"/>
                <w:bCs/>
                <w:szCs w:val="21"/>
              </w:rPr>
              <w:t>依法缴纳社会保险凭据复印件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10</w:t>
            </w:r>
          </w:p>
        </w:tc>
        <w:tc>
          <w:tcPr>
            <w:tcW w:w="774" w:type="dxa"/>
            <w:vMerge w:val="restart"/>
            <w:tcBorders>
              <w:right w:val="single" w:color="auto" w:sz="6"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履行合同能力</w:t>
            </w:r>
          </w:p>
        </w:tc>
        <w:tc>
          <w:tcPr>
            <w:tcW w:w="709" w:type="dxa"/>
            <w:gridSpan w:val="2"/>
            <w:vMerge w:val="restart"/>
            <w:tcBorders>
              <w:left w:val="single" w:color="auto" w:sz="6" w:space="0"/>
              <w:right w:val="single" w:color="auto" w:sz="6" w:space="0"/>
            </w:tcBorders>
            <w:vAlign w:val="center"/>
          </w:tcPr>
          <w:p>
            <w:pPr>
              <w:snapToGrid w:val="0"/>
              <w:spacing w:line="400" w:lineRule="exact"/>
              <w:jc w:val="left"/>
              <w:rPr>
                <w:rFonts w:ascii="宋体" w:hAnsi="宋体" w:cs="微软雅黑"/>
                <w:szCs w:val="21"/>
              </w:rPr>
            </w:pPr>
            <w:r>
              <w:rPr>
                <w:rFonts w:hint="eastAsia" w:ascii="宋体" w:hAnsi="宋体" w:cs="微软雅黑"/>
                <w:szCs w:val="21"/>
              </w:rPr>
              <w:t>证明材料</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设备购置发票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3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5"/>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5"/>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技术人员职称证书</w:t>
            </w:r>
          </w:p>
        </w:tc>
        <w:tc>
          <w:tcPr>
            <w:tcW w:w="1559" w:type="dxa"/>
            <w:vAlign w:val="center"/>
          </w:tcPr>
          <w:p>
            <w:pPr>
              <w:pStyle w:val="15"/>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5"/>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3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5"/>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5"/>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用工合同</w:t>
            </w:r>
          </w:p>
        </w:tc>
        <w:tc>
          <w:tcPr>
            <w:tcW w:w="1559" w:type="dxa"/>
            <w:vAlign w:val="center"/>
          </w:tcPr>
          <w:p>
            <w:pPr>
              <w:pStyle w:val="15"/>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5"/>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34"/>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5"/>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color="auto" w:sz="6" w:space="0"/>
            </w:tcBorders>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asciiTheme="minorEastAsia" w:hAnsiTheme="minorEastAsia"/>
                <w:bCs/>
                <w:sz w:val="21"/>
                <w:szCs w:val="21"/>
              </w:rPr>
              <w:t>供应商相关承诺函或声明</w:t>
            </w:r>
          </w:p>
        </w:tc>
        <w:tc>
          <w:tcPr>
            <w:tcW w:w="1559" w:type="dxa"/>
            <w:vAlign w:val="center"/>
          </w:tcPr>
          <w:p>
            <w:pPr>
              <w:pStyle w:val="15"/>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没有重大违法记录的声明</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gridSpan w:val="4"/>
            <w:vAlign w:val="center"/>
          </w:tcPr>
          <w:p>
            <w:pPr>
              <w:pStyle w:val="15"/>
              <w:kinsoku w:val="0"/>
              <w:overflowPunct w:val="0"/>
              <w:autoSpaceDE w:val="0"/>
              <w:autoSpaceDN w:val="0"/>
              <w:spacing w:line="320" w:lineRule="exact"/>
              <w:rPr>
                <w:rFonts w:hAnsi="宋体"/>
                <w:kern w:val="0"/>
                <w:sz w:val="21"/>
                <w:szCs w:val="21"/>
              </w:rPr>
            </w:pPr>
            <w:r>
              <w:rPr>
                <w:rFonts w:hint="eastAsia" w:hAnsi="宋体" w:cs="微软雅黑"/>
                <w:bCs/>
                <w:kern w:val="0"/>
                <w:sz w:val="21"/>
                <w:szCs w:val="21"/>
              </w:rPr>
              <w:t>供应商须具备的特殊资质证书</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投标承诺函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14</w:t>
            </w:r>
          </w:p>
        </w:tc>
        <w:tc>
          <w:tcPr>
            <w:tcW w:w="3751" w:type="dxa"/>
            <w:gridSpan w:val="4"/>
            <w:vAlign w:val="center"/>
          </w:tcPr>
          <w:p>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联合体协议</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15</w:t>
            </w:r>
          </w:p>
        </w:tc>
        <w:tc>
          <w:tcPr>
            <w:tcW w:w="3751" w:type="dxa"/>
            <w:gridSpan w:val="4"/>
            <w:vAlign w:val="center"/>
          </w:tcPr>
          <w:p>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供应商与参加本项目投标的其他供应商之间，单位负责人不为同一人并且不存在直接控股、管理关系承诺函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16</w:t>
            </w:r>
          </w:p>
        </w:tc>
        <w:tc>
          <w:tcPr>
            <w:tcW w:w="3751" w:type="dxa"/>
            <w:gridSpan w:val="4"/>
            <w:vAlign w:val="center"/>
          </w:tcPr>
          <w:p>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仿宋_GB2312" w:asciiTheme="minorEastAsia" w:hAnsiTheme="minorEastAsia"/>
                <w:sz w:val="21"/>
                <w:szCs w:val="21"/>
                <w:lang w:val="zh-CN"/>
              </w:rPr>
              <w:t>供应商未为本项目提供整体设计、规范编制或者项目管理、监理、检测等服务承诺函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gridSpan w:val="4"/>
            <w:tcBorders>
              <w:top w:val="double" w:color="auto" w:sz="4" w:space="0"/>
            </w:tcBorders>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投标分项报价表</w:t>
            </w:r>
          </w:p>
        </w:tc>
        <w:tc>
          <w:tcPr>
            <w:tcW w:w="1559" w:type="dxa"/>
            <w:tcBorders>
              <w:top w:val="double" w:color="auto" w:sz="4" w:space="0"/>
            </w:tcBorders>
            <w:vAlign w:val="center"/>
          </w:tcPr>
          <w:p>
            <w:pPr>
              <w:jc w:val="center"/>
              <w:rPr>
                <w:szCs w:val="21"/>
              </w:rPr>
            </w:pPr>
          </w:p>
        </w:tc>
        <w:tc>
          <w:tcPr>
            <w:tcW w:w="1560" w:type="dxa"/>
            <w:tcBorders>
              <w:top w:val="double" w:color="auto" w:sz="4" w:space="0"/>
            </w:tcBorders>
            <w:vAlign w:val="center"/>
          </w:tcPr>
          <w:p>
            <w:pPr>
              <w:snapToGrid w:val="0"/>
              <w:spacing w:line="400" w:lineRule="exact"/>
              <w:rPr>
                <w:rFonts w:ascii="宋体" w:hAnsi="宋体" w:cs="微软雅黑"/>
                <w:szCs w:val="21"/>
              </w:rPr>
            </w:pPr>
          </w:p>
        </w:tc>
        <w:tc>
          <w:tcPr>
            <w:tcW w:w="2018" w:type="dxa"/>
            <w:tcBorders>
              <w:top w:val="doub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技术规格偏离表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技术方案（实施方案）</w:t>
            </w:r>
          </w:p>
        </w:tc>
        <w:tc>
          <w:tcPr>
            <w:tcW w:w="1559" w:type="dxa"/>
            <w:vAlign w:val="center"/>
          </w:tcPr>
          <w:p>
            <w:pPr>
              <w:jc w:val="center"/>
              <w:rPr>
                <w:szCs w:val="21"/>
              </w:rPr>
            </w:pPr>
          </w:p>
        </w:tc>
        <w:tc>
          <w:tcPr>
            <w:tcW w:w="1560" w:type="dxa"/>
            <w:tcBorders>
              <w:top w:val="single" w:color="auto" w:sz="4" w:space="0"/>
            </w:tcBorders>
            <w:vAlign w:val="center"/>
          </w:tcPr>
          <w:p>
            <w:pPr>
              <w:snapToGrid w:val="0"/>
              <w:spacing w:line="400" w:lineRule="exact"/>
              <w:rPr>
                <w:rFonts w:ascii="宋体" w:hAnsi="宋体" w:cs="微软雅黑"/>
                <w:szCs w:val="21"/>
              </w:rPr>
            </w:pPr>
          </w:p>
        </w:tc>
        <w:tc>
          <w:tcPr>
            <w:tcW w:w="2018" w:type="dxa"/>
            <w:tcBorders>
              <w:top w:val="sing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22</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23</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cs="仿宋_GB2312" w:asciiTheme="minorEastAsia" w:hAnsiTheme="minorEastAsia" w:eastAsiaTheme="minorEastAsia"/>
                <w:sz w:val="21"/>
                <w:szCs w:val="21"/>
                <w:lang w:val="zh-CN"/>
              </w:rPr>
              <w:t>残疾人福利性单位声明函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24</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089"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25</w:t>
            </w:r>
          </w:p>
        </w:tc>
        <w:tc>
          <w:tcPr>
            <w:tcW w:w="1058" w:type="dxa"/>
            <w:gridSpan w:val="2"/>
            <w:tcBorders>
              <w:right w:val="single" w:color="auto" w:sz="4" w:space="0"/>
            </w:tcBorders>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CCC强制性产品认证</w:t>
            </w:r>
          </w:p>
        </w:tc>
        <w:tc>
          <w:tcPr>
            <w:tcW w:w="2693" w:type="dxa"/>
            <w:gridSpan w:val="2"/>
            <w:tcBorders>
              <w:left w:val="single" w:color="auto" w:sz="4" w:space="0"/>
            </w:tcBorders>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所投产品符合国家强制性要求承诺函</w:t>
            </w:r>
          </w:p>
        </w:tc>
        <w:tc>
          <w:tcPr>
            <w:tcW w:w="1559" w:type="dxa"/>
            <w:vAlign w:val="center"/>
          </w:tcPr>
          <w:p>
            <w:pPr>
              <w:pStyle w:val="15"/>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26</w:t>
            </w:r>
          </w:p>
        </w:tc>
        <w:tc>
          <w:tcPr>
            <w:tcW w:w="1058" w:type="dxa"/>
            <w:gridSpan w:val="2"/>
            <w:vMerge w:val="restart"/>
            <w:tcBorders>
              <w:right w:val="single" w:color="auto" w:sz="4" w:space="0"/>
            </w:tcBorders>
            <w:vAlign w:val="center"/>
          </w:tcPr>
          <w:p>
            <w:pPr>
              <w:pStyle w:val="15"/>
              <w:kinsoku w:val="0"/>
              <w:overflowPunct w:val="0"/>
              <w:autoSpaceDE w:val="0"/>
              <w:autoSpaceDN w:val="0"/>
              <w:spacing w:line="320" w:lineRule="exact"/>
              <w:rPr>
                <w:rFonts w:cs="宋体" w:asciiTheme="minorEastAsia" w:hAnsiTheme="minorEastAsia"/>
                <w:kern w:val="0"/>
                <w:sz w:val="21"/>
                <w:szCs w:val="21"/>
              </w:rPr>
            </w:pPr>
            <w:r>
              <w:rPr>
                <w:rFonts w:cs="宋体" w:asciiTheme="minorEastAsia" w:hAnsiTheme="minorEastAsia"/>
                <w:kern w:val="0"/>
                <w:sz w:val="21"/>
                <w:szCs w:val="21"/>
              </w:rPr>
              <w:t>信息安全产品强制性认证</w:t>
            </w:r>
          </w:p>
        </w:tc>
        <w:tc>
          <w:tcPr>
            <w:tcW w:w="2693" w:type="dxa"/>
            <w:gridSpan w:val="2"/>
            <w:tcBorders>
              <w:left w:val="single" w:color="auto" w:sz="4" w:space="0"/>
            </w:tcBorders>
            <w:vAlign w:val="center"/>
          </w:tcPr>
          <w:p>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认证机构颁发的认证证书</w:t>
            </w:r>
          </w:p>
        </w:tc>
        <w:tc>
          <w:tcPr>
            <w:tcW w:w="1559" w:type="dxa"/>
            <w:vAlign w:val="center"/>
          </w:tcPr>
          <w:p>
            <w:pPr>
              <w:pStyle w:val="15"/>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Merge w:val="continue"/>
            <w:vAlign w:val="center"/>
          </w:tcPr>
          <w:p>
            <w:pPr>
              <w:adjustRightInd w:val="0"/>
              <w:snapToGrid w:val="0"/>
              <w:spacing w:line="400" w:lineRule="exact"/>
              <w:jc w:val="center"/>
              <w:textAlignment w:val="baseline"/>
              <w:rPr>
                <w:rFonts w:ascii="宋体" w:hAnsi="宋体" w:cs="微软雅黑"/>
                <w:szCs w:val="21"/>
              </w:rPr>
            </w:pPr>
          </w:p>
        </w:tc>
        <w:tc>
          <w:tcPr>
            <w:tcW w:w="1058" w:type="dxa"/>
            <w:gridSpan w:val="2"/>
            <w:vMerge w:val="continue"/>
            <w:tcBorders>
              <w:right w:val="single" w:color="auto" w:sz="4" w:space="0"/>
            </w:tcBorders>
            <w:vAlign w:val="center"/>
          </w:tcPr>
          <w:p>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p>
        </w:tc>
        <w:tc>
          <w:tcPr>
            <w:tcW w:w="2693" w:type="dxa"/>
            <w:gridSpan w:val="2"/>
            <w:tcBorders>
              <w:left w:val="single" w:color="auto" w:sz="4" w:space="0"/>
            </w:tcBorders>
            <w:vAlign w:val="center"/>
          </w:tcPr>
          <w:p>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中国信息安全认证中心官网产品查询结果截图</w:t>
            </w:r>
          </w:p>
        </w:tc>
        <w:tc>
          <w:tcPr>
            <w:tcW w:w="1559" w:type="dxa"/>
            <w:vAlign w:val="center"/>
          </w:tcPr>
          <w:p>
            <w:pPr>
              <w:pStyle w:val="15"/>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27</w:t>
            </w:r>
          </w:p>
        </w:tc>
        <w:tc>
          <w:tcPr>
            <w:tcW w:w="3751" w:type="dxa"/>
            <w:gridSpan w:val="4"/>
            <w:vAlign w:val="center"/>
          </w:tcPr>
          <w:p>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其它资料</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bl>
    <w:p>
      <w:pPr>
        <w:tabs>
          <w:tab w:val="left" w:pos="1260"/>
        </w:tabs>
        <w:autoSpaceDE w:val="0"/>
        <w:autoSpaceDN w:val="0"/>
        <w:adjustRightInd w:val="0"/>
        <w:spacing w:line="360" w:lineRule="auto"/>
        <w:ind w:left="420" w:leftChars="-1" w:hanging="422" w:hangingChars="176"/>
        <w:contextualSpacing/>
        <w:rPr>
          <w:rFonts w:ascii="楷体" w:hAnsi="楷体" w:eastAsia="楷体"/>
          <w:color w:val="000000"/>
          <w:sz w:val="24"/>
          <w:szCs w:val="24"/>
        </w:rPr>
      </w:pPr>
      <w:r>
        <w:rPr>
          <w:rFonts w:hint="eastAsia" w:ascii="楷体" w:hAnsi="楷体" w:eastAsia="楷体"/>
          <w:color w:val="000000"/>
          <w:sz w:val="24"/>
          <w:szCs w:val="24"/>
        </w:rPr>
        <w:t>注：①本表序号8请按照本谈判文件 “第六章资格审查与评审”资格审查表中序号3要求，根据所提供经审计财务报告、基本开户银行资信证明、银行资信证明、政府采购投标担保函情况填写其中一项即可。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r>
        <w:rPr>
          <w:rFonts w:hint="eastAsia" w:ascii="楷体" w:hAnsi="楷体" w:eastAsia="楷体"/>
          <w:color w:val="000000"/>
          <w:sz w:val="24"/>
          <w:szCs w:val="24"/>
        </w:rPr>
        <w:t>②本表序号10请按照本谈判文件 “第六章资格审查与评审”资格审查表中序号6要求提供，根据所提供证明材料或承诺函（声明）情况填写其中一项即可。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r>
        <w:rPr>
          <w:rFonts w:hint="eastAsia" w:ascii="楷体" w:hAnsi="楷体" w:eastAsia="楷体"/>
          <w:color w:val="000000"/>
          <w:sz w:val="24"/>
          <w:szCs w:val="24"/>
        </w:rPr>
        <w:t>③本表序号26请根据所投产品提供证书或截图情况填写其中一项即可。</w:t>
      </w: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二、</w:t>
      </w:r>
      <w:r>
        <w:rPr>
          <w:rFonts w:hint="eastAsia" w:asciiTheme="majorEastAsia" w:hAnsiTheme="majorEastAsia" w:eastAsiaTheme="majorEastAsia"/>
          <w:b/>
          <w:snapToGrid w:val="0"/>
          <w:kern w:val="0"/>
          <w:sz w:val="28"/>
          <w:szCs w:val="28"/>
          <w:lang w:eastAsia="zh-CN"/>
        </w:rPr>
        <w:t>第一次</w:t>
      </w:r>
      <w:r>
        <w:rPr>
          <w:rFonts w:hint="eastAsia" w:asciiTheme="majorEastAsia" w:hAnsiTheme="majorEastAsia" w:eastAsiaTheme="majorEastAsia"/>
          <w:b/>
          <w:snapToGrid w:val="0"/>
          <w:kern w:val="0"/>
          <w:sz w:val="28"/>
          <w:szCs w:val="28"/>
        </w:rPr>
        <w:t>报价一览表</w:t>
      </w:r>
    </w:p>
    <w:p>
      <w:pPr>
        <w:pStyle w:val="15"/>
        <w:spacing w:line="360" w:lineRule="auto"/>
        <w:jc w:val="center"/>
        <w:rPr>
          <w:rFonts w:asciiTheme="majorEastAsia" w:hAnsiTheme="majorEastAsia" w:eastAsiaTheme="majorEastAsia"/>
          <w:b/>
          <w:snapToGrid w:val="0"/>
          <w:kern w:val="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spacing w:line="360" w:lineRule="auto"/>
        <w:contextualSpacing/>
        <w:rPr>
          <w:rFonts w:asciiTheme="minorEastAsia" w:hAnsiTheme="minorEastAsia"/>
          <w:color w:val="000000"/>
          <w:szCs w:val="21"/>
        </w:rPr>
      </w:pPr>
      <w:r>
        <w:rPr>
          <w:rFonts w:hint="eastAsia" w:asciiTheme="minorEastAsia" w:hAnsiTheme="minorEastAsia"/>
          <w:color w:val="000000"/>
          <w:szCs w:val="21"/>
        </w:rPr>
        <w:t xml:space="preserve">项目名称：                                                      </w:t>
      </w:r>
      <w:r>
        <w:rPr>
          <w:rFonts w:hint="eastAsia" w:cs="Arial" w:asciiTheme="minorEastAsia" w:hAnsiTheme="minorEastAsia"/>
          <w:szCs w:val="21"/>
        </w:rPr>
        <w:t>单位：元（人民币）</w:t>
      </w:r>
    </w:p>
    <w:tbl>
      <w:tblPr>
        <w:tblStyle w:val="23"/>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投标报价</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交付日期</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备注</w:t>
            </w: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r>
              <w:rPr>
                <w:rFonts w:cs="Arial" w:asciiTheme="minorEastAsia" w:hAnsiTheme="minorEastAsia"/>
                <w:szCs w:val="21"/>
              </w:rPr>
              <w:t>…</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宋体" w:asciiTheme="minorEastAsia" w:hAnsiTheme="minorEastAsia"/>
          <w:szCs w:val="21"/>
          <w:u w:val="single"/>
          <w:lang w:val="zh-CN"/>
        </w:rPr>
        <w:t xml:space="preserve">     （全称）   </w:t>
      </w:r>
      <w:r>
        <w:rPr>
          <w:rFonts w:hint="eastAsia" w:cs="宋体" w:asciiTheme="minorEastAsia" w:hAnsiTheme="minorEastAsia"/>
          <w:szCs w:val="21"/>
          <w:lang w:val="zh-CN"/>
        </w:rPr>
        <w:t>（公章）：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日期：年月日</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注：1、交付日期指完成该项目的最终时间（日历天）。</w:t>
      </w:r>
    </w:p>
    <w:p>
      <w:pPr>
        <w:autoSpaceDE w:val="0"/>
        <w:autoSpaceDN w:val="0"/>
        <w:adjustRightInd w:val="0"/>
        <w:spacing w:line="48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2、如谈判公告明确项目交付日期以年为单位，本表应填写完成该项目的年限。</w:t>
      </w: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jc w:val="both"/>
        <w:rPr>
          <w:rFonts w:cs="黑体" w:asciiTheme="minorEastAsia" w:hAnsiTheme="minorEastAsia"/>
          <w:b/>
          <w:bCs/>
          <w:sz w:val="44"/>
          <w:szCs w:val="44"/>
          <w:lang w:val="zh-CN"/>
        </w:rPr>
      </w:pPr>
    </w:p>
    <w:p>
      <w:pPr>
        <w:autoSpaceDE w:val="0"/>
        <w:autoSpaceDN w:val="0"/>
        <w:adjustRightInd w:val="0"/>
        <w:spacing w:line="360" w:lineRule="auto"/>
        <w:jc w:val="center"/>
        <w:rPr>
          <w:rFonts w:asciiTheme="majorEastAsia" w:hAnsiTheme="majorEastAsia" w:eastAsiaTheme="majorEastAsia"/>
          <w:b/>
          <w:snapToGrid w:val="0"/>
          <w:kern w:val="0"/>
          <w:sz w:val="36"/>
          <w:szCs w:val="36"/>
        </w:rPr>
      </w:pPr>
      <w:r>
        <w:rPr>
          <w:rFonts w:hint="eastAsia" w:cs="黑体" w:asciiTheme="minorEastAsia" w:hAnsiTheme="minorEastAsia"/>
          <w:b/>
          <w:bCs/>
          <w:sz w:val="28"/>
          <w:szCs w:val="28"/>
          <w:lang w:val="zh-CN"/>
        </w:rPr>
        <w:t>三、资格审查证明材料</w:t>
      </w:r>
    </w:p>
    <w:p>
      <w:pPr>
        <w:pStyle w:val="15"/>
        <w:spacing w:line="360" w:lineRule="auto"/>
        <w:jc w:val="both"/>
        <w:rPr>
          <w:rFonts w:asciiTheme="majorEastAsia" w:hAnsiTheme="majorEastAsia" w:eastAsiaTheme="majorEastAsia"/>
          <w:b/>
          <w:snapToGrid w:val="0"/>
          <w:kern w:val="0"/>
          <w:szCs w:val="24"/>
        </w:rPr>
      </w:pPr>
    </w:p>
    <w:p>
      <w:pPr>
        <w:pStyle w:val="15"/>
        <w:spacing w:line="360" w:lineRule="auto"/>
        <w:jc w:val="center"/>
        <w:rPr>
          <w:rFonts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3.1 投 标 函</w:t>
      </w:r>
    </w:p>
    <w:p>
      <w:pPr>
        <w:pStyle w:val="15"/>
        <w:spacing w:line="360" w:lineRule="auto"/>
        <w:jc w:val="center"/>
        <w:rPr>
          <w:rFonts w:asciiTheme="majorEastAsia" w:hAnsiTheme="majorEastAsia" w:eastAsiaTheme="majorEastAsia"/>
          <w:b/>
          <w:snapToGrid w:val="0"/>
          <w:kern w:val="0"/>
          <w:sz w:val="28"/>
          <w:szCs w:val="28"/>
        </w:rPr>
      </w:pPr>
    </w:p>
    <w:p>
      <w:pPr>
        <w:adjustRightInd w:val="0"/>
        <w:spacing w:line="360" w:lineRule="auto"/>
        <w:contextualSpacing/>
        <w:rPr>
          <w:rFonts w:asciiTheme="minorEastAsia" w:hAnsiTheme="minorEastAsia"/>
          <w:b/>
          <w:snapToGrid w:val="0"/>
          <w:kern w:val="0"/>
          <w:szCs w:val="21"/>
        </w:rPr>
      </w:pPr>
      <w:r>
        <w:rPr>
          <w:rFonts w:hint="eastAsia" w:asciiTheme="minorEastAsia" w:hAnsiTheme="minorEastAsia"/>
          <w:snapToGrid w:val="0"/>
          <w:kern w:val="0"/>
          <w:szCs w:val="21"/>
        </w:rPr>
        <w:t>致：</w:t>
      </w:r>
      <w:r>
        <w:rPr>
          <w:rFonts w:hint="eastAsia" w:asciiTheme="minorEastAsia" w:hAnsiTheme="minorEastAsia"/>
          <w:b/>
          <w:snapToGrid w:val="0"/>
          <w:kern w:val="0"/>
          <w:szCs w:val="21"/>
        </w:rPr>
        <w:t>（采购人）</w:t>
      </w:r>
    </w:p>
    <w:p>
      <w:pPr>
        <w:adjustRightInd w:val="0"/>
        <w:spacing w:line="360" w:lineRule="auto"/>
        <w:ind w:firstLine="420" w:firstLineChars="200"/>
        <w:contextualSpacing/>
        <w:outlineLvl w:val="0"/>
        <w:rPr>
          <w:rFonts w:asciiTheme="minorEastAsia" w:hAnsiTheme="minorEastAsia"/>
          <w:snapToGrid w:val="0"/>
          <w:kern w:val="0"/>
          <w:szCs w:val="21"/>
        </w:rPr>
      </w:pPr>
      <w:r>
        <w:rPr>
          <w:rFonts w:hint="eastAsia" w:asciiTheme="minorEastAsia" w:hAnsiTheme="minorEastAsia"/>
          <w:snapToGrid w:val="0"/>
          <w:kern w:val="0"/>
          <w:szCs w:val="21"/>
        </w:rPr>
        <w:t>根据贵方_</w:t>
      </w:r>
      <w:r>
        <w:rPr>
          <w:rFonts w:hint="eastAsia" w:asciiTheme="minorEastAsia" w:hAnsiTheme="minorEastAsia"/>
          <w:snapToGrid w:val="0"/>
          <w:kern w:val="0"/>
          <w:szCs w:val="21"/>
          <w:u w:val="single"/>
        </w:rPr>
        <w:t xml:space="preserve">_    </w:t>
      </w:r>
      <w:r>
        <w:rPr>
          <w:rFonts w:hint="eastAsia" w:asciiTheme="minorEastAsia" w:hAnsiTheme="minorEastAsia"/>
          <w:snapToGrid w:val="0"/>
          <w:kern w:val="0"/>
          <w:szCs w:val="21"/>
        </w:rPr>
        <w:t>_（项目名称、招标编号）采购的竞争性谈判公告及谈判邀请，_______（姓名和职务）被正式授权并代表供应商（供应商名称、地址）提交。</w:t>
      </w:r>
    </w:p>
    <w:p>
      <w:pPr>
        <w:pStyle w:val="15"/>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我方确认收到贵方提供的（项目名称、招标编号）谈判文件的全部内容。</w:t>
      </w:r>
    </w:p>
    <w:p>
      <w:pPr>
        <w:pStyle w:val="15"/>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在参与投标前已详细研究了谈判文件的所有内容，包括澄清、修改文件（如果有）和所有已提供的参考资料以及有关附件，我方完全明白并认为此谈判文件没有倾向性，也不存在排斥潜在投标供应商的内容，我方同意谈判文件的相关条款和</w:t>
      </w:r>
      <w:r>
        <w:rPr>
          <w:rFonts w:hint="eastAsia" w:asciiTheme="minorEastAsia" w:hAnsiTheme="minorEastAsia" w:eastAsiaTheme="minorEastAsia"/>
          <w:sz w:val="21"/>
          <w:szCs w:val="21"/>
        </w:rPr>
        <w:t>已完全理解并接受谈判文件的各项规定和要求及资金支付规定，对谈判文件的合理性、合法性不再有异议。</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i/>
          <w:snapToGrid w:val="0"/>
          <w:kern w:val="0"/>
          <w:szCs w:val="21"/>
          <w:u w:val="single"/>
        </w:rPr>
        <w:t xml:space="preserve">(供应商名称)     </w:t>
      </w:r>
      <w:r>
        <w:rPr>
          <w:rFonts w:hint="eastAsia" w:asciiTheme="minorEastAsia" w:hAnsiTheme="minorEastAsia"/>
          <w:snapToGrid w:val="0"/>
          <w:kern w:val="0"/>
          <w:szCs w:val="21"/>
        </w:rPr>
        <w:t>正式授权</w:t>
      </w:r>
      <w:r>
        <w:rPr>
          <w:rFonts w:hint="eastAsia" w:asciiTheme="minorEastAsia" w:hAnsiTheme="minorEastAsia"/>
          <w:i/>
          <w:snapToGrid w:val="0"/>
          <w:kern w:val="0"/>
          <w:szCs w:val="21"/>
          <w:u w:val="single"/>
        </w:rPr>
        <w:t xml:space="preserve">(授权代表全名, 职务)       </w:t>
      </w:r>
      <w:r>
        <w:rPr>
          <w:rFonts w:hint="eastAsia" w:asciiTheme="minorEastAsia" w:hAnsiTheme="minorEastAsia"/>
          <w:snapToGrid w:val="0"/>
          <w:kern w:val="0"/>
          <w:szCs w:val="21"/>
        </w:rPr>
        <w:t>代表我方全权处理有关本项目谈判响应的一切事宜。</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snapToGrid w:val="0"/>
          <w:kern w:val="0"/>
          <w:szCs w:val="21"/>
        </w:rPr>
        <w:t>在此提交的响应文件，正本一份，副本一份。</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我方已完全明白谈判文件的所有条款要求，并申明如下：</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一、按谈判文件提供的全部货物与相关服务的响应总价详见《报价一览表》。</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二、本谈判文件的有效期为谈判响应截止时间起天。如成交，有效期将延至供货终止日为止。在此提交的资格证明文件均至谈判响应文件有效期截止日有效，如有在有效期内失效的，我方承诺在成交后补齐一切手续，保证所有资格证明文件能在签订采购合同时直至采购合同终止日有效。</w:t>
      </w:r>
    </w:p>
    <w:p>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三、我方明白并同意，在规定的谈判响应时间截止之后，响应有效期之内撤销谈判响应的，则贵方将不予退还谈判保证金。</w:t>
      </w:r>
    </w:p>
    <w:p>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四、我方同意按照贵方可能提出的要求而提供与谈判响应有关的任何其它数据、信息或资料。</w:t>
      </w:r>
    </w:p>
    <w:p>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五、我方理解贵方不一定接受最低响应价或任何贵方可能收到的谈判响应。</w:t>
      </w:r>
    </w:p>
    <w:p>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六、我方如果成交，将保证履行谈判文件及其澄清、修改文件（如果有）中的全部责任和义务，按质、按量、按期完成《采购需求》及《合同书》中的全部任务。</w:t>
      </w:r>
    </w:p>
    <w:p>
      <w:pPr>
        <w:pStyle w:val="22"/>
        <w:adjustRightInd w:val="0"/>
        <w:spacing w:line="360" w:lineRule="auto"/>
        <w:ind w:firstLine="420" w:firstLineChars="200"/>
        <w:contextualSpacing/>
        <w:rPr>
          <w:rFonts w:cs="宋体" w:asciiTheme="minorEastAsia" w:hAnsiTheme="minorEastAsia" w:eastAsiaTheme="minorEastAsia"/>
          <w:sz w:val="21"/>
          <w:szCs w:val="21"/>
        </w:rPr>
      </w:pPr>
      <w:r>
        <w:rPr>
          <w:rFonts w:hint="eastAsia" w:cs="Courier New" w:asciiTheme="minorEastAsia" w:hAnsiTheme="minorEastAsia" w:eastAsiaTheme="minorEastAsia"/>
          <w:sz w:val="21"/>
          <w:szCs w:val="21"/>
        </w:rPr>
        <w:t>七、我方在此保证所提交的所有文件和全部说明是真实的和正确的。</w:t>
      </w:r>
    </w:p>
    <w:p>
      <w:pPr>
        <w:pStyle w:val="15"/>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八、我方响应报价已包含应向知识产权所有权人支付的所有相关税费，并保证采购人在中国使用我方提供的货物时，如有第三方提出侵犯其知识产权主张的，责任由我方承担。 </w:t>
      </w:r>
    </w:p>
    <w:p>
      <w:pPr>
        <w:pStyle w:val="15"/>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九、我方具备《政府采购法》第二十二条规定的条件；承诺如下：</w:t>
      </w:r>
    </w:p>
    <w:p>
      <w:pPr>
        <w:pStyle w:val="15"/>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2. 我方已依法缴纳了各项税费及社会保险费用，如有需要，可随时向采购人提供近三个月内的相关缴费证明，以便核查。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3. 我方已依法建立健全的财务会计制度，如有需要，可随时向采购人提供相关证明材料，以便核查。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4. 参加政府采购活动前三年内，在经营活动中没有重大违法记录。</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5. 符合法律、行政法规规定的其他条件。</w:t>
      </w:r>
    </w:p>
    <w:p>
      <w:pPr>
        <w:adjustRightInd w:val="0"/>
        <w:spacing w:line="360" w:lineRule="auto"/>
        <w:ind w:firstLine="441" w:firstLineChars="210"/>
        <w:contextualSpacing/>
        <w:rPr>
          <w:rFonts w:cs="Arial" w:asciiTheme="minorEastAsia" w:hAnsiTheme="minorEastAsia"/>
          <w:szCs w:val="21"/>
        </w:rPr>
      </w:pPr>
      <w:r>
        <w:rPr>
          <w:rFonts w:hint="eastAsia" w:cs="宋体" w:asciiTheme="minorEastAsia" w:hAnsiTheme="minorEastAsia"/>
          <w:szCs w:val="21"/>
        </w:rPr>
        <w:t>以上内容如有虚假或与事实不符的，谈判小组可将</w:t>
      </w:r>
      <w:r>
        <w:rPr>
          <w:rFonts w:hint="eastAsia" w:cs="Arial" w:asciiTheme="minorEastAsia" w:hAnsiTheme="minorEastAsia"/>
          <w:szCs w:val="21"/>
        </w:rPr>
        <w:t>我方做无效投标处理，我方愿意承担相应的法律责任。</w:t>
      </w:r>
    </w:p>
    <w:p>
      <w:pPr>
        <w:pStyle w:val="15"/>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十、我方具备履行合同所必需的设备和专业技术能力。</w:t>
      </w:r>
    </w:p>
    <w:p>
      <w:pPr>
        <w:pStyle w:val="15"/>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napToGrid w:val="0"/>
          <w:kern w:val="0"/>
          <w:sz w:val="21"/>
          <w:szCs w:val="21"/>
        </w:rPr>
        <w:t>十一、</w:t>
      </w:r>
      <w:r>
        <w:rPr>
          <w:rFonts w:hint="eastAsia" w:asciiTheme="minorEastAsia" w:hAnsiTheme="minorEastAsia" w:eastAsiaTheme="minorEastAsia"/>
          <w:sz w:val="21"/>
          <w:szCs w:val="21"/>
        </w:rPr>
        <w:t>我方对在本函及响应文件中所作的所有承诺承担法律责任。</w:t>
      </w:r>
    </w:p>
    <w:p>
      <w:pPr>
        <w:pStyle w:val="15"/>
        <w:adjustRightInd w:val="0"/>
        <w:snapToGrid w:val="0"/>
        <w:spacing w:line="360" w:lineRule="auto"/>
        <w:rPr>
          <w:rFonts w:asciiTheme="minorEastAsia" w:hAnsiTheme="minorEastAsia" w:eastAsiaTheme="minorEastAsia"/>
          <w:sz w:val="21"/>
          <w:szCs w:val="21"/>
        </w:rPr>
      </w:pPr>
    </w:p>
    <w:p>
      <w:pPr>
        <w:pStyle w:val="15"/>
        <w:adjustRightInd w:val="0"/>
        <w:snapToGrid w:val="0"/>
        <w:spacing w:line="360" w:lineRule="auto"/>
        <w:rPr>
          <w:rFonts w:asciiTheme="minorEastAsia" w:hAnsiTheme="minorEastAsia" w:eastAsiaTheme="minorEastAsia"/>
          <w:sz w:val="21"/>
          <w:szCs w:val="21"/>
        </w:rPr>
      </w:pPr>
    </w:p>
    <w:p>
      <w:pPr>
        <w:pStyle w:val="15"/>
        <w:adjustRightInd w:val="0"/>
        <w:snapToGrid w:val="0"/>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所有与本项目谈判有关的一切正式往来请寄：</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地    址：.  邮政编码：.</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电    话：.  传    真：.</w:t>
      </w:r>
    </w:p>
    <w:p>
      <w:pPr>
        <w:adjustRightInd w:val="0"/>
        <w:snapToGrid w:val="0"/>
        <w:spacing w:line="360" w:lineRule="auto"/>
        <w:rPr>
          <w:rFonts w:cs="宋体" w:asciiTheme="minorEastAsia" w:hAnsiTheme="minorEastAsia"/>
          <w:szCs w:val="21"/>
          <w:u w:val="single"/>
        </w:rPr>
      </w:pPr>
      <w:r>
        <w:rPr>
          <w:rFonts w:hint="eastAsia" w:cs="宋体" w:asciiTheme="minorEastAsia" w:hAnsiTheme="minorEastAsia"/>
          <w:szCs w:val="21"/>
        </w:rPr>
        <w:t>供应商代表姓名：.  职    务：.</w:t>
      </w: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供应商法定代表人（单位负责人）或法定代表人（单位负责人）授权代表签字或盖章：</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供应商名称（盖章）：</w:t>
      </w: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3780" w:firstLineChars="1800"/>
        <w:rPr>
          <w:rFonts w:cs="宋体" w:asciiTheme="minorEastAsia" w:hAnsiTheme="minorEastAsia"/>
          <w:szCs w:val="21"/>
        </w:rPr>
      </w:pPr>
      <w:r>
        <w:rPr>
          <w:rFonts w:hint="eastAsia" w:cs="宋体" w:asciiTheme="minorEastAsia" w:hAnsiTheme="minorEastAsia"/>
          <w:szCs w:val="21"/>
        </w:rPr>
        <w:t>日期：    年    月    日</w:t>
      </w:r>
    </w:p>
    <w:p>
      <w:pPr>
        <w:adjustRightInd w:val="0"/>
        <w:snapToGrid w:val="0"/>
        <w:spacing w:line="360" w:lineRule="auto"/>
        <w:ind w:firstLine="4305" w:firstLineChars="2050"/>
        <w:rPr>
          <w:rFonts w:cs="宋体" w:asciiTheme="minorEastAsia" w:hAnsiTheme="minorEastAsia"/>
          <w:szCs w:val="21"/>
        </w:rPr>
      </w:pPr>
    </w:p>
    <w:p>
      <w:pPr>
        <w:spacing w:line="480" w:lineRule="exact"/>
        <w:jc w:val="center"/>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3.2 法定代表人（单位负责人）</w:t>
      </w:r>
      <w:r>
        <w:rPr>
          <w:rFonts w:asciiTheme="majorEastAsia" w:hAnsiTheme="majorEastAsia" w:eastAsiaTheme="majorEastAsia"/>
          <w:b/>
          <w:bCs/>
          <w:color w:val="000000"/>
          <w:sz w:val="24"/>
          <w:szCs w:val="24"/>
        </w:rPr>
        <w:t>资</w:t>
      </w:r>
      <w:r>
        <w:rPr>
          <w:rFonts w:hint="eastAsia" w:asciiTheme="majorEastAsia" w:hAnsiTheme="majorEastAsia" w:eastAsiaTheme="majorEastAsia"/>
          <w:b/>
          <w:bCs/>
          <w:color w:val="000000"/>
          <w:sz w:val="24"/>
          <w:szCs w:val="24"/>
        </w:rPr>
        <w:t>格</w:t>
      </w:r>
      <w:r>
        <w:rPr>
          <w:rFonts w:asciiTheme="majorEastAsia" w:hAnsiTheme="majorEastAsia" w:eastAsiaTheme="majorEastAsia"/>
          <w:b/>
          <w:bCs/>
          <w:color w:val="000000"/>
          <w:sz w:val="24"/>
          <w:szCs w:val="24"/>
        </w:rPr>
        <w:t>证</w:t>
      </w:r>
      <w:r>
        <w:rPr>
          <w:rFonts w:hint="eastAsia" w:asciiTheme="majorEastAsia" w:hAnsiTheme="majorEastAsia" w:eastAsiaTheme="majorEastAsia"/>
          <w:b/>
          <w:bCs/>
          <w:color w:val="000000"/>
          <w:sz w:val="24"/>
          <w:szCs w:val="24"/>
        </w:rPr>
        <w:t>明</w:t>
      </w:r>
      <w:r>
        <w:rPr>
          <w:rFonts w:asciiTheme="majorEastAsia" w:hAnsiTheme="majorEastAsia" w:eastAsiaTheme="majorEastAsia"/>
          <w:b/>
          <w:bCs/>
          <w:color w:val="000000"/>
          <w:sz w:val="24"/>
          <w:szCs w:val="24"/>
        </w:rPr>
        <w:t>书</w:t>
      </w:r>
    </w:p>
    <w:p>
      <w:pPr>
        <w:autoSpaceDE w:val="0"/>
        <w:autoSpaceDN w:val="0"/>
        <w:adjustRightInd w:val="0"/>
        <w:spacing w:line="480" w:lineRule="auto"/>
        <w:ind w:firstLine="616" w:firstLineChars="257"/>
        <w:rPr>
          <w:rFonts w:ascii="宋体" w:hAnsi="宋体"/>
          <w:color w:val="000000"/>
          <w:sz w:val="24"/>
          <w:szCs w:val="24"/>
        </w:rPr>
      </w:pPr>
    </w:p>
    <w:p>
      <w:pPr>
        <w:pStyle w:val="46"/>
        <w:spacing w:line="480" w:lineRule="auto"/>
        <w:ind w:firstLine="472" w:firstLineChars="225"/>
        <w:jc w:val="left"/>
        <w:rPr>
          <w:rFonts w:asciiTheme="minorEastAsia" w:hAnsiTheme="minorEastAsia"/>
          <w:color w:val="000000"/>
          <w:sz w:val="21"/>
          <w:szCs w:val="21"/>
        </w:rPr>
      </w:pPr>
      <w:r>
        <w:rPr>
          <w:rFonts w:asciiTheme="minorEastAsia" w:hAnsiTheme="minorEastAsia"/>
          <w:color w:val="000000"/>
          <w:sz w:val="21"/>
          <w:szCs w:val="21"/>
        </w:rPr>
        <w:t>单</w:t>
      </w:r>
      <w:r>
        <w:rPr>
          <w:rFonts w:hint="eastAsia" w:asciiTheme="minorEastAsia" w:hAnsiTheme="minorEastAsia"/>
          <w:color w:val="000000"/>
          <w:sz w:val="21"/>
          <w:szCs w:val="21"/>
        </w:rPr>
        <w:t>位名</w:t>
      </w:r>
      <w:r>
        <w:rPr>
          <w:rFonts w:asciiTheme="minorEastAsia" w:hAnsiTheme="minorEastAsia"/>
          <w:color w:val="000000"/>
          <w:sz w:val="21"/>
          <w:szCs w:val="21"/>
        </w:rPr>
        <w:t>称</w:t>
      </w:r>
      <w:r>
        <w:rPr>
          <w:rFonts w:hint="eastAsia" w:asciiTheme="minorEastAsia" w:hAnsiTheme="minorEastAsia"/>
          <w:color w:val="000000"/>
          <w:sz w:val="21"/>
          <w:szCs w:val="21"/>
        </w:rPr>
        <w:t>：</w:t>
      </w:r>
    </w:p>
    <w:p>
      <w:pPr>
        <w:pStyle w:val="46"/>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地址：</w:t>
      </w:r>
    </w:p>
    <w:p>
      <w:pPr>
        <w:pStyle w:val="46"/>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姓名：       性</w:t>
      </w:r>
      <w:r>
        <w:rPr>
          <w:rFonts w:asciiTheme="minorEastAsia" w:hAnsiTheme="minorEastAsia"/>
          <w:color w:val="000000"/>
          <w:sz w:val="21"/>
          <w:szCs w:val="21"/>
        </w:rPr>
        <w:t>别</w:t>
      </w:r>
      <w:r>
        <w:rPr>
          <w:rFonts w:hint="eastAsia" w:asciiTheme="minorEastAsia" w:hAnsiTheme="minorEastAsia"/>
          <w:color w:val="000000"/>
          <w:sz w:val="21"/>
          <w:szCs w:val="21"/>
        </w:rPr>
        <w:t>：     年</w:t>
      </w:r>
      <w:r>
        <w:rPr>
          <w:rFonts w:asciiTheme="minorEastAsia" w:hAnsiTheme="minorEastAsia"/>
          <w:color w:val="000000"/>
          <w:sz w:val="21"/>
          <w:szCs w:val="21"/>
        </w:rPr>
        <w:t>龄</w:t>
      </w:r>
      <w:r>
        <w:rPr>
          <w:rFonts w:hint="eastAsia" w:asciiTheme="minorEastAsia" w:hAnsiTheme="minorEastAsia"/>
          <w:color w:val="000000"/>
          <w:sz w:val="21"/>
          <w:szCs w:val="21"/>
        </w:rPr>
        <w:t>：</w:t>
      </w:r>
      <w:r>
        <w:rPr>
          <w:rFonts w:asciiTheme="minorEastAsia" w:hAnsiTheme="minorEastAsia"/>
          <w:color w:val="000000"/>
          <w:sz w:val="21"/>
          <w:szCs w:val="21"/>
        </w:rPr>
        <w:t xml:space="preserve">     职务</w:t>
      </w:r>
      <w:r>
        <w:rPr>
          <w:rFonts w:hint="eastAsia" w:asciiTheme="minorEastAsia" w:hAnsiTheme="minorEastAsia"/>
          <w:color w:val="000000"/>
          <w:sz w:val="21"/>
          <w:szCs w:val="21"/>
        </w:rPr>
        <w:t xml:space="preserve">：        </w:t>
      </w:r>
    </w:p>
    <w:p>
      <w:pPr>
        <w:pStyle w:val="46"/>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本人系</w:t>
      </w:r>
      <w:r>
        <w:rPr>
          <w:rFonts w:hint="eastAsia" w:asciiTheme="minorEastAsia" w:hAnsiTheme="minorEastAsia"/>
          <w:i/>
          <w:snapToGrid w:val="0"/>
          <w:sz w:val="21"/>
          <w:szCs w:val="21"/>
          <w:u w:val="single"/>
        </w:rPr>
        <w:t>供应商名</w:t>
      </w:r>
      <w:r>
        <w:rPr>
          <w:rFonts w:asciiTheme="minorEastAsia" w:hAnsiTheme="minorEastAsia"/>
          <w:i/>
          <w:snapToGrid w:val="0"/>
          <w:sz w:val="21"/>
          <w:szCs w:val="21"/>
          <w:u w:val="single"/>
        </w:rPr>
        <w:t>称</w:t>
      </w:r>
      <w:r>
        <w:rPr>
          <w:rFonts w:hint="eastAsia" w:asciiTheme="minorEastAsia" w:hAnsiTheme="minorEastAsia"/>
          <w:color w:val="000000"/>
          <w:sz w:val="21"/>
          <w:szCs w:val="21"/>
        </w:rPr>
        <w:t>的法定代表人（单位负责人）。就</w:t>
      </w:r>
      <w:r>
        <w:rPr>
          <w:rFonts w:asciiTheme="minorEastAsia" w:hAnsiTheme="minorEastAsia"/>
          <w:color w:val="000000"/>
          <w:sz w:val="21"/>
          <w:szCs w:val="21"/>
        </w:rPr>
        <w:t>参</w:t>
      </w:r>
      <w:r>
        <w:rPr>
          <w:rFonts w:hint="eastAsia" w:asciiTheme="minorEastAsia" w:hAnsiTheme="minorEastAsia"/>
          <w:color w:val="000000"/>
          <w:sz w:val="21"/>
          <w:szCs w:val="21"/>
        </w:rPr>
        <w:t>加贵方招</w:t>
      </w:r>
      <w:r>
        <w:rPr>
          <w:rFonts w:asciiTheme="minorEastAsia" w:hAnsiTheme="minorEastAsia"/>
          <w:color w:val="000000"/>
          <w:sz w:val="21"/>
          <w:szCs w:val="21"/>
        </w:rPr>
        <w:t>标编号为</w:t>
      </w:r>
      <w:r>
        <w:rPr>
          <w:rFonts w:asciiTheme="minorEastAsia" w:hAnsiTheme="minorEastAsia"/>
          <w:i/>
          <w:color w:val="000000"/>
          <w:sz w:val="21"/>
          <w:szCs w:val="21"/>
          <w:u w:val="single"/>
        </w:rPr>
        <w:t>项目编号</w:t>
      </w:r>
      <w:r>
        <w:rPr>
          <w:rFonts w:hint="eastAsia" w:asciiTheme="minorEastAsia" w:hAnsiTheme="minorEastAsia"/>
          <w:color w:val="000000"/>
          <w:sz w:val="21"/>
          <w:szCs w:val="21"/>
        </w:rPr>
        <w:t>的</w:t>
      </w:r>
      <w:r>
        <w:rPr>
          <w:rFonts w:asciiTheme="minorEastAsia" w:hAnsiTheme="minorEastAsia"/>
          <w:i/>
          <w:color w:val="000000"/>
          <w:sz w:val="21"/>
          <w:szCs w:val="21"/>
          <w:u w:val="single"/>
        </w:rPr>
        <w:t>项目</w:t>
      </w:r>
      <w:r>
        <w:rPr>
          <w:rFonts w:hint="eastAsia" w:asciiTheme="minorEastAsia" w:hAnsiTheme="minorEastAsia"/>
          <w:i/>
          <w:color w:val="000000"/>
          <w:sz w:val="21"/>
          <w:szCs w:val="21"/>
          <w:u w:val="single"/>
        </w:rPr>
        <w:t>名</w:t>
      </w:r>
      <w:r>
        <w:rPr>
          <w:rFonts w:asciiTheme="minorEastAsia" w:hAnsiTheme="minorEastAsia"/>
          <w:i/>
          <w:color w:val="000000"/>
          <w:sz w:val="21"/>
          <w:szCs w:val="21"/>
          <w:u w:val="single"/>
        </w:rPr>
        <w:t>称</w:t>
      </w:r>
      <w:r>
        <w:rPr>
          <w:rFonts w:hint="eastAsia" w:asciiTheme="minorEastAsia" w:hAnsiTheme="minorEastAsia"/>
          <w:color w:val="000000"/>
          <w:sz w:val="21"/>
          <w:szCs w:val="21"/>
        </w:rPr>
        <w:t>竞争性谈判</w:t>
      </w:r>
      <w:r>
        <w:rPr>
          <w:rFonts w:asciiTheme="minorEastAsia" w:hAnsiTheme="minorEastAsia"/>
          <w:color w:val="000000"/>
          <w:sz w:val="21"/>
          <w:szCs w:val="21"/>
        </w:rPr>
        <w:t>项目</w:t>
      </w:r>
      <w:r>
        <w:rPr>
          <w:rFonts w:hint="eastAsia" w:asciiTheme="minorEastAsia" w:hAnsiTheme="minorEastAsia"/>
          <w:color w:val="000000"/>
          <w:sz w:val="21"/>
          <w:szCs w:val="21"/>
        </w:rPr>
        <w:t>的响应</w:t>
      </w:r>
      <w:r>
        <w:rPr>
          <w:rFonts w:asciiTheme="minorEastAsia" w:hAnsiTheme="minorEastAsia"/>
          <w:color w:val="000000"/>
          <w:sz w:val="21"/>
          <w:szCs w:val="21"/>
        </w:rPr>
        <w:t>报价</w:t>
      </w:r>
      <w:r>
        <w:rPr>
          <w:rFonts w:hint="eastAsia" w:asciiTheme="minorEastAsia" w:hAnsiTheme="minorEastAsia"/>
          <w:color w:val="000000"/>
          <w:sz w:val="21"/>
          <w:szCs w:val="21"/>
        </w:rPr>
        <w:t>，</w:t>
      </w:r>
      <w:r>
        <w:rPr>
          <w:rFonts w:asciiTheme="minorEastAsia" w:hAnsiTheme="minorEastAsia"/>
          <w:color w:val="000000"/>
          <w:sz w:val="21"/>
          <w:szCs w:val="21"/>
        </w:rPr>
        <w:t>签</w:t>
      </w:r>
      <w:r>
        <w:rPr>
          <w:rFonts w:hint="eastAsia" w:asciiTheme="minorEastAsia" w:hAnsiTheme="minorEastAsia"/>
          <w:color w:val="000000"/>
          <w:sz w:val="21"/>
          <w:szCs w:val="21"/>
        </w:rPr>
        <w:t>署上</w:t>
      </w:r>
      <w:r>
        <w:rPr>
          <w:rFonts w:asciiTheme="minorEastAsia" w:hAnsiTheme="minorEastAsia"/>
          <w:color w:val="000000"/>
          <w:sz w:val="21"/>
          <w:szCs w:val="21"/>
        </w:rPr>
        <w:t>述项目</w:t>
      </w:r>
      <w:r>
        <w:rPr>
          <w:rFonts w:hint="eastAsia" w:asciiTheme="minorEastAsia" w:hAnsiTheme="minorEastAsia"/>
          <w:color w:val="000000"/>
          <w:sz w:val="21"/>
          <w:szCs w:val="21"/>
        </w:rPr>
        <w:t>的响应文件及合同的</w:t>
      </w:r>
      <w:r>
        <w:rPr>
          <w:rFonts w:asciiTheme="minorEastAsia" w:hAnsiTheme="minorEastAsia"/>
          <w:color w:val="000000"/>
          <w:sz w:val="21"/>
          <w:szCs w:val="21"/>
        </w:rPr>
        <w:t>执</w:t>
      </w:r>
      <w:r>
        <w:rPr>
          <w:rFonts w:hint="eastAsia" w:asciiTheme="minorEastAsia" w:hAnsiTheme="minorEastAsia"/>
          <w:color w:val="000000"/>
          <w:sz w:val="21"/>
          <w:szCs w:val="21"/>
        </w:rPr>
        <w:t>行、完成、服</w:t>
      </w:r>
      <w:r>
        <w:rPr>
          <w:rFonts w:asciiTheme="minorEastAsia" w:hAnsiTheme="minorEastAsia"/>
          <w:color w:val="000000"/>
          <w:sz w:val="21"/>
          <w:szCs w:val="21"/>
        </w:rPr>
        <w:t>务</w:t>
      </w:r>
      <w:r>
        <w:rPr>
          <w:rFonts w:hint="eastAsia" w:asciiTheme="minorEastAsia" w:hAnsiTheme="minorEastAsia"/>
          <w:color w:val="000000"/>
          <w:sz w:val="21"/>
          <w:szCs w:val="21"/>
        </w:rPr>
        <w:t>和保修，</w:t>
      </w:r>
      <w:r>
        <w:rPr>
          <w:rFonts w:asciiTheme="minorEastAsia" w:hAnsiTheme="minorEastAsia"/>
          <w:color w:val="000000"/>
          <w:sz w:val="21"/>
          <w:szCs w:val="21"/>
        </w:rPr>
        <w:t>签</w:t>
      </w:r>
      <w:r>
        <w:rPr>
          <w:rFonts w:hint="eastAsia" w:asciiTheme="minorEastAsia" w:hAnsiTheme="minorEastAsia"/>
          <w:color w:val="000000"/>
          <w:sz w:val="21"/>
          <w:szCs w:val="21"/>
        </w:rPr>
        <w:t>署合同和</w:t>
      </w:r>
      <w:r>
        <w:rPr>
          <w:rFonts w:asciiTheme="minorEastAsia" w:hAnsiTheme="minorEastAsia"/>
          <w:color w:val="000000"/>
          <w:sz w:val="21"/>
          <w:szCs w:val="21"/>
        </w:rPr>
        <w:t>处</w:t>
      </w:r>
      <w:r>
        <w:rPr>
          <w:rFonts w:hint="eastAsia" w:asciiTheme="minorEastAsia" w:hAnsiTheme="minorEastAsia"/>
          <w:color w:val="000000"/>
          <w:sz w:val="21"/>
          <w:szCs w:val="21"/>
        </w:rPr>
        <w:t>理与之有</w:t>
      </w:r>
      <w:r>
        <w:rPr>
          <w:rFonts w:asciiTheme="minorEastAsia" w:hAnsiTheme="minorEastAsia"/>
          <w:color w:val="000000"/>
          <w:sz w:val="21"/>
          <w:szCs w:val="21"/>
        </w:rPr>
        <w:t>关的</w:t>
      </w:r>
      <w:r>
        <w:rPr>
          <w:rFonts w:hint="eastAsia" w:asciiTheme="minorEastAsia" w:hAnsiTheme="minorEastAsia"/>
          <w:color w:val="000000"/>
          <w:sz w:val="21"/>
          <w:szCs w:val="21"/>
        </w:rPr>
        <w:t>一切事</w:t>
      </w:r>
      <w:r>
        <w:rPr>
          <w:rFonts w:asciiTheme="minorEastAsia" w:hAnsiTheme="minorEastAsia"/>
          <w:color w:val="000000"/>
          <w:sz w:val="21"/>
          <w:szCs w:val="21"/>
        </w:rPr>
        <w:t>务</w:t>
      </w:r>
      <w:r>
        <w:rPr>
          <w:rFonts w:hint="eastAsia" w:asciiTheme="minorEastAsia" w:hAnsiTheme="minorEastAsia"/>
          <w:color w:val="000000"/>
          <w:sz w:val="21"/>
          <w:szCs w:val="21"/>
        </w:rPr>
        <w:t>。</w:t>
      </w:r>
    </w:p>
    <w:p>
      <w:pPr>
        <w:pStyle w:val="46"/>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特此</w:t>
      </w:r>
      <w:r>
        <w:rPr>
          <w:rFonts w:asciiTheme="minorEastAsia" w:hAnsiTheme="minorEastAsia"/>
          <w:color w:val="000000"/>
          <w:sz w:val="21"/>
          <w:szCs w:val="21"/>
        </w:rPr>
        <w:t>证</w:t>
      </w:r>
      <w:r>
        <w:rPr>
          <w:rFonts w:hint="eastAsia" w:asciiTheme="minorEastAsia" w:hAnsiTheme="minorEastAsia"/>
          <w:color w:val="000000"/>
          <w:sz w:val="21"/>
          <w:szCs w:val="21"/>
        </w:rPr>
        <w:t>明。</w:t>
      </w:r>
    </w:p>
    <w:p>
      <w:pPr>
        <w:pStyle w:val="46"/>
        <w:spacing w:line="480" w:lineRule="auto"/>
        <w:ind w:firstLine="472" w:firstLineChars="225"/>
        <w:jc w:val="left"/>
        <w:rPr>
          <w:rFonts w:asciiTheme="minorEastAsia" w:hAnsiTheme="minorEastAsia"/>
          <w:color w:val="000000"/>
          <w:sz w:val="21"/>
          <w:szCs w:val="21"/>
        </w:rPr>
      </w:pPr>
    </w:p>
    <w:p>
      <w:pPr>
        <w:pStyle w:val="46"/>
        <w:spacing w:line="480" w:lineRule="auto"/>
        <w:ind w:firstLine="472" w:firstLineChars="225"/>
        <w:jc w:val="left"/>
        <w:rPr>
          <w:rFonts w:asciiTheme="minorEastAsia" w:hAnsiTheme="minorEastAsia"/>
          <w:color w:val="000000"/>
          <w:sz w:val="21"/>
          <w:szCs w:val="21"/>
        </w:rPr>
      </w:pPr>
    </w:p>
    <w:p>
      <w:pPr>
        <w:pStyle w:val="46"/>
        <w:spacing w:line="480" w:lineRule="auto"/>
        <w:ind w:left="-538" w:leftChars="-256" w:firstLine="539" w:firstLineChars="257"/>
        <w:jc w:val="center"/>
        <w:rPr>
          <w:rFonts w:asciiTheme="minorEastAsia" w:hAnsiTheme="minorEastAsia"/>
          <w:bCs/>
          <w:color w:val="000000"/>
          <w:sz w:val="21"/>
          <w:szCs w:val="21"/>
        </w:rPr>
      </w:pPr>
      <w:r>
        <w:rPr>
          <w:rFonts w:hint="eastAsia" w:asciiTheme="minorEastAsia" w:hAnsiTheme="minorEastAsia"/>
          <w:bCs/>
          <w:color w:val="000000"/>
          <w:sz w:val="21"/>
          <w:szCs w:val="21"/>
        </w:rPr>
        <w:t>【此</w:t>
      </w:r>
      <w:r>
        <w:rPr>
          <w:rFonts w:asciiTheme="minorEastAsia" w:hAnsiTheme="minorEastAsia"/>
          <w:bCs/>
          <w:color w:val="000000"/>
          <w:sz w:val="21"/>
          <w:szCs w:val="21"/>
        </w:rPr>
        <w:t>处请</w:t>
      </w:r>
      <w:r>
        <w:rPr>
          <w:rFonts w:hint="eastAsia" w:asciiTheme="minorEastAsia" w:hAnsiTheme="minorEastAsia"/>
          <w:bCs/>
          <w:color w:val="000000"/>
          <w:sz w:val="21"/>
          <w:szCs w:val="21"/>
        </w:rPr>
        <w:t>粘</w:t>
      </w:r>
      <w:r>
        <w:rPr>
          <w:rFonts w:asciiTheme="minorEastAsia" w:hAnsiTheme="minorEastAsia"/>
          <w:bCs/>
          <w:color w:val="000000"/>
          <w:sz w:val="21"/>
          <w:szCs w:val="21"/>
        </w:rPr>
        <w:t>贴</w:t>
      </w:r>
      <w:r>
        <w:rPr>
          <w:rFonts w:hint="eastAsia" w:asciiTheme="minorEastAsia" w:hAnsiTheme="minorEastAsia"/>
          <w:bCs/>
          <w:color w:val="000000"/>
          <w:sz w:val="21"/>
          <w:szCs w:val="21"/>
        </w:rPr>
        <w:t>法定代表人（单位负责人）身份</w:t>
      </w:r>
      <w:r>
        <w:rPr>
          <w:rFonts w:asciiTheme="minorEastAsia" w:hAnsiTheme="minorEastAsia"/>
          <w:bCs/>
          <w:color w:val="000000"/>
          <w:sz w:val="21"/>
          <w:szCs w:val="21"/>
        </w:rPr>
        <w:t>证复</w:t>
      </w:r>
      <w:r>
        <w:rPr>
          <w:rFonts w:hint="eastAsia" w:asciiTheme="minorEastAsia" w:hAnsiTheme="minorEastAsia"/>
          <w:bCs/>
          <w:color w:val="000000"/>
          <w:sz w:val="21"/>
          <w:szCs w:val="21"/>
        </w:rPr>
        <w:t>印件，需清晰反映身份证有效期限】</w:t>
      </w:r>
    </w:p>
    <w:p>
      <w:pPr>
        <w:pStyle w:val="46"/>
        <w:spacing w:line="480" w:lineRule="auto"/>
        <w:ind w:left="-538" w:leftChars="-256" w:firstLine="539" w:firstLineChars="257"/>
        <w:jc w:val="center"/>
        <w:rPr>
          <w:rFonts w:asciiTheme="minorEastAsia" w:hAnsiTheme="minorEastAsia"/>
          <w:bCs/>
          <w:color w:val="000000"/>
          <w:sz w:val="21"/>
          <w:szCs w:val="21"/>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spacing w:line="480" w:lineRule="auto"/>
        <w:ind w:firstLine="3937" w:firstLineChars="1875"/>
        <w:rPr>
          <w:rFonts w:cs="Arial" w:asciiTheme="minorEastAsia" w:hAnsiTheme="minorEastAsia"/>
          <w:color w:val="000000"/>
          <w:szCs w:val="21"/>
          <w:u w:val="single"/>
        </w:rPr>
      </w:pPr>
      <w:r>
        <w:rPr>
          <w:rFonts w:hint="eastAsia" w:cs="Arial" w:asciiTheme="minorEastAsia" w:hAnsiTheme="minorEastAsia"/>
          <w:color w:val="000000"/>
          <w:szCs w:val="21"/>
        </w:rPr>
        <w:t>供应商名称（并加盖公章）：</w:t>
      </w:r>
    </w:p>
    <w:p>
      <w:pPr>
        <w:pStyle w:val="49"/>
        <w:spacing w:before="60" w:line="480" w:lineRule="auto"/>
        <w:ind w:firstLine="3937" w:firstLineChars="1875"/>
        <w:rPr>
          <w:rFonts w:cs="Arial" w:asciiTheme="minorEastAsia" w:hAnsiTheme="minorEastAsia" w:eastAsiaTheme="minorEastAsia"/>
          <w:color w:val="000000"/>
          <w:sz w:val="21"/>
          <w:szCs w:val="21"/>
        </w:rPr>
      </w:pPr>
      <w:r>
        <w:rPr>
          <w:rFonts w:hint="eastAsia" w:cs="Arial" w:asciiTheme="minorEastAsia" w:hAnsiTheme="minorEastAsia" w:eastAsiaTheme="minorEastAsia"/>
          <w:color w:val="000000"/>
          <w:sz w:val="21"/>
          <w:szCs w:val="21"/>
        </w:rPr>
        <w:t>签署日期：   年   月  日</w:t>
      </w:r>
    </w:p>
    <w:p>
      <w:pPr>
        <w:pStyle w:val="48"/>
        <w:spacing w:line="480" w:lineRule="auto"/>
        <w:rPr>
          <w:rFonts w:cs="Arial" w:asciiTheme="minorEastAsia" w:hAnsiTheme="minorEastAsia"/>
          <w:color w:val="000000"/>
          <w:sz w:val="21"/>
          <w:szCs w:val="21"/>
        </w:rPr>
      </w:pPr>
    </w:p>
    <w:p>
      <w:pPr>
        <w:rPr>
          <w:szCs w:val="21"/>
        </w:rPr>
      </w:pPr>
    </w:p>
    <w:p>
      <w:pPr>
        <w:spacing w:line="320" w:lineRule="exact"/>
        <w:ind w:firstLine="420" w:firstLineChars="200"/>
        <w:rPr>
          <w:rFonts w:asciiTheme="minorEastAsia" w:hAnsiTheme="minorEastAsia"/>
          <w:bCs/>
          <w:color w:val="000000"/>
          <w:kern w:val="12"/>
          <w:szCs w:val="21"/>
        </w:rPr>
      </w:pPr>
      <w:r>
        <w:rPr>
          <w:rFonts w:hint="eastAsia" w:asciiTheme="minorEastAsia" w:hAnsiTheme="minorEastAsia"/>
          <w:bCs/>
          <w:color w:val="000000"/>
          <w:kern w:val="12"/>
          <w:szCs w:val="21"/>
        </w:rPr>
        <w:t>说明：法定代表人（单位负责人）</w:t>
      </w:r>
      <w:r>
        <w:rPr>
          <w:rFonts w:asciiTheme="minorEastAsia" w:hAnsiTheme="minorEastAsia"/>
          <w:bCs/>
          <w:color w:val="000000"/>
          <w:kern w:val="12"/>
          <w:szCs w:val="21"/>
        </w:rPr>
        <w:t>参</w:t>
      </w:r>
      <w:r>
        <w:rPr>
          <w:rFonts w:hint="eastAsia" w:asciiTheme="minorEastAsia" w:hAnsiTheme="minorEastAsia"/>
          <w:bCs/>
          <w:color w:val="000000"/>
          <w:kern w:val="12"/>
          <w:szCs w:val="21"/>
        </w:rPr>
        <w:t>加本竞争性谈判</w:t>
      </w:r>
      <w:r>
        <w:rPr>
          <w:rFonts w:asciiTheme="minorEastAsia" w:hAnsiTheme="minorEastAsia"/>
          <w:bCs/>
          <w:color w:val="000000"/>
          <w:kern w:val="12"/>
          <w:szCs w:val="21"/>
        </w:rPr>
        <w:t>项目</w:t>
      </w:r>
      <w:r>
        <w:rPr>
          <w:rFonts w:hint="eastAsia" w:asciiTheme="minorEastAsia" w:hAnsiTheme="minorEastAsia"/>
          <w:bCs/>
          <w:color w:val="000000"/>
          <w:kern w:val="12"/>
          <w:szCs w:val="21"/>
        </w:rPr>
        <w:t>响应的，</w:t>
      </w:r>
      <w:r>
        <w:rPr>
          <w:rFonts w:asciiTheme="minorEastAsia" w:hAnsiTheme="minorEastAsia"/>
          <w:bCs/>
          <w:color w:val="000000"/>
          <w:kern w:val="12"/>
          <w:szCs w:val="21"/>
        </w:rPr>
        <w:t>仅须</w:t>
      </w:r>
      <w:r>
        <w:rPr>
          <w:rFonts w:hint="eastAsia" w:asciiTheme="minorEastAsia" w:hAnsiTheme="minorEastAsia"/>
          <w:bCs/>
          <w:color w:val="000000"/>
          <w:kern w:val="12"/>
          <w:szCs w:val="21"/>
        </w:rPr>
        <w:t>出具此</w:t>
      </w:r>
      <w:r>
        <w:rPr>
          <w:rFonts w:asciiTheme="minorEastAsia" w:hAnsiTheme="minorEastAsia"/>
          <w:bCs/>
          <w:color w:val="000000"/>
          <w:kern w:val="12"/>
          <w:szCs w:val="21"/>
        </w:rPr>
        <w:t>证</w:t>
      </w:r>
      <w:r>
        <w:rPr>
          <w:rFonts w:hint="eastAsia" w:asciiTheme="minorEastAsia" w:hAnsiTheme="minorEastAsia"/>
          <w:bCs/>
          <w:color w:val="000000"/>
          <w:kern w:val="12"/>
          <w:szCs w:val="21"/>
        </w:rPr>
        <w:t>明</w:t>
      </w:r>
      <w:r>
        <w:rPr>
          <w:rFonts w:asciiTheme="minorEastAsia" w:hAnsiTheme="minorEastAsia"/>
          <w:bCs/>
          <w:color w:val="000000"/>
          <w:kern w:val="12"/>
          <w:szCs w:val="21"/>
        </w:rPr>
        <w:t>书</w:t>
      </w:r>
      <w:r>
        <w:rPr>
          <w:rFonts w:hint="eastAsia" w:asciiTheme="minorEastAsia" w:hAnsiTheme="minorEastAsia"/>
          <w:bCs/>
          <w:color w:val="000000"/>
          <w:kern w:val="12"/>
          <w:szCs w:val="21"/>
        </w:rPr>
        <w:t>。</w:t>
      </w:r>
    </w:p>
    <w:p>
      <w:pPr>
        <w:spacing w:line="480" w:lineRule="exact"/>
        <w:jc w:val="center"/>
        <w:rPr>
          <w:rFonts w:ascii="宋体" w:hAnsi="宋体"/>
          <w:b/>
          <w:bCs/>
          <w:color w:val="000000"/>
          <w:sz w:val="36"/>
          <w:szCs w:val="36"/>
        </w:rPr>
      </w:pPr>
    </w:p>
    <w:p>
      <w:pPr>
        <w:spacing w:line="480" w:lineRule="exact"/>
        <w:jc w:val="center"/>
        <w:rPr>
          <w:rFonts w:ascii="宋体" w:hAnsi="宋体"/>
          <w:b/>
          <w:bCs/>
          <w:color w:val="000000"/>
          <w:sz w:val="24"/>
          <w:szCs w:val="24"/>
        </w:rPr>
      </w:pPr>
      <w:r>
        <w:rPr>
          <w:rFonts w:hint="eastAsia" w:ascii="宋体" w:hAnsi="宋体"/>
          <w:b/>
          <w:bCs/>
          <w:color w:val="000000"/>
          <w:sz w:val="24"/>
          <w:szCs w:val="24"/>
        </w:rPr>
        <w:t>3.3 法定代表人（单位负责人）授权书</w:t>
      </w:r>
    </w:p>
    <w:p>
      <w:pPr>
        <w:spacing w:line="480" w:lineRule="exact"/>
        <w:jc w:val="center"/>
        <w:rPr>
          <w:rFonts w:ascii="宋体" w:hAnsi="宋体"/>
          <w:b/>
          <w:bCs/>
          <w:color w:val="000000"/>
          <w:sz w:val="36"/>
          <w:szCs w:val="36"/>
        </w:rPr>
      </w:pP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本人</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法人姓名</w:t>
      </w:r>
      <w:r>
        <w:rPr>
          <w:rFonts w:hint="eastAsia" w:cs="Arial" w:asciiTheme="minorEastAsia" w:hAnsiTheme="minorEastAsia"/>
          <w:szCs w:val="21"/>
        </w:rPr>
        <w:t>系</w:t>
      </w:r>
      <w:r>
        <w:rPr>
          <w:rFonts w:hint="eastAsia" w:cs="Arial" w:asciiTheme="minorEastAsia" w:hAnsiTheme="minorEastAsia"/>
          <w:szCs w:val="21"/>
          <w:u w:val="single"/>
        </w:rPr>
        <w:t>　</w:t>
      </w:r>
      <w:r>
        <w:rPr>
          <w:rFonts w:hint="eastAsia" w:asciiTheme="minorEastAsia" w:hAnsiTheme="minorEastAsia"/>
          <w:i/>
          <w:snapToGrid w:val="0"/>
          <w:szCs w:val="21"/>
          <w:u w:val="single"/>
        </w:rPr>
        <w:t xml:space="preserve">供应商名称  </w:t>
      </w:r>
      <w:r>
        <w:rPr>
          <w:rFonts w:hint="eastAsia" w:cs="Arial" w:asciiTheme="minorEastAsia" w:hAnsiTheme="minorEastAsia"/>
          <w:szCs w:val="21"/>
        </w:rPr>
        <w:t>的法定代表人（单位负责人），现委托</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姓名，职务</w:t>
      </w:r>
      <w:r>
        <w:rPr>
          <w:rFonts w:hint="eastAsia" w:cs="Arial" w:asciiTheme="minorEastAsia" w:hAnsiTheme="minorEastAsia"/>
          <w:szCs w:val="21"/>
        </w:rPr>
        <w:t>以我方的名义参加贵方______________________项目的谈判响应活动，并代表我方全权办理针对上述项目的谈判、响应文件澄清、签约等一切具体事务和签署相关文件。</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我方对被授权人的签名事项负全部责任。</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被授权人无转委托权，特此委托。</w:t>
      </w:r>
    </w:p>
    <w:p>
      <w:pPr>
        <w:spacing w:line="480" w:lineRule="auto"/>
        <w:ind w:firstLine="420" w:firstLineChars="200"/>
        <w:rPr>
          <w:rFonts w:asciiTheme="minorEastAsia" w:hAnsiTheme="minorEastAsia"/>
          <w:szCs w:val="21"/>
        </w:rPr>
      </w:pPr>
      <w:r>
        <w:rPr>
          <w:rFonts w:hint="eastAsia" w:asciiTheme="minorEastAsia" w:hAnsiTheme="minorEastAsia"/>
          <w:szCs w:val="21"/>
        </w:rPr>
        <w:t xml:space="preserve">投标人名称： </w:t>
      </w:r>
      <w:r>
        <w:rPr>
          <w:rFonts w:hint="eastAsia" w:asciiTheme="minorEastAsia" w:hAnsiTheme="minorEastAsia"/>
          <w:szCs w:val="21"/>
          <w:u w:val="single"/>
        </w:rPr>
        <w:t xml:space="preserve">       （全称）       </w:t>
      </w:r>
      <w:r>
        <w:rPr>
          <w:rFonts w:hint="eastAsia" w:asciiTheme="minorEastAsia" w:hAnsiTheme="minorEastAsia"/>
          <w:szCs w:val="21"/>
        </w:rPr>
        <w:t xml:space="preserve"> （盖单位公章）</w:t>
      </w:r>
    </w:p>
    <w:p>
      <w:pPr>
        <w:spacing w:line="480" w:lineRule="auto"/>
        <w:ind w:firstLine="420" w:firstLineChars="200"/>
        <w:rPr>
          <w:rFonts w:cs="Arial" w:asciiTheme="minorEastAsia" w:hAnsiTheme="minorEastAsia"/>
          <w:szCs w:val="21"/>
        </w:rPr>
      </w:pPr>
      <w:r>
        <w:rPr>
          <w:rFonts w:hint="eastAsia" w:cs="Arial" w:asciiTheme="minorEastAsia" w:hAnsiTheme="minorEastAsia"/>
          <w:szCs w:val="21"/>
        </w:rPr>
        <w:t>法定代表人（单位负责人）：              （签字或加盖名章）</w:t>
      </w:r>
    </w:p>
    <w:p>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  （签字或加盖名章）</w:t>
      </w:r>
    </w:p>
    <w:tbl>
      <w:tblPr>
        <w:tblStyle w:val="23"/>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636" w:hRule="atLeast"/>
        </w:trPr>
        <w:tc>
          <w:tcPr>
            <w:tcW w:w="4484" w:type="dxa"/>
            <w:vAlign w:val="center"/>
          </w:tcPr>
          <w:p>
            <w:pPr>
              <w:jc w:val="center"/>
              <w:rPr>
                <w:rFonts w:asciiTheme="minorEastAsia" w:hAnsiTheme="minorEastAsia"/>
                <w:szCs w:val="21"/>
              </w:rPr>
            </w:pPr>
            <w:r>
              <w:rPr>
                <w:rFonts w:hint="eastAsia" w:asciiTheme="minorEastAsia" w:hAnsiTheme="minorEastAsia"/>
                <w:szCs w:val="21"/>
              </w:rPr>
              <w:t>法定代表人（单位负责人）身份证（正面）</w:t>
            </w:r>
          </w:p>
        </w:tc>
        <w:tc>
          <w:tcPr>
            <w:tcW w:w="4485"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1" w:hRule="atLeast"/>
        </w:trPr>
        <w:tc>
          <w:tcPr>
            <w:tcW w:w="4491"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（正面）</w:t>
            </w:r>
          </w:p>
        </w:tc>
        <w:tc>
          <w:tcPr>
            <w:tcW w:w="4492"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（反面）</w:t>
            </w:r>
          </w:p>
        </w:tc>
      </w:tr>
    </w:tbl>
    <w:p>
      <w:pPr>
        <w:spacing w:line="320" w:lineRule="exact"/>
        <w:ind w:left="2" w:firstLine="357" w:firstLineChars="149"/>
        <w:rPr>
          <w:rFonts w:cs="Courier New" w:asciiTheme="minorEastAsia" w:hAnsiTheme="minorEastAsia"/>
          <w:sz w:val="24"/>
          <w:szCs w:val="24"/>
        </w:rPr>
      </w:pPr>
    </w:p>
    <w:p>
      <w:pPr>
        <w:widowControl/>
        <w:spacing w:before="100" w:beforeAutospacing="1" w:after="100" w:afterAutospacing="1" w:line="360" w:lineRule="auto"/>
        <w:jc w:val="center"/>
        <w:rPr>
          <w:rFonts w:ascii="宋体" w:hAnsi="宋体"/>
          <w:b/>
          <w:bCs/>
          <w:color w:val="000000"/>
          <w:sz w:val="24"/>
          <w:szCs w:val="24"/>
        </w:rPr>
      </w:pPr>
      <w:r>
        <w:rPr>
          <w:rFonts w:hint="eastAsia" w:ascii="宋体" w:hAnsi="宋体"/>
          <w:b/>
          <w:bCs/>
          <w:color w:val="000000"/>
          <w:sz w:val="24"/>
          <w:szCs w:val="24"/>
        </w:rPr>
        <w:t>3.4 没有重大违法记录的声明</w:t>
      </w:r>
    </w:p>
    <w:p>
      <w:pPr>
        <w:spacing w:beforeLines="50" w:afterLines="50"/>
        <w:jc w:val="center"/>
        <w:rPr>
          <w:rFonts w:ascii="宋体" w:hAnsi="宋体" w:cs="Arial"/>
          <w:color w:val="000000"/>
          <w:kern w:val="0"/>
          <w:sz w:val="28"/>
          <w:szCs w:val="28"/>
        </w:rPr>
      </w:pPr>
      <w:r>
        <w:rPr>
          <w:rFonts w:hint="eastAsia" w:ascii="宋体" w:hAnsi="宋体" w:cs="Arial"/>
          <w:color w:val="000000"/>
          <w:kern w:val="0"/>
          <w:sz w:val="28"/>
          <w:szCs w:val="28"/>
        </w:rPr>
        <w:t>声　   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特此声明。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本公司对上述声明的真实性负责。如有虚假，将依法承担相应责任。</w:t>
      </w:r>
    </w:p>
    <w:p>
      <w:pPr>
        <w:spacing w:beforeLines="50" w:afterLines="50" w:line="360" w:lineRule="auto"/>
        <w:ind w:firstLine="495" w:firstLineChars="236"/>
        <w:rPr>
          <w:rFonts w:cs="宋体" w:asciiTheme="minorEastAsia" w:hAnsiTheme="minorEastAsia"/>
          <w:szCs w:val="21"/>
          <w:lang w:val="zh-CN"/>
        </w:rPr>
      </w:pPr>
    </w:p>
    <w:p>
      <w:pPr>
        <w:spacing w:beforeLines="50" w:afterLines="50" w:line="360" w:lineRule="auto"/>
        <w:ind w:right="420" w:firstLine="4800" w:firstLineChars="2286"/>
        <w:rPr>
          <w:rFonts w:cs="宋体" w:asciiTheme="minorEastAsia" w:hAnsiTheme="minorEastAsia"/>
          <w:szCs w:val="21"/>
          <w:lang w:val="zh-CN"/>
        </w:rPr>
      </w:pPr>
      <w:r>
        <w:rPr>
          <w:rFonts w:hint="eastAsia" w:cs="宋体" w:asciiTheme="minorEastAsia" w:hAnsiTheme="minorEastAsia"/>
          <w:szCs w:val="21"/>
          <w:lang w:val="zh-CN"/>
        </w:rPr>
        <w:t>单位名称（盖章）：</w:t>
      </w:r>
    </w:p>
    <w:p>
      <w:pPr>
        <w:spacing w:beforeLines="50" w:afterLines="50" w:line="360" w:lineRule="auto"/>
        <w:ind w:right="420" w:firstLine="4800" w:firstLineChars="2286"/>
        <w:rPr>
          <w:rFonts w:cs="宋体" w:asciiTheme="minorEastAsia" w:hAnsiTheme="minorEastAsia"/>
          <w:szCs w:val="21"/>
          <w:lang w:val="zh-CN"/>
        </w:rPr>
      </w:pPr>
      <w:r>
        <w:rPr>
          <w:rFonts w:hint="eastAsia" w:cs="宋体" w:asciiTheme="minorEastAsia" w:hAnsiTheme="minorEastAsia"/>
          <w:szCs w:val="21"/>
          <w:lang w:val="zh-CN"/>
        </w:rPr>
        <w:t xml:space="preserve">日    期：     </w:t>
      </w:r>
      <w:r>
        <w:rPr>
          <w:rFonts w:hint="eastAsia" w:cs="宋体" w:asciiTheme="minorEastAsia" w:hAnsiTheme="minorEastAsia"/>
          <w:szCs w:val="21"/>
        </w:rPr>
        <w:t>年    月    日</w:t>
      </w: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autoSpaceDE w:val="0"/>
        <w:autoSpaceDN w:val="0"/>
        <w:adjustRightInd w:val="0"/>
        <w:spacing w:line="360" w:lineRule="auto"/>
        <w:ind w:firstLine="3373" w:firstLineChars="1400"/>
        <w:jc w:val="both"/>
        <w:outlineLvl w:val="0"/>
        <w:rPr>
          <w:rFonts w:hint="eastAsia" w:ascii="宋体" w:hAnsi="宋体"/>
          <w:b/>
          <w:bCs/>
          <w:color w:val="000000"/>
          <w:sz w:val="24"/>
          <w:szCs w:val="24"/>
        </w:rPr>
      </w:pPr>
    </w:p>
    <w:p>
      <w:pPr>
        <w:autoSpaceDE w:val="0"/>
        <w:autoSpaceDN w:val="0"/>
        <w:adjustRightInd w:val="0"/>
        <w:spacing w:line="360" w:lineRule="auto"/>
        <w:ind w:firstLine="3373" w:firstLineChars="1400"/>
        <w:jc w:val="both"/>
        <w:outlineLvl w:val="0"/>
        <w:rPr>
          <w:rFonts w:hint="eastAsia" w:ascii="宋体" w:hAnsi="宋体"/>
          <w:b/>
          <w:bCs/>
          <w:color w:val="000000"/>
          <w:sz w:val="24"/>
          <w:szCs w:val="24"/>
        </w:rPr>
      </w:pPr>
    </w:p>
    <w:p>
      <w:pPr>
        <w:autoSpaceDE w:val="0"/>
        <w:autoSpaceDN w:val="0"/>
        <w:adjustRightInd w:val="0"/>
        <w:spacing w:line="360" w:lineRule="auto"/>
        <w:ind w:firstLine="3373" w:firstLineChars="1400"/>
        <w:jc w:val="both"/>
        <w:outlineLvl w:val="0"/>
        <w:rPr>
          <w:rFonts w:hint="eastAsia" w:ascii="宋体" w:hAnsi="宋体"/>
          <w:b/>
          <w:bCs/>
          <w:color w:val="000000"/>
          <w:sz w:val="24"/>
          <w:szCs w:val="24"/>
        </w:rPr>
      </w:pPr>
    </w:p>
    <w:p>
      <w:pPr>
        <w:autoSpaceDE w:val="0"/>
        <w:autoSpaceDN w:val="0"/>
        <w:adjustRightInd w:val="0"/>
        <w:spacing w:line="360" w:lineRule="auto"/>
        <w:ind w:firstLine="3373" w:firstLineChars="1400"/>
        <w:jc w:val="both"/>
        <w:outlineLvl w:val="0"/>
        <w:rPr>
          <w:rFonts w:hint="eastAsia" w:ascii="宋体" w:hAnsi="宋体"/>
          <w:b/>
          <w:bCs/>
          <w:color w:val="000000"/>
          <w:sz w:val="24"/>
          <w:szCs w:val="24"/>
        </w:rPr>
      </w:pPr>
    </w:p>
    <w:p>
      <w:pPr>
        <w:autoSpaceDE w:val="0"/>
        <w:autoSpaceDN w:val="0"/>
        <w:adjustRightInd w:val="0"/>
        <w:spacing w:line="360" w:lineRule="auto"/>
        <w:ind w:firstLine="3373" w:firstLineChars="1400"/>
        <w:jc w:val="both"/>
        <w:outlineLvl w:val="0"/>
        <w:rPr>
          <w:rFonts w:hint="eastAsia" w:ascii="宋体" w:hAnsi="宋体"/>
          <w:b/>
          <w:bCs/>
          <w:color w:val="000000"/>
          <w:sz w:val="24"/>
          <w:szCs w:val="24"/>
        </w:rPr>
      </w:pPr>
    </w:p>
    <w:p>
      <w:pPr>
        <w:autoSpaceDE w:val="0"/>
        <w:autoSpaceDN w:val="0"/>
        <w:adjustRightInd w:val="0"/>
        <w:spacing w:line="360" w:lineRule="auto"/>
        <w:ind w:firstLine="3373" w:firstLineChars="1400"/>
        <w:jc w:val="both"/>
        <w:outlineLvl w:val="0"/>
        <w:rPr>
          <w:rFonts w:hint="eastAsia" w:ascii="宋体" w:hAnsi="宋体"/>
          <w:b/>
          <w:bCs/>
          <w:color w:val="000000"/>
          <w:sz w:val="24"/>
          <w:szCs w:val="24"/>
        </w:rPr>
      </w:pPr>
    </w:p>
    <w:p>
      <w:pPr>
        <w:autoSpaceDE w:val="0"/>
        <w:autoSpaceDN w:val="0"/>
        <w:adjustRightInd w:val="0"/>
        <w:spacing w:line="360" w:lineRule="auto"/>
        <w:ind w:firstLine="3373" w:firstLineChars="1400"/>
        <w:jc w:val="both"/>
        <w:outlineLvl w:val="0"/>
        <w:rPr>
          <w:rFonts w:hint="eastAsia" w:ascii="宋体" w:hAnsi="宋体"/>
          <w:b/>
          <w:bCs/>
          <w:color w:val="000000"/>
          <w:sz w:val="24"/>
          <w:szCs w:val="24"/>
        </w:rPr>
      </w:pPr>
    </w:p>
    <w:p>
      <w:pPr>
        <w:autoSpaceDE w:val="0"/>
        <w:autoSpaceDN w:val="0"/>
        <w:adjustRightInd w:val="0"/>
        <w:spacing w:line="360" w:lineRule="auto"/>
        <w:ind w:firstLine="3373" w:firstLineChars="1400"/>
        <w:jc w:val="both"/>
        <w:outlineLvl w:val="0"/>
        <w:rPr>
          <w:rFonts w:hint="eastAsia" w:ascii="宋体" w:hAnsi="宋体"/>
          <w:b/>
          <w:bCs/>
          <w:color w:val="000000"/>
          <w:sz w:val="24"/>
          <w:szCs w:val="24"/>
        </w:rPr>
      </w:pPr>
    </w:p>
    <w:p>
      <w:pPr>
        <w:autoSpaceDE w:val="0"/>
        <w:autoSpaceDN w:val="0"/>
        <w:adjustRightInd w:val="0"/>
        <w:spacing w:line="360" w:lineRule="auto"/>
        <w:ind w:firstLine="3373" w:firstLineChars="1400"/>
        <w:jc w:val="both"/>
        <w:outlineLvl w:val="0"/>
        <w:rPr>
          <w:rFonts w:hint="eastAsia" w:ascii="宋体" w:hAnsi="宋体"/>
          <w:b/>
          <w:bCs/>
          <w:color w:val="000000"/>
          <w:sz w:val="24"/>
          <w:szCs w:val="24"/>
        </w:rPr>
      </w:pPr>
    </w:p>
    <w:p>
      <w:pPr>
        <w:autoSpaceDE w:val="0"/>
        <w:autoSpaceDN w:val="0"/>
        <w:adjustRightInd w:val="0"/>
        <w:spacing w:line="360" w:lineRule="auto"/>
        <w:ind w:firstLine="3373" w:firstLineChars="1400"/>
        <w:jc w:val="both"/>
        <w:outlineLvl w:val="0"/>
        <w:rPr>
          <w:rFonts w:ascii="宋体" w:hAnsi="宋体"/>
          <w:b/>
          <w:bCs/>
          <w:color w:val="000000"/>
          <w:sz w:val="24"/>
          <w:szCs w:val="24"/>
        </w:rPr>
      </w:pPr>
      <w:r>
        <w:rPr>
          <w:rFonts w:hint="eastAsia" w:ascii="宋体" w:hAnsi="宋体"/>
          <w:b/>
          <w:bCs/>
          <w:color w:val="000000"/>
          <w:sz w:val="24"/>
          <w:szCs w:val="24"/>
        </w:rPr>
        <w:t xml:space="preserve"> 3.5 投标承诺函</w:t>
      </w:r>
    </w:p>
    <w:p>
      <w:pPr>
        <w:autoSpaceDE w:val="0"/>
        <w:autoSpaceDN w:val="0"/>
        <w:adjustRightInd w:val="0"/>
        <w:spacing w:line="360" w:lineRule="auto"/>
        <w:jc w:val="center"/>
        <w:outlineLvl w:val="0"/>
        <w:rPr>
          <w:rFonts w:hAnsi="宋体" w:eastAsia="宋体"/>
          <w:b/>
          <w:snapToGrid w:val="0"/>
          <w:kern w:val="0"/>
          <w:sz w:val="36"/>
          <w:szCs w:val="36"/>
        </w:rPr>
      </w:pPr>
    </w:p>
    <w:p>
      <w:pPr>
        <w:pStyle w:val="22"/>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本企业郑重承诺：</w:t>
      </w:r>
    </w:p>
    <w:p>
      <w:pPr>
        <w:pStyle w:val="22"/>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一、将遵循公开、公平、公正和诚实信用的原则参加(</w:t>
      </w:r>
      <w:r>
        <w:rPr>
          <w:rFonts w:hint="eastAsia" w:asciiTheme="minorEastAsia" w:hAnsiTheme="minorEastAsia" w:eastAsiaTheme="minorEastAsia" w:cstheme="minorBidi"/>
          <w:color w:val="FF0000"/>
          <w:sz w:val="21"/>
          <w:szCs w:val="21"/>
        </w:rPr>
        <w:t>具体政府采购项目名称</w:t>
      </w:r>
      <w:r>
        <w:rPr>
          <w:rFonts w:hint="eastAsia" w:asciiTheme="minorEastAsia" w:hAnsiTheme="minorEastAsia" w:eastAsiaTheme="minorEastAsia" w:cstheme="minorBidi"/>
          <w:color w:val="000000"/>
          <w:sz w:val="21"/>
          <w:szCs w:val="21"/>
        </w:rPr>
        <w:t>）的投标;</w:t>
      </w:r>
    </w:p>
    <w:p>
      <w:pPr>
        <w:pStyle w:val="22"/>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 xml:space="preserve">二、本次投标所提供的一切材料都是真实、有效、合法的; </w:t>
      </w:r>
    </w:p>
    <w:p>
      <w:pPr>
        <w:pStyle w:val="22"/>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三、不与其他投标人相互串通投标报价，不排挤其他投标人的公平竞争，不损害采购人或其他投标人的合法权益;</w:t>
      </w:r>
    </w:p>
    <w:p>
      <w:pPr>
        <w:pStyle w:val="22"/>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四、不与采购人或集中采购机构串通投标，不损害国家利益、社会公共利益或者他人的合法权益;</w:t>
      </w:r>
    </w:p>
    <w:p>
      <w:pPr>
        <w:pStyle w:val="22"/>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五、不向采购人或者</w:t>
      </w:r>
      <w:r>
        <w:fldChar w:fldCharType="begin"/>
      </w:r>
      <w:r>
        <w:instrText xml:space="preserve"> HYPERLINK "http://www.cbi360.net/hyjd/1zt102.html" \t "https://www.cbi360.net/hyjd/20170619/_blank" </w:instrText>
      </w:r>
      <w:r>
        <w:fldChar w:fldCharType="separate"/>
      </w:r>
      <w:r>
        <w:rPr>
          <w:rFonts w:hint="eastAsia" w:asciiTheme="minorEastAsia" w:hAnsiTheme="minorEastAsia" w:eastAsiaTheme="minorEastAsia" w:cstheme="minorBidi"/>
          <w:color w:val="000000"/>
          <w:sz w:val="21"/>
          <w:szCs w:val="21"/>
        </w:rPr>
        <w:t>评标</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委员会成员行贿以牟取</w:t>
      </w:r>
      <w:r>
        <w:fldChar w:fldCharType="begin"/>
      </w:r>
      <w:r>
        <w:instrText xml:space="preserve"> HYPERLINK "http://hhb.cbi360.net/TenderBangSoso.aspx" \t "https://www.cbi360.net/hyjd/20170619/_blank" </w:instrText>
      </w:r>
      <w:r>
        <w:fldChar w:fldCharType="separate"/>
      </w:r>
      <w:r>
        <w:rPr>
          <w:rFonts w:hint="eastAsia" w:asciiTheme="minorEastAsia" w:hAnsiTheme="minorEastAsia" w:eastAsiaTheme="minorEastAsia" w:cstheme="minorBidi"/>
          <w:color w:val="000000"/>
          <w:sz w:val="21"/>
          <w:szCs w:val="21"/>
        </w:rPr>
        <w:t>中标</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w:t>
      </w:r>
    </w:p>
    <w:p>
      <w:pPr>
        <w:pStyle w:val="22"/>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六、不以他人名义投标或者以其他方式弄虚作假，骗取中标;</w:t>
      </w:r>
    </w:p>
    <w:p>
      <w:pPr>
        <w:pStyle w:val="22"/>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七、不扰乱禹州市政府采购市场秩序;</w:t>
      </w:r>
    </w:p>
    <w:p>
      <w:pPr>
        <w:pStyle w:val="22"/>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八、不在</w:t>
      </w:r>
      <w:r>
        <w:fldChar w:fldCharType="begin"/>
      </w:r>
      <w:r>
        <w:instrText xml:space="preserve"> HYPERLINK "http://www.cbi360.net/hyjd/1zt99.html" \t "https://www.cbi360.net/hyjd/20170619/_blank" </w:instrText>
      </w:r>
      <w:r>
        <w:fldChar w:fldCharType="separate"/>
      </w:r>
      <w:r>
        <w:rPr>
          <w:rFonts w:hint="eastAsia" w:asciiTheme="minorEastAsia" w:hAnsiTheme="minorEastAsia" w:eastAsiaTheme="minorEastAsia" w:cstheme="minorBidi"/>
          <w:color w:val="000000"/>
          <w:sz w:val="21"/>
          <w:szCs w:val="21"/>
        </w:rPr>
        <w:t>开标</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后进行虚假恶意投诉;</w:t>
      </w:r>
    </w:p>
    <w:p>
      <w:pPr>
        <w:pStyle w:val="22"/>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九、中标后不得将</w:t>
      </w:r>
      <w:r>
        <w:fldChar w:fldCharType="begin"/>
      </w:r>
      <w:r>
        <w:instrText xml:space="preserve"> HYPERLINK "http://www.cbi360.net/hyjd/1zt49.html" \t "https://www.cbi360.net/hyjd/20170619/_blank" </w:instrText>
      </w:r>
      <w:r>
        <w:fldChar w:fldCharType="separate"/>
      </w:r>
      <w:r>
        <w:rPr>
          <w:rFonts w:hint="eastAsia" w:asciiTheme="minorEastAsia" w:hAnsiTheme="minorEastAsia" w:eastAsiaTheme="minorEastAsia" w:cstheme="minorBidi"/>
          <w:color w:val="000000"/>
          <w:sz w:val="21"/>
          <w:szCs w:val="21"/>
        </w:rPr>
        <w:t>招标文件</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规定不予转包、分包的项目转包、分包于他人。</w:t>
      </w:r>
    </w:p>
    <w:p>
      <w:pPr>
        <w:pStyle w:val="22"/>
        <w:keepNext w:val="0"/>
        <w:keepLines w:val="0"/>
        <w:pageBreakBefore w:val="0"/>
        <w:widowControl/>
        <w:shd w:val="clear" w:color="auto" w:fill="FFFFFF"/>
        <w:kinsoku/>
        <w:wordWrap/>
        <w:overflowPunct/>
        <w:topLinePunct w:val="0"/>
        <w:autoSpaceDE/>
        <w:autoSpaceDN/>
        <w:bidi w:val="0"/>
        <w:adjustRightInd/>
        <w:snapToGrid/>
        <w:spacing w:after="300" w:line="360" w:lineRule="auto"/>
        <w:ind w:firstLine="420" w:firstLineChars="200"/>
        <w:textAlignment w:val="auto"/>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本公司若有违反本承诺内容的行为，愿意承担法律责任，包括：愿意接受相关行政主管部门作出的处罚，愿意接受禹州市政府采购监督管理办公室作出的罚没履约保证金或者现金处罚、限制交易和停止交易等市场准入与清出的处理。</w:t>
      </w:r>
    </w:p>
    <w:p>
      <w:pPr>
        <w:pStyle w:val="22"/>
        <w:widowControl/>
        <w:shd w:val="clear" w:color="auto" w:fill="FFFFFF"/>
        <w:spacing w:after="300" w:line="336" w:lineRule="atLeast"/>
        <w:rPr>
          <w:rFonts w:asciiTheme="minorEastAsia" w:hAnsiTheme="minorEastAsia" w:eastAsiaTheme="minorEastAsia" w:cstheme="minorBidi"/>
          <w:color w:val="000000"/>
          <w:sz w:val="21"/>
          <w:szCs w:val="21"/>
        </w:rPr>
      </w:pPr>
    </w:p>
    <w:p>
      <w:pPr>
        <w:pStyle w:val="22"/>
        <w:widowControl/>
        <w:shd w:val="clear" w:color="auto" w:fill="FFFFFF"/>
        <w:spacing w:after="300" w:line="336" w:lineRule="atLeast"/>
        <w:ind w:firstLine="3570" w:firstLineChars="17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投标商名称(盖章)：</w:t>
      </w:r>
    </w:p>
    <w:p>
      <w:pPr>
        <w:pStyle w:val="22"/>
        <w:widowControl/>
        <w:shd w:val="clear" w:color="auto" w:fill="FFFFFF"/>
        <w:spacing w:after="300" w:line="336" w:lineRule="atLeast"/>
        <w:ind w:firstLine="6300" w:firstLineChars="30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年  月  日</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both"/>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 xml:space="preserve">3.6 其他资格证书或材料 </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both"/>
        <w:rPr>
          <w:rFonts w:hint="eastAsia" w:cs="黑体" w:asciiTheme="minorEastAsia" w:hAnsiTheme="minorEastAsia"/>
          <w:b/>
          <w:bCs/>
          <w:sz w:val="28"/>
          <w:szCs w:val="28"/>
          <w:lang w:val="zh-CN"/>
        </w:rPr>
      </w:pPr>
    </w:p>
    <w:p>
      <w:pPr>
        <w:pStyle w:val="2"/>
        <w:rPr>
          <w:rFonts w:hint="eastAsia" w:cs="黑体" w:asciiTheme="minorEastAsia" w:hAnsiTheme="minorEastAsia"/>
          <w:b/>
          <w:bCs/>
          <w:sz w:val="28"/>
          <w:szCs w:val="28"/>
          <w:lang w:val="zh-CN"/>
        </w:rPr>
      </w:pPr>
    </w:p>
    <w:p>
      <w:pPr>
        <w:pStyle w:val="4"/>
        <w:rPr>
          <w:rFonts w:hint="eastAsia"/>
          <w:lang w:val="zh-CN"/>
        </w:rPr>
      </w:pPr>
    </w:p>
    <w:p>
      <w:pPr>
        <w:autoSpaceDE w:val="0"/>
        <w:autoSpaceDN w:val="0"/>
        <w:adjustRightInd w:val="0"/>
        <w:spacing w:line="360" w:lineRule="auto"/>
        <w:jc w:val="both"/>
        <w:rPr>
          <w:rFonts w:hint="eastAsia" w:cs="黑体" w:asciiTheme="minorEastAsia" w:hAnsiTheme="minorEastAsia"/>
          <w:b/>
          <w:bCs/>
          <w:sz w:val="28"/>
          <w:szCs w:val="28"/>
          <w:lang w:val="zh-CN"/>
        </w:rPr>
      </w:pPr>
    </w:p>
    <w:p>
      <w:pPr>
        <w:numPr>
          <w:ilvl w:val="0"/>
          <w:numId w:val="35"/>
        </w:numPr>
        <w:autoSpaceDE w:val="0"/>
        <w:autoSpaceDN w:val="0"/>
        <w:adjustRightInd w:val="0"/>
        <w:spacing w:line="360" w:lineRule="auto"/>
        <w:jc w:val="center"/>
        <w:rPr>
          <w:rFonts w:hint="eastAsia" w:cs="黑体" w:asciiTheme="minorEastAsia" w:hAnsiTheme="minorEastAsia"/>
          <w:b/>
          <w:bCs/>
          <w:sz w:val="28"/>
          <w:szCs w:val="28"/>
          <w:lang w:val="zh-CN"/>
        </w:rPr>
      </w:pPr>
      <w:r>
        <w:rPr>
          <w:rFonts w:hint="eastAsia" w:cs="黑体" w:asciiTheme="minorEastAsia" w:hAnsiTheme="minorEastAsia"/>
          <w:b/>
          <w:bCs/>
          <w:sz w:val="28"/>
          <w:szCs w:val="28"/>
          <w:lang w:val="zh-CN"/>
        </w:rPr>
        <w:t>符合性审查证明材料</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4.1 投标分项报价表</w:t>
      </w: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3"/>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280" w:lineRule="exact"/>
              <w:jc w:val="center"/>
              <w:rPr>
                <w:rFonts w:cs="宋体" w:asciiTheme="minorEastAsia" w:hAnsiTheme="minorEastAsia"/>
                <w:b/>
                <w:szCs w:val="21"/>
                <w:lang w:val="zh-CN"/>
              </w:rPr>
            </w:pPr>
            <w:r>
              <w:rPr>
                <w:rFonts w:hint="eastAsia" w:cs="宋体" w:asciiTheme="minorEastAsia" w:hAnsiTheme="minorEastAsia"/>
                <w:b/>
                <w:szCs w:val="21"/>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lang w:val="zh-CN"/>
              </w:rPr>
            </w:pPr>
            <w:r>
              <w:rPr>
                <w:rFonts w:hint="eastAsia" w:cs="宋体" w:asciiTheme="minorEastAsia" w:hAnsiTheme="minorEastAsia"/>
                <w:b/>
                <w:szCs w:val="21"/>
                <w:lang w:val="zh-CN"/>
              </w:rPr>
              <w:t>品牌规格型号</w:t>
            </w:r>
          </w:p>
        </w:tc>
        <w:tc>
          <w:tcPr>
            <w:tcW w:w="12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技术</w:t>
            </w:r>
          </w:p>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lang w:val="zh-CN"/>
              </w:rPr>
            </w:pPr>
            <w:r>
              <w:rPr>
                <w:rFonts w:hint="eastAsia" w:cs="宋体" w:asciiTheme="minorEastAsia" w:hAnsiTheme="minorEastAsia"/>
                <w:b/>
                <w:szCs w:val="21"/>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产地及</w:t>
            </w:r>
          </w:p>
          <w:p>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厂家</w:t>
            </w: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1</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Layout w:type="fixed"/>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Theme="minorEastAsia" w:hAnsiTheme="minorEastAsia"/>
                <w:szCs w:val="21"/>
              </w:rPr>
            </w:pPr>
            <w:r>
              <w:rPr>
                <w:rFonts w:hint="eastAsia" w:cs="宋体" w:asciiTheme="minorEastAsia" w:hAnsiTheme="minorEastAsia"/>
                <w:szCs w:val="21"/>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05" w:firstLineChars="50"/>
              <w:rPr>
                <w:rFonts w:cs="宋体" w:asciiTheme="minorEastAsia" w:hAnsiTheme="minorEastAsia"/>
                <w:szCs w:val="21"/>
                <w:lang w:val="zh-CN"/>
              </w:rPr>
            </w:pPr>
            <w:r>
              <w:rPr>
                <w:rFonts w:hint="eastAsia" w:cs="宋体" w:asciiTheme="minorEastAsia" w:hAnsiTheme="minorEastAsia"/>
                <w:szCs w:val="21"/>
                <w:lang w:val="zh-CN"/>
              </w:rPr>
              <w:t>大写：　　　　　　小写：</w:t>
            </w: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投标人法定代表人（单位负责人）或授权代表签字：</w:t>
      </w:r>
    </w:p>
    <w:p>
      <w:pPr>
        <w:autoSpaceDE w:val="0"/>
        <w:autoSpaceDN w:val="0"/>
        <w:adjustRightInd w:val="0"/>
        <w:spacing w:line="480" w:lineRule="auto"/>
        <w:rPr>
          <w:rFonts w:cs="宋体" w:asciiTheme="minorEastAsia" w:hAnsiTheme="minorEastAsia"/>
          <w:sz w:val="24"/>
          <w:szCs w:val="24"/>
          <w:lang w:val="zh-CN"/>
        </w:rPr>
      </w:pPr>
    </w:p>
    <w:p>
      <w:pPr>
        <w:spacing w:line="300" w:lineRule="exact"/>
        <w:rPr>
          <w:rFonts w:asciiTheme="minorEastAsia" w:hAnsiTheme="minorEastAsia"/>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4.2 技术规格偏离表</w:t>
      </w: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3"/>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11"/>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11"/>
              <w:jc w:val="center"/>
              <w:rPr>
                <w:rFonts w:ascii="宋体" w:hAnsi="宋体" w:eastAsia="宋体" w:cs="宋体"/>
                <w:b/>
                <w:bCs/>
                <w:sz w:val="21"/>
                <w:szCs w:val="21"/>
              </w:rPr>
            </w:pPr>
            <w:r>
              <w:rPr>
                <w:rFonts w:hint="eastAsia" w:ascii="宋体" w:hAnsi="宋体" w:eastAsia="宋体" w:cs="宋体"/>
                <w:b/>
                <w:bCs/>
                <w:sz w:val="21"/>
                <w:szCs w:val="21"/>
              </w:rPr>
              <w:t>货物服务</w:t>
            </w:r>
          </w:p>
          <w:p>
            <w:pPr>
              <w:pStyle w:val="11"/>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11"/>
              <w:jc w:val="center"/>
              <w:rPr>
                <w:rFonts w:ascii="宋体" w:hAnsi="宋体" w:eastAsia="宋体" w:cs="宋体"/>
                <w:b/>
                <w:bCs/>
                <w:sz w:val="21"/>
                <w:szCs w:val="21"/>
              </w:rPr>
            </w:pPr>
            <w:r>
              <w:rPr>
                <w:rFonts w:hint="eastAsia" w:ascii="宋体" w:hAnsi="宋体" w:eastAsia="宋体" w:cs="宋体"/>
                <w:b/>
                <w:bCs/>
                <w:sz w:val="21"/>
                <w:szCs w:val="21"/>
                <w:lang w:eastAsia="zh-CN"/>
              </w:rPr>
              <w:t>品牌</w:t>
            </w: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11"/>
              <w:jc w:val="center"/>
              <w:rPr>
                <w:rFonts w:ascii="宋体" w:hAnsi="宋体" w:eastAsia="宋体" w:cs="宋体"/>
                <w:b/>
                <w:bCs/>
                <w:sz w:val="21"/>
                <w:szCs w:val="21"/>
              </w:rPr>
            </w:pPr>
            <w:r>
              <w:rPr>
                <w:rFonts w:hint="eastAsia" w:ascii="宋体" w:hAnsi="宋体" w:eastAsia="宋体" w:cs="宋体"/>
                <w:b/>
                <w:bCs/>
                <w:sz w:val="21"/>
                <w:szCs w:val="21"/>
              </w:rPr>
              <w:t>招标文件</w:t>
            </w:r>
          </w:p>
          <w:p>
            <w:pPr>
              <w:pStyle w:val="11"/>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11"/>
              <w:jc w:val="center"/>
              <w:rPr>
                <w:rFonts w:ascii="宋体" w:hAnsi="宋体" w:eastAsia="宋体" w:cs="宋体"/>
                <w:b/>
                <w:bCs/>
                <w:sz w:val="21"/>
                <w:szCs w:val="21"/>
              </w:rPr>
            </w:pPr>
            <w:r>
              <w:rPr>
                <w:rFonts w:hint="eastAsia" w:ascii="宋体" w:hAnsi="宋体" w:eastAsia="宋体" w:cs="宋体"/>
                <w:b/>
                <w:bCs/>
                <w:sz w:val="21"/>
                <w:szCs w:val="21"/>
              </w:rPr>
              <w:t>投标技术</w:t>
            </w:r>
          </w:p>
          <w:p>
            <w:pPr>
              <w:pStyle w:val="11"/>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11"/>
              <w:jc w:val="center"/>
              <w:rPr>
                <w:rFonts w:ascii="宋体" w:hAnsi="宋体" w:eastAsia="宋体" w:cs="宋体"/>
                <w:b/>
                <w:bCs/>
                <w:sz w:val="21"/>
                <w:szCs w:val="21"/>
              </w:rPr>
            </w:pPr>
            <w:r>
              <w:rPr>
                <w:rFonts w:hint="eastAsia" w:ascii="宋体" w:hAnsi="宋体" w:eastAsia="宋体" w:cs="宋体"/>
                <w:b/>
                <w:bCs/>
                <w:sz w:val="21"/>
                <w:szCs w:val="21"/>
              </w:rPr>
              <w:t>偏离</w:t>
            </w:r>
          </w:p>
          <w:p>
            <w:pPr>
              <w:jc w:val="center"/>
              <w:rPr>
                <w:rFonts w:ascii="宋体" w:hAnsi="宋体" w:eastAsia="宋体" w:cs="宋体"/>
                <w:b/>
                <w:bCs/>
                <w:szCs w:val="21"/>
              </w:rPr>
            </w:pPr>
            <w:r>
              <w:rPr>
                <w:rFonts w:hint="eastAsia" w:ascii="宋体" w:hAnsi="宋体" w:eastAsia="宋体" w:cs="宋体"/>
                <w:b/>
                <w:bCs/>
                <w:szCs w:val="21"/>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11"/>
              <w:jc w:val="center"/>
              <w:rPr>
                <w:rFonts w:ascii="宋体" w:hAnsi="宋体" w:eastAsia="宋体" w:cs="宋体"/>
                <w:b/>
                <w:bCs/>
                <w:sz w:val="21"/>
                <w:szCs w:val="21"/>
              </w:rPr>
            </w:pPr>
            <w:r>
              <w:rPr>
                <w:rFonts w:hint="eastAsia" w:ascii="宋体" w:hAnsi="宋体" w:eastAsia="宋体" w:cs="宋体"/>
                <w:b/>
                <w:bCs/>
                <w:sz w:val="21"/>
                <w:szCs w:val="21"/>
              </w:rPr>
              <w:t>偏离内容</w:t>
            </w:r>
          </w:p>
          <w:p>
            <w:pPr>
              <w:pStyle w:val="11"/>
              <w:jc w:val="center"/>
              <w:rPr>
                <w:rFonts w:ascii="宋体" w:hAnsi="宋体" w:eastAsia="宋体" w:cs="宋体"/>
                <w:b/>
                <w:bCs/>
                <w:sz w:val="21"/>
                <w:szCs w:val="21"/>
              </w:rPr>
            </w:pPr>
            <w:r>
              <w:rPr>
                <w:rFonts w:hint="eastAsia" w:ascii="宋体" w:hAnsi="宋体" w:eastAsia="宋体" w:cs="宋体"/>
                <w:b/>
                <w:bCs/>
                <w:sz w:val="21"/>
                <w:szCs w:val="21"/>
              </w:rPr>
              <w:t>说明</w:t>
            </w:r>
          </w:p>
        </w:tc>
      </w:tr>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投标人法定代表人（单位负责人）或授权代表签字：</w:t>
      </w: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4.3 技术方案（实施方案）</w:t>
      </w: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（投标人根据招标文件要求自行编制）</w:t>
      </w: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投标人法定代表人（单位负责人）或授权代表签字：</w:t>
      </w: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w:t>
      </w:r>
      <w:r>
        <w:rPr>
          <w:rFonts w:hint="eastAsia" w:ascii="宋体" w:hAnsi="宋体"/>
          <w:b/>
          <w:bCs/>
          <w:color w:val="000000"/>
          <w:sz w:val="24"/>
          <w:szCs w:val="24"/>
          <w:lang w:val="en-US" w:eastAsia="zh-CN"/>
        </w:rPr>
        <w:t>4</w:t>
      </w:r>
      <w:r>
        <w:rPr>
          <w:rFonts w:hint="eastAsia" w:ascii="宋体" w:hAnsi="宋体"/>
          <w:b/>
          <w:bCs/>
          <w:color w:val="000000"/>
          <w:sz w:val="24"/>
          <w:szCs w:val="24"/>
        </w:rPr>
        <w:t xml:space="preserve"> 售后服务方案</w:t>
      </w: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（投标人根据招标文件要求自行编制）</w:t>
      </w: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w:t>
      </w:r>
      <w:r>
        <w:rPr>
          <w:rFonts w:hint="eastAsia" w:ascii="宋体" w:hAnsi="宋体"/>
          <w:b/>
          <w:bCs/>
          <w:color w:val="000000"/>
          <w:sz w:val="24"/>
          <w:szCs w:val="24"/>
          <w:lang w:val="en-US" w:eastAsia="zh-CN"/>
        </w:rPr>
        <w:t>5</w:t>
      </w:r>
      <w:r>
        <w:rPr>
          <w:rFonts w:hint="eastAsia" w:ascii="宋体" w:hAnsi="宋体"/>
          <w:b/>
          <w:bCs/>
          <w:color w:val="000000"/>
          <w:sz w:val="24"/>
          <w:szCs w:val="24"/>
        </w:rPr>
        <w:t xml:space="preserve"> 中小企业声明函</w:t>
      </w:r>
    </w:p>
    <w:p>
      <w:pPr>
        <w:spacing w:line="360" w:lineRule="auto"/>
        <w:jc w:val="center"/>
        <w:rPr>
          <w:rFonts w:ascii="宋体" w:hAnsi="宋体"/>
          <w:b/>
          <w:bCs/>
          <w:color w:val="000000"/>
          <w:szCs w:val="21"/>
        </w:rPr>
      </w:pPr>
    </w:p>
    <w:p>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hint="eastAsia" w:ascii="宋体" w:hAnsi="宋体" w:cs="Arial"/>
          <w:color w:val="000000"/>
          <w:kern w:val="0"/>
          <w:szCs w:val="21"/>
        </w:rPr>
        <w:t>本公司郑重声明，根据《政府采购促进中小企业发展暂行办法》（财库[2011]181号）的规定，本公司为______（请填写：中型、小型、微型）企业。即，本公司同时满足以下条件：</w:t>
      </w:r>
      <w:r>
        <w:rPr>
          <w:rFonts w:hint="eastAsia" w:ascii="宋体" w:hAnsi="宋体" w:cs="Arial"/>
          <w:color w:val="000000"/>
          <w:kern w:val="0"/>
          <w:szCs w:val="21"/>
        </w:rPr>
        <w:br w:type="textWrapping"/>
      </w:r>
      <w:r>
        <w:rPr>
          <w:rFonts w:hint="eastAsia" w:ascii="宋体" w:hAnsi="宋体" w:cs="Arial"/>
          <w:color w:val="000000"/>
          <w:kern w:val="0"/>
          <w:szCs w:val="21"/>
        </w:rPr>
        <w:t>　　根据《工业和信息化部、国家统计局、国家发展和改革委员会、财政部关于印发中小企业划型标准规定的通知》（工信部联企业[2011]300号）规定的划分标准，</w:t>
      </w:r>
      <w:r>
        <w:rPr>
          <w:rFonts w:hint="eastAsia"/>
          <w:color w:val="000000"/>
          <w:szCs w:val="21"/>
        </w:rPr>
        <w:t>按照《国家统计局关于印发统计上大中小微型企业划分办法的通知》（国统字</w:t>
      </w:r>
      <w:r>
        <w:rPr>
          <w:color w:val="000000"/>
          <w:szCs w:val="21"/>
        </w:rPr>
        <w:t>[2011] 75</w:t>
      </w:r>
      <w:r>
        <w:rPr>
          <w:rFonts w:hint="eastAsia"/>
          <w:color w:val="000000"/>
          <w:szCs w:val="21"/>
        </w:rPr>
        <w:t>号）规定，本公司所属行业为</w:t>
      </w:r>
      <w:r>
        <w:rPr>
          <w:color w:val="000000"/>
          <w:szCs w:val="21"/>
        </w:rPr>
        <w:t>______</w:t>
      </w:r>
      <w:r>
        <w:rPr>
          <w:rFonts w:hint="eastAsia"/>
          <w:color w:val="000000"/>
          <w:szCs w:val="21"/>
        </w:rPr>
        <w:t>，截至上一财年末，公司资产总额</w:t>
      </w:r>
      <w:r>
        <w:rPr>
          <w:color w:val="000000"/>
          <w:szCs w:val="21"/>
        </w:rPr>
        <w:t>______</w:t>
      </w:r>
      <w:r>
        <w:rPr>
          <w:rFonts w:hint="eastAsia"/>
          <w:color w:val="000000"/>
          <w:szCs w:val="21"/>
        </w:rPr>
        <w:t>万元，营业收入</w:t>
      </w:r>
      <w:r>
        <w:rPr>
          <w:color w:val="000000"/>
          <w:szCs w:val="21"/>
        </w:rPr>
        <w:t>______</w:t>
      </w:r>
      <w:r>
        <w:rPr>
          <w:rFonts w:hint="eastAsia"/>
          <w:color w:val="000000"/>
          <w:szCs w:val="21"/>
        </w:rPr>
        <w:t>万元，从业人员</w:t>
      </w:r>
      <w:r>
        <w:rPr>
          <w:color w:val="000000"/>
          <w:szCs w:val="21"/>
        </w:rPr>
        <w:t>______</w:t>
      </w:r>
      <w:r>
        <w:rPr>
          <w:rFonts w:hint="eastAsia"/>
          <w:color w:val="000000"/>
          <w:szCs w:val="21"/>
        </w:rPr>
        <w:t>人，</w:t>
      </w:r>
      <w:r>
        <w:rPr>
          <w:rFonts w:hint="eastAsia" w:ascii="宋体" w:hAnsi="宋体" w:cs="Arial"/>
          <w:color w:val="000000"/>
          <w:kern w:val="0"/>
          <w:szCs w:val="21"/>
        </w:rPr>
        <w:t>本公司为______（请填写：中型、小型、微型）企业。　　</w:t>
      </w:r>
    </w:p>
    <w:p>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hint="eastAsia" w:ascii="宋体" w:hAnsi="宋体" w:cs="Arial"/>
          <w:color w:val="000000"/>
          <w:kern w:val="0"/>
          <w:szCs w:val="21"/>
        </w:rPr>
        <w:t>本公司对上述声明的真实性负责。如有虚假，将依法承担相应责任。</w:t>
      </w:r>
    </w:p>
    <w:p>
      <w:pPr>
        <w:widowControl/>
        <w:spacing w:before="100" w:beforeAutospacing="1" w:after="100" w:afterAutospacing="1" w:line="360" w:lineRule="auto"/>
        <w:ind w:left="3885" w:leftChars="1850"/>
        <w:jc w:val="left"/>
        <w:rPr>
          <w:rFonts w:ascii="宋体" w:hAnsi="宋体" w:cs="Arial"/>
          <w:color w:val="000000"/>
          <w:kern w:val="0"/>
          <w:szCs w:val="21"/>
        </w:rPr>
      </w:pPr>
    </w:p>
    <w:p>
      <w:pPr>
        <w:widowControl/>
        <w:spacing w:before="100" w:beforeAutospacing="1" w:after="100" w:afterAutospacing="1" w:line="360" w:lineRule="auto"/>
        <w:ind w:left="3885" w:leftChars="1850"/>
        <w:jc w:val="left"/>
        <w:rPr>
          <w:rFonts w:ascii="宋体" w:hAnsi="宋体" w:cs="Arial"/>
          <w:color w:val="000000"/>
          <w:kern w:val="0"/>
          <w:szCs w:val="21"/>
        </w:rPr>
      </w:pPr>
    </w:p>
    <w:p>
      <w:pPr>
        <w:widowControl/>
        <w:spacing w:before="100" w:beforeAutospacing="1" w:after="100" w:afterAutospacing="1" w:line="360" w:lineRule="auto"/>
        <w:ind w:left="3885" w:leftChars="1850"/>
        <w:jc w:val="left"/>
        <w:rPr>
          <w:rFonts w:ascii="宋体" w:hAnsi="宋体" w:cs="Arial"/>
          <w:color w:val="000000"/>
          <w:kern w:val="0"/>
          <w:szCs w:val="21"/>
        </w:rPr>
      </w:pPr>
      <w:r>
        <w:rPr>
          <w:rFonts w:hint="eastAsia" w:ascii="宋体" w:hAnsi="宋体" w:cs="Arial"/>
          <w:color w:val="000000"/>
          <w:kern w:val="0"/>
          <w:szCs w:val="21"/>
        </w:rPr>
        <w:t>企业名称（盖章）：　　　　　　　　　</w:t>
      </w:r>
      <w:r>
        <w:rPr>
          <w:rFonts w:hint="eastAsia" w:ascii="宋体" w:hAnsi="宋体" w:cs="Arial"/>
          <w:color w:val="000000"/>
          <w:kern w:val="0"/>
          <w:szCs w:val="21"/>
        </w:rPr>
        <w:br w:type="textWrapping"/>
      </w:r>
      <w:r>
        <w:rPr>
          <w:rFonts w:hint="eastAsia" w:ascii="宋体" w:hAnsi="宋体" w:cs="Arial"/>
          <w:color w:val="000000"/>
          <w:kern w:val="0"/>
          <w:szCs w:val="21"/>
        </w:rPr>
        <w:t xml:space="preserve">日　  期：      </w:t>
      </w:r>
      <w:r>
        <w:rPr>
          <w:rFonts w:hint="eastAsia" w:cs="宋体" w:asciiTheme="minorEastAsia" w:hAnsiTheme="minorEastAsia"/>
          <w:szCs w:val="21"/>
        </w:rPr>
        <w:t>年    月    日</w:t>
      </w:r>
    </w:p>
    <w:p>
      <w:pPr>
        <w:widowControl/>
        <w:spacing w:before="100" w:beforeAutospacing="1" w:after="100" w:afterAutospacing="1" w:line="360" w:lineRule="auto"/>
        <w:contextualSpacing/>
        <w:jc w:val="left"/>
        <w:rPr>
          <w:rFonts w:ascii="宋体" w:hAnsi="宋体"/>
          <w:color w:val="000000"/>
          <w:szCs w:val="21"/>
        </w:rPr>
      </w:pPr>
      <w:r>
        <w:rPr>
          <w:rFonts w:hint="eastAsia" w:ascii="宋体" w:hAnsi="宋体"/>
          <w:color w:val="000000"/>
          <w:szCs w:val="21"/>
        </w:rPr>
        <w:t>说明：</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1、不属于中小企业划型标准确定的中小企业，不得按《关于印发中小企业划型标准规定的通知》规定声明为中小微企业，也不适用《政府采购促进中小企业发展暂行办法》。</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2、如投标人为联合投标的，联合投标人需分别填写上述《中小企业声明函》。</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3、小型和微型企业不包括民办非企业。</w:t>
      </w:r>
    </w:p>
    <w:p>
      <w:pPr>
        <w:autoSpaceDE w:val="0"/>
        <w:autoSpaceDN w:val="0"/>
        <w:adjustRightInd w:val="0"/>
        <w:spacing w:line="360" w:lineRule="auto"/>
        <w:jc w:val="center"/>
        <w:outlineLvl w:val="0"/>
        <w:rPr>
          <w:rFonts w:ascii="宋体" w:hAnsi="宋体"/>
          <w:b/>
          <w:bCs/>
          <w:color w:val="000000"/>
          <w:sz w:val="24"/>
          <w:szCs w:val="24"/>
        </w:rPr>
      </w:pPr>
      <w:bookmarkStart w:id="81" w:name="OLE_LINK13"/>
      <w:bookmarkStart w:id="82" w:name="OLE_LINK14"/>
      <w:r>
        <w:rPr>
          <w:rFonts w:hint="eastAsia" w:ascii="宋体" w:hAnsi="宋体"/>
          <w:b/>
          <w:bCs/>
          <w:color w:val="000000"/>
          <w:sz w:val="24"/>
          <w:szCs w:val="24"/>
        </w:rPr>
        <w:t>4.</w:t>
      </w:r>
      <w:r>
        <w:rPr>
          <w:rFonts w:hint="eastAsia" w:ascii="宋体" w:hAnsi="宋体"/>
          <w:b/>
          <w:bCs/>
          <w:color w:val="000000"/>
          <w:sz w:val="24"/>
          <w:szCs w:val="24"/>
          <w:lang w:val="en-US" w:eastAsia="zh-CN"/>
        </w:rPr>
        <w:t>6</w:t>
      </w:r>
      <w:r>
        <w:rPr>
          <w:rFonts w:hint="eastAsia" w:ascii="宋体" w:hAnsi="宋体"/>
          <w:b/>
          <w:bCs/>
          <w:color w:val="000000"/>
          <w:sz w:val="24"/>
          <w:szCs w:val="24"/>
        </w:rPr>
        <w:t xml:space="preserve"> 残疾人福利性单位声明函</w:t>
      </w:r>
    </w:p>
    <w:bookmarkEnd w:id="81"/>
    <w:bookmarkEnd w:id="82"/>
    <w:p>
      <w:pPr>
        <w:spacing w:line="360" w:lineRule="auto"/>
        <w:rPr>
          <w:rFonts w:ascii="宋体" w:hAnsi="宋体"/>
          <w:szCs w:val="21"/>
        </w:rPr>
      </w:pPr>
    </w:p>
    <w:p>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单位名称（盖章）：</w:t>
      </w:r>
    </w:p>
    <w:p>
      <w:pPr>
        <w:spacing w:line="360" w:lineRule="auto"/>
        <w:rPr>
          <w:rFonts w:ascii="宋体" w:hAnsi="宋体"/>
          <w:szCs w:val="21"/>
        </w:rPr>
      </w:pPr>
      <w:r>
        <w:rPr>
          <w:rFonts w:hint="eastAsia" w:ascii="宋体" w:hAnsi="宋体"/>
          <w:szCs w:val="21"/>
        </w:rPr>
        <w:t xml:space="preserve">                                    日    期：      </w:t>
      </w:r>
      <w:r>
        <w:rPr>
          <w:rFonts w:hint="eastAsia" w:cs="宋体" w:asciiTheme="minorEastAsia" w:hAnsiTheme="minorEastAsia"/>
          <w:szCs w:val="21"/>
        </w:rPr>
        <w:t>年    月    日</w:t>
      </w:r>
    </w:p>
    <w:p/>
    <w:p/>
    <w:p/>
    <w:p/>
    <w:p/>
    <w:p/>
    <w:p/>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w:t>
      </w:r>
      <w:r>
        <w:rPr>
          <w:rFonts w:hint="eastAsia" w:ascii="宋体" w:hAnsi="宋体"/>
          <w:b/>
          <w:bCs/>
          <w:color w:val="000000"/>
          <w:sz w:val="24"/>
          <w:szCs w:val="24"/>
          <w:lang w:val="en-US" w:eastAsia="zh-CN"/>
        </w:rPr>
        <w:t>7</w:t>
      </w:r>
      <w:r>
        <w:rPr>
          <w:rFonts w:hint="eastAsia" w:ascii="宋体" w:hAnsi="宋体"/>
          <w:b/>
          <w:bCs/>
          <w:color w:val="000000"/>
          <w:sz w:val="24"/>
          <w:szCs w:val="24"/>
        </w:rPr>
        <w:t xml:space="preserve"> 所投产品符合国家强制性要求承诺函 </w:t>
      </w:r>
    </w:p>
    <w:p>
      <w:pPr>
        <w:autoSpaceDE w:val="0"/>
        <w:autoSpaceDN w:val="0"/>
        <w:adjustRightInd w:val="0"/>
        <w:spacing w:line="360" w:lineRule="auto"/>
        <w:jc w:val="center"/>
        <w:outlineLvl w:val="0"/>
        <w:rPr>
          <w:rFonts w:ascii="宋体" w:hAnsi="宋体"/>
          <w:b/>
          <w:bCs/>
          <w:color w:val="000000"/>
          <w:sz w:val="28"/>
          <w:szCs w:val="28"/>
        </w:rPr>
      </w:pPr>
    </w:p>
    <w:p>
      <w:pPr>
        <w:spacing w:line="360" w:lineRule="auto"/>
        <w:jc w:val="center"/>
        <w:rPr>
          <w:rFonts w:ascii="宋体" w:hAnsi="宋体" w:cs="Arial"/>
          <w:color w:val="000000"/>
          <w:kern w:val="0"/>
          <w:szCs w:val="21"/>
        </w:rPr>
      </w:pPr>
      <w:r>
        <w:rPr>
          <w:rFonts w:hint="eastAsia" w:ascii="宋体" w:hAnsi="宋体" w:cs="Arial"/>
          <w:color w:val="000000"/>
          <w:kern w:val="0"/>
          <w:szCs w:val="21"/>
        </w:rPr>
        <w:t>投标人所投产品涉及国家有属强制性规定的，须承诺其所投产品符合国家强制性要求（如CCC认证，格式自拟）</w:t>
      </w:r>
    </w:p>
    <w:p>
      <w:pPr>
        <w:widowControl/>
        <w:spacing w:before="100" w:beforeAutospacing="1" w:after="100" w:afterAutospacing="1" w:line="360" w:lineRule="auto"/>
        <w:jc w:val="center"/>
        <w:rPr>
          <w:rFonts w:ascii="宋体" w:hAnsi="宋体"/>
          <w:b/>
          <w:bCs/>
          <w:color w:val="000000"/>
          <w:sz w:val="36"/>
          <w:szCs w:val="36"/>
        </w:rPr>
      </w:pPr>
    </w:p>
    <w:p>
      <w:pPr>
        <w:widowControl/>
        <w:spacing w:before="100" w:beforeAutospacing="1" w:after="100" w:afterAutospacing="1" w:line="360" w:lineRule="auto"/>
        <w:jc w:val="center"/>
        <w:rPr>
          <w:rFonts w:ascii="宋体" w:hAnsi="宋体"/>
          <w:b/>
          <w:bCs/>
          <w:color w:val="000000"/>
          <w:sz w:val="36"/>
          <w:szCs w:val="36"/>
        </w:rPr>
      </w:pPr>
    </w:p>
    <w:p/>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spacing w:line="500" w:lineRule="exact"/>
        <w:outlineLvl w:val="0"/>
        <w:rPr>
          <w:rFonts w:hint="eastAsia" w:ascii="仿宋" w:hAnsi="仿宋" w:eastAsia="仿宋" w:cs="仿宋"/>
          <w:sz w:val="24"/>
          <w:szCs w:val="24"/>
        </w:rPr>
      </w:pPr>
      <w:r>
        <w:rPr>
          <w:rFonts w:hint="eastAsia" w:ascii="仿宋" w:hAnsi="仿宋" w:eastAsia="仿宋" w:cs="仿宋"/>
          <w:sz w:val="24"/>
          <w:szCs w:val="24"/>
        </w:rPr>
        <w:t xml:space="preserve">          </w:t>
      </w:r>
    </w:p>
    <w:p>
      <w:pPr>
        <w:spacing w:line="500" w:lineRule="exact"/>
        <w:outlineLvl w:val="0"/>
        <w:rPr>
          <w:rFonts w:hint="eastAsia" w:ascii="仿宋" w:hAnsi="仿宋" w:eastAsia="仿宋" w:cs="仿宋"/>
          <w:sz w:val="24"/>
          <w:szCs w:val="24"/>
        </w:rPr>
      </w:pPr>
    </w:p>
    <w:p>
      <w:pPr>
        <w:spacing w:line="500" w:lineRule="exact"/>
        <w:outlineLvl w:val="0"/>
        <w:rPr>
          <w:rFonts w:hint="eastAsia" w:ascii="仿宋" w:hAnsi="仿宋" w:eastAsia="仿宋" w:cs="仿宋"/>
          <w:b/>
          <w:sz w:val="24"/>
          <w:szCs w:val="24"/>
        </w:rPr>
      </w:pPr>
      <w:r>
        <w:rPr>
          <w:rFonts w:hint="eastAsia" w:ascii="仿宋" w:hAnsi="仿宋" w:eastAsia="仿宋" w:cs="仿宋"/>
          <w:sz w:val="24"/>
          <w:szCs w:val="24"/>
        </w:rPr>
        <w:t xml:space="preserve">                 </w:t>
      </w:r>
    </w:p>
    <w:p>
      <w:pPr>
        <w:spacing w:line="500" w:lineRule="exact"/>
        <w:jc w:val="center"/>
        <w:outlineLvl w:val="0"/>
        <w:rPr>
          <w:rFonts w:hint="eastAsia" w:ascii="仿宋" w:hAnsi="仿宋" w:eastAsia="仿宋" w:cs="仿宋"/>
          <w:b/>
          <w:sz w:val="24"/>
          <w:szCs w:val="24"/>
        </w:rPr>
      </w:pPr>
    </w:p>
    <w:p>
      <w:pPr>
        <w:tabs>
          <w:tab w:val="left" w:pos="1439"/>
        </w:tabs>
        <w:spacing w:line="500" w:lineRule="exact"/>
        <w:outlineLvl w:val="0"/>
        <w:rPr>
          <w:rFonts w:hint="eastAsia" w:ascii="仿宋" w:hAnsi="仿宋" w:eastAsia="仿宋" w:cs="仿宋"/>
          <w:sz w:val="24"/>
          <w:szCs w:val="24"/>
        </w:rPr>
      </w:pPr>
    </w:p>
    <w:p>
      <w:pPr>
        <w:autoSpaceDE w:val="0"/>
        <w:autoSpaceDN w:val="0"/>
        <w:adjustRightInd w:val="0"/>
        <w:spacing w:line="360" w:lineRule="auto"/>
        <w:jc w:val="both"/>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both"/>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五、</w:t>
      </w:r>
      <w:r>
        <w:rPr>
          <w:rFonts w:cs="黑体" w:asciiTheme="minorEastAsia" w:hAnsiTheme="minorEastAsia"/>
          <w:b/>
          <w:bCs/>
          <w:sz w:val="28"/>
          <w:szCs w:val="28"/>
          <w:lang w:val="zh-CN"/>
        </w:rPr>
        <w:t>其他资料（若有）</w:t>
      </w:r>
    </w:p>
    <w:p/>
    <w:p/>
    <w:p/>
    <w:p>
      <w:pPr>
        <w:spacing w:line="360" w:lineRule="auto"/>
        <w:jc w:val="center"/>
        <w:rPr>
          <w:rFonts w:ascii="宋体" w:hAnsi="宋体"/>
          <w:b/>
          <w:bCs/>
          <w:color w:val="000000"/>
          <w:sz w:val="28"/>
          <w:szCs w:val="28"/>
        </w:rPr>
      </w:pPr>
      <w:r>
        <w:rPr>
          <w:rFonts w:ascii="宋体" w:hAnsi="宋体"/>
          <w:b/>
          <w:bCs/>
          <w:color w:val="000000"/>
          <w:sz w:val="28"/>
          <w:szCs w:val="28"/>
        </w:rPr>
        <w:t>除</w:t>
      </w:r>
      <w:r>
        <w:rPr>
          <w:rFonts w:hint="eastAsia" w:ascii="宋体" w:hAnsi="宋体"/>
          <w:b/>
          <w:bCs/>
          <w:color w:val="000000"/>
          <w:sz w:val="28"/>
          <w:szCs w:val="28"/>
        </w:rPr>
        <w:t>谈判</w:t>
      </w:r>
      <w:r>
        <w:rPr>
          <w:rFonts w:ascii="宋体" w:hAnsi="宋体"/>
          <w:b/>
          <w:bCs/>
          <w:color w:val="000000"/>
          <w:sz w:val="28"/>
          <w:szCs w:val="28"/>
        </w:rPr>
        <w:t>文件另有规定外，</w:t>
      </w:r>
      <w:r>
        <w:rPr>
          <w:rFonts w:hint="eastAsia" w:ascii="宋体" w:hAnsi="宋体"/>
          <w:b/>
          <w:bCs/>
          <w:color w:val="000000"/>
          <w:sz w:val="28"/>
          <w:szCs w:val="28"/>
        </w:rPr>
        <w:t>供应商</w:t>
      </w:r>
      <w:r>
        <w:rPr>
          <w:rFonts w:ascii="宋体" w:hAnsi="宋体"/>
          <w:b/>
          <w:bCs/>
          <w:color w:val="000000"/>
          <w:sz w:val="28"/>
          <w:szCs w:val="28"/>
        </w:rPr>
        <w:t>认为需要提交的其他证明材料或资料加盖</w:t>
      </w:r>
      <w:r>
        <w:rPr>
          <w:rFonts w:hint="eastAsia" w:ascii="宋体" w:hAnsi="宋体"/>
          <w:b/>
          <w:bCs/>
          <w:color w:val="000000"/>
          <w:sz w:val="28"/>
          <w:szCs w:val="28"/>
        </w:rPr>
        <w:t>供应商</w:t>
      </w:r>
      <w:r>
        <w:rPr>
          <w:rFonts w:ascii="宋体" w:hAnsi="宋体"/>
          <w:b/>
          <w:bCs/>
          <w:color w:val="000000"/>
          <w:sz w:val="28"/>
          <w:szCs w:val="28"/>
        </w:rPr>
        <w:t>公章后应在此项下提交。</w:t>
      </w:r>
    </w:p>
    <w:p>
      <w:pPr>
        <w:spacing w:line="360" w:lineRule="auto"/>
        <w:jc w:val="center"/>
        <w:rPr>
          <w:rFonts w:ascii="宋体" w:hAnsi="宋体"/>
          <w:b/>
          <w:bCs/>
          <w:color w:val="000000"/>
          <w:sz w:val="28"/>
          <w:szCs w:val="28"/>
        </w:rPr>
      </w:pPr>
      <w:r>
        <w:rPr>
          <w:rFonts w:ascii="宋体" w:hAnsi="宋体"/>
          <w:b/>
          <w:bCs/>
          <w:color w:val="000000"/>
          <w:sz w:val="28"/>
          <w:szCs w:val="28"/>
        </w:rPr>
        <w:t> </w:t>
      </w:r>
    </w:p>
    <w:p/>
    <w:p/>
    <w:p/>
    <w:p/>
    <w:p/>
    <w:p/>
    <w:p/>
    <w:p/>
    <w:p/>
    <w:p/>
    <w:p/>
    <w:p/>
    <w:sectPr>
      <w:pgSz w:w="11906" w:h="16838"/>
      <w:pgMar w:top="2098" w:right="1474" w:bottom="192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
    <w:altName w:val="Arial"/>
    <w:panose1 w:val="020B0604020202020204"/>
    <w:charset w:val="00"/>
    <w:family w:val="decorative"/>
    <w:pitch w:val="default"/>
    <w:sig w:usb0="00000000" w:usb1="00000000" w:usb2="00000000" w:usb3="00000000" w:csb0="00000001" w:csb1="00000000"/>
  </w:font>
  <w:font w:name="微软简隶书">
    <w:altName w:val="黑体"/>
    <w:panose1 w:val="00000000000000000000"/>
    <w:charset w:val="86"/>
    <w:family w:val="auto"/>
    <w:pitch w:val="default"/>
    <w:sig w:usb0="00000000" w:usb1="00000000" w:usb2="00000010" w:usb3="00000000" w:csb0="00040000" w:csb1="00000000"/>
  </w:font>
  <w:font w:name="华文隶书">
    <w:panose1 w:val="02010800040101010101"/>
    <w:charset w:val="86"/>
    <w:family w:val="auto"/>
    <w:pitch w:val="default"/>
    <w:sig w:usb0="00000001" w:usb1="080F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owRVqrsBAABiAwAADgAAAAAAAAABACAAAAAeAQAAZHJzL2Uyb0RvYy54bWxQSwUGAAAAAAYA&#10;BgBZAQAASw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054E63"/>
    <w:multiLevelType w:val="singleLevel"/>
    <w:tmpl w:val="99054E63"/>
    <w:lvl w:ilvl="0" w:tentative="0">
      <w:start w:val="3"/>
      <w:numFmt w:val="chineseCounting"/>
      <w:suff w:val="nothing"/>
      <w:lvlText w:val="%1、"/>
      <w:lvlJc w:val="left"/>
      <w:rPr>
        <w:rFonts w:hint="eastAsia"/>
      </w:rPr>
    </w:lvl>
  </w:abstractNum>
  <w:abstractNum w:abstractNumId="1">
    <w:nsid w:val="99EADE60"/>
    <w:multiLevelType w:val="singleLevel"/>
    <w:tmpl w:val="99EADE60"/>
    <w:lvl w:ilvl="0" w:tentative="0">
      <w:start w:val="1"/>
      <w:numFmt w:val="decimal"/>
      <w:suff w:val="nothing"/>
      <w:lvlText w:val="%1、"/>
      <w:lvlJc w:val="left"/>
    </w:lvl>
  </w:abstractNum>
  <w:abstractNum w:abstractNumId="2">
    <w:nsid w:val="B325D320"/>
    <w:multiLevelType w:val="singleLevel"/>
    <w:tmpl w:val="B325D320"/>
    <w:lvl w:ilvl="0" w:tentative="0">
      <w:start w:val="1"/>
      <w:numFmt w:val="decimal"/>
      <w:suff w:val="nothing"/>
      <w:lvlText w:val="%1、"/>
      <w:lvlJc w:val="left"/>
    </w:lvl>
  </w:abstractNum>
  <w:abstractNum w:abstractNumId="3">
    <w:nsid w:val="BCF6FC7A"/>
    <w:multiLevelType w:val="singleLevel"/>
    <w:tmpl w:val="BCF6FC7A"/>
    <w:lvl w:ilvl="0" w:tentative="0">
      <w:start w:val="1"/>
      <w:numFmt w:val="decimal"/>
      <w:lvlText w:val="%1."/>
      <w:lvlJc w:val="left"/>
      <w:pPr>
        <w:tabs>
          <w:tab w:val="left" w:pos="312"/>
        </w:tabs>
      </w:pPr>
    </w:lvl>
  </w:abstractNum>
  <w:abstractNum w:abstractNumId="4">
    <w:nsid w:val="CE02190D"/>
    <w:multiLevelType w:val="singleLevel"/>
    <w:tmpl w:val="CE02190D"/>
    <w:lvl w:ilvl="0" w:tentative="0">
      <w:start w:val="4"/>
      <w:numFmt w:val="chineseCounting"/>
      <w:suff w:val="nothing"/>
      <w:lvlText w:val="%1、"/>
      <w:lvlJc w:val="left"/>
      <w:rPr>
        <w:rFonts w:hint="eastAsia"/>
      </w:rPr>
    </w:lvl>
  </w:abstractNum>
  <w:abstractNum w:abstractNumId="5">
    <w:nsid w:val="D4379148"/>
    <w:multiLevelType w:val="singleLevel"/>
    <w:tmpl w:val="D4379148"/>
    <w:lvl w:ilvl="0" w:tentative="0">
      <w:start w:val="1"/>
      <w:numFmt w:val="decimal"/>
      <w:suff w:val="nothing"/>
      <w:lvlText w:val="%1、"/>
      <w:lvlJc w:val="left"/>
    </w:lvl>
  </w:abstractNum>
  <w:abstractNum w:abstractNumId="6">
    <w:nsid w:val="DBD26914"/>
    <w:multiLevelType w:val="singleLevel"/>
    <w:tmpl w:val="DBD26914"/>
    <w:lvl w:ilvl="0" w:tentative="0">
      <w:start w:val="1"/>
      <w:numFmt w:val="chineseCounting"/>
      <w:suff w:val="space"/>
      <w:lvlText w:val="第%1章"/>
      <w:lvlJc w:val="left"/>
      <w:rPr>
        <w:rFonts w:hint="eastAsia"/>
      </w:rPr>
    </w:lvl>
  </w:abstractNum>
  <w:abstractNum w:abstractNumId="7">
    <w:nsid w:val="00000006"/>
    <w:multiLevelType w:val="multilevel"/>
    <w:tmpl w:val="00000006"/>
    <w:lvl w:ilvl="0" w:tentative="0">
      <w:start w:val="1"/>
      <w:numFmt w:val="chineseCountingThousand"/>
      <w:pStyle w:val="6"/>
      <w:suff w:val="nothing"/>
      <w:lvlText w:val="第%1部分"/>
      <w:lvlJc w:val="center"/>
      <w:pPr>
        <w:ind w:left="-288" w:firstLine="288"/>
      </w:pPr>
      <w:rPr>
        <w:rFonts w:hint="eastAsia"/>
        <w:sz w:val="28"/>
        <w:szCs w:val="28"/>
      </w:rPr>
    </w:lvl>
    <w:lvl w:ilvl="1" w:tentative="0">
      <w:start w:val="1"/>
      <w:numFmt w:val="chineseCountingThousand"/>
      <w:pStyle w:val="7"/>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9"/>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8">
    <w:nsid w:val="0000000A"/>
    <w:multiLevelType w:val="singleLevel"/>
    <w:tmpl w:val="0000000A"/>
    <w:lvl w:ilvl="0" w:tentative="0">
      <w:start w:val="1"/>
      <w:numFmt w:val="decimal"/>
      <w:suff w:val="nothing"/>
      <w:lvlText w:val="（%1）"/>
      <w:lvlJc w:val="left"/>
    </w:lvl>
  </w:abstractNum>
  <w:abstractNum w:abstractNumId="9">
    <w:nsid w:val="0000000D"/>
    <w:multiLevelType w:val="multilevel"/>
    <w:tmpl w:val="0000000D"/>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0">
    <w:nsid w:val="0000000F"/>
    <w:multiLevelType w:val="multilevel"/>
    <w:tmpl w:val="0000000F"/>
    <w:lvl w:ilvl="0" w:tentative="0">
      <w:start w:val="1"/>
      <w:numFmt w:val="decimal"/>
      <w:lvlText w:val="%1."/>
      <w:lvlJc w:val="left"/>
      <w:pPr>
        <w:tabs>
          <w:tab w:val="left" w:pos="425"/>
        </w:tabs>
        <w:ind w:left="425" w:hanging="425"/>
      </w:pPr>
      <w:rPr>
        <w:rFonts w:hint="eastAsia"/>
      </w:rPr>
    </w:lvl>
    <w:lvl w:ilvl="1" w:tentative="0">
      <w:start w:val="1"/>
      <w:numFmt w:val="none"/>
      <w:lvlText w:val="10.1"/>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00000010"/>
    <w:multiLevelType w:val="multilevel"/>
    <w:tmpl w:val="00000010"/>
    <w:lvl w:ilvl="0" w:tentative="0">
      <w:start w:val="1"/>
      <w:numFmt w:val="decimal"/>
      <w:lvlText w:val="（%1）"/>
      <w:lvlJc w:val="left"/>
      <w:pPr>
        <w:tabs>
          <w:tab w:val="left" w:pos="1260"/>
        </w:tabs>
        <w:ind w:left="1260" w:hanging="72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2">
    <w:nsid w:val="00000011"/>
    <w:multiLevelType w:val="multilevel"/>
    <w:tmpl w:val="00000011"/>
    <w:lvl w:ilvl="0" w:tentative="0">
      <w:start w:val="1"/>
      <w:numFmt w:val="decimal"/>
      <w:lvlText w:val="%1、"/>
      <w:lvlJc w:val="left"/>
      <w:pPr>
        <w:tabs>
          <w:tab w:val="left" w:pos="720"/>
        </w:tabs>
        <w:ind w:left="720" w:hanging="720"/>
      </w:pPr>
      <w:rPr>
        <w:rFonts w:hint="eastAsia"/>
      </w:rPr>
    </w:lvl>
    <w:lvl w:ilvl="1" w:tentative="0">
      <w:start w:val="1"/>
      <w:numFmt w:val="decimal"/>
      <w:lvlText w:val="%2、"/>
      <w:lvlJc w:val="left"/>
      <w:pPr>
        <w:tabs>
          <w:tab w:val="left" w:pos="720"/>
        </w:tabs>
        <w:ind w:left="720" w:hanging="720"/>
      </w:pPr>
      <w:rPr>
        <w:rFonts w:hint="eastAsia"/>
      </w:rPr>
    </w:lvl>
    <w:lvl w:ilvl="2" w:tentative="0">
      <w:start w:val="1"/>
      <w:numFmt w:val="decimal"/>
      <w:lvlText w:val="（%3）"/>
      <w:lvlJc w:val="left"/>
      <w:pPr>
        <w:tabs>
          <w:tab w:val="left" w:pos="1140"/>
        </w:tabs>
        <w:ind w:left="1140" w:hanging="720"/>
      </w:pPr>
      <w:rPr>
        <w:rFonts w:hint="eastAsia"/>
      </w:r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3">
    <w:nsid w:val="00000013"/>
    <w:multiLevelType w:val="singleLevel"/>
    <w:tmpl w:val="00000013"/>
    <w:lvl w:ilvl="0" w:tentative="0">
      <w:start w:val="17"/>
      <w:numFmt w:val="decimal"/>
      <w:suff w:val="nothing"/>
      <w:lvlText w:val="%1、"/>
      <w:lvlJc w:val="left"/>
    </w:lvl>
  </w:abstractNum>
  <w:abstractNum w:abstractNumId="14">
    <w:nsid w:val="00000014"/>
    <w:multiLevelType w:val="multilevel"/>
    <w:tmpl w:val="00000014"/>
    <w:lvl w:ilvl="0" w:tentative="0">
      <w:start w:val="1"/>
      <w:numFmt w:val="decimal"/>
      <w:pStyle w:val="50"/>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05EFCDC2"/>
    <w:multiLevelType w:val="singleLevel"/>
    <w:tmpl w:val="05EFCDC2"/>
    <w:lvl w:ilvl="0" w:tentative="0">
      <w:start w:val="6"/>
      <w:numFmt w:val="chineseCounting"/>
      <w:suff w:val="nothing"/>
      <w:lvlText w:val="%1、"/>
      <w:lvlJc w:val="left"/>
      <w:rPr>
        <w:rFonts w:hint="eastAsia"/>
      </w:rPr>
    </w:lvl>
  </w:abstractNum>
  <w:abstractNum w:abstractNumId="16">
    <w:nsid w:val="06F5198E"/>
    <w:multiLevelType w:val="multilevel"/>
    <w:tmpl w:val="06F5198E"/>
    <w:lvl w:ilvl="0" w:tentative="0">
      <w:start w:val="1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AF92C7A"/>
    <w:multiLevelType w:val="multilevel"/>
    <w:tmpl w:val="0AF92C7A"/>
    <w:lvl w:ilvl="0" w:tentative="0">
      <w:start w:val="26"/>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FD46054"/>
    <w:multiLevelType w:val="multilevel"/>
    <w:tmpl w:val="0FD4605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12655F48"/>
    <w:multiLevelType w:val="multilevel"/>
    <w:tmpl w:val="12655F48"/>
    <w:lvl w:ilvl="0" w:tentative="0">
      <w:start w:val="3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eastAsia="宋体" w:asciiTheme="minorEastAsia" w:hAnsi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0">
    <w:nsid w:val="12DE1331"/>
    <w:multiLevelType w:val="singleLevel"/>
    <w:tmpl w:val="12DE1331"/>
    <w:lvl w:ilvl="0" w:tentative="0">
      <w:start w:val="1"/>
      <w:numFmt w:val="decimal"/>
      <w:suff w:val="nothing"/>
      <w:lvlText w:val="%1、"/>
      <w:lvlJc w:val="left"/>
    </w:lvl>
  </w:abstractNum>
  <w:abstractNum w:abstractNumId="21">
    <w:nsid w:val="14DF6468"/>
    <w:multiLevelType w:val="multilevel"/>
    <w:tmpl w:val="14DF6468"/>
    <w:lvl w:ilvl="0" w:tentative="0">
      <w:start w:val="25"/>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8F52A52"/>
    <w:multiLevelType w:val="multilevel"/>
    <w:tmpl w:val="18F52A52"/>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E3D4831"/>
    <w:multiLevelType w:val="multilevel"/>
    <w:tmpl w:val="1E3D4831"/>
    <w:lvl w:ilvl="0" w:tentative="0">
      <w:start w:val="2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5">
    <w:nsid w:val="245B7142"/>
    <w:multiLevelType w:val="multilevel"/>
    <w:tmpl w:val="245B7142"/>
    <w:lvl w:ilvl="0" w:tentative="0">
      <w:start w:val="23"/>
      <w:numFmt w:val="decimal"/>
      <w:lvlText w:val="%1."/>
      <w:lvlJc w:val="left"/>
      <w:pPr>
        <w:ind w:left="420" w:hanging="420"/>
      </w:pPr>
      <w:rPr>
        <w:rFonts w:hint="eastAsia"/>
      </w:rPr>
    </w:lvl>
    <w:lvl w:ilvl="1" w:tentative="0">
      <w:start w:val="1"/>
      <w:numFmt w:val="decimal"/>
      <w:isLgl/>
      <w:lvlText w:val="%1.%2"/>
      <w:lvlJc w:val="left"/>
      <w:pPr>
        <w:ind w:left="964" w:hanging="544"/>
      </w:pPr>
      <w:rPr>
        <w:rFonts w:hint="default" w:asciiTheme="minorEastAsia" w:hAnsiTheme="minorEastAsia" w:eastAsia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6">
    <w:nsid w:val="3E114617"/>
    <w:multiLevelType w:val="multilevel"/>
    <w:tmpl w:val="3E114617"/>
    <w:lvl w:ilvl="0" w:tentative="0">
      <w:start w:val="3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9F817E8"/>
    <w:multiLevelType w:val="singleLevel"/>
    <w:tmpl w:val="59F817E8"/>
    <w:lvl w:ilvl="0" w:tentative="0">
      <w:start w:val="1"/>
      <w:numFmt w:val="chineseCounting"/>
      <w:pStyle w:val="54"/>
      <w:suff w:val="nothing"/>
      <w:lvlText w:val="%1、"/>
      <w:lvlJc w:val="left"/>
    </w:lvl>
  </w:abstractNum>
  <w:abstractNum w:abstractNumId="28">
    <w:nsid w:val="5A051E9E"/>
    <w:multiLevelType w:val="singleLevel"/>
    <w:tmpl w:val="5A051E9E"/>
    <w:lvl w:ilvl="0" w:tentative="0">
      <w:start w:val="1"/>
      <w:numFmt w:val="chineseCounting"/>
      <w:suff w:val="nothing"/>
      <w:lvlText w:val="%1、"/>
      <w:lvlJc w:val="left"/>
    </w:lvl>
  </w:abstractNum>
  <w:abstractNum w:abstractNumId="29">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6AAE699A"/>
    <w:multiLevelType w:val="multilevel"/>
    <w:tmpl w:val="6AAE699A"/>
    <w:lvl w:ilvl="0" w:tentative="0">
      <w:start w:val="1"/>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4123228"/>
    <w:multiLevelType w:val="multilevel"/>
    <w:tmpl w:val="74123228"/>
    <w:lvl w:ilvl="0" w:tentative="0">
      <w:start w:val="33"/>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754E4703"/>
    <w:multiLevelType w:val="singleLevel"/>
    <w:tmpl w:val="754E4703"/>
    <w:lvl w:ilvl="0" w:tentative="0">
      <w:start w:val="1"/>
      <w:numFmt w:val="chineseCounting"/>
      <w:suff w:val="nothing"/>
      <w:lvlText w:val="%1、"/>
      <w:lvlJc w:val="left"/>
      <w:rPr>
        <w:rFonts w:hint="eastAsia"/>
      </w:rPr>
    </w:lvl>
  </w:abstractNum>
  <w:abstractNum w:abstractNumId="33">
    <w:nsid w:val="7D5C114A"/>
    <w:multiLevelType w:val="multilevel"/>
    <w:tmpl w:val="7D5C114A"/>
    <w:lvl w:ilvl="0" w:tentative="0">
      <w:start w:val="24"/>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7D767924"/>
    <w:multiLevelType w:val="multilevel"/>
    <w:tmpl w:val="7D767924"/>
    <w:lvl w:ilvl="0" w:tentative="0">
      <w:start w:val="34"/>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14"/>
  </w:num>
  <w:num w:numId="3">
    <w:abstractNumId w:val="27"/>
  </w:num>
  <w:num w:numId="4">
    <w:abstractNumId w:val="6"/>
  </w:num>
  <w:num w:numId="5">
    <w:abstractNumId w:val="28"/>
  </w:num>
  <w:num w:numId="6">
    <w:abstractNumId w:val="5"/>
  </w:num>
  <w:num w:numId="7">
    <w:abstractNumId w:val="32"/>
  </w:num>
  <w:num w:numId="8">
    <w:abstractNumId w:val="3"/>
  </w:num>
  <w:num w:numId="9">
    <w:abstractNumId w:val="2"/>
  </w:num>
  <w:num w:numId="10">
    <w:abstractNumId w:val="1"/>
  </w:num>
  <w:num w:numId="11">
    <w:abstractNumId w:val="20"/>
  </w:num>
  <w:num w:numId="12">
    <w:abstractNumId w:val="24"/>
  </w:num>
  <w:num w:numId="13">
    <w:abstractNumId w:val="29"/>
  </w:num>
  <w:num w:numId="14">
    <w:abstractNumId w:val="22"/>
  </w:num>
  <w:num w:numId="15">
    <w:abstractNumId w:val="16"/>
  </w:num>
  <w:num w:numId="16">
    <w:abstractNumId w:val="23"/>
  </w:num>
  <w:num w:numId="17">
    <w:abstractNumId w:val="25"/>
  </w:num>
  <w:num w:numId="18">
    <w:abstractNumId w:val="33"/>
  </w:num>
  <w:num w:numId="19">
    <w:abstractNumId w:val="21"/>
  </w:num>
  <w:num w:numId="20">
    <w:abstractNumId w:val="17"/>
  </w:num>
  <w:num w:numId="21">
    <w:abstractNumId w:val="30"/>
  </w:num>
  <w:num w:numId="22">
    <w:abstractNumId w:val="15"/>
  </w:num>
  <w:num w:numId="23">
    <w:abstractNumId w:val="26"/>
  </w:num>
  <w:num w:numId="24">
    <w:abstractNumId w:val="19"/>
  </w:num>
  <w:num w:numId="25">
    <w:abstractNumId w:val="31"/>
  </w:num>
  <w:num w:numId="26">
    <w:abstractNumId w:val="34"/>
  </w:num>
  <w:num w:numId="27">
    <w:abstractNumId w:val="0"/>
  </w:num>
  <w:num w:numId="28">
    <w:abstractNumId w:val="9"/>
  </w:num>
  <w:num w:numId="29">
    <w:abstractNumId w:val="13"/>
  </w:num>
  <w:num w:numId="30">
    <w:abstractNumId w:val="10"/>
  </w:num>
  <w:num w:numId="31">
    <w:abstractNumId w:val="12"/>
  </w:num>
  <w:num w:numId="32">
    <w:abstractNumId w:val="8"/>
  </w:num>
  <w:num w:numId="33">
    <w:abstractNumId w:val="11"/>
  </w:num>
  <w:num w:numId="34">
    <w:abstractNumId w:val="18"/>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389"/>
    <w:rsid w:val="00001AAB"/>
    <w:rsid w:val="0000220B"/>
    <w:rsid w:val="000028B5"/>
    <w:rsid w:val="00003C00"/>
    <w:rsid w:val="00003D13"/>
    <w:rsid w:val="00006D15"/>
    <w:rsid w:val="00010A8E"/>
    <w:rsid w:val="00010FAB"/>
    <w:rsid w:val="000159BD"/>
    <w:rsid w:val="00015CB5"/>
    <w:rsid w:val="0001677B"/>
    <w:rsid w:val="00016ECB"/>
    <w:rsid w:val="00020755"/>
    <w:rsid w:val="00025E45"/>
    <w:rsid w:val="0003056A"/>
    <w:rsid w:val="000311FB"/>
    <w:rsid w:val="000327E2"/>
    <w:rsid w:val="000328B5"/>
    <w:rsid w:val="00032AF5"/>
    <w:rsid w:val="0003398D"/>
    <w:rsid w:val="0003470E"/>
    <w:rsid w:val="00034E53"/>
    <w:rsid w:val="0003556C"/>
    <w:rsid w:val="0003677A"/>
    <w:rsid w:val="000400E2"/>
    <w:rsid w:val="00040A19"/>
    <w:rsid w:val="00040F65"/>
    <w:rsid w:val="0004289A"/>
    <w:rsid w:val="00043FBC"/>
    <w:rsid w:val="000463C9"/>
    <w:rsid w:val="00047B44"/>
    <w:rsid w:val="00052D94"/>
    <w:rsid w:val="000530F0"/>
    <w:rsid w:val="000609FD"/>
    <w:rsid w:val="00061CC7"/>
    <w:rsid w:val="00063640"/>
    <w:rsid w:val="0007075F"/>
    <w:rsid w:val="00073DCF"/>
    <w:rsid w:val="00075875"/>
    <w:rsid w:val="000763D3"/>
    <w:rsid w:val="00077FF3"/>
    <w:rsid w:val="0008053A"/>
    <w:rsid w:val="00082C6E"/>
    <w:rsid w:val="00086DE9"/>
    <w:rsid w:val="00091C3D"/>
    <w:rsid w:val="00092652"/>
    <w:rsid w:val="00092FDB"/>
    <w:rsid w:val="000936D5"/>
    <w:rsid w:val="000939A1"/>
    <w:rsid w:val="00093BD2"/>
    <w:rsid w:val="00094806"/>
    <w:rsid w:val="00094A72"/>
    <w:rsid w:val="00097E57"/>
    <w:rsid w:val="000A2375"/>
    <w:rsid w:val="000A3042"/>
    <w:rsid w:val="000A6DB7"/>
    <w:rsid w:val="000B04D4"/>
    <w:rsid w:val="000B4684"/>
    <w:rsid w:val="000B59E9"/>
    <w:rsid w:val="000B74CC"/>
    <w:rsid w:val="000B7BA2"/>
    <w:rsid w:val="000C05E8"/>
    <w:rsid w:val="000C127F"/>
    <w:rsid w:val="000C2771"/>
    <w:rsid w:val="000C2E49"/>
    <w:rsid w:val="000C393F"/>
    <w:rsid w:val="000C5582"/>
    <w:rsid w:val="000C57C8"/>
    <w:rsid w:val="000C6651"/>
    <w:rsid w:val="000C6CC0"/>
    <w:rsid w:val="000C6E80"/>
    <w:rsid w:val="000D581B"/>
    <w:rsid w:val="000D74F9"/>
    <w:rsid w:val="000D7DD7"/>
    <w:rsid w:val="000E0A3C"/>
    <w:rsid w:val="000E263E"/>
    <w:rsid w:val="000E264F"/>
    <w:rsid w:val="000E3E48"/>
    <w:rsid w:val="000E4F3B"/>
    <w:rsid w:val="000F5266"/>
    <w:rsid w:val="000F7B6E"/>
    <w:rsid w:val="001008C2"/>
    <w:rsid w:val="00104301"/>
    <w:rsid w:val="001052E3"/>
    <w:rsid w:val="00110C26"/>
    <w:rsid w:val="00111A8C"/>
    <w:rsid w:val="00111C75"/>
    <w:rsid w:val="0011232C"/>
    <w:rsid w:val="0011325E"/>
    <w:rsid w:val="0011409A"/>
    <w:rsid w:val="00116DCD"/>
    <w:rsid w:val="00117D5D"/>
    <w:rsid w:val="001219B2"/>
    <w:rsid w:val="00122334"/>
    <w:rsid w:val="001236C4"/>
    <w:rsid w:val="00124CC1"/>
    <w:rsid w:val="001262C8"/>
    <w:rsid w:val="00126FB1"/>
    <w:rsid w:val="001276EF"/>
    <w:rsid w:val="00131FB7"/>
    <w:rsid w:val="00134C9E"/>
    <w:rsid w:val="00137DCA"/>
    <w:rsid w:val="00140426"/>
    <w:rsid w:val="00141B3F"/>
    <w:rsid w:val="00143A14"/>
    <w:rsid w:val="00147B7D"/>
    <w:rsid w:val="0015508F"/>
    <w:rsid w:val="00155287"/>
    <w:rsid w:val="001624C8"/>
    <w:rsid w:val="00163CBE"/>
    <w:rsid w:val="001645B9"/>
    <w:rsid w:val="001645C1"/>
    <w:rsid w:val="00165060"/>
    <w:rsid w:val="001650BA"/>
    <w:rsid w:val="0016721F"/>
    <w:rsid w:val="00170D72"/>
    <w:rsid w:val="00175D7E"/>
    <w:rsid w:val="00177313"/>
    <w:rsid w:val="00177750"/>
    <w:rsid w:val="001829C2"/>
    <w:rsid w:val="00183EF7"/>
    <w:rsid w:val="00184640"/>
    <w:rsid w:val="001858DD"/>
    <w:rsid w:val="00185C2F"/>
    <w:rsid w:val="00185ECD"/>
    <w:rsid w:val="00185F40"/>
    <w:rsid w:val="0018761C"/>
    <w:rsid w:val="001948F5"/>
    <w:rsid w:val="00195BD1"/>
    <w:rsid w:val="00195D1B"/>
    <w:rsid w:val="001977EA"/>
    <w:rsid w:val="001A00BA"/>
    <w:rsid w:val="001A0EDB"/>
    <w:rsid w:val="001A2150"/>
    <w:rsid w:val="001A4C92"/>
    <w:rsid w:val="001A70C2"/>
    <w:rsid w:val="001B2541"/>
    <w:rsid w:val="001B41AD"/>
    <w:rsid w:val="001B4E29"/>
    <w:rsid w:val="001B7057"/>
    <w:rsid w:val="001B7C18"/>
    <w:rsid w:val="001C0DE9"/>
    <w:rsid w:val="001C0F1B"/>
    <w:rsid w:val="001C10C9"/>
    <w:rsid w:val="001C309B"/>
    <w:rsid w:val="001C5048"/>
    <w:rsid w:val="001C6C61"/>
    <w:rsid w:val="001C73E4"/>
    <w:rsid w:val="001C7D64"/>
    <w:rsid w:val="001D0B78"/>
    <w:rsid w:val="001D357E"/>
    <w:rsid w:val="001D46FE"/>
    <w:rsid w:val="001D6E54"/>
    <w:rsid w:val="001E1B0A"/>
    <w:rsid w:val="001E407F"/>
    <w:rsid w:val="001E66A5"/>
    <w:rsid w:val="001E6C54"/>
    <w:rsid w:val="001E78EA"/>
    <w:rsid w:val="001F121D"/>
    <w:rsid w:val="001F202D"/>
    <w:rsid w:val="001F22AA"/>
    <w:rsid w:val="001F3326"/>
    <w:rsid w:val="001F375B"/>
    <w:rsid w:val="001F3AFD"/>
    <w:rsid w:val="001F4319"/>
    <w:rsid w:val="001F4B20"/>
    <w:rsid w:val="001F7E43"/>
    <w:rsid w:val="002026FE"/>
    <w:rsid w:val="00210D73"/>
    <w:rsid w:val="002121A9"/>
    <w:rsid w:val="00212788"/>
    <w:rsid w:val="00216728"/>
    <w:rsid w:val="00217EDF"/>
    <w:rsid w:val="002232E0"/>
    <w:rsid w:val="002237C7"/>
    <w:rsid w:val="00223E42"/>
    <w:rsid w:val="002274E5"/>
    <w:rsid w:val="0023037F"/>
    <w:rsid w:val="00235E0B"/>
    <w:rsid w:val="00237179"/>
    <w:rsid w:val="00237336"/>
    <w:rsid w:val="00243B01"/>
    <w:rsid w:val="00245322"/>
    <w:rsid w:val="00247570"/>
    <w:rsid w:val="00247938"/>
    <w:rsid w:val="00252EA6"/>
    <w:rsid w:val="002533E9"/>
    <w:rsid w:val="0025544A"/>
    <w:rsid w:val="002567BE"/>
    <w:rsid w:val="00257257"/>
    <w:rsid w:val="00257C33"/>
    <w:rsid w:val="00261A16"/>
    <w:rsid w:val="00263C0C"/>
    <w:rsid w:val="00264FDB"/>
    <w:rsid w:val="0026501C"/>
    <w:rsid w:val="00266A53"/>
    <w:rsid w:val="00266F38"/>
    <w:rsid w:val="002704F0"/>
    <w:rsid w:val="00272AE2"/>
    <w:rsid w:val="00273414"/>
    <w:rsid w:val="00273F1D"/>
    <w:rsid w:val="0027728C"/>
    <w:rsid w:val="002804A3"/>
    <w:rsid w:val="00281155"/>
    <w:rsid w:val="00281AD7"/>
    <w:rsid w:val="00282790"/>
    <w:rsid w:val="00285231"/>
    <w:rsid w:val="002907E6"/>
    <w:rsid w:val="00296074"/>
    <w:rsid w:val="002969B1"/>
    <w:rsid w:val="002A00B7"/>
    <w:rsid w:val="002A0347"/>
    <w:rsid w:val="002A0C31"/>
    <w:rsid w:val="002A2062"/>
    <w:rsid w:val="002A7921"/>
    <w:rsid w:val="002B2BE8"/>
    <w:rsid w:val="002B3C48"/>
    <w:rsid w:val="002B51C1"/>
    <w:rsid w:val="002B737D"/>
    <w:rsid w:val="002B75C6"/>
    <w:rsid w:val="002C12C3"/>
    <w:rsid w:val="002C3CC2"/>
    <w:rsid w:val="002C78F6"/>
    <w:rsid w:val="002D0D13"/>
    <w:rsid w:val="002D11F7"/>
    <w:rsid w:val="002D6B1C"/>
    <w:rsid w:val="002E1FAE"/>
    <w:rsid w:val="002E3055"/>
    <w:rsid w:val="002E60F6"/>
    <w:rsid w:val="002E744B"/>
    <w:rsid w:val="002F06BA"/>
    <w:rsid w:val="002F7C32"/>
    <w:rsid w:val="00302A87"/>
    <w:rsid w:val="0030425C"/>
    <w:rsid w:val="0030587D"/>
    <w:rsid w:val="003067AE"/>
    <w:rsid w:val="0031527C"/>
    <w:rsid w:val="00316537"/>
    <w:rsid w:val="00316973"/>
    <w:rsid w:val="00316D67"/>
    <w:rsid w:val="00317177"/>
    <w:rsid w:val="0032071E"/>
    <w:rsid w:val="00320855"/>
    <w:rsid w:val="00322774"/>
    <w:rsid w:val="00332254"/>
    <w:rsid w:val="00333113"/>
    <w:rsid w:val="00333AAE"/>
    <w:rsid w:val="00334874"/>
    <w:rsid w:val="00335C32"/>
    <w:rsid w:val="00336815"/>
    <w:rsid w:val="00337D9B"/>
    <w:rsid w:val="00341BE1"/>
    <w:rsid w:val="00345108"/>
    <w:rsid w:val="00345B36"/>
    <w:rsid w:val="00345E09"/>
    <w:rsid w:val="00350E1D"/>
    <w:rsid w:val="0035386D"/>
    <w:rsid w:val="00354B6F"/>
    <w:rsid w:val="00354DF6"/>
    <w:rsid w:val="00356510"/>
    <w:rsid w:val="00360DAD"/>
    <w:rsid w:val="003620CD"/>
    <w:rsid w:val="00362359"/>
    <w:rsid w:val="003650E5"/>
    <w:rsid w:val="00365286"/>
    <w:rsid w:val="00365BDD"/>
    <w:rsid w:val="00366838"/>
    <w:rsid w:val="003708B7"/>
    <w:rsid w:val="00370DFF"/>
    <w:rsid w:val="00372753"/>
    <w:rsid w:val="00373F74"/>
    <w:rsid w:val="00376F8E"/>
    <w:rsid w:val="0037723D"/>
    <w:rsid w:val="00380000"/>
    <w:rsid w:val="0038108B"/>
    <w:rsid w:val="003826A1"/>
    <w:rsid w:val="00383277"/>
    <w:rsid w:val="00383FA4"/>
    <w:rsid w:val="00383FF4"/>
    <w:rsid w:val="00390340"/>
    <w:rsid w:val="0039051F"/>
    <w:rsid w:val="00391CDE"/>
    <w:rsid w:val="00394229"/>
    <w:rsid w:val="00395FCE"/>
    <w:rsid w:val="00397761"/>
    <w:rsid w:val="003A02F1"/>
    <w:rsid w:val="003A14F9"/>
    <w:rsid w:val="003A2823"/>
    <w:rsid w:val="003A3878"/>
    <w:rsid w:val="003A4C56"/>
    <w:rsid w:val="003B5BE5"/>
    <w:rsid w:val="003B7DDB"/>
    <w:rsid w:val="003C013E"/>
    <w:rsid w:val="003C1A3D"/>
    <w:rsid w:val="003C3022"/>
    <w:rsid w:val="003C570D"/>
    <w:rsid w:val="003C669F"/>
    <w:rsid w:val="003C76DE"/>
    <w:rsid w:val="003D2326"/>
    <w:rsid w:val="003D2A39"/>
    <w:rsid w:val="003D400D"/>
    <w:rsid w:val="003D61F3"/>
    <w:rsid w:val="003D6EA0"/>
    <w:rsid w:val="003E05ED"/>
    <w:rsid w:val="003E0EF9"/>
    <w:rsid w:val="003E4CE5"/>
    <w:rsid w:val="003E5BA1"/>
    <w:rsid w:val="003E5D20"/>
    <w:rsid w:val="003E7330"/>
    <w:rsid w:val="003E7F48"/>
    <w:rsid w:val="003F0137"/>
    <w:rsid w:val="003F11AD"/>
    <w:rsid w:val="003F2076"/>
    <w:rsid w:val="003F635C"/>
    <w:rsid w:val="003F758F"/>
    <w:rsid w:val="00400336"/>
    <w:rsid w:val="00402250"/>
    <w:rsid w:val="004037DB"/>
    <w:rsid w:val="00403A82"/>
    <w:rsid w:val="004040EC"/>
    <w:rsid w:val="00405309"/>
    <w:rsid w:val="00405C0B"/>
    <w:rsid w:val="00410A25"/>
    <w:rsid w:val="004117D0"/>
    <w:rsid w:val="00411D64"/>
    <w:rsid w:val="00414D08"/>
    <w:rsid w:val="00416D0E"/>
    <w:rsid w:val="004179D8"/>
    <w:rsid w:val="00420293"/>
    <w:rsid w:val="004224AA"/>
    <w:rsid w:val="00423593"/>
    <w:rsid w:val="00427171"/>
    <w:rsid w:val="00431563"/>
    <w:rsid w:val="00431A4E"/>
    <w:rsid w:val="00431F06"/>
    <w:rsid w:val="0043314E"/>
    <w:rsid w:val="00435633"/>
    <w:rsid w:val="00436C3E"/>
    <w:rsid w:val="0043706F"/>
    <w:rsid w:val="004370BD"/>
    <w:rsid w:val="0044639D"/>
    <w:rsid w:val="004471CC"/>
    <w:rsid w:val="00447728"/>
    <w:rsid w:val="00447DB3"/>
    <w:rsid w:val="00450B7E"/>
    <w:rsid w:val="004511E4"/>
    <w:rsid w:val="00452FF0"/>
    <w:rsid w:val="00453B62"/>
    <w:rsid w:val="00454B40"/>
    <w:rsid w:val="00460FA6"/>
    <w:rsid w:val="00461772"/>
    <w:rsid w:val="0046214B"/>
    <w:rsid w:val="0046220D"/>
    <w:rsid w:val="004661DD"/>
    <w:rsid w:val="004661DE"/>
    <w:rsid w:val="00467546"/>
    <w:rsid w:val="004675C8"/>
    <w:rsid w:val="004676F5"/>
    <w:rsid w:val="004713E9"/>
    <w:rsid w:val="00472D4C"/>
    <w:rsid w:val="00475975"/>
    <w:rsid w:val="00475BC1"/>
    <w:rsid w:val="00477E2A"/>
    <w:rsid w:val="00483BBC"/>
    <w:rsid w:val="00486B9D"/>
    <w:rsid w:val="00490683"/>
    <w:rsid w:val="004931C7"/>
    <w:rsid w:val="00495F9F"/>
    <w:rsid w:val="004A1281"/>
    <w:rsid w:val="004A1CD2"/>
    <w:rsid w:val="004A2AE5"/>
    <w:rsid w:val="004A352D"/>
    <w:rsid w:val="004A35BF"/>
    <w:rsid w:val="004A3D12"/>
    <w:rsid w:val="004A57DB"/>
    <w:rsid w:val="004A65D0"/>
    <w:rsid w:val="004A69C6"/>
    <w:rsid w:val="004B0300"/>
    <w:rsid w:val="004B4A61"/>
    <w:rsid w:val="004B53B1"/>
    <w:rsid w:val="004C00FF"/>
    <w:rsid w:val="004C15CA"/>
    <w:rsid w:val="004C2A96"/>
    <w:rsid w:val="004C3610"/>
    <w:rsid w:val="004D109F"/>
    <w:rsid w:val="004D1A38"/>
    <w:rsid w:val="004D1E6E"/>
    <w:rsid w:val="004D796C"/>
    <w:rsid w:val="004D7FCC"/>
    <w:rsid w:val="004E38A8"/>
    <w:rsid w:val="004E3BC4"/>
    <w:rsid w:val="004E5A48"/>
    <w:rsid w:val="004E643B"/>
    <w:rsid w:val="004E680E"/>
    <w:rsid w:val="004F3FD7"/>
    <w:rsid w:val="004F551F"/>
    <w:rsid w:val="004F68CC"/>
    <w:rsid w:val="004F6FBD"/>
    <w:rsid w:val="004F7042"/>
    <w:rsid w:val="004F797A"/>
    <w:rsid w:val="004F7B53"/>
    <w:rsid w:val="0050133C"/>
    <w:rsid w:val="0050216B"/>
    <w:rsid w:val="005021E8"/>
    <w:rsid w:val="005034F7"/>
    <w:rsid w:val="005075CA"/>
    <w:rsid w:val="00510715"/>
    <w:rsid w:val="00510D29"/>
    <w:rsid w:val="005119C1"/>
    <w:rsid w:val="00512E1D"/>
    <w:rsid w:val="00513627"/>
    <w:rsid w:val="00515E0C"/>
    <w:rsid w:val="00520172"/>
    <w:rsid w:val="00523927"/>
    <w:rsid w:val="00523928"/>
    <w:rsid w:val="00526033"/>
    <w:rsid w:val="00527005"/>
    <w:rsid w:val="005314A3"/>
    <w:rsid w:val="0053374B"/>
    <w:rsid w:val="00533BD9"/>
    <w:rsid w:val="005366B4"/>
    <w:rsid w:val="00536ACD"/>
    <w:rsid w:val="0054064C"/>
    <w:rsid w:val="00540AEB"/>
    <w:rsid w:val="005415F6"/>
    <w:rsid w:val="00542031"/>
    <w:rsid w:val="005431B2"/>
    <w:rsid w:val="005442B8"/>
    <w:rsid w:val="00546002"/>
    <w:rsid w:val="005469B3"/>
    <w:rsid w:val="00551347"/>
    <w:rsid w:val="00552B4E"/>
    <w:rsid w:val="00553C25"/>
    <w:rsid w:val="00555840"/>
    <w:rsid w:val="00555C79"/>
    <w:rsid w:val="005601D7"/>
    <w:rsid w:val="00561BCD"/>
    <w:rsid w:val="00564009"/>
    <w:rsid w:val="005645C2"/>
    <w:rsid w:val="00570BD7"/>
    <w:rsid w:val="00572C46"/>
    <w:rsid w:val="00573136"/>
    <w:rsid w:val="005755F7"/>
    <w:rsid w:val="00576428"/>
    <w:rsid w:val="00577000"/>
    <w:rsid w:val="00581FC6"/>
    <w:rsid w:val="005828A9"/>
    <w:rsid w:val="00587160"/>
    <w:rsid w:val="005939AD"/>
    <w:rsid w:val="00594467"/>
    <w:rsid w:val="00594542"/>
    <w:rsid w:val="0059516F"/>
    <w:rsid w:val="005958C1"/>
    <w:rsid w:val="00597D5D"/>
    <w:rsid w:val="005A1288"/>
    <w:rsid w:val="005A1C0C"/>
    <w:rsid w:val="005A2D61"/>
    <w:rsid w:val="005A34CB"/>
    <w:rsid w:val="005A3987"/>
    <w:rsid w:val="005A7556"/>
    <w:rsid w:val="005B00B4"/>
    <w:rsid w:val="005B3594"/>
    <w:rsid w:val="005B439F"/>
    <w:rsid w:val="005B4519"/>
    <w:rsid w:val="005B6237"/>
    <w:rsid w:val="005B6B3A"/>
    <w:rsid w:val="005C10B0"/>
    <w:rsid w:val="005C2C3A"/>
    <w:rsid w:val="005C2DB6"/>
    <w:rsid w:val="005C36E0"/>
    <w:rsid w:val="005D272E"/>
    <w:rsid w:val="005D433F"/>
    <w:rsid w:val="005D5852"/>
    <w:rsid w:val="005D5E11"/>
    <w:rsid w:val="005D77CF"/>
    <w:rsid w:val="005E0D81"/>
    <w:rsid w:val="005E1286"/>
    <w:rsid w:val="005E4F9E"/>
    <w:rsid w:val="005E5F1F"/>
    <w:rsid w:val="005E6DCD"/>
    <w:rsid w:val="005E792E"/>
    <w:rsid w:val="005F149E"/>
    <w:rsid w:val="005F1C92"/>
    <w:rsid w:val="005F3918"/>
    <w:rsid w:val="005F403A"/>
    <w:rsid w:val="005F6298"/>
    <w:rsid w:val="005F70A3"/>
    <w:rsid w:val="005F730F"/>
    <w:rsid w:val="006010BB"/>
    <w:rsid w:val="006018A4"/>
    <w:rsid w:val="00601DC9"/>
    <w:rsid w:val="00603BB7"/>
    <w:rsid w:val="00604711"/>
    <w:rsid w:val="00605D7C"/>
    <w:rsid w:val="00606922"/>
    <w:rsid w:val="006070B9"/>
    <w:rsid w:val="006118DE"/>
    <w:rsid w:val="0061788D"/>
    <w:rsid w:val="006211BD"/>
    <w:rsid w:val="00621788"/>
    <w:rsid w:val="00622134"/>
    <w:rsid w:val="00622FF6"/>
    <w:rsid w:val="00626DBC"/>
    <w:rsid w:val="00633894"/>
    <w:rsid w:val="006341CB"/>
    <w:rsid w:val="00634E5F"/>
    <w:rsid w:val="00636AAD"/>
    <w:rsid w:val="006378BB"/>
    <w:rsid w:val="00637BD3"/>
    <w:rsid w:val="00644E97"/>
    <w:rsid w:val="00651415"/>
    <w:rsid w:val="00664B3B"/>
    <w:rsid w:val="006674B6"/>
    <w:rsid w:val="0066760C"/>
    <w:rsid w:val="00671218"/>
    <w:rsid w:val="00672CEE"/>
    <w:rsid w:val="006744B2"/>
    <w:rsid w:val="006775C1"/>
    <w:rsid w:val="00680403"/>
    <w:rsid w:val="006811AB"/>
    <w:rsid w:val="00681601"/>
    <w:rsid w:val="006822AF"/>
    <w:rsid w:val="0068441A"/>
    <w:rsid w:val="00685CAE"/>
    <w:rsid w:val="00687238"/>
    <w:rsid w:val="0069117B"/>
    <w:rsid w:val="006951C7"/>
    <w:rsid w:val="006A13FE"/>
    <w:rsid w:val="006B04B2"/>
    <w:rsid w:val="006B0B41"/>
    <w:rsid w:val="006B0DF4"/>
    <w:rsid w:val="006B3B14"/>
    <w:rsid w:val="006B6FCC"/>
    <w:rsid w:val="006C0258"/>
    <w:rsid w:val="006C2307"/>
    <w:rsid w:val="006C33F0"/>
    <w:rsid w:val="006C4D95"/>
    <w:rsid w:val="006C575E"/>
    <w:rsid w:val="006C7EC8"/>
    <w:rsid w:val="006D1C9F"/>
    <w:rsid w:val="006D24FE"/>
    <w:rsid w:val="006D3FBB"/>
    <w:rsid w:val="006D6526"/>
    <w:rsid w:val="006D77FA"/>
    <w:rsid w:val="006D7995"/>
    <w:rsid w:val="006E1073"/>
    <w:rsid w:val="006E14EB"/>
    <w:rsid w:val="006E2C2C"/>
    <w:rsid w:val="006E3CDB"/>
    <w:rsid w:val="006E42C7"/>
    <w:rsid w:val="006E49F1"/>
    <w:rsid w:val="006E5294"/>
    <w:rsid w:val="006E6699"/>
    <w:rsid w:val="006E69A9"/>
    <w:rsid w:val="006E7595"/>
    <w:rsid w:val="006E7D75"/>
    <w:rsid w:val="006F1560"/>
    <w:rsid w:val="006F3EF5"/>
    <w:rsid w:val="006F42BD"/>
    <w:rsid w:val="006F4C1F"/>
    <w:rsid w:val="006F6735"/>
    <w:rsid w:val="00702238"/>
    <w:rsid w:val="00703498"/>
    <w:rsid w:val="007106F8"/>
    <w:rsid w:val="00710BB7"/>
    <w:rsid w:val="00710DF8"/>
    <w:rsid w:val="007111C4"/>
    <w:rsid w:val="00712E6E"/>
    <w:rsid w:val="00714EA5"/>
    <w:rsid w:val="00716754"/>
    <w:rsid w:val="00717E8B"/>
    <w:rsid w:val="007232E6"/>
    <w:rsid w:val="00723ED1"/>
    <w:rsid w:val="0072488A"/>
    <w:rsid w:val="0072571C"/>
    <w:rsid w:val="00725743"/>
    <w:rsid w:val="00727688"/>
    <w:rsid w:val="00730668"/>
    <w:rsid w:val="0073118A"/>
    <w:rsid w:val="00734689"/>
    <w:rsid w:val="00734954"/>
    <w:rsid w:val="0073552F"/>
    <w:rsid w:val="0073735A"/>
    <w:rsid w:val="007373E3"/>
    <w:rsid w:val="00737B3F"/>
    <w:rsid w:val="00741C81"/>
    <w:rsid w:val="00742F47"/>
    <w:rsid w:val="00743379"/>
    <w:rsid w:val="007445B8"/>
    <w:rsid w:val="0075246E"/>
    <w:rsid w:val="007530A0"/>
    <w:rsid w:val="00754526"/>
    <w:rsid w:val="0075555D"/>
    <w:rsid w:val="00755EAC"/>
    <w:rsid w:val="00761164"/>
    <w:rsid w:val="007642BA"/>
    <w:rsid w:val="00770E07"/>
    <w:rsid w:val="00771B80"/>
    <w:rsid w:val="00772048"/>
    <w:rsid w:val="00773878"/>
    <w:rsid w:val="00773DC6"/>
    <w:rsid w:val="00775A7C"/>
    <w:rsid w:val="00775C43"/>
    <w:rsid w:val="00776295"/>
    <w:rsid w:val="00776FB7"/>
    <w:rsid w:val="00777D4F"/>
    <w:rsid w:val="00780BE0"/>
    <w:rsid w:val="00781395"/>
    <w:rsid w:val="00783B28"/>
    <w:rsid w:val="00784246"/>
    <w:rsid w:val="00784839"/>
    <w:rsid w:val="00784B9C"/>
    <w:rsid w:val="0078560B"/>
    <w:rsid w:val="0078733C"/>
    <w:rsid w:val="00792870"/>
    <w:rsid w:val="00793ADE"/>
    <w:rsid w:val="007942AC"/>
    <w:rsid w:val="007A05F2"/>
    <w:rsid w:val="007A0F7B"/>
    <w:rsid w:val="007A1777"/>
    <w:rsid w:val="007A7C77"/>
    <w:rsid w:val="007B1443"/>
    <w:rsid w:val="007B3355"/>
    <w:rsid w:val="007C0F76"/>
    <w:rsid w:val="007C23FB"/>
    <w:rsid w:val="007C2A45"/>
    <w:rsid w:val="007C325A"/>
    <w:rsid w:val="007C3465"/>
    <w:rsid w:val="007C4218"/>
    <w:rsid w:val="007C6809"/>
    <w:rsid w:val="007C7CA1"/>
    <w:rsid w:val="007D2628"/>
    <w:rsid w:val="007D2BA0"/>
    <w:rsid w:val="007D37EB"/>
    <w:rsid w:val="007D3BF6"/>
    <w:rsid w:val="007D6EF3"/>
    <w:rsid w:val="007D75B8"/>
    <w:rsid w:val="007E0167"/>
    <w:rsid w:val="007E24F9"/>
    <w:rsid w:val="007E2A0C"/>
    <w:rsid w:val="007E4337"/>
    <w:rsid w:val="007F1CC8"/>
    <w:rsid w:val="007F1D12"/>
    <w:rsid w:val="007F6309"/>
    <w:rsid w:val="007F7141"/>
    <w:rsid w:val="008048C6"/>
    <w:rsid w:val="00804FB3"/>
    <w:rsid w:val="00805456"/>
    <w:rsid w:val="00805CFD"/>
    <w:rsid w:val="008066AC"/>
    <w:rsid w:val="00810B9A"/>
    <w:rsid w:val="008123F9"/>
    <w:rsid w:val="00813462"/>
    <w:rsid w:val="008147AE"/>
    <w:rsid w:val="00814D8F"/>
    <w:rsid w:val="00815F3D"/>
    <w:rsid w:val="00815F60"/>
    <w:rsid w:val="008162F1"/>
    <w:rsid w:val="00820CAD"/>
    <w:rsid w:val="008219F4"/>
    <w:rsid w:val="00822AC8"/>
    <w:rsid w:val="00827FEC"/>
    <w:rsid w:val="00834D27"/>
    <w:rsid w:val="00836566"/>
    <w:rsid w:val="008375D0"/>
    <w:rsid w:val="00837834"/>
    <w:rsid w:val="00847A1F"/>
    <w:rsid w:val="0085091C"/>
    <w:rsid w:val="008528A2"/>
    <w:rsid w:val="00856E26"/>
    <w:rsid w:val="00857412"/>
    <w:rsid w:val="008629A1"/>
    <w:rsid w:val="00865204"/>
    <w:rsid w:val="00870DCD"/>
    <w:rsid w:val="00875099"/>
    <w:rsid w:val="008824BB"/>
    <w:rsid w:val="0088488A"/>
    <w:rsid w:val="008868B3"/>
    <w:rsid w:val="00893816"/>
    <w:rsid w:val="00894121"/>
    <w:rsid w:val="0089532C"/>
    <w:rsid w:val="00895CD2"/>
    <w:rsid w:val="00896627"/>
    <w:rsid w:val="008A1317"/>
    <w:rsid w:val="008A532F"/>
    <w:rsid w:val="008A735D"/>
    <w:rsid w:val="008B1EBC"/>
    <w:rsid w:val="008B3760"/>
    <w:rsid w:val="008B3BF1"/>
    <w:rsid w:val="008B46D9"/>
    <w:rsid w:val="008B4CCA"/>
    <w:rsid w:val="008B62B1"/>
    <w:rsid w:val="008B6376"/>
    <w:rsid w:val="008B72C1"/>
    <w:rsid w:val="008C0905"/>
    <w:rsid w:val="008C380D"/>
    <w:rsid w:val="008C427B"/>
    <w:rsid w:val="008D0138"/>
    <w:rsid w:val="008D0251"/>
    <w:rsid w:val="008D25AE"/>
    <w:rsid w:val="008D37EF"/>
    <w:rsid w:val="008D4DB3"/>
    <w:rsid w:val="008E2454"/>
    <w:rsid w:val="008E7034"/>
    <w:rsid w:val="008F2CA7"/>
    <w:rsid w:val="00902012"/>
    <w:rsid w:val="009024C2"/>
    <w:rsid w:val="00903C60"/>
    <w:rsid w:val="00910FBF"/>
    <w:rsid w:val="00912E30"/>
    <w:rsid w:val="009130EC"/>
    <w:rsid w:val="00913638"/>
    <w:rsid w:val="00920741"/>
    <w:rsid w:val="00924304"/>
    <w:rsid w:val="009270F3"/>
    <w:rsid w:val="00932A01"/>
    <w:rsid w:val="00932BA0"/>
    <w:rsid w:val="009332CB"/>
    <w:rsid w:val="0093402B"/>
    <w:rsid w:val="009407DF"/>
    <w:rsid w:val="00943698"/>
    <w:rsid w:val="00944C89"/>
    <w:rsid w:val="009462A9"/>
    <w:rsid w:val="009471BE"/>
    <w:rsid w:val="00947FB1"/>
    <w:rsid w:val="00950BCD"/>
    <w:rsid w:val="0095149E"/>
    <w:rsid w:val="00951507"/>
    <w:rsid w:val="00951A0E"/>
    <w:rsid w:val="00951B79"/>
    <w:rsid w:val="00951C8E"/>
    <w:rsid w:val="0095351D"/>
    <w:rsid w:val="009574C6"/>
    <w:rsid w:val="00964173"/>
    <w:rsid w:val="009652AA"/>
    <w:rsid w:val="009653D9"/>
    <w:rsid w:val="00965E0E"/>
    <w:rsid w:val="00971754"/>
    <w:rsid w:val="009717EB"/>
    <w:rsid w:val="00971DFC"/>
    <w:rsid w:val="00973BD1"/>
    <w:rsid w:val="0097443E"/>
    <w:rsid w:val="00974710"/>
    <w:rsid w:val="00974B0A"/>
    <w:rsid w:val="00976022"/>
    <w:rsid w:val="00976944"/>
    <w:rsid w:val="00977773"/>
    <w:rsid w:val="00977ACB"/>
    <w:rsid w:val="00977CD0"/>
    <w:rsid w:val="00983891"/>
    <w:rsid w:val="00985444"/>
    <w:rsid w:val="0099196E"/>
    <w:rsid w:val="00992F1F"/>
    <w:rsid w:val="0099354B"/>
    <w:rsid w:val="00994A8A"/>
    <w:rsid w:val="00995231"/>
    <w:rsid w:val="009964B1"/>
    <w:rsid w:val="009A0AC7"/>
    <w:rsid w:val="009A1053"/>
    <w:rsid w:val="009A296B"/>
    <w:rsid w:val="009A2BC5"/>
    <w:rsid w:val="009A47E3"/>
    <w:rsid w:val="009A6F91"/>
    <w:rsid w:val="009B3ABA"/>
    <w:rsid w:val="009B3B64"/>
    <w:rsid w:val="009B4ECF"/>
    <w:rsid w:val="009B773A"/>
    <w:rsid w:val="009C12AB"/>
    <w:rsid w:val="009C35AA"/>
    <w:rsid w:val="009C46D1"/>
    <w:rsid w:val="009C5C9D"/>
    <w:rsid w:val="009D09DF"/>
    <w:rsid w:val="009D0D89"/>
    <w:rsid w:val="009D24B7"/>
    <w:rsid w:val="009D43BB"/>
    <w:rsid w:val="009D792B"/>
    <w:rsid w:val="009E037C"/>
    <w:rsid w:val="009E10B4"/>
    <w:rsid w:val="009E1FE4"/>
    <w:rsid w:val="009E2AB7"/>
    <w:rsid w:val="009E34DF"/>
    <w:rsid w:val="009E483D"/>
    <w:rsid w:val="009E4AE9"/>
    <w:rsid w:val="009E6006"/>
    <w:rsid w:val="009F55F0"/>
    <w:rsid w:val="009F6831"/>
    <w:rsid w:val="00A00CC2"/>
    <w:rsid w:val="00A0270D"/>
    <w:rsid w:val="00A03155"/>
    <w:rsid w:val="00A05160"/>
    <w:rsid w:val="00A0544A"/>
    <w:rsid w:val="00A06482"/>
    <w:rsid w:val="00A066DE"/>
    <w:rsid w:val="00A1226A"/>
    <w:rsid w:val="00A146D0"/>
    <w:rsid w:val="00A17134"/>
    <w:rsid w:val="00A244A9"/>
    <w:rsid w:val="00A2693F"/>
    <w:rsid w:val="00A26A2D"/>
    <w:rsid w:val="00A272CE"/>
    <w:rsid w:val="00A30773"/>
    <w:rsid w:val="00A323FD"/>
    <w:rsid w:val="00A34B3D"/>
    <w:rsid w:val="00A35E1D"/>
    <w:rsid w:val="00A36768"/>
    <w:rsid w:val="00A40597"/>
    <w:rsid w:val="00A409A7"/>
    <w:rsid w:val="00A44E4A"/>
    <w:rsid w:val="00A45511"/>
    <w:rsid w:val="00A45E7F"/>
    <w:rsid w:val="00A46195"/>
    <w:rsid w:val="00A502CD"/>
    <w:rsid w:val="00A5050D"/>
    <w:rsid w:val="00A51D09"/>
    <w:rsid w:val="00A53362"/>
    <w:rsid w:val="00A561F7"/>
    <w:rsid w:val="00A5620A"/>
    <w:rsid w:val="00A57099"/>
    <w:rsid w:val="00A577F4"/>
    <w:rsid w:val="00A57D69"/>
    <w:rsid w:val="00A608C5"/>
    <w:rsid w:val="00A630FF"/>
    <w:rsid w:val="00A634C2"/>
    <w:rsid w:val="00A64FE3"/>
    <w:rsid w:val="00A67F60"/>
    <w:rsid w:val="00A71479"/>
    <w:rsid w:val="00A72BD8"/>
    <w:rsid w:val="00A72EF1"/>
    <w:rsid w:val="00A73B7F"/>
    <w:rsid w:val="00A77E89"/>
    <w:rsid w:val="00A80539"/>
    <w:rsid w:val="00A82BFF"/>
    <w:rsid w:val="00A83081"/>
    <w:rsid w:val="00A85865"/>
    <w:rsid w:val="00A87546"/>
    <w:rsid w:val="00A9002A"/>
    <w:rsid w:val="00A94441"/>
    <w:rsid w:val="00A94C72"/>
    <w:rsid w:val="00A97D1D"/>
    <w:rsid w:val="00A97F1A"/>
    <w:rsid w:val="00AA0FE4"/>
    <w:rsid w:val="00AA16B6"/>
    <w:rsid w:val="00AA265E"/>
    <w:rsid w:val="00AB24BA"/>
    <w:rsid w:val="00AB2A56"/>
    <w:rsid w:val="00AB7551"/>
    <w:rsid w:val="00AC0D4D"/>
    <w:rsid w:val="00AC11DA"/>
    <w:rsid w:val="00AC1376"/>
    <w:rsid w:val="00AC4329"/>
    <w:rsid w:val="00AC5B3F"/>
    <w:rsid w:val="00AC62A0"/>
    <w:rsid w:val="00AC6B92"/>
    <w:rsid w:val="00AD1F5C"/>
    <w:rsid w:val="00AD30A0"/>
    <w:rsid w:val="00AD310A"/>
    <w:rsid w:val="00AD32B6"/>
    <w:rsid w:val="00AD43D5"/>
    <w:rsid w:val="00AD5C9F"/>
    <w:rsid w:val="00AE0428"/>
    <w:rsid w:val="00AE23CC"/>
    <w:rsid w:val="00AE36B8"/>
    <w:rsid w:val="00AE65F4"/>
    <w:rsid w:val="00AE77C7"/>
    <w:rsid w:val="00AF539A"/>
    <w:rsid w:val="00B0198A"/>
    <w:rsid w:val="00B0319F"/>
    <w:rsid w:val="00B03F40"/>
    <w:rsid w:val="00B04227"/>
    <w:rsid w:val="00B042A9"/>
    <w:rsid w:val="00B06717"/>
    <w:rsid w:val="00B06BE5"/>
    <w:rsid w:val="00B11B79"/>
    <w:rsid w:val="00B11F03"/>
    <w:rsid w:val="00B11F7A"/>
    <w:rsid w:val="00B14641"/>
    <w:rsid w:val="00B15931"/>
    <w:rsid w:val="00B16327"/>
    <w:rsid w:val="00B17370"/>
    <w:rsid w:val="00B2055A"/>
    <w:rsid w:val="00B2067D"/>
    <w:rsid w:val="00B24B86"/>
    <w:rsid w:val="00B25AF8"/>
    <w:rsid w:val="00B26A6E"/>
    <w:rsid w:val="00B3072F"/>
    <w:rsid w:val="00B30A6C"/>
    <w:rsid w:val="00B3107C"/>
    <w:rsid w:val="00B339F7"/>
    <w:rsid w:val="00B36E12"/>
    <w:rsid w:val="00B40771"/>
    <w:rsid w:val="00B40C10"/>
    <w:rsid w:val="00B40C7E"/>
    <w:rsid w:val="00B414C8"/>
    <w:rsid w:val="00B4170E"/>
    <w:rsid w:val="00B42CD4"/>
    <w:rsid w:val="00B43A28"/>
    <w:rsid w:val="00B45553"/>
    <w:rsid w:val="00B523B5"/>
    <w:rsid w:val="00B60910"/>
    <w:rsid w:val="00B61575"/>
    <w:rsid w:val="00B64EAB"/>
    <w:rsid w:val="00B65A0E"/>
    <w:rsid w:val="00B66E6E"/>
    <w:rsid w:val="00B7182E"/>
    <w:rsid w:val="00B71DD9"/>
    <w:rsid w:val="00B72742"/>
    <w:rsid w:val="00B72960"/>
    <w:rsid w:val="00B7312F"/>
    <w:rsid w:val="00B748F4"/>
    <w:rsid w:val="00B75416"/>
    <w:rsid w:val="00B80243"/>
    <w:rsid w:val="00B80297"/>
    <w:rsid w:val="00B80C52"/>
    <w:rsid w:val="00B8323E"/>
    <w:rsid w:val="00B902ED"/>
    <w:rsid w:val="00B90F7B"/>
    <w:rsid w:val="00B91885"/>
    <w:rsid w:val="00B91BF4"/>
    <w:rsid w:val="00B95A20"/>
    <w:rsid w:val="00BA6105"/>
    <w:rsid w:val="00BB0481"/>
    <w:rsid w:val="00BB17CE"/>
    <w:rsid w:val="00BB1EC0"/>
    <w:rsid w:val="00BB4D42"/>
    <w:rsid w:val="00BB4EA2"/>
    <w:rsid w:val="00BB6CC2"/>
    <w:rsid w:val="00BC01E9"/>
    <w:rsid w:val="00BC05E7"/>
    <w:rsid w:val="00BC31B0"/>
    <w:rsid w:val="00BC3FC1"/>
    <w:rsid w:val="00BC45E1"/>
    <w:rsid w:val="00BD0FE7"/>
    <w:rsid w:val="00BD2BC9"/>
    <w:rsid w:val="00BD3AFF"/>
    <w:rsid w:val="00BF1DA5"/>
    <w:rsid w:val="00BF21E1"/>
    <w:rsid w:val="00C00EB4"/>
    <w:rsid w:val="00C02C34"/>
    <w:rsid w:val="00C02DE2"/>
    <w:rsid w:val="00C06F9E"/>
    <w:rsid w:val="00C07CED"/>
    <w:rsid w:val="00C124C8"/>
    <w:rsid w:val="00C1466C"/>
    <w:rsid w:val="00C1514A"/>
    <w:rsid w:val="00C1518E"/>
    <w:rsid w:val="00C23622"/>
    <w:rsid w:val="00C23E9E"/>
    <w:rsid w:val="00C24818"/>
    <w:rsid w:val="00C30E18"/>
    <w:rsid w:val="00C3322D"/>
    <w:rsid w:val="00C36189"/>
    <w:rsid w:val="00C36302"/>
    <w:rsid w:val="00C36AF9"/>
    <w:rsid w:val="00C414AD"/>
    <w:rsid w:val="00C430C9"/>
    <w:rsid w:val="00C45EEC"/>
    <w:rsid w:val="00C46442"/>
    <w:rsid w:val="00C4751F"/>
    <w:rsid w:val="00C51319"/>
    <w:rsid w:val="00C556A9"/>
    <w:rsid w:val="00C638EC"/>
    <w:rsid w:val="00C658CC"/>
    <w:rsid w:val="00C70AB4"/>
    <w:rsid w:val="00C7189B"/>
    <w:rsid w:val="00C727B1"/>
    <w:rsid w:val="00C731CA"/>
    <w:rsid w:val="00C75A26"/>
    <w:rsid w:val="00C8587D"/>
    <w:rsid w:val="00C86AC5"/>
    <w:rsid w:val="00C87210"/>
    <w:rsid w:val="00C87865"/>
    <w:rsid w:val="00C9258B"/>
    <w:rsid w:val="00C932A1"/>
    <w:rsid w:val="00C9518E"/>
    <w:rsid w:val="00C956D7"/>
    <w:rsid w:val="00C9592D"/>
    <w:rsid w:val="00C970BB"/>
    <w:rsid w:val="00C97CAB"/>
    <w:rsid w:val="00CA0494"/>
    <w:rsid w:val="00CA2C12"/>
    <w:rsid w:val="00CB13C7"/>
    <w:rsid w:val="00CB1755"/>
    <w:rsid w:val="00CB3DB2"/>
    <w:rsid w:val="00CB5066"/>
    <w:rsid w:val="00CB5576"/>
    <w:rsid w:val="00CC43A2"/>
    <w:rsid w:val="00CC4FD6"/>
    <w:rsid w:val="00CC5DB4"/>
    <w:rsid w:val="00CD4CBE"/>
    <w:rsid w:val="00CD6E1B"/>
    <w:rsid w:val="00CD76D3"/>
    <w:rsid w:val="00CD7E6D"/>
    <w:rsid w:val="00CE0F39"/>
    <w:rsid w:val="00CE74A6"/>
    <w:rsid w:val="00CF0786"/>
    <w:rsid w:val="00CF0ADC"/>
    <w:rsid w:val="00CF4F24"/>
    <w:rsid w:val="00D00A03"/>
    <w:rsid w:val="00D03037"/>
    <w:rsid w:val="00D0553A"/>
    <w:rsid w:val="00D05D6B"/>
    <w:rsid w:val="00D10F92"/>
    <w:rsid w:val="00D11037"/>
    <w:rsid w:val="00D1649F"/>
    <w:rsid w:val="00D167E5"/>
    <w:rsid w:val="00D21019"/>
    <w:rsid w:val="00D227B2"/>
    <w:rsid w:val="00D228EB"/>
    <w:rsid w:val="00D23E27"/>
    <w:rsid w:val="00D26DDF"/>
    <w:rsid w:val="00D31F0B"/>
    <w:rsid w:val="00D33A35"/>
    <w:rsid w:val="00D35049"/>
    <w:rsid w:val="00D409E1"/>
    <w:rsid w:val="00D44821"/>
    <w:rsid w:val="00D461B1"/>
    <w:rsid w:val="00D5147A"/>
    <w:rsid w:val="00D54C29"/>
    <w:rsid w:val="00D56164"/>
    <w:rsid w:val="00D60BC1"/>
    <w:rsid w:val="00D6372E"/>
    <w:rsid w:val="00D65616"/>
    <w:rsid w:val="00D67B74"/>
    <w:rsid w:val="00D70CA0"/>
    <w:rsid w:val="00D717AC"/>
    <w:rsid w:val="00D74DC7"/>
    <w:rsid w:val="00D77D7D"/>
    <w:rsid w:val="00D8091D"/>
    <w:rsid w:val="00D80F3D"/>
    <w:rsid w:val="00D82C1F"/>
    <w:rsid w:val="00D8313B"/>
    <w:rsid w:val="00D85124"/>
    <w:rsid w:val="00D86D89"/>
    <w:rsid w:val="00D87AE5"/>
    <w:rsid w:val="00D87CA6"/>
    <w:rsid w:val="00D90604"/>
    <w:rsid w:val="00D90CE2"/>
    <w:rsid w:val="00D90F4C"/>
    <w:rsid w:val="00D932CA"/>
    <w:rsid w:val="00D95770"/>
    <w:rsid w:val="00DA3386"/>
    <w:rsid w:val="00DA3C6B"/>
    <w:rsid w:val="00DA5188"/>
    <w:rsid w:val="00DA70EB"/>
    <w:rsid w:val="00DB2AD7"/>
    <w:rsid w:val="00DB4C7C"/>
    <w:rsid w:val="00DB723C"/>
    <w:rsid w:val="00DB748A"/>
    <w:rsid w:val="00DC1CA1"/>
    <w:rsid w:val="00DC2987"/>
    <w:rsid w:val="00DC3DBB"/>
    <w:rsid w:val="00DC5A3D"/>
    <w:rsid w:val="00DD116A"/>
    <w:rsid w:val="00DD1648"/>
    <w:rsid w:val="00DD17E4"/>
    <w:rsid w:val="00DD1CF6"/>
    <w:rsid w:val="00DD1DAA"/>
    <w:rsid w:val="00DD43EB"/>
    <w:rsid w:val="00DD5441"/>
    <w:rsid w:val="00DD66CF"/>
    <w:rsid w:val="00DE0880"/>
    <w:rsid w:val="00DE35E7"/>
    <w:rsid w:val="00DE3E9A"/>
    <w:rsid w:val="00DE4F7B"/>
    <w:rsid w:val="00DE58C3"/>
    <w:rsid w:val="00DF233C"/>
    <w:rsid w:val="00DF493C"/>
    <w:rsid w:val="00DF664B"/>
    <w:rsid w:val="00E00A80"/>
    <w:rsid w:val="00E033A9"/>
    <w:rsid w:val="00E05333"/>
    <w:rsid w:val="00E07350"/>
    <w:rsid w:val="00E155B5"/>
    <w:rsid w:val="00E16A95"/>
    <w:rsid w:val="00E203D7"/>
    <w:rsid w:val="00E2286C"/>
    <w:rsid w:val="00E23924"/>
    <w:rsid w:val="00E2434C"/>
    <w:rsid w:val="00E24944"/>
    <w:rsid w:val="00E328ED"/>
    <w:rsid w:val="00E32D01"/>
    <w:rsid w:val="00E3418E"/>
    <w:rsid w:val="00E353E7"/>
    <w:rsid w:val="00E403D1"/>
    <w:rsid w:val="00E4131A"/>
    <w:rsid w:val="00E43378"/>
    <w:rsid w:val="00E52D68"/>
    <w:rsid w:val="00E544C0"/>
    <w:rsid w:val="00E60107"/>
    <w:rsid w:val="00E6072E"/>
    <w:rsid w:val="00E62376"/>
    <w:rsid w:val="00E62935"/>
    <w:rsid w:val="00E63001"/>
    <w:rsid w:val="00E63BD1"/>
    <w:rsid w:val="00E64CCF"/>
    <w:rsid w:val="00E65B96"/>
    <w:rsid w:val="00E71FE4"/>
    <w:rsid w:val="00E72B34"/>
    <w:rsid w:val="00E7506D"/>
    <w:rsid w:val="00E806C3"/>
    <w:rsid w:val="00E81BF2"/>
    <w:rsid w:val="00E85524"/>
    <w:rsid w:val="00E8670A"/>
    <w:rsid w:val="00E86D2C"/>
    <w:rsid w:val="00E8799C"/>
    <w:rsid w:val="00E87E2A"/>
    <w:rsid w:val="00E906B8"/>
    <w:rsid w:val="00E93908"/>
    <w:rsid w:val="00E956EC"/>
    <w:rsid w:val="00E95CE4"/>
    <w:rsid w:val="00E96283"/>
    <w:rsid w:val="00E97C42"/>
    <w:rsid w:val="00EA0782"/>
    <w:rsid w:val="00EA1F46"/>
    <w:rsid w:val="00EA20BB"/>
    <w:rsid w:val="00EA2CDE"/>
    <w:rsid w:val="00EB2412"/>
    <w:rsid w:val="00EB2492"/>
    <w:rsid w:val="00EB3AA0"/>
    <w:rsid w:val="00EB3D1C"/>
    <w:rsid w:val="00EB4C15"/>
    <w:rsid w:val="00EC0745"/>
    <w:rsid w:val="00EC2221"/>
    <w:rsid w:val="00EC2484"/>
    <w:rsid w:val="00EC2D14"/>
    <w:rsid w:val="00EC384C"/>
    <w:rsid w:val="00EC43BC"/>
    <w:rsid w:val="00EC6B05"/>
    <w:rsid w:val="00EC6B6D"/>
    <w:rsid w:val="00EC7F11"/>
    <w:rsid w:val="00ED1BA8"/>
    <w:rsid w:val="00ED4705"/>
    <w:rsid w:val="00ED4AF7"/>
    <w:rsid w:val="00ED5762"/>
    <w:rsid w:val="00ED6463"/>
    <w:rsid w:val="00EE20E3"/>
    <w:rsid w:val="00EE2534"/>
    <w:rsid w:val="00EE3384"/>
    <w:rsid w:val="00EE37D3"/>
    <w:rsid w:val="00EE38E4"/>
    <w:rsid w:val="00EE4B90"/>
    <w:rsid w:val="00EE51BD"/>
    <w:rsid w:val="00EF0AA9"/>
    <w:rsid w:val="00EF38CD"/>
    <w:rsid w:val="00EF43F2"/>
    <w:rsid w:val="00EF444C"/>
    <w:rsid w:val="00EF4CE3"/>
    <w:rsid w:val="00EF56E4"/>
    <w:rsid w:val="00EF5803"/>
    <w:rsid w:val="00EF684F"/>
    <w:rsid w:val="00EF69A2"/>
    <w:rsid w:val="00F011B0"/>
    <w:rsid w:val="00F01880"/>
    <w:rsid w:val="00F02578"/>
    <w:rsid w:val="00F033DE"/>
    <w:rsid w:val="00F06A23"/>
    <w:rsid w:val="00F10A3D"/>
    <w:rsid w:val="00F10A63"/>
    <w:rsid w:val="00F12CE8"/>
    <w:rsid w:val="00F13EFD"/>
    <w:rsid w:val="00F165A3"/>
    <w:rsid w:val="00F206B2"/>
    <w:rsid w:val="00F21791"/>
    <w:rsid w:val="00F21E3B"/>
    <w:rsid w:val="00F23C62"/>
    <w:rsid w:val="00F24831"/>
    <w:rsid w:val="00F30ABD"/>
    <w:rsid w:val="00F31EB3"/>
    <w:rsid w:val="00F3359B"/>
    <w:rsid w:val="00F43428"/>
    <w:rsid w:val="00F43DCE"/>
    <w:rsid w:val="00F44074"/>
    <w:rsid w:val="00F4626B"/>
    <w:rsid w:val="00F463EA"/>
    <w:rsid w:val="00F51389"/>
    <w:rsid w:val="00F51ED8"/>
    <w:rsid w:val="00F51FCE"/>
    <w:rsid w:val="00F54292"/>
    <w:rsid w:val="00F5466E"/>
    <w:rsid w:val="00F57519"/>
    <w:rsid w:val="00F602EB"/>
    <w:rsid w:val="00F61CEE"/>
    <w:rsid w:val="00F636B5"/>
    <w:rsid w:val="00F6392B"/>
    <w:rsid w:val="00F6477D"/>
    <w:rsid w:val="00F66293"/>
    <w:rsid w:val="00F66967"/>
    <w:rsid w:val="00F66D61"/>
    <w:rsid w:val="00F67F31"/>
    <w:rsid w:val="00F71411"/>
    <w:rsid w:val="00F74989"/>
    <w:rsid w:val="00F75216"/>
    <w:rsid w:val="00F82BD9"/>
    <w:rsid w:val="00F847FE"/>
    <w:rsid w:val="00F849D7"/>
    <w:rsid w:val="00F8547E"/>
    <w:rsid w:val="00F85FCF"/>
    <w:rsid w:val="00F8646D"/>
    <w:rsid w:val="00F86489"/>
    <w:rsid w:val="00F87042"/>
    <w:rsid w:val="00F8732C"/>
    <w:rsid w:val="00F908B9"/>
    <w:rsid w:val="00F90D82"/>
    <w:rsid w:val="00F92C08"/>
    <w:rsid w:val="00F95851"/>
    <w:rsid w:val="00F97918"/>
    <w:rsid w:val="00FA18CC"/>
    <w:rsid w:val="00FA1936"/>
    <w:rsid w:val="00FA2DF6"/>
    <w:rsid w:val="00FA2EC6"/>
    <w:rsid w:val="00FA3110"/>
    <w:rsid w:val="00FA5D51"/>
    <w:rsid w:val="00FA64E7"/>
    <w:rsid w:val="00FA774A"/>
    <w:rsid w:val="00FB0DF3"/>
    <w:rsid w:val="00FC0619"/>
    <w:rsid w:val="00FC0DEB"/>
    <w:rsid w:val="00FC15F1"/>
    <w:rsid w:val="00FC1902"/>
    <w:rsid w:val="00FC4909"/>
    <w:rsid w:val="00FC4962"/>
    <w:rsid w:val="00FC5ACC"/>
    <w:rsid w:val="00FD12DE"/>
    <w:rsid w:val="00FD37FE"/>
    <w:rsid w:val="00FD62FF"/>
    <w:rsid w:val="00FD676E"/>
    <w:rsid w:val="00FE2F78"/>
    <w:rsid w:val="00FE43E1"/>
    <w:rsid w:val="00FE6095"/>
    <w:rsid w:val="00FE61C6"/>
    <w:rsid w:val="00FF0578"/>
    <w:rsid w:val="00FF1858"/>
    <w:rsid w:val="00FF33EB"/>
    <w:rsid w:val="00FF3F01"/>
    <w:rsid w:val="00FF4EA4"/>
    <w:rsid w:val="00FF4F57"/>
    <w:rsid w:val="01087EB9"/>
    <w:rsid w:val="01A03053"/>
    <w:rsid w:val="02042EF4"/>
    <w:rsid w:val="02314E41"/>
    <w:rsid w:val="032C493C"/>
    <w:rsid w:val="03625DE6"/>
    <w:rsid w:val="04A6236A"/>
    <w:rsid w:val="053F5432"/>
    <w:rsid w:val="064E7C45"/>
    <w:rsid w:val="07BF5E31"/>
    <w:rsid w:val="07F96DEB"/>
    <w:rsid w:val="08ED0258"/>
    <w:rsid w:val="08EF08AA"/>
    <w:rsid w:val="09B61E03"/>
    <w:rsid w:val="0A115352"/>
    <w:rsid w:val="0A1E34A8"/>
    <w:rsid w:val="0A2241D5"/>
    <w:rsid w:val="0AED524D"/>
    <w:rsid w:val="0B042130"/>
    <w:rsid w:val="0B391354"/>
    <w:rsid w:val="0CAE7D79"/>
    <w:rsid w:val="0CC96F90"/>
    <w:rsid w:val="0DAC0795"/>
    <w:rsid w:val="0DF14212"/>
    <w:rsid w:val="0F492F98"/>
    <w:rsid w:val="100B4F00"/>
    <w:rsid w:val="10ED3EAB"/>
    <w:rsid w:val="110E6C6E"/>
    <w:rsid w:val="115D39B8"/>
    <w:rsid w:val="122C725F"/>
    <w:rsid w:val="128E3D8E"/>
    <w:rsid w:val="12E50F51"/>
    <w:rsid w:val="13BF63D1"/>
    <w:rsid w:val="14214638"/>
    <w:rsid w:val="149819C8"/>
    <w:rsid w:val="14B173D9"/>
    <w:rsid w:val="14D058A3"/>
    <w:rsid w:val="15EE44D7"/>
    <w:rsid w:val="16B051B6"/>
    <w:rsid w:val="170E412F"/>
    <w:rsid w:val="17B078B6"/>
    <w:rsid w:val="18113DC5"/>
    <w:rsid w:val="1858252D"/>
    <w:rsid w:val="197867EF"/>
    <w:rsid w:val="197B011F"/>
    <w:rsid w:val="198F1D07"/>
    <w:rsid w:val="1A2B7FB5"/>
    <w:rsid w:val="1A7701C4"/>
    <w:rsid w:val="1B70335D"/>
    <w:rsid w:val="1BC27E34"/>
    <w:rsid w:val="1C317F37"/>
    <w:rsid w:val="1C527EEE"/>
    <w:rsid w:val="1D7E1DFE"/>
    <w:rsid w:val="1D90357B"/>
    <w:rsid w:val="1EAC0576"/>
    <w:rsid w:val="1F457DEB"/>
    <w:rsid w:val="1F4F76D7"/>
    <w:rsid w:val="1F5E25BF"/>
    <w:rsid w:val="20275104"/>
    <w:rsid w:val="204C3CC9"/>
    <w:rsid w:val="20ED0E50"/>
    <w:rsid w:val="20FF154F"/>
    <w:rsid w:val="216551D5"/>
    <w:rsid w:val="21DF17AC"/>
    <w:rsid w:val="22351C2F"/>
    <w:rsid w:val="22B643D4"/>
    <w:rsid w:val="2301785C"/>
    <w:rsid w:val="24326801"/>
    <w:rsid w:val="2461458C"/>
    <w:rsid w:val="24D83346"/>
    <w:rsid w:val="25720679"/>
    <w:rsid w:val="25DF5154"/>
    <w:rsid w:val="25F75E26"/>
    <w:rsid w:val="265B42DF"/>
    <w:rsid w:val="27A229B2"/>
    <w:rsid w:val="27B5253B"/>
    <w:rsid w:val="281A0202"/>
    <w:rsid w:val="283E3CD3"/>
    <w:rsid w:val="2B3F5F01"/>
    <w:rsid w:val="2C0B7CF9"/>
    <w:rsid w:val="2C2E4C48"/>
    <w:rsid w:val="2C434247"/>
    <w:rsid w:val="2D5F028F"/>
    <w:rsid w:val="2F124B1C"/>
    <w:rsid w:val="2F45482D"/>
    <w:rsid w:val="2F477084"/>
    <w:rsid w:val="2FE113B9"/>
    <w:rsid w:val="2FF24A9E"/>
    <w:rsid w:val="305F0D15"/>
    <w:rsid w:val="307D673F"/>
    <w:rsid w:val="31114858"/>
    <w:rsid w:val="31324247"/>
    <w:rsid w:val="320D3218"/>
    <w:rsid w:val="32985053"/>
    <w:rsid w:val="32B20743"/>
    <w:rsid w:val="32E31462"/>
    <w:rsid w:val="340A14ED"/>
    <w:rsid w:val="34280373"/>
    <w:rsid w:val="3439458D"/>
    <w:rsid w:val="345D5D57"/>
    <w:rsid w:val="350A079B"/>
    <w:rsid w:val="35306958"/>
    <w:rsid w:val="353C4CB4"/>
    <w:rsid w:val="35C46C85"/>
    <w:rsid w:val="35F6337B"/>
    <w:rsid w:val="36D45DBC"/>
    <w:rsid w:val="3749027E"/>
    <w:rsid w:val="37B96E50"/>
    <w:rsid w:val="391E6950"/>
    <w:rsid w:val="398F43B6"/>
    <w:rsid w:val="39FC1D92"/>
    <w:rsid w:val="3A0C6200"/>
    <w:rsid w:val="3A1A525E"/>
    <w:rsid w:val="3ACC560C"/>
    <w:rsid w:val="3B380893"/>
    <w:rsid w:val="3B685AA6"/>
    <w:rsid w:val="3C175755"/>
    <w:rsid w:val="3C725167"/>
    <w:rsid w:val="3C9839FA"/>
    <w:rsid w:val="3CB04E80"/>
    <w:rsid w:val="3CC67CD4"/>
    <w:rsid w:val="3D96637E"/>
    <w:rsid w:val="3DEC2498"/>
    <w:rsid w:val="3E034405"/>
    <w:rsid w:val="40BE3049"/>
    <w:rsid w:val="41247764"/>
    <w:rsid w:val="41DE3A48"/>
    <w:rsid w:val="42547D8B"/>
    <w:rsid w:val="42F23437"/>
    <w:rsid w:val="43663E29"/>
    <w:rsid w:val="43810AF0"/>
    <w:rsid w:val="44D2564B"/>
    <w:rsid w:val="44EA4606"/>
    <w:rsid w:val="458C667A"/>
    <w:rsid w:val="46366161"/>
    <w:rsid w:val="46465AAA"/>
    <w:rsid w:val="467D2F1A"/>
    <w:rsid w:val="46CE1703"/>
    <w:rsid w:val="46E35449"/>
    <w:rsid w:val="473960E8"/>
    <w:rsid w:val="47A07BC1"/>
    <w:rsid w:val="48080763"/>
    <w:rsid w:val="485128BA"/>
    <w:rsid w:val="48737219"/>
    <w:rsid w:val="48C0687E"/>
    <w:rsid w:val="48EE371C"/>
    <w:rsid w:val="49574371"/>
    <w:rsid w:val="49CF3E0F"/>
    <w:rsid w:val="4A222BB1"/>
    <w:rsid w:val="4D005CCE"/>
    <w:rsid w:val="4D9B0DFF"/>
    <w:rsid w:val="4DAF7610"/>
    <w:rsid w:val="4DE45808"/>
    <w:rsid w:val="4E9448CD"/>
    <w:rsid w:val="4ECA5CC8"/>
    <w:rsid w:val="4F374C6E"/>
    <w:rsid w:val="4FF65309"/>
    <w:rsid w:val="505F0174"/>
    <w:rsid w:val="50A050A3"/>
    <w:rsid w:val="51352836"/>
    <w:rsid w:val="51A13899"/>
    <w:rsid w:val="51FD06C0"/>
    <w:rsid w:val="52581E68"/>
    <w:rsid w:val="528771C6"/>
    <w:rsid w:val="531600B4"/>
    <w:rsid w:val="535A1FCB"/>
    <w:rsid w:val="536561B2"/>
    <w:rsid w:val="53FA012A"/>
    <w:rsid w:val="544C0545"/>
    <w:rsid w:val="55684A64"/>
    <w:rsid w:val="557F3457"/>
    <w:rsid w:val="56626902"/>
    <w:rsid w:val="567A60F1"/>
    <w:rsid w:val="57B8361E"/>
    <w:rsid w:val="57D2139A"/>
    <w:rsid w:val="57DF4B76"/>
    <w:rsid w:val="58057299"/>
    <w:rsid w:val="58A31F4C"/>
    <w:rsid w:val="5B8D41B8"/>
    <w:rsid w:val="5BAE2A99"/>
    <w:rsid w:val="5C1717D9"/>
    <w:rsid w:val="5C20031E"/>
    <w:rsid w:val="5CB139A0"/>
    <w:rsid w:val="5CCF2AFE"/>
    <w:rsid w:val="5CD938B8"/>
    <w:rsid w:val="5D1F61F2"/>
    <w:rsid w:val="5DD54801"/>
    <w:rsid w:val="5DE56A37"/>
    <w:rsid w:val="5E4758E5"/>
    <w:rsid w:val="5E8E5AC1"/>
    <w:rsid w:val="5E921C4D"/>
    <w:rsid w:val="5EE83EB0"/>
    <w:rsid w:val="5F4A434F"/>
    <w:rsid w:val="5FD542E1"/>
    <w:rsid w:val="6001186C"/>
    <w:rsid w:val="60614B4F"/>
    <w:rsid w:val="614E3A65"/>
    <w:rsid w:val="61BC4DC2"/>
    <w:rsid w:val="62183117"/>
    <w:rsid w:val="62677C6F"/>
    <w:rsid w:val="634675E2"/>
    <w:rsid w:val="638962A8"/>
    <w:rsid w:val="63F4509F"/>
    <w:rsid w:val="64041CCC"/>
    <w:rsid w:val="64BF36B4"/>
    <w:rsid w:val="64C76A4D"/>
    <w:rsid w:val="64FE6613"/>
    <w:rsid w:val="65351DAE"/>
    <w:rsid w:val="66980FBD"/>
    <w:rsid w:val="672B39CE"/>
    <w:rsid w:val="67341FB4"/>
    <w:rsid w:val="67F03A67"/>
    <w:rsid w:val="68881403"/>
    <w:rsid w:val="68B02A1A"/>
    <w:rsid w:val="69294622"/>
    <w:rsid w:val="69995CD6"/>
    <w:rsid w:val="69CA0494"/>
    <w:rsid w:val="69FB4D8B"/>
    <w:rsid w:val="6C2234CC"/>
    <w:rsid w:val="6C863FC4"/>
    <w:rsid w:val="6CAC6174"/>
    <w:rsid w:val="6D32159C"/>
    <w:rsid w:val="6D351CF7"/>
    <w:rsid w:val="6EB746A7"/>
    <w:rsid w:val="6F34277B"/>
    <w:rsid w:val="6F832092"/>
    <w:rsid w:val="704D75D1"/>
    <w:rsid w:val="70506DB5"/>
    <w:rsid w:val="7072440C"/>
    <w:rsid w:val="7092622D"/>
    <w:rsid w:val="70D66EEA"/>
    <w:rsid w:val="70F02C62"/>
    <w:rsid w:val="71CB356E"/>
    <w:rsid w:val="71EC2A56"/>
    <w:rsid w:val="723972A7"/>
    <w:rsid w:val="737E090F"/>
    <w:rsid w:val="741756AE"/>
    <w:rsid w:val="741A563C"/>
    <w:rsid w:val="74E651D2"/>
    <w:rsid w:val="751414C1"/>
    <w:rsid w:val="755446EC"/>
    <w:rsid w:val="755E1E93"/>
    <w:rsid w:val="75752706"/>
    <w:rsid w:val="75AB4839"/>
    <w:rsid w:val="76015A01"/>
    <w:rsid w:val="764D727E"/>
    <w:rsid w:val="767C5E46"/>
    <w:rsid w:val="76B625A7"/>
    <w:rsid w:val="76D609C3"/>
    <w:rsid w:val="787D7581"/>
    <w:rsid w:val="78AF68A0"/>
    <w:rsid w:val="78C37659"/>
    <w:rsid w:val="790B56C3"/>
    <w:rsid w:val="7BC16393"/>
    <w:rsid w:val="7C1D0C87"/>
    <w:rsid w:val="7C39335E"/>
    <w:rsid w:val="7DE1586C"/>
    <w:rsid w:val="7E4C7A10"/>
    <w:rsid w:val="7E583278"/>
    <w:rsid w:val="7EB52D4A"/>
    <w:rsid w:val="7EC43622"/>
    <w:rsid w:val="7EEC1A19"/>
    <w:rsid w:val="7F0A2998"/>
    <w:rsid w:val="7F0B0D76"/>
    <w:rsid w:val="7F130E11"/>
    <w:rsid w:val="7F1B47A2"/>
    <w:rsid w:val="7FF93B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link w:val="29"/>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7">
    <w:name w:val="heading 2"/>
    <w:basedOn w:val="1"/>
    <w:next w:val="1"/>
    <w:link w:val="30"/>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8">
    <w:name w:val="heading 3"/>
    <w:basedOn w:val="1"/>
    <w:next w:val="1"/>
    <w:link w:val="31"/>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9">
    <w:name w:val="heading 4"/>
    <w:basedOn w:val="1"/>
    <w:next w:val="1"/>
    <w:link w:val="32"/>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next w:val="4"/>
    <w:link w:val="40"/>
    <w:qFormat/>
    <w:uiPriority w:val="0"/>
    <w:pPr>
      <w:ind w:firstLine="420" w:firstLineChars="100"/>
    </w:pPr>
    <w:rPr>
      <w:rFonts w:ascii="宋体" w:hAnsi="Times New Roman" w:eastAsia="宋体" w:cs="Times New Roman"/>
      <w:kern w:val="0"/>
      <w:sz w:val="34"/>
      <w:szCs w:val="20"/>
    </w:rPr>
  </w:style>
  <w:style w:type="paragraph" w:styleId="3">
    <w:name w:val="Body Text"/>
    <w:basedOn w:val="1"/>
    <w:link w:val="34"/>
    <w:semiHidden/>
    <w:unhideWhenUsed/>
    <w:qFormat/>
    <w:uiPriority w:val="99"/>
    <w:pPr>
      <w:spacing w:after="120"/>
    </w:pPr>
  </w:style>
  <w:style w:type="paragraph" w:styleId="4">
    <w:name w:val="Body Text First Indent 2"/>
    <w:basedOn w:val="5"/>
    <w:qFormat/>
    <w:uiPriority w:val="0"/>
    <w:pPr>
      <w:ind w:firstLine="420" w:firstLineChars="200"/>
    </w:pPr>
    <w:rPr>
      <w:szCs w:val="24"/>
    </w:rPr>
  </w:style>
  <w:style w:type="paragraph" w:styleId="5">
    <w:name w:val="Body Text Indent"/>
    <w:basedOn w:val="1"/>
    <w:link w:val="56"/>
    <w:qFormat/>
    <w:uiPriority w:val="0"/>
    <w:pPr>
      <w:adjustRightInd w:val="0"/>
      <w:spacing w:after="120" w:line="360" w:lineRule="atLeast"/>
      <w:ind w:left="420" w:leftChars="200"/>
      <w:jc w:val="left"/>
      <w:textAlignment w:val="baseline"/>
    </w:pPr>
    <w:rPr>
      <w:kern w:val="0"/>
      <w:sz w:val="24"/>
      <w:szCs w:val="20"/>
    </w:rPr>
  </w:style>
  <w:style w:type="paragraph" w:styleId="10">
    <w:name w:val="Normal Indent"/>
    <w:basedOn w:val="1"/>
    <w:qFormat/>
    <w:uiPriority w:val="0"/>
    <w:pPr>
      <w:ind w:firstLine="425"/>
    </w:pPr>
    <w:rPr>
      <w:rFonts w:ascii="Times New Roman" w:hAnsi="Times New Roman" w:eastAsia="宋体" w:cs="Times New Roman"/>
      <w:szCs w:val="20"/>
    </w:rPr>
  </w:style>
  <w:style w:type="paragraph" w:styleId="11">
    <w:name w:val="caption"/>
    <w:basedOn w:val="1"/>
    <w:next w:val="1"/>
    <w:qFormat/>
    <w:uiPriority w:val="0"/>
    <w:rPr>
      <w:rFonts w:ascii="Arial" w:hAnsi="Arial" w:eastAsia="黑体" w:cs="Arial"/>
      <w:sz w:val="20"/>
      <w:szCs w:val="20"/>
    </w:rPr>
  </w:style>
  <w:style w:type="paragraph" w:styleId="12">
    <w:name w:val="Body Text 3"/>
    <w:basedOn w:val="1"/>
    <w:link w:val="33"/>
    <w:qFormat/>
    <w:uiPriority w:val="0"/>
    <w:rPr>
      <w:rFonts w:ascii="Times New Roman" w:hAnsi="Times New Roman" w:eastAsia="宋体" w:cs="Times New Roman"/>
      <w:color w:val="FF0000"/>
      <w:sz w:val="24"/>
      <w:szCs w:val="24"/>
    </w:rPr>
  </w:style>
  <w:style w:type="paragraph" w:styleId="13">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4">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5">
    <w:name w:val="Plain Text"/>
    <w:basedOn w:val="1"/>
    <w:link w:val="35"/>
    <w:qFormat/>
    <w:uiPriority w:val="0"/>
    <w:rPr>
      <w:rFonts w:eastAsia="宋体"/>
      <w:sz w:val="24"/>
    </w:rPr>
  </w:style>
  <w:style w:type="paragraph" w:styleId="16">
    <w:name w:val="Date"/>
    <w:basedOn w:val="1"/>
    <w:next w:val="1"/>
    <w:link w:val="36"/>
    <w:unhideWhenUsed/>
    <w:qFormat/>
    <w:uiPriority w:val="99"/>
    <w:pPr>
      <w:ind w:left="100" w:leftChars="2500"/>
    </w:pPr>
  </w:style>
  <w:style w:type="paragraph" w:styleId="17">
    <w:name w:val="Balloon Text"/>
    <w:basedOn w:val="1"/>
    <w:link w:val="57"/>
    <w:semiHidden/>
    <w:unhideWhenUsed/>
    <w:qFormat/>
    <w:uiPriority w:val="99"/>
    <w:rPr>
      <w:sz w:val="18"/>
      <w:szCs w:val="18"/>
    </w:rPr>
  </w:style>
  <w:style w:type="paragraph" w:styleId="18">
    <w:name w:val="footer"/>
    <w:basedOn w:val="1"/>
    <w:link w:val="37"/>
    <w:unhideWhenUsed/>
    <w:qFormat/>
    <w:uiPriority w:val="99"/>
    <w:pPr>
      <w:tabs>
        <w:tab w:val="center" w:pos="4153"/>
        <w:tab w:val="right" w:pos="8306"/>
      </w:tabs>
      <w:snapToGrid w:val="0"/>
      <w:jc w:val="left"/>
    </w:pPr>
    <w:rPr>
      <w:sz w:val="18"/>
      <w:szCs w:val="18"/>
    </w:rPr>
  </w:style>
  <w:style w:type="paragraph" w:styleId="19">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1">
    <w:name w:val="HTML Preformatted"/>
    <w:basedOn w:val="1"/>
    <w:link w:val="39"/>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2">
    <w:name w:val="Normal (Web)"/>
    <w:basedOn w:val="1"/>
    <w:qFormat/>
    <w:uiPriority w:val="99"/>
    <w:rPr>
      <w:rFonts w:ascii="Calibri" w:hAnsi="Calibri" w:eastAsia="宋体" w:cs="Times New Roman"/>
      <w:sz w:val="24"/>
      <w:szCs w:val="24"/>
    </w:rPr>
  </w:style>
  <w:style w:type="character" w:styleId="25">
    <w:name w:val="Strong"/>
    <w:basedOn w:val="24"/>
    <w:qFormat/>
    <w:uiPriority w:val="22"/>
    <w:rPr>
      <w:b/>
      <w:bCs/>
    </w:rPr>
  </w:style>
  <w:style w:type="character" w:styleId="26">
    <w:name w:val="FollowedHyperlink"/>
    <w:basedOn w:val="24"/>
    <w:semiHidden/>
    <w:unhideWhenUsed/>
    <w:qFormat/>
    <w:uiPriority w:val="99"/>
    <w:rPr>
      <w:color w:val="800080" w:themeColor="followedHyperlink"/>
      <w:u w:val="single"/>
      <w14:textFill>
        <w14:solidFill>
          <w14:schemeClr w14:val="folHlink"/>
        </w14:solidFill>
      </w14:textFill>
    </w:rPr>
  </w:style>
  <w:style w:type="character" w:styleId="27">
    <w:name w:val="Emphasis"/>
    <w:basedOn w:val="24"/>
    <w:qFormat/>
    <w:uiPriority w:val="20"/>
    <w:rPr>
      <w:i/>
      <w:iCs/>
    </w:rPr>
  </w:style>
  <w:style w:type="character" w:styleId="28">
    <w:name w:val="Hyperlink"/>
    <w:basedOn w:val="24"/>
    <w:unhideWhenUsed/>
    <w:qFormat/>
    <w:uiPriority w:val="99"/>
    <w:rPr>
      <w:color w:val="0000FF"/>
      <w:u w:val="single"/>
    </w:rPr>
  </w:style>
  <w:style w:type="character" w:customStyle="1" w:styleId="29">
    <w:name w:val="标题 1 Char"/>
    <w:basedOn w:val="24"/>
    <w:link w:val="6"/>
    <w:qFormat/>
    <w:uiPriority w:val="0"/>
    <w:rPr>
      <w:rFonts w:ascii="Calibri" w:hAnsi="Calibri" w:eastAsia="宋体" w:cs="Times New Roman"/>
      <w:b/>
      <w:bCs/>
      <w:kern w:val="44"/>
      <w:sz w:val="44"/>
      <w:szCs w:val="44"/>
    </w:rPr>
  </w:style>
  <w:style w:type="character" w:customStyle="1" w:styleId="30">
    <w:name w:val="标题 2 Char"/>
    <w:basedOn w:val="24"/>
    <w:link w:val="7"/>
    <w:qFormat/>
    <w:uiPriority w:val="0"/>
    <w:rPr>
      <w:rFonts w:ascii="Arial" w:hAnsi="Arial" w:eastAsia="黑体" w:cs="Times New Roman"/>
      <w:b/>
      <w:bCs/>
      <w:sz w:val="32"/>
      <w:szCs w:val="32"/>
    </w:rPr>
  </w:style>
  <w:style w:type="character" w:customStyle="1" w:styleId="31">
    <w:name w:val="标题 3 Char"/>
    <w:basedOn w:val="24"/>
    <w:link w:val="8"/>
    <w:qFormat/>
    <w:uiPriority w:val="0"/>
    <w:rPr>
      <w:rFonts w:ascii="宋体" w:hAnsi="宋体" w:eastAsia="宋体" w:cs="Times New Roman"/>
      <w:b/>
      <w:color w:val="000000"/>
      <w:kern w:val="0"/>
      <w:sz w:val="24"/>
      <w:szCs w:val="20"/>
      <w:lang w:val="en-GB"/>
    </w:rPr>
  </w:style>
  <w:style w:type="character" w:customStyle="1" w:styleId="32">
    <w:name w:val="标题 4 Char"/>
    <w:basedOn w:val="24"/>
    <w:link w:val="9"/>
    <w:qFormat/>
    <w:uiPriority w:val="0"/>
    <w:rPr>
      <w:rFonts w:ascii="Arial" w:hAnsi="Arial" w:eastAsia="黑体" w:cs="Times New Roman"/>
      <w:b/>
      <w:bCs/>
      <w:sz w:val="28"/>
      <w:szCs w:val="28"/>
    </w:rPr>
  </w:style>
  <w:style w:type="character" w:customStyle="1" w:styleId="33">
    <w:name w:val="正文文本 3 Char"/>
    <w:basedOn w:val="24"/>
    <w:link w:val="12"/>
    <w:qFormat/>
    <w:uiPriority w:val="0"/>
    <w:rPr>
      <w:rFonts w:ascii="Times New Roman" w:hAnsi="Times New Roman" w:eastAsia="宋体" w:cs="Times New Roman"/>
      <w:color w:val="FF0000"/>
      <w:sz w:val="24"/>
      <w:szCs w:val="24"/>
    </w:rPr>
  </w:style>
  <w:style w:type="character" w:customStyle="1" w:styleId="34">
    <w:name w:val="正文文本 Char"/>
    <w:basedOn w:val="24"/>
    <w:link w:val="3"/>
    <w:semiHidden/>
    <w:qFormat/>
    <w:uiPriority w:val="99"/>
  </w:style>
  <w:style w:type="character" w:customStyle="1" w:styleId="35">
    <w:name w:val="纯文本 Char"/>
    <w:basedOn w:val="24"/>
    <w:link w:val="15"/>
    <w:qFormat/>
    <w:uiPriority w:val="0"/>
    <w:rPr>
      <w:rFonts w:eastAsia="宋体"/>
      <w:sz w:val="24"/>
    </w:rPr>
  </w:style>
  <w:style w:type="character" w:customStyle="1" w:styleId="36">
    <w:name w:val="日期 Char"/>
    <w:basedOn w:val="24"/>
    <w:link w:val="16"/>
    <w:qFormat/>
    <w:uiPriority w:val="99"/>
  </w:style>
  <w:style w:type="character" w:customStyle="1" w:styleId="37">
    <w:name w:val="页脚 Char"/>
    <w:basedOn w:val="24"/>
    <w:link w:val="18"/>
    <w:qFormat/>
    <w:uiPriority w:val="99"/>
    <w:rPr>
      <w:sz w:val="18"/>
      <w:szCs w:val="18"/>
    </w:rPr>
  </w:style>
  <w:style w:type="character" w:customStyle="1" w:styleId="38">
    <w:name w:val="页眉 Char"/>
    <w:basedOn w:val="24"/>
    <w:link w:val="19"/>
    <w:qFormat/>
    <w:uiPriority w:val="99"/>
    <w:rPr>
      <w:sz w:val="18"/>
      <w:szCs w:val="18"/>
    </w:rPr>
  </w:style>
  <w:style w:type="character" w:customStyle="1" w:styleId="39">
    <w:name w:val="HTML 预设格式 Char"/>
    <w:basedOn w:val="24"/>
    <w:link w:val="21"/>
    <w:semiHidden/>
    <w:qFormat/>
    <w:uiPriority w:val="99"/>
    <w:rPr>
      <w:rFonts w:ascii="宋体" w:hAnsi="宋体" w:eastAsia="宋体" w:cs="宋体"/>
      <w:kern w:val="0"/>
      <w:sz w:val="24"/>
      <w:szCs w:val="24"/>
    </w:rPr>
  </w:style>
  <w:style w:type="character" w:customStyle="1" w:styleId="40">
    <w:name w:val="正文首行缩进 Char"/>
    <w:basedOn w:val="34"/>
    <w:link w:val="2"/>
    <w:qFormat/>
    <w:uiPriority w:val="0"/>
    <w:rPr>
      <w:rFonts w:ascii="宋体" w:hAnsi="Times New Roman" w:eastAsia="宋体" w:cs="Times New Roman"/>
      <w:kern w:val="0"/>
      <w:sz w:val="34"/>
      <w:szCs w:val="20"/>
    </w:rPr>
  </w:style>
  <w:style w:type="character" w:customStyle="1" w:styleId="41">
    <w:name w:val="纯文本 Char1"/>
    <w:qFormat/>
    <w:uiPriority w:val="0"/>
    <w:rPr>
      <w:rFonts w:eastAsia="宋体"/>
      <w:sz w:val="24"/>
    </w:rPr>
  </w:style>
  <w:style w:type="paragraph" w:customStyle="1" w:styleId="42">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3">
    <w:name w:val="列出段落1"/>
    <w:basedOn w:val="1"/>
    <w:qFormat/>
    <w:uiPriority w:val="34"/>
    <w:pPr>
      <w:ind w:firstLine="420" w:firstLineChars="200"/>
    </w:pPr>
  </w:style>
  <w:style w:type="paragraph" w:styleId="44">
    <w:name w:val="List Paragraph"/>
    <w:basedOn w:val="1"/>
    <w:unhideWhenUsed/>
    <w:qFormat/>
    <w:uiPriority w:val="99"/>
    <w:pPr>
      <w:ind w:firstLine="420" w:firstLineChars="200"/>
    </w:pPr>
  </w:style>
  <w:style w:type="character" w:customStyle="1" w:styleId="45">
    <w:name w:val="正文文本缩进 Char Char"/>
    <w:link w:val="46"/>
    <w:qFormat/>
    <w:uiPriority w:val="0"/>
    <w:rPr>
      <w:rFonts w:ascii="宋体"/>
      <w:sz w:val="24"/>
    </w:rPr>
  </w:style>
  <w:style w:type="paragraph" w:customStyle="1" w:styleId="46">
    <w:name w:val="正文文本缩进1"/>
    <w:basedOn w:val="1"/>
    <w:link w:val="45"/>
    <w:qFormat/>
    <w:uiPriority w:val="0"/>
    <w:pPr>
      <w:spacing w:line="360" w:lineRule="auto"/>
      <w:ind w:firstLine="480" w:firstLineChars="200"/>
    </w:pPr>
    <w:rPr>
      <w:rFonts w:ascii="宋体"/>
      <w:sz w:val="24"/>
    </w:rPr>
  </w:style>
  <w:style w:type="character" w:customStyle="1" w:styleId="47">
    <w:name w:val="日期 Char Char"/>
    <w:link w:val="48"/>
    <w:qFormat/>
    <w:uiPriority w:val="0"/>
    <w:rPr>
      <w:sz w:val="24"/>
    </w:rPr>
  </w:style>
  <w:style w:type="paragraph" w:customStyle="1" w:styleId="48">
    <w:name w:val="日期1"/>
    <w:basedOn w:val="1"/>
    <w:next w:val="1"/>
    <w:link w:val="47"/>
    <w:qFormat/>
    <w:uiPriority w:val="0"/>
    <w:rPr>
      <w:sz w:val="24"/>
    </w:rPr>
  </w:style>
  <w:style w:type="paragraph" w:customStyle="1" w:styleId="49">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50">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51">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2">
    <w:name w:val="edittexttarea"/>
    <w:basedOn w:val="24"/>
    <w:qFormat/>
    <w:uiPriority w:val="0"/>
  </w:style>
  <w:style w:type="paragraph" w:customStyle="1" w:styleId="53">
    <w:name w:val="样式 标题 1 + 四号 居中 段前: 12 磅 段后: 12 磅 行距: 单倍行距"/>
    <w:basedOn w:val="6"/>
    <w:qFormat/>
    <w:uiPriority w:val="0"/>
    <w:pPr>
      <w:spacing w:before="240" w:after="240" w:line="240" w:lineRule="auto"/>
      <w:ind w:left="-288"/>
      <w:jc w:val="center"/>
    </w:pPr>
    <w:rPr>
      <w:rFonts w:cs="宋体"/>
      <w:sz w:val="28"/>
      <w:szCs w:val="20"/>
    </w:rPr>
  </w:style>
  <w:style w:type="paragraph" w:customStyle="1" w:styleId="54">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5">
    <w:name w:val="正文文本缩进 Char"/>
    <w:link w:val="5"/>
    <w:qFormat/>
    <w:uiPriority w:val="0"/>
    <w:rPr>
      <w:sz w:val="24"/>
    </w:rPr>
  </w:style>
  <w:style w:type="character" w:customStyle="1" w:styleId="56">
    <w:name w:val="正文文本缩进 Char1"/>
    <w:basedOn w:val="24"/>
    <w:link w:val="5"/>
    <w:semiHidden/>
    <w:qFormat/>
    <w:uiPriority w:val="99"/>
    <w:rPr>
      <w:kern w:val="2"/>
      <w:sz w:val="21"/>
      <w:szCs w:val="22"/>
    </w:rPr>
  </w:style>
  <w:style w:type="character" w:customStyle="1" w:styleId="57">
    <w:name w:val="批注框文本 Char"/>
    <w:basedOn w:val="24"/>
    <w:link w:val="17"/>
    <w:semiHidden/>
    <w:qFormat/>
    <w:uiPriority w:val="99"/>
    <w:rPr>
      <w:kern w:val="2"/>
      <w:sz w:val="18"/>
      <w:szCs w:val="18"/>
    </w:rPr>
  </w:style>
  <w:style w:type="paragraph" w:customStyle="1" w:styleId="58">
    <w:name w:val="*正文"/>
    <w:basedOn w:val="1"/>
    <w:qFormat/>
    <w:uiPriority w:val="0"/>
    <w:pPr>
      <w:keepNext/>
      <w:keepLines/>
      <w:spacing w:line="360" w:lineRule="auto"/>
      <w:ind w:firstLine="200" w:firstLineChars="200"/>
    </w:pPr>
    <w:rPr>
      <w:rFonts w:ascii="宋体" w:hAnsi="宋体"/>
    </w:rPr>
  </w:style>
  <w:style w:type="character" w:customStyle="1" w:styleId="59">
    <w:name w:val="样式 标书正文 + 下划线 Char"/>
    <w:qFormat/>
    <w:uiPriority w:val="0"/>
    <w:rPr>
      <w:rFonts w:eastAsia="Ari"/>
      <w:kern w:val="2"/>
      <w:sz w:val="28"/>
      <w:szCs w:val="28"/>
      <w:u w:val="single"/>
      <w:lang w:val="en-US" w:eastAsia="zh-CN"/>
    </w:rPr>
  </w:style>
  <w:style w:type="paragraph" w:customStyle="1" w:styleId="60">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61">
    <w:name w:val="Plain Text"/>
    <w:basedOn w:val="1"/>
    <w:qFormat/>
    <w:uiPriority w:val="0"/>
    <w:rPr>
      <w:rFonts w:ascii="宋体" w:hAnsi="Courier New"/>
      <w:kern w:val="0"/>
      <w:sz w:val="20"/>
      <w:szCs w:val="21"/>
    </w:rPr>
  </w:style>
  <w:style w:type="paragraph" w:customStyle="1" w:styleId="62">
    <w:name w:val="无间隔1"/>
    <w:basedOn w:val="1"/>
    <w:qFormat/>
    <w:uiPriority w:val="0"/>
    <w:pPr>
      <w:spacing w:line="400" w:lineRule="exac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55E6AB-26FF-4703-85F4-72F8C14235AC}">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64</Pages>
  <Words>5181</Words>
  <Characters>29533</Characters>
  <Lines>246</Lines>
  <Paragraphs>69</Paragraphs>
  <TotalTime>35</TotalTime>
  <ScaleCrop>false</ScaleCrop>
  <LinksUpToDate>false</LinksUpToDate>
  <CharactersWithSpaces>34645</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2018-08-06T02:30:00Z</dcterms:created>
  <dc:creator>许昌市公共资源交易中心:孟莉</dc:creator>
  <cp:lastModifiedBy>禹州市公共资源交易中心:艾明辉</cp:lastModifiedBy>
  <cp:lastPrinted>2018-03-20T03:26:00Z</cp:lastPrinted>
  <dcterms:modified xsi:type="dcterms:W3CDTF">2019-11-15T04:45:35Z</dcterms:modified>
  <cp:revision>539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