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禹州市2018年改善人居环境31条道路建设项目交（竣）工验收试验检测费项目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560" w:firstLineChars="200"/>
        <w:jc w:val="both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</w:t>
      </w:r>
      <w:r>
        <w:rPr>
          <w:rFonts w:hint="eastAsia" w:ascii="仿宋" w:hAnsi="仿宋" w:eastAsia="仿宋"/>
          <w:sz w:val="30"/>
          <w:lang w:val="en-US" w:eastAsia="zh-CN"/>
        </w:rPr>
        <w:t>禹州市2018年改善人居环境31条道路建设项目交（竣）工验收试验检测费项目</w:t>
      </w:r>
    </w:p>
    <w:p>
      <w:pPr>
        <w:ind w:firstLine="280" w:firstLineChars="1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T2019272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2019年10月22日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5、开标日期：2019年11月11日9时00分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 18.58万元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tbl>
      <w:tblPr>
        <w:tblStyle w:val="6"/>
        <w:tblpPr w:leftFromText="180" w:rightFromText="180" w:vertAnchor="text" w:horzAnchor="page" w:tblpX="1609" w:tblpY="450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许昌华盛公路工程检测有限公司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河南万里交通科技集团检测咨询有限公司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河南开炜公路工程试验检测有限公司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sz w:val="28"/>
                <w:szCs w:val="28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二、资格审查情况：全部通过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三、符合性审查：全部通过</w:t>
      </w:r>
    </w:p>
    <w:p>
      <w:pPr>
        <w:pStyle w:val="5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6"/>
        <w:tblW w:w="965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02"/>
        <w:gridCol w:w="1850"/>
        <w:gridCol w:w="1488"/>
        <w:gridCol w:w="1650"/>
        <w:gridCol w:w="336"/>
        <w:gridCol w:w="8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35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4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16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计算报价（元）</w:t>
            </w:r>
          </w:p>
        </w:tc>
        <w:tc>
          <w:tcPr>
            <w:tcW w:w="3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8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许昌华盛公路工程检测有限公司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184600.00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184200.00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173148.00</w:t>
            </w:r>
          </w:p>
        </w:tc>
        <w:tc>
          <w:tcPr>
            <w:tcW w:w="3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河南开炜公路工程试验检测有限公司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185100.00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185100.00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-</w:t>
            </w:r>
          </w:p>
        </w:tc>
        <w:tc>
          <w:tcPr>
            <w:tcW w:w="3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河南万里交通科技集团检测咨询有限公司</w:t>
            </w:r>
          </w:p>
        </w:tc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185400.00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184900.00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-</w:t>
            </w:r>
          </w:p>
        </w:tc>
        <w:tc>
          <w:tcPr>
            <w:tcW w:w="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许昌华盛公路工程检测有限公司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地址：许昌市东城区邓庄乡马庄村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联系人：陈瑞      联系方式：0374-5670858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成交金额：184200.00元  大写：壹拾捌万肆仟贰佰圆整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河南万里交通科技集团检测咨询有限公司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地址：许昌市陈庄街与霸陵路交叉口西南角666号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联系人：张珊珊    联系方式：0374-8319457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成交金额：184900.00元 大写：壹拾捌万肆仟玖佰圆整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/>
          <w:sz w:val="28"/>
          <w:szCs w:val="28"/>
          <w:lang w:val="en-US" w:eastAsia="zh-CN"/>
        </w:rPr>
        <w:t>河南开炜公路工程试验检测有限公司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地址：洛阳市开元大道西智慧工厂物联网创新科技园B13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联系人：张丽洁   联系方式：0379-69911820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成交金额：185100</w:t>
      </w:r>
      <w:r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大写：壹拾捌万伍仟壹佰圆整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pStyle w:val="2"/>
        <w:numPr>
          <w:ilvl w:val="0"/>
          <w:numId w:val="0"/>
        </w:numPr>
        <w:ind w:left="288" w:leftChars="0"/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2019年11月15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FC5942"/>
    <w:rsid w:val="01600028"/>
    <w:rsid w:val="018956E7"/>
    <w:rsid w:val="01922D54"/>
    <w:rsid w:val="025A3650"/>
    <w:rsid w:val="0283149D"/>
    <w:rsid w:val="05266DD3"/>
    <w:rsid w:val="05F74BD6"/>
    <w:rsid w:val="067662D1"/>
    <w:rsid w:val="08255734"/>
    <w:rsid w:val="08C90D30"/>
    <w:rsid w:val="08D20C56"/>
    <w:rsid w:val="0A4D72B6"/>
    <w:rsid w:val="0A5D6E52"/>
    <w:rsid w:val="0ABD509F"/>
    <w:rsid w:val="0BA93A0C"/>
    <w:rsid w:val="0BD57E1D"/>
    <w:rsid w:val="0CA9560F"/>
    <w:rsid w:val="0CBF0A40"/>
    <w:rsid w:val="0CE85A73"/>
    <w:rsid w:val="0D726A2D"/>
    <w:rsid w:val="0F891EC3"/>
    <w:rsid w:val="100C6550"/>
    <w:rsid w:val="1365399D"/>
    <w:rsid w:val="13E67329"/>
    <w:rsid w:val="13F35124"/>
    <w:rsid w:val="16F3650C"/>
    <w:rsid w:val="179F732E"/>
    <w:rsid w:val="1800132B"/>
    <w:rsid w:val="1A6D3F70"/>
    <w:rsid w:val="1BEB3B58"/>
    <w:rsid w:val="1E7275CE"/>
    <w:rsid w:val="1F4C48F5"/>
    <w:rsid w:val="1FB05310"/>
    <w:rsid w:val="1FC63EBD"/>
    <w:rsid w:val="20FF035D"/>
    <w:rsid w:val="21BF58AC"/>
    <w:rsid w:val="21F818A1"/>
    <w:rsid w:val="24821DCF"/>
    <w:rsid w:val="269641F3"/>
    <w:rsid w:val="276E3253"/>
    <w:rsid w:val="281305DD"/>
    <w:rsid w:val="2B3636D2"/>
    <w:rsid w:val="2B8D00E1"/>
    <w:rsid w:val="2B8F7509"/>
    <w:rsid w:val="2CF75FAD"/>
    <w:rsid w:val="2D025898"/>
    <w:rsid w:val="2DF8188F"/>
    <w:rsid w:val="2F1E094E"/>
    <w:rsid w:val="30F110BA"/>
    <w:rsid w:val="312C7E46"/>
    <w:rsid w:val="34C51727"/>
    <w:rsid w:val="3640561C"/>
    <w:rsid w:val="378D1AE3"/>
    <w:rsid w:val="381C044E"/>
    <w:rsid w:val="38AA3975"/>
    <w:rsid w:val="39A62A84"/>
    <w:rsid w:val="39E4691D"/>
    <w:rsid w:val="3CB41F73"/>
    <w:rsid w:val="3CDD2499"/>
    <w:rsid w:val="3D2F0527"/>
    <w:rsid w:val="3E160245"/>
    <w:rsid w:val="3F014BD7"/>
    <w:rsid w:val="3FF20CE4"/>
    <w:rsid w:val="4042492D"/>
    <w:rsid w:val="43C12AC1"/>
    <w:rsid w:val="44AD511D"/>
    <w:rsid w:val="44CC47B6"/>
    <w:rsid w:val="45135C26"/>
    <w:rsid w:val="47410E15"/>
    <w:rsid w:val="47E40D79"/>
    <w:rsid w:val="48881D94"/>
    <w:rsid w:val="48CC0AB7"/>
    <w:rsid w:val="49996A42"/>
    <w:rsid w:val="4B2C1C43"/>
    <w:rsid w:val="4B2C7CC3"/>
    <w:rsid w:val="4CB7279A"/>
    <w:rsid w:val="4D3C2317"/>
    <w:rsid w:val="4D4A7706"/>
    <w:rsid w:val="4DB41399"/>
    <w:rsid w:val="4DD80B56"/>
    <w:rsid w:val="4E5A792C"/>
    <w:rsid w:val="4FC10308"/>
    <w:rsid w:val="52684ACE"/>
    <w:rsid w:val="535E02D6"/>
    <w:rsid w:val="5605690D"/>
    <w:rsid w:val="578B2CFC"/>
    <w:rsid w:val="57E437E4"/>
    <w:rsid w:val="57E508E2"/>
    <w:rsid w:val="57FE7887"/>
    <w:rsid w:val="585E3C69"/>
    <w:rsid w:val="58717EC0"/>
    <w:rsid w:val="590E6F22"/>
    <w:rsid w:val="5C4121BA"/>
    <w:rsid w:val="5D284BBF"/>
    <w:rsid w:val="5DF33F88"/>
    <w:rsid w:val="5E023682"/>
    <w:rsid w:val="5E4A0E78"/>
    <w:rsid w:val="5FA94EBD"/>
    <w:rsid w:val="61431519"/>
    <w:rsid w:val="61FC32E6"/>
    <w:rsid w:val="625654BB"/>
    <w:rsid w:val="63C96526"/>
    <w:rsid w:val="65E41C24"/>
    <w:rsid w:val="668E1DA4"/>
    <w:rsid w:val="69584ABE"/>
    <w:rsid w:val="6A665125"/>
    <w:rsid w:val="6B5A5BFB"/>
    <w:rsid w:val="6DC678F5"/>
    <w:rsid w:val="6E116668"/>
    <w:rsid w:val="6F5778FE"/>
    <w:rsid w:val="6F6801BA"/>
    <w:rsid w:val="70415DA2"/>
    <w:rsid w:val="707B0EC1"/>
    <w:rsid w:val="70A532B2"/>
    <w:rsid w:val="71612A8F"/>
    <w:rsid w:val="71E95DF4"/>
    <w:rsid w:val="737D77CA"/>
    <w:rsid w:val="74BC3461"/>
    <w:rsid w:val="74F24893"/>
    <w:rsid w:val="74F66620"/>
    <w:rsid w:val="75CC352E"/>
    <w:rsid w:val="75CE3F1A"/>
    <w:rsid w:val="75D53B27"/>
    <w:rsid w:val="75DB35A5"/>
    <w:rsid w:val="75F052C0"/>
    <w:rsid w:val="76310489"/>
    <w:rsid w:val="76CA0C62"/>
    <w:rsid w:val="778E78B7"/>
    <w:rsid w:val="792A546B"/>
    <w:rsid w:val="79754803"/>
    <w:rsid w:val="7BA85A7C"/>
    <w:rsid w:val="7D322AEF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l_0"/>
    <w:basedOn w:val="7"/>
    <w:qFormat/>
    <w:uiPriority w:val="0"/>
  </w:style>
  <w:style w:type="character" w:customStyle="1" w:styleId="23">
    <w:name w:val="l_01"/>
    <w:basedOn w:val="7"/>
    <w:qFormat/>
    <w:uiPriority w:val="0"/>
  </w:style>
  <w:style w:type="character" w:customStyle="1" w:styleId="24">
    <w:name w:val="close6"/>
    <w:basedOn w:val="7"/>
    <w:qFormat/>
    <w:uiPriority w:val="0"/>
  </w:style>
  <w:style w:type="character" w:customStyle="1" w:styleId="25">
    <w:name w:val="swapimg"/>
    <w:basedOn w:val="7"/>
    <w:qFormat/>
    <w:uiPriority w:val="0"/>
  </w:style>
  <w:style w:type="character" w:customStyle="1" w:styleId="26">
    <w:name w:val="swapimg1"/>
    <w:basedOn w:val="7"/>
    <w:qFormat/>
    <w:uiPriority w:val="0"/>
  </w:style>
  <w:style w:type="character" w:customStyle="1" w:styleId="27">
    <w:name w:val="icon_xglc"/>
    <w:basedOn w:val="7"/>
    <w:qFormat/>
    <w:uiPriority w:val="0"/>
  </w:style>
  <w:style w:type="character" w:customStyle="1" w:styleId="28">
    <w:name w:val="focus2"/>
    <w:basedOn w:val="7"/>
    <w:qFormat/>
    <w:uiPriority w:val="0"/>
    <w:rPr>
      <w:b/>
      <w:color w:val="000000"/>
    </w:rPr>
  </w:style>
  <w:style w:type="character" w:customStyle="1" w:styleId="29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30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-text"/>
    <w:basedOn w:val="7"/>
    <w:qFormat/>
    <w:uiPriority w:val="0"/>
  </w:style>
  <w:style w:type="character" w:customStyle="1" w:styleId="32">
    <w:name w:val="icon_dljg"/>
    <w:basedOn w:val="7"/>
    <w:qFormat/>
    <w:uiPriority w:val="0"/>
  </w:style>
  <w:style w:type="character" w:customStyle="1" w:styleId="33">
    <w:name w:val="icon_cxktbr"/>
    <w:basedOn w:val="7"/>
    <w:qFormat/>
    <w:uiPriority w:val="0"/>
  </w:style>
  <w:style w:type="character" w:customStyle="1" w:styleId="34">
    <w:name w:val="icon_cxkcyry"/>
    <w:basedOn w:val="7"/>
    <w:qFormat/>
    <w:uiPriority w:val="0"/>
  </w:style>
  <w:style w:type="character" w:customStyle="1" w:styleId="35">
    <w:name w:val="searchclose"/>
    <w:basedOn w:val="7"/>
    <w:qFormat/>
    <w:uiPriority w:val="0"/>
  </w:style>
  <w:style w:type="character" w:customStyle="1" w:styleId="36">
    <w:name w:val="searchopen"/>
    <w:basedOn w:val="7"/>
    <w:qFormat/>
    <w:uiPriority w:val="0"/>
  </w:style>
  <w:style w:type="character" w:customStyle="1" w:styleId="37">
    <w:name w:val="l_4"/>
    <w:basedOn w:val="7"/>
    <w:qFormat/>
    <w:uiPriority w:val="0"/>
  </w:style>
  <w:style w:type="character" w:customStyle="1" w:styleId="38">
    <w:name w:val="l_15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lzrz"/>
    <w:basedOn w:val="7"/>
    <w:qFormat/>
    <w:uiPriority w:val="0"/>
  </w:style>
  <w:style w:type="character" w:customStyle="1" w:styleId="41">
    <w:name w:val="icon_xzry"/>
    <w:basedOn w:val="7"/>
    <w:qFormat/>
    <w:uiPriority w:val="0"/>
  </w:style>
  <w:style w:type="character" w:customStyle="1" w:styleId="42">
    <w:name w:val="l_1"/>
    <w:basedOn w:val="7"/>
    <w:qFormat/>
    <w:uiPriority w:val="0"/>
  </w:style>
  <w:style w:type="character" w:customStyle="1" w:styleId="43">
    <w:name w:val="l_11"/>
    <w:basedOn w:val="7"/>
    <w:qFormat/>
    <w:uiPriority w:val="0"/>
  </w:style>
  <w:style w:type="character" w:customStyle="1" w:styleId="44">
    <w:name w:val="l_7"/>
    <w:basedOn w:val="7"/>
    <w:qFormat/>
    <w:uiPriority w:val="0"/>
  </w:style>
  <w:style w:type="character" w:customStyle="1" w:styleId="45">
    <w:name w:val="l_71"/>
    <w:basedOn w:val="7"/>
    <w:qFormat/>
    <w:uiPriority w:val="0"/>
  </w:style>
  <w:style w:type="character" w:customStyle="1" w:styleId="46">
    <w:name w:val="l_2"/>
    <w:basedOn w:val="7"/>
    <w:qFormat/>
    <w:uiPriority w:val="0"/>
  </w:style>
  <w:style w:type="character" w:customStyle="1" w:styleId="47">
    <w:name w:val="l_21"/>
    <w:basedOn w:val="7"/>
    <w:qFormat/>
    <w:uiPriority w:val="0"/>
  </w:style>
  <w:style w:type="character" w:customStyle="1" w:styleId="48">
    <w:name w:val="l_3"/>
    <w:basedOn w:val="7"/>
    <w:qFormat/>
    <w:uiPriority w:val="0"/>
  </w:style>
  <w:style w:type="character" w:customStyle="1" w:styleId="49">
    <w:name w:val="l_31"/>
    <w:basedOn w:val="7"/>
    <w:qFormat/>
    <w:uiPriority w:val="0"/>
  </w:style>
  <w:style w:type="character" w:customStyle="1" w:styleId="50">
    <w:name w:val="l_5"/>
    <w:basedOn w:val="7"/>
    <w:qFormat/>
    <w:uiPriority w:val="0"/>
  </w:style>
  <w:style w:type="character" w:customStyle="1" w:styleId="51">
    <w:name w:val="l_51"/>
    <w:basedOn w:val="7"/>
    <w:qFormat/>
    <w:uiPriority w:val="0"/>
  </w:style>
  <w:style w:type="character" w:customStyle="1" w:styleId="52">
    <w:name w:val="l_14"/>
    <w:basedOn w:val="7"/>
    <w:qFormat/>
    <w:uiPriority w:val="0"/>
  </w:style>
  <w:style w:type="character" w:customStyle="1" w:styleId="53">
    <w:name w:val="l_141"/>
    <w:basedOn w:val="7"/>
    <w:qFormat/>
    <w:uiPriority w:val="0"/>
  </w:style>
  <w:style w:type="character" w:customStyle="1" w:styleId="54">
    <w:name w:val="l_6"/>
    <w:basedOn w:val="7"/>
    <w:qFormat/>
    <w:uiPriority w:val="0"/>
  </w:style>
  <w:style w:type="character" w:customStyle="1" w:styleId="55">
    <w:name w:val="l_61"/>
    <w:basedOn w:val="7"/>
    <w:qFormat/>
    <w:uiPriority w:val="0"/>
  </w:style>
  <w:style w:type="character" w:customStyle="1" w:styleId="56">
    <w:name w:val="l_8"/>
    <w:basedOn w:val="7"/>
    <w:qFormat/>
    <w:uiPriority w:val="0"/>
  </w:style>
  <w:style w:type="character" w:customStyle="1" w:styleId="57">
    <w:name w:val="l_81"/>
    <w:basedOn w:val="7"/>
    <w:qFormat/>
    <w:uiPriority w:val="0"/>
  </w:style>
  <w:style w:type="character" w:customStyle="1" w:styleId="58">
    <w:name w:val="l_9"/>
    <w:basedOn w:val="7"/>
    <w:qFormat/>
    <w:uiPriority w:val="0"/>
  </w:style>
  <w:style w:type="character" w:customStyle="1" w:styleId="59">
    <w:name w:val="l_91"/>
    <w:basedOn w:val="7"/>
    <w:qFormat/>
    <w:uiPriority w:val="0"/>
  </w:style>
  <w:style w:type="character" w:customStyle="1" w:styleId="60">
    <w:name w:val="l_10"/>
    <w:basedOn w:val="7"/>
    <w:qFormat/>
    <w:uiPriority w:val="0"/>
  </w:style>
  <w:style w:type="character" w:customStyle="1" w:styleId="61">
    <w:name w:val="l_101"/>
    <w:basedOn w:val="7"/>
    <w:qFormat/>
    <w:uiPriority w:val="0"/>
  </w:style>
  <w:style w:type="character" w:customStyle="1" w:styleId="62">
    <w:name w:val="l_111"/>
    <w:basedOn w:val="7"/>
    <w:qFormat/>
    <w:uiPriority w:val="0"/>
  </w:style>
  <w:style w:type="character" w:customStyle="1" w:styleId="63">
    <w:name w:val="l_112"/>
    <w:basedOn w:val="7"/>
    <w:qFormat/>
    <w:uiPriority w:val="0"/>
  </w:style>
  <w:style w:type="character" w:customStyle="1" w:styleId="64">
    <w:name w:val="l_12"/>
    <w:basedOn w:val="7"/>
    <w:qFormat/>
    <w:uiPriority w:val="0"/>
  </w:style>
  <w:style w:type="character" w:customStyle="1" w:styleId="65">
    <w:name w:val="l_121"/>
    <w:basedOn w:val="7"/>
    <w:qFormat/>
    <w:uiPriority w:val="0"/>
  </w:style>
  <w:style w:type="character" w:customStyle="1" w:styleId="66">
    <w:name w:val="l_13"/>
    <w:basedOn w:val="7"/>
    <w:qFormat/>
    <w:uiPriority w:val="0"/>
  </w:style>
  <w:style w:type="character" w:customStyle="1" w:styleId="67">
    <w:name w:val="l_131"/>
    <w:basedOn w:val="7"/>
    <w:qFormat/>
    <w:uiPriority w:val="0"/>
  </w:style>
  <w:style w:type="character" w:customStyle="1" w:styleId="68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69">
    <w:name w:val="l_41"/>
    <w:basedOn w:val="7"/>
    <w:qFormat/>
    <w:uiPriority w:val="0"/>
  </w:style>
  <w:style w:type="character" w:customStyle="1" w:styleId="70">
    <w:name w:val="l_122"/>
    <w:basedOn w:val="7"/>
    <w:qFormat/>
    <w:uiPriority w:val="0"/>
  </w:style>
  <w:style w:type="character" w:customStyle="1" w:styleId="71">
    <w:name w:val="l_151"/>
    <w:basedOn w:val="7"/>
    <w:qFormat/>
    <w:uiPriority w:val="0"/>
  </w:style>
  <w:style w:type="character" w:customStyle="1" w:styleId="72">
    <w:name w:val="swapimg4"/>
    <w:basedOn w:val="7"/>
    <w:qFormat/>
    <w:uiPriority w:val="0"/>
  </w:style>
  <w:style w:type="character" w:customStyle="1" w:styleId="73">
    <w:name w:val="swapimg5"/>
    <w:basedOn w:val="7"/>
    <w:qFormat/>
    <w:uiPriority w:val="0"/>
  </w:style>
  <w:style w:type="character" w:customStyle="1" w:styleId="74">
    <w:name w:val="close"/>
    <w:basedOn w:val="7"/>
    <w:qFormat/>
    <w:uiPriority w:val="0"/>
  </w:style>
  <w:style w:type="character" w:customStyle="1" w:styleId="75">
    <w:name w:val="menutitle12"/>
    <w:basedOn w:val="7"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78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79">
    <w:name w:val="swapimg3"/>
    <w:basedOn w:val="7"/>
    <w:qFormat/>
    <w:uiPriority w:val="0"/>
  </w:style>
  <w:style w:type="character" w:customStyle="1" w:styleId="80">
    <w:name w:val="l_132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禹州市公共资源交易中心:侯怡雯</cp:lastModifiedBy>
  <cp:lastPrinted>2019-11-11T05:45:00Z</cp:lastPrinted>
  <dcterms:modified xsi:type="dcterms:W3CDTF">2019-11-15T01:45:29Z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