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lang w:val="en-US" w:eastAsia="zh-CN"/>
        </w:rPr>
        <w:t>许昌市文化广电和旅游局</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val="en-US" w:eastAsia="zh-CN"/>
        </w:rPr>
        <w:t>创建示范区升降简易舞台购置</w:t>
      </w:r>
      <w:r>
        <w:rPr>
          <w:rFonts w:hint="eastAsia" w:asciiTheme="majorEastAsia" w:hAnsiTheme="majorEastAsia" w:eastAsiaTheme="majorEastAsia" w:cstheme="majorEastAsia"/>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137-1</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val="en-US" w:eastAsia="zh-CN"/>
        </w:rPr>
        <w:t>许昌市文化广电和旅游局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代理机构：许昌市政府采购服务中心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十一</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十五</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firstLineChars="200"/>
        <w:contextualSpacing/>
        <w:jc w:val="left"/>
        <w:rPr>
          <w:color w:val="000000"/>
          <w:sz w:val="21"/>
          <w:szCs w:val="21"/>
          <w:shd w:val="clear" w:color="auto" w:fill="FFFFFF"/>
        </w:rPr>
      </w:pPr>
    </w:p>
    <w:p>
      <w:pPr>
        <w:pStyle w:val="20"/>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许昌市政府采购中心(以下简</w:t>
      </w:r>
      <w:r>
        <w:rPr>
          <w:rFonts w:hint="eastAsia" w:cs="仿宋_GB2312" w:asciiTheme="minorEastAsia" w:hAnsiTheme="minorEastAsia" w:eastAsiaTheme="minorEastAsia"/>
          <w:color w:val="000000"/>
          <w:sz w:val="21"/>
          <w:szCs w:val="21"/>
          <w:shd w:val="clear" w:color="auto" w:fill="FFFFFF"/>
        </w:rPr>
        <w:t>称采购中心) 受</w:t>
      </w:r>
      <w:r>
        <w:rPr>
          <w:rFonts w:hint="eastAsia" w:cs="仿宋_GB2312" w:asciiTheme="minorEastAsia" w:hAnsiTheme="minorEastAsia" w:eastAsiaTheme="minorEastAsia"/>
          <w:color w:val="000000"/>
          <w:sz w:val="21"/>
          <w:szCs w:val="21"/>
          <w:shd w:val="clear" w:color="auto" w:fill="FFFFFF"/>
          <w:lang w:val="en-US" w:eastAsia="zh-CN"/>
        </w:rPr>
        <w:t>许昌市文化广电和旅游局</w:t>
      </w:r>
      <w:r>
        <w:rPr>
          <w:rFonts w:hint="eastAsia" w:cs="仿宋_GB2312" w:asciiTheme="minorEastAsia" w:hAnsiTheme="minorEastAsia" w:eastAsiaTheme="minorEastAsia"/>
          <w:color w:val="000000"/>
          <w:sz w:val="21"/>
          <w:szCs w:val="21"/>
          <w:shd w:val="clear" w:color="auto" w:fill="FFFFFF"/>
        </w:rPr>
        <w:t>的委托，对“</w:t>
      </w:r>
      <w:r>
        <w:rPr>
          <w:rFonts w:hint="eastAsia" w:cs="仿宋_GB2312" w:asciiTheme="minorEastAsia" w:hAnsiTheme="minorEastAsia" w:eastAsiaTheme="minorEastAsia"/>
          <w:color w:val="000000"/>
          <w:sz w:val="21"/>
          <w:szCs w:val="21"/>
          <w:shd w:val="clear" w:color="auto" w:fill="FFFFFF"/>
          <w:lang w:val="en-US" w:eastAsia="zh-CN"/>
        </w:rPr>
        <w:t>创建示范区升降简易舞台购置</w:t>
      </w:r>
      <w:r>
        <w:rPr>
          <w:rFonts w:hint="eastAsia" w:cs="仿宋_GB2312" w:asciiTheme="minorEastAsia" w:hAnsiTheme="minorEastAsia" w:eastAsiaTheme="minorEastAsia"/>
          <w:color w:val="000000"/>
          <w:sz w:val="21"/>
          <w:szCs w:val="21"/>
          <w:shd w:val="clear" w:color="auto" w:fill="FFFFFF"/>
        </w:rPr>
        <w:t>”项目进行公开招标。现邀请符合本招标文件规定条件的供应商前来投</w:t>
      </w:r>
      <w:r>
        <w:rPr>
          <w:rFonts w:hint="eastAsia"/>
          <w:color w:val="000000"/>
          <w:sz w:val="21"/>
          <w:szCs w:val="21"/>
          <w:shd w:val="clear" w:color="auto" w:fill="FFFFFF"/>
        </w:rPr>
        <w:t>标。</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val="en-US" w:eastAsia="zh-CN"/>
        </w:rPr>
        <w:t>创建示范区升降简易舞台购置</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（二）项目编号：ZFCG-G2019</w:t>
      </w:r>
      <w:r>
        <w:rPr>
          <w:rFonts w:hint="eastAsia" w:cs="仿宋_GB2312" w:asciiTheme="minorEastAsia" w:hAnsiTheme="minorEastAsia" w:eastAsiaTheme="minorEastAsia"/>
          <w:color w:val="000000"/>
          <w:sz w:val="21"/>
          <w:szCs w:val="21"/>
          <w:shd w:val="clear" w:color="auto" w:fill="FFFFFF"/>
          <w:lang w:val="en-US" w:eastAsia="zh-CN"/>
        </w:rPr>
        <w:t>137-1</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w:t>
      </w:r>
      <w:r>
        <w:rPr>
          <w:rFonts w:hint="eastAsia" w:cs="仿宋_GB2312" w:asciiTheme="minorEastAsia" w:hAnsiTheme="minorEastAsia" w:eastAsiaTheme="minorEastAsia"/>
          <w:color w:val="000000"/>
          <w:sz w:val="21"/>
          <w:szCs w:val="21"/>
          <w:shd w:val="clear" w:color="auto" w:fill="FFFFFF"/>
          <w:lang w:val="en-US" w:eastAsia="zh-CN"/>
        </w:rPr>
        <w:t>升降简易舞台200套。</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279万</w:t>
      </w:r>
      <w:r>
        <w:rPr>
          <w:rFonts w:hint="eastAsia" w:cs="仿宋_GB2312" w:asciiTheme="minorEastAsia" w:hAnsiTheme="minorEastAsia" w:eastAsiaTheme="minorEastAsia"/>
          <w:color w:val="000000"/>
          <w:sz w:val="21"/>
          <w:szCs w:val="21"/>
          <w:shd w:val="clear" w:color="auto" w:fill="FFFFFF"/>
        </w:rPr>
        <w:t>元。最高限价：</w:t>
      </w:r>
      <w:r>
        <w:rPr>
          <w:rFonts w:hint="eastAsia" w:cs="仿宋_GB2312" w:asciiTheme="minorEastAsia" w:hAnsiTheme="minorEastAsia" w:eastAsiaTheme="minorEastAsia"/>
          <w:color w:val="000000"/>
          <w:sz w:val="21"/>
          <w:szCs w:val="21"/>
          <w:shd w:val="clear" w:color="auto" w:fill="FFFFFF"/>
          <w:lang w:val="en-US" w:eastAsia="zh-CN"/>
        </w:rPr>
        <w:t>279万</w:t>
      </w:r>
      <w:r>
        <w:rPr>
          <w:rFonts w:hint="eastAsia" w:cs="仿宋_GB2312" w:asciiTheme="minorEastAsia" w:hAnsiTheme="minorEastAsia" w:eastAsiaTheme="minorEastAsia"/>
          <w:color w:val="000000"/>
          <w:sz w:val="21"/>
          <w:szCs w:val="21"/>
          <w:shd w:val="clear" w:color="auto" w:fill="FFFFFF"/>
        </w:rPr>
        <w:t>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lang w:val="en-US" w:eastAsia="zh-CN"/>
        </w:rPr>
        <w:t>7个工作日</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w:t>
      </w:r>
      <w:r>
        <w:rPr>
          <w:rFonts w:hint="eastAsia" w:cs="仿宋_GB2312" w:asciiTheme="minorEastAsia" w:hAnsiTheme="minorEastAsia" w:eastAsiaTheme="minorEastAsia"/>
          <w:color w:val="000000"/>
          <w:sz w:val="21"/>
          <w:szCs w:val="21"/>
          <w:shd w:val="clear" w:color="auto" w:fill="FFFFFF"/>
          <w:lang w:val="en-US" w:eastAsia="zh-CN"/>
        </w:rPr>
        <w:t>建安区、魏都区、长葛市、鄢陵县、禹州市、襄城县。</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hint="eastAsia" w:cs="宋体" w:asciiTheme="minorEastAsia" w:hAnsiTheme="minorEastAsia"/>
          <w:color w:val="000000"/>
          <w:sz w:val="21"/>
          <w:szCs w:val="21"/>
        </w:rPr>
      </w:pPr>
      <w:r>
        <w:rPr>
          <w:rFonts w:hint="eastAsia" w:cs="仿宋_GB2312" w:asciiTheme="minorEastAsia" w:hAnsiTheme="minorEastAsia" w:eastAsiaTheme="minorEastAsia"/>
          <w:color w:val="000000"/>
          <w:sz w:val="21"/>
          <w:szCs w:val="21"/>
        </w:rPr>
        <w:t>（一）投标截止及开标时间：201</w:t>
      </w:r>
      <w:r>
        <w:rPr>
          <w:rFonts w:hint="eastAsia" w:cs="宋体" w:asciiTheme="minorEastAsia" w:hAnsiTheme="minorEastAsia"/>
          <w:color w:val="000000"/>
          <w:sz w:val="21"/>
          <w:szCs w:val="21"/>
        </w:rPr>
        <w:t>9年</w:t>
      </w:r>
      <w:r>
        <w:rPr>
          <w:rFonts w:hint="eastAsia" w:cs="宋体" w:asciiTheme="minorEastAsia" w:hAnsiTheme="minorEastAsia"/>
          <w:color w:val="000000"/>
          <w:sz w:val="21"/>
          <w:szCs w:val="21"/>
          <w:lang w:val="en-US" w:eastAsia="zh-CN"/>
        </w:rPr>
        <w:t>12</w:t>
      </w:r>
      <w:r>
        <w:rPr>
          <w:rFonts w:hint="eastAsia" w:cs="宋体" w:asciiTheme="minorEastAsia" w:hAnsiTheme="minorEastAsia"/>
          <w:color w:val="000000"/>
          <w:sz w:val="21"/>
          <w:szCs w:val="21"/>
        </w:rPr>
        <w:t>月</w:t>
      </w:r>
      <w:r>
        <w:rPr>
          <w:rFonts w:hint="eastAsia" w:cs="宋体" w:asciiTheme="minorEastAsia" w:hAnsiTheme="minorEastAsia"/>
          <w:color w:val="000000"/>
          <w:sz w:val="21"/>
          <w:szCs w:val="21"/>
          <w:lang w:val="en-US" w:eastAsia="zh-CN"/>
        </w:rPr>
        <w:t>6</w:t>
      </w:r>
      <w:r>
        <w:rPr>
          <w:rFonts w:hint="eastAsia" w:cs="宋体" w:asciiTheme="minorEastAsia" w:hAnsiTheme="minorEastAsia"/>
          <w:color w:val="000000"/>
          <w:sz w:val="21"/>
          <w:szCs w:val="21"/>
        </w:rPr>
        <w:t>日</w:t>
      </w:r>
      <w:r>
        <w:rPr>
          <w:rFonts w:hint="eastAsia" w:cs="宋体" w:asciiTheme="minorEastAsia" w:hAnsiTheme="minorEastAsia"/>
          <w:color w:val="000000"/>
          <w:sz w:val="21"/>
          <w:szCs w:val="21"/>
          <w:lang w:val="en-US" w:eastAsia="zh-CN"/>
        </w:rPr>
        <w:t>8</w:t>
      </w:r>
      <w:r>
        <w:rPr>
          <w:rFonts w:hint="eastAsia" w:cs="宋体" w:asciiTheme="minorEastAsia" w:hAnsiTheme="minorEastAsia"/>
          <w:color w:val="000000"/>
          <w:sz w:val="21"/>
          <w:szCs w:val="21"/>
        </w:rPr>
        <w:t>时</w:t>
      </w:r>
      <w:r>
        <w:rPr>
          <w:rFonts w:hint="eastAsia" w:cs="宋体" w:asciiTheme="minorEastAsia" w:hAnsiTheme="minorEastAsia"/>
          <w:color w:val="000000"/>
          <w:sz w:val="21"/>
          <w:szCs w:val="21"/>
          <w:lang w:val="en-US" w:eastAsia="zh-CN"/>
        </w:rPr>
        <w:t>30</w:t>
      </w:r>
      <w:r>
        <w:rPr>
          <w:rFonts w:hint="eastAsia" w:cs="宋体" w:asciiTheme="minorEastAsia" w:hAnsi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hint="eastAsia" w:cs="宋体" w:asciiTheme="minorEastAsia" w:hAnsiTheme="minorEastAsia"/>
          <w:color w:val="000000"/>
          <w:sz w:val="21"/>
          <w:szCs w:val="21"/>
        </w:rPr>
      </w:pPr>
      <w:r>
        <w:rPr>
          <w:rFonts w:hint="eastAsia" w:cs="宋体" w:asciiTheme="minorEastAsia" w:hAnsiTheme="minorEastAsia"/>
          <w:color w:val="000000"/>
          <w:sz w:val="21"/>
          <w:szCs w:val="21"/>
        </w:rPr>
        <w:t>（二）开标地点：许昌市公共资源交易中心（龙兴路与竹林路交汇处创业服务中心C座）三楼开标</w:t>
      </w:r>
      <w:r>
        <w:rPr>
          <w:rFonts w:hint="eastAsia" w:cs="宋体" w:asciiTheme="minorEastAsia" w:hAnsiTheme="minorEastAsia"/>
          <w:color w:val="000000"/>
          <w:sz w:val="21"/>
          <w:szCs w:val="21"/>
          <w:lang w:eastAsia="zh-CN"/>
        </w:rPr>
        <w:t>五</w:t>
      </w:r>
      <w:r>
        <w:rPr>
          <w:rFonts w:hint="eastAsia" w:cs="宋体" w:asciiTheme="minorEastAsia" w:hAnsi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cs="MS Mincho" w:eastAsiaTheme="minorEastAsia"/>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eastAsiaTheme="minorEastAsia"/>
          <w:color w:val="000000"/>
          <w:sz w:val="21"/>
          <w:szCs w:val="21"/>
          <w:shd w:val="clear" w:color="auto" w:fill="FFFFFF"/>
          <w:lang w:val="en-US" w:eastAsia="zh-CN"/>
        </w:rPr>
        <w:t>许昌市文化广电和旅游局</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ascii="宋体" w:hAnsi="宋体"/>
          <w:szCs w:val="21"/>
        </w:rPr>
        <w:t>地</w:t>
      </w:r>
      <w:r>
        <w:rPr>
          <w:rFonts w:hint="eastAsia" w:cs="Arial" w:asciiTheme="minorEastAsia" w:hAnsiTheme="minorEastAsia"/>
          <w:color w:val="000000"/>
          <w:szCs w:val="21"/>
        </w:rPr>
        <w:t>址：</w:t>
      </w:r>
      <w:r>
        <w:rPr>
          <w:rFonts w:hint="eastAsia" w:cs="Arial" w:asciiTheme="minorEastAsia" w:hAnsiTheme="minorEastAsia"/>
          <w:color w:val="000000"/>
          <w:szCs w:val="21"/>
          <w:lang w:val="en-US" w:eastAsia="zh-CN"/>
        </w:rPr>
        <w:t>许昌市八一路东段广电大厦</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w:t>
      </w:r>
      <w:r>
        <w:rPr>
          <w:rFonts w:hint="eastAsia" w:cs="Arial" w:asciiTheme="minorEastAsia" w:hAnsiTheme="minorEastAsia"/>
          <w:color w:val="000000"/>
          <w:szCs w:val="21"/>
          <w:lang w:val="en-US" w:eastAsia="zh-CN"/>
        </w:rPr>
        <w:t>吕涛</w:t>
      </w:r>
      <w:r>
        <w:rPr>
          <w:rFonts w:hint="eastAsia" w:cs="Arial" w:asciiTheme="minorEastAsia" w:hAnsiTheme="minorEastAsia"/>
          <w:color w:val="000000"/>
          <w:szCs w:val="21"/>
        </w:rPr>
        <w:t xml:space="preserve">                  </w:t>
      </w:r>
      <w:r>
        <w:rPr>
          <w:rFonts w:hint="eastAsia" w:cs="Arial" w:asciiTheme="minorEastAsia" w:hAnsiTheme="minorEastAsia"/>
          <w:color w:val="000000"/>
          <w:szCs w:val="21"/>
          <w:lang w:val="en-US" w:eastAsia="zh-CN"/>
        </w:rPr>
        <w:t xml:space="preserve">         </w:t>
      </w:r>
      <w:r>
        <w:rPr>
          <w:rFonts w:hint="eastAsia" w:cs="Arial" w:asciiTheme="minorEastAsia" w:hAnsiTheme="minorEastAsia"/>
          <w:color w:val="000000"/>
          <w:szCs w:val="21"/>
        </w:rPr>
        <w:t xml:space="preserve"> 联系电话：</w:t>
      </w:r>
      <w:r>
        <w:rPr>
          <w:rFonts w:hint="eastAsia" w:cs="Arial" w:asciiTheme="minorEastAsia" w:hAnsiTheme="minorEastAsia"/>
          <w:color w:val="000000"/>
          <w:szCs w:val="21"/>
          <w:lang w:val="en-US" w:eastAsia="zh-CN"/>
        </w:rPr>
        <w:t>13837446606</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：许昌市政府采购服务中心 </w:t>
      </w:r>
    </w:p>
    <w:p>
      <w:pPr>
        <w:adjustRightInd w:val="0"/>
        <w:spacing w:line="360" w:lineRule="auto"/>
        <w:ind w:firstLine="840" w:firstLineChars="400"/>
        <w:contextualSpacing/>
        <w:jc w:val="left"/>
        <w:rPr>
          <w:rFonts w:ascii="宋体" w:hAnsi="宋体"/>
          <w:color w:val="FF0000"/>
          <w:szCs w:val="21"/>
        </w:rPr>
      </w:pPr>
      <w:r>
        <w:rPr>
          <w:rFonts w:hint="eastAsia" w:ascii="宋体" w:hAnsi="宋体"/>
          <w:szCs w:val="21"/>
        </w:rPr>
        <w:t>地址：许昌市龙兴路与竹林路交汇处创业服务中心C座</w:t>
      </w:r>
    </w:p>
    <w:p>
      <w:pPr>
        <w:adjustRightInd w:val="0"/>
        <w:spacing w:line="360" w:lineRule="auto"/>
        <w:ind w:firstLine="840" w:firstLineChars="400"/>
        <w:contextualSpacing/>
        <w:jc w:val="left"/>
        <w:rPr>
          <w:rFonts w:ascii="宋体" w:hAnsi="宋体"/>
          <w:szCs w:val="21"/>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widowControl/>
        <w:jc w:val="left"/>
        <w:rPr>
          <w:rFonts w:cs="宋体" w:asciiTheme="majorEastAsia" w:hAnsiTheme="majorEastAsia" w:eastAsiaTheme="majorEastAsia"/>
          <w:b/>
          <w:kern w:val="0"/>
          <w:sz w:val="32"/>
          <w:szCs w:val="32"/>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升降舞台与传统舞台相比，舞台升降方便，拆装简便，台下可利用空间十分可观，另外坚固耐用，特别适合和满足群众演出和娱乐需要。</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2"/>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left="0" w:leftChars="-2" w:right="0" w:rightChars="0" w:hanging="4" w:hangingChars="2"/>
              <w:jc w:val="center"/>
              <w:rPr>
                <w:rFonts w:ascii="宋体" w:hAnsi="宋体" w:eastAsia="宋体" w:cs="宋体"/>
                <w:color w:val="000000"/>
                <w:kern w:val="0"/>
                <w:szCs w:val="21"/>
              </w:rPr>
            </w:pPr>
            <w:r>
              <w:rPr>
                <w:rFonts w:hint="eastAsia" w:ascii="宋体" w:hAnsi="宋体" w:eastAsia="宋体" w:cs="宋体"/>
                <w:b w:val="0"/>
                <w:i w:val="0"/>
                <w:color w:val="000000"/>
                <w:kern w:val="2"/>
                <w:sz w:val="21"/>
                <w:szCs w:val="21"/>
                <w:u w:val="none"/>
                <w:lang w:val="en-US" w:eastAsia="zh-CN" w:bidi="ar"/>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left="0" w:leftChars="-2" w:right="0" w:rightChars="0" w:hanging="4" w:hangingChars="2"/>
              <w:jc w:val="center"/>
              <w:rPr>
                <w:rFonts w:ascii="宋体" w:hAnsi="宋体" w:eastAsia="宋体" w:cs="宋体"/>
                <w:color w:val="000000"/>
                <w:kern w:val="0"/>
                <w:szCs w:val="21"/>
              </w:rPr>
            </w:pPr>
            <w:r>
              <w:rPr>
                <w:rFonts w:hint="eastAsia" w:ascii="宋体" w:hAnsi="宋体" w:eastAsia="宋体" w:cs="宋体"/>
                <w:b w:val="0"/>
                <w:i w:val="0"/>
                <w:color w:val="000000"/>
                <w:kern w:val="2"/>
                <w:sz w:val="21"/>
                <w:szCs w:val="21"/>
                <w:u w:val="none"/>
                <w:lang w:val="en-US" w:eastAsia="zh-CN" w:bidi="ar"/>
              </w:rPr>
              <w:t>升降简易舞台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right="0" w:rightChars="0"/>
              <w:jc w:val="both"/>
              <w:rPr>
                <w:rFonts w:hint="eastAsia"/>
                <w:b w:val="0"/>
                <w:i w:val="0"/>
              </w:rPr>
            </w:pPr>
            <w:r>
              <w:rPr>
                <w:rFonts w:hint="eastAsia"/>
                <w:b w:val="0"/>
                <w:i w:val="0"/>
                <w:lang w:val="en-US" w:eastAsia="zh-CN"/>
              </w:rPr>
              <w:t>▲1、</w:t>
            </w:r>
            <w:r>
              <w:rPr>
                <w:rFonts w:hint="eastAsia"/>
                <w:b w:val="0"/>
                <w:i w:val="0"/>
              </w:rPr>
              <w:t xml:space="preserve">高密度舞台面，台面≥18mm厚高密度建筑覆膜板，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right="0" w:rightChars="0"/>
              <w:jc w:val="both"/>
              <w:rPr>
                <w:rFonts w:hint="eastAsia"/>
                <w:b w:val="0"/>
                <w:i w:val="0"/>
              </w:rPr>
            </w:pPr>
            <w:r>
              <w:rPr>
                <w:rFonts w:hint="eastAsia"/>
                <w:b w:val="0"/>
                <w:i w:val="0"/>
              </w:rPr>
              <w:t>2</w:t>
            </w:r>
            <w:r>
              <w:rPr>
                <w:rFonts w:hint="eastAsia"/>
                <w:b w:val="0"/>
                <w:i w:val="0"/>
                <w:lang w:val="en-US" w:eastAsia="zh-CN"/>
              </w:rPr>
              <w:t>、</w:t>
            </w:r>
            <w:r>
              <w:rPr>
                <w:rFonts w:hint="eastAsia"/>
                <w:b w:val="0"/>
                <w:i w:val="0"/>
              </w:rPr>
              <w:t>台面由40块1220*1220mm的方板面组装而成，</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right="0" w:rightChars="0"/>
              <w:jc w:val="both"/>
              <w:rPr>
                <w:rFonts w:hint="eastAsia"/>
                <w:b w:val="0"/>
                <w:i w:val="0"/>
              </w:rPr>
            </w:pPr>
            <w:r>
              <w:rPr>
                <w:rFonts w:hint="eastAsia"/>
                <w:b w:val="0"/>
                <w:i w:val="0"/>
                <w:lang w:val="en-US" w:eastAsia="zh-CN"/>
              </w:rPr>
              <w:t>▲3、</w:t>
            </w:r>
            <w:r>
              <w:rPr>
                <w:rFonts w:hint="eastAsia"/>
                <w:b w:val="0"/>
                <w:i w:val="0"/>
              </w:rPr>
              <w:t xml:space="preserve">舞台每平方承载≥500KG，台面平整不起皮，长期使用不变形，且放水防滑，表面大颗粒处理，增强摩擦力，起到很好的防滑效果，同时经过放水处理，遇水不易腐蚀，使用寿命增长，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leftChars="0" w:right="0" w:rightChars="0"/>
              <w:jc w:val="both"/>
              <w:rPr>
                <w:rFonts w:hint="eastAsia"/>
                <w:b w:val="0"/>
                <w:i w:val="0"/>
              </w:rPr>
            </w:pPr>
            <w:r>
              <w:rPr>
                <w:rFonts w:hint="eastAsia"/>
                <w:b w:val="0"/>
                <w:i w:val="0"/>
                <w:lang w:val="en-US" w:eastAsia="zh-CN"/>
              </w:rPr>
              <w:t>▲4、</w:t>
            </w:r>
            <w:r>
              <w:rPr>
                <w:rFonts w:hint="eastAsia"/>
                <w:b w:val="0"/>
                <w:i w:val="0"/>
              </w:rPr>
              <w:t>主体架构采用钢铁结构，主管直径≥48mm，管壁厚度≥2.5mm，</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leftChars="0" w:right="0" w:rightChars="0"/>
              <w:jc w:val="both"/>
              <w:rPr>
                <w:rFonts w:hint="eastAsia"/>
                <w:b w:val="0"/>
                <w:i w:val="0"/>
              </w:rPr>
            </w:pPr>
            <w:r>
              <w:rPr>
                <w:rFonts w:hint="eastAsia"/>
                <w:b w:val="0"/>
                <w:i w:val="0"/>
                <w:lang w:val="en-US" w:eastAsia="zh-CN"/>
              </w:rPr>
              <w:t>▲5、</w:t>
            </w:r>
            <w:r>
              <w:rPr>
                <w:rFonts w:hint="eastAsia"/>
                <w:b w:val="0"/>
                <w:i w:val="0"/>
              </w:rPr>
              <w:t>横杆直径≥42.7mm，管壁厚度≥2mm，</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leftChars="0" w:right="0" w:rightChars="0"/>
              <w:jc w:val="both"/>
              <w:rPr>
                <w:rFonts w:hint="eastAsia"/>
                <w:b w:val="0"/>
                <w:i w:val="0"/>
              </w:rPr>
            </w:pPr>
            <w:r>
              <w:rPr>
                <w:rFonts w:hint="eastAsia"/>
                <w:b w:val="0"/>
                <w:i w:val="0"/>
                <w:lang w:val="en-US" w:eastAsia="zh-CN"/>
              </w:rPr>
              <w:t>▲6、</w:t>
            </w:r>
            <w:r>
              <w:rPr>
                <w:rFonts w:hint="eastAsia"/>
                <w:b w:val="0"/>
                <w:i w:val="0"/>
              </w:rPr>
              <w:t>连接板厚度≥10mm，调节丝杆为直径≥38mm的实心型钢，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leftChars="0" w:right="0" w:rightChars="0"/>
              <w:jc w:val="both"/>
              <w:rPr>
                <w:rFonts w:hint="eastAsia"/>
                <w:b w:val="0"/>
                <w:i w:val="0"/>
              </w:rPr>
            </w:pPr>
            <w:r>
              <w:rPr>
                <w:rFonts w:hint="eastAsia"/>
                <w:b w:val="0"/>
                <w:i w:val="0"/>
                <w:lang w:val="en-US" w:eastAsia="zh-CN"/>
              </w:rPr>
              <w:t>▲7、</w:t>
            </w:r>
            <w:r>
              <w:rPr>
                <w:rFonts w:hint="eastAsia"/>
                <w:b w:val="0"/>
                <w:i w:val="0"/>
              </w:rPr>
              <w:t>调节范围高度可60-110公分,配60公分调节脚，</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left="0" w:leftChars="0" w:right="0" w:rightChars="0" w:firstLine="0" w:firstLineChars="0"/>
              <w:jc w:val="both"/>
              <w:rPr>
                <w:rFonts w:ascii="Times New Roman" w:hAnsi="Times New Roman" w:eastAsia="仿宋_GB2312" w:cs="Times New Roman"/>
                <w:b/>
                <w:i/>
                <w:color w:val="548DD4" w:themeColor="text2" w:themeTint="99"/>
                <w:kern w:val="0"/>
                <w:szCs w:val="21"/>
              </w:rPr>
            </w:pPr>
            <w:r>
              <w:rPr>
                <w:rFonts w:hint="eastAsia"/>
                <w:b w:val="0"/>
                <w:i w:val="0"/>
                <w:lang w:val="en-US" w:eastAsia="zh-CN"/>
              </w:rPr>
              <w:t>8、</w:t>
            </w:r>
            <w:r>
              <w:rPr>
                <w:rFonts w:hint="eastAsia"/>
                <w:b w:val="0"/>
                <w:i w:val="0"/>
              </w:rPr>
              <w:t>舞台主体采用雷亚式结构，坚固耐用，便于拆装，主体支架采用Q235国际钢管，                      整体由台面、托盘、横杆、立杆、调节脚、楼梯组成。</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left="0" w:leftChars="-2" w:right="0" w:rightChars="0" w:hanging="4" w:hangingChars="2"/>
              <w:jc w:val="center"/>
              <w:rPr>
                <w:rFonts w:ascii="宋体" w:hAnsi="宋体" w:eastAsia="宋体" w:cs="宋体"/>
                <w:color w:val="000000"/>
                <w:kern w:val="0"/>
                <w:szCs w:val="21"/>
              </w:rPr>
            </w:pPr>
            <w:r>
              <w:rPr>
                <w:rFonts w:hint="eastAsia" w:ascii="宋体" w:hAnsi="宋体" w:eastAsia="宋体" w:cs="宋体"/>
                <w:b w:val="0"/>
                <w:i w:val="0"/>
                <w:color w:val="000000"/>
                <w:kern w:val="2"/>
                <w:sz w:val="21"/>
                <w:szCs w:val="21"/>
                <w:u w:val="none"/>
                <w:lang w:val="en-US" w:eastAsia="zh-CN" w:bidi="ar"/>
              </w:rPr>
              <w:t>套 </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left="0" w:leftChars="-2" w:right="0" w:rightChars="0" w:hanging="4" w:hangingChars="2"/>
              <w:jc w:val="center"/>
              <w:rPr>
                <w:rFonts w:ascii="宋体" w:hAnsi="宋体" w:eastAsia="宋体" w:cs="宋体"/>
                <w:color w:val="000000"/>
                <w:kern w:val="0"/>
                <w:szCs w:val="21"/>
              </w:rPr>
            </w:pPr>
            <w:r>
              <w:rPr>
                <w:rFonts w:hint="eastAsia" w:ascii="宋体" w:hAnsi="宋体" w:eastAsia="宋体" w:cs="宋体"/>
                <w:b w:val="0"/>
                <w:i w:val="0"/>
                <w:color w:val="000000"/>
                <w:kern w:val="2"/>
                <w:sz w:val="21"/>
                <w:szCs w:val="21"/>
                <w:u w:val="none"/>
                <w:lang w:val="en-US" w:eastAsia="zh-CN" w:bidi="ar"/>
              </w:rPr>
              <w:t>200 </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left="0" w:leftChars="-2" w:right="0" w:rightChars="0" w:hanging="4" w:hangingChars="2"/>
              <w:jc w:val="center"/>
              <w:rPr>
                <w:rFonts w:ascii="仿宋" w:hAnsi="仿宋" w:eastAsia="仿宋" w:cs="Times New Roman"/>
                <w:color w:val="FF0000"/>
                <w:kern w:val="0"/>
                <w:szCs w:val="21"/>
              </w:rPr>
            </w:pPr>
            <w:r>
              <w:rPr>
                <w:rFonts w:hint="eastAsia"/>
                <w:b w:val="0"/>
                <w:i w:val="0"/>
                <w:lang w:val="en-US" w:eastAsia="zh-CN"/>
              </w:rPr>
              <w:t>是</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hint="eastAsia"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3、本项目设备交付（服务、施工）地点分布在魏都区、建安区、长葛市、鄢陵县、禹州市、襄城县各村（社区），中标人需上门安装调试。</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4、供货周期：提供自主配送，装卸服务，合同签订后七日内到货并配送至指定地点，并负责运输期间所有安全责任。</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5、投标人所投设备必须提供3年免费质保期。</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6</w:t>
      </w:r>
      <w:r>
        <w:rPr>
          <w:rFonts w:hint="eastAsia" w:ascii="宋体" w:cs="宋体"/>
          <w:sz w:val="24"/>
          <w:lang w:val="zh-CN"/>
        </w:rPr>
        <w:t>、所投产品必须符合国家质量检测标准和本招标文件规定标准的全新正品现货。</w:t>
      </w:r>
    </w:p>
    <w:p>
      <w:pPr>
        <w:wordWrap w:val="0"/>
        <w:topLinePunct/>
        <w:spacing w:line="360" w:lineRule="auto"/>
        <w:ind w:firstLine="480" w:firstLineChars="200"/>
        <w:rPr>
          <w:rFonts w:ascii="宋体" w:cs="宋体"/>
          <w:b/>
          <w:sz w:val="24"/>
          <w:lang w:val="zh-CN"/>
        </w:rPr>
      </w:pPr>
      <w:r>
        <w:rPr>
          <w:rFonts w:hint="eastAsia" w:ascii="宋体" w:cs="宋体"/>
          <w:sz w:val="24"/>
          <w:lang w:val="en-US" w:eastAsia="zh-CN"/>
        </w:rPr>
        <w:t>7</w:t>
      </w:r>
      <w:r>
        <w:rPr>
          <w:rFonts w:hint="eastAsia" w:ascii="宋体" w:cs="宋体"/>
          <w:sz w:val="24"/>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b/>
          <w:color w:val="FF0000"/>
          <w:szCs w:val="21"/>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279万</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279万</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wordWrap w:val="0"/>
        <w:topLinePunct/>
        <w:spacing w:line="360" w:lineRule="auto"/>
        <w:ind w:firstLine="480" w:firstLineChars="200"/>
        <w:rPr>
          <w:rFonts w:hint="eastAsia" w:ascii="宋体" w:cs="宋体"/>
          <w:sz w:val="24"/>
          <w:lang w:val="zh-CN" w:eastAsia="zh-CN"/>
        </w:rPr>
      </w:pPr>
      <w:r>
        <w:rPr>
          <w:rFonts w:hint="eastAsia" w:ascii="宋体" w:cs="宋体"/>
          <w:sz w:val="24"/>
          <w:lang w:val="zh-CN" w:eastAsia="zh-CN"/>
        </w:rPr>
        <w:t>1、支付方式：银行转账</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zh-CN" w:eastAsia="zh-CN"/>
        </w:rPr>
        <w:t>2、支付时间及条件：</w:t>
      </w:r>
      <w:r>
        <w:rPr>
          <w:rFonts w:hint="eastAsia" w:ascii="宋体" w:cs="宋体"/>
          <w:sz w:val="24"/>
          <w:lang w:val="en-US" w:eastAsia="zh-CN"/>
        </w:rPr>
        <w:t>签订合同后支付合同金额30%，到货验收合格后支付合同金额65%，其余5%质保期满一年后支付。</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vAlign w:val="top"/>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创建示范区升降简易舞台购置</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137-1</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val="en-US" w:eastAsia="zh-CN"/>
              </w:rPr>
              <w:t>升降简易舞台200套</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val="en-US" w:eastAsia="zh-CN"/>
              </w:rPr>
              <w:t>建安区、魏都区、长葛市、鄢陵县、禹州市、襄城县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许昌市文化广电和旅游局</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val="en-US" w:eastAsia="zh-CN"/>
              </w:rPr>
              <w:t>许昌市八一路东段广电大厦</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吕涛</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13837446606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地址：许昌市龙兴路与竹林路交汇处创业服务中心C座</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279万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w:t>
            </w:r>
            <w:r>
              <w:rPr>
                <w:rFonts w:hint="eastAsia" w:cs="宋体" w:asciiTheme="minorEastAsia" w:hAnsiTheme="minorEastAsia"/>
                <w:color w:val="000000"/>
                <w:szCs w:val="21"/>
                <w:lang w:val="zh-CN"/>
              </w:rPr>
              <w:t>开标五室（龙兴</w:t>
            </w:r>
            <w:r>
              <w:rPr>
                <w:rFonts w:cs="宋体" w:asciiTheme="minorEastAsia" w:hAnsiTheme="minorEastAsia"/>
                <w:bCs/>
                <w:szCs w:val="21"/>
                <w:lang w:val="zh-CN"/>
              </w:rPr>
              <w:t>路与竹林路交汇处</w:t>
            </w:r>
            <w:r>
              <w:rPr>
                <w:rFonts w:hint="eastAsia" w:cs="宋体" w:asciiTheme="minorEastAsia" w:hAnsiTheme="minorEastAsia"/>
                <w:bCs/>
                <w:szCs w:val="21"/>
                <w:lang w:val="zh-CN"/>
              </w:rPr>
              <w:t>创业服务中心C座）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bookmarkStart w:id="15" w:name="_GoBack"/>
            <w:bookmarkEnd w:id="15"/>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w:t>
            </w:r>
            <w:r>
              <w:rPr>
                <w:rFonts w:hint="eastAsia" w:cs="宋体" w:asciiTheme="minorEastAsia" w:hAnsiTheme="minorEastAsia"/>
                <w:color w:val="000000"/>
                <w:szCs w:val="21"/>
              </w:rPr>
              <w:t>.</w:t>
            </w:r>
            <w:r>
              <w:rPr>
                <w:rFonts w:cs="宋体" w:asciiTheme="minorEastAsia" w:hAnsiTheme="minorEastAsia"/>
                <w:color w:val="000000"/>
                <w:szCs w:val="21"/>
              </w:rPr>
              <w:t>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送投标报价及分项报价一览表（包含主要中标标的的名称、规格型号、数量、单价、服务要求等）电子文档，并同时告知交易见证部。联系电话：0374-2968027；邮箱：jzb2968027@163.com。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。并查询</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7"/>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7"/>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  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5"/>
                <w:rFonts w:hint="eastAsia" w:asciiTheme="minorEastAsia" w:hAnsiTheme="minorEastAsia"/>
                <w:bCs/>
                <w:szCs w:val="21"/>
              </w:rPr>
              <w:t>www.creditchina.gov.cn</w:t>
            </w:r>
            <w:r>
              <w:rPr>
                <w:rStyle w:val="25"/>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autoSpaceDE w:val="0"/>
              <w:autoSpaceDN w:val="0"/>
              <w:spacing w:line="360" w:lineRule="auto"/>
              <w:contextualSpacing/>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30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32</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20</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18</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0"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ascii="宋体" w:hAnsi="宋体" w:eastAsia="宋体" w:cs="宋体"/>
                <w:szCs w:val="21"/>
              </w:rPr>
            </w:pPr>
            <w:r>
              <w:rPr>
                <w:rFonts w:hint="eastAsia" w:asciiTheme="minorEastAsia" w:hAnsiTheme="minorEastAsia"/>
                <w:szCs w:val="21"/>
              </w:rPr>
              <w:t>投标报价得分=（评标基准价/投标报价）×</w:t>
            </w:r>
            <w:r>
              <w:rPr>
                <w:rFonts w:hint="eastAsia" w:asciiTheme="minorEastAsia" w:hAnsiTheme="minorEastAsia"/>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restar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2" w:right="0" w:hanging="4" w:hangingChars="2"/>
              <w:jc w:val="center"/>
              <w:rPr>
                <w:b w:val="0"/>
                <w:i w:val="0"/>
              </w:rPr>
            </w:pPr>
            <w:r>
              <w:rPr>
                <w:rFonts w:hint="eastAsia" w:ascii="宋体" w:hAnsi="宋体" w:eastAsia="宋体" w:cs="宋体"/>
                <w:b w:val="0"/>
                <w:i w:val="0"/>
                <w:color w:val="000000"/>
                <w:kern w:val="2"/>
                <w:sz w:val="21"/>
                <w:szCs w:val="21"/>
                <w:u w:val="none"/>
                <w:lang w:val="en-US" w:eastAsia="zh-CN" w:bidi="ar"/>
              </w:rPr>
              <w:t>商务部分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2" w:right="0" w:rightChars="0" w:hanging="4" w:hangingChars="2"/>
              <w:jc w:val="center"/>
              <w:rPr>
                <w:rFonts w:ascii="宋体" w:hAnsi="宋体" w:eastAsia="宋体" w:cs="宋体"/>
                <w:szCs w:val="21"/>
              </w:rPr>
            </w:pPr>
            <w:r>
              <w:rPr>
                <w:rFonts w:hint="eastAsia" w:ascii="宋体" w:hAnsi="宋体" w:eastAsia="宋体" w:cs="宋体"/>
                <w:b w:val="0"/>
                <w:i w:val="0"/>
                <w:color w:val="000000"/>
                <w:kern w:val="2"/>
                <w:sz w:val="21"/>
                <w:szCs w:val="21"/>
                <w:u w:val="none"/>
                <w:lang w:val="en-US" w:eastAsia="zh-CN" w:bidi="ar"/>
              </w:rPr>
              <w:t>（</w:t>
            </w:r>
            <w:r>
              <w:rPr>
                <w:rFonts w:hint="eastAsia" w:ascii="宋体" w:hAnsi="宋体" w:cs="宋体"/>
                <w:b w:val="0"/>
                <w:i w:val="0"/>
                <w:color w:val="000000"/>
                <w:kern w:val="2"/>
                <w:sz w:val="21"/>
                <w:szCs w:val="21"/>
                <w:u w:val="none"/>
                <w:lang w:val="en-US" w:eastAsia="zh-CN" w:bidi="ar"/>
              </w:rPr>
              <w:t>32</w:t>
            </w:r>
            <w:r>
              <w:rPr>
                <w:rFonts w:hint="eastAsia" w:ascii="宋体" w:hAnsi="宋体" w:eastAsia="宋体" w:cs="宋体"/>
                <w:b w:val="0"/>
                <w:i w:val="0"/>
                <w:color w:val="000000"/>
                <w:kern w:val="2"/>
                <w:sz w:val="21"/>
                <w:szCs w:val="21"/>
                <w:u w:val="none"/>
                <w:lang w:val="en-US" w:eastAsia="zh-CN" w:bidi="ar"/>
              </w:rPr>
              <w:t>分）</w:t>
            </w:r>
          </w:p>
        </w:tc>
        <w:tc>
          <w:tcPr>
            <w:tcW w:w="156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b w:val="0"/>
                <w:i w:val="0"/>
              </w:rPr>
            </w:pPr>
            <w:r>
              <w:rPr>
                <w:rFonts w:hint="eastAsia" w:ascii="宋体" w:hAnsi="宋体" w:eastAsia="宋体" w:cs="Times New Roman"/>
                <w:b w:val="0"/>
                <w:i w:val="0"/>
                <w:color w:val="000000"/>
                <w:kern w:val="2"/>
                <w:sz w:val="21"/>
                <w:szCs w:val="21"/>
                <w:u w:val="none"/>
                <w:lang w:val="en-US" w:eastAsia="zh-CN" w:bidi="ar"/>
              </w:rPr>
              <w:t>业绩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ascii="宋体" w:hAnsi="宋体" w:eastAsia="宋体" w:cs="Times New Roman"/>
                <w:szCs w:val="21"/>
              </w:rPr>
            </w:pPr>
            <w:r>
              <w:rPr>
                <w:rFonts w:hint="eastAsia" w:ascii="宋体" w:hAnsi="宋体" w:eastAsia="宋体" w:cs="Times New Roman"/>
                <w:b w:val="0"/>
                <w:i w:val="0"/>
                <w:color w:val="000000"/>
                <w:kern w:val="2"/>
                <w:sz w:val="21"/>
                <w:szCs w:val="21"/>
                <w:u w:val="none"/>
                <w:lang w:val="en-US" w:eastAsia="zh-CN" w:bidi="ar"/>
              </w:rPr>
              <w:t>（</w:t>
            </w:r>
            <w:r>
              <w:rPr>
                <w:rFonts w:hint="eastAsia" w:ascii="宋体" w:hAnsi="宋体" w:cs="Times New Roman"/>
                <w:b w:val="0"/>
                <w:i w:val="0"/>
                <w:color w:val="000000"/>
                <w:kern w:val="2"/>
                <w:sz w:val="21"/>
                <w:szCs w:val="21"/>
                <w:u w:val="none"/>
                <w:lang w:val="en-US" w:eastAsia="zh-CN" w:bidi="ar"/>
              </w:rPr>
              <w:t>9</w:t>
            </w:r>
            <w:r>
              <w:rPr>
                <w:rFonts w:hint="eastAsia" w:ascii="宋体" w:hAnsi="宋体" w:eastAsia="宋体" w:cs="Times New Roman"/>
                <w:b w:val="0"/>
                <w:i w:val="0"/>
                <w:color w:val="000000"/>
                <w:kern w:val="2"/>
                <w:sz w:val="21"/>
                <w:szCs w:val="21"/>
                <w:u w:val="none"/>
                <w:lang w:val="en-US" w:eastAsia="zh-CN" w:bidi="ar"/>
              </w:rPr>
              <w:t>分）</w:t>
            </w:r>
          </w:p>
        </w:tc>
        <w:tc>
          <w:tcPr>
            <w:tcW w:w="609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left"/>
              <w:rPr>
                <w:rFonts w:ascii="宋体" w:hAnsi="宋体" w:eastAsia="宋体" w:cs="仿宋_GB2312"/>
                <w:szCs w:val="21"/>
                <w:lang w:val="zh-CN"/>
              </w:rPr>
            </w:pPr>
            <w:r>
              <w:rPr>
                <w:rFonts w:hint="eastAsia" w:ascii="宋体" w:hAnsi="宋体" w:eastAsia="宋体" w:cs="仿宋_GB2312"/>
                <w:b w:val="0"/>
                <w:i w:val="0"/>
                <w:color w:val="000000"/>
                <w:kern w:val="2"/>
                <w:sz w:val="21"/>
                <w:szCs w:val="21"/>
                <w:u w:val="none"/>
                <w:lang w:val="en-US" w:eastAsia="zh-CN" w:bidi="ar"/>
              </w:rPr>
              <w:t>投标人提供2016年1月1日以来类似项目合同，每提供1个得</w:t>
            </w:r>
            <w:r>
              <w:rPr>
                <w:rFonts w:hint="eastAsia" w:ascii="宋体" w:hAnsi="宋体" w:cs="仿宋_GB2312"/>
                <w:b w:val="0"/>
                <w:i w:val="0"/>
                <w:color w:val="000000"/>
                <w:kern w:val="2"/>
                <w:sz w:val="21"/>
                <w:szCs w:val="21"/>
                <w:u w:val="none"/>
                <w:lang w:val="en-US" w:eastAsia="zh-CN" w:bidi="ar"/>
              </w:rPr>
              <w:t>3</w:t>
            </w:r>
            <w:r>
              <w:rPr>
                <w:rFonts w:hint="eastAsia" w:ascii="宋体" w:hAnsi="宋体" w:eastAsia="宋体" w:cs="仿宋_GB2312"/>
                <w:b w:val="0"/>
                <w:i w:val="0"/>
                <w:color w:val="000000"/>
                <w:kern w:val="2"/>
                <w:sz w:val="21"/>
                <w:szCs w:val="21"/>
                <w:u w:val="none"/>
                <w:lang w:val="en-US" w:eastAsia="zh-CN" w:bidi="ar"/>
              </w:rPr>
              <w:t>分，最高得</w:t>
            </w:r>
            <w:r>
              <w:rPr>
                <w:rFonts w:hint="eastAsia" w:ascii="宋体" w:hAnsi="宋体" w:cs="仿宋_GB2312"/>
                <w:b w:val="0"/>
                <w:i w:val="0"/>
                <w:color w:val="000000"/>
                <w:kern w:val="2"/>
                <w:sz w:val="21"/>
                <w:szCs w:val="21"/>
                <w:u w:val="none"/>
                <w:lang w:val="en-US" w:eastAsia="zh-CN" w:bidi="ar"/>
              </w:rPr>
              <w:t>9</w:t>
            </w:r>
            <w:r>
              <w:rPr>
                <w:rFonts w:hint="eastAsia" w:ascii="宋体" w:hAnsi="宋体" w:eastAsia="宋体" w:cs="仿宋_GB2312"/>
                <w:b w:val="0"/>
                <w:i w:val="0"/>
                <w:color w:val="000000"/>
                <w:kern w:val="2"/>
                <w:sz w:val="21"/>
                <w:szCs w:val="21"/>
                <w:u w:val="none"/>
                <w:lang w:val="en-US" w:eastAsia="zh-CN" w:bidi="ar"/>
              </w:rPr>
              <w:t>分。（提供合同、中标通知书）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vAlign w:val="center"/>
          </w:tcPr>
          <w:p>
            <w:pPr>
              <w:rPr>
                <w:rFonts w:ascii="宋体" w:hAnsi="宋体" w:eastAsia="宋体" w:cs="宋体"/>
                <w:szCs w:val="21"/>
              </w:rPr>
            </w:pPr>
          </w:p>
        </w:tc>
        <w:tc>
          <w:tcPr>
            <w:tcW w:w="156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Times New Roman"/>
                <w:b w:val="0"/>
                <w:i w:val="0"/>
                <w:color w:val="000000"/>
                <w:kern w:val="2"/>
                <w:sz w:val="21"/>
                <w:szCs w:val="21"/>
                <w:u w:val="none"/>
                <w:lang w:val="en-US" w:eastAsia="zh-CN" w:bidi="ar"/>
              </w:rPr>
            </w:pPr>
            <w:r>
              <w:rPr>
                <w:rFonts w:hint="eastAsia" w:ascii="宋体" w:hAnsi="宋体" w:eastAsia="宋体" w:cs="Times New Roman"/>
                <w:b w:val="0"/>
                <w:i w:val="0"/>
                <w:color w:val="000000"/>
                <w:kern w:val="2"/>
                <w:sz w:val="21"/>
                <w:szCs w:val="21"/>
                <w:u w:val="none"/>
                <w:lang w:val="en-US" w:eastAsia="zh-CN" w:bidi="ar"/>
              </w:rPr>
              <w:t>管理体系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ascii="宋体" w:hAnsi="宋体" w:eastAsia="宋体" w:cs="Times New Roman"/>
                <w:szCs w:val="21"/>
              </w:rPr>
            </w:pPr>
            <w:r>
              <w:rPr>
                <w:rFonts w:hint="eastAsia" w:ascii="宋体" w:hAnsi="宋体" w:eastAsia="宋体" w:cs="Times New Roman"/>
                <w:b w:val="0"/>
                <w:i w:val="0"/>
                <w:color w:val="000000"/>
                <w:kern w:val="2"/>
                <w:sz w:val="21"/>
                <w:szCs w:val="21"/>
                <w:u w:val="none"/>
                <w:lang w:val="en-US" w:eastAsia="zh-CN" w:bidi="ar"/>
              </w:rPr>
              <w:t>（21分）</w:t>
            </w:r>
          </w:p>
        </w:tc>
        <w:tc>
          <w:tcPr>
            <w:tcW w:w="6095" w:type="dxa"/>
            <w:vAlign w:val="center"/>
          </w:tcPr>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Times New Roman"/>
                <w:b w:val="0"/>
                <w:i w:val="0"/>
                <w:color w:val="000000"/>
                <w:kern w:val="2"/>
                <w:sz w:val="21"/>
                <w:szCs w:val="21"/>
                <w:u w:val="none"/>
                <w:lang w:val="en-US" w:eastAsia="zh-CN" w:bidi="ar"/>
              </w:rPr>
            </w:pPr>
            <w:r>
              <w:rPr>
                <w:rFonts w:hint="eastAsia" w:ascii="宋体" w:hAnsi="宋体" w:cs="Times New Roman"/>
                <w:b w:val="0"/>
                <w:i w:val="0"/>
                <w:color w:val="000000"/>
                <w:kern w:val="2"/>
                <w:sz w:val="21"/>
                <w:szCs w:val="21"/>
                <w:u w:val="none"/>
                <w:lang w:val="en-US" w:eastAsia="zh-CN" w:bidi="ar"/>
              </w:rPr>
              <w:t>投标人提供质量管理体系认证证书（ISO9001）得3分，没有不加分</w:t>
            </w:r>
            <w:r>
              <w:rPr>
                <w:rFonts w:hint="eastAsia" w:ascii="宋体" w:hAnsi="宋体" w:eastAsia="宋体" w:cs="Times New Roman"/>
                <w:b w:val="0"/>
                <w:i w:val="0"/>
                <w:color w:val="000000"/>
                <w:kern w:val="2"/>
                <w:sz w:val="21"/>
                <w:szCs w:val="21"/>
                <w:u w:val="none"/>
                <w:lang w:val="en-US" w:eastAsia="zh-CN" w:bidi="ar"/>
              </w:rPr>
              <w:t>。</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Times New Roman"/>
                <w:b w:val="0"/>
                <w:i w:val="0"/>
                <w:color w:val="000000"/>
                <w:kern w:val="2"/>
                <w:sz w:val="21"/>
                <w:szCs w:val="21"/>
                <w:u w:val="none"/>
                <w:lang w:val="en-US" w:eastAsia="zh-CN" w:bidi="ar"/>
              </w:rPr>
            </w:pPr>
            <w:r>
              <w:rPr>
                <w:rFonts w:hint="eastAsia" w:ascii="宋体" w:hAnsi="宋体" w:cs="Times New Roman"/>
                <w:b w:val="0"/>
                <w:i w:val="0"/>
                <w:color w:val="000000"/>
                <w:kern w:val="2"/>
                <w:sz w:val="21"/>
                <w:szCs w:val="21"/>
                <w:u w:val="none"/>
                <w:lang w:val="en-US" w:eastAsia="zh-CN" w:bidi="ar"/>
              </w:rPr>
              <w:t>投标人提供职业健康安全管理体系认证证书（ISO18001）得3分，没有不加分。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left"/>
              <w:rPr>
                <w:rFonts w:hint="eastAsia" w:ascii="宋体" w:hAnsi="宋体" w:eastAsia="宋体" w:cs="Times New Roman"/>
                <w:b w:val="0"/>
                <w:i w:val="0"/>
                <w:color w:val="000000"/>
                <w:kern w:val="2"/>
                <w:sz w:val="21"/>
                <w:szCs w:val="21"/>
                <w:u w:val="none"/>
                <w:lang w:val="en-US" w:eastAsia="zh-CN" w:bidi="ar"/>
              </w:rPr>
            </w:pPr>
            <w:r>
              <w:rPr>
                <w:rFonts w:hint="eastAsia" w:ascii="宋体" w:hAnsi="宋体" w:cs="Times New Roman"/>
                <w:b w:val="0"/>
                <w:i w:val="0"/>
                <w:color w:val="000000"/>
                <w:kern w:val="2"/>
                <w:sz w:val="21"/>
                <w:szCs w:val="21"/>
                <w:u w:val="none"/>
                <w:lang w:val="en-US" w:eastAsia="zh-CN" w:bidi="ar"/>
              </w:rPr>
              <w:t>3.投标人提供环境管理体系认证证书（IS014001）得3分，没有不加分。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left"/>
              <w:rPr>
                <w:rFonts w:hint="eastAsia" w:ascii="宋体" w:hAnsi="宋体" w:cs="Times New Roman"/>
                <w:b w:val="0"/>
                <w:i w:val="0"/>
                <w:color w:val="000000"/>
                <w:kern w:val="2"/>
                <w:sz w:val="21"/>
                <w:szCs w:val="21"/>
                <w:u w:val="none"/>
                <w:lang w:val="en-US" w:eastAsia="zh-CN" w:bidi="ar"/>
              </w:rPr>
            </w:pPr>
            <w:r>
              <w:rPr>
                <w:rFonts w:hint="eastAsia" w:ascii="宋体" w:hAnsi="宋体" w:cs="Times New Roman"/>
                <w:b w:val="0"/>
                <w:i w:val="0"/>
                <w:color w:val="000000"/>
                <w:kern w:val="2"/>
                <w:sz w:val="21"/>
                <w:szCs w:val="21"/>
                <w:u w:val="none"/>
                <w:lang w:val="en-US" w:eastAsia="zh-CN" w:bidi="ar"/>
              </w:rPr>
              <w:t>4.投标人提供2016年以来信用评估机构出具的有效的企业信用报告，等级AAA级信用企业认证证书得4分，没有不得分。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left"/>
              <w:rPr>
                <w:rFonts w:ascii="宋体" w:hAnsi="宋体" w:eastAsia="宋体" w:cs="仿宋_GB2312"/>
                <w:szCs w:val="21"/>
                <w:lang w:val="zh-CN"/>
              </w:rPr>
            </w:pPr>
            <w:r>
              <w:rPr>
                <w:rFonts w:hint="eastAsia" w:ascii="宋体" w:hAnsi="宋体" w:cs="Times New Roman"/>
                <w:b w:val="0"/>
                <w:i w:val="0"/>
                <w:color w:val="000000"/>
                <w:kern w:val="2"/>
                <w:sz w:val="21"/>
                <w:szCs w:val="21"/>
                <w:u w:val="none"/>
                <w:lang w:val="en-US" w:eastAsia="zh-CN" w:bidi="ar"/>
              </w:rPr>
              <w:t>5、提供生产厂家由安全生产监督管理部门颁发的安全生产标准化三级及以上（轻工其他）企业证书的得8分，没有不得分。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vAlign w:val="center"/>
          </w:tcPr>
          <w:p>
            <w:pPr>
              <w:rPr>
                <w:rFonts w:ascii="宋体" w:hAnsi="宋体" w:eastAsia="宋体" w:cs="宋体"/>
                <w:szCs w:val="21"/>
              </w:rPr>
            </w:pPr>
          </w:p>
        </w:tc>
        <w:tc>
          <w:tcPr>
            <w:tcW w:w="156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cs="Times New Roman"/>
                <w:b w:val="0"/>
                <w:i w:val="0"/>
                <w:color w:val="000000"/>
                <w:kern w:val="2"/>
                <w:sz w:val="21"/>
                <w:szCs w:val="21"/>
                <w:u w:val="none"/>
                <w:lang w:val="en-US" w:eastAsia="zh-CN" w:bidi="ar"/>
              </w:rPr>
            </w:pPr>
            <w:r>
              <w:rPr>
                <w:rFonts w:hint="eastAsia" w:ascii="宋体" w:hAnsi="宋体" w:cs="Times New Roman"/>
                <w:b w:val="0"/>
                <w:i w:val="0"/>
                <w:color w:val="000000"/>
                <w:kern w:val="2"/>
                <w:sz w:val="21"/>
                <w:szCs w:val="21"/>
                <w:u w:val="none"/>
                <w:lang w:val="en-US" w:eastAsia="zh-CN" w:bidi="ar"/>
              </w:rPr>
              <w:t>节约能源、保护环境政策加分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asciiTheme="minorEastAsia" w:hAnsiTheme="minorEastAsia"/>
                <w:szCs w:val="21"/>
              </w:rPr>
            </w:pPr>
            <w:r>
              <w:rPr>
                <w:rFonts w:hint="eastAsia" w:ascii="宋体" w:hAnsi="宋体" w:cs="Times New Roman"/>
                <w:b w:val="0"/>
                <w:i w:val="0"/>
                <w:color w:val="000000"/>
                <w:kern w:val="2"/>
                <w:sz w:val="21"/>
                <w:szCs w:val="21"/>
                <w:u w:val="none"/>
                <w:lang w:val="en-US" w:eastAsia="zh-CN" w:bidi="ar"/>
              </w:rPr>
              <w:t>（2分）</w:t>
            </w:r>
          </w:p>
        </w:tc>
        <w:tc>
          <w:tcPr>
            <w:tcW w:w="6095" w:type="dxa"/>
            <w:vAlign w:val="center"/>
          </w:tcPr>
          <w:p>
            <w:pPr>
              <w:widowControl/>
              <w:spacing w:line="360" w:lineRule="auto"/>
              <w:jc w:val="left"/>
              <w:rPr>
                <w:rStyle w:val="57"/>
                <w:rFonts w:ascii="宋体" w:hAnsi="宋体"/>
                <w:color w:val="000000"/>
                <w:kern w:val="0"/>
                <w:sz w:val="24"/>
                <w:szCs w:val="24"/>
                <w:lang w:val="en-US" w:eastAsia="zh-CN" w:bidi="ar-SA"/>
              </w:rPr>
            </w:pPr>
            <w:r>
              <w:rPr>
                <w:rStyle w:val="57"/>
                <w:rFonts w:ascii="宋体" w:hAnsi="宋体"/>
                <w:color w:val="000000"/>
                <w:kern w:val="0"/>
                <w:sz w:val="21"/>
                <w:szCs w:val="21"/>
                <w:lang w:val="en-US" w:eastAsia="zh-CN" w:bidi="ar-SA"/>
              </w:rPr>
              <w:t>1、除政府强制采购的节能产品外，投标人所投产品属于“节能产品政府采购品目清单”优先采购产品，</w:t>
            </w:r>
            <w:r>
              <w:rPr>
                <w:rStyle w:val="57"/>
                <w:rFonts w:ascii="宋体" w:hAnsi="宋体"/>
                <w:color w:val="000000"/>
                <w:kern w:val="2"/>
                <w:sz w:val="21"/>
                <w:szCs w:val="21"/>
                <w:lang w:val="en-US" w:eastAsia="zh-CN" w:bidi="ar-SA"/>
              </w:rPr>
              <w:t>投标文件中提供具有国家确定的认证机构出具的、处于有效期之内的节能产品认证证书。满分1分。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left"/>
              <w:rPr>
                <w:rFonts w:ascii="宋体" w:hAnsi="宋体"/>
                <w:color w:val="000000"/>
                <w:szCs w:val="21"/>
                <w:lang w:val="en-GB"/>
              </w:rPr>
            </w:pPr>
            <w:r>
              <w:rPr>
                <w:rStyle w:val="57"/>
                <w:rFonts w:ascii="宋体" w:hAnsi="宋体"/>
                <w:color w:val="000000"/>
                <w:kern w:val="0"/>
                <w:sz w:val="21"/>
                <w:szCs w:val="21"/>
                <w:lang w:val="en-US" w:eastAsia="zh-CN" w:bidi="ar-SA"/>
              </w:rPr>
              <w:t>2、投标人所投产品属于“环境标志产品政府采购品目清单”内产品，</w:t>
            </w:r>
            <w:r>
              <w:rPr>
                <w:rStyle w:val="57"/>
                <w:rFonts w:ascii="宋体" w:hAnsi="宋体"/>
                <w:color w:val="000000"/>
                <w:kern w:val="2"/>
                <w:sz w:val="21"/>
                <w:szCs w:val="21"/>
                <w:lang w:val="en-US" w:eastAsia="zh-CN" w:bidi="ar-SA"/>
              </w:rPr>
              <w:t>投标文件中提供具有国家确定的认证机构出具的、处于有效期之内的</w:t>
            </w:r>
            <w:r>
              <w:rPr>
                <w:rStyle w:val="57"/>
                <w:rFonts w:hint="eastAsia" w:ascii="宋体" w:hAnsi="宋体"/>
                <w:color w:val="000000"/>
                <w:kern w:val="2"/>
                <w:sz w:val="21"/>
                <w:szCs w:val="21"/>
                <w:lang w:val="en-US" w:eastAsia="zh-CN" w:bidi="ar-SA"/>
              </w:rPr>
              <w:t>环境标志</w:t>
            </w:r>
            <w:r>
              <w:rPr>
                <w:rStyle w:val="57"/>
                <w:rFonts w:ascii="宋体" w:hAnsi="宋体"/>
                <w:color w:val="000000"/>
                <w:kern w:val="2"/>
                <w:sz w:val="21"/>
                <w:szCs w:val="21"/>
                <w:lang w:val="en-US" w:eastAsia="zh-CN" w:bidi="ar-SA"/>
              </w:rPr>
              <w:t>产品认证证书。</w:t>
            </w:r>
            <w:r>
              <w:rPr>
                <w:rStyle w:val="57"/>
                <w:rFonts w:ascii="宋体" w:hAnsi="宋体"/>
                <w:color w:val="000000"/>
                <w:kern w:val="0"/>
                <w:sz w:val="21"/>
                <w:szCs w:val="21"/>
                <w:lang w:val="en-US" w:eastAsia="zh-CN" w:bidi="ar-SA"/>
              </w:rPr>
              <w:t>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384" w:type="dxa"/>
            <w:vMerge w:val="restart"/>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cs="Times New Roman"/>
                <w:b w:val="0"/>
                <w:i w:val="0"/>
                <w:color w:val="000000"/>
                <w:kern w:val="2"/>
                <w:sz w:val="21"/>
                <w:szCs w:val="21"/>
                <w:u w:val="none"/>
                <w:lang w:val="en-US" w:eastAsia="zh-CN" w:bidi="ar"/>
              </w:rPr>
            </w:pPr>
            <w:r>
              <w:rPr>
                <w:rFonts w:hint="eastAsia" w:ascii="宋体" w:hAnsi="宋体" w:eastAsia="宋体" w:cs="宋体"/>
                <w:b w:val="0"/>
                <w:i w:val="0"/>
                <w:color w:val="000000"/>
                <w:kern w:val="2"/>
                <w:sz w:val="21"/>
                <w:szCs w:val="21"/>
                <w:u w:val="none"/>
                <w:lang w:val="en-US" w:eastAsia="zh-CN" w:bidi="ar"/>
              </w:rPr>
              <w:t>技术部</w:t>
            </w:r>
            <w:r>
              <w:rPr>
                <w:rFonts w:hint="eastAsia" w:ascii="宋体" w:hAnsi="宋体" w:cs="Times New Roman"/>
                <w:b w:val="0"/>
                <w:i w:val="0"/>
                <w:color w:val="000000"/>
                <w:kern w:val="2"/>
                <w:sz w:val="21"/>
                <w:szCs w:val="21"/>
                <w:u w:val="none"/>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ascii="宋体" w:hAnsi="宋体" w:eastAsia="宋体" w:cs="宋体"/>
                <w:szCs w:val="21"/>
              </w:rPr>
            </w:pPr>
            <w:r>
              <w:rPr>
                <w:rFonts w:hint="eastAsia" w:ascii="宋体" w:hAnsi="宋体" w:cs="Times New Roman"/>
                <w:b w:val="0"/>
                <w:i w:val="0"/>
                <w:color w:val="000000"/>
                <w:kern w:val="2"/>
                <w:sz w:val="21"/>
                <w:szCs w:val="21"/>
                <w:u w:val="none"/>
                <w:lang w:val="en-US" w:eastAsia="zh-CN" w:bidi="ar"/>
              </w:rPr>
              <w:t>（20分）</w:t>
            </w:r>
          </w:p>
        </w:tc>
        <w:tc>
          <w:tcPr>
            <w:tcW w:w="1560" w:type="dxa"/>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cs="Times New Roman"/>
                <w:b w:val="0"/>
                <w:i w:val="0"/>
                <w:color w:val="000000"/>
                <w:kern w:val="2"/>
                <w:sz w:val="21"/>
                <w:szCs w:val="21"/>
                <w:u w:val="none"/>
                <w:lang w:val="en-US" w:eastAsia="zh-CN" w:bidi="ar"/>
              </w:rPr>
            </w:pPr>
            <w:r>
              <w:rPr>
                <w:rFonts w:hint="eastAsia" w:ascii="宋体" w:hAnsi="宋体" w:cs="Times New Roman"/>
                <w:b w:val="0"/>
                <w:i w:val="0"/>
                <w:color w:val="000000"/>
                <w:kern w:val="2"/>
                <w:sz w:val="21"/>
                <w:szCs w:val="21"/>
                <w:u w:val="none"/>
                <w:lang w:val="en-US" w:eastAsia="zh-CN" w:bidi="ar"/>
              </w:rPr>
              <w:t>货物技术规格、参数与要求响应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ascii="宋体" w:hAnsi="宋体" w:eastAsia="宋体" w:cs="Times New Roman"/>
                <w:szCs w:val="21"/>
              </w:rPr>
            </w:pPr>
            <w:r>
              <w:rPr>
                <w:rFonts w:hint="eastAsia" w:ascii="宋体" w:hAnsi="宋体" w:cs="Times New Roman"/>
                <w:b w:val="0"/>
                <w:i w:val="0"/>
                <w:color w:val="000000"/>
                <w:kern w:val="2"/>
                <w:sz w:val="21"/>
                <w:szCs w:val="21"/>
                <w:u w:val="none"/>
                <w:lang w:val="en-US" w:eastAsia="zh-CN" w:bidi="ar"/>
              </w:rPr>
              <w:t>（18分）</w:t>
            </w:r>
          </w:p>
        </w:tc>
        <w:tc>
          <w:tcPr>
            <w:tcW w:w="6095" w:type="dxa"/>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ascii="宋体" w:hAnsi="宋体" w:eastAsia="宋体" w:cs="Times New Roman"/>
                <w:szCs w:val="21"/>
              </w:rPr>
            </w:pPr>
            <w:r>
              <w:rPr>
                <w:rFonts w:hint="eastAsia" w:ascii="宋体" w:hAnsi="宋体" w:eastAsia="宋体" w:cs="Times New Roman"/>
                <w:b w:val="0"/>
                <w:i w:val="0"/>
                <w:color w:val="000000"/>
                <w:kern w:val="2"/>
                <w:sz w:val="21"/>
                <w:szCs w:val="21"/>
                <w:u w:val="none"/>
                <w:lang w:val="en-US" w:eastAsia="zh-CN" w:bidi="ar"/>
              </w:rPr>
              <w:t> </w:t>
            </w:r>
            <w:r>
              <w:rPr>
                <w:rFonts w:hint="eastAsia" w:ascii="宋体" w:hAnsi="宋体" w:cs="Times New Roman"/>
                <w:b w:val="0"/>
                <w:i w:val="0"/>
                <w:color w:val="000000"/>
                <w:kern w:val="2"/>
                <w:sz w:val="21"/>
                <w:szCs w:val="21"/>
                <w:u w:val="none"/>
                <w:lang w:val="en-US" w:eastAsia="zh-CN" w:bidi="ar"/>
              </w:rPr>
              <w:t>货物需求中带</w:t>
            </w:r>
            <w:r>
              <w:rPr>
                <w:rFonts w:hint="eastAsia"/>
                <w:b w:val="0"/>
                <w:i w:val="0"/>
                <w:lang w:val="en-US" w:eastAsia="zh-CN"/>
              </w:rPr>
              <w:t>▲技术参数实质性优于招标文件一项的加3分，满分18分。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ascii="宋体" w:hAnsi="宋体" w:eastAsia="宋体" w:cs="宋体"/>
                <w:szCs w:val="21"/>
              </w:rPr>
            </w:pPr>
          </w:p>
        </w:tc>
        <w:tc>
          <w:tcPr>
            <w:tcW w:w="1560" w:type="dxa"/>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cs="Times New Roman"/>
                <w:b w:val="0"/>
                <w:i w:val="0"/>
                <w:color w:val="000000"/>
                <w:kern w:val="2"/>
                <w:sz w:val="21"/>
                <w:szCs w:val="21"/>
                <w:u w:val="none"/>
                <w:lang w:val="en-US" w:eastAsia="zh-CN" w:bidi="ar"/>
              </w:rPr>
            </w:pPr>
            <w:r>
              <w:rPr>
                <w:rFonts w:hint="eastAsia" w:ascii="宋体" w:hAnsi="宋体" w:cs="Times New Roman"/>
                <w:b w:val="0"/>
                <w:i w:val="0"/>
                <w:color w:val="000000"/>
                <w:kern w:val="2"/>
                <w:sz w:val="21"/>
                <w:szCs w:val="21"/>
                <w:u w:val="none"/>
                <w:lang w:val="en-US" w:eastAsia="zh-CN" w:bidi="ar"/>
              </w:rPr>
              <w:t>技术方案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ascii="宋体" w:hAnsi="宋体" w:eastAsia="宋体" w:cs="Times New Roman"/>
                <w:szCs w:val="21"/>
              </w:rPr>
            </w:pPr>
            <w:r>
              <w:rPr>
                <w:rFonts w:hint="eastAsia" w:ascii="宋体" w:hAnsi="宋体" w:cs="Times New Roman"/>
                <w:b w:val="0"/>
                <w:i w:val="0"/>
                <w:color w:val="000000"/>
                <w:kern w:val="2"/>
                <w:sz w:val="21"/>
                <w:szCs w:val="21"/>
                <w:u w:val="none"/>
                <w:lang w:val="en-US" w:eastAsia="zh-CN" w:bidi="ar"/>
              </w:rPr>
              <w:t>（2分）</w:t>
            </w:r>
          </w:p>
        </w:tc>
        <w:tc>
          <w:tcPr>
            <w:tcW w:w="6095" w:type="dxa"/>
            <w:tcBorders>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cs="Times New Roman"/>
                <w:b w:val="0"/>
                <w:i w:val="0"/>
                <w:color w:val="000000"/>
                <w:kern w:val="2"/>
                <w:sz w:val="21"/>
                <w:szCs w:val="21"/>
                <w:u w:val="none"/>
                <w:lang w:val="en-US" w:eastAsia="zh-CN" w:bidi="ar"/>
              </w:rPr>
            </w:pPr>
            <w:r>
              <w:rPr>
                <w:rFonts w:hint="eastAsia" w:ascii="宋体" w:hAnsi="宋体" w:cs="Times New Roman"/>
                <w:b w:val="0"/>
                <w:i w:val="0"/>
                <w:color w:val="000000"/>
                <w:kern w:val="2"/>
                <w:sz w:val="21"/>
                <w:szCs w:val="21"/>
                <w:u w:val="none"/>
                <w:lang w:val="en-US" w:eastAsia="zh-CN" w:bidi="ar"/>
              </w:rPr>
              <w:t>根据投标人提供得技术方案：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left"/>
              <w:rPr>
                <w:rFonts w:ascii="宋体" w:hAnsi="宋体" w:eastAsia="宋体" w:cs="Times New Roman"/>
                <w:szCs w:val="21"/>
              </w:rPr>
            </w:pPr>
            <w:r>
              <w:rPr>
                <w:rFonts w:hint="eastAsia" w:ascii="宋体" w:hAnsi="宋体" w:cs="Times New Roman"/>
                <w:b w:val="0"/>
                <w:i w:val="0"/>
                <w:color w:val="000000"/>
                <w:kern w:val="2"/>
                <w:sz w:val="21"/>
                <w:szCs w:val="21"/>
                <w:u w:val="none"/>
                <w:lang w:val="en-US" w:eastAsia="zh-CN" w:bidi="ar"/>
              </w:rPr>
              <w:t>具有安装调试、实施步骤、进度计划、质量保障措施方案的得2分，没有不得分。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18</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b w:val="0"/>
                <w:i w:val="0"/>
              </w:rPr>
            </w:pPr>
            <w:r>
              <w:rPr>
                <w:rFonts w:hint="eastAsia" w:ascii="宋体" w:hAnsi="宋体" w:eastAsia="宋体" w:cs="宋体"/>
                <w:b w:val="0"/>
                <w:i w:val="0"/>
                <w:color w:val="000000"/>
                <w:kern w:val="2"/>
                <w:sz w:val="21"/>
                <w:szCs w:val="21"/>
                <w:u w:val="none"/>
                <w:lang w:val="en-US" w:eastAsia="zh-CN" w:bidi="ar"/>
              </w:rPr>
              <w:t>售后服务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ascii="宋体" w:hAnsi="宋体" w:eastAsia="宋体" w:cs="Times New Roman"/>
                <w:szCs w:val="21"/>
              </w:rPr>
            </w:pPr>
            <w:r>
              <w:rPr>
                <w:rFonts w:hint="eastAsia" w:ascii="宋体" w:hAnsi="宋体" w:eastAsia="宋体" w:cs="宋体"/>
                <w:b w:val="0"/>
                <w:i w:val="0"/>
                <w:color w:val="000000"/>
                <w:kern w:val="2"/>
                <w:sz w:val="21"/>
                <w:szCs w:val="21"/>
                <w:u w:val="none"/>
                <w:lang w:val="en-US" w:eastAsia="zh-CN" w:bidi="ar"/>
              </w:rPr>
              <w:t>（</w:t>
            </w:r>
            <w:r>
              <w:rPr>
                <w:rFonts w:hint="eastAsia" w:ascii="宋体" w:hAnsi="宋体" w:cs="宋体"/>
                <w:b w:val="0"/>
                <w:i w:val="0"/>
                <w:color w:val="000000"/>
                <w:kern w:val="2"/>
                <w:sz w:val="21"/>
                <w:szCs w:val="21"/>
                <w:u w:val="none"/>
                <w:lang w:val="en-US" w:eastAsia="zh-CN" w:bidi="ar"/>
              </w:rPr>
              <w:t>17</w:t>
            </w:r>
            <w:r>
              <w:rPr>
                <w:rFonts w:hint="eastAsia" w:ascii="宋体" w:hAnsi="宋体" w:eastAsia="宋体" w:cs="宋体"/>
                <w:b w:val="0"/>
                <w:i w:val="0"/>
                <w:color w:val="000000"/>
                <w:kern w:val="2"/>
                <w:sz w:val="21"/>
                <w:szCs w:val="21"/>
                <w:u w:val="none"/>
                <w:lang w:val="en-US" w:eastAsia="zh-CN" w:bidi="ar"/>
              </w:rPr>
              <w:t>分）</w:t>
            </w:r>
          </w:p>
        </w:tc>
        <w:tc>
          <w:tcPr>
            <w:tcW w:w="6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left"/>
              <w:rPr>
                <w:rFonts w:hint="eastAsia" w:ascii="宋体" w:hAnsi="宋体" w:cs="Times New Roman"/>
                <w:b w:val="0"/>
                <w:i w:val="0"/>
                <w:color w:val="000000"/>
                <w:kern w:val="2"/>
                <w:sz w:val="21"/>
                <w:szCs w:val="21"/>
                <w:u w:val="none"/>
                <w:lang w:val="en-US" w:eastAsia="zh-CN" w:bidi="ar"/>
              </w:rPr>
            </w:pPr>
            <w:r>
              <w:rPr>
                <w:rFonts w:hint="eastAsia" w:ascii="宋体" w:hAnsi="宋体" w:cs="Times New Roman"/>
                <w:b w:val="0"/>
                <w:i w:val="0"/>
                <w:color w:val="000000"/>
                <w:kern w:val="2"/>
                <w:sz w:val="21"/>
                <w:szCs w:val="21"/>
                <w:u w:val="none"/>
                <w:lang w:val="en-US" w:eastAsia="zh-CN" w:bidi="ar"/>
              </w:rPr>
              <w:t>提供免费质量保障，满足3年免费质保的基础上，每延长一年加2分，共4分。</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left"/>
              <w:rPr>
                <w:rFonts w:hint="eastAsia" w:ascii="宋体" w:hAnsi="宋体" w:cs="Times New Roman"/>
                <w:b w:val="0"/>
                <w:i w:val="0"/>
                <w:color w:val="000000"/>
                <w:kern w:val="2"/>
                <w:sz w:val="21"/>
                <w:szCs w:val="21"/>
                <w:u w:val="none"/>
                <w:lang w:val="en-US" w:eastAsia="zh-CN" w:bidi="ar"/>
              </w:rPr>
            </w:pPr>
            <w:r>
              <w:rPr>
                <w:rFonts w:hint="eastAsia" w:ascii="宋体" w:hAnsi="宋体" w:cs="Times New Roman"/>
                <w:b w:val="0"/>
                <w:i w:val="0"/>
                <w:color w:val="000000"/>
                <w:kern w:val="2"/>
                <w:sz w:val="21"/>
                <w:szCs w:val="21"/>
                <w:u w:val="none"/>
                <w:lang w:val="en-US" w:eastAsia="zh-CN" w:bidi="ar"/>
              </w:rPr>
              <w:t>售后服务期内，故障响应时间小于1小时，上门时间小于4小时，维修更换时间小于24小时，得3分，不满足不得分（投标文件中提供承诺函）。</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left"/>
              <w:rPr>
                <w:rFonts w:hint="eastAsia" w:ascii="宋体" w:hAnsi="宋体" w:cs="Times New Roman"/>
                <w:b w:val="0"/>
                <w:i w:val="0"/>
                <w:color w:val="000000"/>
                <w:kern w:val="2"/>
                <w:sz w:val="21"/>
                <w:szCs w:val="21"/>
                <w:u w:val="none"/>
                <w:lang w:val="en-US" w:eastAsia="zh-CN" w:bidi="ar"/>
              </w:rPr>
            </w:pPr>
            <w:r>
              <w:rPr>
                <w:rFonts w:hint="eastAsia" w:ascii="宋体" w:hAnsi="宋体" w:cs="Times New Roman"/>
                <w:b w:val="0"/>
                <w:i w:val="0"/>
                <w:color w:val="000000"/>
                <w:kern w:val="2"/>
                <w:sz w:val="21"/>
                <w:szCs w:val="21"/>
                <w:u w:val="none"/>
                <w:lang w:val="en-US" w:eastAsia="zh-CN" w:bidi="ar"/>
              </w:rPr>
              <w:t>质保期内，每年到各设备安装点对文化协管员开展至少一次免费技术培训服务的得5分（投标文件中提供承诺函）。</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left"/>
              <w:rPr>
                <w:rFonts w:ascii="宋体" w:hAnsi="宋体" w:eastAsia="宋体" w:cs="Times New Roman"/>
                <w:szCs w:val="21"/>
              </w:rPr>
            </w:pPr>
            <w:r>
              <w:rPr>
                <w:rFonts w:hint="eastAsia" w:ascii="宋体" w:hAnsi="宋体" w:cs="Times New Roman"/>
                <w:b w:val="0"/>
                <w:i w:val="0"/>
                <w:color w:val="000000"/>
                <w:kern w:val="2"/>
                <w:sz w:val="21"/>
                <w:szCs w:val="21"/>
                <w:u w:val="none"/>
                <w:lang w:val="en-US" w:eastAsia="zh-CN" w:bidi="ar"/>
              </w:rPr>
              <w:t>质保期内，每年到各设备安装点进行免费巡检得5分（投标文件中提供承诺函）。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top"/>
          </w:tcPr>
          <w:p>
            <w:pPr>
              <w:snapToGrid w:val="0"/>
              <w:spacing w:beforeLines="50"/>
              <w:rPr>
                <w:rFonts w:ascii="宋体" w:hAnsi="宋体" w:eastAsia="宋体" w:cs="宋体"/>
                <w:sz w:val="21"/>
                <w:szCs w:val="21"/>
              </w:rPr>
            </w:pPr>
            <w:bookmarkStart w:id="6" w:name="_Hlk535157742"/>
          </w:p>
        </w:tc>
        <w:tc>
          <w:tcPr>
            <w:tcW w:w="1560" w:type="dxa"/>
            <w:tcBorders>
              <w:left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b w:val="0"/>
                <w:i w:val="0"/>
                <w:color w:val="000000"/>
                <w:kern w:val="2"/>
                <w:sz w:val="21"/>
                <w:szCs w:val="21"/>
                <w:u w:val="none"/>
                <w:lang w:val="en-US" w:eastAsia="zh-CN" w:bidi="ar"/>
              </w:rPr>
            </w:pPr>
            <w:r>
              <w:rPr>
                <w:rFonts w:hint="eastAsia" w:ascii="宋体" w:hAnsi="宋体" w:eastAsia="宋体" w:cs="Times New Roman"/>
                <w:b w:val="0"/>
                <w:i w:val="0"/>
                <w:color w:val="000000"/>
                <w:kern w:val="2"/>
                <w:sz w:val="21"/>
                <w:szCs w:val="21"/>
                <w:u w:val="none"/>
                <w:lang w:val="en-US" w:eastAsia="zh-CN" w:bidi="ar"/>
              </w:rPr>
              <w:t>投标</w:t>
            </w:r>
            <w:r>
              <w:rPr>
                <w:rFonts w:hint="eastAsia" w:ascii="宋体" w:hAnsi="宋体" w:eastAsia="宋体" w:cs="宋体"/>
                <w:b w:val="0"/>
                <w:i w:val="0"/>
                <w:color w:val="000000"/>
                <w:kern w:val="2"/>
                <w:sz w:val="21"/>
                <w:szCs w:val="21"/>
                <w:u w:val="none"/>
                <w:lang w:val="en-US" w:eastAsia="zh-CN" w:bidi="ar"/>
              </w:rPr>
              <w:t>文件编制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ascii="宋体" w:hAnsi="宋体" w:eastAsia="宋体" w:cs="Times New Roman"/>
                <w:szCs w:val="21"/>
              </w:rPr>
            </w:pPr>
            <w:r>
              <w:rPr>
                <w:rFonts w:hint="eastAsia" w:ascii="宋体" w:hAnsi="宋体" w:eastAsia="宋体" w:cs="宋体"/>
                <w:b w:val="0"/>
                <w:i w:val="0"/>
                <w:color w:val="000000"/>
                <w:kern w:val="2"/>
                <w:sz w:val="21"/>
                <w:szCs w:val="21"/>
                <w:u w:val="none"/>
                <w:lang w:val="en-US" w:eastAsia="zh-CN" w:bidi="ar"/>
              </w:rPr>
              <w:t>（1分）</w:t>
            </w:r>
          </w:p>
        </w:tc>
        <w:tc>
          <w:tcPr>
            <w:tcW w:w="6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left"/>
              <w:rPr>
                <w:rFonts w:ascii="宋体" w:hAnsi="宋体" w:eastAsia="宋体" w:cs="Times New Roman"/>
                <w:szCs w:val="21"/>
              </w:rPr>
            </w:pPr>
            <w:r>
              <w:rPr>
                <w:rFonts w:hint="eastAsia" w:ascii="宋体" w:hAnsi="宋体" w:eastAsia="宋体" w:cs="Times New Roman"/>
                <w:b w:val="0"/>
                <w:i w:val="0"/>
                <w:color w:val="000000"/>
                <w:kern w:val="2"/>
                <w:sz w:val="21"/>
                <w:szCs w:val="21"/>
                <w:u w:val="none"/>
                <w:lang w:val="en-US" w:eastAsia="zh-CN" w:bidi="ar"/>
              </w:rPr>
              <w:t> </w:t>
            </w:r>
            <w:r>
              <w:rPr>
                <w:rFonts w:hint="eastAsia" w:ascii="宋体" w:hAnsi="宋体" w:cs="Times New Roman"/>
                <w:b w:val="0"/>
                <w:i w:val="0"/>
                <w:color w:val="000000"/>
                <w:kern w:val="2"/>
                <w:sz w:val="21"/>
                <w:szCs w:val="21"/>
                <w:u w:val="none"/>
                <w:lang w:val="en-US" w:eastAsia="zh-CN" w:bidi="ar"/>
              </w:rPr>
              <w:t>编制规范、文字清晰、无差错1分。</w:t>
            </w:r>
          </w:p>
        </w:tc>
      </w:tr>
      <w:bookmarkEnd w:id="6"/>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7" w:name="_Toc186274126"/>
      <w:bookmarkStart w:id="8" w:name="_Toc174185203"/>
      <w:bookmarkStart w:id="9" w:name="_Toc184023138"/>
      <w:r>
        <w:rPr>
          <w:rFonts w:hint="eastAsia" w:cs="黑体" w:asciiTheme="minorEastAsia" w:hAnsiTheme="minorEastAsia" w:eastAsiaTheme="minorEastAsia"/>
          <w:color w:val="auto"/>
          <w:kern w:val="2"/>
          <w:sz w:val="28"/>
          <w:szCs w:val="28"/>
          <w:lang w:val="zh-CN"/>
        </w:rPr>
        <w:t>一、投标人应答索引表</w:t>
      </w:r>
      <w:bookmarkEnd w:id="7"/>
      <w:bookmarkEnd w:id="8"/>
      <w:bookmarkEnd w:id="9"/>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（签名或加盖名章）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0" w:name="_资格证明文件"/>
            <w:bookmarkEnd w:id="10"/>
            <w:bookmarkStart w:id="11"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1"/>
          </w:p>
        </w:tc>
        <w:tc>
          <w:tcPr>
            <w:tcW w:w="4492" w:type="dxa"/>
            <w:gridSpan w:val="2"/>
            <w:vAlign w:val="center"/>
          </w:tcPr>
          <w:p>
            <w:pPr>
              <w:jc w:val="center"/>
              <w:rPr>
                <w:rFonts w:asciiTheme="minorEastAsia" w:hAnsiTheme="minorEastAsia"/>
                <w:szCs w:val="21"/>
              </w:rPr>
            </w:pPr>
            <w:bookmarkStart w:id="12"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2"/>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4800" w:firstLineChars="2286"/>
        <w:rPr>
          <w:rFonts w:cs="宋体" w:asciiTheme="minorEastAsia" w:hAnsiTheme="minorEastAsia"/>
          <w:szCs w:val="21"/>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firstLine="4357" w:firstLineChars="2075"/>
        <w:rPr>
          <w:rFonts w:cs="Arial" w:asciiTheme="minorEastAsia" w:hAnsiTheme="minorEastAsia"/>
          <w:color w:val="000000"/>
          <w:szCs w:val="21"/>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3" w:name="OLE_LINK13"/>
      <w:bookmarkStart w:id="14" w:name="OLE_LINK14"/>
      <w:r>
        <w:rPr>
          <w:rFonts w:hint="eastAsia" w:ascii="宋体" w:hAnsi="宋体"/>
          <w:b/>
          <w:bCs/>
          <w:color w:val="000000"/>
          <w:sz w:val="24"/>
          <w:szCs w:val="24"/>
        </w:rPr>
        <w:t>4.10 残疾人福利性单位声明函</w:t>
      </w:r>
    </w:p>
    <w:bookmarkEnd w:id="13"/>
    <w:bookmarkEnd w:id="14"/>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4E8D75"/>
    <w:multiLevelType w:val="singleLevel"/>
    <w:tmpl w:val="EA4E8D75"/>
    <w:lvl w:ilvl="0" w:tentative="0">
      <w:start w:val="1"/>
      <w:numFmt w:val="decimal"/>
      <w:lvlText w:val="%1."/>
      <w:lvlJc w:val="left"/>
      <w:pPr>
        <w:tabs>
          <w:tab w:val="left" w:pos="312"/>
        </w:tabs>
      </w:p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BF954B0"/>
    <w:multiLevelType w:val="singleLevel"/>
    <w:tmpl w:val="1BF954B0"/>
    <w:lvl w:ilvl="0" w:tentative="0">
      <w:start w:val="1"/>
      <w:numFmt w:val="chineseCounting"/>
      <w:suff w:val="nothing"/>
      <w:lvlText w:val="%1、"/>
      <w:lvlJc w:val="left"/>
      <w:rPr>
        <w:rFonts w:hint="eastAsia"/>
      </w:rPr>
    </w:lvl>
  </w:abstractNum>
  <w:abstractNum w:abstractNumId="7">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3975C7F"/>
    <w:multiLevelType w:val="singleLevel"/>
    <w:tmpl w:val="43975C7F"/>
    <w:lvl w:ilvl="0" w:tentative="0">
      <w:start w:val="1"/>
      <w:numFmt w:val="decimal"/>
      <w:suff w:val="nothing"/>
      <w:lvlText w:val="%1、"/>
      <w:lvlJc w:val="left"/>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48"/>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5"/>
  </w:num>
  <w:num w:numId="4">
    <w:abstractNumId w:val="14"/>
  </w:num>
  <w:num w:numId="5">
    <w:abstractNumId w:val="6"/>
  </w:num>
  <w:num w:numId="6">
    <w:abstractNumId w:val="9"/>
  </w:num>
  <w:num w:numId="7">
    <w:abstractNumId w:val="16"/>
  </w:num>
  <w:num w:numId="8">
    <w:abstractNumId w:val="5"/>
  </w:num>
  <w:num w:numId="9">
    <w:abstractNumId w:val="7"/>
  </w:num>
  <w:num w:numId="10">
    <w:abstractNumId w:val="18"/>
  </w:num>
  <w:num w:numId="11">
    <w:abstractNumId w:val="11"/>
  </w:num>
  <w:num w:numId="12">
    <w:abstractNumId w:val="17"/>
  </w:num>
  <w:num w:numId="13">
    <w:abstractNumId w:val="4"/>
  </w:num>
  <w:num w:numId="14">
    <w:abstractNumId w:val="8"/>
  </w:num>
  <w:num w:numId="15">
    <w:abstractNumId w:val="13"/>
  </w:num>
  <w:num w:numId="16">
    <w:abstractNumId w:val="10"/>
  </w:num>
  <w:num w:numId="17">
    <w:abstractNumId w:val="0"/>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C1691"/>
    <w:rsid w:val="000029D7"/>
    <w:rsid w:val="00010EAA"/>
    <w:rsid w:val="00060C36"/>
    <w:rsid w:val="000F2705"/>
    <w:rsid w:val="000F31C7"/>
    <w:rsid w:val="001058C3"/>
    <w:rsid w:val="001478F5"/>
    <w:rsid w:val="001606A0"/>
    <w:rsid w:val="00180CB1"/>
    <w:rsid w:val="00192BC1"/>
    <w:rsid w:val="001D1694"/>
    <w:rsid w:val="001D3032"/>
    <w:rsid w:val="002033D2"/>
    <w:rsid w:val="00212E8B"/>
    <w:rsid w:val="0021491B"/>
    <w:rsid w:val="002172F1"/>
    <w:rsid w:val="0022647A"/>
    <w:rsid w:val="00245DD4"/>
    <w:rsid w:val="00251E85"/>
    <w:rsid w:val="002E1F43"/>
    <w:rsid w:val="002E58AE"/>
    <w:rsid w:val="002F7711"/>
    <w:rsid w:val="00323731"/>
    <w:rsid w:val="0035288B"/>
    <w:rsid w:val="0036769A"/>
    <w:rsid w:val="003853CB"/>
    <w:rsid w:val="00393643"/>
    <w:rsid w:val="003B164A"/>
    <w:rsid w:val="003B44E5"/>
    <w:rsid w:val="003B73A5"/>
    <w:rsid w:val="003C33C2"/>
    <w:rsid w:val="003C46F5"/>
    <w:rsid w:val="003E1AF9"/>
    <w:rsid w:val="00403255"/>
    <w:rsid w:val="0041435C"/>
    <w:rsid w:val="00415999"/>
    <w:rsid w:val="00433366"/>
    <w:rsid w:val="00475D63"/>
    <w:rsid w:val="00490249"/>
    <w:rsid w:val="004A32D7"/>
    <w:rsid w:val="004D0575"/>
    <w:rsid w:val="004E7EC3"/>
    <w:rsid w:val="004F536E"/>
    <w:rsid w:val="00513598"/>
    <w:rsid w:val="00522D70"/>
    <w:rsid w:val="00530561"/>
    <w:rsid w:val="00551ECC"/>
    <w:rsid w:val="0055285D"/>
    <w:rsid w:val="00577214"/>
    <w:rsid w:val="0059207A"/>
    <w:rsid w:val="005C35F8"/>
    <w:rsid w:val="005C3615"/>
    <w:rsid w:val="005D0A26"/>
    <w:rsid w:val="00606FAC"/>
    <w:rsid w:val="00636AAD"/>
    <w:rsid w:val="00645715"/>
    <w:rsid w:val="006572EA"/>
    <w:rsid w:val="006771A0"/>
    <w:rsid w:val="006C1240"/>
    <w:rsid w:val="006E6CF8"/>
    <w:rsid w:val="0070512A"/>
    <w:rsid w:val="00721F78"/>
    <w:rsid w:val="00762DEF"/>
    <w:rsid w:val="007C1AB2"/>
    <w:rsid w:val="007E5CCF"/>
    <w:rsid w:val="00801D53"/>
    <w:rsid w:val="00807665"/>
    <w:rsid w:val="00831948"/>
    <w:rsid w:val="008377E1"/>
    <w:rsid w:val="008523E7"/>
    <w:rsid w:val="008616E3"/>
    <w:rsid w:val="00863BA1"/>
    <w:rsid w:val="0088255B"/>
    <w:rsid w:val="008A2A8E"/>
    <w:rsid w:val="008B2DE8"/>
    <w:rsid w:val="008B4F75"/>
    <w:rsid w:val="008D0BF8"/>
    <w:rsid w:val="008E2232"/>
    <w:rsid w:val="0092779F"/>
    <w:rsid w:val="00946644"/>
    <w:rsid w:val="00974FB6"/>
    <w:rsid w:val="009A42F4"/>
    <w:rsid w:val="009C12AB"/>
    <w:rsid w:val="009F0ADF"/>
    <w:rsid w:val="009F164F"/>
    <w:rsid w:val="009F549B"/>
    <w:rsid w:val="00A06976"/>
    <w:rsid w:val="00A10531"/>
    <w:rsid w:val="00A1105A"/>
    <w:rsid w:val="00A23034"/>
    <w:rsid w:val="00A41ED1"/>
    <w:rsid w:val="00A5068C"/>
    <w:rsid w:val="00A526FE"/>
    <w:rsid w:val="00A933D9"/>
    <w:rsid w:val="00AC741E"/>
    <w:rsid w:val="00AD1C56"/>
    <w:rsid w:val="00B207C4"/>
    <w:rsid w:val="00B24694"/>
    <w:rsid w:val="00B25281"/>
    <w:rsid w:val="00B464DB"/>
    <w:rsid w:val="00B61AAD"/>
    <w:rsid w:val="00B90354"/>
    <w:rsid w:val="00BD0BD6"/>
    <w:rsid w:val="00BF0755"/>
    <w:rsid w:val="00C60C57"/>
    <w:rsid w:val="00C619BF"/>
    <w:rsid w:val="00C639D1"/>
    <w:rsid w:val="00C74839"/>
    <w:rsid w:val="00CC1691"/>
    <w:rsid w:val="00CD31FE"/>
    <w:rsid w:val="00CE05E1"/>
    <w:rsid w:val="00D45A31"/>
    <w:rsid w:val="00D860AB"/>
    <w:rsid w:val="00D8771F"/>
    <w:rsid w:val="00DC1501"/>
    <w:rsid w:val="00DC533B"/>
    <w:rsid w:val="00E142DF"/>
    <w:rsid w:val="00E610C1"/>
    <w:rsid w:val="00E63701"/>
    <w:rsid w:val="00EA2B60"/>
    <w:rsid w:val="00EB1EC5"/>
    <w:rsid w:val="00EF7777"/>
    <w:rsid w:val="00F03CF1"/>
    <w:rsid w:val="00F06D3F"/>
    <w:rsid w:val="00F12BF3"/>
    <w:rsid w:val="00F40BE5"/>
    <w:rsid w:val="00F50141"/>
    <w:rsid w:val="00F80416"/>
    <w:rsid w:val="00F84301"/>
    <w:rsid w:val="00F84B0C"/>
    <w:rsid w:val="00F93EAF"/>
    <w:rsid w:val="00FB5156"/>
    <w:rsid w:val="00FB75BA"/>
    <w:rsid w:val="00FC380D"/>
    <w:rsid w:val="00FC42A1"/>
    <w:rsid w:val="00FE7AC3"/>
    <w:rsid w:val="059864E8"/>
    <w:rsid w:val="0DF43C62"/>
    <w:rsid w:val="105B5498"/>
    <w:rsid w:val="26E64423"/>
    <w:rsid w:val="2BD25795"/>
    <w:rsid w:val="2CB367F9"/>
    <w:rsid w:val="2D101A6C"/>
    <w:rsid w:val="2D952AC7"/>
    <w:rsid w:val="3E323156"/>
    <w:rsid w:val="3EBC0DC6"/>
    <w:rsid w:val="436F0525"/>
    <w:rsid w:val="47665CE1"/>
    <w:rsid w:val="53867B80"/>
    <w:rsid w:val="58085BDD"/>
    <w:rsid w:val="5CC6169D"/>
    <w:rsid w:val="5D6A6DE4"/>
    <w:rsid w:val="66EA4D68"/>
    <w:rsid w:val="7135536B"/>
    <w:rsid w:val="75CC1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Body Text Indent"/>
    <w:basedOn w:val="1"/>
    <w:link w:val="54"/>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Hyperlink"/>
    <w:basedOn w:val="23"/>
    <w:unhideWhenUsed/>
    <w:qFormat/>
    <w:uiPriority w:val="99"/>
    <w:rPr>
      <w:color w:val="0000FF"/>
      <w:u w:val="single"/>
    </w:rPr>
  </w:style>
  <w:style w:type="character" w:customStyle="1" w:styleId="26">
    <w:name w:val="标题 1 Char"/>
    <w:basedOn w:val="23"/>
    <w:link w:val="2"/>
    <w:qFormat/>
    <w:uiPriority w:val="0"/>
    <w:rPr>
      <w:rFonts w:ascii="Calibri" w:hAnsi="Calibri" w:eastAsia="宋体" w:cs="Times New Roman"/>
      <w:b/>
      <w:bCs/>
      <w:kern w:val="44"/>
      <w:sz w:val="44"/>
      <w:szCs w:val="44"/>
    </w:rPr>
  </w:style>
  <w:style w:type="character" w:customStyle="1" w:styleId="27">
    <w:name w:val="标题 2 Char"/>
    <w:basedOn w:val="23"/>
    <w:link w:val="3"/>
    <w:qFormat/>
    <w:uiPriority w:val="0"/>
    <w:rPr>
      <w:rFonts w:ascii="Arial" w:hAnsi="Arial" w:eastAsia="黑体" w:cs="Times New Roman"/>
      <w:b/>
      <w:bCs/>
      <w:kern w:val="0"/>
      <w:sz w:val="32"/>
      <w:szCs w:val="32"/>
    </w:rPr>
  </w:style>
  <w:style w:type="character" w:customStyle="1" w:styleId="28">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3"/>
    <w:link w:val="5"/>
    <w:qFormat/>
    <w:uiPriority w:val="0"/>
    <w:rPr>
      <w:rFonts w:ascii="Arial" w:hAnsi="Arial" w:eastAsia="黑体" w:cs="Times New Roman"/>
      <w:b/>
      <w:bCs/>
      <w:kern w:val="0"/>
      <w:sz w:val="28"/>
      <w:szCs w:val="28"/>
    </w:rPr>
  </w:style>
  <w:style w:type="character" w:customStyle="1" w:styleId="30">
    <w:name w:val="纯文本 Char"/>
    <w:basedOn w:val="23"/>
    <w:link w:val="13"/>
    <w:qFormat/>
    <w:uiPriority w:val="0"/>
    <w:rPr>
      <w:rFonts w:eastAsia="宋体"/>
      <w:sz w:val="24"/>
    </w:rPr>
  </w:style>
  <w:style w:type="character" w:customStyle="1" w:styleId="31">
    <w:name w:val="日期 Char"/>
    <w:basedOn w:val="23"/>
    <w:link w:val="14"/>
    <w:qFormat/>
    <w:uiPriority w:val="99"/>
  </w:style>
  <w:style w:type="character" w:customStyle="1" w:styleId="32">
    <w:name w:val="页脚 Char"/>
    <w:basedOn w:val="23"/>
    <w:link w:val="16"/>
    <w:qFormat/>
    <w:uiPriority w:val="99"/>
    <w:rPr>
      <w:sz w:val="18"/>
      <w:szCs w:val="18"/>
    </w:rPr>
  </w:style>
  <w:style w:type="character" w:customStyle="1" w:styleId="33">
    <w:name w:val="页眉 Char"/>
    <w:basedOn w:val="23"/>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3"/>
    <w:link w:val="8"/>
    <w:qFormat/>
    <w:uiPriority w:val="0"/>
    <w:rPr>
      <w:rFonts w:ascii="Times New Roman" w:hAnsi="Times New Roman" w:eastAsia="宋体" w:cs="Times New Roman"/>
      <w:color w:val="FF0000"/>
      <w:sz w:val="24"/>
      <w:szCs w:val="24"/>
    </w:rPr>
  </w:style>
  <w:style w:type="character" w:customStyle="1" w:styleId="46">
    <w:name w:val="edittexttarea"/>
    <w:basedOn w:val="23"/>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3"/>
    <w:link w:val="9"/>
    <w:semiHidden/>
    <w:qFormat/>
    <w:uiPriority w:val="99"/>
  </w:style>
  <w:style w:type="character" w:customStyle="1" w:styleId="50">
    <w:name w:val="正文首行缩进 Char"/>
    <w:basedOn w:val="49"/>
    <w:link w:val="21"/>
    <w:qFormat/>
    <w:uiPriority w:val="0"/>
    <w:rPr>
      <w:rFonts w:ascii="宋体" w:hAnsi="Times New Roman" w:eastAsia="宋体" w:cs="Times New Roman"/>
      <w:kern w:val="0"/>
      <w:sz w:val="34"/>
      <w:szCs w:val="20"/>
    </w:rPr>
  </w:style>
  <w:style w:type="character" w:customStyle="1" w:styleId="51">
    <w:name w:val="HTML 预设格式 Char"/>
    <w:basedOn w:val="23"/>
    <w:link w:val="19"/>
    <w:semiHidden/>
    <w:qFormat/>
    <w:uiPriority w:val="99"/>
    <w:rPr>
      <w:rFonts w:ascii="宋体" w:hAnsi="宋体" w:eastAsia="宋体" w:cs="宋体"/>
      <w:kern w:val="0"/>
      <w:sz w:val="24"/>
      <w:szCs w:val="24"/>
    </w:rPr>
  </w:style>
  <w:style w:type="character" w:customStyle="1" w:styleId="52">
    <w:name w:val="HTML 预设格式 Char1"/>
    <w:basedOn w:val="23"/>
    <w:link w:val="19"/>
    <w:semiHidden/>
    <w:qFormat/>
    <w:uiPriority w:val="99"/>
    <w:rPr>
      <w:rFonts w:ascii="Courier New" w:hAnsi="Courier New" w:cs="Courier New"/>
      <w:sz w:val="20"/>
      <w:szCs w:val="20"/>
    </w:rPr>
  </w:style>
  <w:style w:type="character" w:customStyle="1" w:styleId="53">
    <w:name w:val="正文文本缩进 Char"/>
    <w:link w:val="10"/>
    <w:qFormat/>
    <w:uiPriority w:val="0"/>
    <w:rPr>
      <w:sz w:val="24"/>
    </w:rPr>
  </w:style>
  <w:style w:type="character" w:customStyle="1" w:styleId="54">
    <w:name w:val="正文文本缩进 Char1"/>
    <w:basedOn w:val="23"/>
    <w:link w:val="10"/>
    <w:semiHidden/>
    <w:qFormat/>
    <w:uiPriority w:val="99"/>
  </w:style>
  <w:style w:type="character" w:customStyle="1" w:styleId="55">
    <w:name w:val="批注框文本 Char"/>
    <w:basedOn w:val="23"/>
    <w:link w:val="15"/>
    <w:semiHidden/>
    <w:qFormat/>
    <w:uiPriority w:val="99"/>
    <w:rPr>
      <w:sz w:val="18"/>
      <w:szCs w:val="18"/>
    </w:rPr>
  </w:style>
  <w:style w:type="character" w:customStyle="1" w:styleId="56">
    <w:name w:val="批注框文本 Char1"/>
    <w:basedOn w:val="23"/>
    <w:link w:val="15"/>
    <w:semiHidden/>
    <w:qFormat/>
    <w:uiPriority w:val="99"/>
    <w:rPr>
      <w:sz w:val="18"/>
      <w:szCs w:val="18"/>
    </w:rPr>
  </w:style>
  <w:style w:type="character" w:customStyle="1" w:styleId="57">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5715</Words>
  <Characters>32581</Characters>
  <Lines>271</Lines>
  <Paragraphs>76</Paragraphs>
  <TotalTime>1</TotalTime>
  <ScaleCrop>false</ScaleCrop>
  <LinksUpToDate>false</LinksUpToDate>
  <CharactersWithSpaces>38220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2019-10-29T02:40:00Z</dcterms:created>
  <dc:creator>许昌市公共资源交易中心:孟莉</dc:creator>
  <cp:lastModifiedBy>羊</cp:lastModifiedBy>
  <dcterms:modified xsi:type="dcterms:W3CDTF">2019-11-15T00:44:22Z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