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rPr>
      </w:pPr>
    </w:p>
    <w:p>
      <w:pPr>
        <w:jc w:val="center"/>
        <w:rPr>
          <w:rFonts w:ascii="宋体" w:hAnsi="宋体"/>
          <w:b/>
          <w:sz w:val="48"/>
          <w:szCs w:val="40"/>
        </w:rPr>
      </w:pPr>
      <w:r>
        <w:rPr>
          <w:rFonts w:hint="eastAsia" w:ascii="宋体" w:hAnsi="宋体"/>
          <w:b/>
          <w:sz w:val="48"/>
          <w:szCs w:val="40"/>
        </w:rPr>
        <w:t>许昌市老年大学迁建项目室外景观、管网工程</w:t>
      </w:r>
    </w:p>
    <w:p>
      <w:pPr>
        <w:spacing w:line="360" w:lineRule="auto"/>
        <w:rPr>
          <w:rFonts w:ascii="宋体" w:hAnsi="宋体"/>
          <w:sz w:val="56"/>
          <w:szCs w:val="28"/>
        </w:rPr>
      </w:pPr>
    </w:p>
    <w:p>
      <w:pPr>
        <w:spacing w:line="720" w:lineRule="auto"/>
        <w:jc w:val="center"/>
        <w:rPr>
          <w:rFonts w:ascii="宋体" w:hAnsi="宋体"/>
          <w:b/>
          <w:sz w:val="80"/>
          <w:szCs w:val="80"/>
        </w:rPr>
      </w:pPr>
      <w:r>
        <w:rPr>
          <w:rFonts w:hint="eastAsia" w:ascii="宋体" w:hAnsi="宋体"/>
          <w:b/>
          <w:sz w:val="80"/>
          <w:szCs w:val="80"/>
        </w:rPr>
        <w:t>施工招标文件</w:t>
      </w:r>
    </w:p>
    <w:p>
      <w:pPr>
        <w:spacing w:line="720" w:lineRule="auto"/>
        <w:jc w:val="center"/>
        <w:rPr>
          <w:rFonts w:ascii="宋体" w:hAnsi="宋体"/>
          <w:b/>
          <w:sz w:val="44"/>
          <w:szCs w:val="80"/>
        </w:rPr>
      </w:pPr>
      <w:r>
        <w:rPr>
          <w:rFonts w:hint="eastAsia" w:ascii="宋体" w:hAnsi="宋体"/>
          <w:b/>
          <w:sz w:val="44"/>
          <w:szCs w:val="80"/>
        </w:rPr>
        <w:t>（二标段）</w:t>
      </w:r>
    </w:p>
    <w:p>
      <w:pPr>
        <w:spacing w:line="720" w:lineRule="auto"/>
        <w:jc w:val="center"/>
        <w:rPr>
          <w:rFonts w:ascii="宋体" w:hAnsi="宋体"/>
          <w:b/>
          <w:sz w:val="32"/>
        </w:rPr>
      </w:pPr>
      <w:r>
        <w:rPr>
          <w:rFonts w:hint="eastAsia" w:ascii="宋体" w:hAnsi="宋体"/>
          <w:b/>
          <w:sz w:val="32"/>
        </w:rPr>
        <w:t>项目编号：</w:t>
      </w:r>
      <w:r>
        <w:rPr>
          <w:rFonts w:hint="eastAsia" w:hAnsi="宋体" w:cs="宋体"/>
          <w:b/>
          <w:sz w:val="32"/>
          <w:szCs w:val="32"/>
        </w:rPr>
        <w:t xml:space="preserve">XCGC-F2019262 </w:t>
      </w: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rPr>
      </w:pPr>
      <w:r>
        <w:rPr>
          <w:rFonts w:ascii="宋体" w:hAnsi="宋体"/>
        </w:rPr>
        <w:drawing>
          <wp:anchor distT="0" distB="0" distL="114300" distR="114300" simplePos="0" relativeHeight="251657216" behindDoc="0" locked="0" layoutInCell="1" allowOverlap="1">
            <wp:simplePos x="0" y="0"/>
            <wp:positionH relativeFrom="page">
              <wp:posOffset>2450465</wp:posOffset>
            </wp:positionH>
            <wp:positionV relativeFrom="page">
              <wp:posOffset>4782820</wp:posOffset>
            </wp:positionV>
            <wp:extent cx="2744470" cy="2733040"/>
            <wp:effectExtent l="19050" t="0" r="0" b="0"/>
            <wp:wrapSquare wrapText="bothSides"/>
            <wp:docPr id="2" name="Picture 1" descr="中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中辰 LOGO"/>
                    <pic:cNvPicPr>
                      <a:picLocks noChangeAspect="1" noChangeArrowheads="1"/>
                    </pic:cNvPicPr>
                  </pic:nvPicPr>
                  <pic:blipFill>
                    <a:blip r:embed="rId16" cstate="print"/>
                    <a:srcRect/>
                    <a:stretch>
                      <a:fillRect/>
                    </a:stretch>
                  </pic:blipFill>
                  <pic:spPr>
                    <a:xfrm>
                      <a:off x="0" y="0"/>
                      <a:ext cx="2744247" cy="2733152"/>
                    </a:xfrm>
                    <a:prstGeom prst="rect">
                      <a:avLst/>
                    </a:prstGeom>
                    <a:noFill/>
                    <a:ln w="9525">
                      <a:noFill/>
                      <a:miter lim="800000"/>
                      <a:headEnd/>
                      <a:tailEnd/>
                    </a:ln>
                  </pic:spPr>
                </pic:pic>
              </a:graphicData>
            </a:graphic>
          </wp:anchor>
        </w:drawing>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sz w:val="20"/>
        </w:rPr>
      </w:pPr>
    </w:p>
    <w:p>
      <w:pPr>
        <w:tabs>
          <w:tab w:val="left" w:pos="-1155"/>
          <w:tab w:val="left" w:pos="-1050"/>
        </w:tabs>
        <w:spacing w:line="360" w:lineRule="auto"/>
        <w:ind w:left="175" w:leftChars="1" w:right="-334" w:rightChars="-159" w:hanging="173" w:hangingChars="56"/>
        <w:jc w:val="left"/>
        <w:rPr>
          <w:rFonts w:ascii="宋体" w:hAnsi="宋体"/>
          <w:b/>
          <w:spacing w:val="-6"/>
          <w:sz w:val="32"/>
          <w:szCs w:val="30"/>
        </w:rPr>
      </w:pPr>
      <w:r>
        <w:rPr>
          <w:rFonts w:hint="eastAsia" w:ascii="宋体" w:hAnsi="宋体"/>
          <w:b/>
          <w:spacing w:val="-6"/>
          <w:sz w:val="32"/>
          <w:szCs w:val="30"/>
        </w:rPr>
        <w:t xml:space="preserve">          招   标   人：</w:t>
      </w:r>
      <w:r>
        <w:rPr>
          <w:rFonts w:hint="eastAsia"/>
          <w:b/>
          <w:bCs/>
          <w:sz w:val="32"/>
          <w:szCs w:val="22"/>
        </w:rPr>
        <w:t>许昌市财源开发建设有限公司</w:t>
      </w:r>
    </w:p>
    <w:p>
      <w:pPr>
        <w:tabs>
          <w:tab w:val="left" w:pos="-1155"/>
          <w:tab w:val="left" w:pos="-1050"/>
        </w:tabs>
        <w:spacing w:line="360" w:lineRule="auto"/>
        <w:ind w:left="175" w:leftChars="1" w:right="-334" w:rightChars="-159" w:hanging="173" w:hangingChars="56"/>
        <w:jc w:val="left"/>
        <w:rPr>
          <w:rFonts w:ascii="宋体" w:hAnsi="宋体"/>
          <w:b/>
          <w:spacing w:val="-6"/>
          <w:sz w:val="32"/>
          <w:szCs w:val="30"/>
        </w:rPr>
      </w:pPr>
      <w:r>
        <w:rPr>
          <w:rFonts w:hint="eastAsia" w:ascii="宋体" w:hAnsi="宋体"/>
          <w:b/>
          <w:spacing w:val="-6"/>
          <w:sz w:val="32"/>
          <w:szCs w:val="30"/>
        </w:rPr>
        <w:t xml:space="preserve">          招标代理机构：中辰工程咨询有限公司</w:t>
      </w:r>
    </w:p>
    <w:p>
      <w:pPr>
        <w:tabs>
          <w:tab w:val="left" w:pos="-1155"/>
          <w:tab w:val="left" w:pos="-1050"/>
        </w:tabs>
        <w:spacing w:line="360" w:lineRule="auto"/>
        <w:ind w:left="175" w:leftChars="1" w:right="-334" w:rightChars="-159" w:hanging="173" w:hangingChars="56"/>
        <w:jc w:val="left"/>
        <w:rPr>
          <w:rFonts w:ascii="宋体" w:hAnsi="宋体"/>
          <w:b/>
          <w:spacing w:val="-6"/>
          <w:sz w:val="32"/>
          <w:szCs w:val="30"/>
        </w:rPr>
        <w:sectPr>
          <w:pgSz w:w="11906" w:h="16838"/>
          <w:pgMar w:top="1418" w:right="1134" w:bottom="1418" w:left="1134" w:header="851" w:footer="992" w:gutter="0"/>
          <w:pgNumType w:start="1"/>
          <w:cols w:space="720" w:num="1"/>
          <w:docGrid w:type="lines" w:linePitch="312" w:charSpace="0"/>
        </w:sectPr>
      </w:pPr>
      <w:r>
        <w:rPr>
          <w:rFonts w:hint="eastAsia" w:ascii="宋体" w:hAnsi="宋体"/>
          <w:b/>
          <w:spacing w:val="-6"/>
          <w:sz w:val="32"/>
          <w:szCs w:val="30"/>
        </w:rPr>
        <w:t xml:space="preserve">          日        期：二〇一九年十一月</w:t>
      </w:r>
    </w:p>
    <w:p>
      <w:pPr>
        <w:spacing w:after="240" w:line="480" w:lineRule="auto"/>
        <w:jc w:val="center"/>
        <w:rPr>
          <w:rFonts w:ascii="宋体" w:hAnsi="宋体"/>
          <w:b/>
          <w:sz w:val="36"/>
          <w:szCs w:val="28"/>
        </w:rPr>
      </w:pPr>
      <w:bookmarkStart w:id="0" w:name="_Toc144974478"/>
      <w:bookmarkStart w:id="1" w:name="_Toc152042286"/>
      <w:bookmarkStart w:id="2" w:name="_Toc247527532"/>
      <w:bookmarkStart w:id="3" w:name="_Toc300834926"/>
      <w:r>
        <w:rPr>
          <w:rFonts w:hint="eastAsia" w:ascii="宋体" w:hAnsi="宋体"/>
          <w:b/>
          <w:sz w:val="36"/>
          <w:szCs w:val="28"/>
        </w:rPr>
        <w:t>目录</w:t>
      </w:r>
      <w:bookmarkEnd w:id="0"/>
      <w:bookmarkEnd w:id="1"/>
      <w:bookmarkEnd w:id="2"/>
      <w:bookmarkEnd w:id="3"/>
    </w:p>
    <w:p>
      <w:pPr>
        <w:pStyle w:val="34"/>
        <w:tabs>
          <w:tab w:val="right" w:leader="dot" w:pos="9628"/>
        </w:tabs>
        <w:spacing w:after="240" w:line="360" w:lineRule="auto"/>
        <w:rPr>
          <w:rFonts w:ascii="Calibri" w:hAnsi="Calibri"/>
          <w:b w:val="0"/>
          <w:bCs w:val="0"/>
          <w:caps w:val="0"/>
          <w:sz w:val="21"/>
          <w:szCs w:val="22"/>
        </w:rPr>
      </w:pPr>
      <w:bookmarkStart w:id="4" w:name="_Toc247513932"/>
      <w:bookmarkStart w:id="5" w:name="_Toc247527533"/>
      <w:bookmarkStart w:id="6" w:name="_Toc152042287"/>
      <w:bookmarkStart w:id="7" w:name="_Toc144974479"/>
      <w:bookmarkStart w:id="8" w:name="_Toc152045511"/>
      <w:r>
        <w:rPr>
          <w:rFonts w:ascii="宋体" w:hAnsi="宋体"/>
          <w:b w:val="0"/>
          <w:sz w:val="21"/>
          <w:szCs w:val="21"/>
        </w:rPr>
        <w:fldChar w:fldCharType="begin"/>
      </w:r>
      <w:r>
        <w:rPr>
          <w:rFonts w:ascii="宋体" w:hAnsi="宋体"/>
          <w:b w:val="0"/>
          <w:sz w:val="21"/>
          <w:szCs w:val="21"/>
        </w:rPr>
        <w:instrText xml:space="preserve"> TOC \o "1-2" \h \z \u </w:instrText>
      </w:r>
      <w:r>
        <w:rPr>
          <w:rFonts w:ascii="宋体" w:hAnsi="宋体"/>
          <w:b w:val="0"/>
          <w:sz w:val="21"/>
          <w:szCs w:val="21"/>
        </w:rPr>
        <w:fldChar w:fldCharType="separate"/>
      </w:r>
      <w:r>
        <w:fldChar w:fldCharType="begin"/>
      </w:r>
      <w:r>
        <w:instrText xml:space="preserve"> HYPERLINK \l "_Toc529440033" </w:instrText>
      </w:r>
      <w:r>
        <w:fldChar w:fldCharType="separate"/>
      </w:r>
      <w:r>
        <w:rPr>
          <w:rStyle w:val="62"/>
          <w:rFonts w:hint="eastAsia"/>
        </w:rPr>
        <w:t>第一章招标公告</w:t>
      </w:r>
      <w:r>
        <w:tab/>
      </w:r>
      <w:r>
        <w:fldChar w:fldCharType="begin"/>
      </w:r>
      <w:r>
        <w:instrText xml:space="preserve"> PAGEREF _Toc529440033 \h </w:instrText>
      </w:r>
      <w:r>
        <w:fldChar w:fldCharType="separate"/>
      </w:r>
      <w:r>
        <w:t>2</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"_Toc529440034" </w:instrText>
      </w:r>
      <w:r>
        <w:fldChar w:fldCharType="separate"/>
      </w:r>
      <w:r>
        <w:rPr>
          <w:rStyle w:val="62"/>
          <w:rFonts w:hint="eastAsia"/>
        </w:rPr>
        <w:t>第二章投标人须知</w:t>
      </w:r>
      <w:r>
        <w:tab/>
      </w:r>
      <w:r>
        <w:fldChar w:fldCharType="begin"/>
      </w:r>
      <w:r>
        <w:instrText xml:space="preserve"> PAGEREF _Toc529440034 \h </w:instrText>
      </w:r>
      <w:r>
        <w:fldChar w:fldCharType="separate"/>
      </w:r>
      <w:r>
        <w:t>6</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"_Toc529440035" </w:instrText>
      </w:r>
      <w:r>
        <w:fldChar w:fldCharType="separate"/>
      </w:r>
      <w:r>
        <w:rPr>
          <w:rStyle w:val="62"/>
          <w:rFonts w:hint="eastAsia"/>
        </w:rPr>
        <w:t>投标人须知前附表</w:t>
      </w:r>
      <w:r>
        <w:tab/>
      </w:r>
      <w:r>
        <w:fldChar w:fldCharType="begin"/>
      </w:r>
      <w:r>
        <w:instrText xml:space="preserve"> PAGEREF _Toc529440035 \h </w:instrText>
      </w:r>
      <w:r>
        <w:fldChar w:fldCharType="separate"/>
      </w:r>
      <w:r>
        <w:t>6</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"_Toc529440036" </w:instrText>
      </w:r>
      <w:r>
        <w:fldChar w:fldCharType="separate"/>
      </w:r>
      <w:r>
        <w:rPr>
          <w:rStyle w:val="62"/>
        </w:rPr>
        <w:t xml:space="preserve">1. </w:t>
      </w:r>
      <w:r>
        <w:rPr>
          <w:rStyle w:val="62"/>
          <w:rFonts w:hint="eastAsia"/>
        </w:rPr>
        <w:t>总则</w:t>
      </w:r>
      <w:r>
        <w:tab/>
      </w:r>
      <w:r>
        <w:fldChar w:fldCharType="begin"/>
      </w:r>
      <w:r>
        <w:instrText xml:space="preserve"> PAGEREF _Toc529440036 \h </w:instrText>
      </w:r>
      <w:r>
        <w:fldChar w:fldCharType="separate"/>
      </w:r>
      <w:r>
        <w:t>13</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"_Toc529440037" </w:instrText>
      </w:r>
      <w:r>
        <w:fldChar w:fldCharType="separate"/>
      </w:r>
      <w:r>
        <w:rPr>
          <w:rStyle w:val="62"/>
        </w:rPr>
        <w:t xml:space="preserve">2. </w:t>
      </w:r>
      <w:r>
        <w:rPr>
          <w:rStyle w:val="62"/>
          <w:rFonts w:hint="eastAsia"/>
        </w:rPr>
        <w:t>招标文件</w:t>
      </w:r>
      <w:r>
        <w:tab/>
      </w:r>
      <w:r>
        <w:fldChar w:fldCharType="begin"/>
      </w:r>
      <w:r>
        <w:instrText xml:space="preserve"> PAGEREF _Toc529440037 \h </w:instrText>
      </w:r>
      <w:r>
        <w:fldChar w:fldCharType="separate"/>
      </w:r>
      <w:r>
        <w:t>15</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"_Toc529440038" </w:instrText>
      </w:r>
      <w:r>
        <w:fldChar w:fldCharType="separate"/>
      </w:r>
      <w:r>
        <w:rPr>
          <w:rStyle w:val="62"/>
        </w:rPr>
        <w:t xml:space="preserve">3. </w:t>
      </w:r>
      <w:r>
        <w:rPr>
          <w:rStyle w:val="62"/>
          <w:rFonts w:hint="eastAsia"/>
        </w:rPr>
        <w:t>投标文件</w:t>
      </w:r>
      <w:r>
        <w:tab/>
      </w:r>
      <w:r>
        <w:fldChar w:fldCharType="begin"/>
      </w:r>
      <w:r>
        <w:instrText xml:space="preserve"> PAGEREF _Toc529440038 \h </w:instrText>
      </w:r>
      <w:r>
        <w:fldChar w:fldCharType="separate"/>
      </w:r>
      <w:r>
        <w:t>16</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"_Toc529440039" </w:instrText>
      </w:r>
      <w:r>
        <w:fldChar w:fldCharType="separate"/>
      </w:r>
      <w:r>
        <w:rPr>
          <w:rStyle w:val="62"/>
        </w:rPr>
        <w:t xml:space="preserve">4. </w:t>
      </w:r>
      <w:r>
        <w:rPr>
          <w:rStyle w:val="62"/>
          <w:rFonts w:hint="eastAsia"/>
        </w:rPr>
        <w:t>投标</w:t>
      </w:r>
      <w:r>
        <w:tab/>
      </w:r>
      <w:r>
        <w:fldChar w:fldCharType="begin"/>
      </w:r>
      <w:r>
        <w:instrText xml:space="preserve"> PAGEREF _Toc529440039 \h </w:instrText>
      </w:r>
      <w:r>
        <w:fldChar w:fldCharType="separate"/>
      </w:r>
      <w:r>
        <w:t>20</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"_Toc529440040" </w:instrText>
      </w:r>
      <w:r>
        <w:fldChar w:fldCharType="separate"/>
      </w:r>
      <w:r>
        <w:rPr>
          <w:rStyle w:val="62"/>
        </w:rPr>
        <w:t xml:space="preserve">5. </w:t>
      </w:r>
      <w:r>
        <w:rPr>
          <w:rStyle w:val="62"/>
          <w:rFonts w:hint="eastAsia"/>
        </w:rPr>
        <w:t>开标</w:t>
      </w:r>
      <w:r>
        <w:tab/>
      </w:r>
      <w:r>
        <w:fldChar w:fldCharType="begin"/>
      </w:r>
      <w:r>
        <w:instrText xml:space="preserve"> PAGEREF _Toc529440040 \h </w:instrText>
      </w:r>
      <w:r>
        <w:fldChar w:fldCharType="separate"/>
      </w:r>
      <w:r>
        <w:t>21</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"_Toc529440041" </w:instrText>
      </w:r>
      <w:r>
        <w:fldChar w:fldCharType="separate"/>
      </w:r>
      <w:r>
        <w:rPr>
          <w:rStyle w:val="62"/>
        </w:rPr>
        <w:t xml:space="preserve">6. </w:t>
      </w:r>
      <w:r>
        <w:rPr>
          <w:rStyle w:val="62"/>
          <w:rFonts w:hint="eastAsia"/>
        </w:rPr>
        <w:t>评标</w:t>
      </w:r>
      <w:r>
        <w:tab/>
      </w:r>
      <w:r>
        <w:fldChar w:fldCharType="begin"/>
      </w:r>
      <w:r>
        <w:instrText xml:space="preserve"> PAGEREF _Toc529440041 \h </w:instrText>
      </w:r>
      <w:r>
        <w:fldChar w:fldCharType="separate"/>
      </w:r>
      <w:r>
        <w:t>22</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"_Toc529440042" </w:instrText>
      </w:r>
      <w:r>
        <w:fldChar w:fldCharType="separate"/>
      </w:r>
      <w:r>
        <w:rPr>
          <w:rStyle w:val="62"/>
        </w:rPr>
        <w:t xml:space="preserve">7. </w:t>
      </w:r>
      <w:r>
        <w:rPr>
          <w:rStyle w:val="62"/>
          <w:rFonts w:hint="eastAsia"/>
        </w:rPr>
        <w:t>合同授予</w:t>
      </w:r>
      <w:r>
        <w:tab/>
      </w:r>
      <w:r>
        <w:fldChar w:fldCharType="begin"/>
      </w:r>
      <w:r>
        <w:instrText xml:space="preserve"> PAGEREF _Toc529440042 \h </w:instrText>
      </w:r>
      <w:r>
        <w:fldChar w:fldCharType="separate"/>
      </w:r>
      <w:r>
        <w:t>22</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"_Toc529440043" </w:instrText>
      </w:r>
      <w:r>
        <w:fldChar w:fldCharType="separate"/>
      </w:r>
      <w:r>
        <w:rPr>
          <w:rStyle w:val="62"/>
        </w:rPr>
        <w:t xml:space="preserve">8. </w:t>
      </w:r>
      <w:r>
        <w:rPr>
          <w:rStyle w:val="62"/>
          <w:rFonts w:hint="eastAsia"/>
        </w:rPr>
        <w:t>重新招标和不再招标</w:t>
      </w:r>
      <w:r>
        <w:tab/>
      </w:r>
      <w:r>
        <w:fldChar w:fldCharType="begin"/>
      </w:r>
      <w:r>
        <w:instrText xml:space="preserve"> PAGEREF _Toc529440043 \h </w:instrText>
      </w:r>
      <w:r>
        <w:fldChar w:fldCharType="separate"/>
      </w:r>
      <w:r>
        <w:t>23</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"_Toc529440044" </w:instrText>
      </w:r>
      <w:r>
        <w:fldChar w:fldCharType="separate"/>
      </w:r>
      <w:r>
        <w:rPr>
          <w:rStyle w:val="62"/>
        </w:rPr>
        <w:t xml:space="preserve">9. </w:t>
      </w:r>
      <w:r>
        <w:rPr>
          <w:rStyle w:val="62"/>
          <w:rFonts w:hint="eastAsia"/>
        </w:rPr>
        <w:t>纪律和监督</w:t>
      </w:r>
      <w:r>
        <w:tab/>
      </w:r>
      <w:r>
        <w:fldChar w:fldCharType="begin"/>
      </w:r>
      <w:r>
        <w:instrText xml:space="preserve"> PAGEREF _Toc529440044 \h </w:instrText>
      </w:r>
      <w:r>
        <w:fldChar w:fldCharType="separate"/>
      </w:r>
      <w:r>
        <w:t>23</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"_Toc529440045" </w:instrText>
      </w:r>
      <w:r>
        <w:fldChar w:fldCharType="separate"/>
      </w:r>
      <w:r>
        <w:rPr>
          <w:rStyle w:val="62"/>
        </w:rPr>
        <w:t xml:space="preserve">10. </w:t>
      </w:r>
      <w:r>
        <w:rPr>
          <w:rStyle w:val="62"/>
          <w:rFonts w:hint="eastAsia"/>
        </w:rPr>
        <w:t>需要补充的其他内容</w:t>
      </w:r>
      <w:r>
        <w:tab/>
      </w:r>
      <w:r>
        <w:fldChar w:fldCharType="begin"/>
      </w:r>
      <w:r>
        <w:instrText xml:space="preserve"> PAGEREF _Toc529440045 \h </w:instrText>
      </w:r>
      <w:r>
        <w:fldChar w:fldCharType="separate"/>
      </w:r>
      <w:r>
        <w:t>24</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"_Toc529440046" </w:instrText>
      </w:r>
      <w:r>
        <w:fldChar w:fldCharType="separate"/>
      </w:r>
      <w:r>
        <w:rPr>
          <w:rStyle w:val="62"/>
          <w:rFonts w:hint="eastAsia"/>
        </w:rPr>
        <w:t>第三章评标办法（</w:t>
      </w:r>
      <w:r>
        <w:rPr>
          <w:rStyle w:val="62"/>
          <w:rFonts w:hint="eastAsia"/>
          <w:lang w:eastAsia="zh-CN"/>
        </w:rPr>
        <w:t>综合评标法</w:t>
      </w:r>
      <w:r>
        <w:rPr>
          <w:rStyle w:val="62"/>
          <w:rFonts w:hint="eastAsia"/>
        </w:rPr>
        <w:t>）</w:t>
      </w:r>
      <w:r>
        <w:tab/>
      </w:r>
      <w:r>
        <w:fldChar w:fldCharType="begin"/>
      </w:r>
      <w:r>
        <w:instrText xml:space="preserve"> PAGEREF _Toc529440046 \h </w:instrText>
      </w:r>
      <w:r>
        <w:fldChar w:fldCharType="separate"/>
      </w:r>
      <w:r>
        <w:t>27</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"_Toc529440047" </w:instrText>
      </w:r>
      <w:r>
        <w:fldChar w:fldCharType="separate"/>
      </w:r>
      <w:r>
        <w:rPr>
          <w:rStyle w:val="62"/>
          <w:rFonts w:hint="eastAsia"/>
        </w:rPr>
        <w:t>第四章合同条款及格式</w:t>
      </w:r>
      <w:r>
        <w:tab/>
      </w:r>
      <w:r>
        <w:fldChar w:fldCharType="begin"/>
      </w:r>
      <w:r>
        <w:instrText xml:space="preserve"> PAGEREF _Toc529440047 \h </w:instrText>
      </w:r>
      <w:r>
        <w:fldChar w:fldCharType="separate"/>
      </w:r>
      <w:r>
        <w:t>37</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"_Toc529440048" </w:instrText>
      </w:r>
      <w:r>
        <w:fldChar w:fldCharType="separate"/>
      </w:r>
      <w:r>
        <w:rPr>
          <w:rStyle w:val="62"/>
          <w:rFonts w:hint="eastAsia"/>
        </w:rPr>
        <w:t>第一部分合同协议书</w:t>
      </w:r>
      <w:r>
        <w:tab/>
      </w:r>
      <w:r>
        <w:fldChar w:fldCharType="begin"/>
      </w:r>
      <w:r>
        <w:instrText xml:space="preserve"> PAGEREF _Toc529440048 \h </w:instrText>
      </w:r>
      <w:r>
        <w:fldChar w:fldCharType="separate"/>
      </w:r>
      <w:r>
        <w:t>38</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"_Toc529440049" </w:instrText>
      </w:r>
      <w:r>
        <w:fldChar w:fldCharType="separate"/>
      </w:r>
      <w:r>
        <w:rPr>
          <w:rStyle w:val="62"/>
          <w:rFonts w:hint="eastAsia"/>
        </w:rPr>
        <w:t>第二部分通用合同条款</w:t>
      </w:r>
      <w:r>
        <w:tab/>
      </w:r>
      <w:r>
        <w:fldChar w:fldCharType="begin"/>
      </w:r>
      <w:r>
        <w:instrText xml:space="preserve"> PAGEREF _Toc529440049 \h </w:instrText>
      </w:r>
      <w:r>
        <w:fldChar w:fldCharType="separate"/>
      </w:r>
      <w:r>
        <w:t>41</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"_Toc529440050" </w:instrText>
      </w:r>
      <w:r>
        <w:fldChar w:fldCharType="separate"/>
      </w:r>
      <w:r>
        <w:rPr>
          <w:rStyle w:val="62"/>
          <w:rFonts w:hint="eastAsia"/>
        </w:rPr>
        <w:t>第三部分专用合同条款</w:t>
      </w:r>
      <w:r>
        <w:tab/>
      </w:r>
      <w:r>
        <w:fldChar w:fldCharType="begin"/>
      </w:r>
      <w:r>
        <w:instrText xml:space="preserve"> PAGEREF _Toc529440050 \h </w:instrText>
      </w:r>
      <w:r>
        <w:fldChar w:fldCharType="separate"/>
      </w:r>
      <w:r>
        <w:t>42</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"_Toc529440051" </w:instrText>
      </w:r>
      <w:r>
        <w:fldChar w:fldCharType="separate"/>
      </w:r>
      <w:r>
        <w:rPr>
          <w:rStyle w:val="62"/>
          <w:rFonts w:hint="eastAsia"/>
        </w:rPr>
        <w:t>第五章工程量清单</w:t>
      </w:r>
      <w:r>
        <w:tab/>
      </w:r>
      <w:r>
        <w:fldChar w:fldCharType="begin"/>
      </w:r>
      <w:r>
        <w:instrText xml:space="preserve"> PAGEREF _Toc529440051 \h </w:instrText>
      </w:r>
      <w:r>
        <w:fldChar w:fldCharType="separate"/>
      </w:r>
      <w:r>
        <w:t>69</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"_Toc529440052" </w:instrText>
      </w:r>
      <w:r>
        <w:fldChar w:fldCharType="separate"/>
      </w:r>
      <w:r>
        <w:rPr>
          <w:rStyle w:val="62"/>
          <w:rFonts w:hint="eastAsia"/>
        </w:rPr>
        <w:t>第六章图纸</w:t>
      </w:r>
      <w:r>
        <w:tab/>
      </w:r>
      <w:r>
        <w:fldChar w:fldCharType="begin"/>
      </w:r>
      <w:r>
        <w:instrText xml:space="preserve"> PAGEREF _Toc529440052 \h </w:instrText>
      </w:r>
      <w:r>
        <w:fldChar w:fldCharType="separate"/>
      </w:r>
      <w:r>
        <w:t>74</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"_Toc529440053" </w:instrText>
      </w:r>
      <w:r>
        <w:fldChar w:fldCharType="separate"/>
      </w:r>
      <w:r>
        <w:rPr>
          <w:rStyle w:val="62"/>
          <w:rFonts w:hint="eastAsia"/>
        </w:rPr>
        <w:t>第七章技术标准和要求</w:t>
      </w:r>
      <w:r>
        <w:tab/>
      </w:r>
      <w:r>
        <w:fldChar w:fldCharType="begin"/>
      </w:r>
      <w:r>
        <w:instrText xml:space="preserve"> PAGEREF _Toc529440053 \h </w:instrText>
      </w:r>
      <w:r>
        <w:fldChar w:fldCharType="separate"/>
      </w:r>
      <w:r>
        <w:t>75</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"_Toc529440054" </w:instrText>
      </w:r>
      <w:r>
        <w:fldChar w:fldCharType="separate"/>
      </w:r>
      <w:r>
        <w:rPr>
          <w:rStyle w:val="62"/>
          <w:rFonts w:hint="eastAsia"/>
        </w:rPr>
        <w:t>第八章投标文件格式</w:t>
      </w:r>
      <w:r>
        <w:tab/>
      </w:r>
      <w:r>
        <w:fldChar w:fldCharType="begin"/>
      </w:r>
      <w:r>
        <w:instrText xml:space="preserve"> PAGEREF _Toc529440054 \h </w:instrText>
      </w:r>
      <w:r>
        <w:fldChar w:fldCharType="separate"/>
      </w:r>
      <w:r>
        <w:t>76</w:t>
      </w:r>
      <w:r>
        <w:fldChar w:fldCharType="end"/>
      </w:r>
      <w:r>
        <w:fldChar w:fldCharType="end"/>
      </w:r>
    </w:p>
    <w:p>
      <w:pPr>
        <w:pStyle w:val="2"/>
        <w:spacing w:line="360" w:lineRule="auto"/>
        <w:rPr>
          <w:rFonts w:ascii="宋体" w:hAnsi="宋体"/>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rFonts w:ascii="宋体" w:hAnsi="宋体"/>
          <w:b w:val="0"/>
          <w:kern w:val="2"/>
          <w:sz w:val="21"/>
          <w:szCs w:val="21"/>
        </w:rPr>
        <w:fldChar w:fldCharType="end"/>
      </w:r>
    </w:p>
    <w:bookmarkEnd w:id="4"/>
    <w:bookmarkEnd w:id="5"/>
    <w:p>
      <w:pPr>
        <w:pStyle w:val="2"/>
      </w:pPr>
      <w:bookmarkStart w:id="9" w:name="_Toc529440033"/>
      <w:bookmarkStart w:id="10" w:name="_Toc247527534"/>
      <w:bookmarkStart w:id="11" w:name="_Toc247513933"/>
      <w:r>
        <w:rPr>
          <w:rFonts w:hint="eastAsia"/>
        </w:rPr>
        <w:t>第一章 招标公告</w:t>
      </w:r>
      <w:bookmarkEnd w:id="6"/>
      <w:bookmarkEnd w:id="7"/>
      <w:bookmarkEnd w:id="8"/>
      <w:bookmarkEnd w:id="9"/>
      <w:bookmarkEnd w:id="10"/>
      <w:bookmarkEnd w:id="11"/>
    </w:p>
    <w:p>
      <w:pPr>
        <w:spacing w:beforeLines="100" w:after="240" w:line="440" w:lineRule="exact"/>
        <w:jc w:val="center"/>
        <w:rPr>
          <w:rFonts w:ascii="宋体" w:hAnsi="宋体"/>
          <w:b/>
          <w:sz w:val="30"/>
          <w:szCs w:val="30"/>
        </w:rPr>
      </w:pPr>
      <w:r>
        <w:rPr>
          <w:rFonts w:hAnsi="宋体" w:cs="宋体"/>
          <w:b/>
          <w:color w:val="000000"/>
          <w:sz w:val="30"/>
          <w:szCs w:val="30"/>
        </w:rPr>
        <w:t>XCGC-</w:t>
      </w:r>
      <w:r>
        <w:rPr>
          <w:rFonts w:hint="eastAsia" w:hAnsi="宋体" w:cs="宋体"/>
          <w:b/>
          <w:color w:val="000000"/>
          <w:sz w:val="30"/>
          <w:szCs w:val="30"/>
        </w:rPr>
        <w:t>F2019262许昌市财源开发建设有限公司“</w:t>
      </w:r>
      <w:r>
        <w:rPr>
          <w:rFonts w:hint="eastAsia" w:ascii="宋体" w:hAnsi="宋体"/>
          <w:b/>
          <w:sz w:val="30"/>
          <w:szCs w:val="30"/>
        </w:rPr>
        <w:t>许昌市老年大学迁建项目室外景观、管网工程</w:t>
      </w:r>
      <w:r>
        <w:rPr>
          <w:rFonts w:hint="eastAsia" w:hAnsi="宋体" w:cs="宋体"/>
          <w:b/>
          <w:color w:val="000000"/>
          <w:sz w:val="30"/>
          <w:szCs w:val="30"/>
        </w:rPr>
        <w:t>”</w:t>
      </w:r>
      <w:r>
        <w:rPr>
          <w:rFonts w:ascii="宋体" w:hAnsi="宋体"/>
          <w:b/>
          <w:sz w:val="30"/>
          <w:szCs w:val="30"/>
        </w:rPr>
        <w:t>招标公告</w:t>
      </w:r>
    </w:p>
    <w:p>
      <w:pPr>
        <w:widowControl/>
        <w:spacing w:line="360" w:lineRule="auto"/>
        <w:jc w:val="left"/>
        <w:rPr>
          <w:rFonts w:ascii="宋体" w:hAnsi="宋体" w:cs="仿宋"/>
          <w:b/>
          <w:bCs/>
          <w:kern w:val="0"/>
          <w:szCs w:val="21"/>
        </w:rPr>
      </w:pPr>
      <w:bookmarkStart w:id="12" w:name="_Toc152042288"/>
      <w:bookmarkStart w:id="13" w:name="_Toc247527535"/>
      <w:bookmarkStart w:id="14" w:name="_Toc516822699"/>
      <w:bookmarkStart w:id="15" w:name="_Toc144974480"/>
      <w:bookmarkStart w:id="16" w:name="_Toc247513934"/>
      <w:bookmarkStart w:id="17" w:name="_Toc152045512"/>
      <w:r>
        <w:rPr>
          <w:rFonts w:ascii="宋体" w:hAnsi="宋体" w:cs="仿宋"/>
          <w:b/>
          <w:bCs/>
          <w:kern w:val="0"/>
          <w:szCs w:val="21"/>
        </w:rPr>
        <w:t>1. 招标条件</w:t>
      </w:r>
      <w:bookmarkEnd w:id="12"/>
      <w:bookmarkEnd w:id="13"/>
      <w:bookmarkEnd w:id="14"/>
      <w:bookmarkEnd w:id="15"/>
      <w:bookmarkEnd w:id="16"/>
      <w:bookmarkEnd w:id="17"/>
    </w:p>
    <w:p>
      <w:pPr>
        <w:adjustRightInd w:val="0"/>
        <w:snapToGrid w:val="0"/>
        <w:spacing w:line="408" w:lineRule="auto"/>
        <w:ind w:firstLine="420" w:firstLineChars="200"/>
        <w:rPr>
          <w:rFonts w:ascii="宋体" w:hAnsi="宋体"/>
          <w:szCs w:val="21"/>
        </w:rPr>
      </w:pPr>
      <w:r>
        <w:rPr>
          <w:rFonts w:hint="eastAsia" w:ascii="宋体" w:hAnsi="宋体"/>
          <w:szCs w:val="21"/>
        </w:rPr>
        <w:t>许昌市老年大学迁建项目，已由许昌市发展和改革委员会以许发改投资审【2016】41号文件批准建设，招标人为许昌市财源开发建设有限公司。建设资金为财政资金，出资比例为100%。项目已具备招标条件，现对该项目室外景观、管网工程施工进行公开招标。</w:t>
      </w:r>
    </w:p>
    <w:p>
      <w:pPr>
        <w:widowControl/>
        <w:spacing w:line="360" w:lineRule="auto"/>
        <w:jc w:val="left"/>
        <w:rPr>
          <w:rFonts w:ascii="宋体" w:hAnsi="宋体" w:cs="仿宋"/>
          <w:b/>
          <w:bCs/>
          <w:kern w:val="0"/>
          <w:szCs w:val="21"/>
        </w:rPr>
      </w:pPr>
      <w:bookmarkStart w:id="18" w:name="_Toc364753783"/>
      <w:bookmarkStart w:id="19" w:name="_Toc398846234"/>
      <w:bookmarkStart w:id="20" w:name="_Toc343272536"/>
      <w:bookmarkStart w:id="21" w:name="_Toc317236956"/>
      <w:bookmarkStart w:id="22" w:name="_Toc395898942"/>
      <w:r>
        <w:rPr>
          <w:rFonts w:ascii="宋体" w:hAnsi="宋体" w:cs="仿宋"/>
          <w:b/>
          <w:bCs/>
          <w:kern w:val="0"/>
          <w:szCs w:val="21"/>
        </w:rPr>
        <w:t>2.项目概况与招标</w:t>
      </w:r>
      <w:bookmarkEnd w:id="18"/>
      <w:bookmarkEnd w:id="19"/>
      <w:bookmarkEnd w:id="20"/>
      <w:bookmarkEnd w:id="21"/>
      <w:bookmarkEnd w:id="22"/>
      <w:r>
        <w:rPr>
          <w:rFonts w:hint="eastAsia" w:ascii="宋体" w:hAnsi="宋体" w:cs="仿宋"/>
          <w:b/>
          <w:bCs/>
          <w:kern w:val="0"/>
          <w:szCs w:val="21"/>
        </w:rPr>
        <w:t>内容</w:t>
      </w:r>
    </w:p>
    <w:p>
      <w:pPr>
        <w:adjustRightInd w:val="0"/>
        <w:snapToGrid w:val="0"/>
        <w:spacing w:line="408" w:lineRule="auto"/>
        <w:ind w:firstLine="424" w:firstLineChars="202"/>
        <w:rPr>
          <w:rFonts w:ascii="宋体" w:hAnsi="宋体"/>
          <w:szCs w:val="21"/>
        </w:rPr>
      </w:pPr>
      <w:r>
        <w:rPr>
          <w:rFonts w:ascii="宋体" w:hAnsi="宋体"/>
          <w:szCs w:val="21"/>
        </w:rPr>
        <w:t>2.1项目</w:t>
      </w:r>
      <w:r>
        <w:rPr>
          <w:rFonts w:hint="eastAsia" w:ascii="宋体" w:hAnsi="宋体"/>
          <w:szCs w:val="21"/>
        </w:rPr>
        <w:t>编号：</w:t>
      </w:r>
      <w:r>
        <w:rPr>
          <w:rFonts w:ascii="宋体" w:hAnsi="宋体"/>
          <w:szCs w:val="21"/>
        </w:rPr>
        <w:t>XCGC-F201</w:t>
      </w:r>
      <w:r>
        <w:rPr>
          <w:rFonts w:hint="eastAsia" w:ascii="宋体" w:hAnsi="宋体"/>
          <w:szCs w:val="21"/>
        </w:rPr>
        <w:t>9262</w:t>
      </w:r>
    </w:p>
    <w:p>
      <w:pPr>
        <w:adjustRightInd w:val="0"/>
        <w:snapToGrid w:val="0"/>
        <w:spacing w:line="408" w:lineRule="auto"/>
        <w:ind w:firstLine="424" w:firstLineChars="202"/>
        <w:rPr>
          <w:rFonts w:ascii="宋体" w:hAnsi="宋体"/>
          <w:szCs w:val="21"/>
        </w:rPr>
      </w:pPr>
      <w:r>
        <w:rPr>
          <w:rFonts w:hint="eastAsia" w:ascii="宋体" w:hAnsi="宋体"/>
          <w:szCs w:val="21"/>
        </w:rPr>
        <w:t>2.2建设地点：</w:t>
      </w:r>
      <w:r>
        <w:rPr>
          <w:rFonts w:hint="eastAsia"/>
          <w:szCs w:val="21"/>
        </w:rPr>
        <w:t>许昌市东城区25-3#地块内，即莲城大道以北、钧都路以东、市职工活动中心以西位置</w:t>
      </w:r>
      <w:r>
        <w:rPr>
          <w:rFonts w:hint="eastAsia" w:ascii="宋体" w:hAnsi="宋体"/>
          <w:kern w:val="0"/>
          <w:szCs w:val="21"/>
        </w:rPr>
        <w:t>；</w:t>
      </w:r>
    </w:p>
    <w:p>
      <w:pPr>
        <w:adjustRightInd w:val="0"/>
        <w:snapToGrid w:val="0"/>
        <w:spacing w:line="408" w:lineRule="auto"/>
        <w:ind w:firstLine="424" w:firstLineChars="202"/>
        <w:rPr>
          <w:szCs w:val="21"/>
        </w:rPr>
      </w:pPr>
      <w:r>
        <w:rPr>
          <w:rFonts w:hint="eastAsia" w:ascii="宋体" w:hAnsi="宋体"/>
          <w:szCs w:val="21"/>
        </w:rPr>
        <w:t>2.3</w:t>
      </w:r>
      <w:r>
        <w:rPr>
          <w:rFonts w:ascii="宋体" w:hAnsi="宋体"/>
          <w:szCs w:val="21"/>
        </w:rPr>
        <w:t>项目概况</w:t>
      </w:r>
      <w:r>
        <w:rPr>
          <w:rFonts w:hint="eastAsia"/>
          <w:szCs w:val="21"/>
        </w:rPr>
        <w:t>：总建筑面积40637.7平方米，其中地上建筑面积29493.85平方米，地下建筑面积11143.85平方米。</w:t>
      </w:r>
      <w:r>
        <w:rPr>
          <w:szCs w:val="21"/>
        </w:rPr>
        <w:t>项目总投资约</w:t>
      </w:r>
      <w:r>
        <w:rPr>
          <w:rFonts w:hint="eastAsia"/>
          <w:szCs w:val="21"/>
        </w:rPr>
        <w:t>31025</w:t>
      </w:r>
      <w:r>
        <w:rPr>
          <w:szCs w:val="21"/>
        </w:rPr>
        <w:t>万元</w:t>
      </w:r>
      <w:r>
        <w:rPr>
          <w:rFonts w:hint="eastAsia"/>
          <w:szCs w:val="21"/>
        </w:rPr>
        <w:t>，</w:t>
      </w:r>
      <w:r>
        <w:rPr>
          <w:szCs w:val="21"/>
        </w:rPr>
        <w:t>本次招标项目</w:t>
      </w:r>
      <w:r>
        <w:rPr>
          <w:rFonts w:hint="eastAsia"/>
          <w:szCs w:val="21"/>
        </w:rPr>
        <w:t>室外景观工程：包含场区内的片区植被、苗木种植等；室外管网工程：包含场区内给水系统、排水系统、场地硬化、铺装、照明系统、室外公共卫生间、海绵城市等；</w:t>
      </w:r>
    </w:p>
    <w:p>
      <w:pPr>
        <w:adjustRightInd w:val="0"/>
        <w:snapToGrid w:val="0"/>
        <w:spacing w:line="408" w:lineRule="auto"/>
        <w:ind w:firstLine="424" w:firstLineChars="202"/>
        <w:rPr>
          <w:rFonts w:ascii="宋体" w:hAnsi="宋体"/>
          <w:szCs w:val="21"/>
        </w:rPr>
      </w:pPr>
      <w:r>
        <w:rPr>
          <w:rFonts w:hint="eastAsia" w:ascii="宋体" w:hAnsi="宋体"/>
          <w:szCs w:val="21"/>
        </w:rPr>
        <w:t>2.4招标范围：招标文件、工程量清单、标段所对应施工图和设计变更、补充文件（如有）及答疑纪要（如有）范围内的所有建设内容；</w:t>
      </w:r>
    </w:p>
    <w:p>
      <w:pPr>
        <w:adjustRightInd w:val="0"/>
        <w:snapToGrid w:val="0"/>
        <w:spacing w:line="408" w:lineRule="auto"/>
        <w:ind w:firstLine="424" w:firstLineChars="202"/>
        <w:rPr>
          <w:rFonts w:ascii="宋体" w:hAnsi="宋体"/>
          <w:szCs w:val="21"/>
        </w:rPr>
      </w:pPr>
      <w:r>
        <w:rPr>
          <w:rFonts w:hint="eastAsia" w:ascii="宋体" w:hAnsi="宋体"/>
          <w:szCs w:val="21"/>
        </w:rPr>
        <w:t>2.5标段划分：本次招标分为两个施工标段，其中一标段：室外景观工程；二标段：室外管网工程；</w:t>
      </w:r>
    </w:p>
    <w:p>
      <w:pPr>
        <w:adjustRightInd w:val="0"/>
        <w:snapToGrid w:val="0"/>
        <w:spacing w:line="408" w:lineRule="auto"/>
        <w:ind w:firstLine="424" w:firstLineChars="202"/>
        <w:rPr>
          <w:rFonts w:ascii="宋体" w:hAnsi="宋体"/>
          <w:szCs w:val="21"/>
        </w:rPr>
      </w:pPr>
      <w:r>
        <w:rPr>
          <w:rFonts w:ascii="宋体" w:hAnsi="宋体"/>
          <w:szCs w:val="21"/>
        </w:rPr>
        <w:t>2.</w:t>
      </w:r>
      <w:r>
        <w:rPr>
          <w:rFonts w:hint="eastAsia" w:ascii="宋体" w:hAnsi="宋体"/>
          <w:szCs w:val="21"/>
        </w:rPr>
        <w:t>6招标控制价：一标段：566014.06元，二标段：6955013.36元；</w:t>
      </w:r>
    </w:p>
    <w:p>
      <w:pPr>
        <w:adjustRightInd w:val="0"/>
        <w:snapToGrid w:val="0"/>
        <w:spacing w:line="408" w:lineRule="auto"/>
        <w:ind w:firstLine="424" w:firstLineChars="202"/>
        <w:rPr>
          <w:rFonts w:ascii="宋体" w:hAnsi="宋体"/>
          <w:szCs w:val="21"/>
        </w:rPr>
      </w:pPr>
      <w:r>
        <w:rPr>
          <w:rFonts w:hint="eastAsia" w:ascii="宋体" w:hAnsi="宋体"/>
          <w:szCs w:val="21"/>
        </w:rPr>
        <w:t>2.7</w:t>
      </w:r>
      <w:r>
        <w:rPr>
          <w:rFonts w:ascii="宋体" w:hAnsi="宋体"/>
          <w:szCs w:val="21"/>
        </w:rPr>
        <w:t>计划工期</w:t>
      </w:r>
      <w:r>
        <w:rPr>
          <w:rFonts w:hint="eastAsia" w:ascii="宋体" w:hAnsi="宋体"/>
          <w:szCs w:val="21"/>
        </w:rPr>
        <w:t>：一标段60日历天，二标段120日历天；</w:t>
      </w:r>
    </w:p>
    <w:p>
      <w:pPr>
        <w:adjustRightInd w:val="0"/>
        <w:snapToGrid w:val="0"/>
        <w:spacing w:line="408" w:lineRule="auto"/>
        <w:ind w:firstLine="424" w:firstLineChars="202"/>
        <w:rPr>
          <w:rFonts w:ascii="宋体" w:hAnsi="宋体"/>
          <w:szCs w:val="21"/>
        </w:rPr>
      </w:pPr>
      <w:r>
        <w:rPr>
          <w:rFonts w:hint="eastAsia" w:ascii="宋体" w:hAnsi="宋体"/>
          <w:szCs w:val="21"/>
        </w:rPr>
        <w:t>2.8</w:t>
      </w:r>
      <w:r>
        <w:rPr>
          <w:rFonts w:ascii="宋体" w:hAnsi="宋体"/>
          <w:szCs w:val="21"/>
        </w:rPr>
        <w:t>质量要求</w:t>
      </w:r>
      <w:r>
        <w:rPr>
          <w:rFonts w:hint="eastAsia" w:ascii="宋体" w:hAnsi="宋体"/>
          <w:szCs w:val="21"/>
        </w:rPr>
        <w:t>：合格（符合国家现行的验收规范和标准）。</w:t>
      </w:r>
    </w:p>
    <w:p>
      <w:pPr>
        <w:widowControl/>
        <w:spacing w:line="360" w:lineRule="auto"/>
        <w:jc w:val="left"/>
        <w:rPr>
          <w:rFonts w:ascii="宋体" w:hAnsi="宋体" w:cs="仿宋"/>
          <w:b/>
          <w:bCs/>
          <w:kern w:val="0"/>
          <w:szCs w:val="21"/>
        </w:rPr>
      </w:pPr>
      <w:bookmarkStart w:id="23" w:name="_Toc398846235"/>
      <w:bookmarkStart w:id="24" w:name="_Toc395898943"/>
      <w:bookmarkStart w:id="25" w:name="_Toc343272537"/>
      <w:bookmarkStart w:id="26" w:name="_Toc364753784"/>
      <w:bookmarkStart w:id="27" w:name="_Toc317236957"/>
      <w:r>
        <w:rPr>
          <w:rFonts w:ascii="宋体" w:hAnsi="宋体" w:cs="仿宋"/>
          <w:b/>
          <w:bCs/>
          <w:kern w:val="0"/>
          <w:szCs w:val="21"/>
        </w:rPr>
        <w:t>3.投标人资格要求</w:t>
      </w:r>
      <w:bookmarkEnd w:id="23"/>
      <w:bookmarkEnd w:id="24"/>
      <w:bookmarkEnd w:id="25"/>
      <w:bookmarkEnd w:id="26"/>
      <w:bookmarkEnd w:id="27"/>
    </w:p>
    <w:p>
      <w:pPr>
        <w:adjustRightInd w:val="0"/>
        <w:snapToGrid w:val="0"/>
        <w:spacing w:line="408" w:lineRule="auto"/>
        <w:ind w:firstLine="424" w:firstLineChars="202"/>
        <w:rPr>
          <w:rFonts w:ascii="宋体" w:hAnsi="宋体"/>
          <w:szCs w:val="21"/>
        </w:rPr>
      </w:pPr>
      <w:r>
        <w:rPr>
          <w:rFonts w:hint="eastAsia" w:ascii="宋体" w:hAnsi="宋体"/>
          <w:szCs w:val="21"/>
        </w:rPr>
        <w:t>3.1一标段：</w:t>
      </w:r>
      <w:r>
        <w:rPr>
          <w:rFonts w:hint="eastAsia"/>
        </w:rPr>
        <w:t>要求投标人须具备独立法人资格，具备有效的营业执照（经营范围需包含园林绿化或林木种植等相关内容</w:t>
      </w:r>
      <w:r>
        <w:rPr>
          <w:rFonts w:hint="eastAsia" w:ascii="宋体" w:hAnsi="宋体"/>
          <w:szCs w:val="21"/>
        </w:rPr>
        <w:t>，</w:t>
      </w:r>
      <w:r>
        <w:rPr>
          <w:rFonts w:hint="eastAsia"/>
        </w:rPr>
        <w:t>在人员、设备、资金等方面具有相应的施工能力）。</w:t>
      </w:r>
      <w:r>
        <w:rPr>
          <w:rFonts w:ascii="宋体" w:hAnsi="宋体"/>
          <w:szCs w:val="21"/>
        </w:rPr>
        <w:t>拟派项目负责人须具备</w:t>
      </w:r>
      <w:r>
        <w:rPr>
          <w:rFonts w:hint="eastAsia" w:ascii="宋体" w:hAnsi="宋体"/>
          <w:szCs w:val="21"/>
        </w:rPr>
        <w:t>市政公用工程专业二级及以上注册建造师执业资格证和</w:t>
      </w:r>
      <w:r>
        <w:rPr>
          <w:rFonts w:ascii="宋体" w:hAnsi="宋体"/>
          <w:szCs w:val="21"/>
        </w:rPr>
        <w:t>有效的安全生产考核合格证书</w:t>
      </w:r>
      <w:r>
        <w:rPr>
          <w:rFonts w:hint="eastAsia" w:ascii="宋体" w:hAnsi="宋体"/>
          <w:szCs w:val="21"/>
        </w:rPr>
        <w:t>，且未担任其他在施建设工程项目的项目负责人。</w:t>
      </w:r>
    </w:p>
    <w:p>
      <w:pPr>
        <w:adjustRightInd w:val="0"/>
        <w:snapToGrid w:val="0"/>
        <w:spacing w:line="408" w:lineRule="auto"/>
        <w:ind w:firstLine="424" w:firstLineChars="202"/>
        <w:rPr>
          <w:rFonts w:ascii="宋体" w:hAnsi="宋体"/>
          <w:szCs w:val="21"/>
        </w:rPr>
      </w:pPr>
      <w:r>
        <w:rPr>
          <w:rFonts w:hint="eastAsia" w:ascii="宋体" w:hAnsi="宋体"/>
          <w:szCs w:val="21"/>
        </w:rPr>
        <w:t>二标段：</w:t>
      </w:r>
      <w:r>
        <w:rPr>
          <w:rFonts w:hint="eastAsia"/>
        </w:rPr>
        <w:t>要求投标人须具备独立法人资格，并具备建</w:t>
      </w:r>
      <w:r>
        <w:rPr>
          <w:rFonts w:hint="eastAsia" w:ascii="宋体" w:hAnsi="宋体"/>
          <w:szCs w:val="21"/>
        </w:rPr>
        <w:t>设行政主管部门颁发的市政公用工程施工总承包三级及以上资质，同时具备有效的安全生产许可证，</w:t>
      </w:r>
      <w:r>
        <w:rPr>
          <w:rFonts w:hint="eastAsia"/>
        </w:rPr>
        <w:t>在人员、设备、资金等方面具有相应的施工能力。</w:t>
      </w:r>
      <w:r>
        <w:rPr>
          <w:rFonts w:ascii="宋体" w:hAnsi="宋体"/>
          <w:szCs w:val="21"/>
        </w:rPr>
        <w:t>拟派项目负责人须具备</w:t>
      </w:r>
      <w:r>
        <w:rPr>
          <w:rFonts w:hint="eastAsia" w:ascii="宋体" w:hAnsi="宋体"/>
          <w:szCs w:val="21"/>
        </w:rPr>
        <w:t>市政公用工程专业二级及以上注册建造师执业资格证和</w:t>
      </w:r>
      <w:r>
        <w:rPr>
          <w:rFonts w:ascii="宋体" w:hAnsi="宋体"/>
          <w:szCs w:val="21"/>
        </w:rPr>
        <w:t>有效的安全生产考核合格证书</w:t>
      </w:r>
      <w:r>
        <w:rPr>
          <w:rFonts w:hint="eastAsia" w:ascii="宋体" w:hAnsi="宋体"/>
          <w:szCs w:val="21"/>
        </w:rPr>
        <w:t>，且未担任其他在施建设工程项目的项目负责人。</w:t>
      </w:r>
    </w:p>
    <w:p>
      <w:pPr>
        <w:adjustRightInd w:val="0"/>
        <w:snapToGrid w:val="0"/>
        <w:spacing w:line="408" w:lineRule="auto"/>
        <w:ind w:firstLine="424" w:firstLineChars="202"/>
        <w:rPr>
          <w:rFonts w:ascii="宋体" w:hAnsi="宋体"/>
          <w:szCs w:val="21"/>
        </w:rPr>
      </w:pPr>
      <w:r>
        <w:rPr>
          <w:rFonts w:hint="eastAsia" w:ascii="宋体" w:hAnsi="宋体"/>
          <w:szCs w:val="21"/>
        </w:rPr>
        <w:t>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djustRightInd w:val="0"/>
        <w:snapToGrid w:val="0"/>
        <w:spacing w:line="408" w:lineRule="auto"/>
        <w:ind w:firstLine="424" w:firstLineChars="202"/>
        <w:rPr>
          <w:rFonts w:ascii="宋体" w:hAnsi="宋体"/>
          <w:szCs w:val="21"/>
        </w:rPr>
      </w:pPr>
      <w:r>
        <w:rPr>
          <w:rFonts w:ascii="宋体" w:hAnsi="宋体"/>
          <w:szCs w:val="21"/>
        </w:rPr>
        <w:t>3.</w:t>
      </w:r>
      <w:r>
        <w:rPr>
          <w:rFonts w:hint="eastAsia" w:ascii="宋体" w:hAnsi="宋体"/>
          <w:szCs w:val="21"/>
        </w:rPr>
        <w:t>3</w:t>
      </w:r>
      <w:r>
        <w:rPr>
          <w:rFonts w:ascii="宋体" w:hAnsi="宋体"/>
          <w:szCs w:val="21"/>
        </w:rPr>
        <w:t xml:space="preserve"> </w:t>
      </w:r>
      <w:r>
        <w:rPr>
          <w:rFonts w:hint="eastAsia" w:ascii="宋体" w:hAnsi="宋体"/>
          <w:szCs w:val="21"/>
        </w:rPr>
        <w:t>投标人可以投报并中取本项目多个标段，项目负责人可以重复。</w:t>
      </w:r>
      <w:bookmarkStart w:id="28" w:name="_Toc425505596"/>
    </w:p>
    <w:p>
      <w:pPr>
        <w:adjustRightInd w:val="0"/>
        <w:snapToGrid w:val="0"/>
        <w:spacing w:line="408" w:lineRule="auto"/>
        <w:ind w:firstLine="424" w:firstLineChars="202"/>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4本次招标实行资格后审。</w:t>
      </w:r>
    </w:p>
    <w:p>
      <w:pPr>
        <w:adjustRightInd w:val="0"/>
        <w:snapToGrid w:val="0"/>
        <w:spacing w:line="408" w:lineRule="auto"/>
        <w:ind w:firstLine="424" w:firstLineChars="202"/>
        <w:rPr>
          <w:rFonts w:ascii="宋体" w:hAnsi="宋体"/>
          <w:szCs w:val="21"/>
        </w:rPr>
      </w:pPr>
      <w:r>
        <w:rPr>
          <w:rFonts w:ascii="宋体" w:hAnsi="宋体"/>
          <w:szCs w:val="21"/>
        </w:rPr>
        <w:t>3.</w:t>
      </w:r>
      <w:r>
        <w:rPr>
          <w:rFonts w:hint="eastAsia" w:ascii="宋体" w:hAnsi="宋体"/>
          <w:szCs w:val="21"/>
        </w:rPr>
        <w:t>5本次招标不接受联合体投标。</w:t>
      </w:r>
    </w:p>
    <w:p>
      <w:pPr>
        <w:widowControl/>
        <w:spacing w:line="360" w:lineRule="auto"/>
        <w:jc w:val="left"/>
        <w:rPr>
          <w:rFonts w:ascii="宋体" w:hAnsi="宋体" w:cs="仿宋"/>
          <w:b/>
          <w:bCs/>
          <w:kern w:val="0"/>
          <w:szCs w:val="21"/>
        </w:rPr>
      </w:pPr>
      <w:r>
        <w:rPr>
          <w:rFonts w:hint="eastAsia" w:ascii="宋体" w:hAnsi="宋体" w:cs="仿宋"/>
          <w:b/>
          <w:bCs/>
          <w:kern w:val="0"/>
          <w:szCs w:val="21"/>
        </w:rPr>
        <w:t xml:space="preserve">4. </w:t>
      </w:r>
      <w:bookmarkEnd w:id="28"/>
      <w:bookmarkStart w:id="29" w:name="_Toc425505598"/>
      <w:r>
        <w:rPr>
          <w:rFonts w:hint="eastAsia" w:ascii="宋体" w:hAnsi="宋体" w:cs="仿宋"/>
          <w:b/>
          <w:bCs/>
          <w:kern w:val="0"/>
          <w:szCs w:val="21"/>
        </w:rPr>
        <w:t>网上下载招标文件</w:t>
      </w:r>
    </w:p>
    <w:p>
      <w:pPr>
        <w:adjustRightInd w:val="0"/>
        <w:snapToGrid w:val="0"/>
        <w:spacing w:line="408" w:lineRule="auto"/>
        <w:ind w:firstLine="424" w:firstLineChars="202"/>
        <w:rPr>
          <w:rFonts w:ascii="宋体" w:hAnsi="宋体"/>
          <w:szCs w:val="21"/>
        </w:rPr>
      </w:pPr>
      <w:r>
        <w:rPr>
          <w:rFonts w:hint="eastAsia" w:ascii="宋体" w:hAnsi="宋体"/>
          <w:szCs w:val="21"/>
        </w:rPr>
        <w:t>4.1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08" w:lineRule="auto"/>
        <w:ind w:firstLine="424" w:firstLineChars="202"/>
        <w:rPr>
          <w:rFonts w:ascii="宋体" w:hAnsi="宋体"/>
          <w:szCs w:val="21"/>
        </w:rPr>
      </w:pPr>
      <w:r>
        <w:rPr>
          <w:rFonts w:hint="eastAsia" w:ascii="宋体" w:hAnsi="宋体"/>
          <w:szCs w:val="21"/>
        </w:rPr>
        <w:t>4.2在投标截止时间前登录【全国公共资源交易平台（河南省•许昌市）】“投标人/供应商登录”入口（http://221.14.6.70:8088/ggzy/）自行下载招标文件（详见“常见问题解答-交易系统操作手册”）。</w:t>
      </w:r>
    </w:p>
    <w:p>
      <w:pPr>
        <w:widowControl/>
        <w:spacing w:line="360" w:lineRule="auto"/>
        <w:jc w:val="left"/>
        <w:rPr>
          <w:rFonts w:ascii="宋体" w:hAnsi="宋体" w:cs="仿宋"/>
          <w:b/>
          <w:bCs/>
          <w:kern w:val="0"/>
          <w:szCs w:val="21"/>
        </w:rPr>
      </w:pPr>
      <w:r>
        <w:rPr>
          <w:rFonts w:hint="eastAsia" w:ascii="宋体" w:hAnsi="宋体" w:cs="仿宋"/>
          <w:b/>
          <w:bCs/>
          <w:kern w:val="0"/>
          <w:szCs w:val="21"/>
        </w:rPr>
        <w:t>5.招标文件和施工图纸的获取</w:t>
      </w:r>
    </w:p>
    <w:p>
      <w:pPr>
        <w:adjustRightInd w:val="0"/>
        <w:snapToGrid w:val="0"/>
        <w:spacing w:line="408" w:lineRule="auto"/>
        <w:ind w:firstLine="424" w:firstLineChars="202"/>
        <w:rPr>
          <w:rFonts w:ascii="宋体" w:hAnsi="宋体"/>
          <w:szCs w:val="21"/>
        </w:rPr>
      </w:pPr>
      <w:r>
        <w:rPr>
          <w:rFonts w:hint="eastAsia" w:ascii="宋体" w:hAnsi="宋体"/>
          <w:szCs w:val="21"/>
        </w:rPr>
        <w:t>5.1招标文件和工程量清单的获取：投标人于投标文件递交截止时间前均可登录《全国公共资源交易平台（河南省•许昌市）》（http://www.xcggzy.gov.cn/），通过“投标人/供应商登录” 入口自行下载。</w:t>
      </w:r>
    </w:p>
    <w:p>
      <w:pPr>
        <w:adjustRightInd w:val="0"/>
        <w:snapToGrid w:val="0"/>
        <w:spacing w:line="408" w:lineRule="auto"/>
        <w:ind w:firstLine="424" w:firstLineChars="202"/>
        <w:rPr>
          <w:rFonts w:ascii="宋体" w:hAnsi="宋体"/>
          <w:szCs w:val="21"/>
        </w:rPr>
      </w:pPr>
      <w:r>
        <w:rPr>
          <w:rFonts w:hint="eastAsia" w:ascii="宋体" w:hAnsi="宋体"/>
          <w:szCs w:val="21"/>
        </w:rPr>
        <w:t>5.2施工图纸下载：按照招标文件中第二章投标人须知前附表第2.1项所给的网址自行下载。</w:t>
      </w:r>
    </w:p>
    <w:p>
      <w:pPr>
        <w:adjustRightInd w:val="0"/>
        <w:snapToGrid w:val="0"/>
        <w:spacing w:line="408" w:lineRule="auto"/>
        <w:ind w:firstLine="424" w:firstLineChars="202"/>
        <w:rPr>
          <w:rFonts w:ascii="宋体" w:hAnsi="宋体"/>
          <w:szCs w:val="21"/>
        </w:rPr>
      </w:pPr>
      <w:r>
        <w:rPr>
          <w:rFonts w:hint="eastAsia" w:ascii="宋体" w:hAnsi="宋体"/>
          <w:szCs w:val="21"/>
        </w:rPr>
        <w:t>5.3投标人在递交电子介质存储的投标文件时向代理公司缴纳招标文件费用，本项目招标文件费用为300元/套，售后不退。</w:t>
      </w:r>
    </w:p>
    <w:p>
      <w:pPr>
        <w:widowControl/>
        <w:spacing w:line="360" w:lineRule="auto"/>
        <w:jc w:val="left"/>
        <w:rPr>
          <w:rFonts w:ascii="宋体" w:hAnsi="宋体" w:cs="仿宋"/>
          <w:b/>
          <w:bCs/>
          <w:kern w:val="0"/>
          <w:szCs w:val="21"/>
        </w:rPr>
      </w:pPr>
      <w:r>
        <w:rPr>
          <w:rFonts w:hint="eastAsia" w:ascii="宋体" w:hAnsi="宋体" w:cs="仿宋"/>
          <w:b/>
          <w:bCs/>
          <w:kern w:val="0"/>
          <w:szCs w:val="21"/>
        </w:rPr>
        <w:t>6.投标文件的递交</w:t>
      </w:r>
    </w:p>
    <w:p>
      <w:pPr>
        <w:adjustRightInd w:val="0"/>
        <w:snapToGrid w:val="0"/>
        <w:spacing w:line="408" w:lineRule="auto"/>
        <w:ind w:firstLine="424" w:firstLineChars="202"/>
      </w:pPr>
      <w:r>
        <w:rPr>
          <w:rFonts w:hint="eastAsia" w:ascii="宋体" w:hAnsi="宋体"/>
          <w:szCs w:val="21"/>
        </w:rPr>
        <w:t>6.1</w:t>
      </w:r>
      <w:r>
        <w:rPr>
          <w:rFonts w:hint="eastAsia"/>
        </w:rPr>
        <w:t>本项目为全流程电子化交易项目，须提交电子介质存储的投标文件。</w:t>
      </w:r>
    </w:p>
    <w:p>
      <w:pPr>
        <w:adjustRightInd w:val="0"/>
        <w:snapToGrid w:val="0"/>
        <w:spacing w:line="408" w:lineRule="auto"/>
        <w:ind w:firstLine="424" w:firstLineChars="202"/>
        <w:rPr>
          <w:rFonts w:ascii="宋体" w:hAnsi="宋体"/>
          <w:szCs w:val="21"/>
        </w:rPr>
      </w:pPr>
      <w:r>
        <w:rPr>
          <w:rFonts w:hint="eastAsia" w:ascii="宋体" w:hAnsi="宋体"/>
          <w:szCs w:val="21"/>
        </w:rPr>
        <w:t>6.2投标文件提交的截止时间及开标时间：2019年12月4日8时30分（北京时间）。</w:t>
      </w:r>
    </w:p>
    <w:p>
      <w:pPr>
        <w:adjustRightInd w:val="0"/>
        <w:snapToGrid w:val="0"/>
        <w:spacing w:line="408" w:lineRule="auto"/>
        <w:ind w:firstLine="424" w:firstLineChars="202"/>
        <w:rPr>
          <w:rFonts w:ascii="宋体" w:hAnsi="宋体"/>
          <w:szCs w:val="21"/>
        </w:rPr>
      </w:pPr>
      <w:r>
        <w:rPr>
          <w:rFonts w:hint="eastAsia" w:ascii="宋体" w:hAnsi="宋体"/>
          <w:szCs w:val="21"/>
        </w:rPr>
        <w:t>6.3电子投标文件的提交：电子投标文件应在投标文件提交截止时间（开标时间）之前成功提交至《全国公共资源交易平台(河南省•许昌市)》公共资源交易系统，并提交1份使用电子介质存储的备份文件。</w:t>
      </w:r>
    </w:p>
    <w:p>
      <w:pPr>
        <w:adjustRightInd w:val="0"/>
        <w:snapToGrid w:val="0"/>
        <w:spacing w:line="408" w:lineRule="auto"/>
        <w:ind w:firstLine="424" w:firstLineChars="202"/>
        <w:rPr>
          <w:rFonts w:ascii="宋体" w:hAnsi="宋体"/>
          <w:szCs w:val="21"/>
        </w:rPr>
      </w:pPr>
      <w:r>
        <w:rPr>
          <w:rFonts w:hint="eastAsia" w:ascii="宋体" w:hAnsi="宋体"/>
          <w:szCs w:val="21"/>
        </w:rPr>
        <w:t>6.4电子介质存储投标文件提交地点：许昌市公共资源交易中心（许昌市龙兴路竹林路交汇处公共资源大厦三楼）开标一室。</w:t>
      </w:r>
    </w:p>
    <w:p>
      <w:pPr>
        <w:adjustRightInd w:val="0"/>
        <w:snapToGrid w:val="0"/>
        <w:spacing w:line="408" w:lineRule="auto"/>
        <w:ind w:firstLine="424" w:firstLineChars="202"/>
        <w:rPr>
          <w:rFonts w:ascii="宋体" w:hAnsi="宋体"/>
          <w:szCs w:val="21"/>
        </w:rPr>
      </w:pPr>
      <w:r>
        <w:rPr>
          <w:rFonts w:hint="eastAsia" w:ascii="宋体" w:hAnsi="宋体"/>
          <w:szCs w:val="21"/>
        </w:rPr>
        <w:t>6.5逾期送达的或者未送达指定地点的投标文件，招标人不予受理。</w:t>
      </w:r>
    </w:p>
    <w:bookmarkEnd w:id="29"/>
    <w:p>
      <w:pPr>
        <w:widowControl/>
        <w:spacing w:line="360" w:lineRule="auto"/>
        <w:jc w:val="left"/>
        <w:rPr>
          <w:rFonts w:ascii="宋体" w:hAnsi="宋体" w:cs="仿宋"/>
          <w:b/>
          <w:bCs/>
          <w:kern w:val="0"/>
          <w:szCs w:val="21"/>
        </w:rPr>
      </w:pPr>
      <w:bookmarkStart w:id="30" w:name="_Toc425505599"/>
      <w:r>
        <w:rPr>
          <w:rFonts w:hint="eastAsia" w:ascii="宋体" w:hAnsi="宋体" w:cs="仿宋"/>
          <w:b/>
          <w:bCs/>
          <w:kern w:val="0"/>
          <w:szCs w:val="21"/>
        </w:rPr>
        <w:t>7. 发布公告的媒介</w:t>
      </w:r>
      <w:bookmarkEnd w:id="30"/>
    </w:p>
    <w:p>
      <w:pPr>
        <w:adjustRightInd w:val="0"/>
        <w:snapToGrid w:val="0"/>
        <w:spacing w:line="408" w:lineRule="auto"/>
        <w:ind w:firstLine="424" w:firstLineChars="202"/>
        <w:rPr>
          <w:rFonts w:ascii="宋体" w:hAnsi="宋体"/>
          <w:szCs w:val="21"/>
        </w:rPr>
      </w:pPr>
      <w:r>
        <w:rPr>
          <w:rFonts w:hint="eastAsia" w:ascii="宋体" w:hAnsi="宋体"/>
          <w:szCs w:val="21"/>
        </w:rPr>
        <w:t>本公告同时在《全国公共资源交易平台</w:t>
      </w:r>
      <w:r>
        <w:rPr>
          <w:rFonts w:ascii="宋体" w:hAnsi="宋体"/>
          <w:szCs w:val="21"/>
        </w:rPr>
        <w:t>(</w:t>
      </w:r>
      <w:r>
        <w:rPr>
          <w:rFonts w:hint="eastAsia" w:ascii="宋体" w:hAnsi="宋体"/>
          <w:szCs w:val="21"/>
        </w:rPr>
        <w:t>河南省</w:t>
      </w:r>
      <w:r>
        <w:rPr>
          <w:rFonts w:hint="eastAsia" w:ascii="MS Mincho" w:hAnsi="MS Mincho" w:eastAsia="MS Mincho" w:cs="MS Mincho"/>
          <w:szCs w:val="21"/>
        </w:rPr>
        <w:t>▪</w:t>
      </w:r>
      <w:r>
        <w:rPr>
          <w:rFonts w:hint="eastAsia" w:ascii="宋体" w:hAnsi="宋体"/>
          <w:szCs w:val="21"/>
        </w:rPr>
        <w:t>许昌市</w:t>
      </w:r>
      <w:r>
        <w:rPr>
          <w:rFonts w:ascii="宋体" w:hAnsi="宋体"/>
          <w:szCs w:val="21"/>
        </w:rPr>
        <w:t>)</w:t>
      </w:r>
      <w:r>
        <w:rPr>
          <w:rFonts w:hint="eastAsia" w:ascii="宋体" w:hAnsi="宋体"/>
          <w:szCs w:val="21"/>
        </w:rPr>
        <w:t>》、《河南省电子招标投标公共服务平台》上发布。</w:t>
      </w:r>
    </w:p>
    <w:p>
      <w:pPr>
        <w:widowControl/>
        <w:spacing w:line="360" w:lineRule="auto"/>
        <w:jc w:val="left"/>
        <w:rPr>
          <w:rFonts w:ascii="宋体" w:hAnsi="宋体" w:cs="仿宋"/>
          <w:b/>
          <w:bCs/>
          <w:kern w:val="0"/>
          <w:szCs w:val="21"/>
        </w:rPr>
      </w:pPr>
      <w:bookmarkStart w:id="31" w:name="_Toc398846240"/>
      <w:bookmarkStart w:id="32" w:name="_Toc343272542"/>
      <w:bookmarkStart w:id="33" w:name="_Toc364753789"/>
      <w:bookmarkStart w:id="34" w:name="_Toc395898948"/>
      <w:bookmarkStart w:id="35" w:name="_Toc317236962"/>
      <w:r>
        <w:rPr>
          <w:rFonts w:hint="eastAsia" w:ascii="宋体" w:hAnsi="宋体" w:cs="仿宋"/>
          <w:b/>
          <w:bCs/>
          <w:kern w:val="0"/>
          <w:szCs w:val="21"/>
        </w:rPr>
        <w:t>8</w:t>
      </w:r>
      <w:r>
        <w:rPr>
          <w:rFonts w:ascii="宋体" w:hAnsi="宋体" w:cs="仿宋"/>
          <w:b/>
          <w:bCs/>
          <w:kern w:val="0"/>
          <w:szCs w:val="21"/>
        </w:rPr>
        <w:t>.联系方式</w:t>
      </w:r>
      <w:bookmarkEnd w:id="31"/>
      <w:bookmarkEnd w:id="32"/>
      <w:bookmarkEnd w:id="33"/>
      <w:bookmarkEnd w:id="34"/>
      <w:bookmarkEnd w:id="35"/>
    </w:p>
    <w:p>
      <w:pPr>
        <w:adjustRightInd w:val="0"/>
        <w:snapToGrid w:val="0"/>
        <w:spacing w:line="408" w:lineRule="auto"/>
        <w:ind w:firstLine="424" w:firstLineChars="202"/>
        <w:rPr>
          <w:rFonts w:ascii="宋体" w:hAnsi="宋体"/>
          <w:szCs w:val="21"/>
        </w:rPr>
      </w:pPr>
      <w:r>
        <w:rPr>
          <w:rFonts w:hint="eastAsia" w:ascii="宋体" w:hAnsi="宋体"/>
          <w:szCs w:val="21"/>
        </w:rPr>
        <w:t xml:space="preserve">招标人：许昌市财源开发建设有限公司 </w:t>
      </w:r>
    </w:p>
    <w:p>
      <w:pPr>
        <w:adjustRightInd w:val="0"/>
        <w:snapToGrid w:val="0"/>
        <w:spacing w:line="408" w:lineRule="auto"/>
        <w:ind w:firstLine="424" w:firstLineChars="202"/>
        <w:rPr>
          <w:rFonts w:ascii="宋体" w:hAnsi="宋体"/>
          <w:szCs w:val="21"/>
        </w:rPr>
      </w:pPr>
      <w:r>
        <w:rPr>
          <w:rFonts w:hint="eastAsia" w:ascii="宋体" w:hAnsi="宋体"/>
          <w:szCs w:val="21"/>
        </w:rPr>
        <w:t>地址：许昌市建安大道东段</w:t>
      </w:r>
    </w:p>
    <w:p>
      <w:pPr>
        <w:adjustRightInd w:val="0"/>
        <w:snapToGrid w:val="0"/>
        <w:spacing w:line="408" w:lineRule="auto"/>
        <w:ind w:firstLine="424" w:firstLineChars="202"/>
        <w:rPr>
          <w:rFonts w:ascii="宋体" w:hAnsi="宋体"/>
          <w:szCs w:val="21"/>
        </w:rPr>
      </w:pPr>
      <w:r>
        <w:rPr>
          <w:rFonts w:hint="eastAsia" w:ascii="宋体" w:hAnsi="宋体"/>
          <w:szCs w:val="21"/>
        </w:rPr>
        <w:t>联系人：李先生</w:t>
      </w:r>
    </w:p>
    <w:p>
      <w:pPr>
        <w:adjustRightInd w:val="0"/>
        <w:snapToGrid w:val="0"/>
        <w:spacing w:line="408" w:lineRule="auto"/>
        <w:ind w:firstLine="424" w:firstLineChars="202"/>
        <w:rPr>
          <w:rFonts w:ascii="宋体" w:hAnsi="宋体"/>
          <w:szCs w:val="21"/>
        </w:rPr>
      </w:pPr>
      <w:r>
        <w:rPr>
          <w:rFonts w:hint="eastAsia" w:ascii="宋体" w:hAnsi="宋体"/>
          <w:szCs w:val="21"/>
        </w:rPr>
        <w:t>联系电话：0374-2126021</w:t>
      </w:r>
    </w:p>
    <w:p>
      <w:pPr>
        <w:adjustRightInd w:val="0"/>
        <w:snapToGrid w:val="0"/>
        <w:spacing w:line="408" w:lineRule="auto"/>
        <w:ind w:firstLine="424" w:firstLineChars="202"/>
        <w:rPr>
          <w:rFonts w:ascii="宋体" w:hAnsi="宋体"/>
          <w:szCs w:val="21"/>
        </w:rPr>
      </w:pPr>
      <w:r>
        <w:rPr>
          <w:rFonts w:hint="eastAsia" w:ascii="宋体" w:hAnsi="宋体"/>
          <w:szCs w:val="21"/>
        </w:rPr>
        <w:t>招标代理机构：中辰工程咨询有限公司</w:t>
      </w:r>
    </w:p>
    <w:p>
      <w:pPr>
        <w:adjustRightInd w:val="0"/>
        <w:snapToGrid w:val="0"/>
        <w:spacing w:line="408" w:lineRule="auto"/>
        <w:ind w:firstLine="424" w:firstLineChars="202"/>
        <w:rPr>
          <w:rFonts w:ascii="宋体" w:hAnsi="宋体"/>
          <w:szCs w:val="21"/>
        </w:rPr>
      </w:pPr>
      <w:r>
        <w:rPr>
          <w:rFonts w:hint="eastAsia" w:ascii="宋体" w:hAnsi="宋体"/>
          <w:szCs w:val="21"/>
        </w:rPr>
        <w:t>地址：郑州市中原路171号中原万达广场写字楼A座24层</w:t>
      </w:r>
    </w:p>
    <w:p>
      <w:pPr>
        <w:adjustRightInd w:val="0"/>
        <w:snapToGrid w:val="0"/>
        <w:spacing w:line="408" w:lineRule="auto"/>
        <w:ind w:firstLine="424" w:firstLineChars="202"/>
        <w:rPr>
          <w:rFonts w:ascii="宋体" w:hAnsi="宋体"/>
          <w:szCs w:val="21"/>
        </w:rPr>
      </w:pPr>
      <w:r>
        <w:rPr>
          <w:rFonts w:hint="eastAsia" w:ascii="宋体" w:hAnsi="宋体"/>
          <w:szCs w:val="21"/>
        </w:rPr>
        <w:t>联系人：李女士、邓先生</w:t>
      </w:r>
    </w:p>
    <w:p>
      <w:pPr>
        <w:adjustRightInd w:val="0"/>
        <w:snapToGrid w:val="0"/>
        <w:spacing w:line="408" w:lineRule="auto"/>
        <w:ind w:firstLine="424" w:firstLineChars="202"/>
        <w:rPr>
          <w:rFonts w:ascii="宋体" w:hAnsi="宋体"/>
          <w:szCs w:val="21"/>
        </w:rPr>
      </w:pPr>
      <w:r>
        <w:rPr>
          <w:rFonts w:hint="eastAsia" w:ascii="宋体" w:hAnsi="宋体"/>
          <w:szCs w:val="21"/>
        </w:rPr>
        <w:t>联系电话：0371-86507708</w:t>
      </w:r>
    </w:p>
    <w:p>
      <w:pPr>
        <w:adjustRightInd w:val="0"/>
        <w:snapToGrid w:val="0"/>
        <w:spacing w:line="408" w:lineRule="auto"/>
        <w:ind w:firstLine="424" w:firstLineChars="202"/>
        <w:rPr>
          <w:rFonts w:ascii="宋体" w:hAnsi="宋体"/>
          <w:szCs w:val="21"/>
        </w:rPr>
      </w:pPr>
    </w:p>
    <w:p>
      <w:pPr>
        <w:adjustRightInd w:val="0"/>
        <w:snapToGrid w:val="0"/>
        <w:spacing w:line="408" w:lineRule="auto"/>
        <w:ind w:firstLine="484" w:firstLineChars="202"/>
        <w:jc w:val="right"/>
        <w:rPr>
          <w:rFonts w:ascii="宋体" w:hAnsi="宋体"/>
          <w:sz w:val="24"/>
        </w:rPr>
      </w:pPr>
      <w:r>
        <w:rPr>
          <w:rFonts w:hint="eastAsia" w:ascii="宋体" w:hAnsi="宋体"/>
          <w:sz w:val="24"/>
        </w:rPr>
        <w:t>许昌市财源开发建设有限公司</w:t>
      </w:r>
    </w:p>
    <w:p>
      <w:pPr>
        <w:adjustRightInd w:val="0"/>
        <w:snapToGrid w:val="0"/>
        <w:spacing w:line="408" w:lineRule="auto"/>
        <w:ind w:firstLine="484" w:firstLineChars="202"/>
        <w:jc w:val="right"/>
        <w:rPr>
          <w:rFonts w:ascii="宋体" w:hAnsi="宋体"/>
          <w:sz w:val="24"/>
        </w:rPr>
      </w:pPr>
      <w:r>
        <w:rPr>
          <w:rFonts w:hint="eastAsia" w:ascii="宋体" w:hAnsi="宋体"/>
          <w:sz w:val="24"/>
        </w:rPr>
        <w:t>2019年11月13日</w:t>
      </w:r>
    </w:p>
    <w:p>
      <w:pPr>
        <w:adjustRightInd w:val="0"/>
        <w:snapToGrid w:val="0"/>
        <w:spacing w:line="408" w:lineRule="auto"/>
        <w:ind w:firstLine="484" w:firstLineChars="202"/>
        <w:jc w:val="right"/>
        <w:rPr>
          <w:rFonts w:ascii="宋体" w:hAnsi="宋体"/>
          <w:sz w:val="24"/>
        </w:rPr>
      </w:pPr>
    </w:p>
    <w:p>
      <w:pPr>
        <w:spacing w:line="360" w:lineRule="auto"/>
        <w:rPr>
          <w:rFonts w:hAnsi="宋体"/>
          <w:b/>
          <w:szCs w:val="21"/>
        </w:rPr>
      </w:pPr>
      <w:r>
        <w:rPr>
          <w:rFonts w:hint="eastAsia" w:hAnsi="宋体"/>
          <w:b/>
          <w:szCs w:val="21"/>
        </w:rPr>
        <w:t>温馨提示：</w:t>
      </w:r>
    </w:p>
    <w:p>
      <w:pPr>
        <w:spacing w:line="360" w:lineRule="auto"/>
        <w:ind w:firstLine="495" w:firstLineChars="235"/>
        <w:rPr>
          <w:rFonts w:asciiTheme="minorHAnsi" w:hAnsiTheme="minorHAnsi" w:eastAsiaTheme="minorEastAsia" w:cstheme="minorBidi"/>
          <w:b/>
          <w:szCs w:val="21"/>
        </w:rPr>
      </w:pPr>
      <w:r>
        <w:rPr>
          <w:rFonts w:hint="eastAsia" w:asciiTheme="minorHAnsi" w:hAnsiTheme="minorHAnsi" w:eastAsiaTheme="minorEastAsia" w:cstheme="minorBidi"/>
          <w:b/>
          <w:szCs w:val="21"/>
        </w:rPr>
        <w:t>本项目为全流程电子化交易项目，请认真阅读招标文件，并注意以下事项。</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1.</w:t>
      </w:r>
      <w:r>
        <w:rPr>
          <w:rFonts w:hint="eastAsia" w:asciiTheme="minorHAnsi" w:hAnsiTheme="minorHAnsi" w:eastAsiaTheme="minorEastAsia" w:cstheme="minorBidi"/>
          <w:b/>
          <w:szCs w:val="21"/>
        </w:rPr>
        <w:t>投标人应按招标文件规定下载、编制、提交电子投标文件。开、评标现场不接受投标人递交的电子投标文件以外的其他资料。</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2.</w:t>
      </w:r>
      <w:r>
        <w:rPr>
          <w:rFonts w:hint="eastAsia" w:asciiTheme="minorHAnsi" w:hAnsiTheme="minorHAnsi" w:eastAsiaTheme="minorEastAsia" w:cstheme="minorBidi"/>
          <w:b/>
          <w:szCs w:val="21"/>
        </w:rPr>
        <w:t>电子文件下载、制作、提交期间和开标（电子投标文件的解密）环节，承包人须使用</w:t>
      </w:r>
      <w:r>
        <w:rPr>
          <w:rFonts w:asciiTheme="minorHAnsi" w:hAnsiTheme="minorHAnsi" w:eastAsiaTheme="minorEastAsia" w:cstheme="minorBidi"/>
          <w:b/>
          <w:szCs w:val="21"/>
        </w:rPr>
        <w:t>CA</w:t>
      </w:r>
      <w:r>
        <w:rPr>
          <w:rFonts w:hint="eastAsia" w:asciiTheme="minorHAnsi" w:hAnsiTheme="minorHAnsi" w:eastAsiaTheme="minorEastAsia" w:cstheme="minorBidi"/>
          <w:b/>
          <w:szCs w:val="21"/>
        </w:rPr>
        <w:t>数字证书（证书须在有效期内）。</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3.</w:t>
      </w:r>
      <w:r>
        <w:rPr>
          <w:rFonts w:hint="eastAsia" w:asciiTheme="minorHAnsi" w:hAnsiTheme="minorHAnsi" w:eastAsiaTheme="minorEastAsia" w:cstheme="minorBidi"/>
          <w:b/>
          <w:szCs w:val="21"/>
        </w:rPr>
        <w:t>电子投标文件的制作</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3.1</w:t>
      </w:r>
      <w:r>
        <w:rPr>
          <w:rFonts w:hint="eastAsia" w:asciiTheme="minorHAnsi" w:hAnsiTheme="minorHAnsi" w:eastAsiaTheme="minorEastAsia" w:cstheme="minorBidi"/>
          <w:szCs w:val="21"/>
        </w:rPr>
        <w:t>投标人登录【全国公共资源交易平台</w:t>
      </w:r>
      <w:r>
        <w:rPr>
          <w:rFonts w:asciiTheme="minorHAnsi" w:hAnsiTheme="minorHAnsi" w:eastAsiaTheme="minorEastAsia" w:cstheme="minorBidi"/>
          <w:szCs w:val="21"/>
        </w:rPr>
        <w:t>(</w:t>
      </w:r>
      <w:r>
        <w:rPr>
          <w:rFonts w:hint="eastAsia" w:asciiTheme="minorHAnsi" w:hAnsiTheme="minorHAnsi" w:eastAsiaTheme="minorEastAsia" w:cstheme="minorBidi"/>
          <w:szCs w:val="21"/>
        </w:rPr>
        <w:t>河南省</w:t>
      </w:r>
      <w:r>
        <w:rPr>
          <w:rFonts w:hint="eastAsia" w:ascii="MS Mincho" w:hAnsi="MS Mincho" w:eastAsia="MS Mincho" w:cs="MS Mincho"/>
          <w:szCs w:val="21"/>
        </w:rPr>
        <w:t>▪</w:t>
      </w:r>
      <w:r>
        <w:rPr>
          <w:rFonts w:hint="eastAsia" w:asciiTheme="minorHAnsi" w:hAnsiTheme="minorHAnsi" w:eastAsiaTheme="minorEastAsia" w:cstheme="minorBidi"/>
          <w:szCs w:val="21"/>
        </w:rPr>
        <w:t>许昌市</w:t>
      </w:r>
      <w:r>
        <w:rPr>
          <w:rFonts w:asciiTheme="minorHAnsi" w:hAnsiTheme="minorHAnsi" w:eastAsiaTheme="minorEastAsia" w:cstheme="minorBidi"/>
          <w:szCs w:val="21"/>
        </w:rPr>
        <w:t>)</w:t>
      </w:r>
      <w:r>
        <w:rPr>
          <w:rFonts w:hint="eastAsia" w:asciiTheme="minorHAnsi" w:hAnsiTheme="minorHAnsi" w:eastAsiaTheme="minorEastAsia" w:cstheme="minorBidi"/>
          <w:szCs w:val="21"/>
        </w:rPr>
        <w:t>】公共资源交易系统</w:t>
      </w:r>
      <w:r>
        <w:rPr>
          <w:rFonts w:hint="eastAsia" w:asciiTheme="minorHAnsi" w:hAnsiTheme="minorHAnsi" w:eastAsiaTheme="minorEastAsia" w:cstheme="minorBidi"/>
          <w:color w:val="000000" w:themeColor="text1"/>
          <w:szCs w:val="21"/>
        </w:rPr>
        <w:t>（</w:t>
      </w:r>
      <w:r>
        <w:fldChar w:fldCharType="begin"/>
      </w:r>
      <w:r>
        <w:instrText xml:space="preserve"> HYPERLINK "http://221.14.6.70:8088/ggzy/" </w:instrText>
      </w:r>
      <w:r>
        <w:fldChar w:fldCharType="separate"/>
      </w:r>
      <w:r>
        <w:rPr>
          <w:rFonts w:asciiTheme="minorHAnsi" w:hAnsiTheme="minorHAnsi" w:eastAsiaTheme="minorEastAsia" w:cstheme="minorBidi"/>
          <w:color w:val="000000" w:themeColor="text1"/>
          <w:szCs w:val="21"/>
          <w:u w:val="single"/>
        </w:rPr>
        <w:t>http://221.14.6.70:8088/ggzy/</w:t>
      </w:r>
      <w:r>
        <w:rPr>
          <w:rFonts w:asciiTheme="minorHAnsi" w:hAnsiTheme="minorHAnsi" w:eastAsiaTheme="minorEastAsia" w:cstheme="minorBidi"/>
          <w:color w:val="000000" w:themeColor="text1"/>
          <w:szCs w:val="21"/>
          <w:u w:val="single"/>
        </w:rPr>
        <w:fldChar w:fldCharType="end"/>
      </w:r>
      <w:r>
        <w:rPr>
          <w:rFonts w:hint="eastAsia" w:asciiTheme="minorHAnsi" w:hAnsiTheme="minorHAnsi" w:eastAsiaTheme="minorEastAsia" w:cstheme="minorBidi"/>
          <w:color w:val="000000" w:themeColor="text1"/>
          <w:szCs w:val="21"/>
        </w:rPr>
        <w:t>）</w:t>
      </w:r>
      <w:r>
        <w:rPr>
          <w:rFonts w:hint="eastAsia" w:asciiTheme="minorHAnsi" w:hAnsiTheme="minorHAnsi" w:eastAsiaTheme="minorEastAsia" w:cstheme="minorBidi"/>
          <w:szCs w:val="21"/>
        </w:rPr>
        <w:t>下载“许昌投标文件制作系统</w:t>
      </w:r>
      <w:r>
        <w:rPr>
          <w:rFonts w:asciiTheme="minorHAnsi" w:hAnsiTheme="minorHAnsi" w:eastAsiaTheme="minorEastAsia" w:cstheme="minorBidi"/>
          <w:szCs w:val="21"/>
        </w:rPr>
        <w:t>SEARUN V1.1</w:t>
      </w:r>
      <w:r>
        <w:rPr>
          <w:rFonts w:hint="eastAsia" w:asciiTheme="minorHAnsi" w:hAnsiTheme="minorHAnsi" w:eastAsiaTheme="minorEastAsia" w:cstheme="minorBidi"/>
          <w:szCs w:val="21"/>
        </w:rPr>
        <w:t>”，按招标文件要求制作电子投标文件。</w:t>
      </w:r>
    </w:p>
    <w:p>
      <w:pPr>
        <w:spacing w:line="360" w:lineRule="auto"/>
        <w:ind w:firstLine="493" w:firstLineChars="235"/>
        <w:rPr>
          <w:rFonts w:asciiTheme="minorHAnsi" w:hAnsiTheme="minorHAnsi" w:eastAsiaTheme="minorEastAsia" w:cstheme="minorBidi"/>
          <w:szCs w:val="21"/>
        </w:rPr>
      </w:pPr>
      <w:r>
        <w:rPr>
          <w:rFonts w:hint="eastAsia" w:asciiTheme="minorHAnsi" w:hAnsiTheme="minorHAnsi" w:eastAsiaTheme="minorEastAsia" w:cstheme="minorBidi"/>
          <w:szCs w:val="21"/>
        </w:rPr>
        <w:t>电子投标文件的制作，参考【全国公共资源交易平台</w:t>
      </w:r>
      <w:r>
        <w:rPr>
          <w:rFonts w:asciiTheme="minorHAnsi" w:hAnsiTheme="minorHAnsi" w:eastAsiaTheme="minorEastAsia" w:cstheme="minorBidi"/>
          <w:szCs w:val="21"/>
        </w:rPr>
        <w:t>(</w:t>
      </w:r>
      <w:r>
        <w:rPr>
          <w:rFonts w:hint="eastAsia" w:asciiTheme="minorHAnsi" w:hAnsiTheme="minorHAnsi" w:eastAsiaTheme="minorEastAsia" w:cstheme="minorBidi"/>
          <w:szCs w:val="21"/>
        </w:rPr>
        <w:t>河南省</w:t>
      </w:r>
      <w:r>
        <w:rPr>
          <w:rFonts w:hint="eastAsia" w:ascii="MS Mincho" w:hAnsi="MS Mincho" w:eastAsia="MS Mincho" w:cs="MS Mincho"/>
          <w:szCs w:val="21"/>
        </w:rPr>
        <w:t>▪</w:t>
      </w:r>
      <w:r>
        <w:rPr>
          <w:rFonts w:hint="eastAsia" w:asciiTheme="minorHAnsi" w:hAnsiTheme="minorHAnsi" w:eastAsiaTheme="minorEastAsia" w:cstheme="minorBidi"/>
          <w:szCs w:val="21"/>
        </w:rPr>
        <w:t>许昌市</w:t>
      </w:r>
      <w:r>
        <w:rPr>
          <w:rFonts w:asciiTheme="minorHAnsi" w:hAnsiTheme="minorHAnsi" w:eastAsiaTheme="minorEastAsia" w:cstheme="minorBidi"/>
          <w:szCs w:val="21"/>
        </w:rPr>
        <w:t>)</w:t>
      </w:r>
      <w:r>
        <w:rPr>
          <w:rFonts w:hint="eastAsia" w:asciiTheme="minorHAnsi" w:hAnsiTheme="minorHAnsi" w:eastAsiaTheme="minorEastAsia" w:cstheme="minorBidi"/>
          <w:szCs w:val="21"/>
        </w:rPr>
        <w:t>】公共资源交易系统</w:t>
      </w:r>
      <w:r>
        <w:rPr>
          <w:rFonts w:asciiTheme="minorHAnsi" w:hAnsiTheme="minorHAnsi" w:eastAsiaTheme="minorEastAsia" w:cstheme="minorBidi"/>
          <w:szCs w:val="21"/>
        </w:rPr>
        <w:t>——</w:t>
      </w:r>
      <w:r>
        <w:rPr>
          <w:rFonts w:hint="eastAsia" w:asciiTheme="minorHAnsi" w:hAnsiTheme="minorHAnsi" w:eastAsiaTheme="minorEastAsia" w:cstheme="minorBidi"/>
          <w:szCs w:val="21"/>
        </w:rPr>
        <w:t>组件下载</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交易系统操作手册（投标人、供应商）。</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3.2</w:t>
      </w:r>
      <w:r>
        <w:rPr>
          <w:rFonts w:hint="eastAsia" w:asciiTheme="minorHAnsi" w:hAnsiTheme="minorHAnsi" w:eastAsiaTheme="minorEastAsia" w:cstheme="minorBidi"/>
          <w:szCs w:val="21"/>
        </w:rPr>
        <w:t>投标人须将招标文件要求的资质、业绩、荣誉及相关人员证明材料等资料原件扫描件（或图片）制作到所提交的电子投标文件中。</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3.3</w:t>
      </w:r>
      <w:r>
        <w:rPr>
          <w:rFonts w:hint="eastAsia" w:asciiTheme="minorHAnsi" w:hAnsiTheme="minorHAnsi" w:eastAsiaTheme="minorEastAsia" w:cstheme="minorBidi"/>
          <w:szCs w:val="21"/>
        </w:rPr>
        <w:t>投标人对同一项目多个标段进行投标的，应分别下载所投标段的招标文件，按标段制作电子投标文件，并按招标文件要求在相应位置加盖投标人电子印章和法人电子印章。</w:t>
      </w:r>
    </w:p>
    <w:p>
      <w:pPr>
        <w:spacing w:line="360" w:lineRule="auto"/>
        <w:ind w:firstLine="493" w:firstLineChars="235"/>
        <w:rPr>
          <w:rFonts w:asciiTheme="minorHAnsi" w:hAnsiTheme="minorHAnsi" w:eastAsiaTheme="minorEastAsia" w:cstheme="minorBidi"/>
          <w:szCs w:val="21"/>
        </w:rPr>
      </w:pPr>
      <w:r>
        <w:rPr>
          <w:rFonts w:hint="eastAsia" w:asciiTheme="minorHAnsi" w:hAnsiTheme="minorHAnsi" w:eastAsiaTheme="minorEastAsia" w:cstheme="minorBidi"/>
          <w:szCs w:val="21"/>
        </w:rPr>
        <w:t>一个标段对应生成一个文件夹（</w:t>
      </w:r>
      <w:r>
        <w:rPr>
          <w:rFonts w:asciiTheme="minorHAnsi" w:hAnsiTheme="minorHAnsi" w:eastAsiaTheme="minorEastAsia" w:cstheme="minorBidi"/>
          <w:szCs w:val="21"/>
        </w:rPr>
        <w:t>xxxx</w:t>
      </w:r>
      <w:r>
        <w:rPr>
          <w:rFonts w:hint="eastAsia" w:asciiTheme="minorHAnsi" w:hAnsiTheme="minorHAnsi" w:eastAsiaTheme="minorEastAsia" w:cstheme="minorBidi"/>
          <w:szCs w:val="21"/>
        </w:rPr>
        <w:t>项目</w:t>
      </w:r>
      <w:r>
        <w:rPr>
          <w:rFonts w:asciiTheme="minorHAnsi" w:hAnsiTheme="minorHAnsi" w:eastAsiaTheme="minorEastAsia" w:cstheme="minorBidi"/>
          <w:szCs w:val="21"/>
        </w:rPr>
        <w:t>xx</w:t>
      </w:r>
      <w:r>
        <w:rPr>
          <w:rFonts w:hint="eastAsia" w:asciiTheme="minorHAnsi" w:hAnsiTheme="minorHAnsi" w:eastAsiaTheme="minorEastAsia" w:cstheme="minorBidi"/>
          <w:szCs w:val="21"/>
        </w:rPr>
        <w:t>标段）</w:t>
      </w:r>
      <w:r>
        <w:rPr>
          <w:rFonts w:asciiTheme="minorHAnsi" w:hAnsiTheme="minorHAnsi" w:eastAsiaTheme="minorEastAsia" w:cstheme="minorBidi"/>
          <w:szCs w:val="21"/>
        </w:rPr>
        <w:t xml:space="preserve">, </w:t>
      </w:r>
      <w:r>
        <w:rPr>
          <w:rFonts w:hint="eastAsia" w:asciiTheme="minorHAnsi" w:hAnsiTheme="minorHAnsi" w:eastAsiaTheme="minorEastAsia" w:cstheme="minorBidi"/>
          <w:szCs w:val="21"/>
        </w:rPr>
        <w:t>其中包含</w:t>
      </w:r>
      <w:r>
        <w:rPr>
          <w:rFonts w:asciiTheme="minorHAnsi" w:hAnsiTheme="minorHAnsi" w:eastAsiaTheme="minorEastAsia" w:cstheme="minorBidi"/>
          <w:szCs w:val="21"/>
        </w:rPr>
        <w:t>2</w:t>
      </w:r>
      <w:r>
        <w:rPr>
          <w:rFonts w:hint="eastAsia" w:asciiTheme="minorHAnsi" w:hAnsiTheme="minorHAnsi" w:eastAsiaTheme="minorEastAsia" w:cstheme="minorBidi"/>
          <w:szCs w:val="21"/>
        </w:rPr>
        <w:t>个文件和</w:t>
      </w:r>
      <w:r>
        <w:rPr>
          <w:rFonts w:asciiTheme="minorHAnsi" w:hAnsiTheme="minorHAnsi" w:eastAsiaTheme="minorEastAsia" w:cstheme="minorBidi"/>
          <w:szCs w:val="21"/>
        </w:rPr>
        <w:t>1</w:t>
      </w:r>
      <w:r>
        <w:rPr>
          <w:rFonts w:hint="eastAsia" w:asciiTheme="minorHAnsi" w:hAnsiTheme="minorHAnsi" w:eastAsiaTheme="minorEastAsia" w:cstheme="minorBidi"/>
          <w:szCs w:val="21"/>
        </w:rPr>
        <w:t>个文件夹。后缀名为“</w:t>
      </w:r>
      <w:r>
        <w:rPr>
          <w:rFonts w:asciiTheme="minorHAnsi" w:hAnsiTheme="minorHAnsi" w:eastAsiaTheme="minorEastAsia" w:cstheme="minorBidi"/>
          <w:szCs w:val="21"/>
        </w:rPr>
        <w:t>.file</w:t>
      </w:r>
      <w:r>
        <w:rPr>
          <w:rFonts w:hint="eastAsia" w:asciiTheme="minorHAnsi" w:hAnsiTheme="minorHAnsi" w:eastAsiaTheme="minorEastAsia" w:cstheme="minorBidi"/>
          <w:szCs w:val="21"/>
        </w:rPr>
        <w:t>”的文件用于电子投标使用，“备份文件夹”使用电子介质存储，供开标现场备用。</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4.</w:t>
      </w:r>
      <w:r>
        <w:rPr>
          <w:rFonts w:hint="eastAsia" w:asciiTheme="minorHAnsi" w:hAnsiTheme="minorHAnsi" w:eastAsiaTheme="minorEastAsia" w:cstheme="minorBidi"/>
          <w:b/>
          <w:szCs w:val="21"/>
        </w:rPr>
        <w:t>电子投标文件的提交</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4.1</w:t>
      </w:r>
      <w:r>
        <w:rPr>
          <w:rFonts w:hint="eastAsia" w:asciiTheme="minorHAnsi" w:hAnsiTheme="minorHAnsi" w:eastAsiaTheme="minorEastAsia" w:cstheme="minorBidi"/>
          <w:szCs w:val="21"/>
        </w:rPr>
        <w:t>电子投标文件应在招标文件规定的投标文件提交截止时间（开标时间）之前成功提交至【全国公共资源交易平台</w:t>
      </w:r>
      <w:r>
        <w:rPr>
          <w:rFonts w:asciiTheme="minorHAnsi" w:hAnsiTheme="minorHAnsi" w:eastAsiaTheme="minorEastAsia" w:cstheme="minorBidi"/>
          <w:szCs w:val="21"/>
        </w:rPr>
        <w:t>(</w:t>
      </w:r>
      <w:r>
        <w:rPr>
          <w:rFonts w:hint="eastAsia" w:asciiTheme="minorHAnsi" w:hAnsiTheme="minorHAnsi" w:eastAsiaTheme="minorEastAsia" w:cstheme="minorBidi"/>
          <w:szCs w:val="21"/>
        </w:rPr>
        <w:t>河南省</w:t>
      </w:r>
      <w:r>
        <w:rPr>
          <w:rFonts w:hint="eastAsia" w:ascii="MS Mincho" w:hAnsi="MS Mincho" w:eastAsia="MS Mincho" w:cs="MS Mincho"/>
          <w:szCs w:val="21"/>
        </w:rPr>
        <w:t>▪</w:t>
      </w:r>
      <w:r>
        <w:rPr>
          <w:rFonts w:hint="eastAsia" w:asciiTheme="minorHAnsi" w:hAnsiTheme="minorHAnsi" w:eastAsiaTheme="minorEastAsia" w:cstheme="minorBidi"/>
          <w:szCs w:val="21"/>
        </w:rPr>
        <w:t>许昌市</w:t>
      </w:r>
      <w:r>
        <w:rPr>
          <w:rFonts w:asciiTheme="minorHAnsi" w:hAnsiTheme="minorHAnsi" w:eastAsiaTheme="minorEastAsia" w:cstheme="minorBidi"/>
          <w:szCs w:val="21"/>
        </w:rPr>
        <w:t>)</w:t>
      </w:r>
      <w:r>
        <w:rPr>
          <w:rFonts w:hint="eastAsia" w:asciiTheme="minorHAnsi" w:hAnsiTheme="minorHAnsi" w:eastAsiaTheme="minorEastAsia" w:cstheme="minorBidi"/>
          <w:szCs w:val="21"/>
        </w:rPr>
        <w:t>】公共资源交易系统（</w:t>
      </w:r>
      <w:r>
        <w:fldChar w:fldCharType="begin"/>
      </w:r>
      <w:r>
        <w:instrText xml:space="preserve"> HYPERLINK "http://221.14.6.70:8088/ggzy/" </w:instrText>
      </w:r>
      <w:r>
        <w:fldChar w:fldCharType="separate"/>
      </w:r>
      <w:r>
        <w:rPr>
          <w:rFonts w:asciiTheme="minorHAnsi" w:hAnsiTheme="minorHAnsi" w:eastAsiaTheme="minorEastAsia" w:cstheme="minorBidi"/>
          <w:color w:val="0000FF" w:themeColor="hyperlink"/>
          <w:szCs w:val="21"/>
          <w:u w:val="single"/>
        </w:rPr>
        <w:t>http://221.14.6.70:8088/ggzy/</w:t>
      </w:r>
      <w:r>
        <w:rPr>
          <w:rFonts w:asciiTheme="minorHAnsi" w:hAnsiTheme="minorHAnsi" w:eastAsiaTheme="minorEastAsia" w:cstheme="minorBidi"/>
          <w:color w:val="0000FF" w:themeColor="hyperlink"/>
          <w:szCs w:val="21"/>
          <w:u w:val="single"/>
        </w:rPr>
        <w:fldChar w:fldCharType="end"/>
      </w:r>
      <w:r>
        <w:rPr>
          <w:rFonts w:hint="eastAsia" w:asciiTheme="minorHAnsi" w:hAnsiTheme="minorHAnsi" w:eastAsiaTheme="minorEastAsia" w:cstheme="minorBidi"/>
          <w:szCs w:val="21"/>
        </w:rPr>
        <w:t>）。</w:t>
      </w:r>
    </w:p>
    <w:p>
      <w:pPr>
        <w:spacing w:line="360" w:lineRule="auto"/>
        <w:ind w:firstLine="493" w:firstLineChars="235"/>
        <w:rPr>
          <w:rFonts w:asciiTheme="minorHAnsi" w:hAnsiTheme="minorHAnsi" w:eastAsiaTheme="minorEastAsia" w:cstheme="minorBidi"/>
          <w:szCs w:val="21"/>
        </w:rPr>
      </w:pPr>
      <w:r>
        <w:rPr>
          <w:rFonts w:hint="eastAsia" w:asciiTheme="minorHAnsi" w:hAnsiTheme="minorHAnsi" w:eastAsiaTheme="minorEastAsia" w:cstheme="minorBidi"/>
          <w:szCs w:val="21"/>
        </w:rPr>
        <w:t>投标人应充分考虑并预留技术处理和上传数据所需时间。</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 xml:space="preserve">4.2 </w:t>
      </w:r>
      <w:r>
        <w:rPr>
          <w:rFonts w:hint="eastAsia" w:asciiTheme="minorHAnsi" w:hAnsiTheme="minorHAnsi" w:eastAsiaTheme="minorEastAsia" w:cstheme="minorBidi"/>
          <w:szCs w:val="21"/>
        </w:rPr>
        <w:t>投标人对同一项目多个标段进行投标的，电子投标文件应按标段分别提交。</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 xml:space="preserve">4.3 </w:t>
      </w:r>
      <w:r>
        <w:rPr>
          <w:rFonts w:hint="eastAsia" w:asciiTheme="minorHAnsi" w:hAnsiTheme="minorHAnsi" w:eastAsiaTheme="minorEastAsia" w:cstheme="minorBidi"/>
          <w:szCs w:val="21"/>
        </w:rPr>
        <w:t>电子投标文件成功提交后，投标人应打印“投标文件提交回执单”，供开标现场备查。</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5.</w:t>
      </w:r>
      <w:r>
        <w:rPr>
          <w:rFonts w:hint="eastAsia" w:asciiTheme="minorHAnsi" w:hAnsiTheme="minorHAnsi" w:eastAsiaTheme="minorEastAsia" w:cstheme="minorBidi"/>
          <w:b/>
          <w:szCs w:val="21"/>
        </w:rPr>
        <w:t>评标依据</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5.1</w:t>
      </w:r>
      <w:r>
        <w:rPr>
          <w:rFonts w:hint="eastAsia" w:asciiTheme="minorHAnsi" w:hAnsiTheme="minorHAnsi" w:eastAsiaTheme="minorEastAsia" w:cstheme="minorBidi"/>
          <w:szCs w:val="21"/>
        </w:rPr>
        <w:t>采用全流程电子化交易评标时，评标委员会以电子投标文件为依据评标。</w:t>
      </w:r>
    </w:p>
    <w:p>
      <w:pPr>
        <w:adjustRightInd w:val="0"/>
        <w:snapToGrid w:val="0"/>
        <w:spacing w:line="408" w:lineRule="auto"/>
        <w:rPr>
          <w:rFonts w:ascii="宋体" w:hAnsi="宋体"/>
          <w:sz w:val="24"/>
        </w:rPr>
      </w:pPr>
      <w:r>
        <w:rPr>
          <w:rFonts w:hint="eastAsia" w:asciiTheme="minorHAnsi" w:hAnsiTheme="minorHAnsi" w:eastAsiaTheme="minorEastAsia" w:cstheme="minorBidi"/>
          <w:szCs w:val="21"/>
        </w:rPr>
        <w:t xml:space="preserve">     5.2全流程电子化交易如因系统异常情况无法完成，将以人工方式进行。评标委员会以投标人提供的电子版投标文件为依据评标。</w:t>
      </w:r>
    </w:p>
    <w:p>
      <w:pPr>
        <w:pStyle w:val="2"/>
      </w:pPr>
      <w:r>
        <w:br w:type="page"/>
      </w:r>
      <w:bookmarkStart w:id="36" w:name="_Toc152045527"/>
      <w:bookmarkStart w:id="37" w:name="_Toc152042303"/>
      <w:bookmarkStart w:id="38" w:name="_Toc144974495"/>
      <w:bookmarkStart w:id="39" w:name="_Toc529440034"/>
      <w:bookmarkStart w:id="40" w:name="_Toc247513950"/>
      <w:bookmarkStart w:id="41" w:name="_Toc247527551"/>
      <w:r>
        <w:rPr>
          <w:rFonts w:hint="eastAsia"/>
        </w:rPr>
        <w:t>第二章 投标人须知</w:t>
      </w:r>
      <w:bookmarkEnd w:id="36"/>
      <w:bookmarkEnd w:id="37"/>
      <w:bookmarkEnd w:id="38"/>
      <w:bookmarkEnd w:id="39"/>
      <w:bookmarkEnd w:id="40"/>
      <w:bookmarkEnd w:id="41"/>
    </w:p>
    <w:p>
      <w:pPr>
        <w:pStyle w:val="3"/>
      </w:pPr>
      <w:bookmarkStart w:id="42" w:name="_Toc529440035"/>
      <w:bookmarkStart w:id="43" w:name="_Toc247527552"/>
      <w:bookmarkStart w:id="44" w:name="_Toc152042304"/>
      <w:bookmarkStart w:id="45" w:name="_Toc144974496"/>
      <w:bookmarkStart w:id="46" w:name="_Toc152045528"/>
      <w:bookmarkStart w:id="47" w:name="_Toc247513951"/>
      <w:r>
        <w:rPr>
          <w:rFonts w:hint="eastAsia"/>
        </w:rPr>
        <w:t>投标人须知前附表</w:t>
      </w:r>
      <w:bookmarkEnd w:id="42"/>
      <w:bookmarkEnd w:id="43"/>
      <w:bookmarkEnd w:id="44"/>
      <w:bookmarkEnd w:id="45"/>
      <w:bookmarkEnd w:id="46"/>
      <w:bookmarkEnd w:id="47"/>
    </w:p>
    <w:tbl>
      <w:tblPr>
        <w:tblStyle w:val="56"/>
        <w:tblW w:w="9356" w:type="dxa"/>
        <w:tblInd w:w="108" w:type="dxa"/>
        <w:tblLayout w:type="fixed"/>
        <w:tblCellMar>
          <w:top w:w="0" w:type="dxa"/>
          <w:left w:w="108" w:type="dxa"/>
          <w:bottom w:w="0" w:type="dxa"/>
          <w:right w:w="108" w:type="dxa"/>
        </w:tblCellMar>
      </w:tblPr>
      <w:tblGrid>
        <w:gridCol w:w="851"/>
        <w:gridCol w:w="2410"/>
        <w:gridCol w:w="6095"/>
      </w:tblGrid>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条款号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条  款  名  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编  列  内  容</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招标人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招标人：许昌市财源开发建设有限公司</w:t>
            </w:r>
          </w:p>
          <w:p>
            <w:pPr>
              <w:spacing w:line="440" w:lineRule="exact"/>
              <w:rPr>
                <w:rFonts w:ascii="宋体" w:hAnsi="宋体"/>
                <w:szCs w:val="21"/>
              </w:rPr>
            </w:pPr>
            <w:r>
              <w:rPr>
                <w:rFonts w:hint="eastAsia" w:ascii="宋体" w:hAnsi="宋体"/>
                <w:szCs w:val="21"/>
              </w:rPr>
              <w:t>地  址：许昌市建安大道东段</w:t>
            </w:r>
          </w:p>
          <w:p>
            <w:pPr>
              <w:spacing w:line="440" w:lineRule="exact"/>
              <w:rPr>
                <w:rFonts w:ascii="宋体" w:hAnsi="宋体"/>
                <w:szCs w:val="21"/>
              </w:rPr>
            </w:pPr>
            <w:r>
              <w:rPr>
                <w:rFonts w:hint="eastAsia" w:ascii="宋体" w:hAnsi="宋体"/>
                <w:szCs w:val="21"/>
              </w:rPr>
              <w:t>联系人：李先生</w:t>
            </w:r>
          </w:p>
          <w:p>
            <w:pPr>
              <w:spacing w:line="440" w:lineRule="exact"/>
              <w:rPr>
                <w:rFonts w:ascii="宋体" w:hAnsi="宋体"/>
                <w:szCs w:val="21"/>
              </w:rPr>
            </w:pPr>
            <w:r>
              <w:rPr>
                <w:rFonts w:hint="eastAsia" w:ascii="宋体" w:hAnsi="宋体"/>
                <w:szCs w:val="21"/>
              </w:rPr>
              <w:t>联系电话：0374-2126021</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招标代理机构</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招标代理机构：中辰工程咨询有限公司</w:t>
            </w:r>
          </w:p>
          <w:p>
            <w:pPr>
              <w:spacing w:line="440" w:lineRule="exact"/>
              <w:rPr>
                <w:rFonts w:ascii="宋体" w:hAnsi="宋体"/>
                <w:szCs w:val="21"/>
              </w:rPr>
            </w:pPr>
            <w:r>
              <w:rPr>
                <w:rFonts w:hint="eastAsia" w:ascii="宋体" w:hAnsi="宋体"/>
                <w:szCs w:val="21"/>
              </w:rPr>
              <w:t>地址：郑州市中原路171号中原万达广场写字楼A座24层</w:t>
            </w:r>
          </w:p>
          <w:p>
            <w:pPr>
              <w:spacing w:line="440" w:lineRule="exact"/>
              <w:rPr>
                <w:rFonts w:ascii="宋体" w:hAnsi="宋体"/>
                <w:szCs w:val="21"/>
              </w:rPr>
            </w:pPr>
            <w:r>
              <w:rPr>
                <w:rFonts w:hint="eastAsia" w:ascii="宋体" w:hAnsi="宋体"/>
                <w:szCs w:val="21"/>
              </w:rPr>
              <w:t>项目负责人：</w:t>
            </w:r>
            <w:r>
              <w:rPr>
                <w:rFonts w:hint="eastAsia" w:hAnsi="宋体"/>
                <w:szCs w:val="21"/>
                <w:u w:val="single"/>
              </w:rPr>
              <w:t>（签字）</w:t>
            </w:r>
          </w:p>
          <w:p>
            <w:pPr>
              <w:spacing w:line="440" w:lineRule="exact"/>
              <w:rPr>
                <w:rFonts w:ascii="宋体" w:hAnsi="宋体"/>
                <w:szCs w:val="21"/>
              </w:rPr>
            </w:pPr>
            <w:r>
              <w:rPr>
                <w:rFonts w:hint="eastAsia" w:ascii="宋体" w:hAnsi="宋体"/>
                <w:szCs w:val="21"/>
              </w:rPr>
              <w:t>联系人：李女士、邓先生</w:t>
            </w:r>
          </w:p>
          <w:p>
            <w:pPr>
              <w:spacing w:line="440" w:lineRule="exact"/>
              <w:rPr>
                <w:rFonts w:ascii="宋体" w:hAnsi="宋体"/>
                <w:szCs w:val="21"/>
              </w:rPr>
            </w:pPr>
            <w:r>
              <w:rPr>
                <w:rFonts w:hint="eastAsia" w:ascii="宋体" w:hAnsi="宋体"/>
                <w:szCs w:val="21"/>
              </w:rPr>
              <w:t>联系电话：0371-86507708</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许昌市老年大学迁建项目室外景观、管网工程</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建设地点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许昌市东城区25-3#地块内，即莲城大道以北、钧都路以东、市职工活动中心以西位置</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1.2.1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资金来源</w:t>
            </w:r>
            <w:r>
              <w:rPr>
                <w:rFonts w:hint="eastAsia" w:ascii="宋体" w:hAnsi="宋体"/>
                <w:szCs w:val="21"/>
              </w:rPr>
              <w:t>及比例</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财政资金，100%</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1.2.</w:t>
            </w:r>
            <w:r>
              <w:rPr>
                <w:rFonts w:hint="eastAsia" w:ascii="宋体" w:hAnsi="宋体"/>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资金</w:t>
            </w:r>
            <w:r>
              <w:rPr>
                <w:rFonts w:ascii="宋体" w:hAnsi="宋体"/>
                <w:szCs w:val="21"/>
              </w:rPr>
              <w:t>落实情况</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已落实</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招标范围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招标文件、工程量清单、标段所对应施工图和设计变更、补充文件（如有）及答疑纪要（如有）范围内的所有建设内容</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1.3.2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标段划分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本次招标分为两个施工标段，其中一标段：室外景观工程；二标段：室外管网工程</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1.3.3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计划工期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二标段120日历天</w:t>
            </w:r>
          </w:p>
        </w:tc>
      </w:tr>
      <w:tr>
        <w:tblPrEx>
          <w:tblLayout w:type="fixed"/>
        </w:tblPrEx>
        <w:trPr>
          <w:trHeight w:val="426"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1.3.4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质量</w:t>
            </w:r>
            <w:r>
              <w:rPr>
                <w:rFonts w:hint="eastAsia" w:ascii="宋体" w:hAnsi="宋体"/>
                <w:szCs w:val="21"/>
              </w:rPr>
              <w:t>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合格（符合国家现行的验收规范和标准）</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1.4.1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投标人资质条件、能力和信誉</w:t>
            </w:r>
          </w:p>
        </w:tc>
        <w:tc>
          <w:tcPr>
            <w:tcW w:w="6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8" w:lineRule="auto"/>
              <w:rPr>
                <w:rFonts w:ascii="宋体" w:hAnsi="宋体"/>
                <w:szCs w:val="21"/>
              </w:rPr>
            </w:pPr>
            <w:r>
              <w:rPr>
                <w:rFonts w:hint="eastAsia" w:ascii="宋体" w:hAnsi="宋体"/>
                <w:szCs w:val="21"/>
              </w:rPr>
              <w:t>1、一标段：要求投标人须具备独立法人资格，具备有效的营业执照（经营范围需包含园林绿化或林木种植等相关内容，在人员、设备、资金等方面具有相应的施工能力）。</w:t>
            </w:r>
            <w:r>
              <w:rPr>
                <w:rFonts w:ascii="宋体" w:hAnsi="宋体"/>
                <w:szCs w:val="21"/>
              </w:rPr>
              <w:t>拟派项目负责人须具备</w:t>
            </w:r>
            <w:r>
              <w:rPr>
                <w:rFonts w:hint="eastAsia" w:ascii="宋体" w:hAnsi="宋体"/>
                <w:szCs w:val="21"/>
              </w:rPr>
              <w:t>市政公用工程专业二级及以上注册建造师执业资格证和</w:t>
            </w:r>
            <w:r>
              <w:rPr>
                <w:rFonts w:ascii="宋体" w:hAnsi="宋体"/>
                <w:szCs w:val="21"/>
              </w:rPr>
              <w:t>有效的安全生产考核合格证书</w:t>
            </w:r>
            <w:r>
              <w:rPr>
                <w:rFonts w:hint="eastAsia" w:ascii="宋体" w:hAnsi="宋体"/>
                <w:szCs w:val="21"/>
              </w:rPr>
              <w:t>，且未担任其他在施建设工程项目的项目负责人。</w:t>
            </w:r>
          </w:p>
          <w:p>
            <w:pPr>
              <w:adjustRightInd w:val="0"/>
              <w:snapToGrid w:val="0"/>
              <w:spacing w:line="408" w:lineRule="auto"/>
              <w:rPr>
                <w:rFonts w:ascii="宋体" w:hAnsi="宋体"/>
                <w:szCs w:val="21"/>
              </w:rPr>
            </w:pPr>
            <w:r>
              <w:rPr>
                <w:rFonts w:hint="eastAsia" w:ascii="宋体" w:hAnsi="宋体"/>
                <w:szCs w:val="21"/>
              </w:rPr>
              <w:t>二标段：要求投标人须具备独立法人资格，并具备建设行政主管部门颁发的市政公用工程施工总承包三级及以上资质，同时具备有效的安全生产许可证，在人员、设备、资金等方面具有相应的施工能力。</w:t>
            </w:r>
            <w:r>
              <w:rPr>
                <w:rFonts w:ascii="宋体" w:hAnsi="宋体"/>
                <w:szCs w:val="21"/>
              </w:rPr>
              <w:t>拟派项目负责人须具备</w:t>
            </w:r>
            <w:r>
              <w:rPr>
                <w:rFonts w:hint="eastAsia" w:ascii="宋体" w:hAnsi="宋体"/>
                <w:szCs w:val="21"/>
              </w:rPr>
              <w:t>市政公用工程专业二级及以上注册建造师执业资格证和</w:t>
            </w:r>
            <w:r>
              <w:rPr>
                <w:rFonts w:ascii="宋体" w:hAnsi="宋体"/>
                <w:szCs w:val="21"/>
              </w:rPr>
              <w:t>有效的安全生产考核合格证书</w:t>
            </w:r>
            <w:r>
              <w:rPr>
                <w:rFonts w:hint="eastAsia" w:ascii="宋体" w:hAnsi="宋体"/>
                <w:szCs w:val="21"/>
              </w:rPr>
              <w:t>，且未担任其他在施建设工程项目的项目负责人。</w:t>
            </w:r>
          </w:p>
          <w:p>
            <w:pPr>
              <w:adjustRightInd w:val="0"/>
              <w:snapToGrid w:val="0"/>
              <w:spacing w:line="408" w:lineRule="auto"/>
              <w:rPr>
                <w:rFonts w:ascii="宋体" w:hAnsi="宋体"/>
                <w:szCs w:val="21"/>
              </w:rPr>
            </w:pPr>
            <w:r>
              <w:rPr>
                <w:rFonts w:hint="eastAsia" w:ascii="宋体" w:hAnsi="宋体"/>
                <w:szCs w:val="21"/>
              </w:rPr>
              <w:t>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djustRightInd w:val="0"/>
              <w:snapToGrid w:val="0"/>
              <w:spacing w:line="408" w:lineRule="auto"/>
              <w:rPr>
                <w:rFonts w:ascii="宋体" w:hAnsi="宋体"/>
                <w:szCs w:val="21"/>
              </w:rPr>
            </w:pPr>
            <w:r>
              <w:rPr>
                <w:rFonts w:hint="eastAsia" w:ascii="宋体" w:hAnsi="宋体"/>
                <w:szCs w:val="21"/>
              </w:rPr>
              <w:t>3、投标人可以投报并中取本项目多个标段，项目负责人可以重复。</w:t>
            </w:r>
          </w:p>
          <w:p>
            <w:pPr>
              <w:adjustRightInd w:val="0"/>
              <w:snapToGrid w:val="0"/>
              <w:spacing w:line="408" w:lineRule="auto"/>
              <w:rPr>
                <w:rFonts w:ascii="宋体" w:hAnsi="宋体"/>
                <w:szCs w:val="21"/>
              </w:rPr>
            </w:pPr>
            <w:r>
              <w:rPr>
                <w:rFonts w:hint="eastAsia" w:ascii="宋体" w:hAnsi="宋体"/>
                <w:szCs w:val="21"/>
              </w:rPr>
              <w:t>4、本次招标实行资格后审。</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1.4.2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是否接受联合体投标</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不接受</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踏勘</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不组织，由投标人自行踏勘</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1.10.1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投标预备会</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w:t>
            </w:r>
            <w:r>
              <w:rPr>
                <w:rFonts w:hAnsi="宋体"/>
                <w:sz w:val="21"/>
                <w:szCs w:val="21"/>
              </w:rPr>
              <w:t>召开</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1.10.2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投标人提出问题的截止时间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递交投标文件截止时间10日前</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1.10.3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招标人书面澄清的时间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递交投标文件截止时间15日前</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w:t>
            </w:r>
            <w:r>
              <w:rPr>
                <w:rFonts w:hint="eastAsia"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分包</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不允许</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1.12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偏离</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不允许</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2.1</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黑体"/>
                <w:szCs w:val="21"/>
              </w:rPr>
            </w:pPr>
            <w:r>
              <w:rPr>
                <w:rFonts w:hint="eastAsia" w:hAnsi="宋体" w:cs="仿宋_GB2312"/>
                <w:szCs w:val="21"/>
              </w:rPr>
              <w:t>招标文件及图纸的获取</w:t>
            </w:r>
          </w:p>
        </w:tc>
        <w:tc>
          <w:tcPr>
            <w:tcW w:w="6095" w:type="dxa"/>
            <w:tcBorders>
              <w:top w:val="single" w:color="auto" w:sz="4" w:space="0"/>
              <w:left w:val="single" w:color="auto" w:sz="4" w:space="0"/>
              <w:bottom w:val="single" w:color="auto" w:sz="4" w:space="0"/>
              <w:right w:val="single" w:color="auto" w:sz="4" w:space="0"/>
            </w:tcBorders>
          </w:tcPr>
          <w:p>
            <w:pPr>
              <w:widowControl/>
              <w:spacing w:line="360" w:lineRule="auto"/>
              <w:rPr>
                <w:rFonts w:hAnsi="宋体"/>
                <w:bCs/>
                <w:szCs w:val="21"/>
              </w:rPr>
            </w:pPr>
            <w:r>
              <w:rPr>
                <w:rFonts w:hint="eastAsia"/>
              </w:rPr>
              <w:t>招标文件和工程量清单的获取：投标人于投标文件递交截止时间前均可登录【全国公共资源交易平台</w:t>
            </w:r>
            <w:r>
              <w:t>(</w:t>
            </w:r>
            <w:r>
              <w:rPr>
                <w:rFonts w:hint="eastAsia"/>
              </w:rPr>
              <w:t>河南省</w:t>
            </w:r>
            <w:r>
              <w:rPr>
                <w:rFonts w:hint="eastAsia" w:ascii="MS Mincho" w:hAnsi="MS Mincho" w:eastAsia="MS Mincho" w:cs="MS Mincho"/>
              </w:rPr>
              <w:t>▪</w:t>
            </w:r>
            <w:r>
              <w:rPr>
                <w:rFonts w:hint="eastAsia"/>
              </w:rPr>
              <w:t>许昌市</w:t>
            </w:r>
            <w:r>
              <w:t>)</w:t>
            </w:r>
            <w:r>
              <w:rPr>
                <w:rFonts w:hint="eastAsia"/>
              </w:rPr>
              <w:t>】（</w:t>
            </w:r>
            <w:r>
              <w:fldChar w:fldCharType="begin"/>
            </w:r>
            <w:r>
              <w:instrText xml:space="preserve"> HYPERLINK "http://www.xczbtb.com/" </w:instrText>
            </w:r>
            <w:r>
              <w:fldChar w:fldCharType="separate"/>
            </w:r>
            <w:r>
              <w:rPr>
                <w:rStyle w:val="62"/>
              </w:rPr>
              <w:t>http://www.</w:t>
            </w:r>
            <w:r>
              <w:rPr>
                <w:rStyle w:val="62"/>
                <w:rFonts w:hint="eastAsia"/>
              </w:rPr>
              <w:t>xcggzy</w:t>
            </w:r>
            <w:r>
              <w:rPr>
                <w:rStyle w:val="62"/>
              </w:rPr>
              <w:t>.</w:t>
            </w:r>
            <w:r>
              <w:rPr>
                <w:rStyle w:val="62"/>
                <w:rFonts w:hint="eastAsia"/>
              </w:rPr>
              <w:t>gov.</w:t>
            </w:r>
            <w:r>
              <w:rPr>
                <w:rStyle w:val="62"/>
              </w:rPr>
              <w:t>c</w:t>
            </w:r>
            <w:r>
              <w:rPr>
                <w:rStyle w:val="62"/>
                <w:rFonts w:hint="eastAsia"/>
              </w:rPr>
              <w:t>n</w:t>
            </w:r>
            <w:r>
              <w:rPr>
                <w:rStyle w:val="62"/>
              </w:rPr>
              <w:t>/</w:t>
            </w:r>
            <w:r>
              <w:rPr>
                <w:rStyle w:val="62"/>
              </w:rPr>
              <w:fldChar w:fldCharType="end"/>
            </w:r>
            <w:r>
              <w:rPr>
                <w:rFonts w:hint="eastAsia"/>
              </w:rPr>
              <w:t>），通过“投标人</w:t>
            </w:r>
            <w:r>
              <w:t>/</w:t>
            </w:r>
            <w:r>
              <w:rPr>
                <w:rFonts w:hint="eastAsia"/>
              </w:rPr>
              <w:t>供应商登录”后自行下载。图纸下载地址：</w:t>
            </w:r>
            <w:r>
              <w:t>https://pan.baidu.com/s/1J_8DzPua8749C6wrp75blA</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2.1.1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构成招标文件的其他</w:t>
            </w:r>
            <w:r>
              <w:rPr>
                <w:rFonts w:hint="eastAsia" w:ascii="宋体" w:hAnsi="宋体"/>
                <w:szCs w:val="21"/>
              </w:rPr>
              <w:t>资</w:t>
            </w:r>
            <w:r>
              <w:rPr>
                <w:rFonts w:ascii="宋体" w:hAnsi="宋体"/>
                <w:szCs w:val="21"/>
              </w:rPr>
              <w:t>料</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hAnsi="宋体" w:cs="仿宋_GB2312"/>
                <w:szCs w:val="21"/>
              </w:rPr>
              <w:t>经备案的招标文件补充和修改文件（如有）。</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2.2.1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投标人要求澄清招标文件的截止时间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hAnsi="宋体" w:cs="仿宋_GB2312"/>
                <w:szCs w:val="21"/>
              </w:rPr>
              <w:t>潜在投标人或者其他利害关系人对招标文件有异议的，应当在投标截止时间10日前提出。</w:t>
            </w:r>
            <w:r>
              <w:rPr>
                <w:rFonts w:hint="eastAsia"/>
              </w:rPr>
              <w:t>招标人应当自收到异议之日起</w:t>
            </w:r>
            <w:r>
              <w:t>3</w:t>
            </w:r>
            <w:r>
              <w:rPr>
                <w:rFonts w:hint="eastAsia"/>
              </w:rPr>
              <w:t>日内作出答复。</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2.2.2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投标截止时间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Cs w:val="21"/>
              </w:rPr>
            </w:pPr>
            <w:r>
              <w:rPr>
                <w:rFonts w:hint="eastAsia" w:ascii="宋体" w:hAnsi="宋体"/>
                <w:b/>
                <w:szCs w:val="21"/>
              </w:rPr>
              <w:t>2019年12月4日08时30分(北京时间)</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2.2.3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投标人确认收到招标文件澄清的时间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2.3.2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投标人确认收到招标文件修改的时间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3.1</w:t>
            </w:r>
            <w:r>
              <w:rPr>
                <w:rFonts w:hint="eastAsia"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构成投标文件的其他</w:t>
            </w:r>
            <w:r>
              <w:rPr>
                <w:rFonts w:hint="eastAsia" w:ascii="宋体" w:hAnsi="宋体"/>
                <w:szCs w:val="21"/>
              </w:rPr>
              <w:t>资</w:t>
            </w:r>
            <w:r>
              <w:rPr>
                <w:rFonts w:ascii="宋体" w:hAnsi="宋体"/>
                <w:szCs w:val="21"/>
              </w:rPr>
              <w:t>料</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3.3</w:t>
            </w:r>
            <w:r>
              <w:rPr>
                <w:rFonts w:hint="eastAsia"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投标有效期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120日历天（从投标截止之日算起）</w:t>
            </w:r>
          </w:p>
        </w:tc>
      </w:tr>
      <w:tr>
        <w:tblPrEx>
          <w:tblLayout w:type="fixed"/>
          <w:tblCellMar>
            <w:top w:w="0" w:type="dxa"/>
            <w:left w:w="108" w:type="dxa"/>
            <w:bottom w:w="0" w:type="dxa"/>
            <w:right w:w="108" w:type="dxa"/>
          </w:tblCellMar>
        </w:tblPrEx>
        <w:trPr>
          <w:trHeight w:val="716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3.4.1</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黑体"/>
                <w:szCs w:val="21"/>
              </w:rPr>
            </w:pPr>
            <w:r>
              <w:rPr>
                <w:rFonts w:hint="eastAsia" w:hAnsi="宋体" w:cs="仿宋_GB2312"/>
                <w:szCs w:val="21"/>
              </w:rPr>
              <w:t>投标保证金须知</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仿宋_GB2312"/>
                <w:szCs w:val="21"/>
              </w:rPr>
            </w:pPr>
            <w:r>
              <w:rPr>
                <w:rFonts w:hAnsi="宋体" w:cs="仿宋_GB2312"/>
                <w:szCs w:val="21"/>
              </w:rPr>
              <w:t>1</w:t>
            </w:r>
            <w:r>
              <w:rPr>
                <w:rFonts w:hint="eastAsia" w:hAnsi="宋体" w:cs="仿宋_GB2312"/>
                <w:szCs w:val="21"/>
              </w:rPr>
              <w:t>、自文件发布之日起，投标人需进行基本户备案（建设工程项目），已备案的基本户开户银行、账户发生变化的，须在投标保证金缴纳前办理变更手续。</w:t>
            </w:r>
          </w:p>
          <w:p>
            <w:pPr>
              <w:spacing w:line="440" w:lineRule="exact"/>
              <w:rPr>
                <w:rFonts w:hAnsi="宋体" w:cs="仿宋_GB2312"/>
                <w:szCs w:val="21"/>
              </w:rPr>
            </w:pPr>
            <w:r>
              <w:rPr>
                <w:rFonts w:hAnsi="宋体" w:cs="仿宋_GB2312"/>
                <w:szCs w:val="21"/>
              </w:rPr>
              <w:t>2</w:t>
            </w:r>
            <w:r>
              <w:rPr>
                <w:rFonts w:hint="eastAsia" w:hAnsi="宋体" w:cs="仿宋_GB2312"/>
                <w:szCs w:val="21"/>
              </w:rPr>
              <w:t>、基本户备案流程：</w:t>
            </w:r>
          </w:p>
          <w:p>
            <w:pPr>
              <w:spacing w:line="440" w:lineRule="exact"/>
              <w:rPr>
                <w:rFonts w:hAnsi="宋体" w:cs="仿宋_GB2312"/>
                <w:szCs w:val="21"/>
              </w:rPr>
            </w:pPr>
            <w:r>
              <w:rPr>
                <w:rFonts w:hint="eastAsia" w:hAnsi="宋体" w:cs="仿宋_GB2312"/>
                <w:szCs w:val="21"/>
              </w:rPr>
              <w:t>工程建设项目的投标人登录注册网址：</w:t>
            </w:r>
            <w:r>
              <w:rPr>
                <w:rFonts w:hAnsi="宋体" w:cs="仿宋_GB2312"/>
                <w:szCs w:val="21"/>
              </w:rPr>
              <w:t>http://221.14.6.70:8088/ggzy/</w:t>
            </w:r>
            <w:r>
              <w:rPr>
                <w:rFonts w:hint="eastAsia" w:hAnsi="宋体" w:cs="仿宋_GB2312"/>
                <w:szCs w:val="21"/>
              </w:rPr>
              <w:t>，进行系统用户注册，在注册流程中“银行账户”环节，增加“账户类别</w:t>
            </w:r>
            <w:r>
              <w:rPr>
                <w:rFonts w:hAnsi="宋体" w:cs="仿宋_GB2312"/>
                <w:szCs w:val="21"/>
              </w:rPr>
              <w:t>-</w:t>
            </w:r>
            <w:r>
              <w:rPr>
                <w:rFonts w:hint="eastAsia" w:hAnsi="宋体" w:cs="仿宋_GB2312"/>
                <w:szCs w:val="21"/>
              </w:rPr>
              <w:t>基本账户”，填写投标人基本账户信息，扫描上传基本户开户许可证（两者信息必须相符），保存备案信息，提交并绑定</w:t>
            </w:r>
            <w:r>
              <w:rPr>
                <w:rFonts w:hAnsi="宋体" w:cs="仿宋_GB2312"/>
                <w:szCs w:val="21"/>
              </w:rPr>
              <w:t>CA</w:t>
            </w:r>
            <w:r>
              <w:rPr>
                <w:rFonts w:hint="eastAsia" w:hAnsi="宋体" w:cs="仿宋_GB2312"/>
                <w:szCs w:val="21"/>
              </w:rPr>
              <w:t>后可缴纳、绑定投标保证金。</w:t>
            </w:r>
          </w:p>
          <w:p>
            <w:pPr>
              <w:spacing w:line="440" w:lineRule="exact"/>
              <w:rPr>
                <w:rFonts w:hAnsi="宋体" w:cs="仿宋_GB2312"/>
                <w:szCs w:val="21"/>
              </w:rPr>
            </w:pPr>
            <w:r>
              <w:rPr>
                <w:rFonts w:hAnsi="宋体" w:cs="仿宋_GB2312"/>
                <w:szCs w:val="21"/>
              </w:rPr>
              <w:t>3</w:t>
            </w:r>
            <w:r>
              <w:rPr>
                <w:rFonts w:hint="eastAsia" w:hAnsi="宋体" w:cs="仿宋_GB2312"/>
                <w:szCs w:val="21"/>
              </w:rPr>
              <w:t>、特殊情况处理：</w:t>
            </w:r>
          </w:p>
          <w:p>
            <w:pPr>
              <w:spacing w:line="440" w:lineRule="exact"/>
              <w:rPr>
                <w:rFonts w:hAnsi="宋体" w:cs="仿宋_GB2312"/>
                <w:szCs w:val="21"/>
              </w:rPr>
            </w:pPr>
            <w:r>
              <w:rPr>
                <w:rFonts w:hint="eastAsia" w:hAnsi="宋体" w:cs="仿宋_GB2312"/>
                <w:szCs w:val="21"/>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szCs w:val="21"/>
              </w:rPr>
              <w:t>0374-2968027</w:t>
            </w:r>
            <w:r>
              <w:rPr>
                <w:rFonts w:hint="eastAsia" w:hAnsi="宋体" w:cs="仿宋_GB2312"/>
                <w:szCs w:val="21"/>
              </w:rPr>
              <w:t>）。</w:t>
            </w:r>
          </w:p>
          <w:p>
            <w:pPr>
              <w:spacing w:line="440" w:lineRule="exact"/>
              <w:rPr>
                <w:rFonts w:hAnsi="宋体" w:cs="仿宋_GB2312"/>
                <w:szCs w:val="21"/>
              </w:rPr>
            </w:pPr>
            <w:r>
              <w:rPr>
                <w:rFonts w:hAnsi="宋体" w:cs="仿宋_GB2312"/>
                <w:szCs w:val="21"/>
              </w:rPr>
              <w:t>4</w:t>
            </w:r>
            <w:r>
              <w:rPr>
                <w:rFonts w:hint="eastAsia" w:hAnsi="宋体" w:cs="仿宋_GB2312"/>
                <w:szCs w:val="21"/>
              </w:rPr>
              <w:t>、因投标人的原因无法及时退还投标（竞买）保证金、滞留三年以上的，投标（竞买）保证金上缴同级国库。</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3.4.2</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szCs w:val="21"/>
              </w:rPr>
            </w:pPr>
            <w:r>
              <w:rPr>
                <w:rFonts w:hint="eastAsia" w:hAnsi="宋体" w:cs="仿宋_GB2312"/>
                <w:szCs w:val="21"/>
              </w:rPr>
              <w:t>投标保证金</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仿宋_GB2312"/>
                <w:szCs w:val="21"/>
              </w:rPr>
            </w:pPr>
            <w:r>
              <w:rPr>
                <w:rFonts w:hint="eastAsia" w:hAnsi="宋体" w:cs="仿宋_GB2312"/>
                <w:szCs w:val="21"/>
              </w:rPr>
              <w:t>投标保证金递交截止时间：（</w:t>
            </w:r>
            <w:r>
              <w:rPr>
                <w:rFonts w:hint="eastAsia" w:hAnsi="宋体"/>
                <w:bCs/>
                <w:szCs w:val="21"/>
              </w:rPr>
              <w:t>同</w:t>
            </w:r>
            <w:r>
              <w:rPr>
                <w:rFonts w:hint="eastAsia" w:hAnsi="宋体" w:cs="仿宋_GB2312"/>
                <w:szCs w:val="21"/>
              </w:rPr>
              <w:t>投标截止时间）。</w:t>
            </w:r>
          </w:p>
          <w:p>
            <w:pPr>
              <w:autoSpaceDE w:val="0"/>
              <w:autoSpaceDN w:val="0"/>
              <w:adjustRightInd w:val="0"/>
              <w:spacing w:line="360" w:lineRule="auto"/>
              <w:jc w:val="left"/>
              <w:rPr>
                <w:rFonts w:hAnsi="宋体" w:cs="仿宋_GB2312"/>
                <w:b/>
                <w:bCs/>
                <w:szCs w:val="21"/>
                <w:highlight w:val="yellow"/>
              </w:rPr>
            </w:pPr>
            <w:r>
              <w:rPr>
                <w:rFonts w:hint="eastAsia" w:hAnsi="宋体" w:cs="仿宋_GB2312"/>
                <w:b/>
                <w:bCs/>
                <w:szCs w:val="21"/>
              </w:rPr>
              <w:t>金额：二标段：壹拾贰万元整（￥120000.00元）</w:t>
            </w:r>
          </w:p>
          <w:p>
            <w:pPr>
              <w:pStyle w:val="19"/>
              <w:topLinePunct/>
              <w:spacing w:line="400" w:lineRule="exact"/>
              <w:rPr>
                <w:rFonts w:hAnsi="宋体"/>
                <w:sz w:val="21"/>
                <w:szCs w:val="21"/>
              </w:rPr>
            </w:pPr>
            <w:r>
              <w:rPr>
                <w:rFonts w:hAnsi="宋体"/>
                <w:sz w:val="21"/>
                <w:szCs w:val="21"/>
              </w:rPr>
              <w:t>1</w:t>
            </w:r>
            <w:r>
              <w:rPr>
                <w:rFonts w:hint="eastAsia" w:hAnsi="宋体"/>
                <w:sz w:val="21"/>
                <w:szCs w:val="21"/>
              </w:rPr>
              <w:t>、投标保证金的递交方式：银行转帐、银行电汇（均需从投标人的基本账户汇出），不接受以现金方式缴纳的投标保证金。凡以现金方式缴纳投标保证金而影响其投标结果的，由投标人自行负责。</w:t>
            </w:r>
          </w:p>
          <w:p>
            <w:pPr>
              <w:pStyle w:val="19"/>
              <w:topLinePunct/>
              <w:spacing w:line="400" w:lineRule="exact"/>
              <w:rPr>
                <w:rFonts w:hAnsi="宋体"/>
                <w:sz w:val="21"/>
                <w:szCs w:val="21"/>
              </w:rPr>
            </w:pPr>
            <w:r>
              <w:rPr>
                <w:rFonts w:hint="eastAsia" w:hAnsi="宋体"/>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pPr>
              <w:pStyle w:val="19"/>
              <w:topLinePunct/>
              <w:spacing w:line="400" w:lineRule="exact"/>
              <w:rPr>
                <w:rFonts w:hAnsi="宋体"/>
                <w:sz w:val="21"/>
                <w:szCs w:val="21"/>
              </w:rPr>
            </w:pPr>
            <w:r>
              <w:rPr>
                <w:rFonts w:hAnsi="宋体"/>
                <w:sz w:val="21"/>
                <w:szCs w:val="21"/>
              </w:rPr>
              <w:t>2</w:t>
            </w:r>
            <w:r>
              <w:rPr>
                <w:rFonts w:hint="eastAsia" w:hAnsi="宋体"/>
                <w:sz w:val="21"/>
                <w:szCs w:val="21"/>
              </w:rPr>
              <w:t>、投标保证金缴纳方式：</w:t>
            </w:r>
          </w:p>
          <w:p>
            <w:pPr>
              <w:pStyle w:val="19"/>
              <w:topLinePunct/>
              <w:spacing w:line="400" w:lineRule="exact"/>
              <w:rPr>
                <w:rFonts w:hAnsi="宋体"/>
                <w:sz w:val="21"/>
                <w:szCs w:val="21"/>
              </w:rPr>
            </w:pPr>
            <w:r>
              <w:rPr>
                <w:rFonts w:hAnsi="宋体"/>
                <w:sz w:val="21"/>
                <w:szCs w:val="21"/>
              </w:rPr>
              <w:t>2.1</w:t>
            </w:r>
            <w:r>
              <w:rPr>
                <w:rFonts w:hint="eastAsia" w:hAnsi="宋体"/>
                <w:sz w:val="21"/>
                <w:szCs w:val="21"/>
              </w:rPr>
              <w:t>投标人网上报名后，登录</w:t>
            </w:r>
            <w:r>
              <w:fldChar w:fldCharType="begin"/>
            </w:r>
            <w:r>
              <w:instrText xml:space="preserve"> HYPERLINK "http://221.14.6.70:8088/ggzy" </w:instrText>
            </w:r>
            <w:r>
              <w:fldChar w:fldCharType="separate"/>
            </w:r>
            <w:r>
              <w:rPr>
                <w:rFonts w:hAnsi="宋体"/>
                <w:sz w:val="21"/>
                <w:szCs w:val="21"/>
              </w:rPr>
              <w:t>http://221.14.6.70:8088/ggzy</w:t>
            </w:r>
            <w:r>
              <w:rPr>
                <w:rFonts w:hAnsi="宋体"/>
                <w:sz w:val="21"/>
                <w:szCs w:val="21"/>
              </w:rPr>
              <w:fldChar w:fldCharType="end"/>
            </w:r>
            <w:r>
              <w:rPr>
                <w:rFonts w:hint="eastAsia" w:hAnsi="宋体"/>
                <w:sz w:val="21"/>
                <w:szCs w:val="21"/>
              </w:rPr>
              <w:t>系统，依次点击“会员向导”→“参与投标”→“费用缴纳说明”→“保证金缴纳说明单”，获取缴费说明单，根据每个标段的缴纳说明单在缴纳截止时间前缴纳；</w:t>
            </w:r>
          </w:p>
          <w:p>
            <w:pPr>
              <w:pStyle w:val="19"/>
              <w:topLinePunct/>
              <w:spacing w:line="400" w:lineRule="exact"/>
              <w:rPr>
                <w:rFonts w:hAnsi="宋体"/>
                <w:sz w:val="21"/>
                <w:szCs w:val="21"/>
              </w:rPr>
            </w:pPr>
            <w:r>
              <w:rPr>
                <w:rFonts w:hAnsi="宋体"/>
                <w:sz w:val="21"/>
                <w:szCs w:val="21"/>
              </w:rPr>
              <w:t>2.2</w:t>
            </w:r>
            <w:r>
              <w:rPr>
                <w:rFonts w:hint="eastAsia" w:hAnsi="宋体"/>
                <w:sz w:val="21"/>
                <w:szCs w:val="21"/>
              </w:rPr>
              <w:t>成功缴纳后重新登录前述系统，依次点击“会员向导”→“参与投标”→“保证金绑定”→“绑定”进行投标保证金绑定。</w:t>
            </w:r>
          </w:p>
          <w:p>
            <w:pPr>
              <w:pStyle w:val="19"/>
              <w:topLinePunct/>
              <w:spacing w:line="400" w:lineRule="exact"/>
              <w:rPr>
                <w:rFonts w:hAnsi="宋体"/>
                <w:sz w:val="21"/>
                <w:szCs w:val="21"/>
              </w:rPr>
            </w:pPr>
            <w:r>
              <w:rPr>
                <w:rFonts w:hAnsi="宋体"/>
                <w:sz w:val="21"/>
                <w:szCs w:val="21"/>
              </w:rPr>
              <w:t>2.3</w:t>
            </w:r>
            <w:r>
              <w:rPr>
                <w:rFonts w:hint="eastAsia" w:hAnsi="宋体"/>
                <w:sz w:val="21"/>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pStyle w:val="19"/>
              <w:topLinePunct/>
              <w:spacing w:line="400" w:lineRule="exact"/>
              <w:rPr>
                <w:rFonts w:hAnsi="宋体"/>
                <w:sz w:val="21"/>
                <w:szCs w:val="21"/>
              </w:rPr>
            </w:pPr>
            <w:r>
              <w:rPr>
                <w:rFonts w:hAnsi="宋体"/>
                <w:sz w:val="21"/>
                <w:szCs w:val="21"/>
              </w:rPr>
              <w:t>2.4</w:t>
            </w:r>
            <w:r>
              <w:rPr>
                <w:rFonts w:hint="eastAsia" w:hAnsi="宋体"/>
                <w:sz w:val="21"/>
                <w:szCs w:val="21"/>
              </w:rPr>
              <w:t>每个投标人每个项目每个标段只有唯一缴纳账号，切勿重复缴纳或错误缴纳。</w:t>
            </w:r>
          </w:p>
          <w:p>
            <w:pPr>
              <w:pStyle w:val="19"/>
              <w:topLinePunct/>
              <w:spacing w:line="400" w:lineRule="exact"/>
              <w:rPr>
                <w:rFonts w:hAnsi="宋体"/>
                <w:sz w:val="21"/>
                <w:szCs w:val="21"/>
              </w:rPr>
            </w:pPr>
            <w:r>
              <w:rPr>
                <w:rFonts w:hAnsi="宋体"/>
                <w:sz w:val="21"/>
                <w:szCs w:val="21"/>
              </w:rPr>
              <w:t>3</w:t>
            </w:r>
            <w:r>
              <w:rPr>
                <w:rFonts w:hint="eastAsia" w:hAnsi="宋体"/>
                <w:sz w:val="21"/>
                <w:szCs w:val="21"/>
              </w:rPr>
              <w:t>、未按上述规定操作引起的无效投标，由投标人自行负责。</w:t>
            </w:r>
          </w:p>
          <w:p>
            <w:pPr>
              <w:pStyle w:val="19"/>
              <w:topLinePunct/>
              <w:spacing w:line="400" w:lineRule="exact"/>
              <w:rPr>
                <w:rFonts w:hAnsi="宋体"/>
                <w:sz w:val="21"/>
                <w:szCs w:val="21"/>
              </w:rPr>
            </w:pPr>
            <w:r>
              <w:rPr>
                <w:rFonts w:hAnsi="宋体"/>
                <w:sz w:val="21"/>
                <w:szCs w:val="21"/>
              </w:rPr>
              <w:t>4</w:t>
            </w:r>
            <w:r>
              <w:rPr>
                <w:rFonts w:hint="eastAsia" w:hAnsi="宋体"/>
                <w:sz w:val="21"/>
                <w:szCs w:val="21"/>
              </w:rPr>
              <w:t>、汇款凭证无须备注项目编号和项目名称。</w:t>
            </w:r>
          </w:p>
          <w:p>
            <w:pPr>
              <w:pStyle w:val="19"/>
              <w:topLinePunct/>
              <w:spacing w:line="400" w:lineRule="exact"/>
              <w:rPr>
                <w:rFonts w:hAnsi="宋体"/>
                <w:sz w:val="21"/>
                <w:szCs w:val="21"/>
              </w:rPr>
            </w:pPr>
            <w:r>
              <w:rPr>
                <w:rFonts w:hAnsi="宋体"/>
                <w:sz w:val="21"/>
                <w:szCs w:val="21"/>
              </w:rPr>
              <w:t>5</w:t>
            </w:r>
            <w:r>
              <w:rPr>
                <w:rFonts w:hint="eastAsia" w:hAnsi="宋体"/>
                <w:sz w:val="21"/>
                <w:szCs w:val="21"/>
              </w:rPr>
              <w:t>、出现以下情形造成的投标保证金无效，由投标人自行负责。</w:t>
            </w:r>
          </w:p>
          <w:p>
            <w:pPr>
              <w:pStyle w:val="19"/>
              <w:topLinePunct/>
              <w:spacing w:line="400" w:lineRule="exact"/>
              <w:rPr>
                <w:rFonts w:hAnsi="宋体"/>
                <w:sz w:val="21"/>
                <w:szCs w:val="21"/>
              </w:rPr>
            </w:pPr>
            <w:r>
              <w:rPr>
                <w:rFonts w:hAnsi="宋体"/>
                <w:sz w:val="21"/>
                <w:szCs w:val="21"/>
              </w:rPr>
              <w:t>(1)</w:t>
            </w:r>
            <w:r>
              <w:rPr>
                <w:rFonts w:hint="eastAsia" w:hAnsi="宋体"/>
                <w:sz w:val="21"/>
                <w:szCs w:val="21"/>
              </w:rPr>
              <w:t>投标保证金未从投标人的基本账户转出；</w:t>
            </w:r>
          </w:p>
          <w:p>
            <w:pPr>
              <w:pStyle w:val="19"/>
              <w:topLinePunct/>
              <w:spacing w:line="400" w:lineRule="exact"/>
              <w:rPr>
                <w:rFonts w:hAnsi="宋体"/>
                <w:sz w:val="21"/>
                <w:szCs w:val="21"/>
              </w:rPr>
            </w:pPr>
            <w:r>
              <w:rPr>
                <w:rFonts w:hAnsi="宋体"/>
                <w:sz w:val="21"/>
                <w:szCs w:val="21"/>
              </w:rPr>
              <w:t>(2)</w:t>
            </w:r>
            <w:r>
              <w:rPr>
                <w:rFonts w:hint="eastAsia" w:hAnsi="宋体"/>
                <w:sz w:val="21"/>
                <w:szCs w:val="21"/>
              </w:rPr>
              <w:t>投标保证金未按照招标文件划分的标段转账。</w:t>
            </w:r>
          </w:p>
          <w:p>
            <w:pPr>
              <w:pStyle w:val="19"/>
              <w:topLinePunct/>
              <w:spacing w:line="400" w:lineRule="exact"/>
              <w:rPr>
                <w:rFonts w:hAnsi="宋体"/>
                <w:sz w:val="21"/>
                <w:szCs w:val="21"/>
              </w:rPr>
            </w:pPr>
            <w:r>
              <w:rPr>
                <w:rFonts w:hAnsi="宋体"/>
                <w:sz w:val="21"/>
                <w:szCs w:val="21"/>
              </w:rPr>
              <w:t>6</w:t>
            </w:r>
            <w:r>
              <w:rPr>
                <w:rFonts w:hint="eastAsia" w:hAnsi="宋体"/>
                <w:sz w:val="21"/>
                <w:szCs w:val="21"/>
              </w:rPr>
              <w:t>、《保证金缴纳绑定操作指南》获取方法：</w:t>
            </w:r>
          </w:p>
          <w:p>
            <w:pPr>
              <w:pStyle w:val="19"/>
              <w:topLinePunct/>
              <w:spacing w:line="400" w:lineRule="exact"/>
              <w:rPr>
                <w:rFonts w:hAnsi="宋体"/>
                <w:sz w:val="21"/>
                <w:szCs w:val="21"/>
              </w:rPr>
            </w:pPr>
            <w:r>
              <w:rPr>
                <w:rFonts w:hint="eastAsia" w:hAnsi="宋体"/>
                <w:sz w:val="21"/>
                <w:szCs w:val="21"/>
              </w:rPr>
              <w:t>登录许昌公共资源交易系统</w:t>
            </w:r>
            <w:r>
              <w:rPr>
                <w:rFonts w:hAnsi="宋体"/>
                <w:sz w:val="21"/>
                <w:szCs w:val="21"/>
              </w:rPr>
              <w:t>-</w:t>
            </w:r>
            <w:r>
              <w:rPr>
                <w:rFonts w:hint="eastAsia" w:hAnsi="宋体"/>
                <w:sz w:val="21"/>
                <w:szCs w:val="21"/>
              </w:rPr>
              <w:t>组件下载</w:t>
            </w:r>
            <w:r>
              <w:rPr>
                <w:rFonts w:hAnsi="宋体"/>
                <w:sz w:val="21"/>
                <w:szCs w:val="21"/>
              </w:rPr>
              <w:t>-</w:t>
            </w:r>
            <w:r>
              <w:rPr>
                <w:rFonts w:hint="eastAsia" w:hAnsi="宋体"/>
                <w:sz w:val="21"/>
                <w:szCs w:val="21"/>
              </w:rPr>
              <w:t>《保证金缴纳绑定操作指南》。</w:t>
            </w:r>
          </w:p>
          <w:p>
            <w:pPr>
              <w:pStyle w:val="19"/>
              <w:topLinePunct/>
              <w:spacing w:line="400" w:lineRule="exact"/>
              <w:rPr>
                <w:rFonts w:cs="宋体"/>
                <w:szCs w:val="21"/>
                <w:lang w:val="zh-CN"/>
              </w:rPr>
            </w:pPr>
            <w:r>
              <w:rPr>
                <w:rFonts w:hAnsi="宋体"/>
                <w:sz w:val="21"/>
                <w:szCs w:val="21"/>
              </w:rPr>
              <w:t>7</w:t>
            </w:r>
            <w:r>
              <w:rPr>
                <w:rFonts w:hint="eastAsia" w:hAnsi="宋体"/>
                <w:sz w:val="21"/>
                <w:szCs w:val="21"/>
              </w:rPr>
              <w:t>、凡投标人投标保证金交纳至同一标段相同子账号的，保证金暂不予退还，并依照《许昌市公共资源交易当事人不良行为管理暂行办法》（许公管委〔</w:t>
            </w:r>
            <w:r>
              <w:rPr>
                <w:rFonts w:hAnsi="宋体"/>
                <w:sz w:val="21"/>
                <w:szCs w:val="21"/>
              </w:rPr>
              <w:t>2017</w:t>
            </w:r>
            <w:r>
              <w:rPr>
                <w:rFonts w:hint="eastAsia" w:hAnsi="宋体"/>
                <w:sz w:val="21"/>
                <w:szCs w:val="21"/>
              </w:rPr>
              <w:t>〕</w:t>
            </w:r>
            <w:r>
              <w:rPr>
                <w:rFonts w:hAnsi="宋体"/>
                <w:sz w:val="21"/>
                <w:szCs w:val="21"/>
              </w:rPr>
              <w:t>1</w:t>
            </w:r>
            <w:r>
              <w:rPr>
                <w:rFonts w:hint="eastAsia" w:hAnsi="宋体"/>
                <w:sz w:val="21"/>
                <w:szCs w:val="21"/>
              </w:rPr>
              <w:t>号）规定，进行调查、认定、记录、公示、公告。对涉嫌串通投标等违规行为的，经调查核实后，记录不良行为，移交有关部门进行查处。不予退还的保证金上缴国库。</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3.5.</w:t>
            </w:r>
            <w:r>
              <w:rPr>
                <w:rFonts w:hint="eastAsia" w:ascii="宋体" w:hAnsi="宋体"/>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近年财务状况</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highlight w:val="yellow"/>
              </w:rPr>
            </w:pPr>
            <w:r>
              <w:rPr>
                <w:rFonts w:hint="eastAsia" w:hAnsi="宋体" w:cs="仿宋_GB2312"/>
                <w:szCs w:val="21"/>
              </w:rPr>
              <w:t>近年，指2016、2017、2018年（成立不足三年的按成立年算起）。</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3.5.</w:t>
            </w:r>
            <w:r>
              <w:rPr>
                <w:rFonts w:hint="eastAsia" w:ascii="宋体" w:hAnsi="宋体"/>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jc w:val="center"/>
              <w:rPr>
                <w:rFonts w:hAnsi="宋体"/>
                <w:sz w:val="21"/>
                <w:szCs w:val="21"/>
              </w:rPr>
            </w:pPr>
            <w:r>
              <w:rPr>
                <w:rFonts w:hAnsi="宋体"/>
                <w:sz w:val="21"/>
                <w:szCs w:val="21"/>
              </w:rPr>
              <w:t>近年完成的类似项目</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近年，指2016年1月1日至今。</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3.5.</w:t>
            </w:r>
            <w:r>
              <w:rPr>
                <w:rFonts w:hint="eastAsia" w:ascii="宋体" w:hAnsi="宋体"/>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Ansi="宋体"/>
                <w:sz w:val="21"/>
                <w:szCs w:val="21"/>
              </w:rPr>
              <w:t>近年发生的</w:t>
            </w:r>
            <w:r>
              <w:rPr>
                <w:rFonts w:hint="eastAsia" w:hAnsi="宋体"/>
                <w:sz w:val="21"/>
                <w:szCs w:val="21"/>
              </w:rPr>
              <w:t>重大</w:t>
            </w:r>
            <w:r>
              <w:rPr>
                <w:rFonts w:hAnsi="宋体"/>
                <w:sz w:val="21"/>
                <w:szCs w:val="21"/>
              </w:rPr>
              <w:t>诉讼及仲裁情况</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无要求</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是否允许</w:t>
            </w:r>
            <w:r>
              <w:rPr>
                <w:rFonts w:hint="eastAsia" w:ascii="宋体" w:hAnsi="宋体"/>
                <w:szCs w:val="21"/>
              </w:rPr>
              <w:t>递交备</w:t>
            </w:r>
            <w:r>
              <w:rPr>
                <w:rFonts w:ascii="宋体" w:hAnsi="宋体"/>
                <w:szCs w:val="21"/>
              </w:rPr>
              <w:t>选投标方案</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不允许</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3.7.3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签字或盖章要求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hAnsi="宋体" w:cs="仿宋_GB2312"/>
                <w:szCs w:val="21"/>
              </w:rPr>
              <w:t>电子投标文件：按招标文件要求加盖电子印章和法人电子印章。</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3.7.4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投标文件份数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HAnsi" w:hAnsiTheme="minorHAnsi" w:eastAsiaTheme="minorEastAsia" w:cstheme="minorBidi"/>
                <w:szCs w:val="22"/>
              </w:rPr>
            </w:pPr>
            <w:r>
              <w:rPr>
                <w:rFonts w:asciiTheme="minorHAnsi" w:hAnsiTheme="minorHAnsi" w:eastAsiaTheme="minorEastAsia" w:cstheme="minorBidi"/>
                <w:szCs w:val="22"/>
              </w:rPr>
              <w:t>1</w:t>
            </w:r>
            <w:r>
              <w:rPr>
                <w:rFonts w:hint="eastAsia" w:asciiTheme="minorHAnsi" w:hAnsiTheme="minorHAnsi" w:eastAsiaTheme="minorEastAsia" w:cstheme="minorBidi"/>
                <w:szCs w:val="22"/>
              </w:rPr>
              <w:t>、电子投标文件</w:t>
            </w:r>
          </w:p>
          <w:p>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w:t>
            </w:r>
            <w:r>
              <w:rPr>
                <w:rFonts w:asciiTheme="minorHAnsi" w:hAnsiTheme="minorHAnsi" w:eastAsiaTheme="minorEastAsia" w:cstheme="minorBidi"/>
                <w:szCs w:val="22"/>
              </w:rPr>
              <w:t>1</w:t>
            </w:r>
            <w:r>
              <w:rPr>
                <w:rFonts w:hint="eastAsia" w:asciiTheme="minorHAnsi" w:hAnsiTheme="minorHAnsi" w:eastAsiaTheme="minorEastAsia" w:cstheme="minorBidi"/>
                <w:szCs w:val="22"/>
              </w:rPr>
              <w:t>）成功上传至【全国公共资源交易平台（河南省·许昌市）】公共资源交易系统电子投标文件</w:t>
            </w:r>
            <w:r>
              <w:rPr>
                <w:rFonts w:asciiTheme="minorHAnsi" w:hAnsiTheme="minorHAnsi" w:eastAsiaTheme="minorEastAsia" w:cstheme="minorBidi"/>
                <w:szCs w:val="22"/>
              </w:rPr>
              <w:t>1</w:t>
            </w:r>
            <w:r>
              <w:rPr>
                <w:rFonts w:hint="eastAsia" w:asciiTheme="minorHAnsi" w:hAnsiTheme="minorHAnsi" w:eastAsiaTheme="minorEastAsia" w:cstheme="minorBidi"/>
                <w:szCs w:val="22"/>
              </w:rPr>
              <w:t>份（文件格式为：</w:t>
            </w:r>
            <w:r>
              <w:rPr>
                <w:rFonts w:asciiTheme="minorHAnsi" w:hAnsiTheme="minorHAnsi" w:eastAsiaTheme="minorEastAsia" w:cstheme="minorBidi"/>
                <w:szCs w:val="22"/>
              </w:rPr>
              <w:t>XX</w:t>
            </w:r>
            <w:r>
              <w:rPr>
                <w:rFonts w:hint="eastAsia" w:asciiTheme="minorHAnsi" w:hAnsiTheme="minorHAnsi" w:eastAsiaTheme="minorEastAsia" w:cstheme="minorBidi"/>
                <w:szCs w:val="22"/>
              </w:rPr>
              <w:t>公司</w:t>
            </w:r>
            <w:r>
              <w:rPr>
                <w:rFonts w:asciiTheme="minorHAnsi" w:hAnsiTheme="minorHAnsi" w:eastAsiaTheme="minorEastAsia" w:cstheme="minorBidi"/>
                <w:szCs w:val="22"/>
              </w:rPr>
              <w:t>XXX</w:t>
            </w:r>
            <w:r>
              <w:rPr>
                <w:rFonts w:hint="eastAsia" w:asciiTheme="minorHAnsi" w:hAnsiTheme="minorHAnsi" w:eastAsiaTheme="minorEastAsia" w:cstheme="minorBidi"/>
                <w:szCs w:val="22"/>
              </w:rPr>
              <w:t>项目编号</w:t>
            </w:r>
            <w:r>
              <w:rPr>
                <w:rFonts w:asciiTheme="minorHAnsi" w:hAnsiTheme="minorHAnsi" w:eastAsiaTheme="minorEastAsia" w:cstheme="minorBidi"/>
                <w:szCs w:val="22"/>
              </w:rPr>
              <w:t>.file</w:t>
            </w:r>
            <w:r>
              <w:rPr>
                <w:rFonts w:hint="eastAsia" w:asciiTheme="minorHAnsi" w:hAnsiTheme="minorHAnsi" w:eastAsiaTheme="minorEastAsia" w:cstheme="minorBidi"/>
                <w:szCs w:val="22"/>
              </w:rPr>
              <w:t>）。</w:t>
            </w:r>
          </w:p>
          <w:p>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w:t>
            </w:r>
            <w:r>
              <w:rPr>
                <w:rFonts w:asciiTheme="minorHAnsi" w:hAnsiTheme="minorHAnsi" w:eastAsiaTheme="minorEastAsia" w:cstheme="minorBidi"/>
                <w:szCs w:val="22"/>
              </w:rPr>
              <w:t>2</w:t>
            </w:r>
            <w:r>
              <w:rPr>
                <w:rFonts w:hint="eastAsia" w:asciiTheme="minorHAnsi" w:hAnsiTheme="minorHAnsi" w:eastAsiaTheme="minorEastAsia" w:cstheme="minorBidi"/>
                <w:szCs w:val="22"/>
              </w:rPr>
              <w:t>）使用电子介质存储的投标文件</w:t>
            </w:r>
            <w:r>
              <w:rPr>
                <w:rFonts w:asciiTheme="minorHAnsi" w:hAnsiTheme="minorHAnsi" w:eastAsiaTheme="minorEastAsia" w:cstheme="minorBidi"/>
                <w:szCs w:val="22"/>
              </w:rPr>
              <w:t>1</w:t>
            </w:r>
            <w:r>
              <w:rPr>
                <w:rFonts w:hint="eastAsia" w:asciiTheme="minorHAnsi" w:hAnsiTheme="minorHAnsi" w:eastAsiaTheme="minorEastAsia" w:cstheme="minorBidi"/>
                <w:szCs w:val="22"/>
              </w:rPr>
              <w:t>份文件格式为：</w:t>
            </w:r>
            <w:r>
              <w:rPr>
                <w:rFonts w:asciiTheme="minorHAnsi" w:hAnsiTheme="minorHAnsi" w:eastAsiaTheme="minorEastAsia" w:cstheme="minorBidi"/>
                <w:szCs w:val="22"/>
              </w:rPr>
              <w:t>xxx</w:t>
            </w:r>
            <w:r>
              <w:rPr>
                <w:rFonts w:hint="eastAsia" w:asciiTheme="minorHAnsi" w:hAnsiTheme="minorHAnsi" w:eastAsiaTheme="minorEastAsia" w:cstheme="minorBidi"/>
                <w:szCs w:val="22"/>
              </w:rPr>
              <w:t>公司</w:t>
            </w:r>
            <w:r>
              <w:rPr>
                <w:rFonts w:asciiTheme="minorHAnsi" w:hAnsiTheme="minorHAnsi" w:eastAsiaTheme="minorEastAsia" w:cstheme="minorBidi"/>
                <w:szCs w:val="22"/>
              </w:rPr>
              <w:t>XXX</w:t>
            </w:r>
            <w:r>
              <w:rPr>
                <w:rFonts w:hint="eastAsia" w:asciiTheme="minorHAnsi" w:hAnsiTheme="minorHAnsi" w:eastAsiaTheme="minorEastAsia" w:cstheme="minorBidi"/>
                <w:szCs w:val="22"/>
              </w:rPr>
              <w:t>（项目编号）</w:t>
            </w:r>
            <w:r>
              <w:rPr>
                <w:rFonts w:asciiTheme="minorHAnsi" w:hAnsiTheme="minorHAnsi" w:eastAsiaTheme="minorEastAsia" w:cstheme="minorBidi"/>
                <w:szCs w:val="22"/>
              </w:rPr>
              <w:t>.bin</w:t>
            </w:r>
            <w:r>
              <w:rPr>
                <w:rFonts w:hint="eastAsia" w:asciiTheme="minorHAnsi" w:hAnsiTheme="minorHAnsi" w:eastAsiaTheme="minorEastAsia" w:cstheme="minorBidi"/>
                <w:szCs w:val="22"/>
              </w:rPr>
              <w:t>）。</w:t>
            </w:r>
          </w:p>
          <w:p>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2、电子投标文件和使用电子介质存储的投标文件的内容、格式、水印码、</w:t>
            </w:r>
            <w:r>
              <w:rPr>
                <w:rFonts w:hint="eastAsia" w:asciiTheme="minorHAnsi" w:hAnsiTheme="minorHAnsi" w:eastAsiaTheme="minorEastAsia" w:cstheme="minorBidi"/>
                <w:b/>
                <w:szCs w:val="22"/>
              </w:rPr>
              <w:t>电子签章</w:t>
            </w:r>
            <w:r>
              <w:rPr>
                <w:rFonts w:hint="eastAsia" w:asciiTheme="minorHAnsi" w:hAnsiTheme="minorHAnsi" w:eastAsiaTheme="minorEastAsia" w:cstheme="minorBidi"/>
                <w:szCs w:val="22"/>
              </w:rPr>
              <w:t>应一致。</w:t>
            </w:r>
          </w:p>
          <w:p>
            <w:pPr>
              <w:spacing w:line="440" w:lineRule="exact"/>
              <w:rPr>
                <w:rFonts w:ascii="宋体" w:hAnsi="宋体"/>
                <w:b/>
                <w:szCs w:val="21"/>
              </w:rPr>
            </w:pPr>
            <w:r>
              <w:rPr>
                <w:rFonts w:hint="eastAsia" w:asciiTheme="minorHAnsi" w:hAnsiTheme="minorHAnsi" w:eastAsiaTheme="minorEastAsia" w:cstheme="minorBidi"/>
                <w:b/>
                <w:szCs w:val="22"/>
              </w:rPr>
              <w:t>注：投标人提交的电子投标文件，必须是通过“许昌投标文件制作系统</w:t>
            </w:r>
            <w:r>
              <w:rPr>
                <w:rFonts w:asciiTheme="minorHAnsi" w:hAnsiTheme="minorHAnsi" w:eastAsiaTheme="minorEastAsia" w:cstheme="minorBidi"/>
                <w:b/>
                <w:szCs w:val="22"/>
              </w:rPr>
              <w:t>SEARUNV1.1</w:t>
            </w:r>
            <w:r>
              <w:rPr>
                <w:rFonts w:hint="eastAsia" w:asciiTheme="minorHAnsi" w:hAnsiTheme="minorHAnsi" w:eastAsiaTheme="minorEastAsia" w:cstheme="minorBidi"/>
                <w:b/>
                <w:szCs w:val="22"/>
              </w:rPr>
              <w:t>”制作，并经过签章和加密后生成的电子投标文件。</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3.7.5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装订要求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新宋体" w:hAnsi="新宋体" w:eastAsia="新宋体"/>
                <w:szCs w:val="21"/>
              </w:rPr>
              <w:t>使用电子介质存储的投标文件单独密封、盖章，并在开标前递交开标现场。</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封套上</w:t>
            </w:r>
            <w:r>
              <w:rPr>
                <w:rFonts w:hint="eastAsia" w:ascii="宋体" w:hAnsi="宋体"/>
                <w:szCs w:val="21"/>
              </w:rPr>
              <w:t>应载明的信息</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招标人</w:t>
            </w:r>
            <w:r>
              <w:rPr>
                <w:rFonts w:hint="eastAsia" w:ascii="宋体" w:hAnsi="宋体"/>
                <w:szCs w:val="21"/>
              </w:rPr>
              <w:t>名称</w:t>
            </w:r>
            <w:r>
              <w:rPr>
                <w:rFonts w:ascii="宋体" w:hAnsi="宋体"/>
                <w:szCs w:val="21"/>
              </w:rPr>
              <w:t>：</w:t>
            </w:r>
          </w:p>
          <w:p>
            <w:pPr>
              <w:spacing w:line="440" w:lineRule="exact"/>
              <w:rPr>
                <w:rFonts w:ascii="宋体" w:hAnsi="宋体"/>
                <w:szCs w:val="21"/>
              </w:rPr>
            </w:pPr>
            <w:r>
              <w:rPr>
                <w:rFonts w:hint="eastAsia" w:ascii="宋体" w:hAnsi="宋体"/>
                <w:szCs w:val="21"/>
              </w:rPr>
              <w:t>投标人</w:t>
            </w:r>
            <w:r>
              <w:rPr>
                <w:rFonts w:ascii="宋体" w:hAnsi="宋体"/>
                <w:szCs w:val="21"/>
              </w:rPr>
              <w:t>名称：</w:t>
            </w:r>
          </w:p>
          <w:p>
            <w:pPr>
              <w:spacing w:line="440" w:lineRule="exact"/>
              <w:rPr>
                <w:rFonts w:ascii="宋体" w:hAnsi="宋体"/>
                <w:szCs w:val="21"/>
              </w:rPr>
            </w:pPr>
            <w:r>
              <w:rPr>
                <w:rFonts w:ascii="宋体" w:hAnsi="宋体"/>
                <w:szCs w:val="21"/>
              </w:rPr>
              <w:t>（项目名称</w:t>
            </w:r>
            <w:r>
              <w:rPr>
                <w:rFonts w:hint="eastAsia" w:ascii="宋体" w:hAnsi="宋体"/>
                <w:szCs w:val="21"/>
              </w:rPr>
              <w:t>/标段</w:t>
            </w:r>
            <w:r>
              <w:rPr>
                <w:rFonts w:ascii="宋体" w:hAnsi="宋体"/>
                <w:szCs w:val="21"/>
              </w:rPr>
              <w:t>）投标文件</w:t>
            </w:r>
          </w:p>
          <w:p>
            <w:pPr>
              <w:spacing w:line="440" w:lineRule="exact"/>
              <w:rPr>
                <w:rFonts w:ascii="宋体" w:hAnsi="宋体"/>
                <w:szCs w:val="21"/>
              </w:rPr>
            </w:pPr>
            <w:r>
              <w:rPr>
                <w:rFonts w:ascii="宋体" w:hAnsi="宋体"/>
                <w:szCs w:val="21"/>
              </w:rPr>
              <w:t>在年月日时</w:t>
            </w:r>
            <w:r>
              <w:rPr>
                <w:rFonts w:hint="eastAsia" w:ascii="宋体" w:hAnsi="宋体"/>
                <w:szCs w:val="21"/>
              </w:rPr>
              <w:t>分</w:t>
            </w:r>
            <w:r>
              <w:rPr>
                <w:rFonts w:ascii="宋体" w:hAnsi="宋体"/>
                <w:szCs w:val="21"/>
              </w:rPr>
              <w:t>前不得开启</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4.2.2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递交投标文件地点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Cs w:val="21"/>
              </w:rPr>
            </w:pPr>
            <w:r>
              <w:rPr>
                <w:rFonts w:hint="eastAsia" w:ascii="新宋体" w:hAnsi="新宋体" w:eastAsia="新宋体"/>
                <w:szCs w:val="21"/>
              </w:rPr>
              <w:t>许昌市公共资源交易中心开标一室(许昌市龙兴路与竹林路交汇处公共资源大厦三楼）</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4.2.3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是否退还投标文件</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否</w:t>
            </w:r>
          </w:p>
        </w:tc>
      </w:tr>
      <w:tr>
        <w:tblPrEx>
          <w:tblLayout w:type="fixed"/>
          <w:tblCellMar>
            <w:top w:w="0" w:type="dxa"/>
            <w:left w:w="108" w:type="dxa"/>
            <w:bottom w:w="0" w:type="dxa"/>
            <w:right w:w="108" w:type="dxa"/>
          </w:tblCellMar>
        </w:tblPrEx>
        <w:trPr>
          <w:trHeight w:val="880"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5.1</w:t>
            </w:r>
          </w:p>
        </w:tc>
        <w:tc>
          <w:tcPr>
            <w:tcW w:w="2410"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开标时间和地点</w:t>
            </w:r>
          </w:p>
        </w:tc>
        <w:tc>
          <w:tcPr>
            <w:tcW w:w="6095" w:type="dxa"/>
            <w:tcBorders>
              <w:top w:val="single" w:color="auto" w:sz="4" w:space="0"/>
              <w:left w:val="single" w:color="auto" w:sz="4" w:space="0"/>
              <w:right w:val="single" w:color="auto" w:sz="4" w:space="0"/>
            </w:tcBorders>
            <w:vAlign w:val="center"/>
          </w:tcPr>
          <w:p>
            <w:pPr>
              <w:spacing w:line="440" w:lineRule="exact"/>
              <w:rPr>
                <w:rFonts w:ascii="宋体" w:hAnsi="宋体"/>
                <w:szCs w:val="21"/>
              </w:rPr>
            </w:pPr>
            <w:r>
              <w:rPr>
                <w:rFonts w:ascii="宋体" w:hAnsi="宋体"/>
                <w:szCs w:val="21"/>
              </w:rPr>
              <w:t>开标时间</w:t>
            </w:r>
            <w:r>
              <w:rPr>
                <w:rFonts w:hint="eastAsia" w:ascii="宋体" w:hAnsi="宋体"/>
                <w:szCs w:val="21"/>
              </w:rPr>
              <w:t>：</w:t>
            </w:r>
            <w:r>
              <w:rPr>
                <w:rFonts w:ascii="宋体" w:hAnsi="宋体"/>
                <w:szCs w:val="21"/>
              </w:rPr>
              <w:t>同投标截止时间</w:t>
            </w:r>
          </w:p>
          <w:p>
            <w:pPr>
              <w:spacing w:line="440" w:lineRule="exact"/>
              <w:rPr>
                <w:rFonts w:ascii="宋体" w:hAnsi="宋体"/>
                <w:szCs w:val="21"/>
              </w:rPr>
            </w:pPr>
            <w:r>
              <w:rPr>
                <w:rFonts w:ascii="宋体" w:hAnsi="宋体"/>
                <w:szCs w:val="21"/>
              </w:rPr>
              <w:t>开标地点</w:t>
            </w:r>
            <w:r>
              <w:rPr>
                <w:rFonts w:hint="eastAsia" w:ascii="宋体" w:hAnsi="宋体"/>
                <w:szCs w:val="21"/>
              </w:rPr>
              <w:t>：</w:t>
            </w:r>
            <w:r>
              <w:rPr>
                <w:rFonts w:hint="eastAsia" w:ascii="宋体" w:hAnsi="宋体" w:cs="宋体"/>
                <w:szCs w:val="21"/>
              </w:rPr>
              <w:t>许昌市公共资源交易中心开标一室(许昌市龙兴路竹林路交汇处公共资源大厦三楼）</w:t>
            </w:r>
          </w:p>
        </w:tc>
      </w:tr>
      <w:tr>
        <w:tblPrEx>
          <w:tblLayout w:type="fixed"/>
          <w:tblCellMar>
            <w:top w:w="0" w:type="dxa"/>
            <w:left w:w="108" w:type="dxa"/>
            <w:bottom w:w="0" w:type="dxa"/>
            <w:right w:w="108" w:type="dxa"/>
          </w:tblCellMar>
        </w:tblPrEx>
        <w:trPr>
          <w:trHeight w:val="381"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5.2</w:t>
            </w:r>
          </w:p>
        </w:tc>
        <w:tc>
          <w:tcPr>
            <w:tcW w:w="2410"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开标程序</w:t>
            </w:r>
          </w:p>
        </w:tc>
        <w:tc>
          <w:tcPr>
            <w:tcW w:w="6095" w:type="dxa"/>
            <w:tcBorders>
              <w:top w:val="single" w:color="auto" w:sz="4" w:space="0"/>
              <w:left w:val="single" w:color="auto" w:sz="4" w:space="0"/>
              <w:right w:val="single" w:color="auto" w:sz="4" w:space="0"/>
            </w:tcBorders>
            <w:vAlign w:val="center"/>
          </w:tcPr>
          <w:p>
            <w:pPr>
              <w:spacing w:line="440" w:lineRule="exact"/>
              <w:rPr>
                <w:rFonts w:ascii="宋体" w:hAnsi="宋体"/>
                <w:szCs w:val="21"/>
              </w:rPr>
            </w:pPr>
            <w:r>
              <w:rPr>
                <w:rFonts w:hint="eastAsia" w:hAnsi="宋体" w:cs="仿宋_GB2312"/>
                <w:szCs w:val="21"/>
              </w:rPr>
              <w:t>见招标文件第二章投标人须知第5.2条</w:t>
            </w:r>
          </w:p>
        </w:tc>
      </w:tr>
      <w:tr>
        <w:tblPrEx>
          <w:tblLayout w:type="fixed"/>
          <w:tblCellMar>
            <w:top w:w="0" w:type="dxa"/>
            <w:left w:w="108" w:type="dxa"/>
            <w:bottom w:w="0" w:type="dxa"/>
            <w:right w:w="108" w:type="dxa"/>
          </w:tblCellMar>
        </w:tblPrEx>
        <w:trPr>
          <w:trHeight w:val="8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6.1.1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评标委员会的组建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评标委员会构成：</w:t>
            </w:r>
            <w:r>
              <w:rPr>
                <w:rFonts w:hint="eastAsia" w:ascii="宋体" w:hAnsi="宋体"/>
                <w:szCs w:val="21"/>
                <w:u w:val="single"/>
              </w:rPr>
              <w:t>5</w:t>
            </w:r>
            <w:r>
              <w:rPr>
                <w:rFonts w:hint="eastAsia" w:ascii="宋体" w:hAnsi="宋体"/>
                <w:szCs w:val="21"/>
              </w:rPr>
              <w:t>人，</w:t>
            </w:r>
            <w:r>
              <w:rPr>
                <w:rFonts w:hint="eastAsia" w:hAnsi="宋体" w:cs="仿宋_GB2312"/>
                <w:szCs w:val="21"/>
              </w:rPr>
              <w:t>从河南省综合评标专家库中随机抽取5人组成评标委员会。</w:t>
            </w:r>
            <w:r>
              <w:rPr>
                <w:rFonts w:hint="eastAsia" w:ascii="新宋体" w:hAnsi="新宋体" w:eastAsia="新宋体"/>
                <w:szCs w:val="21"/>
              </w:rPr>
              <w:t>其中注册造价工程师不少于2人。</w:t>
            </w:r>
          </w:p>
        </w:tc>
      </w:tr>
      <w:tr>
        <w:tblPrEx>
          <w:tblLayout w:type="fixed"/>
          <w:tblCellMar>
            <w:top w:w="0" w:type="dxa"/>
            <w:left w:w="108" w:type="dxa"/>
            <w:bottom w:w="0" w:type="dxa"/>
            <w:right w:w="108" w:type="dxa"/>
          </w:tblCellMar>
        </w:tblPrEx>
        <w:trPr>
          <w:trHeight w:val="8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7.1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是否授权评标委员会确定中标人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否，</w:t>
            </w:r>
            <w:r>
              <w:rPr>
                <w:rFonts w:hint="eastAsia" w:hAnsi="宋体" w:cs="仿宋_GB2312"/>
                <w:szCs w:val="21"/>
              </w:rPr>
              <w:t>推荐的中标候选人数：</w:t>
            </w:r>
            <w:r>
              <w:rPr>
                <w:rFonts w:hint="eastAsia" w:ascii="新宋体" w:hAnsi="新宋体" w:eastAsia="新宋体" w:cs="仿宋_GB2312"/>
                <w:szCs w:val="21"/>
              </w:rPr>
              <w:t>1-3名</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7.</w:t>
            </w:r>
            <w:r>
              <w:rPr>
                <w:rFonts w:hint="eastAsia" w:ascii="宋体" w:hAnsi="宋体"/>
                <w:szCs w:val="21"/>
              </w:rPr>
              <w:t>4</w:t>
            </w:r>
            <w:r>
              <w:rPr>
                <w:rFonts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履约担保</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履约担保的形式：提供银行保函或基本户开户行转账</w:t>
            </w:r>
          </w:p>
          <w:p>
            <w:pPr>
              <w:spacing w:line="440" w:lineRule="exact"/>
              <w:rPr>
                <w:rFonts w:ascii="宋体" w:hAnsi="宋体"/>
                <w:szCs w:val="21"/>
              </w:rPr>
            </w:pPr>
            <w:r>
              <w:rPr>
                <w:rFonts w:hint="eastAsia" w:ascii="宋体" w:hAnsi="宋体"/>
                <w:szCs w:val="21"/>
              </w:rPr>
              <w:t>履约担保的金额：中标价的10%</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b/>
                <w:szCs w:val="21"/>
              </w:rPr>
            </w:pPr>
            <w:r>
              <w:rPr>
                <w:rFonts w:hint="eastAsia" w:ascii="宋体" w:hAnsi="宋体"/>
                <w:b/>
                <w:szCs w:val="21"/>
              </w:rPr>
              <w:t>10.需要</w:t>
            </w:r>
            <w:r>
              <w:rPr>
                <w:rFonts w:ascii="宋体" w:hAnsi="宋体"/>
                <w:b/>
                <w:szCs w:val="21"/>
              </w:rPr>
              <w:t>补充</w:t>
            </w:r>
            <w:r>
              <w:rPr>
                <w:rFonts w:hint="eastAsia" w:ascii="宋体" w:hAnsi="宋体"/>
                <w:b/>
                <w:szCs w:val="21"/>
              </w:rPr>
              <w:t>的其他</w:t>
            </w:r>
            <w:r>
              <w:rPr>
                <w:rFonts w:ascii="宋体" w:hAnsi="宋体"/>
                <w:b/>
                <w:szCs w:val="21"/>
              </w:rPr>
              <w:t>内容</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10.2招标控制价</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10.2.1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Cs w:val="21"/>
              </w:rPr>
              <w:t>招标控制价</w:t>
            </w:r>
          </w:p>
        </w:tc>
        <w:tc>
          <w:tcPr>
            <w:tcW w:w="6095" w:type="dxa"/>
            <w:tcBorders>
              <w:top w:val="single" w:color="auto" w:sz="4" w:space="0"/>
              <w:left w:val="single" w:color="auto" w:sz="4" w:space="0"/>
              <w:bottom w:val="single" w:color="auto" w:sz="4" w:space="0"/>
              <w:right w:val="single" w:color="auto" w:sz="4" w:space="0"/>
            </w:tcBorders>
            <w:vAlign w:val="bottom"/>
          </w:tcPr>
          <w:p>
            <w:pPr>
              <w:spacing w:line="440" w:lineRule="exact"/>
              <w:rPr>
                <w:rFonts w:ascii="宋体" w:hAnsi="宋体"/>
                <w:b/>
                <w:szCs w:val="21"/>
              </w:rPr>
            </w:pPr>
            <w:r>
              <w:rPr>
                <w:rFonts w:hint="eastAsia" w:ascii="宋体" w:hAnsi="宋体"/>
                <w:b/>
                <w:szCs w:val="21"/>
              </w:rPr>
              <w:t>本工程设招标控制价（二标段）：</w:t>
            </w:r>
          </w:p>
          <w:p>
            <w:pPr>
              <w:spacing w:line="440" w:lineRule="exact"/>
              <w:rPr>
                <w:rFonts w:ascii="宋体" w:hAnsi="宋体"/>
                <w:b/>
                <w:szCs w:val="21"/>
              </w:rPr>
            </w:pPr>
            <w:r>
              <w:rPr>
                <w:rFonts w:hint="eastAsia" w:ascii="宋体" w:hAnsi="宋体"/>
                <w:b/>
                <w:szCs w:val="21"/>
              </w:rPr>
              <w:t>大写：陆佰玖拾伍万伍仟零壹拾叁元叁角陆分</w:t>
            </w:r>
          </w:p>
          <w:p>
            <w:pPr>
              <w:spacing w:line="440" w:lineRule="exact"/>
              <w:rPr>
                <w:rFonts w:ascii="宋体" w:hAnsi="宋体"/>
                <w:b/>
                <w:szCs w:val="21"/>
              </w:rPr>
            </w:pPr>
            <w:r>
              <w:rPr>
                <w:rFonts w:hint="eastAsia" w:ascii="宋体" w:hAnsi="宋体"/>
                <w:b/>
                <w:szCs w:val="21"/>
              </w:rPr>
              <w:t>小写：</w:t>
            </w:r>
            <w:r>
              <w:rPr>
                <w:rFonts w:ascii="宋体" w:hAnsi="宋体"/>
                <w:b/>
                <w:szCs w:val="21"/>
              </w:rPr>
              <w:t>6955013.36</w:t>
            </w:r>
            <w:r>
              <w:rPr>
                <w:rFonts w:hint="eastAsia" w:ascii="宋体" w:hAnsi="宋体"/>
                <w:b/>
                <w:szCs w:val="21"/>
              </w:rPr>
              <w:t>元</w:t>
            </w:r>
          </w:p>
          <w:p>
            <w:pPr>
              <w:spacing w:line="440" w:lineRule="exact"/>
              <w:rPr>
                <w:rFonts w:ascii="宋体" w:hAnsi="宋体"/>
                <w:sz w:val="24"/>
              </w:rPr>
            </w:pPr>
            <w:r>
              <w:rPr>
                <w:rFonts w:hint="eastAsia" w:ascii="新宋体" w:hAnsi="新宋体" w:eastAsia="新宋体"/>
                <w:b/>
                <w:szCs w:val="21"/>
              </w:rPr>
              <w:t>凡投标人的投标报价高于招标控制价（不含等于“招标控制价”）的，该投标人的投标文件应予拒绝。</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szCs w:val="21"/>
              </w:rPr>
              <w:t>10.3“</w:t>
            </w:r>
            <w:r>
              <w:rPr>
                <w:rFonts w:hint="eastAsia" w:hAnsi="宋体" w:cs="宋体"/>
                <w:szCs w:val="21"/>
              </w:rPr>
              <w:t>暗标</w:t>
            </w:r>
            <w:r>
              <w:rPr>
                <w:szCs w:val="21"/>
              </w:rPr>
              <w:t>”</w:t>
            </w:r>
            <w:r>
              <w:rPr>
                <w:rFonts w:hint="eastAsia" w:hAnsi="宋体" w:cs="宋体"/>
                <w:szCs w:val="21"/>
              </w:rPr>
              <w:t>评审</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宋体" w:cs="宋体"/>
                <w:szCs w:val="21"/>
              </w:rPr>
              <w:t>技术标是否采用</w:t>
            </w:r>
            <w:r>
              <w:rPr>
                <w:szCs w:val="21"/>
              </w:rPr>
              <w:t>“</w:t>
            </w:r>
            <w:r>
              <w:rPr>
                <w:rFonts w:hint="eastAsia" w:hAnsi="宋体" w:cs="宋体"/>
                <w:szCs w:val="21"/>
              </w:rPr>
              <w:t>暗标</w:t>
            </w:r>
            <w:r>
              <w:rPr>
                <w:szCs w:val="21"/>
              </w:rPr>
              <w:t>”</w:t>
            </w:r>
            <w:r>
              <w:rPr>
                <w:rFonts w:hint="eastAsia" w:hAnsi="宋体" w:cs="宋体"/>
                <w:szCs w:val="21"/>
              </w:rPr>
              <w:t>评审方式</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hAnsi="宋体" w:cs="宋体"/>
                <w:szCs w:val="21"/>
              </w:rPr>
              <w:t>不采用</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Cs w:val="21"/>
              </w:rPr>
            </w:pPr>
            <w:r>
              <w:rPr>
                <w:rFonts w:hint="eastAsia"/>
                <w:szCs w:val="21"/>
              </w:rPr>
              <w:t>10.4</w:t>
            </w:r>
            <w:r>
              <w:rPr>
                <w:rFonts w:hint="eastAsia" w:hAnsi="宋体" w:cs="宋体"/>
                <w:szCs w:val="21"/>
              </w:rPr>
              <w:t>投标人代表出席开标会</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b/>
                <w:szCs w:val="21"/>
              </w:rPr>
            </w:pPr>
            <w:r>
              <w:rPr>
                <w:rFonts w:hint="eastAsia" w:ascii="宋体" w:hAnsi="宋体" w:cs="宋体"/>
                <w:b/>
                <w:szCs w:val="21"/>
              </w:rPr>
              <w:t>1、开标时各投标人的法定代表人或授权委托人持身份证及授权委托书，到开标现场签到，缺席或逾期不到者视为放弃。各投标单位参加会议人数不得多于三人。</w:t>
            </w:r>
          </w:p>
          <w:p>
            <w:pPr>
              <w:spacing w:line="360" w:lineRule="auto"/>
              <w:rPr>
                <w:rFonts w:hAnsi="宋体" w:cs="宋体"/>
                <w:szCs w:val="21"/>
              </w:rPr>
            </w:pPr>
            <w:r>
              <w:rPr>
                <w:rFonts w:hint="eastAsia" w:ascii="宋体" w:hAnsi="宋体" w:cs="宋体"/>
                <w:b/>
                <w:szCs w:val="21"/>
              </w:rPr>
              <w:t>2、拟派项目负责人须携带本人身份证原件参加开标会议。</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Cs w:val="21"/>
              </w:rPr>
            </w:pPr>
            <w:r>
              <w:rPr>
                <w:rFonts w:hint="eastAsia"/>
                <w:szCs w:val="21"/>
              </w:rPr>
              <w:t>10.5</w:t>
            </w:r>
            <w:r>
              <w:rPr>
                <w:rFonts w:hint="eastAsia" w:hAnsi="宋体" w:cs="宋体"/>
                <w:szCs w:val="21"/>
              </w:rPr>
              <w:t>中标公示</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Cs w:val="21"/>
              </w:rPr>
            </w:pPr>
            <w:r>
              <w:rPr>
                <w:rFonts w:hint="eastAsia" w:hAnsi="宋体" w:cs="仿宋_GB2312"/>
                <w:szCs w:val="21"/>
              </w:rPr>
              <w:t>在中标通知书发出前，招标人将中标候选人的情况在《全国公共资源交易平台(河南省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hAnsi="宋体" w:cs="仿宋_GB2312"/>
                <w:szCs w:val="21"/>
              </w:rPr>
              <w:t>)》、《河南省电子招标投标公共服务平台》予以公示，公示期不少于3日。</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仿宋_GB2312"/>
                <w:szCs w:val="21"/>
              </w:rPr>
            </w:pPr>
            <w:r>
              <w:rPr>
                <w:rFonts w:hint="eastAsia" w:ascii="新宋体" w:hAnsi="新宋体" w:eastAsia="新宋体"/>
                <w:szCs w:val="21"/>
              </w:rPr>
              <w:t>10.6 知识产权</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仿宋_GB2312"/>
                <w:szCs w:val="21"/>
              </w:rPr>
            </w:pPr>
            <w:r>
              <w:rPr>
                <w:rFonts w:hint="eastAsia" w:ascii="新宋体" w:hAnsi="新宋体" w:eastAsia="新宋体"/>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10.7重新招标的其他情形</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除投标人须知正文第8条规定的情形外，除非已经产生中标候选人，在投标有效期内同意延长投标有效期的投标人少于三个的，招标人应当依法重新招标。</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10.8 同义词语</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10.9监  督</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本项目的招标投标活动及其相关当事人应当接受有管辖权的建设工程招标投标行政监督部门依法实施的监督。</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hAnsi="宋体" w:cs="仿宋_GB2312"/>
                <w:szCs w:val="21"/>
              </w:rPr>
              <w:t>10.10 解释权</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cs="仿宋_GB2312"/>
                <w:szCs w:val="21"/>
              </w:rPr>
            </w:pPr>
            <w:r>
              <w:rPr>
                <w:rFonts w:hint="eastAsia" w:hAnsi="宋体" w:cs="仿宋_GB2312"/>
                <w:szCs w:val="21"/>
              </w:rPr>
              <w:t>构成本招标文件的各个组成文件应互为解释，互为说明；</w:t>
            </w:r>
          </w:p>
          <w:p>
            <w:pPr>
              <w:adjustRightInd w:val="0"/>
              <w:snapToGrid w:val="0"/>
              <w:spacing w:line="360" w:lineRule="auto"/>
              <w:rPr>
                <w:rFonts w:ascii="新宋体" w:hAnsi="新宋体" w:eastAsia="新宋体"/>
                <w:szCs w:val="21"/>
              </w:rPr>
            </w:pPr>
            <w:r>
              <w:rPr>
                <w:rFonts w:hint="eastAsia" w:ascii="新宋体" w:hAnsi="新宋体" w:eastAsia="新宋体"/>
                <w:szCs w:val="21"/>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3、同一组成文件中就同一事项的规定或约定不一致的，以编排顺序在后者为准；</w:t>
            </w:r>
          </w:p>
          <w:p>
            <w:pPr>
              <w:adjustRightInd w:val="0"/>
              <w:snapToGrid w:val="0"/>
              <w:spacing w:line="360" w:lineRule="auto"/>
              <w:rPr>
                <w:rFonts w:ascii="新宋体" w:hAnsi="新宋体" w:eastAsia="新宋体"/>
                <w:szCs w:val="21"/>
              </w:rPr>
            </w:pPr>
            <w:r>
              <w:rPr>
                <w:rFonts w:hint="eastAsia" w:ascii="新宋体" w:hAnsi="新宋体" w:eastAsia="新宋体"/>
                <w:szCs w:val="21"/>
              </w:rPr>
              <w:t>4、同一组成文件不同版本之间有不一致的，以形成时间在后者为准。</w:t>
            </w:r>
          </w:p>
          <w:p>
            <w:pPr>
              <w:spacing w:line="360" w:lineRule="auto"/>
              <w:rPr>
                <w:rFonts w:ascii="新宋体" w:hAnsi="新宋体" w:eastAsia="新宋体"/>
                <w:szCs w:val="21"/>
              </w:rPr>
            </w:pPr>
            <w:r>
              <w:rPr>
                <w:rFonts w:hint="eastAsia" w:ascii="新宋体" w:hAnsi="新宋体" w:eastAsia="新宋体"/>
                <w:szCs w:val="21"/>
              </w:rPr>
              <w:t>按本款前述规定仍不能形成结论的，由招标人负</w:t>
            </w:r>
            <w:r>
              <w:rPr>
                <w:rFonts w:hint="eastAsia" w:hAnsi="宋体" w:cs="仿宋_GB2312"/>
                <w:szCs w:val="21"/>
              </w:rPr>
              <w:t>责解释。</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cs="仿宋_GB2312"/>
                <w:szCs w:val="21"/>
              </w:rPr>
            </w:pPr>
            <w:r>
              <w:rPr>
                <w:rFonts w:hint="eastAsia" w:hAnsi="宋体" w:cs="仿宋_GB2312"/>
                <w:b/>
                <w:szCs w:val="21"/>
              </w:rPr>
              <w:t>10.11招标人补充的其他内容</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cs="仿宋_GB2312"/>
                <w:szCs w:val="21"/>
              </w:rPr>
            </w:pPr>
            <w:bookmarkStart w:id="48" w:name="_Toc283559965"/>
            <w:bookmarkStart w:id="49" w:name="_Toc225243456"/>
            <w:r>
              <w:rPr>
                <w:rFonts w:hint="eastAsia" w:hAnsi="宋体" w:cs="宋体"/>
                <w:szCs w:val="21"/>
              </w:rPr>
              <w:t>10.11.1 投标文件的拒收</w:t>
            </w:r>
            <w:bookmarkEnd w:id="48"/>
            <w:bookmarkEnd w:id="49"/>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Ansi="宋体" w:cs="仿宋_GB2312"/>
                <w:szCs w:val="21"/>
              </w:rPr>
            </w:pPr>
            <w:r>
              <w:rPr>
                <w:rFonts w:hint="eastAsia" w:hAnsi="宋体" w:cs="仿宋_GB2312"/>
                <w:szCs w:val="21"/>
              </w:rPr>
              <w:t>1、逾期送达的或者未送达指定地点的电子投标文件；</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2、电子介质存储的投标文件未按招标文件要求密封的；</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3、未按招标文件要求缴纳投标保证金的；</w:t>
            </w:r>
          </w:p>
          <w:p>
            <w:pPr>
              <w:autoSpaceDE w:val="0"/>
              <w:autoSpaceDN w:val="0"/>
              <w:adjustRightInd w:val="0"/>
              <w:snapToGrid w:val="0"/>
              <w:spacing w:line="360" w:lineRule="auto"/>
              <w:jc w:val="left"/>
              <w:rPr>
                <w:rFonts w:hAnsi="宋体" w:cs="仿宋_GB2312"/>
                <w:szCs w:val="21"/>
              </w:rPr>
            </w:pPr>
            <w:r>
              <w:rPr>
                <w:rFonts w:hAnsi="宋体" w:cs="仿宋_GB2312"/>
                <w:szCs w:val="21"/>
              </w:rPr>
              <w:t>4</w:t>
            </w:r>
            <w:r>
              <w:rPr>
                <w:rFonts w:hint="eastAsia" w:hAnsi="宋体" w:cs="仿宋_GB2312"/>
                <w:szCs w:val="21"/>
              </w:rPr>
              <w:t>、开标时法定代表人未持本人有效身份证原件或授权委托人未持有效的授权委托书原件及本人身份证原件到开标现场并签到的；</w:t>
            </w:r>
          </w:p>
          <w:p>
            <w:pPr>
              <w:autoSpaceDE w:val="0"/>
              <w:autoSpaceDN w:val="0"/>
              <w:adjustRightInd w:val="0"/>
              <w:snapToGrid w:val="0"/>
              <w:spacing w:line="360" w:lineRule="auto"/>
              <w:jc w:val="left"/>
              <w:rPr>
                <w:rFonts w:hAnsi="宋体" w:cs="仿宋_GB2312"/>
                <w:b/>
                <w:szCs w:val="21"/>
              </w:rPr>
            </w:pPr>
            <w:r>
              <w:rPr>
                <w:rFonts w:hint="eastAsia" w:hAnsi="宋体" w:cs="仿宋_GB2312"/>
                <w:b/>
                <w:szCs w:val="21"/>
              </w:rPr>
              <w:t>5、开标时本项目拟派项目负责人未携带本人身份证原件到开标现场并签到的。</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Ansi="宋体" w:cs="仿宋_GB2312"/>
                <w:szCs w:val="21"/>
              </w:rPr>
            </w:pPr>
            <w:r>
              <w:rPr>
                <w:rFonts w:hint="eastAsia" w:hAnsi="宋体" w:cs="宋体"/>
                <w:szCs w:val="21"/>
              </w:rPr>
              <w:t>10.12 特别提示</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Ansi="宋体" w:cs="仿宋_GB2312"/>
                <w:szCs w:val="21"/>
              </w:rPr>
            </w:pPr>
            <w:r>
              <w:rPr>
                <w:rFonts w:hint="eastAsia" w:hAnsi="宋体" w:cs="仿宋_GB2312"/>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2、潜在投标人如对招标文件有异议，请在规定时间内在《全国公共资源交易平台（河南省·许昌市）》公共资源交易系统中提出，以其他方式递交的异议不予接受。</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3、投标人在投标截止时间前应随时关注《全国公共资源交易平台（河南省·许昌市）》公共资源交易系统发出的有关本项目的答疑、修改等相关内容。</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4、本项目试行全流程电子化交易，如因系统异常情况无法完成，将以人工方式进行。</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6、投标人电子投标文件成功提交后，应打印“投标文件提交回执单”，供开标现场备查。</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7、商务标投标文件制作注意事项：</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7.1 投标人登录《全国公共资源交易平台（河南省·许昌市）》公共资源交易系统下载“许昌投标文件制作系统SEARUN V1.1”和操作手册（工程项目），按招标文件要求制作商务标投标文件。</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7.2 商务标投标文件制作技术咨询：0374-2961598。</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autoSpaceDE w:val="0"/>
              <w:autoSpaceDN w:val="0"/>
              <w:adjustRightInd w:val="0"/>
              <w:snapToGrid w:val="0"/>
              <w:spacing w:line="360" w:lineRule="auto"/>
              <w:jc w:val="left"/>
              <w:rPr>
                <w:rFonts w:hAnsi="宋体" w:cs="仿宋_GB2312"/>
                <w:bCs/>
                <w:szCs w:val="21"/>
              </w:rPr>
            </w:pPr>
            <w:r>
              <w:rPr>
                <w:rFonts w:hint="eastAsia" w:hAnsi="宋体" w:cs="仿宋_GB2312"/>
                <w:bCs/>
                <w:szCs w:val="21"/>
              </w:rPr>
              <w:t>10、中标单位进场后需向总承包单位交纳1.5%的配合费，请各投标单位在投标报价时予以考虑；支付方式：中标人与总包方协商比率支付。</w:t>
            </w:r>
          </w:p>
          <w:p>
            <w:pPr>
              <w:autoSpaceDE w:val="0"/>
              <w:autoSpaceDN w:val="0"/>
              <w:adjustRightInd w:val="0"/>
              <w:snapToGrid w:val="0"/>
              <w:spacing w:line="360" w:lineRule="auto"/>
              <w:jc w:val="left"/>
              <w:rPr>
                <w:rFonts w:hAnsi="宋体" w:cs="仿宋_GB2312"/>
                <w:b/>
                <w:bCs/>
                <w:szCs w:val="21"/>
              </w:rPr>
            </w:pPr>
            <w:r>
              <w:rPr>
                <w:rFonts w:hint="eastAsia" w:hAnsi="宋体" w:cs="仿宋_GB2312"/>
                <w:b/>
                <w:bCs/>
                <w:szCs w:val="21"/>
              </w:rPr>
              <w:t>11、工程建设交易项目评标结果公示期满前，招标人有权对所有中标候选人的投标资料原件及候选人信用、履约能力进行复合，有造假隐瞒等违法违规现象的依据相关规定作出相应处理。中标后，招标人对中标人资质、业绩和本项目主要管理人员进行核实，一经发现挂靠或弄虚作假，招标人有权取消其中标资格，并报送相关管理部门，列入黑名单。</w:t>
            </w:r>
          </w:p>
          <w:p>
            <w:pPr>
              <w:autoSpaceDE w:val="0"/>
              <w:autoSpaceDN w:val="0"/>
              <w:adjustRightInd w:val="0"/>
              <w:snapToGrid w:val="0"/>
              <w:spacing w:line="360" w:lineRule="auto"/>
              <w:jc w:val="left"/>
              <w:rPr>
                <w:rFonts w:hAnsi="宋体" w:cs="仿宋_GB2312"/>
                <w:b/>
                <w:bCs/>
                <w:szCs w:val="21"/>
              </w:rPr>
            </w:pPr>
            <w:r>
              <w:rPr>
                <w:rFonts w:hint="eastAsia" w:hAnsi="宋体" w:cs="仿宋_GB2312"/>
                <w:b/>
                <w:bCs/>
                <w:szCs w:val="21"/>
              </w:rPr>
              <w:t>12、</w:t>
            </w:r>
            <w:bookmarkStart w:id="925" w:name="_GoBack"/>
            <w:bookmarkEnd w:id="925"/>
            <w:r>
              <w:rPr>
                <w:rFonts w:hint="eastAsia" w:hAnsi="宋体" w:cs="仿宋_GB2312"/>
                <w:b/>
                <w:bCs/>
                <w:szCs w:val="21"/>
              </w:rPr>
              <w:t>不同投标人电子投标文件制作硬件特征码（网卡MAC地址、CPU序号、硬盘序列号等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pStyle w:val="3"/>
      </w:pPr>
      <w:bookmarkStart w:id="50" w:name="_Toc247513952"/>
      <w:bookmarkStart w:id="51" w:name="_Toc144974497"/>
      <w:bookmarkStart w:id="52" w:name="_Toc152045529"/>
      <w:bookmarkStart w:id="53" w:name="_Toc152042305"/>
      <w:bookmarkStart w:id="54" w:name="_Toc247527553"/>
      <w:bookmarkStart w:id="55" w:name="_Toc529440036"/>
      <w:r>
        <w:rPr>
          <w:rFonts w:hint="eastAsia"/>
        </w:rPr>
        <w:t>1. 总则</w:t>
      </w:r>
      <w:bookmarkEnd w:id="50"/>
      <w:bookmarkEnd w:id="51"/>
      <w:bookmarkEnd w:id="52"/>
      <w:bookmarkEnd w:id="53"/>
      <w:bookmarkEnd w:id="54"/>
      <w:bookmarkEnd w:id="55"/>
    </w:p>
    <w:p>
      <w:pPr>
        <w:pStyle w:val="4"/>
        <w:ind w:firstLine="118"/>
      </w:pPr>
      <w:bookmarkStart w:id="56" w:name="_Toc144974498"/>
      <w:bookmarkStart w:id="57" w:name="_Toc152042306"/>
      <w:bookmarkStart w:id="58" w:name="_Toc247513953"/>
      <w:bookmarkStart w:id="59" w:name="_Toc152045530"/>
      <w:bookmarkStart w:id="60" w:name="_Toc247527554"/>
      <w:r>
        <w:rPr>
          <w:rFonts w:hint="eastAsia"/>
        </w:rPr>
        <w:t>1.1 项目概况</w:t>
      </w:r>
      <w:bookmarkEnd w:id="56"/>
      <w:bookmarkEnd w:id="57"/>
      <w:bookmarkEnd w:id="58"/>
      <w:bookmarkEnd w:id="59"/>
      <w:bookmarkEnd w:id="60"/>
    </w:p>
    <w:p>
      <w:pPr>
        <w:spacing w:line="360" w:lineRule="auto"/>
        <w:ind w:firstLine="424" w:firstLineChars="202"/>
      </w:pPr>
      <w:r>
        <w:rPr>
          <w:rFonts w:hint="eastAsia"/>
        </w:rPr>
        <w:t>1.1.1根据《中华人民共和国招标投标法》等有关法律、法规和规章的规定，本招标项目已具备招标条件，现对该项目施工进行招标。</w:t>
      </w:r>
    </w:p>
    <w:p>
      <w:pPr>
        <w:spacing w:line="360" w:lineRule="auto"/>
        <w:ind w:firstLine="424" w:firstLineChars="202"/>
      </w:pPr>
      <w:r>
        <w:rPr>
          <w:rFonts w:hint="eastAsia"/>
        </w:rPr>
        <w:t>1.1.2 招标人：见投标人须知前附表。</w:t>
      </w:r>
    </w:p>
    <w:p>
      <w:pPr>
        <w:spacing w:line="360" w:lineRule="auto"/>
        <w:ind w:firstLine="424" w:firstLineChars="202"/>
      </w:pPr>
      <w:r>
        <w:rPr>
          <w:rFonts w:hint="eastAsia"/>
        </w:rPr>
        <w:t>1.1.3 招标代理机构：见投标人须知前附表。</w:t>
      </w:r>
    </w:p>
    <w:p>
      <w:pPr>
        <w:spacing w:line="360" w:lineRule="auto"/>
        <w:ind w:firstLine="424" w:firstLineChars="202"/>
      </w:pPr>
      <w:r>
        <w:rPr>
          <w:rFonts w:hint="eastAsia"/>
        </w:rPr>
        <w:t>1.1.4 招标项目名称：见投标人须知前附表。</w:t>
      </w:r>
    </w:p>
    <w:p>
      <w:pPr>
        <w:spacing w:line="360" w:lineRule="auto"/>
        <w:ind w:firstLine="424" w:firstLineChars="202"/>
      </w:pPr>
      <w:r>
        <w:rPr>
          <w:rFonts w:hint="eastAsia"/>
        </w:rPr>
        <w:t>1.1.5 项目建设地点：见投标人须知前附表。</w:t>
      </w:r>
    </w:p>
    <w:p>
      <w:pPr>
        <w:pStyle w:val="4"/>
        <w:ind w:firstLine="118"/>
      </w:pPr>
      <w:bookmarkStart w:id="61" w:name="_Toc144974499"/>
      <w:bookmarkStart w:id="62" w:name="_Toc152042307"/>
      <w:bookmarkStart w:id="63" w:name="_Toc152045531"/>
      <w:bookmarkStart w:id="64" w:name="_Toc247513954"/>
      <w:bookmarkStart w:id="65" w:name="_Toc247527555"/>
      <w:r>
        <w:rPr>
          <w:rFonts w:hint="eastAsia"/>
        </w:rPr>
        <w:t>1.2 项目的资金来源和落实情况</w:t>
      </w:r>
      <w:bookmarkEnd w:id="61"/>
      <w:bookmarkEnd w:id="62"/>
      <w:bookmarkEnd w:id="63"/>
      <w:bookmarkEnd w:id="64"/>
      <w:bookmarkEnd w:id="65"/>
    </w:p>
    <w:p>
      <w:pPr>
        <w:spacing w:line="360" w:lineRule="auto"/>
        <w:ind w:firstLine="424" w:firstLineChars="202"/>
      </w:pPr>
      <w:r>
        <w:rPr>
          <w:rFonts w:hint="eastAsia"/>
        </w:rPr>
        <w:t>1.2.1 资金来源及比例：见投标人须知前附表。</w:t>
      </w:r>
    </w:p>
    <w:p>
      <w:pPr>
        <w:spacing w:line="360" w:lineRule="auto"/>
        <w:ind w:firstLine="424" w:firstLineChars="202"/>
      </w:pPr>
      <w:r>
        <w:rPr>
          <w:rFonts w:hint="eastAsia"/>
        </w:rPr>
        <w:t>1.2.2 资金落实情况：见投标人须知前附表。</w:t>
      </w:r>
    </w:p>
    <w:p>
      <w:pPr>
        <w:pStyle w:val="4"/>
        <w:ind w:firstLine="118"/>
      </w:pPr>
      <w:bookmarkStart w:id="66" w:name="_Toc144974500"/>
      <w:bookmarkStart w:id="67" w:name="_Toc152042308"/>
      <w:bookmarkStart w:id="68" w:name="_Toc152045532"/>
      <w:bookmarkStart w:id="69" w:name="_Toc247513955"/>
      <w:bookmarkStart w:id="70" w:name="_Toc247527556"/>
      <w:r>
        <w:rPr>
          <w:rFonts w:hint="eastAsia"/>
        </w:rPr>
        <w:t>1.3 招标范围、计划工期和</w:t>
      </w:r>
      <w:bookmarkEnd w:id="66"/>
      <w:bookmarkEnd w:id="67"/>
      <w:bookmarkEnd w:id="68"/>
      <w:bookmarkEnd w:id="69"/>
      <w:bookmarkEnd w:id="70"/>
      <w:r>
        <w:rPr>
          <w:rFonts w:hint="eastAsia"/>
        </w:rPr>
        <w:t>质量标准</w:t>
      </w:r>
    </w:p>
    <w:p>
      <w:pPr>
        <w:spacing w:line="360" w:lineRule="auto"/>
        <w:ind w:firstLine="424" w:firstLineChars="202"/>
      </w:pPr>
      <w:r>
        <w:rPr>
          <w:rFonts w:hint="eastAsia"/>
        </w:rPr>
        <w:t>1.3.1 招标范围：见投标人须知前附表。</w:t>
      </w:r>
    </w:p>
    <w:p>
      <w:pPr>
        <w:spacing w:line="360" w:lineRule="auto"/>
        <w:ind w:firstLine="424" w:firstLineChars="202"/>
      </w:pPr>
      <w:r>
        <w:rPr>
          <w:rFonts w:hint="eastAsia"/>
        </w:rPr>
        <w:t>1.3.2 标段划分：见投标人须知前附表。</w:t>
      </w:r>
    </w:p>
    <w:p>
      <w:pPr>
        <w:spacing w:line="360" w:lineRule="auto"/>
        <w:ind w:firstLine="424" w:firstLineChars="202"/>
      </w:pPr>
      <w:r>
        <w:rPr>
          <w:rFonts w:hint="eastAsia"/>
        </w:rPr>
        <w:t>1.3.3计划工期：见投标人须知前附表。</w:t>
      </w:r>
    </w:p>
    <w:p>
      <w:pPr>
        <w:spacing w:line="360" w:lineRule="auto"/>
        <w:ind w:firstLine="424" w:firstLineChars="202"/>
      </w:pPr>
      <w:r>
        <w:rPr>
          <w:rFonts w:hint="eastAsia"/>
        </w:rPr>
        <w:t>1.3.4 质量要求：见投标人须知前附表。</w:t>
      </w:r>
    </w:p>
    <w:p>
      <w:pPr>
        <w:pStyle w:val="4"/>
        <w:ind w:firstLine="118"/>
      </w:pPr>
      <w:bookmarkStart w:id="71" w:name="_Toc152042310"/>
      <w:bookmarkStart w:id="72" w:name="_Toc152045534"/>
      <w:bookmarkStart w:id="73" w:name="_Toc247513957"/>
      <w:bookmarkStart w:id="74" w:name="_Toc144974502"/>
      <w:bookmarkStart w:id="75" w:name="_Toc247527558"/>
      <w:r>
        <w:rPr>
          <w:rFonts w:hint="eastAsia"/>
        </w:rPr>
        <w:t>1.4 投标人资格要求</w:t>
      </w:r>
      <w:bookmarkEnd w:id="71"/>
      <w:bookmarkEnd w:id="72"/>
      <w:bookmarkEnd w:id="73"/>
      <w:bookmarkEnd w:id="74"/>
      <w:bookmarkEnd w:id="75"/>
    </w:p>
    <w:p>
      <w:pPr>
        <w:spacing w:line="360" w:lineRule="auto"/>
        <w:ind w:firstLine="424" w:firstLineChars="202"/>
      </w:pPr>
      <w:r>
        <w:rPr>
          <w:rFonts w:hint="eastAsia"/>
        </w:rPr>
        <w:t>1.4.1投标人、项目负责人资格要求：见投标人须知前附表。</w:t>
      </w:r>
    </w:p>
    <w:p>
      <w:pPr>
        <w:spacing w:line="360" w:lineRule="auto"/>
        <w:ind w:firstLine="424" w:firstLineChars="202"/>
      </w:pPr>
      <w:r>
        <w:rPr>
          <w:rFonts w:hint="eastAsia"/>
        </w:rPr>
        <w:t>1.4.2 投标人须知前附表规定接受联合体投标的，除应符合本章第1.4.1项和投标人须知前附表的要求外，还应遵守以下规定：</w:t>
      </w:r>
    </w:p>
    <w:p>
      <w:pPr>
        <w:spacing w:line="360" w:lineRule="auto"/>
        <w:ind w:firstLine="567" w:firstLineChars="270"/>
      </w:pPr>
      <w:r>
        <w:rPr>
          <w:rFonts w:hint="eastAsia"/>
        </w:rPr>
        <w:t>（1）联合体各方应按招标文件提供的格式签订联合体协议书，明确联合体牵头人和各方权利义务；</w:t>
      </w:r>
    </w:p>
    <w:p>
      <w:pPr>
        <w:spacing w:line="360" w:lineRule="auto"/>
        <w:ind w:firstLine="567" w:firstLineChars="270"/>
      </w:pPr>
      <w:r>
        <w:rPr>
          <w:rFonts w:hint="eastAsia"/>
        </w:rPr>
        <w:t>（2）由同一专业的单位组成的联合体，按照资质等级较低的单位确定资质等级；</w:t>
      </w:r>
    </w:p>
    <w:p>
      <w:pPr>
        <w:spacing w:line="360" w:lineRule="auto"/>
        <w:ind w:firstLine="567" w:firstLineChars="270"/>
      </w:pPr>
      <w:r>
        <w:rPr>
          <w:rFonts w:hint="eastAsia"/>
        </w:rPr>
        <w:t>（3）联合体各方不得再以自己名义单独或参加其他联合体在本招标项目中投标。</w:t>
      </w:r>
    </w:p>
    <w:p>
      <w:pPr>
        <w:spacing w:line="360" w:lineRule="auto"/>
        <w:ind w:firstLine="424" w:firstLineChars="202"/>
      </w:pPr>
      <w:r>
        <w:rPr>
          <w:rFonts w:hint="eastAsia"/>
        </w:rPr>
        <w:t>1.4.3 投标人不得存在下列情形之一：</w:t>
      </w:r>
    </w:p>
    <w:p>
      <w:pPr>
        <w:spacing w:line="360" w:lineRule="auto"/>
        <w:ind w:firstLine="850" w:firstLineChars="405"/>
      </w:pPr>
      <w:r>
        <w:rPr>
          <w:rFonts w:hint="eastAsia"/>
        </w:rPr>
        <w:t>（1）为招标人不具有独立法人资格的附属机构（单位）；</w:t>
      </w:r>
    </w:p>
    <w:p>
      <w:pPr>
        <w:spacing w:line="360" w:lineRule="auto"/>
        <w:ind w:firstLine="850" w:firstLineChars="405"/>
      </w:pPr>
      <w:r>
        <w:rPr>
          <w:rFonts w:hint="eastAsia"/>
        </w:rPr>
        <w:t>（2）为招标项目前期工作提供咨询服务的；</w:t>
      </w:r>
    </w:p>
    <w:p>
      <w:pPr>
        <w:spacing w:line="360" w:lineRule="auto"/>
        <w:ind w:firstLine="850" w:firstLineChars="405"/>
      </w:pPr>
      <w:r>
        <w:rPr>
          <w:rFonts w:hint="eastAsia"/>
        </w:rPr>
        <w:t>（3）为本招标项目的监理人；</w:t>
      </w:r>
    </w:p>
    <w:p>
      <w:pPr>
        <w:spacing w:line="360" w:lineRule="auto"/>
        <w:ind w:firstLine="850" w:firstLineChars="405"/>
      </w:pPr>
      <w:r>
        <w:rPr>
          <w:rFonts w:hint="eastAsia"/>
        </w:rPr>
        <w:t>（4）为本招标项目的代建人；</w:t>
      </w:r>
    </w:p>
    <w:p>
      <w:pPr>
        <w:spacing w:line="360" w:lineRule="auto"/>
        <w:ind w:firstLine="850" w:firstLineChars="405"/>
      </w:pPr>
      <w:r>
        <w:rPr>
          <w:rFonts w:hint="eastAsia"/>
        </w:rPr>
        <w:t>（5）为本招标项目提供招标代理服务的；</w:t>
      </w:r>
    </w:p>
    <w:p>
      <w:pPr>
        <w:spacing w:line="360" w:lineRule="auto"/>
        <w:ind w:firstLine="850" w:firstLineChars="405"/>
      </w:pPr>
      <w:r>
        <w:rPr>
          <w:rFonts w:hint="eastAsia"/>
        </w:rPr>
        <w:t>（6）被责令停业的；</w:t>
      </w:r>
    </w:p>
    <w:p>
      <w:pPr>
        <w:spacing w:line="360" w:lineRule="auto"/>
        <w:ind w:firstLine="850" w:firstLineChars="405"/>
      </w:pPr>
      <w:r>
        <w:rPr>
          <w:rFonts w:hint="eastAsia"/>
        </w:rPr>
        <w:t>（7）被暂停或取消投标资格的；</w:t>
      </w:r>
    </w:p>
    <w:p>
      <w:pPr>
        <w:spacing w:line="360" w:lineRule="auto"/>
        <w:ind w:firstLine="850" w:firstLineChars="405"/>
      </w:pPr>
      <w:r>
        <w:rPr>
          <w:rFonts w:hint="eastAsia"/>
        </w:rPr>
        <w:t>（8）财产被接管或冻结的；</w:t>
      </w:r>
    </w:p>
    <w:p>
      <w:pPr>
        <w:spacing w:line="360" w:lineRule="auto"/>
        <w:ind w:firstLine="850" w:firstLineChars="405"/>
      </w:pPr>
      <w:r>
        <w:rPr>
          <w:rFonts w:hint="eastAsia"/>
        </w:rPr>
        <w:t>（9）在最近三年内有骗取中标或严重违约或重大工程质量问题的；</w:t>
      </w:r>
    </w:p>
    <w:p>
      <w:pPr>
        <w:spacing w:line="360" w:lineRule="auto"/>
        <w:ind w:firstLine="850" w:firstLineChars="405"/>
      </w:pPr>
      <w:r>
        <w:rPr>
          <w:rFonts w:hint="eastAsia"/>
        </w:rPr>
        <w:t>（10）与本招标项目的监理人或代建人或招标代理机构同为一个法定代表人的；</w:t>
      </w:r>
    </w:p>
    <w:p>
      <w:pPr>
        <w:spacing w:line="360" w:lineRule="auto"/>
        <w:ind w:firstLine="850" w:firstLineChars="405"/>
      </w:pPr>
      <w:r>
        <w:rPr>
          <w:rFonts w:hint="eastAsia"/>
        </w:rPr>
        <w:t>（11）与本招标项目的监理人或代建人或招标代理机构相互控股或参股的；</w:t>
      </w:r>
    </w:p>
    <w:p>
      <w:pPr>
        <w:spacing w:line="360" w:lineRule="auto"/>
        <w:ind w:firstLine="850" w:firstLineChars="405"/>
      </w:pPr>
      <w:r>
        <w:rPr>
          <w:rFonts w:hint="eastAsia"/>
        </w:rPr>
        <w:t>（12）与本招标项目的监理人或代建人或招标代理机构相互任职或工作的。</w:t>
      </w:r>
    </w:p>
    <w:p>
      <w:pPr>
        <w:spacing w:line="360" w:lineRule="auto"/>
        <w:ind w:firstLine="424" w:firstLineChars="202"/>
      </w:pPr>
      <w:r>
        <w:rPr>
          <w:rFonts w:hint="eastAsia"/>
        </w:rPr>
        <w:t>1.4.4 单位负责人为同一人或者存在控股、管理关系的不同单位，不得同时参加本招标项目投标。</w:t>
      </w:r>
    </w:p>
    <w:p>
      <w:pPr>
        <w:pStyle w:val="4"/>
        <w:ind w:firstLine="118"/>
      </w:pPr>
      <w:bookmarkStart w:id="76" w:name="_Toc144974503"/>
      <w:bookmarkStart w:id="77" w:name="_Toc152042311"/>
      <w:bookmarkStart w:id="78" w:name="_Toc152045535"/>
      <w:bookmarkStart w:id="79" w:name="_Toc247513958"/>
      <w:bookmarkStart w:id="80" w:name="_Toc247527559"/>
      <w:r>
        <w:rPr>
          <w:rFonts w:hint="eastAsia"/>
        </w:rPr>
        <w:t>1.5 费用承担</w:t>
      </w:r>
      <w:bookmarkEnd w:id="76"/>
      <w:bookmarkEnd w:id="77"/>
      <w:bookmarkEnd w:id="78"/>
      <w:bookmarkEnd w:id="79"/>
      <w:bookmarkEnd w:id="80"/>
      <w:r>
        <w:rPr>
          <w:rFonts w:hint="eastAsia"/>
        </w:rPr>
        <w:t>和设计成果补偿</w:t>
      </w:r>
    </w:p>
    <w:p>
      <w:pPr>
        <w:spacing w:line="360" w:lineRule="auto"/>
      </w:pPr>
      <w:r>
        <w:rPr>
          <w:rFonts w:hint="eastAsia"/>
        </w:rPr>
        <w:t>投标人准备和参加投标活动发生的费用自理。</w:t>
      </w:r>
    </w:p>
    <w:p>
      <w:pPr>
        <w:pStyle w:val="4"/>
        <w:ind w:firstLine="118"/>
      </w:pPr>
      <w:bookmarkStart w:id="81" w:name="_Toc144974504"/>
      <w:bookmarkStart w:id="82" w:name="_Toc152042312"/>
      <w:bookmarkStart w:id="83" w:name="_Toc152045536"/>
      <w:bookmarkStart w:id="84" w:name="_Toc247513959"/>
      <w:bookmarkStart w:id="85" w:name="_Toc247527560"/>
      <w:r>
        <w:rPr>
          <w:rFonts w:hint="eastAsia"/>
        </w:rPr>
        <w:t>1.6 保密</w:t>
      </w:r>
      <w:bookmarkEnd w:id="81"/>
      <w:bookmarkEnd w:id="82"/>
      <w:bookmarkEnd w:id="83"/>
      <w:bookmarkEnd w:id="84"/>
      <w:bookmarkEnd w:id="85"/>
    </w:p>
    <w:p>
      <w:pPr>
        <w:spacing w:line="360" w:lineRule="auto"/>
      </w:pPr>
      <w:r>
        <w:rPr>
          <w:rFonts w:hint="eastAsia"/>
        </w:rPr>
        <w:t>参与招标投标活动的各方应对招标文件和投标文件中的商业和技术等秘密保密，否则应承担相应的法律责任。</w:t>
      </w:r>
    </w:p>
    <w:p>
      <w:pPr>
        <w:pStyle w:val="4"/>
        <w:ind w:firstLine="118"/>
      </w:pPr>
      <w:bookmarkStart w:id="86" w:name="_Toc144974505"/>
      <w:bookmarkStart w:id="87" w:name="_Toc152042313"/>
      <w:bookmarkStart w:id="88" w:name="_Toc152045537"/>
      <w:bookmarkStart w:id="89" w:name="_Toc247513960"/>
      <w:bookmarkStart w:id="90" w:name="_Toc247527561"/>
      <w:r>
        <w:rPr>
          <w:rFonts w:hint="eastAsia"/>
        </w:rPr>
        <w:t>1.7 语言</w:t>
      </w:r>
      <w:bookmarkEnd w:id="86"/>
      <w:r>
        <w:rPr>
          <w:rFonts w:hint="eastAsia"/>
        </w:rPr>
        <w:t>文字</w:t>
      </w:r>
      <w:bookmarkEnd w:id="87"/>
      <w:bookmarkEnd w:id="88"/>
      <w:bookmarkEnd w:id="89"/>
      <w:bookmarkEnd w:id="90"/>
    </w:p>
    <w:p>
      <w:pPr>
        <w:spacing w:line="360" w:lineRule="auto"/>
      </w:pPr>
      <w:r>
        <w:rPr>
          <w:rFonts w:hint="eastAsia"/>
        </w:rPr>
        <w:t>除专用术语外，与招标投标有关的语言均使用中文。必要时专用术语应附有中文注释。</w:t>
      </w:r>
    </w:p>
    <w:p>
      <w:pPr>
        <w:pStyle w:val="4"/>
        <w:ind w:firstLine="118"/>
      </w:pPr>
      <w:bookmarkStart w:id="91" w:name="_Toc144974506"/>
      <w:bookmarkStart w:id="92" w:name="_Toc152042314"/>
      <w:bookmarkStart w:id="93" w:name="_Toc152045538"/>
      <w:bookmarkStart w:id="94" w:name="_Toc247513961"/>
      <w:bookmarkStart w:id="95" w:name="_Toc247527562"/>
      <w:r>
        <w:rPr>
          <w:rFonts w:hint="eastAsia"/>
        </w:rPr>
        <w:t>1.8 计量单位</w:t>
      </w:r>
      <w:bookmarkEnd w:id="91"/>
      <w:bookmarkEnd w:id="92"/>
      <w:bookmarkEnd w:id="93"/>
      <w:bookmarkEnd w:id="94"/>
      <w:bookmarkEnd w:id="95"/>
    </w:p>
    <w:p>
      <w:pPr>
        <w:spacing w:line="360" w:lineRule="auto"/>
      </w:pPr>
      <w:r>
        <w:rPr>
          <w:rFonts w:hint="eastAsia"/>
        </w:rPr>
        <w:t>所有计量均采用中华人民共和国法定计量单位。</w:t>
      </w:r>
    </w:p>
    <w:p>
      <w:pPr>
        <w:pStyle w:val="4"/>
        <w:ind w:firstLine="118"/>
      </w:pPr>
      <w:bookmarkStart w:id="96" w:name="_Toc144974507"/>
      <w:bookmarkStart w:id="97" w:name="_Toc152042315"/>
      <w:bookmarkStart w:id="98" w:name="_Toc152045539"/>
      <w:bookmarkStart w:id="99" w:name="_Toc247513962"/>
      <w:bookmarkStart w:id="100" w:name="_Toc247527563"/>
      <w:r>
        <w:rPr>
          <w:rFonts w:hint="eastAsia"/>
        </w:rPr>
        <w:t>1.9 踏勘现场</w:t>
      </w:r>
      <w:bookmarkEnd w:id="96"/>
      <w:bookmarkEnd w:id="97"/>
      <w:bookmarkEnd w:id="98"/>
      <w:bookmarkEnd w:id="99"/>
      <w:bookmarkEnd w:id="100"/>
    </w:p>
    <w:p>
      <w:pPr>
        <w:spacing w:line="360" w:lineRule="auto"/>
        <w:ind w:firstLine="424" w:firstLineChars="202"/>
      </w:pPr>
      <w:r>
        <w:rPr>
          <w:rFonts w:hint="eastAsia"/>
        </w:rPr>
        <w:t>1.9.1 投标人须知前附表规定组织踏勘现场的，招标人按投标人须知前附表规定的时间、地点组织投标人踏勘项目现场。</w:t>
      </w:r>
    </w:p>
    <w:p>
      <w:pPr>
        <w:spacing w:line="360" w:lineRule="auto"/>
        <w:ind w:firstLine="424" w:firstLineChars="202"/>
      </w:pPr>
      <w:r>
        <w:rPr>
          <w:rFonts w:hint="eastAsia"/>
        </w:rPr>
        <w:t>1.9.2 投标人踏勘现场发生的费用自理。</w:t>
      </w:r>
    </w:p>
    <w:p>
      <w:pPr>
        <w:spacing w:line="360" w:lineRule="auto"/>
        <w:ind w:firstLine="424" w:firstLineChars="202"/>
      </w:pPr>
      <w:r>
        <w:rPr>
          <w:rFonts w:hint="eastAsia"/>
        </w:rPr>
        <w:t>1.9.3 除招标人的原因外，投标人自行负责在踏勘现场中所发生的人员伤亡和财产损失。</w:t>
      </w:r>
    </w:p>
    <w:p>
      <w:pPr>
        <w:spacing w:line="360" w:lineRule="auto"/>
        <w:ind w:firstLine="424" w:firstLineChars="202"/>
      </w:pPr>
      <w:r>
        <w:rPr>
          <w:rFonts w:hint="eastAsia"/>
        </w:rPr>
        <w:t>1.9.4 招标人在踏勘现场中介绍的工程场地和相关的周边环境情况，供投标人在编制投标文件时参考，招标人不对投标人据此作出的判断和决策负责。</w:t>
      </w:r>
    </w:p>
    <w:p>
      <w:pPr>
        <w:pStyle w:val="4"/>
        <w:ind w:firstLine="118"/>
      </w:pPr>
      <w:bookmarkStart w:id="101" w:name="_Toc152045540"/>
      <w:bookmarkStart w:id="102" w:name="_Toc247527564"/>
      <w:bookmarkStart w:id="103" w:name="_Toc247513963"/>
      <w:bookmarkStart w:id="104" w:name="_Toc152042316"/>
      <w:bookmarkStart w:id="105" w:name="_Toc144974508"/>
      <w:r>
        <w:rPr>
          <w:rFonts w:hint="eastAsia"/>
        </w:rPr>
        <w:t>1.10 投标预备会</w:t>
      </w:r>
      <w:bookmarkEnd w:id="101"/>
      <w:bookmarkEnd w:id="102"/>
      <w:bookmarkEnd w:id="103"/>
      <w:bookmarkEnd w:id="104"/>
      <w:bookmarkEnd w:id="105"/>
    </w:p>
    <w:p>
      <w:pPr>
        <w:spacing w:line="360" w:lineRule="auto"/>
        <w:ind w:firstLine="424" w:firstLineChars="202"/>
      </w:pPr>
      <w:bookmarkStart w:id="106" w:name="_Toc247527565"/>
      <w:bookmarkStart w:id="107" w:name="_Toc247513964"/>
      <w:bookmarkStart w:id="108" w:name="_Toc152045541"/>
      <w:bookmarkStart w:id="109" w:name="_Toc152042317"/>
      <w:bookmarkStart w:id="110" w:name="_Toc144974509"/>
      <w:r>
        <w:t>1.</w:t>
      </w:r>
      <w:r>
        <w:rPr>
          <w:rFonts w:hint="eastAsia"/>
        </w:rPr>
        <w:t>10</w:t>
      </w:r>
      <w:r>
        <w:t>.</w:t>
      </w:r>
      <w:r>
        <w:rPr>
          <w:rFonts w:hint="eastAsia"/>
        </w:rPr>
        <w:t>1 招标人不召开投标预备会。</w:t>
      </w:r>
    </w:p>
    <w:p>
      <w:pPr>
        <w:spacing w:line="360" w:lineRule="auto"/>
        <w:ind w:firstLine="424" w:firstLineChars="202"/>
      </w:pPr>
      <w:r>
        <w:t>1.</w:t>
      </w:r>
      <w:r>
        <w:rPr>
          <w:rFonts w:hint="eastAsia"/>
        </w:rPr>
        <w:t>10</w:t>
      </w:r>
      <w:r>
        <w:t>.</w:t>
      </w:r>
      <w:r>
        <w:rPr>
          <w:rFonts w:hint="eastAsia"/>
        </w:rPr>
        <w:t>2 投标人应在投标人须知前附表规定的时间前，将问题在公共资源交易系统电子平台上提出。</w:t>
      </w:r>
    </w:p>
    <w:p>
      <w:pPr>
        <w:spacing w:line="360" w:lineRule="auto"/>
        <w:ind w:firstLine="424" w:firstLineChars="202"/>
      </w:pPr>
      <w:r>
        <w:t>1.</w:t>
      </w:r>
      <w:r>
        <w:rPr>
          <w:rFonts w:hint="eastAsia"/>
        </w:rPr>
        <w:t>10</w:t>
      </w:r>
      <w:r>
        <w:t>.3</w:t>
      </w:r>
      <w:r>
        <w:rPr>
          <w:rFonts w:hint="eastAsia"/>
        </w:rPr>
        <w:t>招标人在投标人须知前附表规定的时间内，将对投标人所提问题的澄清，在公共资源交易系统电子平台上予以澄清。该澄清内容为招标文件的组成部分。</w:t>
      </w:r>
    </w:p>
    <w:p>
      <w:pPr>
        <w:pStyle w:val="4"/>
        <w:ind w:firstLine="118"/>
      </w:pPr>
      <w:r>
        <w:rPr>
          <w:rFonts w:hint="eastAsia"/>
        </w:rPr>
        <w:t>1.11 分包</w:t>
      </w:r>
      <w:bookmarkEnd w:id="106"/>
      <w:bookmarkEnd w:id="107"/>
      <w:bookmarkEnd w:id="108"/>
      <w:bookmarkEnd w:id="109"/>
      <w:bookmarkEnd w:id="110"/>
    </w:p>
    <w:p>
      <w:pPr>
        <w:spacing w:line="360" w:lineRule="auto"/>
      </w:pPr>
      <w:r>
        <w:rPr>
          <w:rFonts w:hint="eastAsia"/>
        </w:rPr>
        <w:t>不允许。</w:t>
      </w:r>
    </w:p>
    <w:p>
      <w:pPr>
        <w:pStyle w:val="4"/>
        <w:ind w:firstLine="118"/>
      </w:pPr>
      <w:bookmarkStart w:id="111" w:name="_Toc247527566"/>
      <w:bookmarkStart w:id="112" w:name="_Toc247513965"/>
      <w:r>
        <w:rPr>
          <w:rFonts w:hint="eastAsia"/>
        </w:rPr>
        <w:t>1.12 偏离</w:t>
      </w:r>
      <w:bookmarkEnd w:id="111"/>
      <w:bookmarkEnd w:id="112"/>
    </w:p>
    <w:p>
      <w:pPr>
        <w:spacing w:line="360" w:lineRule="auto"/>
      </w:pPr>
      <w:r>
        <w:rPr>
          <w:rFonts w:hint="eastAsia"/>
        </w:rPr>
        <w:t>投标人须知前附表允许投标文件偏离招标文件某些要求的，偏离应当符合招标文件规定的偏离范围和幅度。</w:t>
      </w:r>
    </w:p>
    <w:p>
      <w:pPr>
        <w:pStyle w:val="3"/>
      </w:pPr>
      <w:bookmarkStart w:id="113" w:name="_Toc529440037"/>
      <w:bookmarkStart w:id="114" w:name="_Toc247527567"/>
      <w:bookmarkStart w:id="115" w:name="_Toc247513966"/>
      <w:bookmarkStart w:id="116" w:name="_Toc152045542"/>
      <w:bookmarkStart w:id="117" w:name="_Toc152042318"/>
      <w:bookmarkStart w:id="118" w:name="_Toc144974510"/>
      <w:r>
        <w:rPr>
          <w:rFonts w:hint="eastAsia"/>
        </w:rPr>
        <w:t>2. 招标文件</w:t>
      </w:r>
      <w:bookmarkEnd w:id="113"/>
      <w:bookmarkEnd w:id="114"/>
      <w:bookmarkEnd w:id="115"/>
      <w:bookmarkEnd w:id="116"/>
      <w:bookmarkEnd w:id="117"/>
      <w:bookmarkEnd w:id="118"/>
    </w:p>
    <w:p>
      <w:pPr>
        <w:pStyle w:val="4"/>
        <w:ind w:firstLine="118"/>
      </w:pPr>
      <w:bookmarkStart w:id="119" w:name="_Toc247527568"/>
      <w:bookmarkStart w:id="120" w:name="_Toc247513967"/>
      <w:bookmarkStart w:id="121" w:name="_Toc152045543"/>
      <w:bookmarkStart w:id="122" w:name="_Toc152042319"/>
      <w:bookmarkStart w:id="123" w:name="_Toc144974511"/>
      <w:r>
        <w:rPr>
          <w:rFonts w:hint="eastAsia"/>
        </w:rPr>
        <w:t>2.1 招标文件的组成</w:t>
      </w:r>
      <w:bookmarkEnd w:id="119"/>
      <w:bookmarkEnd w:id="120"/>
      <w:bookmarkEnd w:id="121"/>
      <w:bookmarkEnd w:id="122"/>
      <w:bookmarkEnd w:id="123"/>
    </w:p>
    <w:p>
      <w:pPr>
        <w:spacing w:line="360" w:lineRule="auto"/>
      </w:pPr>
      <w:r>
        <w:rPr>
          <w:rFonts w:hint="eastAsia"/>
        </w:rPr>
        <w:t>本招标文件包括：</w:t>
      </w:r>
    </w:p>
    <w:p>
      <w:pPr>
        <w:spacing w:line="360" w:lineRule="auto"/>
        <w:ind w:firstLine="567" w:firstLineChars="270"/>
      </w:pPr>
      <w:r>
        <w:rPr>
          <w:rFonts w:hint="eastAsia"/>
        </w:rPr>
        <w:t>（1）招标公告；</w:t>
      </w:r>
    </w:p>
    <w:p>
      <w:pPr>
        <w:spacing w:line="360" w:lineRule="auto"/>
        <w:ind w:firstLine="567" w:firstLineChars="270"/>
      </w:pPr>
      <w:r>
        <w:rPr>
          <w:rFonts w:hint="eastAsia"/>
        </w:rPr>
        <w:t>（2）投标人须知；</w:t>
      </w:r>
    </w:p>
    <w:p>
      <w:pPr>
        <w:spacing w:line="360" w:lineRule="auto"/>
        <w:ind w:firstLine="567" w:firstLineChars="270"/>
      </w:pPr>
      <w:r>
        <w:rPr>
          <w:rFonts w:hint="eastAsia"/>
        </w:rPr>
        <w:t>（3）评标办法；</w:t>
      </w:r>
    </w:p>
    <w:p>
      <w:pPr>
        <w:spacing w:line="360" w:lineRule="auto"/>
        <w:ind w:firstLine="567" w:firstLineChars="270"/>
      </w:pPr>
      <w:r>
        <w:rPr>
          <w:rFonts w:hint="eastAsia"/>
        </w:rPr>
        <w:t>（4）合同条款及格式；</w:t>
      </w:r>
    </w:p>
    <w:p>
      <w:pPr>
        <w:spacing w:line="360" w:lineRule="auto"/>
        <w:ind w:firstLine="567" w:firstLineChars="270"/>
      </w:pPr>
      <w:r>
        <w:rPr>
          <w:rFonts w:hint="eastAsia"/>
        </w:rPr>
        <w:t>（5）工程量清单；</w:t>
      </w:r>
    </w:p>
    <w:p>
      <w:pPr>
        <w:spacing w:line="360" w:lineRule="auto"/>
        <w:ind w:firstLine="567" w:firstLineChars="270"/>
      </w:pPr>
      <w:r>
        <w:rPr>
          <w:rFonts w:hint="eastAsia"/>
        </w:rPr>
        <w:t>（6）图纸；</w:t>
      </w:r>
    </w:p>
    <w:p>
      <w:pPr>
        <w:spacing w:line="360" w:lineRule="auto"/>
        <w:ind w:firstLine="567" w:firstLineChars="270"/>
      </w:pPr>
      <w:r>
        <w:rPr>
          <w:rFonts w:hint="eastAsia"/>
        </w:rPr>
        <w:t>（7）技术标准和要求；</w:t>
      </w:r>
    </w:p>
    <w:p>
      <w:pPr>
        <w:spacing w:line="360" w:lineRule="auto"/>
        <w:ind w:firstLine="567" w:firstLineChars="270"/>
      </w:pPr>
      <w:r>
        <w:rPr>
          <w:rFonts w:hint="eastAsia"/>
        </w:rPr>
        <w:t>（8）投标文件格式；</w:t>
      </w:r>
    </w:p>
    <w:p>
      <w:pPr>
        <w:spacing w:line="360" w:lineRule="auto"/>
        <w:ind w:firstLine="567" w:firstLineChars="270"/>
      </w:pPr>
      <w:r>
        <w:rPr>
          <w:rFonts w:hint="eastAsia"/>
        </w:rPr>
        <w:t>（9）投标人须知前附表规定的其他材料；</w:t>
      </w:r>
    </w:p>
    <w:p>
      <w:pPr>
        <w:spacing w:line="360" w:lineRule="auto"/>
      </w:pPr>
      <w:r>
        <w:rPr>
          <w:rFonts w:hint="eastAsia"/>
        </w:rPr>
        <w:t>根据本章第2.2款和第2.3款对招标文件所作的澄清、修改，构成招标文件的组成部分。</w:t>
      </w:r>
    </w:p>
    <w:p>
      <w:pPr>
        <w:pStyle w:val="4"/>
        <w:ind w:firstLine="118"/>
      </w:pPr>
      <w:bookmarkStart w:id="124" w:name="_Toc247527569"/>
      <w:bookmarkStart w:id="125" w:name="_Toc247513968"/>
      <w:bookmarkStart w:id="126" w:name="_Toc152045544"/>
      <w:bookmarkStart w:id="127" w:name="_Toc152042320"/>
      <w:bookmarkStart w:id="128" w:name="_Toc144974512"/>
      <w:r>
        <w:rPr>
          <w:rFonts w:hint="eastAsia"/>
        </w:rPr>
        <w:t>2.2 招标文件的澄清</w:t>
      </w:r>
      <w:bookmarkEnd w:id="124"/>
      <w:bookmarkEnd w:id="125"/>
      <w:bookmarkEnd w:id="126"/>
      <w:bookmarkEnd w:id="127"/>
      <w:bookmarkEnd w:id="128"/>
    </w:p>
    <w:p>
      <w:pPr>
        <w:spacing w:line="360" w:lineRule="auto"/>
        <w:ind w:firstLine="424" w:firstLineChars="202"/>
      </w:pPr>
      <w:r>
        <w:rPr>
          <w:rFonts w:hint="eastAsia"/>
        </w:rPr>
        <w:t>2.2.1 投标人应仔细阅读和检查招标文件的全部内容。如发现缺页或附件不全，应及时向招标人提出，以便补齐。如有疑问，应在投标人须知前附表规定的时间前，要求招标人对招标文件予以澄清。如未提出异议，视为全面接受。</w:t>
      </w:r>
    </w:p>
    <w:p>
      <w:pPr>
        <w:spacing w:line="360" w:lineRule="auto"/>
        <w:ind w:firstLine="424" w:firstLineChars="202"/>
      </w:pPr>
      <w:r>
        <w:t xml:space="preserve">2.2.2 </w:t>
      </w:r>
      <w:r>
        <w:rPr>
          <w:rFonts w:hint="eastAsia"/>
        </w:rPr>
        <w:t>招标文件的澄清将在投标人须知前附表规定的投标截止时间</w:t>
      </w:r>
      <w:r>
        <w:t>15</w:t>
      </w:r>
      <w:r>
        <w:rPr>
          <w:rFonts w:hint="eastAsia"/>
        </w:rPr>
        <w:t>天前通过《全国公共资源交易平台（河南省·许昌市）》公共资源交易系统发出，但不指明澄清问题的来源。如果澄清发出的时间距投标截止时间不足</w:t>
      </w:r>
      <w:r>
        <w:t>15</w:t>
      </w:r>
      <w:r>
        <w:rPr>
          <w:rFonts w:hint="eastAsia"/>
        </w:rPr>
        <w:t>天，相应延长投标截止时间。</w:t>
      </w:r>
    </w:p>
    <w:p>
      <w:pPr>
        <w:spacing w:line="360" w:lineRule="auto"/>
        <w:ind w:firstLine="424" w:firstLineChars="202"/>
      </w:pPr>
      <w:r>
        <w:t xml:space="preserve">2.2.3 </w:t>
      </w:r>
      <w:r>
        <w:rPr>
          <w:rFonts w:hint="eastAsia"/>
        </w:rPr>
        <w:t>所有澄清、答疑全部以《全国公共资源交易平台（河南省·许昌市）》公共资源交易系统发出的为准，不再接受书面形式的递交。</w:t>
      </w:r>
    </w:p>
    <w:p>
      <w:pPr>
        <w:pStyle w:val="4"/>
        <w:ind w:firstLine="118"/>
      </w:pPr>
      <w:bookmarkStart w:id="129" w:name="_Toc247527570"/>
      <w:bookmarkStart w:id="130" w:name="_Toc247513969"/>
      <w:bookmarkStart w:id="131" w:name="_Toc152045545"/>
      <w:bookmarkStart w:id="132" w:name="_Toc152042321"/>
      <w:bookmarkStart w:id="133" w:name="_Toc144974513"/>
      <w:r>
        <w:rPr>
          <w:rFonts w:hint="eastAsia"/>
        </w:rPr>
        <w:t>2.3 招标文件的修改</w:t>
      </w:r>
      <w:bookmarkEnd w:id="129"/>
      <w:bookmarkEnd w:id="130"/>
      <w:bookmarkEnd w:id="131"/>
      <w:bookmarkEnd w:id="132"/>
      <w:bookmarkEnd w:id="133"/>
    </w:p>
    <w:p>
      <w:pPr>
        <w:spacing w:line="360" w:lineRule="auto"/>
        <w:ind w:firstLine="424" w:firstLineChars="202"/>
      </w:pPr>
      <w:bookmarkStart w:id="134" w:name="_Toc531281736"/>
      <w:bookmarkStart w:id="135" w:name="_Toc247527571"/>
      <w:bookmarkStart w:id="136" w:name="_Toc247513970"/>
      <w:bookmarkStart w:id="137" w:name="_Toc152045546"/>
      <w:bookmarkStart w:id="138" w:name="_Toc152042322"/>
      <w:bookmarkStart w:id="139" w:name="_Toc144974514"/>
      <w:r>
        <w:t xml:space="preserve">2.3.1 </w:t>
      </w:r>
      <w:r>
        <w:rPr>
          <w:rFonts w:hint="eastAsia"/>
        </w:rPr>
        <w:t>在投标截止时间</w:t>
      </w:r>
      <w:r>
        <w:t>15</w:t>
      </w:r>
      <w:r>
        <w:rPr>
          <w:rFonts w:hint="eastAsia"/>
        </w:rPr>
        <w:t>天前，招标人可以通过《全国公共资源交易平台（河南省·许昌市）》公共资源交易系统修改招标文件，如果修改招标文件的时间距投标截止时间不足</w:t>
      </w:r>
      <w:r>
        <w:t xml:space="preserve">15 </w:t>
      </w:r>
      <w:r>
        <w:rPr>
          <w:rFonts w:hint="eastAsia"/>
        </w:rPr>
        <w:t>天，相应延长投标截止时间。</w:t>
      </w:r>
      <w:bookmarkEnd w:id="134"/>
    </w:p>
    <w:p>
      <w:pPr>
        <w:spacing w:line="360" w:lineRule="auto"/>
        <w:ind w:firstLine="424" w:firstLineChars="202"/>
      </w:pPr>
      <w:bookmarkStart w:id="140" w:name="_Toc531281737"/>
      <w:r>
        <w:t xml:space="preserve">2.3.2 </w:t>
      </w:r>
      <w:r>
        <w:rPr>
          <w:rFonts w:hint="eastAsia"/>
        </w:rPr>
        <w:t>当招标文件、补充通知、答疑纪要，内容相互矛盾时，以最后发出的通知或纪要为准。</w:t>
      </w:r>
      <w:bookmarkEnd w:id="140"/>
    </w:p>
    <w:p>
      <w:pPr>
        <w:pStyle w:val="3"/>
      </w:pPr>
      <w:bookmarkStart w:id="141" w:name="_Toc529440038"/>
      <w:r>
        <w:rPr>
          <w:rFonts w:hint="eastAsia"/>
        </w:rPr>
        <w:t>3. 投标文件</w:t>
      </w:r>
      <w:bookmarkEnd w:id="135"/>
      <w:bookmarkEnd w:id="136"/>
      <w:bookmarkEnd w:id="137"/>
      <w:bookmarkEnd w:id="138"/>
      <w:bookmarkEnd w:id="139"/>
      <w:bookmarkEnd w:id="141"/>
    </w:p>
    <w:p>
      <w:pPr>
        <w:pStyle w:val="4"/>
        <w:ind w:firstLine="118"/>
      </w:pPr>
      <w:bookmarkStart w:id="142" w:name="_Toc247527573"/>
      <w:bookmarkStart w:id="143" w:name="_Toc247513972"/>
      <w:bookmarkStart w:id="144" w:name="_Toc152045548"/>
      <w:bookmarkStart w:id="145" w:name="_Toc152042324"/>
      <w:bookmarkStart w:id="146" w:name="_Toc144974516"/>
      <w:r>
        <w:rPr>
          <w:rFonts w:hint="eastAsia"/>
        </w:rPr>
        <w:t>3.1投标文件由商务标、综合标和技术标三部分组成。</w:t>
      </w:r>
    </w:p>
    <w:p>
      <w:pPr>
        <w:spacing w:line="360" w:lineRule="auto"/>
        <w:ind w:firstLine="424" w:firstLineChars="202"/>
      </w:pPr>
      <w:r>
        <w:rPr>
          <w:rFonts w:hint="eastAsia"/>
        </w:rPr>
        <w:t>3.1.1 商务标组成：</w:t>
      </w:r>
    </w:p>
    <w:p>
      <w:pPr>
        <w:spacing w:line="360" w:lineRule="auto"/>
        <w:ind w:firstLine="567" w:firstLineChars="270"/>
      </w:pPr>
      <w:r>
        <w:rPr>
          <w:rFonts w:hint="eastAsia"/>
        </w:rPr>
        <w:t>已标价工程量清单。</w:t>
      </w:r>
    </w:p>
    <w:p>
      <w:pPr>
        <w:spacing w:line="360" w:lineRule="auto"/>
        <w:ind w:firstLine="424" w:firstLineChars="202"/>
      </w:pPr>
      <w:r>
        <w:rPr>
          <w:rFonts w:hint="eastAsia"/>
        </w:rPr>
        <w:t>3.1.2 综合标组成：</w:t>
      </w:r>
    </w:p>
    <w:p>
      <w:pPr>
        <w:spacing w:line="360" w:lineRule="auto"/>
        <w:ind w:firstLine="567" w:firstLineChars="270"/>
      </w:pPr>
      <w:r>
        <w:rPr>
          <w:rFonts w:hint="eastAsia"/>
        </w:rPr>
        <w:t>（1）投标函及投标函附录；</w:t>
      </w:r>
    </w:p>
    <w:p>
      <w:pPr>
        <w:spacing w:line="360" w:lineRule="auto"/>
        <w:ind w:firstLine="567" w:firstLineChars="270"/>
      </w:pPr>
      <w:r>
        <w:rPr>
          <w:rFonts w:hint="eastAsia"/>
        </w:rPr>
        <w:t>（2）法定代表人身份证明、授权委托书及项目负责人承诺书；</w:t>
      </w:r>
    </w:p>
    <w:p>
      <w:pPr>
        <w:spacing w:line="360" w:lineRule="auto"/>
        <w:ind w:firstLine="567" w:firstLineChars="270"/>
      </w:pPr>
      <w:r>
        <w:rPr>
          <w:rFonts w:hint="eastAsia"/>
        </w:rPr>
        <w:t>（3）投标保证金；</w:t>
      </w:r>
    </w:p>
    <w:p>
      <w:pPr>
        <w:spacing w:line="360" w:lineRule="auto"/>
        <w:ind w:firstLine="567" w:firstLineChars="270"/>
      </w:pPr>
      <w:r>
        <w:rPr>
          <w:rFonts w:hint="eastAsia"/>
        </w:rPr>
        <w:t>（4）项目管理机构配备情况；</w:t>
      </w:r>
    </w:p>
    <w:p>
      <w:pPr>
        <w:spacing w:line="360" w:lineRule="auto"/>
        <w:ind w:firstLine="567" w:firstLineChars="270"/>
      </w:pPr>
      <w:r>
        <w:rPr>
          <w:rFonts w:hint="eastAsia"/>
        </w:rPr>
        <w:t>（5）投标单位基本信息表；</w:t>
      </w:r>
    </w:p>
    <w:p>
      <w:pPr>
        <w:spacing w:line="360" w:lineRule="auto"/>
        <w:ind w:firstLine="567" w:firstLineChars="270"/>
      </w:pPr>
      <w:r>
        <w:rPr>
          <w:rFonts w:hint="eastAsia"/>
        </w:rPr>
        <w:t>（6）资格证明文件；</w:t>
      </w:r>
    </w:p>
    <w:p>
      <w:pPr>
        <w:spacing w:line="360" w:lineRule="auto"/>
        <w:ind w:firstLine="567" w:firstLineChars="270"/>
      </w:pPr>
      <w:r>
        <w:rPr>
          <w:rFonts w:hint="eastAsia"/>
        </w:rPr>
        <w:t>（7）近年完成的类似项目情况表</w:t>
      </w:r>
    </w:p>
    <w:p>
      <w:pPr>
        <w:spacing w:line="360" w:lineRule="auto"/>
        <w:ind w:firstLine="567" w:firstLineChars="270"/>
      </w:pPr>
      <w:r>
        <w:rPr>
          <w:rFonts w:hint="eastAsia"/>
        </w:rPr>
        <w:t>（8）正在施工的和新承接的项目情况；</w:t>
      </w:r>
    </w:p>
    <w:p>
      <w:pPr>
        <w:spacing w:line="360" w:lineRule="auto"/>
        <w:ind w:firstLine="567" w:firstLineChars="270"/>
      </w:pPr>
      <w:r>
        <w:rPr>
          <w:rFonts w:hint="eastAsia"/>
        </w:rPr>
        <w:t>（9）其它材料；</w:t>
      </w:r>
    </w:p>
    <w:p>
      <w:pPr>
        <w:spacing w:line="360" w:lineRule="auto"/>
        <w:ind w:firstLine="424" w:firstLineChars="202"/>
      </w:pPr>
      <w:r>
        <w:rPr>
          <w:rFonts w:hint="eastAsia"/>
        </w:rPr>
        <w:t>3.1.3 技术标组成：</w:t>
      </w:r>
    </w:p>
    <w:p>
      <w:pPr>
        <w:spacing w:line="360" w:lineRule="auto"/>
        <w:ind w:firstLine="567" w:firstLineChars="270"/>
      </w:pPr>
      <w:r>
        <w:rPr>
          <w:rFonts w:hint="eastAsia"/>
        </w:rPr>
        <w:t>（1）内容完整性；</w:t>
      </w:r>
    </w:p>
    <w:p>
      <w:pPr>
        <w:spacing w:line="360" w:lineRule="auto"/>
        <w:ind w:firstLine="567" w:firstLineChars="270"/>
      </w:pPr>
      <w:r>
        <w:rPr>
          <w:rFonts w:hint="eastAsia"/>
        </w:rPr>
        <w:t>（2）主要施工方案与技术措施；</w:t>
      </w:r>
    </w:p>
    <w:p>
      <w:pPr>
        <w:spacing w:line="360" w:lineRule="auto"/>
        <w:ind w:firstLine="567" w:firstLineChars="270"/>
      </w:pPr>
      <w:r>
        <w:rPr>
          <w:rFonts w:hint="eastAsia"/>
        </w:rPr>
        <w:t>（3）质量管理体系与措施；</w:t>
      </w:r>
    </w:p>
    <w:p>
      <w:pPr>
        <w:spacing w:line="360" w:lineRule="auto"/>
        <w:ind w:firstLine="567" w:firstLineChars="270"/>
      </w:pPr>
      <w:r>
        <w:rPr>
          <w:rFonts w:hint="eastAsia"/>
        </w:rPr>
        <w:t>（4）安全管理体系与措施；</w:t>
      </w:r>
    </w:p>
    <w:p>
      <w:pPr>
        <w:spacing w:line="360" w:lineRule="auto"/>
        <w:ind w:firstLine="567" w:firstLineChars="270"/>
      </w:pPr>
      <w:r>
        <w:rPr>
          <w:rFonts w:hint="eastAsia"/>
        </w:rPr>
        <w:t>（5）文明施工、环境保护管理体系及施工现场扬尘治理措施；</w:t>
      </w:r>
    </w:p>
    <w:p>
      <w:pPr>
        <w:spacing w:line="360" w:lineRule="auto"/>
        <w:ind w:firstLine="567" w:firstLineChars="270"/>
      </w:pPr>
      <w:r>
        <w:rPr>
          <w:rFonts w:hint="eastAsia"/>
        </w:rPr>
        <w:t>（6）工期保证措施；</w:t>
      </w:r>
    </w:p>
    <w:p>
      <w:pPr>
        <w:spacing w:line="360" w:lineRule="auto"/>
        <w:ind w:firstLine="567" w:firstLineChars="270"/>
      </w:pPr>
      <w:r>
        <w:rPr>
          <w:rFonts w:hint="eastAsia"/>
        </w:rPr>
        <w:t>（7）拟投入资源配备计划；</w:t>
      </w:r>
    </w:p>
    <w:p>
      <w:pPr>
        <w:spacing w:line="360" w:lineRule="auto"/>
        <w:ind w:firstLine="567" w:firstLineChars="270"/>
      </w:pPr>
      <w:r>
        <w:rPr>
          <w:rFonts w:hint="eastAsia"/>
        </w:rPr>
        <w:t>（8）施工进度表与网络计划图；</w:t>
      </w:r>
    </w:p>
    <w:p>
      <w:pPr>
        <w:spacing w:line="360" w:lineRule="auto"/>
        <w:ind w:firstLine="567" w:firstLineChars="270"/>
      </w:pPr>
      <w:r>
        <w:rPr>
          <w:rFonts w:hint="eastAsia"/>
        </w:rPr>
        <w:t>（9）施工总平面布置图；</w:t>
      </w:r>
    </w:p>
    <w:p>
      <w:pPr>
        <w:spacing w:line="360" w:lineRule="auto"/>
        <w:ind w:firstLine="567" w:firstLineChars="270"/>
      </w:pPr>
      <w:r>
        <w:rPr>
          <w:rFonts w:hint="eastAsia"/>
        </w:rPr>
        <w:t>（10）技术创新的应用实施措施；</w:t>
      </w:r>
    </w:p>
    <w:p>
      <w:pPr>
        <w:spacing w:line="360" w:lineRule="auto"/>
        <w:ind w:firstLine="567" w:firstLineChars="270"/>
      </w:pPr>
      <w:r>
        <w:rPr>
          <w:rFonts w:hint="eastAsia"/>
        </w:rPr>
        <w:t>（11）采用新工艺、新技术、新设备、新材料、BIM等的程度；</w:t>
      </w:r>
    </w:p>
    <w:p>
      <w:pPr>
        <w:spacing w:line="360" w:lineRule="auto"/>
        <w:ind w:firstLine="567" w:firstLineChars="270"/>
      </w:pPr>
      <w:r>
        <w:rPr>
          <w:rFonts w:hint="eastAsia"/>
        </w:rPr>
        <w:t>（12）施工现场实施信息化监控和数据处理；</w:t>
      </w:r>
    </w:p>
    <w:p>
      <w:pPr>
        <w:spacing w:line="360" w:lineRule="auto"/>
        <w:ind w:firstLine="567" w:firstLineChars="270"/>
      </w:pPr>
      <w:r>
        <w:rPr>
          <w:rFonts w:hint="eastAsia"/>
        </w:rPr>
        <w:t>（13）风险管理措施。</w:t>
      </w:r>
    </w:p>
    <w:p>
      <w:pPr>
        <w:pStyle w:val="4"/>
        <w:ind w:firstLine="118"/>
      </w:pPr>
      <w:r>
        <w:rPr>
          <w:rFonts w:hint="eastAsia"/>
        </w:rPr>
        <w:t>3.2 投标报价</w:t>
      </w:r>
      <w:bookmarkEnd w:id="142"/>
      <w:bookmarkEnd w:id="143"/>
      <w:bookmarkEnd w:id="144"/>
      <w:bookmarkEnd w:id="145"/>
      <w:bookmarkEnd w:id="146"/>
    </w:p>
    <w:p>
      <w:pPr>
        <w:spacing w:line="360" w:lineRule="auto"/>
        <w:ind w:firstLine="424" w:firstLineChars="202"/>
      </w:pPr>
      <w:r>
        <w:rPr>
          <w:rFonts w:hint="eastAsia"/>
        </w:rPr>
        <w:t>3.2.1 投标人应按第五章“工程量清单”的要求填写相应表格。</w:t>
      </w:r>
    </w:p>
    <w:p>
      <w:pPr>
        <w:spacing w:line="360" w:lineRule="auto"/>
        <w:ind w:firstLine="424" w:firstLineChars="202"/>
      </w:pPr>
      <w:r>
        <w:rPr>
          <w:rFonts w:hint="eastAsia"/>
        </w:rPr>
        <w:t>3.2.2 投标人在投标截止时间前修改投标函中的投标总报价，应同时修改第五章“工程量清单”中的相应报价。此修改须符合本章第4.3款的有关要求。</w:t>
      </w:r>
    </w:p>
    <w:p>
      <w:pPr>
        <w:spacing w:line="360" w:lineRule="auto"/>
        <w:ind w:firstLine="426" w:firstLineChars="202"/>
        <w:rPr>
          <w:b/>
        </w:rPr>
      </w:pPr>
      <w:r>
        <w:rPr>
          <w:b/>
        </w:rPr>
        <w:t>3.2.3</w:t>
      </w:r>
      <w:r>
        <w:rPr>
          <w:rFonts w:hint="eastAsia"/>
          <w:b/>
        </w:rPr>
        <w:t>“规费和税金”的规定按照住建部《建设工程工程量清单计价规范》（</w:t>
      </w:r>
      <w:r>
        <w:rPr>
          <w:b/>
        </w:rPr>
        <w:t>GB50500-2013</w:t>
      </w:r>
      <w:r>
        <w:rPr>
          <w:rFonts w:hint="eastAsia"/>
          <w:b/>
        </w:rPr>
        <w:t>）及省住建厅有关规定，规费和税金应按规定费（税）率足额计取，即费（税）率不可竞争。规费、税金、安全文明施工措施费计入投标总报价，并在投标函、投标函附录中单列，不参与商务标评审。</w:t>
      </w:r>
    </w:p>
    <w:p>
      <w:pPr>
        <w:spacing w:line="360" w:lineRule="auto"/>
        <w:ind w:firstLine="426" w:firstLineChars="202"/>
        <w:rPr>
          <w:b/>
        </w:rPr>
      </w:pPr>
      <w:r>
        <w:rPr>
          <w:b/>
        </w:rPr>
        <w:t>3.2.4</w:t>
      </w:r>
      <w:r>
        <w:rPr>
          <w:rFonts w:hint="eastAsia"/>
          <w:b/>
        </w:rPr>
        <w:t>根据《关于调整河南省建设工程安全文明施工措施费计取办法的通知》（豫建设标【</w:t>
      </w:r>
      <w:r>
        <w:rPr>
          <w:b/>
        </w:rPr>
        <w:t>2014</w:t>
      </w:r>
      <w:r>
        <w:rPr>
          <w:rFonts w:hint="eastAsia"/>
          <w:b/>
        </w:rPr>
        <w:t>】</w:t>
      </w:r>
      <w:r>
        <w:rPr>
          <w:b/>
        </w:rPr>
        <w:t>57</w:t>
      </w:r>
      <w:r>
        <w:rPr>
          <w:rFonts w:hint="eastAsia"/>
          <w:b/>
        </w:rPr>
        <w:t>号）规定，“安全文明施工措施费”是不可竞争费，即费率不可竞争；投标人编制投标报价时，应按省级主管部门规定的计价标准计取；</w:t>
      </w:r>
    </w:p>
    <w:p>
      <w:pPr>
        <w:spacing w:line="360" w:lineRule="auto"/>
        <w:ind w:firstLine="426" w:firstLineChars="202"/>
        <w:rPr>
          <w:b/>
        </w:rPr>
      </w:pPr>
      <w:r>
        <w:rPr>
          <w:rFonts w:hint="eastAsia"/>
          <w:b/>
        </w:rPr>
        <w:t>3.2.5投标人编制投标报价时，同一投标文件综合工日应前后保持一致。</w:t>
      </w:r>
    </w:p>
    <w:p>
      <w:pPr>
        <w:pStyle w:val="4"/>
        <w:ind w:firstLine="118"/>
      </w:pPr>
      <w:bookmarkStart w:id="147" w:name="_Toc247527574"/>
      <w:bookmarkStart w:id="148" w:name="_Toc247513973"/>
      <w:bookmarkStart w:id="149" w:name="_Toc152045549"/>
      <w:bookmarkStart w:id="150" w:name="_Toc152042325"/>
      <w:bookmarkStart w:id="151" w:name="_Toc144974517"/>
      <w:r>
        <w:rPr>
          <w:rFonts w:hint="eastAsia"/>
        </w:rPr>
        <w:t>3.3 投标有效期</w:t>
      </w:r>
      <w:bookmarkEnd w:id="147"/>
      <w:bookmarkEnd w:id="148"/>
      <w:bookmarkEnd w:id="149"/>
      <w:bookmarkEnd w:id="150"/>
      <w:bookmarkEnd w:id="151"/>
    </w:p>
    <w:p>
      <w:pPr>
        <w:spacing w:line="360" w:lineRule="auto"/>
        <w:ind w:firstLine="424" w:firstLineChars="202"/>
      </w:pPr>
      <w:r>
        <w:t>3.3.1</w:t>
      </w:r>
      <w:r>
        <w:rPr>
          <w:rFonts w:hint="eastAsia"/>
        </w:rPr>
        <w:t>在投标人须知前附表规定的投标有效期内，投标人不得要求撤销或修改其投标文件。</w:t>
      </w:r>
    </w:p>
    <w:p>
      <w:pPr>
        <w:spacing w:line="360" w:lineRule="auto"/>
        <w:ind w:firstLine="424" w:firstLineChars="202"/>
      </w:pPr>
      <w:r>
        <w:t xml:space="preserve">3.3.2 </w:t>
      </w:r>
      <w:r>
        <w:rPr>
          <w:rFonts w:hint="eastAsia"/>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pStyle w:val="4"/>
        <w:ind w:firstLine="118"/>
      </w:pPr>
      <w:bookmarkStart w:id="152" w:name="_Toc247527575"/>
      <w:bookmarkStart w:id="153" w:name="_Toc247513974"/>
      <w:bookmarkStart w:id="154" w:name="_Toc152042326"/>
      <w:bookmarkStart w:id="155" w:name="_Toc152045550"/>
      <w:bookmarkStart w:id="156" w:name="_Toc144974518"/>
      <w:r>
        <w:rPr>
          <w:rFonts w:hint="eastAsia"/>
        </w:rPr>
        <w:t>3.4 投标保证金</w:t>
      </w:r>
      <w:bookmarkEnd w:id="152"/>
      <w:bookmarkEnd w:id="153"/>
      <w:bookmarkEnd w:id="154"/>
      <w:bookmarkEnd w:id="155"/>
      <w:bookmarkEnd w:id="156"/>
    </w:p>
    <w:p>
      <w:pPr>
        <w:spacing w:line="360" w:lineRule="auto"/>
        <w:ind w:firstLine="707" w:firstLineChars="337"/>
      </w:pPr>
      <w:r>
        <w:t xml:space="preserve">3.4.1 </w:t>
      </w:r>
      <w:r>
        <w:rPr>
          <w:rFonts w:hint="eastAsia"/>
        </w:rPr>
        <w:t>投标保证金的基本户备案：按《投标人须知前附表》第</w:t>
      </w:r>
      <w:r>
        <w:t>3.4.2</w:t>
      </w:r>
      <w:r>
        <w:rPr>
          <w:rFonts w:hint="eastAsia"/>
        </w:rPr>
        <w:t>条规定。</w:t>
      </w:r>
    </w:p>
    <w:p>
      <w:pPr>
        <w:spacing w:line="360" w:lineRule="auto"/>
        <w:ind w:firstLine="707" w:firstLineChars="337"/>
      </w:pPr>
      <w:r>
        <w:t xml:space="preserve">3.4.1.1 </w:t>
      </w:r>
      <w:r>
        <w:rPr>
          <w:rFonts w:hint="eastAsia"/>
        </w:rPr>
        <w:t>自招标文件发布之日起，投标人需进行基本户备案（建设工程项目），已备案的基本户开户银行、账户发生变化的，须重新办理备案手续。备案后方可提交投标（竞买）保证金。</w:t>
      </w:r>
    </w:p>
    <w:p>
      <w:pPr>
        <w:spacing w:line="360" w:lineRule="auto"/>
        <w:ind w:firstLine="707" w:firstLineChars="337"/>
      </w:pPr>
      <w:r>
        <w:t xml:space="preserve">3.4.1.2 </w:t>
      </w:r>
      <w:r>
        <w:rPr>
          <w:rFonts w:hint="eastAsia"/>
        </w:rPr>
        <w:t>基本户备案流程：</w:t>
      </w:r>
    </w:p>
    <w:p>
      <w:pPr>
        <w:spacing w:line="360" w:lineRule="auto"/>
        <w:ind w:firstLine="707" w:firstLineChars="337"/>
      </w:pPr>
      <w:r>
        <w:rPr>
          <w:rFonts w:hint="eastAsia"/>
        </w:rPr>
        <w:t>工程建设项目的投标人登录注册网址：</w:t>
      </w:r>
      <w:r>
        <w:t>http://221.14.6.70:8088/ggzy/</w:t>
      </w:r>
      <w:r>
        <w:rPr>
          <w:rFonts w:hint="eastAsia"/>
        </w:rPr>
        <w:t>，进行系统用户注册，在注册流程中“银行账户”环节，增加“账户类别</w:t>
      </w:r>
      <w:r>
        <w:t>-</w:t>
      </w:r>
      <w:r>
        <w:rPr>
          <w:rFonts w:hint="eastAsia"/>
        </w:rPr>
        <w:t>基本账户”，填写投标人基本账户信息，扫描上传基本户开户许可证（两者信息必须相符），保存备案信息，提交并绑定</w:t>
      </w:r>
      <w:r>
        <w:t>CA</w:t>
      </w:r>
      <w:r>
        <w:rPr>
          <w:rFonts w:hint="eastAsia"/>
        </w:rPr>
        <w:t>后可缴纳、绑定投标保证金。</w:t>
      </w:r>
    </w:p>
    <w:p>
      <w:pPr>
        <w:spacing w:line="360" w:lineRule="auto"/>
        <w:ind w:firstLine="707" w:firstLineChars="337"/>
      </w:pPr>
      <w:r>
        <w:t xml:space="preserve">3.4.2 </w:t>
      </w:r>
      <w:r>
        <w:rPr>
          <w:rFonts w:hint="eastAsia"/>
        </w:rPr>
        <w:t>投标保证金缴纳：按《投标人须知前附表》第</w:t>
      </w:r>
      <w:r>
        <w:t>3.4.2</w:t>
      </w:r>
      <w:r>
        <w:rPr>
          <w:rFonts w:hint="eastAsia"/>
        </w:rPr>
        <w:t>条规定。</w:t>
      </w:r>
    </w:p>
    <w:p>
      <w:pPr>
        <w:spacing w:line="360" w:lineRule="auto"/>
        <w:ind w:firstLine="707" w:firstLineChars="337"/>
      </w:pPr>
      <w:r>
        <w:t xml:space="preserve">3.4.2.1 </w:t>
      </w:r>
      <w:r>
        <w:rPr>
          <w:rFonts w:hint="eastAsia"/>
        </w:rPr>
        <w:t>投标保证金的递交方式：银行转帐、银行电汇（均需从投标人的基本账户汇出），不接受以现金方式缴纳的投标保证金。凡以现金方式缴纳投标保证金而影响其投标结果的，由投标人自行负责。</w:t>
      </w:r>
    </w:p>
    <w:p>
      <w:pPr>
        <w:spacing w:line="360" w:lineRule="auto"/>
        <w:ind w:firstLine="707" w:firstLineChars="337"/>
      </w:pPr>
      <w:r>
        <w:rPr>
          <w:rFonts w:hint="eastAsia"/>
        </w:rPr>
        <w:t>使用银行转帐方式的，于截止时间前通过投标人基本账户将款项一次足额递交、成功绑定，以收款人到账时间为准，在途资金无效，视为未按时交纳。同时投标人应承担节假日银行系统不能支付的风险。</w:t>
      </w:r>
    </w:p>
    <w:p>
      <w:pPr>
        <w:spacing w:line="360" w:lineRule="auto"/>
        <w:ind w:firstLine="707" w:firstLineChars="337"/>
      </w:pPr>
      <w:r>
        <w:t xml:space="preserve">3.4.2.2 </w:t>
      </w:r>
      <w:r>
        <w:rPr>
          <w:rFonts w:hint="eastAsia"/>
        </w:rPr>
        <w:t>投标保证金缴纳方式：</w:t>
      </w:r>
    </w:p>
    <w:p>
      <w:pPr>
        <w:spacing w:line="360" w:lineRule="auto"/>
        <w:ind w:firstLine="707" w:firstLineChars="337"/>
      </w:pPr>
      <w:r>
        <w:rPr>
          <w:rFonts w:hint="eastAsia"/>
        </w:rPr>
        <w:t>投标人网上报名后，登录</w:t>
      </w:r>
      <w:r>
        <w:fldChar w:fldCharType="begin"/>
      </w:r>
      <w:r>
        <w:instrText xml:space="preserve"> HYPERLINK "http://221.14.6.70:8088/ggzy" </w:instrText>
      </w:r>
      <w:r>
        <w:fldChar w:fldCharType="separate"/>
      </w:r>
      <w:r>
        <w:rPr>
          <w:rStyle w:val="62"/>
        </w:rPr>
        <w:t>http://221.14.6.70:8088/ggzy</w:t>
      </w:r>
      <w:r>
        <w:rPr>
          <w:rStyle w:val="62"/>
        </w:rPr>
        <w:fldChar w:fldCharType="end"/>
      </w:r>
      <w:r>
        <w:rPr>
          <w:rFonts w:hint="eastAsia"/>
        </w:rPr>
        <w:t>系统，依次点击“会员向导”→“参与投标”→“费用缴纳说明”→“保证金缴纳说明单”，获取缴费说明单，根据每个标段的缴纳说明单在缴纳截止时间前缴纳；</w:t>
      </w:r>
    </w:p>
    <w:p>
      <w:pPr>
        <w:spacing w:line="360" w:lineRule="auto"/>
        <w:ind w:firstLine="707" w:firstLineChars="337"/>
      </w:pPr>
      <w:r>
        <w:rPr>
          <w:rFonts w:hint="eastAsia"/>
        </w:rPr>
        <w:t>成功缴纳后重新登录前述系统，依次点击“会员向导”→“参与投标”→“保证金绑定”→“绑定”进行投标保证金绑定。</w:t>
      </w:r>
    </w:p>
    <w:p>
      <w:pPr>
        <w:spacing w:line="360" w:lineRule="auto"/>
        <w:ind w:firstLine="707" w:firstLineChars="337"/>
      </w:pPr>
      <w:r>
        <w:rPr>
          <w:rFonts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ind w:firstLine="707" w:firstLineChars="337"/>
      </w:pPr>
      <w:r>
        <w:t xml:space="preserve">3.4.2.3 </w:t>
      </w:r>
      <w:r>
        <w:rPr>
          <w:rFonts w:hint="eastAsia"/>
        </w:rPr>
        <w:t>每个投标人每个项目每个标段只有唯一缴纳账号，切勿重复缴纳或错误缴纳。</w:t>
      </w:r>
    </w:p>
    <w:p>
      <w:pPr>
        <w:spacing w:line="360" w:lineRule="auto"/>
        <w:ind w:firstLine="707" w:firstLineChars="337"/>
      </w:pPr>
      <w:r>
        <w:t>3.4.2.4</w:t>
      </w:r>
      <w:r>
        <w:rPr>
          <w:rFonts w:hint="eastAsia"/>
        </w:rPr>
        <w:t>未按上述规定操作引起的无效投标，由投标人自行负责。</w:t>
      </w:r>
    </w:p>
    <w:p>
      <w:pPr>
        <w:spacing w:line="360" w:lineRule="auto"/>
        <w:ind w:firstLine="707" w:firstLineChars="337"/>
      </w:pPr>
      <w:r>
        <w:t>3.4.2.5</w:t>
      </w:r>
      <w:r>
        <w:rPr>
          <w:rFonts w:hint="eastAsia"/>
        </w:rPr>
        <w:t>汇款凭证无须备注项目编号和项目名称。</w:t>
      </w:r>
    </w:p>
    <w:p>
      <w:pPr>
        <w:spacing w:line="360" w:lineRule="auto"/>
        <w:ind w:firstLine="707" w:firstLineChars="337"/>
      </w:pPr>
      <w:r>
        <w:t xml:space="preserve">3.4.2.6 </w:t>
      </w:r>
      <w:r>
        <w:rPr>
          <w:rFonts w:hint="eastAsia"/>
        </w:rPr>
        <w:t>出现以下情形造成的投标保证金无效，由投标人自行负责。</w:t>
      </w:r>
    </w:p>
    <w:p>
      <w:pPr>
        <w:spacing w:line="360" w:lineRule="auto"/>
        <w:ind w:firstLine="707" w:firstLineChars="337"/>
      </w:pPr>
      <w:r>
        <w:t>(1)</w:t>
      </w:r>
      <w:r>
        <w:rPr>
          <w:rFonts w:hint="eastAsia"/>
        </w:rPr>
        <w:t>投标保证金未从投标人的基本账户转出；</w:t>
      </w:r>
    </w:p>
    <w:p>
      <w:pPr>
        <w:spacing w:line="360" w:lineRule="auto"/>
        <w:ind w:firstLine="707" w:firstLineChars="337"/>
      </w:pPr>
      <w:r>
        <w:t>(2)</w:t>
      </w:r>
      <w:r>
        <w:rPr>
          <w:rFonts w:hint="eastAsia"/>
        </w:rPr>
        <w:t>投标保证金未按照招标文件划分的标段转账。</w:t>
      </w:r>
    </w:p>
    <w:p>
      <w:pPr>
        <w:spacing w:line="360" w:lineRule="auto"/>
        <w:ind w:firstLine="707" w:firstLineChars="337"/>
      </w:pPr>
      <w:r>
        <w:t xml:space="preserve">3.4.2.7 </w:t>
      </w:r>
      <w:r>
        <w:rPr>
          <w:rFonts w:hint="eastAsia"/>
        </w:rPr>
        <w:t>《保证金缴纳绑定操作指南》获取方法：</w:t>
      </w:r>
    </w:p>
    <w:p>
      <w:pPr>
        <w:spacing w:line="360" w:lineRule="auto"/>
        <w:ind w:firstLine="707" w:firstLineChars="337"/>
      </w:pPr>
      <w:r>
        <w:rPr>
          <w:rFonts w:hint="eastAsia"/>
        </w:rPr>
        <w:t>登录许昌公共资源交易系统</w:t>
      </w:r>
      <w:r>
        <w:t>-</w:t>
      </w:r>
      <w:r>
        <w:rPr>
          <w:rFonts w:hint="eastAsia"/>
        </w:rPr>
        <w:t>组件下载</w:t>
      </w:r>
      <w:r>
        <w:t>-</w:t>
      </w:r>
      <w:r>
        <w:rPr>
          <w:rFonts w:hint="eastAsia"/>
        </w:rPr>
        <w:t>《保证金缴纳绑定操作指南》</w:t>
      </w:r>
    </w:p>
    <w:p>
      <w:pPr>
        <w:spacing w:line="360" w:lineRule="auto"/>
        <w:ind w:firstLine="707" w:firstLineChars="337"/>
      </w:pPr>
      <w:r>
        <w:t xml:space="preserve">3.4.3 </w:t>
      </w:r>
      <w:r>
        <w:rPr>
          <w:rFonts w:hint="eastAsia"/>
        </w:rPr>
        <w:t>投标人不按本章第</w:t>
      </w:r>
      <w:r>
        <w:t>3.4.2</w:t>
      </w:r>
      <w:r>
        <w:rPr>
          <w:rFonts w:hint="eastAsia"/>
        </w:rPr>
        <w:t>项要求提交投标保证金的，拒收其投标文件。</w:t>
      </w:r>
    </w:p>
    <w:p>
      <w:pPr>
        <w:spacing w:line="360" w:lineRule="auto"/>
        <w:ind w:firstLine="707" w:firstLineChars="337"/>
      </w:pPr>
      <w:r>
        <w:t xml:space="preserve">3.4.4 </w:t>
      </w:r>
      <w:r>
        <w:rPr>
          <w:rFonts w:hint="eastAsia"/>
        </w:rPr>
        <w:t>投标保证金的退还：</w:t>
      </w:r>
    </w:p>
    <w:p>
      <w:pPr>
        <w:spacing w:line="360" w:lineRule="auto"/>
        <w:ind w:firstLine="707" w:firstLineChars="337"/>
      </w:pPr>
      <w:r>
        <w:rPr>
          <w:rFonts w:hint="eastAsia"/>
        </w:rPr>
        <w:t>（</w:t>
      </w:r>
      <w:r>
        <w:t>1</w:t>
      </w:r>
      <w:r>
        <w:rPr>
          <w:rFonts w:hint="eastAsia"/>
        </w:rPr>
        <w:t>）中标候选人公示期满后没有质疑或投诉的，退还非中标候选人投标保证金及银行同期存款利息；在书面合同签订后</w:t>
      </w:r>
      <w:r>
        <w:t>5</w:t>
      </w:r>
      <w:r>
        <w:rPr>
          <w:rFonts w:hint="eastAsia"/>
        </w:rPr>
        <w:t>日内向中标人和其他中标候选人退还投标保证金及银行同期存款利息。</w:t>
      </w:r>
    </w:p>
    <w:p>
      <w:pPr>
        <w:spacing w:line="360" w:lineRule="auto"/>
        <w:ind w:firstLine="707" w:firstLineChars="337"/>
      </w:pPr>
      <w:r>
        <w:rPr>
          <w:rFonts w:hint="eastAsia"/>
        </w:rPr>
        <w:t>（</w:t>
      </w:r>
      <w:r>
        <w:t>2</w:t>
      </w:r>
      <w:r>
        <w:rPr>
          <w:rFonts w:hint="eastAsia"/>
        </w:rPr>
        <w:t>）法定期限内未签订书面合同的，按照有关规定向中标人和其他中标候选人退还投标保证金及银行同期活期存款利息。</w:t>
      </w:r>
    </w:p>
    <w:p>
      <w:pPr>
        <w:spacing w:line="360" w:lineRule="auto"/>
        <w:ind w:firstLine="707" w:firstLineChars="337"/>
      </w:pPr>
      <w:r>
        <w:rPr>
          <w:rFonts w:hint="eastAsia"/>
        </w:rPr>
        <w:t>（</w:t>
      </w:r>
      <w:r>
        <w:t>3</w:t>
      </w:r>
      <w:r>
        <w:rPr>
          <w:rFonts w:hint="eastAsia"/>
        </w:rPr>
        <w:t>）项目废标或招标人终止招标的，在此后</w:t>
      </w:r>
      <w:r>
        <w:t>5</w:t>
      </w:r>
      <w:r>
        <w:rPr>
          <w:rFonts w:hint="eastAsia"/>
        </w:rPr>
        <w:t>个工作日内退还投标保证金及银行同期活期存利息。</w:t>
      </w:r>
    </w:p>
    <w:p>
      <w:pPr>
        <w:spacing w:line="360" w:lineRule="auto"/>
        <w:ind w:firstLine="707" w:firstLineChars="337"/>
      </w:pPr>
      <w:r>
        <w:rPr>
          <w:rFonts w:hint="eastAsia"/>
        </w:rPr>
        <w:t>（</w:t>
      </w:r>
      <w:r>
        <w:t>4</w:t>
      </w:r>
      <w:r>
        <w:rPr>
          <w:rFonts w:hint="eastAsia"/>
        </w:rPr>
        <w:t>）投标活动中出现质疑、投诉的，中标候选人、质疑人和被质疑人、投诉人和被投诉人的投标保证金暂停退还。</w:t>
      </w:r>
    </w:p>
    <w:p>
      <w:pPr>
        <w:spacing w:line="360" w:lineRule="auto"/>
        <w:ind w:firstLine="707" w:firstLineChars="337"/>
      </w:pPr>
      <w:r>
        <w:rPr>
          <w:rFonts w:hint="eastAsia"/>
        </w:rPr>
        <w:t>（</w:t>
      </w:r>
      <w:r>
        <w:t>5</w:t>
      </w:r>
      <w:r>
        <w:rPr>
          <w:rFonts w:hint="eastAsia"/>
        </w:rPr>
        <w:t>）相关投标人有违法违规行为的项目，其投标保证金暂不退还，待行政监督部门对相关情况处置后，按照有关规定办理。</w:t>
      </w:r>
    </w:p>
    <w:p>
      <w:pPr>
        <w:spacing w:line="360" w:lineRule="auto"/>
        <w:ind w:firstLine="707" w:firstLineChars="337"/>
      </w:pPr>
      <w:r>
        <w:rPr>
          <w:rFonts w:hint="eastAsia"/>
        </w:rPr>
        <w:t>（</w:t>
      </w:r>
      <w:r>
        <w:t>6</w:t>
      </w:r>
      <w:r>
        <w:rPr>
          <w:rFonts w:hint="eastAsia"/>
        </w:rPr>
        <w:t>）因投标人的原因无法及时退还投标（竞买）保证金、滞留三年以上的，投标（竞买）保证金上缴同级国库。</w:t>
      </w:r>
    </w:p>
    <w:p>
      <w:pPr>
        <w:spacing w:line="360" w:lineRule="auto"/>
        <w:ind w:firstLine="707" w:firstLineChars="337"/>
      </w:pPr>
      <w:r>
        <w:rPr>
          <w:rFonts w:hint="eastAsia"/>
        </w:rPr>
        <w:t>（</w:t>
      </w:r>
      <w:r>
        <w:t>7</w:t>
      </w:r>
      <w:r>
        <w:rPr>
          <w:rFonts w:hint="eastAsia"/>
        </w:rPr>
        <w:t>）退还投标保证金，除另有规定外，一般以转账方式一次性退还至投标保证金的原提交账户。</w:t>
      </w:r>
    </w:p>
    <w:p>
      <w:pPr>
        <w:spacing w:line="360" w:lineRule="auto"/>
        <w:ind w:firstLine="707" w:firstLineChars="337"/>
      </w:pPr>
      <w:r>
        <w:rPr>
          <w:rFonts w:hint="eastAsia"/>
        </w:rPr>
        <w:t>（</w:t>
      </w:r>
      <w:r>
        <w:t>8</w:t>
      </w:r>
      <w:r>
        <w:rPr>
          <w:rFonts w:hint="eastAsia"/>
        </w:rPr>
        <w:t>）特殊情况处理</w:t>
      </w:r>
    </w:p>
    <w:p>
      <w:pPr>
        <w:spacing w:line="360" w:lineRule="auto"/>
        <w:ind w:firstLine="707" w:firstLineChars="337"/>
      </w:pPr>
      <w:r>
        <w:rPr>
          <w:rFonts w:hint="eastAsia"/>
        </w:rPr>
        <w:t>投标人投标过程中因账户开户银行、银行账号发生变化，不能按照来款途径原路返还投标保证金的，投标人须提供原账户开户银行相关证明及新开账户开户许可证，到中心五楼交易见证部办理退款手续（</w:t>
      </w:r>
      <w:r>
        <w:t>0374-2968027</w:t>
      </w:r>
      <w:r>
        <w:rPr>
          <w:rFonts w:hint="eastAsia"/>
        </w:rPr>
        <w:t>）。</w:t>
      </w:r>
    </w:p>
    <w:p>
      <w:pPr>
        <w:spacing w:line="360" w:lineRule="auto"/>
        <w:ind w:firstLine="707" w:firstLineChars="337"/>
      </w:pPr>
      <w:r>
        <w:t>3.4.5</w:t>
      </w:r>
      <w:r>
        <w:rPr>
          <w:rFonts w:hint="eastAsia"/>
        </w:rPr>
        <w:t>投标人有下列情形之一的，不予退还投标保证金：</w:t>
      </w:r>
    </w:p>
    <w:p>
      <w:pPr>
        <w:spacing w:line="360" w:lineRule="auto"/>
        <w:ind w:firstLine="707" w:firstLineChars="337"/>
      </w:pPr>
      <w:r>
        <w:rPr>
          <w:rFonts w:hint="eastAsia"/>
        </w:rPr>
        <w:t>（</w:t>
      </w:r>
      <w:r>
        <w:t>1</w:t>
      </w:r>
      <w:r>
        <w:rPr>
          <w:rFonts w:hint="eastAsia"/>
        </w:rPr>
        <w:t>）在招标文件要求提交投标文件的截止时间后至投标文件有效期满前撤回投标的；</w:t>
      </w:r>
    </w:p>
    <w:p>
      <w:pPr>
        <w:spacing w:line="360" w:lineRule="auto"/>
        <w:ind w:firstLine="707" w:firstLineChars="337"/>
      </w:pPr>
      <w:r>
        <w:rPr>
          <w:rFonts w:hint="eastAsia"/>
        </w:rPr>
        <w:t>（</w:t>
      </w:r>
      <w:r>
        <w:t>2</w:t>
      </w:r>
      <w:r>
        <w:rPr>
          <w:rFonts w:hint="eastAsia"/>
        </w:rPr>
        <w:t>）中标通知书发出后，中标人无故放弃中标项目或无正当理由在规定时间内不与招标人签订合同或未按招标文件规定提交履约担保的；</w:t>
      </w:r>
    </w:p>
    <w:p>
      <w:pPr>
        <w:spacing w:line="360" w:lineRule="auto"/>
        <w:ind w:firstLine="707" w:firstLineChars="337"/>
      </w:pPr>
      <w:r>
        <w:rPr>
          <w:rFonts w:hint="eastAsia"/>
        </w:rPr>
        <w:t>（</w:t>
      </w:r>
      <w:r>
        <w:t>3</w:t>
      </w:r>
      <w:r>
        <w:rPr>
          <w:rFonts w:hint="eastAsia"/>
        </w:rPr>
        <w:t>）将中标项目转让给他人，或者在投标文件中未说明，且未经招标人同意，将中标项目分包给他人的；</w:t>
      </w:r>
    </w:p>
    <w:p>
      <w:pPr>
        <w:spacing w:line="360" w:lineRule="auto"/>
        <w:ind w:firstLine="707" w:firstLineChars="337"/>
      </w:pPr>
      <w:r>
        <w:rPr>
          <w:rFonts w:hint="eastAsia"/>
        </w:rPr>
        <w:t>（</w:t>
      </w:r>
      <w:r>
        <w:t>4</w:t>
      </w:r>
      <w:r>
        <w:rPr>
          <w:rFonts w:hint="eastAsia"/>
        </w:rPr>
        <w:t>）投标人在招投标活动中弄虚作假、围标串标、骗取中标等，并经招投标行政监督部门调查核实的；</w:t>
      </w:r>
    </w:p>
    <w:p>
      <w:pPr>
        <w:spacing w:line="360" w:lineRule="auto"/>
        <w:ind w:firstLine="707" w:firstLineChars="337"/>
      </w:pPr>
      <w:r>
        <w:rPr>
          <w:rFonts w:hint="eastAsia"/>
        </w:rPr>
        <w:t>（</w:t>
      </w:r>
      <w:r>
        <w:t>5</w:t>
      </w:r>
      <w:r>
        <w:rPr>
          <w:rFonts w:hint="eastAsia"/>
        </w:rPr>
        <w:t>）拒绝履行合同义务的；</w:t>
      </w:r>
    </w:p>
    <w:p>
      <w:pPr>
        <w:spacing w:line="360" w:lineRule="auto"/>
        <w:ind w:firstLine="707" w:firstLineChars="337"/>
      </w:pPr>
      <w:r>
        <w:rPr>
          <w:rFonts w:hint="eastAsia"/>
        </w:rPr>
        <w:t>（</w:t>
      </w:r>
      <w:r>
        <w:t>6</w:t>
      </w:r>
      <w:r>
        <w:rPr>
          <w:rFonts w:hint="eastAsia"/>
        </w:rPr>
        <w:t>）凡投标人投标保证金交纳至同一标段相同子账号的，保证金暂不予退还，依照《许昌市公共资源交易当事人不良行为管理暂行办法》（许公管委〔</w:t>
      </w:r>
      <w:r>
        <w:t>2017</w:t>
      </w:r>
      <w:r>
        <w:rPr>
          <w:rFonts w:hint="eastAsia"/>
        </w:rPr>
        <w:t>〕</w:t>
      </w:r>
      <w:r>
        <w:t>1</w:t>
      </w:r>
      <w:r>
        <w:rPr>
          <w:rFonts w:hint="eastAsia"/>
        </w:rPr>
        <w:t>号）规定，进行调查、认定、记录、公示</w:t>
      </w:r>
      <w:r>
        <w:t>、</w:t>
      </w:r>
      <w:r>
        <w:rPr>
          <w:rFonts w:hint="eastAsia"/>
        </w:rPr>
        <w:t>公告。对涉嫌串通投标</w:t>
      </w:r>
      <w:r>
        <w:t>等违规行为的</w:t>
      </w:r>
      <w:r>
        <w:rPr>
          <w:rFonts w:hint="eastAsia"/>
        </w:rPr>
        <w:t>，经调查核实后，记录不良行为，移交有关部门进行查处。不予退还的保证金上缴国库。</w:t>
      </w:r>
    </w:p>
    <w:p>
      <w:pPr>
        <w:spacing w:line="360" w:lineRule="auto"/>
        <w:ind w:firstLine="707" w:firstLineChars="337"/>
      </w:pPr>
      <w:r>
        <w:rPr>
          <w:rFonts w:hint="eastAsia"/>
        </w:rPr>
        <w:t>（</w:t>
      </w:r>
      <w:r>
        <w:t>7</w:t>
      </w:r>
      <w:r>
        <w:rPr>
          <w:rFonts w:hint="eastAsia"/>
        </w:rPr>
        <w:t>）相关法律、法规规定不予退还的其它情形。</w:t>
      </w:r>
    </w:p>
    <w:p>
      <w:pPr>
        <w:pStyle w:val="4"/>
        <w:ind w:firstLine="118"/>
      </w:pPr>
      <w:bookmarkStart w:id="157" w:name="_Toc247527577"/>
      <w:bookmarkStart w:id="158" w:name="_Toc247513976"/>
      <w:bookmarkStart w:id="159" w:name="_Toc152045552"/>
      <w:bookmarkStart w:id="160" w:name="_Toc152042328"/>
      <w:bookmarkStart w:id="161" w:name="_Toc144974520"/>
      <w:r>
        <w:rPr>
          <w:rFonts w:hint="eastAsia"/>
        </w:rPr>
        <w:t>3.5 资格审查资料</w:t>
      </w:r>
      <w:bookmarkEnd w:id="157"/>
      <w:bookmarkEnd w:id="158"/>
      <w:bookmarkEnd w:id="159"/>
      <w:bookmarkEnd w:id="160"/>
      <w:bookmarkEnd w:id="161"/>
    </w:p>
    <w:p>
      <w:pPr>
        <w:spacing w:line="360" w:lineRule="auto"/>
        <w:ind w:firstLine="424" w:firstLineChars="202"/>
      </w:pPr>
      <w:r>
        <w:rPr>
          <w:rFonts w:hint="eastAsia"/>
        </w:rPr>
        <w:t>3.5.1 “投标人基本情况表”应附投标人</w:t>
      </w:r>
      <w:r>
        <w:rPr>
          <w:rFonts w:hint="eastAsia"/>
          <w:color w:val="FF0000"/>
        </w:rPr>
        <w:t>营业执照副本</w:t>
      </w:r>
      <w:r>
        <w:rPr>
          <w:rFonts w:hint="eastAsia"/>
        </w:rPr>
        <w:t>、</w:t>
      </w:r>
      <w:r>
        <w:rPr>
          <w:rFonts w:hint="eastAsia"/>
          <w:color w:val="FF0000"/>
        </w:rPr>
        <w:t>资质证书副本</w:t>
      </w:r>
      <w:r>
        <w:rPr>
          <w:rFonts w:hint="eastAsia"/>
        </w:rPr>
        <w:t>和</w:t>
      </w:r>
      <w:r>
        <w:rPr>
          <w:rFonts w:hint="eastAsia"/>
          <w:color w:val="FF0000"/>
        </w:rPr>
        <w:t>安全生产许可证</w:t>
      </w:r>
      <w:r>
        <w:rPr>
          <w:rFonts w:hint="eastAsia"/>
        </w:rPr>
        <w:t>等材料的原件扫描件。</w:t>
      </w:r>
    </w:p>
    <w:p>
      <w:pPr>
        <w:spacing w:line="360" w:lineRule="auto"/>
        <w:ind w:firstLine="424" w:firstLineChars="202"/>
      </w:pPr>
      <w:r>
        <w:rPr>
          <w:rFonts w:hint="eastAsia"/>
        </w:rPr>
        <w:t>3.5.2 “近年财务状况表”应附经会计师事务所或审计机构审计的财务会计报表，包括</w:t>
      </w:r>
      <w:r>
        <w:rPr>
          <w:rFonts w:hint="eastAsia"/>
          <w:color w:val="FF0000"/>
        </w:rPr>
        <w:t>资产负债表</w:t>
      </w:r>
      <w:r>
        <w:rPr>
          <w:rFonts w:hint="eastAsia"/>
        </w:rPr>
        <w:t>、</w:t>
      </w:r>
      <w:r>
        <w:rPr>
          <w:rFonts w:hint="eastAsia"/>
          <w:color w:val="FF0000"/>
        </w:rPr>
        <w:t>现金流量表</w:t>
      </w:r>
      <w:r>
        <w:rPr>
          <w:rFonts w:hint="eastAsia"/>
        </w:rPr>
        <w:t>、</w:t>
      </w:r>
      <w:r>
        <w:rPr>
          <w:rFonts w:hint="eastAsia"/>
          <w:color w:val="FF0000"/>
        </w:rPr>
        <w:t>利润表</w:t>
      </w:r>
      <w:r>
        <w:rPr>
          <w:rFonts w:hint="eastAsia"/>
        </w:rPr>
        <w:t>和</w:t>
      </w:r>
      <w:r>
        <w:rPr>
          <w:rFonts w:hint="eastAsia"/>
          <w:color w:val="FF0000"/>
        </w:rPr>
        <w:t>财务情况说明书</w:t>
      </w:r>
      <w:r>
        <w:rPr>
          <w:rFonts w:hint="eastAsia"/>
        </w:rPr>
        <w:t>的</w:t>
      </w:r>
      <w:r>
        <w:rPr>
          <w:rFonts w:hint="eastAsia"/>
          <w:color w:val="0070C0"/>
        </w:rPr>
        <w:t>原件扫描件</w:t>
      </w:r>
      <w:r>
        <w:rPr>
          <w:rFonts w:hint="eastAsia"/>
        </w:rPr>
        <w:t>，具体年份要求见投标人须知前附表。</w:t>
      </w:r>
    </w:p>
    <w:p>
      <w:pPr>
        <w:spacing w:line="360" w:lineRule="auto"/>
        <w:ind w:firstLine="424" w:firstLineChars="202"/>
      </w:pPr>
      <w:r>
        <w:rPr>
          <w:rFonts w:hint="eastAsia"/>
        </w:rPr>
        <w:t>3.5.3 “近年完成的类似项目情况表”应附</w:t>
      </w:r>
      <w:r>
        <w:rPr>
          <w:rFonts w:hint="eastAsia"/>
          <w:color w:val="FF0000"/>
        </w:rPr>
        <w:t>中标通知书</w:t>
      </w:r>
      <w:r>
        <w:rPr>
          <w:rFonts w:hint="eastAsia"/>
        </w:rPr>
        <w:t>和</w:t>
      </w:r>
      <w:r>
        <w:rPr>
          <w:rFonts w:hint="eastAsia"/>
          <w:color w:val="FF0000"/>
        </w:rPr>
        <w:t>合同协议书</w:t>
      </w:r>
      <w:r>
        <w:rPr>
          <w:rFonts w:hint="eastAsia"/>
        </w:rPr>
        <w:t>或合同协议书和</w:t>
      </w:r>
      <w:r>
        <w:rPr>
          <w:rFonts w:hint="eastAsia"/>
          <w:color w:val="FF0000"/>
        </w:rPr>
        <w:t>工程竣工验收证明资料</w:t>
      </w:r>
      <w:r>
        <w:rPr>
          <w:rFonts w:hint="eastAsia"/>
        </w:rPr>
        <w:t>的原件扫描件，具体年份要求见投标人须知前附表。每张表格只填写一个项目，并标明序号。</w:t>
      </w:r>
    </w:p>
    <w:p>
      <w:pPr>
        <w:spacing w:line="360" w:lineRule="auto"/>
        <w:ind w:firstLine="424" w:firstLineChars="202"/>
      </w:pPr>
      <w:r>
        <w:rPr>
          <w:rFonts w:hint="eastAsia"/>
        </w:rPr>
        <w:t>3.5.4 “正在施工和新承接的项目情况表”应附</w:t>
      </w:r>
      <w:r>
        <w:rPr>
          <w:rFonts w:hint="eastAsia"/>
          <w:color w:val="FF0000"/>
        </w:rPr>
        <w:t>中标通知书和合同协议书</w:t>
      </w:r>
      <w:r>
        <w:rPr>
          <w:rFonts w:hint="eastAsia"/>
        </w:rPr>
        <w:t>的原件扫描件。每张表格只填写一个项目，并标明序号。</w:t>
      </w:r>
    </w:p>
    <w:p>
      <w:pPr>
        <w:spacing w:line="360" w:lineRule="auto"/>
        <w:ind w:firstLine="424" w:firstLineChars="202"/>
      </w:pPr>
      <w:r>
        <w:rPr>
          <w:rFonts w:hint="eastAsia"/>
        </w:rPr>
        <w:t>3.5.5 “近年发生的诉讼及仲裁情况”应说明相关情况，并附法院或仲裁机构作出的判决、裁决等有关法律文书原件扫描件，具体年份要求见投标人须知前附表。</w:t>
      </w:r>
    </w:p>
    <w:p>
      <w:pPr>
        <w:spacing w:line="360" w:lineRule="auto"/>
        <w:ind w:firstLine="424" w:firstLineChars="202"/>
      </w:pPr>
      <w:r>
        <w:rPr>
          <w:rFonts w:hint="eastAsia"/>
        </w:rPr>
        <w:t>3.5.6 投标人须知前附表规定接受联合体投标的，本章第3.5.1项至第3.5.5项规定的表格和资料应包括联合体各方相关情况。</w:t>
      </w:r>
    </w:p>
    <w:p>
      <w:pPr>
        <w:pStyle w:val="4"/>
        <w:ind w:firstLine="118"/>
      </w:pPr>
      <w:bookmarkStart w:id="162" w:name="_Toc247527578"/>
      <w:bookmarkStart w:id="163" w:name="_Toc247513977"/>
      <w:bookmarkStart w:id="164" w:name="_Toc152045553"/>
      <w:bookmarkStart w:id="165" w:name="_Toc152042329"/>
      <w:bookmarkStart w:id="166" w:name="_Toc144974521"/>
      <w:r>
        <w:rPr>
          <w:rFonts w:hint="eastAsia"/>
        </w:rPr>
        <w:t>3.6 备选投标方案</w:t>
      </w:r>
      <w:bookmarkEnd w:id="162"/>
      <w:bookmarkEnd w:id="163"/>
      <w:bookmarkEnd w:id="164"/>
      <w:bookmarkEnd w:id="165"/>
      <w:bookmarkEnd w:id="166"/>
    </w:p>
    <w:p>
      <w:pPr>
        <w:spacing w:line="360" w:lineRule="auto"/>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ind w:firstLine="118"/>
      </w:pPr>
      <w:bookmarkStart w:id="167" w:name="_Toc247527579"/>
      <w:bookmarkStart w:id="168" w:name="_Toc247513978"/>
      <w:bookmarkStart w:id="169" w:name="_Toc152045554"/>
      <w:bookmarkStart w:id="170" w:name="_Toc152042330"/>
      <w:bookmarkStart w:id="171" w:name="_Toc144974522"/>
      <w:r>
        <w:rPr>
          <w:rFonts w:hint="eastAsia"/>
        </w:rPr>
        <w:t>3.7 投标文件的编制</w:t>
      </w:r>
      <w:bookmarkEnd w:id="167"/>
      <w:bookmarkEnd w:id="168"/>
      <w:bookmarkEnd w:id="169"/>
      <w:bookmarkEnd w:id="170"/>
      <w:bookmarkEnd w:id="171"/>
    </w:p>
    <w:p>
      <w:pPr>
        <w:spacing w:line="360" w:lineRule="auto"/>
        <w:ind w:firstLine="424" w:firstLineChars="202"/>
      </w:pPr>
      <w:bookmarkStart w:id="172" w:name="_Toc247527580"/>
      <w:bookmarkStart w:id="173" w:name="_Toc247513979"/>
      <w:bookmarkStart w:id="174" w:name="_Toc152045555"/>
      <w:bookmarkStart w:id="175" w:name="_Toc152042331"/>
      <w:bookmarkStart w:id="176" w:name="_Toc144974523"/>
      <w:r>
        <w:rPr>
          <w:rFonts w:hint="eastAsia"/>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360" w:lineRule="auto"/>
        <w:ind w:firstLine="424" w:firstLineChars="202"/>
      </w:pPr>
      <w:r>
        <w:rPr>
          <w:rFonts w:hint="eastAsia"/>
        </w:rPr>
        <w:t>3.7.2 投标文件应当对招标文件有关工期、投标有效期、质量要求、招标范围作出响应。</w:t>
      </w:r>
    </w:p>
    <w:p>
      <w:pPr>
        <w:spacing w:line="360" w:lineRule="auto"/>
        <w:ind w:firstLine="424" w:firstLineChars="202"/>
      </w:pPr>
      <w:r>
        <w:rPr>
          <w:rFonts w:hint="eastAsia"/>
        </w:rPr>
        <w:t>3.7.3 投标人编制的投标文件应分为商务标、综合标和技术标。</w:t>
      </w:r>
    </w:p>
    <w:p>
      <w:pPr>
        <w:spacing w:line="360" w:lineRule="auto"/>
        <w:ind w:firstLine="424" w:firstLineChars="202"/>
      </w:pPr>
      <w:r>
        <w:t xml:space="preserve">3.7.4 </w:t>
      </w:r>
      <w:r>
        <w:rPr>
          <w:rFonts w:hint="eastAsia"/>
        </w:rPr>
        <w:t>投标人登录许昌公共资源交易系统下载“许昌投标文件制作系统</w:t>
      </w:r>
      <w:r>
        <w:t>SEARUN V1.1</w:t>
      </w:r>
      <w:r>
        <w:rPr>
          <w:rFonts w:hint="eastAsia"/>
        </w:rPr>
        <w:t>”，按招标文件要求制作电子投标文件（包括含工程量清单的商务标投标文件）。</w:t>
      </w:r>
    </w:p>
    <w:p>
      <w:pPr>
        <w:spacing w:line="360" w:lineRule="auto"/>
        <w:ind w:firstLine="424" w:firstLineChars="202"/>
      </w:pPr>
      <w:bookmarkStart w:id="177" w:name="_Toc531281760"/>
      <w:r>
        <w:t xml:space="preserve">3.7.5 </w:t>
      </w:r>
      <w:r>
        <w:rPr>
          <w:rFonts w:hint="eastAsia"/>
        </w:rPr>
        <w:t>使用电子介质存储的备份文件</w:t>
      </w:r>
      <w:r>
        <w:t>1</w:t>
      </w:r>
      <w:r>
        <w:rPr>
          <w:rFonts w:hint="eastAsia"/>
        </w:rPr>
        <w:t>份。</w:t>
      </w:r>
      <w:bookmarkEnd w:id="177"/>
    </w:p>
    <w:p>
      <w:pPr>
        <w:spacing w:line="360" w:lineRule="auto"/>
        <w:ind w:firstLine="424" w:firstLineChars="202"/>
      </w:pPr>
      <w:r>
        <w:rPr>
          <w:rFonts w:hint="eastAsia"/>
        </w:rPr>
        <w:t>3.7.6 同时生成与电子投标文件内容、水印码、电子签章一致的PDF文件。</w:t>
      </w:r>
    </w:p>
    <w:p>
      <w:pPr>
        <w:spacing w:line="360" w:lineRule="auto"/>
        <w:ind w:firstLine="424" w:firstLineChars="202"/>
      </w:pPr>
      <w:r>
        <w:rPr>
          <w:rFonts w:hint="eastAsia"/>
        </w:rPr>
        <w:t>3.7.7 当生成的电子投标文件投标报价大小写不一致时，</w:t>
      </w:r>
      <w:r>
        <w:rPr>
          <w:rFonts w:hint="eastAsia"/>
          <w:color w:val="FF0000"/>
        </w:rPr>
        <w:t>以大写为准</w:t>
      </w:r>
      <w:r>
        <w:rPr>
          <w:rFonts w:hint="eastAsia"/>
        </w:rPr>
        <w:t>。</w:t>
      </w:r>
    </w:p>
    <w:p>
      <w:pPr>
        <w:spacing w:line="360" w:lineRule="auto"/>
        <w:ind w:firstLine="426" w:firstLineChars="202"/>
        <w:rPr>
          <w:b/>
        </w:rPr>
      </w:pPr>
      <w:r>
        <w:rPr>
          <w:rFonts w:hint="eastAsia"/>
          <w:b/>
        </w:rPr>
        <w:t>3.7.9商务标投标文件制作注意事项：</w:t>
      </w:r>
    </w:p>
    <w:p>
      <w:pPr>
        <w:spacing w:line="360" w:lineRule="auto"/>
        <w:ind w:firstLine="567" w:firstLineChars="270"/>
      </w:pPr>
      <w:r>
        <w:rPr>
          <w:rFonts w:hint="eastAsia"/>
        </w:rPr>
        <w:t>3.7.9.1 投标人登录《全国公共资源交易平台（河南省·许昌市）》公共资源交易系统下载“许昌投标文件制作系统SEARUN V1.1”和操作手册（工程项目），按招标文件要求制作商务标投标文件。</w:t>
      </w:r>
    </w:p>
    <w:p>
      <w:pPr>
        <w:spacing w:line="360" w:lineRule="auto"/>
        <w:ind w:firstLine="567" w:firstLineChars="270"/>
      </w:pPr>
      <w:r>
        <w:rPr>
          <w:rFonts w:hint="eastAsia"/>
        </w:rPr>
        <w:t>3.7.9.2 商务标投标文件制作技术咨询：0374-2961598。</w:t>
      </w:r>
    </w:p>
    <w:p>
      <w:pPr>
        <w:pStyle w:val="3"/>
      </w:pPr>
      <w:bookmarkStart w:id="178" w:name="_Toc529440039"/>
      <w:r>
        <w:rPr>
          <w:rFonts w:hint="eastAsia"/>
        </w:rPr>
        <w:t>4. 投标</w:t>
      </w:r>
      <w:bookmarkEnd w:id="172"/>
      <w:bookmarkEnd w:id="173"/>
      <w:bookmarkEnd w:id="174"/>
      <w:bookmarkEnd w:id="175"/>
      <w:bookmarkEnd w:id="176"/>
      <w:bookmarkEnd w:id="178"/>
    </w:p>
    <w:p>
      <w:pPr>
        <w:pStyle w:val="4"/>
        <w:ind w:firstLine="118"/>
      </w:pPr>
      <w:bookmarkStart w:id="179" w:name="_Toc247527581"/>
      <w:bookmarkStart w:id="180" w:name="_Toc247513980"/>
      <w:bookmarkStart w:id="181" w:name="_Toc152045556"/>
      <w:bookmarkStart w:id="182" w:name="_Toc152042332"/>
      <w:bookmarkStart w:id="183" w:name="_Toc144974524"/>
      <w:r>
        <w:rPr>
          <w:rFonts w:hint="eastAsia"/>
        </w:rPr>
        <w:t>4.1 投标文件的密封和标记</w:t>
      </w:r>
      <w:bookmarkEnd w:id="179"/>
      <w:bookmarkEnd w:id="180"/>
      <w:bookmarkEnd w:id="181"/>
      <w:bookmarkEnd w:id="182"/>
      <w:bookmarkEnd w:id="183"/>
    </w:p>
    <w:p>
      <w:pPr>
        <w:spacing w:line="360" w:lineRule="auto"/>
        <w:ind w:firstLine="424" w:firstLineChars="202"/>
      </w:pPr>
      <w:bookmarkStart w:id="184" w:name="_Toc247527582"/>
      <w:bookmarkStart w:id="185" w:name="_Toc247513981"/>
      <w:bookmarkStart w:id="186" w:name="_Toc152045557"/>
      <w:bookmarkStart w:id="187" w:name="_Toc152042333"/>
      <w:bookmarkStart w:id="188" w:name="_Toc144974525"/>
      <w:r>
        <w:rPr>
          <w:rFonts w:hint="eastAsia"/>
        </w:rPr>
        <w:t>4.1.1使用电子介质存储的投标文件应单独密封，封套上写明的内容见投标人须知前附表，</w:t>
      </w:r>
      <w:r>
        <w:rPr>
          <w:rFonts w:hint="eastAsia"/>
          <w:color w:val="FF0000"/>
        </w:rPr>
        <w:t>并加盖单位公章</w:t>
      </w:r>
      <w:r>
        <w:rPr>
          <w:rFonts w:hint="eastAsia"/>
        </w:rPr>
        <w:t>，</w:t>
      </w:r>
      <w:r>
        <w:rPr>
          <w:rFonts w:hint="eastAsia"/>
          <w:color w:val="FF0000"/>
        </w:rPr>
        <w:t>法定代表人或委托代理人签名</w:t>
      </w:r>
      <w:r>
        <w:rPr>
          <w:rFonts w:hint="eastAsia"/>
        </w:rPr>
        <w:t>，在投标截止时间前递交。</w:t>
      </w:r>
    </w:p>
    <w:p>
      <w:pPr>
        <w:spacing w:line="360" w:lineRule="auto"/>
        <w:ind w:firstLine="424" w:firstLineChars="202"/>
      </w:pPr>
      <w:r>
        <w:rPr>
          <w:rFonts w:hint="eastAsia"/>
        </w:rPr>
        <w:t>4.1.2 未按本章第4.1.1项要求密封和加写标记的投标文件，招标人不予受理。</w:t>
      </w:r>
    </w:p>
    <w:p>
      <w:pPr>
        <w:pStyle w:val="4"/>
        <w:ind w:firstLine="118"/>
      </w:pPr>
      <w:r>
        <w:rPr>
          <w:rFonts w:hint="eastAsia"/>
        </w:rPr>
        <w:t>4.2 投标文件的递交</w:t>
      </w:r>
      <w:bookmarkEnd w:id="184"/>
      <w:bookmarkEnd w:id="185"/>
      <w:bookmarkEnd w:id="186"/>
      <w:bookmarkEnd w:id="187"/>
      <w:bookmarkEnd w:id="188"/>
    </w:p>
    <w:p>
      <w:pPr>
        <w:spacing w:line="360" w:lineRule="auto"/>
        <w:ind w:firstLine="424" w:firstLineChars="202"/>
      </w:pPr>
      <w:bookmarkStart w:id="189" w:name="_Toc531281765"/>
      <w:bookmarkStart w:id="190" w:name="_Toc247527583"/>
      <w:bookmarkStart w:id="191" w:name="_Toc247513982"/>
      <w:bookmarkStart w:id="192" w:name="_Toc152045558"/>
      <w:bookmarkStart w:id="193" w:name="_Toc152042334"/>
      <w:bookmarkStart w:id="194" w:name="_Toc144974526"/>
      <w:r>
        <w:t xml:space="preserve">4.2.1 </w:t>
      </w:r>
      <w:r>
        <w:rPr>
          <w:rFonts w:hint="eastAsia"/>
        </w:rPr>
        <w:t>投标人应在投标人须知前附表中规定的投标截止时间前成功上传电子投标文件和现场提交电子介质存储的投标文件。</w:t>
      </w:r>
      <w:bookmarkEnd w:id="189"/>
    </w:p>
    <w:p>
      <w:pPr>
        <w:spacing w:line="360" w:lineRule="auto"/>
        <w:ind w:firstLine="424" w:firstLineChars="202"/>
      </w:pPr>
      <w:bookmarkStart w:id="195" w:name="_Toc531281766"/>
      <w:r>
        <w:t xml:space="preserve">4.2.2 </w:t>
      </w:r>
      <w:r>
        <w:rPr>
          <w:rFonts w:hint="eastAsia"/>
        </w:rPr>
        <w:t>投标人提交电子介质存储的投标文件地点：见投标人须知前附表。</w:t>
      </w:r>
      <w:bookmarkEnd w:id="195"/>
    </w:p>
    <w:p>
      <w:pPr>
        <w:spacing w:line="360" w:lineRule="auto"/>
        <w:ind w:firstLine="424" w:firstLineChars="202"/>
      </w:pPr>
      <w:bookmarkStart w:id="196" w:name="_Toc531281767"/>
      <w:r>
        <w:t xml:space="preserve">4.2.3 </w:t>
      </w:r>
      <w:r>
        <w:rPr>
          <w:rFonts w:hint="eastAsia"/>
        </w:rPr>
        <w:t>除投标人须知前附表另有规定外，投标人所提交的电子投标文件及电子介质存储的投标文件不予退还。</w:t>
      </w:r>
      <w:bookmarkEnd w:id="196"/>
    </w:p>
    <w:p>
      <w:pPr>
        <w:spacing w:line="360" w:lineRule="auto"/>
        <w:ind w:firstLine="424" w:firstLineChars="202"/>
      </w:pPr>
      <w:bookmarkStart w:id="197" w:name="_Toc531281768"/>
      <w:r>
        <w:t xml:space="preserve">4.2.4 </w:t>
      </w:r>
      <w:r>
        <w:rPr>
          <w:rFonts w:hint="eastAsia"/>
        </w:rPr>
        <w:t>逾期送达的或者未送达指定地点的电子介质存储的投标文件，招标人不予受理。</w:t>
      </w:r>
      <w:bookmarkEnd w:id="197"/>
    </w:p>
    <w:p>
      <w:pPr>
        <w:pStyle w:val="4"/>
        <w:ind w:firstLine="118"/>
      </w:pPr>
      <w:r>
        <w:rPr>
          <w:rFonts w:hint="eastAsia"/>
        </w:rPr>
        <w:t>4.3 投标文件的修改与撤回</w:t>
      </w:r>
      <w:bookmarkEnd w:id="190"/>
      <w:bookmarkEnd w:id="191"/>
      <w:bookmarkEnd w:id="192"/>
      <w:bookmarkEnd w:id="193"/>
      <w:bookmarkEnd w:id="194"/>
    </w:p>
    <w:p>
      <w:pPr>
        <w:spacing w:line="360" w:lineRule="auto"/>
        <w:ind w:firstLine="424" w:firstLineChars="202"/>
        <w:rPr>
          <w:color w:val="00B050"/>
        </w:rPr>
      </w:pPr>
      <w:bookmarkStart w:id="198" w:name="_Toc152045559"/>
      <w:bookmarkStart w:id="199" w:name="_Toc247527584"/>
      <w:bookmarkStart w:id="200" w:name="_Toc247513983"/>
      <w:bookmarkStart w:id="201" w:name="_Toc152042335"/>
      <w:bookmarkStart w:id="202" w:name="_Toc144974527"/>
      <w:r>
        <w:rPr>
          <w:rFonts w:hint="eastAsia"/>
        </w:rPr>
        <w:t>4.3.1 在本章第2.2.2 项规定的投标截止时间前，投标人可以修改或撤回已提交的电子投标文件，</w:t>
      </w:r>
      <w:r>
        <w:rPr>
          <w:rFonts w:hint="eastAsia"/>
          <w:color w:val="00B050"/>
        </w:rPr>
        <w:t>修改或撤回应以书面形式通知招标人。</w:t>
      </w:r>
    </w:p>
    <w:p>
      <w:pPr>
        <w:spacing w:line="360" w:lineRule="auto"/>
        <w:ind w:firstLine="424" w:firstLineChars="202"/>
      </w:pPr>
      <w:r>
        <w:rPr>
          <w:rFonts w:hint="eastAsia"/>
        </w:rPr>
        <w:t>4.3.2 投标人修改或撤回已提交电子投标文件的书面通知应按照投标人须知前附表第3.7.3 项的要求签字或盖章。</w:t>
      </w:r>
      <w:r>
        <w:rPr>
          <w:rFonts w:hint="eastAsia"/>
          <w:color w:val="00B050"/>
        </w:rPr>
        <w:t>招标人收到书面通知后，向投标人出具签收凭证。</w:t>
      </w:r>
    </w:p>
    <w:p>
      <w:pPr>
        <w:spacing w:line="360" w:lineRule="auto"/>
        <w:ind w:firstLine="424" w:firstLineChars="202"/>
      </w:pPr>
      <w:r>
        <w:rPr>
          <w:rFonts w:hint="eastAsia"/>
        </w:rPr>
        <w:t>4.3.3 修改的内容为投标文件的组成部分。修改的电子投标文件应按照本章第3条、第4条规定进行</w:t>
      </w:r>
      <w:r>
        <w:rPr>
          <w:rFonts w:hint="eastAsia"/>
          <w:color w:val="FF0000"/>
        </w:rPr>
        <w:t>编制</w:t>
      </w:r>
      <w:r>
        <w:rPr>
          <w:rFonts w:hint="eastAsia"/>
        </w:rPr>
        <w:t>、</w:t>
      </w:r>
      <w:r>
        <w:rPr>
          <w:rFonts w:hint="eastAsia"/>
          <w:color w:val="FF0000"/>
        </w:rPr>
        <w:t>密封</w:t>
      </w:r>
      <w:r>
        <w:rPr>
          <w:rFonts w:hint="eastAsia"/>
        </w:rPr>
        <w:t>、</w:t>
      </w:r>
      <w:r>
        <w:rPr>
          <w:rFonts w:hint="eastAsia"/>
          <w:color w:val="FF0000"/>
        </w:rPr>
        <w:t>标记</w:t>
      </w:r>
      <w:r>
        <w:rPr>
          <w:rFonts w:hint="eastAsia"/>
        </w:rPr>
        <w:t>和</w:t>
      </w:r>
      <w:r>
        <w:rPr>
          <w:rFonts w:hint="eastAsia"/>
          <w:color w:val="FF0000"/>
        </w:rPr>
        <w:t>提交</w:t>
      </w:r>
      <w:r>
        <w:rPr>
          <w:rFonts w:hint="eastAsia"/>
        </w:rPr>
        <w:t>，并标明“</w:t>
      </w:r>
      <w:r>
        <w:rPr>
          <w:rFonts w:hint="eastAsia"/>
          <w:color w:val="FF0000"/>
        </w:rPr>
        <w:t>修改</w:t>
      </w:r>
      <w:r>
        <w:rPr>
          <w:rFonts w:hint="eastAsia"/>
        </w:rPr>
        <w:t>”字样。</w:t>
      </w:r>
    </w:p>
    <w:p>
      <w:pPr>
        <w:spacing w:line="360" w:lineRule="auto"/>
        <w:ind w:firstLine="424" w:firstLineChars="202"/>
      </w:pPr>
      <w:r>
        <w:rPr>
          <w:rFonts w:hint="eastAsia"/>
        </w:rPr>
        <w:t>4.3.4 投标人应当在投标截止时间前完成电子投标文件的提交，可以补充、修改或撤回。投标截止时间前未完成电子投标文件提交、取得“投标文件提交回执单”的，视为撤回投标文件。</w:t>
      </w:r>
    </w:p>
    <w:p>
      <w:pPr>
        <w:pStyle w:val="3"/>
      </w:pPr>
      <w:bookmarkStart w:id="203" w:name="_Toc529440040"/>
      <w:r>
        <w:rPr>
          <w:rFonts w:hint="eastAsia"/>
        </w:rPr>
        <w:t>5. 开标</w:t>
      </w:r>
      <w:bookmarkEnd w:id="198"/>
      <w:bookmarkEnd w:id="199"/>
      <w:bookmarkEnd w:id="200"/>
      <w:bookmarkEnd w:id="201"/>
      <w:bookmarkEnd w:id="202"/>
      <w:bookmarkEnd w:id="203"/>
    </w:p>
    <w:p>
      <w:pPr>
        <w:pStyle w:val="4"/>
        <w:ind w:firstLine="118"/>
      </w:pPr>
      <w:bookmarkStart w:id="204" w:name="_Toc247527585"/>
      <w:bookmarkStart w:id="205" w:name="_Toc247513984"/>
      <w:bookmarkStart w:id="206" w:name="_Toc152045560"/>
      <w:bookmarkStart w:id="207" w:name="_Toc152042336"/>
      <w:bookmarkStart w:id="208" w:name="_Toc144974528"/>
      <w:r>
        <w:rPr>
          <w:rFonts w:hint="eastAsia"/>
        </w:rPr>
        <w:t>5.1 开标时间和地点</w:t>
      </w:r>
      <w:bookmarkEnd w:id="204"/>
      <w:bookmarkEnd w:id="205"/>
      <w:bookmarkEnd w:id="206"/>
      <w:bookmarkEnd w:id="207"/>
      <w:bookmarkEnd w:id="208"/>
    </w:p>
    <w:p>
      <w:pPr>
        <w:spacing w:line="360" w:lineRule="auto"/>
      </w:pPr>
      <w:r>
        <w:rPr>
          <w:rFonts w:hint="eastAsia"/>
        </w:rPr>
        <w:t>招标人在投标人须知前附表第2.2.2项规定的投标截止时间（开标时间）和投标人须知前附表规定的地点公开开标，并邀请所有投标人的法定代表人或授权委托人和项目负责人准时参加。</w:t>
      </w:r>
    </w:p>
    <w:p>
      <w:pPr>
        <w:pStyle w:val="4"/>
        <w:ind w:firstLine="118"/>
      </w:pPr>
      <w:bookmarkStart w:id="209" w:name="_Toc247527586"/>
      <w:bookmarkStart w:id="210" w:name="_Toc247513985"/>
      <w:bookmarkStart w:id="211" w:name="_Toc152045561"/>
      <w:bookmarkStart w:id="212" w:name="_Toc152042337"/>
      <w:bookmarkStart w:id="213" w:name="_Toc144974529"/>
      <w:r>
        <w:rPr>
          <w:rFonts w:hint="eastAsia"/>
        </w:rPr>
        <w:t>5.2 开标程序</w:t>
      </w:r>
      <w:bookmarkEnd w:id="209"/>
      <w:bookmarkEnd w:id="210"/>
      <w:bookmarkEnd w:id="211"/>
      <w:bookmarkEnd w:id="212"/>
      <w:bookmarkEnd w:id="213"/>
    </w:p>
    <w:p>
      <w:pPr>
        <w:spacing w:line="360" w:lineRule="auto"/>
        <w:ind w:firstLine="424" w:firstLineChars="202"/>
      </w:pPr>
      <w:r>
        <w:rPr>
          <w:rFonts w:hint="eastAsia"/>
        </w:rPr>
        <w:t>5.2.1主持人按下列程序进行开标：</w:t>
      </w:r>
    </w:p>
    <w:p>
      <w:pPr>
        <w:spacing w:line="360" w:lineRule="auto"/>
        <w:ind w:firstLine="567" w:firstLineChars="270"/>
      </w:pPr>
      <w:r>
        <w:rPr>
          <w:rFonts w:hint="eastAsia"/>
        </w:rPr>
        <w:t>（1）宣布投标截止时间，并公布招标人、代理机构、监督部门名称；</w:t>
      </w:r>
    </w:p>
    <w:p>
      <w:pPr>
        <w:spacing w:line="360" w:lineRule="auto"/>
        <w:ind w:firstLine="567" w:firstLineChars="270"/>
      </w:pPr>
      <w:r>
        <w:rPr>
          <w:rFonts w:hint="eastAsia"/>
        </w:rPr>
        <w:t>（2）宣布开标纪律；</w:t>
      </w:r>
    </w:p>
    <w:p>
      <w:pPr>
        <w:spacing w:line="360" w:lineRule="auto"/>
        <w:ind w:firstLine="567" w:firstLineChars="270"/>
      </w:pPr>
      <w:r>
        <w:rPr>
          <w:rFonts w:hint="eastAsia"/>
        </w:rPr>
        <w:t>（3）公布在投标截止时间前递交投标文件的投标人名称和投标保证金缴纳情况；</w:t>
      </w:r>
    </w:p>
    <w:p>
      <w:pPr>
        <w:spacing w:line="360" w:lineRule="auto"/>
        <w:ind w:firstLine="567" w:firstLineChars="270"/>
      </w:pPr>
      <w:r>
        <w:rPr>
          <w:rFonts w:hint="eastAsia"/>
        </w:rPr>
        <w:t>（</w:t>
      </w:r>
      <w:r>
        <w:t>4</w:t>
      </w:r>
      <w:r>
        <w:rPr>
          <w:rFonts w:hint="eastAsia"/>
        </w:rPr>
        <w:t>）电子投标文件解密；</w:t>
      </w:r>
    </w:p>
    <w:p>
      <w:pPr>
        <w:spacing w:line="360" w:lineRule="auto"/>
        <w:ind w:firstLine="567" w:firstLineChars="270"/>
      </w:pPr>
      <w:r>
        <w:rPr>
          <w:rFonts w:hint="eastAsia"/>
        </w:rPr>
        <w:t>（</w:t>
      </w:r>
      <w:r>
        <w:t>5</w:t>
      </w:r>
      <w:r>
        <w:rPr>
          <w:rFonts w:hint="eastAsia"/>
        </w:rPr>
        <w:t>）宣布唱标顺序，按已定顺序唱标，唱标内容为：投标人名称、投标报价、质量目标、工期及其他内容，并记录；</w:t>
      </w:r>
    </w:p>
    <w:p>
      <w:pPr>
        <w:spacing w:line="360" w:lineRule="auto"/>
        <w:ind w:firstLine="567" w:firstLineChars="270"/>
      </w:pPr>
      <w:r>
        <w:rPr>
          <w:rFonts w:hint="eastAsia"/>
        </w:rPr>
        <w:t>（</w:t>
      </w:r>
      <w:r>
        <w:t>6</w:t>
      </w:r>
      <w:r>
        <w:rPr>
          <w:rFonts w:hint="eastAsia"/>
        </w:rPr>
        <w:t>）现场抽取参与计算评标基准价的K值并宣布，同时公布招标控制价；</w:t>
      </w:r>
    </w:p>
    <w:p>
      <w:pPr>
        <w:spacing w:line="360" w:lineRule="auto"/>
        <w:ind w:firstLine="567" w:firstLineChars="270"/>
      </w:pPr>
      <w:r>
        <w:rPr>
          <w:rFonts w:hint="eastAsia"/>
        </w:rPr>
        <w:t>（</w:t>
      </w:r>
      <w:r>
        <w:t>7</w:t>
      </w:r>
      <w:r>
        <w:rPr>
          <w:rFonts w:hint="eastAsia"/>
        </w:rPr>
        <w:t>）投标人代表、招标人代表、监标人、记录人等有关人员在开标记录上签字确认；</w:t>
      </w:r>
    </w:p>
    <w:p>
      <w:pPr>
        <w:spacing w:line="360" w:lineRule="auto"/>
        <w:ind w:firstLine="567" w:firstLineChars="270"/>
      </w:pPr>
      <w:r>
        <w:rPr>
          <w:rFonts w:hint="eastAsia"/>
        </w:rPr>
        <w:t>（</w:t>
      </w:r>
      <w:r>
        <w:t>8</w:t>
      </w:r>
      <w:r>
        <w:rPr>
          <w:rFonts w:hint="eastAsia"/>
        </w:rPr>
        <w:t>）开标结束。</w:t>
      </w:r>
    </w:p>
    <w:p>
      <w:pPr>
        <w:spacing w:line="360" w:lineRule="auto"/>
        <w:ind w:firstLine="424" w:firstLineChars="202"/>
      </w:pPr>
      <w:r>
        <w:rPr>
          <w:rFonts w:hint="eastAsia"/>
        </w:rPr>
        <w:t>5.</w:t>
      </w:r>
      <w:r>
        <w:t>2</w:t>
      </w:r>
      <w:r>
        <w:rPr>
          <w:rFonts w:hint="eastAsia"/>
        </w:rPr>
        <w:t>.2 电子投标文件的解密</w:t>
      </w:r>
    </w:p>
    <w:p>
      <w:pPr>
        <w:spacing w:line="360" w:lineRule="auto"/>
        <w:ind w:firstLine="567" w:firstLineChars="270"/>
      </w:pPr>
      <w:r>
        <w:rPr>
          <w:rFonts w:hint="eastAsia"/>
        </w:rPr>
        <w:t>5.2.2.1本项目为全流程电子化交易项目，电子投标文件采用双重加密。在投标截止时间到达后，分标段进行解密。</w:t>
      </w:r>
    </w:p>
    <w:p>
      <w:pPr>
        <w:spacing w:line="360" w:lineRule="auto"/>
        <w:ind w:firstLine="567" w:firstLineChars="270"/>
      </w:pPr>
      <w:r>
        <w:rPr>
          <w:rFonts w:hint="eastAsia"/>
        </w:rPr>
        <w:t>(1)投标人解密：投标人使用本单位CA数字证书远程或现场进行解密。需现场使用一体机进行解密的，请在代理机构引导下进行。</w:t>
      </w:r>
    </w:p>
    <w:p>
      <w:pPr>
        <w:spacing w:line="360" w:lineRule="auto"/>
        <w:ind w:firstLine="567" w:firstLineChars="270"/>
      </w:pPr>
      <w:r>
        <w:rPr>
          <w:rFonts w:hint="eastAsia"/>
        </w:rPr>
        <w:t>(2)代理机构解密：代理机构</w:t>
      </w:r>
      <w:r>
        <w:t>按</w:t>
      </w:r>
      <w:r>
        <w:rPr>
          <w:rFonts w:hint="eastAsia"/>
        </w:rPr>
        <w:t>电子</w:t>
      </w:r>
      <w:r>
        <w:t>投标</w:t>
      </w:r>
      <w:r>
        <w:rPr>
          <w:rFonts w:hint="eastAsia"/>
        </w:rPr>
        <w:t>文件到达交易系统</w:t>
      </w:r>
      <w:r>
        <w:t>的先后顺序</w:t>
      </w:r>
      <w:r>
        <w:rPr>
          <w:rFonts w:hint="eastAsia"/>
        </w:rPr>
        <w:t>，使用本单位CA数字证书进行再次解密。</w:t>
      </w:r>
    </w:p>
    <w:p>
      <w:pPr>
        <w:spacing w:line="360" w:lineRule="auto"/>
        <w:ind w:firstLine="567" w:firstLineChars="270"/>
      </w:pPr>
      <w:r>
        <w:rPr>
          <w:rFonts w:hint="eastAsia"/>
        </w:rPr>
        <w:t>5.2.2.2电子投标文件解密异常情况处理</w:t>
      </w:r>
    </w:p>
    <w:p>
      <w:pPr>
        <w:spacing w:line="360" w:lineRule="auto"/>
        <w:ind w:firstLine="567" w:firstLineChars="270"/>
      </w:pPr>
      <w:r>
        <w:rPr>
          <w:rFonts w:hint="eastAsia"/>
        </w:rPr>
        <w:t>（</w:t>
      </w:r>
      <w:r>
        <w:t>1</w:t>
      </w:r>
      <w:r>
        <w:rPr>
          <w:rFonts w:hint="eastAsia"/>
        </w:rPr>
        <w:t>）因电子交易系统异常无法解密电子投标文件的，使用电子介质存储的投标文件，以人工方式进行。</w:t>
      </w:r>
    </w:p>
    <w:p>
      <w:pPr>
        <w:spacing w:line="360" w:lineRule="auto"/>
        <w:ind w:firstLine="567" w:firstLineChars="270"/>
      </w:pPr>
      <w:r>
        <w:rPr>
          <w:rFonts w:hint="eastAsia"/>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3"/>
      </w:pPr>
      <w:bookmarkStart w:id="214" w:name="_Toc529440041"/>
      <w:bookmarkStart w:id="215" w:name="_Toc247527587"/>
      <w:bookmarkStart w:id="216" w:name="_Toc247513986"/>
      <w:bookmarkStart w:id="217" w:name="_Toc152045562"/>
      <w:bookmarkStart w:id="218" w:name="_Toc152042338"/>
      <w:bookmarkStart w:id="219" w:name="_Toc144974530"/>
      <w:r>
        <w:rPr>
          <w:rFonts w:hint="eastAsia"/>
        </w:rPr>
        <w:t>6. 评标</w:t>
      </w:r>
      <w:bookmarkEnd w:id="214"/>
      <w:bookmarkEnd w:id="215"/>
      <w:bookmarkEnd w:id="216"/>
      <w:bookmarkEnd w:id="217"/>
      <w:bookmarkEnd w:id="218"/>
      <w:bookmarkEnd w:id="219"/>
    </w:p>
    <w:p>
      <w:pPr>
        <w:pStyle w:val="4"/>
        <w:ind w:firstLine="118"/>
      </w:pPr>
      <w:bookmarkStart w:id="220" w:name="_Toc247527588"/>
      <w:bookmarkStart w:id="221" w:name="_Toc247513987"/>
      <w:bookmarkStart w:id="222" w:name="_Toc152045563"/>
      <w:bookmarkStart w:id="223" w:name="_Toc152042339"/>
      <w:bookmarkStart w:id="224" w:name="_Toc144974531"/>
      <w:r>
        <w:rPr>
          <w:rFonts w:hint="eastAsia"/>
        </w:rPr>
        <w:t>6.1 评标委员会</w:t>
      </w:r>
      <w:bookmarkEnd w:id="220"/>
      <w:bookmarkEnd w:id="221"/>
      <w:bookmarkEnd w:id="222"/>
      <w:bookmarkEnd w:id="223"/>
      <w:bookmarkEnd w:id="224"/>
    </w:p>
    <w:p>
      <w:pPr>
        <w:spacing w:line="360" w:lineRule="auto"/>
        <w:ind w:firstLine="424" w:firstLineChars="202"/>
      </w:pPr>
      <w:r>
        <w:rPr>
          <w:rFonts w:hint="eastAsia"/>
        </w:rPr>
        <w:t>6.1.1 评标由招标人依法组建的评标委员会负责。评标委员会成员人数以及技术、经济等方面专家的确定方式见投标人须知前附表。</w:t>
      </w:r>
    </w:p>
    <w:p>
      <w:pPr>
        <w:spacing w:line="360" w:lineRule="auto"/>
        <w:ind w:firstLine="424" w:firstLineChars="202"/>
      </w:pPr>
      <w:r>
        <w:rPr>
          <w:rFonts w:hint="eastAsia"/>
        </w:rPr>
        <w:t>6.1.2 评标委员会成员有下列情形之一的，应当回避：</w:t>
      </w:r>
    </w:p>
    <w:p>
      <w:pPr>
        <w:spacing w:line="360" w:lineRule="auto"/>
        <w:ind w:firstLine="424" w:firstLineChars="202"/>
      </w:pPr>
      <w:r>
        <w:rPr>
          <w:rFonts w:hint="eastAsia"/>
        </w:rPr>
        <w:t>（1）投标人或投标人主要负责人的近亲属；</w:t>
      </w:r>
    </w:p>
    <w:p>
      <w:pPr>
        <w:spacing w:line="360" w:lineRule="auto"/>
        <w:ind w:firstLine="424" w:firstLineChars="202"/>
      </w:pPr>
      <w:r>
        <w:rPr>
          <w:rFonts w:hint="eastAsia"/>
        </w:rPr>
        <w:t>（2）项目主管部门或者行政监督部门的人员；</w:t>
      </w:r>
    </w:p>
    <w:p>
      <w:pPr>
        <w:spacing w:line="360" w:lineRule="auto"/>
        <w:ind w:firstLine="424" w:firstLineChars="202"/>
      </w:pPr>
      <w:r>
        <w:rPr>
          <w:rFonts w:hint="eastAsia"/>
        </w:rPr>
        <w:t>（3）与投标人有经济利益关系，可能影响对投标公正评审的；</w:t>
      </w:r>
    </w:p>
    <w:p>
      <w:pPr>
        <w:spacing w:line="360" w:lineRule="auto"/>
        <w:ind w:firstLine="424" w:firstLineChars="202"/>
      </w:pPr>
      <w:r>
        <w:rPr>
          <w:rFonts w:hint="eastAsia"/>
        </w:rPr>
        <w:t>（4）曾因在招标、评标以及其他与招标投标有关活动中从事违法行为而受过行政处罚或刑事处罚的。</w:t>
      </w:r>
    </w:p>
    <w:p>
      <w:pPr>
        <w:pStyle w:val="4"/>
        <w:ind w:firstLine="118"/>
      </w:pPr>
      <w:bookmarkStart w:id="225" w:name="_Toc247513988"/>
      <w:bookmarkStart w:id="226" w:name="_Toc247527589"/>
      <w:bookmarkStart w:id="227" w:name="_Toc152045564"/>
      <w:bookmarkStart w:id="228" w:name="_Toc152042340"/>
      <w:bookmarkStart w:id="229" w:name="_Toc144974532"/>
      <w:r>
        <w:rPr>
          <w:rFonts w:hint="eastAsia"/>
        </w:rPr>
        <w:t>6.2 评标原则</w:t>
      </w:r>
      <w:bookmarkEnd w:id="225"/>
      <w:bookmarkEnd w:id="226"/>
      <w:bookmarkEnd w:id="227"/>
      <w:bookmarkEnd w:id="228"/>
      <w:bookmarkEnd w:id="229"/>
      <w:r>
        <w:tab/>
      </w:r>
    </w:p>
    <w:p>
      <w:pPr>
        <w:spacing w:line="360" w:lineRule="auto"/>
      </w:pPr>
      <w:r>
        <w:rPr>
          <w:rFonts w:hint="eastAsia"/>
        </w:rPr>
        <w:t>评标活动遵循公平、公正、科学和择优的原则。</w:t>
      </w:r>
    </w:p>
    <w:p>
      <w:pPr>
        <w:pStyle w:val="4"/>
        <w:ind w:firstLine="118"/>
      </w:pPr>
      <w:bookmarkStart w:id="230" w:name="_Toc247527590"/>
      <w:bookmarkStart w:id="231" w:name="_Toc247513989"/>
      <w:bookmarkStart w:id="232" w:name="_Toc152045565"/>
      <w:bookmarkStart w:id="233" w:name="_Toc152042341"/>
      <w:bookmarkStart w:id="234" w:name="_Toc144974533"/>
      <w:r>
        <w:rPr>
          <w:rFonts w:hint="eastAsia"/>
        </w:rPr>
        <w:t>6.3 评标</w:t>
      </w:r>
      <w:bookmarkEnd w:id="230"/>
      <w:bookmarkEnd w:id="231"/>
      <w:bookmarkEnd w:id="232"/>
      <w:bookmarkEnd w:id="233"/>
      <w:bookmarkEnd w:id="234"/>
    </w:p>
    <w:p>
      <w:pPr>
        <w:spacing w:line="360" w:lineRule="auto"/>
      </w:pPr>
      <w:r>
        <w:rPr>
          <w:rFonts w:hint="eastAsia"/>
        </w:rPr>
        <w:t>评标委员会按照第三章“评标办法”规定的方法、评审因素、标准和程序对投标文件进行评审。第三章“评标办法”没有规定的方法、评审因素和标准，不作为评标依据。</w:t>
      </w:r>
    </w:p>
    <w:p>
      <w:pPr>
        <w:pStyle w:val="3"/>
      </w:pPr>
      <w:bookmarkStart w:id="235" w:name="_Toc529440042"/>
      <w:bookmarkStart w:id="236" w:name="_Toc247527591"/>
      <w:bookmarkStart w:id="237" w:name="_Toc152042342"/>
      <w:bookmarkStart w:id="238" w:name="_Toc247513990"/>
      <w:bookmarkStart w:id="239" w:name="_Toc152045566"/>
      <w:bookmarkStart w:id="240" w:name="_Toc144974534"/>
      <w:r>
        <w:rPr>
          <w:rFonts w:hint="eastAsia"/>
        </w:rPr>
        <w:t>7. 合同授予</w:t>
      </w:r>
      <w:bookmarkEnd w:id="235"/>
      <w:bookmarkEnd w:id="236"/>
      <w:bookmarkEnd w:id="237"/>
      <w:bookmarkEnd w:id="238"/>
      <w:bookmarkEnd w:id="239"/>
      <w:bookmarkEnd w:id="240"/>
    </w:p>
    <w:p>
      <w:pPr>
        <w:pStyle w:val="4"/>
        <w:ind w:firstLine="118"/>
      </w:pPr>
      <w:bookmarkStart w:id="241" w:name="_Toc152042343"/>
      <w:bookmarkStart w:id="242" w:name="_Toc247527592"/>
      <w:bookmarkStart w:id="243" w:name="_Toc247513991"/>
      <w:bookmarkStart w:id="244" w:name="_Toc152045567"/>
      <w:bookmarkStart w:id="245" w:name="_Toc144974535"/>
      <w:r>
        <w:rPr>
          <w:rFonts w:hint="eastAsia"/>
        </w:rPr>
        <w:t>7.1 定标方式</w:t>
      </w:r>
      <w:bookmarkEnd w:id="241"/>
      <w:bookmarkEnd w:id="242"/>
      <w:bookmarkEnd w:id="243"/>
      <w:bookmarkEnd w:id="244"/>
      <w:bookmarkEnd w:id="245"/>
    </w:p>
    <w:p>
      <w:pPr>
        <w:spacing w:line="360" w:lineRule="auto"/>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4"/>
        <w:ind w:firstLine="118"/>
      </w:pPr>
      <w:bookmarkStart w:id="246" w:name="_Toc247527593"/>
      <w:bookmarkStart w:id="247" w:name="_Toc247513992"/>
      <w:bookmarkStart w:id="248" w:name="_Toc152045568"/>
      <w:bookmarkStart w:id="249" w:name="_Toc152042344"/>
      <w:bookmarkStart w:id="250" w:name="_Toc144974536"/>
      <w:r>
        <w:rPr>
          <w:rFonts w:hint="eastAsia"/>
        </w:rPr>
        <w:t>7.2中标通知</w:t>
      </w:r>
      <w:bookmarkEnd w:id="246"/>
      <w:bookmarkEnd w:id="247"/>
      <w:bookmarkEnd w:id="248"/>
      <w:bookmarkEnd w:id="249"/>
      <w:bookmarkEnd w:id="250"/>
    </w:p>
    <w:p>
      <w:pPr>
        <w:spacing w:line="360" w:lineRule="auto"/>
      </w:pPr>
      <w:r>
        <w:rPr>
          <w:rFonts w:hint="eastAsia"/>
        </w:rPr>
        <w:t>在本章第3.3款规定的投标有效期内，招标人以书面形式向中标人发出中标通知书，同时将中标结果通知未中标的投标人。</w:t>
      </w:r>
    </w:p>
    <w:p>
      <w:pPr>
        <w:pStyle w:val="4"/>
        <w:ind w:firstLine="118"/>
      </w:pPr>
      <w:bookmarkStart w:id="251" w:name="_Toc247527595"/>
      <w:bookmarkStart w:id="252" w:name="_Toc247513994"/>
      <w:bookmarkStart w:id="253" w:name="_Toc152045570"/>
      <w:bookmarkStart w:id="254" w:name="_Toc152042346"/>
      <w:bookmarkStart w:id="255" w:name="_Toc144974538"/>
      <w:r>
        <w:rPr>
          <w:rFonts w:hint="eastAsia"/>
        </w:rPr>
        <w:t>7.3签订合同</w:t>
      </w:r>
      <w:bookmarkEnd w:id="251"/>
      <w:bookmarkEnd w:id="252"/>
      <w:bookmarkEnd w:id="253"/>
      <w:bookmarkEnd w:id="254"/>
      <w:bookmarkEnd w:id="255"/>
    </w:p>
    <w:p>
      <w:pPr>
        <w:spacing w:line="360" w:lineRule="auto"/>
        <w:ind w:firstLine="424" w:firstLineChars="202"/>
      </w:pPr>
      <w:bookmarkStart w:id="256" w:name="_Toc531281793"/>
      <w:r>
        <w:t xml:space="preserve">7.3.1 </w:t>
      </w:r>
      <w:r>
        <w:rPr>
          <w:rFonts w:hint="eastAsia"/>
        </w:rPr>
        <w:t>招标人和中标人应当自中标通知书发出之日起</w:t>
      </w:r>
      <w:r>
        <w:t xml:space="preserve">30 </w:t>
      </w:r>
      <w:r>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256"/>
    </w:p>
    <w:p>
      <w:pPr>
        <w:spacing w:line="360" w:lineRule="auto"/>
        <w:ind w:firstLine="424" w:firstLineChars="202"/>
      </w:pPr>
      <w:bookmarkStart w:id="257" w:name="_Toc531281794"/>
      <w:r>
        <w:t xml:space="preserve">7.3.2 </w:t>
      </w:r>
      <w:r>
        <w:rPr>
          <w:rFonts w:hint="eastAsia"/>
        </w:rPr>
        <w:t>发出中标通知书后，招标人无正当理由拒签合同的，招标人向中标人退还投标保证金；给中标人造成损失的，还应当赔偿损失。</w:t>
      </w:r>
      <w:bookmarkEnd w:id="257"/>
    </w:p>
    <w:p>
      <w:pPr>
        <w:pStyle w:val="4"/>
        <w:ind w:firstLine="118"/>
      </w:pPr>
      <w:bookmarkStart w:id="258" w:name="_Toc247513993"/>
      <w:bookmarkStart w:id="259" w:name="_Toc152045569"/>
      <w:bookmarkStart w:id="260" w:name="_Toc152042345"/>
      <w:bookmarkStart w:id="261" w:name="_Toc144974537"/>
      <w:bookmarkStart w:id="262" w:name="_Toc247527594"/>
      <w:r>
        <w:rPr>
          <w:rFonts w:hint="eastAsia"/>
        </w:rPr>
        <w:t>7.4 履约担保</w:t>
      </w:r>
      <w:bookmarkEnd w:id="258"/>
      <w:bookmarkEnd w:id="259"/>
      <w:bookmarkEnd w:id="260"/>
      <w:bookmarkEnd w:id="261"/>
      <w:bookmarkEnd w:id="262"/>
    </w:p>
    <w:p>
      <w:pPr>
        <w:spacing w:line="360" w:lineRule="auto"/>
        <w:ind w:firstLine="424" w:firstLineChars="202"/>
      </w:pPr>
      <w:r>
        <w:rPr>
          <w:rFonts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spacing w:line="360" w:lineRule="auto"/>
        <w:ind w:firstLine="424" w:firstLineChars="202"/>
      </w:pPr>
      <w:r>
        <w:rPr>
          <w:rFonts w:hint="eastAsia"/>
        </w:rPr>
        <w:t>7.4.2 中标人不能按本章第7.4.1项要求提交履约担保的，视为放弃中标，其投标保证金不予退还，给招标人造成的损失超过投标保证金数额的，中标人还应当对超过部分予以赔偿。</w:t>
      </w:r>
    </w:p>
    <w:p>
      <w:pPr>
        <w:pStyle w:val="3"/>
      </w:pPr>
      <w:bookmarkStart w:id="263" w:name="_Toc283559978"/>
      <w:bookmarkStart w:id="264" w:name="_Toc529440043"/>
      <w:r>
        <w:t xml:space="preserve">8. </w:t>
      </w:r>
      <w:r>
        <w:rPr>
          <w:rFonts w:hint="eastAsia"/>
        </w:rPr>
        <w:t>重新招标和不再招标</w:t>
      </w:r>
      <w:bookmarkEnd w:id="263"/>
      <w:bookmarkEnd w:id="264"/>
    </w:p>
    <w:p>
      <w:pPr>
        <w:pStyle w:val="4"/>
        <w:ind w:firstLine="118"/>
      </w:pPr>
      <w:bookmarkStart w:id="265" w:name="_Toc283559979"/>
      <w:r>
        <w:t xml:space="preserve">8.1 </w:t>
      </w:r>
      <w:r>
        <w:rPr>
          <w:rFonts w:hint="eastAsia"/>
        </w:rPr>
        <w:t>重新招标</w:t>
      </w:r>
      <w:bookmarkEnd w:id="265"/>
    </w:p>
    <w:p>
      <w:pPr>
        <w:spacing w:line="360" w:lineRule="auto"/>
        <w:ind w:firstLine="424" w:firstLineChars="202"/>
      </w:pPr>
      <w:r>
        <w:rPr>
          <w:rFonts w:hint="eastAsia"/>
        </w:rPr>
        <w:t>有下列情形之一的，招标人将重新招标：</w:t>
      </w:r>
    </w:p>
    <w:p>
      <w:pPr>
        <w:spacing w:line="360" w:lineRule="auto"/>
        <w:ind w:firstLine="424" w:firstLineChars="202"/>
      </w:pPr>
      <w:r>
        <w:rPr>
          <w:rFonts w:hint="eastAsia"/>
        </w:rPr>
        <w:t>（</w:t>
      </w:r>
      <w:r>
        <w:t>1</w:t>
      </w:r>
      <w:r>
        <w:rPr>
          <w:rFonts w:hint="eastAsia"/>
        </w:rPr>
        <w:t>）投标截止时间止，投标人少于</w:t>
      </w:r>
      <w:r>
        <w:t>3</w:t>
      </w:r>
      <w:r>
        <w:rPr>
          <w:rFonts w:hint="eastAsia"/>
        </w:rPr>
        <w:t>个的；</w:t>
      </w:r>
    </w:p>
    <w:p>
      <w:pPr>
        <w:spacing w:line="360" w:lineRule="auto"/>
        <w:ind w:firstLine="424" w:firstLineChars="202"/>
      </w:pPr>
      <w:r>
        <w:rPr>
          <w:rFonts w:hint="eastAsia"/>
        </w:rPr>
        <w:t>（</w:t>
      </w:r>
      <w:r>
        <w:t>2</w:t>
      </w:r>
      <w:r>
        <w:rPr>
          <w:rFonts w:hint="eastAsia"/>
        </w:rPr>
        <w:t>）经评标委员会评审后否决所有投标的。</w:t>
      </w:r>
    </w:p>
    <w:p>
      <w:pPr>
        <w:pStyle w:val="4"/>
        <w:ind w:firstLine="118"/>
      </w:pPr>
      <w:bookmarkStart w:id="266" w:name="_Toc283559980"/>
      <w:r>
        <w:t xml:space="preserve">8.2 </w:t>
      </w:r>
      <w:r>
        <w:rPr>
          <w:rFonts w:hint="eastAsia"/>
        </w:rPr>
        <w:t>不再招标</w:t>
      </w:r>
      <w:bookmarkEnd w:id="266"/>
    </w:p>
    <w:p>
      <w:pPr>
        <w:spacing w:line="360" w:lineRule="auto"/>
      </w:pPr>
      <w:r>
        <w:rPr>
          <w:rFonts w:hint="eastAsia"/>
        </w:rPr>
        <w:t>重新招标后投标人仍少于</w:t>
      </w:r>
      <w:r>
        <w:t>3</w:t>
      </w:r>
      <w:r>
        <w:rPr>
          <w:rFonts w:hint="eastAsia"/>
        </w:rPr>
        <w:t>个，属于必须审批或核准的工程建设项目，经原审批或核准部门批准后不再进行招标。</w:t>
      </w:r>
    </w:p>
    <w:p>
      <w:pPr>
        <w:pStyle w:val="3"/>
      </w:pPr>
      <w:bookmarkStart w:id="267" w:name="_Toc283559981"/>
      <w:bookmarkStart w:id="268" w:name="_Toc529440044"/>
      <w:r>
        <w:t xml:space="preserve">9. </w:t>
      </w:r>
      <w:r>
        <w:rPr>
          <w:rFonts w:hint="eastAsia"/>
        </w:rPr>
        <w:t>纪律和监督</w:t>
      </w:r>
      <w:bookmarkEnd w:id="267"/>
      <w:bookmarkEnd w:id="268"/>
    </w:p>
    <w:p>
      <w:pPr>
        <w:pStyle w:val="4"/>
        <w:ind w:firstLine="118"/>
      </w:pPr>
      <w:bookmarkStart w:id="269" w:name="_Toc283559982"/>
      <w:r>
        <w:t xml:space="preserve">9.1 </w:t>
      </w:r>
      <w:r>
        <w:rPr>
          <w:rFonts w:hint="eastAsia"/>
        </w:rPr>
        <w:t>对招标人的纪律要求</w:t>
      </w:r>
      <w:bookmarkEnd w:id="269"/>
    </w:p>
    <w:p>
      <w:pPr>
        <w:spacing w:line="360" w:lineRule="auto"/>
      </w:pPr>
      <w:r>
        <w:rPr>
          <w:rFonts w:hint="eastAsia"/>
        </w:rPr>
        <w:t>招标人不得泄漏招标投标活动中应当保密的信息和资料，不得与投标人串通损害国家利益、社会公共利益或者他人合法权益。</w:t>
      </w:r>
    </w:p>
    <w:p>
      <w:pPr>
        <w:pStyle w:val="4"/>
        <w:ind w:firstLine="118"/>
      </w:pPr>
      <w:bookmarkStart w:id="270" w:name="_Toc283559983"/>
      <w:r>
        <w:t xml:space="preserve">9.2 </w:t>
      </w:r>
      <w:r>
        <w:rPr>
          <w:rFonts w:hint="eastAsia"/>
        </w:rPr>
        <w:t>对投标人的纪律要求</w:t>
      </w:r>
      <w:bookmarkEnd w:id="270"/>
    </w:p>
    <w:p>
      <w:pPr>
        <w:spacing w:line="360" w:lineRule="auto"/>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ind w:firstLine="118"/>
      </w:pPr>
      <w:bookmarkStart w:id="271" w:name="_Toc283559984"/>
      <w:r>
        <w:t xml:space="preserve">9.3 </w:t>
      </w:r>
      <w:r>
        <w:rPr>
          <w:rFonts w:hint="eastAsia"/>
        </w:rPr>
        <w:t>对评标委员会成员的纪律要求</w:t>
      </w:r>
      <w:bookmarkEnd w:id="271"/>
    </w:p>
    <w:p>
      <w:pPr>
        <w:spacing w:line="360" w:lineRule="auto"/>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ind w:firstLine="118"/>
      </w:pPr>
      <w:bookmarkStart w:id="272" w:name="_Toc283559985"/>
      <w:r>
        <w:t xml:space="preserve">9.4 </w:t>
      </w:r>
      <w:r>
        <w:rPr>
          <w:rFonts w:hint="eastAsia"/>
        </w:rPr>
        <w:t>对与评标活动有关的工作人员的纪律要求</w:t>
      </w:r>
      <w:bookmarkEnd w:id="272"/>
    </w:p>
    <w:p>
      <w:pPr>
        <w:spacing w:line="360" w:lineRule="auto"/>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ind w:firstLine="118"/>
      </w:pPr>
      <w:bookmarkStart w:id="273" w:name="_Toc283559986"/>
      <w:r>
        <w:t xml:space="preserve">9.5 </w:t>
      </w:r>
      <w:r>
        <w:rPr>
          <w:rFonts w:hint="eastAsia"/>
        </w:rPr>
        <w:t>投诉</w:t>
      </w:r>
      <w:bookmarkEnd w:id="273"/>
    </w:p>
    <w:p>
      <w:pPr>
        <w:spacing w:line="360" w:lineRule="auto"/>
      </w:pPr>
      <w:r>
        <w:rPr>
          <w:rFonts w:hint="eastAsia"/>
        </w:rPr>
        <w:t>投标人和其他利害关系人认为本次招标活动违反法律、法规和规章规定的，有权向有关行政监督部门投诉。</w:t>
      </w:r>
    </w:p>
    <w:p>
      <w:pPr>
        <w:pStyle w:val="3"/>
      </w:pPr>
      <w:bookmarkStart w:id="274" w:name="_Toc283559987"/>
      <w:bookmarkStart w:id="275" w:name="_Toc529440045"/>
      <w:r>
        <w:t xml:space="preserve">10. </w:t>
      </w:r>
      <w:r>
        <w:rPr>
          <w:rFonts w:hint="eastAsia"/>
        </w:rPr>
        <w:t>需要补充的其他内容</w:t>
      </w:r>
      <w:bookmarkEnd w:id="274"/>
      <w:bookmarkEnd w:id="275"/>
    </w:p>
    <w:p>
      <w:pPr>
        <w:spacing w:line="360" w:lineRule="auto"/>
      </w:pPr>
      <w:r>
        <w:rPr>
          <w:rFonts w:hint="eastAsia"/>
        </w:rPr>
        <w:t>需要补充的其他内容：见投标人须知前附表。</w:t>
      </w:r>
    </w:p>
    <w:p>
      <w:pPr>
        <w:widowControl/>
        <w:jc w:val="left"/>
      </w:pPr>
      <w:r>
        <w:br w:type="page"/>
      </w:r>
    </w:p>
    <w:p>
      <w:pPr>
        <w:spacing w:line="440" w:lineRule="exact"/>
        <w:rPr>
          <w:rFonts w:ascii="宋体" w:hAnsi="宋体"/>
          <w:szCs w:val="21"/>
        </w:rPr>
      </w:pPr>
    </w:p>
    <w:p>
      <w:pPr>
        <w:spacing w:line="400" w:lineRule="exact"/>
        <w:jc w:val="left"/>
        <w:rPr>
          <w:rFonts w:ascii="新宋体" w:hAnsi="新宋体" w:eastAsia="新宋体"/>
          <w:b/>
          <w:sz w:val="24"/>
        </w:rPr>
      </w:pPr>
      <w:bookmarkStart w:id="276" w:name="_Toc144974565"/>
      <w:bookmarkStart w:id="277" w:name="_Toc152042375"/>
      <w:bookmarkStart w:id="278" w:name="_Toc152045598"/>
      <w:bookmarkStart w:id="279" w:name="_Toc247514022"/>
      <w:bookmarkStart w:id="280" w:name="_Toc247527623"/>
      <w:r>
        <w:rPr>
          <w:rFonts w:hint="eastAsia" w:ascii="新宋体" w:hAnsi="新宋体" w:eastAsia="新宋体"/>
          <w:b/>
          <w:sz w:val="24"/>
        </w:rPr>
        <w:t>附表一：问题澄清通知</w:t>
      </w:r>
    </w:p>
    <w:p>
      <w:pPr>
        <w:spacing w:line="400" w:lineRule="exact"/>
        <w:jc w:val="left"/>
        <w:rPr>
          <w:rFonts w:ascii="新宋体" w:hAnsi="新宋体" w:eastAsia="新宋体"/>
          <w:b/>
          <w:sz w:val="24"/>
        </w:rPr>
      </w:pPr>
    </w:p>
    <w:p>
      <w:pPr>
        <w:spacing w:line="360" w:lineRule="auto"/>
        <w:jc w:val="center"/>
        <w:rPr>
          <w:rFonts w:asciiTheme="minorHAnsi" w:hAnsiTheme="minorHAnsi" w:eastAsiaTheme="minorEastAsia" w:cstheme="minorBidi"/>
          <w:sz w:val="28"/>
          <w:szCs w:val="22"/>
        </w:rPr>
      </w:pPr>
      <w:r>
        <w:rPr>
          <w:rFonts w:hint="eastAsia" w:asciiTheme="minorHAnsi" w:hAnsiTheme="minorHAnsi" w:eastAsiaTheme="minorEastAsia" w:cstheme="minorBidi"/>
          <w:sz w:val="28"/>
          <w:szCs w:val="22"/>
        </w:rPr>
        <w:t>问题澄清通知</w:t>
      </w:r>
    </w:p>
    <w:p>
      <w:pPr>
        <w:spacing w:line="360" w:lineRule="auto"/>
        <w:rPr>
          <w:rFonts w:asciiTheme="minorHAnsi" w:hAnsiTheme="minorHAnsi" w:eastAsiaTheme="minorEastAsia" w:cstheme="minorBidi"/>
          <w:sz w:val="24"/>
          <w:szCs w:val="22"/>
          <w:u w:val="single"/>
        </w:rPr>
      </w:pPr>
      <w:r>
        <w:rPr>
          <w:rFonts w:hint="eastAsia" w:asciiTheme="minorHAnsi" w:hAnsiTheme="minorHAnsi" w:eastAsiaTheme="minorEastAsia" w:cstheme="minorBidi"/>
          <w:sz w:val="24"/>
          <w:szCs w:val="22"/>
        </w:rPr>
        <w:t>编号：</w:t>
      </w: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（投标人名称）：</w:t>
      </w: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（项目名称）招标的评标委员会，对你方的投标文件进行了仔细的审查，现需你方对本通知所附质疑问卷中的问题以书面形式予以澄清、说明或者补正。</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1.</w:t>
      </w: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2.</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w:t>
      </w:r>
    </w:p>
    <w:p>
      <w:pPr>
        <w:spacing w:line="360" w:lineRule="auto"/>
        <w:ind w:firstLine="566" w:firstLineChars="236"/>
        <w:rPr>
          <w:rFonts w:asciiTheme="minorHAnsi" w:hAnsiTheme="minorHAnsi" w:eastAsiaTheme="minorEastAsia" w:cstheme="minorBidi"/>
          <w:sz w:val="24"/>
          <w:szCs w:val="22"/>
        </w:rPr>
      </w:pP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请将上述问题的澄清、说明或者补正于年月日时前密封递交至</w:t>
      </w:r>
      <w:r>
        <w:rPr>
          <w:rFonts w:hint="eastAsia" w:asciiTheme="minorHAnsi" w:hAnsiTheme="minorHAnsi" w:eastAsiaTheme="minorEastAsia" w:cstheme="minorBidi"/>
          <w:sz w:val="24"/>
          <w:szCs w:val="22"/>
          <w:u w:val="single"/>
        </w:rPr>
        <w:t>（详细地址）</w:t>
      </w:r>
      <w:r>
        <w:rPr>
          <w:rFonts w:hint="eastAsia" w:asciiTheme="minorHAnsi" w:hAnsiTheme="minorHAnsi" w:eastAsiaTheme="minorEastAsia" w:cstheme="minorBidi"/>
          <w:sz w:val="24"/>
          <w:szCs w:val="22"/>
        </w:rPr>
        <w:t>。</w:t>
      </w:r>
    </w:p>
    <w:p>
      <w:pPr>
        <w:spacing w:line="360" w:lineRule="auto"/>
        <w:rPr>
          <w:rFonts w:asciiTheme="minorHAnsi" w:hAnsiTheme="minorHAnsi" w:eastAsiaTheme="minorEastAsia" w:cstheme="minorBidi"/>
          <w:sz w:val="24"/>
          <w:szCs w:val="22"/>
        </w:rPr>
      </w:pP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附件：质疑问卷</w:t>
      </w:r>
    </w:p>
    <w:p>
      <w:pPr>
        <w:spacing w:line="480" w:lineRule="auto"/>
        <w:rPr>
          <w:rFonts w:asciiTheme="minorHAnsi" w:hAnsiTheme="minorHAnsi" w:eastAsiaTheme="minorEastAsia" w:cstheme="minorBidi"/>
          <w:sz w:val="24"/>
          <w:szCs w:val="22"/>
        </w:rPr>
      </w:pP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（项目名称）招标评标委员会</w:t>
      </w: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（经评标委员会授权的招标人代表签字或招标人加盖单位章）</w:t>
      </w: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年月日</w:t>
      </w:r>
    </w:p>
    <w:p>
      <w:pPr>
        <w:widowControl/>
        <w:jc w:val="left"/>
        <w:rPr>
          <w:rFonts w:ascii="新宋体" w:hAnsi="新宋体" w:eastAsia="新宋体"/>
          <w:b/>
          <w:sz w:val="24"/>
        </w:rPr>
      </w:pPr>
      <w:r>
        <w:rPr>
          <w:rFonts w:ascii="新宋体" w:hAnsi="新宋体" w:eastAsia="新宋体"/>
          <w:b/>
          <w:sz w:val="24"/>
        </w:rPr>
        <w:br w:type="page"/>
      </w:r>
    </w:p>
    <w:p>
      <w:pPr>
        <w:spacing w:line="400" w:lineRule="exact"/>
        <w:rPr>
          <w:rFonts w:ascii="新宋体" w:hAnsi="新宋体" w:eastAsia="新宋体"/>
          <w:b/>
          <w:sz w:val="24"/>
        </w:rPr>
      </w:pPr>
    </w:p>
    <w:p>
      <w:pPr>
        <w:spacing w:line="400" w:lineRule="exact"/>
        <w:ind w:firstLine="482" w:firstLineChars="200"/>
        <w:rPr>
          <w:rFonts w:ascii="新宋体" w:hAnsi="新宋体" w:eastAsia="新宋体"/>
          <w:b/>
          <w:sz w:val="24"/>
        </w:rPr>
      </w:pPr>
      <w:r>
        <w:rPr>
          <w:rFonts w:hint="eastAsia" w:ascii="新宋体" w:hAnsi="新宋体" w:eastAsia="新宋体"/>
          <w:b/>
          <w:sz w:val="24"/>
        </w:rPr>
        <w:t>附表二：问题的澄清</w:t>
      </w: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360" w:lineRule="auto"/>
        <w:jc w:val="center"/>
        <w:rPr>
          <w:rFonts w:asciiTheme="minorHAnsi" w:hAnsiTheme="minorHAnsi" w:eastAsiaTheme="minorEastAsia" w:cstheme="minorBidi"/>
          <w:sz w:val="28"/>
          <w:szCs w:val="22"/>
        </w:rPr>
      </w:pPr>
      <w:r>
        <w:rPr>
          <w:rFonts w:hint="eastAsia" w:asciiTheme="minorHAnsi" w:hAnsiTheme="minorHAnsi" w:eastAsiaTheme="minorEastAsia" w:cstheme="minorBidi"/>
          <w:sz w:val="28"/>
          <w:szCs w:val="22"/>
        </w:rPr>
        <w:t>问题的澄清、说明或补正</w:t>
      </w:r>
    </w:p>
    <w:p>
      <w:pPr>
        <w:spacing w:line="360" w:lineRule="auto"/>
        <w:jc w:val="right"/>
        <w:rPr>
          <w:rFonts w:asciiTheme="minorHAnsi" w:hAnsiTheme="minorHAnsi" w:eastAsiaTheme="minorEastAsia" w:cstheme="minorBidi"/>
          <w:sz w:val="24"/>
          <w:szCs w:val="22"/>
          <w:u w:val="single"/>
        </w:rPr>
      </w:pPr>
      <w:r>
        <w:rPr>
          <w:rFonts w:hint="eastAsia" w:asciiTheme="minorHAnsi" w:hAnsiTheme="minorHAnsi" w:eastAsiaTheme="minorEastAsia" w:cstheme="minorBidi"/>
          <w:sz w:val="24"/>
          <w:szCs w:val="22"/>
        </w:rPr>
        <w:t>编号：</w:t>
      </w: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（项目名称）招标评标委员会：</w:t>
      </w: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问题澄清通知（编号：）已收悉，现澄清、说明或者补正如下：</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1.</w:t>
      </w: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2.</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投标人：（盖单位章）</w:t>
      </w: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法定代表人或其委托代理人：（签字）</w:t>
      </w: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年月日</w:t>
      </w:r>
    </w:p>
    <w:p>
      <w:pPr>
        <w:spacing w:line="480" w:lineRule="exact"/>
        <w:rPr>
          <w:sz w:val="24"/>
        </w:rPr>
      </w:pPr>
    </w:p>
    <w:p>
      <w:pPr>
        <w:spacing w:line="480" w:lineRule="exact"/>
        <w:rPr>
          <w:sz w:val="24"/>
        </w:rPr>
      </w:pPr>
    </w:p>
    <w:p>
      <w:pPr>
        <w:spacing w:line="480" w:lineRule="exact"/>
        <w:rPr>
          <w:sz w:val="24"/>
        </w:rPr>
      </w:pPr>
    </w:p>
    <w:p>
      <w:pPr>
        <w:pStyle w:val="2"/>
      </w:pPr>
      <w:r>
        <w:br w:type="page"/>
      </w:r>
      <w:bookmarkStart w:id="281" w:name="_Toc529440046"/>
      <w:r>
        <w:rPr>
          <w:rFonts w:hint="eastAsia"/>
        </w:rPr>
        <w:t>第三章 评标办法（</w:t>
      </w:r>
      <w:r>
        <w:rPr>
          <w:rFonts w:hint="eastAsia"/>
          <w:lang w:eastAsia="zh-CN"/>
        </w:rPr>
        <w:t>综合评标法</w:t>
      </w:r>
      <w:r>
        <w:rPr>
          <w:rFonts w:hint="eastAsia"/>
        </w:rPr>
        <w:t>）</w:t>
      </w:r>
      <w:bookmarkEnd w:id="276"/>
      <w:bookmarkEnd w:id="277"/>
      <w:bookmarkEnd w:id="278"/>
      <w:bookmarkEnd w:id="279"/>
      <w:bookmarkEnd w:id="280"/>
      <w:bookmarkEnd w:id="281"/>
    </w:p>
    <w:p>
      <w:pPr>
        <w:snapToGrid w:val="0"/>
        <w:spacing w:line="480" w:lineRule="exact"/>
        <w:ind w:firstLine="420" w:firstLineChars="200"/>
        <w:rPr>
          <w:rFonts w:ascii="宋体" w:hAnsi="宋体"/>
          <w:szCs w:val="21"/>
        </w:rPr>
      </w:pPr>
      <w:bookmarkStart w:id="282" w:name="_Toc273546398"/>
      <w:bookmarkStart w:id="283" w:name="_Toc270931534"/>
      <w:bookmarkStart w:id="284" w:name="_Toc295572535"/>
      <w:bookmarkStart w:id="285" w:name="_Toc272833453"/>
      <w:r>
        <w:rPr>
          <w:rFonts w:hint="eastAsia" w:ascii="宋体" w:hAnsi="宋体"/>
          <w:szCs w:val="21"/>
        </w:rPr>
        <w:t>一、评标应遵循公正、公平、择优的原则严格按照招标文件进行。</w:t>
      </w:r>
    </w:p>
    <w:p>
      <w:pPr>
        <w:spacing w:line="480" w:lineRule="exact"/>
        <w:rPr>
          <w:rFonts w:ascii="宋体" w:hAnsi="宋体"/>
          <w:szCs w:val="21"/>
        </w:rPr>
      </w:pPr>
      <w:r>
        <w:rPr>
          <w:rFonts w:hint="eastAsia" w:ascii="宋体" w:hAnsi="宋体"/>
          <w:szCs w:val="21"/>
        </w:rPr>
        <w:t xml:space="preserve">    二、评标由招标人依法组建的评标委员会负责，</w:t>
      </w:r>
      <w:r>
        <w:rPr>
          <w:rFonts w:hint="eastAsia" w:ascii="宋体" w:hAnsi="宋体" w:cs="仿宋_GB2312"/>
          <w:szCs w:val="21"/>
        </w:rPr>
        <w:t>评标委员会构</w:t>
      </w:r>
      <w:r>
        <w:rPr>
          <w:rFonts w:hint="eastAsia" w:ascii="宋体" w:hAnsi="宋体"/>
          <w:szCs w:val="21"/>
        </w:rPr>
        <w:t>成：</w:t>
      </w:r>
      <w:r>
        <w:rPr>
          <w:rFonts w:hint="eastAsia" w:ascii="宋体" w:hAnsi="宋体"/>
          <w:color w:val="FF0000"/>
          <w:szCs w:val="21"/>
        </w:rPr>
        <w:t>5人</w:t>
      </w:r>
      <w:r>
        <w:rPr>
          <w:rFonts w:hint="eastAsia" w:ascii="宋体" w:hAnsi="宋体"/>
          <w:szCs w:val="21"/>
        </w:rPr>
        <w:t>，评标委员会成员从河南省综合评标专家库中随机抽取5人，其中注册造价工程师不少于</w:t>
      </w:r>
      <w:r>
        <w:rPr>
          <w:rFonts w:ascii="宋体" w:hAnsi="宋体"/>
          <w:color w:val="FF0000"/>
          <w:szCs w:val="21"/>
        </w:rPr>
        <w:t>2</w:t>
      </w:r>
      <w:r>
        <w:rPr>
          <w:rFonts w:hint="eastAsia" w:ascii="宋体" w:hAnsi="宋体"/>
          <w:color w:val="FF0000"/>
          <w:szCs w:val="21"/>
        </w:rPr>
        <w:t>人</w:t>
      </w:r>
      <w:r>
        <w:rPr>
          <w:rFonts w:hint="eastAsia" w:ascii="宋体" w:hAnsi="宋体"/>
          <w:szCs w:val="21"/>
        </w:rPr>
        <w:t>。与投标人有利害关系的人不得进入评标委员会。</w:t>
      </w:r>
    </w:p>
    <w:p>
      <w:pPr>
        <w:snapToGrid w:val="0"/>
        <w:spacing w:line="480" w:lineRule="exact"/>
        <w:ind w:firstLine="420" w:firstLineChars="200"/>
        <w:rPr>
          <w:rFonts w:ascii="宋体" w:hAnsi="宋体" w:cs="新宋体"/>
          <w:szCs w:val="21"/>
        </w:rPr>
      </w:pPr>
      <w:r>
        <w:rPr>
          <w:rFonts w:hint="eastAsia" w:ascii="宋体" w:hAnsi="宋体"/>
          <w:szCs w:val="21"/>
        </w:rPr>
        <w:t>三、评标采用</w:t>
      </w:r>
      <w:r>
        <w:rPr>
          <w:rFonts w:hint="eastAsia" w:ascii="宋体" w:hAnsi="宋体"/>
          <w:szCs w:val="21"/>
          <w:lang w:eastAsia="zh-CN"/>
        </w:rPr>
        <w:t>综合评标法</w:t>
      </w:r>
      <w:r>
        <w:rPr>
          <w:rFonts w:hint="eastAsia" w:ascii="宋体" w:hAnsi="宋体"/>
          <w:szCs w:val="21"/>
        </w:rPr>
        <w:t>，是指评标委员会</w:t>
      </w:r>
      <w:r>
        <w:rPr>
          <w:rFonts w:hint="eastAsia" w:ascii="宋体" w:hAnsi="宋体" w:cs="新宋体"/>
          <w:szCs w:val="21"/>
        </w:rPr>
        <w:t>根据招标文件要求应从</w:t>
      </w:r>
      <w:r>
        <w:rPr>
          <w:rFonts w:hint="eastAsia" w:ascii="宋体" w:hAnsi="宋体" w:cs="新宋体"/>
          <w:color w:val="000000" w:themeColor="text1"/>
          <w:szCs w:val="21"/>
        </w:rPr>
        <w:t>技术标、商务标、综合标</w:t>
      </w:r>
      <w:r>
        <w:rPr>
          <w:rFonts w:hint="eastAsia" w:ascii="宋体" w:hAnsi="宋体" w:cs="新宋体"/>
          <w:szCs w:val="21"/>
        </w:rPr>
        <w:t>三部分进行综合评审。</w:t>
      </w:r>
    </w:p>
    <w:p>
      <w:pPr>
        <w:snapToGrid w:val="0"/>
        <w:spacing w:line="480" w:lineRule="exact"/>
        <w:ind w:firstLine="420" w:firstLineChars="200"/>
        <w:rPr>
          <w:rFonts w:ascii="宋体" w:hAnsi="宋体"/>
          <w:szCs w:val="21"/>
        </w:rPr>
      </w:pPr>
      <w:r>
        <w:rPr>
          <w:rFonts w:hint="eastAsia" w:ascii="宋体" w:hAnsi="宋体"/>
          <w:szCs w:val="21"/>
        </w:rPr>
        <w:t>四、评标程序为：</w:t>
      </w:r>
    </w:p>
    <w:p>
      <w:pPr>
        <w:snapToGrid w:val="0"/>
        <w:spacing w:line="480" w:lineRule="exact"/>
        <w:ind w:firstLine="420" w:firstLineChars="200"/>
        <w:rPr>
          <w:rFonts w:ascii="宋体" w:hAnsi="宋体" w:cs="新宋体"/>
          <w:szCs w:val="21"/>
        </w:rPr>
      </w:pPr>
      <w:r>
        <w:rPr>
          <w:rFonts w:hint="eastAsia" w:ascii="宋体" w:hAnsi="宋体" w:cs="新宋体"/>
          <w:szCs w:val="21"/>
        </w:rPr>
        <w:t>（一）清标；</w:t>
      </w:r>
    </w:p>
    <w:p>
      <w:pPr>
        <w:snapToGrid w:val="0"/>
        <w:spacing w:line="480" w:lineRule="exact"/>
        <w:ind w:firstLine="420" w:firstLineChars="200"/>
        <w:rPr>
          <w:rFonts w:ascii="宋体" w:hAnsi="宋体" w:cs="新宋体"/>
          <w:szCs w:val="21"/>
        </w:rPr>
      </w:pPr>
      <w:r>
        <w:rPr>
          <w:rFonts w:hint="eastAsia" w:ascii="宋体" w:hAnsi="宋体" w:cs="新宋体"/>
          <w:szCs w:val="21"/>
        </w:rPr>
        <w:t>（二）初步评审；</w:t>
      </w:r>
    </w:p>
    <w:p>
      <w:pPr>
        <w:snapToGrid w:val="0"/>
        <w:spacing w:line="480" w:lineRule="exact"/>
        <w:ind w:firstLine="420" w:firstLineChars="200"/>
        <w:rPr>
          <w:rFonts w:ascii="宋体" w:hAnsi="宋体" w:cs="新宋体"/>
          <w:szCs w:val="21"/>
        </w:rPr>
      </w:pPr>
      <w:r>
        <w:rPr>
          <w:rFonts w:hint="eastAsia" w:ascii="宋体" w:hAnsi="宋体" w:cs="新宋体"/>
          <w:szCs w:val="21"/>
        </w:rPr>
        <w:t>（三）详细评审；</w:t>
      </w:r>
    </w:p>
    <w:p>
      <w:pPr>
        <w:snapToGrid w:val="0"/>
        <w:spacing w:line="480" w:lineRule="exact"/>
        <w:ind w:firstLine="420" w:firstLineChars="200"/>
        <w:rPr>
          <w:rFonts w:ascii="宋体" w:hAnsi="宋体" w:cs="新宋体"/>
          <w:szCs w:val="21"/>
        </w:rPr>
      </w:pPr>
      <w:r>
        <w:rPr>
          <w:rFonts w:hint="eastAsia" w:ascii="宋体" w:hAnsi="宋体" w:cs="新宋体"/>
          <w:szCs w:val="21"/>
        </w:rPr>
        <w:t>（四）问题的澄清、说明或补正；</w:t>
      </w:r>
    </w:p>
    <w:p>
      <w:pPr>
        <w:snapToGrid w:val="0"/>
        <w:spacing w:line="480" w:lineRule="exact"/>
        <w:ind w:firstLine="420" w:firstLineChars="200"/>
        <w:rPr>
          <w:rFonts w:ascii="宋体" w:hAnsi="宋体" w:cs="新宋体"/>
          <w:szCs w:val="21"/>
        </w:rPr>
      </w:pPr>
      <w:r>
        <w:rPr>
          <w:rFonts w:hint="eastAsia" w:ascii="宋体" w:hAnsi="宋体" w:cs="新宋体"/>
          <w:szCs w:val="21"/>
        </w:rPr>
        <w:t>（五）推荐中标候选人；</w:t>
      </w:r>
    </w:p>
    <w:p>
      <w:pPr>
        <w:snapToGrid w:val="0"/>
        <w:spacing w:line="480" w:lineRule="exact"/>
        <w:ind w:firstLine="420" w:firstLineChars="200"/>
        <w:rPr>
          <w:rFonts w:ascii="宋体" w:hAnsi="宋体"/>
          <w:szCs w:val="21"/>
        </w:rPr>
      </w:pPr>
      <w:r>
        <w:rPr>
          <w:rFonts w:hint="eastAsia" w:ascii="宋体" w:hAnsi="宋体"/>
          <w:szCs w:val="21"/>
        </w:rPr>
        <w:t>（六）评标现场宣布中标候选人确定结果并在指定媒体上进行公示。</w:t>
      </w:r>
    </w:p>
    <w:p>
      <w:pPr>
        <w:snapToGrid w:val="0"/>
        <w:spacing w:line="480" w:lineRule="exact"/>
        <w:ind w:firstLine="420" w:firstLineChars="200"/>
        <w:rPr>
          <w:rFonts w:ascii="宋体" w:hAnsi="宋体"/>
          <w:szCs w:val="21"/>
        </w:rPr>
      </w:pPr>
      <w:r>
        <w:rPr>
          <w:rFonts w:hint="eastAsia" w:ascii="宋体" w:hAnsi="宋体"/>
          <w:szCs w:val="21"/>
        </w:rPr>
        <w:t>五、清标</w:t>
      </w:r>
    </w:p>
    <w:p>
      <w:pPr>
        <w:snapToGrid w:val="0"/>
        <w:spacing w:line="480" w:lineRule="exact"/>
        <w:ind w:firstLine="422" w:firstLineChars="200"/>
        <w:rPr>
          <w:rFonts w:ascii="宋体" w:hAnsi="宋体" w:cs="新宋体"/>
          <w:szCs w:val="21"/>
        </w:rPr>
      </w:pPr>
      <w:r>
        <w:rPr>
          <w:rFonts w:hint="eastAsia" w:ascii="宋体" w:hAnsi="宋体"/>
          <w:b/>
          <w:szCs w:val="21"/>
        </w:rPr>
        <w:t>首先由评标委员会对投标文件进行基础性数据分析和整理（清标内容见下表），形成清标成果。</w:t>
      </w:r>
      <w:r>
        <w:rPr>
          <w:rFonts w:hint="eastAsia" w:ascii="宋体" w:hAnsi="宋体" w:cs="新宋体"/>
          <w:szCs w:val="21"/>
        </w:rPr>
        <w:t>出现否定事项的，评标委员会不再对其质询，直接作为无效标处理（但法律法规规定的细微偏差除外）。细微偏差是指投标文件基本上符合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评标委员会可否决其投标。</w:t>
      </w:r>
    </w:p>
    <w:p>
      <w:pPr>
        <w:snapToGrid w:val="0"/>
        <w:spacing w:line="480" w:lineRule="exact"/>
        <w:ind w:firstLine="420" w:firstLineChars="200"/>
        <w:rPr>
          <w:rFonts w:ascii="宋体" w:hAnsi="宋体" w:cs="新宋体"/>
          <w:szCs w:val="21"/>
        </w:rPr>
      </w:pPr>
      <w:r>
        <w:rPr>
          <w:rFonts w:hint="eastAsia" w:ascii="宋体" w:hAnsi="宋体" w:cs="新宋体"/>
          <w:szCs w:val="21"/>
        </w:rPr>
        <w:t>投标文件存在下列情形之一的，按废标处理：</w:t>
      </w:r>
    </w:p>
    <w:p>
      <w:pPr>
        <w:snapToGrid w:val="0"/>
        <w:spacing w:line="480" w:lineRule="exact"/>
        <w:ind w:firstLine="420" w:firstLineChars="200"/>
        <w:rPr>
          <w:rFonts w:ascii="宋体" w:hAnsi="宋体" w:cs="新宋体"/>
          <w:szCs w:val="21"/>
        </w:rPr>
      </w:pPr>
      <w:r>
        <w:rPr>
          <w:rFonts w:hint="eastAsia" w:ascii="宋体" w:hAnsi="宋体" w:cs="新宋体"/>
          <w:szCs w:val="21"/>
        </w:rPr>
        <w:t>1.未按招标文件规定编制各项报价的；</w:t>
      </w:r>
    </w:p>
    <w:p>
      <w:pPr>
        <w:snapToGrid w:val="0"/>
        <w:spacing w:line="480" w:lineRule="exact"/>
        <w:ind w:firstLine="420" w:firstLineChars="200"/>
        <w:rPr>
          <w:rFonts w:ascii="宋体" w:hAnsi="宋体" w:cs="新宋体"/>
          <w:szCs w:val="21"/>
        </w:rPr>
      </w:pPr>
      <w:r>
        <w:rPr>
          <w:rFonts w:hint="eastAsia" w:ascii="宋体" w:hAnsi="宋体" w:cs="新宋体"/>
          <w:szCs w:val="21"/>
        </w:rPr>
        <w:t>2.投标总报价与其组成部分、工程量清单项目合价与综合单价、综合单价与人材机用量相互矛盾，致使评标委员会无法正常评审判定的；</w:t>
      </w:r>
    </w:p>
    <w:p>
      <w:pPr>
        <w:snapToGrid w:val="0"/>
        <w:spacing w:line="480" w:lineRule="exact"/>
        <w:ind w:firstLine="420" w:firstLineChars="200"/>
        <w:rPr>
          <w:rFonts w:ascii="宋体" w:hAnsi="宋体" w:cs="新宋体"/>
          <w:szCs w:val="21"/>
        </w:rPr>
      </w:pPr>
      <w:r>
        <w:rPr>
          <w:rFonts w:hint="eastAsia" w:ascii="宋体" w:hAnsi="宋体" w:cs="新宋体"/>
          <w:szCs w:val="21"/>
        </w:rPr>
        <w:t>3.规费和安全文明施工费违反工程造价计价有关规定的；</w:t>
      </w:r>
    </w:p>
    <w:p>
      <w:pPr>
        <w:snapToGrid w:val="0"/>
        <w:spacing w:line="480" w:lineRule="exact"/>
        <w:ind w:firstLine="420" w:firstLineChars="200"/>
        <w:rPr>
          <w:rFonts w:ascii="宋体" w:hAnsi="宋体" w:cs="新宋体"/>
          <w:szCs w:val="21"/>
        </w:rPr>
      </w:pPr>
      <w:r>
        <w:rPr>
          <w:rFonts w:hint="eastAsia" w:ascii="宋体" w:hAnsi="宋体" w:cs="新宋体"/>
          <w:szCs w:val="21"/>
        </w:rPr>
        <w:t>4.分部分项工程项目、措施项目报价中的项目编码、项目名称、项目特征、计量单位和工程量与招标文件的清单不一致的；</w:t>
      </w:r>
    </w:p>
    <w:p>
      <w:pPr>
        <w:snapToGrid w:val="0"/>
        <w:spacing w:line="480" w:lineRule="exact"/>
        <w:ind w:firstLine="420" w:firstLineChars="200"/>
        <w:rPr>
          <w:rFonts w:ascii="宋体" w:hAnsi="宋体"/>
          <w:b/>
          <w:szCs w:val="21"/>
        </w:rPr>
      </w:pPr>
      <w:r>
        <w:rPr>
          <w:rFonts w:hint="eastAsia" w:ascii="宋体" w:hAnsi="宋体" w:cs="新宋体"/>
          <w:szCs w:val="21"/>
        </w:rPr>
        <w:t>5.未按照招标文件所列明的暂列金额、暂估价编制投标报价的。</w:t>
      </w:r>
    </w:p>
    <w:p>
      <w:pPr>
        <w:spacing w:line="440" w:lineRule="exact"/>
        <w:ind w:firstLine="482" w:firstLineChars="200"/>
        <w:rPr>
          <w:rFonts w:ascii="新宋体" w:hAnsi="新宋体" w:eastAsia="新宋体"/>
          <w:b/>
          <w:sz w:val="24"/>
        </w:rPr>
      </w:pPr>
      <w:r>
        <w:rPr>
          <w:rFonts w:hint="eastAsia" w:ascii="新宋体" w:hAnsi="新宋体" w:eastAsia="新宋体"/>
          <w:b/>
          <w:sz w:val="24"/>
        </w:rPr>
        <w:t>清标内容：</w:t>
      </w:r>
    </w:p>
    <w:tbl>
      <w:tblPr>
        <w:tblStyle w:val="56"/>
        <w:tblW w:w="9977" w:type="dxa"/>
        <w:jc w:val="center"/>
        <w:tblInd w:w="0" w:type="dxa"/>
        <w:tblLayout w:type="fixed"/>
        <w:tblCellMar>
          <w:top w:w="0" w:type="dxa"/>
          <w:left w:w="108" w:type="dxa"/>
          <w:bottom w:w="0" w:type="dxa"/>
          <w:right w:w="108" w:type="dxa"/>
        </w:tblCellMar>
      </w:tblPr>
      <w:tblGrid>
        <w:gridCol w:w="405"/>
        <w:gridCol w:w="548"/>
        <w:gridCol w:w="3429"/>
        <w:gridCol w:w="4442"/>
        <w:gridCol w:w="586"/>
        <w:gridCol w:w="567"/>
      </w:tblGrid>
      <w:tr>
        <w:tblPrEx>
          <w:tblLayout w:type="fixed"/>
          <w:tblCellMar>
            <w:top w:w="0" w:type="dxa"/>
            <w:left w:w="108" w:type="dxa"/>
            <w:bottom w:w="0" w:type="dxa"/>
            <w:right w:w="108" w:type="dxa"/>
          </w:tblCellMar>
        </w:tblPrEx>
        <w:trPr>
          <w:trHeight w:val="282" w:hRule="atLeast"/>
          <w:jc w:val="center"/>
        </w:trPr>
        <w:tc>
          <w:tcPr>
            <w:tcW w:w="95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序号</w:t>
            </w:r>
          </w:p>
        </w:tc>
        <w:tc>
          <w:tcPr>
            <w:tcW w:w="3429"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清标内容</w:t>
            </w:r>
          </w:p>
        </w:tc>
        <w:tc>
          <w:tcPr>
            <w:tcW w:w="1153" w:type="dxa"/>
            <w:gridSpan w:val="2"/>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清标结果</w:t>
            </w:r>
          </w:p>
        </w:tc>
      </w:tr>
      <w:tr>
        <w:tblPrEx>
          <w:tblLayout w:type="fixed"/>
          <w:tblCellMar>
            <w:top w:w="0" w:type="dxa"/>
            <w:left w:w="108" w:type="dxa"/>
            <w:bottom w:w="0" w:type="dxa"/>
            <w:right w:w="108" w:type="dxa"/>
          </w:tblCellMar>
        </w:tblPrEx>
        <w:trPr>
          <w:trHeight w:val="204" w:hRule="atLeast"/>
          <w:jc w:val="center"/>
        </w:trPr>
        <w:tc>
          <w:tcPr>
            <w:tcW w:w="95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b/>
                <w:bCs/>
                <w:kern w:val="0"/>
                <w:szCs w:val="21"/>
              </w:rPr>
            </w:pPr>
          </w:p>
        </w:tc>
        <w:tc>
          <w:tcPr>
            <w:tcW w:w="3429"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kern w:val="0"/>
                <w:szCs w:val="21"/>
              </w:rPr>
            </w:pPr>
          </w:p>
        </w:tc>
        <w:tc>
          <w:tcPr>
            <w:tcW w:w="4442"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kern w:val="0"/>
                <w:szCs w:val="21"/>
              </w:rPr>
            </w:pP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b/>
                <w:bCs/>
                <w:kern w:val="0"/>
                <w:szCs w:val="21"/>
              </w:rPr>
            </w:pPr>
            <w:r>
              <w:rPr>
                <w:rFonts w:hint="eastAsia"/>
                <w:b/>
                <w:bCs/>
                <w:kern w:val="0"/>
                <w:szCs w:val="21"/>
              </w:rPr>
              <w:t>是</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b/>
                <w:bCs/>
                <w:kern w:val="0"/>
                <w:szCs w:val="21"/>
              </w:rPr>
            </w:pPr>
            <w:r>
              <w:rPr>
                <w:rFonts w:hint="eastAsia"/>
                <w:b/>
                <w:bCs/>
                <w:kern w:val="0"/>
                <w:szCs w:val="21"/>
              </w:rPr>
              <w:t>否</w:t>
            </w: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1</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项目总报价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是否等于各单项工程造价之和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单项工程费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是否等于各单位工程造价之和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单位工程费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2</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240" w:lineRule="exact"/>
              <w:ind w:left="186" w:hanging="186" w:hangingChars="100"/>
              <w:rPr>
                <w:spacing w:val="-12"/>
                <w:kern w:val="0"/>
                <w:szCs w:val="21"/>
              </w:rPr>
            </w:pPr>
            <w:r>
              <w:rPr>
                <w:rFonts w:hint="eastAsia"/>
                <w:spacing w:val="-12"/>
                <w:kern w:val="0"/>
                <w:szCs w:val="21"/>
              </w:rPr>
              <w:t>是否等于各分部分项清单（含单价措施项目）费之和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2.6</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2.7</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2.8</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材料单价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3</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3.1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3.2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根据招标文件要求自主报价</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4</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其它项目费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暂列金额</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应与招标人价格一致</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应与招标人价格一致</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计日工</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应与招标人数量一致</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总承包服务费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是否按招标文件要求计算</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5</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规费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6</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增值税</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71"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7</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7871" w:type="dxa"/>
            <w:gridSpan w:val="2"/>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不违反法律、法规、规章、规范性文件规定的其它情况</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bl>
    <w:p>
      <w:pPr>
        <w:spacing w:line="480" w:lineRule="exact"/>
        <w:ind w:firstLine="422" w:firstLineChars="200"/>
        <w:rPr>
          <w:rFonts w:ascii="宋体" w:hAnsi="宋体" w:cs="仿宋_GB2312"/>
          <w:b/>
          <w:szCs w:val="21"/>
        </w:rPr>
      </w:pPr>
      <w:r>
        <w:rPr>
          <w:rFonts w:hint="eastAsia" w:ascii="宋体" w:hAnsi="宋体" w:cs="仿宋_GB2312"/>
          <w:b/>
          <w:szCs w:val="21"/>
        </w:rPr>
        <w:t>注：不在上述范围内且不具有实质性影响的内容，均不能作为清标的依据或理由。</w:t>
      </w:r>
    </w:p>
    <w:p>
      <w:pPr>
        <w:spacing w:line="480" w:lineRule="exact"/>
        <w:ind w:firstLine="422" w:firstLineChars="200"/>
        <w:rPr>
          <w:rFonts w:ascii="宋体" w:hAnsi="宋体" w:cs="仿宋_GB2312"/>
          <w:b/>
          <w:szCs w:val="21"/>
        </w:rPr>
      </w:pPr>
      <w:r>
        <w:rPr>
          <w:rFonts w:hint="eastAsia" w:ascii="宋体" w:hAnsi="宋体" w:cs="仿宋_GB2312"/>
          <w:b/>
          <w:szCs w:val="21"/>
        </w:rPr>
        <w:t>（1）“规费和税金”的规定按照住建部《建设工程工程量清单计价规范》（</w:t>
      </w:r>
      <w:r>
        <w:rPr>
          <w:rFonts w:ascii="宋体" w:hAnsi="宋体" w:cs="仿宋_GB2312"/>
          <w:b/>
          <w:szCs w:val="21"/>
        </w:rPr>
        <w:t>GB50500-2013</w:t>
      </w:r>
      <w:r>
        <w:rPr>
          <w:rFonts w:hint="eastAsia" w:ascii="宋体" w:hAnsi="宋体" w:cs="仿宋_GB2312"/>
          <w:b/>
          <w:szCs w:val="21"/>
        </w:rPr>
        <w:t>）及省住建厅有关规定，规费和税金应按规定费（税）率足额计取，即费（税）率不可竞争。规费、税金、安全文明施工措施费计入投标总报价，并在投标函、投标函附录中单列，不参与商务标评审。</w:t>
      </w:r>
    </w:p>
    <w:p>
      <w:pPr>
        <w:spacing w:line="480" w:lineRule="exact"/>
        <w:ind w:firstLine="422" w:firstLineChars="200"/>
        <w:rPr>
          <w:rFonts w:ascii="宋体" w:hAnsi="宋体" w:cs="仿宋_GB2312"/>
          <w:b/>
          <w:szCs w:val="21"/>
        </w:rPr>
      </w:pPr>
      <w:r>
        <w:rPr>
          <w:rFonts w:hint="eastAsia" w:ascii="宋体" w:hAnsi="宋体" w:cs="仿宋_GB2312"/>
          <w:b/>
          <w:szCs w:val="21"/>
        </w:rPr>
        <w:t>（2）根据《关于调整河南省建设工程安全文明施工措施费计取办法的通知》（豫建设标【</w:t>
      </w:r>
      <w:r>
        <w:rPr>
          <w:rFonts w:ascii="宋体" w:hAnsi="宋体" w:cs="仿宋_GB2312"/>
          <w:b/>
          <w:szCs w:val="21"/>
        </w:rPr>
        <w:t>2014</w:t>
      </w:r>
      <w:r>
        <w:rPr>
          <w:rFonts w:hint="eastAsia" w:ascii="宋体" w:hAnsi="宋体" w:cs="仿宋_GB2312"/>
          <w:b/>
          <w:szCs w:val="21"/>
        </w:rPr>
        <w:t>】</w:t>
      </w:r>
      <w:r>
        <w:rPr>
          <w:rFonts w:ascii="宋体" w:hAnsi="宋体" w:cs="仿宋_GB2312"/>
          <w:b/>
          <w:szCs w:val="21"/>
        </w:rPr>
        <w:t>57</w:t>
      </w:r>
      <w:r>
        <w:rPr>
          <w:rFonts w:hint="eastAsia" w:ascii="宋体" w:hAnsi="宋体" w:cs="仿宋_GB2312"/>
          <w:b/>
          <w:szCs w:val="21"/>
        </w:rPr>
        <w:t>号）规定，“安全文明施工措施费”是不可竞争费，即费率不可竞争；投标人编制投标报价时，应按省级主管部门规定的计价标准计取；</w:t>
      </w:r>
    </w:p>
    <w:p>
      <w:pPr>
        <w:spacing w:line="480" w:lineRule="exact"/>
        <w:ind w:firstLine="422" w:firstLineChars="200"/>
        <w:rPr>
          <w:rFonts w:ascii="宋体" w:hAnsi="宋体" w:cs="仿宋_GB2312"/>
          <w:b/>
          <w:szCs w:val="21"/>
        </w:rPr>
      </w:pPr>
      <w:r>
        <w:rPr>
          <w:rFonts w:hint="eastAsia" w:ascii="宋体" w:hAnsi="宋体" w:cs="仿宋_GB2312"/>
          <w:b/>
          <w:szCs w:val="21"/>
        </w:rPr>
        <w:t>（3）投标人编制投标报价时，同一投标文件综合工日应前后保持一致。</w:t>
      </w:r>
    </w:p>
    <w:p>
      <w:pPr>
        <w:spacing w:line="480" w:lineRule="exact"/>
        <w:ind w:firstLine="422" w:firstLineChars="200"/>
        <w:rPr>
          <w:rFonts w:ascii="宋体" w:hAnsi="宋体"/>
          <w:b/>
          <w:szCs w:val="21"/>
        </w:rPr>
      </w:pPr>
      <w:r>
        <w:rPr>
          <w:rFonts w:hint="eastAsia" w:ascii="宋体" w:hAnsi="宋体"/>
          <w:b/>
          <w:szCs w:val="21"/>
        </w:rPr>
        <w:t>六、初步评审</w:t>
      </w:r>
    </w:p>
    <w:p>
      <w:pPr>
        <w:spacing w:line="480" w:lineRule="exact"/>
        <w:ind w:firstLine="420" w:firstLineChars="200"/>
        <w:rPr>
          <w:rFonts w:ascii="宋体" w:hAnsi="宋体"/>
          <w:szCs w:val="21"/>
        </w:rPr>
      </w:pPr>
      <w:r>
        <w:rPr>
          <w:rFonts w:hint="eastAsia" w:ascii="宋体" w:hAnsi="宋体"/>
          <w:szCs w:val="21"/>
        </w:rPr>
        <w:t>初步评审是指评标委员会按招标文件要求对所有投标文件真实性、符合性、响应性和重大偏差逐一评审，经审查不符合招标文件要求的，不再进入详细评审阶段。初步评审主要包括以下内容：</w:t>
      </w:r>
    </w:p>
    <w:tbl>
      <w:tblPr>
        <w:tblStyle w:val="57"/>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w:t>
            </w:r>
            <w:r>
              <w:rPr>
                <w:rFonts w:ascii="宋体" w:hAnsi="宋体" w:eastAsia="等线" w:cs="新宋体"/>
                <w:szCs w:val="21"/>
              </w:rPr>
              <w:t>1</w:t>
            </w:r>
            <w:r>
              <w:rPr>
                <w:rFonts w:hint="eastAsia" w:ascii="宋体" w:hAnsi="宋体" w:eastAsia="等线" w:cs="新宋体"/>
                <w:szCs w:val="21"/>
              </w:rPr>
              <w:t>）投标文件是否按招标文件要求签字盖章；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（2）投标联合体是否提交共同投标协议（允许联合体投标的）；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（3）投标人是否符合国家或者招标文件规定的资格条件，注册建造师注册单位与投标人是否一致；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（4）同一投标人是否提交两个以上不同的投标文件或者投标报价，但招标文件要求提交备选投标的除外；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（5）投标报价是否高于招标文件设定的最高投标限价；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（6）</w:t>
            </w:r>
            <w:r>
              <w:rPr>
                <w:rFonts w:hint="eastAsia" w:ascii="宋体" w:hAnsi="宋体" w:eastAsia="等线" w:cs="新宋体"/>
                <w:color w:val="000000" w:themeColor="text1"/>
                <w:szCs w:val="21"/>
              </w:rPr>
              <w:t>投标范围、工期、工程质量、投标有效期、付款方式是否符</w:t>
            </w:r>
            <w:r>
              <w:rPr>
                <w:rFonts w:hint="eastAsia" w:ascii="宋体" w:hAnsi="宋体" w:eastAsia="等线" w:cs="新宋体"/>
                <w:szCs w:val="21"/>
              </w:rPr>
              <w:t>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（7）投标人是否有串通投标、弄虚作假、行贿等违法行为。</w:t>
            </w:r>
          </w:p>
        </w:tc>
      </w:tr>
    </w:tbl>
    <w:p>
      <w:pPr>
        <w:snapToGrid w:val="0"/>
        <w:spacing w:line="480" w:lineRule="exact"/>
        <w:ind w:firstLine="422" w:firstLineChars="200"/>
        <w:rPr>
          <w:rFonts w:ascii="宋体" w:hAnsi="宋体" w:cs="宋体"/>
          <w:b/>
          <w:szCs w:val="21"/>
        </w:rPr>
      </w:pPr>
      <w:r>
        <w:rPr>
          <w:rFonts w:hint="eastAsia" w:ascii="宋体" w:hAnsi="宋体" w:cs="宋体"/>
          <w:b/>
          <w:szCs w:val="21"/>
        </w:rPr>
        <w:t>初步评审经审查后应写出评审意见。</w:t>
      </w:r>
    </w:p>
    <w:p>
      <w:pPr>
        <w:snapToGrid w:val="0"/>
        <w:spacing w:line="480" w:lineRule="exact"/>
        <w:ind w:firstLine="422" w:firstLineChars="200"/>
        <w:rPr>
          <w:rFonts w:ascii="宋体" w:hAnsi="宋体" w:cs="宋体"/>
          <w:b/>
          <w:szCs w:val="21"/>
        </w:rPr>
      </w:pPr>
      <w:r>
        <w:rPr>
          <w:rFonts w:hint="eastAsia" w:ascii="宋体" w:hAnsi="宋体" w:cs="宋体"/>
          <w:b/>
          <w:szCs w:val="21"/>
        </w:rPr>
        <w:t>七、详细评审</w:t>
      </w:r>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7"/>
        <w:gridCol w:w="1262"/>
        <w:gridCol w:w="1147"/>
        <w:gridCol w:w="926"/>
        <w:gridCol w:w="433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1796" w:type="dxa"/>
            <w:gridSpan w:val="3"/>
            <w:vAlign w:val="center"/>
          </w:tcPr>
          <w:p>
            <w:pPr>
              <w:snapToGrid w:val="0"/>
              <w:spacing w:line="480" w:lineRule="exact"/>
              <w:jc w:val="center"/>
              <w:rPr>
                <w:rFonts w:ascii="宋体" w:hAnsi="宋体" w:eastAsia="等线" w:cs="宋体"/>
                <w:b/>
                <w:bCs/>
                <w:szCs w:val="21"/>
              </w:rPr>
            </w:pPr>
            <w:r>
              <w:rPr>
                <w:rFonts w:hint="eastAsia" w:ascii="宋体" w:hAnsi="宋体" w:eastAsia="等线" w:cs="宋体"/>
                <w:b/>
                <w:bCs/>
                <w:szCs w:val="21"/>
              </w:rPr>
              <w:t>分值构成</w:t>
            </w:r>
          </w:p>
          <w:p>
            <w:pPr>
              <w:snapToGrid w:val="0"/>
              <w:spacing w:line="480" w:lineRule="exact"/>
              <w:jc w:val="center"/>
              <w:rPr>
                <w:rFonts w:ascii="宋体" w:hAnsi="宋体" w:eastAsia="等线" w:cs="宋体"/>
                <w:b/>
                <w:bCs/>
                <w:szCs w:val="21"/>
              </w:rPr>
            </w:pPr>
            <w:r>
              <w:rPr>
                <w:rFonts w:hint="eastAsia" w:ascii="宋体" w:hAnsi="宋体" w:eastAsia="等线" w:cs="宋体"/>
                <w:b/>
                <w:bCs/>
                <w:szCs w:val="21"/>
              </w:rPr>
              <w:t>(总分100分)</w:t>
            </w:r>
          </w:p>
        </w:tc>
        <w:tc>
          <w:tcPr>
            <w:tcW w:w="7951" w:type="dxa"/>
            <w:gridSpan w:val="4"/>
            <w:vAlign w:val="center"/>
          </w:tcPr>
          <w:p>
            <w:pPr>
              <w:snapToGrid w:val="0"/>
              <w:spacing w:line="360" w:lineRule="auto"/>
              <w:rPr>
                <w:rFonts w:ascii="宋体" w:hAnsi="宋体" w:eastAsia="等线" w:cs="宋体"/>
                <w:szCs w:val="21"/>
              </w:rPr>
            </w:pPr>
            <w:r>
              <w:rPr>
                <w:rFonts w:hint="eastAsia" w:ascii="宋体" w:hAnsi="宋体" w:eastAsia="等线" w:cs="宋体"/>
                <w:szCs w:val="21"/>
              </w:rPr>
              <w:t>1.技术标（25分）</w:t>
            </w:r>
          </w:p>
          <w:p>
            <w:pPr>
              <w:snapToGrid w:val="0"/>
              <w:spacing w:line="360" w:lineRule="auto"/>
              <w:rPr>
                <w:rFonts w:ascii="宋体" w:hAnsi="宋体" w:eastAsia="等线" w:cs="宋体"/>
                <w:szCs w:val="21"/>
              </w:rPr>
            </w:pPr>
            <w:r>
              <w:rPr>
                <w:rFonts w:ascii="宋体" w:hAnsi="宋体" w:eastAsia="等线" w:cs="宋体"/>
                <w:szCs w:val="21"/>
              </w:rPr>
              <w:t>2</w:t>
            </w:r>
            <w:r>
              <w:rPr>
                <w:rFonts w:hint="eastAsia" w:ascii="宋体" w:hAnsi="宋体" w:eastAsia="等线" w:cs="宋体"/>
                <w:szCs w:val="21"/>
              </w:rPr>
              <w:t>.商务标（50分）</w:t>
            </w:r>
          </w:p>
          <w:p>
            <w:pPr>
              <w:snapToGrid w:val="0"/>
              <w:spacing w:line="360" w:lineRule="auto"/>
              <w:rPr>
                <w:rFonts w:ascii="宋体" w:hAnsi="宋体" w:eastAsia="等线" w:cs="宋体"/>
                <w:szCs w:val="21"/>
              </w:rPr>
            </w:pPr>
            <w:r>
              <w:rPr>
                <w:rFonts w:hint="eastAsia" w:ascii="宋体" w:hAnsi="宋体" w:eastAsia="等线" w:cs="宋体"/>
                <w:szCs w:val="21"/>
              </w:rPr>
              <w:t>3.综合标（25分）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9747" w:type="dxa"/>
            <w:gridSpan w:val="7"/>
            <w:vAlign w:val="center"/>
          </w:tcPr>
          <w:p>
            <w:pPr>
              <w:jc w:val="left"/>
              <w:rPr>
                <w:rFonts w:ascii="等线" w:hAnsi="等线" w:eastAsia="等线"/>
                <w:szCs w:val="21"/>
              </w:rPr>
            </w:pPr>
            <w:r>
              <w:rPr>
                <w:rFonts w:hint="eastAsia" w:ascii="等线" w:hAnsi="等线" w:eastAsia="等线"/>
                <w:b/>
                <w:szCs w:val="21"/>
              </w:rPr>
              <w:t>（一）技术标的主要内容及评标分值：25分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Align w:val="center"/>
          </w:tcPr>
          <w:p>
            <w:pPr>
              <w:jc w:val="center"/>
              <w:rPr>
                <w:rFonts w:ascii="等线" w:hAnsi="等线" w:eastAsia="等线"/>
                <w:szCs w:val="21"/>
              </w:rPr>
            </w:pPr>
            <w:r>
              <w:rPr>
                <w:rFonts w:hint="eastAsia" w:ascii="等线" w:hAnsi="等线" w:eastAsia="等线"/>
                <w:szCs w:val="21"/>
              </w:rPr>
              <w:t>序号</w:t>
            </w:r>
          </w:p>
        </w:tc>
        <w:tc>
          <w:tcPr>
            <w:tcW w:w="1369" w:type="dxa"/>
            <w:gridSpan w:val="2"/>
            <w:vAlign w:val="center"/>
          </w:tcPr>
          <w:p>
            <w:pPr>
              <w:jc w:val="center"/>
              <w:rPr>
                <w:rFonts w:ascii="等线" w:hAnsi="等线" w:eastAsia="等线"/>
                <w:szCs w:val="21"/>
              </w:rPr>
            </w:pPr>
            <w:r>
              <w:rPr>
                <w:rFonts w:hint="eastAsia" w:ascii="等线" w:hAnsi="等线" w:eastAsia="等线"/>
                <w:szCs w:val="21"/>
              </w:rPr>
              <w:t>内容</w:t>
            </w:r>
          </w:p>
        </w:tc>
        <w:tc>
          <w:tcPr>
            <w:tcW w:w="1147" w:type="dxa"/>
            <w:vAlign w:val="center"/>
          </w:tcPr>
          <w:p>
            <w:pPr>
              <w:jc w:val="center"/>
              <w:rPr>
                <w:rFonts w:ascii="等线" w:hAnsi="等线" w:eastAsia="等线"/>
                <w:szCs w:val="21"/>
              </w:rPr>
            </w:pPr>
            <w:r>
              <w:rPr>
                <w:rFonts w:hint="eastAsia" w:ascii="等线" w:hAnsi="等线" w:eastAsia="等线"/>
                <w:szCs w:val="21"/>
              </w:rPr>
              <w:t>分值</w:t>
            </w:r>
          </w:p>
        </w:tc>
        <w:tc>
          <w:tcPr>
            <w:tcW w:w="5260" w:type="dxa"/>
            <w:gridSpan w:val="2"/>
            <w:vAlign w:val="center"/>
          </w:tcPr>
          <w:p>
            <w:pPr>
              <w:jc w:val="center"/>
              <w:rPr>
                <w:rFonts w:ascii="等线" w:hAnsi="等线" w:eastAsia="等线"/>
                <w:szCs w:val="21"/>
              </w:rPr>
            </w:pPr>
            <w:r>
              <w:rPr>
                <w:rFonts w:hint="eastAsia" w:ascii="等线" w:hAnsi="等线" w:eastAsia="等线"/>
                <w:szCs w:val="21"/>
              </w:rPr>
              <w:t>评审标准</w:t>
            </w:r>
          </w:p>
        </w:tc>
        <w:tc>
          <w:tcPr>
            <w:tcW w:w="1544" w:type="dxa"/>
            <w:vAlign w:val="center"/>
          </w:tcPr>
          <w:p>
            <w:pPr>
              <w:jc w:val="center"/>
              <w:rPr>
                <w:rFonts w:ascii="等线" w:hAnsi="等线" w:eastAsia="等线"/>
                <w:szCs w:val="21"/>
              </w:rPr>
            </w:pPr>
            <w:r>
              <w:rPr>
                <w:rFonts w:hint="eastAsia" w:ascii="等线" w:hAnsi="等线" w:eastAsia="等线"/>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jc w:val="center"/>
              <w:rPr>
                <w:rFonts w:ascii="等线" w:hAnsi="等线" w:eastAsia="等线"/>
                <w:szCs w:val="21"/>
              </w:rPr>
            </w:pPr>
            <w:r>
              <w:rPr>
                <w:rFonts w:ascii="等线" w:hAnsi="等线" w:eastAsia="等线"/>
                <w:szCs w:val="21"/>
              </w:rPr>
              <w:t>1</w:t>
            </w:r>
          </w:p>
        </w:tc>
        <w:tc>
          <w:tcPr>
            <w:tcW w:w="1369" w:type="dxa"/>
            <w:gridSpan w:val="2"/>
            <w:vMerge w:val="restart"/>
            <w:vAlign w:val="center"/>
          </w:tcPr>
          <w:p>
            <w:pPr>
              <w:jc w:val="left"/>
              <w:rPr>
                <w:rFonts w:ascii="等线" w:hAnsi="等线" w:eastAsia="等线"/>
                <w:szCs w:val="21"/>
              </w:rPr>
            </w:pPr>
            <w:r>
              <w:rPr>
                <w:rFonts w:hint="eastAsia" w:ascii="等线" w:hAnsi="等线" w:eastAsia="等线"/>
                <w:szCs w:val="21"/>
              </w:rPr>
              <w:t>内容完整性</w:t>
            </w:r>
          </w:p>
        </w:tc>
        <w:tc>
          <w:tcPr>
            <w:tcW w:w="1147" w:type="dxa"/>
            <w:vMerge w:val="restart"/>
            <w:vAlign w:val="center"/>
          </w:tcPr>
          <w:p>
            <w:pPr>
              <w:jc w:val="center"/>
              <w:rPr>
                <w:rFonts w:ascii="等线" w:hAnsi="等线" w:eastAsia="等线"/>
                <w:szCs w:val="21"/>
              </w:rPr>
            </w:pPr>
            <w:r>
              <w:rPr>
                <w:rFonts w:ascii="等线" w:hAnsi="等线" w:eastAsia="等线"/>
                <w:szCs w:val="21"/>
              </w:rPr>
              <w:t>0-0.5</w:t>
            </w:r>
            <w:r>
              <w:rPr>
                <w:rFonts w:hint="eastAsia" w:ascii="等线" w:hAnsi="等线" w:eastAsia="等线"/>
                <w:szCs w:val="21"/>
              </w:rPr>
              <w:t>分</w:t>
            </w:r>
          </w:p>
        </w:tc>
        <w:tc>
          <w:tcPr>
            <w:tcW w:w="5260" w:type="dxa"/>
            <w:gridSpan w:val="2"/>
            <w:vAlign w:val="center"/>
          </w:tcPr>
          <w:p>
            <w:pPr>
              <w:jc w:val="left"/>
              <w:rPr>
                <w:rFonts w:ascii="等线" w:hAnsi="等线" w:eastAsia="等线"/>
                <w:szCs w:val="21"/>
              </w:rPr>
            </w:pPr>
            <w:r>
              <w:rPr>
                <w:rFonts w:hint="eastAsia" w:ascii="等线" w:hAnsi="等线" w:eastAsia="等线"/>
                <w:szCs w:val="21"/>
              </w:rPr>
              <w:t>技术标的主要内容具有完整性，符合招标文件的要求。</w:t>
            </w:r>
          </w:p>
        </w:tc>
        <w:tc>
          <w:tcPr>
            <w:tcW w:w="1544" w:type="dxa"/>
            <w:vAlign w:val="center"/>
          </w:tcPr>
          <w:p>
            <w:pPr>
              <w:jc w:val="center"/>
              <w:rPr>
                <w:rFonts w:ascii="等线" w:hAnsi="等线" w:eastAsia="等线"/>
                <w:szCs w:val="21"/>
              </w:rPr>
            </w:pPr>
            <w:r>
              <w:rPr>
                <w:rFonts w:ascii="等线" w:hAnsi="等线" w:eastAsia="等线"/>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技术标不符合招标文件要求。</w:t>
            </w:r>
          </w:p>
        </w:tc>
        <w:tc>
          <w:tcPr>
            <w:tcW w:w="1544" w:type="dxa"/>
            <w:vAlign w:val="center"/>
          </w:tcPr>
          <w:p>
            <w:pPr>
              <w:jc w:val="center"/>
              <w:rPr>
                <w:rFonts w:ascii="等线" w:hAnsi="等线" w:eastAsia="等线"/>
                <w:szCs w:val="21"/>
              </w:rPr>
            </w:pPr>
            <w:r>
              <w:rPr>
                <w:rFonts w:ascii="等线" w:hAnsi="等线" w:eastAsia="等线"/>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jc w:val="center"/>
              <w:rPr>
                <w:rFonts w:ascii="等线" w:hAnsi="等线" w:eastAsia="等线"/>
                <w:szCs w:val="21"/>
              </w:rPr>
            </w:pPr>
            <w:r>
              <w:rPr>
                <w:rFonts w:ascii="等线" w:hAnsi="等线" w:eastAsia="等线"/>
                <w:szCs w:val="21"/>
              </w:rPr>
              <w:t>2</w:t>
            </w:r>
          </w:p>
        </w:tc>
        <w:tc>
          <w:tcPr>
            <w:tcW w:w="1369" w:type="dxa"/>
            <w:gridSpan w:val="2"/>
            <w:vMerge w:val="restart"/>
            <w:vAlign w:val="center"/>
          </w:tcPr>
          <w:p>
            <w:pPr>
              <w:jc w:val="left"/>
              <w:rPr>
                <w:rFonts w:ascii="等线" w:hAnsi="等线" w:eastAsia="等线"/>
                <w:szCs w:val="21"/>
              </w:rPr>
            </w:pPr>
            <w:r>
              <w:rPr>
                <w:rFonts w:hint="eastAsia" w:ascii="等线" w:hAnsi="等线" w:eastAsia="等线"/>
                <w:szCs w:val="21"/>
              </w:rPr>
              <w:t>主要施工方案与技术措施</w:t>
            </w:r>
          </w:p>
        </w:tc>
        <w:tc>
          <w:tcPr>
            <w:tcW w:w="1147" w:type="dxa"/>
            <w:vMerge w:val="restart"/>
            <w:vAlign w:val="center"/>
          </w:tcPr>
          <w:p>
            <w:pPr>
              <w:jc w:val="center"/>
              <w:rPr>
                <w:rFonts w:ascii="等线" w:hAnsi="等线" w:eastAsia="等线"/>
                <w:szCs w:val="21"/>
              </w:rPr>
            </w:pPr>
            <w:r>
              <w:rPr>
                <w:rFonts w:ascii="等线" w:hAnsi="等线" w:eastAsia="等线"/>
                <w:szCs w:val="21"/>
              </w:rPr>
              <w:t>1-3</w:t>
            </w:r>
            <w:r>
              <w:rPr>
                <w:rFonts w:hint="eastAsia" w:ascii="等线" w:hAnsi="等线" w:eastAsia="等线"/>
                <w:szCs w:val="21"/>
              </w:rPr>
              <w:t>分</w:t>
            </w:r>
          </w:p>
        </w:tc>
        <w:tc>
          <w:tcPr>
            <w:tcW w:w="5260" w:type="dxa"/>
            <w:gridSpan w:val="2"/>
            <w:vAlign w:val="center"/>
          </w:tcPr>
          <w:p>
            <w:pPr>
              <w:jc w:val="left"/>
              <w:rPr>
                <w:rFonts w:ascii="等线" w:hAnsi="等线" w:eastAsia="等线"/>
                <w:szCs w:val="21"/>
              </w:rPr>
            </w:pPr>
            <w:r>
              <w:rPr>
                <w:rFonts w:hint="eastAsia" w:ascii="等线" w:hAnsi="等线" w:eastAsia="等线"/>
                <w:szCs w:val="21"/>
              </w:rPr>
              <w:t>施工方案（含工程特点、施工重点与难点及绿色施工）总体安排合理，运用先进、合理的施工工艺、施工机械；对施工难点有先进和合理的建议。</w:t>
            </w:r>
          </w:p>
        </w:tc>
        <w:tc>
          <w:tcPr>
            <w:tcW w:w="1544" w:type="dxa"/>
            <w:vAlign w:val="center"/>
          </w:tcPr>
          <w:p>
            <w:pPr>
              <w:jc w:val="center"/>
              <w:rPr>
                <w:rFonts w:ascii="等线" w:hAnsi="等线" w:eastAsia="等线"/>
                <w:szCs w:val="21"/>
              </w:rPr>
            </w:pPr>
            <w:r>
              <w:rPr>
                <w:rFonts w:ascii="等线" w:hAnsi="等线" w:eastAsia="等线"/>
                <w:szCs w:val="21"/>
              </w:rPr>
              <w:t>2</w:t>
            </w:r>
            <w:r>
              <w:rPr>
                <w:rFonts w:hint="eastAsia" w:ascii="等线" w:hAnsi="等线" w:eastAsia="等线"/>
                <w:szCs w:val="21"/>
              </w:rPr>
              <w:t>＜得分</w:t>
            </w:r>
            <w:r>
              <w:rPr>
                <w:rFonts w:ascii="等线" w:hAnsi="等线" w:eastAsia="等线"/>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施工方案（含工程特点、施工重点与难点及绿色施工）总体安排合理，施工工艺、施工机械合理、可行；对施工难点有合理的建议。</w:t>
            </w:r>
          </w:p>
        </w:tc>
        <w:tc>
          <w:tcPr>
            <w:tcW w:w="1544" w:type="dxa"/>
            <w:vAlign w:val="center"/>
          </w:tcPr>
          <w:p>
            <w:pPr>
              <w:jc w:val="center"/>
              <w:rPr>
                <w:rFonts w:ascii="等线" w:hAnsi="等线" w:eastAsia="等线"/>
                <w:szCs w:val="21"/>
              </w:rPr>
            </w:pPr>
            <w:r>
              <w:rPr>
                <w:rFonts w:ascii="等线" w:hAnsi="等线" w:eastAsia="等线"/>
                <w:szCs w:val="21"/>
              </w:rPr>
              <w:t xml:space="preserve"> 1≤</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jc w:val="center"/>
              <w:rPr>
                <w:rFonts w:ascii="等线" w:hAnsi="等线" w:eastAsia="等线"/>
                <w:szCs w:val="21"/>
              </w:rPr>
            </w:pPr>
            <w:r>
              <w:rPr>
                <w:rFonts w:ascii="等线" w:hAnsi="等线" w:eastAsia="等线"/>
                <w:szCs w:val="21"/>
              </w:rPr>
              <w:t>3</w:t>
            </w:r>
          </w:p>
        </w:tc>
        <w:tc>
          <w:tcPr>
            <w:tcW w:w="1369" w:type="dxa"/>
            <w:gridSpan w:val="2"/>
            <w:vMerge w:val="restart"/>
            <w:vAlign w:val="center"/>
          </w:tcPr>
          <w:p>
            <w:pPr>
              <w:jc w:val="left"/>
              <w:rPr>
                <w:rFonts w:ascii="等线" w:hAnsi="等线" w:eastAsia="等线"/>
                <w:szCs w:val="21"/>
              </w:rPr>
            </w:pPr>
            <w:r>
              <w:rPr>
                <w:rFonts w:hint="eastAsia" w:ascii="等线" w:hAnsi="等线" w:eastAsia="等线"/>
                <w:szCs w:val="21"/>
              </w:rPr>
              <w:t>质量管理体系与措施</w:t>
            </w:r>
          </w:p>
        </w:tc>
        <w:tc>
          <w:tcPr>
            <w:tcW w:w="1147" w:type="dxa"/>
            <w:vMerge w:val="restart"/>
            <w:vAlign w:val="center"/>
          </w:tcPr>
          <w:p>
            <w:pPr>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360" w:lineRule="exact"/>
              <w:jc w:val="left"/>
              <w:rPr>
                <w:rFonts w:ascii="等线" w:hAnsi="等线" w:eastAsia="等线"/>
                <w:szCs w:val="21"/>
              </w:rPr>
            </w:pPr>
            <w:r>
              <w:rPr>
                <w:rFonts w:hint="eastAsia" w:ascii="等线" w:hAnsi="等线" w:eastAsia="等线"/>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44" w:type="dxa"/>
            <w:vAlign w:val="center"/>
          </w:tcPr>
          <w:p>
            <w:pPr>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组织机构形式基本合理，指挥系统、质量监控系统、联络协调系统，具体措施可行。主体结构质量保证措施经济、安全、基本可行。主体结构、装饰装修符合工程建设强制性标准，不得偷工减料。</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jc w:val="center"/>
              <w:rPr>
                <w:rFonts w:ascii="等线" w:hAnsi="等线" w:eastAsia="等线"/>
                <w:szCs w:val="21"/>
              </w:rPr>
            </w:pPr>
            <w:r>
              <w:rPr>
                <w:rFonts w:ascii="等线" w:hAnsi="等线" w:eastAsia="等线"/>
                <w:szCs w:val="21"/>
              </w:rPr>
              <w:t>4</w:t>
            </w:r>
          </w:p>
        </w:tc>
        <w:tc>
          <w:tcPr>
            <w:tcW w:w="1369" w:type="dxa"/>
            <w:gridSpan w:val="2"/>
            <w:vMerge w:val="restart"/>
            <w:vAlign w:val="center"/>
          </w:tcPr>
          <w:p>
            <w:pPr>
              <w:jc w:val="left"/>
              <w:rPr>
                <w:rFonts w:ascii="等线" w:hAnsi="等线" w:eastAsia="等线"/>
                <w:szCs w:val="21"/>
              </w:rPr>
            </w:pPr>
            <w:r>
              <w:rPr>
                <w:rFonts w:hint="eastAsia" w:ascii="等线" w:hAnsi="等线" w:eastAsia="等线"/>
                <w:szCs w:val="21"/>
              </w:rPr>
              <w:t>安全管理体系与措施</w:t>
            </w:r>
          </w:p>
        </w:tc>
        <w:tc>
          <w:tcPr>
            <w:tcW w:w="1147" w:type="dxa"/>
            <w:vMerge w:val="restart"/>
            <w:vAlign w:val="center"/>
          </w:tcPr>
          <w:p>
            <w:pPr>
              <w:jc w:val="center"/>
              <w:rPr>
                <w:rFonts w:ascii="等线" w:hAnsi="等线" w:eastAsia="等线"/>
                <w:szCs w:val="21"/>
              </w:rPr>
            </w:pPr>
            <w:r>
              <w:rPr>
                <w:rFonts w:ascii="等线" w:hAnsi="等线" w:eastAsia="等线"/>
                <w:szCs w:val="21"/>
              </w:rPr>
              <w:t xml:space="preserve"> 1-2</w:t>
            </w:r>
            <w:r>
              <w:rPr>
                <w:rFonts w:hint="eastAsia" w:ascii="等线" w:hAnsi="等线" w:eastAsia="等线"/>
                <w:szCs w:val="21"/>
              </w:rPr>
              <w:t>分</w:t>
            </w:r>
          </w:p>
        </w:tc>
        <w:tc>
          <w:tcPr>
            <w:tcW w:w="5260" w:type="dxa"/>
            <w:gridSpan w:val="2"/>
            <w:vAlign w:val="center"/>
          </w:tcPr>
          <w:p>
            <w:pPr>
              <w:spacing w:line="360" w:lineRule="exact"/>
              <w:rPr>
                <w:rFonts w:ascii="等线" w:hAnsi="等线" w:eastAsia="等线"/>
                <w:szCs w:val="21"/>
              </w:rPr>
            </w:pPr>
            <w:r>
              <w:rPr>
                <w:rFonts w:hint="eastAsia" w:ascii="等线" w:hAnsi="等线" w:eastAsia="等线"/>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44" w:type="dxa"/>
            <w:vAlign w:val="center"/>
          </w:tcPr>
          <w:p>
            <w:pPr>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5</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文明施工、环境保护管理体系及施工现场扬尘治理措施</w:t>
            </w:r>
            <w:r>
              <w:rPr>
                <w:rFonts w:ascii="等线" w:hAnsi="等线" w:eastAsia="等线"/>
                <w:kern w:val="0"/>
                <w:szCs w:val="21"/>
              </w:rPr>
              <w:t xml:space="preserve">  </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1-3</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等线" w:hAnsi="等线" w:eastAsia="等线"/>
                <w:szCs w:val="21"/>
              </w:rPr>
              <w:t>DBJ41/174</w:t>
            </w:r>
            <w:r>
              <w:rPr>
                <w:rFonts w:hint="eastAsia" w:ascii="等线" w:hAnsi="等线" w:eastAsia="等线"/>
                <w:szCs w:val="21"/>
              </w:rPr>
              <w:t>）的规定，防治方案科学、先进。</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2</w:t>
            </w:r>
            <w:r>
              <w:rPr>
                <w:rFonts w:hint="eastAsia" w:ascii="等线" w:hAnsi="等线" w:eastAsia="等线"/>
                <w:szCs w:val="21"/>
              </w:rPr>
              <w:t>＜得分</w:t>
            </w:r>
            <w:r>
              <w:rPr>
                <w:rFonts w:ascii="等线" w:hAnsi="等线" w:eastAsia="等线"/>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等线" w:hAnsi="等线" w:eastAsia="等线"/>
                <w:szCs w:val="21"/>
              </w:rPr>
              <w:t>DBJ41/174</w:t>
            </w:r>
            <w:r>
              <w:rPr>
                <w:rFonts w:hint="eastAsia" w:ascii="等线" w:hAnsi="等线" w:eastAsia="等线"/>
                <w:szCs w:val="21"/>
              </w:rPr>
              <w:t>）的规定，有防治方案。</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6</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工期保证措施</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工期承诺满足招标文件要求，工期保证措施合理且有针对性，有具体的违约责任承诺。</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工期承诺满足招标文件要求，工期保证措施基本合理，有具体的违约责任承诺。</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7</w:t>
            </w:r>
          </w:p>
        </w:tc>
        <w:tc>
          <w:tcPr>
            <w:tcW w:w="1369" w:type="dxa"/>
            <w:gridSpan w:val="2"/>
            <w:vMerge w:val="restart"/>
            <w:vAlign w:val="center"/>
          </w:tcPr>
          <w:p>
            <w:pPr>
              <w:spacing w:line="400" w:lineRule="exact"/>
              <w:jc w:val="center"/>
              <w:rPr>
                <w:rFonts w:ascii="等线" w:hAnsi="等线" w:eastAsia="等线"/>
                <w:szCs w:val="21"/>
              </w:rPr>
            </w:pPr>
            <w:r>
              <w:rPr>
                <w:rFonts w:hint="eastAsia" w:ascii="等线" w:hAnsi="等线" w:eastAsia="等线"/>
                <w:szCs w:val="21"/>
              </w:rPr>
              <w:t>拟投入资源配备计划</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0.5-2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ascii="等线" w:hAnsi="等线" w:eastAsia="等线"/>
                <w:szCs w:val="21"/>
              </w:rPr>
              <w:t>1.</w:t>
            </w:r>
            <w:r>
              <w:rPr>
                <w:rFonts w:hint="eastAsia" w:ascii="等线" w:hAnsi="等线" w:eastAsia="等线"/>
                <w:szCs w:val="21"/>
              </w:rPr>
              <w:t>机械：投入计划与进度计划呼应，采用先进机械设备且配置合理、先进，满足安全技术规范和施工进度需要；</w:t>
            </w:r>
            <w:r>
              <w:rPr>
                <w:rFonts w:ascii="等线" w:hAnsi="等线" w:eastAsia="等线"/>
                <w:szCs w:val="21"/>
              </w:rPr>
              <w:t>PC</w:t>
            </w:r>
            <w:r>
              <w:rPr>
                <w:rFonts w:hint="eastAsia" w:ascii="等线" w:hAnsi="等线" w:eastAsia="等线"/>
                <w:szCs w:val="21"/>
              </w:rPr>
              <w:t>构件运输、安装设备满足施工要求；</w:t>
            </w:r>
          </w:p>
          <w:p>
            <w:pPr>
              <w:spacing w:line="400" w:lineRule="exact"/>
              <w:rPr>
                <w:rFonts w:ascii="等线" w:hAnsi="等线" w:eastAsia="等线"/>
                <w:szCs w:val="21"/>
              </w:rPr>
            </w:pPr>
            <w:r>
              <w:rPr>
                <w:rFonts w:ascii="等线" w:hAnsi="等线" w:eastAsia="等线"/>
                <w:szCs w:val="21"/>
              </w:rPr>
              <w:t>2.</w:t>
            </w:r>
            <w:r>
              <w:rPr>
                <w:rFonts w:hint="eastAsia" w:ascii="等线" w:hAnsi="等线" w:eastAsia="等线"/>
                <w:szCs w:val="21"/>
              </w:rPr>
              <w:t>劳动力：投入计划与进度计划呼应，较好满足施工需要，调配投入计划合理、准确；</w:t>
            </w:r>
          </w:p>
          <w:p>
            <w:pPr>
              <w:spacing w:line="400" w:lineRule="exact"/>
              <w:rPr>
                <w:rFonts w:ascii="等线" w:hAnsi="等线" w:eastAsia="等线"/>
                <w:szCs w:val="21"/>
              </w:rPr>
            </w:pPr>
            <w:r>
              <w:rPr>
                <w:rFonts w:ascii="等线" w:hAnsi="等线" w:eastAsia="等线"/>
                <w:szCs w:val="21"/>
              </w:rPr>
              <w:t>3.</w:t>
            </w:r>
            <w:r>
              <w:rPr>
                <w:rFonts w:hint="eastAsia" w:ascii="等线" w:hAnsi="等线" w:eastAsia="等线"/>
                <w:szCs w:val="21"/>
              </w:rPr>
              <w:t>主要物资计划：主要物资（含</w:t>
            </w:r>
            <w:r>
              <w:rPr>
                <w:rFonts w:ascii="等线" w:hAnsi="等线" w:eastAsia="等线"/>
                <w:szCs w:val="21"/>
              </w:rPr>
              <w:t>PC</w:t>
            </w:r>
            <w:r>
              <w:rPr>
                <w:rFonts w:hint="eastAsia" w:ascii="等线" w:hAnsi="等线" w:eastAsia="等线"/>
                <w:szCs w:val="21"/>
              </w:rPr>
              <w:t>构件的供应需求）投入计划与进度计划呼应，较好满足施工需要，调配投入计划合理、准确。</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spacing w:line="400" w:lineRule="exact"/>
              <w:rPr>
                <w:rFonts w:ascii="等线" w:hAnsi="等线" w:eastAsia="等线"/>
                <w:szCs w:val="21"/>
              </w:rPr>
            </w:pPr>
            <w:r>
              <w:rPr>
                <w:rFonts w:ascii="等线" w:hAnsi="等线" w:eastAsia="等线"/>
                <w:szCs w:val="21"/>
              </w:rPr>
              <w:t>1.</w:t>
            </w:r>
            <w:r>
              <w:rPr>
                <w:rFonts w:hint="eastAsia" w:ascii="等线" w:hAnsi="等线" w:eastAsia="等线"/>
                <w:szCs w:val="21"/>
              </w:rPr>
              <w:t>机械：投入计划与进度计划呼应，机械设备配置基本合理，满足安全技术规范和施工进度需要；</w:t>
            </w:r>
          </w:p>
          <w:p>
            <w:pPr>
              <w:spacing w:line="400" w:lineRule="exact"/>
              <w:rPr>
                <w:rFonts w:ascii="等线" w:hAnsi="等线" w:eastAsia="等线"/>
                <w:szCs w:val="21"/>
              </w:rPr>
            </w:pPr>
            <w:r>
              <w:rPr>
                <w:rFonts w:ascii="等线" w:hAnsi="等线" w:eastAsia="等线"/>
                <w:szCs w:val="21"/>
              </w:rPr>
              <w:t>2.</w:t>
            </w:r>
            <w:r>
              <w:rPr>
                <w:rFonts w:hint="eastAsia" w:ascii="等线" w:hAnsi="等线" w:eastAsia="等线"/>
                <w:szCs w:val="21"/>
              </w:rPr>
              <w:t>劳动力：投入计划与进度计划呼应，基本满足施工需要，调配投入计划基本合理；</w:t>
            </w:r>
          </w:p>
          <w:p>
            <w:pPr>
              <w:jc w:val="left"/>
              <w:rPr>
                <w:rFonts w:ascii="等线" w:hAnsi="等线" w:eastAsia="等线"/>
                <w:szCs w:val="21"/>
              </w:rPr>
            </w:pPr>
            <w:r>
              <w:rPr>
                <w:rFonts w:ascii="等线" w:hAnsi="等线" w:eastAsia="等线"/>
                <w:spacing w:val="-4"/>
                <w:szCs w:val="21"/>
              </w:rPr>
              <w:t>3.</w:t>
            </w:r>
            <w:r>
              <w:rPr>
                <w:rFonts w:hint="eastAsia" w:ascii="等线" w:hAnsi="等线" w:eastAsia="等线"/>
                <w:spacing w:val="-4"/>
                <w:szCs w:val="21"/>
              </w:rPr>
              <w:t>主要物资计划：主要物资（含</w:t>
            </w:r>
            <w:r>
              <w:rPr>
                <w:rFonts w:ascii="等线" w:hAnsi="等线" w:eastAsia="等线"/>
                <w:spacing w:val="-4"/>
                <w:szCs w:val="21"/>
              </w:rPr>
              <w:t>PC</w:t>
            </w:r>
            <w:r>
              <w:rPr>
                <w:rFonts w:hint="eastAsia" w:ascii="等线" w:hAnsi="等线" w:eastAsia="等线"/>
                <w:spacing w:val="-4"/>
                <w:szCs w:val="21"/>
              </w:rPr>
              <w:t>构件的供应需求）投入计划与进度计划呼应，基本满足施工需要，调配投入计划基本合理。</w:t>
            </w:r>
          </w:p>
        </w:tc>
        <w:tc>
          <w:tcPr>
            <w:tcW w:w="1544" w:type="dxa"/>
            <w:vAlign w:val="center"/>
          </w:tcPr>
          <w:p>
            <w:pPr>
              <w:jc w:val="center"/>
              <w:rPr>
                <w:rFonts w:ascii="等线" w:hAnsi="等线" w:eastAsia="等线"/>
                <w:szCs w:val="21"/>
              </w:rPr>
            </w:pPr>
            <w:r>
              <w:rPr>
                <w:rFonts w:ascii="等线" w:hAnsi="等线" w:eastAsia="等线"/>
                <w:szCs w:val="21"/>
              </w:rPr>
              <w:t>0.5≤</w:t>
            </w:r>
            <w:r>
              <w:rPr>
                <w:rFonts w:hint="eastAsia" w:ascii="等线" w:hAnsi="等线" w:eastAsia="等线"/>
                <w:szCs w:val="21"/>
              </w:rPr>
              <w:t>得分</w:t>
            </w:r>
            <w:r>
              <w:rPr>
                <w:rFonts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8</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施工进度表与网络计划图</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0.5-2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关键线路清晰、准确、完整、计划编制合理、可行、满足招标文件对工期的要求。</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关键线路基本准确，计划编制基本可行。</w:t>
            </w:r>
          </w:p>
        </w:tc>
        <w:tc>
          <w:tcPr>
            <w:tcW w:w="1544" w:type="dxa"/>
            <w:vAlign w:val="center"/>
          </w:tcPr>
          <w:p>
            <w:pPr>
              <w:jc w:val="center"/>
              <w:rPr>
                <w:rFonts w:ascii="等线" w:hAnsi="等线" w:eastAsia="等线"/>
                <w:szCs w:val="21"/>
              </w:rPr>
            </w:pPr>
            <w:r>
              <w:rPr>
                <w:rFonts w:ascii="等线" w:hAnsi="等线" w:eastAsia="等线"/>
                <w:szCs w:val="21"/>
              </w:rPr>
              <w:t>0.5≤</w:t>
            </w:r>
            <w:r>
              <w:rPr>
                <w:rFonts w:hint="eastAsia" w:ascii="等线" w:hAnsi="等线" w:eastAsia="等线"/>
                <w:szCs w:val="21"/>
              </w:rPr>
              <w:t>得分</w:t>
            </w:r>
            <w:r>
              <w:rPr>
                <w:rFonts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9</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施工总平面图布置</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0.5-1</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总体布置有针对性、合理、能较好满足施工需要，符合安全、文明施工要求；材料堆放有序。</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总体布置基本合理、基本满足施工需要。</w:t>
            </w:r>
          </w:p>
        </w:tc>
        <w:tc>
          <w:tcPr>
            <w:tcW w:w="1544" w:type="dxa"/>
            <w:vAlign w:val="center"/>
          </w:tcPr>
          <w:p>
            <w:pPr>
              <w:jc w:val="center"/>
              <w:rPr>
                <w:rFonts w:ascii="等线" w:hAnsi="等线" w:eastAsia="等线"/>
                <w:szCs w:val="21"/>
              </w:rPr>
            </w:pPr>
            <w:r>
              <w:rPr>
                <w:rFonts w:ascii="等线" w:hAnsi="等线" w:eastAsia="等线"/>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10</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技术创新的应用实施措施</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w:t>
            </w:r>
            <w:r>
              <w:rPr>
                <w:rFonts w:ascii="等线" w:hAnsi="等线" w:eastAsia="等线"/>
                <w:szCs w:val="21"/>
              </w:rPr>
              <w:t>1</w:t>
            </w:r>
            <w:r>
              <w:rPr>
                <w:rFonts w:hint="eastAsia" w:ascii="等线" w:hAnsi="等线" w:eastAsia="等线"/>
                <w:szCs w:val="21"/>
              </w:rPr>
              <w:t>）节能减排、（</w:t>
            </w:r>
            <w:r>
              <w:rPr>
                <w:rFonts w:ascii="等线" w:hAnsi="等线" w:eastAsia="等线"/>
                <w:szCs w:val="21"/>
              </w:rPr>
              <w:t>2</w:t>
            </w:r>
            <w:r>
              <w:rPr>
                <w:rFonts w:hint="eastAsia" w:ascii="等线" w:hAnsi="等线" w:eastAsia="等线"/>
                <w:szCs w:val="21"/>
              </w:rPr>
              <w:t>）绿色施工、（</w:t>
            </w:r>
            <w:r>
              <w:rPr>
                <w:rFonts w:ascii="等线" w:hAnsi="等线" w:eastAsia="等线"/>
                <w:szCs w:val="21"/>
              </w:rPr>
              <w:t>3</w:t>
            </w:r>
            <w:r>
              <w:rPr>
                <w:rFonts w:hint="eastAsia" w:ascii="等线" w:hAnsi="等线" w:eastAsia="等线"/>
                <w:szCs w:val="21"/>
              </w:rPr>
              <w:t>）工艺创新、（</w:t>
            </w:r>
            <w:r>
              <w:rPr>
                <w:rFonts w:ascii="等线" w:hAnsi="等线" w:eastAsia="等线"/>
                <w:szCs w:val="21"/>
              </w:rPr>
              <w:t>4</w:t>
            </w:r>
            <w:r>
              <w:rPr>
                <w:rFonts w:hint="eastAsia" w:ascii="等线" w:hAnsi="等线" w:eastAsia="等线"/>
                <w:szCs w:val="21"/>
              </w:rPr>
              <w:t>）装配式建筑等技术创新的应用实施措施符合工程情况，具有针对性、可行性、经济适用性。</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pacing w:val="-8"/>
                <w:szCs w:val="21"/>
              </w:rPr>
              <w:t>（</w:t>
            </w:r>
            <w:r>
              <w:rPr>
                <w:rFonts w:ascii="等线" w:hAnsi="等线" w:eastAsia="等线"/>
                <w:spacing w:val="-8"/>
                <w:szCs w:val="21"/>
              </w:rPr>
              <w:t>1</w:t>
            </w:r>
            <w:r>
              <w:rPr>
                <w:rFonts w:hint="eastAsia" w:ascii="等线" w:hAnsi="等线" w:eastAsia="等线"/>
                <w:spacing w:val="-8"/>
                <w:szCs w:val="21"/>
              </w:rPr>
              <w:t>）节能减排、（</w:t>
            </w:r>
            <w:r>
              <w:rPr>
                <w:rFonts w:ascii="等线" w:hAnsi="等线" w:eastAsia="等线"/>
                <w:spacing w:val="-8"/>
                <w:szCs w:val="21"/>
              </w:rPr>
              <w:t>2</w:t>
            </w:r>
            <w:r>
              <w:rPr>
                <w:rFonts w:hint="eastAsia" w:ascii="等线" w:hAnsi="等线" w:eastAsia="等线"/>
                <w:spacing w:val="-8"/>
                <w:szCs w:val="21"/>
              </w:rPr>
              <w:t>）绿色施工、（</w:t>
            </w:r>
            <w:r>
              <w:rPr>
                <w:rFonts w:ascii="等线" w:hAnsi="等线" w:eastAsia="等线"/>
                <w:spacing w:val="-8"/>
                <w:szCs w:val="21"/>
              </w:rPr>
              <w:t>3</w:t>
            </w:r>
            <w:r>
              <w:rPr>
                <w:rFonts w:hint="eastAsia" w:ascii="等线" w:hAnsi="等线" w:eastAsia="等线"/>
                <w:spacing w:val="-8"/>
                <w:szCs w:val="21"/>
              </w:rPr>
              <w:t>）工艺创新、（</w:t>
            </w:r>
            <w:r>
              <w:rPr>
                <w:rFonts w:ascii="等线" w:hAnsi="等线" w:eastAsia="等线"/>
                <w:spacing w:val="-8"/>
                <w:szCs w:val="21"/>
              </w:rPr>
              <w:t>4</w:t>
            </w:r>
            <w:r>
              <w:rPr>
                <w:rFonts w:hint="eastAsia" w:ascii="等线" w:hAnsi="等线" w:eastAsia="等线"/>
                <w:spacing w:val="-8"/>
                <w:szCs w:val="21"/>
              </w:rPr>
              <w:t>）装配式建筑等技术创新的应用实施措施基本符合工程情况，具有针</w:t>
            </w:r>
            <w:r>
              <w:rPr>
                <w:rFonts w:hint="eastAsia" w:ascii="等线" w:hAnsi="等线" w:eastAsia="等线"/>
                <w:szCs w:val="21"/>
              </w:rPr>
              <w:t>对性。</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11</w:t>
            </w:r>
          </w:p>
        </w:tc>
        <w:tc>
          <w:tcPr>
            <w:tcW w:w="1369" w:type="dxa"/>
            <w:gridSpan w:val="2"/>
            <w:vMerge w:val="restart"/>
            <w:vAlign w:val="center"/>
          </w:tcPr>
          <w:p>
            <w:pPr>
              <w:spacing w:line="400" w:lineRule="exact"/>
              <w:jc w:val="center"/>
              <w:rPr>
                <w:rFonts w:ascii="等线" w:hAnsi="等线" w:eastAsia="等线"/>
                <w:szCs w:val="21"/>
              </w:rPr>
            </w:pPr>
            <w:r>
              <w:rPr>
                <w:rFonts w:hint="eastAsia" w:ascii="等线" w:hAnsi="等线" w:eastAsia="等线"/>
                <w:szCs w:val="21"/>
              </w:rPr>
              <w:t>采用新工艺、新技术、新设备、新材料、</w:t>
            </w:r>
            <w:r>
              <w:rPr>
                <w:rFonts w:ascii="等线" w:hAnsi="等线" w:eastAsia="等线"/>
                <w:szCs w:val="21"/>
              </w:rPr>
              <w:t>BIM</w:t>
            </w:r>
            <w:r>
              <w:rPr>
                <w:rFonts w:hint="eastAsia" w:ascii="等线" w:hAnsi="等线" w:eastAsia="等线"/>
                <w:szCs w:val="21"/>
              </w:rPr>
              <w:t>等的程度</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采用新工艺、新技术、新设备、新材料、</w:t>
            </w:r>
            <w:r>
              <w:rPr>
                <w:rFonts w:ascii="等线" w:hAnsi="等线" w:eastAsia="等线"/>
                <w:szCs w:val="21"/>
              </w:rPr>
              <w:t>BIM</w:t>
            </w:r>
            <w:r>
              <w:rPr>
                <w:rFonts w:hint="eastAsia" w:ascii="等线" w:hAnsi="等线" w:eastAsia="等线"/>
                <w:szCs w:val="21"/>
              </w:rPr>
              <w:t>等的程度满足设计要求，符合施工需要和相应技术标准等规定，经济适用。</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采用新工艺、新技术、新设备、新材料、</w:t>
            </w:r>
            <w:r>
              <w:rPr>
                <w:rFonts w:ascii="等线" w:hAnsi="等线" w:eastAsia="等线"/>
                <w:szCs w:val="21"/>
              </w:rPr>
              <w:t>BIM</w:t>
            </w:r>
            <w:r>
              <w:rPr>
                <w:rFonts w:hint="eastAsia" w:ascii="等线" w:hAnsi="等线" w:eastAsia="等线"/>
                <w:szCs w:val="21"/>
              </w:rPr>
              <w:t>等的程度满足设计要求，</w:t>
            </w:r>
            <w:r>
              <w:rPr>
                <w:rFonts w:ascii="等线" w:hAnsi="等线" w:eastAsia="等线"/>
                <w:szCs w:val="21"/>
              </w:rPr>
              <w:t xml:space="preserve"> </w:t>
            </w:r>
            <w:r>
              <w:rPr>
                <w:rFonts w:hint="eastAsia" w:ascii="等线" w:hAnsi="等线" w:eastAsia="等线"/>
                <w:szCs w:val="21"/>
              </w:rPr>
              <w:t>基本符合施工要求和相应技术标准等规定。</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12</w:t>
            </w:r>
          </w:p>
        </w:tc>
        <w:tc>
          <w:tcPr>
            <w:tcW w:w="1369" w:type="dxa"/>
            <w:gridSpan w:val="2"/>
            <w:vMerge w:val="restart"/>
            <w:vAlign w:val="center"/>
          </w:tcPr>
          <w:p>
            <w:pPr>
              <w:spacing w:line="400" w:lineRule="exact"/>
              <w:jc w:val="center"/>
              <w:rPr>
                <w:rFonts w:ascii="等线" w:hAnsi="等线" w:eastAsia="等线"/>
                <w:szCs w:val="21"/>
              </w:rPr>
            </w:pPr>
            <w:r>
              <w:rPr>
                <w:rFonts w:hint="eastAsia" w:ascii="等线" w:hAnsi="等线" w:eastAsia="等线"/>
                <w:szCs w:val="21"/>
              </w:rPr>
              <w:t>施工现场实施信息化监控和数据处理</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0.5-1.5</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施工现场实施信息化监控和数据处理系统布置合理，满足需要。</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施工现场实施信息化监控和数据处理系统布置基本符合需要。</w:t>
            </w:r>
          </w:p>
        </w:tc>
        <w:tc>
          <w:tcPr>
            <w:tcW w:w="1544" w:type="dxa"/>
            <w:vAlign w:val="center"/>
          </w:tcPr>
          <w:p>
            <w:pPr>
              <w:jc w:val="center"/>
              <w:rPr>
                <w:rFonts w:ascii="等线" w:hAnsi="等线" w:eastAsia="等线"/>
                <w:szCs w:val="21"/>
              </w:rPr>
            </w:pPr>
            <w:r>
              <w:rPr>
                <w:rFonts w:ascii="等线" w:hAnsi="等线" w:eastAsia="等线"/>
                <w:szCs w:val="21"/>
              </w:rPr>
              <w:t>0.5</w:t>
            </w:r>
            <w:r>
              <w:rPr>
                <w:rFonts w:hint="eastAsia" w:ascii="等线" w:hAnsi="等线" w:eastAsia="等线"/>
                <w:szCs w:val="21"/>
              </w:rPr>
              <w:t>＜得分</w:t>
            </w:r>
            <w:r>
              <w:rPr>
                <w:rFonts w:ascii="等线" w:hAnsi="等线" w:eastAsia="等线"/>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13</w:t>
            </w:r>
          </w:p>
        </w:tc>
        <w:tc>
          <w:tcPr>
            <w:tcW w:w="1369" w:type="dxa"/>
            <w:gridSpan w:val="2"/>
            <w:vMerge w:val="restart"/>
            <w:vAlign w:val="center"/>
          </w:tcPr>
          <w:p>
            <w:pPr>
              <w:spacing w:line="400" w:lineRule="exact"/>
              <w:jc w:val="center"/>
              <w:rPr>
                <w:rFonts w:ascii="等线" w:hAnsi="等线" w:eastAsia="等线"/>
                <w:szCs w:val="21"/>
              </w:rPr>
            </w:pPr>
            <w:r>
              <w:rPr>
                <w:rFonts w:hint="eastAsia" w:ascii="等线" w:hAnsi="等线" w:eastAsia="等线"/>
                <w:szCs w:val="21"/>
              </w:rPr>
              <w:t>风险管理措施</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风险防控管理措施齐全，风险预控符合规范要求，风险控制要点定位准确，各阶段风险控制及应急措施得力。</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风险防控管理措施基本齐全，风险预控符合规范要求，风险控制要点定位基本准确，有各阶段风险控制及应急措施。</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96" w:type="dxa"/>
            <w:gridSpan w:val="3"/>
            <w:vAlign w:val="center"/>
          </w:tcPr>
          <w:p>
            <w:pPr>
              <w:spacing w:line="400" w:lineRule="exact"/>
              <w:jc w:val="center"/>
              <w:rPr>
                <w:rFonts w:ascii="等线" w:hAnsi="等线" w:eastAsia="等线"/>
                <w:szCs w:val="21"/>
              </w:rPr>
            </w:pPr>
            <w:r>
              <w:rPr>
                <w:rFonts w:hint="eastAsia" w:ascii="等线" w:hAnsi="等线" w:eastAsia="等线"/>
                <w:szCs w:val="21"/>
              </w:rPr>
              <w:t>合计</w:t>
            </w:r>
          </w:p>
        </w:tc>
        <w:tc>
          <w:tcPr>
            <w:tcW w:w="1147" w:type="dxa"/>
            <w:vAlign w:val="center"/>
          </w:tcPr>
          <w:p>
            <w:pPr>
              <w:spacing w:line="400" w:lineRule="exact"/>
              <w:jc w:val="center"/>
              <w:rPr>
                <w:rFonts w:ascii="等线" w:hAnsi="等线" w:eastAsia="等线"/>
                <w:szCs w:val="21"/>
              </w:rPr>
            </w:pPr>
            <w:r>
              <w:rPr>
                <w:rFonts w:ascii="等线" w:hAnsi="等线" w:eastAsia="等线"/>
                <w:szCs w:val="21"/>
              </w:rPr>
              <w:t>10-25</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p>
        </w:tc>
        <w:tc>
          <w:tcPr>
            <w:tcW w:w="1544" w:type="dxa"/>
            <w:vAlign w:val="center"/>
          </w:tcPr>
          <w:p>
            <w:pPr>
              <w:spacing w:line="400" w:lineRule="exact"/>
              <w:jc w:val="center"/>
              <w:rPr>
                <w:rFonts w:ascii="等线" w:hAnsi="等线" w:eastAsia="等线"/>
                <w:szCs w:val="21"/>
              </w:rPr>
            </w:pPr>
            <w:r>
              <w:rPr>
                <w:rFonts w:ascii="等线" w:hAnsi="等线" w:eastAsia="等线"/>
                <w:szCs w:val="21"/>
              </w:rPr>
              <w:t>10≤</w:t>
            </w:r>
            <w:r>
              <w:rPr>
                <w:rFonts w:hint="eastAsia" w:ascii="等线" w:hAnsi="等线" w:eastAsia="等线"/>
                <w:szCs w:val="21"/>
              </w:rPr>
              <w:t>得分</w:t>
            </w:r>
            <w:r>
              <w:rPr>
                <w:rFonts w:ascii="等线" w:hAnsi="等线" w:eastAsia="等线"/>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9747" w:type="dxa"/>
            <w:gridSpan w:val="7"/>
            <w:vAlign w:val="center"/>
          </w:tcPr>
          <w:p>
            <w:pPr>
              <w:jc w:val="left"/>
              <w:rPr>
                <w:rFonts w:ascii="等线" w:hAnsi="等线" w:eastAsia="等线"/>
                <w:szCs w:val="21"/>
              </w:rPr>
            </w:pPr>
            <w:r>
              <w:rPr>
                <w:rFonts w:hint="eastAsia" w:ascii="等线" w:hAnsi="等线" w:eastAsia="等线"/>
                <w:b/>
                <w:szCs w:val="21"/>
              </w:rPr>
              <w:t>（二）商务标的主要内容及评标分值：50分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gridSpan w:val="3"/>
            <w:vAlign w:val="center"/>
          </w:tcPr>
          <w:p>
            <w:pPr>
              <w:snapToGrid w:val="0"/>
              <w:spacing w:line="480" w:lineRule="exact"/>
              <w:jc w:val="center"/>
              <w:rPr>
                <w:rFonts w:ascii="宋体" w:hAnsi="宋体" w:eastAsia="等线" w:cs="宋体"/>
                <w:b/>
                <w:bCs/>
                <w:szCs w:val="21"/>
              </w:rPr>
            </w:pPr>
            <w:r>
              <w:rPr>
                <w:rFonts w:hint="eastAsia" w:ascii="宋体" w:hAnsi="宋体" w:eastAsia="等线" w:cs="宋体"/>
                <w:b/>
                <w:bCs/>
                <w:szCs w:val="21"/>
              </w:rPr>
              <w:t>评标基准价</w:t>
            </w:r>
          </w:p>
        </w:tc>
        <w:tc>
          <w:tcPr>
            <w:tcW w:w="7951" w:type="dxa"/>
            <w:gridSpan w:val="4"/>
            <w:vAlign w:val="center"/>
          </w:tcPr>
          <w:p>
            <w:pPr>
              <w:snapToGrid w:val="0"/>
              <w:spacing w:line="480" w:lineRule="exact"/>
              <w:jc w:val="left"/>
              <w:rPr>
                <w:rFonts w:ascii="宋体" w:hAnsi="宋体" w:eastAsia="等线" w:cs="宋体"/>
                <w:szCs w:val="21"/>
              </w:rPr>
            </w:pPr>
            <w:r>
              <w:rPr>
                <w:rFonts w:hint="eastAsia" w:ascii="宋体" w:hAnsi="宋体" w:eastAsia="等线" w:cs="宋体"/>
                <w:szCs w:val="21"/>
              </w:rPr>
              <w:t>工程量清单报价评标基准价计算公式为：</w:t>
            </w:r>
          </w:p>
          <w:p>
            <w:pPr>
              <w:snapToGrid w:val="0"/>
              <w:spacing w:line="480" w:lineRule="exact"/>
              <w:jc w:val="left"/>
              <w:rPr>
                <w:rFonts w:ascii="宋体" w:hAnsi="宋体" w:eastAsia="等线" w:cs="宋体"/>
                <w:szCs w:val="21"/>
              </w:rPr>
            </w:pPr>
            <w:r>
              <w:rPr>
                <w:rFonts w:hint="eastAsia" w:ascii="宋体" w:hAnsi="宋体" w:eastAsia="等线" w:cs="宋体"/>
                <w:szCs w:val="21"/>
              </w:rPr>
              <w:t>评标基准价=最高投标限价×K+投标报价×(1-K)。</w:t>
            </w:r>
          </w:p>
          <w:p>
            <w:pPr>
              <w:snapToGrid w:val="0"/>
              <w:spacing w:line="480" w:lineRule="exact"/>
              <w:jc w:val="left"/>
              <w:rPr>
                <w:rFonts w:ascii="宋体" w:hAnsi="宋体" w:eastAsia="等线" w:cs="宋体"/>
                <w:szCs w:val="21"/>
              </w:rPr>
            </w:pPr>
            <w:r>
              <w:rPr>
                <w:rFonts w:hint="eastAsia" w:ascii="宋体" w:hAnsi="宋体" w:eastAsia="等线" w:cs="宋体"/>
                <w:szCs w:val="21"/>
              </w:rPr>
              <w:t>其中:K为最高投标限价权重系数,取位范国为0.3≤K≤0.5（0.3、0.35、0.4、0.45、0.5），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gridSpan w:val="3"/>
            <w:vMerge w:val="restart"/>
            <w:vAlign w:val="center"/>
          </w:tcPr>
          <w:p>
            <w:pPr>
              <w:snapToGrid w:val="0"/>
              <w:spacing w:line="480" w:lineRule="exact"/>
              <w:jc w:val="center"/>
              <w:rPr>
                <w:rFonts w:ascii="宋体" w:hAnsi="宋体" w:eastAsia="等线" w:cs="宋体"/>
                <w:b/>
                <w:bCs/>
                <w:szCs w:val="21"/>
              </w:rPr>
            </w:pPr>
            <w:r>
              <w:rPr>
                <w:rFonts w:hint="eastAsia" w:ascii="宋体" w:hAnsi="宋体" w:eastAsia="等线" w:cs="宋体"/>
                <w:b/>
                <w:bCs/>
                <w:szCs w:val="21"/>
              </w:rPr>
              <w:t>商务标（50分）</w:t>
            </w:r>
          </w:p>
        </w:tc>
        <w:tc>
          <w:tcPr>
            <w:tcW w:w="2073"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投标报价（30分）</w:t>
            </w:r>
          </w:p>
        </w:tc>
        <w:tc>
          <w:tcPr>
            <w:tcW w:w="5878" w:type="dxa"/>
            <w:gridSpan w:val="2"/>
            <w:vAlign w:val="center"/>
          </w:tcPr>
          <w:p>
            <w:pPr>
              <w:snapToGrid w:val="0"/>
              <w:spacing w:line="480" w:lineRule="exact"/>
              <w:jc w:val="left"/>
              <w:rPr>
                <w:rFonts w:ascii="宋体" w:hAnsi="宋体" w:eastAsia="等线" w:cs="宋体"/>
                <w:szCs w:val="21"/>
              </w:rPr>
            </w:pPr>
            <w:r>
              <w:rPr>
                <w:rFonts w:hint="eastAsia" w:ascii="宋体" w:hAnsi="宋体" w:eastAsia="等线" w:cs="宋体"/>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gridSpan w:val="3"/>
            <w:vMerge w:val="continue"/>
            <w:vAlign w:val="center"/>
          </w:tcPr>
          <w:p>
            <w:pPr>
              <w:snapToGrid w:val="0"/>
              <w:spacing w:line="480" w:lineRule="exact"/>
              <w:jc w:val="center"/>
              <w:rPr>
                <w:rFonts w:ascii="宋体" w:hAnsi="宋体" w:eastAsia="等线" w:cs="宋体"/>
                <w:b/>
                <w:bCs/>
                <w:szCs w:val="21"/>
              </w:rPr>
            </w:pPr>
          </w:p>
        </w:tc>
        <w:tc>
          <w:tcPr>
            <w:tcW w:w="2073"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分部分项工程项目清单单价评审</w:t>
            </w:r>
          </w:p>
          <w:p>
            <w:pPr>
              <w:snapToGrid w:val="0"/>
              <w:spacing w:line="480" w:lineRule="exact"/>
              <w:jc w:val="center"/>
              <w:rPr>
                <w:rFonts w:ascii="宋体" w:hAnsi="宋体" w:eastAsia="等线" w:cs="宋体"/>
                <w:bCs/>
                <w:szCs w:val="21"/>
              </w:rPr>
            </w:pPr>
            <w:r>
              <w:rPr>
                <w:rFonts w:hint="eastAsia" w:ascii="宋体" w:hAnsi="宋体" w:eastAsia="等线" w:cs="宋体"/>
                <w:bCs/>
                <w:szCs w:val="21"/>
              </w:rPr>
              <w:t>（10分）</w:t>
            </w:r>
          </w:p>
        </w:tc>
        <w:tc>
          <w:tcPr>
            <w:tcW w:w="5878" w:type="dxa"/>
            <w:gridSpan w:val="2"/>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从最高投标限价中分部分项工程项目权重最大的前</w:t>
            </w:r>
            <w:r>
              <w:rPr>
                <w:rFonts w:ascii="宋体" w:hAnsi="宋体" w:eastAsia="等线" w:cs="宋体"/>
                <w:bCs/>
                <w:szCs w:val="21"/>
              </w:rPr>
              <w:t>10-30</w:t>
            </w:r>
            <w:r>
              <w:rPr>
                <w:rFonts w:hint="eastAsia" w:ascii="宋体" w:hAnsi="宋体" w:eastAsia="等线" w:cs="宋体"/>
                <w:bCs/>
                <w:szCs w:val="21"/>
              </w:rPr>
              <w:t>项清单项目中抽取</w:t>
            </w:r>
            <w:r>
              <w:rPr>
                <w:rFonts w:ascii="宋体" w:hAnsi="宋体" w:eastAsia="等线" w:cs="宋体"/>
                <w:bCs/>
                <w:szCs w:val="21"/>
              </w:rPr>
              <w:t>15</w:t>
            </w:r>
            <w:r>
              <w:rPr>
                <w:rFonts w:hint="eastAsia" w:ascii="宋体" w:hAnsi="宋体" w:eastAsia="等线" w:cs="宋体"/>
                <w:bCs/>
                <w:szCs w:val="21"/>
              </w:rPr>
              <w:t>项，在剩余的分部分项工程项目清单项目中抽取</w:t>
            </w:r>
            <w:r>
              <w:rPr>
                <w:rFonts w:ascii="宋体" w:hAnsi="宋体" w:eastAsia="等线" w:cs="宋体"/>
                <w:bCs/>
                <w:szCs w:val="21"/>
              </w:rPr>
              <w:t>5</w:t>
            </w:r>
            <w:r>
              <w:rPr>
                <w:rFonts w:hint="eastAsia" w:ascii="宋体" w:hAnsi="宋体" w:eastAsia="等线" w:cs="宋体"/>
                <w:bCs/>
                <w:szCs w:val="21"/>
              </w:rPr>
              <w:t>项。</w:t>
            </w:r>
          </w:p>
          <w:p>
            <w:pPr>
              <w:snapToGrid w:val="0"/>
              <w:spacing w:line="480" w:lineRule="exact"/>
              <w:jc w:val="left"/>
              <w:rPr>
                <w:rFonts w:ascii="宋体" w:hAnsi="宋体" w:eastAsia="等线" w:cs="宋体"/>
                <w:bCs/>
                <w:szCs w:val="21"/>
              </w:rPr>
            </w:pPr>
            <w:r>
              <w:rPr>
                <w:rFonts w:hint="eastAsia" w:ascii="宋体" w:hAnsi="宋体" w:eastAsia="等线" w:cs="宋体"/>
                <w:bCs/>
                <w:szCs w:val="21"/>
              </w:rPr>
              <w:t>综合单价基准值是以各有效投标报价中（当有效投标人</w:t>
            </w:r>
            <w:r>
              <w:rPr>
                <w:rFonts w:ascii="宋体" w:hAnsi="宋体" w:eastAsia="等线" w:cs="宋体"/>
                <w:bCs/>
                <w:szCs w:val="21"/>
              </w:rPr>
              <w:t>5</w:t>
            </w:r>
            <w:r>
              <w:rPr>
                <w:rFonts w:hint="eastAsia" w:ascii="宋体" w:hAnsi="宋体" w:eastAsia="等线" w:cs="宋体"/>
                <w:bCs/>
                <w:szCs w:val="21"/>
              </w:rPr>
              <w:t>名及以上时，去掉</w:t>
            </w:r>
            <w:r>
              <w:rPr>
                <w:rFonts w:ascii="宋体" w:hAnsi="宋体" w:eastAsia="等线" w:cs="宋体"/>
                <w:bCs/>
                <w:szCs w:val="21"/>
              </w:rPr>
              <w:t>1</w:t>
            </w:r>
            <w:r>
              <w:rPr>
                <w:rFonts w:hint="eastAsia" w:ascii="宋体" w:hAnsi="宋体" w:eastAsia="等线" w:cs="宋体"/>
                <w:bCs/>
                <w:szCs w:val="21"/>
              </w:rPr>
              <w:t>个最高、</w:t>
            </w:r>
            <w:r>
              <w:rPr>
                <w:rFonts w:ascii="宋体" w:hAnsi="宋体" w:eastAsia="等线" w:cs="宋体"/>
                <w:bCs/>
                <w:szCs w:val="21"/>
              </w:rPr>
              <w:t>1</w:t>
            </w:r>
            <w:r>
              <w:rPr>
                <w:rFonts w:hint="eastAsia" w:ascii="宋体" w:hAnsi="宋体" w:eastAsia="等线" w:cs="宋体"/>
                <w:bCs/>
                <w:szCs w:val="21"/>
              </w:rPr>
              <w:t>个最低值）对应抽取清单项目综合单价的算术平均值。</w:t>
            </w:r>
          </w:p>
          <w:p>
            <w:pPr>
              <w:snapToGrid w:val="0"/>
              <w:spacing w:line="480" w:lineRule="exact"/>
              <w:jc w:val="left"/>
              <w:rPr>
                <w:rFonts w:ascii="宋体" w:hAnsi="宋体" w:eastAsia="等线" w:cs="宋体"/>
                <w:bCs/>
                <w:szCs w:val="21"/>
              </w:rPr>
            </w:pPr>
            <w:r>
              <w:rPr>
                <w:rFonts w:hint="eastAsia" w:ascii="宋体" w:hAnsi="宋体" w:eastAsia="等线" w:cs="宋体"/>
                <w:bCs/>
                <w:szCs w:val="21"/>
              </w:rPr>
              <w:t>投标人报价在综合单价基准值</w:t>
            </w:r>
            <w:r>
              <w:rPr>
                <w:rFonts w:ascii="宋体" w:hAnsi="宋体" w:eastAsia="等线" w:cs="宋体"/>
                <w:bCs/>
                <w:szCs w:val="21"/>
              </w:rPr>
              <w:t>95%–103%</w:t>
            </w:r>
            <w:r>
              <w:rPr>
                <w:rFonts w:hint="eastAsia" w:ascii="宋体" w:hAnsi="宋体" w:eastAsia="等线" w:cs="宋体"/>
                <w:bCs/>
                <w:szCs w:val="21"/>
              </w:rPr>
              <w:t>范围内（不含</w:t>
            </w:r>
            <w:r>
              <w:rPr>
                <w:rFonts w:ascii="宋体" w:hAnsi="宋体" w:eastAsia="等线" w:cs="宋体"/>
                <w:bCs/>
                <w:szCs w:val="21"/>
              </w:rPr>
              <w:t>95%</w:t>
            </w:r>
            <w:r>
              <w:rPr>
                <w:rFonts w:hint="eastAsia" w:ascii="宋体" w:hAnsi="宋体" w:eastAsia="等线" w:cs="宋体"/>
                <w:bCs/>
                <w:szCs w:val="21"/>
              </w:rPr>
              <w:t>和</w:t>
            </w:r>
            <w:r>
              <w:rPr>
                <w:rFonts w:ascii="宋体" w:hAnsi="宋体" w:eastAsia="等线" w:cs="宋体"/>
                <w:bCs/>
                <w:szCs w:val="21"/>
              </w:rPr>
              <w:t>103%</w:t>
            </w:r>
            <w:r>
              <w:rPr>
                <w:rFonts w:hint="eastAsia" w:ascii="宋体" w:hAnsi="宋体" w:eastAsia="等线" w:cs="宋体"/>
                <w:bCs/>
                <w:szCs w:val="21"/>
              </w:rPr>
              <w:t>）的，每项得</w:t>
            </w:r>
            <w:r>
              <w:rPr>
                <w:rFonts w:ascii="宋体" w:hAnsi="宋体" w:eastAsia="等线" w:cs="宋体"/>
                <w:bCs/>
                <w:szCs w:val="21"/>
              </w:rPr>
              <w:t>0.5</w:t>
            </w:r>
            <w:r>
              <w:rPr>
                <w:rFonts w:hint="eastAsia" w:ascii="宋体" w:hAnsi="宋体" w:eastAsia="等线" w:cs="宋体"/>
                <w:bCs/>
                <w:szCs w:val="21"/>
              </w:rPr>
              <w:t>分；在综合单价基准值</w:t>
            </w:r>
            <w:r>
              <w:rPr>
                <w:rFonts w:ascii="宋体" w:hAnsi="宋体" w:eastAsia="等线" w:cs="宋体"/>
                <w:bCs/>
                <w:szCs w:val="21"/>
              </w:rPr>
              <w:t>90%–95%</w:t>
            </w:r>
            <w:r>
              <w:rPr>
                <w:rFonts w:hint="eastAsia" w:ascii="宋体" w:hAnsi="宋体" w:eastAsia="等线" w:cs="宋体"/>
                <w:bCs/>
                <w:szCs w:val="21"/>
              </w:rPr>
              <w:t>范围内（含</w:t>
            </w:r>
            <w:r>
              <w:rPr>
                <w:rFonts w:ascii="宋体" w:hAnsi="宋体" w:eastAsia="等线" w:cs="宋体"/>
                <w:bCs/>
                <w:szCs w:val="21"/>
              </w:rPr>
              <w:t>90%</w:t>
            </w:r>
            <w:r>
              <w:rPr>
                <w:rFonts w:hint="eastAsia" w:ascii="宋体" w:hAnsi="宋体" w:eastAsia="等线" w:cs="宋体"/>
                <w:bCs/>
                <w:szCs w:val="21"/>
              </w:rPr>
              <w:t>和</w:t>
            </w:r>
            <w:r>
              <w:rPr>
                <w:rFonts w:ascii="宋体" w:hAnsi="宋体" w:eastAsia="等线" w:cs="宋体"/>
                <w:bCs/>
                <w:szCs w:val="21"/>
              </w:rPr>
              <w:t>95%</w:t>
            </w:r>
            <w:r>
              <w:rPr>
                <w:rFonts w:hint="eastAsia" w:ascii="宋体" w:hAnsi="宋体" w:eastAsia="等线" w:cs="宋体"/>
                <w:bCs/>
                <w:szCs w:val="21"/>
              </w:rPr>
              <w:t>）每项得</w:t>
            </w:r>
            <w:r>
              <w:rPr>
                <w:rFonts w:ascii="宋体" w:hAnsi="宋体" w:eastAsia="等线" w:cs="宋体"/>
                <w:bCs/>
                <w:szCs w:val="21"/>
              </w:rPr>
              <w:t>0.25</w:t>
            </w:r>
            <w:r>
              <w:rPr>
                <w:rFonts w:hint="eastAsia" w:ascii="宋体" w:hAnsi="宋体" w:eastAsia="等线" w:cs="宋体"/>
                <w:bCs/>
                <w:szCs w:val="21"/>
              </w:rPr>
              <w:t>分。满分共计</w:t>
            </w:r>
            <w:r>
              <w:rPr>
                <w:rFonts w:ascii="宋体" w:hAnsi="宋体" w:eastAsia="等线" w:cs="宋体"/>
                <w:bCs/>
                <w:szCs w:val="21"/>
              </w:rPr>
              <w:t>10</w:t>
            </w:r>
            <w:r>
              <w:rPr>
                <w:rFonts w:hint="eastAsia" w:ascii="宋体" w:hAnsi="宋体" w:eastAsia="等线" w:cs="宋体"/>
                <w:bCs/>
                <w:szCs w:val="21"/>
              </w:rPr>
              <w:t>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gridSpan w:val="3"/>
            <w:vMerge w:val="continue"/>
            <w:vAlign w:val="center"/>
          </w:tcPr>
          <w:p>
            <w:pPr>
              <w:snapToGrid w:val="0"/>
              <w:spacing w:line="480" w:lineRule="exact"/>
              <w:jc w:val="center"/>
              <w:rPr>
                <w:rFonts w:ascii="宋体" w:hAnsi="宋体" w:eastAsia="等线" w:cs="宋体"/>
                <w:b/>
                <w:bCs/>
                <w:szCs w:val="21"/>
              </w:rPr>
            </w:pPr>
          </w:p>
        </w:tc>
        <w:tc>
          <w:tcPr>
            <w:tcW w:w="2073"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措施项目费的评审（不含安全文明措施费）（5分）</w:t>
            </w:r>
          </w:p>
        </w:tc>
        <w:tc>
          <w:tcPr>
            <w:tcW w:w="5878" w:type="dxa"/>
            <w:gridSpan w:val="2"/>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措施项目费基准值是在最高投标限价中措施项目费用</w:t>
            </w:r>
            <w:r>
              <w:rPr>
                <w:rFonts w:ascii="宋体" w:hAnsi="宋体" w:eastAsia="等线" w:cs="宋体"/>
                <w:bCs/>
                <w:szCs w:val="21"/>
              </w:rPr>
              <w:t>80%-110%</w:t>
            </w:r>
            <w:r>
              <w:rPr>
                <w:rFonts w:hint="eastAsia" w:ascii="宋体" w:hAnsi="宋体" w:eastAsia="等线" w:cs="宋体"/>
                <w:bCs/>
                <w:szCs w:val="21"/>
              </w:rPr>
              <w:t>范围之间的有效投标人所报措施项目费的算术平均值。投标所报措施费与措施项目基准值相等得基本分</w:t>
            </w:r>
            <w:r>
              <w:rPr>
                <w:rFonts w:ascii="宋体" w:hAnsi="宋体" w:eastAsia="等线" w:cs="宋体"/>
                <w:bCs/>
                <w:szCs w:val="21"/>
              </w:rPr>
              <w:t>3</w:t>
            </w:r>
            <w:r>
              <w:rPr>
                <w:rFonts w:hint="eastAsia" w:ascii="宋体" w:hAnsi="宋体" w:eastAsia="等线" w:cs="宋体"/>
                <w:bCs/>
                <w:szCs w:val="21"/>
              </w:rPr>
              <w:t>分。当投标报价低于措施项目基准值时，每低</w:t>
            </w:r>
            <w:r>
              <w:rPr>
                <w:rFonts w:ascii="宋体" w:hAnsi="宋体" w:eastAsia="等线" w:cs="宋体"/>
                <w:bCs/>
                <w:szCs w:val="21"/>
              </w:rPr>
              <w:t>1%</w:t>
            </w:r>
            <w:r>
              <w:rPr>
                <w:rFonts w:hint="eastAsia" w:ascii="宋体" w:hAnsi="宋体" w:eastAsia="等线" w:cs="宋体"/>
                <w:bCs/>
                <w:szCs w:val="21"/>
              </w:rPr>
              <w:t>在基本分</w:t>
            </w:r>
            <w:r>
              <w:rPr>
                <w:rFonts w:ascii="宋体" w:hAnsi="宋体" w:eastAsia="等线" w:cs="宋体"/>
                <w:bCs/>
                <w:szCs w:val="21"/>
              </w:rPr>
              <w:t>3</w:t>
            </w:r>
            <w:r>
              <w:rPr>
                <w:rFonts w:hint="eastAsia" w:ascii="宋体" w:hAnsi="宋体" w:eastAsia="等线" w:cs="宋体"/>
                <w:bCs/>
                <w:szCs w:val="21"/>
              </w:rPr>
              <w:t>分的基础上加</w:t>
            </w:r>
            <w:r>
              <w:rPr>
                <w:rFonts w:ascii="宋体" w:hAnsi="宋体" w:eastAsia="等线" w:cs="宋体"/>
                <w:bCs/>
                <w:szCs w:val="21"/>
              </w:rPr>
              <w:t>0.1</w:t>
            </w:r>
            <w:r>
              <w:rPr>
                <w:rFonts w:hint="eastAsia" w:ascii="宋体" w:hAnsi="宋体" w:eastAsia="等线" w:cs="宋体"/>
                <w:bCs/>
                <w:szCs w:val="21"/>
              </w:rPr>
              <w:t>分，最多加至</w:t>
            </w:r>
            <w:r>
              <w:rPr>
                <w:rFonts w:ascii="宋体" w:hAnsi="宋体" w:eastAsia="等线" w:cs="宋体"/>
                <w:bCs/>
                <w:szCs w:val="21"/>
              </w:rPr>
              <w:t>5</w:t>
            </w:r>
            <w:r>
              <w:rPr>
                <w:rFonts w:hint="eastAsia" w:ascii="宋体" w:hAnsi="宋体" w:eastAsia="等线" w:cs="宋体"/>
                <w:bCs/>
                <w:szCs w:val="21"/>
              </w:rPr>
              <w:t>分为止；当高于措施项目基准值时，每高于</w:t>
            </w:r>
            <w:r>
              <w:rPr>
                <w:rFonts w:ascii="宋体" w:hAnsi="宋体" w:eastAsia="等线" w:cs="宋体"/>
                <w:bCs/>
                <w:szCs w:val="21"/>
              </w:rPr>
              <w:t>1%</w:t>
            </w:r>
            <w:r>
              <w:rPr>
                <w:rFonts w:hint="eastAsia" w:ascii="宋体" w:hAnsi="宋体" w:eastAsia="等线" w:cs="宋体"/>
                <w:bCs/>
                <w:szCs w:val="21"/>
              </w:rPr>
              <w:t>时，在基本分</w:t>
            </w:r>
            <w:r>
              <w:rPr>
                <w:rFonts w:ascii="宋体" w:hAnsi="宋体" w:eastAsia="等线" w:cs="宋体"/>
                <w:bCs/>
                <w:szCs w:val="21"/>
              </w:rPr>
              <w:t>3</w:t>
            </w:r>
            <w:r>
              <w:rPr>
                <w:rFonts w:hint="eastAsia" w:ascii="宋体" w:hAnsi="宋体" w:eastAsia="等线" w:cs="宋体"/>
                <w:bCs/>
                <w:szCs w:val="21"/>
              </w:rPr>
              <w:t>分的基础上扣</w:t>
            </w:r>
            <w:r>
              <w:rPr>
                <w:rFonts w:ascii="宋体" w:hAnsi="宋体" w:eastAsia="等线" w:cs="宋体"/>
                <w:bCs/>
                <w:szCs w:val="21"/>
              </w:rPr>
              <w:t>0.2</w:t>
            </w:r>
            <w:r>
              <w:rPr>
                <w:rFonts w:hint="eastAsia" w:ascii="宋体" w:hAnsi="宋体" w:eastAsia="等线" w:cs="宋体"/>
                <w:bCs/>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796" w:type="dxa"/>
            <w:gridSpan w:val="3"/>
            <w:vMerge w:val="continue"/>
            <w:vAlign w:val="center"/>
          </w:tcPr>
          <w:p>
            <w:pPr>
              <w:snapToGrid w:val="0"/>
              <w:spacing w:line="480" w:lineRule="exact"/>
              <w:jc w:val="center"/>
              <w:rPr>
                <w:rFonts w:ascii="宋体" w:hAnsi="宋体" w:eastAsia="等线" w:cs="宋体"/>
                <w:b/>
                <w:bCs/>
                <w:szCs w:val="21"/>
              </w:rPr>
            </w:pPr>
          </w:p>
        </w:tc>
        <w:tc>
          <w:tcPr>
            <w:tcW w:w="2073"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主要材料单价的评审（5分）</w:t>
            </w:r>
          </w:p>
        </w:tc>
        <w:tc>
          <w:tcPr>
            <w:tcW w:w="5878" w:type="dxa"/>
            <w:gridSpan w:val="2"/>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从最高投标限价中材料总价权重最大的前</w:t>
            </w:r>
            <w:r>
              <w:rPr>
                <w:rFonts w:ascii="宋体" w:hAnsi="宋体" w:eastAsia="等线" w:cs="宋体"/>
                <w:bCs/>
                <w:szCs w:val="21"/>
              </w:rPr>
              <w:t>10-20</w:t>
            </w:r>
            <w:r>
              <w:rPr>
                <w:rFonts w:hint="eastAsia" w:ascii="宋体" w:hAnsi="宋体" w:eastAsia="等线" w:cs="宋体"/>
                <w:bCs/>
                <w:szCs w:val="21"/>
              </w:rPr>
              <w:t>项材料中抽取</w:t>
            </w:r>
            <w:r>
              <w:rPr>
                <w:rFonts w:ascii="宋体" w:hAnsi="宋体" w:eastAsia="等线" w:cs="宋体"/>
                <w:bCs/>
                <w:szCs w:val="21"/>
              </w:rPr>
              <w:t>6</w:t>
            </w:r>
            <w:r>
              <w:rPr>
                <w:rFonts w:hint="eastAsia" w:ascii="宋体" w:hAnsi="宋体" w:eastAsia="等线" w:cs="宋体"/>
                <w:bCs/>
                <w:szCs w:val="21"/>
              </w:rPr>
              <w:t>项，在剩余材料中抽取</w:t>
            </w:r>
            <w:r>
              <w:rPr>
                <w:rFonts w:ascii="宋体" w:hAnsi="宋体" w:eastAsia="等线" w:cs="宋体"/>
                <w:bCs/>
                <w:szCs w:val="21"/>
              </w:rPr>
              <w:t>4</w:t>
            </w:r>
            <w:r>
              <w:rPr>
                <w:rFonts w:hint="eastAsia" w:ascii="宋体" w:hAnsi="宋体" w:eastAsia="等线" w:cs="宋体"/>
                <w:bCs/>
                <w:szCs w:val="21"/>
              </w:rPr>
              <w:t>项。</w:t>
            </w:r>
          </w:p>
          <w:p>
            <w:pPr>
              <w:snapToGrid w:val="0"/>
              <w:spacing w:line="480" w:lineRule="exact"/>
              <w:jc w:val="left"/>
              <w:rPr>
                <w:rFonts w:ascii="宋体" w:hAnsi="宋体" w:eastAsia="等线" w:cs="宋体"/>
                <w:bCs/>
                <w:szCs w:val="21"/>
              </w:rPr>
            </w:pPr>
            <w:r>
              <w:rPr>
                <w:rFonts w:hint="eastAsia" w:ascii="宋体" w:hAnsi="宋体" w:eastAsia="等线" w:cs="宋体"/>
                <w:bCs/>
                <w:szCs w:val="21"/>
              </w:rPr>
              <w:t>主要材料单价基准值是以各有效投标报价中（当有效投标人</w:t>
            </w:r>
            <w:r>
              <w:rPr>
                <w:rFonts w:ascii="宋体" w:hAnsi="宋体" w:eastAsia="等线" w:cs="宋体"/>
                <w:bCs/>
                <w:szCs w:val="21"/>
              </w:rPr>
              <w:t>5</w:t>
            </w:r>
            <w:r>
              <w:rPr>
                <w:rFonts w:hint="eastAsia" w:ascii="宋体" w:hAnsi="宋体" w:eastAsia="等线" w:cs="宋体"/>
                <w:bCs/>
                <w:szCs w:val="21"/>
              </w:rPr>
              <w:t>名及以上时，去掉</w:t>
            </w:r>
            <w:r>
              <w:rPr>
                <w:rFonts w:ascii="宋体" w:hAnsi="宋体" w:eastAsia="等线" w:cs="宋体"/>
                <w:bCs/>
                <w:szCs w:val="21"/>
              </w:rPr>
              <w:t>1</w:t>
            </w:r>
            <w:r>
              <w:rPr>
                <w:rFonts w:hint="eastAsia" w:ascii="宋体" w:hAnsi="宋体" w:eastAsia="等线" w:cs="宋体"/>
                <w:bCs/>
                <w:szCs w:val="21"/>
              </w:rPr>
              <w:t>个最高、</w:t>
            </w:r>
            <w:r>
              <w:rPr>
                <w:rFonts w:ascii="宋体" w:hAnsi="宋体" w:eastAsia="等线" w:cs="宋体"/>
                <w:bCs/>
                <w:szCs w:val="21"/>
              </w:rPr>
              <w:t>1</w:t>
            </w:r>
            <w:r>
              <w:rPr>
                <w:rFonts w:hint="eastAsia" w:ascii="宋体" w:hAnsi="宋体" w:eastAsia="等线" w:cs="宋体"/>
                <w:bCs/>
                <w:szCs w:val="21"/>
              </w:rPr>
              <w:t>个最低值）对应抽取材料单价的算术平均值。</w:t>
            </w:r>
          </w:p>
          <w:p>
            <w:pPr>
              <w:snapToGrid w:val="0"/>
              <w:spacing w:line="480" w:lineRule="exact"/>
              <w:jc w:val="left"/>
              <w:rPr>
                <w:rFonts w:ascii="宋体" w:hAnsi="宋体" w:eastAsia="等线" w:cs="宋体"/>
                <w:bCs/>
                <w:szCs w:val="21"/>
              </w:rPr>
            </w:pPr>
            <w:r>
              <w:rPr>
                <w:rFonts w:hint="eastAsia" w:ascii="宋体" w:hAnsi="宋体" w:eastAsia="等线" w:cs="宋体"/>
                <w:bCs/>
                <w:szCs w:val="21"/>
              </w:rPr>
              <w:t>当投标人报价在材料单价基准值</w:t>
            </w:r>
            <w:r>
              <w:rPr>
                <w:rFonts w:ascii="宋体" w:hAnsi="宋体" w:eastAsia="等线" w:cs="宋体"/>
                <w:bCs/>
                <w:szCs w:val="21"/>
              </w:rPr>
              <w:t>95%–103%</w:t>
            </w:r>
            <w:r>
              <w:rPr>
                <w:rFonts w:hint="eastAsia" w:ascii="宋体" w:hAnsi="宋体" w:eastAsia="等线" w:cs="宋体"/>
                <w:bCs/>
                <w:szCs w:val="21"/>
              </w:rPr>
              <w:t>范围内（不含</w:t>
            </w:r>
            <w:r>
              <w:rPr>
                <w:rFonts w:ascii="宋体" w:hAnsi="宋体" w:eastAsia="等线" w:cs="宋体"/>
                <w:bCs/>
                <w:szCs w:val="21"/>
              </w:rPr>
              <w:t>95%</w:t>
            </w:r>
            <w:r>
              <w:rPr>
                <w:rFonts w:hint="eastAsia" w:ascii="宋体" w:hAnsi="宋体" w:eastAsia="等线" w:cs="宋体"/>
                <w:bCs/>
                <w:szCs w:val="21"/>
              </w:rPr>
              <w:t>和</w:t>
            </w:r>
            <w:r>
              <w:rPr>
                <w:rFonts w:ascii="宋体" w:hAnsi="宋体" w:eastAsia="等线" w:cs="宋体"/>
                <w:bCs/>
                <w:szCs w:val="21"/>
              </w:rPr>
              <w:t>103%</w:t>
            </w:r>
            <w:r>
              <w:rPr>
                <w:rFonts w:hint="eastAsia" w:ascii="宋体" w:hAnsi="宋体" w:eastAsia="等线" w:cs="宋体"/>
                <w:bCs/>
                <w:szCs w:val="21"/>
              </w:rPr>
              <w:t>）每项得0.5分，在材料单价基准值</w:t>
            </w:r>
            <w:r>
              <w:rPr>
                <w:rFonts w:ascii="宋体" w:hAnsi="宋体" w:eastAsia="等线" w:cs="宋体"/>
                <w:bCs/>
                <w:szCs w:val="21"/>
              </w:rPr>
              <w:t>9</w:t>
            </w:r>
            <w:r>
              <w:rPr>
                <w:rFonts w:hint="eastAsia" w:ascii="宋体" w:hAnsi="宋体" w:eastAsia="等线" w:cs="宋体"/>
                <w:bCs/>
                <w:szCs w:val="21"/>
              </w:rPr>
              <w:t>0</w:t>
            </w:r>
            <w:r>
              <w:rPr>
                <w:rFonts w:ascii="宋体" w:hAnsi="宋体" w:eastAsia="等线" w:cs="宋体"/>
                <w:bCs/>
                <w:szCs w:val="21"/>
              </w:rPr>
              <w:t>%–95%</w:t>
            </w:r>
            <w:r>
              <w:rPr>
                <w:rFonts w:hint="eastAsia" w:ascii="宋体" w:hAnsi="宋体" w:eastAsia="等线" w:cs="宋体"/>
                <w:bCs/>
                <w:szCs w:val="21"/>
              </w:rPr>
              <w:t>范围内（含</w:t>
            </w:r>
            <w:r>
              <w:rPr>
                <w:rFonts w:ascii="宋体" w:hAnsi="宋体" w:eastAsia="等线" w:cs="宋体"/>
                <w:bCs/>
                <w:szCs w:val="21"/>
              </w:rPr>
              <w:t>9</w:t>
            </w:r>
            <w:r>
              <w:rPr>
                <w:rFonts w:hint="eastAsia" w:ascii="宋体" w:hAnsi="宋体" w:eastAsia="等线" w:cs="宋体"/>
                <w:bCs/>
                <w:szCs w:val="21"/>
              </w:rPr>
              <w:t>0</w:t>
            </w:r>
            <w:r>
              <w:rPr>
                <w:rFonts w:ascii="宋体" w:hAnsi="宋体" w:eastAsia="等线" w:cs="宋体"/>
                <w:bCs/>
                <w:szCs w:val="21"/>
              </w:rPr>
              <w:t>%</w:t>
            </w:r>
            <w:r>
              <w:rPr>
                <w:rFonts w:hint="eastAsia" w:ascii="宋体" w:hAnsi="宋体" w:eastAsia="等线" w:cs="宋体"/>
                <w:bCs/>
                <w:szCs w:val="21"/>
              </w:rPr>
              <w:t>和</w:t>
            </w:r>
            <w:r>
              <w:rPr>
                <w:rFonts w:ascii="宋体" w:hAnsi="宋体" w:eastAsia="等线" w:cs="宋体"/>
                <w:bCs/>
                <w:szCs w:val="21"/>
              </w:rPr>
              <w:t>95%</w:t>
            </w:r>
            <w:r>
              <w:rPr>
                <w:rFonts w:hint="eastAsia" w:ascii="宋体" w:hAnsi="宋体" w:eastAsia="等线" w:cs="宋体"/>
                <w:bCs/>
                <w:szCs w:val="21"/>
              </w:rPr>
              <w:t>）每项得</w:t>
            </w:r>
            <w:r>
              <w:rPr>
                <w:rFonts w:ascii="宋体" w:hAnsi="宋体" w:eastAsia="等线" w:cs="宋体"/>
                <w:bCs/>
                <w:szCs w:val="21"/>
              </w:rPr>
              <w:t>0.</w:t>
            </w:r>
            <w:r>
              <w:rPr>
                <w:rFonts w:hint="eastAsia" w:ascii="宋体" w:hAnsi="宋体" w:eastAsia="等线" w:cs="宋体"/>
                <w:bCs/>
                <w:szCs w:val="21"/>
              </w:rPr>
              <w:t>2</w:t>
            </w:r>
            <w:r>
              <w:rPr>
                <w:rFonts w:ascii="宋体" w:hAnsi="宋体" w:eastAsia="等线" w:cs="宋体"/>
                <w:bCs/>
                <w:szCs w:val="21"/>
              </w:rPr>
              <w:t>5</w:t>
            </w:r>
            <w:r>
              <w:rPr>
                <w:rFonts w:hint="eastAsia" w:ascii="宋体" w:hAnsi="宋体" w:eastAsia="等线" w:cs="宋体"/>
                <w:bCs/>
                <w:szCs w:val="21"/>
              </w:rPr>
              <w:t>分。超出该范围的不得分。材料单价与综合单价组成中价格不一致时该项为</w:t>
            </w:r>
            <w:r>
              <w:rPr>
                <w:rFonts w:ascii="宋体" w:hAnsi="宋体" w:eastAsia="等线" w:cs="宋体"/>
                <w:bCs/>
                <w:szCs w:val="21"/>
              </w:rPr>
              <w:t>0</w:t>
            </w:r>
            <w:r>
              <w:rPr>
                <w:rFonts w:hint="eastAsia" w:ascii="宋体" w:hAnsi="宋体" w:eastAsia="等线"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747" w:type="dxa"/>
            <w:gridSpan w:val="7"/>
            <w:vAlign w:val="center"/>
          </w:tcPr>
          <w:p>
            <w:pPr>
              <w:snapToGrid w:val="0"/>
              <w:spacing w:line="480" w:lineRule="exact"/>
              <w:jc w:val="left"/>
              <w:rPr>
                <w:rFonts w:ascii="宋体" w:hAnsi="宋体" w:eastAsia="等线" w:cs="宋体"/>
                <w:b/>
                <w:bCs/>
                <w:szCs w:val="21"/>
              </w:rPr>
            </w:pPr>
            <w:r>
              <w:rPr>
                <w:rFonts w:hint="eastAsia" w:ascii="宋体" w:hAnsi="宋体" w:eastAsia="等线" w:cs="宋体"/>
                <w:b/>
                <w:bCs/>
                <w:szCs w:val="21"/>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9747" w:type="dxa"/>
            <w:gridSpan w:val="7"/>
            <w:vAlign w:val="center"/>
          </w:tcPr>
          <w:p>
            <w:pPr>
              <w:snapToGrid w:val="0"/>
              <w:spacing w:line="480" w:lineRule="exact"/>
              <w:jc w:val="left"/>
              <w:rPr>
                <w:rFonts w:ascii="宋体" w:hAnsi="宋体" w:eastAsia="等线" w:cs="宋体"/>
                <w:b/>
                <w:bCs/>
                <w:szCs w:val="21"/>
                <w:highlight w:val="yellow"/>
              </w:rPr>
            </w:pPr>
            <w:r>
              <w:rPr>
                <w:rFonts w:hint="eastAsia" w:ascii="宋体" w:hAnsi="宋体" w:eastAsia="等线" w:cs="宋体"/>
                <w:b/>
                <w:bCs/>
                <w:szCs w:val="21"/>
              </w:rPr>
              <w:t>（三）综合标的评标分值：25分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序号</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项目</w:t>
            </w:r>
          </w:p>
        </w:tc>
        <w:tc>
          <w:tcPr>
            <w:tcW w:w="6407" w:type="dxa"/>
            <w:gridSpan w:val="3"/>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评审标准</w:t>
            </w:r>
          </w:p>
        </w:tc>
        <w:tc>
          <w:tcPr>
            <w:tcW w:w="1544"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1</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企业业绩</w:t>
            </w:r>
          </w:p>
        </w:tc>
        <w:tc>
          <w:tcPr>
            <w:tcW w:w="6407" w:type="dxa"/>
            <w:gridSpan w:val="3"/>
            <w:vAlign w:val="center"/>
          </w:tcPr>
          <w:p>
            <w:pPr>
              <w:snapToGrid w:val="0"/>
              <w:spacing w:line="480" w:lineRule="exact"/>
              <w:jc w:val="left"/>
              <w:rPr>
                <w:rFonts w:ascii="宋体" w:hAnsi="宋体" w:eastAsia="等线"/>
                <w:szCs w:val="21"/>
              </w:rPr>
            </w:pPr>
            <w:r>
              <w:rPr>
                <w:rFonts w:hint="eastAsia" w:ascii="宋体" w:hAnsi="宋体" w:eastAsia="等线"/>
                <w:szCs w:val="21"/>
              </w:rPr>
              <w:t>企业2016年1月1日以来，具有管网工程或道路工程业绩的，每项得2分，本项最高得4分。</w:t>
            </w:r>
          </w:p>
          <w:p>
            <w:pPr>
              <w:snapToGrid w:val="0"/>
              <w:spacing w:line="480" w:lineRule="exact"/>
              <w:jc w:val="left"/>
              <w:rPr>
                <w:rFonts w:ascii="宋体" w:hAnsi="宋体" w:eastAsia="等线" w:cs="宋体"/>
                <w:b/>
                <w:bCs/>
                <w:szCs w:val="21"/>
              </w:rPr>
            </w:pPr>
            <w:r>
              <w:rPr>
                <w:rFonts w:hint="eastAsia" w:ascii="宋体" w:hAnsi="宋体" w:eastAsia="等线" w:cs="宋体"/>
                <w:b/>
                <w:bCs/>
                <w:szCs w:val="21"/>
              </w:rPr>
              <w:t>注：</w:t>
            </w:r>
            <w:r>
              <w:rPr>
                <w:rFonts w:hint="eastAsia" w:ascii="宋体" w:hAnsi="宋体" w:eastAsia="等线" w:cs="宋体"/>
                <w:bCs/>
                <w:szCs w:val="21"/>
              </w:rPr>
              <w:t>以合同、中标通知书、竣工验收证明资料、中标公示网站截图为准，缺任何一项均不得分,且单项合同金额不低于本项目招标控制价。</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0</w:t>
            </w:r>
            <w:r>
              <w:rPr>
                <w:rFonts w:ascii="等线" w:hAnsi="等线" w:eastAsia="等线"/>
                <w:szCs w:val="21"/>
              </w:rPr>
              <w:t>≤</w:t>
            </w:r>
            <w:r>
              <w:rPr>
                <w:rFonts w:hint="eastAsia" w:ascii="宋体" w:hAnsi="宋体" w:eastAsia="等线" w:cs="宋体"/>
                <w:bCs/>
                <w:szCs w:val="21"/>
              </w:rPr>
              <w:t>得分</w:t>
            </w:r>
            <w:r>
              <w:rPr>
                <w:rFonts w:ascii="宋体" w:hAnsi="宋体" w:eastAsia="等线"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2</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项目负责人业绩</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拟派项目负责人自2016年1月</w:t>
            </w:r>
            <w:r>
              <w:rPr>
                <w:rFonts w:ascii="宋体" w:hAnsi="宋体" w:eastAsia="等线" w:cs="宋体"/>
                <w:bCs/>
                <w:szCs w:val="21"/>
              </w:rPr>
              <w:t>1日</w:t>
            </w:r>
            <w:r>
              <w:rPr>
                <w:rFonts w:hint="eastAsia" w:ascii="宋体" w:hAnsi="宋体" w:eastAsia="等线" w:cs="宋体"/>
                <w:bCs/>
                <w:szCs w:val="21"/>
              </w:rPr>
              <w:t>以来，</w:t>
            </w:r>
            <w:r>
              <w:rPr>
                <w:rFonts w:hint="eastAsia" w:ascii="宋体" w:hAnsi="宋体" w:eastAsia="等线" w:cs="宋体"/>
                <w:szCs w:val="21"/>
              </w:rPr>
              <w:t>具有</w:t>
            </w:r>
            <w:r>
              <w:rPr>
                <w:rFonts w:hint="eastAsia" w:ascii="宋体" w:hAnsi="宋体" w:eastAsia="等线"/>
                <w:szCs w:val="21"/>
              </w:rPr>
              <w:t>管网工程、道路工程</w:t>
            </w:r>
            <w:r>
              <w:rPr>
                <w:rFonts w:hint="eastAsia" w:ascii="宋体" w:hAnsi="宋体" w:eastAsia="等线" w:cs="宋体"/>
                <w:szCs w:val="21"/>
              </w:rPr>
              <w:t>业绩的，每项得2分，本项最高得分6分</w:t>
            </w:r>
            <w:r>
              <w:rPr>
                <w:rFonts w:hint="eastAsia" w:ascii="宋体" w:hAnsi="宋体" w:eastAsia="等线" w:cs="宋体"/>
                <w:bCs/>
                <w:szCs w:val="21"/>
              </w:rPr>
              <w:t>。</w:t>
            </w:r>
          </w:p>
          <w:p>
            <w:pPr>
              <w:snapToGrid w:val="0"/>
              <w:spacing w:line="480" w:lineRule="exact"/>
              <w:jc w:val="left"/>
              <w:rPr>
                <w:rFonts w:ascii="宋体" w:hAnsi="宋体" w:eastAsia="等线" w:cs="宋体"/>
                <w:bCs/>
                <w:szCs w:val="21"/>
              </w:rPr>
            </w:pPr>
            <w:r>
              <w:rPr>
                <w:rFonts w:hint="eastAsia" w:ascii="宋体" w:hAnsi="宋体" w:eastAsia="等线" w:cs="宋体"/>
                <w:b/>
                <w:bCs/>
                <w:szCs w:val="21"/>
              </w:rPr>
              <w:t>注：</w:t>
            </w:r>
            <w:r>
              <w:rPr>
                <w:rFonts w:hint="eastAsia" w:ascii="宋体" w:hAnsi="宋体" w:eastAsia="等线" w:cs="宋体"/>
                <w:bCs/>
                <w:szCs w:val="21"/>
              </w:rPr>
              <w:t>以合同、中标通知书、竣工验收证明资料、中标公示网站截图为准，缺任何一项均不得分,且单项合同金额不低于本项目招标控制价。</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0</w:t>
            </w:r>
            <w:r>
              <w:rPr>
                <w:rFonts w:ascii="等线" w:hAnsi="等线" w:eastAsia="等线"/>
                <w:szCs w:val="21"/>
              </w:rPr>
              <w:t>≤</w:t>
            </w:r>
            <w:r>
              <w:rPr>
                <w:rFonts w:hint="eastAsia" w:ascii="宋体" w:hAnsi="宋体" w:eastAsia="等线" w:cs="宋体"/>
                <w:bCs/>
                <w:szCs w:val="21"/>
              </w:rPr>
              <w:t>得分</w:t>
            </w:r>
            <w:r>
              <w:rPr>
                <w:rFonts w:ascii="宋体" w:hAnsi="宋体" w:eastAsia="等线" w:cs="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Merge w:val="restart"/>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3</w:t>
            </w:r>
          </w:p>
        </w:tc>
        <w:tc>
          <w:tcPr>
            <w:tcW w:w="1262" w:type="dxa"/>
            <w:vMerge w:val="restart"/>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优惠承诺</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优惠承诺应是书面的符合工程实际情况，确保依法依规，优惠合理，详实可行。</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3</w:t>
            </w:r>
            <w:r>
              <w:rPr>
                <w:rFonts w:hint="eastAsia" w:ascii="宋体" w:hAnsi="宋体" w:eastAsia="等线" w:cs="宋体"/>
                <w:bCs/>
                <w:szCs w:val="21"/>
              </w:rPr>
              <w:t>＜得分</w:t>
            </w:r>
            <w:r>
              <w:rPr>
                <w:rFonts w:ascii="宋体" w:hAnsi="宋体" w:eastAsia="等线"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Merge w:val="continue"/>
            <w:vAlign w:val="center"/>
          </w:tcPr>
          <w:p>
            <w:pPr>
              <w:snapToGrid w:val="0"/>
              <w:spacing w:line="480" w:lineRule="exact"/>
              <w:jc w:val="center"/>
              <w:rPr>
                <w:rFonts w:ascii="宋体" w:hAnsi="宋体" w:eastAsia="等线" w:cs="宋体"/>
                <w:bCs/>
                <w:szCs w:val="21"/>
              </w:rPr>
            </w:pPr>
          </w:p>
        </w:tc>
        <w:tc>
          <w:tcPr>
            <w:tcW w:w="1262" w:type="dxa"/>
            <w:vMerge w:val="continue"/>
            <w:vAlign w:val="center"/>
          </w:tcPr>
          <w:p>
            <w:pPr>
              <w:snapToGrid w:val="0"/>
              <w:spacing w:line="480" w:lineRule="exact"/>
              <w:jc w:val="center"/>
              <w:rPr>
                <w:rFonts w:ascii="宋体" w:hAnsi="宋体" w:eastAsia="等线" w:cs="宋体"/>
                <w:bCs/>
                <w:szCs w:val="21"/>
              </w:rPr>
            </w:pPr>
          </w:p>
        </w:tc>
        <w:tc>
          <w:tcPr>
            <w:tcW w:w="6407" w:type="dxa"/>
            <w:gridSpan w:val="3"/>
            <w:vAlign w:val="center"/>
          </w:tcPr>
          <w:p>
            <w:pPr>
              <w:snapToGrid w:val="0"/>
              <w:spacing w:line="480" w:lineRule="exact"/>
              <w:jc w:val="left"/>
              <w:rPr>
                <w:rFonts w:ascii="等线" w:hAnsi="等线" w:eastAsia="等线"/>
                <w:szCs w:val="21"/>
              </w:rPr>
            </w:pPr>
            <w:r>
              <w:rPr>
                <w:rFonts w:hint="eastAsia" w:ascii="宋体" w:hAnsi="宋体" w:eastAsia="等线" w:cs="宋体"/>
                <w:bCs/>
                <w:szCs w:val="21"/>
              </w:rPr>
              <w:t>优惠承诺符合工程实际情况，确保依法依规，优惠基本合理，基本详实可行。</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Merge w:val="restart"/>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4</w:t>
            </w:r>
          </w:p>
        </w:tc>
        <w:tc>
          <w:tcPr>
            <w:tcW w:w="1262" w:type="dxa"/>
            <w:vMerge w:val="restart"/>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履职尽责承诺</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2</w:t>
            </w:r>
            <w:r>
              <w:rPr>
                <w:rFonts w:hint="eastAsia" w:ascii="宋体" w:hAnsi="宋体" w:eastAsia="等线" w:cs="宋体"/>
                <w:bCs/>
                <w:szCs w:val="21"/>
              </w:rPr>
              <w:t>＜得分</w:t>
            </w:r>
            <w:r>
              <w:rPr>
                <w:rFonts w:ascii="宋体" w:hAnsi="宋体" w:eastAsia="等线" w:cs="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Merge w:val="continue"/>
            <w:vAlign w:val="center"/>
          </w:tcPr>
          <w:p>
            <w:pPr>
              <w:snapToGrid w:val="0"/>
              <w:spacing w:line="480" w:lineRule="exact"/>
              <w:jc w:val="center"/>
              <w:rPr>
                <w:rFonts w:ascii="宋体" w:hAnsi="宋体" w:eastAsia="等线" w:cs="宋体"/>
                <w:bCs/>
                <w:szCs w:val="21"/>
              </w:rPr>
            </w:pPr>
          </w:p>
        </w:tc>
        <w:tc>
          <w:tcPr>
            <w:tcW w:w="1262" w:type="dxa"/>
            <w:vMerge w:val="continue"/>
            <w:vAlign w:val="center"/>
          </w:tcPr>
          <w:p>
            <w:pPr>
              <w:snapToGrid w:val="0"/>
              <w:spacing w:line="480" w:lineRule="exact"/>
              <w:jc w:val="center"/>
              <w:rPr>
                <w:rFonts w:ascii="宋体" w:hAnsi="宋体" w:eastAsia="等线" w:cs="宋体"/>
                <w:bCs/>
                <w:szCs w:val="21"/>
              </w:rPr>
            </w:pP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1≤</w:t>
            </w:r>
            <w:r>
              <w:rPr>
                <w:rFonts w:hint="eastAsia" w:ascii="宋体" w:hAnsi="宋体" w:eastAsia="等线" w:cs="宋体"/>
                <w:bCs/>
                <w:szCs w:val="21"/>
              </w:rPr>
              <w:t>得分</w:t>
            </w:r>
            <w:r>
              <w:rPr>
                <w:rFonts w:ascii="宋体" w:hAnsi="宋体" w:eastAsia="等线"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5</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企业信用（含纳税诚信）</w:t>
            </w:r>
          </w:p>
        </w:tc>
        <w:tc>
          <w:tcPr>
            <w:tcW w:w="6407" w:type="dxa"/>
            <w:gridSpan w:val="3"/>
            <w:vAlign w:val="center"/>
          </w:tcPr>
          <w:p>
            <w:pPr>
              <w:snapToGrid w:val="0"/>
              <w:spacing w:line="480" w:lineRule="exact"/>
              <w:jc w:val="left"/>
              <w:rPr>
                <w:rFonts w:ascii="宋体" w:hAnsi="宋体" w:eastAsia="等线"/>
                <w:color w:val="000000" w:themeColor="text1"/>
                <w:szCs w:val="21"/>
              </w:rPr>
            </w:pPr>
            <w:r>
              <w:rPr>
                <w:rFonts w:hint="eastAsia" w:ascii="宋体" w:hAnsi="宋体" w:eastAsia="等线"/>
                <w:color w:val="000000" w:themeColor="text1"/>
                <w:szCs w:val="21"/>
              </w:rPr>
              <w:t>1、企业2016年1月1日以来，</w:t>
            </w:r>
            <w:r>
              <w:rPr>
                <w:rFonts w:hint="eastAsia" w:ascii="宋体" w:hAnsi="宋体" w:eastAsia="等线"/>
                <w:b/>
                <w:color w:val="000000" w:themeColor="text1"/>
                <w:szCs w:val="21"/>
              </w:rPr>
              <w:t>获得过省级及以上建筑、市政行业行政主管部门或协会颁发的先进（或优秀）企业奖项的，</w:t>
            </w:r>
            <w:r>
              <w:rPr>
                <w:rFonts w:hint="eastAsia" w:ascii="宋体" w:hAnsi="宋体" w:eastAsia="等线"/>
                <w:color w:val="000000" w:themeColor="text1"/>
                <w:szCs w:val="21"/>
              </w:rPr>
              <w:t>每项得1分，本项最高得4分（以获奖证书为准）；</w:t>
            </w:r>
          </w:p>
          <w:p>
            <w:pPr>
              <w:snapToGrid w:val="0"/>
              <w:spacing w:line="480" w:lineRule="exact"/>
              <w:jc w:val="left"/>
              <w:rPr>
                <w:rFonts w:ascii="宋体" w:hAnsi="宋体" w:eastAsia="等线"/>
                <w:color w:val="000000" w:themeColor="text1"/>
                <w:szCs w:val="21"/>
              </w:rPr>
            </w:pPr>
            <w:r>
              <w:rPr>
                <w:rFonts w:hint="eastAsia" w:ascii="宋体" w:hAnsi="宋体" w:eastAsia="等线"/>
                <w:color w:val="000000" w:themeColor="text1"/>
                <w:szCs w:val="21"/>
              </w:rPr>
              <w:t>2、</w:t>
            </w:r>
            <w:r>
              <w:rPr>
                <w:rFonts w:hint="eastAsia" w:ascii="宋体" w:hAnsi="宋体" w:eastAsia="等线"/>
                <w:bCs/>
                <w:color w:val="000000" w:themeColor="text1"/>
                <w:szCs w:val="21"/>
              </w:rPr>
              <w:t>有不良信用信息的，每一项扣1分，最多扣4分。</w:t>
            </w:r>
          </w:p>
        </w:tc>
        <w:tc>
          <w:tcPr>
            <w:tcW w:w="1544"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-4</w:t>
            </w:r>
            <w:r>
              <w:rPr>
                <w:rFonts w:ascii="宋体" w:hAnsi="宋体" w:eastAsia="等线" w:cs="宋体"/>
                <w:bCs/>
                <w:szCs w:val="21"/>
              </w:rPr>
              <w:t>≤</w:t>
            </w:r>
            <w:r>
              <w:rPr>
                <w:rFonts w:hint="eastAsia" w:ascii="宋体" w:hAnsi="宋体" w:eastAsia="等线" w:cs="宋体"/>
                <w:bCs/>
                <w:szCs w:val="21"/>
              </w:rPr>
              <w:t>得分</w:t>
            </w:r>
            <w:r>
              <w:rPr>
                <w:rFonts w:ascii="宋体" w:hAnsi="宋体" w:eastAsia="等线" w:cs="宋体"/>
                <w:bCs/>
                <w:szCs w:val="21"/>
              </w:rPr>
              <w:t>≤</w:t>
            </w:r>
            <w:r>
              <w:rPr>
                <w:rFonts w:hint="eastAsia" w:ascii="宋体" w:hAnsi="宋体" w:eastAsia="等线" w:cs="宋体"/>
                <w:bCs/>
                <w:szCs w:val="21"/>
              </w:rPr>
              <w:t>0-</w:t>
            </w:r>
            <w:r>
              <w:rPr>
                <w:rFonts w:ascii="宋体" w:hAnsi="宋体" w:eastAsia="等线"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6</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项目负责人信用</w:t>
            </w:r>
          </w:p>
        </w:tc>
        <w:tc>
          <w:tcPr>
            <w:tcW w:w="6407" w:type="dxa"/>
            <w:gridSpan w:val="3"/>
            <w:vAlign w:val="center"/>
          </w:tcPr>
          <w:p>
            <w:pPr>
              <w:snapToGrid w:val="0"/>
              <w:spacing w:line="480" w:lineRule="exact"/>
              <w:jc w:val="left"/>
              <w:rPr>
                <w:rFonts w:ascii="等线" w:hAnsi="宋体" w:eastAsia="等线" w:cs="宋体"/>
                <w:color w:val="000000" w:themeColor="text1"/>
                <w:szCs w:val="21"/>
              </w:rPr>
            </w:pPr>
            <w:r>
              <w:rPr>
                <w:rFonts w:hint="eastAsia" w:ascii="宋体" w:hAnsi="宋体" w:eastAsia="等线"/>
                <w:color w:val="000000" w:themeColor="text1"/>
                <w:szCs w:val="21"/>
              </w:rPr>
              <w:t>1、项目负责人2016年1月1日以来，</w:t>
            </w:r>
            <w:r>
              <w:rPr>
                <w:rFonts w:hint="eastAsia" w:ascii="等线" w:hAnsi="宋体" w:eastAsia="等线" w:cs="宋体"/>
                <w:b/>
                <w:color w:val="000000" w:themeColor="text1"/>
                <w:szCs w:val="21"/>
              </w:rPr>
              <w:t>获得过</w:t>
            </w:r>
            <w:r>
              <w:rPr>
                <w:rFonts w:hint="eastAsia" w:ascii="等线" w:hAnsi="宋体" w:eastAsia="等线" w:cs="宋体"/>
                <w:b/>
                <w:bCs/>
                <w:color w:val="000000" w:themeColor="text1"/>
                <w:szCs w:val="21"/>
              </w:rPr>
              <w:t>市级建筑、市政</w:t>
            </w:r>
            <w:r>
              <w:rPr>
                <w:rFonts w:hint="eastAsia" w:ascii="宋体" w:hAnsi="宋体" w:eastAsia="等线"/>
                <w:b/>
                <w:color w:val="000000" w:themeColor="text1"/>
                <w:szCs w:val="21"/>
              </w:rPr>
              <w:t>行业行政主管部门或协会</w:t>
            </w:r>
            <w:r>
              <w:rPr>
                <w:rFonts w:hint="eastAsia" w:ascii="等线" w:hAnsi="宋体" w:eastAsia="等线" w:cs="宋体"/>
                <w:b/>
                <w:bCs/>
                <w:color w:val="000000" w:themeColor="text1"/>
                <w:szCs w:val="21"/>
              </w:rPr>
              <w:t>奖项/荣誉</w:t>
            </w:r>
            <w:r>
              <w:rPr>
                <w:rFonts w:hint="eastAsia" w:ascii="等线" w:hAnsi="宋体" w:eastAsia="等线" w:cs="宋体"/>
                <w:b/>
                <w:color w:val="000000" w:themeColor="text1"/>
                <w:szCs w:val="21"/>
              </w:rPr>
              <w:t>的得1分；获得过</w:t>
            </w:r>
            <w:r>
              <w:rPr>
                <w:rFonts w:hint="eastAsia" w:ascii="宋体" w:hAnsi="宋体" w:eastAsia="等线"/>
                <w:b/>
                <w:color w:val="000000" w:themeColor="text1"/>
                <w:szCs w:val="21"/>
              </w:rPr>
              <w:t>省级及以上建筑、市政行业行政主管部门或协会</w:t>
            </w:r>
            <w:r>
              <w:rPr>
                <w:rFonts w:hint="eastAsia" w:ascii="等线" w:hAnsi="等线" w:eastAsia="等线"/>
                <w:b/>
                <w:color w:val="000000" w:themeColor="text1"/>
                <w:szCs w:val="21"/>
              </w:rPr>
              <w:t>奖项/荣誉的</w:t>
            </w:r>
            <w:r>
              <w:rPr>
                <w:rFonts w:hint="eastAsia" w:ascii="等线" w:hAnsi="宋体" w:eastAsia="等线" w:cs="宋体"/>
                <w:b/>
                <w:color w:val="000000" w:themeColor="text1"/>
                <w:szCs w:val="21"/>
              </w:rPr>
              <w:t>得2分，</w:t>
            </w:r>
            <w:r>
              <w:rPr>
                <w:rFonts w:hint="eastAsia" w:ascii="等线" w:hAnsi="宋体" w:eastAsia="等线" w:cs="宋体"/>
                <w:color w:val="000000" w:themeColor="text1"/>
                <w:szCs w:val="21"/>
              </w:rPr>
              <w:t>本项最高得2分；</w:t>
            </w:r>
          </w:p>
          <w:p>
            <w:pPr>
              <w:snapToGrid w:val="0"/>
              <w:spacing w:line="480" w:lineRule="exact"/>
              <w:jc w:val="left"/>
              <w:rPr>
                <w:rFonts w:ascii="等线" w:hAnsi="宋体" w:eastAsia="等线" w:cs="宋体"/>
                <w:color w:val="FF0000"/>
                <w:szCs w:val="21"/>
              </w:rPr>
            </w:pPr>
            <w:r>
              <w:rPr>
                <w:rFonts w:hint="eastAsia" w:ascii="等线" w:hAnsi="宋体" w:eastAsia="等线" w:cs="宋体"/>
                <w:color w:val="000000" w:themeColor="text1"/>
                <w:szCs w:val="21"/>
              </w:rPr>
              <w:t>2、</w:t>
            </w:r>
            <w:r>
              <w:rPr>
                <w:rFonts w:hint="eastAsia" w:ascii="宋体" w:hAnsi="宋体" w:eastAsia="等线"/>
                <w:bCs/>
                <w:color w:val="000000" w:themeColor="text1"/>
                <w:szCs w:val="21"/>
              </w:rPr>
              <w:t>有不良信用信息的，每一项扣1分，最多扣2分。</w:t>
            </w:r>
          </w:p>
        </w:tc>
        <w:tc>
          <w:tcPr>
            <w:tcW w:w="1544"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-2</w:t>
            </w:r>
            <w:r>
              <w:rPr>
                <w:rFonts w:ascii="宋体" w:hAnsi="宋体" w:eastAsia="等线" w:cs="宋体"/>
                <w:bCs/>
                <w:szCs w:val="21"/>
              </w:rPr>
              <w:t>≤</w:t>
            </w:r>
            <w:r>
              <w:rPr>
                <w:rFonts w:hint="eastAsia" w:ascii="宋体" w:hAnsi="宋体" w:eastAsia="等线" w:cs="宋体"/>
                <w:bCs/>
                <w:szCs w:val="21"/>
              </w:rPr>
              <w:t>得分</w:t>
            </w:r>
            <w:r>
              <w:rPr>
                <w:rFonts w:ascii="宋体" w:hAnsi="宋体" w:eastAsia="等线" w:cs="宋体"/>
                <w:bCs/>
                <w:szCs w:val="21"/>
              </w:rPr>
              <w:t>≤</w:t>
            </w:r>
            <w:r>
              <w:rPr>
                <w:rFonts w:hint="eastAsia" w:ascii="宋体" w:hAnsi="宋体" w:eastAsia="等线" w:cs="宋体"/>
                <w:bCs/>
                <w:szCs w:val="21"/>
              </w:rPr>
              <w:t>0-</w:t>
            </w:r>
            <w:r>
              <w:rPr>
                <w:rFonts w:ascii="宋体" w:hAnsi="宋体" w:eastAsia="等线"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7</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招标人意见</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等线" w:hAnsi="宋体" w:eastAsia="等线" w:cs="宋体"/>
                <w:sz w:val="24"/>
              </w:rPr>
              <w:t>投标单位均为2分</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0≤</w:t>
            </w:r>
            <w:r>
              <w:rPr>
                <w:rFonts w:hint="eastAsia" w:ascii="宋体" w:hAnsi="宋体" w:eastAsia="等线" w:cs="宋体"/>
                <w:bCs/>
                <w:szCs w:val="21"/>
              </w:rPr>
              <w:t>得分</w:t>
            </w:r>
            <w:r>
              <w:rPr>
                <w:rFonts w:ascii="宋体" w:hAnsi="宋体" w:eastAsia="等线" w:cs="宋体"/>
                <w:bCs/>
                <w:szCs w:val="21"/>
              </w:rPr>
              <w:t>≤2</w:t>
            </w:r>
            <w:r>
              <w:rPr>
                <w:rFonts w:hint="eastAsia" w:ascii="宋体" w:hAnsi="宋体" w:eastAsia="等线" w:cs="宋体"/>
                <w:bCs/>
                <w:szCs w:val="21"/>
              </w:rPr>
              <w:t>分</w:t>
            </w:r>
          </w:p>
        </w:tc>
      </w:tr>
      <w:bookmarkEnd w:id="282"/>
      <w:bookmarkEnd w:id="283"/>
      <w:bookmarkEnd w:id="284"/>
      <w:bookmarkEnd w:id="285"/>
    </w:tbl>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r>
        <w:rPr>
          <w:rFonts w:hint="eastAsia" w:ascii="宋体" w:hAnsi="宋体"/>
          <w:b/>
          <w:bCs/>
          <w:szCs w:val="21"/>
        </w:rPr>
        <w:t>注：1、</w:t>
      </w:r>
      <w:r>
        <w:rPr>
          <w:rFonts w:ascii="宋体" w:hAnsi="宋体" w:cs="宋体"/>
          <w:b/>
          <w:szCs w:val="21"/>
        </w:rPr>
        <w:t>业绩以合同签订日期为准，获奖证书以发证日期为准</w:t>
      </w:r>
      <w:r>
        <w:rPr>
          <w:rFonts w:hint="eastAsia" w:ascii="宋体" w:hAnsi="宋体" w:cs="宋体"/>
          <w:b/>
          <w:szCs w:val="21"/>
        </w:rPr>
        <w:t>；</w:t>
      </w:r>
    </w:p>
    <w:p>
      <w:pPr>
        <w:adjustRightInd w:val="0"/>
        <w:snapToGrid w:val="0"/>
        <w:spacing w:line="360" w:lineRule="auto"/>
        <w:rPr>
          <w:rFonts w:ascii="宋体" w:hAnsi="宋体"/>
          <w:b/>
          <w:bCs/>
          <w:szCs w:val="21"/>
        </w:rPr>
      </w:pPr>
      <w:r>
        <w:rPr>
          <w:rFonts w:hint="eastAsia" w:ascii="宋体" w:hAnsi="宋体"/>
          <w:b/>
          <w:bCs/>
          <w:szCs w:val="21"/>
        </w:rPr>
        <w:t xml:space="preserve">    2、</w:t>
      </w:r>
      <w:r>
        <w:rPr>
          <w:rFonts w:ascii="宋体" w:hAnsi="宋体" w:cs="宋体"/>
          <w:b/>
          <w:szCs w:val="21"/>
        </w:rPr>
        <w:t>凡评标办法里涉及到的证书、证件及业绩材料等，均应在电子版投标文件中附其原件扫描件（或图片），否则该项得分应作0分处理。</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3、</w:t>
      </w:r>
      <w:r>
        <w:rPr>
          <w:rFonts w:hint="eastAsia" w:ascii="宋体" w:hAnsi="宋体" w:cs="宋体"/>
          <w:b/>
          <w:szCs w:val="21"/>
        </w:rPr>
        <w:t>所提供的人员需为本单位正式员工，以近一年来社保缴纳凭证为准；</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4、项目负责人业绩和企业业绩不可以重复计算。</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5、不良信用信息采集见信用中国、国家企业信用信息公示系统和全国法院失信被执行人名单信息公布与查询平台网站中公示的与建筑活动有关的信息。</w:t>
      </w:r>
    </w:p>
    <w:p>
      <w:pPr>
        <w:snapToGrid w:val="0"/>
        <w:spacing w:line="480" w:lineRule="exact"/>
        <w:rPr>
          <w:rFonts w:ascii="宋体" w:hAnsi="宋体" w:cs="宋体"/>
          <w:szCs w:val="21"/>
        </w:rPr>
      </w:pPr>
      <w:r>
        <w:rPr>
          <w:rFonts w:hint="eastAsia" w:ascii="宋体" w:hAnsi="宋体" w:cs="宋体"/>
          <w:b/>
          <w:bCs/>
          <w:szCs w:val="21"/>
        </w:rPr>
        <w:t>（五）投标人综合得分</w:t>
      </w:r>
    </w:p>
    <w:p>
      <w:pPr>
        <w:snapToGrid w:val="0"/>
        <w:spacing w:line="480" w:lineRule="exact"/>
        <w:ind w:firstLine="480"/>
        <w:rPr>
          <w:rFonts w:ascii="宋体" w:hAnsi="宋体" w:cs="宋体"/>
          <w:szCs w:val="21"/>
        </w:rPr>
      </w:pPr>
      <w:r>
        <w:rPr>
          <w:rFonts w:hint="eastAsia" w:ascii="宋体" w:hAnsi="宋体" w:cs="宋体"/>
          <w:szCs w:val="21"/>
        </w:rPr>
        <w:t xml:space="preserve">投标人综合得分＝技术标得分＋商务标得分＋综合标得分 </w:t>
      </w:r>
    </w:p>
    <w:p>
      <w:pPr>
        <w:spacing w:line="480" w:lineRule="exact"/>
        <w:rPr>
          <w:rFonts w:ascii="宋体" w:hAnsi="宋体" w:cs="宋体"/>
          <w:b/>
          <w:szCs w:val="21"/>
        </w:rPr>
      </w:pPr>
      <w:r>
        <w:rPr>
          <w:rFonts w:hint="eastAsia" w:ascii="宋体" w:hAnsi="宋体" w:cs="宋体"/>
          <w:b/>
          <w:szCs w:val="21"/>
        </w:rPr>
        <w:t xml:space="preserve">（六）投标人的最终得分及中标候选人排序 </w:t>
      </w:r>
    </w:p>
    <w:p>
      <w:pPr>
        <w:spacing w:line="480" w:lineRule="exact"/>
        <w:ind w:firstLine="420" w:firstLineChars="200"/>
        <w:rPr>
          <w:rFonts w:ascii="宋体" w:hAnsi="宋体" w:cs="宋体"/>
          <w:szCs w:val="21"/>
        </w:rPr>
      </w:pPr>
      <w:r>
        <w:rPr>
          <w:rFonts w:hint="eastAsia" w:ascii="宋体" w:hAnsi="宋体" w:cs="宋体"/>
          <w:szCs w:val="21"/>
        </w:rPr>
        <w:t>1.1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pacing w:line="480" w:lineRule="exact"/>
        <w:ind w:firstLine="420" w:firstLineChars="200"/>
        <w:rPr>
          <w:rFonts w:ascii="宋体" w:hAnsi="宋体" w:cs="宋体"/>
          <w:szCs w:val="21"/>
        </w:rPr>
      </w:pPr>
      <w:r>
        <w:rPr>
          <w:rFonts w:hint="eastAsia" w:ascii="宋体" w:hAnsi="宋体" w:cs="宋体"/>
          <w:bCs/>
          <w:szCs w:val="21"/>
        </w:rPr>
        <w:t>1.2评标委员会人数在5人以上时，去掉一个最高分和一个最低分取平均值；评标委员会人数在5人时，取所有评委评分的平均值。</w:t>
      </w:r>
    </w:p>
    <w:p>
      <w:pPr>
        <w:spacing w:line="480" w:lineRule="exact"/>
        <w:ind w:firstLine="420" w:firstLineChars="200"/>
        <w:rPr>
          <w:rFonts w:ascii="宋体" w:hAnsi="宋体" w:cs="宋体"/>
          <w:szCs w:val="21"/>
        </w:rPr>
      </w:pPr>
      <w:r>
        <w:rPr>
          <w:rFonts w:hint="eastAsia" w:ascii="宋体" w:hAnsi="宋体" w:cs="宋体"/>
          <w:szCs w:val="21"/>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80" w:lineRule="exact"/>
        <w:ind w:firstLine="422" w:firstLineChars="200"/>
        <w:rPr>
          <w:rFonts w:ascii="宋体" w:hAnsi="宋体" w:cs="宋体"/>
          <w:b/>
          <w:bCs/>
          <w:szCs w:val="21"/>
        </w:rPr>
      </w:pPr>
      <w:r>
        <w:rPr>
          <w:rFonts w:hint="eastAsia" w:ascii="宋体" w:hAnsi="宋体" w:cs="宋体"/>
          <w:b/>
          <w:bCs/>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80" w:lineRule="exact"/>
        <w:ind w:firstLine="422" w:firstLineChars="200"/>
        <w:rPr>
          <w:rFonts w:ascii="宋体" w:hAnsi="宋体" w:cs="宋体"/>
          <w:b/>
          <w:szCs w:val="21"/>
        </w:rPr>
      </w:pPr>
      <w:r>
        <w:rPr>
          <w:rFonts w:hint="eastAsia" w:ascii="宋体" w:hAnsi="宋体" w:cs="宋体"/>
          <w:b/>
          <w:szCs w:val="21"/>
        </w:rPr>
        <w:t>八、定标</w:t>
      </w:r>
    </w:p>
    <w:p>
      <w:pPr>
        <w:spacing w:line="480" w:lineRule="exact"/>
        <w:ind w:firstLine="420" w:firstLineChars="200"/>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87"/>
        <w:keepNext w:val="0"/>
        <w:keepLines w:val="0"/>
        <w:spacing w:line="480" w:lineRule="exact"/>
        <w:ind w:firstLine="422" w:firstLineChars="200"/>
        <w:outlineLvl w:val="9"/>
        <w:rPr>
          <w:rFonts w:ascii="宋体" w:eastAsia="宋体"/>
          <w:b w:val="0"/>
          <w:sz w:val="21"/>
          <w:szCs w:val="21"/>
        </w:rPr>
      </w:pPr>
      <w:bookmarkStart w:id="286" w:name="_Toc4523"/>
      <w:r>
        <w:rPr>
          <w:rFonts w:hint="eastAsia" w:ascii="宋体" w:eastAsia="宋体"/>
          <w:sz w:val="21"/>
          <w:szCs w:val="21"/>
        </w:rPr>
        <w:t>九、评标报告</w:t>
      </w:r>
      <w:bookmarkEnd w:id="286"/>
    </w:p>
    <w:p>
      <w:pPr>
        <w:spacing w:line="480" w:lineRule="exact"/>
        <w:ind w:firstLine="420" w:firstLineChars="200"/>
        <w:rPr>
          <w:rFonts w:ascii="宋体" w:hAnsi="宋体" w:cs="宋体"/>
          <w:szCs w:val="21"/>
        </w:rPr>
      </w:pPr>
      <w:r>
        <w:rPr>
          <w:rFonts w:hint="eastAsia" w:ascii="宋体" w:hAnsi="宋体" w:cs="宋体"/>
          <w:szCs w:val="21"/>
        </w:rPr>
        <w:t>评标委员会根据投标人须知前附表7.1条的规定向招标人提交评标报告。评标报告应当由全体评标委员会成员签字，并于评标结束时抄送有关行政监督部门。</w:t>
      </w:r>
    </w:p>
    <w:p>
      <w:pPr>
        <w:pStyle w:val="87"/>
        <w:keepNext w:val="0"/>
        <w:keepLines w:val="0"/>
        <w:spacing w:line="480" w:lineRule="exact"/>
        <w:ind w:firstLine="422" w:firstLineChars="200"/>
        <w:outlineLvl w:val="9"/>
        <w:rPr>
          <w:rFonts w:ascii="宋体" w:eastAsia="宋体"/>
          <w:b w:val="0"/>
          <w:sz w:val="21"/>
          <w:szCs w:val="21"/>
        </w:rPr>
      </w:pPr>
      <w:bookmarkStart w:id="287" w:name="_Toc21872"/>
      <w:r>
        <w:rPr>
          <w:rFonts w:hint="eastAsia" w:ascii="宋体" w:eastAsia="宋体"/>
          <w:sz w:val="21"/>
          <w:szCs w:val="21"/>
        </w:rPr>
        <w:t>十、公示</w:t>
      </w:r>
      <w:bookmarkEnd w:id="287"/>
    </w:p>
    <w:p>
      <w:pPr>
        <w:spacing w:line="480" w:lineRule="exact"/>
        <w:ind w:firstLine="420" w:firstLineChars="200"/>
        <w:rPr>
          <w:rFonts w:ascii="宋体" w:hAnsi="宋体" w:cs="宋体"/>
          <w:szCs w:val="21"/>
        </w:rPr>
      </w:pPr>
      <w:r>
        <w:rPr>
          <w:rFonts w:hint="eastAsia" w:ascii="宋体" w:hAnsi="宋体" w:cs="宋体"/>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pacing w:line="480" w:lineRule="exact"/>
        <w:ind w:firstLine="422" w:firstLineChars="200"/>
        <w:rPr>
          <w:rFonts w:ascii="宋体" w:hAnsi="宋体" w:cs="宋体"/>
          <w:b/>
          <w:szCs w:val="21"/>
        </w:rPr>
      </w:pPr>
      <w:r>
        <w:rPr>
          <w:rFonts w:hint="eastAsia" w:ascii="宋体" w:hAnsi="宋体" w:cs="宋体"/>
          <w:b/>
          <w:szCs w:val="21"/>
        </w:rPr>
        <w:t>十一、特殊情况的处置程序</w:t>
      </w:r>
    </w:p>
    <w:p>
      <w:pPr>
        <w:spacing w:line="480" w:lineRule="exact"/>
        <w:ind w:firstLine="422" w:firstLineChars="200"/>
        <w:rPr>
          <w:rFonts w:ascii="宋体" w:hAnsi="宋体" w:cs="宋体"/>
          <w:b/>
          <w:szCs w:val="21"/>
        </w:rPr>
      </w:pPr>
      <w:r>
        <w:rPr>
          <w:rFonts w:hint="eastAsia" w:ascii="宋体" w:hAnsi="宋体" w:cs="宋体"/>
          <w:b/>
          <w:szCs w:val="21"/>
        </w:rPr>
        <w:t>11.1关于澄清、说明或补正</w:t>
      </w:r>
    </w:p>
    <w:p>
      <w:pPr>
        <w:spacing w:line="480" w:lineRule="exact"/>
        <w:ind w:firstLine="420" w:firstLineChars="200"/>
        <w:rPr>
          <w:rFonts w:ascii="宋体" w:hAnsi="宋体" w:cs="宋体"/>
          <w:szCs w:val="21"/>
        </w:rPr>
      </w:pPr>
      <w:r>
        <w:rPr>
          <w:rFonts w:hint="eastAsia" w:ascii="宋体" w:hAnsi="宋体" w:cs="宋体"/>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80" w:lineRule="exact"/>
        <w:ind w:firstLine="422" w:firstLineChars="200"/>
        <w:rPr>
          <w:rFonts w:ascii="宋体" w:hAnsi="宋体" w:cs="宋体"/>
          <w:b/>
          <w:szCs w:val="21"/>
        </w:rPr>
      </w:pPr>
      <w:r>
        <w:rPr>
          <w:rFonts w:hint="eastAsia" w:ascii="宋体" w:hAnsi="宋体" w:cs="宋体"/>
          <w:b/>
          <w:szCs w:val="21"/>
        </w:rPr>
        <w:t>11.2关于评标活动暂停</w:t>
      </w:r>
    </w:p>
    <w:p>
      <w:pPr>
        <w:spacing w:line="480" w:lineRule="exact"/>
        <w:ind w:firstLine="420" w:firstLineChars="200"/>
        <w:rPr>
          <w:rFonts w:ascii="宋体" w:hAnsi="宋体" w:cs="宋体"/>
          <w:szCs w:val="21"/>
        </w:rPr>
      </w:pPr>
      <w:r>
        <w:rPr>
          <w:rFonts w:hint="eastAsia" w:ascii="宋体" w:hAnsi="宋体" w:cs="宋体"/>
          <w:szCs w:val="21"/>
        </w:rPr>
        <w:t>11.2.1评标委员会应当执行连续评标的原则，按评标办法中规定的程序、内容、方法、标准完成全部评标工作。只有发生不可抗力导致评标工作无法继续时，评标活动方可暂停。</w:t>
      </w:r>
    </w:p>
    <w:p>
      <w:pPr>
        <w:spacing w:line="480" w:lineRule="exact"/>
        <w:ind w:firstLine="420" w:firstLineChars="200"/>
        <w:rPr>
          <w:rFonts w:ascii="宋体" w:hAnsi="宋体" w:cs="宋体"/>
          <w:szCs w:val="21"/>
        </w:rPr>
      </w:pPr>
      <w:r>
        <w:rPr>
          <w:rFonts w:hint="eastAsia" w:ascii="宋体" w:hAnsi="宋体" w:cs="宋体"/>
          <w:szCs w:val="21"/>
        </w:rPr>
        <w:t>11.2.2发生评标暂停情况时，评标委员会应当封存全部投标文件和评标记录，待不可抗力的影响结束且具备继续评标的条件时，由原评标委员会继续评标。</w:t>
      </w:r>
    </w:p>
    <w:p>
      <w:pPr>
        <w:spacing w:line="480" w:lineRule="exact"/>
        <w:ind w:firstLine="422" w:firstLineChars="200"/>
        <w:rPr>
          <w:rFonts w:ascii="宋体" w:hAnsi="宋体" w:cs="宋体"/>
          <w:b/>
          <w:szCs w:val="21"/>
        </w:rPr>
      </w:pPr>
      <w:r>
        <w:rPr>
          <w:rFonts w:hint="eastAsia" w:ascii="宋体" w:hAnsi="宋体" w:cs="宋体"/>
          <w:b/>
          <w:szCs w:val="21"/>
        </w:rPr>
        <w:t>11.3关于评标中途更换评标委员会成员</w:t>
      </w:r>
    </w:p>
    <w:p>
      <w:pPr>
        <w:spacing w:line="480" w:lineRule="exact"/>
        <w:ind w:firstLine="420" w:firstLineChars="200"/>
        <w:rPr>
          <w:rFonts w:ascii="宋体" w:hAnsi="宋体" w:cs="宋体"/>
          <w:szCs w:val="21"/>
        </w:rPr>
      </w:pPr>
      <w:r>
        <w:rPr>
          <w:rFonts w:hint="eastAsia" w:ascii="宋体" w:hAnsi="宋体" w:cs="宋体"/>
          <w:szCs w:val="21"/>
        </w:rPr>
        <w:t>11.3.1除非发生下列情况之一，评标委员会成员不得在评标中途更换：</w:t>
      </w:r>
    </w:p>
    <w:p>
      <w:pPr>
        <w:spacing w:line="480" w:lineRule="exact"/>
        <w:ind w:firstLine="420" w:firstLineChars="200"/>
        <w:rPr>
          <w:rFonts w:ascii="宋体" w:hAnsi="宋体" w:cs="宋体"/>
          <w:szCs w:val="21"/>
        </w:rPr>
      </w:pPr>
      <w:r>
        <w:rPr>
          <w:rFonts w:hint="eastAsia" w:ascii="宋体" w:hAnsi="宋体" w:cs="宋体"/>
          <w:szCs w:val="21"/>
        </w:rPr>
        <w:t>（1）因不可抗拒的客观原因，不能到场或需在评标中途退出评标活动。</w:t>
      </w:r>
    </w:p>
    <w:p>
      <w:pPr>
        <w:spacing w:line="480" w:lineRule="exact"/>
        <w:ind w:firstLine="420" w:firstLineChars="200"/>
        <w:rPr>
          <w:rFonts w:ascii="宋体" w:hAnsi="宋体" w:cs="宋体"/>
          <w:szCs w:val="21"/>
        </w:rPr>
      </w:pPr>
      <w:r>
        <w:rPr>
          <w:rFonts w:hint="eastAsia" w:ascii="宋体" w:hAnsi="宋体" w:cs="宋体"/>
          <w:szCs w:val="21"/>
        </w:rPr>
        <w:t>（2）根据法律法规规定，某个或某几个评标委员会成员需要回避。</w:t>
      </w:r>
    </w:p>
    <w:p>
      <w:pPr>
        <w:spacing w:line="480" w:lineRule="exact"/>
        <w:ind w:firstLine="420" w:firstLineChars="200"/>
        <w:rPr>
          <w:rFonts w:ascii="宋体" w:hAnsi="宋体" w:cs="宋体"/>
          <w:szCs w:val="21"/>
        </w:rPr>
      </w:pPr>
      <w:r>
        <w:rPr>
          <w:rFonts w:hint="eastAsia" w:ascii="宋体" w:hAnsi="宋体" w:cs="宋体"/>
          <w:szCs w:val="21"/>
        </w:rPr>
        <w:t>11.3.2退出评标的评标委员会成员，其已完成的评标行为无效。由招标人根据本招标文件规定的评标委员会成员产生方式另行确定替代者进行评标。</w:t>
      </w:r>
    </w:p>
    <w:p>
      <w:pPr>
        <w:spacing w:line="480" w:lineRule="exact"/>
        <w:ind w:firstLine="422" w:firstLineChars="200"/>
        <w:rPr>
          <w:rFonts w:ascii="宋体" w:hAnsi="宋体" w:cs="宋体"/>
          <w:b/>
          <w:szCs w:val="21"/>
        </w:rPr>
      </w:pPr>
      <w:r>
        <w:rPr>
          <w:rFonts w:hint="eastAsia" w:ascii="宋体" w:hAnsi="宋体" w:cs="宋体"/>
          <w:b/>
          <w:szCs w:val="21"/>
        </w:rPr>
        <w:t>11.4记名投票</w:t>
      </w:r>
    </w:p>
    <w:p>
      <w:pPr>
        <w:spacing w:line="480" w:lineRule="exact"/>
        <w:ind w:firstLine="420" w:firstLineChars="200"/>
        <w:rPr>
          <w:rFonts w:ascii="宋体" w:hAnsi="宋体" w:cs="宋体"/>
          <w:szCs w:val="21"/>
        </w:rPr>
      </w:pPr>
      <w:r>
        <w:rPr>
          <w:rFonts w:hint="eastAsia" w:ascii="宋体" w:hAnsi="宋体" w:cs="宋体"/>
          <w:szCs w:val="21"/>
        </w:rPr>
        <w:t>在任何评标环节中，需评标委员会就某项定性的评审结论做出表决的，由评标委员会全体成员按照少数服从多数的原则，以记名投票方式表决。</w:t>
      </w:r>
    </w:p>
    <w:p>
      <w:pPr>
        <w:spacing w:line="480" w:lineRule="exact"/>
        <w:ind w:firstLine="422" w:firstLineChars="200"/>
        <w:rPr>
          <w:rFonts w:ascii="宋体" w:hAnsi="宋体" w:cs="宋体"/>
          <w:b/>
          <w:szCs w:val="21"/>
        </w:rPr>
      </w:pPr>
      <w:r>
        <w:rPr>
          <w:rFonts w:hint="eastAsia" w:ascii="宋体" w:hAnsi="宋体" w:cs="宋体"/>
          <w:b/>
          <w:szCs w:val="21"/>
        </w:rPr>
        <w:t>11.5评标委员会对评标结果有异议的</w:t>
      </w:r>
    </w:p>
    <w:p>
      <w:pPr>
        <w:spacing w:line="480" w:lineRule="exact"/>
        <w:ind w:firstLine="420" w:firstLineChars="200"/>
        <w:rPr>
          <w:rFonts w:ascii="宋体" w:hAnsi="宋体" w:cs="宋体"/>
          <w:szCs w:val="21"/>
        </w:rPr>
      </w:pPr>
      <w:r>
        <w:rPr>
          <w:rFonts w:hint="eastAsia" w:ascii="宋体" w:hAnsi="宋体" w:cs="宋体"/>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20" w:firstLineChars="200"/>
        <w:rPr>
          <w:rFonts w:ascii="宋体" w:hAnsi="宋体"/>
        </w:rPr>
      </w:pPr>
    </w:p>
    <w:p>
      <w:pPr>
        <w:pStyle w:val="2"/>
      </w:pPr>
      <w:r>
        <w:br w:type="page"/>
      </w:r>
      <w:bookmarkStart w:id="288" w:name="_Toc144974577"/>
      <w:bookmarkStart w:id="289" w:name="_Toc152042387"/>
      <w:bookmarkStart w:id="290" w:name="_Toc152045609"/>
      <w:bookmarkStart w:id="291" w:name="_Toc247514033"/>
      <w:bookmarkStart w:id="292" w:name="_Toc247527634"/>
      <w:bookmarkStart w:id="293" w:name="_Toc529440047"/>
      <w:r>
        <w:rPr>
          <w:rFonts w:hint="eastAsia"/>
        </w:rPr>
        <w:t>第四章 合同条款及格式</w:t>
      </w:r>
      <w:bookmarkEnd w:id="288"/>
      <w:bookmarkEnd w:id="289"/>
      <w:bookmarkEnd w:id="290"/>
      <w:bookmarkEnd w:id="291"/>
      <w:bookmarkEnd w:id="292"/>
      <w:bookmarkEnd w:id="293"/>
      <w:bookmarkStart w:id="294" w:name="_Toc152045610"/>
      <w:bookmarkStart w:id="295" w:name="_Toc184635097"/>
      <w:bookmarkStart w:id="296" w:name="_Toc247514034"/>
      <w:bookmarkStart w:id="297" w:name="_Toc247527635"/>
      <w:bookmarkStart w:id="298" w:name="_Toc144974578"/>
      <w:bookmarkStart w:id="299" w:name="_Toc152042388"/>
    </w:p>
    <w:p>
      <w:pPr>
        <w:spacing w:line="460" w:lineRule="exact"/>
      </w:pPr>
      <w:bookmarkStart w:id="300" w:name="_Toc460582179"/>
      <w:bookmarkStart w:id="301" w:name="_Toc460581576"/>
    </w:p>
    <w:p>
      <w:pPr>
        <w:spacing w:line="460" w:lineRule="exact"/>
      </w:pPr>
      <w:r>
        <w:rPr>
          <w:rFonts w:hint="eastAsia" w:eastAsia="华文中宋" w:cs="华文中宋"/>
          <w:sz w:val="32"/>
          <w:szCs w:val="32"/>
        </w:rPr>
        <w:t>（</w:t>
      </w:r>
      <w:r>
        <w:rPr>
          <w:rFonts w:eastAsia="仿宋_GB2312"/>
          <w:sz w:val="32"/>
          <w:szCs w:val="32"/>
        </w:rPr>
        <w:t>GF—201</w:t>
      </w:r>
      <w:r>
        <w:rPr>
          <w:rFonts w:hint="eastAsia" w:eastAsia="仿宋_GB2312"/>
          <w:sz w:val="32"/>
          <w:szCs w:val="32"/>
        </w:rPr>
        <w:t>7</w:t>
      </w:r>
      <w:r>
        <w:rPr>
          <w:rFonts w:eastAsia="仿宋_GB2312"/>
          <w:sz w:val="32"/>
          <w:szCs w:val="32"/>
        </w:rPr>
        <w:t>—0201</w:t>
      </w:r>
      <w:r>
        <w:rPr>
          <w:rFonts w:hint="eastAsia" w:eastAsia="华文中宋" w:cs="华文中宋"/>
          <w:sz w:val="32"/>
          <w:szCs w:val="32"/>
        </w:rPr>
        <w:t>）</w:t>
      </w:r>
    </w:p>
    <w:p>
      <w:pPr>
        <w:rPr>
          <w:rFonts w:eastAsia="华文中宋" w:cs="华文中宋"/>
          <w:b/>
          <w:bCs/>
          <w:sz w:val="30"/>
          <w:szCs w:val="30"/>
        </w:rPr>
      </w:pPr>
    </w:p>
    <w:p>
      <w:pPr>
        <w:rPr>
          <w:rFonts w:eastAsia="华文中宋" w:cs="华文中宋"/>
          <w:sz w:val="30"/>
          <w:szCs w:val="30"/>
        </w:rPr>
      </w:pPr>
    </w:p>
    <w:p>
      <w:pPr>
        <w:rPr>
          <w:rFonts w:eastAsia="华文中宋" w:cs="华文中宋"/>
          <w:sz w:val="30"/>
          <w:szCs w:val="30"/>
        </w:rPr>
      </w:pPr>
    </w:p>
    <w:p>
      <w:pPr>
        <w:rPr>
          <w:rFonts w:eastAsia="华文中宋" w:cs="华文中宋"/>
          <w:sz w:val="30"/>
          <w:szCs w:val="30"/>
        </w:rPr>
      </w:pPr>
    </w:p>
    <w:p>
      <w:pPr>
        <w:rPr>
          <w:rFonts w:eastAsia="华文中宋" w:cs="华文中宋"/>
          <w:sz w:val="30"/>
          <w:szCs w:val="30"/>
        </w:rPr>
      </w:pPr>
    </w:p>
    <w:p>
      <w:pPr>
        <w:jc w:val="center"/>
        <w:rPr>
          <w:rFonts w:eastAsia="华文中宋"/>
          <w:b/>
          <w:color w:val="000000"/>
          <w:sz w:val="52"/>
          <w:szCs w:val="52"/>
        </w:rPr>
      </w:pPr>
    </w:p>
    <w:p>
      <w:pPr>
        <w:jc w:val="center"/>
        <w:rPr>
          <w:rFonts w:eastAsia="华文中宋"/>
          <w:b/>
          <w:color w:val="000000"/>
          <w:sz w:val="52"/>
          <w:szCs w:val="52"/>
        </w:rPr>
      </w:pPr>
      <w:r>
        <w:rPr>
          <w:rFonts w:hint="eastAsia" w:eastAsia="华文中宋"/>
          <w:b/>
          <w:color w:val="000000"/>
          <w:sz w:val="72"/>
          <w:szCs w:val="52"/>
        </w:rPr>
        <w:t>建设工程施工合同</w:t>
      </w:r>
      <w:r>
        <w:rPr>
          <w:rFonts w:eastAsia="华文中宋"/>
          <w:b/>
          <w:color w:val="000000"/>
          <w:sz w:val="52"/>
          <w:szCs w:val="52"/>
        </w:rPr>
        <w:br w:type="textWrapping"/>
      </w: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jc w:val="center"/>
        <w:rPr>
          <w:rFonts w:eastAsia="黑体"/>
          <w:b/>
          <w:color w:val="000000"/>
          <w:sz w:val="52"/>
          <w:szCs w:val="52"/>
        </w:rPr>
      </w:pPr>
    </w:p>
    <w:p>
      <w:pPr>
        <w:jc w:val="center"/>
        <w:rPr>
          <w:rFonts w:eastAsia="黑体"/>
          <w:b/>
          <w:color w:val="000000"/>
          <w:sz w:val="52"/>
          <w:szCs w:val="52"/>
        </w:rPr>
      </w:pPr>
    </w:p>
    <w:p>
      <w:pPr>
        <w:jc w:val="center"/>
        <w:rPr>
          <w:rFonts w:eastAsia="黑体"/>
          <w:b/>
          <w:color w:val="000000"/>
          <w:sz w:val="52"/>
          <w:szCs w:val="52"/>
        </w:rPr>
      </w:pPr>
    </w:p>
    <w:p>
      <w:pPr>
        <w:jc w:val="center"/>
        <w:rPr>
          <w:rFonts w:eastAsia="黑体"/>
          <w:b/>
          <w:color w:val="000000"/>
          <w:sz w:val="52"/>
          <w:szCs w:val="52"/>
        </w:rPr>
      </w:pPr>
    </w:p>
    <w:p>
      <w:pPr>
        <w:jc w:val="center"/>
        <w:rPr>
          <w:rFonts w:eastAsia="黑体"/>
          <w:b/>
          <w:color w:val="000000"/>
          <w:sz w:val="52"/>
          <w:szCs w:val="52"/>
        </w:rPr>
      </w:pPr>
    </w:p>
    <w:p>
      <w:pPr>
        <w:rPr>
          <w:b/>
          <w:color w:val="000000"/>
          <w:sz w:val="28"/>
          <w:szCs w:val="28"/>
        </w:rPr>
      </w:pPr>
    </w:p>
    <w:p>
      <w:pPr>
        <w:ind w:right="2719" w:rightChars="1295" w:firstLine="1575" w:firstLineChars="750"/>
        <w:rPr>
          <w:b/>
          <w:color w:val="000000"/>
          <w:sz w:val="32"/>
          <w:szCs w:val="28"/>
        </w:rPr>
      </w:pPr>
      <w:r>
        <w:pict>
          <v:shape id="Text Box 2" o:spid="_x0000_s1028" o:spt="202" type="#_x0000_t202" style="position:absolute;left:0pt;margin-left:312.6pt;margin-top:9.45pt;height:36pt;width:57pt;z-index:251658240;mso-width-relative:page;mso-height-relative:page;" filled="f" stroked="t" coordsize="21600,2160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b/>
          <w:color w:val="000000"/>
          <w:sz w:val="32"/>
          <w:szCs w:val="28"/>
        </w:rPr>
        <w:t>住房和城乡建设部</w:t>
      </w:r>
    </w:p>
    <w:p>
      <w:pPr>
        <w:ind w:right="2719" w:rightChars="1295" w:firstLine="1606" w:firstLineChars="500"/>
        <w:rPr>
          <w:b/>
          <w:color w:val="000000"/>
          <w:sz w:val="32"/>
          <w:szCs w:val="28"/>
        </w:rPr>
      </w:pPr>
      <w:r>
        <w:rPr>
          <w:rFonts w:hint="eastAsia"/>
          <w:b/>
          <w:color w:val="000000"/>
          <w:sz w:val="32"/>
          <w:szCs w:val="28"/>
        </w:rPr>
        <w:t>国家工商行政管理总局</w:t>
      </w:r>
    </w:p>
    <w:p>
      <w:pPr>
        <w:ind w:right="2719" w:rightChars="1295" w:firstLine="1606" w:firstLineChars="500"/>
        <w:rPr>
          <w:b/>
          <w:color w:val="000000"/>
          <w:sz w:val="32"/>
          <w:szCs w:val="28"/>
        </w:rPr>
      </w:pPr>
    </w:p>
    <w:p>
      <w:pPr>
        <w:pStyle w:val="3"/>
        <w:jc w:val="center"/>
        <w:rPr>
          <w:b w:val="0"/>
          <w:color w:val="000000"/>
          <w:sz w:val="21"/>
          <w:szCs w:val="21"/>
        </w:rPr>
      </w:pPr>
      <w:r>
        <w:rPr>
          <w:color w:val="000000"/>
          <w:sz w:val="21"/>
          <w:szCs w:val="21"/>
        </w:rPr>
        <w:br w:type="page"/>
      </w:r>
      <w:bookmarkStart w:id="302" w:name="_Toc504576668"/>
      <w:bookmarkStart w:id="303" w:name="_Toc518916740"/>
      <w:bookmarkStart w:id="304" w:name="_Toc529440048"/>
      <w:r>
        <w:rPr>
          <w:rFonts w:hint="eastAsia"/>
        </w:rPr>
        <w:t>第一部分 合同协议书</w:t>
      </w:r>
      <w:bookmarkEnd w:id="300"/>
      <w:bookmarkEnd w:id="301"/>
      <w:bookmarkEnd w:id="302"/>
      <w:bookmarkEnd w:id="303"/>
      <w:bookmarkEnd w:id="304"/>
    </w:p>
    <w:p>
      <w:pPr>
        <w:spacing w:line="360" w:lineRule="auto"/>
        <w:rPr>
          <w:rFonts w:ascii="宋体" w:hAnsi="宋体"/>
          <w:b/>
          <w:bCs/>
          <w:szCs w:val="21"/>
          <w:u w:val="single"/>
        </w:rPr>
      </w:pPr>
      <w:r>
        <w:rPr>
          <w:rFonts w:hint="eastAsia" w:ascii="宋体" w:hAnsi="宋体" w:cs="仿宋_GB2312"/>
          <w:b/>
          <w:bCs/>
          <w:szCs w:val="21"/>
        </w:rPr>
        <w:t>发包人（全称）：</w:t>
      </w:r>
    </w:p>
    <w:p>
      <w:pPr>
        <w:spacing w:line="500" w:lineRule="exact"/>
        <w:rPr>
          <w:rFonts w:ascii="宋体" w:hAnsi="宋体"/>
          <w:b/>
          <w:bCs/>
          <w:szCs w:val="21"/>
          <w:u w:val="single"/>
        </w:rPr>
      </w:pPr>
      <w:r>
        <w:rPr>
          <w:rFonts w:hint="eastAsia" w:ascii="宋体" w:hAnsi="宋体" w:cs="仿宋_GB2312"/>
          <w:b/>
          <w:bCs/>
          <w:szCs w:val="21"/>
        </w:rPr>
        <w:t>承包人（全称）：</w:t>
      </w:r>
    </w:p>
    <w:p>
      <w:pPr>
        <w:spacing w:line="500" w:lineRule="exact"/>
        <w:ind w:firstLine="420" w:firstLineChars="200"/>
        <w:rPr>
          <w:rFonts w:ascii="宋体" w:hAnsi="宋体"/>
          <w:szCs w:val="21"/>
        </w:rPr>
      </w:pPr>
      <w:r>
        <w:rPr>
          <w:rFonts w:hint="eastAsia" w:ascii="宋体" w:hAnsi="宋体" w:cs="仿宋_GB2312"/>
          <w:szCs w:val="21"/>
        </w:rPr>
        <w:t>依照《中华人民共和国招投标法》、《中华人民共和国合同法》、《中华人民共和国建筑法》及其他有关法律、行政法规规定，遵循平等、自愿、公平和诚实信用的原则，双方就工程施工及有关事项协商一致，共同达成如下协议：</w:t>
      </w:r>
    </w:p>
    <w:p>
      <w:pPr>
        <w:pStyle w:val="4"/>
        <w:ind w:firstLine="118"/>
      </w:pPr>
      <w:bookmarkStart w:id="305" w:name="_Toc351203481"/>
      <w:r>
        <w:rPr>
          <w:rFonts w:hint="eastAsia"/>
        </w:rPr>
        <w:t>一、工程概况</w:t>
      </w:r>
      <w:bookmarkEnd w:id="305"/>
    </w:p>
    <w:p>
      <w:pPr>
        <w:spacing w:line="500" w:lineRule="exact"/>
        <w:ind w:firstLine="411" w:firstLineChars="196"/>
        <w:rPr>
          <w:rFonts w:ascii="宋体" w:hAnsi="宋体"/>
          <w:spacing w:val="-4"/>
          <w:szCs w:val="21"/>
          <w:u w:val="single"/>
        </w:rPr>
      </w:pPr>
      <w:r>
        <w:rPr>
          <w:rFonts w:ascii="宋体" w:hAnsi="宋体"/>
          <w:szCs w:val="21"/>
        </w:rPr>
        <w:t>1.</w:t>
      </w:r>
      <w:r>
        <w:rPr>
          <w:rFonts w:hint="eastAsia" w:ascii="宋体" w:hAnsi="宋体" w:cs="仿宋_GB2312"/>
          <w:szCs w:val="21"/>
        </w:rPr>
        <w:t>工程名称：</w:t>
      </w:r>
    </w:p>
    <w:p>
      <w:pPr>
        <w:spacing w:line="500" w:lineRule="exact"/>
        <w:ind w:firstLine="411" w:firstLineChars="196"/>
        <w:rPr>
          <w:rFonts w:ascii="宋体" w:hAnsi="宋体" w:cs="仿宋_GB2312"/>
          <w:szCs w:val="21"/>
          <w:u w:val="single"/>
        </w:rPr>
      </w:pPr>
      <w:r>
        <w:rPr>
          <w:rFonts w:ascii="宋体" w:hAnsi="宋体"/>
          <w:szCs w:val="21"/>
        </w:rPr>
        <w:t>2.</w:t>
      </w:r>
      <w:r>
        <w:rPr>
          <w:rFonts w:hint="eastAsia" w:ascii="宋体" w:hAnsi="宋体" w:cs="仿宋_GB2312"/>
          <w:szCs w:val="21"/>
        </w:rPr>
        <w:t>工程地点：</w:t>
      </w:r>
    </w:p>
    <w:p>
      <w:pPr>
        <w:spacing w:line="500" w:lineRule="exact"/>
        <w:ind w:firstLine="411" w:firstLineChars="196"/>
        <w:rPr>
          <w:rFonts w:ascii="宋体" w:hAnsi="宋体" w:cs="宋体"/>
          <w:color w:val="000000"/>
          <w:szCs w:val="21"/>
          <w:u w:val="single"/>
        </w:rPr>
      </w:pPr>
      <w:r>
        <w:rPr>
          <w:rFonts w:ascii="宋体" w:hAnsi="宋体"/>
          <w:szCs w:val="21"/>
        </w:rPr>
        <w:t>3.</w:t>
      </w:r>
      <w:r>
        <w:rPr>
          <w:rFonts w:hint="eastAsia" w:ascii="宋体" w:hAnsi="宋体" w:cs="仿宋_GB2312"/>
          <w:szCs w:val="21"/>
        </w:rPr>
        <w:t>工程立项批准文号：</w:t>
      </w:r>
    </w:p>
    <w:p>
      <w:pPr>
        <w:spacing w:line="500" w:lineRule="exact"/>
        <w:ind w:firstLine="420" w:firstLineChars="200"/>
        <w:rPr>
          <w:rFonts w:ascii="宋体" w:hAnsi="宋体"/>
          <w:szCs w:val="21"/>
        </w:rPr>
      </w:pPr>
      <w:r>
        <w:rPr>
          <w:rFonts w:ascii="宋体" w:hAnsi="宋体"/>
          <w:szCs w:val="21"/>
        </w:rPr>
        <w:t>4.</w:t>
      </w:r>
      <w:r>
        <w:rPr>
          <w:rFonts w:hint="eastAsia" w:ascii="宋体" w:hAnsi="宋体" w:cs="仿宋_GB2312"/>
          <w:szCs w:val="21"/>
        </w:rPr>
        <w:t>资金来源</w:t>
      </w:r>
      <w:r>
        <w:rPr>
          <w:rFonts w:ascii="宋体" w:hAnsi="宋体"/>
          <w:szCs w:val="21"/>
        </w:rPr>
        <w:t>:</w:t>
      </w:r>
      <w:r>
        <w:rPr>
          <w:rFonts w:hint="eastAsia" w:ascii="宋体" w:hAnsi="宋体" w:cs="宋体"/>
          <w:color w:val="000000"/>
          <w:szCs w:val="21"/>
          <w:u w:val="single"/>
        </w:rPr>
        <w:t></w:t>
      </w:r>
    </w:p>
    <w:p>
      <w:pPr>
        <w:spacing w:line="500" w:lineRule="exact"/>
        <w:ind w:firstLine="411" w:firstLineChars="196"/>
        <w:rPr>
          <w:rFonts w:ascii="宋体" w:hAnsi="宋体"/>
          <w:szCs w:val="21"/>
          <w:u w:val="single"/>
        </w:rPr>
      </w:pPr>
      <w:r>
        <w:rPr>
          <w:rFonts w:ascii="宋体" w:hAnsi="宋体"/>
          <w:szCs w:val="21"/>
        </w:rPr>
        <w:t>5.</w:t>
      </w:r>
      <w:r>
        <w:rPr>
          <w:rFonts w:hint="eastAsia" w:ascii="宋体" w:hAnsi="宋体" w:cs="仿宋_GB2312"/>
          <w:szCs w:val="21"/>
        </w:rPr>
        <w:t>工程内容：</w:t>
      </w:r>
    </w:p>
    <w:p>
      <w:pPr>
        <w:spacing w:line="500" w:lineRule="exact"/>
        <w:ind w:firstLine="411" w:firstLineChars="196"/>
        <w:rPr>
          <w:rFonts w:ascii="宋体" w:hAnsi="宋体"/>
          <w:szCs w:val="21"/>
        </w:rPr>
      </w:pPr>
      <w:r>
        <w:rPr>
          <w:rFonts w:hint="eastAsia" w:ascii="宋体" w:hAnsi="宋体" w:cs="仿宋_GB2312"/>
          <w:szCs w:val="21"/>
        </w:rPr>
        <w:t>群体工程应附《承包人承揽工程项目一览表》（附件</w:t>
      </w:r>
      <w:r>
        <w:rPr>
          <w:rFonts w:ascii="宋体" w:hAnsi="宋体"/>
          <w:szCs w:val="21"/>
        </w:rPr>
        <w:t>1</w:t>
      </w:r>
      <w:r>
        <w:rPr>
          <w:rFonts w:hint="eastAsia" w:ascii="宋体" w:hAnsi="宋体" w:cs="仿宋_GB2312"/>
          <w:szCs w:val="21"/>
        </w:rPr>
        <w:t>）。</w:t>
      </w:r>
    </w:p>
    <w:p>
      <w:pPr>
        <w:spacing w:line="500" w:lineRule="exact"/>
        <w:ind w:firstLine="411" w:firstLineChars="196"/>
        <w:rPr>
          <w:rFonts w:ascii="宋体" w:hAnsi="宋体" w:cs="仿宋_GB2312"/>
          <w:szCs w:val="21"/>
        </w:rPr>
      </w:pPr>
      <w:r>
        <w:rPr>
          <w:rFonts w:ascii="宋体" w:hAnsi="宋体"/>
          <w:szCs w:val="21"/>
        </w:rPr>
        <w:t>6.</w:t>
      </w:r>
      <w:r>
        <w:rPr>
          <w:rFonts w:hint="eastAsia" w:ascii="宋体" w:hAnsi="宋体" w:cs="仿宋_GB2312"/>
          <w:szCs w:val="21"/>
        </w:rPr>
        <w:t>工程承包范围：</w:t>
      </w:r>
    </w:p>
    <w:p>
      <w:pPr>
        <w:pStyle w:val="4"/>
        <w:ind w:firstLine="118"/>
      </w:pPr>
      <w:bookmarkStart w:id="306" w:name="_Toc351203482"/>
      <w:r>
        <w:rPr>
          <w:rFonts w:hint="eastAsia"/>
        </w:rPr>
        <w:t>二、合同工期</w:t>
      </w:r>
      <w:bookmarkEnd w:id="306"/>
    </w:p>
    <w:p>
      <w:pPr>
        <w:spacing w:line="500" w:lineRule="exact"/>
        <w:ind w:firstLine="426" w:firstLineChars="203"/>
        <w:rPr>
          <w:rFonts w:ascii="宋体" w:hAnsi="宋体" w:cs="仿宋_GB2312"/>
          <w:szCs w:val="21"/>
        </w:rPr>
      </w:pPr>
      <w:r>
        <w:rPr>
          <w:rFonts w:hint="eastAsia" w:ascii="宋体" w:hAnsi="宋体" w:cs="仿宋_GB2312"/>
          <w:szCs w:val="21"/>
        </w:rPr>
        <w:t>计划开工日期：年月日。</w:t>
      </w:r>
    </w:p>
    <w:p>
      <w:pPr>
        <w:spacing w:line="500" w:lineRule="exact"/>
        <w:ind w:firstLine="426" w:firstLineChars="203"/>
        <w:rPr>
          <w:rFonts w:ascii="宋体" w:hAnsi="宋体"/>
          <w:szCs w:val="21"/>
        </w:rPr>
      </w:pPr>
      <w:r>
        <w:rPr>
          <w:rFonts w:hint="eastAsia" w:ascii="宋体" w:hAnsi="宋体" w:cs="仿宋_GB2312"/>
          <w:szCs w:val="21"/>
        </w:rPr>
        <w:t>计划竣工日期：年月日。</w:t>
      </w:r>
    </w:p>
    <w:p>
      <w:pPr>
        <w:spacing w:line="500" w:lineRule="exact"/>
        <w:ind w:firstLine="426" w:firstLineChars="203"/>
        <w:rPr>
          <w:rFonts w:ascii="宋体" w:hAnsi="宋体" w:cs="仿宋_GB2312"/>
          <w:szCs w:val="21"/>
        </w:rPr>
      </w:pPr>
      <w:r>
        <w:rPr>
          <w:rFonts w:hint="eastAsia" w:ascii="宋体" w:hAnsi="宋体" w:cs="仿宋_GB2312"/>
          <w:szCs w:val="21"/>
        </w:rPr>
        <w:t>工期总日历天数：天。</w:t>
      </w:r>
      <w:bookmarkStart w:id="307" w:name="_Toc351203483"/>
      <w:r>
        <w:rPr>
          <w:rFonts w:ascii="宋体" w:hAnsi="宋体" w:cs="仿宋_GB2312"/>
          <w:szCs w:val="21"/>
        </w:rPr>
        <w:t>工期总日历天数与根据前述计划开竣工日期计算的工期天数不一致的，以工期总日历天数为准。</w:t>
      </w:r>
    </w:p>
    <w:p>
      <w:pPr>
        <w:pStyle w:val="4"/>
        <w:spacing w:before="0" w:after="0" w:line="360" w:lineRule="auto"/>
        <w:ind w:firstLine="118"/>
        <w:rPr>
          <w:rFonts w:ascii="宋体"/>
          <w:szCs w:val="24"/>
        </w:rPr>
      </w:pPr>
      <w:r>
        <w:rPr>
          <w:rFonts w:hint="eastAsia" w:ascii="宋体"/>
          <w:szCs w:val="24"/>
        </w:rPr>
        <w:t>三、质量标准</w:t>
      </w:r>
      <w:bookmarkEnd w:id="307"/>
    </w:p>
    <w:p>
      <w:pPr>
        <w:spacing w:line="500" w:lineRule="exact"/>
        <w:ind w:firstLine="426" w:firstLineChars="203"/>
        <w:rPr>
          <w:rFonts w:ascii="宋体" w:hAnsi="宋体" w:cs="仿宋_GB2312"/>
          <w:color w:val="FF0000"/>
          <w:szCs w:val="21"/>
        </w:rPr>
      </w:pPr>
      <w:r>
        <w:rPr>
          <w:rFonts w:hint="eastAsia" w:ascii="宋体" w:hAnsi="宋体" w:cs="仿宋_GB2312"/>
          <w:szCs w:val="21"/>
        </w:rPr>
        <w:t>工程质量符合标准。</w:t>
      </w:r>
    </w:p>
    <w:p>
      <w:pPr>
        <w:pStyle w:val="4"/>
        <w:spacing w:before="0" w:after="0" w:line="360" w:lineRule="auto"/>
        <w:ind w:firstLine="118"/>
        <w:rPr>
          <w:rFonts w:ascii="宋体"/>
          <w:sz w:val="21"/>
          <w:szCs w:val="21"/>
        </w:rPr>
      </w:pPr>
      <w:bookmarkStart w:id="308" w:name="_Toc351203484"/>
      <w:r>
        <w:rPr>
          <w:rFonts w:hint="eastAsia" w:ascii="宋体"/>
          <w:szCs w:val="24"/>
        </w:rPr>
        <w:t>四、签约合同价与合同价格形式</w:t>
      </w:r>
      <w:bookmarkEnd w:id="308"/>
      <w:r>
        <w:rPr>
          <w:rFonts w:ascii="宋体"/>
          <w:bCs w:val="0"/>
          <w:sz w:val="21"/>
          <w:szCs w:val="21"/>
        </w:rPr>
        <w:tab/>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1.签约合同价为：</w:t>
      </w:r>
    </w:p>
    <w:p>
      <w:pPr>
        <w:spacing w:line="500" w:lineRule="exact"/>
        <w:ind w:firstLine="525" w:firstLineChars="250"/>
        <w:rPr>
          <w:rFonts w:ascii="宋体" w:hAnsi="宋体" w:cs="宋体"/>
          <w:color w:val="000000"/>
          <w:szCs w:val="21"/>
          <w:u w:val="single"/>
        </w:rPr>
      </w:pPr>
      <w:r>
        <w:rPr>
          <w:rFonts w:hint="eastAsia" w:ascii="宋体" w:hAnsi="宋体" w:cs="宋体"/>
          <w:color w:val="000000"/>
          <w:szCs w:val="21"/>
        </w:rPr>
        <w:t>人民币（大写）；</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其中：</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（1）安全文明施工费：</w:t>
      </w:r>
    </w:p>
    <w:p>
      <w:pPr>
        <w:spacing w:line="500" w:lineRule="exact"/>
        <w:ind w:firstLine="945" w:firstLineChars="450"/>
        <w:rPr>
          <w:rFonts w:ascii="宋体" w:hAnsi="宋体" w:cs="宋体"/>
          <w:color w:val="000000"/>
          <w:szCs w:val="21"/>
        </w:rPr>
      </w:pPr>
      <w:r>
        <w:rPr>
          <w:rFonts w:hint="eastAsia" w:ascii="宋体" w:hAnsi="宋体" w:cs="宋体"/>
          <w:color w:val="000000"/>
          <w:szCs w:val="21"/>
        </w:rPr>
        <w:t>人民币（大写）；</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（2）材料和工程设备暂估价金额：</w:t>
      </w:r>
    </w:p>
    <w:p>
      <w:pPr>
        <w:spacing w:line="500" w:lineRule="exact"/>
        <w:ind w:firstLine="945" w:firstLineChars="450"/>
        <w:rPr>
          <w:rFonts w:ascii="宋体" w:hAnsi="宋体" w:cs="宋体"/>
          <w:color w:val="000000"/>
          <w:szCs w:val="21"/>
        </w:rPr>
      </w:pPr>
      <w:r>
        <w:rPr>
          <w:rFonts w:hint="eastAsia" w:ascii="宋体" w:hAnsi="宋体" w:cs="宋体"/>
          <w:color w:val="000000"/>
          <w:szCs w:val="21"/>
        </w:rPr>
        <w:t>人民币（大写）；</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（3）专业工程暂估价金额：</w:t>
      </w:r>
    </w:p>
    <w:p>
      <w:pPr>
        <w:spacing w:line="500" w:lineRule="exact"/>
        <w:ind w:firstLine="945" w:firstLineChars="450"/>
        <w:rPr>
          <w:rFonts w:ascii="宋体" w:hAnsi="宋体" w:cs="宋体"/>
          <w:color w:val="000000"/>
          <w:szCs w:val="21"/>
        </w:rPr>
      </w:pPr>
      <w:r>
        <w:rPr>
          <w:rFonts w:hint="eastAsia" w:ascii="宋体" w:hAnsi="宋体" w:cs="宋体"/>
          <w:color w:val="000000"/>
          <w:szCs w:val="21"/>
        </w:rPr>
        <w:t>人民币（大写）；</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（4）暂列金额：</w:t>
      </w:r>
    </w:p>
    <w:p>
      <w:pPr>
        <w:spacing w:line="500" w:lineRule="exact"/>
        <w:ind w:firstLine="1050" w:firstLineChars="500"/>
        <w:rPr>
          <w:rFonts w:ascii="宋体" w:hAnsi="宋体"/>
          <w:szCs w:val="21"/>
        </w:rPr>
      </w:pPr>
      <w:r>
        <w:rPr>
          <w:rFonts w:hint="eastAsia" w:ascii="宋体" w:hAnsi="宋体"/>
          <w:szCs w:val="21"/>
        </w:rPr>
        <w:t>人民币（大写）</w:t>
      </w:r>
      <w:r>
        <w:rPr>
          <w:rFonts w:hint="eastAsia" w:ascii="宋体" w:hAnsi="宋体" w:cs="宋体"/>
          <w:color w:val="000000"/>
          <w:szCs w:val="21"/>
        </w:rPr>
        <w:t>。</w:t>
      </w:r>
    </w:p>
    <w:p>
      <w:pPr>
        <w:spacing w:line="500" w:lineRule="exact"/>
        <w:ind w:firstLine="420" w:firstLineChars="200"/>
        <w:rPr>
          <w:rFonts w:ascii="宋体" w:hAnsi="宋体"/>
          <w:szCs w:val="21"/>
        </w:rPr>
      </w:pPr>
      <w:r>
        <w:rPr>
          <w:rFonts w:ascii="宋体" w:hAnsi="宋体"/>
          <w:szCs w:val="21"/>
        </w:rPr>
        <w:t>2.</w:t>
      </w:r>
      <w:r>
        <w:rPr>
          <w:rFonts w:hint="eastAsia" w:ascii="宋体" w:hAnsi="宋体" w:cs="仿宋_GB2312"/>
          <w:szCs w:val="21"/>
        </w:rPr>
        <w:t>合同价格形式：。</w:t>
      </w:r>
    </w:p>
    <w:p>
      <w:pPr>
        <w:pStyle w:val="4"/>
        <w:spacing w:before="0" w:after="0" w:line="360" w:lineRule="auto"/>
        <w:ind w:firstLine="118"/>
        <w:rPr>
          <w:rFonts w:ascii="宋体"/>
          <w:szCs w:val="24"/>
        </w:rPr>
      </w:pPr>
      <w:bookmarkStart w:id="309" w:name="_Toc351203485"/>
      <w:r>
        <w:rPr>
          <w:rFonts w:hint="eastAsia" w:ascii="宋体"/>
          <w:szCs w:val="24"/>
        </w:rPr>
        <w:t>五、</w:t>
      </w:r>
      <w:bookmarkEnd w:id="309"/>
      <w:r>
        <w:rPr>
          <w:rFonts w:hint="eastAsia" w:ascii="宋体"/>
          <w:szCs w:val="24"/>
        </w:rPr>
        <w:t>承包人项目负责人</w:t>
      </w:r>
    </w:p>
    <w:p>
      <w:pPr>
        <w:rPr>
          <w:rFonts w:ascii="宋体" w:hAnsi="宋体"/>
          <w:szCs w:val="21"/>
        </w:rPr>
      </w:pPr>
      <w:r>
        <w:rPr>
          <w:rFonts w:ascii="宋体" w:hAnsi="宋体"/>
          <w:szCs w:val="21"/>
        </w:rPr>
        <w:t>承包人项目负责人：</w:t>
      </w:r>
      <w:r>
        <w:rPr>
          <w:rFonts w:ascii="宋体" w:hAnsi="宋体"/>
          <w:szCs w:val="21"/>
          <w:u w:val="single"/>
        </w:rPr>
        <w:t>         </w:t>
      </w:r>
      <w:r>
        <w:rPr>
          <w:rFonts w:ascii="宋体" w:hAnsi="宋体"/>
          <w:szCs w:val="21"/>
        </w:rPr>
        <w:t>。</w:t>
      </w:r>
    </w:p>
    <w:p>
      <w:pPr>
        <w:pStyle w:val="4"/>
        <w:spacing w:before="0" w:after="0" w:line="360" w:lineRule="auto"/>
        <w:ind w:firstLine="118"/>
        <w:rPr>
          <w:rFonts w:ascii="宋体"/>
          <w:szCs w:val="24"/>
        </w:rPr>
      </w:pPr>
      <w:bookmarkStart w:id="310" w:name="_Toc351203486"/>
      <w:r>
        <w:rPr>
          <w:rFonts w:hint="eastAsia" w:ascii="宋体"/>
          <w:szCs w:val="24"/>
        </w:rPr>
        <w:t>六、合同文件构成</w:t>
      </w:r>
      <w:bookmarkEnd w:id="310"/>
    </w:p>
    <w:p>
      <w:pPr>
        <w:spacing w:line="500" w:lineRule="exact"/>
        <w:ind w:firstLine="420" w:firstLineChars="200"/>
        <w:rPr>
          <w:rFonts w:ascii="宋体" w:hAnsi="宋体" w:cs="仿宋_GB2312"/>
          <w:szCs w:val="21"/>
        </w:rPr>
      </w:pPr>
      <w:r>
        <w:rPr>
          <w:rFonts w:hint="eastAsia" w:ascii="宋体" w:hAnsi="宋体" w:cs="仿宋_GB2312"/>
          <w:szCs w:val="21"/>
        </w:rPr>
        <w:t>本协议书与下列文件一起构成合同文件：</w:t>
      </w:r>
    </w:p>
    <w:p>
      <w:pPr>
        <w:autoSpaceDE w:val="0"/>
        <w:autoSpaceDN w:val="0"/>
        <w:adjustRightInd w:val="0"/>
        <w:spacing w:line="500" w:lineRule="exact"/>
        <w:ind w:firstLine="420" w:firstLineChars="200"/>
        <w:rPr>
          <w:rFonts w:ascii="宋体" w:hAnsi="宋体"/>
          <w:szCs w:val="21"/>
          <w:u w:val="single"/>
        </w:rPr>
      </w:pPr>
      <w:r>
        <w:rPr>
          <w:rFonts w:hint="eastAsia" w:ascii="宋体" w:hAnsi="宋体"/>
          <w:szCs w:val="21"/>
        </w:rPr>
        <w:t>（1）补充协议（如果有）；</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（2）中标通知书；</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（3）投标函及其附录；</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（4）专用合同条款及其附件；</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（5）通用合同条款；</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（6）</w:t>
      </w:r>
      <w:r>
        <w:rPr>
          <w:rFonts w:hint="eastAsia" w:ascii="宋体" w:hAnsi="宋体"/>
          <w:szCs w:val="21"/>
        </w:rPr>
        <w:t>技术标准和要求；</w:t>
      </w:r>
    </w:p>
    <w:p>
      <w:pPr>
        <w:autoSpaceDE w:val="0"/>
        <w:autoSpaceDN w:val="0"/>
        <w:adjustRightInd w:val="0"/>
        <w:spacing w:line="500" w:lineRule="exact"/>
        <w:ind w:firstLine="420" w:firstLineChars="200"/>
        <w:rPr>
          <w:rFonts w:ascii="宋体" w:hAnsi="宋体"/>
          <w:szCs w:val="21"/>
        </w:rPr>
      </w:pPr>
      <w:r>
        <w:rPr>
          <w:rFonts w:hint="eastAsia" w:ascii="宋体" w:hAnsi="宋体" w:cs="仿宋_GB2312"/>
          <w:szCs w:val="21"/>
        </w:rPr>
        <w:t>（</w:t>
      </w:r>
      <w:r>
        <w:rPr>
          <w:rFonts w:hint="eastAsia" w:ascii="宋体" w:hAnsi="宋体"/>
          <w:szCs w:val="21"/>
        </w:rPr>
        <w:t>7</w:t>
      </w:r>
      <w:r>
        <w:rPr>
          <w:rFonts w:hint="eastAsia" w:ascii="宋体" w:hAnsi="宋体" w:cs="仿宋_GB2312"/>
          <w:szCs w:val="21"/>
        </w:rPr>
        <w:t>）图纸</w:t>
      </w:r>
      <w:r>
        <w:rPr>
          <w:rFonts w:hint="eastAsia" w:ascii="宋体" w:hAnsi="宋体"/>
          <w:szCs w:val="21"/>
        </w:rPr>
        <w:t>；</w:t>
      </w:r>
    </w:p>
    <w:p>
      <w:pPr>
        <w:autoSpaceDE w:val="0"/>
        <w:autoSpaceDN w:val="0"/>
        <w:adjustRightInd w:val="0"/>
        <w:spacing w:line="500" w:lineRule="exact"/>
        <w:ind w:firstLine="420" w:firstLineChars="200"/>
        <w:rPr>
          <w:rFonts w:ascii="宋体" w:hAnsi="宋体"/>
          <w:szCs w:val="21"/>
        </w:rPr>
      </w:pPr>
      <w:r>
        <w:rPr>
          <w:rFonts w:hint="eastAsia" w:ascii="宋体" w:hAnsi="宋体" w:cs="仿宋_GB2312"/>
          <w:szCs w:val="21"/>
        </w:rPr>
        <w:t>（</w:t>
      </w:r>
      <w:r>
        <w:rPr>
          <w:rFonts w:hint="eastAsia" w:ascii="宋体" w:hAnsi="宋体"/>
          <w:szCs w:val="21"/>
        </w:rPr>
        <w:t>8</w:t>
      </w:r>
      <w:r>
        <w:rPr>
          <w:rFonts w:hint="eastAsia" w:ascii="宋体" w:hAnsi="宋体" w:cs="仿宋_GB2312"/>
          <w:szCs w:val="21"/>
        </w:rPr>
        <w:t>）</w:t>
      </w:r>
      <w:r>
        <w:rPr>
          <w:rFonts w:hint="eastAsia" w:ascii="宋体" w:hAnsi="宋体"/>
          <w:szCs w:val="21"/>
        </w:rPr>
        <w:t>已标价工程量清单；</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szCs w:val="21"/>
        </w:rPr>
        <w:t>（9）</w:t>
      </w:r>
      <w:r>
        <w:rPr>
          <w:rFonts w:hint="eastAsia" w:ascii="宋体" w:hAnsi="宋体" w:cs="仿宋_GB2312"/>
          <w:szCs w:val="21"/>
        </w:rPr>
        <w:t>其他合同文件</w:t>
      </w:r>
    </w:p>
    <w:p>
      <w:pPr>
        <w:autoSpaceDE w:val="0"/>
        <w:autoSpaceDN w:val="0"/>
        <w:adjustRightInd w:val="0"/>
        <w:spacing w:line="500" w:lineRule="exact"/>
        <w:ind w:firstLine="420" w:firstLineChars="200"/>
        <w:rPr>
          <w:rFonts w:ascii="宋体" w:hAnsi="宋体"/>
          <w:szCs w:val="21"/>
        </w:rPr>
      </w:pPr>
      <w:r>
        <w:rPr>
          <w:rFonts w:hint="eastAsia" w:ascii="宋体" w:hAnsi="宋体" w:cs="仿宋_GB2312"/>
          <w:szCs w:val="21"/>
        </w:rPr>
        <w:t>在合同订立及履行过程中形成的与合同有关的文件均构成合同文件组成部分。</w:t>
      </w:r>
    </w:p>
    <w:p>
      <w:pPr>
        <w:autoSpaceDE w:val="0"/>
        <w:autoSpaceDN w:val="0"/>
        <w:adjustRightInd w:val="0"/>
        <w:spacing w:line="500" w:lineRule="exact"/>
        <w:ind w:firstLine="525" w:firstLineChars="250"/>
        <w:rPr>
          <w:rFonts w:ascii="宋体" w:hAnsi="宋体"/>
          <w:szCs w:val="21"/>
        </w:rPr>
      </w:pPr>
      <w:r>
        <w:rPr>
          <w:rFonts w:hint="eastAsia" w:ascii="宋体" w:hAnsi="宋体" w:cs="仿宋_GB2312"/>
          <w:szCs w:val="21"/>
        </w:rPr>
        <w:t>上述各项合同文件包括合同当事人就该项合同文件所作出的补充和修改，属于同一类内容的文件，应以最新签署的为准。</w:t>
      </w:r>
      <w:r>
        <w:rPr>
          <w:rFonts w:hint="eastAsia" w:ascii="宋体" w:hAnsi="宋体" w:cs="仿宋_GB2312"/>
          <w:bCs/>
          <w:szCs w:val="21"/>
        </w:rPr>
        <w:t>专用合同条款及其附件须经合同当事人签字或盖章。</w:t>
      </w:r>
    </w:p>
    <w:p>
      <w:pPr>
        <w:pStyle w:val="4"/>
        <w:spacing w:before="0" w:after="0" w:line="360" w:lineRule="auto"/>
        <w:ind w:firstLine="118"/>
        <w:rPr>
          <w:rFonts w:ascii="宋体"/>
          <w:szCs w:val="24"/>
        </w:rPr>
      </w:pPr>
      <w:bookmarkStart w:id="311" w:name="_Toc351203487"/>
      <w:r>
        <w:rPr>
          <w:rFonts w:hint="eastAsia" w:ascii="宋体"/>
          <w:szCs w:val="24"/>
        </w:rPr>
        <w:t>七、承诺</w:t>
      </w:r>
      <w:bookmarkEnd w:id="311"/>
    </w:p>
    <w:p>
      <w:pPr>
        <w:spacing w:line="500" w:lineRule="exact"/>
        <w:ind w:firstLine="420" w:firstLineChars="200"/>
        <w:rPr>
          <w:rFonts w:ascii="宋体" w:hAnsi="宋体"/>
          <w:bCs/>
          <w:color w:val="000000"/>
          <w:szCs w:val="21"/>
        </w:rPr>
      </w:pPr>
      <w:r>
        <w:rPr>
          <w:rFonts w:ascii="宋体" w:hAnsi="宋体"/>
          <w:bCs/>
          <w:color w:val="000000"/>
          <w:szCs w:val="21"/>
        </w:rPr>
        <w:t>1. 发包人承诺按照法律规定履行项目审批手续、筹集工程建设资金并按照合同约定的期限和方式支付合同价款。</w:t>
      </w:r>
    </w:p>
    <w:p>
      <w:pPr>
        <w:spacing w:line="500" w:lineRule="exact"/>
        <w:ind w:firstLine="420" w:firstLineChars="200"/>
        <w:rPr>
          <w:rFonts w:ascii="宋体" w:hAnsi="宋体"/>
          <w:bCs/>
          <w:color w:val="000000"/>
          <w:szCs w:val="21"/>
        </w:rPr>
      </w:pPr>
      <w:r>
        <w:rPr>
          <w:rFonts w:ascii="宋体" w:hAnsi="宋体"/>
          <w:bCs/>
          <w:color w:val="000000"/>
          <w:szCs w:val="21"/>
        </w:rPr>
        <w:t>2. 承包人承诺按照法律规定及合同约定组织完成工程施工，确保工程质量和安全，不进行转包及违法分包，并在缺陷责任期及保修期内承担相应的工程维修责任。</w:t>
      </w:r>
    </w:p>
    <w:p>
      <w:pPr>
        <w:spacing w:line="500" w:lineRule="exact"/>
        <w:ind w:firstLine="420" w:firstLineChars="200"/>
        <w:rPr>
          <w:rFonts w:ascii="宋体" w:hAnsi="宋体"/>
          <w:szCs w:val="21"/>
        </w:rPr>
      </w:pPr>
      <w:r>
        <w:rPr>
          <w:rFonts w:ascii="宋体" w:hAnsi="宋体"/>
          <w:szCs w:val="21"/>
        </w:rPr>
        <w:t>3.</w:t>
      </w:r>
      <w:r>
        <w:rPr>
          <w:rFonts w:hint="eastAsia" w:ascii="宋体" w:hAnsi="宋体" w:cs="仿宋_GB2312"/>
          <w:szCs w:val="21"/>
        </w:rPr>
        <w:t>发包人和承包人通过招投标形式签订合同的，双方理解并承诺不再就同一工程另行签订与合同实质性内容相背离的协议。</w:t>
      </w:r>
    </w:p>
    <w:p>
      <w:pPr>
        <w:pStyle w:val="4"/>
        <w:spacing w:before="0" w:after="0" w:line="360" w:lineRule="auto"/>
        <w:ind w:firstLine="118"/>
        <w:rPr>
          <w:rFonts w:ascii="宋体"/>
          <w:szCs w:val="24"/>
        </w:rPr>
      </w:pPr>
      <w:bookmarkStart w:id="312" w:name="_Toc351203488"/>
      <w:r>
        <w:rPr>
          <w:rFonts w:hint="eastAsia" w:ascii="宋体"/>
          <w:szCs w:val="24"/>
        </w:rPr>
        <w:t>八、词语含义</w:t>
      </w:r>
      <w:bookmarkEnd w:id="312"/>
    </w:p>
    <w:p>
      <w:pPr>
        <w:spacing w:line="500" w:lineRule="exact"/>
        <w:ind w:firstLine="525" w:firstLineChars="250"/>
        <w:rPr>
          <w:rFonts w:ascii="宋体" w:hAnsi="宋体"/>
          <w:szCs w:val="21"/>
        </w:rPr>
      </w:pPr>
      <w:r>
        <w:rPr>
          <w:rFonts w:hint="eastAsia" w:ascii="宋体" w:hAnsi="宋体" w:cs="仿宋_GB2312"/>
          <w:szCs w:val="21"/>
        </w:rPr>
        <w:t>本协议书中词语含义与第二部分通用合同条款中赋予的含义相同。</w:t>
      </w:r>
    </w:p>
    <w:p>
      <w:pPr>
        <w:pStyle w:val="4"/>
        <w:spacing w:before="0" w:after="0" w:line="360" w:lineRule="auto"/>
        <w:ind w:firstLine="118"/>
        <w:rPr>
          <w:rFonts w:ascii="宋体"/>
          <w:szCs w:val="24"/>
        </w:rPr>
      </w:pPr>
      <w:bookmarkStart w:id="313" w:name="_Toc351203490"/>
      <w:r>
        <w:rPr>
          <w:rFonts w:hint="eastAsia" w:ascii="宋体"/>
          <w:szCs w:val="24"/>
        </w:rPr>
        <w:t>九、签订地点</w:t>
      </w:r>
      <w:bookmarkEnd w:id="313"/>
    </w:p>
    <w:p>
      <w:pPr>
        <w:spacing w:line="500" w:lineRule="exact"/>
        <w:ind w:firstLine="525" w:firstLineChars="250"/>
        <w:rPr>
          <w:rFonts w:ascii="宋体" w:hAnsi="宋体" w:cs="仿宋_GB2312"/>
          <w:szCs w:val="21"/>
        </w:rPr>
      </w:pPr>
      <w:r>
        <w:rPr>
          <w:rFonts w:ascii="宋体" w:hAnsi="宋体" w:cs="仿宋_GB2312"/>
          <w:szCs w:val="21"/>
        </w:rPr>
        <w:t>本合同于年月日签订。</w:t>
      </w:r>
    </w:p>
    <w:p>
      <w:pPr>
        <w:pStyle w:val="4"/>
        <w:spacing w:before="0" w:after="0" w:line="360" w:lineRule="auto"/>
        <w:ind w:firstLine="118"/>
        <w:rPr>
          <w:rFonts w:ascii="宋体"/>
          <w:szCs w:val="24"/>
        </w:rPr>
      </w:pPr>
      <w:r>
        <w:rPr>
          <w:rFonts w:hint="eastAsia" w:ascii="宋体"/>
          <w:szCs w:val="24"/>
        </w:rPr>
        <w:t>十、签订地点</w:t>
      </w:r>
    </w:p>
    <w:p>
      <w:pPr>
        <w:spacing w:line="500" w:lineRule="exact"/>
        <w:ind w:firstLine="525" w:firstLineChars="250"/>
        <w:rPr>
          <w:rFonts w:ascii="宋体" w:hAnsi="宋体" w:cs="仿宋_GB2312"/>
          <w:szCs w:val="21"/>
        </w:rPr>
      </w:pPr>
      <w:r>
        <w:rPr>
          <w:rFonts w:hint="eastAsia" w:ascii="宋体" w:hAnsi="宋体" w:cs="仿宋_GB2312"/>
          <w:szCs w:val="21"/>
        </w:rPr>
        <w:t>本合同在签订。</w:t>
      </w:r>
    </w:p>
    <w:p>
      <w:pPr>
        <w:pStyle w:val="4"/>
        <w:spacing w:before="0" w:after="0" w:line="360" w:lineRule="auto"/>
        <w:ind w:firstLine="118"/>
        <w:rPr>
          <w:rFonts w:ascii="宋体"/>
          <w:szCs w:val="24"/>
        </w:rPr>
      </w:pPr>
      <w:bookmarkStart w:id="314" w:name="_Toc351203491"/>
      <w:r>
        <w:rPr>
          <w:rFonts w:hint="eastAsia" w:ascii="宋体"/>
          <w:szCs w:val="24"/>
        </w:rPr>
        <w:t>十一、补充协议</w:t>
      </w:r>
      <w:bookmarkEnd w:id="314"/>
    </w:p>
    <w:p>
      <w:pPr>
        <w:spacing w:line="500" w:lineRule="exact"/>
        <w:ind w:firstLine="525" w:firstLineChars="250"/>
        <w:rPr>
          <w:rFonts w:ascii="宋体" w:hAnsi="宋体"/>
          <w:b/>
          <w:bCs/>
          <w:szCs w:val="21"/>
        </w:rPr>
      </w:pPr>
      <w:r>
        <w:rPr>
          <w:rFonts w:hint="eastAsia" w:ascii="宋体" w:hAnsi="宋体" w:cs="仿宋_GB2312"/>
          <w:szCs w:val="21"/>
        </w:rPr>
        <w:t>合同未尽事宜，合同当事人另行签订补充协议，补充协议是合同的组成部分。</w:t>
      </w:r>
    </w:p>
    <w:p>
      <w:pPr>
        <w:pStyle w:val="4"/>
        <w:spacing w:before="0" w:after="0" w:line="360" w:lineRule="auto"/>
        <w:ind w:firstLine="118"/>
        <w:rPr>
          <w:rFonts w:ascii="宋体"/>
          <w:szCs w:val="24"/>
        </w:rPr>
      </w:pPr>
      <w:bookmarkStart w:id="315" w:name="_Toc351203492"/>
      <w:r>
        <w:rPr>
          <w:rFonts w:hint="eastAsia" w:ascii="宋体"/>
          <w:szCs w:val="24"/>
        </w:rPr>
        <w:t>十二、合同生效</w:t>
      </w:r>
      <w:bookmarkEnd w:id="315"/>
    </w:p>
    <w:p>
      <w:pPr>
        <w:spacing w:line="500" w:lineRule="exact"/>
        <w:ind w:firstLine="420" w:firstLineChars="200"/>
        <w:rPr>
          <w:rFonts w:ascii="宋体" w:hAnsi="宋体"/>
          <w:szCs w:val="21"/>
        </w:rPr>
      </w:pPr>
      <w:r>
        <w:rPr>
          <w:rFonts w:hint="eastAsia" w:ascii="宋体" w:hAnsi="宋体" w:cs="仿宋_GB2312"/>
          <w:szCs w:val="21"/>
        </w:rPr>
        <w:t>本合同自</w:t>
      </w:r>
      <w:r>
        <w:rPr>
          <w:rFonts w:hint="eastAsia" w:ascii="宋体" w:hAnsi="宋体" w:cs="仿宋_GB2312"/>
          <w:szCs w:val="21"/>
          <w:u w:val="single"/>
        </w:rPr>
        <w:t>双方签字盖章后</w:t>
      </w:r>
      <w:r>
        <w:rPr>
          <w:rFonts w:hint="eastAsia" w:ascii="宋体" w:hAnsi="宋体" w:cs="仿宋_GB2312"/>
          <w:szCs w:val="21"/>
        </w:rPr>
        <w:t>生效。</w:t>
      </w:r>
    </w:p>
    <w:p>
      <w:pPr>
        <w:pStyle w:val="4"/>
        <w:spacing w:before="0" w:after="0" w:line="360" w:lineRule="auto"/>
        <w:ind w:firstLine="118"/>
        <w:rPr>
          <w:rFonts w:ascii="宋体"/>
          <w:szCs w:val="24"/>
        </w:rPr>
      </w:pPr>
      <w:bookmarkStart w:id="316" w:name="_Toc351203493"/>
      <w:r>
        <w:rPr>
          <w:rFonts w:hint="eastAsia" w:ascii="宋体"/>
          <w:szCs w:val="24"/>
        </w:rPr>
        <w:t>十三、合同份数</w:t>
      </w:r>
      <w:bookmarkEnd w:id="316"/>
    </w:p>
    <w:p>
      <w:pPr>
        <w:spacing w:line="500" w:lineRule="exact"/>
        <w:ind w:firstLine="420" w:firstLineChars="200"/>
        <w:rPr>
          <w:rFonts w:ascii="宋体" w:hAnsi="宋体" w:cs="仿宋_GB2312"/>
          <w:szCs w:val="21"/>
        </w:rPr>
      </w:pPr>
      <w:r>
        <w:rPr>
          <w:rFonts w:hint="eastAsia" w:ascii="宋体" w:hAnsi="宋体" w:cs="仿宋_GB2312"/>
          <w:szCs w:val="21"/>
        </w:rPr>
        <w:t>本合同一式 份，均具有同等法律效力，发包人执份，承包人执份。</w:t>
      </w:r>
    </w:p>
    <w:p>
      <w:pPr>
        <w:spacing w:line="360" w:lineRule="auto"/>
        <w:rPr>
          <w:rFonts w:ascii="宋体" w:hAnsi="宋体" w:cs="仿宋_GB2312"/>
          <w:szCs w:val="21"/>
        </w:rPr>
      </w:pPr>
    </w:p>
    <w:p>
      <w:pPr>
        <w:spacing w:line="360" w:lineRule="auto"/>
        <w:rPr>
          <w:rFonts w:ascii="宋体" w:hAnsi="宋体"/>
          <w:szCs w:val="21"/>
        </w:rPr>
      </w:pPr>
      <w:r>
        <w:rPr>
          <w:rFonts w:hint="eastAsia" w:ascii="宋体" w:hAnsi="宋体" w:cs="仿宋_GB2312"/>
          <w:szCs w:val="21"/>
        </w:rPr>
        <w:t>发包人：</w:t>
      </w:r>
      <w:r>
        <w:rPr>
          <w:rFonts w:ascii="宋体" w:hAnsi="宋体"/>
          <w:szCs w:val="21"/>
        </w:rPr>
        <w:t xml:space="preserve">  (</w:t>
      </w:r>
      <w:r>
        <w:rPr>
          <w:rFonts w:hint="eastAsia" w:ascii="宋体" w:hAnsi="宋体" w:cs="仿宋_GB2312"/>
          <w:szCs w:val="21"/>
        </w:rPr>
        <w:t>公章</w:t>
      </w:r>
      <w:r>
        <w:rPr>
          <w:rFonts w:ascii="宋体" w:hAnsi="宋体"/>
          <w:szCs w:val="21"/>
        </w:rPr>
        <w:t xml:space="preserve">)                </w:t>
      </w:r>
      <w:r>
        <w:rPr>
          <w:rFonts w:hint="eastAsia" w:ascii="宋体" w:hAnsi="宋体" w:cs="仿宋_GB2312"/>
          <w:szCs w:val="21"/>
        </w:rPr>
        <w:t>承包人：</w:t>
      </w:r>
      <w:r>
        <w:rPr>
          <w:rFonts w:ascii="宋体" w:hAnsi="宋体"/>
          <w:szCs w:val="21"/>
        </w:rPr>
        <w:t xml:space="preserve">  (</w:t>
      </w:r>
      <w:r>
        <w:rPr>
          <w:rFonts w:hint="eastAsia" w:ascii="宋体" w:hAnsi="宋体" w:cs="仿宋_GB2312"/>
          <w:szCs w:val="21"/>
        </w:rPr>
        <w:t>公章</w:t>
      </w:r>
      <w:r>
        <w:rPr>
          <w:rFonts w:ascii="宋体" w:hAnsi="宋体"/>
          <w:szCs w:val="21"/>
        </w:rPr>
        <w:t>)</w:t>
      </w:r>
    </w:p>
    <w:p>
      <w:pPr>
        <w:pStyle w:val="20"/>
        <w:tabs>
          <w:tab w:val="left" w:pos="3124"/>
          <w:tab w:val="left" w:pos="4912"/>
          <w:tab w:val="left" w:pos="7463"/>
        </w:tabs>
        <w:adjustRightInd w:val="0"/>
        <w:snapToGrid w:val="0"/>
        <w:spacing w:line="360" w:lineRule="auto"/>
        <w:ind w:right="119"/>
        <w:rPr>
          <w:rFonts w:ascii="宋体" w:hAnsi="宋体" w:cs="仿宋_GB2312"/>
          <w:szCs w:val="21"/>
        </w:rPr>
      </w:pPr>
    </w:p>
    <w:p>
      <w:pPr>
        <w:spacing w:line="360" w:lineRule="auto"/>
        <w:rPr>
          <w:rFonts w:ascii="宋体" w:hAnsi="宋体"/>
          <w:szCs w:val="21"/>
        </w:rPr>
      </w:pPr>
      <w:r>
        <w:rPr>
          <w:rFonts w:hint="eastAsia" w:ascii="宋体" w:hAnsi="宋体" w:cs="仿宋_GB2312"/>
          <w:szCs w:val="21"/>
        </w:rPr>
        <w:t>法定代表人或其委托代理人：              法定代表人或其委托代理人：</w:t>
      </w:r>
    </w:p>
    <w:p>
      <w:pPr>
        <w:spacing w:line="360" w:lineRule="auto"/>
        <w:rPr>
          <w:rFonts w:ascii="宋体" w:hAnsi="宋体"/>
          <w:szCs w:val="21"/>
        </w:rPr>
      </w:pPr>
      <w:r>
        <w:rPr>
          <w:rFonts w:hint="eastAsia" w:ascii="宋体" w:hAnsi="宋体" w:cs="仿宋_GB2312"/>
          <w:szCs w:val="21"/>
        </w:rPr>
        <w:t>（签字）                               （签字）</w:t>
      </w:r>
    </w:p>
    <w:p>
      <w:pPr>
        <w:tabs>
          <w:tab w:val="left" w:pos="4410"/>
        </w:tabs>
        <w:spacing w:line="360" w:lineRule="auto"/>
        <w:rPr>
          <w:rFonts w:ascii="宋体" w:hAnsi="宋体"/>
          <w:szCs w:val="21"/>
        </w:rPr>
      </w:pPr>
      <w:r>
        <w:rPr>
          <w:rFonts w:hint="eastAsia" w:ascii="宋体" w:hAnsi="宋体" w:cs="仿宋"/>
          <w:szCs w:val="21"/>
        </w:rPr>
        <w:t>纳税人登记号：                          纳税人登记号：</w:t>
      </w:r>
    </w:p>
    <w:p>
      <w:pPr>
        <w:spacing w:line="360" w:lineRule="auto"/>
        <w:ind w:left="4830" w:hanging="4830" w:hangingChars="2300"/>
        <w:rPr>
          <w:rFonts w:ascii="宋体" w:hAnsi="宋体"/>
          <w:szCs w:val="21"/>
        </w:rPr>
      </w:pPr>
      <w:r>
        <w:rPr>
          <w:rFonts w:hint="eastAsia" w:ascii="宋体" w:hAnsi="宋体" w:cs="仿宋_GB2312"/>
          <w:szCs w:val="21"/>
        </w:rPr>
        <w:t>地址：         地址：</w:t>
      </w:r>
    </w:p>
    <w:p>
      <w:pPr>
        <w:spacing w:line="360" w:lineRule="auto"/>
        <w:rPr>
          <w:rFonts w:ascii="宋体" w:hAnsi="宋体" w:cs="仿宋_GB2312"/>
          <w:szCs w:val="21"/>
        </w:rPr>
      </w:pPr>
      <w:r>
        <w:rPr>
          <w:rFonts w:hint="eastAsia" w:ascii="宋体" w:hAnsi="宋体" w:cs="仿宋_GB2312"/>
          <w:szCs w:val="21"/>
        </w:rPr>
        <w:t>邮政编码：</w:t>
      </w:r>
      <w:r>
        <w:rPr>
          <w:rFonts w:hint="eastAsia" w:ascii="宋体" w:hAnsi="宋体" w:cs="MingLiU_HKSCS"/>
          <w:szCs w:val="21"/>
        </w:rPr>
        <w:t></w:t>
      </w:r>
      <w:r>
        <w:rPr>
          <w:rFonts w:hint="eastAsia" w:ascii="宋体" w:hAnsi="宋体" w:cs="仿宋_GB2312"/>
          <w:szCs w:val="21"/>
        </w:rPr>
        <w:t xml:space="preserve">                            邮政编码：</w:t>
      </w:r>
    </w:p>
    <w:p>
      <w:pPr>
        <w:spacing w:line="360" w:lineRule="auto"/>
        <w:rPr>
          <w:rFonts w:ascii="宋体" w:hAnsi="宋体"/>
          <w:szCs w:val="21"/>
        </w:rPr>
      </w:pPr>
      <w:r>
        <w:rPr>
          <w:rFonts w:hint="eastAsia" w:ascii="宋体" w:hAnsi="宋体" w:cs="仿宋_GB2312"/>
          <w:szCs w:val="21"/>
        </w:rPr>
        <w:t>法定代表人：法定代表人：</w:t>
      </w:r>
    </w:p>
    <w:p>
      <w:pPr>
        <w:spacing w:line="360" w:lineRule="auto"/>
        <w:rPr>
          <w:rFonts w:ascii="宋体" w:hAnsi="宋体"/>
          <w:szCs w:val="21"/>
        </w:rPr>
      </w:pPr>
      <w:r>
        <w:rPr>
          <w:rFonts w:hint="eastAsia" w:ascii="宋体" w:hAnsi="宋体" w:cs="仿宋_GB2312"/>
          <w:szCs w:val="21"/>
        </w:rPr>
        <w:t>电话：电话：</w:t>
      </w:r>
    </w:p>
    <w:p>
      <w:pPr>
        <w:spacing w:line="360" w:lineRule="auto"/>
        <w:rPr>
          <w:rFonts w:ascii="宋体" w:hAnsi="宋体"/>
          <w:szCs w:val="21"/>
        </w:rPr>
      </w:pPr>
      <w:r>
        <w:rPr>
          <w:rFonts w:hint="eastAsia" w:ascii="宋体" w:hAnsi="宋体" w:cs="仿宋_GB2312"/>
          <w:szCs w:val="21"/>
        </w:rPr>
        <w:t>传真：传真：</w:t>
      </w:r>
    </w:p>
    <w:p>
      <w:pPr>
        <w:pStyle w:val="20"/>
        <w:tabs>
          <w:tab w:val="left" w:pos="1319"/>
          <w:tab w:val="left" w:pos="4919"/>
          <w:tab w:val="left" w:pos="5639"/>
        </w:tabs>
        <w:adjustRightInd w:val="0"/>
        <w:snapToGrid w:val="0"/>
        <w:spacing w:line="360" w:lineRule="auto"/>
        <w:rPr>
          <w:rFonts w:ascii="宋体" w:hAnsi="宋体" w:cs="仿宋"/>
          <w:szCs w:val="21"/>
        </w:rPr>
      </w:pPr>
      <w:r>
        <w:rPr>
          <w:rFonts w:hint="eastAsia" w:ascii="宋体" w:hAnsi="宋体" w:cs="仿宋_GB2312"/>
          <w:szCs w:val="21"/>
        </w:rPr>
        <w:t>开户银行：开户银行：</w:t>
      </w:r>
    </w:p>
    <w:p>
      <w:pPr>
        <w:pStyle w:val="20"/>
        <w:tabs>
          <w:tab w:val="left" w:pos="1319"/>
          <w:tab w:val="left" w:pos="4919"/>
          <w:tab w:val="left" w:pos="5639"/>
        </w:tabs>
        <w:adjustRightInd w:val="0"/>
        <w:snapToGrid w:val="0"/>
        <w:spacing w:line="360" w:lineRule="auto"/>
        <w:rPr>
          <w:rFonts w:ascii="宋体" w:hAnsi="宋体" w:cs="仿宋"/>
          <w:szCs w:val="21"/>
        </w:rPr>
      </w:pPr>
    </w:p>
    <w:p>
      <w:pPr>
        <w:spacing w:line="360" w:lineRule="auto"/>
        <w:rPr>
          <w:rFonts w:ascii="宋体" w:hAnsi="宋体" w:cs="仿宋_GB2312"/>
          <w:szCs w:val="21"/>
        </w:rPr>
      </w:pPr>
      <w:r>
        <w:rPr>
          <w:rFonts w:hint="eastAsia" w:ascii="宋体" w:hAnsi="宋体" w:cs="仿宋_GB2312"/>
          <w:szCs w:val="21"/>
        </w:rPr>
        <w:t>账号：账号</w:t>
      </w:r>
      <w:bookmarkStart w:id="317" w:name="_Toc351203494"/>
    </w:p>
    <w:p>
      <w:pPr>
        <w:spacing w:line="360" w:lineRule="auto"/>
        <w:rPr>
          <w:rFonts w:ascii="宋体" w:hAnsi="宋体" w:cs="仿宋"/>
          <w:szCs w:val="21"/>
        </w:rPr>
      </w:pPr>
    </w:p>
    <w:p>
      <w:pPr>
        <w:spacing w:line="360" w:lineRule="auto"/>
        <w:ind w:firstLine="3465" w:firstLineChars="1650"/>
        <w:rPr>
          <w:rFonts w:ascii="宋体" w:hAnsi="宋体" w:cs="仿宋_GB2312"/>
          <w:szCs w:val="21"/>
        </w:rPr>
      </w:pPr>
      <w:r>
        <w:rPr>
          <w:rFonts w:hint="eastAsia" w:ascii="宋体" w:hAnsi="宋体" w:cs="仿宋_GB2312"/>
          <w:szCs w:val="21"/>
        </w:rPr>
        <w:t>签订时间：年月日</w:t>
      </w:r>
    </w:p>
    <w:bookmarkEnd w:id="317"/>
    <w:p>
      <w:pPr>
        <w:pStyle w:val="3"/>
        <w:jc w:val="center"/>
        <w:rPr>
          <w:b w:val="0"/>
          <w:sz w:val="21"/>
          <w:szCs w:val="21"/>
        </w:rPr>
      </w:pPr>
      <w:r>
        <w:rPr>
          <w:sz w:val="21"/>
          <w:szCs w:val="21"/>
        </w:rPr>
        <w:br w:type="page"/>
      </w:r>
      <w:bookmarkStart w:id="318" w:name="_Toc504576669"/>
      <w:bookmarkStart w:id="319" w:name="_Toc518916741"/>
      <w:bookmarkStart w:id="320" w:name="_Toc529440049"/>
      <w:bookmarkStart w:id="321" w:name="_Toc460581578"/>
      <w:bookmarkStart w:id="322" w:name="_Toc351203632"/>
      <w:bookmarkStart w:id="323" w:name="_Toc460582181"/>
      <w:r>
        <w:t>第二部分通用合同条款</w:t>
      </w:r>
      <w:bookmarkEnd w:id="318"/>
      <w:bookmarkEnd w:id="319"/>
      <w:bookmarkEnd w:id="320"/>
    </w:p>
    <w:p>
      <w:pPr>
        <w:spacing w:line="560" w:lineRule="exact"/>
        <w:ind w:firstLine="420" w:firstLineChars="200"/>
        <w:rPr>
          <w:rFonts w:ascii="宋体" w:hAnsi="宋体" w:cs="仿宋"/>
          <w:szCs w:val="21"/>
        </w:rPr>
      </w:pPr>
      <w:r>
        <w:rPr>
          <w:rFonts w:hint="eastAsia"/>
        </w:rPr>
        <w:t>采用住房城乡建设部和国家工商行政管理局颁发的《建设工程施工合同（示范文本）》（GF-2017-0201）的“通用合同条款”。</w:t>
      </w:r>
    </w:p>
    <w:p>
      <w:pPr>
        <w:spacing w:line="360" w:lineRule="auto"/>
        <w:rPr>
          <w:rFonts w:ascii="宋体" w:hAnsi="宋体" w:cs="仿宋_GB2312"/>
          <w:szCs w:val="21"/>
        </w:rPr>
      </w:pPr>
    </w:p>
    <w:p>
      <w:pPr>
        <w:pStyle w:val="3"/>
        <w:jc w:val="center"/>
        <w:rPr>
          <w:sz w:val="21"/>
          <w:szCs w:val="21"/>
        </w:rPr>
      </w:pPr>
      <w:r>
        <w:rPr>
          <w:rFonts w:cs="华文中宋"/>
          <w:sz w:val="21"/>
          <w:szCs w:val="21"/>
        </w:rPr>
        <w:br w:type="page"/>
      </w:r>
      <w:bookmarkStart w:id="324" w:name="_Toc504576670"/>
      <w:bookmarkStart w:id="325" w:name="_Toc518916742"/>
      <w:bookmarkStart w:id="326" w:name="_Toc529440050"/>
      <w:r>
        <w:rPr>
          <w:rFonts w:hint="eastAsia"/>
        </w:rPr>
        <w:t>第三部分专用合同条款</w:t>
      </w:r>
      <w:bookmarkEnd w:id="321"/>
      <w:bookmarkEnd w:id="322"/>
      <w:bookmarkEnd w:id="323"/>
      <w:bookmarkEnd w:id="324"/>
      <w:bookmarkEnd w:id="325"/>
      <w:bookmarkEnd w:id="326"/>
    </w:p>
    <w:p>
      <w:pPr>
        <w:pStyle w:val="4"/>
        <w:spacing w:before="0" w:after="0" w:line="360" w:lineRule="auto"/>
        <w:ind w:firstLine="118"/>
        <w:rPr>
          <w:rFonts w:ascii="宋体"/>
          <w:szCs w:val="24"/>
        </w:rPr>
      </w:pPr>
      <w:bookmarkStart w:id="327" w:name="_Toc351203633"/>
      <w:r>
        <w:rPr>
          <w:rFonts w:ascii="宋体"/>
          <w:szCs w:val="24"/>
        </w:rPr>
        <w:t>1</w:t>
      </w:r>
      <w:bookmarkStart w:id="328" w:name="_Toc292559361"/>
      <w:bookmarkStart w:id="329" w:name="_Toc296503156"/>
      <w:bookmarkStart w:id="330" w:name="_Toc297048342"/>
      <w:bookmarkStart w:id="331" w:name="_Toc296891196"/>
      <w:bookmarkStart w:id="332" w:name="_Toc296890984"/>
      <w:bookmarkStart w:id="333" w:name="_Toc292559866"/>
      <w:bookmarkStart w:id="334" w:name="_Toc297120456"/>
      <w:bookmarkStart w:id="335" w:name="_Toc296347155"/>
      <w:bookmarkStart w:id="336" w:name="_Toc296944495"/>
      <w:bookmarkStart w:id="337" w:name="_Toc296346657"/>
      <w:r>
        <w:rPr>
          <w:rFonts w:ascii="宋体"/>
          <w:szCs w:val="24"/>
        </w:rPr>
        <w:t xml:space="preserve">. </w:t>
      </w:r>
      <w:r>
        <w:rPr>
          <w:rFonts w:hint="eastAsia" w:ascii="宋体"/>
          <w:szCs w:val="24"/>
        </w:rPr>
        <w:t>一般约定</w:t>
      </w:r>
    </w:p>
    <w:bookmarkEnd w:id="328"/>
    <w:bookmarkEnd w:id="329"/>
    <w:bookmarkEnd w:id="330"/>
    <w:bookmarkEnd w:id="331"/>
    <w:bookmarkEnd w:id="332"/>
    <w:bookmarkEnd w:id="333"/>
    <w:bookmarkEnd w:id="334"/>
    <w:bookmarkEnd w:id="335"/>
    <w:bookmarkEnd w:id="336"/>
    <w:bookmarkEnd w:id="337"/>
    <w:p>
      <w:pPr>
        <w:spacing w:line="360" w:lineRule="auto"/>
        <w:ind w:firstLine="420" w:firstLineChars="200"/>
        <w:rPr>
          <w:rFonts w:ascii="宋体" w:hAnsi="宋体"/>
          <w:szCs w:val="21"/>
        </w:rPr>
      </w:pPr>
      <w:r>
        <w:rPr>
          <w:rFonts w:ascii="宋体" w:hAnsi="宋体"/>
          <w:szCs w:val="21"/>
        </w:rPr>
        <w:t xml:space="preserve">1.1 </w:t>
      </w:r>
      <w:r>
        <w:rPr>
          <w:rFonts w:hint="eastAsia" w:ascii="宋体" w:hAnsi="宋体" w:cs="黑体"/>
          <w:szCs w:val="21"/>
        </w:rPr>
        <w:t>词语定义</w:t>
      </w:r>
    </w:p>
    <w:p>
      <w:pPr>
        <w:spacing w:line="360" w:lineRule="auto"/>
        <w:ind w:firstLine="420" w:firstLineChars="200"/>
        <w:rPr>
          <w:rFonts w:ascii="宋体" w:hAnsi="宋体"/>
          <w:szCs w:val="21"/>
        </w:rPr>
      </w:pPr>
      <w:r>
        <w:rPr>
          <w:rFonts w:ascii="宋体" w:hAnsi="宋体"/>
          <w:szCs w:val="21"/>
        </w:rPr>
        <w:t>1.1.1</w:t>
      </w:r>
      <w:r>
        <w:rPr>
          <w:rFonts w:hint="eastAsia" w:ascii="宋体" w:hAnsi="宋体" w:cs="仿宋_GB2312"/>
          <w:szCs w:val="21"/>
        </w:rPr>
        <w:t>合同</w:t>
      </w:r>
    </w:p>
    <w:p>
      <w:pPr>
        <w:spacing w:line="360" w:lineRule="auto"/>
        <w:ind w:firstLine="420" w:firstLineChars="200"/>
        <w:rPr>
          <w:rFonts w:ascii="宋体" w:hAnsi="宋体" w:cs="仿宋_GB2312"/>
          <w:szCs w:val="21"/>
        </w:rPr>
      </w:pPr>
      <w:r>
        <w:rPr>
          <w:rFonts w:ascii="宋体" w:hAnsi="宋体" w:cs="仿宋_GB2312"/>
          <w:szCs w:val="21"/>
        </w:rPr>
        <w:t>1.1.1.10其他合同文件包括：</w:t>
      </w:r>
      <w:r>
        <w:rPr>
          <w:rFonts w:ascii="宋体" w:hAnsi="宋体" w:cs="仿宋_GB2312"/>
          <w:szCs w:val="21"/>
          <w:u w:val="single"/>
        </w:rPr>
        <w:t>     </w:t>
      </w:r>
    </w:p>
    <w:p>
      <w:pPr>
        <w:spacing w:line="360" w:lineRule="auto"/>
        <w:ind w:left="1155" w:hanging="1155" w:hangingChars="550"/>
        <w:rPr>
          <w:rFonts w:ascii="宋体" w:hAnsi="宋体" w:cs="仿宋_GB2312"/>
          <w:szCs w:val="21"/>
        </w:rPr>
      </w:pPr>
      <w:r>
        <w:rPr>
          <w:rFonts w:ascii="宋体" w:hAnsi="宋体" w:cs="仿宋_GB2312"/>
          <w:szCs w:val="21"/>
        </w:rPr>
        <w:t></w:t>
      </w:r>
      <w:r>
        <w:rPr>
          <w:rFonts w:ascii="宋体" w:hAnsi="宋体" w:cs="仿宋_GB2312"/>
          <w:szCs w:val="21"/>
          <w:u w:val="single"/>
        </w:rPr>
        <w:t></w:t>
      </w:r>
    </w:p>
    <w:p>
      <w:pPr>
        <w:spacing w:line="360" w:lineRule="auto"/>
        <w:ind w:left="1155" w:hanging="1155" w:hangingChars="550"/>
        <w:rPr>
          <w:rFonts w:ascii="宋体" w:hAnsi="宋体" w:cs="仿宋_GB2312"/>
          <w:szCs w:val="21"/>
        </w:rPr>
      </w:pPr>
      <w:r>
        <w:rPr>
          <w:rFonts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1.1.2 </w:t>
      </w:r>
      <w:r>
        <w:rPr>
          <w:rFonts w:hint="eastAsia" w:ascii="宋体" w:hAnsi="宋体" w:cs="仿宋_GB2312"/>
          <w:szCs w:val="21"/>
        </w:rPr>
        <w:t>合同当事人及其他相关方</w:t>
      </w:r>
    </w:p>
    <w:p>
      <w:pPr>
        <w:spacing w:line="360" w:lineRule="auto"/>
        <w:ind w:firstLine="420" w:firstLineChars="200"/>
        <w:rPr>
          <w:rFonts w:ascii="宋体" w:hAnsi="宋体"/>
          <w:szCs w:val="21"/>
        </w:rPr>
      </w:pPr>
      <w:r>
        <w:rPr>
          <w:rFonts w:ascii="宋体" w:hAnsi="宋体"/>
          <w:szCs w:val="21"/>
        </w:rPr>
        <w:t>1.1.2.4</w:t>
      </w:r>
      <w:r>
        <w:rPr>
          <w:rFonts w:hint="eastAsia" w:ascii="宋体" w:hAnsi="宋体" w:cs="仿宋_GB2312"/>
          <w:szCs w:val="21"/>
        </w:rPr>
        <w:t>监理人：</w:t>
      </w:r>
    </w:p>
    <w:p>
      <w:pPr>
        <w:spacing w:line="360" w:lineRule="auto"/>
        <w:ind w:firstLine="420" w:firstLineChars="200"/>
        <w:rPr>
          <w:rFonts w:ascii="宋体" w:hAnsi="宋体"/>
          <w:szCs w:val="21"/>
        </w:rPr>
      </w:pPr>
      <w:r>
        <w:rPr>
          <w:rFonts w:hint="eastAsia" w:ascii="宋体" w:hAnsi="宋体" w:cs="仿宋_GB2312"/>
          <w:szCs w:val="21"/>
        </w:rPr>
        <w:t>名称：；</w:t>
      </w:r>
    </w:p>
    <w:p>
      <w:pPr>
        <w:spacing w:line="360" w:lineRule="auto"/>
        <w:ind w:firstLine="420" w:firstLineChars="200"/>
        <w:rPr>
          <w:rFonts w:ascii="宋体" w:hAnsi="宋体"/>
          <w:szCs w:val="21"/>
        </w:rPr>
      </w:pPr>
      <w:r>
        <w:rPr>
          <w:rFonts w:hint="eastAsia" w:ascii="宋体" w:hAnsi="宋体" w:cs="仿宋_GB2312"/>
          <w:szCs w:val="21"/>
        </w:rPr>
        <w:t>资质类别和等级：；</w:t>
      </w:r>
    </w:p>
    <w:p>
      <w:pPr>
        <w:spacing w:line="360" w:lineRule="auto"/>
        <w:ind w:firstLine="420" w:firstLineChars="200"/>
        <w:rPr>
          <w:rFonts w:ascii="宋体" w:hAnsi="宋体"/>
          <w:szCs w:val="21"/>
        </w:rPr>
      </w:pPr>
      <w:r>
        <w:rPr>
          <w:rFonts w:hint="eastAsia" w:ascii="宋体" w:hAnsi="宋体" w:cs="仿宋_GB2312"/>
          <w:szCs w:val="21"/>
        </w:rPr>
        <w:t>联系电话：</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电子信箱：</w:t>
      </w:r>
      <w:r>
        <w:rPr>
          <w:rFonts w:hint="eastAsia" w:ascii="宋体" w:hAnsi="宋体" w:cs="MingLiU_HKS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cs="仿宋_GB2312"/>
          <w:szCs w:val="21"/>
          <w:u w:val="single"/>
        </w:rPr>
      </w:pPr>
      <w:r>
        <w:rPr>
          <w:rFonts w:hint="eastAsia" w:ascii="宋体" w:hAnsi="宋体" w:cs="仿宋_GB2312"/>
          <w:szCs w:val="21"/>
        </w:rPr>
        <w:t>通信地址：</w:t>
      </w:r>
      <w:r>
        <w:rPr>
          <w:rFonts w:hint="eastAsia" w:ascii="宋体" w:hAnsi="宋体" w:cs="MingLiU_HKSCS"/>
          <w:szCs w:val="21"/>
          <w:u w:val="single"/>
        </w:rPr>
        <w:t>。</w:t>
      </w:r>
    </w:p>
    <w:p>
      <w:pPr>
        <w:spacing w:line="360" w:lineRule="auto"/>
        <w:ind w:firstLine="420" w:firstLineChars="200"/>
        <w:rPr>
          <w:rFonts w:ascii="宋体" w:hAnsi="宋体"/>
          <w:szCs w:val="21"/>
        </w:rPr>
      </w:pPr>
      <w:r>
        <w:rPr>
          <w:rFonts w:ascii="宋体" w:hAnsi="宋体"/>
          <w:szCs w:val="21"/>
        </w:rPr>
        <w:t xml:space="preserve">1.1.2.5 </w:t>
      </w:r>
      <w:r>
        <w:rPr>
          <w:rFonts w:hint="eastAsia" w:ascii="宋体" w:hAnsi="宋体" w:cs="仿宋_GB2312"/>
          <w:szCs w:val="21"/>
        </w:rPr>
        <w:t>设计人：</w:t>
      </w:r>
    </w:p>
    <w:p>
      <w:pPr>
        <w:spacing w:line="360" w:lineRule="auto"/>
        <w:ind w:firstLine="420" w:firstLineChars="200"/>
        <w:rPr>
          <w:rFonts w:ascii="宋体" w:hAnsi="宋体"/>
          <w:szCs w:val="21"/>
        </w:rPr>
      </w:pPr>
      <w:r>
        <w:rPr>
          <w:rFonts w:hint="eastAsia" w:ascii="宋体" w:hAnsi="宋体" w:cs="仿宋_GB2312"/>
          <w:szCs w:val="21"/>
        </w:rPr>
        <w:t>名称：；</w:t>
      </w:r>
    </w:p>
    <w:p>
      <w:pPr>
        <w:spacing w:line="360" w:lineRule="auto"/>
        <w:ind w:firstLine="420" w:firstLineChars="200"/>
        <w:rPr>
          <w:rFonts w:ascii="宋体" w:hAnsi="宋体"/>
          <w:szCs w:val="21"/>
        </w:rPr>
      </w:pPr>
      <w:r>
        <w:rPr>
          <w:rFonts w:hint="eastAsia" w:ascii="宋体" w:hAnsi="宋体" w:cs="仿宋_GB2312"/>
          <w:szCs w:val="21"/>
        </w:rPr>
        <w:t>资质类别和等级：</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联系电话：</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电子信箱：；</w:t>
      </w:r>
    </w:p>
    <w:p>
      <w:pPr>
        <w:spacing w:line="360" w:lineRule="auto"/>
        <w:ind w:firstLine="420" w:firstLineChars="200"/>
        <w:rPr>
          <w:rFonts w:ascii="宋体" w:hAnsi="宋体"/>
          <w:szCs w:val="21"/>
        </w:rPr>
      </w:pPr>
      <w:r>
        <w:rPr>
          <w:rFonts w:hint="eastAsia" w:ascii="宋体" w:hAnsi="宋体" w:cs="仿宋_GB2312"/>
          <w:szCs w:val="21"/>
        </w:rPr>
        <w:t>通信地址：。</w:t>
      </w:r>
    </w:p>
    <w:p>
      <w:pPr>
        <w:spacing w:line="360" w:lineRule="auto"/>
        <w:ind w:firstLine="420" w:firstLineChars="200"/>
        <w:rPr>
          <w:rFonts w:ascii="宋体" w:hAnsi="宋体"/>
          <w:szCs w:val="21"/>
        </w:rPr>
      </w:pPr>
      <w:r>
        <w:rPr>
          <w:rFonts w:ascii="宋体" w:hAnsi="宋体"/>
          <w:szCs w:val="21"/>
        </w:rPr>
        <w:t xml:space="preserve">1.1.3 </w:t>
      </w:r>
      <w:r>
        <w:rPr>
          <w:rFonts w:hint="eastAsia" w:ascii="宋体" w:hAnsi="宋体" w:cs="仿宋_GB2312"/>
          <w:szCs w:val="21"/>
        </w:rPr>
        <w:t>工程和设备</w:t>
      </w:r>
    </w:p>
    <w:p>
      <w:pPr>
        <w:spacing w:line="360" w:lineRule="auto"/>
        <w:ind w:firstLine="420" w:firstLineChars="200"/>
        <w:rPr>
          <w:rFonts w:ascii="宋体" w:hAnsi="宋体"/>
          <w:szCs w:val="21"/>
        </w:rPr>
      </w:pPr>
      <w:r>
        <w:rPr>
          <w:rFonts w:ascii="宋体" w:hAnsi="宋体"/>
          <w:szCs w:val="21"/>
        </w:rPr>
        <w:t xml:space="preserve">1.1.3.7 </w:t>
      </w:r>
      <w:r>
        <w:rPr>
          <w:rFonts w:hint="eastAsia" w:ascii="宋体" w:hAnsi="宋体" w:cs="仿宋_GB2312"/>
          <w:szCs w:val="21"/>
        </w:rPr>
        <w:t>作为施工现场组成部分的其他场所包括：</w:t>
      </w:r>
      <w:r>
        <w:rPr>
          <w:rFonts w:hint="eastAsia" w:ascii="宋体" w:hAnsi="宋体" w:cs="宋体"/>
          <w:snapToGrid w:val="0"/>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1.1.3.9 </w:t>
      </w:r>
      <w:r>
        <w:rPr>
          <w:rFonts w:hint="eastAsia" w:ascii="宋体" w:hAnsi="宋体" w:cs="仿宋_GB2312"/>
          <w:szCs w:val="21"/>
        </w:rPr>
        <w:t>永久占地包括：</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1.1.3.10 </w:t>
      </w:r>
      <w:r>
        <w:rPr>
          <w:rFonts w:hint="eastAsia" w:ascii="宋体" w:hAnsi="宋体" w:cs="仿宋_GB2312"/>
          <w:szCs w:val="21"/>
        </w:rPr>
        <w:t>临时占地包括：</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1.3</w:t>
      </w:r>
      <w:r>
        <w:rPr>
          <w:rFonts w:hint="eastAsia" w:ascii="宋体" w:hAnsi="宋体" w:cs="黑体"/>
          <w:szCs w:val="21"/>
        </w:rPr>
        <w:t>法律</w:t>
      </w:r>
    </w:p>
    <w:p>
      <w:pPr>
        <w:autoSpaceDE w:val="0"/>
        <w:autoSpaceDN w:val="0"/>
        <w:adjustRightInd w:val="0"/>
        <w:spacing w:line="360" w:lineRule="auto"/>
        <w:ind w:firstLine="420" w:firstLineChars="200"/>
        <w:rPr>
          <w:rFonts w:ascii="宋体" w:hAnsi="宋体"/>
          <w:szCs w:val="21"/>
          <w:u w:val="single"/>
        </w:rPr>
      </w:pPr>
      <w:r>
        <w:rPr>
          <w:rFonts w:hint="eastAsia" w:ascii="宋体" w:hAnsi="宋体" w:cs="仿宋_GB2312"/>
          <w:szCs w:val="21"/>
        </w:rPr>
        <w:t>适用于合同的其他规范性文件：</w:t>
      </w:r>
      <w:r>
        <w:rPr>
          <w:rFonts w:hint="eastAsia" w:ascii="宋体" w:hAnsi="宋体" w:cs="宋体"/>
          <w:snapToGrid w:val="0"/>
          <w:szCs w:val="21"/>
          <w:u w:val="single"/>
        </w:rPr>
        <w:t>与本工程施工相关的现行法律、行政法规、部门规章和地方法规、规章及规范性文件等</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1.4 </w:t>
      </w:r>
      <w:r>
        <w:rPr>
          <w:rFonts w:hint="eastAsia" w:ascii="宋体" w:hAnsi="宋体" w:cs="黑体"/>
          <w:szCs w:val="21"/>
        </w:rPr>
        <w:t>标准和规范</w:t>
      </w:r>
    </w:p>
    <w:p>
      <w:pPr>
        <w:spacing w:line="360" w:lineRule="auto"/>
        <w:ind w:firstLine="420" w:firstLineChars="200"/>
        <w:rPr>
          <w:rFonts w:ascii="宋体" w:hAnsi="宋体"/>
          <w:szCs w:val="21"/>
          <w:u w:val="single"/>
        </w:rPr>
      </w:pPr>
      <w:r>
        <w:rPr>
          <w:rFonts w:ascii="宋体" w:hAnsi="宋体"/>
          <w:szCs w:val="21"/>
        </w:rPr>
        <w:t>1.4.1</w:t>
      </w:r>
      <w:r>
        <w:rPr>
          <w:rFonts w:hint="eastAsia" w:ascii="宋体" w:hAnsi="宋体" w:cs="仿宋_GB2312"/>
          <w:szCs w:val="21"/>
        </w:rPr>
        <w:t>适用于工程的标准规范包括：</w:t>
      </w:r>
      <w:r>
        <w:rPr>
          <w:rFonts w:hint="eastAsia" w:ascii="宋体" w:hAnsi="宋体" w:cs="宋体"/>
          <w:snapToGrid w:val="0"/>
          <w:szCs w:val="21"/>
          <w:u w:val="single"/>
        </w:rPr>
        <w:t>国家和行业现行的与本工程相关的标准、规程、规范、标准图集等。</w:t>
      </w:r>
    </w:p>
    <w:p>
      <w:pPr>
        <w:spacing w:line="360" w:lineRule="auto"/>
        <w:ind w:firstLine="420" w:firstLineChars="200"/>
        <w:rPr>
          <w:rFonts w:ascii="宋体" w:hAnsi="宋体"/>
          <w:szCs w:val="21"/>
          <w:u w:val="single"/>
        </w:rPr>
      </w:pPr>
      <w:r>
        <w:rPr>
          <w:rFonts w:ascii="宋体" w:hAnsi="宋体"/>
          <w:szCs w:val="21"/>
        </w:rPr>
        <w:t xml:space="preserve">1.4.2 </w:t>
      </w:r>
      <w:r>
        <w:rPr>
          <w:rFonts w:hint="eastAsia" w:ascii="宋体" w:hAnsi="宋体" w:cs="仿宋_GB2312"/>
          <w:szCs w:val="21"/>
        </w:rPr>
        <w:t>发包人提供国外标准、规范的名称：</w:t>
      </w:r>
      <w:r>
        <w:rPr>
          <w:rFonts w:ascii="宋体" w:hAnsi="宋体" w:cs="宋体"/>
          <w:b/>
          <w:b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发包人提供国外标准、规范的份数：</w:t>
      </w:r>
      <w:r>
        <w:rPr>
          <w:rFonts w:ascii="宋体" w:hAnsi="宋体" w:cs="宋体"/>
          <w:b/>
          <w:b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发包人提供国外标准、规范的名称：</w:t>
      </w:r>
      <w:r>
        <w:rPr>
          <w:rFonts w:ascii="宋体" w:hAnsi="宋体" w:cs="宋体"/>
          <w:b/>
          <w:b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1.4.3</w:t>
      </w:r>
      <w:r>
        <w:rPr>
          <w:rFonts w:hint="eastAsia" w:ascii="宋体" w:hAnsi="宋体" w:cs="仿宋_GB2312"/>
          <w:szCs w:val="21"/>
        </w:rPr>
        <w:t>发包人对工程的技术标准和功能要求的特殊要求：</w:t>
      </w:r>
      <w:r>
        <w:rPr>
          <w:rFonts w:hint="eastAsia" w:ascii="宋体" w:hAnsi="宋体" w:cs="宋体"/>
          <w:b/>
          <w:b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1.5 </w:t>
      </w:r>
      <w:r>
        <w:rPr>
          <w:rFonts w:hint="eastAsia" w:ascii="宋体" w:hAnsi="宋体" w:cs="黑体"/>
          <w:szCs w:val="21"/>
        </w:rPr>
        <w:t>合同文件的优先顺序</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合同文件组成及优先顺序为：</w:t>
      </w:r>
      <w:r>
        <w:rPr>
          <w:rFonts w:hint="eastAsia" w:ascii="宋体" w:hAnsi="宋体"/>
          <w:szCs w:val="21"/>
          <w:u w:val="single"/>
        </w:rPr>
        <w:t>。</w:t>
      </w:r>
    </w:p>
    <w:p>
      <w:pPr>
        <w:spacing w:line="360" w:lineRule="auto"/>
        <w:ind w:firstLine="420" w:firstLineChars="200"/>
        <w:rPr>
          <w:rFonts w:ascii="宋体" w:hAnsi="宋体"/>
          <w:szCs w:val="21"/>
        </w:rPr>
      </w:pPr>
      <w:r>
        <w:rPr>
          <w:rFonts w:ascii="宋体" w:hAnsi="宋体"/>
          <w:szCs w:val="21"/>
        </w:rPr>
        <w:t xml:space="preserve">1.6 </w:t>
      </w:r>
      <w:r>
        <w:rPr>
          <w:rFonts w:hint="eastAsia" w:ascii="宋体" w:hAnsi="宋体" w:cs="黑体"/>
          <w:szCs w:val="21"/>
        </w:rPr>
        <w:t>图纸和承包人文件</w:t>
      </w:r>
      <w:r>
        <w:rPr>
          <w:rFonts w:ascii="宋体" w:hAnsi="宋体"/>
          <w:szCs w:val="21"/>
        </w:rPr>
        <w:tab/>
      </w:r>
    </w:p>
    <w:p>
      <w:pPr>
        <w:spacing w:line="360" w:lineRule="auto"/>
        <w:ind w:firstLine="420" w:firstLineChars="200"/>
        <w:rPr>
          <w:rFonts w:ascii="宋体" w:hAnsi="宋体"/>
          <w:szCs w:val="21"/>
        </w:rPr>
      </w:pPr>
      <w:r>
        <w:rPr>
          <w:rFonts w:ascii="宋体" w:hAnsi="宋体"/>
          <w:szCs w:val="21"/>
        </w:rPr>
        <w:t xml:space="preserve">1.6.1 </w:t>
      </w:r>
      <w:r>
        <w:rPr>
          <w:rFonts w:hint="eastAsia" w:ascii="宋体" w:hAnsi="宋体" w:cs="仿宋_GB2312"/>
          <w:szCs w:val="21"/>
        </w:rPr>
        <w:t>图纸的提供</w:t>
      </w:r>
    </w:p>
    <w:p>
      <w:pPr>
        <w:spacing w:line="360" w:lineRule="auto"/>
        <w:ind w:firstLine="420" w:firstLineChars="200"/>
        <w:rPr>
          <w:rFonts w:ascii="宋体" w:hAnsi="宋体"/>
          <w:szCs w:val="21"/>
        </w:rPr>
      </w:pPr>
      <w:r>
        <w:rPr>
          <w:rFonts w:hint="eastAsia" w:ascii="宋体" w:hAnsi="宋体" w:cs="仿宋_GB2312"/>
          <w:szCs w:val="21"/>
        </w:rPr>
        <w:t>发包人向承包人提供图纸的期限：</w:t>
      </w:r>
      <w:r>
        <w:rPr>
          <w:rFonts w:hint="eastAsia" w:ascii="宋体" w:hAnsi="宋体" w:cs="宋体"/>
          <w:bCs/>
          <w:szCs w:val="21"/>
          <w:u w:val="single"/>
        </w:rPr>
        <w:t>。</w:t>
      </w:r>
    </w:p>
    <w:p>
      <w:pPr>
        <w:spacing w:line="360" w:lineRule="auto"/>
        <w:ind w:firstLine="420" w:firstLineChars="200"/>
        <w:rPr>
          <w:rFonts w:ascii="宋体" w:hAnsi="宋体"/>
          <w:szCs w:val="21"/>
        </w:rPr>
      </w:pPr>
      <w:r>
        <w:rPr>
          <w:rFonts w:hint="eastAsia" w:ascii="宋体" w:hAnsi="宋体" w:cs="仿宋_GB2312"/>
          <w:szCs w:val="21"/>
        </w:rPr>
        <w:t>发包人向承包人提供图纸的数量：</w:t>
      </w:r>
      <w:r>
        <w:rPr>
          <w:rFonts w:hint="eastAsia" w:ascii="宋体" w:hAnsi="宋体" w:cs="MingLiU_HKSCS"/>
          <w:szCs w:val="21"/>
          <w:u w:val="single"/>
        </w:rPr>
        <w:t></w:t>
      </w:r>
      <w:r>
        <w:rPr>
          <w:rFonts w:hint="eastAsia" w:ascii="宋体" w:hAnsi="宋体" w:cs="宋体"/>
          <w:bCs/>
          <w:szCs w:val="21"/>
          <w:u w:val="single"/>
        </w:rPr>
        <w:t xml:space="preserve">      。</w:t>
      </w:r>
    </w:p>
    <w:p>
      <w:pPr>
        <w:spacing w:line="360" w:lineRule="auto"/>
        <w:ind w:firstLine="420" w:firstLineChars="200"/>
        <w:rPr>
          <w:rFonts w:ascii="宋体" w:hAnsi="宋体" w:cs="仿宋_GB2312"/>
          <w:szCs w:val="21"/>
          <w:u w:val="single"/>
        </w:rPr>
      </w:pPr>
      <w:r>
        <w:rPr>
          <w:rFonts w:hint="eastAsia" w:ascii="宋体" w:hAnsi="宋体" w:cs="仿宋_GB2312"/>
          <w:szCs w:val="21"/>
        </w:rPr>
        <w:t>发包人向承包人提供图纸的内容：</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1.6.4 </w:t>
      </w:r>
      <w:r>
        <w:rPr>
          <w:rFonts w:hint="eastAsia" w:ascii="宋体" w:hAnsi="宋体" w:cs="仿宋_GB2312"/>
          <w:szCs w:val="21"/>
        </w:rPr>
        <w:t>承包人文件</w:t>
      </w:r>
    </w:p>
    <w:p>
      <w:pPr>
        <w:spacing w:line="360" w:lineRule="auto"/>
        <w:ind w:firstLine="420" w:firstLineChars="200"/>
        <w:rPr>
          <w:rFonts w:ascii="宋体" w:hAnsi="宋体"/>
          <w:szCs w:val="21"/>
          <w:u w:val="single"/>
        </w:rPr>
      </w:pPr>
      <w:r>
        <w:rPr>
          <w:rFonts w:hint="eastAsia" w:ascii="宋体" w:hAnsi="宋体" w:cs="仿宋_GB2312"/>
          <w:szCs w:val="21"/>
        </w:rPr>
        <w:t>需要由承包人提供的文件，包括：</w:t>
      </w:r>
      <w:r>
        <w:rPr>
          <w:rFonts w:hint="eastAsia" w:ascii="宋体" w:hAnsi="宋体" w:cs="宋体"/>
          <w:szCs w:val="21"/>
          <w:u w:val="single"/>
        </w:rPr>
        <w:t>施工组织设计、总进度计划表、详细的分部工程施工计划表、人员、机械计划、资金使用计划表；发包人要求承包人提供报送的相关文件等</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cs="仿宋_GB2312"/>
          <w:szCs w:val="21"/>
        </w:rPr>
        <w:t>承包人提供的文件的期限为：；</w:t>
      </w:r>
    </w:p>
    <w:p>
      <w:pPr>
        <w:spacing w:line="360" w:lineRule="auto"/>
        <w:ind w:firstLine="420" w:firstLineChars="200"/>
        <w:rPr>
          <w:rFonts w:ascii="宋体" w:hAnsi="宋体"/>
          <w:szCs w:val="21"/>
        </w:rPr>
      </w:pPr>
      <w:r>
        <w:rPr>
          <w:rFonts w:hint="eastAsia" w:ascii="宋体" w:hAnsi="宋体" w:cs="仿宋_GB2312"/>
          <w:szCs w:val="21"/>
        </w:rPr>
        <w:t>承包人提供的文件的数量为：；</w:t>
      </w:r>
    </w:p>
    <w:p>
      <w:pPr>
        <w:spacing w:line="360" w:lineRule="auto"/>
        <w:ind w:firstLine="420" w:firstLineChars="200"/>
        <w:rPr>
          <w:rFonts w:ascii="宋体" w:hAnsi="宋体"/>
          <w:szCs w:val="21"/>
        </w:rPr>
      </w:pPr>
      <w:r>
        <w:rPr>
          <w:rFonts w:hint="eastAsia" w:ascii="宋体" w:hAnsi="宋体" w:cs="仿宋_GB2312"/>
          <w:szCs w:val="21"/>
        </w:rPr>
        <w:t>承包人提供的文件的形式为：</w:t>
      </w:r>
      <w:r>
        <w:rPr>
          <w:rFonts w:hint="eastAsia" w:ascii="宋体" w:hAnsi="宋体"/>
          <w:szCs w:val="21"/>
          <w:u w:val="single"/>
        </w:rPr>
        <w:t>纸质文件   份，电子文件  份</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发包人审批承包人文件的期限：</w:t>
      </w:r>
      <w:r>
        <w:rPr>
          <w:rFonts w:hint="eastAsia" w:ascii="宋体" w:hAnsi="宋体" w:cs="宋体"/>
          <w:szCs w:val="21"/>
          <w:u w:val="single"/>
        </w:rPr>
        <w:t>执行通用条款或有关规定</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1.6.5 </w:t>
      </w:r>
      <w:r>
        <w:rPr>
          <w:rFonts w:hint="eastAsia" w:ascii="宋体" w:hAnsi="宋体" w:cs="仿宋_GB2312"/>
          <w:szCs w:val="21"/>
        </w:rPr>
        <w:t>现场图纸准备</w:t>
      </w:r>
    </w:p>
    <w:p>
      <w:pPr>
        <w:spacing w:line="360" w:lineRule="auto"/>
        <w:ind w:firstLine="420" w:firstLineChars="200"/>
        <w:rPr>
          <w:rFonts w:ascii="宋体" w:hAnsi="宋体"/>
          <w:szCs w:val="21"/>
        </w:rPr>
      </w:pPr>
      <w:r>
        <w:rPr>
          <w:rFonts w:hint="eastAsia" w:ascii="宋体" w:hAnsi="宋体" w:cs="仿宋_GB2312"/>
          <w:szCs w:val="21"/>
        </w:rPr>
        <w:t>关于现场图纸准备的约定：</w:t>
      </w:r>
      <w:r>
        <w:rPr>
          <w:rFonts w:hint="eastAsia" w:ascii="宋体" w:hAnsi="宋体" w:cs="宋体"/>
          <w:szCs w:val="21"/>
          <w:u w:val="single"/>
        </w:rPr>
        <w:t>承包人应在施工现场随时准备一套完整的图纸和承包人文件，供发包人、监理人及有关人员进行工程检查时使用。</w:t>
      </w:r>
    </w:p>
    <w:p>
      <w:pPr>
        <w:spacing w:line="360" w:lineRule="auto"/>
        <w:ind w:firstLine="420" w:firstLineChars="200"/>
        <w:rPr>
          <w:rFonts w:ascii="宋体" w:hAnsi="宋体"/>
          <w:szCs w:val="21"/>
        </w:rPr>
      </w:pPr>
      <w:r>
        <w:rPr>
          <w:rFonts w:ascii="宋体" w:hAnsi="宋体"/>
          <w:szCs w:val="21"/>
        </w:rPr>
        <w:t xml:space="preserve">1.7 </w:t>
      </w:r>
      <w:r>
        <w:rPr>
          <w:rFonts w:hint="eastAsia" w:ascii="宋体" w:hAnsi="宋体" w:cs="黑体"/>
          <w:szCs w:val="21"/>
        </w:rPr>
        <w:t>联络</w:t>
      </w:r>
    </w:p>
    <w:p>
      <w:pPr>
        <w:spacing w:line="360" w:lineRule="auto"/>
        <w:ind w:firstLine="420" w:firstLineChars="200"/>
        <w:rPr>
          <w:rFonts w:ascii="宋体" w:hAnsi="宋体"/>
          <w:szCs w:val="21"/>
        </w:rPr>
      </w:pPr>
      <w:r>
        <w:rPr>
          <w:rFonts w:ascii="宋体" w:hAnsi="宋体"/>
          <w:szCs w:val="21"/>
        </w:rPr>
        <w:t>1.7.1</w:t>
      </w:r>
      <w:r>
        <w:rPr>
          <w:rFonts w:hint="eastAsia" w:ascii="宋体" w:hAnsi="宋体" w:cs="仿宋_GB2312"/>
          <w:szCs w:val="21"/>
        </w:rPr>
        <w:t>发包人和承包人应当在</w:t>
      </w:r>
      <w:r>
        <w:rPr>
          <w:rFonts w:ascii="宋体" w:hAnsi="宋体" w:cs="仿宋_GB2312"/>
          <w:szCs w:val="21"/>
          <w:u w:val="single"/>
        </w:rPr>
        <w:t>3</w:t>
      </w:r>
      <w:r>
        <w:rPr>
          <w:rFonts w:hint="eastAsia" w:ascii="宋体" w:hAnsi="宋体" w:cs="仿宋_GB2312"/>
          <w:szCs w:val="21"/>
        </w:rPr>
        <w:t>天内将与合同有关的通知、批准、证明、证书、指示、指令、要求、请求、同意、意见、确定和决定等书面函件送达对方当事人。</w:t>
      </w:r>
    </w:p>
    <w:p>
      <w:pPr>
        <w:spacing w:line="360" w:lineRule="auto"/>
        <w:ind w:firstLine="420" w:firstLineChars="200"/>
        <w:rPr>
          <w:rFonts w:ascii="宋体" w:hAnsi="宋体"/>
          <w:szCs w:val="21"/>
        </w:rPr>
      </w:pPr>
      <w:r>
        <w:rPr>
          <w:rFonts w:ascii="宋体" w:hAnsi="宋体"/>
          <w:szCs w:val="21"/>
        </w:rPr>
        <w:t xml:space="preserve">1.7.2 </w:t>
      </w:r>
      <w:r>
        <w:rPr>
          <w:rFonts w:hint="eastAsia" w:ascii="宋体" w:hAnsi="宋体" w:cs="仿宋_GB2312"/>
          <w:szCs w:val="21"/>
        </w:rPr>
        <w:t>发包人接收文件的地点：</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发包人指定的接收人为：</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监理人接收文件的地点：</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cs="仿宋_GB2312"/>
          <w:szCs w:val="21"/>
        </w:rPr>
      </w:pPr>
      <w:r>
        <w:rPr>
          <w:rFonts w:hint="eastAsia" w:ascii="宋体" w:hAnsi="宋体" w:cs="仿宋_GB2312"/>
          <w:szCs w:val="21"/>
        </w:rPr>
        <w:t>监理人指定的接收人为：</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承包人接收文件的地点：</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cs="仿宋_GB2312"/>
          <w:szCs w:val="21"/>
        </w:rPr>
      </w:pPr>
      <w:r>
        <w:rPr>
          <w:rFonts w:hint="eastAsia" w:ascii="宋体" w:hAnsi="宋体" w:cs="仿宋_GB2312"/>
          <w:szCs w:val="21"/>
        </w:rPr>
        <w:t>承包人指定的接收人为合同协议书中载明的承包人项目负责人本人或者项目负责人的授权代表。除合同另有约定外，承包人施工场地管理机构的办公点即为承包人指定的接收地点。</w:t>
      </w:r>
    </w:p>
    <w:p>
      <w:pPr>
        <w:spacing w:line="360" w:lineRule="auto"/>
        <w:ind w:firstLine="420" w:firstLineChars="200"/>
        <w:rPr>
          <w:rFonts w:ascii="宋体" w:hAnsi="宋体" w:cs="黑体"/>
          <w:szCs w:val="21"/>
        </w:rPr>
      </w:pPr>
      <w:r>
        <w:rPr>
          <w:rFonts w:ascii="宋体" w:hAnsi="宋体"/>
          <w:szCs w:val="21"/>
        </w:rPr>
        <w:t xml:space="preserve">1.10 </w:t>
      </w:r>
      <w:r>
        <w:rPr>
          <w:rFonts w:hint="eastAsia" w:ascii="宋体" w:hAnsi="宋体" w:cs="黑体"/>
          <w:szCs w:val="21"/>
        </w:rPr>
        <w:t>交通运输</w:t>
      </w:r>
    </w:p>
    <w:p>
      <w:pPr>
        <w:spacing w:line="360" w:lineRule="auto"/>
        <w:ind w:firstLine="420" w:firstLineChars="200"/>
        <w:rPr>
          <w:rFonts w:ascii="宋体" w:hAnsi="宋体"/>
          <w:szCs w:val="21"/>
        </w:rPr>
      </w:pPr>
      <w:r>
        <w:rPr>
          <w:rFonts w:ascii="宋体" w:hAnsi="宋体"/>
          <w:szCs w:val="21"/>
        </w:rPr>
        <w:t>1</w:t>
      </w:r>
      <w:bookmarkStart w:id="338" w:name="_Toc300934943"/>
      <w:bookmarkStart w:id="339" w:name="_Toc304295521"/>
      <w:bookmarkStart w:id="340" w:name="_Toc318581155"/>
      <w:bookmarkStart w:id="341" w:name="_Toc303539100"/>
      <w:bookmarkStart w:id="342" w:name="_Toc312677986"/>
      <w:r>
        <w:rPr>
          <w:rFonts w:ascii="宋体" w:hAnsi="宋体"/>
          <w:szCs w:val="21"/>
        </w:rPr>
        <w:t xml:space="preserve">.10.1 </w:t>
      </w:r>
      <w:r>
        <w:rPr>
          <w:rFonts w:hint="eastAsia" w:ascii="宋体" w:hAnsi="宋体" w:cs="仿宋_GB2312"/>
          <w:szCs w:val="21"/>
        </w:rPr>
        <w:t>出入现场的权利</w:t>
      </w:r>
    </w:p>
    <w:p>
      <w:pPr>
        <w:spacing w:line="360" w:lineRule="auto"/>
        <w:ind w:firstLine="420" w:firstLineChars="200"/>
        <w:rPr>
          <w:rStyle w:val="143"/>
          <w:rFonts w:ascii="宋体" w:hAnsi="宋体" w:eastAsia="宋体" w:cs="宋体"/>
          <w:sz w:val="21"/>
          <w:szCs w:val="21"/>
        </w:rPr>
      </w:pPr>
      <w:r>
        <w:rPr>
          <w:rFonts w:hint="eastAsia" w:ascii="宋体" w:hAnsi="宋体" w:cs="仿宋_GB2312"/>
          <w:szCs w:val="21"/>
        </w:rPr>
        <w:t>关于出入现场的权利的约定：</w:t>
      </w:r>
      <w:r>
        <w:rPr>
          <w:rFonts w:hint="eastAsia" w:ascii="宋体" w:hAnsi="宋体" w:cs="宋体"/>
          <w:szCs w:val="21"/>
          <w:u w:val="single"/>
        </w:rPr>
        <w:t>承包人应查勘施工现场，并根据工程规模及技术参数合理预见工程施工所需的进出施工现场的方式、手段、路径等，并承担相关手续办理和建设等相关费用。因承包人未合理预见所增加的费用和（或）延误的工期由承包人承担</w:t>
      </w:r>
      <w:r>
        <w:rPr>
          <w:rStyle w:val="143"/>
          <w:rFonts w:hint="eastAsia" w:ascii="宋体" w:hAnsi="宋体" w:eastAsia="宋体" w:cs="宋体"/>
          <w:sz w:val="21"/>
          <w:szCs w:val="21"/>
        </w:rPr>
        <w:t>。</w:t>
      </w:r>
    </w:p>
    <w:p>
      <w:pPr>
        <w:spacing w:line="360" w:lineRule="auto"/>
        <w:ind w:firstLine="420" w:firstLineChars="200"/>
        <w:rPr>
          <w:rFonts w:ascii="宋体" w:hAnsi="宋体"/>
          <w:szCs w:val="21"/>
        </w:rPr>
      </w:pPr>
      <w:r>
        <w:rPr>
          <w:rFonts w:ascii="宋体" w:hAnsi="宋体"/>
          <w:szCs w:val="21"/>
        </w:rPr>
        <w:t>1.10.</w:t>
      </w:r>
      <w:r>
        <w:rPr>
          <w:rFonts w:hint="eastAsia" w:ascii="宋体" w:hAnsi="宋体"/>
          <w:szCs w:val="21"/>
        </w:rPr>
        <w:t>2</w:t>
      </w:r>
      <w:r>
        <w:rPr>
          <w:rFonts w:hint="eastAsia" w:ascii="宋体" w:hAnsi="宋体" w:cs="仿宋_GB2312"/>
          <w:szCs w:val="21"/>
        </w:rPr>
        <w:t>场外交通</w:t>
      </w:r>
    </w:p>
    <w:p>
      <w:pPr>
        <w:spacing w:line="360" w:lineRule="auto"/>
        <w:ind w:firstLine="420" w:firstLineChars="200"/>
        <w:rPr>
          <w:rFonts w:ascii="宋体" w:hAnsi="宋体"/>
          <w:szCs w:val="21"/>
        </w:rPr>
      </w:pPr>
      <w:r>
        <w:rPr>
          <w:rFonts w:hint="eastAsia" w:ascii="宋体" w:hAnsi="宋体" w:cs="仿宋_GB2312"/>
          <w:szCs w:val="21"/>
        </w:rPr>
        <w:t>关于场外交通费用的约定：</w:t>
      </w:r>
      <w:r>
        <w:rPr>
          <w:rFonts w:hint="eastAsia" w:ascii="宋体" w:hAnsi="宋体" w:cs="仿宋_GB2312"/>
          <w:szCs w:val="21"/>
          <w:u w:val="single"/>
        </w:rPr>
        <w:t>由承包人承担</w:t>
      </w:r>
      <w:r>
        <w:rPr>
          <w:rFonts w:hint="eastAsia" w:ascii="宋体" w:hAnsi="宋体" w:cs="仿宋_GB2312"/>
          <w:szCs w:val="21"/>
        </w:rPr>
        <w:t>。</w:t>
      </w:r>
    </w:p>
    <w:bookmarkEnd w:id="338"/>
    <w:bookmarkEnd w:id="339"/>
    <w:bookmarkEnd w:id="340"/>
    <w:bookmarkEnd w:id="341"/>
    <w:bookmarkEnd w:id="342"/>
    <w:p>
      <w:pPr>
        <w:spacing w:line="360" w:lineRule="auto"/>
        <w:ind w:firstLine="420" w:firstLineChars="200"/>
        <w:rPr>
          <w:rFonts w:ascii="宋体" w:hAnsi="宋体"/>
          <w:szCs w:val="21"/>
        </w:rPr>
      </w:pPr>
      <w:r>
        <w:rPr>
          <w:rFonts w:ascii="宋体" w:hAnsi="宋体"/>
          <w:szCs w:val="21"/>
        </w:rPr>
        <w:t>1</w:t>
      </w:r>
      <w:bookmarkStart w:id="343" w:name="_Toc303539101"/>
      <w:bookmarkStart w:id="344" w:name="_Toc312677987"/>
      <w:bookmarkStart w:id="345" w:name="_Toc300934944"/>
      <w:bookmarkStart w:id="346" w:name="_Toc304295522"/>
      <w:bookmarkStart w:id="347" w:name="_Toc318581156"/>
      <w:r>
        <w:rPr>
          <w:rFonts w:ascii="宋体" w:hAnsi="宋体"/>
          <w:szCs w:val="21"/>
        </w:rPr>
        <w:t xml:space="preserve">.10.3 </w:t>
      </w:r>
      <w:r>
        <w:rPr>
          <w:rFonts w:hint="eastAsia" w:ascii="宋体" w:hAnsi="宋体" w:cs="仿宋_GB2312"/>
          <w:szCs w:val="21"/>
        </w:rPr>
        <w:t>场内交通</w:t>
      </w:r>
    </w:p>
    <w:p>
      <w:pPr>
        <w:spacing w:line="360" w:lineRule="auto"/>
        <w:ind w:firstLine="420" w:firstLineChars="200"/>
        <w:rPr>
          <w:rFonts w:ascii="宋体" w:hAnsi="宋体" w:cs="宋体"/>
          <w:b/>
          <w:bCs/>
          <w:szCs w:val="21"/>
          <w:u w:val="single"/>
        </w:rPr>
      </w:pPr>
      <w:r>
        <w:rPr>
          <w:rFonts w:hint="eastAsia" w:ascii="宋体" w:hAnsi="宋体" w:cs="仿宋_GB2312"/>
          <w:szCs w:val="21"/>
        </w:rPr>
        <w:t>关于场外交通和场内交通的边界的约定：</w:t>
      </w:r>
      <w:r>
        <w:rPr>
          <w:rFonts w:hint="eastAsia" w:ascii="宋体" w:hAnsi="宋体" w:cs="宋体"/>
          <w:bCs/>
          <w:szCs w:val="21"/>
          <w:u w:val="single"/>
        </w:rPr>
        <w:t>。</w:t>
      </w:r>
    </w:p>
    <w:p>
      <w:pPr>
        <w:spacing w:line="360" w:lineRule="auto"/>
        <w:ind w:firstLine="420" w:firstLineChars="200"/>
        <w:rPr>
          <w:rFonts w:ascii="宋体" w:hAnsi="宋体"/>
          <w:szCs w:val="21"/>
        </w:rPr>
      </w:pPr>
      <w:r>
        <w:rPr>
          <w:rFonts w:hint="eastAsia" w:ascii="宋体" w:hAnsi="宋体" w:cs="仿宋_GB2312"/>
          <w:szCs w:val="21"/>
        </w:rPr>
        <w:t>关于发包人向承包人免费提供满足工程施工需要的场内道路和交通设施的约定：。</w:t>
      </w:r>
      <w:bookmarkEnd w:id="343"/>
      <w:bookmarkEnd w:id="344"/>
      <w:bookmarkEnd w:id="345"/>
      <w:bookmarkEnd w:id="346"/>
      <w:bookmarkEnd w:id="347"/>
      <w:bookmarkStart w:id="348" w:name="_Toc318581157"/>
    </w:p>
    <w:p>
      <w:pPr>
        <w:spacing w:line="360" w:lineRule="auto"/>
        <w:ind w:firstLine="420" w:firstLineChars="200"/>
        <w:rPr>
          <w:rFonts w:ascii="宋体" w:hAnsi="宋体"/>
          <w:szCs w:val="21"/>
        </w:rPr>
      </w:pPr>
      <w:r>
        <w:rPr>
          <w:rFonts w:ascii="宋体" w:hAnsi="宋体"/>
          <w:szCs w:val="21"/>
        </w:rPr>
        <w:t>1.10.4</w:t>
      </w:r>
      <w:r>
        <w:rPr>
          <w:rFonts w:hint="eastAsia" w:ascii="宋体" w:hAnsi="宋体" w:cs="仿宋_GB2312"/>
          <w:szCs w:val="21"/>
        </w:rPr>
        <w:t>超大件和超重件的运输</w:t>
      </w:r>
    </w:p>
    <w:p>
      <w:pPr>
        <w:spacing w:line="360" w:lineRule="auto"/>
        <w:ind w:firstLine="420" w:firstLineChars="200"/>
        <w:rPr>
          <w:rFonts w:ascii="宋体" w:hAnsi="宋体"/>
          <w:szCs w:val="21"/>
        </w:rPr>
      </w:pPr>
      <w:r>
        <w:rPr>
          <w:rFonts w:hint="eastAsia" w:ascii="宋体" w:hAnsi="宋体" w:cs="仿宋_GB2312"/>
          <w:szCs w:val="21"/>
        </w:rPr>
        <w:t>运输超大件或超重件所需的道路和桥梁临时加固改造费用和其他有关费用由</w:t>
      </w:r>
      <w:r>
        <w:rPr>
          <w:rFonts w:hint="eastAsia" w:ascii="宋体" w:hAnsi="宋体" w:cs="仿宋_GB2312"/>
          <w:szCs w:val="21"/>
          <w:u w:val="single"/>
        </w:rPr>
        <w:t>承包人</w:t>
      </w:r>
      <w:r>
        <w:rPr>
          <w:rFonts w:hint="eastAsia" w:ascii="宋体" w:hAnsi="宋体" w:cs="仿宋_GB2312"/>
          <w:szCs w:val="21"/>
        </w:rPr>
        <w:t>承担。</w:t>
      </w:r>
      <w:bookmarkEnd w:id="348"/>
    </w:p>
    <w:p>
      <w:pPr>
        <w:spacing w:line="360" w:lineRule="auto"/>
        <w:ind w:firstLine="420" w:firstLineChars="200"/>
        <w:rPr>
          <w:rFonts w:ascii="宋体" w:hAnsi="宋体" w:cs="黑体"/>
          <w:szCs w:val="21"/>
        </w:rPr>
      </w:pPr>
      <w:r>
        <w:rPr>
          <w:rFonts w:ascii="宋体" w:hAnsi="宋体"/>
          <w:szCs w:val="21"/>
        </w:rPr>
        <w:t xml:space="preserve">1.11 </w:t>
      </w:r>
      <w:r>
        <w:rPr>
          <w:rFonts w:hint="eastAsia" w:ascii="宋体" w:hAnsi="宋体" w:cs="黑体"/>
          <w:szCs w:val="21"/>
        </w:rPr>
        <w:t>知识产权</w:t>
      </w:r>
    </w:p>
    <w:p>
      <w:pPr>
        <w:spacing w:line="360" w:lineRule="auto"/>
        <w:ind w:firstLine="420" w:firstLineChars="200"/>
        <w:rPr>
          <w:rFonts w:ascii="宋体" w:hAnsi="宋体"/>
          <w:szCs w:val="21"/>
        </w:rPr>
      </w:pPr>
      <w:r>
        <w:rPr>
          <w:rFonts w:ascii="宋体" w:hAnsi="宋体"/>
          <w:szCs w:val="21"/>
        </w:rPr>
        <w:t>1.11.1</w:t>
      </w:r>
      <w:r>
        <w:rPr>
          <w:rFonts w:hint="eastAsia" w:ascii="宋体" w:hAnsi="宋体" w:cs="仿宋_GB2312"/>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归发包人。</w:t>
      </w:r>
    </w:p>
    <w:p>
      <w:pPr>
        <w:spacing w:line="360" w:lineRule="auto"/>
        <w:ind w:firstLine="420" w:firstLineChars="200"/>
        <w:rPr>
          <w:rFonts w:ascii="宋体" w:hAnsi="宋体"/>
          <w:szCs w:val="21"/>
          <w:u w:val="single"/>
        </w:rPr>
      </w:pPr>
      <w:r>
        <w:rPr>
          <w:rFonts w:hint="eastAsia" w:ascii="宋体" w:hAnsi="宋体" w:cs="仿宋_GB2312"/>
          <w:szCs w:val="21"/>
        </w:rPr>
        <w:t>关于发包人提供的上述文件的使用限制的要求：</w:t>
      </w:r>
      <w:r>
        <w:rPr>
          <w:rFonts w:hint="eastAsia" w:ascii="宋体" w:hAnsi="宋体"/>
          <w:szCs w:val="21"/>
          <w:u w:val="single"/>
        </w:rPr>
        <w:t>执行通用合同条款。</w:t>
      </w:r>
    </w:p>
    <w:p>
      <w:pPr>
        <w:spacing w:line="360" w:lineRule="auto"/>
        <w:ind w:firstLine="520" w:firstLineChars="248"/>
        <w:rPr>
          <w:rFonts w:ascii="宋体" w:hAnsi="宋体"/>
          <w:szCs w:val="21"/>
          <w:u w:val="single"/>
        </w:rPr>
      </w:pPr>
      <w:r>
        <w:rPr>
          <w:rFonts w:ascii="宋体" w:hAnsi="宋体"/>
          <w:szCs w:val="21"/>
        </w:rPr>
        <w:t xml:space="preserve">1.11.2 </w:t>
      </w:r>
      <w:r>
        <w:rPr>
          <w:rFonts w:hint="eastAsia" w:ascii="宋体" w:hAnsi="宋体" w:cs="仿宋_GB2312"/>
          <w:szCs w:val="21"/>
        </w:rPr>
        <w:t>关于承包人为实施工程所编制文件的著作权的归属：</w:t>
      </w:r>
      <w:r>
        <w:rPr>
          <w:rFonts w:hint="eastAsia" w:ascii="宋体" w:hAnsi="宋体"/>
          <w:szCs w:val="21"/>
          <w:u w:val="single"/>
        </w:rPr>
        <w:t>由发包人决定，未经书面允许，不得转借转让。发生泄露相关资料的情况，发包人有权提出索赔，索赔费用不少于发包人为此支付给设计人的费用和成本</w:t>
      </w:r>
      <w:r>
        <w:rPr>
          <w:rFonts w:ascii="宋体" w:hAnsi="宋体"/>
          <w:szCs w:val="21"/>
          <w:u w:val="single"/>
        </w:rPr>
        <w:t>。</w:t>
      </w:r>
    </w:p>
    <w:p>
      <w:pPr>
        <w:spacing w:line="360" w:lineRule="auto"/>
        <w:ind w:firstLine="420" w:firstLineChars="200"/>
        <w:rPr>
          <w:rFonts w:ascii="宋体" w:hAnsi="宋体"/>
          <w:szCs w:val="21"/>
          <w:u w:val="single"/>
        </w:rPr>
      </w:pPr>
      <w:r>
        <w:rPr>
          <w:rFonts w:hint="eastAsia" w:ascii="宋体" w:hAnsi="宋体" w:cs="仿宋_GB2312"/>
          <w:szCs w:val="21"/>
        </w:rPr>
        <w:t>关于承包人提供的上述文件的使用限制的要求：</w:t>
      </w:r>
      <w:r>
        <w:rPr>
          <w:rFonts w:hint="eastAsia" w:ascii="宋体" w:hAnsi="宋体" w:cs="仿宋_GB2312"/>
          <w:szCs w:val="21"/>
          <w:u w:val="single"/>
        </w:rPr>
        <w:t xml:space="preserve"> 执行通用合同条款</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1.11.4 </w:t>
      </w:r>
      <w:r>
        <w:rPr>
          <w:rFonts w:hint="eastAsia" w:ascii="宋体" w:hAnsi="宋体" w:cs="仿宋_GB2312"/>
          <w:szCs w:val="21"/>
        </w:rPr>
        <w:t>承包人在施工过程中所采用的专利、专有技术、技术秘密的使用费的承担方式：</w:t>
      </w:r>
      <w:r>
        <w:rPr>
          <w:rFonts w:hint="eastAsia" w:ascii="宋体" w:hAnsi="宋体" w:cs="仿宋_GB2312"/>
          <w:szCs w:val="21"/>
          <w:u w:val="single"/>
        </w:rPr>
        <w:t xml:space="preserve">已包含在合同价中，因侵权导致的各类纠纷，由承包人承担 </w:t>
      </w:r>
      <w:r>
        <w:rPr>
          <w:rFonts w:ascii="宋体" w:hAnsi="宋体"/>
          <w:szCs w:val="21"/>
        </w:rPr>
        <w:t>。</w:t>
      </w:r>
    </w:p>
    <w:p>
      <w:pPr>
        <w:spacing w:line="360" w:lineRule="auto"/>
        <w:ind w:firstLine="420" w:firstLineChars="200"/>
        <w:rPr>
          <w:rFonts w:ascii="宋体" w:hAnsi="宋体" w:cs="黑体"/>
          <w:szCs w:val="21"/>
        </w:rPr>
      </w:pPr>
      <w:r>
        <w:rPr>
          <w:rFonts w:ascii="宋体" w:hAnsi="宋体"/>
          <w:szCs w:val="21"/>
        </w:rPr>
        <w:t>1.13</w:t>
      </w:r>
      <w:r>
        <w:rPr>
          <w:rFonts w:hint="eastAsia" w:ascii="宋体" w:hAnsi="宋体" w:cs="黑体"/>
          <w:szCs w:val="21"/>
        </w:rPr>
        <w:t>工程量清单错误的修正</w:t>
      </w:r>
    </w:p>
    <w:p>
      <w:pPr>
        <w:spacing w:line="360" w:lineRule="auto"/>
        <w:ind w:firstLine="420" w:firstLineChars="200"/>
        <w:rPr>
          <w:rFonts w:ascii="宋体" w:hAnsi="宋体"/>
          <w:szCs w:val="21"/>
          <w:u w:val="single"/>
        </w:rPr>
      </w:pPr>
      <w:r>
        <w:rPr>
          <w:rFonts w:hint="eastAsia" w:ascii="宋体" w:hAnsi="宋体" w:cs="仿宋_GB2312"/>
          <w:szCs w:val="21"/>
        </w:rPr>
        <w:t>出现工程量清单错误时，是否调整合同价格：。</w:t>
      </w:r>
    </w:p>
    <w:p>
      <w:pPr>
        <w:spacing w:line="360" w:lineRule="auto"/>
        <w:ind w:firstLine="420" w:firstLineChars="200"/>
        <w:rPr>
          <w:rFonts w:ascii="宋体" w:hAnsi="宋体"/>
          <w:szCs w:val="21"/>
        </w:rPr>
      </w:pPr>
      <w:r>
        <w:rPr>
          <w:rFonts w:hint="eastAsia" w:ascii="宋体" w:hAnsi="宋体" w:cs="仿宋_GB2312"/>
          <w:szCs w:val="21"/>
        </w:rPr>
        <w:t>允许调整合同价格的工程量偏差范围：</w:t>
      </w:r>
      <w:r>
        <w:rPr>
          <w:rFonts w:hint="eastAsia" w:ascii="宋体" w:hAnsi="宋体"/>
          <w:szCs w:val="21"/>
        </w:rPr>
        <w:t>。</w:t>
      </w:r>
    </w:p>
    <w:p>
      <w:pPr>
        <w:pStyle w:val="4"/>
        <w:spacing w:before="0" w:after="0" w:line="360" w:lineRule="auto"/>
        <w:ind w:firstLine="118"/>
        <w:rPr>
          <w:rFonts w:ascii="宋体"/>
          <w:szCs w:val="24"/>
        </w:rPr>
      </w:pPr>
      <w:bookmarkStart w:id="349" w:name="_Toc351203634"/>
      <w:r>
        <w:rPr>
          <w:rFonts w:ascii="宋体"/>
          <w:szCs w:val="24"/>
        </w:rPr>
        <w:t>2</w:t>
      </w:r>
      <w:bookmarkStart w:id="350" w:name="_Toc296503157"/>
      <w:bookmarkStart w:id="351" w:name="_Toc296944496"/>
      <w:bookmarkStart w:id="352" w:name="_Toc292559867"/>
      <w:bookmarkStart w:id="353" w:name="_Toc296346658"/>
      <w:bookmarkStart w:id="354" w:name="_Toc296890985"/>
      <w:bookmarkStart w:id="355" w:name="_Toc292559362"/>
      <w:bookmarkStart w:id="356" w:name="_Toc296891197"/>
      <w:bookmarkStart w:id="357" w:name="_Toc296347156"/>
      <w:bookmarkStart w:id="358" w:name="_Toc297120457"/>
      <w:bookmarkStart w:id="359" w:name="_Toc297048343"/>
      <w:r>
        <w:rPr>
          <w:rFonts w:ascii="宋体"/>
          <w:szCs w:val="24"/>
        </w:rPr>
        <w:t xml:space="preserve">. </w:t>
      </w:r>
      <w:r>
        <w:rPr>
          <w:rFonts w:hint="eastAsia" w:ascii="宋体"/>
          <w:szCs w:val="24"/>
        </w:rPr>
        <w:t>发包人</w:t>
      </w:r>
      <w:bookmarkEnd w:id="349"/>
    </w:p>
    <w:bookmarkEnd w:id="350"/>
    <w:bookmarkEnd w:id="351"/>
    <w:bookmarkEnd w:id="352"/>
    <w:bookmarkEnd w:id="353"/>
    <w:bookmarkEnd w:id="354"/>
    <w:bookmarkEnd w:id="355"/>
    <w:bookmarkEnd w:id="356"/>
    <w:bookmarkEnd w:id="357"/>
    <w:bookmarkEnd w:id="358"/>
    <w:bookmarkEnd w:id="359"/>
    <w:p>
      <w:pPr>
        <w:spacing w:line="360" w:lineRule="auto"/>
        <w:ind w:firstLine="420" w:firstLineChars="200"/>
        <w:rPr>
          <w:rFonts w:ascii="宋体" w:hAnsi="宋体"/>
          <w:szCs w:val="21"/>
        </w:rPr>
      </w:pPr>
      <w:r>
        <w:rPr>
          <w:rFonts w:ascii="宋体" w:hAnsi="宋体"/>
          <w:szCs w:val="21"/>
        </w:rPr>
        <w:t xml:space="preserve">2.2 </w:t>
      </w:r>
      <w:r>
        <w:rPr>
          <w:rFonts w:hint="eastAsia" w:ascii="宋体" w:hAnsi="宋体" w:cs="黑体"/>
          <w:szCs w:val="21"/>
        </w:rPr>
        <w:t>发包人代表</w:t>
      </w:r>
    </w:p>
    <w:p>
      <w:pPr>
        <w:spacing w:line="360" w:lineRule="auto"/>
        <w:ind w:firstLine="420" w:firstLineChars="200"/>
        <w:rPr>
          <w:rFonts w:ascii="宋体" w:hAnsi="宋体"/>
          <w:szCs w:val="21"/>
        </w:rPr>
      </w:pPr>
      <w:r>
        <w:rPr>
          <w:rFonts w:hint="eastAsia" w:ascii="宋体" w:hAnsi="宋体" w:cs="仿宋_GB2312"/>
          <w:szCs w:val="21"/>
        </w:rPr>
        <w:t>发包人代表：</w:t>
      </w:r>
    </w:p>
    <w:p>
      <w:pPr>
        <w:spacing w:line="360" w:lineRule="auto"/>
        <w:ind w:firstLine="420" w:firstLineChars="200"/>
        <w:rPr>
          <w:rFonts w:ascii="宋体" w:hAnsi="宋体"/>
          <w:szCs w:val="21"/>
        </w:rPr>
      </w:pPr>
      <w:r>
        <w:rPr>
          <w:rFonts w:hint="eastAsia" w:ascii="宋体" w:hAnsi="宋体" w:cs="仿宋_GB2312"/>
          <w:szCs w:val="21"/>
        </w:rPr>
        <w:t>姓名：</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职务：；</w:t>
      </w:r>
    </w:p>
    <w:p>
      <w:pPr>
        <w:spacing w:line="360" w:lineRule="auto"/>
        <w:ind w:firstLine="420" w:firstLineChars="200"/>
        <w:rPr>
          <w:rFonts w:ascii="宋体" w:hAnsi="宋体"/>
          <w:szCs w:val="21"/>
        </w:rPr>
      </w:pPr>
      <w:r>
        <w:rPr>
          <w:rFonts w:hint="eastAsia" w:ascii="宋体" w:hAnsi="宋体" w:cs="仿宋_GB2312"/>
          <w:szCs w:val="21"/>
        </w:rPr>
        <w:t>联系电话：；</w:t>
      </w:r>
    </w:p>
    <w:p>
      <w:pPr>
        <w:spacing w:line="360" w:lineRule="auto"/>
        <w:ind w:firstLine="420" w:firstLineChars="200"/>
        <w:rPr>
          <w:rFonts w:ascii="宋体" w:hAnsi="宋体" w:cs="仿宋_GB2312"/>
          <w:szCs w:val="21"/>
        </w:rPr>
      </w:pPr>
      <w:r>
        <w:rPr>
          <w:rFonts w:hint="eastAsia" w:ascii="宋体" w:hAnsi="宋体" w:cs="仿宋_GB2312"/>
          <w:szCs w:val="21"/>
        </w:rPr>
        <w:t>发包人对发包人代表的授权范围如下：</w:t>
      </w:r>
    </w:p>
    <w:p>
      <w:pPr>
        <w:spacing w:line="360" w:lineRule="auto"/>
        <w:ind w:firstLine="420" w:firstLineChars="200"/>
        <w:rPr>
          <w:rFonts w:ascii="宋体" w:hAnsi="宋体"/>
          <w:szCs w:val="21"/>
          <w:u w:val="single"/>
        </w:rPr>
      </w:pPr>
      <w:r>
        <w:rPr>
          <w:rFonts w:hint="eastAsia" w:ascii="宋体" w:hAnsi="宋体"/>
          <w:szCs w:val="21"/>
          <w:u w:val="single"/>
        </w:rPr>
        <w:t>1、负责合同约定施工范围内的安全、质量、进度、成本、施工管理等的监督和管控；</w:t>
      </w:r>
    </w:p>
    <w:p>
      <w:pPr>
        <w:spacing w:line="360" w:lineRule="auto"/>
        <w:ind w:firstLine="420" w:firstLineChars="200"/>
        <w:rPr>
          <w:rFonts w:ascii="宋体" w:hAnsi="宋体" w:cs="宋体"/>
          <w:szCs w:val="21"/>
          <w:u w:val="single"/>
        </w:rPr>
      </w:pPr>
      <w:r>
        <w:rPr>
          <w:rFonts w:hint="eastAsia" w:ascii="宋体" w:hAnsi="宋体"/>
          <w:szCs w:val="21"/>
          <w:u w:val="single"/>
        </w:rPr>
        <w:t>2、代表发包人履行合同，处理与本工程建设相关的事宜，对施工组织设计、质量监督、工程量签认、进出场材料、设备检验和使用、工程变更、工程量确认、工期顺延等事项审核等。</w:t>
      </w:r>
      <w:r>
        <w:rPr>
          <w:rFonts w:hint="eastAsia" w:ascii="宋体" w:hAnsi="宋体" w:cs="宋体"/>
          <w:szCs w:val="21"/>
          <w:u w:val="single"/>
        </w:rPr>
        <w:t>发包人结合工程实际需要保留随时修改上述授权范围的权利。</w:t>
      </w:r>
    </w:p>
    <w:p>
      <w:pPr>
        <w:spacing w:line="360" w:lineRule="auto"/>
        <w:ind w:firstLine="420" w:firstLineChars="200"/>
        <w:rPr>
          <w:rFonts w:ascii="宋体" w:hAnsi="宋体"/>
          <w:szCs w:val="21"/>
          <w:u w:val="single"/>
        </w:rPr>
      </w:pPr>
      <w:r>
        <w:rPr>
          <w:rFonts w:hint="eastAsia" w:ascii="宋体" w:hAnsi="宋体"/>
          <w:szCs w:val="21"/>
          <w:u w:val="single"/>
        </w:rPr>
        <w:t>3、所有指令需配合印章一并使用方可有效</w:t>
      </w:r>
      <w:r>
        <w:rPr>
          <w:rFonts w:ascii="宋体" w:hAnsi="宋体"/>
          <w:szCs w:val="21"/>
          <w:u w:val="single"/>
        </w:rPr>
        <w:t>。</w:t>
      </w:r>
    </w:p>
    <w:p>
      <w:pPr>
        <w:spacing w:line="360" w:lineRule="auto"/>
        <w:ind w:firstLine="420" w:firstLineChars="200"/>
        <w:rPr>
          <w:rFonts w:ascii="宋体" w:hAnsi="宋体"/>
          <w:szCs w:val="21"/>
        </w:rPr>
      </w:pPr>
      <w:r>
        <w:rPr>
          <w:rFonts w:ascii="宋体" w:hAnsi="宋体"/>
          <w:szCs w:val="21"/>
        </w:rPr>
        <w:t xml:space="preserve">2.4 </w:t>
      </w:r>
      <w:r>
        <w:rPr>
          <w:rFonts w:hint="eastAsia" w:ascii="宋体" w:hAnsi="宋体" w:cs="黑体"/>
          <w:szCs w:val="21"/>
        </w:rPr>
        <w:t>施工现场、施工条件和基础资料的提供</w:t>
      </w:r>
    </w:p>
    <w:p>
      <w:pPr>
        <w:spacing w:line="360" w:lineRule="auto"/>
        <w:ind w:firstLine="420" w:firstLineChars="200"/>
        <w:rPr>
          <w:rFonts w:ascii="宋体" w:hAnsi="宋体"/>
          <w:szCs w:val="21"/>
        </w:rPr>
      </w:pPr>
      <w:r>
        <w:rPr>
          <w:rFonts w:ascii="宋体" w:hAnsi="宋体"/>
          <w:szCs w:val="21"/>
        </w:rPr>
        <w:t xml:space="preserve">2.4.1 </w:t>
      </w:r>
      <w:r>
        <w:rPr>
          <w:rFonts w:hint="eastAsia" w:ascii="宋体" w:hAnsi="宋体" w:cs="仿宋_GB2312"/>
          <w:szCs w:val="21"/>
        </w:rPr>
        <w:t>提供施工现场</w:t>
      </w:r>
    </w:p>
    <w:p>
      <w:pPr>
        <w:spacing w:line="360" w:lineRule="auto"/>
        <w:ind w:firstLine="420" w:firstLineChars="200"/>
        <w:rPr>
          <w:rFonts w:ascii="宋体" w:hAnsi="宋体"/>
          <w:szCs w:val="21"/>
          <w:u w:val="single"/>
        </w:rPr>
      </w:pPr>
      <w:r>
        <w:rPr>
          <w:rFonts w:hint="eastAsia" w:ascii="宋体" w:hAnsi="宋体" w:cs="仿宋_GB2312"/>
          <w:szCs w:val="21"/>
        </w:rPr>
        <w:t>关于发包人移交施工现场的期限要求：。</w:t>
      </w:r>
    </w:p>
    <w:p>
      <w:pPr>
        <w:spacing w:line="360" w:lineRule="auto"/>
        <w:ind w:firstLine="420" w:firstLineChars="200"/>
        <w:rPr>
          <w:rFonts w:ascii="宋体" w:hAnsi="宋体"/>
          <w:szCs w:val="21"/>
        </w:rPr>
      </w:pPr>
      <w:r>
        <w:rPr>
          <w:rFonts w:ascii="宋体" w:hAnsi="宋体"/>
          <w:szCs w:val="21"/>
        </w:rPr>
        <w:t xml:space="preserve">2.4.2 </w:t>
      </w:r>
      <w:r>
        <w:rPr>
          <w:rFonts w:hint="eastAsia" w:ascii="宋体" w:hAnsi="宋体" w:cs="仿宋_GB2312"/>
          <w:szCs w:val="21"/>
        </w:rPr>
        <w:t>提供施工条件</w:t>
      </w:r>
    </w:p>
    <w:p>
      <w:pPr>
        <w:spacing w:line="360" w:lineRule="auto"/>
        <w:ind w:firstLine="420" w:firstLineChars="200"/>
        <w:rPr>
          <w:rFonts w:ascii="宋体" w:hAnsi="宋体"/>
          <w:szCs w:val="21"/>
          <w:u w:val="single"/>
        </w:rPr>
      </w:pPr>
      <w:r>
        <w:rPr>
          <w:rFonts w:hint="eastAsia" w:ascii="宋体" w:hAnsi="宋体" w:cs="仿宋_GB2312"/>
          <w:szCs w:val="21"/>
        </w:rPr>
        <w:t>关于发包人应负责提供施工所需要的条件，包括：</w:t>
      </w:r>
      <w:r>
        <w:rPr>
          <w:rFonts w:ascii="宋体" w:hAnsi="宋体" w:cs="宋体"/>
          <w:b/>
          <w:b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2.5 </w:t>
      </w:r>
      <w:r>
        <w:rPr>
          <w:rFonts w:hint="eastAsia" w:ascii="宋体" w:hAnsi="宋体" w:cs="黑体"/>
          <w:szCs w:val="21"/>
        </w:rPr>
        <w:t>资金来源证明及支付担保</w:t>
      </w:r>
    </w:p>
    <w:p>
      <w:pPr>
        <w:spacing w:line="360" w:lineRule="auto"/>
        <w:ind w:firstLine="420" w:firstLineChars="200"/>
        <w:rPr>
          <w:rFonts w:ascii="宋体" w:hAnsi="宋体"/>
          <w:szCs w:val="21"/>
        </w:rPr>
      </w:pPr>
      <w:r>
        <w:rPr>
          <w:rFonts w:hint="eastAsia" w:ascii="宋体" w:hAnsi="宋体" w:cs="仿宋_GB2312"/>
          <w:szCs w:val="21"/>
        </w:rPr>
        <w:t>发包人提供资金来源证明的期限要求：</w:t>
      </w:r>
      <w:r>
        <w:rPr>
          <w:rFonts w:ascii="宋体" w:hAnsi="宋体"/>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发包人是否提供支付担保：</w:t>
      </w:r>
      <w:r>
        <w:rPr>
          <w:rFonts w:hint="eastAsia" w:ascii="宋体" w:hAnsi="宋体" w:cs="仿宋_GB2312"/>
          <w:szCs w:val="21"/>
          <w:u w:val="single"/>
        </w:rPr>
        <w:t xml:space="preserve">  否  </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发包人提供支付担保的形式：</w:t>
      </w:r>
      <w:r>
        <w:rPr>
          <w:rFonts w:ascii="宋体" w:hAnsi="宋体" w:cs="仿宋_GB2312"/>
          <w:szCs w:val="21"/>
          <w:u w:val="single"/>
        </w:rPr>
        <w:t>/</w:t>
      </w:r>
      <w:r>
        <w:rPr>
          <w:rFonts w:hint="eastAsia" w:ascii="宋体" w:hAnsi="宋体" w:cs="仿宋_GB2312"/>
          <w:szCs w:val="21"/>
        </w:rPr>
        <w:t>。</w:t>
      </w:r>
    </w:p>
    <w:p>
      <w:pPr>
        <w:pStyle w:val="4"/>
        <w:spacing w:before="0" w:after="0" w:line="360" w:lineRule="auto"/>
        <w:ind w:firstLine="118"/>
        <w:rPr>
          <w:rFonts w:ascii="宋体"/>
          <w:szCs w:val="24"/>
        </w:rPr>
      </w:pPr>
      <w:bookmarkStart w:id="360" w:name="_Toc351203635"/>
      <w:r>
        <w:rPr>
          <w:rFonts w:ascii="宋体"/>
          <w:szCs w:val="24"/>
        </w:rPr>
        <w:t>3</w:t>
      </w:r>
      <w:bookmarkStart w:id="361" w:name="_Toc297048344"/>
      <w:bookmarkStart w:id="362" w:name="_Toc296891198"/>
      <w:bookmarkStart w:id="363" w:name="_Toc296890986"/>
      <w:bookmarkStart w:id="364" w:name="_Toc296346659"/>
      <w:bookmarkStart w:id="365" w:name="_Toc296347157"/>
      <w:bookmarkStart w:id="366" w:name="_Toc296944497"/>
      <w:bookmarkStart w:id="367" w:name="_Toc297120458"/>
      <w:bookmarkStart w:id="368" w:name="_Toc292559363"/>
      <w:bookmarkStart w:id="369" w:name="_Toc296503158"/>
      <w:bookmarkStart w:id="370" w:name="_Toc292559868"/>
      <w:r>
        <w:rPr>
          <w:rFonts w:ascii="宋体"/>
          <w:szCs w:val="24"/>
        </w:rPr>
        <w:t xml:space="preserve">. </w:t>
      </w:r>
      <w:r>
        <w:rPr>
          <w:rFonts w:hint="eastAsia" w:ascii="宋体"/>
          <w:szCs w:val="24"/>
        </w:rPr>
        <w:t>承包人</w:t>
      </w:r>
      <w:bookmarkEnd w:id="360"/>
    </w:p>
    <w:bookmarkEnd w:id="361"/>
    <w:bookmarkEnd w:id="362"/>
    <w:bookmarkEnd w:id="363"/>
    <w:bookmarkEnd w:id="364"/>
    <w:bookmarkEnd w:id="365"/>
    <w:bookmarkEnd w:id="366"/>
    <w:bookmarkEnd w:id="367"/>
    <w:bookmarkEnd w:id="368"/>
    <w:bookmarkEnd w:id="369"/>
    <w:bookmarkEnd w:id="370"/>
    <w:p>
      <w:pPr>
        <w:spacing w:line="360" w:lineRule="auto"/>
        <w:ind w:firstLine="420" w:firstLineChars="200"/>
        <w:rPr>
          <w:rFonts w:ascii="宋体" w:hAnsi="宋体" w:cs="黑体"/>
          <w:szCs w:val="21"/>
        </w:rPr>
      </w:pPr>
      <w:r>
        <w:rPr>
          <w:rFonts w:ascii="宋体" w:hAnsi="宋体"/>
          <w:szCs w:val="21"/>
        </w:rPr>
        <w:t xml:space="preserve">3.1 </w:t>
      </w:r>
      <w:r>
        <w:rPr>
          <w:rFonts w:hint="eastAsia" w:ascii="宋体" w:hAnsi="宋体" w:cs="黑体"/>
          <w:szCs w:val="21"/>
        </w:rPr>
        <w:t>承包人的一般义务</w:t>
      </w:r>
    </w:p>
    <w:p>
      <w:pPr>
        <w:spacing w:line="360" w:lineRule="auto"/>
        <w:ind w:firstLine="420" w:firstLineChars="200"/>
        <w:rPr>
          <w:rFonts w:ascii="宋体" w:hAnsi="宋体" w:cs="黑体"/>
          <w:szCs w:val="21"/>
        </w:rPr>
      </w:pPr>
      <w:r>
        <w:rPr>
          <w:rFonts w:hint="eastAsia" w:ascii="宋体" w:hAnsi="宋体" w:cs="黑体"/>
          <w:szCs w:val="21"/>
        </w:rPr>
        <w:t>3.1.1</w:t>
      </w:r>
      <w:r>
        <w:rPr>
          <w:rFonts w:ascii="宋体" w:hAnsi="宋体" w:cs="黑体"/>
          <w:szCs w:val="21"/>
        </w:rPr>
        <w:t>承包人提交的竣工资料的内容：</w:t>
      </w:r>
      <w:r>
        <w:rPr>
          <w:rFonts w:hint="eastAsia" w:ascii="宋体" w:hAnsi="宋体" w:cs="黑体"/>
          <w:szCs w:val="21"/>
        </w:rPr>
        <w:t>。</w:t>
      </w:r>
    </w:p>
    <w:p>
      <w:pPr>
        <w:spacing w:line="360" w:lineRule="auto"/>
        <w:ind w:firstLine="487" w:firstLineChars="232"/>
        <w:rPr>
          <w:rFonts w:ascii="宋体" w:hAnsi="宋体" w:cs="黑体"/>
          <w:szCs w:val="21"/>
        </w:rPr>
      </w:pPr>
      <w:r>
        <w:rPr>
          <w:rFonts w:hint="eastAsia" w:ascii="宋体" w:hAnsi="宋体" w:cs="黑体"/>
          <w:szCs w:val="21"/>
        </w:rPr>
        <w:t>承包人需要提交的竣工资料套数：套 。</w:t>
      </w:r>
    </w:p>
    <w:p>
      <w:pPr>
        <w:spacing w:line="360" w:lineRule="auto"/>
        <w:ind w:firstLine="487" w:firstLineChars="232"/>
        <w:rPr>
          <w:rFonts w:ascii="宋体" w:hAnsi="宋体" w:cs="黑体"/>
          <w:szCs w:val="21"/>
        </w:rPr>
      </w:pPr>
      <w:r>
        <w:rPr>
          <w:rFonts w:hint="eastAsia" w:ascii="宋体" w:hAnsi="宋体" w:cs="黑体"/>
          <w:szCs w:val="21"/>
        </w:rPr>
        <w:t>承包人提交的竣工资料的费用承担：</w:t>
      </w:r>
      <w:r>
        <w:rPr>
          <w:rFonts w:hint="eastAsia" w:ascii="宋体" w:hAnsi="宋体" w:cs="黑体"/>
          <w:szCs w:val="21"/>
          <w:u w:val="single"/>
        </w:rPr>
        <w:t xml:space="preserve">承包人承担 </w:t>
      </w:r>
      <w:r>
        <w:rPr>
          <w:rFonts w:hint="eastAsia" w:ascii="宋体" w:hAnsi="宋体" w:cs="黑体"/>
          <w:szCs w:val="21"/>
        </w:rPr>
        <w:t>。</w:t>
      </w:r>
    </w:p>
    <w:p>
      <w:pPr>
        <w:spacing w:line="360" w:lineRule="auto"/>
        <w:ind w:firstLine="487" w:firstLineChars="232"/>
        <w:rPr>
          <w:rFonts w:ascii="宋体" w:hAnsi="宋体" w:cs="黑体"/>
          <w:szCs w:val="21"/>
        </w:rPr>
      </w:pPr>
      <w:r>
        <w:rPr>
          <w:rFonts w:hint="eastAsia" w:ascii="宋体" w:hAnsi="宋体" w:cs="黑体"/>
          <w:szCs w:val="21"/>
        </w:rPr>
        <w:t>承包人提交的竣工资料移交时间： 。</w:t>
      </w:r>
    </w:p>
    <w:p>
      <w:pPr>
        <w:spacing w:line="360" w:lineRule="auto"/>
        <w:ind w:firstLine="525" w:firstLineChars="250"/>
        <w:rPr>
          <w:rFonts w:ascii="宋体" w:hAnsi="宋体" w:cs="黑体"/>
          <w:szCs w:val="21"/>
        </w:rPr>
      </w:pPr>
      <w:r>
        <w:rPr>
          <w:rFonts w:ascii="宋体" w:hAnsi="宋体" w:cs="黑体"/>
          <w:szCs w:val="21"/>
        </w:rPr>
        <w:t>承包人提交的竣工资料形式要求：</w:t>
      </w:r>
      <w:r>
        <w:rPr>
          <w:rFonts w:hint="eastAsia" w:ascii="宋体" w:hAnsi="宋体" w:cs="黑体"/>
          <w:szCs w:val="21"/>
        </w:rPr>
        <w:t>书面及电子文档</w:t>
      </w:r>
      <w:r>
        <w:rPr>
          <w:rFonts w:ascii="宋体" w:hAnsi="宋体" w:cs="黑体"/>
          <w:szCs w:val="21"/>
        </w:rPr>
        <w:t>。</w:t>
      </w:r>
    </w:p>
    <w:p>
      <w:pPr>
        <w:spacing w:line="360" w:lineRule="auto"/>
        <w:ind w:firstLine="420" w:firstLineChars="200"/>
        <w:rPr>
          <w:rFonts w:ascii="宋体" w:hAnsi="宋体"/>
          <w:szCs w:val="21"/>
        </w:rPr>
      </w:pPr>
      <w:r>
        <w:rPr>
          <w:rFonts w:ascii="宋体" w:hAnsi="宋体"/>
          <w:szCs w:val="21"/>
        </w:rPr>
        <w:t xml:space="preserve">3.2 </w:t>
      </w:r>
      <w:r>
        <w:rPr>
          <w:rFonts w:hint="eastAsia" w:ascii="宋体" w:hAnsi="宋体" w:cs="黑体"/>
          <w:szCs w:val="21"/>
        </w:rPr>
        <w:t>项目负责人</w:t>
      </w:r>
    </w:p>
    <w:p>
      <w:pPr>
        <w:spacing w:line="360" w:lineRule="auto"/>
        <w:ind w:firstLine="420" w:firstLineChars="200"/>
        <w:rPr>
          <w:rFonts w:ascii="宋体" w:hAnsi="宋体"/>
          <w:szCs w:val="21"/>
        </w:rPr>
      </w:pPr>
      <w:r>
        <w:rPr>
          <w:rFonts w:ascii="宋体" w:hAnsi="宋体"/>
          <w:szCs w:val="21"/>
        </w:rPr>
        <w:t xml:space="preserve">3.2.1 </w:t>
      </w:r>
      <w:r>
        <w:rPr>
          <w:rFonts w:hint="eastAsia" w:ascii="宋体" w:hAnsi="宋体" w:cs="仿宋_GB2312"/>
          <w:szCs w:val="21"/>
        </w:rPr>
        <w:t>项目负责人：</w:t>
      </w:r>
    </w:p>
    <w:p>
      <w:pPr>
        <w:spacing w:line="360" w:lineRule="auto"/>
        <w:ind w:firstLine="420" w:firstLineChars="200"/>
        <w:rPr>
          <w:rFonts w:ascii="宋体" w:hAnsi="宋体"/>
          <w:szCs w:val="21"/>
        </w:rPr>
      </w:pPr>
      <w:r>
        <w:rPr>
          <w:rFonts w:hint="eastAsia" w:ascii="宋体" w:hAnsi="宋体" w:cs="仿宋_GB2312"/>
          <w:szCs w:val="21"/>
        </w:rPr>
        <w:t>姓名：；</w:t>
      </w:r>
    </w:p>
    <w:p>
      <w:pPr>
        <w:spacing w:line="360" w:lineRule="auto"/>
        <w:ind w:firstLine="420" w:firstLineChars="200"/>
        <w:rPr>
          <w:rFonts w:ascii="宋体" w:hAnsi="宋体"/>
          <w:szCs w:val="21"/>
        </w:rPr>
      </w:pPr>
      <w:r>
        <w:rPr>
          <w:rFonts w:hint="eastAsia" w:ascii="宋体" w:hAnsi="宋体" w:cs="仿宋_GB2312"/>
          <w:szCs w:val="21"/>
        </w:rPr>
        <w:t>身份证号：</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建造师执业资格等级：</w:t>
      </w:r>
      <w:r>
        <w:rPr>
          <w:rFonts w:hint="eastAsia" w:ascii="宋体" w:hAnsi="宋体" w:cs="MingLiU_HKS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建造师注册证书号：</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建造师执业印章号：</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安全生产考核合格证书号：</w:t>
      </w:r>
      <w:r>
        <w:rPr>
          <w:rFonts w:hint="eastAsia" w:ascii="宋体" w:hAnsi="宋体" w:cs="仿宋_GB2312"/>
          <w:szCs w:val="21"/>
          <w:u w:val="single"/>
        </w:rPr>
        <w:t xml:space="preserve">                   ；</w:t>
      </w:r>
    </w:p>
    <w:p>
      <w:pPr>
        <w:spacing w:line="360" w:lineRule="auto"/>
        <w:ind w:firstLine="420" w:firstLineChars="200"/>
        <w:rPr>
          <w:rFonts w:ascii="宋体" w:hAnsi="宋体" w:cs="宋体"/>
          <w:szCs w:val="21"/>
        </w:rPr>
      </w:pPr>
      <w:r>
        <w:rPr>
          <w:rFonts w:hint="eastAsia" w:ascii="宋体" w:hAnsi="宋体" w:cs="仿宋_GB2312"/>
          <w:szCs w:val="21"/>
        </w:rPr>
        <w:t>联系电话：</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电子信箱：</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通信地址：</w:t>
      </w:r>
      <w:r>
        <w:rPr>
          <w:rFonts w:hint="eastAsia" w:ascii="宋体" w:hAnsi="宋体" w:cs="MingLiU_HKSCS"/>
          <w:szCs w:val="21"/>
          <w:u w:val="single"/>
        </w:rPr>
        <w:t>                                             </w:t>
      </w:r>
      <w:r>
        <w:rPr>
          <w:rFonts w:hint="eastAsia" w:ascii="宋体" w:hAnsi="宋体" w:cs="仿宋_GB2312"/>
          <w:szCs w:val="21"/>
        </w:rPr>
        <w:t>；</w:t>
      </w:r>
    </w:p>
    <w:p>
      <w:pPr>
        <w:pStyle w:val="17"/>
        <w:spacing w:line="360" w:lineRule="auto"/>
        <w:ind w:firstLine="420" w:firstLineChars="200"/>
        <w:rPr>
          <w:rFonts w:ascii="宋体" w:hAnsi="宋体"/>
          <w:szCs w:val="21"/>
          <w:u w:val="single"/>
        </w:rPr>
      </w:pPr>
      <w:r>
        <w:rPr>
          <w:rFonts w:hint="eastAsia" w:ascii="宋体" w:hAnsi="宋体" w:cs="仿宋_GB2312"/>
          <w:szCs w:val="21"/>
        </w:rPr>
        <w:t>承包人对项目负责人的授权范围如下：</w:t>
      </w:r>
      <w:r>
        <w:rPr>
          <w:rFonts w:hint="eastAsia" w:ascii="宋体" w:hAnsi="宋体"/>
          <w:szCs w:val="21"/>
          <w:u w:val="single"/>
        </w:rPr>
        <w:t>代表承包人行使本合同约定的权利，履行本合同约定的义务。</w:t>
      </w:r>
    </w:p>
    <w:p>
      <w:pPr>
        <w:spacing w:line="360" w:lineRule="auto"/>
        <w:ind w:firstLine="420" w:firstLineChars="200"/>
        <w:rPr>
          <w:rFonts w:ascii="宋体" w:hAnsi="宋体"/>
          <w:szCs w:val="21"/>
          <w:u w:val="single"/>
        </w:rPr>
      </w:pPr>
      <w:r>
        <w:rPr>
          <w:rFonts w:hint="eastAsia" w:ascii="宋体" w:hAnsi="宋体" w:cs="仿宋_GB2312"/>
          <w:szCs w:val="21"/>
        </w:rPr>
        <w:t>关于项目负责人每月在施工现场的时间要求：</w:t>
      </w:r>
      <w:r>
        <w:rPr>
          <w:rFonts w:ascii="宋体" w:hAnsi="宋体"/>
          <w:szCs w:val="21"/>
          <w:u w:val="single"/>
        </w:rPr>
        <w:t>。</w:t>
      </w:r>
    </w:p>
    <w:p>
      <w:pPr>
        <w:spacing w:line="360" w:lineRule="auto"/>
        <w:ind w:firstLine="420" w:firstLineChars="200"/>
        <w:rPr>
          <w:rFonts w:ascii="宋体" w:hAnsi="宋体"/>
          <w:szCs w:val="21"/>
          <w:u w:val="single"/>
        </w:rPr>
      </w:pPr>
      <w:r>
        <w:rPr>
          <w:rFonts w:hint="eastAsia" w:ascii="宋体" w:hAnsi="宋体" w:cs="仿宋_GB2312"/>
          <w:szCs w:val="21"/>
        </w:rPr>
        <w:t>承包人未提交劳动合同，以及没有为项目负责人缴纳社会保险证明的违约责任：。</w:t>
      </w:r>
    </w:p>
    <w:p>
      <w:pPr>
        <w:spacing w:line="360" w:lineRule="auto"/>
        <w:ind w:firstLine="420" w:firstLineChars="200"/>
        <w:rPr>
          <w:rFonts w:ascii="宋体" w:hAnsi="宋体"/>
          <w:szCs w:val="21"/>
          <w:u w:val="single"/>
        </w:rPr>
      </w:pPr>
      <w:r>
        <w:rPr>
          <w:rFonts w:hint="eastAsia" w:ascii="宋体" w:hAnsi="宋体" w:cs="仿宋_GB2312"/>
          <w:szCs w:val="21"/>
        </w:rPr>
        <w:t>项目负责人未经批准，擅自离开施工现场的违约责任：</w:t>
      </w:r>
      <w:r>
        <w:rPr>
          <w:rFonts w:hint="eastAsia" w:ascii="宋体" w:hAnsi="宋体"/>
          <w:szCs w:val="21"/>
          <w:u w:val="single"/>
        </w:rPr>
        <w:t>。</w:t>
      </w:r>
    </w:p>
    <w:p>
      <w:pPr>
        <w:spacing w:line="360" w:lineRule="auto"/>
        <w:ind w:firstLine="420" w:firstLineChars="200"/>
        <w:rPr>
          <w:rFonts w:ascii="宋体" w:hAnsi="宋体"/>
          <w:szCs w:val="21"/>
          <w:u w:val="single"/>
        </w:rPr>
      </w:pPr>
      <w:r>
        <w:rPr>
          <w:rFonts w:ascii="宋体" w:hAnsi="宋体"/>
          <w:szCs w:val="21"/>
        </w:rPr>
        <w:t xml:space="preserve">3.2.3 </w:t>
      </w:r>
      <w:r>
        <w:rPr>
          <w:rFonts w:hint="eastAsia" w:ascii="宋体" w:hAnsi="宋体" w:cs="仿宋_GB2312"/>
          <w:szCs w:val="21"/>
        </w:rPr>
        <w:t>承包人擅自更换项目负责人的违约责任：。</w:t>
      </w:r>
    </w:p>
    <w:p>
      <w:pPr>
        <w:spacing w:line="360" w:lineRule="auto"/>
        <w:ind w:firstLine="420" w:firstLineChars="200"/>
        <w:rPr>
          <w:rFonts w:ascii="宋体" w:hAnsi="宋体"/>
          <w:szCs w:val="21"/>
          <w:u w:val="single"/>
        </w:rPr>
      </w:pPr>
      <w:r>
        <w:rPr>
          <w:rFonts w:ascii="宋体" w:hAnsi="宋体"/>
          <w:szCs w:val="21"/>
        </w:rPr>
        <w:t xml:space="preserve">3.2.4 </w:t>
      </w:r>
      <w:r>
        <w:rPr>
          <w:rFonts w:hint="eastAsia" w:ascii="宋体" w:hAnsi="宋体" w:cs="仿宋_GB2312"/>
          <w:szCs w:val="21"/>
        </w:rPr>
        <w:t>承包人无正当理由拒绝更换项目负责人的违约责任：。</w:t>
      </w:r>
    </w:p>
    <w:p>
      <w:pPr>
        <w:spacing w:line="360" w:lineRule="auto"/>
        <w:ind w:firstLine="420" w:firstLineChars="200"/>
        <w:rPr>
          <w:rFonts w:ascii="宋体" w:hAnsi="宋体"/>
          <w:szCs w:val="21"/>
        </w:rPr>
      </w:pPr>
      <w:r>
        <w:rPr>
          <w:rFonts w:ascii="宋体" w:hAnsi="宋体"/>
          <w:szCs w:val="21"/>
        </w:rPr>
        <w:t xml:space="preserve">3.3 </w:t>
      </w:r>
      <w:r>
        <w:rPr>
          <w:rFonts w:hint="eastAsia" w:ascii="宋体" w:hAnsi="宋体" w:cs="黑体"/>
          <w:szCs w:val="21"/>
        </w:rPr>
        <w:t>承包人人员</w:t>
      </w:r>
    </w:p>
    <w:p>
      <w:pPr>
        <w:spacing w:line="360" w:lineRule="auto"/>
        <w:ind w:firstLine="420" w:firstLineChars="200"/>
        <w:rPr>
          <w:rFonts w:ascii="宋体" w:hAnsi="宋体"/>
          <w:szCs w:val="21"/>
        </w:rPr>
      </w:pPr>
      <w:r>
        <w:rPr>
          <w:rFonts w:ascii="宋体" w:hAnsi="宋体"/>
          <w:szCs w:val="21"/>
        </w:rPr>
        <w:t xml:space="preserve">3.3.1 </w:t>
      </w:r>
      <w:r>
        <w:rPr>
          <w:rFonts w:hint="eastAsia" w:ascii="宋体" w:hAnsi="宋体" w:cs="仿宋_GB2312"/>
          <w:szCs w:val="21"/>
        </w:rPr>
        <w:t>承包人提交项目管理机构及施工现场管理人员安排报告的期限：。</w:t>
      </w:r>
    </w:p>
    <w:p>
      <w:pPr>
        <w:spacing w:line="360" w:lineRule="auto"/>
        <w:ind w:firstLine="420" w:firstLineChars="200"/>
        <w:rPr>
          <w:rFonts w:ascii="宋体" w:hAnsi="宋体"/>
          <w:szCs w:val="21"/>
        </w:rPr>
      </w:pPr>
      <w:r>
        <w:rPr>
          <w:rFonts w:ascii="宋体" w:hAnsi="宋体"/>
          <w:szCs w:val="21"/>
        </w:rPr>
        <w:t xml:space="preserve">3.3.3 </w:t>
      </w:r>
      <w:r>
        <w:rPr>
          <w:rFonts w:hint="eastAsia" w:ascii="宋体" w:hAnsi="宋体" w:cs="仿宋_GB2312"/>
          <w:szCs w:val="21"/>
        </w:rPr>
        <w:t>承包人无正当理由拒绝撤换主要施工管理人员的违约责任：。</w:t>
      </w:r>
    </w:p>
    <w:p>
      <w:pPr>
        <w:spacing w:line="360" w:lineRule="auto"/>
        <w:ind w:firstLine="420" w:firstLineChars="200"/>
        <w:rPr>
          <w:rFonts w:ascii="宋体" w:hAnsi="宋体"/>
          <w:szCs w:val="21"/>
        </w:rPr>
      </w:pPr>
      <w:r>
        <w:rPr>
          <w:rFonts w:ascii="宋体" w:hAnsi="宋体"/>
          <w:szCs w:val="21"/>
        </w:rPr>
        <w:t xml:space="preserve">3.3.4 </w:t>
      </w:r>
      <w:r>
        <w:rPr>
          <w:rFonts w:hint="eastAsia" w:ascii="宋体" w:hAnsi="宋体" w:cs="仿宋_GB2312"/>
          <w:szCs w:val="21"/>
        </w:rPr>
        <w:t>承包人主要施工管理人员离开施工现场的批准要求：。</w:t>
      </w:r>
    </w:p>
    <w:p>
      <w:pPr>
        <w:spacing w:line="360" w:lineRule="auto"/>
        <w:ind w:firstLine="420" w:firstLineChars="200"/>
        <w:rPr>
          <w:rFonts w:ascii="宋体" w:hAnsi="宋体"/>
          <w:szCs w:val="21"/>
          <w:u w:val="single"/>
        </w:rPr>
      </w:pPr>
      <w:r>
        <w:rPr>
          <w:rFonts w:ascii="宋体" w:hAnsi="宋体"/>
          <w:szCs w:val="21"/>
        </w:rPr>
        <w:t>3.3.5</w:t>
      </w:r>
      <w:r>
        <w:rPr>
          <w:rFonts w:hint="eastAsia" w:ascii="宋体" w:hAnsi="宋体" w:cs="仿宋_GB2312"/>
          <w:szCs w:val="21"/>
        </w:rPr>
        <w:t>承包人擅自更换主要施工管理人员的违约责任：。</w:t>
      </w:r>
    </w:p>
    <w:p>
      <w:pPr>
        <w:spacing w:line="360" w:lineRule="auto"/>
        <w:ind w:firstLine="420" w:firstLineChars="200"/>
        <w:rPr>
          <w:rFonts w:ascii="宋体" w:hAnsi="宋体"/>
          <w:szCs w:val="21"/>
          <w:u w:val="single"/>
        </w:rPr>
      </w:pPr>
      <w:r>
        <w:rPr>
          <w:rFonts w:hint="eastAsia" w:ascii="宋体" w:hAnsi="宋体" w:cs="仿宋_GB2312"/>
          <w:szCs w:val="21"/>
        </w:rPr>
        <w:t>承包人主要施工管理人员擅自离开施工现场的违约责任：</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w:t>
      </w:r>
      <w:bookmarkStart w:id="371" w:name="_Toc300934945"/>
      <w:bookmarkStart w:id="372" w:name="_Toc292559869"/>
      <w:bookmarkStart w:id="373" w:name="_Toc297216151"/>
      <w:bookmarkStart w:id="374" w:name="_Toc296891199"/>
      <w:bookmarkStart w:id="375" w:name="_Toc296890987"/>
      <w:bookmarkStart w:id="376" w:name="_Toc304295523"/>
      <w:bookmarkStart w:id="377" w:name="_Toc312677988"/>
      <w:bookmarkStart w:id="378" w:name="_Toc296944498"/>
      <w:bookmarkStart w:id="379" w:name="_Toc297123492"/>
      <w:bookmarkStart w:id="380" w:name="_Toc296347158"/>
      <w:bookmarkStart w:id="381" w:name="_Toc297048345"/>
      <w:bookmarkStart w:id="382" w:name="_Toc303539102"/>
      <w:bookmarkStart w:id="383" w:name="_Toc292559364"/>
      <w:bookmarkStart w:id="384" w:name="_Toc296503159"/>
      <w:bookmarkStart w:id="385" w:name="_Toc296346660"/>
      <w:bookmarkStart w:id="386" w:name="_Toc297120459"/>
      <w:r>
        <w:rPr>
          <w:rFonts w:ascii="宋体" w:hAnsi="宋体"/>
          <w:szCs w:val="21"/>
        </w:rPr>
        <w:t xml:space="preserve">.5 </w:t>
      </w:r>
      <w:r>
        <w:rPr>
          <w:rFonts w:hint="eastAsia" w:ascii="宋体" w:hAnsi="宋体" w:cs="黑体"/>
          <w:szCs w:val="21"/>
        </w:rPr>
        <w:t>分包</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spacing w:line="360" w:lineRule="auto"/>
        <w:ind w:firstLine="420" w:firstLineChars="200"/>
        <w:rPr>
          <w:rFonts w:ascii="宋体" w:hAnsi="宋体"/>
          <w:szCs w:val="21"/>
        </w:rPr>
      </w:pPr>
      <w:r>
        <w:rPr>
          <w:rFonts w:ascii="宋体" w:hAnsi="宋体"/>
          <w:szCs w:val="21"/>
        </w:rPr>
        <w:t>3</w:t>
      </w:r>
      <w:bookmarkStart w:id="387" w:name="_Toc296347159"/>
      <w:bookmarkStart w:id="388" w:name="_Toc296890988"/>
      <w:bookmarkStart w:id="389" w:name="_Toc296944499"/>
      <w:bookmarkStart w:id="390" w:name="_Toc304295524"/>
      <w:bookmarkStart w:id="391" w:name="_Toc292559870"/>
      <w:bookmarkStart w:id="392" w:name="_Toc297123493"/>
      <w:bookmarkStart w:id="393" w:name="_Toc300934946"/>
      <w:bookmarkStart w:id="394" w:name="_Toc292559365"/>
      <w:bookmarkStart w:id="395" w:name="_Toc297120460"/>
      <w:bookmarkStart w:id="396" w:name="_Toc297216152"/>
      <w:bookmarkStart w:id="397" w:name="_Toc296891200"/>
      <w:bookmarkStart w:id="398" w:name="_Toc296346661"/>
      <w:bookmarkStart w:id="399" w:name="_Toc303539103"/>
      <w:bookmarkStart w:id="400" w:name="_Toc297048346"/>
      <w:bookmarkStart w:id="401" w:name="_Toc296503160"/>
      <w:bookmarkStart w:id="402" w:name="_Toc318581158"/>
      <w:bookmarkStart w:id="403" w:name="_Toc312677989"/>
      <w:r>
        <w:rPr>
          <w:rFonts w:ascii="宋体" w:hAnsi="宋体"/>
          <w:szCs w:val="21"/>
        </w:rPr>
        <w:t xml:space="preserve">.5.1 </w:t>
      </w:r>
      <w:r>
        <w:rPr>
          <w:rFonts w:hint="eastAsia" w:ascii="宋体" w:hAnsi="宋体" w:cs="仿宋_GB2312"/>
          <w:szCs w:val="21"/>
        </w:rPr>
        <w:t>分包的一般约定</w:t>
      </w:r>
    </w:p>
    <w:p>
      <w:pPr>
        <w:spacing w:line="360" w:lineRule="auto"/>
        <w:ind w:firstLine="420" w:firstLineChars="200"/>
        <w:rPr>
          <w:rFonts w:ascii="宋体" w:hAnsi="宋体"/>
          <w:szCs w:val="21"/>
        </w:rPr>
      </w:pPr>
      <w:r>
        <w:rPr>
          <w:rFonts w:hint="eastAsia" w:ascii="宋体" w:hAnsi="宋体" w:cs="仿宋_GB2312"/>
          <w:szCs w:val="21"/>
        </w:rPr>
        <w:t>禁止分包的工程包括：。</w:t>
      </w:r>
    </w:p>
    <w:p>
      <w:pPr>
        <w:spacing w:line="360" w:lineRule="auto"/>
        <w:ind w:firstLine="420" w:firstLineChars="200"/>
        <w:rPr>
          <w:rFonts w:ascii="宋体" w:hAnsi="宋体"/>
          <w:szCs w:val="21"/>
          <w:u w:val="single"/>
        </w:rPr>
      </w:pPr>
      <w:r>
        <w:rPr>
          <w:rFonts w:hint="eastAsia" w:ascii="宋体" w:hAnsi="宋体" w:cs="仿宋_GB2312"/>
          <w:szCs w:val="21"/>
        </w:rPr>
        <w:t>主体结构、关键性工作的范围：。</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4" w:name="_Toc296891201"/>
      <w:bookmarkStart w:id="405" w:name="_Toc296503161"/>
      <w:bookmarkStart w:id="406" w:name="_Toc296890989"/>
      <w:bookmarkStart w:id="407" w:name="_Toc297048347"/>
      <w:bookmarkStart w:id="408" w:name="_Toc304295525"/>
      <w:bookmarkStart w:id="409" w:name="_Toc297120461"/>
      <w:bookmarkStart w:id="410" w:name="_Toc300934947"/>
      <w:bookmarkStart w:id="411" w:name="_Toc296346662"/>
      <w:bookmarkStart w:id="412" w:name="_Toc297216153"/>
      <w:bookmarkStart w:id="413" w:name="_Toc296944500"/>
      <w:bookmarkStart w:id="414" w:name="_Toc297123494"/>
      <w:bookmarkStart w:id="415" w:name="_Toc303539104"/>
      <w:bookmarkStart w:id="416" w:name="_Toc296347160"/>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360" w:lineRule="auto"/>
        <w:rPr>
          <w:rFonts w:ascii="宋体" w:hAnsi="宋体"/>
          <w:szCs w:val="21"/>
        </w:rPr>
      </w:pPr>
      <w:r>
        <w:rPr>
          <w:rFonts w:ascii="宋体" w:hAnsi="宋体"/>
          <w:szCs w:val="21"/>
        </w:rPr>
        <w:t xml:space="preserve">    3</w:t>
      </w:r>
      <w:bookmarkStart w:id="417" w:name="_Toc312677990"/>
      <w:bookmarkStart w:id="418" w:name="_Toc318581159"/>
      <w:r>
        <w:rPr>
          <w:rFonts w:ascii="宋体" w:hAnsi="宋体"/>
          <w:szCs w:val="21"/>
        </w:rPr>
        <w:t>.5.2</w:t>
      </w:r>
      <w:r>
        <w:rPr>
          <w:rFonts w:hint="eastAsia" w:ascii="宋体" w:hAnsi="宋体" w:cs="仿宋_GB2312"/>
          <w:szCs w:val="21"/>
        </w:rPr>
        <w:t>分包的确定</w:t>
      </w:r>
    </w:p>
    <w:p>
      <w:pPr>
        <w:spacing w:line="360" w:lineRule="auto"/>
        <w:ind w:firstLine="420" w:firstLineChars="200"/>
        <w:rPr>
          <w:rFonts w:ascii="宋体" w:hAnsi="宋体"/>
          <w:szCs w:val="21"/>
          <w:u w:val="single"/>
        </w:rPr>
      </w:pPr>
      <w:r>
        <w:rPr>
          <w:rFonts w:hint="eastAsia" w:ascii="宋体" w:hAnsi="宋体" w:cs="仿宋_GB2312"/>
          <w:szCs w:val="21"/>
        </w:rPr>
        <w:t>允许分包的专业工程包括：。</w:t>
      </w:r>
    </w:p>
    <w:p>
      <w:pPr>
        <w:spacing w:line="360" w:lineRule="auto"/>
        <w:ind w:firstLine="420" w:firstLineChars="200"/>
        <w:rPr>
          <w:rFonts w:ascii="宋体" w:hAnsi="宋体"/>
          <w:szCs w:val="21"/>
        </w:rPr>
      </w:pPr>
      <w:r>
        <w:rPr>
          <w:rFonts w:hint="eastAsia" w:ascii="宋体" w:hAnsi="宋体" w:cs="仿宋_GB2312"/>
          <w:szCs w:val="21"/>
        </w:rPr>
        <w:t>其他关于分包的约定：</w:t>
      </w:r>
      <w:r>
        <w:rPr>
          <w:rFonts w:ascii="宋体" w:hAnsi="宋体" w:cs="仿宋_GB2312"/>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3.5.4 </w:t>
      </w:r>
      <w:r>
        <w:rPr>
          <w:rFonts w:hint="eastAsia" w:ascii="宋体" w:hAnsi="宋体" w:cs="仿宋_GB2312"/>
          <w:szCs w:val="21"/>
        </w:rPr>
        <w:t>分包合同价款</w:t>
      </w:r>
    </w:p>
    <w:p>
      <w:pPr>
        <w:spacing w:line="360" w:lineRule="auto"/>
        <w:ind w:firstLine="420" w:firstLineChars="200"/>
        <w:rPr>
          <w:rFonts w:ascii="宋体" w:hAnsi="宋体"/>
          <w:szCs w:val="21"/>
        </w:rPr>
      </w:pPr>
      <w:r>
        <w:rPr>
          <w:rFonts w:hint="eastAsia" w:ascii="宋体" w:hAnsi="宋体" w:cs="仿宋_GB2312"/>
          <w:szCs w:val="21"/>
        </w:rPr>
        <w:t>关于分包合同价款支付的约定：</w:t>
      </w:r>
      <w:r>
        <w:rPr>
          <w:rFonts w:ascii="宋体" w:hAnsi="宋体" w:cs="仿宋_GB2312"/>
          <w:szCs w:val="21"/>
          <w:u w:val="single"/>
        </w:rPr>
        <w:t xml:space="preserve">  /  </w:t>
      </w:r>
      <w:r>
        <w:rPr>
          <w:rFonts w:hint="eastAsia" w:ascii="宋体" w:hAnsi="宋体" w:cs="仿宋_GB2312"/>
          <w:szCs w:val="21"/>
        </w:rPr>
        <w:t>。</w:t>
      </w:r>
    </w:p>
    <w:bookmarkEnd w:id="417"/>
    <w:bookmarkEnd w:id="418"/>
    <w:p>
      <w:pPr>
        <w:spacing w:line="360" w:lineRule="auto"/>
        <w:ind w:firstLine="420" w:firstLineChars="200"/>
        <w:rPr>
          <w:rFonts w:ascii="宋体" w:hAnsi="宋体"/>
          <w:szCs w:val="21"/>
        </w:rPr>
      </w:pPr>
      <w:r>
        <w:rPr>
          <w:rFonts w:ascii="宋体" w:hAnsi="宋体"/>
          <w:szCs w:val="21"/>
        </w:rPr>
        <w:t xml:space="preserve">3.6 </w:t>
      </w:r>
      <w:r>
        <w:rPr>
          <w:rFonts w:hint="eastAsia" w:ascii="宋体" w:hAnsi="宋体" w:cs="黑体"/>
          <w:szCs w:val="21"/>
        </w:rPr>
        <w:t>工程照管与成品、半成品保护</w:t>
      </w:r>
    </w:p>
    <w:p>
      <w:pPr>
        <w:spacing w:line="360" w:lineRule="auto"/>
        <w:ind w:firstLine="420" w:firstLineChars="200"/>
        <w:rPr>
          <w:rFonts w:ascii="宋体" w:hAnsi="宋体"/>
          <w:szCs w:val="21"/>
          <w:u w:val="single"/>
        </w:rPr>
      </w:pPr>
      <w:r>
        <w:rPr>
          <w:rFonts w:hint="eastAsia" w:ascii="宋体" w:hAnsi="宋体" w:cs="仿宋_GB2312"/>
          <w:szCs w:val="21"/>
        </w:rPr>
        <w:t>承包人负责照管工程及工程相关的材料、工程设备的起始时间：。</w:t>
      </w:r>
    </w:p>
    <w:p>
      <w:pPr>
        <w:spacing w:line="360" w:lineRule="auto"/>
        <w:ind w:firstLine="420" w:firstLineChars="200"/>
        <w:rPr>
          <w:rFonts w:ascii="宋体" w:hAnsi="宋体"/>
          <w:szCs w:val="21"/>
        </w:rPr>
      </w:pPr>
      <w:r>
        <w:rPr>
          <w:rFonts w:ascii="宋体" w:hAnsi="宋体"/>
          <w:szCs w:val="21"/>
        </w:rPr>
        <w:t xml:space="preserve">3.7 </w:t>
      </w:r>
      <w:r>
        <w:rPr>
          <w:rFonts w:hint="eastAsia" w:ascii="宋体" w:hAnsi="宋体" w:cs="黑体"/>
          <w:szCs w:val="21"/>
        </w:rPr>
        <w:t>履约担保</w:t>
      </w:r>
    </w:p>
    <w:p>
      <w:pPr>
        <w:spacing w:line="360" w:lineRule="auto"/>
        <w:ind w:firstLine="420" w:firstLineChars="200"/>
        <w:rPr>
          <w:rFonts w:ascii="宋体" w:hAnsi="宋体"/>
          <w:szCs w:val="21"/>
        </w:rPr>
      </w:pPr>
      <w:r>
        <w:rPr>
          <w:rFonts w:hint="eastAsia" w:ascii="宋体" w:hAnsi="宋体" w:cs="仿宋_GB2312"/>
          <w:szCs w:val="21"/>
        </w:rPr>
        <w:t>承包人是否提供履约担保：</w:t>
      </w:r>
      <w:r>
        <w:rPr>
          <w:rFonts w:hint="eastAsia" w:ascii="宋体" w:hAnsi="宋体" w:cs="仿宋_GB2312"/>
          <w:bCs/>
          <w:szCs w:val="21"/>
          <w:u w:val="single"/>
        </w:rPr>
        <w:t>提供</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承包人提供履约担保的形式、金额及期限的：</w:t>
      </w:r>
      <w:r>
        <w:rPr>
          <w:rFonts w:hint="eastAsia" w:ascii="宋体" w:hAnsi="宋体"/>
          <w:szCs w:val="21"/>
          <w:u w:val="single"/>
        </w:rPr>
        <w:t>合同签订前，承包人提供签约合同价款</w:t>
      </w:r>
      <w:r>
        <w:rPr>
          <w:rFonts w:ascii="宋体" w:hAnsi="宋体"/>
          <w:szCs w:val="21"/>
          <w:u w:val="single"/>
        </w:rPr>
        <w:t>10%</w:t>
      </w:r>
      <w:r>
        <w:rPr>
          <w:rFonts w:hint="eastAsia" w:ascii="宋体" w:hAnsi="宋体"/>
          <w:szCs w:val="21"/>
          <w:u w:val="single"/>
        </w:rPr>
        <w:t>转账或银行保函形式的履约担保。履约保函内容须通过发包人认可，承包人需确保履约保函在履约过程中始终有效，且不允许更换</w:t>
      </w:r>
      <w:r>
        <w:rPr>
          <w:rFonts w:hint="eastAsia" w:ascii="宋体" w:hAnsi="宋体"/>
          <w:szCs w:val="21"/>
        </w:rPr>
        <w:t>。</w:t>
      </w:r>
    </w:p>
    <w:p>
      <w:pPr>
        <w:pStyle w:val="4"/>
        <w:spacing w:before="0" w:after="0" w:line="360" w:lineRule="auto"/>
        <w:ind w:firstLine="118"/>
        <w:rPr>
          <w:rFonts w:ascii="宋体"/>
          <w:szCs w:val="24"/>
        </w:rPr>
      </w:pPr>
      <w:bookmarkStart w:id="419" w:name="_Toc351203636"/>
      <w:r>
        <w:rPr>
          <w:rFonts w:ascii="宋体"/>
          <w:szCs w:val="24"/>
        </w:rPr>
        <w:t>4</w:t>
      </w:r>
      <w:bookmarkStart w:id="420" w:name="_Toc296944501"/>
      <w:bookmarkStart w:id="421" w:name="_Toc292559366"/>
      <w:bookmarkStart w:id="422" w:name="_Toc292559871"/>
      <w:bookmarkStart w:id="423" w:name="_Toc296890990"/>
      <w:bookmarkStart w:id="424" w:name="_Toc297048348"/>
      <w:bookmarkStart w:id="425" w:name="_Toc296891202"/>
      <w:bookmarkStart w:id="426" w:name="_Toc296346663"/>
      <w:bookmarkStart w:id="427" w:name="_Toc297120462"/>
      <w:bookmarkStart w:id="428" w:name="_Toc296503162"/>
      <w:bookmarkStart w:id="429" w:name="_Toc296347161"/>
      <w:bookmarkStart w:id="430" w:name="_Toc267251413"/>
      <w:r>
        <w:rPr>
          <w:rFonts w:ascii="宋体"/>
          <w:szCs w:val="24"/>
        </w:rPr>
        <w:t xml:space="preserve">. </w:t>
      </w:r>
      <w:r>
        <w:rPr>
          <w:rFonts w:hint="eastAsia" w:ascii="宋体"/>
          <w:szCs w:val="24"/>
        </w:rPr>
        <w:t>监</w:t>
      </w:r>
      <w:bookmarkEnd w:id="420"/>
      <w:bookmarkEnd w:id="421"/>
      <w:bookmarkEnd w:id="422"/>
      <w:bookmarkEnd w:id="423"/>
      <w:bookmarkEnd w:id="424"/>
      <w:bookmarkEnd w:id="425"/>
      <w:bookmarkEnd w:id="426"/>
      <w:bookmarkEnd w:id="427"/>
      <w:bookmarkEnd w:id="428"/>
      <w:bookmarkEnd w:id="429"/>
      <w:bookmarkEnd w:id="430"/>
      <w:r>
        <w:rPr>
          <w:rFonts w:hint="eastAsia" w:ascii="宋体"/>
          <w:szCs w:val="24"/>
        </w:rPr>
        <w:t>理人</w:t>
      </w:r>
      <w:bookmarkEnd w:id="419"/>
    </w:p>
    <w:p>
      <w:pPr>
        <w:spacing w:line="360" w:lineRule="auto"/>
        <w:ind w:firstLine="420" w:firstLineChars="200"/>
        <w:rPr>
          <w:rFonts w:ascii="宋体" w:hAnsi="宋体"/>
          <w:szCs w:val="21"/>
        </w:rPr>
      </w:pPr>
      <w:r>
        <w:rPr>
          <w:rFonts w:ascii="宋体" w:hAnsi="宋体"/>
          <w:szCs w:val="21"/>
        </w:rPr>
        <w:t>4.1</w:t>
      </w:r>
      <w:r>
        <w:rPr>
          <w:rFonts w:hint="eastAsia" w:ascii="宋体" w:hAnsi="宋体" w:cs="黑体"/>
          <w:szCs w:val="21"/>
        </w:rPr>
        <w:t>监理人的一般规定</w:t>
      </w:r>
    </w:p>
    <w:p>
      <w:pPr>
        <w:spacing w:line="360" w:lineRule="auto"/>
        <w:ind w:firstLine="420" w:firstLineChars="200"/>
        <w:rPr>
          <w:rFonts w:ascii="宋体" w:hAnsi="宋体"/>
          <w:szCs w:val="21"/>
          <w:u w:val="single"/>
        </w:rPr>
      </w:pPr>
      <w:r>
        <w:rPr>
          <w:rFonts w:hint="eastAsia" w:ascii="宋体" w:hAnsi="宋体" w:cs="仿宋_GB2312"/>
          <w:szCs w:val="21"/>
        </w:rPr>
        <w:t>关于监理人的监理内容：</w:t>
      </w:r>
      <w:r>
        <w:rPr>
          <w:rFonts w:hint="eastAsia" w:ascii="宋体" w:hAnsi="宋体"/>
          <w:szCs w:val="21"/>
          <w:u w:val="single"/>
        </w:rPr>
        <w:t>。</w:t>
      </w:r>
    </w:p>
    <w:p>
      <w:pPr>
        <w:spacing w:line="360" w:lineRule="auto"/>
        <w:ind w:firstLine="420" w:firstLineChars="200"/>
        <w:rPr>
          <w:rFonts w:ascii="宋体" w:hAnsi="宋体"/>
          <w:szCs w:val="21"/>
          <w:u w:val="single"/>
        </w:rPr>
      </w:pPr>
      <w:r>
        <w:rPr>
          <w:rFonts w:hint="eastAsia" w:ascii="宋体" w:hAnsi="宋体" w:cs="仿宋_GB2312"/>
          <w:szCs w:val="21"/>
        </w:rPr>
        <w:t>关于监理人的监理权限：</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cs="仿宋_GB2312"/>
          <w:szCs w:val="21"/>
        </w:rPr>
        <w:t>关于监理人在施工现场的办公场所、生活场所的提供和费用承担的约定：。</w:t>
      </w:r>
    </w:p>
    <w:p>
      <w:pPr>
        <w:spacing w:line="360" w:lineRule="auto"/>
        <w:ind w:firstLine="420" w:firstLineChars="200"/>
        <w:rPr>
          <w:rFonts w:ascii="宋体" w:hAnsi="宋体"/>
          <w:szCs w:val="21"/>
        </w:rPr>
      </w:pPr>
      <w:r>
        <w:rPr>
          <w:rFonts w:ascii="宋体" w:hAnsi="宋体"/>
          <w:szCs w:val="21"/>
        </w:rPr>
        <w:t xml:space="preserve">4.2 </w:t>
      </w:r>
      <w:r>
        <w:rPr>
          <w:rFonts w:hint="eastAsia" w:ascii="宋体" w:hAnsi="宋体" w:cs="黑体"/>
          <w:szCs w:val="21"/>
        </w:rPr>
        <w:t>监理人员</w:t>
      </w:r>
    </w:p>
    <w:p>
      <w:pPr>
        <w:spacing w:line="360" w:lineRule="auto"/>
        <w:ind w:firstLine="420" w:firstLineChars="200"/>
        <w:rPr>
          <w:rFonts w:ascii="宋体" w:hAnsi="宋体"/>
          <w:szCs w:val="21"/>
        </w:rPr>
      </w:pPr>
      <w:r>
        <w:rPr>
          <w:rFonts w:hint="eastAsia" w:ascii="宋体" w:hAnsi="宋体" w:cs="仿宋_GB2312"/>
          <w:szCs w:val="21"/>
        </w:rPr>
        <w:t>总监理工程师：</w:t>
      </w:r>
    </w:p>
    <w:p>
      <w:pPr>
        <w:spacing w:line="360" w:lineRule="auto"/>
        <w:ind w:firstLine="420" w:firstLineChars="200"/>
        <w:rPr>
          <w:rFonts w:ascii="宋体" w:hAnsi="宋体"/>
          <w:szCs w:val="21"/>
        </w:rPr>
      </w:pPr>
      <w:r>
        <w:rPr>
          <w:rFonts w:hint="eastAsia" w:ascii="宋体" w:hAnsi="宋体" w:cs="仿宋_GB2312"/>
          <w:szCs w:val="21"/>
        </w:rPr>
        <w:t>姓名：</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职务：</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监理工程师执业资格证书号：；</w:t>
      </w:r>
    </w:p>
    <w:p>
      <w:pPr>
        <w:spacing w:line="360" w:lineRule="auto"/>
        <w:ind w:firstLine="420" w:firstLineChars="200"/>
        <w:rPr>
          <w:rFonts w:ascii="宋体" w:hAnsi="宋体"/>
          <w:szCs w:val="21"/>
        </w:rPr>
      </w:pPr>
      <w:r>
        <w:rPr>
          <w:rFonts w:hint="eastAsia" w:ascii="宋体" w:hAnsi="宋体" w:cs="仿宋_GB2312"/>
          <w:szCs w:val="21"/>
        </w:rPr>
        <w:t>联系电话：</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电子信箱：</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通信地址：</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关于监理人的其他约定：</w:t>
      </w:r>
      <w:r>
        <w:rPr>
          <w:rFonts w:ascii="宋体" w:hAnsi="宋体"/>
          <w:szCs w:val="21"/>
          <w:u w:val="single"/>
        </w:rPr>
        <w:t>。</w:t>
      </w:r>
    </w:p>
    <w:p>
      <w:pPr>
        <w:spacing w:line="360" w:lineRule="auto"/>
        <w:ind w:firstLine="420" w:firstLineChars="200"/>
        <w:rPr>
          <w:rFonts w:ascii="宋体" w:hAnsi="宋体"/>
          <w:szCs w:val="21"/>
        </w:rPr>
      </w:pPr>
      <w:r>
        <w:rPr>
          <w:rFonts w:ascii="宋体" w:hAnsi="宋体"/>
          <w:szCs w:val="21"/>
        </w:rPr>
        <w:t xml:space="preserve">4.4 </w:t>
      </w:r>
      <w:r>
        <w:rPr>
          <w:rFonts w:hint="eastAsia" w:ascii="宋体" w:hAnsi="宋体" w:cs="黑体"/>
          <w:szCs w:val="21"/>
        </w:rPr>
        <w:t>商定或确定</w:t>
      </w:r>
    </w:p>
    <w:p>
      <w:pPr>
        <w:spacing w:line="360" w:lineRule="auto"/>
        <w:ind w:firstLine="420" w:firstLineChars="200"/>
        <w:rPr>
          <w:rFonts w:ascii="宋体" w:hAnsi="宋体"/>
          <w:szCs w:val="21"/>
        </w:rPr>
      </w:pPr>
      <w:bookmarkStart w:id="431" w:name="_Toc267251418"/>
      <w:r>
        <w:rPr>
          <w:rFonts w:hint="eastAsia" w:ascii="宋体" w:hAnsi="宋体" w:cs="仿宋_GB2312"/>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w:t>
      </w:r>
      <w:r>
        <w:rPr>
          <w:rFonts w:ascii="宋体" w:hAnsi="宋体" w:cs="仿宋_GB2312"/>
          <w:szCs w:val="21"/>
          <w:u w:val="single"/>
        </w:rPr>
        <w:t>/</w:t>
      </w:r>
      <w:r>
        <w:rPr>
          <w:rFonts w:hint="eastAsia" w:ascii="宋体" w:hAnsi="宋体" w:cs="仿宋_GB2312"/>
          <w:szCs w:val="21"/>
        </w:rPr>
        <w:t>；</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w:t>
      </w:r>
      <w:r>
        <w:rPr>
          <w:rFonts w:ascii="宋体" w:hAnsi="宋体" w:cs="仿宋_GB2312"/>
          <w:szCs w:val="21"/>
          <w:u w:val="single"/>
        </w:rPr>
        <w:t>/</w:t>
      </w:r>
      <w:r>
        <w:rPr>
          <w:rFonts w:hint="eastAsia" w:ascii="宋体" w:hAnsi="宋体" w:cs="仿宋_GB2312"/>
          <w:szCs w:val="21"/>
        </w:rPr>
        <w:t>；</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3</w:t>
      </w:r>
      <w:r>
        <w:rPr>
          <w:rFonts w:hint="eastAsia" w:ascii="宋体" w:hAnsi="宋体" w:cs="仿宋_GB2312"/>
          <w:szCs w:val="21"/>
        </w:rPr>
        <w:t>）</w:t>
      </w:r>
      <w:r>
        <w:rPr>
          <w:rFonts w:ascii="宋体" w:hAnsi="宋体" w:cs="仿宋_GB2312"/>
          <w:szCs w:val="21"/>
          <w:u w:val="single"/>
        </w:rPr>
        <w:t>/</w:t>
      </w:r>
      <w:r>
        <w:rPr>
          <w:rFonts w:hint="eastAsia" w:ascii="宋体" w:hAnsi="宋体" w:cs="仿宋_GB2312"/>
          <w:szCs w:val="21"/>
        </w:rPr>
        <w:t>。</w:t>
      </w:r>
    </w:p>
    <w:p>
      <w:pPr>
        <w:pStyle w:val="4"/>
        <w:spacing w:before="0" w:after="0" w:line="360" w:lineRule="auto"/>
        <w:ind w:firstLine="118"/>
        <w:rPr>
          <w:rFonts w:ascii="宋体"/>
          <w:szCs w:val="24"/>
        </w:rPr>
      </w:pPr>
      <w:bookmarkStart w:id="432" w:name="_Toc351203637"/>
      <w:r>
        <w:rPr>
          <w:rFonts w:ascii="宋体"/>
          <w:szCs w:val="24"/>
        </w:rPr>
        <w:t>5</w:t>
      </w:r>
      <w:bookmarkEnd w:id="431"/>
      <w:bookmarkStart w:id="433" w:name="_Toc296346664"/>
      <w:bookmarkStart w:id="434" w:name="_Toc296890991"/>
      <w:bookmarkStart w:id="435" w:name="_Toc296347162"/>
      <w:bookmarkStart w:id="436" w:name="_Toc292559872"/>
      <w:bookmarkStart w:id="437" w:name="_Toc297120463"/>
      <w:bookmarkStart w:id="438" w:name="_Toc296891203"/>
      <w:bookmarkStart w:id="439" w:name="_Toc296503163"/>
      <w:bookmarkStart w:id="440" w:name="_Toc297048349"/>
      <w:bookmarkStart w:id="441" w:name="_Toc292559367"/>
      <w:bookmarkStart w:id="442" w:name="_Toc296944502"/>
      <w:r>
        <w:rPr>
          <w:rFonts w:ascii="宋体"/>
          <w:szCs w:val="24"/>
        </w:rPr>
        <w:t xml:space="preserve">. </w:t>
      </w:r>
      <w:r>
        <w:rPr>
          <w:rFonts w:hint="eastAsia" w:ascii="宋体"/>
          <w:szCs w:val="24"/>
        </w:rPr>
        <w:t>工程质量</w:t>
      </w:r>
      <w:bookmarkEnd w:id="432"/>
    </w:p>
    <w:p>
      <w:pPr>
        <w:spacing w:line="360" w:lineRule="auto"/>
        <w:ind w:firstLine="420" w:firstLineChars="200"/>
        <w:rPr>
          <w:rFonts w:ascii="宋体" w:hAnsi="宋体"/>
          <w:szCs w:val="21"/>
        </w:rPr>
      </w:pPr>
      <w:r>
        <w:rPr>
          <w:rFonts w:ascii="宋体" w:hAnsi="宋体"/>
          <w:szCs w:val="21"/>
        </w:rPr>
        <w:t xml:space="preserve">5.1 </w:t>
      </w:r>
      <w:r>
        <w:rPr>
          <w:rFonts w:hint="eastAsia" w:ascii="宋体" w:hAnsi="宋体" w:cs="黑体"/>
          <w:szCs w:val="21"/>
        </w:rPr>
        <w:t>质量要求</w:t>
      </w:r>
    </w:p>
    <w:p>
      <w:pPr>
        <w:spacing w:line="360" w:lineRule="auto"/>
        <w:ind w:firstLine="420" w:firstLineChars="200"/>
        <w:rPr>
          <w:rFonts w:ascii="宋体" w:hAnsi="宋体"/>
          <w:szCs w:val="21"/>
          <w:u w:val="single"/>
        </w:rPr>
      </w:pPr>
      <w:r>
        <w:rPr>
          <w:rFonts w:ascii="宋体" w:hAnsi="宋体"/>
          <w:szCs w:val="21"/>
        </w:rPr>
        <w:t>5</w:t>
      </w:r>
      <w:bookmarkStart w:id="443" w:name="_Toc300934949"/>
      <w:bookmarkStart w:id="444" w:name="_Toc318581164"/>
      <w:bookmarkStart w:id="445" w:name="_Toc297216155"/>
      <w:bookmarkStart w:id="446" w:name="_Toc297123496"/>
      <w:bookmarkStart w:id="447" w:name="_Toc304295527"/>
      <w:bookmarkStart w:id="448" w:name="_Toc303539106"/>
      <w:bookmarkStart w:id="449" w:name="_Toc312677997"/>
      <w:r>
        <w:rPr>
          <w:rFonts w:ascii="宋体" w:hAnsi="宋体"/>
          <w:szCs w:val="21"/>
        </w:rPr>
        <w:t xml:space="preserve">.1.1 </w:t>
      </w:r>
      <w:r>
        <w:rPr>
          <w:rFonts w:hint="eastAsia" w:ascii="宋体" w:hAnsi="宋体" w:cs="仿宋_GB2312"/>
          <w:szCs w:val="21"/>
        </w:rPr>
        <w:t>特殊质量标准和要求：</w:t>
      </w:r>
      <w:r>
        <w:rPr>
          <w:rFonts w:hint="eastAsia" w:ascii="宋体" w:hAnsi="宋体"/>
          <w:szCs w:val="21"/>
          <w:u w:val="single"/>
        </w:rPr>
        <w:t>。</w:t>
      </w:r>
    </w:p>
    <w:p>
      <w:pPr>
        <w:pStyle w:val="17"/>
        <w:spacing w:line="360" w:lineRule="auto"/>
        <w:ind w:firstLine="420" w:firstLineChars="200"/>
        <w:rPr>
          <w:rFonts w:ascii="宋体" w:hAnsi="宋体"/>
          <w:szCs w:val="21"/>
          <w:u w:val="single"/>
        </w:rPr>
      </w:pPr>
      <w:r>
        <w:rPr>
          <w:rFonts w:hint="eastAsia" w:ascii="宋体" w:hAnsi="宋体" w:cs="仿宋_GB2312"/>
          <w:szCs w:val="21"/>
        </w:rPr>
        <w:t>关于工程奖项的约定：</w:t>
      </w:r>
    </w:p>
    <w:p>
      <w:pPr>
        <w:spacing w:line="360" w:lineRule="auto"/>
        <w:ind w:firstLine="420" w:firstLineChars="200"/>
        <w:rPr>
          <w:rFonts w:ascii="宋体" w:hAnsi="宋体"/>
          <w:szCs w:val="21"/>
        </w:rPr>
      </w:pPr>
      <w:r>
        <w:rPr>
          <w:rFonts w:ascii="宋体" w:hAnsi="宋体"/>
          <w:szCs w:val="21"/>
        </w:rPr>
        <w:t xml:space="preserve">5.3 </w:t>
      </w:r>
      <w:r>
        <w:rPr>
          <w:rFonts w:hint="eastAsia" w:ascii="宋体" w:hAnsi="宋体" w:cs="黑体"/>
          <w:szCs w:val="21"/>
        </w:rPr>
        <w:t>隐蔽工程检查</w:t>
      </w:r>
    </w:p>
    <w:p>
      <w:pPr>
        <w:spacing w:line="360" w:lineRule="auto"/>
        <w:ind w:firstLine="420" w:firstLineChars="200"/>
        <w:rPr>
          <w:rFonts w:ascii="宋体" w:hAnsi="宋体"/>
          <w:szCs w:val="21"/>
          <w:u w:val="single"/>
        </w:rPr>
      </w:pPr>
      <w:r>
        <w:rPr>
          <w:rFonts w:ascii="宋体" w:hAnsi="宋体"/>
          <w:szCs w:val="21"/>
        </w:rPr>
        <w:t>5.3.2</w:t>
      </w:r>
      <w:r>
        <w:rPr>
          <w:rFonts w:hint="eastAsia" w:ascii="宋体" w:hAnsi="宋体" w:cs="仿宋_GB2312"/>
          <w:szCs w:val="21"/>
        </w:rPr>
        <w:t>承包人提前通知监理人隐蔽工程检查的期限的约定：</w:t>
      </w:r>
      <w:r>
        <w:rPr>
          <w:rFonts w:hint="eastAsia" w:ascii="宋体" w:hAnsi="宋体" w:cs="仿宋_GB2312"/>
          <w:bCs/>
          <w:szCs w:val="21"/>
          <w:u w:val="single"/>
        </w:rPr>
        <w:t>。</w:t>
      </w:r>
    </w:p>
    <w:p>
      <w:pPr>
        <w:spacing w:line="360" w:lineRule="auto"/>
        <w:ind w:firstLine="420" w:firstLineChars="200"/>
        <w:rPr>
          <w:rFonts w:ascii="宋体" w:hAnsi="宋体"/>
          <w:szCs w:val="21"/>
        </w:rPr>
      </w:pPr>
      <w:r>
        <w:rPr>
          <w:rFonts w:hint="eastAsia" w:ascii="宋体" w:hAnsi="宋体" w:cs="仿宋_GB2312"/>
          <w:szCs w:val="21"/>
        </w:rPr>
        <w:t>监理人不能按时进行检查时，应提前小时提交书面延期要求。</w:t>
      </w:r>
    </w:p>
    <w:p>
      <w:pPr>
        <w:spacing w:line="360" w:lineRule="auto"/>
        <w:ind w:firstLine="420" w:firstLineChars="200"/>
        <w:rPr>
          <w:rFonts w:ascii="宋体" w:hAnsi="宋体"/>
          <w:szCs w:val="21"/>
        </w:rPr>
      </w:pPr>
      <w:r>
        <w:rPr>
          <w:rFonts w:hint="eastAsia" w:ascii="宋体" w:hAnsi="宋体" w:cs="仿宋_GB2312"/>
          <w:szCs w:val="21"/>
        </w:rPr>
        <w:t>关于延期最长不得超过：小时。</w:t>
      </w:r>
    </w:p>
    <w:p>
      <w:pPr>
        <w:pStyle w:val="4"/>
        <w:spacing w:before="0" w:after="0" w:line="360" w:lineRule="auto"/>
        <w:ind w:firstLine="118"/>
        <w:rPr>
          <w:rFonts w:ascii="宋体"/>
          <w:szCs w:val="24"/>
        </w:rPr>
      </w:pPr>
      <w:bookmarkStart w:id="450" w:name="_Toc351203638"/>
      <w:r>
        <w:rPr>
          <w:rFonts w:ascii="宋体"/>
          <w:szCs w:val="24"/>
        </w:rPr>
        <w:t xml:space="preserve">6. </w:t>
      </w:r>
      <w:r>
        <w:rPr>
          <w:rFonts w:hint="eastAsia" w:ascii="宋体"/>
          <w:szCs w:val="24"/>
        </w:rPr>
        <w:t>安全文明施工与环境保护</w:t>
      </w:r>
      <w:bookmarkEnd w:id="450"/>
    </w:p>
    <w:p>
      <w:pPr>
        <w:spacing w:line="360" w:lineRule="auto"/>
        <w:ind w:firstLine="420" w:firstLineChars="200"/>
        <w:rPr>
          <w:rFonts w:ascii="宋体" w:hAnsi="宋体"/>
          <w:szCs w:val="21"/>
        </w:rPr>
      </w:pPr>
      <w:r>
        <w:rPr>
          <w:rFonts w:ascii="宋体" w:hAnsi="宋体"/>
          <w:szCs w:val="21"/>
        </w:rPr>
        <w:t>6.1</w:t>
      </w:r>
      <w:r>
        <w:rPr>
          <w:rFonts w:hint="eastAsia" w:ascii="宋体" w:hAnsi="宋体" w:cs="黑体"/>
          <w:szCs w:val="21"/>
        </w:rPr>
        <w:t>安全文明施工</w:t>
      </w:r>
    </w:p>
    <w:p>
      <w:pPr>
        <w:pStyle w:val="20"/>
        <w:spacing w:line="360" w:lineRule="auto"/>
        <w:ind w:left="63" w:right="63" w:firstLine="420" w:firstLineChars="200"/>
        <w:rPr>
          <w:rFonts w:ascii="宋体" w:hAnsi="宋体" w:cs="仿宋_GB2312"/>
          <w:szCs w:val="21"/>
          <w:u w:val="single"/>
        </w:rPr>
      </w:pPr>
      <w:r>
        <w:rPr>
          <w:rFonts w:ascii="宋体" w:hAnsi="宋体"/>
          <w:szCs w:val="21"/>
        </w:rPr>
        <w:t>6.1.1</w:t>
      </w:r>
      <w:r>
        <w:rPr>
          <w:rFonts w:hint="eastAsia" w:ascii="宋体" w:hAnsi="宋体" w:cs="仿宋_GB2312"/>
          <w:szCs w:val="21"/>
        </w:rPr>
        <w:t>项目安全生产的达标目标及相应事项的约定：。</w:t>
      </w:r>
    </w:p>
    <w:p>
      <w:pPr>
        <w:spacing w:line="360" w:lineRule="auto"/>
        <w:ind w:firstLine="420" w:firstLineChars="200"/>
        <w:rPr>
          <w:rFonts w:ascii="宋体" w:hAnsi="宋体"/>
          <w:szCs w:val="21"/>
        </w:rPr>
      </w:pPr>
      <w:r>
        <w:rPr>
          <w:rFonts w:ascii="宋体" w:hAnsi="宋体"/>
          <w:szCs w:val="21"/>
        </w:rPr>
        <w:t xml:space="preserve">6.1.4 </w:t>
      </w:r>
      <w:r>
        <w:rPr>
          <w:rFonts w:hint="eastAsia" w:ascii="宋体" w:hAnsi="宋体" w:cs="仿宋_GB2312"/>
          <w:szCs w:val="21"/>
        </w:rPr>
        <w:t>关于治安保卫的特别约定：</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仿宋_GB2312"/>
          <w:szCs w:val="21"/>
        </w:rPr>
        <w:t>关于编制施工场地治安管理计划的约定：</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 xml:space="preserve">6.1.5 </w:t>
      </w:r>
      <w:r>
        <w:rPr>
          <w:rFonts w:hint="eastAsia" w:ascii="宋体" w:hAnsi="宋体" w:cs="仿宋_GB2312"/>
          <w:szCs w:val="21"/>
        </w:rPr>
        <w:t>文明施工</w:t>
      </w:r>
    </w:p>
    <w:p>
      <w:pPr>
        <w:pStyle w:val="20"/>
        <w:spacing w:line="360" w:lineRule="auto"/>
        <w:ind w:left="63" w:right="63" w:firstLine="365" w:firstLineChars="174"/>
        <w:rPr>
          <w:rFonts w:ascii="宋体" w:hAnsi="宋体"/>
          <w:szCs w:val="21"/>
          <w:u w:val="single"/>
        </w:rPr>
      </w:pPr>
      <w:r>
        <w:rPr>
          <w:rFonts w:hint="eastAsia" w:ascii="宋体" w:hAnsi="宋体" w:cs="仿宋_GB2312"/>
          <w:szCs w:val="21"/>
        </w:rPr>
        <w:t>合同当事人对文明施工的要求：</w:t>
      </w:r>
      <w:r>
        <w:rPr>
          <w:rFonts w:hint="eastAsia" w:ascii="宋体" w:hAnsi="宋体" w:cs="宋体"/>
          <w:bCs/>
          <w:szCs w:val="21"/>
          <w:u w:val="single"/>
        </w:rPr>
        <w:t xml:space="preserve">                                           。</w:t>
      </w:r>
    </w:p>
    <w:p>
      <w:pPr>
        <w:spacing w:line="360" w:lineRule="auto"/>
        <w:ind w:firstLine="420" w:firstLineChars="200"/>
        <w:rPr>
          <w:rFonts w:ascii="宋体" w:hAnsi="宋体"/>
          <w:szCs w:val="21"/>
          <w:u w:val="single"/>
        </w:rPr>
      </w:pPr>
      <w:r>
        <w:rPr>
          <w:rFonts w:ascii="宋体" w:hAnsi="宋体"/>
          <w:szCs w:val="21"/>
        </w:rPr>
        <w:t xml:space="preserve">6.1.6 </w:t>
      </w:r>
      <w:r>
        <w:rPr>
          <w:rFonts w:hint="eastAsia" w:ascii="宋体" w:hAnsi="宋体" w:cs="仿宋_GB2312"/>
          <w:szCs w:val="21"/>
        </w:rPr>
        <w:t>关于安全文明施工费支付比例和支付期限的约定：</w:t>
      </w:r>
      <w:bookmarkEnd w:id="443"/>
      <w:bookmarkEnd w:id="444"/>
      <w:bookmarkEnd w:id="445"/>
      <w:bookmarkEnd w:id="446"/>
      <w:bookmarkEnd w:id="447"/>
      <w:bookmarkEnd w:id="448"/>
      <w:bookmarkEnd w:id="449"/>
      <w:bookmarkStart w:id="451" w:name="_Toc351203639"/>
      <w:r>
        <w:rPr>
          <w:rFonts w:hint="eastAsia" w:ascii="宋体" w:hAnsi="宋体"/>
          <w:szCs w:val="21"/>
          <w:u w:val="single"/>
        </w:rPr>
        <w:t>。</w:t>
      </w:r>
    </w:p>
    <w:p>
      <w:pPr>
        <w:pStyle w:val="4"/>
        <w:spacing w:before="0" w:after="0" w:line="360" w:lineRule="auto"/>
        <w:ind w:firstLine="118"/>
        <w:rPr>
          <w:rFonts w:ascii="宋体"/>
          <w:szCs w:val="24"/>
        </w:rPr>
      </w:pPr>
      <w:r>
        <w:rPr>
          <w:rFonts w:ascii="宋体"/>
          <w:szCs w:val="24"/>
        </w:rPr>
        <w:t xml:space="preserve">7. </w:t>
      </w:r>
      <w:r>
        <w:rPr>
          <w:rFonts w:hint="eastAsia" w:ascii="宋体"/>
          <w:szCs w:val="24"/>
        </w:rPr>
        <w:t>工期和进度</w:t>
      </w:r>
      <w:bookmarkEnd w:id="451"/>
    </w:p>
    <w:p>
      <w:pPr>
        <w:spacing w:line="360" w:lineRule="auto"/>
        <w:ind w:firstLine="420" w:firstLineChars="200"/>
        <w:rPr>
          <w:rFonts w:ascii="宋体" w:hAnsi="宋体"/>
          <w:bCs/>
          <w:szCs w:val="21"/>
        </w:rPr>
      </w:pPr>
      <w:r>
        <w:rPr>
          <w:rFonts w:ascii="宋体" w:hAnsi="宋体"/>
          <w:bCs/>
          <w:szCs w:val="21"/>
        </w:rPr>
        <w:t xml:space="preserve">7.1 </w:t>
      </w:r>
      <w:r>
        <w:rPr>
          <w:rFonts w:hint="eastAsia" w:ascii="宋体" w:hAnsi="宋体" w:cs="黑体"/>
          <w:bCs/>
          <w:szCs w:val="21"/>
        </w:rPr>
        <w:t>施工组织设计</w:t>
      </w:r>
    </w:p>
    <w:p>
      <w:pPr>
        <w:pStyle w:val="20"/>
        <w:spacing w:line="360" w:lineRule="auto"/>
        <w:ind w:left="63" w:right="63" w:firstLine="365" w:firstLineChars="174"/>
        <w:rPr>
          <w:rFonts w:ascii="宋体" w:hAnsi="宋体" w:cs="仿宋_GB2312"/>
          <w:szCs w:val="21"/>
          <w:u w:val="single"/>
        </w:rPr>
      </w:pPr>
      <w:r>
        <w:rPr>
          <w:rFonts w:ascii="宋体" w:hAnsi="宋体"/>
          <w:szCs w:val="21"/>
        </w:rPr>
        <w:t xml:space="preserve">7.1.1 </w:t>
      </w:r>
      <w:r>
        <w:rPr>
          <w:rFonts w:hint="eastAsia" w:ascii="宋体" w:hAnsi="宋体" w:cs="仿宋_GB2312"/>
          <w:szCs w:val="21"/>
        </w:rPr>
        <w:t>合同当事人约定的施工组织设计应包括的其他内容：</w:t>
      </w:r>
      <w:r>
        <w:rPr>
          <w:rFonts w:ascii="宋体" w:hAnsi="宋体" w:cs="仿宋_GB2312"/>
          <w:szCs w:val="21"/>
          <w:u w:val="single"/>
        </w:rPr>
        <w:t>。</w:t>
      </w:r>
    </w:p>
    <w:p>
      <w:pPr>
        <w:pStyle w:val="20"/>
        <w:spacing w:line="360" w:lineRule="auto"/>
        <w:ind w:left="63" w:right="63" w:firstLine="365" w:firstLineChars="174"/>
        <w:rPr>
          <w:rFonts w:ascii="宋体" w:hAnsi="宋体"/>
          <w:bCs/>
          <w:szCs w:val="21"/>
        </w:rPr>
      </w:pPr>
      <w:r>
        <w:rPr>
          <w:rFonts w:ascii="宋体" w:hAnsi="宋体"/>
          <w:bCs/>
          <w:szCs w:val="21"/>
        </w:rPr>
        <w:t>7.1.2</w:t>
      </w:r>
      <w:r>
        <w:rPr>
          <w:rFonts w:hint="eastAsia" w:ascii="宋体" w:hAnsi="宋体" w:cs="仿宋_GB2312"/>
          <w:bCs/>
          <w:szCs w:val="21"/>
        </w:rPr>
        <w:t>施工组织设计的提交和修改</w:t>
      </w:r>
    </w:p>
    <w:p>
      <w:pPr>
        <w:pStyle w:val="20"/>
        <w:spacing w:line="360" w:lineRule="auto"/>
        <w:ind w:left="63" w:right="63" w:firstLine="365" w:firstLineChars="174"/>
        <w:rPr>
          <w:rFonts w:ascii="宋体" w:hAnsi="宋体"/>
          <w:szCs w:val="21"/>
          <w:u w:val="single"/>
        </w:rPr>
      </w:pPr>
      <w:r>
        <w:rPr>
          <w:rFonts w:hint="eastAsia" w:ascii="宋体" w:hAnsi="宋体" w:cs="仿宋_GB2312"/>
          <w:szCs w:val="21"/>
        </w:rPr>
        <w:t>承包人提交详细施工组织设计的期限的约定：。</w:t>
      </w:r>
    </w:p>
    <w:p>
      <w:pPr>
        <w:spacing w:line="360" w:lineRule="auto"/>
        <w:ind w:firstLine="420" w:firstLineChars="200"/>
        <w:rPr>
          <w:rFonts w:ascii="宋体" w:hAnsi="宋体"/>
          <w:szCs w:val="21"/>
        </w:rPr>
      </w:pPr>
      <w:r>
        <w:rPr>
          <w:rFonts w:hint="eastAsia" w:ascii="宋体" w:hAnsi="宋体" w:cs="仿宋_GB2312"/>
          <w:szCs w:val="21"/>
        </w:rPr>
        <w:t>发包人和监理人在收到详细的施工组织设计后确认或提出修改意见的期限：</w:t>
      </w:r>
      <w:r>
        <w:rPr>
          <w:rFonts w:hint="eastAsia" w:ascii="宋体" w:hAnsi="宋体" w:cs="宋体"/>
          <w:bCs/>
          <w:szCs w:val="21"/>
          <w:u w:val="single"/>
        </w:rPr>
        <w:t>执行通用合同条款。</w:t>
      </w:r>
    </w:p>
    <w:p>
      <w:pPr>
        <w:spacing w:line="360" w:lineRule="auto"/>
        <w:ind w:firstLine="420" w:firstLineChars="200"/>
        <w:rPr>
          <w:rFonts w:ascii="宋体" w:hAnsi="宋体"/>
          <w:szCs w:val="21"/>
        </w:rPr>
      </w:pPr>
      <w:r>
        <w:rPr>
          <w:rFonts w:ascii="宋体" w:hAnsi="宋体"/>
          <w:szCs w:val="21"/>
        </w:rPr>
        <w:t>7</w:t>
      </w:r>
      <w:bookmarkStart w:id="452" w:name="_Toc297216173"/>
      <w:bookmarkStart w:id="453" w:name="_Toc300934966"/>
      <w:bookmarkStart w:id="454" w:name="_Toc297123514"/>
      <w:bookmarkStart w:id="455" w:name="_Toc303539123"/>
      <w:bookmarkStart w:id="456" w:name="_Toc312678005"/>
      <w:bookmarkStart w:id="457" w:name="_Toc304295541"/>
      <w:bookmarkStart w:id="458" w:name="_Toc312677479"/>
      <w:r>
        <w:rPr>
          <w:rFonts w:ascii="宋体" w:hAnsi="宋体"/>
          <w:szCs w:val="21"/>
        </w:rPr>
        <w:t xml:space="preserve">.2 </w:t>
      </w:r>
      <w:r>
        <w:rPr>
          <w:rFonts w:hint="eastAsia" w:ascii="宋体" w:hAnsi="宋体" w:cs="黑体"/>
          <w:szCs w:val="21"/>
        </w:rPr>
        <w:t>施工进度计划</w:t>
      </w:r>
    </w:p>
    <w:p>
      <w:pPr>
        <w:spacing w:line="360" w:lineRule="auto"/>
        <w:ind w:firstLine="420" w:firstLineChars="200"/>
        <w:rPr>
          <w:rFonts w:ascii="宋体" w:hAnsi="宋体"/>
          <w:szCs w:val="21"/>
        </w:rPr>
      </w:pPr>
      <w:r>
        <w:rPr>
          <w:rFonts w:ascii="宋体" w:hAnsi="宋体"/>
          <w:szCs w:val="21"/>
        </w:rPr>
        <w:t xml:space="preserve">7.2.2 </w:t>
      </w:r>
      <w:r>
        <w:rPr>
          <w:rFonts w:hint="eastAsia" w:ascii="宋体" w:hAnsi="宋体" w:cs="仿宋_GB2312"/>
          <w:szCs w:val="21"/>
        </w:rPr>
        <w:t>施工进度计划的修订</w:t>
      </w:r>
    </w:p>
    <w:p>
      <w:pPr>
        <w:spacing w:line="360" w:lineRule="auto"/>
        <w:ind w:firstLine="420" w:firstLineChars="200"/>
        <w:rPr>
          <w:rFonts w:ascii="宋体" w:hAnsi="宋体"/>
          <w:szCs w:val="21"/>
          <w:u w:val="single"/>
        </w:rPr>
      </w:pPr>
      <w:r>
        <w:rPr>
          <w:rFonts w:hint="eastAsia" w:ascii="宋体" w:hAnsi="宋体" w:cs="仿宋_GB2312"/>
          <w:szCs w:val="21"/>
        </w:rPr>
        <w:t>发包人和监理人在收到修订的施工进度计划后确认或提出修改意见的期限：</w:t>
      </w:r>
      <w:r>
        <w:rPr>
          <w:rFonts w:hint="eastAsia" w:ascii="宋体" w:hAnsi="宋体" w:cs="宋体"/>
          <w:bCs/>
          <w:szCs w:val="21"/>
          <w:u w:val="single"/>
        </w:rPr>
        <w:t>执行通用合同条款。</w:t>
      </w:r>
    </w:p>
    <w:p>
      <w:pPr>
        <w:spacing w:line="360" w:lineRule="auto"/>
        <w:ind w:firstLine="420" w:firstLineChars="200"/>
        <w:rPr>
          <w:rFonts w:ascii="宋体" w:hAnsi="宋体"/>
          <w:szCs w:val="21"/>
        </w:rPr>
      </w:pPr>
      <w:r>
        <w:rPr>
          <w:rFonts w:ascii="宋体" w:hAnsi="宋体"/>
          <w:szCs w:val="21"/>
        </w:rPr>
        <w:t xml:space="preserve">7.3 </w:t>
      </w:r>
      <w:r>
        <w:rPr>
          <w:rFonts w:hint="eastAsia" w:ascii="宋体" w:hAnsi="宋体" w:cs="黑体"/>
          <w:szCs w:val="21"/>
        </w:rPr>
        <w:t>开工</w:t>
      </w:r>
    </w:p>
    <w:p>
      <w:pPr>
        <w:spacing w:line="360" w:lineRule="auto"/>
        <w:ind w:firstLine="420" w:firstLineChars="200"/>
        <w:rPr>
          <w:rFonts w:ascii="宋体" w:hAnsi="宋体"/>
          <w:bCs/>
          <w:szCs w:val="21"/>
        </w:rPr>
      </w:pPr>
      <w:r>
        <w:rPr>
          <w:rFonts w:ascii="宋体" w:hAnsi="宋体"/>
          <w:bCs/>
          <w:szCs w:val="21"/>
        </w:rPr>
        <w:t xml:space="preserve">7.3.1 </w:t>
      </w:r>
      <w:r>
        <w:rPr>
          <w:rFonts w:hint="eastAsia" w:ascii="宋体" w:hAnsi="宋体" w:cs="仿宋_GB2312"/>
          <w:bCs/>
          <w:szCs w:val="21"/>
        </w:rPr>
        <w:t>开工准备</w:t>
      </w:r>
    </w:p>
    <w:p>
      <w:pPr>
        <w:spacing w:line="360" w:lineRule="auto"/>
        <w:ind w:firstLine="420" w:firstLineChars="200"/>
        <w:rPr>
          <w:rFonts w:ascii="宋体" w:hAnsi="宋体"/>
          <w:szCs w:val="21"/>
          <w:u w:val="single"/>
        </w:rPr>
      </w:pPr>
      <w:r>
        <w:rPr>
          <w:rFonts w:hint="eastAsia" w:ascii="宋体" w:hAnsi="宋体" w:cs="仿宋_GB2312"/>
          <w:szCs w:val="21"/>
        </w:rPr>
        <w:t>关于承包人提交工程开工报审表的期限：。</w:t>
      </w:r>
    </w:p>
    <w:p>
      <w:pPr>
        <w:spacing w:line="360" w:lineRule="auto"/>
        <w:ind w:firstLine="420" w:firstLineChars="200"/>
        <w:rPr>
          <w:rFonts w:ascii="宋体" w:hAnsi="宋体"/>
          <w:szCs w:val="21"/>
          <w:u w:val="single"/>
        </w:rPr>
      </w:pPr>
      <w:r>
        <w:rPr>
          <w:rFonts w:hint="eastAsia" w:ascii="宋体" w:hAnsi="宋体" w:cs="仿宋_GB2312"/>
          <w:szCs w:val="21"/>
        </w:rPr>
        <w:t>关于发包人应完成的其他开工准备工作及期限：</w:t>
      </w:r>
      <w:r>
        <w:rPr>
          <w:rFonts w:hint="eastAsia" w:ascii="宋体" w:hAnsi="宋体"/>
          <w:szCs w:val="21"/>
          <w:u w:val="single"/>
        </w:rPr>
        <w:t xml:space="preserve">执行通用条款 </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关于承包人应完成的其他开工准备工作及期限：</w:t>
      </w:r>
      <w:r>
        <w:rPr>
          <w:rFonts w:hint="eastAsia" w:ascii="宋体" w:hAnsi="宋体"/>
          <w:szCs w:val="21"/>
          <w:u w:val="single"/>
        </w:rPr>
        <w:t>执行通用条款</w:t>
      </w:r>
      <w:r>
        <w:rPr>
          <w:rFonts w:ascii="宋体" w:hAnsi="宋体"/>
          <w:szCs w:val="21"/>
        </w:rPr>
        <w:t>。</w:t>
      </w:r>
    </w:p>
    <w:p>
      <w:pPr>
        <w:spacing w:line="360" w:lineRule="auto"/>
        <w:ind w:firstLine="420" w:firstLineChars="200"/>
        <w:rPr>
          <w:rFonts w:ascii="宋体" w:hAnsi="宋体"/>
          <w:bCs/>
          <w:szCs w:val="21"/>
        </w:rPr>
      </w:pPr>
      <w:r>
        <w:rPr>
          <w:rFonts w:ascii="宋体" w:hAnsi="宋体"/>
          <w:bCs/>
          <w:szCs w:val="21"/>
        </w:rPr>
        <w:t>7.3.2</w:t>
      </w:r>
      <w:r>
        <w:rPr>
          <w:rFonts w:hint="eastAsia" w:ascii="宋体" w:hAnsi="宋体" w:cs="仿宋_GB2312"/>
          <w:bCs/>
          <w:szCs w:val="21"/>
        </w:rPr>
        <w:t>开工通知</w:t>
      </w:r>
    </w:p>
    <w:p>
      <w:pPr>
        <w:spacing w:line="360" w:lineRule="auto"/>
        <w:ind w:firstLine="420" w:firstLineChars="200"/>
        <w:rPr>
          <w:rFonts w:ascii="宋体" w:hAnsi="宋体"/>
          <w:szCs w:val="21"/>
        </w:rPr>
      </w:pPr>
      <w:r>
        <w:rPr>
          <w:rFonts w:hint="eastAsia" w:ascii="宋体" w:hAnsi="宋体" w:cs="仿宋_GB2312"/>
          <w:szCs w:val="21"/>
        </w:rPr>
        <w:t xml:space="preserve">因发包人原因造成监理人未能在计划开工日期之日起  </w:t>
      </w:r>
      <w:r>
        <w:rPr>
          <w:rFonts w:ascii="宋体" w:hAnsi="宋体"/>
          <w:szCs w:val="21"/>
          <w:u w:val="single"/>
        </w:rPr>
        <w:t xml:space="preserve">/ </w:t>
      </w:r>
      <w:r>
        <w:rPr>
          <w:rFonts w:hint="eastAsia" w:ascii="宋体" w:hAnsi="宋体" w:cs="仿宋_GB2312"/>
          <w:szCs w:val="21"/>
        </w:rPr>
        <w:t>天内发出开工通知的，承包人有权提出价格调整要求，或者解除合同。</w:t>
      </w:r>
    </w:p>
    <w:bookmarkEnd w:id="452"/>
    <w:bookmarkEnd w:id="453"/>
    <w:bookmarkEnd w:id="454"/>
    <w:bookmarkEnd w:id="455"/>
    <w:bookmarkEnd w:id="456"/>
    <w:bookmarkEnd w:id="457"/>
    <w:bookmarkEnd w:id="458"/>
    <w:p>
      <w:pPr>
        <w:spacing w:line="360" w:lineRule="auto"/>
        <w:ind w:firstLine="420" w:firstLineChars="200"/>
        <w:rPr>
          <w:rFonts w:ascii="宋体" w:hAnsi="宋体"/>
          <w:szCs w:val="21"/>
        </w:rPr>
      </w:pPr>
      <w:r>
        <w:rPr>
          <w:rFonts w:ascii="宋体" w:hAnsi="宋体"/>
          <w:szCs w:val="21"/>
        </w:rPr>
        <w:t xml:space="preserve">7.4 </w:t>
      </w:r>
      <w:r>
        <w:rPr>
          <w:rFonts w:hint="eastAsia" w:ascii="宋体" w:hAnsi="宋体" w:cs="黑体"/>
          <w:szCs w:val="21"/>
        </w:rPr>
        <w:t>测量放线</w:t>
      </w:r>
    </w:p>
    <w:p>
      <w:pPr>
        <w:spacing w:line="360" w:lineRule="auto"/>
        <w:ind w:firstLine="420" w:firstLineChars="200"/>
        <w:rPr>
          <w:rFonts w:ascii="宋体" w:hAnsi="宋体"/>
          <w:szCs w:val="21"/>
          <w:u w:val="single"/>
        </w:rPr>
      </w:pPr>
      <w:r>
        <w:rPr>
          <w:rFonts w:ascii="宋体" w:hAnsi="宋体"/>
          <w:szCs w:val="21"/>
        </w:rPr>
        <w:t>7.4.1</w:t>
      </w:r>
      <w:r>
        <w:rPr>
          <w:rFonts w:hint="eastAsia" w:ascii="宋体" w:hAnsi="宋体" w:cs="仿宋_GB2312"/>
          <w:szCs w:val="21"/>
        </w:rPr>
        <w:t>发包人通过监理人向承包人提供测量基准点、基准线和水准点及其书面资料的期限：</w:t>
      </w:r>
      <w:r>
        <w:rPr>
          <w:rFonts w:hint="eastAsia" w:ascii="宋体" w:hAnsi="宋体" w:cs="仿宋_GB2312"/>
          <w:szCs w:val="21"/>
          <w:u w:val="single"/>
        </w:rPr>
        <w:t xml:space="preserve">  执行通用合同条款</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7</w:t>
      </w:r>
      <w:bookmarkStart w:id="459" w:name="_Toc312678010"/>
      <w:bookmarkStart w:id="460" w:name="_Toc297216175"/>
      <w:bookmarkStart w:id="461" w:name="_Toc304295546"/>
      <w:bookmarkStart w:id="462" w:name="_Toc297123516"/>
      <w:bookmarkStart w:id="463" w:name="_Toc303539125"/>
      <w:bookmarkStart w:id="464" w:name="_Toc312677484"/>
      <w:bookmarkStart w:id="465" w:name="_Toc300934968"/>
      <w:r>
        <w:rPr>
          <w:rFonts w:ascii="宋体" w:hAnsi="宋体"/>
          <w:szCs w:val="21"/>
        </w:rPr>
        <w:t xml:space="preserve">.5 </w:t>
      </w:r>
      <w:r>
        <w:rPr>
          <w:rFonts w:hint="eastAsia" w:ascii="宋体" w:hAnsi="宋体" w:cs="黑体"/>
          <w:szCs w:val="21"/>
        </w:rPr>
        <w:t>工期延误</w:t>
      </w:r>
    </w:p>
    <w:bookmarkEnd w:id="459"/>
    <w:bookmarkEnd w:id="460"/>
    <w:bookmarkEnd w:id="461"/>
    <w:bookmarkEnd w:id="462"/>
    <w:bookmarkEnd w:id="463"/>
    <w:bookmarkEnd w:id="464"/>
    <w:bookmarkEnd w:id="465"/>
    <w:p>
      <w:pPr>
        <w:spacing w:line="360" w:lineRule="auto"/>
        <w:ind w:firstLine="420" w:firstLineChars="200"/>
        <w:rPr>
          <w:rFonts w:ascii="宋体" w:hAnsi="宋体"/>
          <w:bCs/>
          <w:szCs w:val="21"/>
        </w:rPr>
      </w:pPr>
      <w:r>
        <w:rPr>
          <w:rFonts w:ascii="宋体" w:hAnsi="宋体"/>
          <w:bCs/>
          <w:szCs w:val="21"/>
        </w:rPr>
        <w:t xml:space="preserve">7.5.1 </w:t>
      </w:r>
      <w:r>
        <w:rPr>
          <w:rFonts w:hint="eastAsia" w:ascii="宋体" w:hAnsi="宋体" w:cs="仿宋_GB2312"/>
          <w:bCs/>
          <w:szCs w:val="21"/>
        </w:rPr>
        <w:t>因发包人原因导致工期延误</w:t>
      </w:r>
    </w:p>
    <w:p>
      <w:pPr>
        <w:pStyle w:val="21"/>
        <w:tabs>
          <w:tab w:val="left" w:pos="1800"/>
        </w:tabs>
        <w:spacing w:line="360" w:lineRule="auto"/>
        <w:rPr>
          <w:rFonts w:ascii="宋体" w:hAnsi="宋体"/>
          <w:szCs w:val="21"/>
          <w:u w:val="single"/>
        </w:rPr>
      </w:pPr>
      <w:r>
        <w:rPr>
          <w:rFonts w:hint="eastAsia" w:ascii="宋体" w:hAnsi="宋体" w:cs="仿宋_GB2312"/>
          <w:szCs w:val="21"/>
        </w:rPr>
        <w:t>因发包人原因导致工期延误的其他情形：</w:t>
      </w:r>
      <w:r>
        <w:rPr>
          <w:rFonts w:ascii="宋体" w:hAnsi="宋体" w:cs="宋体"/>
          <w:b/>
          <w:bCs/>
          <w:szCs w:val="21"/>
          <w:u w:val="single"/>
        </w:rPr>
        <w:t xml:space="preserve">/  </w:t>
      </w:r>
    </w:p>
    <w:p>
      <w:pPr>
        <w:spacing w:line="360" w:lineRule="auto"/>
        <w:ind w:firstLine="420" w:firstLineChars="200"/>
        <w:rPr>
          <w:rFonts w:ascii="宋体" w:hAnsi="宋体"/>
          <w:bCs/>
          <w:szCs w:val="21"/>
        </w:rPr>
      </w:pPr>
      <w:r>
        <w:rPr>
          <w:rFonts w:ascii="宋体" w:hAnsi="宋体"/>
          <w:bCs/>
          <w:szCs w:val="21"/>
        </w:rPr>
        <w:t>7</w:t>
      </w:r>
      <w:bookmarkStart w:id="466" w:name="_Toc318581169"/>
      <w:bookmarkStart w:id="467" w:name="_Toc312678012"/>
      <w:bookmarkStart w:id="468" w:name="_Toc312677486"/>
      <w:bookmarkStart w:id="469" w:name="_Toc300934970"/>
      <w:bookmarkStart w:id="470" w:name="_Toc303539127"/>
      <w:bookmarkStart w:id="471" w:name="_Toc297216177"/>
      <w:bookmarkStart w:id="472" w:name="_Toc304295548"/>
      <w:bookmarkStart w:id="473" w:name="_Toc297123518"/>
      <w:r>
        <w:rPr>
          <w:rFonts w:ascii="宋体" w:hAnsi="宋体"/>
          <w:bCs/>
          <w:szCs w:val="21"/>
        </w:rPr>
        <w:t xml:space="preserve">.5.2 </w:t>
      </w:r>
      <w:r>
        <w:rPr>
          <w:rFonts w:hint="eastAsia" w:ascii="宋体" w:hAnsi="宋体" w:cs="仿宋_GB2312"/>
          <w:bCs/>
          <w:szCs w:val="21"/>
        </w:rPr>
        <w:t>因承包人原因导致工期延误</w:t>
      </w:r>
    </w:p>
    <w:bookmarkEnd w:id="466"/>
    <w:bookmarkEnd w:id="467"/>
    <w:bookmarkEnd w:id="468"/>
    <w:p>
      <w:pPr>
        <w:spacing w:line="360" w:lineRule="auto"/>
        <w:ind w:firstLine="420" w:firstLineChars="200"/>
        <w:rPr>
          <w:rFonts w:ascii="宋体" w:hAnsi="宋体"/>
          <w:szCs w:val="21"/>
          <w:u w:val="single"/>
        </w:rPr>
      </w:pPr>
      <w:r>
        <w:rPr>
          <w:rFonts w:hint="eastAsia" w:ascii="宋体" w:hAnsi="宋体" w:cs="仿宋_GB2312"/>
          <w:szCs w:val="21"/>
        </w:rPr>
        <w:t>因</w:t>
      </w:r>
      <w:bookmarkStart w:id="474" w:name="_Toc312678013"/>
      <w:bookmarkStart w:id="475" w:name="_Toc312677487"/>
      <w:bookmarkStart w:id="476" w:name="_Toc318581170"/>
      <w:r>
        <w:rPr>
          <w:rFonts w:hint="eastAsia" w:ascii="宋体" w:hAnsi="宋体" w:cs="仿宋_GB2312"/>
          <w:szCs w:val="21"/>
        </w:rPr>
        <w:t>承包人原因造成工期延误，逾期竣工违约金的计算方法为：</w:t>
      </w:r>
      <w:bookmarkEnd w:id="469"/>
      <w:bookmarkEnd w:id="470"/>
      <w:bookmarkEnd w:id="471"/>
      <w:bookmarkEnd w:id="472"/>
      <w:bookmarkEnd w:id="473"/>
      <w:bookmarkEnd w:id="474"/>
      <w:bookmarkEnd w:id="475"/>
      <w:bookmarkEnd w:id="476"/>
      <w:r>
        <w:rPr>
          <w:rFonts w:hint="eastAsia" w:ascii="宋体" w:hAnsi="宋体" w:cs="宋体"/>
          <w:szCs w:val="21"/>
          <w:u w:val="single"/>
        </w:rPr>
        <w:t>。</w:t>
      </w:r>
    </w:p>
    <w:p>
      <w:pPr>
        <w:spacing w:line="360" w:lineRule="auto"/>
        <w:ind w:firstLine="420" w:firstLineChars="200"/>
        <w:rPr>
          <w:rFonts w:ascii="宋体" w:hAnsi="宋体" w:cs="宋体"/>
          <w:b/>
          <w:bCs/>
          <w:szCs w:val="21"/>
          <w:u w:val="single"/>
        </w:rPr>
      </w:pPr>
      <w:r>
        <w:rPr>
          <w:rFonts w:hint="eastAsia" w:ascii="宋体" w:hAnsi="宋体" w:cs="仿宋_GB2312"/>
          <w:szCs w:val="21"/>
        </w:rPr>
        <w:t>因承包人原因造成工期延误，逾</w:t>
      </w:r>
      <w:bookmarkStart w:id="477" w:name="_Toc318581171"/>
      <w:bookmarkStart w:id="478" w:name="_Toc312678014"/>
      <w:r>
        <w:rPr>
          <w:rFonts w:hint="eastAsia" w:ascii="宋体" w:hAnsi="宋体" w:cs="仿宋_GB2312"/>
          <w:szCs w:val="21"/>
        </w:rPr>
        <w:t>期竣工违约金的上限：</w:t>
      </w:r>
      <w:r>
        <w:rPr>
          <w:rFonts w:hint="eastAsia" w:ascii="宋体" w:hAnsi="宋体" w:cs="宋体"/>
          <w:szCs w:val="21"/>
          <w:u w:val="single"/>
        </w:rPr>
        <w:t xml:space="preserve">/ </w:t>
      </w:r>
      <w:r>
        <w:rPr>
          <w:rFonts w:hint="eastAsia" w:ascii="宋体" w:hAnsi="宋体" w:cs="宋体"/>
          <w:b/>
          <w:bCs/>
          <w:szCs w:val="21"/>
          <w:u w:val="single"/>
        </w:rPr>
        <w:t xml:space="preserve"> 。 </w:t>
      </w:r>
    </w:p>
    <w:bookmarkEnd w:id="477"/>
    <w:bookmarkEnd w:id="478"/>
    <w:p>
      <w:pPr>
        <w:spacing w:line="360" w:lineRule="auto"/>
        <w:ind w:firstLine="420" w:firstLineChars="200"/>
        <w:rPr>
          <w:rFonts w:ascii="宋体" w:hAnsi="宋体"/>
          <w:szCs w:val="21"/>
        </w:rPr>
      </w:pPr>
      <w:r>
        <w:rPr>
          <w:rFonts w:ascii="宋体" w:hAnsi="宋体"/>
          <w:szCs w:val="21"/>
        </w:rPr>
        <w:t>7</w:t>
      </w:r>
      <w:bookmarkStart w:id="479" w:name="_Toc297216178"/>
      <w:bookmarkStart w:id="480" w:name="_Toc300934971"/>
      <w:bookmarkStart w:id="481" w:name="_Toc304295549"/>
      <w:bookmarkStart w:id="482" w:name="_Toc312678015"/>
      <w:bookmarkStart w:id="483" w:name="_Toc297123519"/>
      <w:bookmarkStart w:id="484" w:name="_Toc303539128"/>
      <w:r>
        <w:rPr>
          <w:rFonts w:ascii="宋体" w:hAnsi="宋体"/>
          <w:szCs w:val="21"/>
        </w:rPr>
        <w:t xml:space="preserve">.6 </w:t>
      </w:r>
      <w:r>
        <w:rPr>
          <w:rFonts w:hint="eastAsia" w:ascii="宋体" w:hAnsi="宋体" w:cs="黑体"/>
          <w:szCs w:val="21"/>
        </w:rPr>
        <w:t>不</w:t>
      </w:r>
      <w:bookmarkEnd w:id="479"/>
      <w:bookmarkEnd w:id="480"/>
      <w:bookmarkEnd w:id="481"/>
      <w:bookmarkEnd w:id="482"/>
      <w:bookmarkEnd w:id="483"/>
      <w:bookmarkEnd w:id="484"/>
      <w:r>
        <w:rPr>
          <w:rFonts w:hint="eastAsia" w:ascii="宋体" w:hAnsi="宋体" w:cs="黑体"/>
          <w:szCs w:val="21"/>
        </w:rPr>
        <w:t>利物质条件</w:t>
      </w:r>
    </w:p>
    <w:p>
      <w:pPr>
        <w:spacing w:line="360" w:lineRule="auto"/>
        <w:ind w:firstLine="420" w:firstLineChars="200"/>
        <w:rPr>
          <w:rFonts w:ascii="宋体" w:hAnsi="宋体"/>
          <w:szCs w:val="21"/>
        </w:rPr>
      </w:pPr>
      <w:bookmarkStart w:id="485" w:name="_Toc300934972"/>
      <w:bookmarkStart w:id="486" w:name="_Toc318581172"/>
      <w:bookmarkStart w:id="487" w:name="_Toc297216179"/>
      <w:bookmarkStart w:id="488" w:name="_Toc303539129"/>
      <w:bookmarkStart w:id="489" w:name="_Toc297123520"/>
      <w:bookmarkStart w:id="490" w:name="_Toc304295550"/>
      <w:bookmarkStart w:id="491" w:name="_Toc312678016"/>
      <w:r>
        <w:rPr>
          <w:rFonts w:hint="eastAsia" w:ascii="宋体" w:hAnsi="宋体" w:cs="仿宋_GB2312"/>
          <w:szCs w:val="21"/>
        </w:rPr>
        <w:t>不利物质条件的范围：</w:t>
      </w:r>
      <w:r>
        <w:rPr>
          <w:rFonts w:hint="eastAsia" w:ascii="宋体" w:hAnsi="宋体"/>
          <w:szCs w:val="21"/>
          <w:u w:val="single"/>
        </w:rPr>
        <w:t>执行通用条款</w:t>
      </w:r>
      <w:r>
        <w:rPr>
          <w:rFonts w:hint="eastAsia" w:ascii="宋体" w:hAnsi="宋体" w:cs="仿宋_GB2312"/>
          <w:szCs w:val="21"/>
        </w:rPr>
        <w:t>。</w:t>
      </w:r>
    </w:p>
    <w:bookmarkEnd w:id="485"/>
    <w:bookmarkEnd w:id="486"/>
    <w:bookmarkEnd w:id="487"/>
    <w:bookmarkEnd w:id="488"/>
    <w:bookmarkEnd w:id="489"/>
    <w:bookmarkEnd w:id="490"/>
    <w:bookmarkEnd w:id="491"/>
    <w:p>
      <w:pPr>
        <w:spacing w:line="360" w:lineRule="auto"/>
        <w:ind w:firstLine="420" w:firstLineChars="200"/>
        <w:rPr>
          <w:rFonts w:ascii="宋体" w:hAnsi="宋体"/>
          <w:szCs w:val="21"/>
        </w:rPr>
      </w:pPr>
      <w:r>
        <w:rPr>
          <w:rFonts w:ascii="宋体" w:hAnsi="宋体"/>
          <w:szCs w:val="21"/>
        </w:rPr>
        <w:t>7</w:t>
      </w:r>
      <w:bookmarkStart w:id="492" w:name="_Toc300934973"/>
      <w:bookmarkStart w:id="493" w:name="_Toc297123521"/>
      <w:bookmarkStart w:id="494" w:name="_Toc303539130"/>
      <w:bookmarkStart w:id="495" w:name="_Toc297216180"/>
      <w:bookmarkStart w:id="496" w:name="_Toc304295551"/>
      <w:bookmarkStart w:id="497" w:name="_Toc312678017"/>
      <w:r>
        <w:rPr>
          <w:rFonts w:ascii="宋体" w:hAnsi="宋体"/>
          <w:szCs w:val="21"/>
        </w:rPr>
        <w:t>.7</w:t>
      </w:r>
      <w:r>
        <w:rPr>
          <w:rFonts w:hint="eastAsia" w:ascii="宋体" w:hAnsi="宋体" w:cs="黑体"/>
          <w:szCs w:val="21"/>
        </w:rPr>
        <w:t>异常恶劣的气候条件</w:t>
      </w:r>
    </w:p>
    <w:bookmarkEnd w:id="492"/>
    <w:bookmarkEnd w:id="493"/>
    <w:bookmarkEnd w:id="494"/>
    <w:bookmarkEnd w:id="495"/>
    <w:bookmarkEnd w:id="496"/>
    <w:bookmarkEnd w:id="497"/>
    <w:p>
      <w:pPr>
        <w:spacing w:line="360" w:lineRule="auto"/>
        <w:ind w:firstLine="420" w:firstLineChars="200"/>
        <w:rPr>
          <w:rFonts w:ascii="宋体" w:hAnsi="宋体"/>
          <w:szCs w:val="21"/>
        </w:rPr>
      </w:pPr>
      <w:r>
        <w:rPr>
          <w:rFonts w:hint="eastAsia" w:ascii="宋体" w:hAnsi="宋体" w:cs="仿宋_GB2312"/>
          <w:szCs w:val="21"/>
        </w:rPr>
        <w:t>发包人和承包人同意以下情形视为异常恶劣的气候条件：</w:t>
      </w:r>
      <w:r>
        <w:rPr>
          <w:rFonts w:hint="eastAsia" w:ascii="宋体" w:hAnsi="宋体"/>
          <w:szCs w:val="21"/>
          <w:u w:val="single"/>
        </w:rPr>
        <w:t>执行相关规定。</w:t>
      </w:r>
    </w:p>
    <w:p>
      <w:pPr>
        <w:spacing w:line="360" w:lineRule="auto"/>
        <w:ind w:firstLine="420" w:firstLineChars="200"/>
        <w:rPr>
          <w:rFonts w:ascii="宋体" w:hAnsi="宋体"/>
          <w:szCs w:val="21"/>
        </w:rPr>
      </w:pPr>
      <w:r>
        <w:rPr>
          <w:rFonts w:ascii="宋体" w:hAnsi="宋体"/>
          <w:szCs w:val="21"/>
        </w:rPr>
        <w:t xml:space="preserve">7.9 </w:t>
      </w:r>
      <w:r>
        <w:rPr>
          <w:rFonts w:hint="eastAsia" w:ascii="宋体" w:hAnsi="宋体" w:cs="黑体"/>
          <w:szCs w:val="21"/>
        </w:rPr>
        <w:t>提前竣工的奖励</w:t>
      </w:r>
    </w:p>
    <w:p>
      <w:pPr>
        <w:spacing w:line="360" w:lineRule="auto"/>
        <w:ind w:firstLine="420" w:firstLineChars="200"/>
        <w:rPr>
          <w:rFonts w:ascii="宋体" w:hAnsi="宋体"/>
          <w:szCs w:val="21"/>
        </w:rPr>
      </w:pPr>
      <w:r>
        <w:rPr>
          <w:rFonts w:ascii="宋体" w:hAnsi="宋体"/>
          <w:szCs w:val="21"/>
        </w:rPr>
        <w:t>7.9.2</w:t>
      </w:r>
      <w:r>
        <w:rPr>
          <w:rFonts w:hint="eastAsia" w:ascii="宋体" w:hAnsi="宋体" w:cs="仿宋_GB2312"/>
          <w:szCs w:val="21"/>
        </w:rPr>
        <w:t>提前竣工的奖励：。</w:t>
      </w:r>
    </w:p>
    <w:p>
      <w:pPr>
        <w:pStyle w:val="4"/>
        <w:spacing w:before="0" w:after="0" w:line="360" w:lineRule="auto"/>
        <w:ind w:firstLine="118"/>
        <w:rPr>
          <w:rFonts w:ascii="宋体"/>
          <w:szCs w:val="24"/>
        </w:rPr>
      </w:pPr>
      <w:bookmarkStart w:id="498" w:name="_Toc351203640"/>
      <w:r>
        <w:rPr>
          <w:rFonts w:ascii="宋体"/>
          <w:szCs w:val="24"/>
        </w:rPr>
        <w:t xml:space="preserve">8. </w:t>
      </w:r>
      <w:r>
        <w:rPr>
          <w:rFonts w:hint="eastAsia" w:ascii="宋体"/>
          <w:szCs w:val="24"/>
        </w:rPr>
        <w:t>材料与设备</w:t>
      </w:r>
      <w:bookmarkEnd w:id="498"/>
    </w:p>
    <w:bookmarkEnd w:id="433"/>
    <w:bookmarkEnd w:id="434"/>
    <w:bookmarkEnd w:id="435"/>
    <w:bookmarkEnd w:id="436"/>
    <w:bookmarkEnd w:id="437"/>
    <w:bookmarkEnd w:id="438"/>
    <w:bookmarkEnd w:id="439"/>
    <w:bookmarkEnd w:id="440"/>
    <w:bookmarkEnd w:id="441"/>
    <w:bookmarkEnd w:id="442"/>
    <w:p>
      <w:pPr>
        <w:spacing w:line="360" w:lineRule="auto"/>
        <w:ind w:firstLine="420" w:firstLineChars="200"/>
        <w:rPr>
          <w:rFonts w:ascii="宋体" w:hAnsi="宋体"/>
          <w:szCs w:val="21"/>
        </w:rPr>
      </w:pPr>
      <w:r>
        <w:rPr>
          <w:rFonts w:ascii="宋体" w:hAnsi="宋体"/>
          <w:szCs w:val="21"/>
        </w:rPr>
        <w:t>8</w:t>
      </w:r>
      <w:bookmarkStart w:id="499" w:name="_Toc297216186"/>
      <w:bookmarkStart w:id="500" w:name="_Toc296347166"/>
      <w:bookmarkStart w:id="501" w:name="_Toc296346668"/>
      <w:bookmarkStart w:id="502" w:name="_Toc304295556"/>
      <w:bookmarkStart w:id="503" w:name="_Toc280868654"/>
      <w:bookmarkStart w:id="504" w:name="_Toc296890995"/>
      <w:bookmarkStart w:id="505" w:name="_Toc297120467"/>
      <w:bookmarkStart w:id="506" w:name="_Toc312677493"/>
      <w:bookmarkStart w:id="507" w:name="_Toc292559877"/>
      <w:bookmarkStart w:id="508" w:name="_Toc300934979"/>
      <w:bookmarkStart w:id="509" w:name="_Toc312678019"/>
      <w:bookmarkStart w:id="510" w:name="_Toc297123527"/>
      <w:bookmarkStart w:id="511" w:name="_Toc296503167"/>
      <w:bookmarkStart w:id="512" w:name="_Toc296891207"/>
      <w:bookmarkStart w:id="513" w:name="_Toc303539136"/>
      <w:bookmarkStart w:id="514" w:name="_Toc297048353"/>
      <w:bookmarkStart w:id="515" w:name="_Toc296944506"/>
      <w:bookmarkStart w:id="516" w:name="_Toc292559372"/>
      <w:bookmarkStart w:id="517" w:name="_Toc280868655"/>
      <w:bookmarkStart w:id="518" w:name="_Toc267251424"/>
      <w:bookmarkStart w:id="519" w:name="_Toc280868656"/>
      <w:r>
        <w:rPr>
          <w:rFonts w:ascii="宋体" w:hAnsi="宋体"/>
          <w:szCs w:val="21"/>
        </w:rPr>
        <w:t>.4</w:t>
      </w:r>
      <w:r>
        <w:rPr>
          <w:rFonts w:hint="eastAsia" w:ascii="宋体" w:hAnsi="宋体" w:cs="黑体"/>
          <w:szCs w:val="21"/>
        </w:rPr>
        <w:t>材料与工程设备的保管与使用</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spacing w:line="360" w:lineRule="auto"/>
        <w:ind w:firstLine="420" w:firstLineChars="200"/>
        <w:rPr>
          <w:rFonts w:ascii="宋体" w:hAnsi="宋体"/>
          <w:szCs w:val="21"/>
          <w:u w:val="single"/>
        </w:rPr>
      </w:pPr>
      <w:r>
        <w:rPr>
          <w:rFonts w:ascii="宋体" w:hAnsi="宋体"/>
          <w:szCs w:val="21"/>
        </w:rPr>
        <w:t>8</w:t>
      </w:r>
      <w:bookmarkStart w:id="520" w:name="_Toc292559373"/>
      <w:bookmarkStart w:id="521" w:name="_Toc292559878"/>
      <w:bookmarkStart w:id="522" w:name="_Toc296890996"/>
      <w:bookmarkStart w:id="523" w:name="_Toc296347167"/>
      <w:bookmarkStart w:id="524" w:name="_Toc297048354"/>
      <w:bookmarkStart w:id="525" w:name="_Toc297123528"/>
      <w:bookmarkStart w:id="526" w:name="_Toc297216187"/>
      <w:bookmarkStart w:id="527" w:name="_Toc312678020"/>
      <w:bookmarkStart w:id="528" w:name="_Toc303539137"/>
      <w:bookmarkStart w:id="529" w:name="_Toc304295557"/>
      <w:bookmarkStart w:id="530" w:name="_Toc312677494"/>
      <w:bookmarkStart w:id="531" w:name="_Toc297120468"/>
      <w:bookmarkStart w:id="532" w:name="_Toc296944507"/>
      <w:bookmarkStart w:id="533" w:name="_Toc296346669"/>
      <w:bookmarkStart w:id="534" w:name="_Toc296503168"/>
      <w:bookmarkStart w:id="535" w:name="_Toc296891208"/>
      <w:bookmarkStart w:id="536" w:name="_Toc300934980"/>
      <w:bookmarkStart w:id="537" w:name="_Toc318581173"/>
      <w:r>
        <w:rPr>
          <w:rFonts w:ascii="宋体" w:hAnsi="宋体"/>
          <w:szCs w:val="21"/>
        </w:rPr>
        <w:t>.4.1</w:t>
      </w:r>
      <w:r>
        <w:rPr>
          <w:rFonts w:hint="eastAsia" w:ascii="宋体" w:hAnsi="宋体" w:cs="仿宋_GB2312"/>
          <w:szCs w:val="21"/>
        </w:rPr>
        <w:t>发包人供应的材料设备的保管费用的承担：。</w:t>
      </w:r>
      <w:bookmarkEnd w:id="520"/>
      <w:bookmarkEnd w:id="521"/>
    </w:p>
    <w:p>
      <w:pPr>
        <w:spacing w:line="360" w:lineRule="auto"/>
        <w:ind w:firstLine="420" w:firstLineChars="200"/>
        <w:rPr>
          <w:rFonts w:ascii="宋体" w:hAnsi="宋体"/>
          <w:szCs w:val="21"/>
        </w:rPr>
      </w:pPr>
      <w:r>
        <w:rPr>
          <w:rFonts w:ascii="宋体" w:hAnsi="宋体"/>
          <w:szCs w:val="21"/>
        </w:rPr>
        <w:t xml:space="preserve">8.6 </w:t>
      </w:r>
      <w:r>
        <w:rPr>
          <w:rFonts w:hint="eastAsia" w:ascii="宋体" w:hAnsi="宋体" w:cs="黑体"/>
          <w:szCs w:val="21"/>
        </w:rPr>
        <w:t>样品</w:t>
      </w:r>
    </w:p>
    <w:p>
      <w:pPr>
        <w:autoSpaceDE w:val="0"/>
        <w:autoSpaceDN w:val="0"/>
        <w:adjustRightInd w:val="0"/>
        <w:spacing w:line="360" w:lineRule="auto"/>
        <w:ind w:firstLine="420" w:firstLineChars="200"/>
        <w:rPr>
          <w:rFonts w:ascii="宋体" w:hAnsi="宋体"/>
          <w:szCs w:val="21"/>
        </w:rPr>
      </w:pPr>
      <w:r>
        <w:rPr>
          <w:rFonts w:ascii="宋体" w:hAnsi="宋体"/>
          <w:szCs w:val="21"/>
        </w:rPr>
        <w:t>8.6.1</w:t>
      </w:r>
      <w:r>
        <w:rPr>
          <w:rFonts w:ascii="宋体" w:hAnsi="宋体"/>
          <w:szCs w:val="21"/>
        </w:rPr>
        <w:tab/>
      </w:r>
      <w:r>
        <w:rPr>
          <w:rFonts w:hint="eastAsia" w:ascii="宋体" w:hAnsi="宋体" w:cs="仿宋_GB2312"/>
          <w:szCs w:val="21"/>
        </w:rPr>
        <w:t>样品的报送与封存</w:t>
      </w:r>
    </w:p>
    <w:p>
      <w:pPr>
        <w:autoSpaceDE w:val="0"/>
        <w:autoSpaceDN w:val="0"/>
        <w:adjustRightInd w:val="0"/>
        <w:spacing w:line="360" w:lineRule="auto"/>
        <w:ind w:firstLine="420" w:firstLineChars="200"/>
        <w:rPr>
          <w:rFonts w:ascii="宋体" w:hAnsi="宋体"/>
          <w:szCs w:val="21"/>
          <w:u w:val="single"/>
        </w:rPr>
      </w:pPr>
      <w:r>
        <w:rPr>
          <w:rFonts w:hint="eastAsia" w:ascii="宋体" w:hAnsi="宋体" w:cs="仿宋_GB2312"/>
          <w:szCs w:val="21"/>
        </w:rPr>
        <w:t>需要承包人报送样品的材料或工程设备，样品的种类、名称、规格、数量要求：</w:t>
      </w:r>
      <w:r>
        <w:rPr>
          <w:rFonts w:hint="eastAsia" w:ascii="宋体" w:hAnsi="宋体"/>
          <w:szCs w:val="21"/>
          <w:u w:val="single"/>
        </w:rPr>
        <w:t>。</w:t>
      </w:r>
    </w:p>
    <w:p>
      <w:pPr>
        <w:spacing w:line="360" w:lineRule="auto"/>
        <w:ind w:firstLine="420" w:firstLineChars="200"/>
        <w:rPr>
          <w:rFonts w:ascii="宋体" w:hAnsi="宋体"/>
          <w:szCs w:val="21"/>
        </w:rPr>
      </w:pPr>
      <w:r>
        <w:rPr>
          <w:rFonts w:ascii="宋体" w:hAnsi="宋体"/>
          <w:szCs w:val="21"/>
        </w:rPr>
        <w:t xml:space="preserve">8.8 </w:t>
      </w:r>
      <w:r>
        <w:rPr>
          <w:rFonts w:hint="eastAsia" w:ascii="宋体" w:hAnsi="宋体" w:cs="黑体"/>
          <w:szCs w:val="21"/>
        </w:rPr>
        <w:t>施工设备和临时设施</w:t>
      </w:r>
    </w:p>
    <w:p>
      <w:pPr>
        <w:autoSpaceDE w:val="0"/>
        <w:autoSpaceDN w:val="0"/>
        <w:adjustRightInd w:val="0"/>
        <w:spacing w:line="360" w:lineRule="auto"/>
        <w:ind w:firstLine="420" w:firstLineChars="200"/>
        <w:rPr>
          <w:rFonts w:ascii="宋体" w:hAnsi="宋体"/>
          <w:szCs w:val="21"/>
        </w:rPr>
      </w:pPr>
      <w:r>
        <w:rPr>
          <w:rFonts w:ascii="宋体" w:hAnsi="宋体"/>
          <w:szCs w:val="21"/>
        </w:rPr>
        <w:t xml:space="preserve">8.8.1 </w:t>
      </w:r>
      <w:r>
        <w:rPr>
          <w:rFonts w:hint="eastAsia" w:ascii="宋体" w:hAnsi="宋体" w:cs="仿宋_GB2312"/>
          <w:szCs w:val="21"/>
        </w:rPr>
        <w:t>承包人提供的施工设备和临时设施</w:t>
      </w:r>
    </w:p>
    <w:p>
      <w:pPr>
        <w:autoSpaceDE w:val="0"/>
        <w:autoSpaceDN w:val="0"/>
        <w:adjustRightInd w:val="0"/>
        <w:spacing w:line="360" w:lineRule="auto"/>
        <w:ind w:firstLine="420" w:firstLineChars="200"/>
        <w:rPr>
          <w:rFonts w:ascii="宋体" w:hAnsi="宋体"/>
          <w:szCs w:val="21"/>
          <w:u w:val="single"/>
        </w:rPr>
      </w:pPr>
      <w:r>
        <w:rPr>
          <w:rFonts w:hint="eastAsia" w:ascii="宋体" w:hAnsi="宋体" w:cs="仿宋_GB2312"/>
          <w:szCs w:val="21"/>
        </w:rPr>
        <w:t>关于修建临时设施费用承担的约定：。</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pStyle w:val="4"/>
        <w:spacing w:before="0" w:after="0" w:line="360" w:lineRule="auto"/>
        <w:ind w:firstLine="118"/>
        <w:rPr>
          <w:rFonts w:ascii="宋体"/>
          <w:szCs w:val="24"/>
        </w:rPr>
      </w:pPr>
      <w:bookmarkStart w:id="538" w:name="_Toc351203641"/>
      <w:r>
        <w:rPr>
          <w:rFonts w:ascii="宋体"/>
          <w:szCs w:val="24"/>
        </w:rPr>
        <w:t>9</w:t>
      </w:r>
      <w:bookmarkEnd w:id="517"/>
      <w:bookmarkEnd w:id="518"/>
      <w:bookmarkEnd w:id="519"/>
      <w:bookmarkStart w:id="539" w:name="_Toc312678021"/>
      <w:bookmarkStart w:id="540" w:name="_Toc304295559"/>
      <w:bookmarkStart w:id="541" w:name="_Toc300934982"/>
      <w:bookmarkStart w:id="542" w:name="_Toc297123533"/>
      <w:bookmarkStart w:id="543" w:name="_Toc312677495"/>
      <w:bookmarkStart w:id="544" w:name="_Toc297216192"/>
      <w:bookmarkStart w:id="545" w:name="_Toc303539139"/>
      <w:bookmarkStart w:id="546" w:name="_Toc296891001"/>
      <w:bookmarkStart w:id="547" w:name="_Toc267251427"/>
      <w:bookmarkStart w:id="548" w:name="_Toc292559378"/>
      <w:bookmarkStart w:id="549" w:name="_Toc297120473"/>
      <w:bookmarkStart w:id="550" w:name="_Toc297048359"/>
      <w:bookmarkStart w:id="551" w:name="_Toc292559883"/>
      <w:bookmarkStart w:id="552" w:name="_Toc296503173"/>
      <w:bookmarkStart w:id="553" w:name="_Toc296347172"/>
      <w:bookmarkStart w:id="554" w:name="_Toc267251428"/>
      <w:bookmarkStart w:id="555" w:name="_Toc296346674"/>
      <w:bookmarkStart w:id="556" w:name="_Toc296944512"/>
      <w:bookmarkStart w:id="557" w:name="_Toc296891213"/>
      <w:r>
        <w:rPr>
          <w:rFonts w:ascii="宋体"/>
          <w:szCs w:val="24"/>
        </w:rPr>
        <w:t xml:space="preserve">. </w:t>
      </w:r>
      <w:r>
        <w:rPr>
          <w:rFonts w:hint="eastAsia" w:ascii="宋体"/>
          <w:szCs w:val="24"/>
        </w:rPr>
        <w:t>试验与检验</w:t>
      </w:r>
      <w:bookmarkEnd w:id="538"/>
    </w:p>
    <w:bookmarkEnd w:id="539"/>
    <w:bookmarkEnd w:id="540"/>
    <w:bookmarkEnd w:id="541"/>
    <w:bookmarkEnd w:id="542"/>
    <w:bookmarkEnd w:id="543"/>
    <w:bookmarkEnd w:id="544"/>
    <w:bookmarkEnd w:id="545"/>
    <w:p>
      <w:pPr>
        <w:spacing w:line="360" w:lineRule="auto"/>
        <w:ind w:firstLine="420" w:firstLineChars="200"/>
        <w:rPr>
          <w:rFonts w:ascii="宋体" w:hAnsi="宋体"/>
          <w:szCs w:val="21"/>
        </w:rPr>
      </w:pPr>
      <w:r>
        <w:rPr>
          <w:rFonts w:ascii="宋体" w:hAnsi="宋体"/>
          <w:szCs w:val="21"/>
        </w:rPr>
        <w:t>9</w:t>
      </w:r>
      <w:bookmarkStart w:id="558" w:name="_Toc300934983"/>
      <w:bookmarkStart w:id="559" w:name="_Toc304295560"/>
      <w:bookmarkStart w:id="560" w:name="_Toc303539140"/>
      <w:bookmarkStart w:id="561" w:name="_Toc297216193"/>
      <w:bookmarkStart w:id="562" w:name="_Toc312677496"/>
      <w:bookmarkStart w:id="563" w:name="_Toc312678022"/>
      <w:bookmarkStart w:id="564" w:name="_Toc297123534"/>
      <w:r>
        <w:rPr>
          <w:rFonts w:ascii="宋体" w:hAnsi="宋体"/>
          <w:szCs w:val="21"/>
        </w:rPr>
        <w:t>.1</w:t>
      </w:r>
      <w:r>
        <w:rPr>
          <w:rFonts w:hint="eastAsia" w:ascii="宋体" w:hAnsi="宋体" w:cs="黑体"/>
          <w:szCs w:val="21"/>
        </w:rPr>
        <w:t>试验设备与试验人员</w:t>
      </w:r>
    </w:p>
    <w:bookmarkEnd w:id="558"/>
    <w:bookmarkEnd w:id="559"/>
    <w:bookmarkEnd w:id="560"/>
    <w:bookmarkEnd w:id="561"/>
    <w:bookmarkEnd w:id="562"/>
    <w:bookmarkEnd w:id="563"/>
    <w:bookmarkEnd w:id="564"/>
    <w:p>
      <w:pPr>
        <w:spacing w:line="360" w:lineRule="auto"/>
        <w:ind w:firstLine="420" w:firstLineChars="200"/>
        <w:rPr>
          <w:rFonts w:ascii="宋体" w:hAnsi="宋体"/>
          <w:szCs w:val="21"/>
        </w:rPr>
      </w:pPr>
      <w:r>
        <w:rPr>
          <w:rFonts w:ascii="宋体" w:hAnsi="宋体"/>
          <w:szCs w:val="21"/>
        </w:rPr>
        <w:t>9</w:t>
      </w:r>
      <w:bookmarkStart w:id="565" w:name="_Toc312677497"/>
      <w:bookmarkStart w:id="566" w:name="_Toc300934984"/>
      <w:bookmarkStart w:id="567" w:name="_Toc304295561"/>
      <w:bookmarkStart w:id="568" w:name="_Toc297216194"/>
      <w:bookmarkStart w:id="569" w:name="_Toc297123535"/>
      <w:bookmarkStart w:id="570" w:name="_Toc303539141"/>
      <w:bookmarkStart w:id="571" w:name="_Toc312678023"/>
      <w:bookmarkStart w:id="572" w:name="_Toc318581174"/>
      <w:r>
        <w:rPr>
          <w:rFonts w:ascii="宋体" w:hAnsi="宋体"/>
          <w:szCs w:val="21"/>
        </w:rPr>
        <w:t xml:space="preserve">.1.2 </w:t>
      </w:r>
      <w:r>
        <w:rPr>
          <w:rFonts w:hint="eastAsia" w:ascii="宋体" w:hAnsi="宋体" w:cs="仿宋_GB2312"/>
          <w:szCs w:val="21"/>
        </w:rPr>
        <w:t>试验设备</w:t>
      </w:r>
    </w:p>
    <w:p>
      <w:pPr>
        <w:spacing w:line="360" w:lineRule="auto"/>
        <w:ind w:firstLine="420" w:firstLineChars="200"/>
        <w:rPr>
          <w:rFonts w:ascii="宋体" w:hAnsi="宋体"/>
          <w:szCs w:val="21"/>
        </w:rPr>
      </w:pPr>
      <w:r>
        <w:rPr>
          <w:rFonts w:hint="eastAsia" w:ascii="宋体" w:hAnsi="宋体" w:cs="仿宋_GB2312"/>
          <w:szCs w:val="21"/>
        </w:rPr>
        <w:t>施工现场需要配置的试验场所：</w:t>
      </w:r>
      <w:bookmarkEnd w:id="565"/>
      <w:bookmarkEnd w:id="566"/>
      <w:bookmarkEnd w:id="567"/>
      <w:bookmarkEnd w:id="568"/>
      <w:bookmarkEnd w:id="569"/>
      <w:bookmarkEnd w:id="570"/>
      <w:bookmarkEnd w:id="571"/>
      <w:bookmarkStart w:id="573" w:name="_Toc297123536"/>
      <w:bookmarkStart w:id="574" w:name="_Toc303539142"/>
      <w:bookmarkStart w:id="575" w:name="_Toc312678024"/>
      <w:bookmarkStart w:id="576" w:name="_Toc300934985"/>
      <w:bookmarkStart w:id="577" w:name="_Toc304295562"/>
      <w:bookmarkStart w:id="578" w:name="_Toc312677498"/>
      <w:bookmarkStart w:id="579" w:name="_Toc297216195"/>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施工现场需要配备的试验设备：</w:t>
      </w:r>
      <w:r>
        <w:rPr>
          <w:rFonts w:ascii="宋体" w:hAnsi="宋体"/>
          <w:szCs w:val="21"/>
        </w:rPr>
        <w:t>。</w:t>
      </w:r>
    </w:p>
    <w:p>
      <w:pPr>
        <w:spacing w:line="360" w:lineRule="auto"/>
        <w:ind w:firstLine="420" w:firstLineChars="200"/>
        <w:rPr>
          <w:rFonts w:ascii="宋体" w:hAnsi="宋体"/>
          <w:szCs w:val="21"/>
          <w:u w:val="single"/>
        </w:rPr>
      </w:pPr>
      <w:r>
        <w:rPr>
          <w:rFonts w:hint="eastAsia" w:ascii="宋体" w:hAnsi="宋体" w:cs="仿宋_GB2312"/>
          <w:szCs w:val="21"/>
        </w:rPr>
        <w:t>施工现场需要具备的其他试验条件：</w:t>
      </w:r>
      <w:r>
        <w:rPr>
          <w:rFonts w:hint="eastAsia" w:ascii="宋体" w:hAnsi="宋体"/>
          <w:szCs w:val="21"/>
          <w:u w:val="single"/>
        </w:rPr>
        <w:t>执行通用条款</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9.4 </w:t>
      </w:r>
      <w:r>
        <w:rPr>
          <w:rFonts w:hint="eastAsia" w:ascii="宋体" w:hAnsi="宋体" w:cs="黑体"/>
          <w:szCs w:val="21"/>
        </w:rPr>
        <w:t>现场工艺试验</w:t>
      </w:r>
    </w:p>
    <w:p>
      <w:pPr>
        <w:spacing w:line="360" w:lineRule="auto"/>
        <w:ind w:firstLine="420" w:firstLineChars="200"/>
        <w:rPr>
          <w:rFonts w:ascii="宋体" w:hAnsi="宋体"/>
          <w:szCs w:val="21"/>
        </w:rPr>
      </w:pPr>
      <w:r>
        <w:rPr>
          <w:rFonts w:hint="eastAsia" w:ascii="宋体" w:hAnsi="宋体" w:cs="仿宋_GB2312"/>
          <w:szCs w:val="21"/>
        </w:rPr>
        <w:t>现场工艺试验的有关约定：</w:t>
      </w:r>
      <w:r>
        <w:rPr>
          <w:rFonts w:hint="eastAsia" w:ascii="宋体" w:hAnsi="宋体"/>
          <w:szCs w:val="21"/>
          <w:u w:val="single"/>
        </w:rPr>
        <w:t>。</w:t>
      </w:r>
    </w:p>
    <w:bookmarkEnd w:id="572"/>
    <w:bookmarkEnd w:id="573"/>
    <w:bookmarkEnd w:id="574"/>
    <w:bookmarkEnd w:id="575"/>
    <w:bookmarkEnd w:id="576"/>
    <w:bookmarkEnd w:id="577"/>
    <w:bookmarkEnd w:id="578"/>
    <w:bookmarkEnd w:id="579"/>
    <w:p>
      <w:pPr>
        <w:pStyle w:val="4"/>
        <w:spacing w:before="0" w:after="0" w:line="360" w:lineRule="auto"/>
        <w:ind w:firstLine="118"/>
        <w:rPr>
          <w:rFonts w:ascii="宋体"/>
          <w:szCs w:val="24"/>
        </w:rPr>
      </w:pPr>
      <w:bookmarkStart w:id="580" w:name="_Toc351203642"/>
      <w:r>
        <w:rPr>
          <w:rFonts w:ascii="宋体"/>
          <w:szCs w:val="24"/>
        </w:rPr>
        <w:t>1</w:t>
      </w:r>
      <w:bookmarkEnd w:id="546"/>
      <w:bookmarkEnd w:id="547"/>
      <w:bookmarkEnd w:id="548"/>
      <w:bookmarkEnd w:id="549"/>
      <w:bookmarkEnd w:id="550"/>
      <w:bookmarkEnd w:id="551"/>
      <w:bookmarkEnd w:id="552"/>
      <w:bookmarkEnd w:id="553"/>
      <w:bookmarkEnd w:id="554"/>
      <w:bookmarkEnd w:id="555"/>
      <w:bookmarkEnd w:id="556"/>
      <w:bookmarkEnd w:id="557"/>
      <w:bookmarkStart w:id="581" w:name="_Toc297048379"/>
      <w:bookmarkStart w:id="582" w:name="_Toc300934989"/>
      <w:bookmarkStart w:id="583" w:name="_Toc292559903"/>
      <w:bookmarkStart w:id="584" w:name="_Toc303539146"/>
      <w:bookmarkStart w:id="585" w:name="_Toc296346694"/>
      <w:bookmarkStart w:id="586" w:name="_Toc296347192"/>
      <w:bookmarkStart w:id="587" w:name="_Toc296891233"/>
      <w:bookmarkStart w:id="588" w:name="_Toc296944532"/>
      <w:bookmarkStart w:id="589" w:name="_Toc297216199"/>
      <w:bookmarkStart w:id="590" w:name="_Toc296891021"/>
      <w:bookmarkStart w:id="591" w:name="_Toc304295566"/>
      <w:bookmarkStart w:id="592" w:name="_Toc297123540"/>
      <w:bookmarkStart w:id="593" w:name="_Toc296503193"/>
      <w:bookmarkStart w:id="594" w:name="_Toc292559398"/>
      <w:bookmarkStart w:id="595" w:name="_Toc297120493"/>
      <w:bookmarkStart w:id="596" w:name="_Toc312677499"/>
      <w:bookmarkStart w:id="597" w:name="_Toc312678025"/>
      <w:bookmarkStart w:id="598" w:name="_Toc267251433"/>
      <w:bookmarkStart w:id="599" w:name="_Toc267251435"/>
      <w:bookmarkStart w:id="600" w:name="_Toc267251440"/>
      <w:bookmarkStart w:id="601" w:name="_Toc267251437"/>
      <w:bookmarkStart w:id="602" w:name="_Toc267251439"/>
      <w:bookmarkStart w:id="603" w:name="_Toc267251441"/>
      <w:bookmarkStart w:id="604" w:name="_Toc267251442"/>
      <w:r>
        <w:rPr>
          <w:rFonts w:ascii="宋体"/>
          <w:szCs w:val="24"/>
        </w:rPr>
        <w:t xml:space="preserve">0. </w:t>
      </w:r>
      <w:r>
        <w:rPr>
          <w:rFonts w:hint="eastAsia" w:ascii="宋体"/>
          <w:szCs w:val="24"/>
        </w:rPr>
        <w:t>变更</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bookmarkEnd w:id="596"/>
    <w:bookmarkEnd w:id="597"/>
    <w:p>
      <w:pPr>
        <w:spacing w:line="360" w:lineRule="auto"/>
        <w:ind w:firstLine="420" w:firstLineChars="200"/>
        <w:rPr>
          <w:rFonts w:ascii="宋体" w:hAnsi="宋体"/>
          <w:szCs w:val="21"/>
        </w:rPr>
      </w:pPr>
      <w:r>
        <w:rPr>
          <w:rFonts w:ascii="宋体" w:hAnsi="宋体"/>
          <w:szCs w:val="21"/>
        </w:rPr>
        <w:t>1</w:t>
      </w:r>
      <w:bookmarkStart w:id="605" w:name="_Toc312678026"/>
      <w:bookmarkStart w:id="606" w:name="_Toc297120494"/>
      <w:bookmarkStart w:id="607" w:name="_Toc297216200"/>
      <w:bookmarkStart w:id="608" w:name="_Toc296503194"/>
      <w:bookmarkStart w:id="609" w:name="_Toc296944533"/>
      <w:bookmarkStart w:id="610" w:name="_Toc312677500"/>
      <w:bookmarkStart w:id="611" w:name="_Toc296891022"/>
      <w:bookmarkStart w:id="612" w:name="_Toc292559904"/>
      <w:bookmarkStart w:id="613" w:name="_Toc292559399"/>
      <w:bookmarkStart w:id="614" w:name="_Toc304295567"/>
      <w:bookmarkStart w:id="615" w:name="_Toc296891234"/>
      <w:bookmarkStart w:id="616" w:name="_Toc297123541"/>
      <w:bookmarkStart w:id="617" w:name="_Toc303539147"/>
      <w:bookmarkStart w:id="618" w:name="_Toc296347193"/>
      <w:bookmarkStart w:id="619" w:name="_Toc296346695"/>
      <w:bookmarkStart w:id="620" w:name="_Toc297048380"/>
      <w:bookmarkStart w:id="621" w:name="_Toc300934990"/>
      <w:r>
        <w:rPr>
          <w:rFonts w:ascii="宋体" w:hAnsi="宋体"/>
          <w:szCs w:val="21"/>
        </w:rPr>
        <w:t>0.1</w:t>
      </w:r>
      <w:r>
        <w:rPr>
          <w:rFonts w:hint="eastAsia" w:ascii="宋体" w:hAnsi="宋体" w:cs="黑体"/>
          <w:szCs w:val="21"/>
        </w:rPr>
        <w:t>变更的范围</w:t>
      </w:r>
    </w:p>
    <w:p>
      <w:pPr>
        <w:spacing w:line="360" w:lineRule="auto"/>
        <w:ind w:firstLine="420" w:firstLineChars="200"/>
        <w:rPr>
          <w:rFonts w:ascii="宋体" w:hAnsi="宋体"/>
          <w:szCs w:val="21"/>
          <w:u w:val="single"/>
        </w:rPr>
      </w:pPr>
      <w:r>
        <w:rPr>
          <w:rFonts w:hint="eastAsia" w:ascii="宋体" w:hAnsi="宋体" w:cs="仿宋_GB2312"/>
          <w:szCs w:val="21"/>
        </w:rPr>
        <w:t>关于变更的范围的约定：。</w:t>
      </w:r>
    </w:p>
    <w:p>
      <w:pPr>
        <w:spacing w:line="360" w:lineRule="auto"/>
        <w:ind w:firstLine="420" w:firstLineChars="200"/>
        <w:rPr>
          <w:rFonts w:ascii="宋体" w:hAnsi="宋体"/>
          <w:szCs w:val="21"/>
        </w:rPr>
      </w:pPr>
      <w:r>
        <w:rPr>
          <w:rFonts w:ascii="宋体" w:hAnsi="宋体"/>
          <w:szCs w:val="21"/>
        </w:rPr>
        <w:t xml:space="preserve">10.4 </w:t>
      </w:r>
      <w:r>
        <w:rPr>
          <w:rFonts w:hint="eastAsia" w:ascii="宋体" w:hAnsi="宋体" w:cs="黑体"/>
          <w:szCs w:val="21"/>
        </w:rPr>
        <w:t>变更估价</w:t>
      </w:r>
    </w:p>
    <w:p>
      <w:pPr>
        <w:spacing w:line="360" w:lineRule="auto"/>
        <w:ind w:firstLine="420" w:firstLineChars="200"/>
        <w:rPr>
          <w:rFonts w:ascii="宋体" w:hAnsi="宋体"/>
          <w:szCs w:val="21"/>
        </w:rPr>
      </w:pPr>
      <w:r>
        <w:rPr>
          <w:rFonts w:ascii="宋体" w:hAnsi="宋体"/>
          <w:szCs w:val="21"/>
        </w:rPr>
        <w:t xml:space="preserve">10.4.1 </w:t>
      </w:r>
      <w:r>
        <w:rPr>
          <w:rFonts w:hint="eastAsia" w:ascii="宋体" w:hAnsi="宋体" w:cs="仿宋_GB2312"/>
          <w:szCs w:val="21"/>
        </w:rPr>
        <w:t>变更估价原则</w:t>
      </w:r>
    </w:p>
    <w:p>
      <w:pPr>
        <w:spacing w:line="360" w:lineRule="auto"/>
        <w:ind w:firstLine="420" w:firstLineChars="200"/>
        <w:rPr>
          <w:rFonts w:ascii="宋体" w:hAnsi="宋体"/>
          <w:szCs w:val="21"/>
          <w:u w:val="single"/>
        </w:rPr>
      </w:pPr>
      <w:r>
        <w:rPr>
          <w:rFonts w:hint="eastAsia" w:ascii="宋体" w:hAnsi="宋体" w:cs="仿宋_GB2312"/>
          <w:szCs w:val="21"/>
        </w:rPr>
        <w:t>关于变更估价的约定</w:t>
      </w:r>
      <w:r>
        <w:rPr>
          <w:rFonts w:ascii="宋体" w:hAnsi="宋体"/>
          <w:szCs w:val="21"/>
        </w:rPr>
        <w:t>:</w:t>
      </w:r>
      <w:r>
        <w:rPr>
          <w:rFonts w:hint="eastAsia" w:ascii="宋体" w:hAnsi="宋体"/>
          <w:szCs w:val="21"/>
          <w:u w:val="single"/>
        </w:rPr>
        <w:t>。</w:t>
      </w:r>
    </w:p>
    <w:p>
      <w:pPr>
        <w:spacing w:line="360" w:lineRule="auto"/>
        <w:ind w:firstLine="420" w:firstLineChars="200"/>
        <w:rPr>
          <w:rFonts w:ascii="宋体" w:hAnsi="宋体"/>
          <w:szCs w:val="21"/>
        </w:rPr>
      </w:pPr>
      <w:r>
        <w:rPr>
          <w:rFonts w:ascii="宋体" w:hAnsi="宋体"/>
          <w:szCs w:val="21"/>
        </w:rPr>
        <w:t>1</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Start w:id="622" w:name="_Toc297120497"/>
      <w:bookmarkStart w:id="623" w:name="_Toc303539150"/>
      <w:bookmarkStart w:id="624" w:name="_Toc296503197"/>
      <w:bookmarkStart w:id="625" w:name="_Toc300934993"/>
      <w:bookmarkStart w:id="626" w:name="_Toc296891025"/>
      <w:bookmarkStart w:id="627" w:name="_Toc296944536"/>
      <w:bookmarkStart w:id="628" w:name="_Toc296347196"/>
      <w:bookmarkStart w:id="629" w:name="_Toc297048383"/>
      <w:bookmarkStart w:id="630" w:name="_Toc296891237"/>
      <w:bookmarkStart w:id="631" w:name="_Toc296346698"/>
      <w:bookmarkStart w:id="632" w:name="_Toc292559402"/>
      <w:bookmarkStart w:id="633" w:name="_Toc297216203"/>
      <w:bookmarkStart w:id="634" w:name="_Toc292559907"/>
      <w:bookmarkStart w:id="635" w:name="_Toc297123544"/>
      <w:bookmarkStart w:id="636" w:name="_Toc304295570"/>
      <w:bookmarkStart w:id="637" w:name="_Toc312677503"/>
      <w:bookmarkStart w:id="638" w:name="_Toc312678029"/>
      <w:r>
        <w:rPr>
          <w:rFonts w:ascii="宋体" w:hAnsi="宋体"/>
          <w:szCs w:val="21"/>
        </w:rPr>
        <w:t>0.5</w:t>
      </w:r>
      <w:r>
        <w:rPr>
          <w:rFonts w:hint="eastAsia" w:ascii="宋体" w:hAnsi="宋体" w:cs="黑体"/>
          <w:szCs w:val="21"/>
        </w:rPr>
        <w:t>承</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Start w:id="639" w:name="_Toc296891031"/>
      <w:bookmarkStart w:id="640" w:name="_Toc296347202"/>
      <w:bookmarkStart w:id="641" w:name="_Toc297123545"/>
      <w:bookmarkStart w:id="642" w:name="_Toc297216204"/>
      <w:bookmarkStart w:id="643" w:name="_Toc296346704"/>
      <w:bookmarkStart w:id="644" w:name="_Toc303539151"/>
      <w:bookmarkStart w:id="645" w:name="_Toc297120503"/>
      <w:bookmarkStart w:id="646" w:name="_Toc292559913"/>
      <w:bookmarkStart w:id="647" w:name="_Toc296891243"/>
      <w:bookmarkStart w:id="648" w:name="_Toc297048389"/>
      <w:bookmarkStart w:id="649" w:name="_Toc296944542"/>
      <w:bookmarkStart w:id="650" w:name="_Toc300934994"/>
      <w:bookmarkStart w:id="651" w:name="_Toc292559408"/>
      <w:bookmarkStart w:id="652" w:name="_Toc296503203"/>
      <w:r>
        <w:rPr>
          <w:rFonts w:hint="eastAsia" w:ascii="宋体" w:hAnsi="宋体" w:cs="黑体"/>
          <w:szCs w:val="21"/>
        </w:rPr>
        <w:t>包人的合理化建议</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Pr>
        <w:spacing w:line="360" w:lineRule="auto"/>
        <w:ind w:firstLine="420" w:firstLineChars="200"/>
        <w:rPr>
          <w:rFonts w:ascii="宋体" w:hAnsi="宋体"/>
          <w:szCs w:val="21"/>
        </w:rPr>
      </w:pPr>
      <w:r>
        <w:rPr>
          <w:rFonts w:hint="eastAsia" w:ascii="宋体" w:hAnsi="宋体" w:cs="仿宋_GB2312"/>
          <w:szCs w:val="21"/>
        </w:rPr>
        <w:t>监理人审查承包人合理化建议的期限：</w:t>
      </w:r>
      <w:r>
        <w:rPr>
          <w:rFonts w:hint="eastAsia" w:ascii="宋体" w:hAnsi="宋体"/>
          <w:szCs w:val="21"/>
          <w:u w:val="single"/>
        </w:rPr>
        <w:t>执行通用合同条款</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发包人审批承包人合理化建议的期限：</w:t>
      </w:r>
      <w:r>
        <w:rPr>
          <w:rFonts w:hint="eastAsia" w:ascii="宋体" w:hAnsi="宋体"/>
          <w:szCs w:val="21"/>
          <w:u w:val="single"/>
        </w:rPr>
        <w:t>执行通用合同条款</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承</w:t>
      </w:r>
      <w:bookmarkStart w:id="653" w:name="_Toc303539152"/>
      <w:bookmarkStart w:id="654" w:name="_Toc297216205"/>
      <w:bookmarkStart w:id="655" w:name="_Toc296346705"/>
      <w:bookmarkStart w:id="656" w:name="_Toc304295571"/>
      <w:bookmarkStart w:id="657" w:name="_Toc292559914"/>
      <w:bookmarkStart w:id="658" w:name="_Toc296891032"/>
      <w:bookmarkStart w:id="659" w:name="_Toc296944543"/>
      <w:bookmarkStart w:id="660" w:name="_Toc297120504"/>
      <w:bookmarkStart w:id="661" w:name="_Toc312678030"/>
      <w:bookmarkStart w:id="662" w:name="_Toc312677504"/>
      <w:bookmarkStart w:id="663" w:name="_Toc292559409"/>
      <w:bookmarkStart w:id="664" w:name="_Toc296347203"/>
      <w:bookmarkStart w:id="665" w:name="_Toc296503204"/>
      <w:bookmarkStart w:id="666" w:name="_Toc300934995"/>
      <w:bookmarkStart w:id="667" w:name="_Toc318581175"/>
      <w:bookmarkStart w:id="668" w:name="_Toc297048390"/>
      <w:bookmarkStart w:id="669" w:name="_Toc297123546"/>
      <w:bookmarkStart w:id="670" w:name="_Toc296891244"/>
      <w:r>
        <w:rPr>
          <w:rFonts w:hint="eastAsia" w:ascii="宋体" w:hAnsi="宋体" w:cs="仿宋_GB2312"/>
          <w:szCs w:val="21"/>
        </w:rPr>
        <w:t>包人提出的合理化建议降低了合同价格或者提高了工程经济效益的奖励的方法和金额为：</w:t>
      </w:r>
      <w:r>
        <w:rPr>
          <w:rFonts w:hint="eastAsia" w:ascii="宋体" w:hAnsi="宋体"/>
          <w:szCs w:val="21"/>
          <w:u w:val="single"/>
        </w:rPr>
        <w:t>另行协商</w:t>
      </w:r>
      <w:r>
        <w:rPr>
          <w:rFonts w:hint="eastAsia" w:ascii="宋体" w:hAnsi="宋体" w:cs="仿宋_GB2312"/>
          <w:szCs w:val="21"/>
        </w:rPr>
        <w:t>。</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spacing w:line="360" w:lineRule="auto"/>
        <w:ind w:firstLine="420" w:firstLineChars="200"/>
        <w:rPr>
          <w:rFonts w:ascii="宋体" w:hAnsi="宋体"/>
          <w:szCs w:val="21"/>
        </w:rPr>
      </w:pPr>
      <w:r>
        <w:rPr>
          <w:rFonts w:ascii="宋体" w:hAnsi="宋体"/>
          <w:szCs w:val="21"/>
        </w:rPr>
        <w:t>1</w:t>
      </w:r>
      <w:bookmarkStart w:id="671" w:name="_Toc297123548"/>
      <w:bookmarkStart w:id="672" w:name="_Toc304295574"/>
      <w:bookmarkStart w:id="673" w:name="_Toc297048385"/>
      <w:bookmarkStart w:id="674" w:name="_Toc296891239"/>
      <w:bookmarkStart w:id="675" w:name="_Toc292559404"/>
      <w:bookmarkStart w:id="676" w:name="_Toc297216207"/>
      <w:bookmarkStart w:id="677" w:name="_Toc312678033"/>
      <w:bookmarkStart w:id="678" w:name="_Toc300934997"/>
      <w:bookmarkStart w:id="679" w:name="_Toc312677507"/>
      <w:bookmarkStart w:id="680" w:name="_Toc296503199"/>
      <w:bookmarkStart w:id="681" w:name="_Toc296347198"/>
      <w:bookmarkStart w:id="682" w:name="_Toc296891027"/>
      <w:bookmarkStart w:id="683" w:name="_Toc297120499"/>
      <w:bookmarkStart w:id="684" w:name="_Toc296944538"/>
      <w:bookmarkStart w:id="685" w:name="_Toc303539154"/>
      <w:bookmarkStart w:id="686" w:name="_Toc292559909"/>
      <w:bookmarkStart w:id="687" w:name="_Toc296346700"/>
      <w:r>
        <w:rPr>
          <w:rFonts w:ascii="宋体" w:hAnsi="宋体"/>
          <w:szCs w:val="21"/>
        </w:rPr>
        <w:t xml:space="preserve">0.7 </w:t>
      </w:r>
      <w:r>
        <w:rPr>
          <w:rFonts w:hint="eastAsia" w:ascii="宋体" w:hAnsi="宋体" w:cs="黑体"/>
          <w:szCs w:val="21"/>
        </w:rPr>
        <w:t>暂估价</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spacing w:line="360" w:lineRule="auto"/>
        <w:ind w:firstLine="420" w:firstLineChars="200"/>
        <w:rPr>
          <w:rFonts w:ascii="宋体" w:hAnsi="宋体"/>
          <w:szCs w:val="21"/>
        </w:rPr>
      </w:pPr>
      <w:r>
        <w:rPr>
          <w:rFonts w:hint="eastAsia" w:ascii="宋体" w:hAnsi="宋体" w:cs="仿宋_GB2312"/>
          <w:szCs w:val="21"/>
        </w:rPr>
        <w:t>暂</w:t>
      </w:r>
      <w:bookmarkStart w:id="688" w:name="_Toc312677508"/>
      <w:bookmarkStart w:id="689" w:name="_Toc318581176"/>
      <w:bookmarkStart w:id="690" w:name="_Toc312678034"/>
      <w:r>
        <w:rPr>
          <w:rFonts w:hint="eastAsia" w:ascii="宋体" w:hAnsi="宋体" w:cs="仿宋_GB2312"/>
          <w:szCs w:val="21"/>
        </w:rPr>
        <w:t>估价材料和工程设备的明细详见附件</w:t>
      </w:r>
      <w:r>
        <w:rPr>
          <w:rFonts w:hint="eastAsia" w:ascii="宋体" w:hAnsi="宋体"/>
          <w:szCs w:val="21"/>
        </w:rPr>
        <w:t>8</w:t>
      </w:r>
      <w:r>
        <w:rPr>
          <w:rFonts w:hint="eastAsia" w:ascii="宋体" w:hAnsi="宋体" w:cs="仿宋_GB2312"/>
          <w:szCs w:val="21"/>
        </w:rPr>
        <w:t>：《暂估价一览表》。</w:t>
      </w:r>
    </w:p>
    <w:bookmarkEnd w:id="688"/>
    <w:bookmarkEnd w:id="689"/>
    <w:bookmarkEnd w:id="690"/>
    <w:p>
      <w:pPr>
        <w:spacing w:line="360" w:lineRule="auto"/>
        <w:ind w:firstLine="420" w:firstLineChars="200"/>
        <w:rPr>
          <w:rFonts w:ascii="宋体" w:hAnsi="宋体"/>
          <w:szCs w:val="21"/>
        </w:rPr>
      </w:pPr>
      <w:r>
        <w:rPr>
          <w:rFonts w:ascii="宋体" w:hAnsi="宋体"/>
          <w:szCs w:val="21"/>
        </w:rPr>
        <w:t>1</w:t>
      </w:r>
      <w:bookmarkStart w:id="691" w:name="_Toc312677509"/>
      <w:bookmarkStart w:id="692" w:name="_Toc318581177"/>
      <w:bookmarkStart w:id="693" w:name="_Toc312678035"/>
      <w:r>
        <w:rPr>
          <w:rFonts w:ascii="宋体" w:hAnsi="宋体"/>
          <w:szCs w:val="21"/>
        </w:rPr>
        <w:t xml:space="preserve">0.7.1 </w:t>
      </w:r>
      <w:r>
        <w:rPr>
          <w:rFonts w:hint="eastAsia" w:ascii="宋体" w:hAnsi="宋体" w:cs="仿宋_GB2312"/>
          <w:szCs w:val="21"/>
        </w:rPr>
        <w:t>依法必须招标的暂估价项目</w:t>
      </w:r>
      <w:bookmarkEnd w:id="691"/>
      <w:bookmarkEnd w:id="692"/>
      <w:bookmarkEnd w:id="693"/>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10.8 </w:t>
      </w:r>
      <w:r>
        <w:rPr>
          <w:rFonts w:hint="eastAsia" w:ascii="宋体" w:hAnsi="宋体" w:cs="黑体"/>
          <w:szCs w:val="21"/>
        </w:rPr>
        <w:t>暂列金额</w:t>
      </w:r>
    </w:p>
    <w:p>
      <w:pPr>
        <w:pStyle w:val="17"/>
        <w:spacing w:line="360" w:lineRule="auto"/>
        <w:ind w:firstLine="420" w:firstLineChars="200"/>
        <w:rPr>
          <w:rFonts w:ascii="宋体" w:hAnsi="宋体"/>
          <w:kern w:val="0"/>
          <w:szCs w:val="21"/>
        </w:rPr>
      </w:pPr>
      <w:r>
        <w:rPr>
          <w:rFonts w:hint="eastAsia" w:ascii="宋体" w:hAnsi="宋体" w:cs="仿宋_GB2312"/>
          <w:kern w:val="0"/>
          <w:szCs w:val="21"/>
        </w:rPr>
        <w:t>合同当事人关于暂列金额使用的约定：</w:t>
      </w:r>
      <w:bookmarkStart w:id="694" w:name="_Toc351203643"/>
      <w:r>
        <w:rPr>
          <w:rFonts w:hint="eastAsia" w:ascii="宋体" w:hAnsi="宋体"/>
          <w:kern w:val="0"/>
          <w:szCs w:val="21"/>
        </w:rPr>
        <w:t>合同当事人关于暂列金额使用的约定：。</w:t>
      </w:r>
    </w:p>
    <w:p>
      <w:pPr>
        <w:pStyle w:val="4"/>
        <w:spacing w:before="0" w:after="0" w:line="360" w:lineRule="auto"/>
        <w:ind w:firstLine="118"/>
        <w:rPr>
          <w:rFonts w:ascii="宋体"/>
          <w:szCs w:val="24"/>
        </w:rPr>
      </w:pPr>
      <w:r>
        <w:rPr>
          <w:rFonts w:ascii="宋体"/>
          <w:szCs w:val="24"/>
        </w:rPr>
        <w:t xml:space="preserve">11. </w:t>
      </w:r>
      <w:r>
        <w:rPr>
          <w:rFonts w:hint="eastAsia" w:ascii="宋体"/>
          <w:szCs w:val="24"/>
        </w:rPr>
        <w:t>价格调整</w:t>
      </w:r>
      <w:bookmarkEnd w:id="694"/>
    </w:p>
    <w:p>
      <w:pPr>
        <w:spacing w:line="360" w:lineRule="auto"/>
        <w:ind w:firstLine="420" w:firstLineChars="200"/>
        <w:rPr>
          <w:rFonts w:ascii="宋体" w:hAnsi="宋体"/>
          <w:szCs w:val="21"/>
        </w:rPr>
      </w:pPr>
      <w:bookmarkStart w:id="695" w:name="_Toc296347200"/>
      <w:bookmarkStart w:id="696" w:name="_Toc300935000"/>
      <w:bookmarkStart w:id="697" w:name="_Toc292559406"/>
      <w:bookmarkStart w:id="698" w:name="_Toc296891241"/>
      <w:bookmarkStart w:id="699" w:name="_Toc296503201"/>
      <w:bookmarkStart w:id="700" w:name="_Toc296346702"/>
      <w:bookmarkStart w:id="701" w:name="_Toc292559911"/>
      <w:bookmarkStart w:id="702" w:name="_Toc297216209"/>
      <w:bookmarkStart w:id="703" w:name="_Toc297123550"/>
      <w:bookmarkStart w:id="704" w:name="_Toc296891029"/>
      <w:bookmarkStart w:id="705" w:name="_Toc312678039"/>
      <w:bookmarkStart w:id="706" w:name="_Toc297048387"/>
      <w:bookmarkStart w:id="707" w:name="_Toc304295577"/>
      <w:bookmarkStart w:id="708" w:name="_Toc303539157"/>
      <w:bookmarkStart w:id="709" w:name="_Toc297120501"/>
      <w:bookmarkStart w:id="710" w:name="_Toc296944540"/>
      <w:r>
        <w:rPr>
          <w:rFonts w:ascii="宋体" w:hAnsi="宋体"/>
          <w:szCs w:val="21"/>
        </w:rPr>
        <w:t xml:space="preserve">11.1 </w:t>
      </w:r>
      <w:r>
        <w:rPr>
          <w:rFonts w:hint="eastAsia" w:ascii="宋体" w:hAnsi="宋体" w:cs="黑体"/>
          <w:szCs w:val="21"/>
        </w:rPr>
        <w:t>市场价格波动引起的调整</w:t>
      </w:r>
    </w:p>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Pr>
        <w:pStyle w:val="20"/>
        <w:spacing w:line="360" w:lineRule="auto"/>
        <w:ind w:left="63" w:right="63" w:firstLine="365" w:firstLineChars="174"/>
        <w:rPr>
          <w:rFonts w:ascii="宋体" w:hAnsi="宋体"/>
          <w:szCs w:val="21"/>
          <w:u w:val="single"/>
        </w:rPr>
      </w:pPr>
      <w:r>
        <w:rPr>
          <w:rFonts w:hint="eastAsia" w:ascii="宋体" w:hAnsi="宋体" w:cs="仿宋_GB2312"/>
          <w:szCs w:val="21"/>
        </w:rPr>
        <w:t>市场价格波动是否调整合同价格的约定：</w:t>
      </w:r>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hint="eastAsia" w:ascii="宋体" w:hAnsi="宋体" w:cs="仿宋_GB2312"/>
          <w:szCs w:val="21"/>
        </w:rPr>
        <w:t>因市场价格波动调整合同价格，采用以下第种方式对合同价格进行调整：</w:t>
      </w:r>
    </w:p>
    <w:p>
      <w:pPr>
        <w:spacing w:line="360" w:lineRule="auto"/>
        <w:ind w:firstLine="420" w:firstLineChars="200"/>
        <w:rPr>
          <w:rFonts w:ascii="宋体" w:hAnsi="宋体"/>
          <w:szCs w:val="21"/>
        </w:rPr>
      </w:pPr>
      <w:r>
        <w:rPr>
          <w:rFonts w:hint="eastAsia" w:ascii="宋体" w:hAnsi="宋体" w:cs="仿宋_GB2312"/>
          <w:szCs w:val="21"/>
        </w:rPr>
        <w:t>第</w:t>
      </w:r>
      <w:r>
        <w:rPr>
          <w:rFonts w:ascii="宋体" w:hAnsi="宋体"/>
          <w:szCs w:val="21"/>
        </w:rPr>
        <w:t>1</w:t>
      </w:r>
      <w:r>
        <w:rPr>
          <w:rFonts w:hint="eastAsia" w:ascii="宋体" w:hAnsi="宋体" w:cs="仿宋_GB2312"/>
          <w:szCs w:val="21"/>
        </w:rPr>
        <w:t>种方式：采用价格指数进行价格调整。</w:t>
      </w:r>
    </w:p>
    <w:p>
      <w:pPr>
        <w:spacing w:line="360" w:lineRule="auto"/>
        <w:ind w:firstLine="420" w:firstLineChars="200"/>
        <w:rPr>
          <w:rFonts w:ascii="宋体" w:hAnsi="宋体"/>
          <w:szCs w:val="21"/>
          <w:u w:val="single"/>
        </w:rPr>
      </w:pPr>
      <w:r>
        <w:rPr>
          <w:rFonts w:hint="eastAsia" w:ascii="宋体" w:hAnsi="宋体" w:cs="仿宋_GB2312"/>
          <w:szCs w:val="21"/>
        </w:rPr>
        <w:t>关于各可调因子、定值和变值权重，以及基本价格指数及其来源的约定：</w:t>
      </w:r>
      <w:r>
        <w:rPr>
          <w:rFonts w:hint="eastAsia" w:ascii="宋体" w:hAnsi="宋体" w:cs="仿宋_GB2312"/>
          <w:szCs w:val="21"/>
          <w:u w:val="single"/>
        </w:rPr>
        <w:t>无</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第</w:t>
      </w:r>
      <w:r>
        <w:rPr>
          <w:rFonts w:ascii="宋体" w:hAnsi="宋体"/>
          <w:szCs w:val="21"/>
        </w:rPr>
        <w:t>2</w:t>
      </w:r>
      <w:r>
        <w:rPr>
          <w:rFonts w:hint="eastAsia" w:ascii="宋体" w:hAnsi="宋体" w:cs="仿宋_GB2312"/>
          <w:szCs w:val="21"/>
        </w:rPr>
        <w:t>种方式：采用造价信息进行价格调整。</w:t>
      </w:r>
    </w:p>
    <w:p>
      <w:pPr>
        <w:spacing w:line="360" w:lineRule="auto"/>
        <w:ind w:firstLine="315" w:firstLineChars="150"/>
        <w:rPr>
          <w:rFonts w:ascii="宋体" w:hAnsi="宋体" w:cs="仿宋_GB2312"/>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）关于基准价格的约定：。</w:t>
      </w:r>
    </w:p>
    <w:p>
      <w:pPr>
        <w:spacing w:line="360" w:lineRule="auto"/>
        <w:ind w:firstLine="315" w:firstLineChars="150"/>
        <w:rPr>
          <w:rFonts w:ascii="宋体" w:hAnsi="宋体"/>
          <w:szCs w:val="21"/>
        </w:rPr>
      </w:pPr>
      <w:r>
        <w:rPr>
          <w:rFonts w:hint="eastAsia" w:ascii="宋体" w:hAnsi="宋体" w:cs="仿宋_GB2312"/>
          <w:szCs w:val="21"/>
        </w:rPr>
        <w:t>专用合同条款</w:t>
      </w:r>
      <w:r>
        <w:rPr>
          <w:rFonts w:hint="eastAsia" w:ascii="宋体" w:hAnsi="宋体" w:cs="宋体"/>
          <w:szCs w:val="21"/>
        </w:rPr>
        <w:t>①</w:t>
      </w:r>
      <w:r>
        <w:rPr>
          <w:rFonts w:hint="eastAsia" w:ascii="宋体" w:hAnsi="宋体" w:cs="仿宋_GB2312"/>
          <w:szCs w:val="21"/>
        </w:rPr>
        <w:t>承包人在已标价工程量清单或预算书中载明的材料单价低于基准价格的：专用合同条款合同履行期间材料单价涨幅以基准价格为基础超过</w:t>
      </w:r>
      <w:r>
        <w:rPr>
          <w:rFonts w:ascii="宋体" w:hAnsi="宋体"/>
          <w:szCs w:val="21"/>
        </w:rPr>
        <w:t>%</w:t>
      </w:r>
      <w:r>
        <w:rPr>
          <w:rFonts w:hint="eastAsia" w:ascii="宋体" w:hAnsi="宋体" w:cs="仿宋_GB2312"/>
          <w:szCs w:val="21"/>
        </w:rPr>
        <w:t>时，或材料单价跌幅以已标价工程量清单或预算书中载明材料单价为基础超过</w:t>
      </w:r>
      <w:r>
        <w:rPr>
          <w:rFonts w:ascii="宋体" w:hAnsi="宋体"/>
          <w:szCs w:val="21"/>
        </w:rPr>
        <w:t>%</w:t>
      </w:r>
      <w:r>
        <w:rPr>
          <w:rFonts w:hint="eastAsia" w:ascii="宋体" w:hAnsi="宋体" w:cs="仿宋_GB2312"/>
          <w:szCs w:val="21"/>
        </w:rPr>
        <w:t>时，其超过部分据实调整。</w:t>
      </w:r>
    </w:p>
    <w:p>
      <w:pPr>
        <w:spacing w:line="360" w:lineRule="auto"/>
        <w:ind w:firstLine="420" w:firstLineChars="200"/>
        <w:rPr>
          <w:rFonts w:ascii="宋体" w:hAnsi="宋体"/>
          <w:szCs w:val="21"/>
        </w:rPr>
      </w:pPr>
      <w:r>
        <w:rPr>
          <w:rFonts w:hint="eastAsia" w:ascii="宋体" w:hAnsi="宋体" w:cs="宋体"/>
          <w:szCs w:val="21"/>
        </w:rPr>
        <w:t>②</w:t>
      </w:r>
      <w:r>
        <w:rPr>
          <w:rFonts w:hint="eastAsia" w:ascii="宋体" w:hAnsi="宋体" w:cs="仿宋_GB2312"/>
          <w:szCs w:val="21"/>
        </w:rPr>
        <w:t>承包人在已标价工程量清单或预算书中载明的材料单价高于基准价格的：专用合同条款合同履行期间材料单价跌幅以基准价格为基础超过</w:t>
      </w:r>
      <w:r>
        <w:rPr>
          <w:rFonts w:ascii="宋体" w:hAnsi="宋体"/>
          <w:szCs w:val="21"/>
        </w:rPr>
        <w:t>%</w:t>
      </w:r>
      <w:r>
        <w:rPr>
          <w:rFonts w:hint="eastAsia" w:ascii="宋体" w:hAnsi="宋体" w:cs="仿宋_GB2312"/>
          <w:szCs w:val="21"/>
        </w:rPr>
        <w:t>时，材料单价涨幅以已标价工程量清单或预算书中载明材料单价为基础超过</w:t>
      </w:r>
      <w:r>
        <w:rPr>
          <w:rFonts w:ascii="宋体" w:hAnsi="宋体"/>
          <w:szCs w:val="21"/>
        </w:rPr>
        <w:t>%</w:t>
      </w:r>
      <w:r>
        <w:rPr>
          <w:rFonts w:hint="eastAsia" w:ascii="宋体" w:hAnsi="宋体" w:cs="仿宋_GB2312"/>
          <w:szCs w:val="21"/>
        </w:rPr>
        <w:t>时，其超过部分据实调整。</w:t>
      </w:r>
    </w:p>
    <w:p>
      <w:pPr>
        <w:spacing w:line="360" w:lineRule="auto"/>
        <w:ind w:firstLine="420" w:firstLineChars="200"/>
        <w:rPr>
          <w:rFonts w:ascii="宋体" w:hAnsi="宋体"/>
          <w:szCs w:val="21"/>
        </w:rPr>
      </w:pPr>
      <w:r>
        <w:rPr>
          <w:rFonts w:hint="eastAsia" w:ascii="宋体" w:hAnsi="宋体" w:cs="宋体"/>
          <w:szCs w:val="21"/>
        </w:rPr>
        <w:t>③</w:t>
      </w:r>
      <w:r>
        <w:rPr>
          <w:rFonts w:hint="eastAsia" w:ascii="宋体" w:hAnsi="宋体" w:cs="仿宋_GB2312"/>
          <w:szCs w:val="21"/>
        </w:rPr>
        <w:t>承包人在已标价工程量清单或预算书中载明的材料单价等于基准单价的：专用合同条款合同履行期间材料单价涨跌幅以基准单价为基础超过</w:t>
      </w:r>
      <w:r>
        <w:rPr>
          <w:rFonts w:ascii="宋体" w:hAnsi="宋体"/>
          <w:szCs w:val="21"/>
        </w:rPr>
        <w:t>±%</w:t>
      </w:r>
      <w:r>
        <w:rPr>
          <w:rFonts w:hint="eastAsia" w:ascii="宋体" w:hAnsi="宋体" w:cs="仿宋_GB2312"/>
          <w:szCs w:val="21"/>
        </w:rPr>
        <w:t>时，其超过部分据实调整。</w:t>
      </w:r>
    </w:p>
    <w:p>
      <w:pPr>
        <w:spacing w:line="360" w:lineRule="auto"/>
        <w:ind w:firstLine="645"/>
        <w:rPr>
          <w:rFonts w:ascii="宋体" w:hAnsi="宋体" w:cs="仿宋_GB2312"/>
          <w:szCs w:val="21"/>
        </w:rPr>
      </w:pPr>
      <w:r>
        <w:rPr>
          <w:rFonts w:hint="eastAsia" w:ascii="宋体" w:hAnsi="宋体" w:cs="仿宋_GB2312"/>
          <w:szCs w:val="21"/>
        </w:rPr>
        <w:t>第</w:t>
      </w:r>
      <w:r>
        <w:rPr>
          <w:rFonts w:ascii="宋体" w:hAnsi="宋体"/>
          <w:szCs w:val="21"/>
        </w:rPr>
        <w:t>3</w:t>
      </w:r>
      <w:r>
        <w:rPr>
          <w:rFonts w:hint="eastAsia" w:ascii="宋体" w:hAnsi="宋体" w:cs="仿宋_GB2312"/>
          <w:szCs w:val="21"/>
        </w:rPr>
        <w:t>种方式：其他价格调整方式：</w:t>
      </w:r>
      <w:r>
        <w:rPr>
          <w:rFonts w:ascii="宋体" w:hAnsi="宋体" w:cs="仿宋_GB2312"/>
          <w:szCs w:val="21"/>
          <w:u w:val="single"/>
        </w:rPr>
        <w:t xml:space="preserve">/  </w:t>
      </w:r>
      <w:r>
        <w:rPr>
          <w:rFonts w:hint="eastAsia" w:ascii="宋体" w:hAnsi="宋体" w:cs="仿宋_GB2312"/>
          <w:szCs w:val="21"/>
        </w:rPr>
        <w:t>。</w:t>
      </w:r>
    </w:p>
    <w:bookmarkEnd w:id="598"/>
    <w:bookmarkEnd w:id="599"/>
    <w:bookmarkEnd w:id="600"/>
    <w:bookmarkEnd w:id="601"/>
    <w:bookmarkEnd w:id="602"/>
    <w:bookmarkEnd w:id="603"/>
    <w:p>
      <w:pPr>
        <w:pStyle w:val="4"/>
        <w:spacing w:before="0" w:after="0" w:line="360" w:lineRule="auto"/>
        <w:ind w:firstLine="118"/>
        <w:rPr>
          <w:rFonts w:ascii="宋体"/>
          <w:szCs w:val="24"/>
        </w:rPr>
      </w:pPr>
      <w:bookmarkStart w:id="711" w:name="_Toc296346706"/>
      <w:bookmarkStart w:id="712" w:name="_Toc297048391"/>
      <w:bookmarkStart w:id="713" w:name="_Toc292559410"/>
      <w:bookmarkStart w:id="714" w:name="_Toc296503205"/>
      <w:bookmarkStart w:id="715" w:name="_Toc296891033"/>
      <w:bookmarkStart w:id="716" w:name="_Toc296944544"/>
      <w:bookmarkStart w:id="717" w:name="_Toc296347204"/>
      <w:bookmarkStart w:id="718" w:name="_Toc296891245"/>
      <w:bookmarkStart w:id="719" w:name="_Toc292559915"/>
      <w:bookmarkStart w:id="720" w:name="_Toc297120505"/>
      <w:bookmarkStart w:id="721" w:name="_Toc351203644"/>
      <w:bookmarkStart w:id="722" w:name="_Toc304295579"/>
      <w:bookmarkStart w:id="723" w:name="_Toc312678040"/>
      <w:bookmarkStart w:id="724" w:name="_Toc297216211"/>
      <w:bookmarkStart w:id="725" w:name="_Toc300935002"/>
      <w:bookmarkStart w:id="726" w:name="_Toc297123552"/>
      <w:bookmarkStart w:id="727" w:name="_Toc303539159"/>
      <w:r>
        <w:rPr>
          <w:rFonts w:ascii="宋体"/>
          <w:szCs w:val="24"/>
        </w:rPr>
        <w:t xml:space="preserve">12. </w:t>
      </w:r>
      <w:bookmarkEnd w:id="711"/>
      <w:bookmarkEnd w:id="712"/>
      <w:bookmarkEnd w:id="713"/>
      <w:bookmarkEnd w:id="714"/>
      <w:bookmarkEnd w:id="715"/>
      <w:bookmarkEnd w:id="716"/>
      <w:bookmarkEnd w:id="717"/>
      <w:bookmarkEnd w:id="718"/>
      <w:bookmarkEnd w:id="719"/>
      <w:bookmarkEnd w:id="720"/>
      <w:r>
        <w:rPr>
          <w:rFonts w:hint="eastAsia" w:ascii="宋体"/>
          <w:szCs w:val="24"/>
        </w:rPr>
        <w:t>合同价格、计量与支付</w:t>
      </w:r>
      <w:bookmarkEnd w:id="721"/>
    </w:p>
    <w:bookmarkEnd w:id="722"/>
    <w:bookmarkEnd w:id="723"/>
    <w:bookmarkEnd w:id="724"/>
    <w:bookmarkEnd w:id="725"/>
    <w:bookmarkEnd w:id="726"/>
    <w:bookmarkEnd w:id="727"/>
    <w:p>
      <w:pPr>
        <w:spacing w:line="360" w:lineRule="auto"/>
        <w:ind w:firstLine="420" w:firstLineChars="200"/>
        <w:rPr>
          <w:rFonts w:ascii="宋体" w:hAnsi="宋体"/>
          <w:szCs w:val="21"/>
        </w:rPr>
      </w:pPr>
      <w:bookmarkStart w:id="728" w:name="_Toc267251461"/>
      <w:bookmarkStart w:id="729" w:name="_Toc292559411"/>
      <w:bookmarkStart w:id="730" w:name="_Toc292559916"/>
      <w:bookmarkStart w:id="731" w:name="_Toc296891034"/>
      <w:bookmarkStart w:id="732" w:name="_Toc296891246"/>
      <w:bookmarkStart w:id="733" w:name="_Toc297120506"/>
      <w:bookmarkStart w:id="734" w:name="_Toc296503206"/>
      <w:bookmarkStart w:id="735" w:name="_Toc297048392"/>
      <w:bookmarkStart w:id="736" w:name="_Toc296346707"/>
      <w:bookmarkStart w:id="737" w:name="_Toc296347205"/>
      <w:bookmarkStart w:id="738" w:name="_Toc296944545"/>
      <w:bookmarkStart w:id="739" w:name="_Toc297216212"/>
      <w:bookmarkStart w:id="740" w:name="_Toc297123553"/>
      <w:bookmarkStart w:id="741" w:name="_Toc312678041"/>
      <w:bookmarkStart w:id="742" w:name="_Toc304295580"/>
      <w:bookmarkStart w:id="743" w:name="_Toc303539160"/>
      <w:bookmarkStart w:id="744" w:name="_Toc300935003"/>
      <w:r>
        <w:rPr>
          <w:rFonts w:ascii="宋体" w:hAnsi="宋体"/>
          <w:szCs w:val="21"/>
        </w:rPr>
        <w:t xml:space="preserve">12.1 </w:t>
      </w:r>
      <w:r>
        <w:rPr>
          <w:rFonts w:hint="eastAsia" w:ascii="宋体" w:hAnsi="宋体" w:cs="黑体"/>
          <w:szCs w:val="21"/>
        </w:rPr>
        <w:t>合</w:t>
      </w:r>
      <w:bookmarkEnd w:id="728"/>
      <w:bookmarkEnd w:id="729"/>
      <w:bookmarkEnd w:id="730"/>
      <w:r>
        <w:rPr>
          <w:rFonts w:hint="eastAsia" w:ascii="宋体" w:hAnsi="宋体" w:cs="黑体"/>
          <w:szCs w:val="21"/>
        </w:rPr>
        <w:t>同价</w:t>
      </w:r>
      <w:bookmarkEnd w:id="731"/>
      <w:bookmarkEnd w:id="732"/>
      <w:bookmarkEnd w:id="733"/>
      <w:bookmarkEnd w:id="734"/>
      <w:bookmarkEnd w:id="735"/>
      <w:bookmarkEnd w:id="736"/>
      <w:bookmarkEnd w:id="737"/>
      <w:bookmarkEnd w:id="738"/>
      <w:r>
        <w:rPr>
          <w:rFonts w:hint="eastAsia" w:ascii="宋体" w:hAnsi="宋体" w:cs="黑体"/>
          <w:szCs w:val="21"/>
        </w:rPr>
        <w:t>格形式</w:t>
      </w:r>
    </w:p>
    <w:bookmarkEnd w:id="739"/>
    <w:bookmarkEnd w:id="740"/>
    <w:bookmarkEnd w:id="741"/>
    <w:bookmarkEnd w:id="742"/>
    <w:bookmarkEnd w:id="743"/>
    <w:bookmarkEnd w:id="744"/>
    <w:p>
      <w:pPr>
        <w:spacing w:line="360" w:lineRule="auto"/>
        <w:ind w:firstLine="420" w:firstLineChars="200"/>
        <w:rPr>
          <w:rFonts w:ascii="宋体" w:hAnsi="宋体"/>
          <w:szCs w:val="21"/>
        </w:rPr>
      </w:pPr>
      <w:r>
        <w:rPr>
          <w:rFonts w:ascii="宋体" w:hAnsi="宋体"/>
          <w:szCs w:val="21"/>
        </w:rPr>
        <w:t>1</w:t>
      </w:r>
      <w:r>
        <w:rPr>
          <w:rFonts w:hint="eastAsia" w:ascii="宋体" w:hAnsi="宋体" w:cs="仿宋_GB2312"/>
          <w:szCs w:val="21"/>
        </w:rPr>
        <w:t>、。</w:t>
      </w:r>
    </w:p>
    <w:p>
      <w:pPr>
        <w:pStyle w:val="20"/>
        <w:spacing w:line="360" w:lineRule="auto"/>
        <w:ind w:left="63" w:right="63" w:firstLine="365" w:firstLineChars="174"/>
        <w:rPr>
          <w:rFonts w:ascii="宋体" w:hAnsi="宋体"/>
          <w:szCs w:val="21"/>
          <w:u w:val="single"/>
        </w:rPr>
      </w:pPr>
      <w:r>
        <w:rPr>
          <w:rFonts w:hint="eastAsia" w:ascii="宋体" w:hAnsi="宋体" w:cs="仿宋_GB2312"/>
          <w:szCs w:val="21"/>
        </w:rPr>
        <w:t>总价包含的风险范围：</w:t>
      </w:r>
      <w:r>
        <w:rPr>
          <w:rFonts w:ascii="宋体" w:hAnsi="宋体" w:cs="宋体"/>
          <w:b/>
          <w:bCs/>
          <w:szCs w:val="21"/>
          <w:u w:val="single"/>
        </w:rPr>
        <w:t>/</w:t>
      </w:r>
      <w:r>
        <w:rPr>
          <w:rFonts w:hint="eastAsia" w:ascii="宋体" w:hAnsi="宋体" w:cs="宋体"/>
          <w:b/>
          <w:bCs/>
          <w:szCs w:val="21"/>
          <w:u w:val="single"/>
        </w:rPr>
        <w:t>。</w:t>
      </w:r>
    </w:p>
    <w:p>
      <w:pPr>
        <w:spacing w:line="360" w:lineRule="auto"/>
        <w:ind w:firstLine="420" w:firstLineChars="200"/>
        <w:rPr>
          <w:rFonts w:ascii="宋体" w:hAnsi="宋体"/>
          <w:szCs w:val="21"/>
          <w:u w:val="single"/>
        </w:rPr>
      </w:pPr>
      <w:r>
        <w:rPr>
          <w:rFonts w:hint="eastAsia" w:ascii="宋体" w:hAnsi="宋体" w:cs="仿宋_GB2312"/>
          <w:szCs w:val="21"/>
        </w:rPr>
        <w:t>风险费用的计算方法：</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风险范围以外合同价格的调整方法：</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ascii="宋体" w:hAnsi="宋体"/>
          <w:szCs w:val="21"/>
        </w:rPr>
        <w:t>3</w:t>
      </w:r>
      <w:r>
        <w:rPr>
          <w:rFonts w:hint="eastAsia" w:ascii="宋体" w:hAnsi="宋体" w:cs="仿宋_GB2312"/>
          <w:szCs w:val="21"/>
        </w:rPr>
        <w:t>、其他价格方式：</w:t>
      </w:r>
      <w:r>
        <w:rPr>
          <w:rFonts w:ascii="宋体" w:hAnsi="宋体"/>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bookmarkStart w:id="745" w:name="_Toc312678042"/>
      <w:bookmarkStart w:id="746" w:name="_Toc304295581"/>
      <w:bookmarkStart w:id="747" w:name="_Toc297123554"/>
      <w:bookmarkStart w:id="748" w:name="_Toc300935004"/>
      <w:bookmarkStart w:id="749" w:name="_Toc303539161"/>
      <w:bookmarkStart w:id="750" w:name="_Toc297216213"/>
      <w:bookmarkStart w:id="751" w:name="_Toc296891035"/>
      <w:bookmarkStart w:id="752" w:name="_Toc296346708"/>
      <w:bookmarkStart w:id="753" w:name="_Toc297048393"/>
      <w:bookmarkStart w:id="754" w:name="_Toc296503207"/>
      <w:bookmarkStart w:id="755" w:name="_Toc297120507"/>
      <w:bookmarkStart w:id="756" w:name="_Toc296944546"/>
      <w:bookmarkStart w:id="757" w:name="_Toc296891247"/>
      <w:bookmarkStart w:id="758" w:name="_Toc296347206"/>
      <w:bookmarkStart w:id="759" w:name="_Toc292559412"/>
      <w:bookmarkStart w:id="760" w:name="_Toc292559917"/>
      <w:r>
        <w:rPr>
          <w:rFonts w:ascii="宋体" w:hAnsi="宋体"/>
          <w:szCs w:val="21"/>
        </w:rPr>
        <w:t xml:space="preserve">1.2 </w:t>
      </w:r>
      <w:r>
        <w:rPr>
          <w:rFonts w:hint="eastAsia" w:ascii="宋体" w:hAnsi="宋体" w:cs="黑体"/>
          <w:szCs w:val="21"/>
        </w:rPr>
        <w:t>预付款</w:t>
      </w:r>
    </w:p>
    <w:bookmarkEnd w:id="745"/>
    <w:bookmarkEnd w:id="746"/>
    <w:bookmarkEnd w:id="747"/>
    <w:bookmarkEnd w:id="748"/>
    <w:bookmarkEnd w:id="749"/>
    <w:bookmarkEnd w:id="750"/>
    <w:p>
      <w:pPr>
        <w:spacing w:line="360" w:lineRule="auto"/>
        <w:ind w:firstLine="420" w:firstLineChars="200"/>
        <w:rPr>
          <w:rFonts w:ascii="宋体" w:hAnsi="宋体"/>
          <w:szCs w:val="21"/>
        </w:rPr>
      </w:pPr>
      <w:r>
        <w:rPr>
          <w:rFonts w:ascii="宋体" w:hAnsi="宋体"/>
          <w:szCs w:val="21"/>
        </w:rPr>
        <w:t xml:space="preserve">12.2.1 </w:t>
      </w:r>
      <w:r>
        <w:rPr>
          <w:rFonts w:hint="eastAsia" w:ascii="宋体" w:hAnsi="宋体" w:cs="仿宋_GB2312"/>
          <w:szCs w:val="21"/>
        </w:rPr>
        <w:t>预付款的支付</w:t>
      </w:r>
    </w:p>
    <w:p>
      <w:pPr>
        <w:spacing w:line="360" w:lineRule="auto"/>
        <w:ind w:firstLine="420" w:firstLineChars="200"/>
        <w:rPr>
          <w:rFonts w:ascii="宋体" w:hAnsi="宋体"/>
          <w:szCs w:val="21"/>
        </w:rPr>
      </w:pPr>
      <w:r>
        <w:rPr>
          <w:rFonts w:hint="eastAsia" w:ascii="宋体" w:hAnsi="宋体" w:cs="仿宋_GB2312"/>
          <w:szCs w:val="21"/>
        </w:rPr>
        <w:t>预付款支付比例或金额：。</w:t>
      </w:r>
    </w:p>
    <w:p>
      <w:pPr>
        <w:spacing w:line="360" w:lineRule="auto"/>
        <w:ind w:firstLine="420" w:firstLineChars="200"/>
        <w:rPr>
          <w:rFonts w:ascii="宋体" w:hAnsi="宋体"/>
          <w:szCs w:val="21"/>
        </w:rPr>
      </w:pPr>
      <w:r>
        <w:rPr>
          <w:rFonts w:hint="eastAsia" w:ascii="宋体" w:hAnsi="宋体" w:cs="仿宋_GB2312"/>
          <w:szCs w:val="21"/>
        </w:rPr>
        <w:t>预付款支付期限：</w:t>
      </w:r>
      <w:r>
        <w:rPr>
          <w:rFonts w:ascii="宋体" w:hAnsi="宋体"/>
          <w:szCs w:val="21"/>
        </w:rPr>
        <w:t>。</w:t>
      </w:r>
    </w:p>
    <w:p>
      <w:pPr>
        <w:spacing w:line="360" w:lineRule="auto"/>
        <w:ind w:firstLine="420" w:firstLineChars="200"/>
        <w:rPr>
          <w:rFonts w:ascii="宋体" w:hAnsi="宋体" w:cs="宋体"/>
          <w:szCs w:val="21"/>
          <w:u w:val="single"/>
        </w:rPr>
      </w:pPr>
      <w:r>
        <w:rPr>
          <w:rFonts w:hint="eastAsia" w:ascii="宋体" w:hAnsi="宋体" w:cs="仿宋_GB2312"/>
          <w:szCs w:val="21"/>
        </w:rPr>
        <w:t>预付款扣回的方式：</w:t>
      </w:r>
      <w:r>
        <w:rPr>
          <w:rFonts w:hint="eastAsia" w:ascii="宋体" w:hAnsi="宋体" w:cs="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12.2.2 </w:t>
      </w:r>
      <w:r>
        <w:rPr>
          <w:rFonts w:hint="eastAsia" w:ascii="宋体" w:hAnsi="宋体" w:cs="仿宋_GB2312"/>
          <w:szCs w:val="21"/>
        </w:rPr>
        <w:t>预付款担保</w:t>
      </w:r>
    </w:p>
    <w:p>
      <w:pPr>
        <w:spacing w:line="360" w:lineRule="auto"/>
        <w:ind w:firstLine="420" w:firstLineChars="200"/>
        <w:rPr>
          <w:rFonts w:ascii="宋体" w:hAnsi="宋体"/>
          <w:szCs w:val="21"/>
        </w:rPr>
      </w:pPr>
      <w:r>
        <w:rPr>
          <w:rFonts w:hint="eastAsia" w:ascii="宋体" w:hAnsi="宋体" w:cs="仿宋_GB2312"/>
          <w:szCs w:val="21"/>
        </w:rPr>
        <w:t>承包人提交预付款担保的期限：</w:t>
      </w:r>
      <w:r>
        <w:rPr>
          <w:rFonts w:ascii="宋体" w:hAnsi="宋体"/>
          <w:szCs w:val="21"/>
        </w:rPr>
        <w:t>。</w:t>
      </w:r>
    </w:p>
    <w:p>
      <w:pPr>
        <w:spacing w:line="360" w:lineRule="auto"/>
        <w:ind w:firstLine="420" w:firstLineChars="200"/>
        <w:rPr>
          <w:rFonts w:ascii="宋体" w:hAnsi="宋体"/>
          <w:szCs w:val="21"/>
        </w:rPr>
      </w:pPr>
      <w:r>
        <w:rPr>
          <w:rFonts w:hint="eastAsia" w:ascii="宋体" w:hAnsi="宋体" w:cs="仿宋_GB2312"/>
          <w:szCs w:val="21"/>
        </w:rPr>
        <w:t>预付款担保的形式为：</w:t>
      </w:r>
      <w:r>
        <w:rPr>
          <w:rFonts w:ascii="宋体" w:hAnsi="宋体"/>
          <w:szCs w:val="21"/>
        </w:rPr>
        <w:t>。</w:t>
      </w:r>
    </w:p>
    <w:bookmarkEnd w:id="751"/>
    <w:bookmarkEnd w:id="752"/>
    <w:bookmarkEnd w:id="753"/>
    <w:bookmarkEnd w:id="754"/>
    <w:bookmarkEnd w:id="755"/>
    <w:bookmarkEnd w:id="756"/>
    <w:bookmarkEnd w:id="757"/>
    <w:bookmarkEnd w:id="758"/>
    <w:bookmarkEnd w:id="759"/>
    <w:bookmarkEnd w:id="760"/>
    <w:p>
      <w:pPr>
        <w:spacing w:line="360" w:lineRule="auto"/>
        <w:ind w:firstLine="420" w:firstLineChars="200"/>
        <w:rPr>
          <w:rFonts w:ascii="宋体" w:hAnsi="宋体"/>
          <w:szCs w:val="21"/>
        </w:rPr>
      </w:pPr>
      <w:r>
        <w:rPr>
          <w:rFonts w:ascii="宋体" w:hAnsi="宋体"/>
          <w:szCs w:val="21"/>
        </w:rPr>
        <w:t xml:space="preserve">12.3 </w:t>
      </w:r>
      <w:r>
        <w:rPr>
          <w:rFonts w:hint="eastAsia" w:ascii="宋体" w:hAnsi="宋体" w:cs="黑体"/>
          <w:szCs w:val="21"/>
        </w:rPr>
        <w:t>计量</w:t>
      </w:r>
    </w:p>
    <w:p>
      <w:pPr>
        <w:spacing w:line="360" w:lineRule="auto"/>
        <w:ind w:firstLine="420" w:firstLineChars="200"/>
        <w:rPr>
          <w:rFonts w:ascii="宋体" w:hAnsi="宋体"/>
          <w:szCs w:val="21"/>
        </w:rPr>
      </w:pPr>
      <w:r>
        <w:rPr>
          <w:rFonts w:ascii="宋体" w:hAnsi="宋体"/>
          <w:szCs w:val="21"/>
        </w:rPr>
        <w:t xml:space="preserve">12.3.1 </w:t>
      </w:r>
      <w:r>
        <w:rPr>
          <w:rFonts w:hint="eastAsia" w:ascii="宋体" w:hAnsi="宋体" w:cs="仿宋_GB2312"/>
          <w:szCs w:val="21"/>
        </w:rPr>
        <w:t>计量原则</w:t>
      </w:r>
    </w:p>
    <w:p>
      <w:pPr>
        <w:spacing w:line="360" w:lineRule="auto"/>
        <w:ind w:firstLine="630" w:firstLineChars="300"/>
        <w:rPr>
          <w:rFonts w:ascii="宋体" w:hAnsi="宋体"/>
          <w:bCs/>
          <w:szCs w:val="21"/>
          <w:u w:val="single"/>
        </w:rPr>
      </w:pPr>
      <w:r>
        <w:rPr>
          <w:rFonts w:hint="eastAsia" w:ascii="宋体" w:hAnsi="宋体" w:cs="仿宋_GB2312"/>
          <w:szCs w:val="21"/>
        </w:rPr>
        <w:t>工程量计算规则：</w:t>
      </w:r>
      <w:r>
        <w:rPr>
          <w:rFonts w:hint="eastAsia" w:ascii="宋体" w:hAnsi="宋体"/>
          <w:bCs/>
          <w:szCs w:val="21"/>
          <w:u w:val="single"/>
        </w:rPr>
        <w:t>。</w:t>
      </w:r>
    </w:p>
    <w:p>
      <w:pPr>
        <w:spacing w:line="360" w:lineRule="auto"/>
        <w:ind w:firstLine="420" w:firstLineChars="200"/>
        <w:rPr>
          <w:rFonts w:ascii="宋体" w:hAnsi="宋体"/>
          <w:szCs w:val="21"/>
        </w:rPr>
      </w:pPr>
      <w:r>
        <w:rPr>
          <w:rFonts w:ascii="宋体" w:hAnsi="宋体"/>
          <w:szCs w:val="21"/>
        </w:rPr>
        <w:t xml:space="preserve">12.3.2 </w:t>
      </w:r>
      <w:r>
        <w:rPr>
          <w:rFonts w:hint="eastAsia" w:ascii="宋体" w:hAnsi="宋体" w:cs="仿宋_GB2312"/>
          <w:szCs w:val="21"/>
        </w:rPr>
        <w:t>计量周期</w:t>
      </w:r>
    </w:p>
    <w:p>
      <w:pPr>
        <w:spacing w:line="360" w:lineRule="auto"/>
        <w:ind w:firstLine="420" w:firstLineChars="200"/>
        <w:rPr>
          <w:rFonts w:ascii="宋体" w:hAnsi="宋体"/>
          <w:szCs w:val="21"/>
        </w:rPr>
      </w:pPr>
      <w:r>
        <w:rPr>
          <w:rFonts w:hint="eastAsia" w:ascii="宋体" w:hAnsi="宋体" w:cs="仿宋_GB2312"/>
          <w:szCs w:val="21"/>
        </w:rPr>
        <w:t>关于计量周期的约定：。</w:t>
      </w:r>
    </w:p>
    <w:p>
      <w:pPr>
        <w:spacing w:line="360" w:lineRule="auto"/>
        <w:ind w:firstLine="420" w:firstLineChars="200"/>
        <w:rPr>
          <w:rFonts w:ascii="宋体" w:hAnsi="宋体"/>
          <w:szCs w:val="21"/>
        </w:rPr>
      </w:pPr>
      <w:r>
        <w:rPr>
          <w:rFonts w:ascii="宋体" w:hAnsi="宋体"/>
          <w:szCs w:val="21"/>
        </w:rPr>
        <w:t xml:space="preserve">12.3.3 </w:t>
      </w:r>
      <w:r>
        <w:rPr>
          <w:rFonts w:hint="eastAsia" w:ascii="宋体" w:hAnsi="宋体" w:cs="仿宋_GB2312"/>
          <w:szCs w:val="21"/>
        </w:rPr>
        <w:t>单价合同的计量</w:t>
      </w:r>
    </w:p>
    <w:p>
      <w:pPr>
        <w:spacing w:line="360" w:lineRule="auto"/>
        <w:ind w:firstLine="420" w:firstLineChars="200"/>
        <w:rPr>
          <w:rFonts w:ascii="宋体" w:hAnsi="宋体"/>
          <w:szCs w:val="21"/>
        </w:rPr>
      </w:pPr>
      <w:r>
        <w:rPr>
          <w:rFonts w:hint="eastAsia" w:ascii="宋体" w:hAnsi="宋体" w:cs="仿宋_GB2312"/>
          <w:szCs w:val="21"/>
        </w:rPr>
        <w:t>关于单价合同计量的约定：。</w:t>
      </w:r>
    </w:p>
    <w:p>
      <w:pPr>
        <w:spacing w:line="360" w:lineRule="auto"/>
        <w:ind w:firstLine="420" w:firstLineChars="200"/>
        <w:rPr>
          <w:rFonts w:ascii="宋体" w:hAnsi="宋体"/>
          <w:szCs w:val="21"/>
        </w:rPr>
      </w:pPr>
      <w:r>
        <w:rPr>
          <w:rFonts w:ascii="宋体" w:hAnsi="宋体"/>
          <w:szCs w:val="21"/>
        </w:rPr>
        <w:t xml:space="preserve">12.3.4 </w:t>
      </w:r>
      <w:r>
        <w:rPr>
          <w:rFonts w:hint="eastAsia" w:ascii="宋体" w:hAnsi="宋体" w:cs="仿宋_GB2312"/>
          <w:szCs w:val="21"/>
        </w:rPr>
        <w:t>总价合同的计量</w:t>
      </w:r>
    </w:p>
    <w:p>
      <w:pPr>
        <w:spacing w:line="360" w:lineRule="auto"/>
        <w:ind w:firstLine="420" w:firstLineChars="200"/>
        <w:rPr>
          <w:rFonts w:ascii="宋体" w:hAnsi="宋体"/>
          <w:szCs w:val="21"/>
        </w:rPr>
      </w:pPr>
      <w:r>
        <w:rPr>
          <w:rFonts w:hint="eastAsia" w:ascii="宋体" w:hAnsi="宋体" w:cs="仿宋_GB2312"/>
          <w:szCs w:val="21"/>
        </w:rPr>
        <w:t>关于总价合同计量的约定：</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12.3.5</w:t>
      </w:r>
      <w:r>
        <w:rPr>
          <w:rFonts w:hint="eastAsia" w:ascii="宋体" w:hAnsi="宋体" w:cs="仿宋_GB2312"/>
          <w:szCs w:val="21"/>
        </w:rPr>
        <w:t>总价合同采用支付分解表计量支付的，是否适用第</w:t>
      </w:r>
      <w:r>
        <w:rPr>
          <w:rFonts w:ascii="宋体" w:hAnsi="宋体"/>
          <w:szCs w:val="21"/>
        </w:rPr>
        <w:t xml:space="preserve">12.3.4 </w:t>
      </w:r>
      <w:r>
        <w:rPr>
          <w:rFonts w:hint="eastAsia" w:ascii="宋体" w:hAnsi="宋体" w:cs="仿宋_GB2312"/>
          <w:szCs w:val="21"/>
        </w:rPr>
        <w:t>项〔总价合同的计量〕约定进行计量：</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12.3.6 </w:t>
      </w:r>
      <w:r>
        <w:rPr>
          <w:rFonts w:hint="eastAsia" w:ascii="宋体" w:hAnsi="宋体" w:cs="仿宋_GB2312"/>
          <w:szCs w:val="21"/>
        </w:rPr>
        <w:t>其他价格形式合同的计量</w:t>
      </w:r>
    </w:p>
    <w:p>
      <w:pPr>
        <w:spacing w:line="360" w:lineRule="auto"/>
        <w:ind w:firstLine="420" w:firstLineChars="200"/>
        <w:rPr>
          <w:rFonts w:ascii="宋体" w:hAnsi="宋体"/>
          <w:szCs w:val="21"/>
          <w:u w:val="single"/>
        </w:rPr>
      </w:pPr>
      <w:r>
        <w:rPr>
          <w:rFonts w:hint="eastAsia" w:ascii="宋体" w:hAnsi="宋体" w:cs="仿宋_GB2312"/>
          <w:szCs w:val="21"/>
        </w:rPr>
        <w:t>其他价格形式的计量方式和程序：</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12.4 </w:t>
      </w:r>
      <w:r>
        <w:rPr>
          <w:rFonts w:hint="eastAsia" w:ascii="宋体" w:hAnsi="宋体" w:cs="黑体"/>
          <w:szCs w:val="21"/>
        </w:rPr>
        <w:t>工程进度款支付</w:t>
      </w:r>
    </w:p>
    <w:p>
      <w:pPr>
        <w:spacing w:line="360" w:lineRule="auto"/>
        <w:ind w:firstLine="420" w:firstLineChars="200"/>
        <w:rPr>
          <w:rFonts w:ascii="宋体" w:hAnsi="宋体"/>
          <w:szCs w:val="21"/>
        </w:rPr>
      </w:pPr>
      <w:bookmarkStart w:id="761" w:name="_Toc296891251"/>
      <w:bookmarkStart w:id="762" w:name="_Toc292559921"/>
      <w:bookmarkStart w:id="763" w:name="_Toc297216215"/>
      <w:bookmarkStart w:id="764" w:name="_Toc296346712"/>
      <w:bookmarkStart w:id="765" w:name="_Toc292559416"/>
      <w:bookmarkStart w:id="766" w:name="_Toc296891039"/>
      <w:bookmarkStart w:id="767" w:name="_Toc296347210"/>
      <w:bookmarkStart w:id="768" w:name="_Toc296944550"/>
      <w:bookmarkStart w:id="769" w:name="_Toc297123556"/>
      <w:bookmarkStart w:id="770" w:name="_Toc296503211"/>
      <w:bookmarkStart w:id="771" w:name="_Toc303539163"/>
      <w:bookmarkStart w:id="772" w:name="_Toc297120511"/>
      <w:bookmarkStart w:id="773" w:name="_Toc297048397"/>
      <w:bookmarkStart w:id="774" w:name="_Toc300935006"/>
      <w:r>
        <w:rPr>
          <w:rFonts w:ascii="宋体" w:hAnsi="宋体"/>
          <w:szCs w:val="21"/>
        </w:rPr>
        <w:t xml:space="preserve">12.4.1 </w:t>
      </w:r>
      <w:r>
        <w:rPr>
          <w:rFonts w:hint="eastAsia" w:ascii="宋体" w:hAnsi="宋体" w:cs="仿宋_GB2312"/>
          <w:szCs w:val="21"/>
        </w:rPr>
        <w:t>付款周期</w:t>
      </w:r>
    </w:p>
    <w:p>
      <w:pPr>
        <w:spacing w:line="360" w:lineRule="auto"/>
        <w:ind w:firstLine="420" w:firstLineChars="200"/>
        <w:rPr>
          <w:rFonts w:ascii="宋体" w:hAnsi="宋体" w:cs="仿宋_GB2312"/>
          <w:szCs w:val="21"/>
        </w:rPr>
      </w:pPr>
      <w:r>
        <w:rPr>
          <w:rFonts w:hint="eastAsia" w:ascii="宋体" w:hAnsi="宋体" w:cs="仿宋_GB2312"/>
          <w:szCs w:val="21"/>
        </w:rPr>
        <w:t>关于付款周期的约定：</w:t>
      </w:r>
      <w:r>
        <w:rPr>
          <w:rFonts w:hint="eastAsia" w:ascii="宋体" w:hAnsi="宋体" w:cs="仿宋_GB2312"/>
          <w:b/>
          <w:szCs w:val="21"/>
          <w:u w:val="single"/>
        </w:rPr>
        <w:t>完成合同内工程量的30%并经验收合格，履行政府投资项目拨款流程后十个工作日内付至合同价款的20%；完成合同内工程量的50%并经验收合格，履行政府投资项目拨款流程后十个工作日内付至合同价款的40%；完成合同内全部工程量并经验收合格出具竣工验收报告，履行政府投资项目拨款流程后十个工作日内付至合同价的85%；审计结算完成出具审计报告并经双方认可，履行政府投资项目拨款流程后付至审计结算价的97%；工程结算价款的3%作为本工程的质量保证金。两年质保期后无质量问题，履行政府投资项目拨款流程后十个工作日内退还</w:t>
      </w:r>
      <w:r>
        <w:rPr>
          <w:rFonts w:ascii="宋体" w:hAnsi="宋体" w:cs="仿宋_GB2312"/>
          <w:b/>
          <w:szCs w:val="21"/>
          <w:u w:val="single"/>
        </w:rPr>
        <w:t>。</w:t>
      </w:r>
    </w:p>
    <w:p>
      <w:pPr>
        <w:spacing w:line="360" w:lineRule="auto"/>
        <w:ind w:firstLine="420" w:firstLineChars="200"/>
        <w:rPr>
          <w:rFonts w:ascii="宋体" w:hAnsi="宋体"/>
          <w:szCs w:val="21"/>
        </w:rPr>
      </w:pPr>
      <w:r>
        <w:rPr>
          <w:rFonts w:ascii="宋体" w:hAnsi="宋体"/>
          <w:szCs w:val="21"/>
        </w:rPr>
        <w:t xml:space="preserve">12.4.2 </w:t>
      </w:r>
      <w:r>
        <w:rPr>
          <w:rFonts w:hint="eastAsia" w:ascii="宋体" w:hAnsi="宋体" w:cs="仿宋_GB2312"/>
          <w:szCs w:val="21"/>
        </w:rPr>
        <w:t xml:space="preserve">进度付款申请单的编制 </w:t>
      </w:r>
    </w:p>
    <w:p>
      <w:pPr>
        <w:spacing w:line="360" w:lineRule="auto"/>
        <w:ind w:firstLine="420" w:firstLineChars="200"/>
        <w:rPr>
          <w:rFonts w:ascii="宋体" w:hAnsi="宋体" w:cs="宋体"/>
          <w:b/>
          <w:bCs/>
          <w:szCs w:val="21"/>
          <w:u w:val="single"/>
        </w:rPr>
      </w:pPr>
      <w:r>
        <w:rPr>
          <w:rFonts w:hint="eastAsia" w:ascii="宋体" w:hAnsi="宋体" w:cs="仿宋_GB2312"/>
          <w:szCs w:val="21"/>
        </w:rPr>
        <w:t>关于进度付款申请单编制的约定：</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1</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Pr>
          <w:rFonts w:ascii="宋体" w:hAnsi="宋体"/>
          <w:szCs w:val="21"/>
        </w:rPr>
        <w:t xml:space="preserve">2.4.3 </w:t>
      </w:r>
      <w:r>
        <w:rPr>
          <w:rFonts w:hint="eastAsia" w:ascii="宋体" w:hAnsi="宋体" w:cs="仿宋_GB2312"/>
          <w:szCs w:val="21"/>
        </w:rPr>
        <w:t>进度付款申请单的提交</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）单价合同进度付款申请单提交的约定：。</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）总价合同进度付款申请单提交的约定：</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w:t>
      </w:r>
      <w:r>
        <w:rPr>
          <w:rFonts w:ascii="宋体" w:hAnsi="宋体"/>
          <w:szCs w:val="21"/>
        </w:rPr>
        <w:t>3</w:t>
      </w:r>
      <w:r>
        <w:rPr>
          <w:rFonts w:hint="eastAsia" w:ascii="宋体" w:hAnsi="宋体" w:cs="仿宋_GB2312"/>
          <w:szCs w:val="21"/>
        </w:rPr>
        <w:t>）其他价格形式合同进度付款申请单提交的约定：</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12.4.4 </w:t>
      </w:r>
      <w:r>
        <w:rPr>
          <w:rFonts w:hint="eastAsia" w:ascii="宋体" w:hAnsi="宋体" w:cs="仿宋_GB2312"/>
          <w:szCs w:val="21"/>
        </w:rPr>
        <w:t>进度款审核和支付</w:t>
      </w:r>
    </w:p>
    <w:p>
      <w:pPr>
        <w:spacing w:line="360" w:lineRule="auto"/>
        <w:ind w:firstLine="420" w:firstLineChars="200"/>
        <w:rPr>
          <w:rFonts w:ascii="宋体" w:hAnsi="宋体"/>
          <w:szCs w:val="21"/>
          <w:u w:val="single"/>
        </w:rPr>
      </w:pPr>
      <w:r>
        <w:rPr>
          <w:rFonts w:hint="eastAsia" w:ascii="宋体" w:hAnsi="宋体" w:cs="仿宋_GB2312"/>
          <w:szCs w:val="21"/>
        </w:rPr>
        <w:t>（</w:t>
      </w:r>
      <w:r>
        <w:rPr>
          <w:rFonts w:ascii="宋体" w:hAnsi="宋体"/>
          <w:szCs w:val="21"/>
        </w:rPr>
        <w:t>1</w:t>
      </w:r>
      <w:r>
        <w:rPr>
          <w:rFonts w:hint="eastAsia" w:ascii="宋体" w:hAnsi="宋体" w:cs="仿宋_GB2312"/>
          <w:szCs w:val="21"/>
        </w:rPr>
        <w:t>）监理人审查并报送发包人的期限：。</w:t>
      </w:r>
    </w:p>
    <w:p>
      <w:pPr>
        <w:spacing w:line="360" w:lineRule="auto"/>
        <w:ind w:firstLine="525" w:firstLineChars="250"/>
        <w:rPr>
          <w:rFonts w:ascii="宋体" w:hAnsi="宋体"/>
          <w:szCs w:val="21"/>
        </w:rPr>
      </w:pPr>
      <w:r>
        <w:rPr>
          <w:rFonts w:hint="eastAsia" w:ascii="宋体" w:hAnsi="宋体" w:cs="仿宋_GB2312"/>
          <w:szCs w:val="21"/>
        </w:rPr>
        <w:t>发包人完成审批并签发进度款支付证书的期限：</w:t>
      </w:r>
      <w:r>
        <w:rPr>
          <w:rFonts w:ascii="宋体" w:hAnsi="宋体"/>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）发包人支付进度款的期限：</w:t>
      </w:r>
      <w:r>
        <w:rPr>
          <w:rFonts w:hint="eastAsia" w:ascii="宋体" w:hAnsi="宋体"/>
          <w:szCs w:val="21"/>
          <w:u w:val="single"/>
        </w:rPr>
        <w:t>。</w:t>
      </w:r>
    </w:p>
    <w:p>
      <w:pPr>
        <w:spacing w:line="360" w:lineRule="auto"/>
        <w:ind w:firstLine="525" w:firstLineChars="250"/>
        <w:rPr>
          <w:rFonts w:ascii="宋体" w:hAnsi="宋体"/>
          <w:szCs w:val="21"/>
        </w:rPr>
      </w:pPr>
      <w:r>
        <w:rPr>
          <w:rFonts w:hint="eastAsia" w:ascii="宋体" w:hAnsi="宋体" w:cs="仿宋_GB2312"/>
          <w:szCs w:val="21"/>
        </w:rPr>
        <w:t>发包人逾期支付进度款的违约金的计算方式：</w:t>
      </w:r>
      <w:r>
        <w:rPr>
          <w:rFonts w:hint="eastAsia" w:ascii="宋体" w:hAnsi="宋体" w:cs="仿宋_GB2312"/>
          <w:szCs w:val="21"/>
          <w:u w:val="single"/>
        </w:rPr>
        <w:t>。</w:t>
      </w:r>
    </w:p>
    <w:p>
      <w:pPr>
        <w:spacing w:line="360" w:lineRule="auto"/>
        <w:ind w:firstLine="525" w:firstLineChars="250"/>
        <w:rPr>
          <w:rFonts w:ascii="宋体" w:hAnsi="宋体"/>
          <w:szCs w:val="21"/>
        </w:rPr>
      </w:pPr>
      <w:r>
        <w:rPr>
          <w:rFonts w:ascii="宋体" w:hAnsi="宋体"/>
          <w:szCs w:val="21"/>
        </w:rPr>
        <w:t xml:space="preserve">12.4.6 </w:t>
      </w:r>
      <w:r>
        <w:rPr>
          <w:rFonts w:hint="eastAsia" w:ascii="宋体" w:hAnsi="宋体" w:cs="仿宋_GB2312"/>
          <w:szCs w:val="21"/>
        </w:rPr>
        <w:t>支付分解表的编制</w:t>
      </w:r>
    </w:p>
    <w:p>
      <w:pPr>
        <w:spacing w:line="360" w:lineRule="auto"/>
        <w:ind w:firstLine="420" w:firstLineChars="200"/>
        <w:rPr>
          <w:rFonts w:ascii="宋体" w:hAnsi="宋体"/>
          <w:szCs w:val="21"/>
          <w:u w:val="single"/>
        </w:rPr>
      </w:pPr>
      <w:r>
        <w:rPr>
          <w:rFonts w:ascii="宋体" w:hAnsi="宋体"/>
          <w:szCs w:val="21"/>
        </w:rPr>
        <w:t>2</w:t>
      </w:r>
      <w:r>
        <w:rPr>
          <w:rFonts w:hint="eastAsia" w:ascii="宋体" w:hAnsi="宋体" w:cs="仿宋_GB2312"/>
          <w:szCs w:val="21"/>
        </w:rPr>
        <w:t>、总价合同支付分解表的编制与审批：</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ascii="宋体" w:hAnsi="宋体"/>
          <w:szCs w:val="21"/>
        </w:rPr>
        <w:t>3</w:t>
      </w:r>
      <w:r>
        <w:rPr>
          <w:rFonts w:hint="eastAsia" w:ascii="宋体" w:hAnsi="宋体" w:cs="仿宋_GB2312"/>
          <w:szCs w:val="21"/>
        </w:rPr>
        <w:t>、单价合同的总价项目支付分解表的编制与审批：</w:t>
      </w:r>
      <w:r>
        <w:rPr>
          <w:rFonts w:ascii="宋体" w:hAnsi="宋体"/>
          <w:szCs w:val="21"/>
          <w:u w:val="single"/>
        </w:rPr>
        <w:t xml:space="preserve">  /  </w:t>
      </w:r>
      <w:r>
        <w:rPr>
          <w:rFonts w:hint="eastAsia" w:ascii="宋体" w:hAnsi="宋体" w:cs="仿宋_GB2312"/>
          <w:szCs w:val="21"/>
        </w:rPr>
        <w:t>。</w:t>
      </w:r>
    </w:p>
    <w:bookmarkEnd w:id="604"/>
    <w:p>
      <w:pPr>
        <w:pStyle w:val="4"/>
        <w:spacing w:before="0" w:after="0" w:line="360" w:lineRule="auto"/>
        <w:ind w:firstLine="118"/>
        <w:rPr>
          <w:rFonts w:ascii="宋体"/>
          <w:szCs w:val="24"/>
        </w:rPr>
      </w:pPr>
      <w:bookmarkStart w:id="775" w:name="_Toc351203645"/>
      <w:bookmarkStart w:id="776" w:name="_Toc292559424"/>
      <w:bookmarkStart w:id="777" w:name="_Toc296347218"/>
      <w:bookmarkStart w:id="778" w:name="_Toc296891047"/>
      <w:bookmarkStart w:id="779" w:name="_Toc296503219"/>
      <w:bookmarkStart w:id="780" w:name="_Toc304295593"/>
      <w:bookmarkStart w:id="781" w:name="_Toc297120519"/>
      <w:bookmarkStart w:id="782" w:name="_Toc312678053"/>
      <w:bookmarkStart w:id="783" w:name="_Toc300935015"/>
      <w:bookmarkStart w:id="784" w:name="_Toc303539172"/>
      <w:bookmarkStart w:id="785" w:name="_Toc296891259"/>
      <w:bookmarkStart w:id="786" w:name="_Toc296346720"/>
      <w:bookmarkStart w:id="787" w:name="_Toc297048405"/>
      <w:bookmarkStart w:id="788" w:name="_Toc296944558"/>
      <w:bookmarkStart w:id="789" w:name="_Toc297216223"/>
      <w:bookmarkStart w:id="790" w:name="_Toc292559929"/>
      <w:bookmarkStart w:id="791" w:name="_Toc297123564"/>
      <w:r>
        <w:rPr>
          <w:rFonts w:ascii="宋体"/>
          <w:szCs w:val="24"/>
        </w:rPr>
        <w:t xml:space="preserve">13. </w:t>
      </w:r>
      <w:r>
        <w:rPr>
          <w:rFonts w:hint="eastAsia" w:ascii="宋体"/>
          <w:szCs w:val="24"/>
        </w:rPr>
        <w:t>验收和工程试车</w:t>
      </w:r>
      <w:bookmarkEnd w:id="775"/>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Pr>
        <w:spacing w:line="360" w:lineRule="auto"/>
        <w:ind w:firstLine="420" w:firstLineChars="200"/>
        <w:rPr>
          <w:rFonts w:ascii="宋体" w:hAnsi="宋体"/>
          <w:szCs w:val="21"/>
        </w:rPr>
      </w:pPr>
      <w:r>
        <w:rPr>
          <w:rFonts w:ascii="宋体" w:hAnsi="宋体"/>
          <w:szCs w:val="21"/>
        </w:rPr>
        <w:t xml:space="preserve">13.1 </w:t>
      </w:r>
      <w:r>
        <w:rPr>
          <w:rFonts w:hint="eastAsia" w:ascii="宋体" w:hAnsi="宋体" w:cs="黑体"/>
          <w:szCs w:val="21"/>
        </w:rPr>
        <w:t>分部分项工程验收</w:t>
      </w:r>
    </w:p>
    <w:p>
      <w:pPr>
        <w:spacing w:line="360" w:lineRule="auto"/>
        <w:ind w:firstLine="420" w:firstLineChars="200"/>
        <w:rPr>
          <w:rFonts w:ascii="宋体" w:hAnsi="宋体"/>
          <w:szCs w:val="21"/>
        </w:rPr>
      </w:pPr>
      <w:r>
        <w:rPr>
          <w:rFonts w:ascii="宋体" w:hAnsi="宋体"/>
          <w:szCs w:val="21"/>
        </w:rPr>
        <w:t>13.1.2</w:t>
      </w:r>
      <w:r>
        <w:rPr>
          <w:rFonts w:hint="eastAsia" w:ascii="宋体" w:hAnsi="宋体" w:cs="仿宋_GB2312"/>
          <w:szCs w:val="21"/>
        </w:rPr>
        <w:t>监理人不能按时进行验收时，应提前小时提交书面延期要求。</w:t>
      </w:r>
    </w:p>
    <w:p>
      <w:pPr>
        <w:spacing w:line="360" w:lineRule="auto"/>
        <w:ind w:firstLine="420" w:firstLineChars="200"/>
        <w:rPr>
          <w:rFonts w:ascii="宋体" w:hAnsi="宋体"/>
          <w:b/>
          <w:bCs/>
          <w:szCs w:val="21"/>
        </w:rPr>
      </w:pPr>
      <w:r>
        <w:rPr>
          <w:rFonts w:hint="eastAsia" w:ascii="宋体" w:hAnsi="宋体" w:cs="仿宋_GB2312"/>
          <w:szCs w:val="21"/>
        </w:rPr>
        <w:t>关于延期最长不得超过：小时。</w:t>
      </w:r>
    </w:p>
    <w:p>
      <w:pPr>
        <w:spacing w:line="360" w:lineRule="auto"/>
        <w:ind w:firstLine="420" w:firstLineChars="200"/>
        <w:rPr>
          <w:rFonts w:ascii="宋体" w:hAnsi="宋体"/>
          <w:szCs w:val="21"/>
        </w:rPr>
      </w:pPr>
      <w:bookmarkStart w:id="792" w:name="_Toc296891051"/>
      <w:bookmarkStart w:id="793" w:name="_Toc296503223"/>
      <w:bookmarkStart w:id="794" w:name="_Toc297048409"/>
      <w:bookmarkStart w:id="795" w:name="_Toc312678056"/>
      <w:bookmarkStart w:id="796" w:name="_Toc292559933"/>
      <w:bookmarkStart w:id="797" w:name="_Toc292559428"/>
      <w:bookmarkStart w:id="798" w:name="_Toc296944562"/>
      <w:bookmarkStart w:id="799" w:name="_Toc303539173"/>
      <w:bookmarkStart w:id="800" w:name="_Toc296891263"/>
      <w:bookmarkStart w:id="801" w:name="_Toc300935016"/>
      <w:bookmarkStart w:id="802" w:name="_Toc297123565"/>
      <w:bookmarkStart w:id="803" w:name="_Toc297120523"/>
      <w:bookmarkStart w:id="804" w:name="_Toc296347222"/>
      <w:bookmarkStart w:id="805" w:name="_Toc304295596"/>
      <w:bookmarkStart w:id="806" w:name="_Toc296346724"/>
      <w:bookmarkStart w:id="807" w:name="_Toc297216224"/>
      <w:bookmarkStart w:id="808" w:name="_Toc267251472"/>
      <w:bookmarkStart w:id="809" w:name="_Toc267251470"/>
      <w:bookmarkStart w:id="810" w:name="_Toc267251475"/>
      <w:bookmarkStart w:id="811" w:name="_Toc267251474"/>
      <w:bookmarkStart w:id="812" w:name="_Toc267251471"/>
      <w:bookmarkStart w:id="813" w:name="_Toc267251476"/>
      <w:bookmarkStart w:id="814" w:name="_Toc267251473"/>
      <w:r>
        <w:rPr>
          <w:rFonts w:ascii="宋体" w:hAnsi="宋体"/>
          <w:szCs w:val="21"/>
        </w:rPr>
        <w:t xml:space="preserve">13.2 </w:t>
      </w:r>
      <w:r>
        <w:rPr>
          <w:rFonts w:hint="eastAsia" w:ascii="宋体" w:hAnsi="宋体" w:cs="黑体"/>
          <w:szCs w:val="21"/>
        </w:rPr>
        <w:t>竣工验收</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Pr>
        <w:spacing w:line="360" w:lineRule="auto"/>
        <w:ind w:firstLine="420" w:firstLineChars="200"/>
        <w:rPr>
          <w:rFonts w:ascii="宋体" w:hAnsi="宋体"/>
          <w:szCs w:val="21"/>
        </w:rPr>
      </w:pPr>
      <w:bookmarkStart w:id="815" w:name="_Toc280868704"/>
      <w:bookmarkStart w:id="816" w:name="_Toc280868705"/>
      <w:bookmarkStart w:id="817" w:name="_Toc280868706"/>
      <w:bookmarkStart w:id="818" w:name="_Toc280868707"/>
      <w:bookmarkStart w:id="819" w:name="_Toc280868708"/>
      <w:bookmarkStart w:id="820" w:name="_Toc280868709"/>
      <w:r>
        <w:rPr>
          <w:rFonts w:ascii="宋体" w:hAnsi="宋体"/>
          <w:szCs w:val="21"/>
        </w:rPr>
        <w:t>13.2.2</w:t>
      </w:r>
      <w:r>
        <w:rPr>
          <w:rFonts w:hint="eastAsia" w:ascii="宋体" w:hAnsi="宋体" w:cs="仿宋_GB2312"/>
          <w:szCs w:val="21"/>
        </w:rPr>
        <w:t>竣工验收程序</w:t>
      </w:r>
    </w:p>
    <w:bookmarkEnd w:id="815"/>
    <w:p>
      <w:pPr>
        <w:spacing w:line="360" w:lineRule="auto"/>
        <w:ind w:firstLine="420" w:firstLineChars="200"/>
        <w:rPr>
          <w:rFonts w:ascii="宋体" w:hAnsi="宋体"/>
          <w:szCs w:val="21"/>
          <w:u w:val="single"/>
        </w:rPr>
      </w:pPr>
      <w:r>
        <w:rPr>
          <w:rFonts w:hint="eastAsia" w:ascii="宋体" w:hAnsi="宋体" w:cs="仿宋_GB2312"/>
          <w:szCs w:val="21"/>
        </w:rPr>
        <w:t>关于竣工验收程序的约定：</w:t>
      </w:r>
      <w:r>
        <w:rPr>
          <w:rFonts w:hint="eastAsia" w:ascii="宋体" w:hAnsi="宋体"/>
          <w:szCs w:val="21"/>
        </w:rPr>
        <w:t>。</w:t>
      </w:r>
    </w:p>
    <w:p>
      <w:pPr>
        <w:spacing w:line="360" w:lineRule="auto"/>
        <w:ind w:left="105" w:leftChars="50" w:firstLine="315" w:firstLineChars="150"/>
        <w:rPr>
          <w:rFonts w:ascii="宋体" w:hAnsi="宋体"/>
          <w:szCs w:val="21"/>
        </w:rPr>
      </w:pPr>
      <w:r>
        <w:rPr>
          <w:rFonts w:hint="eastAsia" w:ascii="宋体" w:hAnsi="宋体" w:cs="仿宋_GB2312"/>
          <w:szCs w:val="21"/>
        </w:rPr>
        <w:t>发包人不按照本项约定组织竣工验收、颁发工程接收证书的违约金的计算方法：</w:t>
      </w:r>
      <w:r>
        <w:rPr>
          <w:rFonts w:hint="eastAsia" w:ascii="宋体" w:hAnsi="宋体"/>
          <w:szCs w:val="21"/>
          <w:u w:val="single"/>
        </w:rPr>
        <w:t xml:space="preserve">  /</w:t>
      </w:r>
      <w:r>
        <w:rPr>
          <w:rFonts w:hint="eastAsia" w:ascii="宋体" w:hAnsi="宋体" w:cs="仿宋_GB2312"/>
          <w:szCs w:val="21"/>
        </w:rPr>
        <w:t>。</w:t>
      </w:r>
    </w:p>
    <w:bookmarkEnd w:id="816"/>
    <w:p>
      <w:pPr>
        <w:spacing w:line="360" w:lineRule="auto"/>
        <w:ind w:firstLine="420" w:firstLineChars="200"/>
        <w:rPr>
          <w:rFonts w:ascii="宋体" w:hAnsi="宋体"/>
          <w:szCs w:val="21"/>
        </w:rPr>
      </w:pPr>
      <w:r>
        <w:rPr>
          <w:rFonts w:ascii="宋体" w:hAnsi="宋体"/>
          <w:szCs w:val="21"/>
        </w:rPr>
        <w:t>13.2.5</w:t>
      </w:r>
      <w:r>
        <w:rPr>
          <w:rFonts w:hint="eastAsia" w:ascii="宋体" w:hAnsi="宋体" w:cs="仿宋_GB2312"/>
          <w:szCs w:val="21"/>
        </w:rPr>
        <w:t>移交、接收全部与部分工程</w:t>
      </w:r>
    </w:p>
    <w:bookmarkEnd w:id="817"/>
    <w:p>
      <w:pPr>
        <w:spacing w:line="360" w:lineRule="auto"/>
        <w:ind w:firstLine="420" w:firstLineChars="200"/>
        <w:rPr>
          <w:rFonts w:ascii="宋体" w:hAnsi="宋体"/>
          <w:szCs w:val="21"/>
        </w:rPr>
      </w:pPr>
      <w:r>
        <w:rPr>
          <w:rFonts w:hint="eastAsia" w:ascii="宋体" w:hAnsi="宋体" w:cs="仿宋_GB2312"/>
          <w:szCs w:val="21"/>
        </w:rPr>
        <w:t>承包人向发包人移交工程的期限：。</w:t>
      </w:r>
    </w:p>
    <w:p>
      <w:pPr>
        <w:spacing w:line="360" w:lineRule="auto"/>
        <w:ind w:firstLine="420" w:firstLineChars="200"/>
        <w:rPr>
          <w:rFonts w:ascii="宋体" w:hAnsi="宋体"/>
          <w:szCs w:val="21"/>
          <w:u w:val="single"/>
        </w:rPr>
      </w:pPr>
      <w:r>
        <w:rPr>
          <w:rFonts w:hint="eastAsia" w:ascii="宋体" w:hAnsi="宋体" w:cs="仿宋_GB2312"/>
          <w:szCs w:val="21"/>
        </w:rPr>
        <w:t>发包人未按本合同约定接收全部或部分工程的，违约金的计算方法为：</w:t>
      </w:r>
      <w:r>
        <w:rPr>
          <w:rFonts w:ascii="宋体" w:hAnsi="宋体"/>
          <w:szCs w:val="21"/>
        </w:rPr>
        <w:t>。</w:t>
      </w:r>
    </w:p>
    <w:bookmarkEnd w:id="818"/>
    <w:p>
      <w:pPr>
        <w:spacing w:line="360" w:lineRule="auto"/>
        <w:ind w:firstLine="420" w:firstLineChars="200"/>
        <w:rPr>
          <w:rFonts w:ascii="宋体" w:hAnsi="宋体" w:cs="仿宋_GB2312"/>
          <w:szCs w:val="21"/>
          <w:u w:val="single"/>
        </w:rPr>
      </w:pPr>
      <w:r>
        <w:rPr>
          <w:rFonts w:hint="eastAsia" w:ascii="宋体" w:hAnsi="宋体" w:cs="仿宋_GB2312"/>
          <w:szCs w:val="21"/>
        </w:rPr>
        <w:t>承包人未按时移交工程的，违约金的计算方法为：</w:t>
      </w:r>
      <w:r>
        <w:rPr>
          <w:rFonts w:hint="eastAsia" w:ascii="宋体" w:hAnsi="宋体" w:cs="仿宋_GB2312"/>
          <w:szCs w:val="21"/>
          <w:u w:val="single"/>
        </w:rPr>
        <w:t>。</w:t>
      </w:r>
    </w:p>
    <w:p>
      <w:pPr>
        <w:spacing w:line="360" w:lineRule="auto"/>
        <w:ind w:firstLine="420" w:firstLineChars="200"/>
        <w:rPr>
          <w:rFonts w:ascii="宋体" w:hAnsi="宋体"/>
          <w:szCs w:val="21"/>
        </w:rPr>
      </w:pPr>
      <w:r>
        <w:rPr>
          <w:rFonts w:ascii="宋体" w:hAnsi="宋体"/>
          <w:szCs w:val="21"/>
        </w:rPr>
        <w:t xml:space="preserve">13.3 </w:t>
      </w:r>
      <w:r>
        <w:rPr>
          <w:rFonts w:hint="eastAsia" w:ascii="宋体" w:hAnsi="宋体" w:cs="黑体"/>
          <w:szCs w:val="21"/>
        </w:rPr>
        <w:t>工程试车</w:t>
      </w:r>
    </w:p>
    <w:bookmarkEnd w:id="819"/>
    <w:p>
      <w:pPr>
        <w:spacing w:line="360" w:lineRule="auto"/>
        <w:ind w:firstLine="420" w:firstLineChars="200"/>
        <w:rPr>
          <w:rFonts w:ascii="宋体" w:hAnsi="宋体"/>
          <w:szCs w:val="21"/>
        </w:rPr>
      </w:pPr>
      <w:r>
        <w:rPr>
          <w:rFonts w:ascii="宋体" w:hAnsi="宋体"/>
          <w:szCs w:val="21"/>
        </w:rPr>
        <w:t xml:space="preserve">13.3.1 </w:t>
      </w:r>
      <w:r>
        <w:rPr>
          <w:rFonts w:hint="eastAsia" w:ascii="宋体" w:hAnsi="宋体" w:cs="仿宋_GB2312"/>
          <w:szCs w:val="21"/>
        </w:rPr>
        <w:t>试车程序</w:t>
      </w:r>
    </w:p>
    <w:p>
      <w:pPr>
        <w:spacing w:line="360" w:lineRule="auto"/>
        <w:ind w:firstLine="420" w:firstLineChars="200"/>
        <w:rPr>
          <w:rFonts w:ascii="宋体" w:hAnsi="宋体"/>
          <w:szCs w:val="21"/>
        </w:rPr>
      </w:pPr>
      <w:r>
        <w:rPr>
          <w:rFonts w:hint="eastAsia" w:ascii="宋体" w:hAnsi="宋体" w:cs="仿宋_GB2312"/>
          <w:szCs w:val="21"/>
        </w:rPr>
        <w:t>工程试车内容：</w:t>
      </w:r>
      <w:r>
        <w:rPr>
          <w:rFonts w:hint="eastAsia" w:ascii="宋体" w:hAnsi="宋体"/>
          <w:szCs w:val="21"/>
          <w:u w:val="single"/>
        </w:rPr>
        <w:t xml:space="preserve">根据国家相关规定进行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）单机无负荷试车费用由</w:t>
      </w:r>
      <w:r>
        <w:rPr>
          <w:rFonts w:hint="eastAsia" w:ascii="宋体" w:hAnsi="宋体" w:cs="仿宋_GB2312"/>
          <w:szCs w:val="21"/>
          <w:u w:val="single"/>
        </w:rPr>
        <w:t xml:space="preserve">   承包人   </w:t>
      </w:r>
      <w:r>
        <w:rPr>
          <w:rFonts w:hint="eastAsia" w:ascii="宋体" w:hAnsi="宋体" w:cs="仿宋_GB2312"/>
          <w:szCs w:val="21"/>
        </w:rPr>
        <w:t>承担；</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）无负荷联动试车费用由</w:t>
      </w:r>
      <w:r>
        <w:rPr>
          <w:rFonts w:hint="eastAsia" w:ascii="宋体" w:hAnsi="宋体" w:cs="仿宋_GB2312"/>
          <w:szCs w:val="21"/>
          <w:u w:val="single"/>
        </w:rPr>
        <w:t xml:space="preserve">   承包人   </w:t>
      </w:r>
      <w:r>
        <w:rPr>
          <w:rFonts w:hint="eastAsia" w:ascii="宋体" w:hAnsi="宋体" w:cs="仿宋_GB2312"/>
          <w:szCs w:val="21"/>
        </w:rPr>
        <w:t>承担。</w:t>
      </w:r>
    </w:p>
    <w:p>
      <w:pPr>
        <w:spacing w:line="360" w:lineRule="auto"/>
        <w:ind w:firstLine="420" w:firstLineChars="200"/>
        <w:rPr>
          <w:rFonts w:ascii="宋体" w:hAnsi="宋体"/>
          <w:szCs w:val="21"/>
        </w:rPr>
      </w:pPr>
      <w:r>
        <w:rPr>
          <w:rFonts w:ascii="宋体" w:hAnsi="宋体"/>
          <w:szCs w:val="21"/>
        </w:rPr>
        <w:t xml:space="preserve">13.3.3 </w:t>
      </w:r>
      <w:r>
        <w:rPr>
          <w:rFonts w:hint="eastAsia" w:ascii="宋体" w:hAnsi="宋体" w:cs="仿宋_GB2312"/>
          <w:szCs w:val="21"/>
        </w:rPr>
        <w:t>投料试车</w:t>
      </w:r>
    </w:p>
    <w:p>
      <w:pPr>
        <w:spacing w:line="360" w:lineRule="auto"/>
        <w:ind w:firstLine="420" w:firstLineChars="200"/>
        <w:rPr>
          <w:rFonts w:ascii="宋体" w:hAnsi="宋体"/>
          <w:szCs w:val="21"/>
        </w:rPr>
      </w:pPr>
      <w:r>
        <w:rPr>
          <w:rFonts w:hint="eastAsia" w:ascii="宋体" w:hAnsi="宋体" w:cs="仿宋_GB2312"/>
          <w:szCs w:val="21"/>
        </w:rPr>
        <w:t>关于投料试车相关事项的约定：</w:t>
      </w:r>
      <w:r>
        <w:rPr>
          <w:rFonts w:hint="eastAsia" w:ascii="宋体" w:hAnsi="宋体" w:cs="仿宋_GB2312"/>
          <w:szCs w:val="21"/>
          <w:u w:val="single"/>
        </w:rPr>
        <w:t xml:space="preserve">    执行通用合同条款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13.6 </w:t>
      </w:r>
      <w:r>
        <w:rPr>
          <w:rFonts w:hint="eastAsia" w:ascii="宋体" w:hAnsi="宋体" w:cs="黑体"/>
          <w:szCs w:val="21"/>
        </w:rPr>
        <w:t>竣工退场</w:t>
      </w:r>
    </w:p>
    <w:p>
      <w:pPr>
        <w:spacing w:line="360" w:lineRule="auto"/>
        <w:ind w:firstLine="420" w:firstLineChars="200"/>
        <w:rPr>
          <w:rFonts w:ascii="宋体" w:hAnsi="宋体"/>
          <w:szCs w:val="21"/>
        </w:rPr>
      </w:pPr>
      <w:r>
        <w:rPr>
          <w:rFonts w:ascii="宋体" w:hAnsi="宋体"/>
          <w:szCs w:val="21"/>
        </w:rPr>
        <w:t xml:space="preserve">13.6.1 </w:t>
      </w:r>
      <w:r>
        <w:rPr>
          <w:rFonts w:hint="eastAsia" w:ascii="宋体" w:hAnsi="宋体" w:cs="仿宋_GB2312"/>
          <w:szCs w:val="21"/>
        </w:rPr>
        <w:t>竣工退场</w:t>
      </w:r>
    </w:p>
    <w:p>
      <w:pPr>
        <w:spacing w:line="360" w:lineRule="auto"/>
        <w:ind w:firstLine="420" w:firstLineChars="200"/>
        <w:rPr>
          <w:rFonts w:ascii="宋体" w:hAnsi="宋体"/>
          <w:szCs w:val="21"/>
        </w:rPr>
      </w:pPr>
      <w:r>
        <w:rPr>
          <w:rFonts w:hint="eastAsia" w:ascii="宋体" w:hAnsi="宋体" w:cs="仿宋_GB2312"/>
          <w:szCs w:val="21"/>
        </w:rPr>
        <w:t>承包人完成竣工退场的期限：。</w:t>
      </w:r>
    </w:p>
    <w:p>
      <w:pPr>
        <w:pStyle w:val="4"/>
        <w:spacing w:before="0" w:after="0" w:line="360" w:lineRule="auto"/>
        <w:ind w:firstLine="118"/>
        <w:rPr>
          <w:rFonts w:ascii="宋体"/>
          <w:szCs w:val="24"/>
        </w:rPr>
      </w:pPr>
      <w:bookmarkStart w:id="821" w:name="_Toc351203646"/>
      <w:r>
        <w:rPr>
          <w:rFonts w:ascii="宋体"/>
          <w:szCs w:val="24"/>
        </w:rPr>
        <w:t xml:space="preserve">14. </w:t>
      </w:r>
      <w:r>
        <w:rPr>
          <w:rFonts w:hint="eastAsia" w:ascii="宋体"/>
          <w:szCs w:val="24"/>
        </w:rPr>
        <w:t>竣工结算</w:t>
      </w:r>
      <w:bookmarkEnd w:id="821"/>
    </w:p>
    <w:p>
      <w:pPr>
        <w:spacing w:line="360" w:lineRule="auto"/>
        <w:ind w:firstLine="420" w:firstLineChars="200"/>
        <w:rPr>
          <w:rFonts w:ascii="宋体" w:hAnsi="宋体"/>
          <w:szCs w:val="21"/>
        </w:rPr>
      </w:pPr>
      <w:r>
        <w:rPr>
          <w:rFonts w:ascii="宋体" w:hAnsi="宋体"/>
          <w:szCs w:val="21"/>
        </w:rPr>
        <w:t xml:space="preserve">14.1 </w:t>
      </w:r>
      <w:r>
        <w:rPr>
          <w:rFonts w:hint="eastAsia" w:ascii="宋体" w:hAnsi="宋体" w:cs="黑体"/>
          <w:szCs w:val="21"/>
        </w:rPr>
        <w:t>竣工付款申请</w:t>
      </w:r>
    </w:p>
    <w:p>
      <w:pPr>
        <w:spacing w:line="360" w:lineRule="auto"/>
        <w:ind w:firstLine="420" w:firstLineChars="200"/>
        <w:rPr>
          <w:rFonts w:ascii="宋体" w:hAnsi="宋体"/>
          <w:szCs w:val="21"/>
        </w:rPr>
      </w:pPr>
      <w:r>
        <w:rPr>
          <w:rFonts w:hint="eastAsia" w:ascii="宋体" w:hAnsi="宋体" w:cs="仿宋_GB2312"/>
          <w:szCs w:val="21"/>
        </w:rPr>
        <w:t>承包人提交竣工付款申请单的期限：。</w:t>
      </w:r>
    </w:p>
    <w:p>
      <w:pPr>
        <w:spacing w:line="360" w:lineRule="auto"/>
        <w:ind w:firstLine="420" w:firstLineChars="200"/>
        <w:rPr>
          <w:rFonts w:ascii="宋体" w:hAnsi="宋体"/>
          <w:szCs w:val="21"/>
          <w:u w:val="single"/>
        </w:rPr>
      </w:pPr>
      <w:r>
        <w:rPr>
          <w:rFonts w:hint="eastAsia" w:ascii="宋体" w:hAnsi="宋体" w:cs="仿宋_GB2312"/>
          <w:szCs w:val="21"/>
        </w:rPr>
        <w:t>竣工付款申请单应包括的内容：。</w:t>
      </w:r>
    </w:p>
    <w:p>
      <w:pPr>
        <w:spacing w:line="360" w:lineRule="auto"/>
        <w:ind w:firstLine="420" w:firstLineChars="200"/>
        <w:rPr>
          <w:rFonts w:ascii="宋体" w:hAnsi="宋体"/>
          <w:szCs w:val="21"/>
        </w:rPr>
      </w:pPr>
      <w:r>
        <w:rPr>
          <w:rFonts w:ascii="宋体" w:hAnsi="宋体"/>
          <w:szCs w:val="21"/>
        </w:rPr>
        <w:t xml:space="preserve">14.2 </w:t>
      </w:r>
      <w:r>
        <w:rPr>
          <w:rFonts w:hint="eastAsia" w:ascii="宋体" w:hAnsi="宋体" w:cs="黑体"/>
          <w:szCs w:val="21"/>
        </w:rPr>
        <w:t>竣工结算审核</w:t>
      </w:r>
    </w:p>
    <w:p>
      <w:pPr>
        <w:pStyle w:val="20"/>
        <w:spacing w:line="360" w:lineRule="auto"/>
        <w:ind w:left="63" w:right="63" w:firstLine="420" w:firstLineChars="200"/>
        <w:rPr>
          <w:rFonts w:ascii="宋体" w:hAnsi="宋体" w:cs="宋体"/>
          <w:b/>
          <w:bCs/>
          <w:szCs w:val="21"/>
          <w:u w:val="single"/>
        </w:rPr>
      </w:pPr>
      <w:r>
        <w:rPr>
          <w:rFonts w:hint="eastAsia" w:ascii="宋体" w:hAnsi="宋体" w:cs="仿宋_GB2312"/>
          <w:szCs w:val="21"/>
        </w:rPr>
        <w:t>发包人审批竣工付款申请单的期限：</w:t>
      </w:r>
      <w:r>
        <w:rPr>
          <w:rFonts w:hint="eastAsia" w:ascii="宋体" w:hAnsi="宋体" w:cs="宋体"/>
          <w:b/>
          <w:bCs/>
          <w:szCs w:val="21"/>
          <w:u w:val="single"/>
        </w:rPr>
        <w:t>。</w:t>
      </w:r>
    </w:p>
    <w:p>
      <w:pPr>
        <w:spacing w:line="360" w:lineRule="auto"/>
        <w:ind w:firstLine="420" w:firstLineChars="200"/>
        <w:rPr>
          <w:rFonts w:ascii="宋体" w:hAnsi="宋体" w:cs="宋体"/>
          <w:b/>
          <w:bCs/>
          <w:szCs w:val="21"/>
          <w:u w:val="single"/>
        </w:rPr>
      </w:pPr>
      <w:r>
        <w:rPr>
          <w:rFonts w:hint="eastAsia" w:ascii="宋体" w:hAnsi="宋体" w:cs="仿宋_GB2312"/>
          <w:szCs w:val="21"/>
        </w:rPr>
        <w:t>发包人完成竣工付款的期限：</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cs="仿宋_GB2312"/>
          <w:szCs w:val="21"/>
        </w:rPr>
        <w:t>关于竣工付款证书异议部分复核的方式和程序：。</w:t>
      </w:r>
    </w:p>
    <w:p>
      <w:pPr>
        <w:spacing w:line="360" w:lineRule="auto"/>
        <w:ind w:firstLine="420" w:firstLineChars="200"/>
        <w:rPr>
          <w:rFonts w:ascii="宋体" w:hAnsi="宋体"/>
          <w:szCs w:val="21"/>
        </w:rPr>
      </w:pPr>
      <w:r>
        <w:rPr>
          <w:rFonts w:ascii="宋体" w:hAnsi="宋体"/>
          <w:szCs w:val="21"/>
        </w:rPr>
        <w:t xml:space="preserve">14.4 </w:t>
      </w:r>
      <w:r>
        <w:rPr>
          <w:rFonts w:hint="eastAsia" w:ascii="宋体" w:hAnsi="宋体" w:cs="黑体"/>
          <w:szCs w:val="21"/>
        </w:rPr>
        <w:t>最终结清</w:t>
      </w:r>
    </w:p>
    <w:p>
      <w:pPr>
        <w:spacing w:line="360" w:lineRule="auto"/>
        <w:ind w:firstLine="420" w:firstLineChars="200"/>
        <w:rPr>
          <w:rFonts w:ascii="宋体" w:hAnsi="宋体"/>
          <w:szCs w:val="21"/>
        </w:rPr>
      </w:pPr>
      <w:r>
        <w:rPr>
          <w:rFonts w:ascii="宋体" w:hAnsi="宋体"/>
          <w:szCs w:val="21"/>
        </w:rPr>
        <w:t xml:space="preserve">14.4.1 </w:t>
      </w:r>
      <w:r>
        <w:rPr>
          <w:rFonts w:hint="eastAsia" w:ascii="宋体" w:hAnsi="宋体" w:cs="仿宋_GB2312"/>
          <w:szCs w:val="21"/>
        </w:rPr>
        <w:t>最终结清申请单</w:t>
      </w:r>
    </w:p>
    <w:p>
      <w:pPr>
        <w:spacing w:line="360" w:lineRule="auto"/>
        <w:ind w:firstLine="420" w:firstLineChars="200"/>
        <w:rPr>
          <w:rFonts w:ascii="宋体" w:hAnsi="宋体"/>
          <w:szCs w:val="21"/>
        </w:rPr>
      </w:pPr>
      <w:r>
        <w:rPr>
          <w:rFonts w:hint="eastAsia" w:ascii="宋体" w:hAnsi="宋体" w:cs="仿宋_GB2312"/>
          <w:szCs w:val="21"/>
        </w:rPr>
        <w:t>承包人提交最终结清申请单的份数：。</w:t>
      </w:r>
    </w:p>
    <w:p>
      <w:pPr>
        <w:spacing w:line="360" w:lineRule="auto"/>
        <w:ind w:firstLine="420" w:firstLineChars="200"/>
        <w:rPr>
          <w:rFonts w:ascii="宋体" w:hAnsi="宋体"/>
          <w:szCs w:val="21"/>
        </w:rPr>
      </w:pPr>
      <w:r>
        <w:rPr>
          <w:rFonts w:hint="eastAsia" w:ascii="宋体" w:hAnsi="宋体" w:cs="仿宋_GB2312"/>
          <w:szCs w:val="21"/>
        </w:rPr>
        <w:t>承包人提交最终结算申请单的期限：。</w:t>
      </w:r>
    </w:p>
    <w:p>
      <w:pPr>
        <w:spacing w:line="360" w:lineRule="auto"/>
        <w:ind w:firstLine="420" w:firstLineChars="200"/>
        <w:rPr>
          <w:rFonts w:ascii="宋体" w:hAnsi="宋体"/>
          <w:szCs w:val="21"/>
        </w:rPr>
      </w:pPr>
      <w:r>
        <w:rPr>
          <w:rFonts w:ascii="宋体" w:hAnsi="宋体"/>
          <w:szCs w:val="21"/>
        </w:rPr>
        <w:t xml:space="preserve">14.4.2 </w:t>
      </w:r>
      <w:r>
        <w:rPr>
          <w:rFonts w:hint="eastAsia" w:ascii="宋体" w:hAnsi="宋体" w:cs="仿宋_GB2312"/>
          <w:szCs w:val="21"/>
        </w:rPr>
        <w:t>最终结清证书和支付</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）发包人完成最终结清申请单的审批并颁发最终结清证书的期限：。</w:t>
      </w:r>
    </w:p>
    <w:p>
      <w:pPr>
        <w:spacing w:line="360" w:lineRule="auto"/>
        <w:ind w:firstLine="420" w:firstLineChars="200"/>
        <w:rPr>
          <w:rFonts w:ascii="宋体" w:hAnsi="宋体" w:cs="仿宋_GB2312"/>
          <w:szCs w:val="21"/>
          <w:u w:val="single"/>
        </w:rPr>
      </w:pPr>
      <w:r>
        <w:rPr>
          <w:rFonts w:hint="eastAsia" w:ascii="宋体" w:hAnsi="宋体" w:cs="仿宋_GB2312"/>
          <w:szCs w:val="21"/>
        </w:rPr>
        <w:t>（</w:t>
      </w:r>
      <w:r>
        <w:rPr>
          <w:rFonts w:ascii="宋体" w:hAnsi="宋体"/>
          <w:szCs w:val="21"/>
        </w:rPr>
        <w:t>2</w:t>
      </w:r>
      <w:r>
        <w:rPr>
          <w:rFonts w:hint="eastAsia" w:ascii="宋体" w:hAnsi="宋体" w:cs="仿宋_GB2312"/>
          <w:szCs w:val="21"/>
        </w:rPr>
        <w:t>）发包人完成支付的期限：</w:t>
      </w:r>
      <w:r>
        <w:rPr>
          <w:rFonts w:hint="eastAsia" w:ascii="宋体" w:hAnsi="宋体" w:cs="仿宋_GB2312"/>
          <w:szCs w:val="21"/>
          <w:u w:val="single"/>
        </w:rPr>
        <w:t>。</w:t>
      </w:r>
    </w:p>
    <w:bookmarkEnd w:id="808"/>
    <w:bookmarkEnd w:id="809"/>
    <w:bookmarkEnd w:id="810"/>
    <w:bookmarkEnd w:id="811"/>
    <w:bookmarkEnd w:id="812"/>
    <w:bookmarkEnd w:id="813"/>
    <w:bookmarkEnd w:id="814"/>
    <w:bookmarkEnd w:id="820"/>
    <w:p>
      <w:pPr>
        <w:pStyle w:val="4"/>
        <w:spacing w:before="0" w:after="0" w:line="360" w:lineRule="auto"/>
        <w:ind w:firstLine="118"/>
        <w:rPr>
          <w:rFonts w:ascii="宋体"/>
          <w:szCs w:val="24"/>
        </w:rPr>
      </w:pPr>
      <w:bookmarkStart w:id="822" w:name="_Toc351203647"/>
      <w:bookmarkStart w:id="823" w:name="_Toc267251483"/>
      <w:bookmarkStart w:id="824" w:name="_Toc267251482"/>
      <w:bookmarkStart w:id="825" w:name="_Toc267251484"/>
      <w:bookmarkStart w:id="826" w:name="_Toc267251485"/>
      <w:bookmarkStart w:id="827" w:name="_Toc267251490"/>
      <w:bookmarkStart w:id="828" w:name="_Toc267251488"/>
      <w:bookmarkStart w:id="829" w:name="_Toc267251489"/>
      <w:bookmarkStart w:id="830" w:name="_Toc267251486"/>
      <w:bookmarkStart w:id="831" w:name="_Toc267251501"/>
      <w:bookmarkStart w:id="832" w:name="_Toc267251498"/>
      <w:bookmarkStart w:id="833" w:name="_Toc267251503"/>
      <w:bookmarkStart w:id="834" w:name="_Toc267251494"/>
      <w:bookmarkStart w:id="835" w:name="_Toc267251493"/>
      <w:bookmarkStart w:id="836" w:name="_Toc267251491"/>
      <w:bookmarkStart w:id="837" w:name="_Toc267251499"/>
      <w:bookmarkStart w:id="838" w:name="_Toc267251496"/>
      <w:bookmarkStart w:id="839" w:name="_Toc267251495"/>
      <w:bookmarkStart w:id="840" w:name="_Toc267251492"/>
      <w:bookmarkStart w:id="841" w:name="_Toc267251497"/>
      <w:bookmarkStart w:id="842" w:name="_Toc267251502"/>
      <w:bookmarkStart w:id="843" w:name="_Toc267251506"/>
      <w:bookmarkStart w:id="844" w:name="_Toc267251504"/>
      <w:bookmarkStart w:id="845" w:name="_Toc267251507"/>
      <w:bookmarkStart w:id="846" w:name="_Toc267251508"/>
      <w:bookmarkStart w:id="847" w:name="_Toc267251514"/>
      <w:bookmarkStart w:id="848" w:name="_Toc267251510"/>
      <w:bookmarkStart w:id="849" w:name="_Toc267251515"/>
      <w:bookmarkStart w:id="850" w:name="_Toc267251513"/>
      <w:bookmarkStart w:id="851" w:name="_Toc267251511"/>
      <w:bookmarkStart w:id="852" w:name="_Toc267251509"/>
      <w:r>
        <w:rPr>
          <w:rFonts w:ascii="宋体"/>
          <w:szCs w:val="24"/>
        </w:rPr>
        <w:t xml:space="preserve">15. </w:t>
      </w:r>
      <w:r>
        <w:rPr>
          <w:rFonts w:hint="eastAsia" w:ascii="宋体"/>
          <w:szCs w:val="24"/>
        </w:rPr>
        <w:t>缺陷责任期与保修</w:t>
      </w:r>
      <w:bookmarkEnd w:id="822"/>
    </w:p>
    <w:p>
      <w:pPr>
        <w:spacing w:line="360" w:lineRule="auto"/>
        <w:ind w:firstLine="420" w:firstLineChars="200"/>
        <w:rPr>
          <w:rFonts w:ascii="宋体" w:hAnsi="宋体"/>
          <w:szCs w:val="21"/>
        </w:rPr>
      </w:pPr>
      <w:r>
        <w:rPr>
          <w:rFonts w:ascii="宋体" w:hAnsi="宋体"/>
          <w:szCs w:val="21"/>
        </w:rPr>
        <w:t>15.2</w:t>
      </w:r>
      <w:r>
        <w:rPr>
          <w:rFonts w:hint="eastAsia" w:ascii="宋体" w:hAnsi="宋体" w:cs="黑体"/>
          <w:szCs w:val="21"/>
        </w:rPr>
        <w:t>缺陷责任期</w:t>
      </w:r>
      <w:bookmarkEnd w:id="823"/>
    </w:p>
    <w:p>
      <w:pPr>
        <w:spacing w:line="360" w:lineRule="auto"/>
        <w:ind w:firstLine="420" w:firstLineChars="200"/>
        <w:rPr>
          <w:rFonts w:ascii="宋体" w:hAnsi="宋体"/>
          <w:szCs w:val="21"/>
          <w:u w:val="single"/>
        </w:rPr>
      </w:pPr>
      <w:r>
        <w:rPr>
          <w:rFonts w:hint="eastAsia" w:ascii="宋体" w:hAnsi="宋体" w:cs="仿宋_GB2312"/>
          <w:szCs w:val="21"/>
        </w:rPr>
        <w:t>缺陷责任期的具体期限：</w:t>
      </w:r>
      <w:r>
        <w:rPr>
          <w:rFonts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15.3 </w:t>
      </w:r>
      <w:r>
        <w:rPr>
          <w:rFonts w:hint="eastAsia" w:ascii="宋体" w:hAnsi="宋体" w:cs="黑体"/>
          <w:szCs w:val="21"/>
        </w:rPr>
        <w:t>质量保证金</w:t>
      </w:r>
    </w:p>
    <w:p>
      <w:pPr>
        <w:spacing w:line="360" w:lineRule="auto"/>
        <w:ind w:firstLine="420" w:firstLineChars="200"/>
        <w:rPr>
          <w:rFonts w:ascii="宋体" w:hAnsi="宋体"/>
          <w:szCs w:val="21"/>
        </w:rPr>
      </w:pPr>
      <w:r>
        <w:rPr>
          <w:rFonts w:hint="eastAsia" w:ascii="宋体" w:hAnsi="宋体" w:cs="仿宋_GB2312"/>
          <w:szCs w:val="21"/>
        </w:rPr>
        <w:t>关于是否扣留质量保证金的约定：。</w:t>
      </w:r>
    </w:p>
    <w:p>
      <w:pPr>
        <w:spacing w:line="360" w:lineRule="auto"/>
        <w:ind w:firstLine="420" w:firstLineChars="200"/>
        <w:rPr>
          <w:rFonts w:ascii="宋体" w:hAnsi="宋体"/>
          <w:szCs w:val="21"/>
        </w:rPr>
      </w:pPr>
      <w:r>
        <w:rPr>
          <w:rFonts w:ascii="宋体" w:hAnsi="宋体"/>
          <w:szCs w:val="21"/>
        </w:rPr>
        <w:t xml:space="preserve">15.3.1 </w:t>
      </w:r>
      <w:r>
        <w:rPr>
          <w:rFonts w:hint="eastAsia" w:ascii="宋体" w:hAnsi="宋体" w:cs="仿宋_GB2312"/>
          <w:szCs w:val="21"/>
        </w:rPr>
        <w:t>承包人提供质量保证金的方式</w:t>
      </w:r>
    </w:p>
    <w:p>
      <w:pPr>
        <w:spacing w:line="360" w:lineRule="auto"/>
        <w:ind w:firstLine="420" w:firstLineChars="200"/>
        <w:rPr>
          <w:rFonts w:ascii="宋体" w:hAnsi="宋体"/>
          <w:szCs w:val="21"/>
        </w:rPr>
      </w:pPr>
      <w:r>
        <w:rPr>
          <w:rFonts w:hint="eastAsia" w:ascii="宋体" w:hAnsi="宋体" w:cs="仿宋_GB2312"/>
          <w:szCs w:val="21"/>
        </w:rPr>
        <w:t>质量保证金采用以下第</w:t>
      </w:r>
      <w:r>
        <w:rPr>
          <w:rFonts w:hint="eastAsia" w:ascii="宋体" w:hAnsi="宋体" w:cs="仿宋_GB2312"/>
          <w:szCs w:val="21"/>
          <w:u w:val="single"/>
        </w:rPr>
        <w:t>（</w:t>
      </w:r>
      <w:r>
        <w:rPr>
          <w:rFonts w:ascii="宋体" w:hAnsi="宋体"/>
          <w:szCs w:val="21"/>
          <w:u w:val="single"/>
        </w:rPr>
        <w:t>2</w:t>
      </w:r>
      <w:r>
        <w:rPr>
          <w:rFonts w:hint="eastAsia" w:ascii="宋体" w:hAnsi="宋体" w:cs="仿宋_GB2312"/>
          <w:szCs w:val="21"/>
          <w:u w:val="single"/>
        </w:rPr>
        <w:t>）</w:t>
      </w:r>
      <w:r>
        <w:rPr>
          <w:rFonts w:hint="eastAsia" w:ascii="宋体" w:hAnsi="宋体" w:cs="仿宋_GB2312"/>
          <w:szCs w:val="21"/>
        </w:rPr>
        <w:t>种方式：</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）质量保证金保函，保证金额为：</w:t>
      </w:r>
      <w:r>
        <w:rPr>
          <w:rFonts w:ascii="宋体" w:hAnsi="宋体" w:cs="仿宋_GB2312"/>
          <w:szCs w:val="21"/>
        </w:rPr>
        <w:t xml:space="preserve">/ </w:t>
      </w:r>
      <w:r>
        <w:rPr>
          <w:rFonts w:hint="eastAsia" w:ascii="宋体" w:hAnsi="宋体" w:cs="仿宋_GB2312"/>
          <w:szCs w:val="21"/>
        </w:rPr>
        <w:t>；</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w:t>
      </w:r>
      <w:r>
        <w:rPr>
          <w:rFonts w:hint="eastAsia" w:ascii="宋体" w:hAnsi="宋体"/>
          <w:szCs w:val="21"/>
          <w:u w:val="single"/>
        </w:rPr>
        <w:t>3</w:t>
      </w:r>
      <w:r>
        <w:rPr>
          <w:rFonts w:ascii="宋体" w:hAnsi="宋体"/>
          <w:szCs w:val="21"/>
        </w:rPr>
        <w:t>%</w:t>
      </w:r>
      <w:r>
        <w:rPr>
          <w:rFonts w:hint="eastAsia" w:ascii="宋体" w:hAnsi="宋体" w:cs="仿宋_GB2312"/>
          <w:szCs w:val="21"/>
        </w:rPr>
        <w:t>的工程款；</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3</w:t>
      </w:r>
      <w:r>
        <w:rPr>
          <w:rFonts w:hint="eastAsia" w:ascii="宋体" w:hAnsi="宋体" w:cs="仿宋_GB2312"/>
          <w:szCs w:val="21"/>
        </w:rPr>
        <w:t>）其他方式</w:t>
      </w:r>
      <w:r>
        <w:rPr>
          <w:rFonts w:ascii="宋体" w:hAnsi="宋体"/>
          <w:szCs w:val="21"/>
        </w:rPr>
        <w:t>:</w:t>
      </w:r>
      <w:r>
        <w:rPr>
          <w:rFonts w:ascii="宋体" w:hAnsi="宋体"/>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15.3.2 </w:t>
      </w:r>
      <w:r>
        <w:rPr>
          <w:rFonts w:hint="eastAsia" w:ascii="宋体" w:hAnsi="宋体" w:cs="仿宋_GB2312"/>
          <w:szCs w:val="21"/>
        </w:rPr>
        <w:t>质量保证金的扣留</w:t>
      </w:r>
    </w:p>
    <w:p>
      <w:pPr>
        <w:spacing w:line="360" w:lineRule="auto"/>
        <w:ind w:firstLine="420" w:firstLineChars="200"/>
        <w:rPr>
          <w:rFonts w:ascii="宋体" w:hAnsi="宋体"/>
          <w:szCs w:val="21"/>
        </w:rPr>
      </w:pPr>
      <w:r>
        <w:rPr>
          <w:rFonts w:hint="eastAsia" w:ascii="宋体" w:hAnsi="宋体" w:cs="仿宋_GB2312"/>
          <w:szCs w:val="21"/>
        </w:rPr>
        <w:t>质量保证金的扣留采取以下第</w:t>
      </w:r>
      <w:r>
        <w:rPr>
          <w:rFonts w:hint="eastAsia" w:ascii="宋体" w:hAnsi="宋体" w:cs="仿宋_GB2312"/>
          <w:szCs w:val="21"/>
          <w:u w:val="single"/>
        </w:rPr>
        <w:t>（</w:t>
      </w:r>
      <w:r>
        <w:rPr>
          <w:rFonts w:ascii="宋体" w:hAnsi="宋体"/>
          <w:szCs w:val="21"/>
          <w:u w:val="single"/>
        </w:rPr>
        <w:t>2</w:t>
      </w:r>
      <w:r>
        <w:rPr>
          <w:rFonts w:hint="eastAsia" w:ascii="宋体" w:hAnsi="宋体" w:cs="仿宋_GB2312"/>
          <w:szCs w:val="21"/>
          <w:u w:val="single"/>
        </w:rPr>
        <w:t>）</w:t>
      </w:r>
      <w:r>
        <w:rPr>
          <w:rFonts w:hint="eastAsia" w:ascii="宋体" w:hAnsi="宋体" w:cs="仿宋_GB2312"/>
          <w:szCs w:val="21"/>
        </w:rPr>
        <w:t>种方式：</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）工程竣工结算时一次性扣留质量保证金；</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3</w:t>
      </w:r>
      <w:r>
        <w:rPr>
          <w:rFonts w:hint="eastAsia" w:ascii="宋体" w:hAnsi="宋体" w:cs="仿宋_GB2312"/>
          <w:szCs w:val="21"/>
        </w:rPr>
        <w:t>）其他扣留方式</w:t>
      </w:r>
      <w:r>
        <w:rPr>
          <w:rFonts w:ascii="宋体" w:hAnsi="宋体"/>
          <w:szCs w:val="21"/>
        </w:rPr>
        <w:t>:</w:t>
      </w:r>
      <w:r>
        <w:rPr>
          <w:rFonts w:ascii="宋体" w:hAnsi="宋体"/>
          <w:szCs w:val="21"/>
          <w:u w:val="single"/>
        </w:rPr>
        <w:t>/</w:t>
      </w:r>
      <w:r>
        <w:rPr>
          <w:rFonts w:hint="eastAsia" w:ascii="宋体" w:hAnsi="宋体" w:cs="仿宋_GB2312"/>
          <w:szCs w:val="21"/>
        </w:rPr>
        <w:t>。</w:t>
      </w:r>
    </w:p>
    <w:p>
      <w:pPr>
        <w:pStyle w:val="20"/>
        <w:spacing w:line="360" w:lineRule="auto"/>
        <w:ind w:left="63" w:right="63" w:firstLine="371" w:firstLineChars="177"/>
        <w:rPr>
          <w:rFonts w:ascii="宋体" w:hAnsi="宋体"/>
          <w:szCs w:val="21"/>
          <w:u w:val="single"/>
        </w:rPr>
      </w:pPr>
      <w:r>
        <w:rPr>
          <w:rFonts w:hint="eastAsia" w:ascii="宋体" w:hAnsi="宋体" w:cs="仿宋_GB2312"/>
          <w:szCs w:val="21"/>
        </w:rPr>
        <w:t>关于质量保证金的补充约定：</w:t>
      </w:r>
      <w:r>
        <w:rPr>
          <w:rFonts w:hint="eastAsia" w:ascii="宋体" w:hAnsi="宋体" w:cs="仿宋_GB2312"/>
          <w:szCs w:val="21"/>
          <w:u w:val="single"/>
        </w:rPr>
        <w:t>工程结算并经审定后扣除按审定工程总价款的</w:t>
      </w:r>
      <w:r>
        <w:rPr>
          <w:rFonts w:hint="eastAsia" w:ascii="宋体" w:hAnsi="宋体"/>
          <w:szCs w:val="21"/>
          <w:u w:val="single"/>
        </w:rPr>
        <w:t>3</w:t>
      </w:r>
      <w:r>
        <w:rPr>
          <w:rFonts w:ascii="宋体" w:hAnsi="宋体"/>
          <w:szCs w:val="21"/>
          <w:u w:val="single"/>
        </w:rPr>
        <w:t>%</w:t>
      </w:r>
      <w:r>
        <w:rPr>
          <w:rFonts w:hint="eastAsia" w:ascii="宋体" w:hAnsi="宋体" w:cs="仿宋_GB2312"/>
          <w:szCs w:val="21"/>
          <w:u w:val="single"/>
        </w:rPr>
        <w:t>确定的保修金额后，支付扣除质保金后剩余部分的工程款；无息退还质量保修金时应扣除承包人维修不及时而由发包人委托第三方维修所发生的费用，但并不免除承包人在保修期内的保修责任。</w:t>
      </w:r>
    </w:p>
    <w:bookmarkEnd w:id="824"/>
    <w:bookmarkEnd w:id="825"/>
    <w:p>
      <w:pPr>
        <w:spacing w:line="360" w:lineRule="auto"/>
        <w:ind w:firstLine="420" w:firstLineChars="200"/>
        <w:rPr>
          <w:rFonts w:ascii="宋体" w:hAnsi="宋体"/>
          <w:szCs w:val="21"/>
        </w:rPr>
      </w:pPr>
      <w:r>
        <w:rPr>
          <w:rFonts w:ascii="宋体" w:hAnsi="宋体"/>
          <w:szCs w:val="21"/>
        </w:rPr>
        <w:t>15.4</w:t>
      </w:r>
      <w:r>
        <w:rPr>
          <w:rFonts w:hint="eastAsia" w:ascii="宋体" w:hAnsi="宋体" w:cs="黑体"/>
          <w:szCs w:val="21"/>
        </w:rPr>
        <w:t>保修</w:t>
      </w:r>
    </w:p>
    <w:bookmarkEnd w:id="826"/>
    <w:p>
      <w:pPr>
        <w:spacing w:line="360" w:lineRule="auto"/>
        <w:ind w:firstLine="409" w:firstLineChars="195"/>
        <w:rPr>
          <w:rFonts w:ascii="宋体" w:hAnsi="宋体"/>
          <w:szCs w:val="21"/>
        </w:rPr>
      </w:pPr>
      <w:r>
        <w:rPr>
          <w:rFonts w:ascii="宋体" w:hAnsi="宋体"/>
          <w:szCs w:val="21"/>
        </w:rPr>
        <w:t xml:space="preserve">15.4.1 </w:t>
      </w:r>
      <w:r>
        <w:rPr>
          <w:rFonts w:hint="eastAsia" w:ascii="宋体" w:hAnsi="宋体" w:cs="仿宋_GB2312"/>
          <w:szCs w:val="21"/>
        </w:rPr>
        <w:t>保修责任</w:t>
      </w:r>
    </w:p>
    <w:p>
      <w:pPr>
        <w:pStyle w:val="20"/>
        <w:spacing w:line="360" w:lineRule="auto"/>
        <w:ind w:left="63" w:right="63" w:firstLine="371" w:firstLineChars="177"/>
        <w:rPr>
          <w:rFonts w:ascii="宋体" w:hAnsi="宋体"/>
          <w:szCs w:val="21"/>
        </w:rPr>
      </w:pPr>
      <w:r>
        <w:rPr>
          <w:rFonts w:hint="eastAsia" w:ascii="宋体" w:hAnsi="宋体" w:cs="仿宋_GB2312"/>
          <w:szCs w:val="21"/>
        </w:rPr>
        <w:t>工程保修期为：。</w:t>
      </w:r>
    </w:p>
    <w:p>
      <w:pPr>
        <w:spacing w:line="360" w:lineRule="auto"/>
        <w:ind w:firstLine="409" w:firstLineChars="195"/>
        <w:rPr>
          <w:rFonts w:ascii="宋体" w:hAnsi="宋体"/>
          <w:szCs w:val="21"/>
        </w:rPr>
      </w:pPr>
      <w:r>
        <w:rPr>
          <w:rFonts w:ascii="宋体" w:hAnsi="宋体"/>
          <w:szCs w:val="21"/>
        </w:rPr>
        <w:t xml:space="preserve">15.4.3 </w:t>
      </w:r>
      <w:r>
        <w:rPr>
          <w:rFonts w:hint="eastAsia" w:ascii="宋体" w:hAnsi="宋体" w:cs="仿宋_GB2312"/>
          <w:szCs w:val="21"/>
        </w:rPr>
        <w:t>修复通知</w:t>
      </w:r>
    </w:p>
    <w:p>
      <w:pPr>
        <w:spacing w:line="360" w:lineRule="auto"/>
        <w:ind w:firstLine="420" w:firstLineChars="200"/>
        <w:rPr>
          <w:rFonts w:ascii="宋体" w:hAnsi="宋体"/>
          <w:szCs w:val="21"/>
          <w:u w:val="single"/>
        </w:rPr>
      </w:pPr>
      <w:r>
        <w:rPr>
          <w:rFonts w:hint="eastAsia" w:ascii="宋体" w:hAnsi="宋体" w:cs="仿宋_GB2312"/>
          <w:szCs w:val="21"/>
        </w:rPr>
        <w:t>承包人收到保修通知并到达工程现场的合理时间：</w:t>
      </w:r>
      <w:r>
        <w:rPr>
          <w:rFonts w:hint="eastAsia" w:ascii="宋体" w:hAnsi="宋体"/>
          <w:szCs w:val="21"/>
          <w:u w:val="single"/>
        </w:rPr>
        <w:t xml:space="preserve">                             。</w:t>
      </w:r>
    </w:p>
    <w:bookmarkEnd w:id="827"/>
    <w:bookmarkEnd w:id="828"/>
    <w:bookmarkEnd w:id="829"/>
    <w:bookmarkEnd w:id="830"/>
    <w:p>
      <w:pPr>
        <w:pStyle w:val="4"/>
        <w:spacing w:before="0" w:after="0" w:line="360" w:lineRule="auto"/>
        <w:ind w:firstLine="118"/>
        <w:rPr>
          <w:rFonts w:ascii="宋体"/>
          <w:szCs w:val="24"/>
        </w:rPr>
      </w:pPr>
      <w:bookmarkStart w:id="853" w:name="_Toc351203648"/>
      <w:bookmarkStart w:id="854" w:name="_Toc280868717"/>
      <w:bookmarkStart w:id="855" w:name="_Toc280868718"/>
      <w:r>
        <w:rPr>
          <w:rFonts w:ascii="宋体"/>
          <w:szCs w:val="24"/>
        </w:rPr>
        <w:t xml:space="preserve">16. </w:t>
      </w:r>
      <w:r>
        <w:rPr>
          <w:rFonts w:hint="eastAsia" w:ascii="宋体"/>
          <w:szCs w:val="24"/>
        </w:rPr>
        <w:t>违约</w:t>
      </w:r>
      <w:bookmarkEnd w:id="853"/>
    </w:p>
    <w:p>
      <w:pPr>
        <w:spacing w:line="360" w:lineRule="auto"/>
        <w:ind w:firstLine="420" w:firstLineChars="200"/>
        <w:rPr>
          <w:rFonts w:ascii="宋体" w:hAnsi="宋体"/>
          <w:szCs w:val="21"/>
        </w:rPr>
      </w:pPr>
      <w:r>
        <w:rPr>
          <w:rFonts w:ascii="宋体" w:hAnsi="宋体"/>
          <w:szCs w:val="21"/>
        </w:rPr>
        <w:t xml:space="preserve">16.1 </w:t>
      </w:r>
      <w:r>
        <w:rPr>
          <w:rFonts w:hint="eastAsia" w:ascii="宋体" w:hAnsi="宋体" w:cs="黑体"/>
          <w:szCs w:val="21"/>
        </w:rPr>
        <w:t>发包人违约</w:t>
      </w:r>
    </w:p>
    <w:p>
      <w:pPr>
        <w:spacing w:line="360" w:lineRule="auto"/>
        <w:ind w:firstLine="420" w:firstLineChars="200"/>
        <w:rPr>
          <w:rFonts w:ascii="宋体" w:hAnsi="宋体"/>
          <w:szCs w:val="21"/>
        </w:rPr>
      </w:pPr>
      <w:r>
        <w:rPr>
          <w:rFonts w:ascii="宋体" w:hAnsi="宋体"/>
          <w:szCs w:val="21"/>
        </w:rPr>
        <w:t>16.1.1</w:t>
      </w:r>
      <w:r>
        <w:rPr>
          <w:rFonts w:hint="eastAsia" w:ascii="宋体" w:hAnsi="宋体" w:cs="仿宋_GB2312"/>
          <w:szCs w:val="21"/>
        </w:rPr>
        <w:t>发包人违约的情形</w:t>
      </w:r>
    </w:p>
    <w:p>
      <w:pPr>
        <w:spacing w:line="360" w:lineRule="auto"/>
        <w:ind w:firstLine="420" w:firstLineChars="200"/>
        <w:rPr>
          <w:rFonts w:ascii="宋体" w:hAnsi="宋体"/>
          <w:szCs w:val="21"/>
          <w:highlight w:val="yellow"/>
        </w:rPr>
      </w:pPr>
      <w:r>
        <w:rPr>
          <w:rFonts w:hint="eastAsia" w:ascii="宋体" w:hAnsi="宋体" w:cs="仿宋_GB2312"/>
          <w:szCs w:val="21"/>
        </w:rPr>
        <w:t>发包人违约的其他情形：</w:t>
      </w:r>
      <w:r>
        <w:rPr>
          <w:rFonts w:ascii="宋体" w:hAnsi="宋体" w:cs="仿宋_GB2312"/>
          <w:szCs w:val="21"/>
          <w:u w:val="single"/>
        </w:rPr>
        <w:t>/</w:t>
      </w:r>
      <w:r>
        <w:rPr>
          <w:rFonts w:hint="eastAsia" w:ascii="宋体" w:hAnsi="宋体" w:cs="仿宋_GB2312"/>
          <w:szCs w:val="21"/>
        </w:rPr>
        <w:t>。</w:t>
      </w:r>
    </w:p>
    <w:p>
      <w:pPr>
        <w:spacing w:line="360" w:lineRule="auto"/>
        <w:ind w:left="1050" w:hanging="1050" w:hangingChars="500"/>
        <w:rPr>
          <w:rFonts w:ascii="宋体" w:hAnsi="宋体"/>
          <w:szCs w:val="21"/>
        </w:rPr>
      </w:pPr>
      <w:r>
        <w:rPr>
          <w:rFonts w:ascii="宋体" w:hAnsi="宋体"/>
          <w:szCs w:val="21"/>
        </w:rPr>
        <w:t xml:space="preserve">    16.1.2 </w:t>
      </w:r>
      <w:r>
        <w:rPr>
          <w:rFonts w:hint="eastAsia" w:ascii="宋体" w:hAnsi="宋体" w:cs="仿宋_GB2312"/>
          <w:szCs w:val="21"/>
        </w:rPr>
        <w:t>发包人违约的责任</w:t>
      </w:r>
    </w:p>
    <w:p>
      <w:pPr>
        <w:spacing w:line="360" w:lineRule="auto"/>
        <w:ind w:firstLine="420" w:firstLineChars="200"/>
        <w:rPr>
          <w:rFonts w:ascii="宋体" w:hAnsi="宋体"/>
          <w:szCs w:val="21"/>
        </w:rPr>
      </w:pPr>
      <w:r>
        <w:rPr>
          <w:rFonts w:hint="eastAsia" w:ascii="宋体" w:hAnsi="宋体" w:cs="仿宋_GB2312"/>
          <w:szCs w:val="21"/>
        </w:rPr>
        <w:t>发包人违约责任的承担方式和计算方法：</w:t>
      </w:r>
    </w:p>
    <w:p>
      <w:pPr>
        <w:spacing w:line="360" w:lineRule="auto"/>
        <w:ind w:firstLine="420" w:firstLineChars="200"/>
        <w:rPr>
          <w:rFonts w:ascii="宋体" w:hAnsi="宋体"/>
          <w:szCs w:val="21"/>
          <w:u w:val="single"/>
        </w:rPr>
      </w:pPr>
      <w:r>
        <w:rPr>
          <w:rFonts w:hint="eastAsia" w:ascii="宋体" w:hAnsi="宋体" w:cs="仿宋_GB2312"/>
          <w:szCs w:val="21"/>
        </w:rPr>
        <w:t>（</w:t>
      </w:r>
      <w:r>
        <w:rPr>
          <w:rFonts w:ascii="宋体" w:hAnsi="宋体"/>
          <w:szCs w:val="21"/>
        </w:rPr>
        <w:t>1</w:t>
      </w:r>
      <w:r>
        <w:rPr>
          <w:rFonts w:hint="eastAsia" w:ascii="宋体" w:hAnsi="宋体" w:cs="仿宋_GB2312"/>
          <w:szCs w:val="21"/>
        </w:rPr>
        <w:t>）因发包人原因未能在计划开工日期前</w:t>
      </w:r>
      <w:r>
        <w:rPr>
          <w:rFonts w:ascii="宋体" w:hAnsi="宋体"/>
          <w:szCs w:val="21"/>
        </w:rPr>
        <w:t>7</w:t>
      </w:r>
      <w:r>
        <w:rPr>
          <w:rFonts w:hint="eastAsia" w:ascii="宋体" w:hAnsi="宋体" w:cs="仿宋_GB2312"/>
          <w:szCs w:val="21"/>
        </w:rPr>
        <w:t>天内下达开工通知的违约责任：</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）因发包人原因未能按合同约定支付合同价款的违约责任：</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w:t>
      </w:r>
      <w:r>
        <w:rPr>
          <w:rFonts w:ascii="宋体" w:hAnsi="宋体"/>
          <w:szCs w:val="21"/>
        </w:rPr>
        <w:t>3</w:t>
      </w:r>
      <w:r>
        <w:rPr>
          <w:rFonts w:hint="eastAsia" w:ascii="宋体" w:hAnsi="宋体" w:cs="仿宋_GB2312"/>
          <w:szCs w:val="21"/>
        </w:rPr>
        <w:t>）发包人违反第</w:t>
      </w:r>
      <w:r>
        <w:rPr>
          <w:rFonts w:ascii="宋体" w:hAnsi="宋体"/>
          <w:szCs w:val="21"/>
        </w:rPr>
        <w:t>10.1</w:t>
      </w:r>
      <w:r>
        <w:rPr>
          <w:rFonts w:hint="eastAsia" w:ascii="宋体" w:hAnsi="宋体" w:cs="仿宋_GB2312"/>
          <w:szCs w:val="21"/>
        </w:rPr>
        <w:t>款〔变更的范围〕第（</w:t>
      </w:r>
      <w:r>
        <w:rPr>
          <w:rFonts w:ascii="宋体" w:hAnsi="宋体"/>
          <w:szCs w:val="21"/>
        </w:rPr>
        <w:t>2</w:t>
      </w:r>
      <w:r>
        <w:rPr>
          <w:rFonts w:hint="eastAsia" w:ascii="宋体" w:hAnsi="宋体" w:cs="仿宋_GB2312"/>
          <w:szCs w:val="21"/>
        </w:rPr>
        <w:t>）项约定，自行实施被取消的工作或转由他人实施的违约责任：</w:t>
      </w:r>
      <w:r>
        <w:rPr>
          <w:rFonts w:ascii="宋体" w:hAnsi="宋体"/>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4</w:t>
      </w:r>
      <w:r>
        <w:rPr>
          <w:rFonts w:hint="eastAsia" w:ascii="宋体" w:hAnsi="宋体" w:cs="仿宋_GB2312"/>
          <w:szCs w:val="21"/>
        </w:rPr>
        <w:t>）发包人提供的材料、工程设备的规格、数量或质量不符合合同约定，或因发包人原因导致交货日期延误或交货地点变更等情况的违约责任：</w:t>
      </w:r>
      <w:r>
        <w:rPr>
          <w:rFonts w:hint="eastAsia"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5</w:t>
      </w:r>
      <w:r>
        <w:rPr>
          <w:rFonts w:hint="eastAsia" w:ascii="宋体" w:hAnsi="宋体" w:cs="仿宋_GB2312"/>
          <w:szCs w:val="21"/>
        </w:rPr>
        <w:t>）因发包人违反合同约定造成暂停施工的违约责任：。</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6</w:t>
      </w:r>
      <w:r>
        <w:rPr>
          <w:rFonts w:hint="eastAsia" w:ascii="宋体" w:hAnsi="宋体" w:cs="仿宋_GB2312"/>
          <w:szCs w:val="21"/>
        </w:rPr>
        <w:t>）发包人无正当理由没有在约定期限内发出复工指示，导致承包人无法复工的违约责任：。</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7</w:t>
      </w:r>
      <w:r>
        <w:rPr>
          <w:rFonts w:hint="eastAsia" w:ascii="宋体" w:hAnsi="宋体" w:cs="仿宋_GB2312"/>
          <w:szCs w:val="21"/>
        </w:rPr>
        <w:t>）其他：</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16.1.3 </w:t>
      </w:r>
      <w:r>
        <w:rPr>
          <w:rFonts w:hint="eastAsia" w:ascii="宋体" w:hAnsi="宋体" w:cs="仿宋_GB2312"/>
          <w:szCs w:val="21"/>
        </w:rPr>
        <w:t>因发包人违约解除合同</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承包人按</w:t>
      </w:r>
      <w:r>
        <w:rPr>
          <w:rFonts w:ascii="宋体" w:hAnsi="宋体"/>
          <w:szCs w:val="21"/>
        </w:rPr>
        <w:t>16.1.1</w:t>
      </w:r>
      <w:r>
        <w:rPr>
          <w:rFonts w:hint="eastAsia" w:ascii="宋体" w:hAnsi="宋体" w:cs="仿宋_GB2312"/>
          <w:szCs w:val="21"/>
        </w:rPr>
        <w:t>项〔发包人违约的情形〕约定暂停施工满</w:t>
      </w:r>
      <w:r>
        <w:rPr>
          <w:rFonts w:ascii="宋体" w:hAnsi="宋体"/>
          <w:szCs w:val="21"/>
          <w:u w:val="single"/>
        </w:rPr>
        <w:t>/</w:t>
      </w:r>
      <w:r>
        <w:rPr>
          <w:rFonts w:hint="eastAsia" w:ascii="宋体" w:hAnsi="宋体" w:cs="仿宋_GB2312"/>
          <w:szCs w:val="21"/>
        </w:rPr>
        <w:t>天后发包人仍不纠正其违约行为并致使合同目的不能实现的，承包人有权解除合同。</w:t>
      </w:r>
    </w:p>
    <w:p>
      <w:pPr>
        <w:spacing w:line="360" w:lineRule="auto"/>
        <w:ind w:firstLine="420" w:firstLineChars="200"/>
        <w:rPr>
          <w:rFonts w:ascii="宋体" w:hAnsi="宋体"/>
          <w:szCs w:val="21"/>
        </w:rPr>
      </w:pPr>
      <w:r>
        <w:rPr>
          <w:rFonts w:ascii="宋体" w:hAnsi="宋体"/>
          <w:szCs w:val="21"/>
        </w:rPr>
        <w:t xml:space="preserve">16.2 </w:t>
      </w:r>
      <w:r>
        <w:rPr>
          <w:rFonts w:hint="eastAsia" w:ascii="宋体" w:hAnsi="宋体" w:cs="黑体"/>
          <w:szCs w:val="21"/>
        </w:rPr>
        <w:t>承包人违约</w:t>
      </w:r>
    </w:p>
    <w:p>
      <w:pPr>
        <w:spacing w:line="360" w:lineRule="auto"/>
        <w:ind w:firstLine="420" w:firstLineChars="200"/>
        <w:rPr>
          <w:rFonts w:ascii="宋体" w:hAnsi="宋体"/>
          <w:szCs w:val="21"/>
        </w:rPr>
      </w:pPr>
      <w:r>
        <w:rPr>
          <w:rFonts w:ascii="宋体" w:hAnsi="宋体"/>
          <w:szCs w:val="21"/>
        </w:rPr>
        <w:t xml:space="preserve">16.2.1 </w:t>
      </w:r>
      <w:r>
        <w:rPr>
          <w:rFonts w:hint="eastAsia" w:ascii="宋体" w:hAnsi="宋体" w:cs="仿宋_GB2312"/>
          <w:szCs w:val="21"/>
        </w:rPr>
        <w:t>承包人违约的情形</w:t>
      </w:r>
    </w:p>
    <w:p>
      <w:pPr>
        <w:pStyle w:val="17"/>
        <w:spacing w:line="360" w:lineRule="auto"/>
        <w:rPr>
          <w:rFonts w:ascii="宋体" w:hAnsi="宋体" w:cs="仿宋_GB2312"/>
          <w:szCs w:val="21"/>
          <w:u w:val="single"/>
        </w:rPr>
      </w:pPr>
      <w:r>
        <w:rPr>
          <w:rFonts w:hint="eastAsia" w:ascii="宋体" w:hAnsi="宋体" w:cs="仿宋_GB2312"/>
          <w:szCs w:val="21"/>
        </w:rPr>
        <w:t>承包人违约的其他情形：</w:t>
      </w:r>
      <w:r>
        <w:rPr>
          <w:rFonts w:hint="eastAsia" w:ascii="宋体" w:hAnsi="宋体" w:cs="仿宋_GB2312"/>
          <w:szCs w:val="21"/>
          <w:u w:val="single"/>
        </w:rPr>
        <w:t xml:space="preserve">                 。</w:t>
      </w:r>
    </w:p>
    <w:p>
      <w:pPr>
        <w:pStyle w:val="17"/>
        <w:spacing w:line="360" w:lineRule="auto"/>
        <w:rPr>
          <w:rFonts w:ascii="宋体" w:hAnsi="宋体" w:cs="宋体"/>
          <w:b/>
          <w:bCs/>
          <w:szCs w:val="21"/>
          <w:u w:val="single"/>
        </w:rPr>
      </w:pPr>
      <w:r>
        <w:rPr>
          <w:rFonts w:ascii="宋体" w:hAnsi="宋体"/>
          <w:szCs w:val="21"/>
        </w:rPr>
        <w:t>16.2.2</w:t>
      </w:r>
      <w:r>
        <w:rPr>
          <w:rFonts w:hint="eastAsia" w:ascii="宋体" w:hAnsi="宋体" w:cs="仿宋_GB2312"/>
          <w:szCs w:val="21"/>
        </w:rPr>
        <w:t>承包人违约的责任</w:t>
      </w:r>
    </w:p>
    <w:p>
      <w:pPr>
        <w:spacing w:line="360" w:lineRule="auto"/>
        <w:ind w:firstLine="420" w:firstLineChars="200"/>
        <w:rPr>
          <w:rFonts w:ascii="宋体" w:hAnsi="宋体" w:cs="仿宋_GB2312"/>
          <w:szCs w:val="21"/>
          <w:u w:val="single"/>
        </w:rPr>
      </w:pPr>
      <w:r>
        <w:rPr>
          <w:rFonts w:hint="eastAsia" w:ascii="宋体" w:hAnsi="宋体" w:cs="仿宋_GB2312"/>
          <w:szCs w:val="21"/>
        </w:rPr>
        <w:t>承包人违约责任的承担方式和计算方法：</w:t>
      </w:r>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16.2.3 </w:t>
      </w:r>
      <w:r>
        <w:rPr>
          <w:rFonts w:hint="eastAsia" w:ascii="宋体" w:hAnsi="宋体" w:cs="仿宋_GB2312"/>
          <w:szCs w:val="21"/>
        </w:rPr>
        <w:t>因承包人违约解除合同</w:t>
      </w:r>
    </w:p>
    <w:p>
      <w:pPr>
        <w:spacing w:line="360" w:lineRule="auto"/>
        <w:ind w:firstLine="420" w:firstLineChars="200"/>
        <w:rPr>
          <w:rFonts w:ascii="宋体" w:hAnsi="宋体" w:cs="仿宋_GB2312"/>
          <w:szCs w:val="21"/>
          <w:u w:val="single"/>
        </w:rPr>
      </w:pPr>
      <w:r>
        <w:rPr>
          <w:rFonts w:hint="eastAsia" w:ascii="宋体" w:hAnsi="宋体" w:cs="仿宋_GB2312"/>
          <w:szCs w:val="21"/>
        </w:rPr>
        <w:t>关于承包人违约解除合同的特别约定：</w:t>
      </w:r>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hint="eastAsia" w:ascii="宋体" w:hAnsi="宋体" w:cs="仿宋_GB2312"/>
          <w:szCs w:val="21"/>
        </w:rPr>
        <w:t>发包人继续使用承包人在施工现场的材料、设备、临时工程、承包人文件和由承包人或以其名义编制的其他文件的费用承担方式：</w:t>
      </w:r>
      <w:r>
        <w:rPr>
          <w:rFonts w:ascii="宋体" w:hAnsi="宋体" w:cs="仿宋_GB2312"/>
          <w:szCs w:val="21"/>
          <w:u w:val="single"/>
        </w:rPr>
        <w:t>/</w:t>
      </w:r>
      <w:r>
        <w:rPr>
          <w:rFonts w:hint="eastAsia" w:ascii="宋体" w:hAnsi="宋体" w:cs="仿宋_GB2312"/>
          <w:szCs w:val="21"/>
        </w:rPr>
        <w:t>。</w:t>
      </w:r>
    </w:p>
    <w:p>
      <w:pPr>
        <w:pStyle w:val="4"/>
        <w:spacing w:before="0" w:after="0" w:line="360" w:lineRule="auto"/>
        <w:ind w:firstLine="118"/>
        <w:rPr>
          <w:rFonts w:ascii="宋体"/>
          <w:szCs w:val="24"/>
        </w:rPr>
      </w:pPr>
      <w:bookmarkStart w:id="856" w:name="_Toc351203649"/>
      <w:r>
        <w:rPr>
          <w:rFonts w:ascii="宋体"/>
          <w:szCs w:val="24"/>
        </w:rPr>
        <w:t xml:space="preserve">17. </w:t>
      </w:r>
      <w:r>
        <w:rPr>
          <w:rFonts w:hint="eastAsia" w:ascii="宋体"/>
          <w:szCs w:val="24"/>
        </w:rPr>
        <w:t>不可抗力</w:t>
      </w:r>
      <w:bookmarkEnd w:id="854"/>
      <w:bookmarkEnd w:id="856"/>
    </w:p>
    <w:p>
      <w:pPr>
        <w:spacing w:line="360" w:lineRule="auto"/>
        <w:ind w:firstLine="420" w:firstLineChars="200"/>
        <w:rPr>
          <w:rFonts w:ascii="宋体" w:hAnsi="宋体"/>
          <w:szCs w:val="21"/>
        </w:rPr>
      </w:pPr>
      <w:r>
        <w:rPr>
          <w:rFonts w:ascii="宋体" w:hAnsi="宋体"/>
          <w:szCs w:val="21"/>
        </w:rPr>
        <w:t xml:space="preserve">17.1 </w:t>
      </w:r>
      <w:r>
        <w:rPr>
          <w:rFonts w:hint="eastAsia" w:ascii="宋体" w:hAnsi="宋体" w:cs="黑体"/>
          <w:szCs w:val="21"/>
        </w:rPr>
        <w:t>不可抗力的确认</w:t>
      </w:r>
    </w:p>
    <w:p>
      <w:pPr>
        <w:spacing w:line="360" w:lineRule="auto"/>
        <w:ind w:firstLine="420" w:firstLineChars="200"/>
        <w:rPr>
          <w:rFonts w:ascii="宋体" w:hAnsi="宋体"/>
          <w:szCs w:val="21"/>
          <w:u w:val="single"/>
        </w:rPr>
      </w:pPr>
      <w:r>
        <w:rPr>
          <w:rFonts w:hint="eastAsia" w:ascii="宋体" w:hAnsi="宋体" w:cs="仿宋_GB2312"/>
          <w:szCs w:val="21"/>
        </w:rPr>
        <w:t>除通用合同条款约定的不可抗力事件之外，视为不可抗力的其他情形：</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17.4 </w:t>
      </w:r>
      <w:r>
        <w:rPr>
          <w:rFonts w:hint="eastAsia" w:ascii="宋体" w:hAnsi="宋体" w:cs="黑体"/>
          <w:szCs w:val="21"/>
        </w:rPr>
        <w:t>因不可抗力解除合同</w:t>
      </w:r>
    </w:p>
    <w:p>
      <w:pPr>
        <w:spacing w:line="360" w:lineRule="auto"/>
        <w:ind w:firstLine="420" w:firstLineChars="200"/>
        <w:rPr>
          <w:rFonts w:ascii="宋体" w:hAnsi="宋体"/>
          <w:szCs w:val="21"/>
        </w:rPr>
      </w:pPr>
      <w:r>
        <w:rPr>
          <w:rFonts w:hint="eastAsia" w:ascii="宋体" w:hAnsi="宋体" w:cs="仿宋_GB2312"/>
          <w:szCs w:val="21"/>
        </w:rPr>
        <w:t>合同解除后，发包人应在商定或确定发包人应支付款项后天内完成款项的支付。</w:t>
      </w:r>
    </w:p>
    <w:p>
      <w:pPr>
        <w:pStyle w:val="4"/>
        <w:spacing w:before="0" w:after="0" w:line="360" w:lineRule="auto"/>
        <w:ind w:firstLine="118"/>
        <w:rPr>
          <w:rFonts w:ascii="宋体"/>
          <w:szCs w:val="24"/>
        </w:rPr>
      </w:pPr>
      <w:bookmarkStart w:id="857" w:name="_Toc351203650"/>
      <w:r>
        <w:rPr>
          <w:rFonts w:ascii="宋体"/>
          <w:szCs w:val="24"/>
        </w:rPr>
        <w:t xml:space="preserve">18. </w:t>
      </w:r>
      <w:r>
        <w:rPr>
          <w:rFonts w:hint="eastAsia" w:ascii="宋体"/>
          <w:szCs w:val="24"/>
        </w:rPr>
        <w:t>保险</w:t>
      </w:r>
      <w:bookmarkEnd w:id="857"/>
    </w:p>
    <w:bookmarkEnd w:id="855"/>
    <w:p>
      <w:pPr>
        <w:spacing w:line="360" w:lineRule="auto"/>
        <w:ind w:firstLine="420" w:firstLineChars="200"/>
        <w:rPr>
          <w:rFonts w:ascii="宋体" w:hAnsi="宋体"/>
          <w:szCs w:val="21"/>
        </w:rPr>
      </w:pPr>
      <w:r>
        <w:rPr>
          <w:rFonts w:ascii="宋体" w:hAnsi="宋体"/>
          <w:szCs w:val="21"/>
        </w:rPr>
        <w:t xml:space="preserve">18.1 </w:t>
      </w:r>
      <w:r>
        <w:rPr>
          <w:rFonts w:hint="eastAsia" w:ascii="宋体" w:hAnsi="宋体" w:cs="黑体"/>
          <w:szCs w:val="21"/>
        </w:rPr>
        <w:t>工程保险</w:t>
      </w:r>
    </w:p>
    <w:p>
      <w:pPr>
        <w:spacing w:line="360" w:lineRule="auto"/>
        <w:ind w:firstLine="420" w:firstLineChars="200"/>
        <w:rPr>
          <w:rFonts w:ascii="宋体" w:hAnsi="宋体"/>
          <w:szCs w:val="21"/>
        </w:rPr>
      </w:pPr>
      <w:r>
        <w:rPr>
          <w:rFonts w:hint="eastAsia" w:ascii="宋体" w:hAnsi="宋体" w:cs="仿宋_GB2312"/>
          <w:szCs w:val="21"/>
        </w:rPr>
        <w:t>关于工程保险的特别约定：。</w:t>
      </w:r>
    </w:p>
    <w:p>
      <w:pPr>
        <w:spacing w:line="360" w:lineRule="auto"/>
        <w:ind w:firstLine="420" w:firstLineChars="200"/>
        <w:rPr>
          <w:rFonts w:ascii="宋体" w:hAnsi="宋体"/>
          <w:szCs w:val="21"/>
        </w:rPr>
      </w:pPr>
      <w:r>
        <w:rPr>
          <w:rFonts w:ascii="宋体" w:hAnsi="宋体"/>
          <w:szCs w:val="21"/>
        </w:rPr>
        <w:t xml:space="preserve">18.3 </w:t>
      </w:r>
      <w:r>
        <w:rPr>
          <w:rFonts w:hint="eastAsia" w:ascii="宋体" w:hAnsi="宋体" w:cs="黑体"/>
          <w:szCs w:val="21"/>
        </w:rPr>
        <w:t>其他保险</w:t>
      </w:r>
    </w:p>
    <w:p>
      <w:pPr>
        <w:spacing w:line="360" w:lineRule="auto"/>
        <w:ind w:firstLine="420" w:firstLineChars="200"/>
        <w:rPr>
          <w:rFonts w:ascii="宋体" w:hAnsi="宋体"/>
          <w:szCs w:val="21"/>
        </w:rPr>
      </w:pPr>
      <w:r>
        <w:rPr>
          <w:rFonts w:hint="eastAsia" w:ascii="宋体" w:hAnsi="宋体" w:cs="仿宋_GB2312"/>
          <w:szCs w:val="21"/>
        </w:rPr>
        <w:t>关于其他保险的约定：。</w:t>
      </w:r>
    </w:p>
    <w:p>
      <w:pPr>
        <w:spacing w:line="360" w:lineRule="auto"/>
        <w:ind w:firstLine="420" w:firstLineChars="200"/>
        <w:rPr>
          <w:rFonts w:ascii="宋体" w:hAnsi="宋体"/>
          <w:szCs w:val="21"/>
          <w:u w:val="single"/>
        </w:rPr>
      </w:pPr>
      <w:r>
        <w:rPr>
          <w:rFonts w:hint="eastAsia" w:ascii="宋体" w:hAnsi="宋体" w:cs="仿宋_GB2312"/>
          <w:szCs w:val="21"/>
        </w:rPr>
        <w:t>承包人是否应为其施工设备等办理财产保险：。</w:t>
      </w:r>
    </w:p>
    <w:p>
      <w:pPr>
        <w:spacing w:line="360" w:lineRule="auto"/>
        <w:ind w:firstLine="420" w:firstLineChars="200"/>
        <w:rPr>
          <w:rFonts w:ascii="宋体" w:hAnsi="宋体"/>
          <w:szCs w:val="21"/>
        </w:rPr>
      </w:pPr>
      <w:r>
        <w:rPr>
          <w:rFonts w:ascii="宋体" w:hAnsi="宋体"/>
          <w:szCs w:val="21"/>
        </w:rPr>
        <w:t xml:space="preserve">18.7 </w:t>
      </w:r>
      <w:r>
        <w:rPr>
          <w:rFonts w:hint="eastAsia" w:ascii="宋体" w:hAnsi="宋体" w:cs="黑体"/>
          <w:szCs w:val="21"/>
        </w:rPr>
        <w:t>通知义务</w:t>
      </w:r>
    </w:p>
    <w:p>
      <w:pPr>
        <w:spacing w:line="360" w:lineRule="auto"/>
        <w:ind w:firstLine="420" w:firstLineChars="200"/>
        <w:rPr>
          <w:rFonts w:ascii="宋体" w:hAnsi="宋体"/>
          <w:szCs w:val="21"/>
          <w:u w:val="single"/>
        </w:rPr>
      </w:pPr>
      <w:r>
        <w:rPr>
          <w:rFonts w:hint="eastAsia" w:ascii="宋体" w:hAnsi="宋体" w:cs="仿宋_GB2312"/>
          <w:szCs w:val="21"/>
        </w:rPr>
        <w:t>关于变更保险合同时的通知义务的约定：</w:t>
      </w:r>
      <w:r>
        <w:rPr>
          <w:rFonts w:hint="eastAsia" w:ascii="宋体" w:hAnsi="宋体" w:cs="仿宋_GB2312"/>
          <w:szCs w:val="21"/>
          <w:u w:val="single"/>
        </w:rPr>
        <w:t>执行通用合同条款</w:t>
      </w:r>
      <w:r>
        <w:rPr>
          <w:rFonts w:hint="eastAsia" w:ascii="宋体" w:hAnsi="宋体" w:cs="仿宋_GB2312"/>
          <w:szCs w:val="21"/>
        </w:rPr>
        <w:t>。</w:t>
      </w:r>
    </w:p>
    <w:bookmarkEnd w:id="831"/>
    <w:bookmarkEnd w:id="832"/>
    <w:bookmarkEnd w:id="833"/>
    <w:bookmarkEnd w:id="834"/>
    <w:bookmarkEnd w:id="835"/>
    <w:bookmarkEnd w:id="836"/>
    <w:bookmarkEnd w:id="837"/>
    <w:bookmarkEnd w:id="838"/>
    <w:bookmarkEnd w:id="839"/>
    <w:bookmarkEnd w:id="840"/>
    <w:bookmarkEnd w:id="841"/>
    <w:bookmarkEnd w:id="842"/>
    <w:p>
      <w:pPr>
        <w:pStyle w:val="4"/>
        <w:spacing w:before="0" w:after="0" w:line="360" w:lineRule="auto"/>
        <w:ind w:firstLine="118"/>
        <w:rPr>
          <w:rFonts w:ascii="宋体"/>
          <w:szCs w:val="24"/>
        </w:rPr>
      </w:pPr>
      <w:bookmarkStart w:id="858" w:name="_Toc351203651"/>
      <w:r>
        <w:rPr>
          <w:rFonts w:ascii="宋体"/>
          <w:szCs w:val="24"/>
        </w:rPr>
        <w:t xml:space="preserve">20. </w:t>
      </w:r>
      <w:r>
        <w:rPr>
          <w:rFonts w:hint="eastAsia" w:ascii="宋体"/>
          <w:szCs w:val="24"/>
        </w:rPr>
        <w:t>争议解决</w:t>
      </w:r>
      <w:bookmarkEnd w:id="858"/>
    </w:p>
    <w:bookmarkEnd w:id="843"/>
    <w:bookmarkEnd w:id="844"/>
    <w:p>
      <w:pPr>
        <w:spacing w:line="360" w:lineRule="auto"/>
        <w:ind w:firstLine="420" w:firstLineChars="200"/>
        <w:rPr>
          <w:rFonts w:ascii="宋体" w:hAnsi="宋体"/>
          <w:szCs w:val="21"/>
        </w:rPr>
      </w:pPr>
      <w:r>
        <w:rPr>
          <w:rFonts w:ascii="宋体" w:hAnsi="宋体"/>
          <w:szCs w:val="21"/>
        </w:rPr>
        <w:t xml:space="preserve">20.3 </w:t>
      </w:r>
      <w:r>
        <w:rPr>
          <w:rFonts w:hint="eastAsia" w:ascii="宋体" w:hAnsi="宋体" w:cs="黑体"/>
          <w:szCs w:val="21"/>
        </w:rPr>
        <w:t>争</w:t>
      </w:r>
      <w:bookmarkEnd w:id="845"/>
      <w:r>
        <w:rPr>
          <w:rFonts w:hint="eastAsia" w:ascii="宋体" w:hAnsi="宋体" w:cs="黑体"/>
          <w:szCs w:val="21"/>
        </w:rPr>
        <w:t>议评审</w:t>
      </w:r>
    </w:p>
    <w:p>
      <w:pPr>
        <w:spacing w:line="360" w:lineRule="auto"/>
        <w:ind w:left="149" w:leftChars="71" w:firstLine="315" w:firstLineChars="150"/>
        <w:rPr>
          <w:rFonts w:ascii="宋体" w:hAnsi="宋体"/>
          <w:szCs w:val="21"/>
          <w:u w:val="single"/>
        </w:rPr>
      </w:pPr>
      <w:r>
        <w:rPr>
          <w:rFonts w:hint="eastAsia" w:ascii="宋体" w:hAnsi="宋体" w:cs="仿宋_GB2312"/>
          <w:szCs w:val="21"/>
        </w:rPr>
        <w:t>合同当事人是否同意将工程争议提交争议评审小组决定：</w:t>
      </w:r>
      <w:r>
        <w:rPr>
          <w:rFonts w:ascii="宋体" w:hAnsi="宋体"/>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20.3.1 </w:t>
      </w:r>
      <w:r>
        <w:rPr>
          <w:rFonts w:hint="eastAsia" w:ascii="宋体" w:hAnsi="宋体" w:cs="仿宋_GB2312"/>
          <w:szCs w:val="21"/>
        </w:rPr>
        <w:t>争议评审小组的确定</w:t>
      </w:r>
    </w:p>
    <w:p>
      <w:pPr>
        <w:spacing w:line="360" w:lineRule="auto"/>
        <w:ind w:firstLine="420" w:firstLineChars="200"/>
        <w:rPr>
          <w:rFonts w:ascii="宋体" w:hAnsi="宋体"/>
          <w:szCs w:val="21"/>
          <w:u w:val="single"/>
        </w:rPr>
      </w:pPr>
      <w:r>
        <w:rPr>
          <w:rFonts w:hint="eastAsia" w:ascii="宋体" w:hAnsi="宋体" w:cs="仿宋_GB2312"/>
          <w:szCs w:val="21"/>
        </w:rPr>
        <w:t>争议评审小组成员的确定：</w:t>
      </w:r>
      <w:r>
        <w:rPr>
          <w:rFonts w:ascii="宋体" w:hAnsi="宋体" w:cs="仿宋_GB2312"/>
          <w:szCs w:val="21"/>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选定争议评审员的期限：</w:t>
      </w:r>
      <w:r>
        <w:rPr>
          <w:rFonts w:ascii="宋体" w:hAnsi="宋体" w:cs="仿宋_GB2312"/>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争议评审小组成员的报酬承担方式：</w:t>
      </w:r>
      <w:r>
        <w:rPr>
          <w:rFonts w:ascii="宋体" w:hAnsi="宋体" w:cs="仿宋_GB2312"/>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其他事项的约定：</w:t>
      </w:r>
      <w:r>
        <w:rPr>
          <w:rFonts w:ascii="宋体" w:hAnsi="宋体" w:cs="仿宋_GB2312"/>
          <w:szCs w:val="21"/>
          <w:u w:val="single"/>
        </w:rPr>
        <w:t>/</w:t>
      </w:r>
      <w:r>
        <w:rPr>
          <w:rFonts w:hint="eastAsia" w:ascii="宋体" w:hAnsi="宋体" w:cs="仿宋_GB2312"/>
          <w:szCs w:val="21"/>
        </w:rPr>
        <w:t>。</w:t>
      </w:r>
    </w:p>
    <w:p>
      <w:pPr>
        <w:autoSpaceDE w:val="0"/>
        <w:autoSpaceDN w:val="0"/>
        <w:adjustRightInd w:val="0"/>
        <w:spacing w:line="360" w:lineRule="auto"/>
        <w:ind w:firstLine="420" w:firstLineChars="200"/>
        <w:rPr>
          <w:rFonts w:ascii="宋体" w:hAnsi="宋体"/>
          <w:szCs w:val="21"/>
        </w:rPr>
      </w:pPr>
      <w:r>
        <w:rPr>
          <w:rFonts w:ascii="宋体" w:hAnsi="宋体"/>
          <w:szCs w:val="21"/>
        </w:rPr>
        <w:t xml:space="preserve">20.3.2 </w:t>
      </w:r>
      <w:r>
        <w:rPr>
          <w:rFonts w:hint="eastAsia" w:ascii="宋体" w:hAnsi="宋体" w:cs="仿宋_GB2312"/>
          <w:szCs w:val="21"/>
        </w:rPr>
        <w:t>争议评审小组的决定</w:t>
      </w:r>
    </w:p>
    <w:p>
      <w:pPr>
        <w:spacing w:line="360" w:lineRule="auto"/>
        <w:ind w:firstLine="420" w:firstLineChars="200"/>
        <w:rPr>
          <w:rFonts w:ascii="宋体" w:hAnsi="宋体"/>
          <w:szCs w:val="21"/>
        </w:rPr>
      </w:pPr>
      <w:r>
        <w:rPr>
          <w:rFonts w:hint="eastAsia" w:ascii="宋体" w:hAnsi="宋体" w:cs="仿宋_GB2312"/>
          <w:szCs w:val="21"/>
        </w:rPr>
        <w:t>合同当事人关于本项的约定：</w:t>
      </w:r>
      <w:r>
        <w:rPr>
          <w:rFonts w:ascii="宋体" w:hAnsi="宋体" w:cs="仿宋_GB2312"/>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20.4</w:t>
      </w:r>
      <w:r>
        <w:rPr>
          <w:rFonts w:hint="eastAsia" w:ascii="宋体" w:hAnsi="宋体" w:cs="黑体"/>
          <w:szCs w:val="21"/>
        </w:rPr>
        <w:t>仲裁或诉讼</w:t>
      </w:r>
      <w:bookmarkEnd w:id="846"/>
    </w:p>
    <w:p>
      <w:pPr>
        <w:spacing w:line="360" w:lineRule="auto"/>
        <w:ind w:firstLine="420" w:firstLineChars="200"/>
        <w:rPr>
          <w:rFonts w:ascii="宋体" w:hAnsi="宋体"/>
          <w:szCs w:val="21"/>
        </w:rPr>
      </w:pPr>
      <w:r>
        <w:rPr>
          <w:rFonts w:hint="eastAsia" w:ascii="宋体" w:hAnsi="宋体" w:cs="仿宋_GB2312"/>
          <w:szCs w:val="21"/>
        </w:rPr>
        <w:t>因合同及合同有关事项发生的争议，按下列第种方式解决：</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）向仲裁委员会申请仲裁；</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）向人民法院起诉。</w:t>
      </w:r>
      <w:bookmarkEnd w:id="847"/>
      <w:bookmarkEnd w:id="848"/>
      <w:bookmarkEnd w:id="849"/>
      <w:bookmarkEnd w:id="850"/>
      <w:bookmarkEnd w:id="851"/>
      <w:bookmarkEnd w:id="852"/>
    </w:p>
    <w:p>
      <w:pPr>
        <w:pStyle w:val="4"/>
        <w:spacing w:before="0" w:after="0" w:line="360" w:lineRule="auto"/>
        <w:ind w:firstLine="118"/>
        <w:rPr>
          <w:rFonts w:ascii="宋体"/>
          <w:szCs w:val="24"/>
        </w:rPr>
      </w:pPr>
      <w:r>
        <w:rPr>
          <w:rFonts w:ascii="宋体"/>
          <w:szCs w:val="24"/>
        </w:rPr>
        <w:t>2</w:t>
      </w:r>
      <w:r>
        <w:rPr>
          <w:rFonts w:hint="eastAsia" w:ascii="宋体"/>
          <w:szCs w:val="24"/>
        </w:rPr>
        <w:t>1</w:t>
      </w:r>
      <w:r>
        <w:rPr>
          <w:rFonts w:ascii="宋体"/>
          <w:szCs w:val="24"/>
        </w:rPr>
        <w:t>.</w:t>
      </w:r>
      <w:r>
        <w:rPr>
          <w:rFonts w:hint="eastAsia" w:ascii="宋体"/>
          <w:szCs w:val="24"/>
        </w:rPr>
        <w:t>补充条款</w:t>
      </w:r>
    </w:p>
    <w:p>
      <w:pPr>
        <w:spacing w:line="360" w:lineRule="auto"/>
        <w:ind w:firstLine="420" w:firstLineChars="200"/>
        <w:rPr>
          <w:rFonts w:ascii="宋体" w:hAnsi="宋体" w:cs="仿宋_GB2312"/>
          <w:szCs w:val="21"/>
        </w:rPr>
      </w:pPr>
    </w:p>
    <w:p>
      <w:pPr>
        <w:spacing w:line="360" w:lineRule="auto"/>
        <w:outlineLvl w:val="2"/>
        <w:rPr>
          <w:rFonts w:ascii="宋体" w:hAnsi="宋体"/>
          <w:b/>
          <w:bCs/>
          <w:szCs w:val="21"/>
        </w:rPr>
      </w:pPr>
      <w:r>
        <w:rPr>
          <w:rFonts w:ascii="宋体" w:hAnsi="宋体" w:cs="黑体"/>
          <w:b/>
          <w:bCs/>
          <w:szCs w:val="21"/>
        </w:rPr>
        <w:br w:type="page"/>
      </w:r>
      <w:r>
        <w:rPr>
          <w:rFonts w:hint="eastAsia" w:ascii="宋体" w:hAnsi="宋体" w:cs="黑体"/>
          <w:b/>
          <w:bCs/>
          <w:szCs w:val="21"/>
        </w:rPr>
        <w:t>附件</w:t>
      </w:r>
    </w:p>
    <w:p>
      <w:pPr>
        <w:spacing w:line="560" w:lineRule="exact"/>
        <w:rPr>
          <w:rFonts w:ascii="宋体" w:hAnsi="宋体" w:cs="仿宋_GB2312"/>
          <w:bCs/>
          <w:szCs w:val="21"/>
        </w:rPr>
      </w:pPr>
      <w:r>
        <w:rPr>
          <w:rFonts w:hint="eastAsia" w:ascii="宋体" w:hAnsi="宋体" w:cs="仿宋_GB2312"/>
          <w:bCs/>
          <w:szCs w:val="21"/>
        </w:rPr>
        <w:t>协议书附件：</w:t>
      </w:r>
    </w:p>
    <w:p>
      <w:pPr>
        <w:spacing w:line="560" w:lineRule="exact"/>
        <w:rPr>
          <w:rFonts w:ascii="宋体" w:hAnsi="宋体" w:cs="仿宋_GB2312"/>
          <w:bCs/>
          <w:szCs w:val="21"/>
        </w:rPr>
      </w:pPr>
      <w:r>
        <w:rPr>
          <w:rFonts w:hint="eastAsia" w:ascii="宋体" w:hAnsi="宋体" w:cs="仿宋_GB2312"/>
          <w:bCs/>
          <w:szCs w:val="21"/>
        </w:rPr>
        <w:t>附件1：承包人承揽工程项目一览表</w:t>
      </w:r>
    </w:p>
    <w:p>
      <w:pPr>
        <w:spacing w:line="560" w:lineRule="exact"/>
        <w:rPr>
          <w:rFonts w:ascii="宋体" w:hAnsi="宋体" w:cs="仿宋_GB2312"/>
          <w:bCs/>
          <w:szCs w:val="21"/>
        </w:rPr>
      </w:pPr>
      <w:r>
        <w:rPr>
          <w:rFonts w:hint="eastAsia" w:ascii="宋体" w:hAnsi="宋体" w:cs="仿宋_GB2312"/>
          <w:bCs/>
          <w:szCs w:val="21"/>
        </w:rPr>
        <w:t>专用合同条款附件：</w:t>
      </w:r>
    </w:p>
    <w:p>
      <w:pPr>
        <w:spacing w:line="560" w:lineRule="exact"/>
        <w:rPr>
          <w:rFonts w:ascii="宋体" w:hAnsi="宋体" w:cs="仿宋_GB2312"/>
          <w:bCs/>
          <w:szCs w:val="21"/>
        </w:rPr>
      </w:pPr>
      <w:r>
        <w:rPr>
          <w:rFonts w:hint="eastAsia" w:ascii="宋体" w:hAnsi="宋体" w:cs="仿宋_GB2312"/>
          <w:bCs/>
          <w:szCs w:val="21"/>
        </w:rPr>
        <w:t>附件2：发包人供应材料设备一览表</w:t>
      </w:r>
    </w:p>
    <w:p>
      <w:pPr>
        <w:spacing w:line="560" w:lineRule="exact"/>
        <w:rPr>
          <w:rFonts w:ascii="宋体" w:hAnsi="宋体" w:cs="仿宋_GB2312"/>
          <w:bCs/>
          <w:szCs w:val="21"/>
        </w:rPr>
      </w:pPr>
      <w:r>
        <w:rPr>
          <w:rFonts w:hint="eastAsia" w:ascii="宋体" w:hAnsi="宋体" w:cs="仿宋_GB2312"/>
          <w:bCs/>
          <w:szCs w:val="21"/>
        </w:rPr>
        <w:t>附件3：工程质量保修书</w:t>
      </w:r>
    </w:p>
    <w:p>
      <w:pPr>
        <w:spacing w:line="560" w:lineRule="exact"/>
        <w:rPr>
          <w:rFonts w:ascii="宋体" w:hAnsi="宋体" w:cs="仿宋_GB2312"/>
          <w:bCs/>
          <w:szCs w:val="21"/>
        </w:rPr>
      </w:pPr>
      <w:r>
        <w:rPr>
          <w:rFonts w:hint="eastAsia" w:ascii="宋体" w:hAnsi="宋体" w:cs="仿宋_GB2312"/>
          <w:bCs/>
          <w:szCs w:val="21"/>
        </w:rPr>
        <w:t>附件4：主要建设工程文件目录</w:t>
      </w:r>
    </w:p>
    <w:p>
      <w:pPr>
        <w:spacing w:line="560" w:lineRule="exact"/>
        <w:rPr>
          <w:rFonts w:ascii="宋体" w:hAnsi="宋体" w:cs="仿宋_GB2312"/>
          <w:bCs/>
          <w:szCs w:val="21"/>
        </w:rPr>
      </w:pPr>
      <w:r>
        <w:rPr>
          <w:rFonts w:hint="eastAsia" w:ascii="宋体" w:hAnsi="宋体" w:cs="仿宋_GB2312"/>
          <w:bCs/>
          <w:szCs w:val="21"/>
        </w:rPr>
        <w:t>附件5：承包人用于本工程施工的机械设备表</w:t>
      </w:r>
    </w:p>
    <w:p>
      <w:pPr>
        <w:spacing w:line="560" w:lineRule="exact"/>
        <w:rPr>
          <w:rFonts w:ascii="宋体" w:hAnsi="宋体" w:cs="仿宋_GB2312"/>
          <w:bCs/>
          <w:szCs w:val="21"/>
        </w:rPr>
      </w:pPr>
      <w:r>
        <w:rPr>
          <w:rFonts w:hint="eastAsia" w:ascii="宋体" w:hAnsi="宋体" w:cs="仿宋_GB2312"/>
          <w:bCs/>
          <w:szCs w:val="21"/>
        </w:rPr>
        <w:t>附件6：承包人主要施工管理人员表</w:t>
      </w:r>
    </w:p>
    <w:p>
      <w:pPr>
        <w:spacing w:line="560" w:lineRule="exact"/>
        <w:rPr>
          <w:rFonts w:ascii="宋体" w:hAnsi="宋体" w:cs="仿宋_GB2312"/>
          <w:bCs/>
          <w:szCs w:val="21"/>
        </w:rPr>
      </w:pPr>
      <w:r>
        <w:rPr>
          <w:rFonts w:hint="eastAsia" w:ascii="宋体" w:hAnsi="宋体" w:cs="仿宋_GB2312"/>
          <w:bCs/>
          <w:szCs w:val="21"/>
        </w:rPr>
        <w:t>附件7：分包人主要施工管理人员表</w:t>
      </w:r>
    </w:p>
    <w:p>
      <w:pPr>
        <w:spacing w:line="560" w:lineRule="exact"/>
        <w:rPr>
          <w:rFonts w:ascii="宋体" w:hAnsi="宋体" w:cs="仿宋_GB2312"/>
          <w:bCs/>
          <w:szCs w:val="21"/>
        </w:rPr>
      </w:pPr>
      <w:r>
        <w:rPr>
          <w:rFonts w:hint="eastAsia" w:ascii="宋体" w:hAnsi="宋体" w:cs="仿宋_GB2312"/>
          <w:bCs/>
          <w:szCs w:val="21"/>
        </w:rPr>
        <w:t>附件8：履约担保格式</w:t>
      </w:r>
    </w:p>
    <w:p>
      <w:pPr>
        <w:spacing w:line="560" w:lineRule="exact"/>
        <w:rPr>
          <w:rFonts w:ascii="宋体" w:hAnsi="宋体" w:cs="仿宋_GB2312"/>
          <w:bCs/>
          <w:szCs w:val="21"/>
        </w:rPr>
      </w:pPr>
      <w:r>
        <w:rPr>
          <w:rFonts w:hint="eastAsia" w:ascii="宋体" w:hAnsi="宋体" w:cs="仿宋_GB2312"/>
          <w:bCs/>
          <w:szCs w:val="21"/>
        </w:rPr>
        <w:t>附件9：预付款担保格式</w:t>
      </w:r>
    </w:p>
    <w:p>
      <w:pPr>
        <w:spacing w:line="560" w:lineRule="exact"/>
        <w:rPr>
          <w:rFonts w:ascii="宋体" w:hAnsi="宋体" w:cs="仿宋_GB2312"/>
          <w:bCs/>
          <w:szCs w:val="21"/>
        </w:rPr>
      </w:pPr>
      <w:r>
        <w:rPr>
          <w:rFonts w:hint="eastAsia" w:ascii="宋体" w:hAnsi="宋体" w:cs="仿宋_GB2312"/>
          <w:bCs/>
          <w:szCs w:val="21"/>
        </w:rPr>
        <w:t>附件10：支付担保格式</w:t>
      </w:r>
    </w:p>
    <w:p>
      <w:pPr>
        <w:spacing w:line="560" w:lineRule="exact"/>
        <w:rPr>
          <w:rFonts w:ascii="宋体" w:hAnsi="宋体" w:cs="仿宋"/>
          <w:szCs w:val="21"/>
        </w:rPr>
      </w:pPr>
      <w:r>
        <w:rPr>
          <w:rFonts w:hint="eastAsia" w:ascii="宋体" w:hAnsi="宋体" w:cs="仿宋_GB2312"/>
          <w:bCs/>
          <w:szCs w:val="21"/>
        </w:rPr>
        <w:t>附件11：暂估价一览表</w:t>
      </w:r>
    </w:p>
    <w:p>
      <w:pPr>
        <w:spacing w:line="560" w:lineRule="exact"/>
        <w:rPr>
          <w:rFonts w:ascii="宋体" w:hAnsi="宋体" w:cs="仿宋"/>
          <w:szCs w:val="21"/>
        </w:rPr>
      </w:pPr>
    </w:p>
    <w:p>
      <w:pPr>
        <w:spacing w:line="560" w:lineRule="exact"/>
        <w:rPr>
          <w:rFonts w:ascii="宋体" w:hAnsi="宋体" w:cs="仿宋"/>
          <w:szCs w:val="21"/>
        </w:rPr>
      </w:pPr>
    </w:p>
    <w:bookmarkEnd w:id="327"/>
    <w:p>
      <w:pPr>
        <w:spacing w:line="560" w:lineRule="exact"/>
        <w:rPr>
          <w:rFonts w:ascii="宋体" w:hAnsi="宋体"/>
          <w:szCs w:val="21"/>
        </w:rPr>
        <w:sectPr>
          <w:headerReference r:id="rId6" w:type="first"/>
          <w:footerReference r:id="rId7" w:type="first"/>
          <w:headerReference r:id="rId5" w:type="default"/>
          <w:pgSz w:w="11907" w:h="16840"/>
          <w:pgMar w:top="1418" w:right="1191" w:bottom="1418" w:left="1191" w:header="777" w:footer="799" w:gutter="0"/>
          <w:cols w:space="720" w:num="1"/>
          <w:titlePg/>
          <w:docGrid w:linePitch="312" w:charSpace="0"/>
        </w:sectPr>
      </w:pPr>
    </w:p>
    <w:p>
      <w:pPr>
        <w:spacing w:beforeLines="50" w:afterLines="50" w:line="440" w:lineRule="exact"/>
        <w:rPr>
          <w:rFonts w:ascii="宋体" w:hAnsi="宋体" w:cs="黑体"/>
          <w:szCs w:val="21"/>
        </w:rPr>
      </w:pPr>
      <w:r>
        <w:rPr>
          <w:rFonts w:hint="eastAsia" w:ascii="宋体" w:hAnsi="宋体" w:cs="仿宋_GB2312"/>
          <w:szCs w:val="21"/>
        </w:rPr>
        <w:t>附件</w:t>
      </w:r>
      <w:r>
        <w:rPr>
          <w:rFonts w:hint="eastAsia" w:ascii="宋体" w:hAnsi="宋体"/>
          <w:szCs w:val="21"/>
        </w:rPr>
        <w:t>1</w:t>
      </w:r>
      <w:r>
        <w:rPr>
          <w:rFonts w:hint="eastAsia" w:ascii="宋体" w:hAnsi="宋体" w:cs="仿宋_GB2312"/>
          <w:szCs w:val="21"/>
        </w:rPr>
        <w:t>：</w:t>
      </w:r>
    </w:p>
    <w:p>
      <w:pPr>
        <w:spacing w:beforeLines="50" w:afterLines="50" w:line="440" w:lineRule="exact"/>
        <w:jc w:val="center"/>
        <w:rPr>
          <w:rFonts w:ascii="宋体" w:hAnsi="宋体" w:cs="黑体"/>
          <w:szCs w:val="21"/>
        </w:rPr>
      </w:pPr>
      <w:r>
        <w:rPr>
          <w:rFonts w:hint="eastAsia" w:ascii="宋体" w:hAnsi="宋体" w:cs="黑体"/>
          <w:szCs w:val="21"/>
        </w:rPr>
        <w:t>承包人承揽工程项目一览表</w:t>
      </w:r>
    </w:p>
    <w:tbl>
      <w:tblPr>
        <w:tblStyle w:val="56"/>
        <w:tblW w:w="14831" w:type="dxa"/>
        <w:tblInd w:w="-25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85"/>
        <w:gridCol w:w="3119"/>
        <w:gridCol w:w="1134"/>
        <w:gridCol w:w="850"/>
        <w:gridCol w:w="1701"/>
        <w:gridCol w:w="1276"/>
        <w:gridCol w:w="1648"/>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985"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单位工程名称</w:t>
            </w:r>
          </w:p>
        </w:tc>
        <w:tc>
          <w:tcPr>
            <w:tcW w:w="3119"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建设规模</w:t>
            </w:r>
          </w:p>
        </w:tc>
        <w:tc>
          <w:tcPr>
            <w:tcW w:w="11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建筑长度</w:t>
            </w:r>
            <w:r>
              <w:rPr>
                <w:rFonts w:ascii="宋体" w:hAnsi="宋体"/>
                <w:szCs w:val="21"/>
              </w:rPr>
              <w:t>(m)</w:t>
            </w:r>
          </w:p>
        </w:tc>
        <w:tc>
          <w:tcPr>
            <w:tcW w:w="85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结构形式</w:t>
            </w:r>
          </w:p>
        </w:tc>
        <w:tc>
          <w:tcPr>
            <w:tcW w:w="170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层数</w:t>
            </w:r>
          </w:p>
        </w:tc>
        <w:tc>
          <w:tcPr>
            <w:tcW w:w="1276"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生产能力</w:t>
            </w:r>
          </w:p>
        </w:tc>
        <w:tc>
          <w:tcPr>
            <w:tcW w:w="1648"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设备安装内容</w:t>
            </w:r>
          </w:p>
        </w:tc>
        <w:tc>
          <w:tcPr>
            <w:tcW w:w="1417"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合同价格（元）</w:t>
            </w:r>
          </w:p>
        </w:tc>
        <w:tc>
          <w:tcPr>
            <w:tcW w:w="85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开工日期</w:t>
            </w:r>
          </w:p>
        </w:tc>
        <w:tc>
          <w:tcPr>
            <w:tcW w:w="85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985" w:type="dxa"/>
            <w:tcBorders>
              <w:top w:val="double" w:color="auto" w:sz="6" w:space="0"/>
            </w:tcBorders>
            <w:vAlign w:val="center"/>
          </w:tcPr>
          <w:p>
            <w:pPr>
              <w:pStyle w:val="20"/>
              <w:keepNext/>
              <w:spacing w:line="440" w:lineRule="exact"/>
              <w:ind w:left="63" w:right="63"/>
              <w:rPr>
                <w:rFonts w:ascii="宋体" w:hAnsi="宋体"/>
                <w:szCs w:val="21"/>
              </w:rPr>
            </w:pPr>
          </w:p>
        </w:tc>
        <w:tc>
          <w:tcPr>
            <w:tcW w:w="3119" w:type="dxa"/>
            <w:tcBorders>
              <w:top w:val="double" w:color="auto" w:sz="6" w:space="0"/>
            </w:tcBorders>
            <w:vAlign w:val="center"/>
          </w:tcPr>
          <w:p>
            <w:pPr>
              <w:pStyle w:val="20"/>
              <w:keepNext/>
              <w:spacing w:line="440" w:lineRule="exact"/>
              <w:ind w:left="63" w:right="63"/>
              <w:rPr>
                <w:rFonts w:ascii="宋体" w:hAnsi="宋体"/>
                <w:szCs w:val="21"/>
              </w:rPr>
            </w:pPr>
          </w:p>
        </w:tc>
        <w:tc>
          <w:tcPr>
            <w:tcW w:w="1134"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850"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701"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276"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648"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417" w:type="dxa"/>
            <w:tcBorders>
              <w:top w:val="double" w:color="auto" w:sz="6" w:space="0"/>
            </w:tcBorders>
            <w:vAlign w:val="center"/>
          </w:tcPr>
          <w:p>
            <w:pPr>
              <w:pStyle w:val="20"/>
              <w:keepNext/>
              <w:spacing w:line="440" w:lineRule="exact"/>
              <w:ind w:left="63" w:right="63"/>
              <w:rPr>
                <w:rFonts w:ascii="宋体" w:hAnsi="宋体"/>
                <w:szCs w:val="21"/>
              </w:rPr>
            </w:pPr>
          </w:p>
        </w:tc>
        <w:tc>
          <w:tcPr>
            <w:tcW w:w="851" w:type="dxa"/>
            <w:tcBorders>
              <w:top w:val="double" w:color="auto" w:sz="6" w:space="0"/>
            </w:tcBorders>
            <w:vAlign w:val="center"/>
          </w:tcPr>
          <w:p>
            <w:pPr>
              <w:pStyle w:val="20"/>
              <w:keepNext/>
              <w:spacing w:line="440" w:lineRule="exact"/>
              <w:ind w:left="63" w:right="63"/>
              <w:rPr>
                <w:rFonts w:ascii="宋体" w:hAnsi="宋体"/>
                <w:szCs w:val="21"/>
              </w:rPr>
            </w:pPr>
          </w:p>
        </w:tc>
        <w:tc>
          <w:tcPr>
            <w:tcW w:w="850" w:type="dxa"/>
            <w:tcBorders>
              <w:top w:val="double" w:color="auto" w:sz="6" w:space="0"/>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985" w:type="dxa"/>
            <w:tcBorders>
              <w:top w:val="nil"/>
              <w:bottom w:val="single" w:color="auto" w:sz="4" w:space="0"/>
            </w:tcBorders>
            <w:vAlign w:val="center"/>
          </w:tcPr>
          <w:p>
            <w:pPr>
              <w:pStyle w:val="20"/>
              <w:keepNext/>
              <w:spacing w:line="440" w:lineRule="exact"/>
              <w:ind w:left="63" w:right="63"/>
              <w:rPr>
                <w:rFonts w:ascii="宋体" w:hAnsi="宋体"/>
                <w:szCs w:val="21"/>
              </w:rPr>
            </w:pPr>
          </w:p>
        </w:tc>
        <w:tc>
          <w:tcPr>
            <w:tcW w:w="3119" w:type="dxa"/>
            <w:tcBorders>
              <w:top w:val="nil"/>
              <w:bottom w:val="single" w:color="auto" w:sz="4" w:space="0"/>
            </w:tcBorders>
            <w:vAlign w:val="center"/>
          </w:tcPr>
          <w:p>
            <w:pPr>
              <w:pStyle w:val="20"/>
              <w:keepNext/>
              <w:spacing w:line="440" w:lineRule="exact"/>
              <w:ind w:left="63" w:right="63"/>
              <w:rPr>
                <w:rFonts w:ascii="宋体" w:hAnsi="宋体"/>
                <w:szCs w:val="21"/>
              </w:rPr>
            </w:pPr>
          </w:p>
        </w:tc>
        <w:tc>
          <w:tcPr>
            <w:tcW w:w="1134"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850"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701"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276"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648"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417" w:type="dxa"/>
            <w:tcBorders>
              <w:top w:val="nil"/>
              <w:bottom w:val="single" w:color="auto" w:sz="4" w:space="0"/>
            </w:tcBorders>
            <w:vAlign w:val="center"/>
          </w:tcPr>
          <w:p>
            <w:pPr>
              <w:pStyle w:val="20"/>
              <w:keepNext/>
              <w:spacing w:line="440" w:lineRule="exact"/>
              <w:ind w:left="63" w:right="63"/>
              <w:rPr>
                <w:rFonts w:ascii="宋体" w:hAnsi="宋体"/>
                <w:szCs w:val="21"/>
              </w:rPr>
            </w:pPr>
          </w:p>
        </w:tc>
        <w:tc>
          <w:tcPr>
            <w:tcW w:w="851" w:type="dxa"/>
            <w:tcBorders>
              <w:top w:val="nil"/>
              <w:bottom w:val="single" w:color="auto" w:sz="4" w:space="0"/>
            </w:tcBorders>
            <w:vAlign w:val="center"/>
          </w:tcPr>
          <w:p>
            <w:pPr>
              <w:pStyle w:val="20"/>
              <w:keepNext/>
              <w:spacing w:line="440" w:lineRule="exact"/>
              <w:ind w:left="63" w:right="63"/>
              <w:rPr>
                <w:rFonts w:ascii="宋体" w:hAnsi="宋体"/>
                <w:szCs w:val="21"/>
              </w:rPr>
            </w:pPr>
          </w:p>
        </w:tc>
        <w:tc>
          <w:tcPr>
            <w:tcW w:w="850" w:type="dxa"/>
            <w:tcBorders>
              <w:top w:val="nil"/>
              <w:bottom w:val="single" w:color="auto" w:sz="4" w:space="0"/>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985"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648"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r>
    </w:tbl>
    <w:p>
      <w:pPr>
        <w:spacing w:line="440" w:lineRule="exact"/>
        <w:rPr>
          <w:rFonts w:ascii="宋体" w:hAnsi="宋体" w:cs="仿宋_GB2312"/>
          <w:szCs w:val="21"/>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191" w:right="1418" w:bottom="1191" w:left="1418" w:header="851" w:footer="992" w:gutter="284"/>
          <w:cols w:space="720" w:num="1"/>
          <w:docGrid w:linePitch="382" w:charSpace="0"/>
        </w:sectPr>
      </w:pPr>
    </w:p>
    <w:p>
      <w:pPr>
        <w:spacing w:line="440" w:lineRule="exact"/>
        <w:rPr>
          <w:rFonts w:ascii="宋体" w:hAnsi="宋体"/>
          <w:szCs w:val="21"/>
        </w:rPr>
      </w:pPr>
      <w:r>
        <w:rPr>
          <w:rFonts w:hint="eastAsia" w:ascii="宋体" w:hAnsi="宋体" w:cs="仿宋_GB2312"/>
          <w:szCs w:val="21"/>
        </w:rPr>
        <w:t>附件</w:t>
      </w:r>
      <w:r>
        <w:rPr>
          <w:rFonts w:ascii="宋体" w:hAnsi="宋体"/>
          <w:szCs w:val="21"/>
        </w:rPr>
        <w:t>2</w:t>
      </w:r>
      <w:r>
        <w:rPr>
          <w:rFonts w:hint="eastAsia" w:ascii="宋体" w:hAnsi="宋体" w:cs="仿宋_GB2312"/>
          <w:szCs w:val="21"/>
        </w:rPr>
        <w:t>：</w:t>
      </w:r>
    </w:p>
    <w:p>
      <w:pPr>
        <w:spacing w:beforeLines="50" w:afterLines="50" w:line="440" w:lineRule="exact"/>
        <w:jc w:val="center"/>
        <w:rPr>
          <w:rFonts w:ascii="宋体" w:hAnsi="宋体"/>
          <w:szCs w:val="21"/>
        </w:rPr>
      </w:pPr>
      <w:r>
        <w:rPr>
          <w:rFonts w:hint="eastAsia" w:ascii="宋体" w:hAnsi="宋体" w:cs="黑体"/>
          <w:szCs w:val="21"/>
        </w:rPr>
        <w:t>发包人供应材料设备一览表</w:t>
      </w:r>
    </w:p>
    <w:tbl>
      <w:tblPr>
        <w:tblStyle w:val="56"/>
        <w:tblW w:w="104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4"/>
        <w:gridCol w:w="1251"/>
        <w:gridCol w:w="1390"/>
        <w:gridCol w:w="922"/>
        <w:gridCol w:w="834"/>
        <w:gridCol w:w="1024"/>
        <w:gridCol w:w="973"/>
        <w:gridCol w:w="834"/>
        <w:gridCol w:w="1458"/>
        <w:gridCol w:w="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72" w:hRule="atLeast"/>
          <w:jc w:val="center"/>
        </w:trPr>
        <w:tc>
          <w:tcPr>
            <w:tcW w:w="8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序号</w:t>
            </w:r>
          </w:p>
        </w:tc>
        <w:tc>
          <w:tcPr>
            <w:tcW w:w="125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材料、</w:t>
            </w:r>
          </w:p>
          <w:p>
            <w:pPr>
              <w:pStyle w:val="20"/>
              <w:keepNext/>
              <w:spacing w:line="440" w:lineRule="exact"/>
              <w:ind w:right="63"/>
              <w:rPr>
                <w:rFonts w:ascii="宋体" w:hAnsi="宋体"/>
                <w:szCs w:val="21"/>
              </w:rPr>
            </w:pPr>
            <w:r>
              <w:rPr>
                <w:rFonts w:hint="eastAsia" w:ascii="宋体" w:hAnsi="宋体" w:cs="仿宋_GB2312"/>
                <w:szCs w:val="21"/>
              </w:rPr>
              <w:t>设备品种</w:t>
            </w:r>
          </w:p>
        </w:tc>
        <w:tc>
          <w:tcPr>
            <w:tcW w:w="139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规格型号</w:t>
            </w:r>
          </w:p>
        </w:tc>
        <w:tc>
          <w:tcPr>
            <w:tcW w:w="922"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单位</w:t>
            </w:r>
          </w:p>
        </w:tc>
        <w:tc>
          <w:tcPr>
            <w:tcW w:w="8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数量</w:t>
            </w:r>
          </w:p>
        </w:tc>
        <w:tc>
          <w:tcPr>
            <w:tcW w:w="102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单价（元）</w:t>
            </w:r>
          </w:p>
        </w:tc>
        <w:tc>
          <w:tcPr>
            <w:tcW w:w="973"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质量等级</w:t>
            </w:r>
          </w:p>
        </w:tc>
        <w:tc>
          <w:tcPr>
            <w:tcW w:w="8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供应时间</w:t>
            </w:r>
          </w:p>
        </w:tc>
        <w:tc>
          <w:tcPr>
            <w:tcW w:w="1458"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送达地点</w:t>
            </w:r>
          </w:p>
        </w:tc>
        <w:tc>
          <w:tcPr>
            <w:tcW w:w="973"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tcBorders>
              <w:top w:val="double" w:color="auto" w:sz="6" w:space="0"/>
            </w:tcBorders>
            <w:vAlign w:val="center"/>
          </w:tcPr>
          <w:p>
            <w:pPr>
              <w:pStyle w:val="20"/>
              <w:keepNext/>
              <w:spacing w:line="440" w:lineRule="exact"/>
              <w:ind w:left="63" w:right="63"/>
              <w:rPr>
                <w:rFonts w:ascii="宋体" w:hAnsi="宋体"/>
                <w:szCs w:val="21"/>
              </w:rPr>
            </w:pPr>
          </w:p>
        </w:tc>
        <w:tc>
          <w:tcPr>
            <w:tcW w:w="1251" w:type="dxa"/>
            <w:tcBorders>
              <w:top w:val="double" w:color="auto" w:sz="6" w:space="0"/>
            </w:tcBorders>
            <w:vAlign w:val="center"/>
          </w:tcPr>
          <w:p>
            <w:pPr>
              <w:pStyle w:val="20"/>
              <w:keepNext/>
              <w:spacing w:line="440" w:lineRule="exact"/>
              <w:ind w:left="63" w:right="63"/>
              <w:rPr>
                <w:rFonts w:ascii="宋体" w:hAnsi="宋体"/>
                <w:szCs w:val="21"/>
              </w:rPr>
            </w:pPr>
          </w:p>
        </w:tc>
        <w:tc>
          <w:tcPr>
            <w:tcW w:w="1390" w:type="dxa"/>
            <w:tcBorders>
              <w:top w:val="double" w:color="auto" w:sz="6" w:space="0"/>
            </w:tcBorders>
            <w:vAlign w:val="center"/>
          </w:tcPr>
          <w:p>
            <w:pPr>
              <w:pStyle w:val="20"/>
              <w:keepNext/>
              <w:spacing w:line="440" w:lineRule="exact"/>
              <w:ind w:left="63" w:right="63"/>
              <w:rPr>
                <w:rFonts w:ascii="宋体" w:hAnsi="宋体"/>
                <w:szCs w:val="21"/>
              </w:rPr>
            </w:pPr>
          </w:p>
        </w:tc>
        <w:tc>
          <w:tcPr>
            <w:tcW w:w="922" w:type="dxa"/>
            <w:tcBorders>
              <w:top w:val="double" w:color="auto" w:sz="6" w:space="0"/>
            </w:tcBorders>
            <w:vAlign w:val="center"/>
          </w:tcPr>
          <w:p>
            <w:pPr>
              <w:pStyle w:val="20"/>
              <w:keepNext/>
              <w:spacing w:line="440" w:lineRule="exact"/>
              <w:ind w:left="63" w:right="63"/>
              <w:rPr>
                <w:rFonts w:ascii="宋体" w:hAnsi="宋体"/>
                <w:szCs w:val="21"/>
              </w:rPr>
            </w:pPr>
          </w:p>
        </w:tc>
        <w:tc>
          <w:tcPr>
            <w:tcW w:w="834" w:type="dxa"/>
            <w:tcBorders>
              <w:top w:val="double" w:color="auto" w:sz="6" w:space="0"/>
            </w:tcBorders>
            <w:vAlign w:val="center"/>
          </w:tcPr>
          <w:p>
            <w:pPr>
              <w:pStyle w:val="20"/>
              <w:keepNext/>
              <w:spacing w:line="440" w:lineRule="exact"/>
              <w:ind w:left="63" w:right="63"/>
              <w:rPr>
                <w:rFonts w:ascii="宋体" w:hAnsi="宋体"/>
                <w:szCs w:val="21"/>
              </w:rPr>
            </w:pPr>
          </w:p>
        </w:tc>
        <w:tc>
          <w:tcPr>
            <w:tcW w:w="1024" w:type="dxa"/>
            <w:tcBorders>
              <w:top w:val="double" w:color="auto" w:sz="6" w:space="0"/>
            </w:tcBorders>
            <w:vAlign w:val="center"/>
          </w:tcPr>
          <w:p>
            <w:pPr>
              <w:pStyle w:val="20"/>
              <w:keepNext/>
              <w:spacing w:line="440" w:lineRule="exact"/>
              <w:ind w:left="63" w:right="63"/>
              <w:rPr>
                <w:rFonts w:ascii="宋体" w:hAnsi="宋体"/>
                <w:szCs w:val="21"/>
              </w:rPr>
            </w:pPr>
          </w:p>
        </w:tc>
        <w:tc>
          <w:tcPr>
            <w:tcW w:w="973" w:type="dxa"/>
            <w:tcBorders>
              <w:top w:val="double" w:color="auto" w:sz="6" w:space="0"/>
            </w:tcBorders>
            <w:vAlign w:val="center"/>
          </w:tcPr>
          <w:p>
            <w:pPr>
              <w:pStyle w:val="20"/>
              <w:keepNext/>
              <w:spacing w:line="440" w:lineRule="exact"/>
              <w:ind w:left="63" w:right="63"/>
              <w:rPr>
                <w:rFonts w:ascii="宋体" w:hAnsi="宋体"/>
                <w:szCs w:val="21"/>
              </w:rPr>
            </w:pPr>
          </w:p>
        </w:tc>
        <w:tc>
          <w:tcPr>
            <w:tcW w:w="834" w:type="dxa"/>
            <w:tcBorders>
              <w:top w:val="double" w:color="auto" w:sz="6" w:space="0"/>
            </w:tcBorders>
            <w:vAlign w:val="center"/>
          </w:tcPr>
          <w:p>
            <w:pPr>
              <w:pStyle w:val="20"/>
              <w:keepNext/>
              <w:spacing w:line="440" w:lineRule="exact"/>
              <w:ind w:left="63" w:right="63"/>
              <w:rPr>
                <w:rFonts w:ascii="宋体" w:hAnsi="宋体"/>
                <w:szCs w:val="21"/>
              </w:rPr>
            </w:pPr>
          </w:p>
        </w:tc>
        <w:tc>
          <w:tcPr>
            <w:tcW w:w="1458" w:type="dxa"/>
            <w:tcBorders>
              <w:top w:val="double" w:color="auto" w:sz="6" w:space="0"/>
            </w:tcBorders>
            <w:vAlign w:val="center"/>
          </w:tcPr>
          <w:p>
            <w:pPr>
              <w:pStyle w:val="20"/>
              <w:keepNext/>
              <w:spacing w:line="440" w:lineRule="exact"/>
              <w:ind w:left="63" w:right="63"/>
              <w:rPr>
                <w:rFonts w:ascii="宋体" w:hAnsi="宋体"/>
                <w:szCs w:val="21"/>
              </w:rPr>
            </w:pPr>
          </w:p>
        </w:tc>
        <w:tc>
          <w:tcPr>
            <w:tcW w:w="973" w:type="dxa"/>
            <w:tcBorders>
              <w:top w:val="double" w:color="auto" w:sz="6" w:space="0"/>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tcBorders>
              <w:top w:val="nil"/>
            </w:tcBorders>
            <w:vAlign w:val="center"/>
          </w:tcPr>
          <w:p>
            <w:pPr>
              <w:pStyle w:val="20"/>
              <w:keepNext/>
              <w:spacing w:line="440" w:lineRule="exact"/>
              <w:ind w:left="63" w:right="63"/>
              <w:rPr>
                <w:rFonts w:ascii="宋体" w:hAnsi="宋体"/>
                <w:szCs w:val="21"/>
              </w:rPr>
            </w:pPr>
          </w:p>
        </w:tc>
        <w:tc>
          <w:tcPr>
            <w:tcW w:w="1251" w:type="dxa"/>
            <w:tcBorders>
              <w:top w:val="nil"/>
            </w:tcBorders>
            <w:vAlign w:val="center"/>
          </w:tcPr>
          <w:p>
            <w:pPr>
              <w:pStyle w:val="20"/>
              <w:keepNext/>
              <w:spacing w:line="440" w:lineRule="exact"/>
              <w:ind w:left="63" w:right="63"/>
              <w:rPr>
                <w:rFonts w:ascii="宋体" w:hAnsi="宋体"/>
                <w:szCs w:val="21"/>
              </w:rPr>
            </w:pPr>
          </w:p>
        </w:tc>
        <w:tc>
          <w:tcPr>
            <w:tcW w:w="1390" w:type="dxa"/>
            <w:tcBorders>
              <w:top w:val="nil"/>
            </w:tcBorders>
            <w:vAlign w:val="center"/>
          </w:tcPr>
          <w:p>
            <w:pPr>
              <w:pStyle w:val="20"/>
              <w:keepNext/>
              <w:spacing w:line="440" w:lineRule="exact"/>
              <w:ind w:left="63" w:right="63"/>
              <w:rPr>
                <w:rFonts w:ascii="宋体" w:hAnsi="宋体"/>
                <w:szCs w:val="21"/>
              </w:rPr>
            </w:pPr>
          </w:p>
        </w:tc>
        <w:tc>
          <w:tcPr>
            <w:tcW w:w="922" w:type="dxa"/>
            <w:tcBorders>
              <w:top w:val="nil"/>
            </w:tcBorders>
            <w:vAlign w:val="center"/>
          </w:tcPr>
          <w:p>
            <w:pPr>
              <w:pStyle w:val="20"/>
              <w:keepNext/>
              <w:spacing w:line="440" w:lineRule="exact"/>
              <w:ind w:left="63" w:right="63"/>
              <w:rPr>
                <w:rFonts w:ascii="宋体" w:hAnsi="宋体"/>
                <w:szCs w:val="21"/>
              </w:rPr>
            </w:pPr>
          </w:p>
        </w:tc>
        <w:tc>
          <w:tcPr>
            <w:tcW w:w="834" w:type="dxa"/>
            <w:tcBorders>
              <w:top w:val="nil"/>
            </w:tcBorders>
            <w:vAlign w:val="center"/>
          </w:tcPr>
          <w:p>
            <w:pPr>
              <w:pStyle w:val="20"/>
              <w:keepNext/>
              <w:spacing w:line="440" w:lineRule="exact"/>
              <w:ind w:left="63" w:right="63"/>
              <w:rPr>
                <w:rFonts w:ascii="宋体" w:hAnsi="宋体"/>
                <w:szCs w:val="21"/>
              </w:rPr>
            </w:pPr>
          </w:p>
        </w:tc>
        <w:tc>
          <w:tcPr>
            <w:tcW w:w="1024" w:type="dxa"/>
            <w:tcBorders>
              <w:top w:val="nil"/>
            </w:tcBorders>
            <w:vAlign w:val="center"/>
          </w:tcPr>
          <w:p>
            <w:pPr>
              <w:pStyle w:val="20"/>
              <w:keepNext/>
              <w:spacing w:line="440" w:lineRule="exact"/>
              <w:ind w:left="63" w:right="63"/>
              <w:rPr>
                <w:rFonts w:ascii="宋体" w:hAnsi="宋体"/>
                <w:szCs w:val="21"/>
              </w:rPr>
            </w:pPr>
          </w:p>
        </w:tc>
        <w:tc>
          <w:tcPr>
            <w:tcW w:w="973" w:type="dxa"/>
            <w:tcBorders>
              <w:top w:val="nil"/>
            </w:tcBorders>
            <w:vAlign w:val="center"/>
          </w:tcPr>
          <w:p>
            <w:pPr>
              <w:pStyle w:val="20"/>
              <w:keepNext/>
              <w:spacing w:line="440" w:lineRule="exact"/>
              <w:ind w:left="63" w:right="63"/>
              <w:rPr>
                <w:rFonts w:ascii="宋体" w:hAnsi="宋体"/>
                <w:szCs w:val="21"/>
              </w:rPr>
            </w:pPr>
          </w:p>
        </w:tc>
        <w:tc>
          <w:tcPr>
            <w:tcW w:w="834" w:type="dxa"/>
            <w:tcBorders>
              <w:top w:val="nil"/>
            </w:tcBorders>
            <w:vAlign w:val="center"/>
          </w:tcPr>
          <w:p>
            <w:pPr>
              <w:pStyle w:val="20"/>
              <w:keepNext/>
              <w:spacing w:line="440" w:lineRule="exact"/>
              <w:ind w:left="63" w:right="63"/>
              <w:rPr>
                <w:rFonts w:ascii="宋体" w:hAnsi="宋体"/>
                <w:szCs w:val="21"/>
              </w:rPr>
            </w:pPr>
          </w:p>
        </w:tc>
        <w:tc>
          <w:tcPr>
            <w:tcW w:w="1458" w:type="dxa"/>
            <w:tcBorders>
              <w:top w:val="nil"/>
            </w:tcBorders>
            <w:vAlign w:val="center"/>
          </w:tcPr>
          <w:p>
            <w:pPr>
              <w:pStyle w:val="20"/>
              <w:keepNext/>
              <w:spacing w:line="440" w:lineRule="exact"/>
              <w:ind w:left="63" w:right="63"/>
              <w:rPr>
                <w:rFonts w:ascii="宋体" w:hAnsi="宋体"/>
                <w:szCs w:val="21"/>
              </w:rPr>
            </w:pPr>
          </w:p>
        </w:tc>
        <w:tc>
          <w:tcPr>
            <w:tcW w:w="973" w:type="dxa"/>
            <w:tcBorders>
              <w:top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tcBorders>
              <w:bottom w:val="single" w:color="auto" w:sz="12" w:space="0"/>
            </w:tcBorders>
            <w:vAlign w:val="center"/>
          </w:tcPr>
          <w:p>
            <w:pPr>
              <w:jc w:val="center"/>
              <w:rPr>
                <w:rFonts w:ascii="宋体" w:hAnsi="宋体"/>
                <w:szCs w:val="21"/>
              </w:rPr>
            </w:pPr>
          </w:p>
        </w:tc>
        <w:tc>
          <w:tcPr>
            <w:tcW w:w="1251" w:type="dxa"/>
            <w:tcBorders>
              <w:bottom w:val="single" w:color="auto" w:sz="12" w:space="0"/>
            </w:tcBorders>
            <w:vAlign w:val="center"/>
          </w:tcPr>
          <w:p>
            <w:pPr>
              <w:jc w:val="center"/>
              <w:rPr>
                <w:rFonts w:ascii="宋体" w:hAnsi="宋体"/>
                <w:szCs w:val="21"/>
              </w:rPr>
            </w:pPr>
          </w:p>
        </w:tc>
        <w:tc>
          <w:tcPr>
            <w:tcW w:w="1390" w:type="dxa"/>
            <w:tcBorders>
              <w:bottom w:val="single" w:color="auto" w:sz="12" w:space="0"/>
            </w:tcBorders>
            <w:vAlign w:val="center"/>
          </w:tcPr>
          <w:p>
            <w:pPr>
              <w:jc w:val="center"/>
              <w:rPr>
                <w:rFonts w:ascii="宋体" w:hAnsi="宋体"/>
                <w:szCs w:val="21"/>
              </w:rPr>
            </w:pPr>
          </w:p>
        </w:tc>
        <w:tc>
          <w:tcPr>
            <w:tcW w:w="922" w:type="dxa"/>
            <w:tcBorders>
              <w:bottom w:val="single" w:color="auto" w:sz="12" w:space="0"/>
            </w:tcBorders>
            <w:vAlign w:val="center"/>
          </w:tcPr>
          <w:p>
            <w:pPr>
              <w:jc w:val="center"/>
              <w:rPr>
                <w:rFonts w:ascii="宋体" w:hAnsi="宋体"/>
                <w:szCs w:val="21"/>
              </w:rPr>
            </w:pPr>
          </w:p>
        </w:tc>
        <w:tc>
          <w:tcPr>
            <w:tcW w:w="834" w:type="dxa"/>
            <w:tcBorders>
              <w:bottom w:val="single" w:color="auto" w:sz="12" w:space="0"/>
            </w:tcBorders>
            <w:vAlign w:val="center"/>
          </w:tcPr>
          <w:p>
            <w:pPr>
              <w:jc w:val="center"/>
              <w:rPr>
                <w:rFonts w:ascii="宋体" w:hAnsi="宋体"/>
                <w:szCs w:val="21"/>
              </w:rPr>
            </w:pPr>
          </w:p>
        </w:tc>
        <w:tc>
          <w:tcPr>
            <w:tcW w:w="1024" w:type="dxa"/>
            <w:tcBorders>
              <w:bottom w:val="single" w:color="auto" w:sz="12" w:space="0"/>
            </w:tcBorders>
            <w:vAlign w:val="center"/>
          </w:tcPr>
          <w:p>
            <w:pPr>
              <w:jc w:val="center"/>
              <w:rPr>
                <w:rFonts w:ascii="宋体" w:hAnsi="宋体"/>
                <w:szCs w:val="21"/>
              </w:rPr>
            </w:pPr>
          </w:p>
        </w:tc>
        <w:tc>
          <w:tcPr>
            <w:tcW w:w="973" w:type="dxa"/>
            <w:tcBorders>
              <w:bottom w:val="single" w:color="auto" w:sz="12" w:space="0"/>
            </w:tcBorders>
            <w:vAlign w:val="center"/>
          </w:tcPr>
          <w:p>
            <w:pPr>
              <w:jc w:val="center"/>
              <w:rPr>
                <w:rFonts w:ascii="宋体" w:hAnsi="宋体"/>
                <w:szCs w:val="21"/>
              </w:rPr>
            </w:pPr>
          </w:p>
        </w:tc>
        <w:tc>
          <w:tcPr>
            <w:tcW w:w="834" w:type="dxa"/>
            <w:tcBorders>
              <w:bottom w:val="single" w:color="auto" w:sz="12" w:space="0"/>
            </w:tcBorders>
            <w:vAlign w:val="center"/>
          </w:tcPr>
          <w:p>
            <w:pPr>
              <w:jc w:val="center"/>
              <w:rPr>
                <w:rFonts w:ascii="宋体" w:hAnsi="宋体"/>
                <w:szCs w:val="21"/>
              </w:rPr>
            </w:pPr>
          </w:p>
        </w:tc>
        <w:tc>
          <w:tcPr>
            <w:tcW w:w="1458" w:type="dxa"/>
            <w:tcBorders>
              <w:bottom w:val="single" w:color="auto" w:sz="12" w:space="0"/>
            </w:tcBorders>
            <w:vAlign w:val="center"/>
          </w:tcPr>
          <w:p>
            <w:pPr>
              <w:jc w:val="center"/>
              <w:rPr>
                <w:rFonts w:ascii="宋体" w:hAnsi="宋体"/>
                <w:szCs w:val="21"/>
              </w:rPr>
            </w:pPr>
          </w:p>
        </w:tc>
        <w:tc>
          <w:tcPr>
            <w:tcW w:w="973" w:type="dxa"/>
            <w:tcBorders>
              <w:bottom w:val="single" w:color="auto" w:sz="12" w:space="0"/>
            </w:tcBorders>
            <w:vAlign w:val="center"/>
          </w:tcPr>
          <w:p>
            <w:pPr>
              <w:jc w:val="center"/>
              <w:rPr>
                <w:rFonts w:ascii="宋体" w:hAnsi="宋体"/>
                <w:szCs w:val="21"/>
              </w:rPr>
            </w:pPr>
          </w:p>
        </w:tc>
      </w:tr>
    </w:tbl>
    <w:p>
      <w:pPr>
        <w:spacing w:line="440" w:lineRule="exact"/>
        <w:rPr>
          <w:rFonts w:ascii="宋体" w:hAnsi="宋体" w:cs="仿宋_GB2312"/>
          <w:szCs w:val="21"/>
        </w:rPr>
      </w:pPr>
    </w:p>
    <w:p>
      <w:pPr>
        <w:spacing w:line="440" w:lineRule="exact"/>
        <w:rPr>
          <w:rFonts w:ascii="宋体" w:hAnsi="宋体"/>
          <w:szCs w:val="21"/>
        </w:rPr>
      </w:pPr>
      <w:r>
        <w:rPr>
          <w:rFonts w:ascii="宋体" w:hAnsi="宋体" w:cs="仿宋_GB2312"/>
          <w:szCs w:val="21"/>
        </w:rPr>
        <w:br w:type="page"/>
      </w:r>
      <w:r>
        <w:rPr>
          <w:rFonts w:hint="eastAsia" w:ascii="宋体" w:hAnsi="宋体" w:cs="仿宋_GB2312"/>
          <w:szCs w:val="21"/>
        </w:rPr>
        <w:t>附</w:t>
      </w:r>
      <w:bookmarkStart w:id="859" w:name="_Toc296891054"/>
      <w:bookmarkStart w:id="860" w:name="_Toc296347225"/>
      <w:bookmarkStart w:id="861" w:name="_Toc296944565"/>
      <w:bookmarkStart w:id="862" w:name="_Toc296503226"/>
      <w:bookmarkStart w:id="863" w:name="_Toc296891266"/>
      <w:bookmarkStart w:id="864" w:name="_Toc296346727"/>
      <w:bookmarkStart w:id="865" w:name="_Toc267261693"/>
      <w:r>
        <w:rPr>
          <w:rFonts w:hint="eastAsia" w:ascii="宋体" w:hAnsi="宋体" w:cs="仿宋_GB2312"/>
          <w:szCs w:val="21"/>
        </w:rPr>
        <w:t>件</w:t>
      </w:r>
      <w:r>
        <w:rPr>
          <w:rFonts w:ascii="宋体" w:hAnsi="宋体"/>
          <w:szCs w:val="21"/>
        </w:rPr>
        <w:t>3</w:t>
      </w:r>
      <w:r>
        <w:rPr>
          <w:rFonts w:hint="eastAsia" w:ascii="宋体" w:hAnsi="宋体" w:cs="仿宋_GB2312"/>
          <w:szCs w:val="21"/>
        </w:rPr>
        <w:t>：</w:t>
      </w:r>
      <w:bookmarkEnd w:id="859"/>
      <w:bookmarkEnd w:id="860"/>
      <w:bookmarkEnd w:id="861"/>
      <w:bookmarkEnd w:id="862"/>
      <w:bookmarkEnd w:id="863"/>
      <w:bookmarkEnd w:id="864"/>
      <w:bookmarkEnd w:id="865"/>
    </w:p>
    <w:p>
      <w:pPr>
        <w:spacing w:beforeLines="50" w:afterLines="50" w:line="440" w:lineRule="exact"/>
        <w:jc w:val="center"/>
        <w:rPr>
          <w:rFonts w:ascii="宋体" w:hAnsi="宋体" w:cs="黑体"/>
          <w:b/>
          <w:szCs w:val="21"/>
        </w:rPr>
      </w:pPr>
    </w:p>
    <w:p>
      <w:pPr>
        <w:spacing w:beforeLines="50" w:afterLines="50" w:line="440" w:lineRule="exact"/>
        <w:jc w:val="center"/>
        <w:rPr>
          <w:rFonts w:ascii="宋体" w:hAnsi="宋体"/>
          <w:b/>
          <w:szCs w:val="21"/>
        </w:rPr>
      </w:pPr>
      <w:r>
        <w:rPr>
          <w:rFonts w:hint="eastAsia" w:ascii="宋体" w:hAnsi="宋体" w:cs="黑体"/>
          <w:b/>
          <w:szCs w:val="21"/>
        </w:rPr>
        <w:t>工程质量保修书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发包人（全称）：</w:t>
      </w:r>
    </w:p>
    <w:p>
      <w:pPr>
        <w:spacing w:line="360" w:lineRule="auto"/>
        <w:rPr>
          <w:rFonts w:ascii="宋体" w:hAnsi="宋体" w:cs="宋体"/>
          <w:color w:val="000000"/>
          <w:szCs w:val="21"/>
        </w:rPr>
      </w:pPr>
      <w:r>
        <w:rPr>
          <w:rFonts w:hint="eastAsia" w:ascii="宋体" w:hAnsi="宋体" w:cs="宋体"/>
          <w:color w:val="000000"/>
          <w:szCs w:val="21"/>
        </w:rPr>
        <w:t>　　承包人（全称）：</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　　发包人和承包人根据《中华人民共和国建筑法》和《建设工程质量管理条例》，经协商一致就（工程全称）签订工程质量保修书。</w:t>
      </w:r>
    </w:p>
    <w:p>
      <w:pPr>
        <w:spacing w:line="360" w:lineRule="auto"/>
        <w:rPr>
          <w:rFonts w:ascii="宋体" w:hAnsi="宋体" w:cs="宋体"/>
          <w:color w:val="000000"/>
          <w:szCs w:val="21"/>
        </w:rPr>
      </w:pPr>
      <w:r>
        <w:rPr>
          <w:rFonts w:hint="eastAsia" w:ascii="宋体" w:hAnsi="宋体" w:cs="宋体"/>
          <w:color w:val="000000"/>
          <w:szCs w:val="21"/>
        </w:rPr>
        <w:t>　　一、工程质量保修范围和内容</w:t>
      </w:r>
    </w:p>
    <w:p>
      <w:pPr>
        <w:spacing w:line="360" w:lineRule="auto"/>
        <w:rPr>
          <w:rFonts w:ascii="宋体" w:hAnsi="宋体" w:cs="宋体"/>
          <w:color w:val="000000"/>
          <w:szCs w:val="21"/>
        </w:rPr>
      </w:pPr>
      <w:r>
        <w:rPr>
          <w:rFonts w:hint="eastAsia" w:ascii="宋体" w:hAnsi="宋体" w:cs="宋体"/>
          <w:color w:val="000000"/>
          <w:szCs w:val="21"/>
        </w:rPr>
        <w:t>　　承包人在质量保修期内，按照有关法律规定和合同约定，承担工程质量保修责任。</w:t>
      </w:r>
    </w:p>
    <w:p>
      <w:pPr>
        <w:spacing w:line="360" w:lineRule="auto"/>
        <w:rPr>
          <w:rFonts w:ascii="宋体" w:hAnsi="宋体" w:cs="宋体"/>
          <w:color w:val="000000"/>
          <w:szCs w:val="21"/>
        </w:rPr>
      </w:pPr>
      <w:r>
        <w:rPr>
          <w:rFonts w:hint="eastAsia" w:ascii="宋体" w:hAnsi="宋体" w:cs="宋体"/>
          <w:color w:val="000000"/>
          <w:szCs w:val="21"/>
        </w:rPr>
        <w:t>　　质量保修范围包括，以及双方约定的其他项目。具体保修的内容，双方约定如下：</w:t>
      </w:r>
      <w:r>
        <w:rPr>
          <w:rFonts w:ascii="宋体" w:hAnsi="宋体" w:cs="宋体"/>
          <w:color w:val="000000"/>
          <w:szCs w:val="21"/>
          <w:u w:val="single"/>
        </w:rPr>
        <w:t>承包方所承包的全部工程</w:t>
      </w:r>
      <w:r>
        <w:rPr>
          <w:rFonts w:hint="eastAsia" w:ascii="宋体" w:hAnsi="宋体" w:cs="宋体"/>
          <w:color w:val="000000"/>
          <w:szCs w:val="21"/>
          <w:u w:val="single"/>
        </w:rPr>
        <w:t>内容。</w:t>
      </w:r>
    </w:p>
    <w:p>
      <w:pPr>
        <w:spacing w:line="360" w:lineRule="auto"/>
        <w:rPr>
          <w:rFonts w:ascii="宋体" w:hAnsi="宋体" w:cs="宋体"/>
          <w:color w:val="000000"/>
          <w:szCs w:val="21"/>
        </w:rPr>
      </w:pPr>
      <w:r>
        <w:rPr>
          <w:rFonts w:hint="eastAsia" w:ascii="宋体" w:hAnsi="宋体" w:cs="宋体"/>
          <w:b/>
          <w:color w:val="000000"/>
          <w:szCs w:val="21"/>
        </w:rPr>
        <w:t>　　</w:t>
      </w:r>
      <w:r>
        <w:rPr>
          <w:rFonts w:hint="eastAsia" w:ascii="宋体" w:hAnsi="宋体" w:cs="宋体"/>
          <w:color w:val="000000"/>
          <w:szCs w:val="21"/>
        </w:rPr>
        <w:t>二、质量保修期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根据《建设工程质量管理条例》及有关规定，工程的质量保修期如下：</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地基基础工程和主体结构工程按国家相关规定执行；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电气管线、给排水管道、设备安装工程为年；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其他项目保修期限约定如下：</w:t>
      </w:r>
      <w:r>
        <w:rPr>
          <w:rFonts w:hint="eastAsia" w:ascii="宋体" w:hAnsi="宋体" w:cs="宋体"/>
          <w:color w:val="000000"/>
          <w:szCs w:val="21"/>
          <w:u w:val="single"/>
        </w:rPr>
        <w:t xml:space="preserve">         。</w:t>
      </w:r>
    </w:p>
    <w:p>
      <w:pPr>
        <w:spacing w:line="360" w:lineRule="auto"/>
        <w:rPr>
          <w:rFonts w:ascii="宋体" w:hAnsi="宋体" w:cs="宋体"/>
          <w:color w:val="000000"/>
          <w:szCs w:val="21"/>
        </w:rPr>
      </w:pPr>
      <w:r>
        <w:rPr>
          <w:rFonts w:hint="eastAsia" w:ascii="宋体" w:hAnsi="宋体" w:cs="宋体"/>
          <w:color w:val="000000"/>
          <w:szCs w:val="21"/>
        </w:rPr>
        <w:t>　　质量保修期自工程竣工验收合格之日起计算。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三、缺陷责任期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工程缺陷责任期为</w:t>
      </w:r>
      <w:r>
        <w:rPr>
          <w:rFonts w:hint="eastAsia" w:ascii="宋体" w:hAnsi="宋体" w:cs="宋体"/>
          <w:szCs w:val="21"/>
          <w:u w:val="single"/>
        </w:rPr>
        <w:t xml:space="preserve">   24  </w:t>
      </w:r>
      <w:r>
        <w:rPr>
          <w:rFonts w:hint="eastAsia" w:ascii="宋体" w:hAnsi="宋体" w:cs="宋体"/>
          <w:color w:val="000000"/>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缺陷责任期终止后，发包人应退还剩余的质量保证金。</w:t>
      </w:r>
    </w:p>
    <w:p>
      <w:pPr>
        <w:spacing w:line="360" w:lineRule="auto"/>
        <w:rPr>
          <w:rFonts w:ascii="宋体" w:hAnsi="宋体" w:cs="宋体"/>
          <w:color w:val="000000"/>
          <w:szCs w:val="21"/>
        </w:rPr>
      </w:pPr>
      <w:r>
        <w:rPr>
          <w:rFonts w:hint="eastAsia" w:ascii="宋体" w:hAnsi="宋体" w:cs="宋体"/>
          <w:color w:val="000000"/>
          <w:szCs w:val="21"/>
        </w:rPr>
        <w:t xml:space="preserve">    四、质量保修责任</w:t>
      </w:r>
    </w:p>
    <w:p>
      <w:pPr>
        <w:spacing w:line="360" w:lineRule="auto"/>
        <w:ind w:left="105" w:leftChars="50" w:firstLine="430" w:firstLineChars="205"/>
        <w:rPr>
          <w:rFonts w:ascii="宋体" w:hAnsi="宋体" w:cs="宋体"/>
          <w:color w:val="000000"/>
          <w:szCs w:val="21"/>
        </w:rPr>
      </w:pPr>
      <w:r>
        <w:rPr>
          <w:rFonts w:hint="eastAsia" w:ascii="宋体" w:hAnsi="宋体" w:cs="宋体"/>
          <w:color w:val="000000"/>
          <w:szCs w:val="21"/>
        </w:rPr>
        <w:t>1</w:t>
      </w:r>
      <w:r>
        <w:rPr>
          <w:rFonts w:hint="eastAsia" w:ascii="宋体" w:hAnsi="宋体" w:cs="宋体"/>
          <w:szCs w:val="21"/>
        </w:rPr>
        <w:t>．</w:t>
      </w:r>
      <w:r>
        <w:rPr>
          <w:rFonts w:hint="eastAsia" w:ascii="宋体" w:hAnsi="宋体" w:cs="宋体"/>
          <w:color w:val="000000"/>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发生紧急事故需抢修的，承包人在接到事故通知后，应当立即到达事故现场抢修。</w:t>
      </w:r>
    </w:p>
    <w:p>
      <w:pPr>
        <w:spacing w:line="360" w:lineRule="auto"/>
        <w:ind w:left="105" w:leftChars="50" w:firstLine="430" w:firstLineChars="205"/>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质量保修完成后，由发包人组织验收。</w:t>
      </w:r>
    </w:p>
    <w:p>
      <w:pPr>
        <w:spacing w:line="360" w:lineRule="auto"/>
        <w:rPr>
          <w:rFonts w:ascii="宋体" w:hAnsi="宋体" w:cs="宋体"/>
          <w:color w:val="000000"/>
          <w:szCs w:val="21"/>
        </w:rPr>
      </w:pPr>
      <w:r>
        <w:rPr>
          <w:rFonts w:hint="eastAsia" w:ascii="宋体" w:hAnsi="宋体" w:cs="宋体"/>
          <w:color w:val="000000"/>
          <w:szCs w:val="21"/>
        </w:rPr>
        <w:t>　　五、保修费用</w:t>
      </w:r>
    </w:p>
    <w:p>
      <w:pPr>
        <w:spacing w:line="360" w:lineRule="auto"/>
        <w:rPr>
          <w:rFonts w:ascii="宋体" w:hAnsi="宋体" w:cs="宋体"/>
          <w:color w:val="000000"/>
          <w:szCs w:val="21"/>
        </w:rPr>
      </w:pPr>
      <w:r>
        <w:rPr>
          <w:rFonts w:hint="eastAsia" w:ascii="宋体" w:hAnsi="宋体" w:cs="宋体"/>
          <w:color w:val="000000"/>
          <w:szCs w:val="21"/>
        </w:rPr>
        <w:t>　　保修费用由造成质量缺陷的责任方承担。</w:t>
      </w:r>
    </w:p>
    <w:p>
      <w:pPr>
        <w:spacing w:line="360" w:lineRule="auto"/>
        <w:ind w:firstLine="600"/>
        <w:rPr>
          <w:rFonts w:ascii="宋体" w:hAnsi="宋体" w:cs="宋体"/>
          <w:color w:val="000000"/>
          <w:szCs w:val="21"/>
          <w:u w:val="single"/>
        </w:rPr>
      </w:pPr>
      <w:r>
        <w:rPr>
          <w:rFonts w:hint="eastAsia" w:ascii="宋体" w:hAnsi="宋体" w:cs="宋体"/>
          <w:b/>
          <w:color w:val="000000"/>
          <w:szCs w:val="21"/>
        </w:rPr>
        <w:t>六</w:t>
      </w:r>
      <w:r>
        <w:rPr>
          <w:rFonts w:hint="eastAsia" w:ascii="宋体" w:hAnsi="宋体" w:cs="宋体"/>
          <w:color w:val="000000"/>
          <w:szCs w:val="21"/>
        </w:rPr>
        <w:t>、双方约定的其他工程质量保修事项：</w:t>
      </w:r>
      <w:r>
        <w:rPr>
          <w:rFonts w:ascii="宋体" w:hAnsi="宋体" w:cs="仿宋_GB2312"/>
          <w:szCs w:val="21"/>
          <w:u w:val="single"/>
        </w:rPr>
        <w:t xml:space="preserve">/ </w:t>
      </w:r>
      <w:r>
        <w:rPr>
          <w:rFonts w:hint="eastAsia" w:ascii="宋体" w:hAnsi="宋体" w:cs="宋体"/>
          <w:color w:val="000000"/>
          <w:szCs w:val="21"/>
        </w:rPr>
        <w:t>。</w:t>
      </w:r>
    </w:p>
    <w:p>
      <w:pPr>
        <w:spacing w:line="360" w:lineRule="auto"/>
        <w:ind w:firstLine="399" w:firstLineChars="190"/>
        <w:rPr>
          <w:rFonts w:ascii="宋体" w:hAnsi="宋体" w:cs="宋体"/>
          <w:color w:val="000000"/>
          <w:szCs w:val="21"/>
        </w:rPr>
      </w:pPr>
      <w:r>
        <w:rPr>
          <w:rFonts w:hint="eastAsia" w:ascii="宋体" w:hAnsi="宋体" w:cs="宋体"/>
          <w:color w:val="000000"/>
          <w:szCs w:val="21"/>
        </w:rPr>
        <w:t>工程质量保修书由发包人、承包人在工程竣工验收前共同签署，作为施工合同附件，其有效期限至保修期满。</w:t>
      </w:r>
    </w:p>
    <w:p>
      <w:pPr>
        <w:spacing w:line="360" w:lineRule="auto"/>
        <w:rPr>
          <w:rFonts w:ascii="宋体" w:hAnsi="宋体" w:cs="宋体"/>
          <w:color w:val="000000"/>
          <w:szCs w:val="21"/>
        </w:rPr>
      </w:pPr>
    </w:p>
    <w:tbl>
      <w:tblPr>
        <w:tblStyle w:val="56"/>
        <w:tblpPr w:leftFromText="180" w:rightFromText="180" w:vertAnchor="text" w:horzAnchor="margin" w:tblpY="605"/>
        <w:tblW w:w="8548" w:type="dxa"/>
        <w:tblInd w:w="0" w:type="dxa"/>
        <w:tblLayout w:type="fixed"/>
        <w:tblCellMar>
          <w:top w:w="0" w:type="dxa"/>
          <w:left w:w="108" w:type="dxa"/>
          <w:bottom w:w="0" w:type="dxa"/>
          <w:right w:w="108" w:type="dxa"/>
        </w:tblCellMar>
      </w:tblPr>
      <w:tblGrid>
        <w:gridCol w:w="3719"/>
        <w:gridCol w:w="4829"/>
      </w:tblGrid>
      <w:tr>
        <w:tblPrEx>
          <w:tblLayout w:type="fixed"/>
          <w:tblCellMar>
            <w:top w:w="0" w:type="dxa"/>
            <w:left w:w="108" w:type="dxa"/>
            <w:bottom w:w="0" w:type="dxa"/>
            <w:right w:w="108" w:type="dxa"/>
          </w:tblCellMar>
        </w:tblPrEx>
        <w:trPr>
          <w:trHeight w:val="7262" w:hRule="atLeast"/>
        </w:trPr>
        <w:tc>
          <w:tcPr>
            <w:tcW w:w="3719" w:type="dxa"/>
          </w:tcPr>
          <w:p>
            <w:pPr>
              <w:pStyle w:val="20"/>
              <w:tabs>
                <w:tab w:val="left" w:pos="2980"/>
                <w:tab w:val="left" w:pos="4919"/>
                <w:tab w:val="left" w:pos="7463"/>
              </w:tabs>
              <w:adjustRightInd w:val="0"/>
              <w:snapToGrid w:val="0"/>
              <w:spacing w:line="360" w:lineRule="auto"/>
              <w:ind w:right="119"/>
              <w:rPr>
                <w:rFonts w:ascii="宋体" w:hAnsi="宋体"/>
                <w:spacing w:val="1"/>
                <w:szCs w:val="21"/>
                <w:u w:val="single" w:color="000000"/>
              </w:rPr>
            </w:pPr>
            <w:r>
              <w:rPr>
                <w:rFonts w:hint="eastAsia" w:ascii="宋体" w:hAnsi="宋体" w:cs="仿宋"/>
                <w:szCs w:val="21"/>
              </w:rPr>
              <w:t>发包</w:t>
            </w:r>
            <w:r>
              <w:rPr>
                <w:rFonts w:hint="eastAsia" w:ascii="宋体" w:hAnsi="宋体" w:cs="仿宋"/>
                <w:spacing w:val="1"/>
                <w:szCs w:val="21"/>
              </w:rPr>
              <w:t>人：</w:t>
            </w:r>
            <w:r>
              <w:rPr>
                <w:rFonts w:hint="eastAsia" w:ascii="宋体" w:hAnsi="宋体" w:cs="仿宋"/>
                <w:szCs w:val="21"/>
              </w:rPr>
              <w:t>（盖章）</w:t>
            </w:r>
            <w:r>
              <w:rPr>
                <w:rFonts w:ascii="宋体" w:hAnsi="宋体"/>
                <w:szCs w:val="21"/>
              </w:rPr>
              <w:tab/>
            </w:r>
          </w:p>
          <w:p>
            <w:pPr>
              <w:pStyle w:val="20"/>
              <w:tabs>
                <w:tab w:val="left" w:pos="3124"/>
                <w:tab w:val="left" w:pos="4912"/>
                <w:tab w:val="left" w:pos="7463"/>
              </w:tabs>
              <w:adjustRightInd w:val="0"/>
              <w:snapToGrid w:val="0"/>
              <w:spacing w:line="360" w:lineRule="auto"/>
              <w:ind w:right="119"/>
              <w:rPr>
                <w:rFonts w:ascii="宋体" w:hAnsi="宋体" w:cs="仿宋"/>
                <w:szCs w:val="21"/>
              </w:rPr>
            </w:pPr>
          </w:p>
          <w:p>
            <w:pPr>
              <w:pStyle w:val="20"/>
              <w:tabs>
                <w:tab w:val="left" w:pos="3124"/>
                <w:tab w:val="left" w:pos="4912"/>
                <w:tab w:val="left" w:pos="7463"/>
              </w:tabs>
              <w:adjustRightInd w:val="0"/>
              <w:snapToGrid w:val="0"/>
              <w:spacing w:line="360" w:lineRule="auto"/>
              <w:ind w:right="119"/>
              <w:rPr>
                <w:rFonts w:ascii="宋体" w:hAnsi="宋体" w:cs="仿宋"/>
                <w:szCs w:val="21"/>
              </w:rPr>
            </w:pPr>
            <w:r>
              <w:rPr>
                <w:rFonts w:hint="eastAsia" w:ascii="宋体" w:hAnsi="宋体" w:cs="仿宋"/>
                <w:szCs w:val="21"/>
              </w:rPr>
              <w:t>法定代表人或其授权的代理人：</w:t>
            </w:r>
          </w:p>
          <w:p>
            <w:pPr>
              <w:pStyle w:val="20"/>
              <w:tabs>
                <w:tab w:val="left" w:pos="2760"/>
                <w:tab w:val="left" w:pos="4912"/>
                <w:tab w:val="left" w:pos="7463"/>
              </w:tabs>
              <w:adjustRightInd w:val="0"/>
              <w:snapToGrid w:val="0"/>
              <w:spacing w:line="360" w:lineRule="auto"/>
              <w:ind w:right="119"/>
              <w:rPr>
                <w:rFonts w:ascii="宋体" w:hAnsi="宋体"/>
                <w:szCs w:val="21"/>
                <w:u w:val="single" w:color="000000"/>
              </w:rPr>
            </w:pPr>
          </w:p>
          <w:p>
            <w:pPr>
              <w:pStyle w:val="20"/>
              <w:tabs>
                <w:tab w:val="left" w:pos="2445"/>
                <w:tab w:val="left" w:pos="4912"/>
                <w:tab w:val="left" w:pos="7463"/>
              </w:tabs>
              <w:adjustRightInd w:val="0"/>
              <w:snapToGrid w:val="0"/>
              <w:spacing w:line="360" w:lineRule="auto"/>
              <w:ind w:right="119"/>
              <w:rPr>
                <w:rFonts w:ascii="宋体" w:hAnsi="宋体"/>
                <w:szCs w:val="21"/>
              </w:rPr>
            </w:pPr>
            <w:r>
              <w:rPr>
                <w:rFonts w:ascii="宋体" w:hAnsi="宋体"/>
                <w:szCs w:val="21"/>
                <w:u w:val="single" w:color="000000"/>
              </w:rPr>
              <w:tab/>
            </w:r>
            <w:r>
              <w:rPr>
                <w:rFonts w:hint="eastAsia" w:ascii="宋体" w:hAnsi="宋体" w:cs="仿宋"/>
                <w:szCs w:val="21"/>
              </w:rPr>
              <w:t>（签字）</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 xml:space="preserve">纳税人登记号： </w:t>
            </w:r>
          </w:p>
          <w:p>
            <w:pPr>
              <w:pStyle w:val="20"/>
              <w:tabs>
                <w:tab w:val="left" w:pos="1319"/>
                <w:tab w:val="left" w:pos="4919"/>
                <w:tab w:val="left" w:pos="5639"/>
              </w:tabs>
              <w:adjustRightInd w:val="0"/>
              <w:snapToGrid w:val="0"/>
              <w:spacing w:line="400" w:lineRule="exact"/>
              <w:rPr>
                <w:rFonts w:ascii="宋体" w:hAnsi="宋体" w:cs="仿宋"/>
                <w:szCs w:val="21"/>
              </w:rPr>
            </w:pPr>
            <w:r>
              <w:rPr>
                <w:rFonts w:hint="eastAsia" w:ascii="宋体" w:hAnsi="宋体" w:cs="仿宋"/>
                <w:szCs w:val="21"/>
              </w:rPr>
              <w:t>地址：</w:t>
            </w:r>
          </w:p>
          <w:p>
            <w:pPr>
              <w:pStyle w:val="20"/>
              <w:tabs>
                <w:tab w:val="left" w:pos="1319"/>
                <w:tab w:val="left" w:pos="4919"/>
                <w:tab w:val="left" w:pos="5639"/>
              </w:tabs>
              <w:adjustRightInd w:val="0"/>
              <w:snapToGrid w:val="0"/>
              <w:spacing w:line="400" w:lineRule="exact"/>
              <w:rPr>
                <w:rFonts w:ascii="宋体" w:hAnsi="宋体" w:cs="仿宋"/>
                <w:szCs w:val="21"/>
              </w:rPr>
            </w:pPr>
            <w:r>
              <w:rPr>
                <w:rFonts w:hint="eastAsia" w:ascii="宋体" w:hAnsi="宋体" w:cs="仿宋"/>
                <w:szCs w:val="21"/>
              </w:rPr>
              <w:t>法定代表人：</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电话：</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传真：</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电子信箱：</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开户银行：</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账号：</w:t>
            </w:r>
          </w:p>
        </w:tc>
        <w:tc>
          <w:tcPr>
            <w:tcW w:w="4829" w:type="dxa"/>
          </w:tcPr>
          <w:p>
            <w:pPr>
              <w:pStyle w:val="20"/>
              <w:tabs>
                <w:tab w:val="left" w:pos="2980"/>
                <w:tab w:val="left" w:pos="4919"/>
                <w:tab w:val="left" w:pos="7463"/>
              </w:tabs>
              <w:adjustRightInd w:val="0"/>
              <w:snapToGrid w:val="0"/>
              <w:spacing w:line="360" w:lineRule="auto"/>
              <w:ind w:right="119"/>
              <w:rPr>
                <w:rFonts w:ascii="宋体" w:hAnsi="宋体" w:cs="仿宋"/>
                <w:szCs w:val="21"/>
              </w:rPr>
            </w:pPr>
            <w:r>
              <w:rPr>
                <w:rFonts w:hint="eastAsia" w:ascii="宋体" w:hAnsi="宋体" w:cs="仿宋"/>
                <w:szCs w:val="21"/>
              </w:rPr>
              <w:t>承 包 人：（盖章）</w:t>
            </w:r>
          </w:p>
          <w:p>
            <w:pPr>
              <w:pStyle w:val="20"/>
              <w:tabs>
                <w:tab w:val="left" w:pos="2980"/>
                <w:tab w:val="left" w:pos="4919"/>
                <w:tab w:val="left" w:pos="7463"/>
              </w:tabs>
              <w:adjustRightInd w:val="0"/>
              <w:snapToGrid w:val="0"/>
              <w:spacing w:line="360" w:lineRule="auto"/>
              <w:ind w:right="119"/>
              <w:rPr>
                <w:rFonts w:ascii="宋体" w:hAnsi="宋体" w:cs="仿宋"/>
                <w:szCs w:val="21"/>
              </w:rPr>
            </w:pPr>
          </w:p>
          <w:p>
            <w:pPr>
              <w:pStyle w:val="20"/>
              <w:tabs>
                <w:tab w:val="left" w:pos="2980"/>
                <w:tab w:val="left" w:pos="4919"/>
                <w:tab w:val="left" w:pos="7463"/>
              </w:tabs>
              <w:adjustRightInd w:val="0"/>
              <w:snapToGrid w:val="0"/>
              <w:spacing w:line="360" w:lineRule="auto"/>
              <w:ind w:right="119"/>
              <w:rPr>
                <w:rFonts w:ascii="宋体" w:hAnsi="宋体" w:cs="仿宋"/>
                <w:szCs w:val="21"/>
              </w:rPr>
            </w:pPr>
            <w:r>
              <w:rPr>
                <w:rFonts w:hint="eastAsia" w:ascii="宋体" w:hAnsi="宋体" w:cs="仿宋"/>
                <w:szCs w:val="21"/>
              </w:rPr>
              <w:t>法定代表人或其授权的代理人：</w:t>
            </w:r>
          </w:p>
          <w:p>
            <w:pPr>
              <w:pStyle w:val="20"/>
              <w:tabs>
                <w:tab w:val="left" w:pos="2980"/>
                <w:tab w:val="left" w:pos="4919"/>
                <w:tab w:val="left" w:pos="7463"/>
              </w:tabs>
              <w:adjustRightInd w:val="0"/>
              <w:snapToGrid w:val="0"/>
              <w:spacing w:line="360" w:lineRule="auto"/>
              <w:ind w:right="119"/>
              <w:rPr>
                <w:rFonts w:ascii="宋体" w:hAnsi="宋体" w:cs="仿宋"/>
                <w:szCs w:val="21"/>
              </w:rPr>
            </w:pPr>
          </w:p>
          <w:p>
            <w:pPr>
              <w:pStyle w:val="20"/>
              <w:tabs>
                <w:tab w:val="left" w:pos="2670"/>
                <w:tab w:val="left" w:pos="4919"/>
                <w:tab w:val="left" w:pos="7463"/>
              </w:tabs>
              <w:adjustRightInd w:val="0"/>
              <w:snapToGrid w:val="0"/>
              <w:spacing w:line="360" w:lineRule="auto"/>
              <w:ind w:right="119"/>
              <w:rPr>
                <w:rFonts w:ascii="宋体" w:hAnsi="宋体" w:cs="仿宋"/>
                <w:szCs w:val="21"/>
              </w:rPr>
            </w:pPr>
            <w:r>
              <w:rPr>
                <w:rFonts w:ascii="宋体" w:hAnsi="宋体" w:cs="仿宋"/>
                <w:szCs w:val="21"/>
                <w:u w:val="single"/>
              </w:rPr>
              <w:tab/>
            </w:r>
            <w:r>
              <w:rPr>
                <w:rFonts w:hint="eastAsia" w:ascii="宋体" w:hAnsi="宋体" w:cs="仿宋"/>
                <w:szCs w:val="21"/>
              </w:rPr>
              <w:t>（签字）</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营业执照号：</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地址：</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法定代表人：</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电话：</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传真：</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网址：</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开户银行:</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账号：</w:t>
            </w:r>
          </w:p>
        </w:tc>
      </w:tr>
    </w:tbl>
    <w:p>
      <w:pPr>
        <w:spacing w:line="420" w:lineRule="exact"/>
        <w:ind w:firstLine="420"/>
        <w:rPr>
          <w:rFonts w:ascii="宋体" w:hAnsi="宋体" w:cs="宋体"/>
          <w:color w:val="000000"/>
          <w:szCs w:val="21"/>
        </w:rPr>
      </w:pPr>
    </w:p>
    <w:p>
      <w:pPr>
        <w:spacing w:line="440" w:lineRule="exact"/>
        <w:rPr>
          <w:rFonts w:ascii="宋体" w:hAnsi="宋体"/>
          <w:szCs w:val="21"/>
        </w:rPr>
      </w:pPr>
      <w:r>
        <w:rPr>
          <w:rFonts w:ascii="宋体" w:hAnsi="宋体"/>
          <w:b/>
          <w:bCs/>
          <w:szCs w:val="21"/>
        </w:rPr>
        <w:br w:type="page"/>
      </w:r>
      <w:r>
        <w:rPr>
          <w:rFonts w:hint="eastAsia" w:ascii="宋体" w:hAnsi="宋体" w:cs="仿宋_GB2312"/>
          <w:szCs w:val="21"/>
        </w:rPr>
        <w:t>附件</w:t>
      </w:r>
      <w:r>
        <w:rPr>
          <w:rFonts w:ascii="宋体" w:hAnsi="宋体"/>
          <w:szCs w:val="21"/>
        </w:rPr>
        <w:t>4</w:t>
      </w:r>
      <w:r>
        <w:rPr>
          <w:rFonts w:hint="eastAsia" w:ascii="宋体" w:hAnsi="宋体" w:cs="仿宋_GB2312"/>
          <w:szCs w:val="21"/>
        </w:rPr>
        <w:t>：</w:t>
      </w:r>
    </w:p>
    <w:p>
      <w:pPr>
        <w:spacing w:beforeLines="50" w:afterLines="50" w:line="440" w:lineRule="exact"/>
        <w:jc w:val="center"/>
        <w:rPr>
          <w:rFonts w:ascii="宋体" w:hAnsi="宋体"/>
          <w:szCs w:val="21"/>
        </w:rPr>
      </w:pPr>
      <w:r>
        <w:rPr>
          <w:rFonts w:hint="eastAsia" w:ascii="宋体" w:hAnsi="宋体" w:cs="黑体"/>
          <w:szCs w:val="21"/>
        </w:rPr>
        <w:t>主要建设工程文件目录</w:t>
      </w:r>
    </w:p>
    <w:tbl>
      <w:tblPr>
        <w:tblStyle w:val="56"/>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文件名称</w:t>
            </w:r>
          </w:p>
        </w:tc>
        <w:tc>
          <w:tcPr>
            <w:tcW w:w="1276"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套数</w:t>
            </w:r>
          </w:p>
        </w:tc>
        <w:tc>
          <w:tcPr>
            <w:tcW w:w="145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费用（元）</w:t>
            </w:r>
          </w:p>
        </w:tc>
        <w:tc>
          <w:tcPr>
            <w:tcW w:w="1243"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质量</w:t>
            </w:r>
          </w:p>
        </w:tc>
        <w:tc>
          <w:tcPr>
            <w:tcW w:w="1450" w:type="dxa"/>
            <w:tcBorders>
              <w:top w:val="single" w:color="auto" w:sz="12" w:space="0"/>
              <w:bottom w:val="double" w:color="auto" w:sz="6" w:space="0"/>
            </w:tcBorders>
          </w:tcPr>
          <w:p>
            <w:pPr>
              <w:spacing w:line="440" w:lineRule="exact"/>
              <w:jc w:val="center"/>
              <w:rPr>
                <w:rFonts w:ascii="宋体" w:hAnsi="宋体"/>
                <w:szCs w:val="21"/>
              </w:rPr>
            </w:pPr>
            <w:r>
              <w:rPr>
                <w:rFonts w:hint="eastAsia" w:ascii="宋体" w:hAnsi="宋体" w:cs="仿宋_GB2312"/>
                <w:szCs w:val="21"/>
              </w:rPr>
              <w:t>完成时间</w:t>
            </w:r>
          </w:p>
        </w:tc>
        <w:tc>
          <w:tcPr>
            <w:tcW w:w="1667" w:type="dxa"/>
            <w:tcBorders>
              <w:top w:val="single" w:color="auto" w:sz="12" w:space="0"/>
              <w:bottom w:val="double" w:color="auto" w:sz="6" w:space="0"/>
            </w:tcBorders>
          </w:tcPr>
          <w:p>
            <w:pPr>
              <w:spacing w:line="440" w:lineRule="exact"/>
              <w:jc w:val="center"/>
              <w:rPr>
                <w:rFonts w:ascii="宋体" w:hAnsi="宋体"/>
                <w:szCs w:val="21"/>
              </w:rPr>
            </w:pPr>
            <w:r>
              <w:rPr>
                <w:rFonts w:hint="eastAsia" w:ascii="宋体" w:hAnsi="宋体" w:cs="仿宋_GB2312"/>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pPr>
              <w:pStyle w:val="20"/>
              <w:keepNext/>
              <w:spacing w:line="440" w:lineRule="exact"/>
              <w:ind w:left="63" w:right="63"/>
              <w:rPr>
                <w:rFonts w:ascii="宋体" w:hAnsi="宋体"/>
                <w:szCs w:val="21"/>
              </w:rPr>
            </w:pPr>
          </w:p>
        </w:tc>
        <w:tc>
          <w:tcPr>
            <w:tcW w:w="1276" w:type="dxa"/>
            <w:tcBorders>
              <w:top w:val="double" w:color="auto" w:sz="6" w:space="0"/>
            </w:tcBorders>
            <w:vAlign w:val="center"/>
          </w:tcPr>
          <w:p>
            <w:pPr>
              <w:pStyle w:val="20"/>
              <w:keepNext/>
              <w:spacing w:line="440" w:lineRule="exact"/>
              <w:ind w:left="63" w:right="63"/>
              <w:rPr>
                <w:rFonts w:ascii="宋体" w:hAnsi="宋体"/>
                <w:szCs w:val="21"/>
              </w:rPr>
            </w:pPr>
          </w:p>
        </w:tc>
        <w:tc>
          <w:tcPr>
            <w:tcW w:w="1450" w:type="dxa"/>
            <w:tcBorders>
              <w:top w:val="double" w:color="auto" w:sz="6" w:space="0"/>
            </w:tcBorders>
            <w:vAlign w:val="center"/>
          </w:tcPr>
          <w:p>
            <w:pPr>
              <w:pStyle w:val="20"/>
              <w:keepNext/>
              <w:spacing w:line="440" w:lineRule="exact"/>
              <w:ind w:left="63" w:right="63"/>
              <w:rPr>
                <w:rFonts w:ascii="宋体" w:hAnsi="宋体"/>
                <w:szCs w:val="21"/>
              </w:rPr>
            </w:pPr>
          </w:p>
        </w:tc>
        <w:tc>
          <w:tcPr>
            <w:tcW w:w="1243" w:type="dxa"/>
            <w:tcBorders>
              <w:top w:val="double" w:color="auto" w:sz="6" w:space="0"/>
            </w:tcBorders>
            <w:vAlign w:val="center"/>
          </w:tcPr>
          <w:p>
            <w:pPr>
              <w:pStyle w:val="20"/>
              <w:keepNext/>
              <w:spacing w:line="440" w:lineRule="exact"/>
              <w:ind w:left="63" w:right="63"/>
              <w:rPr>
                <w:rFonts w:ascii="宋体" w:hAnsi="宋体"/>
                <w:szCs w:val="21"/>
              </w:rPr>
            </w:pPr>
          </w:p>
        </w:tc>
        <w:tc>
          <w:tcPr>
            <w:tcW w:w="1450" w:type="dxa"/>
            <w:tcBorders>
              <w:top w:val="double" w:color="auto" w:sz="6" w:space="0"/>
            </w:tcBorders>
            <w:vAlign w:val="center"/>
          </w:tcPr>
          <w:p>
            <w:pPr>
              <w:pStyle w:val="20"/>
              <w:keepNext/>
              <w:spacing w:line="440" w:lineRule="exact"/>
              <w:ind w:left="63" w:right="63"/>
              <w:jc w:val="center"/>
              <w:rPr>
                <w:rFonts w:ascii="宋体" w:hAnsi="宋体"/>
                <w:szCs w:val="21"/>
              </w:rPr>
            </w:pPr>
          </w:p>
        </w:tc>
        <w:tc>
          <w:tcPr>
            <w:tcW w:w="1667" w:type="dxa"/>
            <w:tcBorders>
              <w:top w:val="double" w:color="auto" w:sz="6" w:space="0"/>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0"/>
              <w:keepNext/>
              <w:spacing w:line="440" w:lineRule="exact"/>
              <w:ind w:left="63" w:right="63"/>
              <w:rPr>
                <w:rFonts w:ascii="宋体" w:hAnsi="宋体"/>
                <w:szCs w:val="21"/>
              </w:rPr>
            </w:pPr>
          </w:p>
        </w:tc>
        <w:tc>
          <w:tcPr>
            <w:tcW w:w="1276" w:type="dxa"/>
            <w:tcBorders>
              <w:top w:val="nil"/>
            </w:tcBorders>
            <w:vAlign w:val="center"/>
          </w:tcPr>
          <w:p>
            <w:pPr>
              <w:pStyle w:val="20"/>
              <w:keepNext/>
              <w:spacing w:line="440" w:lineRule="exact"/>
              <w:ind w:left="63" w:right="63"/>
              <w:rPr>
                <w:rFonts w:ascii="宋体" w:hAnsi="宋体"/>
                <w:szCs w:val="21"/>
              </w:rPr>
            </w:pPr>
          </w:p>
        </w:tc>
        <w:tc>
          <w:tcPr>
            <w:tcW w:w="1450" w:type="dxa"/>
            <w:tcBorders>
              <w:top w:val="nil"/>
            </w:tcBorders>
            <w:vAlign w:val="center"/>
          </w:tcPr>
          <w:p>
            <w:pPr>
              <w:pStyle w:val="20"/>
              <w:keepNext/>
              <w:spacing w:line="440" w:lineRule="exact"/>
              <w:ind w:left="63" w:right="63"/>
              <w:rPr>
                <w:rFonts w:ascii="宋体" w:hAnsi="宋体"/>
                <w:szCs w:val="21"/>
              </w:rPr>
            </w:pPr>
          </w:p>
        </w:tc>
        <w:tc>
          <w:tcPr>
            <w:tcW w:w="1243" w:type="dxa"/>
            <w:tcBorders>
              <w:top w:val="nil"/>
            </w:tcBorders>
            <w:vAlign w:val="center"/>
          </w:tcPr>
          <w:p>
            <w:pPr>
              <w:pStyle w:val="20"/>
              <w:keepNext/>
              <w:spacing w:line="440" w:lineRule="exact"/>
              <w:ind w:left="63" w:right="63"/>
              <w:rPr>
                <w:rFonts w:ascii="宋体" w:hAnsi="宋体"/>
                <w:szCs w:val="21"/>
              </w:rPr>
            </w:pPr>
          </w:p>
        </w:tc>
        <w:tc>
          <w:tcPr>
            <w:tcW w:w="1450" w:type="dxa"/>
            <w:tcBorders>
              <w:top w:val="nil"/>
            </w:tcBorders>
            <w:vAlign w:val="center"/>
          </w:tcPr>
          <w:p>
            <w:pPr>
              <w:pStyle w:val="20"/>
              <w:keepNext/>
              <w:spacing w:line="440" w:lineRule="exact"/>
              <w:ind w:left="63" w:right="63"/>
              <w:rPr>
                <w:rFonts w:ascii="宋体" w:hAnsi="宋体"/>
                <w:szCs w:val="21"/>
              </w:rPr>
            </w:pPr>
          </w:p>
        </w:tc>
        <w:tc>
          <w:tcPr>
            <w:tcW w:w="1667" w:type="dxa"/>
            <w:tcBorders>
              <w:top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pPr>
              <w:rPr>
                <w:rFonts w:ascii="宋体" w:hAnsi="宋体"/>
                <w:szCs w:val="21"/>
              </w:rPr>
            </w:pPr>
          </w:p>
        </w:tc>
        <w:tc>
          <w:tcPr>
            <w:tcW w:w="1276" w:type="dxa"/>
            <w:tcBorders>
              <w:bottom w:val="single" w:color="auto" w:sz="12" w:space="0"/>
            </w:tcBorders>
          </w:tcPr>
          <w:p>
            <w:pPr>
              <w:rPr>
                <w:rFonts w:ascii="宋体" w:hAnsi="宋体"/>
                <w:szCs w:val="21"/>
              </w:rPr>
            </w:pPr>
          </w:p>
        </w:tc>
        <w:tc>
          <w:tcPr>
            <w:tcW w:w="1450" w:type="dxa"/>
            <w:tcBorders>
              <w:bottom w:val="single" w:color="auto" w:sz="12" w:space="0"/>
            </w:tcBorders>
          </w:tcPr>
          <w:p>
            <w:pPr>
              <w:rPr>
                <w:rFonts w:ascii="宋体" w:hAnsi="宋体"/>
                <w:szCs w:val="21"/>
              </w:rPr>
            </w:pPr>
          </w:p>
        </w:tc>
        <w:tc>
          <w:tcPr>
            <w:tcW w:w="1243" w:type="dxa"/>
            <w:tcBorders>
              <w:bottom w:val="single" w:color="auto" w:sz="12" w:space="0"/>
            </w:tcBorders>
          </w:tcPr>
          <w:p>
            <w:pPr>
              <w:rPr>
                <w:rFonts w:ascii="宋体" w:hAnsi="宋体"/>
                <w:szCs w:val="21"/>
              </w:rPr>
            </w:pPr>
          </w:p>
        </w:tc>
        <w:tc>
          <w:tcPr>
            <w:tcW w:w="1450" w:type="dxa"/>
            <w:tcBorders>
              <w:bottom w:val="single" w:color="auto" w:sz="12" w:space="0"/>
            </w:tcBorders>
          </w:tcPr>
          <w:p>
            <w:pPr>
              <w:rPr>
                <w:rFonts w:ascii="宋体" w:hAnsi="宋体"/>
                <w:szCs w:val="21"/>
              </w:rPr>
            </w:pPr>
          </w:p>
        </w:tc>
        <w:tc>
          <w:tcPr>
            <w:tcW w:w="1667" w:type="dxa"/>
            <w:tcBorders>
              <w:bottom w:val="single" w:color="auto" w:sz="12" w:space="0"/>
            </w:tcBorders>
          </w:tcPr>
          <w:p>
            <w:pPr>
              <w:rPr>
                <w:rFonts w:ascii="宋体" w:hAnsi="宋体"/>
                <w:szCs w:val="21"/>
              </w:rPr>
            </w:pPr>
          </w:p>
        </w:tc>
      </w:tr>
    </w:tbl>
    <w:p>
      <w:pPr>
        <w:spacing w:line="440" w:lineRule="exact"/>
        <w:rPr>
          <w:rFonts w:ascii="宋体" w:hAnsi="宋体" w:cs="仿宋_GB2312"/>
          <w:szCs w:val="21"/>
        </w:rPr>
      </w:pPr>
    </w:p>
    <w:p>
      <w:pPr>
        <w:spacing w:line="440" w:lineRule="exact"/>
        <w:rPr>
          <w:rFonts w:ascii="宋体" w:hAnsi="宋体"/>
          <w:szCs w:val="21"/>
        </w:rPr>
      </w:pPr>
      <w:r>
        <w:rPr>
          <w:rFonts w:ascii="宋体" w:hAnsi="宋体" w:cs="仿宋_GB2312"/>
          <w:szCs w:val="21"/>
        </w:rPr>
        <w:br w:type="page"/>
      </w:r>
      <w:r>
        <w:rPr>
          <w:rFonts w:hint="eastAsia" w:ascii="宋体" w:hAnsi="宋体" w:cs="仿宋_GB2312"/>
          <w:szCs w:val="21"/>
        </w:rPr>
        <w:t>附</w:t>
      </w:r>
      <w:bookmarkStart w:id="866" w:name="_Toc296346728"/>
      <w:bookmarkStart w:id="867" w:name="_Toc296503227"/>
      <w:bookmarkStart w:id="868" w:name="_Toc267261698"/>
      <w:bookmarkStart w:id="869" w:name="_Toc296347226"/>
      <w:bookmarkStart w:id="870" w:name="_Toc296944566"/>
      <w:bookmarkStart w:id="871" w:name="_Toc296891055"/>
      <w:bookmarkStart w:id="872" w:name="_Toc296891267"/>
      <w:r>
        <w:rPr>
          <w:rFonts w:hint="eastAsia" w:ascii="宋体" w:hAnsi="宋体" w:cs="仿宋_GB2312"/>
          <w:szCs w:val="21"/>
        </w:rPr>
        <w:t>件</w:t>
      </w:r>
      <w:r>
        <w:rPr>
          <w:rFonts w:ascii="宋体" w:hAnsi="宋体"/>
          <w:szCs w:val="21"/>
        </w:rPr>
        <w:t>5</w:t>
      </w:r>
      <w:r>
        <w:rPr>
          <w:rFonts w:hint="eastAsia" w:ascii="宋体" w:hAnsi="宋体" w:cs="仿宋_GB2312"/>
          <w:szCs w:val="21"/>
        </w:rPr>
        <w:t>：</w:t>
      </w:r>
    </w:p>
    <w:bookmarkEnd w:id="866"/>
    <w:bookmarkEnd w:id="867"/>
    <w:bookmarkEnd w:id="868"/>
    <w:bookmarkEnd w:id="869"/>
    <w:bookmarkEnd w:id="870"/>
    <w:bookmarkEnd w:id="871"/>
    <w:bookmarkEnd w:id="872"/>
    <w:p>
      <w:pPr>
        <w:spacing w:beforeLines="50" w:afterLines="50" w:line="440" w:lineRule="exact"/>
        <w:jc w:val="center"/>
        <w:rPr>
          <w:rFonts w:ascii="宋体" w:hAnsi="宋体"/>
          <w:szCs w:val="21"/>
        </w:rPr>
      </w:pPr>
      <w:r>
        <w:rPr>
          <w:rFonts w:hint="eastAsia" w:ascii="宋体" w:hAnsi="宋体" w:cs="黑体"/>
          <w:szCs w:val="21"/>
        </w:rPr>
        <w:t>承包人用于本工程施工的机械设备表</w:t>
      </w:r>
    </w:p>
    <w:tbl>
      <w:tblPr>
        <w:tblStyle w:val="56"/>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007"/>
        <w:gridCol w:w="901"/>
        <w:gridCol w:w="939"/>
        <w:gridCol w:w="961"/>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5" w:hRule="atLeast"/>
          <w:jc w:val="center"/>
        </w:trPr>
        <w:tc>
          <w:tcPr>
            <w:tcW w:w="1162"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序号</w:t>
            </w:r>
          </w:p>
        </w:tc>
        <w:tc>
          <w:tcPr>
            <w:tcW w:w="1418"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机械或设备名称</w:t>
            </w:r>
          </w:p>
        </w:tc>
        <w:tc>
          <w:tcPr>
            <w:tcW w:w="1007"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规格型号</w:t>
            </w:r>
          </w:p>
        </w:tc>
        <w:tc>
          <w:tcPr>
            <w:tcW w:w="90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数量</w:t>
            </w:r>
          </w:p>
        </w:tc>
        <w:tc>
          <w:tcPr>
            <w:tcW w:w="939"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产地</w:t>
            </w:r>
          </w:p>
        </w:tc>
        <w:tc>
          <w:tcPr>
            <w:tcW w:w="96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制造年份</w:t>
            </w:r>
          </w:p>
        </w:tc>
        <w:tc>
          <w:tcPr>
            <w:tcW w:w="148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额定功率</w:t>
            </w:r>
            <w:r>
              <w:rPr>
                <w:rFonts w:ascii="宋体" w:hAnsi="宋体"/>
                <w:szCs w:val="21"/>
              </w:rPr>
              <w:t>(kW)</w:t>
            </w:r>
          </w:p>
        </w:tc>
        <w:tc>
          <w:tcPr>
            <w:tcW w:w="102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生产能力</w:t>
            </w:r>
          </w:p>
        </w:tc>
        <w:tc>
          <w:tcPr>
            <w:tcW w:w="92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spacing w:line="240" w:lineRule="exact"/>
              <w:jc w:val="center"/>
              <w:textAlignment w:val="center"/>
              <w:rPr>
                <w:rFonts w:ascii="宋体" w:hAnsi="宋体" w:cs="宋体"/>
                <w:color w:val="000000"/>
                <w:szCs w:val="21"/>
              </w:rPr>
            </w:pPr>
          </w:p>
        </w:tc>
        <w:tc>
          <w:tcPr>
            <w:tcW w:w="1418" w:type="dxa"/>
            <w:tcBorders>
              <w:top w:val="double" w:color="auto" w:sz="6" w:space="0"/>
            </w:tcBorders>
            <w:vAlign w:val="center"/>
          </w:tcPr>
          <w:p>
            <w:pPr>
              <w:spacing w:line="240" w:lineRule="exact"/>
              <w:jc w:val="center"/>
              <w:textAlignment w:val="center"/>
              <w:rPr>
                <w:rFonts w:ascii="宋体" w:hAnsi="宋体" w:cs="宋体"/>
                <w:color w:val="000000"/>
                <w:szCs w:val="21"/>
              </w:rPr>
            </w:pPr>
          </w:p>
        </w:tc>
        <w:tc>
          <w:tcPr>
            <w:tcW w:w="1007" w:type="dxa"/>
            <w:tcBorders>
              <w:top w:val="double" w:color="auto" w:sz="6" w:space="0"/>
            </w:tcBorders>
            <w:vAlign w:val="center"/>
          </w:tcPr>
          <w:p>
            <w:pPr>
              <w:jc w:val="center"/>
              <w:textAlignment w:val="baseline"/>
              <w:rPr>
                <w:rFonts w:ascii="宋体" w:hAnsi="宋体" w:cs="宋体"/>
                <w:color w:val="000000"/>
                <w:szCs w:val="21"/>
              </w:rPr>
            </w:pPr>
          </w:p>
        </w:tc>
        <w:tc>
          <w:tcPr>
            <w:tcW w:w="901" w:type="dxa"/>
            <w:tcBorders>
              <w:top w:val="double" w:color="auto" w:sz="6" w:space="0"/>
            </w:tcBorders>
            <w:vAlign w:val="center"/>
          </w:tcPr>
          <w:p>
            <w:pPr>
              <w:jc w:val="center"/>
              <w:rPr>
                <w:rFonts w:ascii="宋体" w:hAnsi="宋体" w:cs="宋体"/>
                <w:color w:val="000000"/>
                <w:szCs w:val="21"/>
              </w:rPr>
            </w:pPr>
          </w:p>
        </w:tc>
        <w:tc>
          <w:tcPr>
            <w:tcW w:w="939" w:type="dxa"/>
            <w:tcBorders>
              <w:top w:val="double" w:color="auto" w:sz="6" w:space="0"/>
            </w:tcBorders>
            <w:vAlign w:val="center"/>
          </w:tcPr>
          <w:p>
            <w:pPr>
              <w:jc w:val="center"/>
              <w:textAlignment w:val="baseline"/>
              <w:rPr>
                <w:rFonts w:ascii="宋体" w:hAnsi="宋体" w:cs="宋体"/>
                <w:color w:val="000000"/>
                <w:szCs w:val="21"/>
              </w:rPr>
            </w:pPr>
          </w:p>
        </w:tc>
        <w:tc>
          <w:tcPr>
            <w:tcW w:w="961" w:type="dxa"/>
            <w:tcBorders>
              <w:top w:val="double" w:color="auto" w:sz="6" w:space="0"/>
            </w:tcBorders>
            <w:vAlign w:val="center"/>
          </w:tcPr>
          <w:p>
            <w:pPr>
              <w:jc w:val="center"/>
              <w:textAlignment w:val="baseline"/>
              <w:rPr>
                <w:rFonts w:ascii="宋体" w:hAnsi="宋体" w:cs="宋体"/>
                <w:color w:val="000000"/>
                <w:szCs w:val="21"/>
              </w:rPr>
            </w:pPr>
          </w:p>
        </w:tc>
        <w:tc>
          <w:tcPr>
            <w:tcW w:w="1480" w:type="dxa"/>
            <w:tcBorders>
              <w:top w:val="double" w:color="auto" w:sz="6" w:space="0"/>
            </w:tcBorders>
            <w:vAlign w:val="center"/>
          </w:tcPr>
          <w:p>
            <w:pPr>
              <w:jc w:val="center"/>
              <w:textAlignment w:val="baseline"/>
              <w:rPr>
                <w:rFonts w:ascii="宋体" w:hAnsi="宋体" w:cs="宋体"/>
                <w:color w:val="000000"/>
                <w:szCs w:val="21"/>
              </w:rPr>
            </w:pPr>
          </w:p>
        </w:tc>
        <w:tc>
          <w:tcPr>
            <w:tcW w:w="1020" w:type="dxa"/>
            <w:tcBorders>
              <w:top w:val="double" w:color="auto" w:sz="6" w:space="0"/>
            </w:tcBorders>
          </w:tcPr>
          <w:p>
            <w:pPr>
              <w:spacing w:line="240" w:lineRule="exact"/>
              <w:rPr>
                <w:rFonts w:ascii="宋体" w:hAnsi="宋体" w:cs="宋体"/>
                <w:color w:val="000000"/>
                <w:szCs w:val="21"/>
              </w:rPr>
            </w:pPr>
          </w:p>
        </w:tc>
        <w:tc>
          <w:tcPr>
            <w:tcW w:w="921" w:type="dxa"/>
            <w:tcBorders>
              <w:top w:val="double" w:color="auto" w:sz="6" w:space="0"/>
            </w:tcBorders>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spacing w:line="240" w:lineRule="exact"/>
              <w:jc w:val="center"/>
              <w:textAlignment w:val="center"/>
              <w:rPr>
                <w:rFonts w:ascii="宋体" w:hAnsi="宋体" w:cs="宋体"/>
                <w:color w:val="000000"/>
                <w:szCs w:val="21"/>
              </w:rPr>
            </w:pPr>
          </w:p>
        </w:tc>
        <w:tc>
          <w:tcPr>
            <w:tcW w:w="1418" w:type="dxa"/>
            <w:tcBorders>
              <w:top w:val="nil"/>
            </w:tcBorders>
            <w:vAlign w:val="center"/>
          </w:tcPr>
          <w:p>
            <w:pPr>
              <w:spacing w:line="240" w:lineRule="exact"/>
              <w:jc w:val="center"/>
              <w:textAlignment w:val="center"/>
              <w:rPr>
                <w:rFonts w:ascii="宋体" w:hAnsi="宋体" w:cs="宋体"/>
                <w:color w:val="000000"/>
                <w:szCs w:val="21"/>
              </w:rPr>
            </w:pPr>
          </w:p>
        </w:tc>
        <w:tc>
          <w:tcPr>
            <w:tcW w:w="1007" w:type="dxa"/>
            <w:tcBorders>
              <w:top w:val="nil"/>
            </w:tcBorders>
            <w:vAlign w:val="center"/>
          </w:tcPr>
          <w:p>
            <w:pPr>
              <w:spacing w:line="240" w:lineRule="exact"/>
              <w:jc w:val="center"/>
              <w:textAlignment w:val="center"/>
              <w:rPr>
                <w:rFonts w:ascii="宋体" w:hAnsi="宋体" w:cs="宋体"/>
                <w:color w:val="000000"/>
                <w:szCs w:val="21"/>
              </w:rPr>
            </w:pPr>
          </w:p>
        </w:tc>
        <w:tc>
          <w:tcPr>
            <w:tcW w:w="901" w:type="dxa"/>
            <w:tcBorders>
              <w:top w:val="nil"/>
            </w:tcBorders>
            <w:vAlign w:val="center"/>
          </w:tcPr>
          <w:p>
            <w:pPr>
              <w:spacing w:line="240" w:lineRule="exact"/>
              <w:jc w:val="center"/>
              <w:textAlignment w:val="center"/>
              <w:rPr>
                <w:rFonts w:ascii="宋体" w:hAnsi="宋体" w:cs="宋体"/>
                <w:color w:val="000000"/>
                <w:szCs w:val="21"/>
              </w:rPr>
            </w:pPr>
          </w:p>
        </w:tc>
        <w:tc>
          <w:tcPr>
            <w:tcW w:w="939" w:type="dxa"/>
            <w:tcBorders>
              <w:top w:val="nil"/>
            </w:tcBorders>
            <w:vAlign w:val="center"/>
          </w:tcPr>
          <w:p>
            <w:pPr>
              <w:spacing w:line="240" w:lineRule="exact"/>
              <w:jc w:val="center"/>
              <w:textAlignment w:val="center"/>
              <w:rPr>
                <w:rFonts w:ascii="宋体" w:hAnsi="宋体" w:cs="宋体"/>
                <w:color w:val="000000"/>
                <w:szCs w:val="21"/>
              </w:rPr>
            </w:pPr>
          </w:p>
        </w:tc>
        <w:tc>
          <w:tcPr>
            <w:tcW w:w="961" w:type="dxa"/>
            <w:tcBorders>
              <w:top w:val="nil"/>
            </w:tcBorders>
            <w:vAlign w:val="center"/>
          </w:tcPr>
          <w:p>
            <w:pPr>
              <w:spacing w:line="240" w:lineRule="exact"/>
              <w:jc w:val="center"/>
              <w:textAlignment w:val="center"/>
              <w:rPr>
                <w:rFonts w:ascii="宋体" w:hAnsi="宋体" w:cs="宋体"/>
                <w:color w:val="000000"/>
                <w:szCs w:val="21"/>
              </w:rPr>
            </w:pPr>
          </w:p>
        </w:tc>
        <w:tc>
          <w:tcPr>
            <w:tcW w:w="1480" w:type="dxa"/>
            <w:tcBorders>
              <w:top w:val="nil"/>
            </w:tcBorders>
            <w:vAlign w:val="center"/>
          </w:tcPr>
          <w:p>
            <w:pPr>
              <w:spacing w:line="240" w:lineRule="exact"/>
              <w:jc w:val="center"/>
              <w:textAlignment w:val="center"/>
              <w:rPr>
                <w:rFonts w:ascii="宋体" w:hAnsi="宋体" w:cs="宋体"/>
                <w:color w:val="000000"/>
                <w:szCs w:val="21"/>
              </w:rPr>
            </w:pPr>
          </w:p>
        </w:tc>
        <w:tc>
          <w:tcPr>
            <w:tcW w:w="1020" w:type="dxa"/>
            <w:tcBorders>
              <w:top w:val="nil"/>
            </w:tcBorders>
            <w:vAlign w:val="center"/>
          </w:tcPr>
          <w:p>
            <w:pPr>
              <w:spacing w:line="240" w:lineRule="exact"/>
              <w:jc w:val="center"/>
              <w:textAlignment w:val="center"/>
              <w:rPr>
                <w:rFonts w:ascii="宋体" w:hAnsi="宋体" w:cs="宋体"/>
                <w:color w:val="000000"/>
                <w:szCs w:val="21"/>
              </w:rPr>
            </w:pPr>
          </w:p>
        </w:tc>
        <w:tc>
          <w:tcPr>
            <w:tcW w:w="921" w:type="dxa"/>
            <w:tcBorders>
              <w:top w:val="nil"/>
            </w:tcBorders>
            <w:vAlign w:val="center"/>
          </w:tcPr>
          <w:p>
            <w:pPr>
              <w:spacing w:line="240" w:lineRule="exact"/>
              <w:jc w:val="center"/>
              <w:textAlignment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textAlignment w:val="center"/>
              <w:rPr>
                <w:rFonts w:ascii="宋体" w:hAnsi="宋体" w:cs="宋体"/>
                <w:color w:val="000000"/>
                <w:szCs w:val="21"/>
              </w:rPr>
            </w:pPr>
          </w:p>
        </w:tc>
        <w:tc>
          <w:tcPr>
            <w:tcW w:w="921" w:type="dxa"/>
            <w:vAlign w:val="center"/>
          </w:tcPr>
          <w:p>
            <w:pPr>
              <w:topLinePunct/>
              <w:spacing w:line="360" w:lineRule="auto"/>
              <w:jc w:val="center"/>
              <w:textAlignment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textAlignment w:val="center"/>
              <w:rPr>
                <w:rFonts w:ascii="宋体" w:hAnsi="宋体" w:cs="宋体"/>
                <w:color w:val="000000"/>
                <w:szCs w:val="21"/>
              </w:rPr>
            </w:pPr>
          </w:p>
        </w:tc>
        <w:tc>
          <w:tcPr>
            <w:tcW w:w="921" w:type="dxa"/>
            <w:vAlign w:val="center"/>
          </w:tcPr>
          <w:p>
            <w:pPr>
              <w:topLinePunct/>
              <w:spacing w:line="360" w:lineRule="auto"/>
              <w:jc w:val="center"/>
              <w:textAlignment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textAlignment w:val="center"/>
              <w:rPr>
                <w:rFonts w:ascii="宋体" w:hAnsi="宋体" w:cs="宋体"/>
                <w:color w:val="000000"/>
                <w:szCs w:val="21"/>
              </w:rPr>
            </w:pPr>
          </w:p>
        </w:tc>
        <w:tc>
          <w:tcPr>
            <w:tcW w:w="921" w:type="dxa"/>
            <w:vAlign w:val="center"/>
          </w:tcPr>
          <w:p>
            <w:pPr>
              <w:spacing w:line="240" w:lineRule="exact"/>
              <w:jc w:val="center"/>
              <w:textAlignment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007" w:type="dxa"/>
            <w:vAlign w:val="center"/>
          </w:tcPr>
          <w:p>
            <w:pPr>
              <w:pStyle w:val="20"/>
              <w:keepNext/>
              <w:spacing w:line="440" w:lineRule="exact"/>
              <w:ind w:left="63" w:right="63"/>
              <w:rPr>
                <w:rFonts w:ascii="宋体" w:hAnsi="宋体"/>
                <w:szCs w:val="21"/>
              </w:rPr>
            </w:pPr>
          </w:p>
        </w:tc>
        <w:tc>
          <w:tcPr>
            <w:tcW w:w="901" w:type="dxa"/>
            <w:vAlign w:val="center"/>
          </w:tcPr>
          <w:p>
            <w:pPr>
              <w:pStyle w:val="20"/>
              <w:keepNext/>
              <w:spacing w:line="440" w:lineRule="exact"/>
              <w:ind w:left="63" w:right="63"/>
              <w:rPr>
                <w:rFonts w:ascii="宋体" w:hAnsi="宋体"/>
                <w:szCs w:val="21"/>
              </w:rPr>
            </w:pPr>
          </w:p>
        </w:tc>
        <w:tc>
          <w:tcPr>
            <w:tcW w:w="939" w:type="dxa"/>
            <w:vAlign w:val="center"/>
          </w:tcPr>
          <w:p>
            <w:pPr>
              <w:pStyle w:val="20"/>
              <w:keepNext/>
              <w:spacing w:line="440" w:lineRule="exact"/>
              <w:ind w:left="63" w:right="63"/>
              <w:rPr>
                <w:rFonts w:ascii="宋体" w:hAnsi="宋体"/>
                <w:szCs w:val="21"/>
              </w:rPr>
            </w:pPr>
          </w:p>
        </w:tc>
        <w:tc>
          <w:tcPr>
            <w:tcW w:w="961" w:type="dxa"/>
            <w:vAlign w:val="center"/>
          </w:tcPr>
          <w:p>
            <w:pPr>
              <w:pStyle w:val="20"/>
              <w:keepNext/>
              <w:spacing w:line="440" w:lineRule="exact"/>
              <w:ind w:left="63" w:right="63"/>
              <w:rPr>
                <w:rFonts w:ascii="宋体" w:hAnsi="宋体"/>
                <w:szCs w:val="21"/>
              </w:rPr>
            </w:pPr>
          </w:p>
        </w:tc>
        <w:tc>
          <w:tcPr>
            <w:tcW w:w="1480" w:type="dxa"/>
            <w:vAlign w:val="center"/>
          </w:tcPr>
          <w:p>
            <w:pPr>
              <w:pStyle w:val="20"/>
              <w:keepNext/>
              <w:spacing w:line="440" w:lineRule="exact"/>
              <w:ind w:left="63" w:right="63"/>
              <w:rPr>
                <w:rFonts w:ascii="宋体" w:hAnsi="宋体"/>
                <w:szCs w:val="21"/>
              </w:rPr>
            </w:pPr>
          </w:p>
        </w:tc>
        <w:tc>
          <w:tcPr>
            <w:tcW w:w="1020" w:type="dxa"/>
            <w:vAlign w:val="center"/>
          </w:tcPr>
          <w:p>
            <w:pPr>
              <w:pStyle w:val="20"/>
              <w:keepNext/>
              <w:spacing w:line="440" w:lineRule="exact"/>
              <w:ind w:left="63" w:right="63"/>
              <w:rPr>
                <w:rFonts w:ascii="宋体" w:hAnsi="宋体"/>
                <w:szCs w:val="21"/>
              </w:rPr>
            </w:pPr>
          </w:p>
        </w:tc>
        <w:tc>
          <w:tcPr>
            <w:tcW w:w="921"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007" w:type="dxa"/>
            <w:vAlign w:val="center"/>
          </w:tcPr>
          <w:p>
            <w:pPr>
              <w:jc w:val="center"/>
              <w:rPr>
                <w:rFonts w:ascii="宋体" w:hAnsi="宋体" w:cs="宋体"/>
                <w:szCs w:val="21"/>
              </w:rPr>
            </w:pPr>
          </w:p>
        </w:tc>
        <w:tc>
          <w:tcPr>
            <w:tcW w:w="901" w:type="dxa"/>
            <w:vAlign w:val="center"/>
          </w:tcPr>
          <w:p>
            <w:pPr>
              <w:jc w:val="center"/>
              <w:rPr>
                <w:rFonts w:ascii="宋体" w:hAnsi="宋体" w:cs="宋体"/>
                <w:szCs w:val="21"/>
              </w:rPr>
            </w:pPr>
          </w:p>
        </w:tc>
        <w:tc>
          <w:tcPr>
            <w:tcW w:w="939" w:type="dxa"/>
            <w:vAlign w:val="center"/>
          </w:tcPr>
          <w:p>
            <w:pPr>
              <w:jc w:val="center"/>
              <w:rPr>
                <w:rFonts w:ascii="宋体" w:hAnsi="宋体" w:cs="宋体"/>
                <w:szCs w:val="21"/>
              </w:rPr>
            </w:pPr>
          </w:p>
        </w:tc>
        <w:tc>
          <w:tcPr>
            <w:tcW w:w="961" w:type="dxa"/>
            <w:vAlign w:val="center"/>
          </w:tcPr>
          <w:p>
            <w:pPr>
              <w:jc w:val="center"/>
              <w:rPr>
                <w:rFonts w:ascii="宋体" w:hAnsi="宋体" w:cs="宋体"/>
                <w:szCs w:val="21"/>
              </w:rPr>
            </w:pPr>
          </w:p>
        </w:tc>
        <w:tc>
          <w:tcPr>
            <w:tcW w:w="1480" w:type="dxa"/>
            <w:vAlign w:val="center"/>
          </w:tcPr>
          <w:p>
            <w:pPr>
              <w:jc w:val="center"/>
              <w:rPr>
                <w:rFonts w:ascii="宋体" w:hAnsi="宋体" w:cs="宋体"/>
                <w:szCs w:val="21"/>
              </w:rPr>
            </w:pPr>
          </w:p>
        </w:tc>
        <w:tc>
          <w:tcPr>
            <w:tcW w:w="1020" w:type="dxa"/>
            <w:vAlign w:val="center"/>
          </w:tcPr>
          <w:p>
            <w:pPr>
              <w:jc w:val="center"/>
              <w:rPr>
                <w:rFonts w:ascii="宋体" w:hAnsi="宋体" w:cs="宋体"/>
                <w:szCs w:val="21"/>
              </w:rPr>
            </w:pPr>
          </w:p>
        </w:tc>
        <w:tc>
          <w:tcPr>
            <w:tcW w:w="921"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007" w:type="dxa"/>
            <w:vAlign w:val="center"/>
          </w:tcPr>
          <w:p>
            <w:pPr>
              <w:jc w:val="center"/>
              <w:rPr>
                <w:rFonts w:ascii="宋体" w:hAnsi="宋体" w:cs="宋体"/>
                <w:szCs w:val="21"/>
              </w:rPr>
            </w:pPr>
          </w:p>
        </w:tc>
        <w:tc>
          <w:tcPr>
            <w:tcW w:w="901" w:type="dxa"/>
            <w:vAlign w:val="center"/>
          </w:tcPr>
          <w:p>
            <w:pPr>
              <w:jc w:val="center"/>
              <w:rPr>
                <w:rFonts w:ascii="宋体" w:hAnsi="宋体" w:cs="宋体"/>
                <w:szCs w:val="21"/>
              </w:rPr>
            </w:pPr>
          </w:p>
        </w:tc>
        <w:tc>
          <w:tcPr>
            <w:tcW w:w="939" w:type="dxa"/>
            <w:vAlign w:val="center"/>
          </w:tcPr>
          <w:p>
            <w:pPr>
              <w:jc w:val="center"/>
              <w:rPr>
                <w:rFonts w:ascii="宋体" w:hAnsi="宋体" w:cs="宋体"/>
                <w:szCs w:val="21"/>
              </w:rPr>
            </w:pPr>
          </w:p>
        </w:tc>
        <w:tc>
          <w:tcPr>
            <w:tcW w:w="961" w:type="dxa"/>
            <w:vAlign w:val="center"/>
          </w:tcPr>
          <w:p>
            <w:pPr>
              <w:jc w:val="center"/>
              <w:rPr>
                <w:rFonts w:ascii="宋体" w:hAnsi="宋体" w:cs="宋体"/>
                <w:szCs w:val="21"/>
              </w:rPr>
            </w:pPr>
          </w:p>
        </w:tc>
        <w:tc>
          <w:tcPr>
            <w:tcW w:w="1480" w:type="dxa"/>
            <w:vAlign w:val="center"/>
          </w:tcPr>
          <w:p>
            <w:pPr>
              <w:jc w:val="center"/>
              <w:rPr>
                <w:rFonts w:ascii="宋体" w:hAnsi="宋体" w:cs="宋体"/>
                <w:szCs w:val="21"/>
              </w:rPr>
            </w:pPr>
          </w:p>
        </w:tc>
        <w:tc>
          <w:tcPr>
            <w:tcW w:w="1020" w:type="dxa"/>
            <w:vAlign w:val="center"/>
          </w:tcPr>
          <w:p>
            <w:pPr>
              <w:jc w:val="center"/>
              <w:rPr>
                <w:rFonts w:ascii="宋体" w:hAnsi="宋体" w:cs="宋体"/>
                <w:szCs w:val="21"/>
              </w:rPr>
            </w:pPr>
          </w:p>
        </w:tc>
        <w:tc>
          <w:tcPr>
            <w:tcW w:w="921"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bl>
    <w:p>
      <w:pPr>
        <w:spacing w:line="440" w:lineRule="exact"/>
        <w:rPr>
          <w:rFonts w:ascii="宋体" w:hAnsi="宋体" w:cs="仿宋_GB2312"/>
          <w:szCs w:val="21"/>
        </w:rPr>
      </w:pPr>
    </w:p>
    <w:p>
      <w:pPr>
        <w:spacing w:line="440" w:lineRule="exact"/>
        <w:rPr>
          <w:rFonts w:ascii="宋体" w:hAnsi="宋体" w:cs="仿宋_GB2312"/>
          <w:szCs w:val="21"/>
        </w:rPr>
      </w:pPr>
      <w:r>
        <w:rPr>
          <w:rFonts w:ascii="宋体" w:hAnsi="宋体" w:cs="仿宋_GB2312"/>
          <w:szCs w:val="21"/>
        </w:rPr>
        <w:br w:type="page"/>
      </w:r>
      <w:r>
        <w:rPr>
          <w:rFonts w:hint="eastAsia" w:ascii="宋体" w:hAnsi="宋体" w:cs="仿宋_GB2312"/>
          <w:szCs w:val="21"/>
        </w:rPr>
        <w:t>附</w:t>
      </w:r>
      <w:bookmarkStart w:id="873" w:name="_Toc296346729"/>
      <w:bookmarkStart w:id="874" w:name="_Toc267261699"/>
      <w:bookmarkStart w:id="875" w:name="_Toc296891056"/>
      <w:bookmarkStart w:id="876" w:name="_Toc296347227"/>
      <w:bookmarkStart w:id="877" w:name="_Toc296891268"/>
      <w:bookmarkStart w:id="878" w:name="_Toc296503228"/>
      <w:bookmarkStart w:id="879" w:name="_Toc296944567"/>
      <w:r>
        <w:rPr>
          <w:rFonts w:hint="eastAsia" w:ascii="宋体" w:hAnsi="宋体" w:cs="仿宋_GB2312"/>
          <w:szCs w:val="21"/>
        </w:rPr>
        <w:t>件</w:t>
      </w:r>
      <w:r>
        <w:rPr>
          <w:rFonts w:ascii="宋体" w:hAnsi="宋体"/>
          <w:szCs w:val="21"/>
        </w:rPr>
        <w:t>6</w:t>
      </w:r>
      <w:r>
        <w:rPr>
          <w:rFonts w:hint="eastAsia" w:ascii="宋体" w:hAnsi="宋体" w:cs="仿宋_GB2312"/>
          <w:szCs w:val="21"/>
        </w:rPr>
        <w:t>：</w:t>
      </w:r>
    </w:p>
    <w:bookmarkEnd w:id="873"/>
    <w:bookmarkEnd w:id="874"/>
    <w:bookmarkEnd w:id="875"/>
    <w:bookmarkEnd w:id="876"/>
    <w:bookmarkEnd w:id="877"/>
    <w:bookmarkEnd w:id="878"/>
    <w:bookmarkEnd w:id="879"/>
    <w:p>
      <w:pPr>
        <w:spacing w:beforeLines="50" w:afterLines="50" w:line="440" w:lineRule="exact"/>
        <w:jc w:val="center"/>
        <w:rPr>
          <w:rFonts w:ascii="宋体" w:hAnsi="宋体" w:cs="黑体"/>
          <w:szCs w:val="21"/>
        </w:rPr>
      </w:pPr>
      <w:r>
        <w:rPr>
          <w:rFonts w:hint="eastAsia" w:ascii="宋体" w:hAnsi="宋体" w:cs="黑体"/>
          <w:szCs w:val="21"/>
        </w:rPr>
        <w:t>承包人主要施工管理人员表</w:t>
      </w:r>
    </w:p>
    <w:tbl>
      <w:tblPr>
        <w:tblStyle w:val="56"/>
        <w:tblpPr w:leftFromText="180" w:rightFromText="180" w:vertAnchor="text" w:horzAnchor="margin" w:tblpXSpec="center" w:tblpY="176"/>
        <w:tblW w:w="98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291"/>
        <w:gridCol w:w="1134"/>
        <w:gridCol w:w="1559"/>
        <w:gridCol w:w="3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名称</w:t>
            </w:r>
          </w:p>
        </w:tc>
        <w:tc>
          <w:tcPr>
            <w:tcW w:w="129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姓名</w:t>
            </w:r>
          </w:p>
        </w:tc>
        <w:tc>
          <w:tcPr>
            <w:tcW w:w="11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职务</w:t>
            </w:r>
          </w:p>
        </w:tc>
        <w:tc>
          <w:tcPr>
            <w:tcW w:w="1559"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职称</w:t>
            </w:r>
          </w:p>
        </w:tc>
        <w:tc>
          <w:tcPr>
            <w:tcW w:w="395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09" w:type="dxa"/>
            <w:gridSpan w:val="5"/>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tcBorders>
              <w:top w:val="nil"/>
              <w:bottom w:val="nil"/>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项目主管</w:t>
            </w:r>
          </w:p>
        </w:tc>
        <w:tc>
          <w:tcPr>
            <w:tcW w:w="1291" w:type="dxa"/>
            <w:tcBorders>
              <w:top w:val="nil"/>
            </w:tcBorders>
            <w:vAlign w:val="center"/>
          </w:tcPr>
          <w:p>
            <w:pPr>
              <w:pStyle w:val="20"/>
              <w:keepNext/>
              <w:spacing w:line="440" w:lineRule="exact"/>
              <w:ind w:left="63" w:right="63"/>
              <w:rPr>
                <w:rFonts w:ascii="宋体" w:hAnsi="宋体"/>
                <w:szCs w:val="21"/>
              </w:rPr>
            </w:pPr>
          </w:p>
        </w:tc>
        <w:tc>
          <w:tcPr>
            <w:tcW w:w="1134" w:type="dxa"/>
            <w:tcBorders>
              <w:top w:val="nil"/>
            </w:tcBorders>
            <w:vAlign w:val="center"/>
          </w:tcPr>
          <w:p>
            <w:pPr>
              <w:pStyle w:val="20"/>
              <w:keepNext/>
              <w:spacing w:line="440" w:lineRule="exact"/>
              <w:ind w:left="63" w:right="63"/>
              <w:rPr>
                <w:rFonts w:ascii="宋体" w:hAnsi="宋体"/>
                <w:szCs w:val="21"/>
              </w:rPr>
            </w:pPr>
          </w:p>
        </w:tc>
        <w:tc>
          <w:tcPr>
            <w:tcW w:w="1559" w:type="dxa"/>
            <w:tcBorders>
              <w:top w:val="nil"/>
            </w:tcBorders>
            <w:vAlign w:val="center"/>
          </w:tcPr>
          <w:p>
            <w:pPr>
              <w:pStyle w:val="20"/>
              <w:keepNext/>
              <w:spacing w:line="440" w:lineRule="exact"/>
              <w:ind w:left="63" w:right="63"/>
              <w:rPr>
                <w:rFonts w:ascii="宋体" w:hAnsi="宋体"/>
                <w:szCs w:val="21"/>
              </w:rPr>
            </w:pPr>
          </w:p>
        </w:tc>
        <w:tc>
          <w:tcPr>
            <w:tcW w:w="3954" w:type="dxa"/>
            <w:tcBorders>
              <w:top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3" w:hRule="atLeast"/>
        </w:trPr>
        <w:tc>
          <w:tcPr>
            <w:tcW w:w="1871" w:type="dxa"/>
            <w:tcBorders>
              <w:bottom w:val="nil"/>
            </w:tcBorders>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559" w:type="dxa"/>
            <w:vAlign w:val="center"/>
          </w:tcPr>
          <w:p>
            <w:pPr>
              <w:pStyle w:val="20"/>
              <w:keepNext/>
              <w:spacing w:line="440" w:lineRule="exact"/>
              <w:ind w:left="63" w:right="63"/>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tcBorders>
              <w:top w:val="nil"/>
              <w:bottom w:val="nil"/>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其他人员</w:t>
            </w:r>
          </w:p>
        </w:tc>
        <w:tc>
          <w:tcPr>
            <w:tcW w:w="1291"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559" w:type="dxa"/>
            <w:vAlign w:val="center"/>
          </w:tcPr>
          <w:p>
            <w:pPr>
              <w:pStyle w:val="20"/>
              <w:keepNext/>
              <w:spacing w:line="440" w:lineRule="exact"/>
              <w:ind w:left="63" w:right="63"/>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tcBorders>
              <w:top w:val="nil"/>
              <w:bottom w:val="nil"/>
            </w:tcBorders>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559" w:type="dxa"/>
            <w:vAlign w:val="center"/>
          </w:tcPr>
          <w:p>
            <w:pPr>
              <w:pStyle w:val="20"/>
              <w:keepNext/>
              <w:spacing w:line="440" w:lineRule="exact"/>
              <w:ind w:left="63" w:right="63"/>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09" w:type="dxa"/>
            <w:gridSpan w:val="5"/>
            <w:vAlign w:val="center"/>
          </w:tcPr>
          <w:p>
            <w:pPr>
              <w:pStyle w:val="20"/>
              <w:keepNext/>
              <w:spacing w:line="440" w:lineRule="exact"/>
              <w:ind w:left="63" w:right="63"/>
              <w:rPr>
                <w:rFonts w:ascii="宋体" w:hAnsi="宋体"/>
                <w:szCs w:val="21"/>
              </w:rPr>
            </w:pPr>
            <w:r>
              <w:rPr>
                <w:rFonts w:hint="eastAsia" w:ascii="宋体" w:hAnsi="宋体" w:cs="仿宋_GB2312"/>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right="63"/>
              <w:jc w:val="center"/>
              <w:rPr>
                <w:rFonts w:ascii="宋体" w:hAnsi="宋体"/>
                <w:szCs w:val="21"/>
              </w:rPr>
            </w:pPr>
          </w:p>
        </w:tc>
        <w:tc>
          <w:tcPr>
            <w:tcW w:w="1134" w:type="dxa"/>
            <w:vAlign w:val="center"/>
          </w:tcPr>
          <w:p>
            <w:pPr>
              <w:pStyle w:val="20"/>
              <w:keepNext/>
              <w:spacing w:line="440" w:lineRule="exact"/>
              <w:ind w:right="63"/>
              <w:jc w:val="center"/>
              <w:rPr>
                <w:rFonts w:ascii="宋体" w:hAnsi="宋体"/>
                <w:szCs w:val="21"/>
              </w:rPr>
            </w:pPr>
          </w:p>
        </w:tc>
        <w:tc>
          <w:tcPr>
            <w:tcW w:w="1559" w:type="dxa"/>
            <w:vAlign w:val="center"/>
          </w:tcPr>
          <w:p>
            <w:pPr>
              <w:pStyle w:val="20"/>
              <w:keepNext/>
              <w:spacing w:line="440" w:lineRule="exact"/>
              <w:ind w:right="63"/>
              <w:jc w:val="center"/>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5" w:hRule="atLeast"/>
        </w:trPr>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wordWrap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wordWrap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bl>
    <w:p>
      <w:pPr>
        <w:spacing w:line="440" w:lineRule="exact"/>
        <w:rPr>
          <w:rFonts w:ascii="宋体" w:hAnsi="宋体" w:cs="仿宋_GB2312"/>
          <w:szCs w:val="21"/>
        </w:rPr>
      </w:pPr>
    </w:p>
    <w:p>
      <w:pPr>
        <w:spacing w:line="440" w:lineRule="exact"/>
        <w:rPr>
          <w:rFonts w:ascii="宋体" w:hAnsi="宋体"/>
          <w:szCs w:val="21"/>
        </w:rPr>
      </w:pPr>
      <w:r>
        <w:rPr>
          <w:rFonts w:ascii="宋体" w:hAnsi="宋体" w:cs="仿宋_GB2312"/>
          <w:szCs w:val="21"/>
        </w:rPr>
        <w:br w:type="page"/>
      </w:r>
      <w:r>
        <w:rPr>
          <w:rFonts w:hint="eastAsia" w:ascii="宋体" w:hAnsi="宋体" w:cs="仿宋_GB2312"/>
          <w:szCs w:val="21"/>
        </w:rPr>
        <w:t>附</w:t>
      </w:r>
      <w:bookmarkStart w:id="880" w:name="_Toc296891057"/>
      <w:bookmarkStart w:id="881" w:name="_Toc296891269"/>
      <w:bookmarkStart w:id="882" w:name="_Toc296503229"/>
      <w:bookmarkStart w:id="883" w:name="_Toc296346730"/>
      <w:bookmarkStart w:id="884" w:name="_Toc296347228"/>
      <w:bookmarkStart w:id="885" w:name="_Toc296944568"/>
      <w:r>
        <w:rPr>
          <w:rFonts w:hint="eastAsia" w:ascii="宋体" w:hAnsi="宋体" w:cs="仿宋_GB2312"/>
          <w:szCs w:val="21"/>
        </w:rPr>
        <w:t>件</w:t>
      </w:r>
      <w:r>
        <w:rPr>
          <w:rFonts w:ascii="宋体" w:hAnsi="宋体"/>
          <w:szCs w:val="21"/>
        </w:rPr>
        <w:t>7</w:t>
      </w:r>
      <w:r>
        <w:rPr>
          <w:rFonts w:hint="eastAsia" w:ascii="宋体" w:hAnsi="宋体" w:cs="仿宋_GB2312"/>
          <w:szCs w:val="21"/>
        </w:rPr>
        <w:t>：</w:t>
      </w:r>
    </w:p>
    <w:bookmarkEnd w:id="880"/>
    <w:bookmarkEnd w:id="881"/>
    <w:bookmarkEnd w:id="882"/>
    <w:bookmarkEnd w:id="883"/>
    <w:bookmarkEnd w:id="884"/>
    <w:bookmarkEnd w:id="885"/>
    <w:p>
      <w:pPr>
        <w:spacing w:beforeLines="50" w:afterLines="50" w:line="440" w:lineRule="exact"/>
        <w:jc w:val="center"/>
        <w:rPr>
          <w:rFonts w:ascii="宋体" w:hAnsi="宋体"/>
          <w:szCs w:val="21"/>
        </w:rPr>
      </w:pPr>
      <w:r>
        <w:rPr>
          <w:rFonts w:hint="eastAsia" w:ascii="宋体" w:hAnsi="宋体" w:cs="黑体"/>
          <w:szCs w:val="21"/>
        </w:rPr>
        <w:t>分包人主要施工管理人员表</w:t>
      </w:r>
    </w:p>
    <w:tbl>
      <w:tblPr>
        <w:tblStyle w:val="56"/>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名称</w:t>
            </w:r>
          </w:p>
        </w:tc>
        <w:tc>
          <w:tcPr>
            <w:tcW w:w="1418"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姓名</w:t>
            </w:r>
          </w:p>
        </w:tc>
        <w:tc>
          <w:tcPr>
            <w:tcW w:w="11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职务</w:t>
            </w:r>
          </w:p>
        </w:tc>
        <w:tc>
          <w:tcPr>
            <w:tcW w:w="11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职称</w:t>
            </w:r>
          </w:p>
        </w:tc>
        <w:tc>
          <w:tcPr>
            <w:tcW w:w="4252"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项目主管</w:t>
            </w:r>
          </w:p>
        </w:tc>
        <w:tc>
          <w:tcPr>
            <w:tcW w:w="1418" w:type="dxa"/>
            <w:tcBorders>
              <w:top w:val="nil"/>
            </w:tcBorders>
            <w:vAlign w:val="center"/>
          </w:tcPr>
          <w:p>
            <w:pPr>
              <w:pStyle w:val="20"/>
              <w:keepNext/>
              <w:spacing w:line="440" w:lineRule="exact"/>
              <w:ind w:left="63" w:right="63"/>
              <w:rPr>
                <w:rFonts w:ascii="宋体" w:hAnsi="宋体"/>
                <w:szCs w:val="21"/>
              </w:rPr>
            </w:pPr>
          </w:p>
        </w:tc>
        <w:tc>
          <w:tcPr>
            <w:tcW w:w="1134" w:type="dxa"/>
            <w:tcBorders>
              <w:top w:val="nil"/>
            </w:tcBorders>
            <w:vAlign w:val="center"/>
          </w:tcPr>
          <w:p>
            <w:pPr>
              <w:pStyle w:val="20"/>
              <w:keepNext/>
              <w:spacing w:line="440" w:lineRule="exact"/>
              <w:ind w:left="63" w:right="63"/>
              <w:rPr>
                <w:rFonts w:ascii="宋体" w:hAnsi="宋体"/>
                <w:szCs w:val="21"/>
              </w:rPr>
            </w:pPr>
          </w:p>
        </w:tc>
        <w:tc>
          <w:tcPr>
            <w:tcW w:w="1134" w:type="dxa"/>
            <w:tcBorders>
              <w:top w:val="nil"/>
            </w:tcBorders>
            <w:vAlign w:val="center"/>
          </w:tcPr>
          <w:p>
            <w:pPr>
              <w:pStyle w:val="20"/>
              <w:keepNext/>
              <w:spacing w:line="440" w:lineRule="exact"/>
              <w:ind w:left="63" w:right="63"/>
              <w:rPr>
                <w:rFonts w:ascii="宋体" w:hAnsi="宋体"/>
                <w:szCs w:val="21"/>
              </w:rPr>
            </w:pPr>
          </w:p>
        </w:tc>
        <w:tc>
          <w:tcPr>
            <w:tcW w:w="4252" w:type="dxa"/>
            <w:tcBorders>
              <w:top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bottom w:val="nil"/>
            </w:tcBorders>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其他人员</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vAlign w:val="center"/>
          </w:tcPr>
          <w:p>
            <w:pPr>
              <w:pStyle w:val="20"/>
              <w:keepNext/>
              <w:spacing w:line="440" w:lineRule="exact"/>
              <w:ind w:left="63" w:right="63"/>
              <w:rPr>
                <w:rFonts w:ascii="宋体" w:hAnsi="宋体"/>
                <w:szCs w:val="21"/>
              </w:rPr>
            </w:pPr>
            <w:r>
              <w:rPr>
                <w:rFonts w:hint="eastAsia" w:ascii="宋体" w:hAnsi="宋体" w:cs="仿宋_GB2312"/>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项目负责人</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项目副经理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技术负责人</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造价管理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质量管理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材料管理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计划管理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安全管理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vAlign w:val="center"/>
          </w:tcPr>
          <w:p>
            <w:pPr>
              <w:pStyle w:val="20"/>
              <w:keepNext/>
              <w:spacing w:line="440" w:lineRule="exact"/>
              <w:ind w:left="63" w:right="63"/>
              <w:rPr>
                <w:rFonts w:ascii="宋体" w:hAnsi="宋体"/>
                <w:szCs w:val="21"/>
              </w:rPr>
            </w:pPr>
            <w:r>
              <w:rPr>
                <w:rFonts w:hint="eastAsia" w:ascii="宋体" w:hAnsi="宋体" w:cs="仿宋_GB2312"/>
                <w:szCs w:val="21"/>
              </w:rPr>
              <w:t>其他人员</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ascii="宋体" w:hAnsi="宋体"/>
                <w:szCs w:val="21"/>
              </w:rPr>
            </w:pPr>
          </w:p>
        </w:tc>
        <w:tc>
          <w:tcPr>
            <w:tcW w:w="1418" w:type="dxa"/>
            <w:tcBorders>
              <w:bottom w:val="nil"/>
            </w:tcBorders>
            <w:vAlign w:val="center"/>
          </w:tcPr>
          <w:p>
            <w:pPr>
              <w:pStyle w:val="20"/>
              <w:keepNext/>
              <w:spacing w:line="440" w:lineRule="exact"/>
              <w:ind w:left="63" w:right="63"/>
              <w:rPr>
                <w:rFonts w:ascii="宋体" w:hAnsi="宋体"/>
                <w:szCs w:val="21"/>
              </w:rPr>
            </w:pPr>
          </w:p>
        </w:tc>
        <w:tc>
          <w:tcPr>
            <w:tcW w:w="1134" w:type="dxa"/>
            <w:tcBorders>
              <w:bottom w:val="nil"/>
            </w:tcBorders>
            <w:vAlign w:val="center"/>
          </w:tcPr>
          <w:p>
            <w:pPr>
              <w:pStyle w:val="20"/>
              <w:keepNext/>
              <w:spacing w:line="440" w:lineRule="exact"/>
              <w:ind w:left="63" w:right="63"/>
              <w:rPr>
                <w:rFonts w:ascii="宋体" w:hAnsi="宋体"/>
                <w:szCs w:val="21"/>
              </w:rPr>
            </w:pPr>
          </w:p>
        </w:tc>
        <w:tc>
          <w:tcPr>
            <w:tcW w:w="1134" w:type="dxa"/>
            <w:tcBorders>
              <w:bottom w:val="nil"/>
            </w:tcBorders>
            <w:vAlign w:val="center"/>
          </w:tcPr>
          <w:p>
            <w:pPr>
              <w:pStyle w:val="20"/>
              <w:keepNext/>
              <w:spacing w:line="440" w:lineRule="exact"/>
              <w:ind w:left="63" w:right="63"/>
              <w:rPr>
                <w:rFonts w:ascii="宋体" w:hAnsi="宋体"/>
                <w:szCs w:val="21"/>
              </w:rPr>
            </w:pPr>
          </w:p>
        </w:tc>
        <w:tc>
          <w:tcPr>
            <w:tcW w:w="4252" w:type="dxa"/>
            <w:tcBorders>
              <w:bottom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0"/>
              <w:keepNext/>
              <w:spacing w:line="440" w:lineRule="exact"/>
              <w:ind w:left="63" w:right="63"/>
              <w:rPr>
                <w:rFonts w:ascii="宋体" w:hAnsi="宋体"/>
                <w:szCs w:val="21"/>
              </w:rPr>
            </w:pPr>
          </w:p>
        </w:tc>
        <w:tc>
          <w:tcPr>
            <w:tcW w:w="1418" w:type="dxa"/>
            <w:tcBorders>
              <w:bottom w:val="single" w:color="auto" w:sz="12" w:space="0"/>
            </w:tcBorders>
            <w:vAlign w:val="center"/>
          </w:tcPr>
          <w:p>
            <w:pPr>
              <w:pStyle w:val="20"/>
              <w:keepNext/>
              <w:spacing w:line="440" w:lineRule="exact"/>
              <w:ind w:left="63" w:right="63"/>
              <w:rPr>
                <w:rFonts w:ascii="宋体" w:hAnsi="宋体"/>
                <w:szCs w:val="21"/>
              </w:rPr>
            </w:pPr>
          </w:p>
        </w:tc>
        <w:tc>
          <w:tcPr>
            <w:tcW w:w="1134" w:type="dxa"/>
            <w:tcBorders>
              <w:bottom w:val="single" w:color="auto" w:sz="12" w:space="0"/>
            </w:tcBorders>
            <w:vAlign w:val="center"/>
          </w:tcPr>
          <w:p>
            <w:pPr>
              <w:pStyle w:val="20"/>
              <w:keepNext/>
              <w:spacing w:line="440" w:lineRule="exact"/>
              <w:ind w:left="63" w:right="63"/>
              <w:rPr>
                <w:rFonts w:ascii="宋体" w:hAnsi="宋体"/>
                <w:szCs w:val="21"/>
              </w:rPr>
            </w:pPr>
          </w:p>
        </w:tc>
        <w:tc>
          <w:tcPr>
            <w:tcW w:w="1134" w:type="dxa"/>
            <w:tcBorders>
              <w:bottom w:val="single" w:color="auto" w:sz="12" w:space="0"/>
            </w:tcBorders>
            <w:vAlign w:val="center"/>
          </w:tcPr>
          <w:p>
            <w:pPr>
              <w:pStyle w:val="20"/>
              <w:keepNext/>
              <w:spacing w:line="440" w:lineRule="exact"/>
              <w:ind w:left="63" w:right="63"/>
              <w:rPr>
                <w:rFonts w:ascii="宋体" w:hAnsi="宋体"/>
                <w:szCs w:val="21"/>
              </w:rPr>
            </w:pPr>
          </w:p>
        </w:tc>
        <w:tc>
          <w:tcPr>
            <w:tcW w:w="4252" w:type="dxa"/>
            <w:tcBorders>
              <w:bottom w:val="single" w:color="auto" w:sz="12" w:space="0"/>
            </w:tcBorders>
            <w:vAlign w:val="center"/>
          </w:tcPr>
          <w:p>
            <w:pPr>
              <w:pStyle w:val="20"/>
              <w:keepNext/>
              <w:spacing w:line="440" w:lineRule="exact"/>
              <w:ind w:left="63" w:right="63"/>
              <w:rPr>
                <w:rFonts w:ascii="宋体" w:hAnsi="宋体"/>
                <w:szCs w:val="21"/>
              </w:rPr>
            </w:pPr>
          </w:p>
        </w:tc>
      </w:tr>
    </w:tbl>
    <w:p>
      <w:pPr>
        <w:spacing w:line="440" w:lineRule="exact"/>
        <w:rPr>
          <w:rFonts w:ascii="宋体" w:hAnsi="宋体"/>
          <w:szCs w:val="21"/>
        </w:rPr>
      </w:pPr>
    </w:p>
    <w:p>
      <w:pPr>
        <w:spacing w:line="440" w:lineRule="exact"/>
        <w:rPr>
          <w:rFonts w:ascii="宋体" w:hAnsi="宋体" w:cs="仿宋_GB2312"/>
          <w:bCs/>
          <w:szCs w:val="21"/>
        </w:rPr>
      </w:pPr>
      <w:r>
        <w:rPr>
          <w:rFonts w:ascii="宋体" w:hAnsi="宋体" w:cs="仿宋_GB2312"/>
          <w:szCs w:val="21"/>
        </w:rPr>
        <w:br w:type="page"/>
      </w:r>
      <w:bookmarkEnd w:id="294"/>
      <w:bookmarkEnd w:id="295"/>
      <w:bookmarkEnd w:id="296"/>
      <w:bookmarkEnd w:id="297"/>
      <w:bookmarkEnd w:id="298"/>
      <w:bookmarkEnd w:id="299"/>
      <w:bookmarkStart w:id="886" w:name="_Toc267261701"/>
      <w:r>
        <w:rPr>
          <w:rFonts w:hint="eastAsia" w:ascii="宋体" w:hAnsi="宋体" w:cs="仿宋_GB2312"/>
          <w:bCs/>
          <w:szCs w:val="21"/>
        </w:rPr>
        <w:t>附</w:t>
      </w:r>
      <w:bookmarkStart w:id="887" w:name="_Toc296944570"/>
      <w:bookmarkStart w:id="888" w:name="_Toc296346732"/>
      <w:bookmarkStart w:id="889" w:name="_Toc296347230"/>
      <w:bookmarkStart w:id="890" w:name="_Toc296503231"/>
      <w:bookmarkStart w:id="891" w:name="_Toc296891271"/>
      <w:bookmarkStart w:id="892" w:name="_Toc296891059"/>
      <w:r>
        <w:rPr>
          <w:rFonts w:hint="eastAsia" w:ascii="宋体" w:hAnsi="宋体" w:cs="仿宋_GB2312"/>
          <w:bCs/>
          <w:szCs w:val="21"/>
        </w:rPr>
        <w:t>件8：</w:t>
      </w:r>
    </w:p>
    <w:bookmarkEnd w:id="886"/>
    <w:bookmarkEnd w:id="887"/>
    <w:bookmarkEnd w:id="888"/>
    <w:bookmarkEnd w:id="889"/>
    <w:bookmarkEnd w:id="890"/>
    <w:bookmarkEnd w:id="891"/>
    <w:bookmarkEnd w:id="892"/>
    <w:p>
      <w:pPr>
        <w:spacing w:line="440" w:lineRule="exact"/>
        <w:jc w:val="center"/>
        <w:rPr>
          <w:rFonts w:ascii="宋体" w:hAnsi="宋体" w:cs="仿宋_GB2312"/>
          <w:bCs/>
          <w:szCs w:val="21"/>
        </w:rPr>
      </w:pPr>
      <w:r>
        <w:rPr>
          <w:rFonts w:hint="eastAsia" w:ascii="宋体" w:hAnsi="宋体" w:cs="仿宋_GB2312"/>
          <w:bCs/>
          <w:szCs w:val="21"/>
        </w:rPr>
        <w:t>履约担保</w:t>
      </w:r>
    </w:p>
    <w:p>
      <w:pPr>
        <w:spacing w:line="440" w:lineRule="exact"/>
        <w:rPr>
          <w:rFonts w:ascii="宋体" w:hAnsi="宋体" w:cs="仿宋_GB2312"/>
          <w:bCs/>
          <w:szCs w:val="21"/>
        </w:rPr>
      </w:pPr>
      <w:r>
        <w:rPr>
          <w:rFonts w:hint="eastAsia" w:ascii="宋体" w:hAnsi="宋体" w:cs="仿宋_GB2312"/>
          <w:bCs/>
          <w:szCs w:val="21"/>
          <w:u w:val="single"/>
        </w:rPr>
        <w:tab/>
      </w:r>
      <w:r>
        <w:rPr>
          <w:rFonts w:hint="eastAsia" w:ascii="宋体" w:hAnsi="宋体" w:cs="仿宋_GB2312"/>
          <w:bCs/>
          <w:szCs w:val="21"/>
        </w:rPr>
        <w:t>（发包人名称）：</w:t>
      </w:r>
    </w:p>
    <w:p>
      <w:pPr>
        <w:spacing w:line="440" w:lineRule="exact"/>
        <w:rPr>
          <w:rFonts w:ascii="宋体" w:hAnsi="宋体" w:cs="仿宋_GB2312"/>
          <w:bCs/>
          <w:szCs w:val="21"/>
        </w:rPr>
      </w:pPr>
      <w:r>
        <w:rPr>
          <w:rFonts w:hint="eastAsia" w:ascii="宋体" w:hAnsi="宋体" w:cs="仿宋_GB2312"/>
          <w:bCs/>
          <w:szCs w:val="21"/>
        </w:rPr>
        <w:t xml:space="preserve">鉴于（发包人名称，以下简称“发包人”）与 （承包人名称）（以下称“承包人”）于年月日就（工程名称）施工及有关事项协商一致共同签订《建设工程施工合同》。我方愿意无条件地、不可撤销地就承包人履行与你方签订的合同，向你方提供连带责任担保。 </w:t>
      </w:r>
    </w:p>
    <w:p>
      <w:pPr>
        <w:spacing w:line="440" w:lineRule="exact"/>
        <w:rPr>
          <w:rFonts w:ascii="宋体" w:hAnsi="宋体" w:cs="仿宋_GB2312"/>
          <w:bCs/>
          <w:szCs w:val="21"/>
        </w:rPr>
      </w:pPr>
      <w:r>
        <w:rPr>
          <w:rFonts w:hint="eastAsia" w:ascii="宋体" w:hAnsi="宋体" w:cs="仿宋_GB2312"/>
          <w:bCs/>
          <w:szCs w:val="21"/>
        </w:rPr>
        <w:t>1. 担保金额人民币（大写）元（¥）。</w:t>
      </w:r>
    </w:p>
    <w:p>
      <w:pPr>
        <w:spacing w:line="440" w:lineRule="exact"/>
        <w:rPr>
          <w:rFonts w:ascii="宋体" w:hAnsi="宋体" w:cs="仿宋_GB2312"/>
          <w:bCs/>
          <w:szCs w:val="21"/>
        </w:rPr>
      </w:pPr>
      <w:r>
        <w:rPr>
          <w:rFonts w:hint="eastAsia" w:ascii="宋体" w:hAnsi="宋体" w:cs="仿宋_GB2312"/>
          <w:bCs/>
          <w:szCs w:val="21"/>
        </w:rPr>
        <w:t>2. 担保有效期自你方与承包人签订的合同生效之日起至你方签发或应签发工程接收证书之日止。</w:t>
      </w:r>
    </w:p>
    <w:p>
      <w:pPr>
        <w:spacing w:line="440" w:lineRule="exact"/>
        <w:rPr>
          <w:rFonts w:ascii="宋体" w:hAnsi="宋体" w:cs="仿宋_GB2312"/>
          <w:bCs/>
          <w:szCs w:val="21"/>
        </w:rPr>
      </w:pPr>
      <w:r>
        <w:rPr>
          <w:rFonts w:hint="eastAsia" w:ascii="宋体" w:hAnsi="宋体" w:cs="仿宋_GB2312"/>
          <w:bCs/>
          <w:szCs w:val="21"/>
        </w:rPr>
        <w:t>3. 在本担保有效期内，因承包人违反合同约定的义务给你方造成经济损失时，我方在收到你方以书面形式提出的在担保金额内的赔偿要求后，在7天内无条件支付。</w:t>
      </w:r>
    </w:p>
    <w:p>
      <w:pPr>
        <w:spacing w:line="440" w:lineRule="exact"/>
        <w:rPr>
          <w:rFonts w:ascii="宋体" w:hAnsi="宋体" w:cs="仿宋_GB2312"/>
          <w:bCs/>
          <w:szCs w:val="21"/>
        </w:rPr>
      </w:pPr>
      <w:r>
        <w:rPr>
          <w:rFonts w:hint="eastAsia" w:ascii="宋体" w:hAnsi="宋体" w:cs="仿宋_GB2312"/>
          <w:bCs/>
          <w:szCs w:val="21"/>
        </w:rPr>
        <w:t>4. 你方和承包人按合同约定变更合同时，我方承担本担保规定的义务不变。</w:t>
      </w:r>
    </w:p>
    <w:p>
      <w:pPr>
        <w:spacing w:line="440" w:lineRule="exact"/>
        <w:rPr>
          <w:rFonts w:ascii="宋体" w:hAnsi="宋体" w:cs="仿宋_GB2312"/>
          <w:bCs/>
          <w:szCs w:val="21"/>
        </w:rPr>
      </w:pPr>
      <w:r>
        <w:rPr>
          <w:rFonts w:hint="eastAsia" w:ascii="宋体" w:hAnsi="宋体" w:cs="仿宋_GB2312"/>
          <w:bCs/>
          <w:szCs w:val="21"/>
        </w:rPr>
        <w:t>5. 因本保函发生的纠纷，可由双方协商解决，协商不成的，任何一方均可提请仲裁委员会仲裁。</w:t>
      </w:r>
    </w:p>
    <w:p>
      <w:pPr>
        <w:spacing w:line="440" w:lineRule="exact"/>
        <w:rPr>
          <w:rFonts w:ascii="宋体" w:hAnsi="宋体" w:cs="仿宋_GB2312"/>
          <w:bCs/>
          <w:szCs w:val="21"/>
        </w:rPr>
      </w:pPr>
      <w:r>
        <w:rPr>
          <w:rFonts w:hint="eastAsia" w:ascii="宋体" w:hAnsi="宋体" w:cs="仿宋_GB2312"/>
          <w:bCs/>
          <w:szCs w:val="21"/>
        </w:rPr>
        <w:t>6. 本保函自我方法定代表人（或其授权代理人）签字并加盖公章之日起生效。</w:t>
      </w:r>
    </w:p>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担 保 人：（盖单位章）</w:t>
      </w:r>
    </w:p>
    <w:p>
      <w:pPr>
        <w:spacing w:line="440" w:lineRule="exact"/>
        <w:rPr>
          <w:rFonts w:ascii="宋体" w:hAnsi="宋体" w:cs="仿宋_GB2312"/>
          <w:bCs/>
          <w:szCs w:val="21"/>
        </w:rPr>
      </w:pPr>
      <w:r>
        <w:rPr>
          <w:rFonts w:hint="eastAsia" w:ascii="宋体" w:hAnsi="宋体" w:cs="仿宋_GB2312"/>
          <w:bCs/>
          <w:szCs w:val="21"/>
        </w:rPr>
        <w:t>法定代表人或其委托代理人：（签字）</w:t>
      </w:r>
    </w:p>
    <w:p>
      <w:pPr>
        <w:spacing w:line="440" w:lineRule="exact"/>
        <w:rPr>
          <w:rFonts w:ascii="宋体" w:hAnsi="宋体" w:cs="仿宋_GB2312"/>
          <w:bCs/>
          <w:szCs w:val="21"/>
        </w:rPr>
      </w:pPr>
      <w:r>
        <w:rPr>
          <w:rFonts w:hint="eastAsia" w:ascii="宋体" w:hAnsi="宋体" w:cs="仿宋_GB2312"/>
          <w:bCs/>
          <w:szCs w:val="21"/>
        </w:rPr>
        <w:t>地    址：</w:t>
      </w:r>
    </w:p>
    <w:p>
      <w:pPr>
        <w:spacing w:line="440" w:lineRule="exact"/>
        <w:rPr>
          <w:rFonts w:ascii="宋体" w:hAnsi="宋体" w:cs="仿宋_GB2312"/>
          <w:bCs/>
          <w:szCs w:val="21"/>
        </w:rPr>
      </w:pPr>
      <w:r>
        <w:rPr>
          <w:rFonts w:hint="eastAsia" w:ascii="宋体" w:hAnsi="宋体" w:cs="仿宋_GB2312"/>
          <w:bCs/>
          <w:szCs w:val="21"/>
        </w:rPr>
        <w:t>邮政编码：</w:t>
      </w:r>
    </w:p>
    <w:p>
      <w:pPr>
        <w:spacing w:line="440" w:lineRule="exact"/>
        <w:rPr>
          <w:rFonts w:ascii="宋体" w:hAnsi="宋体" w:cs="仿宋_GB2312"/>
          <w:bCs/>
          <w:szCs w:val="21"/>
          <w:u w:val="single"/>
        </w:rPr>
      </w:pPr>
      <w:r>
        <w:rPr>
          <w:rFonts w:hint="eastAsia" w:ascii="宋体" w:hAnsi="宋体" w:cs="仿宋_GB2312"/>
          <w:bCs/>
          <w:szCs w:val="21"/>
        </w:rPr>
        <w:t>电    话：</w:t>
      </w:r>
    </w:p>
    <w:p>
      <w:pPr>
        <w:spacing w:line="440" w:lineRule="exact"/>
        <w:rPr>
          <w:rFonts w:ascii="宋体" w:hAnsi="宋体" w:cs="仿宋_GB2312"/>
          <w:bCs/>
          <w:szCs w:val="21"/>
        </w:rPr>
      </w:pPr>
      <w:r>
        <w:rPr>
          <w:rFonts w:hint="eastAsia" w:ascii="宋体" w:hAnsi="宋体" w:cs="仿宋_GB2312"/>
          <w:bCs/>
          <w:szCs w:val="21"/>
        </w:rPr>
        <w:t>传    真：</w:t>
      </w:r>
    </w:p>
    <w:p>
      <w:pPr>
        <w:spacing w:line="440" w:lineRule="exact"/>
        <w:rPr>
          <w:rFonts w:ascii="宋体" w:hAnsi="宋体" w:cs="仿宋_GB2312"/>
          <w:bCs/>
          <w:szCs w:val="21"/>
          <w:u w:val="single"/>
        </w:rPr>
      </w:pPr>
    </w:p>
    <w:p>
      <w:pPr>
        <w:spacing w:line="440" w:lineRule="exact"/>
        <w:rPr>
          <w:rFonts w:ascii="宋体" w:hAnsi="宋体" w:cs="仿宋_GB2312"/>
          <w:bCs/>
          <w:szCs w:val="21"/>
        </w:rPr>
      </w:pPr>
      <w:r>
        <w:rPr>
          <w:rFonts w:hint="eastAsia" w:ascii="宋体" w:hAnsi="宋体" w:cs="仿宋_GB2312"/>
          <w:bCs/>
          <w:szCs w:val="21"/>
        </w:rPr>
        <w:t>年月日</w:t>
      </w:r>
    </w:p>
    <w:p>
      <w:pPr>
        <w:widowControl/>
        <w:jc w:val="left"/>
        <w:rPr>
          <w:rFonts w:ascii="宋体" w:hAnsi="宋体" w:cs="仿宋_GB2312"/>
          <w:bCs/>
          <w:szCs w:val="21"/>
        </w:rPr>
      </w:pPr>
      <w:r>
        <w:rPr>
          <w:rFonts w:ascii="宋体" w:hAnsi="宋体" w:cs="仿宋_GB2312"/>
          <w:bCs/>
          <w:szCs w:val="21"/>
        </w:rPr>
        <w:br w:type="page"/>
      </w:r>
    </w:p>
    <w:p>
      <w:pPr>
        <w:spacing w:line="440" w:lineRule="exact"/>
        <w:rPr>
          <w:rFonts w:ascii="宋体" w:hAnsi="宋体" w:cs="仿宋_GB2312"/>
          <w:bCs/>
          <w:szCs w:val="21"/>
        </w:rPr>
      </w:pPr>
      <w:r>
        <w:rPr>
          <w:rFonts w:hint="eastAsia" w:ascii="宋体" w:hAnsi="宋体" w:cs="仿宋_GB2312"/>
          <w:bCs/>
          <w:szCs w:val="21"/>
        </w:rPr>
        <w:t>附</w:t>
      </w:r>
      <w:bookmarkStart w:id="893" w:name="_Toc296891060"/>
      <w:bookmarkStart w:id="894" w:name="_Toc296944571"/>
      <w:bookmarkStart w:id="895" w:name="_Toc296891272"/>
      <w:bookmarkStart w:id="896" w:name="_Toc267261702"/>
      <w:bookmarkStart w:id="897" w:name="_Toc296347231"/>
      <w:bookmarkStart w:id="898" w:name="_Toc296346733"/>
      <w:bookmarkStart w:id="899" w:name="_Toc296503232"/>
      <w:r>
        <w:rPr>
          <w:rFonts w:hint="eastAsia" w:ascii="宋体" w:hAnsi="宋体" w:cs="仿宋_GB2312"/>
          <w:bCs/>
          <w:szCs w:val="21"/>
        </w:rPr>
        <w:t>件9 ：</w:t>
      </w:r>
    </w:p>
    <w:bookmarkEnd w:id="893"/>
    <w:bookmarkEnd w:id="894"/>
    <w:bookmarkEnd w:id="895"/>
    <w:bookmarkEnd w:id="896"/>
    <w:bookmarkEnd w:id="897"/>
    <w:bookmarkEnd w:id="898"/>
    <w:bookmarkEnd w:id="899"/>
    <w:p>
      <w:pPr>
        <w:spacing w:line="440" w:lineRule="exact"/>
        <w:jc w:val="center"/>
        <w:rPr>
          <w:rFonts w:ascii="宋体" w:hAnsi="宋体" w:cs="仿宋_GB2312"/>
          <w:bCs/>
          <w:szCs w:val="21"/>
        </w:rPr>
      </w:pPr>
      <w:r>
        <w:rPr>
          <w:rFonts w:hint="eastAsia" w:ascii="宋体" w:hAnsi="宋体" w:cs="仿宋_GB2312"/>
          <w:bCs/>
          <w:szCs w:val="21"/>
        </w:rPr>
        <w:t>预付款担保</w:t>
      </w:r>
    </w:p>
    <w:p>
      <w:pPr>
        <w:spacing w:line="440" w:lineRule="exact"/>
        <w:rPr>
          <w:rFonts w:ascii="宋体" w:hAnsi="宋体" w:cs="仿宋_GB2312"/>
          <w:bCs/>
          <w:szCs w:val="21"/>
        </w:rPr>
      </w:pP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rPr>
        <w:t xml:space="preserve"> （发包人名称）：</w:t>
      </w:r>
    </w:p>
    <w:p>
      <w:pPr>
        <w:spacing w:line="440" w:lineRule="exact"/>
        <w:rPr>
          <w:rFonts w:ascii="宋体" w:hAnsi="宋体" w:cs="仿宋_GB2312"/>
          <w:bCs/>
          <w:szCs w:val="21"/>
        </w:rPr>
      </w:pPr>
      <w:r>
        <w:rPr>
          <w:rFonts w:hint="eastAsia" w:ascii="宋体" w:hAnsi="宋体" w:cs="仿宋_GB2312"/>
          <w:bCs/>
          <w:szCs w:val="21"/>
        </w:rPr>
        <w:t>根据（承包人名称）（以下称“承包人”）与（发包人名称）（以下简称“发包人”）</w:t>
      </w:r>
    </w:p>
    <w:p>
      <w:pPr>
        <w:spacing w:line="440" w:lineRule="exact"/>
        <w:rPr>
          <w:rFonts w:ascii="宋体" w:hAnsi="宋体" w:cs="仿宋_GB2312"/>
          <w:bCs/>
          <w:szCs w:val="21"/>
        </w:rPr>
      </w:pPr>
      <w:r>
        <w:rPr>
          <w:rFonts w:hint="eastAsia" w:ascii="宋体" w:hAnsi="宋体" w:cs="仿宋_GB2312"/>
          <w:bCs/>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440" w:lineRule="exact"/>
        <w:rPr>
          <w:rFonts w:ascii="宋体" w:hAnsi="宋体" w:cs="仿宋_GB2312"/>
          <w:bCs/>
          <w:szCs w:val="21"/>
        </w:rPr>
      </w:pPr>
      <w:r>
        <w:rPr>
          <w:rFonts w:hint="eastAsia" w:ascii="宋体" w:hAnsi="宋体" w:cs="仿宋_GB2312"/>
          <w:bCs/>
          <w:szCs w:val="21"/>
        </w:rPr>
        <w:t>1. 担保金额人民币（大写）元（¥）。</w:t>
      </w:r>
    </w:p>
    <w:p>
      <w:pPr>
        <w:spacing w:line="440" w:lineRule="exact"/>
        <w:rPr>
          <w:rFonts w:ascii="宋体" w:hAnsi="宋体" w:cs="仿宋_GB2312"/>
          <w:bCs/>
          <w:szCs w:val="21"/>
        </w:rPr>
      </w:pPr>
      <w:r>
        <w:rPr>
          <w:rFonts w:hint="eastAsia" w:ascii="宋体" w:hAnsi="宋体" w:cs="仿宋_GB2312"/>
          <w:bCs/>
          <w:szCs w:val="21"/>
        </w:rPr>
        <w:t>2. 担保有效期自预付款支付给承包人起生效，至你方签发的进度款支付证书说明已完全扣清止。</w:t>
      </w:r>
    </w:p>
    <w:p>
      <w:pPr>
        <w:spacing w:line="440" w:lineRule="exact"/>
        <w:rPr>
          <w:rFonts w:ascii="宋体" w:hAnsi="宋体" w:cs="仿宋_GB2312"/>
          <w:bCs/>
          <w:szCs w:val="21"/>
        </w:rPr>
      </w:pPr>
      <w:r>
        <w:rPr>
          <w:rFonts w:hint="eastAsia" w:ascii="宋体" w:hAnsi="宋体" w:cs="仿宋_GB2312"/>
          <w:bCs/>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440" w:lineRule="exact"/>
        <w:rPr>
          <w:rFonts w:ascii="宋体" w:hAnsi="宋体" w:cs="仿宋_GB2312"/>
          <w:bCs/>
          <w:szCs w:val="21"/>
        </w:rPr>
      </w:pPr>
      <w:r>
        <w:rPr>
          <w:rFonts w:hint="eastAsia" w:ascii="宋体" w:hAnsi="宋体" w:cs="仿宋_GB2312"/>
          <w:bCs/>
          <w:szCs w:val="21"/>
        </w:rPr>
        <w:t>4. 你方和承包人按合同约定变更合同时，我方承担本保函规定的义务不变。</w:t>
      </w:r>
    </w:p>
    <w:p>
      <w:pPr>
        <w:spacing w:line="440" w:lineRule="exact"/>
        <w:rPr>
          <w:rFonts w:ascii="宋体" w:hAnsi="宋体" w:cs="仿宋_GB2312"/>
          <w:bCs/>
          <w:szCs w:val="21"/>
        </w:rPr>
      </w:pPr>
      <w:r>
        <w:rPr>
          <w:rFonts w:hint="eastAsia" w:ascii="宋体" w:hAnsi="宋体" w:cs="仿宋_GB2312"/>
          <w:bCs/>
          <w:szCs w:val="21"/>
        </w:rPr>
        <w:t>5. 因本保函发生的纠纷，可由双方协商解决，协商不成的，任何一方均可提请仲裁委员会仲裁。</w:t>
      </w:r>
    </w:p>
    <w:p>
      <w:pPr>
        <w:spacing w:line="440" w:lineRule="exact"/>
        <w:rPr>
          <w:rFonts w:ascii="宋体" w:hAnsi="宋体" w:cs="仿宋_GB2312"/>
          <w:bCs/>
          <w:szCs w:val="21"/>
        </w:rPr>
      </w:pPr>
      <w:r>
        <w:rPr>
          <w:rFonts w:hint="eastAsia" w:ascii="宋体" w:hAnsi="宋体" w:cs="仿宋_GB2312"/>
          <w:bCs/>
          <w:szCs w:val="21"/>
        </w:rPr>
        <w:t>6. 本保函自我方法定代表人（或其授权代理人）签字并加盖公章之日起生效。</w:t>
      </w:r>
    </w:p>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担保人：（盖单位章）</w:t>
      </w:r>
    </w:p>
    <w:p>
      <w:pPr>
        <w:spacing w:line="440" w:lineRule="exact"/>
        <w:rPr>
          <w:rFonts w:ascii="宋体" w:hAnsi="宋体" w:cs="仿宋_GB2312"/>
          <w:bCs/>
          <w:szCs w:val="21"/>
        </w:rPr>
      </w:pPr>
      <w:r>
        <w:rPr>
          <w:rFonts w:hint="eastAsia" w:ascii="宋体" w:hAnsi="宋体" w:cs="仿宋_GB2312"/>
          <w:bCs/>
          <w:szCs w:val="21"/>
        </w:rPr>
        <w:t>法定代表人或其委托代理人：（签字）</w:t>
      </w:r>
    </w:p>
    <w:p>
      <w:pPr>
        <w:spacing w:line="440" w:lineRule="exact"/>
        <w:rPr>
          <w:rFonts w:ascii="宋体" w:hAnsi="宋体" w:cs="仿宋_GB2312"/>
          <w:bCs/>
          <w:szCs w:val="21"/>
        </w:rPr>
      </w:pPr>
      <w:r>
        <w:rPr>
          <w:rFonts w:hint="eastAsia" w:ascii="宋体" w:hAnsi="宋体" w:cs="仿宋_GB2312"/>
          <w:bCs/>
          <w:szCs w:val="21"/>
        </w:rPr>
        <w:t>地    址：</w:t>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p>
    <w:p>
      <w:pPr>
        <w:spacing w:line="440" w:lineRule="exact"/>
        <w:rPr>
          <w:rFonts w:ascii="宋体" w:hAnsi="宋体" w:cs="仿宋_GB2312"/>
          <w:bCs/>
          <w:szCs w:val="21"/>
          <w:u w:val="single"/>
        </w:rPr>
      </w:pPr>
      <w:r>
        <w:rPr>
          <w:rFonts w:hint="eastAsia" w:ascii="宋体" w:hAnsi="宋体" w:cs="仿宋_GB2312"/>
          <w:bCs/>
          <w:szCs w:val="21"/>
        </w:rPr>
        <w:t>邮政编码：</w:t>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p>
    <w:p>
      <w:pPr>
        <w:spacing w:line="440" w:lineRule="exact"/>
        <w:rPr>
          <w:rFonts w:ascii="宋体" w:hAnsi="宋体" w:cs="仿宋_GB2312"/>
          <w:bCs/>
          <w:szCs w:val="21"/>
          <w:u w:val="single"/>
        </w:rPr>
      </w:pPr>
      <w:r>
        <w:rPr>
          <w:rFonts w:hint="eastAsia" w:ascii="宋体" w:hAnsi="宋体" w:cs="仿宋_GB2312"/>
          <w:bCs/>
          <w:szCs w:val="21"/>
        </w:rPr>
        <w:t>电    话：</w:t>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p>
    <w:p>
      <w:pPr>
        <w:spacing w:line="440" w:lineRule="exact"/>
        <w:rPr>
          <w:rFonts w:ascii="宋体" w:hAnsi="宋体" w:cs="仿宋_GB2312"/>
          <w:bCs/>
          <w:szCs w:val="21"/>
          <w:u w:val="single"/>
        </w:rPr>
      </w:pPr>
      <w:r>
        <w:rPr>
          <w:rFonts w:hint="eastAsia" w:ascii="宋体" w:hAnsi="宋体" w:cs="仿宋_GB2312"/>
          <w:bCs/>
          <w:szCs w:val="21"/>
        </w:rPr>
        <w:t>传    真：</w:t>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p>
    <w:p>
      <w:pPr>
        <w:spacing w:line="440" w:lineRule="exact"/>
        <w:rPr>
          <w:rFonts w:ascii="宋体" w:hAnsi="宋体" w:cs="仿宋_GB2312"/>
          <w:bCs/>
          <w:szCs w:val="21"/>
          <w:u w:val="single"/>
        </w:rPr>
      </w:pPr>
    </w:p>
    <w:p>
      <w:pPr>
        <w:spacing w:line="440" w:lineRule="exact"/>
        <w:rPr>
          <w:rFonts w:ascii="宋体" w:hAnsi="宋体" w:cs="仿宋_GB2312"/>
          <w:bCs/>
          <w:szCs w:val="21"/>
          <w:u w:val="single"/>
        </w:rPr>
      </w:pPr>
    </w:p>
    <w:p>
      <w:pPr>
        <w:spacing w:line="440" w:lineRule="exact"/>
        <w:rPr>
          <w:rFonts w:ascii="宋体" w:hAnsi="宋体" w:cs="仿宋_GB2312"/>
          <w:bCs/>
          <w:szCs w:val="21"/>
        </w:rPr>
      </w:pPr>
      <w:r>
        <w:rPr>
          <w:rFonts w:hint="eastAsia" w:ascii="宋体" w:hAnsi="宋体" w:cs="仿宋_GB2312"/>
          <w:bCs/>
          <w:szCs w:val="21"/>
        </w:rPr>
        <w:t>年月日</w:t>
      </w:r>
    </w:p>
    <w:p>
      <w:pPr>
        <w:spacing w:line="440" w:lineRule="exact"/>
        <w:rPr>
          <w:rFonts w:ascii="宋体" w:hAnsi="宋体" w:cs="仿宋_GB2312"/>
          <w:bCs/>
          <w:szCs w:val="21"/>
        </w:rPr>
      </w:pPr>
      <w:r>
        <w:rPr>
          <w:rFonts w:ascii="宋体" w:hAnsi="宋体" w:cs="仿宋_GB2312"/>
          <w:bCs/>
          <w:szCs w:val="21"/>
        </w:rPr>
        <w:br w:type="page"/>
      </w:r>
    </w:p>
    <w:p>
      <w:pPr>
        <w:spacing w:line="440" w:lineRule="exact"/>
        <w:rPr>
          <w:rFonts w:ascii="宋体" w:hAnsi="宋体" w:cs="仿宋_GB2312"/>
          <w:bCs/>
          <w:szCs w:val="21"/>
        </w:rPr>
      </w:pPr>
      <w:r>
        <w:rPr>
          <w:rFonts w:hint="eastAsia" w:ascii="宋体" w:hAnsi="宋体" w:cs="仿宋_GB2312"/>
          <w:bCs/>
          <w:szCs w:val="21"/>
        </w:rPr>
        <w:t>附</w:t>
      </w:r>
      <w:bookmarkStart w:id="900" w:name="_Toc296346734"/>
      <w:bookmarkStart w:id="901" w:name="_Toc296347232"/>
      <w:bookmarkStart w:id="902" w:name="_Toc296503233"/>
      <w:bookmarkStart w:id="903" w:name="_Toc296891061"/>
      <w:bookmarkStart w:id="904" w:name="_Toc296891273"/>
      <w:bookmarkStart w:id="905" w:name="_Toc296944572"/>
      <w:r>
        <w:rPr>
          <w:rFonts w:hint="eastAsia" w:ascii="宋体" w:hAnsi="宋体" w:cs="仿宋_GB2312"/>
          <w:bCs/>
          <w:szCs w:val="21"/>
        </w:rPr>
        <w:t xml:space="preserve">件10:  </w:t>
      </w:r>
    </w:p>
    <w:bookmarkEnd w:id="900"/>
    <w:bookmarkEnd w:id="901"/>
    <w:bookmarkEnd w:id="902"/>
    <w:bookmarkEnd w:id="903"/>
    <w:bookmarkEnd w:id="904"/>
    <w:bookmarkEnd w:id="905"/>
    <w:p>
      <w:pPr>
        <w:spacing w:line="440" w:lineRule="exact"/>
        <w:jc w:val="center"/>
        <w:rPr>
          <w:rFonts w:ascii="宋体" w:hAnsi="宋体" w:cs="仿宋_GB2312"/>
          <w:bCs/>
          <w:szCs w:val="21"/>
        </w:rPr>
      </w:pPr>
      <w:r>
        <w:rPr>
          <w:rFonts w:hint="eastAsia" w:ascii="宋体" w:hAnsi="宋体" w:cs="仿宋_GB2312"/>
          <w:bCs/>
          <w:szCs w:val="21"/>
        </w:rPr>
        <w:t>支付担保</w:t>
      </w:r>
    </w:p>
    <w:p>
      <w:pPr>
        <w:spacing w:line="440" w:lineRule="exact"/>
        <w:rPr>
          <w:rFonts w:ascii="宋体" w:hAnsi="宋体" w:cs="仿宋_GB2312"/>
          <w:bCs/>
          <w:szCs w:val="21"/>
        </w:rPr>
      </w:pPr>
      <w:r>
        <w:rPr>
          <w:rFonts w:hint="eastAsia" w:ascii="宋体" w:hAnsi="宋体" w:cs="仿宋_GB2312"/>
          <w:bCs/>
          <w:szCs w:val="21"/>
        </w:rPr>
        <w:t>（承包人）：</w:t>
      </w:r>
    </w:p>
    <w:p>
      <w:pPr>
        <w:spacing w:line="440" w:lineRule="exact"/>
        <w:rPr>
          <w:rFonts w:ascii="宋体" w:hAnsi="宋体" w:cs="仿宋_GB2312"/>
          <w:bCs/>
          <w:szCs w:val="21"/>
        </w:rPr>
      </w:pPr>
      <w:r>
        <w:rPr>
          <w:rFonts w:hint="eastAsia" w:ascii="宋体" w:hAnsi="宋体" w:cs="仿宋_GB2312"/>
          <w:bCs/>
          <w:szCs w:val="21"/>
        </w:rPr>
        <w:t>鉴于你方作为承包人已经与（发包人名称）（以下称“发包人”）于年月日签订了（工程名称）《建设工程施工合同》（以下称“主合同”），应发包人的申请，我方愿就发包人履行主合同约定的工程款支付义务以保证方式向你方提供如下担保：</w:t>
      </w:r>
    </w:p>
    <w:p>
      <w:pPr>
        <w:spacing w:line="440" w:lineRule="exact"/>
        <w:rPr>
          <w:rFonts w:ascii="宋体" w:hAnsi="宋体" w:cs="仿宋_GB2312"/>
          <w:bCs/>
          <w:szCs w:val="21"/>
        </w:rPr>
      </w:pPr>
      <w:r>
        <w:rPr>
          <w:rFonts w:hint="eastAsia" w:ascii="宋体" w:hAnsi="宋体" w:cs="仿宋_GB2312"/>
          <w:bCs/>
          <w:szCs w:val="21"/>
        </w:rPr>
        <w:t>一、保证的范围及保证金额</w:t>
      </w:r>
    </w:p>
    <w:p>
      <w:pPr>
        <w:spacing w:line="440" w:lineRule="exact"/>
        <w:rPr>
          <w:rFonts w:ascii="宋体" w:hAnsi="宋体" w:cs="仿宋_GB2312"/>
          <w:bCs/>
          <w:szCs w:val="21"/>
        </w:rPr>
      </w:pPr>
      <w:r>
        <w:rPr>
          <w:rFonts w:hint="eastAsia" w:ascii="宋体" w:hAnsi="宋体" w:cs="仿宋_GB2312"/>
          <w:bCs/>
          <w:szCs w:val="21"/>
        </w:rPr>
        <w:t>1. 我方的保证范围是主合同约定的工程款。</w:t>
      </w:r>
    </w:p>
    <w:p>
      <w:pPr>
        <w:spacing w:line="440" w:lineRule="exact"/>
        <w:rPr>
          <w:rFonts w:ascii="宋体" w:hAnsi="宋体" w:cs="仿宋_GB2312"/>
          <w:bCs/>
          <w:szCs w:val="21"/>
        </w:rPr>
      </w:pPr>
      <w:r>
        <w:rPr>
          <w:rFonts w:hint="eastAsia" w:ascii="宋体" w:hAnsi="宋体" w:cs="仿宋_GB2312"/>
          <w:bCs/>
          <w:szCs w:val="21"/>
        </w:rPr>
        <w:t>2. 本保函所称主合同约定的工程款是指主合同约定的除工程质量保证金以外的合同价款。</w:t>
      </w:r>
    </w:p>
    <w:p>
      <w:pPr>
        <w:spacing w:line="440" w:lineRule="exact"/>
        <w:rPr>
          <w:rFonts w:ascii="宋体" w:hAnsi="宋体" w:cs="仿宋_GB2312"/>
          <w:bCs/>
          <w:szCs w:val="21"/>
        </w:rPr>
      </w:pPr>
      <w:r>
        <w:rPr>
          <w:rFonts w:hint="eastAsia" w:ascii="宋体" w:hAnsi="宋体" w:cs="仿宋_GB2312"/>
          <w:bCs/>
          <w:szCs w:val="21"/>
        </w:rPr>
        <w:t>3. 我方保证的金额是主合同约定的工程款的%，数额最高不超过人民币元（大写：）。</w:t>
      </w:r>
    </w:p>
    <w:p>
      <w:pPr>
        <w:spacing w:line="440" w:lineRule="exact"/>
        <w:rPr>
          <w:rFonts w:ascii="宋体" w:hAnsi="宋体" w:cs="仿宋_GB2312"/>
          <w:bCs/>
          <w:szCs w:val="21"/>
        </w:rPr>
      </w:pPr>
      <w:r>
        <w:rPr>
          <w:rFonts w:hint="eastAsia" w:ascii="宋体" w:hAnsi="宋体" w:cs="仿宋_GB2312"/>
          <w:bCs/>
          <w:szCs w:val="21"/>
        </w:rPr>
        <w:t>二、保证的方式及保证期间</w:t>
      </w:r>
    </w:p>
    <w:p>
      <w:pPr>
        <w:spacing w:line="440" w:lineRule="exact"/>
        <w:rPr>
          <w:rFonts w:ascii="宋体" w:hAnsi="宋体" w:cs="仿宋_GB2312"/>
          <w:bCs/>
          <w:szCs w:val="21"/>
        </w:rPr>
      </w:pPr>
      <w:r>
        <w:rPr>
          <w:rFonts w:hint="eastAsia" w:ascii="宋体" w:hAnsi="宋体" w:cs="仿宋_GB2312"/>
          <w:bCs/>
          <w:szCs w:val="21"/>
        </w:rPr>
        <w:t>1. 我方保证的方式为：连带责任保证。</w:t>
      </w:r>
    </w:p>
    <w:p>
      <w:pPr>
        <w:spacing w:line="440" w:lineRule="exact"/>
        <w:rPr>
          <w:rFonts w:ascii="宋体" w:hAnsi="宋体" w:cs="仿宋_GB2312"/>
          <w:bCs/>
          <w:szCs w:val="21"/>
        </w:rPr>
      </w:pPr>
      <w:r>
        <w:rPr>
          <w:rFonts w:hint="eastAsia" w:ascii="宋体" w:hAnsi="宋体" w:cs="仿宋_GB2312"/>
          <w:bCs/>
          <w:szCs w:val="21"/>
        </w:rPr>
        <w:t>2. 我方保证的期间为：自本合同生效之日起至主合同约定的工程款支付完毕之日后日内。</w:t>
      </w:r>
    </w:p>
    <w:p>
      <w:pPr>
        <w:spacing w:line="440" w:lineRule="exact"/>
        <w:rPr>
          <w:rFonts w:ascii="宋体" w:hAnsi="宋体" w:cs="仿宋_GB2312"/>
          <w:bCs/>
          <w:szCs w:val="21"/>
        </w:rPr>
      </w:pPr>
      <w:r>
        <w:rPr>
          <w:rFonts w:hint="eastAsia" w:ascii="宋体" w:hAnsi="宋体" w:cs="仿宋_GB2312"/>
          <w:bCs/>
          <w:szCs w:val="21"/>
        </w:rPr>
        <w:t>3. 你方与发包人协议变更工程款支付日期的，经我方书面同意后，保证期间按照变更后的支付日期做相应调整。</w:t>
      </w:r>
    </w:p>
    <w:p>
      <w:pPr>
        <w:spacing w:line="440" w:lineRule="exact"/>
        <w:rPr>
          <w:rFonts w:ascii="宋体" w:hAnsi="宋体" w:cs="仿宋_GB2312"/>
          <w:bCs/>
          <w:szCs w:val="21"/>
        </w:rPr>
      </w:pPr>
      <w:r>
        <w:rPr>
          <w:rFonts w:hint="eastAsia" w:ascii="宋体" w:hAnsi="宋体" w:cs="仿宋_GB2312"/>
          <w:bCs/>
          <w:szCs w:val="21"/>
        </w:rPr>
        <w:t>三、承担保证责任的形式</w:t>
      </w:r>
    </w:p>
    <w:p>
      <w:pPr>
        <w:spacing w:line="440" w:lineRule="exact"/>
        <w:rPr>
          <w:rFonts w:ascii="宋体" w:hAnsi="宋体" w:cs="仿宋_GB2312"/>
          <w:bCs/>
          <w:szCs w:val="21"/>
        </w:rPr>
      </w:pPr>
      <w:r>
        <w:rPr>
          <w:rFonts w:hint="eastAsia" w:ascii="宋体" w:hAnsi="宋体" w:cs="仿宋_GB2312"/>
          <w:bCs/>
          <w:szCs w:val="21"/>
        </w:rPr>
        <w:t>我方承担保证责任的形式是代为支付。发包人未按主合同约定向你方支付工程款的，由我方在保证金额内代为支付。</w:t>
      </w:r>
    </w:p>
    <w:p>
      <w:pPr>
        <w:spacing w:line="440" w:lineRule="exact"/>
        <w:rPr>
          <w:rFonts w:ascii="宋体" w:hAnsi="宋体" w:cs="仿宋_GB2312"/>
          <w:bCs/>
          <w:szCs w:val="21"/>
        </w:rPr>
      </w:pPr>
      <w:r>
        <w:rPr>
          <w:rFonts w:hint="eastAsia" w:ascii="宋体" w:hAnsi="宋体" w:cs="仿宋_GB2312"/>
          <w:bCs/>
          <w:szCs w:val="21"/>
        </w:rPr>
        <w:t>四、代偿的安排</w:t>
      </w:r>
    </w:p>
    <w:p>
      <w:pPr>
        <w:spacing w:line="440" w:lineRule="exact"/>
        <w:rPr>
          <w:rFonts w:ascii="宋体" w:hAnsi="宋体" w:cs="仿宋_GB2312"/>
          <w:bCs/>
          <w:szCs w:val="21"/>
        </w:rPr>
      </w:pPr>
      <w:r>
        <w:rPr>
          <w:rFonts w:hint="eastAsia" w:ascii="宋体" w:hAnsi="宋体" w:cs="仿宋_GB2312"/>
          <w:bCs/>
          <w:szCs w:val="21"/>
        </w:rPr>
        <w:t>1. 你方要求我方承担保证责任的，应向我方发出书面索赔通知及发包人未支付主合同约定工程款的证明材料。索赔通知应写明要求索赔的金额，支付款项应到达的账号。</w:t>
      </w:r>
    </w:p>
    <w:p>
      <w:pPr>
        <w:spacing w:line="440" w:lineRule="exact"/>
        <w:rPr>
          <w:rFonts w:ascii="宋体" w:hAnsi="宋体" w:cs="仿宋_GB2312"/>
          <w:bCs/>
          <w:szCs w:val="21"/>
        </w:rPr>
      </w:pPr>
      <w:r>
        <w:rPr>
          <w:rFonts w:hint="eastAsia" w:ascii="宋体" w:hAnsi="宋体" w:cs="仿宋_GB2312"/>
          <w:bCs/>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440" w:lineRule="exact"/>
        <w:rPr>
          <w:rFonts w:ascii="宋体" w:hAnsi="宋体" w:cs="仿宋_GB2312"/>
          <w:bCs/>
          <w:szCs w:val="21"/>
        </w:rPr>
      </w:pPr>
      <w:r>
        <w:rPr>
          <w:rFonts w:hint="eastAsia" w:ascii="宋体" w:hAnsi="宋体" w:cs="仿宋_GB2312"/>
          <w:bCs/>
          <w:szCs w:val="21"/>
        </w:rPr>
        <w:t>3. 我方收到你方的书面索赔通知及相应的证明材料后７天内无条件支付。</w:t>
      </w:r>
    </w:p>
    <w:p>
      <w:pPr>
        <w:spacing w:line="440" w:lineRule="exact"/>
        <w:rPr>
          <w:rFonts w:ascii="宋体" w:hAnsi="宋体" w:cs="仿宋_GB2312"/>
          <w:bCs/>
          <w:szCs w:val="21"/>
        </w:rPr>
      </w:pPr>
      <w:r>
        <w:rPr>
          <w:rFonts w:hint="eastAsia" w:ascii="宋体" w:hAnsi="宋体" w:cs="仿宋_GB2312"/>
          <w:bCs/>
          <w:szCs w:val="21"/>
        </w:rPr>
        <w:t>五、保证责任的解除</w:t>
      </w:r>
    </w:p>
    <w:p>
      <w:pPr>
        <w:spacing w:line="440" w:lineRule="exact"/>
        <w:rPr>
          <w:rFonts w:ascii="宋体" w:hAnsi="宋体" w:cs="仿宋_GB2312"/>
          <w:bCs/>
          <w:szCs w:val="21"/>
        </w:rPr>
      </w:pPr>
      <w:r>
        <w:rPr>
          <w:rFonts w:hint="eastAsia" w:ascii="宋体" w:hAnsi="宋体" w:cs="仿宋_GB2312"/>
          <w:bCs/>
          <w:szCs w:val="21"/>
        </w:rPr>
        <w:t>1. 在本保函承诺的保证期间内，你方未书面向我方主张保证责任的，自保证期间届满次日起，我方保证责任解除。</w:t>
      </w:r>
    </w:p>
    <w:p>
      <w:pPr>
        <w:spacing w:line="440" w:lineRule="exact"/>
        <w:rPr>
          <w:rFonts w:ascii="宋体" w:hAnsi="宋体" w:cs="仿宋_GB2312"/>
          <w:bCs/>
          <w:szCs w:val="21"/>
        </w:rPr>
      </w:pPr>
      <w:r>
        <w:rPr>
          <w:rFonts w:hint="eastAsia" w:ascii="宋体" w:hAnsi="宋体" w:cs="仿宋_GB2312"/>
          <w:bCs/>
          <w:szCs w:val="21"/>
        </w:rPr>
        <w:t>2. 发包人按主合同约定履行了工程款的全部支付义务的，自本保函承诺的保证期间届满次日起，我方保证责任解除。</w:t>
      </w:r>
    </w:p>
    <w:p>
      <w:pPr>
        <w:spacing w:line="440" w:lineRule="exact"/>
        <w:rPr>
          <w:rFonts w:ascii="宋体" w:hAnsi="宋体" w:cs="仿宋_GB2312"/>
          <w:bCs/>
          <w:szCs w:val="21"/>
        </w:rPr>
      </w:pPr>
      <w:r>
        <w:rPr>
          <w:rFonts w:hint="eastAsia" w:ascii="宋体" w:hAnsi="宋体" w:cs="仿宋_GB2312"/>
          <w:bCs/>
          <w:szCs w:val="21"/>
        </w:rPr>
        <w:t>3. 我方按照本保函向你方履行保证责任所支付金额达到本保函保证金额时，自我方向你方支付（支付款项从我方账户划出）之日起，保证责任即解除。</w:t>
      </w:r>
    </w:p>
    <w:p>
      <w:pPr>
        <w:spacing w:line="440" w:lineRule="exact"/>
        <w:rPr>
          <w:rFonts w:ascii="宋体" w:hAnsi="宋体" w:cs="仿宋_GB2312"/>
          <w:bCs/>
          <w:szCs w:val="21"/>
        </w:rPr>
      </w:pPr>
      <w:r>
        <w:rPr>
          <w:rFonts w:hint="eastAsia" w:ascii="宋体" w:hAnsi="宋体" w:cs="仿宋_GB2312"/>
          <w:bCs/>
          <w:szCs w:val="21"/>
        </w:rPr>
        <w:t>4. 按照法律法规的规定或出现应解除我方保证责任的其他情形的，我方在本保函项下的保证责任亦解除。</w:t>
      </w:r>
    </w:p>
    <w:p>
      <w:pPr>
        <w:spacing w:line="440" w:lineRule="exact"/>
        <w:rPr>
          <w:rFonts w:ascii="宋体" w:hAnsi="宋体" w:cs="仿宋_GB2312"/>
          <w:bCs/>
          <w:szCs w:val="21"/>
        </w:rPr>
      </w:pPr>
      <w:r>
        <w:rPr>
          <w:rFonts w:hint="eastAsia" w:ascii="宋体" w:hAnsi="宋体" w:cs="仿宋_GB2312"/>
          <w:bCs/>
          <w:szCs w:val="21"/>
        </w:rPr>
        <w:t>5. 我方解除保证责任后，你方应自我方保证责任解除之日起个工作日内，将本保函原件返还我方。</w:t>
      </w:r>
    </w:p>
    <w:p>
      <w:pPr>
        <w:spacing w:line="440" w:lineRule="exact"/>
        <w:rPr>
          <w:rFonts w:ascii="宋体" w:hAnsi="宋体" w:cs="仿宋_GB2312"/>
          <w:bCs/>
          <w:szCs w:val="21"/>
        </w:rPr>
      </w:pPr>
      <w:r>
        <w:rPr>
          <w:rFonts w:hint="eastAsia" w:ascii="宋体" w:hAnsi="宋体" w:cs="仿宋_GB2312"/>
          <w:bCs/>
          <w:szCs w:val="21"/>
        </w:rPr>
        <w:t>六、免责条款</w:t>
      </w:r>
    </w:p>
    <w:p>
      <w:pPr>
        <w:spacing w:line="440" w:lineRule="exact"/>
        <w:rPr>
          <w:rFonts w:ascii="宋体" w:hAnsi="宋体" w:cs="仿宋_GB2312"/>
          <w:bCs/>
          <w:szCs w:val="21"/>
        </w:rPr>
      </w:pPr>
      <w:r>
        <w:rPr>
          <w:rFonts w:hint="eastAsia" w:ascii="宋体" w:hAnsi="宋体" w:cs="仿宋_GB2312"/>
          <w:bCs/>
          <w:szCs w:val="21"/>
        </w:rPr>
        <w:t>1. 因你方违约致使发包人不能履行义务的，我方不承担保证责任。</w:t>
      </w:r>
    </w:p>
    <w:p>
      <w:pPr>
        <w:spacing w:line="440" w:lineRule="exact"/>
        <w:rPr>
          <w:rFonts w:ascii="宋体" w:hAnsi="宋体" w:cs="仿宋_GB2312"/>
          <w:bCs/>
          <w:szCs w:val="21"/>
        </w:rPr>
      </w:pPr>
      <w:r>
        <w:rPr>
          <w:rFonts w:hint="eastAsia" w:ascii="宋体" w:hAnsi="宋体" w:cs="仿宋_GB2312"/>
          <w:bCs/>
          <w:szCs w:val="21"/>
        </w:rPr>
        <w:t>2. 依照法律法规的规定或你方与发包人的另行约定，免除发包人部分或全部义务的，我方亦免除其相应的保证责任。</w:t>
      </w:r>
    </w:p>
    <w:p>
      <w:pPr>
        <w:spacing w:line="440" w:lineRule="exact"/>
        <w:rPr>
          <w:rFonts w:ascii="宋体" w:hAnsi="宋体" w:cs="仿宋_GB2312"/>
          <w:bCs/>
          <w:szCs w:val="21"/>
        </w:rPr>
      </w:pPr>
      <w:r>
        <w:rPr>
          <w:rFonts w:hint="eastAsia" w:ascii="宋体" w:hAnsi="宋体" w:cs="仿宋_GB2312"/>
          <w:bCs/>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40" w:lineRule="exact"/>
        <w:rPr>
          <w:rFonts w:ascii="宋体" w:hAnsi="宋体" w:cs="仿宋_GB2312"/>
          <w:bCs/>
          <w:szCs w:val="21"/>
        </w:rPr>
      </w:pPr>
      <w:r>
        <w:rPr>
          <w:rFonts w:hint="eastAsia" w:ascii="宋体" w:hAnsi="宋体" w:cs="仿宋_GB2312"/>
          <w:bCs/>
          <w:szCs w:val="21"/>
        </w:rPr>
        <w:t>4. 因不可抗力造成发包人不能履行义务的，我方不承担保证责任。</w:t>
      </w:r>
    </w:p>
    <w:p>
      <w:pPr>
        <w:spacing w:line="440" w:lineRule="exact"/>
        <w:rPr>
          <w:rFonts w:ascii="宋体" w:hAnsi="宋体" w:cs="仿宋_GB2312"/>
          <w:bCs/>
          <w:szCs w:val="21"/>
        </w:rPr>
      </w:pPr>
      <w:r>
        <w:rPr>
          <w:rFonts w:hint="eastAsia" w:ascii="宋体" w:hAnsi="宋体" w:cs="仿宋_GB2312"/>
          <w:bCs/>
          <w:szCs w:val="21"/>
        </w:rPr>
        <w:t>七、争议解决</w:t>
      </w:r>
    </w:p>
    <w:p>
      <w:pPr>
        <w:spacing w:line="440" w:lineRule="exact"/>
        <w:rPr>
          <w:rFonts w:ascii="宋体" w:hAnsi="宋体" w:cs="仿宋_GB2312"/>
          <w:bCs/>
          <w:szCs w:val="21"/>
        </w:rPr>
      </w:pPr>
      <w:r>
        <w:rPr>
          <w:rFonts w:hint="eastAsia" w:ascii="宋体" w:hAnsi="宋体" w:cs="仿宋_GB2312"/>
          <w:bCs/>
          <w:szCs w:val="21"/>
        </w:rPr>
        <w:t>因本保函或本保函相关事项发生的纠纷，可由双方协商解决，协商不成的，按下列第种方式解决：</w:t>
      </w:r>
    </w:p>
    <w:p>
      <w:pPr>
        <w:spacing w:line="440" w:lineRule="exact"/>
        <w:rPr>
          <w:rFonts w:ascii="宋体" w:hAnsi="宋体" w:cs="仿宋_GB2312"/>
          <w:bCs/>
          <w:szCs w:val="21"/>
        </w:rPr>
      </w:pPr>
      <w:r>
        <w:rPr>
          <w:rFonts w:hint="eastAsia" w:ascii="宋体" w:hAnsi="宋体" w:cs="仿宋_GB2312"/>
          <w:bCs/>
          <w:szCs w:val="21"/>
        </w:rPr>
        <w:t>（1）向仲裁委员会申请仲裁；</w:t>
      </w:r>
    </w:p>
    <w:p>
      <w:pPr>
        <w:spacing w:line="440" w:lineRule="exact"/>
        <w:rPr>
          <w:rFonts w:ascii="宋体" w:hAnsi="宋体" w:cs="仿宋_GB2312"/>
          <w:bCs/>
          <w:szCs w:val="21"/>
        </w:rPr>
      </w:pPr>
      <w:r>
        <w:rPr>
          <w:rFonts w:hint="eastAsia" w:ascii="宋体" w:hAnsi="宋体" w:cs="仿宋_GB2312"/>
          <w:bCs/>
          <w:szCs w:val="21"/>
        </w:rPr>
        <w:t>（2）向人民法院起诉。</w:t>
      </w:r>
    </w:p>
    <w:p>
      <w:pPr>
        <w:spacing w:line="440" w:lineRule="exact"/>
        <w:rPr>
          <w:rFonts w:ascii="宋体" w:hAnsi="宋体" w:cs="仿宋_GB2312"/>
          <w:bCs/>
          <w:szCs w:val="21"/>
        </w:rPr>
      </w:pPr>
      <w:r>
        <w:rPr>
          <w:rFonts w:hint="eastAsia" w:ascii="宋体" w:hAnsi="宋体" w:cs="仿宋_GB2312"/>
          <w:bCs/>
          <w:szCs w:val="21"/>
        </w:rPr>
        <w:t>八、保函的生效</w:t>
      </w:r>
    </w:p>
    <w:p>
      <w:pPr>
        <w:spacing w:line="440" w:lineRule="exact"/>
        <w:rPr>
          <w:rFonts w:ascii="宋体" w:hAnsi="宋体" w:cs="仿宋_GB2312"/>
          <w:bCs/>
          <w:szCs w:val="21"/>
        </w:rPr>
      </w:pPr>
      <w:r>
        <w:rPr>
          <w:rFonts w:hint="eastAsia" w:ascii="宋体" w:hAnsi="宋体" w:cs="仿宋_GB2312"/>
          <w:bCs/>
          <w:szCs w:val="21"/>
        </w:rPr>
        <w:t>本保函自我方法定代表人（或其授权代理人）签字并加盖公章之日起生效。</w:t>
      </w:r>
    </w:p>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担保人：（盖章）</w:t>
      </w:r>
    </w:p>
    <w:p>
      <w:pPr>
        <w:spacing w:line="440" w:lineRule="exact"/>
        <w:rPr>
          <w:rFonts w:ascii="宋体" w:hAnsi="宋体" w:cs="仿宋_GB2312"/>
          <w:bCs/>
          <w:szCs w:val="21"/>
        </w:rPr>
      </w:pPr>
      <w:r>
        <w:rPr>
          <w:rFonts w:hint="eastAsia" w:ascii="宋体" w:hAnsi="宋体" w:cs="仿宋_GB2312"/>
          <w:bCs/>
          <w:szCs w:val="21"/>
        </w:rPr>
        <w:t>法定代表人或委托代理人：（签字）</w:t>
      </w:r>
    </w:p>
    <w:p>
      <w:pPr>
        <w:spacing w:line="440" w:lineRule="exact"/>
        <w:rPr>
          <w:rFonts w:ascii="宋体" w:hAnsi="宋体" w:cs="仿宋_GB2312"/>
          <w:bCs/>
          <w:szCs w:val="21"/>
        </w:rPr>
      </w:pPr>
      <w:r>
        <w:rPr>
          <w:rFonts w:hint="eastAsia" w:ascii="宋体" w:hAnsi="宋体" w:cs="仿宋_GB2312"/>
          <w:bCs/>
          <w:szCs w:val="21"/>
        </w:rPr>
        <w:t>地    址：</w:t>
      </w:r>
    </w:p>
    <w:p>
      <w:pPr>
        <w:spacing w:line="440" w:lineRule="exact"/>
        <w:rPr>
          <w:rFonts w:ascii="宋体" w:hAnsi="宋体" w:cs="仿宋_GB2312"/>
          <w:bCs/>
          <w:szCs w:val="21"/>
        </w:rPr>
      </w:pPr>
      <w:r>
        <w:rPr>
          <w:rFonts w:hint="eastAsia" w:ascii="宋体" w:hAnsi="宋体" w:cs="仿宋_GB2312"/>
          <w:bCs/>
          <w:szCs w:val="21"/>
        </w:rPr>
        <w:t>邮政编码：</w:t>
      </w:r>
    </w:p>
    <w:p>
      <w:pPr>
        <w:spacing w:line="440" w:lineRule="exact"/>
        <w:rPr>
          <w:rFonts w:ascii="宋体" w:hAnsi="宋体" w:cs="仿宋_GB2312"/>
          <w:bCs/>
          <w:szCs w:val="21"/>
        </w:rPr>
      </w:pPr>
      <w:r>
        <w:rPr>
          <w:rFonts w:hint="eastAsia" w:ascii="宋体" w:hAnsi="宋体" w:cs="仿宋_GB2312"/>
          <w:bCs/>
          <w:szCs w:val="21"/>
        </w:rPr>
        <w:t>传    真：</w:t>
      </w:r>
    </w:p>
    <w:p>
      <w:pPr>
        <w:spacing w:line="440" w:lineRule="exact"/>
        <w:rPr>
          <w:rFonts w:ascii="宋体" w:hAnsi="宋体" w:cs="仿宋_GB2312"/>
          <w:bCs/>
          <w:szCs w:val="21"/>
        </w:rPr>
      </w:pPr>
      <w:r>
        <w:rPr>
          <w:rFonts w:hint="eastAsia" w:ascii="宋体" w:hAnsi="宋体" w:cs="仿宋_GB2312"/>
          <w:bCs/>
          <w:szCs w:val="21"/>
        </w:rPr>
        <w:t>年月日</w:t>
      </w:r>
    </w:p>
    <w:p>
      <w:pPr>
        <w:spacing w:line="440" w:lineRule="exact"/>
        <w:rPr>
          <w:rFonts w:ascii="宋体" w:hAnsi="宋体" w:cs="仿宋_GB2312"/>
          <w:szCs w:val="21"/>
        </w:rPr>
      </w:pPr>
    </w:p>
    <w:p>
      <w:pPr>
        <w:widowControl/>
        <w:jc w:val="left"/>
        <w:rPr>
          <w:rFonts w:ascii="宋体" w:hAnsi="宋体" w:cs="仿宋_GB2312"/>
          <w:bCs/>
          <w:szCs w:val="21"/>
        </w:rPr>
      </w:pPr>
      <w:r>
        <w:rPr>
          <w:rFonts w:ascii="宋体" w:hAnsi="宋体" w:cs="仿宋_GB2312"/>
          <w:bCs/>
          <w:szCs w:val="21"/>
        </w:rPr>
        <w:br w:type="page"/>
      </w:r>
    </w:p>
    <w:p>
      <w:pPr>
        <w:spacing w:line="440" w:lineRule="exact"/>
        <w:rPr>
          <w:rFonts w:ascii="宋体" w:hAnsi="宋体" w:cs="仿宋_GB2312"/>
          <w:bCs/>
          <w:szCs w:val="21"/>
        </w:rPr>
      </w:pPr>
      <w:r>
        <w:rPr>
          <w:rFonts w:hint="eastAsia" w:ascii="宋体" w:hAnsi="宋体" w:cs="仿宋_GB2312"/>
          <w:bCs/>
          <w:szCs w:val="21"/>
        </w:rPr>
        <w:t>附件11：</w:t>
      </w:r>
    </w:p>
    <w:p>
      <w:pPr>
        <w:spacing w:line="440" w:lineRule="exact"/>
        <w:rPr>
          <w:rFonts w:ascii="宋体" w:hAnsi="宋体" w:cs="仿宋_GB2312"/>
          <w:bCs/>
          <w:szCs w:val="21"/>
        </w:rPr>
      </w:pPr>
      <w:r>
        <w:rPr>
          <w:rFonts w:hint="eastAsia" w:ascii="宋体" w:hAnsi="宋体" w:cs="仿宋_GB2312"/>
          <w:bCs/>
          <w:szCs w:val="21"/>
        </w:rPr>
        <w:t>11-1：材料暂估价表</w:t>
      </w:r>
    </w:p>
    <w:tbl>
      <w:tblPr>
        <w:tblStyle w:val="56"/>
        <w:tblW w:w="864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6"/>
        <w:gridCol w:w="1889"/>
        <w:gridCol w:w="810"/>
        <w:gridCol w:w="737"/>
        <w:gridCol w:w="1287"/>
        <w:gridCol w:w="1351"/>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31" w:hRule="atLeast"/>
        </w:trPr>
        <w:tc>
          <w:tcPr>
            <w:tcW w:w="946"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序号</w:t>
            </w:r>
          </w:p>
        </w:tc>
        <w:tc>
          <w:tcPr>
            <w:tcW w:w="1889"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名称</w:t>
            </w:r>
          </w:p>
        </w:tc>
        <w:tc>
          <w:tcPr>
            <w:tcW w:w="810"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单位</w:t>
            </w:r>
          </w:p>
        </w:tc>
        <w:tc>
          <w:tcPr>
            <w:tcW w:w="737"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数量</w:t>
            </w:r>
          </w:p>
        </w:tc>
        <w:tc>
          <w:tcPr>
            <w:tcW w:w="1287"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单价（元）</w:t>
            </w:r>
          </w:p>
        </w:tc>
        <w:tc>
          <w:tcPr>
            <w:tcW w:w="1351"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合价（元）</w:t>
            </w:r>
          </w:p>
        </w:tc>
        <w:tc>
          <w:tcPr>
            <w:tcW w:w="1620"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85" w:hRule="atLeast"/>
        </w:trPr>
        <w:tc>
          <w:tcPr>
            <w:tcW w:w="946" w:type="dxa"/>
            <w:tcBorders>
              <w:top w:val="double" w:color="auto" w:sz="6" w:space="0"/>
              <w:bottom w:val="single" w:color="auto" w:sz="6" w:space="0"/>
            </w:tcBorders>
          </w:tcPr>
          <w:p>
            <w:pPr>
              <w:spacing w:line="440" w:lineRule="exact"/>
              <w:rPr>
                <w:rFonts w:ascii="宋体" w:hAnsi="宋体" w:cs="仿宋_GB2312"/>
                <w:bCs/>
                <w:szCs w:val="21"/>
              </w:rPr>
            </w:pPr>
          </w:p>
        </w:tc>
        <w:tc>
          <w:tcPr>
            <w:tcW w:w="1889" w:type="dxa"/>
            <w:tcBorders>
              <w:top w:val="double" w:color="auto" w:sz="6" w:space="0"/>
              <w:bottom w:val="single" w:color="auto" w:sz="6" w:space="0"/>
            </w:tcBorders>
          </w:tcPr>
          <w:p>
            <w:pPr>
              <w:spacing w:line="440" w:lineRule="exact"/>
              <w:rPr>
                <w:rFonts w:ascii="宋体" w:hAnsi="宋体" w:cs="仿宋_GB2312"/>
                <w:bCs/>
                <w:szCs w:val="21"/>
              </w:rPr>
            </w:pPr>
          </w:p>
        </w:tc>
        <w:tc>
          <w:tcPr>
            <w:tcW w:w="810" w:type="dxa"/>
            <w:tcBorders>
              <w:top w:val="double" w:color="auto" w:sz="6" w:space="0"/>
              <w:bottom w:val="single" w:color="auto" w:sz="6" w:space="0"/>
            </w:tcBorders>
          </w:tcPr>
          <w:p>
            <w:pPr>
              <w:spacing w:line="440" w:lineRule="exact"/>
              <w:rPr>
                <w:rFonts w:ascii="宋体" w:hAnsi="宋体" w:cs="仿宋_GB2312"/>
                <w:bCs/>
                <w:szCs w:val="21"/>
              </w:rPr>
            </w:pPr>
          </w:p>
        </w:tc>
        <w:tc>
          <w:tcPr>
            <w:tcW w:w="737" w:type="dxa"/>
            <w:tcBorders>
              <w:top w:val="double" w:color="auto" w:sz="6" w:space="0"/>
              <w:bottom w:val="single" w:color="auto" w:sz="6" w:space="0"/>
            </w:tcBorders>
          </w:tcPr>
          <w:p>
            <w:pPr>
              <w:spacing w:line="440" w:lineRule="exact"/>
              <w:rPr>
                <w:rFonts w:ascii="宋体" w:hAnsi="宋体" w:cs="仿宋_GB2312"/>
                <w:bCs/>
                <w:szCs w:val="21"/>
              </w:rPr>
            </w:pPr>
          </w:p>
        </w:tc>
        <w:tc>
          <w:tcPr>
            <w:tcW w:w="1287" w:type="dxa"/>
            <w:tcBorders>
              <w:top w:val="double" w:color="auto" w:sz="6" w:space="0"/>
              <w:bottom w:val="single" w:color="auto" w:sz="6" w:space="0"/>
            </w:tcBorders>
          </w:tcPr>
          <w:p>
            <w:pPr>
              <w:spacing w:line="440" w:lineRule="exact"/>
              <w:rPr>
                <w:rFonts w:ascii="宋体" w:hAnsi="宋体" w:cs="仿宋_GB2312"/>
                <w:bCs/>
                <w:szCs w:val="21"/>
              </w:rPr>
            </w:pPr>
          </w:p>
        </w:tc>
        <w:tc>
          <w:tcPr>
            <w:tcW w:w="1351" w:type="dxa"/>
            <w:tcBorders>
              <w:top w:val="double" w:color="auto" w:sz="6" w:space="0"/>
              <w:bottom w:val="single" w:color="auto" w:sz="6" w:space="0"/>
            </w:tcBorders>
          </w:tcPr>
          <w:p>
            <w:pPr>
              <w:spacing w:line="440" w:lineRule="exact"/>
              <w:rPr>
                <w:rFonts w:ascii="宋体" w:hAnsi="宋体" w:cs="仿宋_GB2312"/>
                <w:bCs/>
                <w:szCs w:val="21"/>
              </w:rPr>
            </w:pPr>
          </w:p>
        </w:tc>
        <w:tc>
          <w:tcPr>
            <w:tcW w:w="1620" w:type="dxa"/>
            <w:tcBorders>
              <w:top w:val="double" w:color="auto" w:sz="6" w:space="0"/>
              <w:bottom w:val="single" w:color="auto" w:sz="6" w:space="0"/>
            </w:tcBorders>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0" w:hRule="atLeast"/>
        </w:trPr>
        <w:tc>
          <w:tcPr>
            <w:tcW w:w="946" w:type="dxa"/>
            <w:tcBorders>
              <w:top w:val="nil"/>
            </w:tcBorders>
          </w:tcPr>
          <w:p>
            <w:pPr>
              <w:spacing w:line="440" w:lineRule="exact"/>
              <w:rPr>
                <w:rFonts w:ascii="宋体" w:hAnsi="宋体" w:cs="仿宋_GB2312"/>
                <w:bCs/>
                <w:szCs w:val="21"/>
              </w:rPr>
            </w:pPr>
          </w:p>
        </w:tc>
        <w:tc>
          <w:tcPr>
            <w:tcW w:w="1889" w:type="dxa"/>
            <w:tcBorders>
              <w:top w:val="nil"/>
            </w:tcBorders>
          </w:tcPr>
          <w:p>
            <w:pPr>
              <w:spacing w:line="440" w:lineRule="exact"/>
              <w:rPr>
                <w:rFonts w:ascii="宋体" w:hAnsi="宋体" w:cs="仿宋_GB2312"/>
                <w:bCs/>
                <w:szCs w:val="21"/>
              </w:rPr>
            </w:pPr>
          </w:p>
        </w:tc>
        <w:tc>
          <w:tcPr>
            <w:tcW w:w="810" w:type="dxa"/>
            <w:tcBorders>
              <w:top w:val="nil"/>
            </w:tcBorders>
          </w:tcPr>
          <w:p>
            <w:pPr>
              <w:spacing w:line="440" w:lineRule="exact"/>
              <w:rPr>
                <w:rFonts w:ascii="宋体" w:hAnsi="宋体" w:cs="仿宋_GB2312"/>
                <w:bCs/>
                <w:szCs w:val="21"/>
              </w:rPr>
            </w:pPr>
          </w:p>
        </w:tc>
        <w:tc>
          <w:tcPr>
            <w:tcW w:w="737" w:type="dxa"/>
            <w:tcBorders>
              <w:top w:val="nil"/>
            </w:tcBorders>
          </w:tcPr>
          <w:p>
            <w:pPr>
              <w:spacing w:line="440" w:lineRule="exact"/>
              <w:rPr>
                <w:rFonts w:ascii="宋体" w:hAnsi="宋体" w:cs="仿宋_GB2312"/>
                <w:bCs/>
                <w:szCs w:val="21"/>
              </w:rPr>
            </w:pPr>
          </w:p>
        </w:tc>
        <w:tc>
          <w:tcPr>
            <w:tcW w:w="1287" w:type="dxa"/>
            <w:tcBorders>
              <w:top w:val="nil"/>
            </w:tcBorders>
          </w:tcPr>
          <w:p>
            <w:pPr>
              <w:spacing w:line="440" w:lineRule="exact"/>
              <w:rPr>
                <w:rFonts w:ascii="宋体" w:hAnsi="宋体" w:cs="仿宋_GB2312"/>
                <w:bCs/>
                <w:szCs w:val="21"/>
              </w:rPr>
            </w:pPr>
          </w:p>
        </w:tc>
        <w:tc>
          <w:tcPr>
            <w:tcW w:w="1351" w:type="dxa"/>
            <w:tcBorders>
              <w:top w:val="nil"/>
            </w:tcBorders>
          </w:tcPr>
          <w:p>
            <w:pPr>
              <w:spacing w:line="440" w:lineRule="exact"/>
              <w:rPr>
                <w:rFonts w:ascii="宋体" w:hAnsi="宋体" w:cs="仿宋_GB2312"/>
                <w:bCs/>
                <w:szCs w:val="21"/>
              </w:rPr>
            </w:pPr>
          </w:p>
        </w:tc>
        <w:tc>
          <w:tcPr>
            <w:tcW w:w="1620" w:type="dxa"/>
            <w:tcBorders>
              <w:top w:val="nil"/>
            </w:tcBorders>
          </w:tcPr>
          <w:p>
            <w:pPr>
              <w:spacing w:line="440" w:lineRule="exact"/>
              <w:rPr>
                <w:rFonts w:ascii="宋体" w:hAnsi="宋体" w:cs="仿宋_GB2312"/>
                <w:bCs/>
                <w:szCs w:val="21"/>
              </w:rPr>
            </w:pPr>
          </w:p>
        </w:tc>
      </w:tr>
    </w:tbl>
    <w:p>
      <w:pPr>
        <w:spacing w:line="440" w:lineRule="exact"/>
        <w:rPr>
          <w:rFonts w:ascii="宋体" w:hAnsi="宋体" w:cs="仿宋_GB2312"/>
          <w:bCs/>
          <w:szCs w:val="21"/>
        </w:rPr>
      </w:pPr>
    </w:p>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11-2：工程设备暂估价表</w:t>
      </w:r>
    </w:p>
    <w:tbl>
      <w:tblPr>
        <w:tblStyle w:val="5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序号</w:t>
            </w:r>
          </w:p>
        </w:tc>
        <w:tc>
          <w:tcPr>
            <w:tcW w:w="1984"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名称</w:t>
            </w:r>
          </w:p>
        </w:tc>
        <w:tc>
          <w:tcPr>
            <w:tcW w:w="851"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单位</w:t>
            </w:r>
          </w:p>
        </w:tc>
        <w:tc>
          <w:tcPr>
            <w:tcW w:w="774"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数量</w:t>
            </w:r>
          </w:p>
        </w:tc>
        <w:tc>
          <w:tcPr>
            <w:tcW w:w="1352"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单价（元）</w:t>
            </w:r>
          </w:p>
        </w:tc>
        <w:tc>
          <w:tcPr>
            <w:tcW w:w="1418"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合价（元）</w:t>
            </w:r>
          </w:p>
        </w:tc>
        <w:tc>
          <w:tcPr>
            <w:tcW w:w="1701"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spacing w:line="440" w:lineRule="exact"/>
              <w:rPr>
                <w:rFonts w:ascii="宋体" w:hAnsi="宋体" w:cs="仿宋_GB2312"/>
                <w:bCs/>
                <w:szCs w:val="21"/>
              </w:rPr>
            </w:pPr>
          </w:p>
        </w:tc>
        <w:tc>
          <w:tcPr>
            <w:tcW w:w="1984" w:type="dxa"/>
            <w:tcBorders>
              <w:top w:val="double" w:color="auto" w:sz="6" w:space="0"/>
              <w:bottom w:val="single" w:color="auto" w:sz="6" w:space="0"/>
            </w:tcBorders>
          </w:tcPr>
          <w:p>
            <w:pPr>
              <w:spacing w:line="440" w:lineRule="exact"/>
              <w:rPr>
                <w:rFonts w:ascii="宋体" w:hAnsi="宋体" w:cs="仿宋_GB2312"/>
                <w:bCs/>
                <w:szCs w:val="21"/>
              </w:rPr>
            </w:pPr>
          </w:p>
        </w:tc>
        <w:tc>
          <w:tcPr>
            <w:tcW w:w="851" w:type="dxa"/>
            <w:tcBorders>
              <w:top w:val="double" w:color="auto" w:sz="6" w:space="0"/>
              <w:bottom w:val="single" w:color="auto" w:sz="6" w:space="0"/>
            </w:tcBorders>
          </w:tcPr>
          <w:p>
            <w:pPr>
              <w:spacing w:line="440" w:lineRule="exact"/>
              <w:rPr>
                <w:rFonts w:ascii="宋体" w:hAnsi="宋体" w:cs="仿宋_GB2312"/>
                <w:bCs/>
                <w:szCs w:val="21"/>
              </w:rPr>
            </w:pPr>
          </w:p>
        </w:tc>
        <w:tc>
          <w:tcPr>
            <w:tcW w:w="774" w:type="dxa"/>
            <w:tcBorders>
              <w:top w:val="double" w:color="auto" w:sz="6" w:space="0"/>
              <w:bottom w:val="single" w:color="auto" w:sz="6" w:space="0"/>
            </w:tcBorders>
          </w:tcPr>
          <w:p>
            <w:pPr>
              <w:spacing w:line="440" w:lineRule="exact"/>
              <w:rPr>
                <w:rFonts w:ascii="宋体" w:hAnsi="宋体" w:cs="仿宋_GB2312"/>
                <w:bCs/>
                <w:szCs w:val="21"/>
              </w:rPr>
            </w:pPr>
          </w:p>
        </w:tc>
        <w:tc>
          <w:tcPr>
            <w:tcW w:w="1352" w:type="dxa"/>
            <w:tcBorders>
              <w:top w:val="double" w:color="auto" w:sz="6" w:space="0"/>
              <w:bottom w:val="single" w:color="auto" w:sz="6" w:space="0"/>
            </w:tcBorders>
          </w:tcPr>
          <w:p>
            <w:pPr>
              <w:spacing w:line="440" w:lineRule="exact"/>
              <w:rPr>
                <w:rFonts w:ascii="宋体" w:hAnsi="宋体" w:cs="仿宋_GB2312"/>
                <w:bCs/>
                <w:szCs w:val="21"/>
              </w:rPr>
            </w:pPr>
          </w:p>
        </w:tc>
        <w:tc>
          <w:tcPr>
            <w:tcW w:w="1418" w:type="dxa"/>
            <w:tcBorders>
              <w:top w:val="double" w:color="auto" w:sz="6" w:space="0"/>
              <w:bottom w:val="single" w:color="auto" w:sz="6" w:space="0"/>
            </w:tcBorders>
          </w:tcPr>
          <w:p>
            <w:pPr>
              <w:spacing w:line="440" w:lineRule="exact"/>
              <w:rPr>
                <w:rFonts w:ascii="宋体" w:hAnsi="宋体" w:cs="仿宋_GB2312"/>
                <w:bCs/>
                <w:szCs w:val="21"/>
              </w:rPr>
            </w:pPr>
          </w:p>
        </w:tc>
        <w:tc>
          <w:tcPr>
            <w:tcW w:w="1701" w:type="dxa"/>
            <w:tcBorders>
              <w:top w:val="double" w:color="auto" w:sz="6" w:space="0"/>
              <w:bottom w:val="single" w:color="auto" w:sz="6" w:space="0"/>
            </w:tcBorders>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spacing w:line="440" w:lineRule="exact"/>
              <w:rPr>
                <w:rFonts w:ascii="宋体" w:hAnsi="宋体" w:cs="仿宋_GB2312"/>
                <w:bCs/>
                <w:szCs w:val="21"/>
              </w:rPr>
            </w:pPr>
          </w:p>
        </w:tc>
        <w:tc>
          <w:tcPr>
            <w:tcW w:w="1984" w:type="dxa"/>
          </w:tcPr>
          <w:p>
            <w:pPr>
              <w:spacing w:line="440" w:lineRule="exact"/>
              <w:rPr>
                <w:rFonts w:ascii="宋体" w:hAnsi="宋体" w:cs="仿宋_GB2312"/>
                <w:bCs/>
                <w:szCs w:val="21"/>
              </w:rPr>
            </w:pPr>
          </w:p>
        </w:tc>
        <w:tc>
          <w:tcPr>
            <w:tcW w:w="851" w:type="dxa"/>
          </w:tcPr>
          <w:p>
            <w:pPr>
              <w:spacing w:line="440" w:lineRule="exact"/>
              <w:rPr>
                <w:rFonts w:ascii="宋体" w:hAnsi="宋体" w:cs="仿宋_GB2312"/>
                <w:bCs/>
                <w:szCs w:val="21"/>
              </w:rPr>
            </w:pPr>
          </w:p>
        </w:tc>
        <w:tc>
          <w:tcPr>
            <w:tcW w:w="774" w:type="dxa"/>
          </w:tcPr>
          <w:p>
            <w:pPr>
              <w:spacing w:line="440" w:lineRule="exact"/>
              <w:rPr>
                <w:rFonts w:ascii="宋体" w:hAnsi="宋体" w:cs="仿宋_GB2312"/>
                <w:bCs/>
                <w:szCs w:val="21"/>
              </w:rPr>
            </w:pPr>
          </w:p>
        </w:tc>
        <w:tc>
          <w:tcPr>
            <w:tcW w:w="1352" w:type="dxa"/>
          </w:tcPr>
          <w:p>
            <w:pPr>
              <w:spacing w:line="440" w:lineRule="exact"/>
              <w:rPr>
                <w:rFonts w:ascii="宋体" w:hAnsi="宋体" w:cs="仿宋_GB2312"/>
                <w:bCs/>
                <w:szCs w:val="21"/>
              </w:rPr>
            </w:pPr>
          </w:p>
        </w:tc>
        <w:tc>
          <w:tcPr>
            <w:tcW w:w="1418" w:type="dxa"/>
          </w:tcPr>
          <w:p>
            <w:pPr>
              <w:spacing w:line="440" w:lineRule="exact"/>
              <w:rPr>
                <w:rFonts w:ascii="宋体" w:hAnsi="宋体" w:cs="仿宋_GB2312"/>
                <w:bCs/>
                <w:szCs w:val="21"/>
              </w:rPr>
            </w:pPr>
          </w:p>
        </w:tc>
        <w:tc>
          <w:tcPr>
            <w:tcW w:w="1701" w:type="dxa"/>
          </w:tcPr>
          <w:p>
            <w:pPr>
              <w:spacing w:line="440" w:lineRule="exact"/>
              <w:rPr>
                <w:rFonts w:ascii="宋体" w:hAnsi="宋体" w:cs="仿宋_GB2312"/>
                <w:bCs/>
                <w:szCs w:val="21"/>
              </w:rPr>
            </w:pPr>
          </w:p>
        </w:tc>
      </w:tr>
    </w:tbl>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11-3：专业工程暂估价表</w:t>
      </w:r>
    </w:p>
    <w:tbl>
      <w:tblPr>
        <w:tblStyle w:val="56"/>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序号</w:t>
            </w:r>
          </w:p>
        </w:tc>
        <w:tc>
          <w:tcPr>
            <w:tcW w:w="1984"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专业工程名称</w:t>
            </w:r>
          </w:p>
        </w:tc>
        <w:tc>
          <w:tcPr>
            <w:tcW w:w="4678"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工程内容</w:t>
            </w:r>
          </w:p>
        </w:tc>
        <w:tc>
          <w:tcPr>
            <w:tcW w:w="1276"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spacing w:line="440" w:lineRule="exact"/>
              <w:rPr>
                <w:rFonts w:ascii="宋体" w:hAnsi="宋体" w:cs="仿宋_GB2312"/>
                <w:bCs/>
                <w:szCs w:val="21"/>
              </w:rPr>
            </w:pPr>
          </w:p>
        </w:tc>
        <w:tc>
          <w:tcPr>
            <w:tcW w:w="1984" w:type="dxa"/>
            <w:tcBorders>
              <w:top w:val="double" w:color="auto" w:sz="6" w:space="0"/>
              <w:bottom w:val="single" w:color="auto" w:sz="6" w:space="0"/>
            </w:tcBorders>
          </w:tcPr>
          <w:p>
            <w:pPr>
              <w:spacing w:line="440" w:lineRule="exact"/>
              <w:rPr>
                <w:rFonts w:ascii="宋体" w:hAnsi="宋体" w:cs="仿宋_GB2312"/>
                <w:bCs/>
                <w:szCs w:val="21"/>
              </w:rPr>
            </w:pPr>
          </w:p>
        </w:tc>
        <w:tc>
          <w:tcPr>
            <w:tcW w:w="4678" w:type="dxa"/>
            <w:tcBorders>
              <w:top w:val="double" w:color="auto" w:sz="6" w:space="0"/>
              <w:bottom w:val="single" w:color="auto" w:sz="6" w:space="0"/>
            </w:tcBorders>
          </w:tcPr>
          <w:p>
            <w:pPr>
              <w:spacing w:line="440" w:lineRule="exact"/>
              <w:rPr>
                <w:rFonts w:ascii="宋体" w:hAnsi="宋体" w:cs="仿宋_GB2312"/>
                <w:bCs/>
                <w:szCs w:val="21"/>
              </w:rPr>
            </w:pPr>
          </w:p>
        </w:tc>
        <w:tc>
          <w:tcPr>
            <w:tcW w:w="1276" w:type="dxa"/>
            <w:tcBorders>
              <w:top w:val="double" w:color="auto" w:sz="6" w:space="0"/>
              <w:bottom w:val="single" w:color="auto" w:sz="6" w:space="0"/>
            </w:tcBorders>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spacing w:line="440" w:lineRule="exact"/>
              <w:rPr>
                <w:rFonts w:ascii="宋体" w:hAnsi="宋体" w:cs="仿宋_GB2312"/>
                <w:bCs/>
                <w:szCs w:val="21"/>
              </w:rPr>
            </w:pPr>
          </w:p>
        </w:tc>
        <w:tc>
          <w:tcPr>
            <w:tcW w:w="1984" w:type="dxa"/>
            <w:tcBorders>
              <w:top w:val="nil"/>
            </w:tcBorders>
          </w:tcPr>
          <w:p>
            <w:pPr>
              <w:spacing w:line="440" w:lineRule="exact"/>
              <w:rPr>
                <w:rFonts w:ascii="宋体" w:hAnsi="宋体" w:cs="仿宋_GB2312"/>
                <w:bCs/>
                <w:szCs w:val="21"/>
              </w:rPr>
            </w:pPr>
          </w:p>
        </w:tc>
        <w:tc>
          <w:tcPr>
            <w:tcW w:w="4678" w:type="dxa"/>
            <w:tcBorders>
              <w:top w:val="nil"/>
            </w:tcBorders>
          </w:tcPr>
          <w:p>
            <w:pPr>
              <w:spacing w:line="440" w:lineRule="exact"/>
              <w:rPr>
                <w:rFonts w:ascii="宋体" w:hAnsi="宋体" w:cs="仿宋_GB2312"/>
                <w:bCs/>
                <w:szCs w:val="21"/>
              </w:rPr>
            </w:pPr>
          </w:p>
        </w:tc>
        <w:tc>
          <w:tcPr>
            <w:tcW w:w="1276" w:type="dxa"/>
            <w:tcBorders>
              <w:top w:val="nil"/>
            </w:tcBorders>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spacing w:line="440" w:lineRule="exact"/>
              <w:rPr>
                <w:rFonts w:ascii="宋体" w:hAnsi="宋体" w:cs="仿宋_GB2312"/>
                <w:bCs/>
                <w:szCs w:val="21"/>
              </w:rPr>
            </w:pPr>
          </w:p>
        </w:tc>
        <w:tc>
          <w:tcPr>
            <w:tcW w:w="1984" w:type="dxa"/>
          </w:tcPr>
          <w:p>
            <w:pPr>
              <w:spacing w:line="440" w:lineRule="exact"/>
              <w:rPr>
                <w:rFonts w:ascii="宋体" w:hAnsi="宋体" w:cs="仿宋_GB2312"/>
                <w:bCs/>
                <w:szCs w:val="21"/>
              </w:rPr>
            </w:pPr>
          </w:p>
        </w:tc>
        <w:tc>
          <w:tcPr>
            <w:tcW w:w="4678" w:type="dxa"/>
          </w:tcPr>
          <w:p>
            <w:pPr>
              <w:spacing w:line="440" w:lineRule="exact"/>
              <w:rPr>
                <w:rFonts w:ascii="宋体" w:hAnsi="宋体" w:cs="仿宋_GB2312"/>
                <w:bCs/>
                <w:szCs w:val="21"/>
              </w:rPr>
            </w:pPr>
          </w:p>
        </w:tc>
        <w:tc>
          <w:tcPr>
            <w:tcW w:w="1276" w:type="dxa"/>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spacing w:line="440" w:lineRule="exact"/>
              <w:rPr>
                <w:rFonts w:ascii="宋体" w:hAnsi="宋体" w:cs="仿宋_GB2312"/>
                <w:bCs/>
                <w:szCs w:val="21"/>
              </w:rPr>
            </w:pPr>
            <w:r>
              <w:rPr>
                <w:rFonts w:hint="eastAsia" w:ascii="宋体" w:hAnsi="宋体" w:cs="仿宋_GB2312"/>
                <w:bCs/>
                <w:szCs w:val="21"/>
              </w:rPr>
              <w:t>小计：</w:t>
            </w:r>
          </w:p>
        </w:tc>
      </w:tr>
    </w:tbl>
    <w:p>
      <w:pPr>
        <w:spacing w:line="440" w:lineRule="exact"/>
        <w:rPr>
          <w:rFonts w:ascii="宋体" w:hAnsi="宋体" w:cs="仿宋_GB2312"/>
          <w:szCs w:val="21"/>
        </w:rPr>
      </w:pPr>
    </w:p>
    <w:p>
      <w:pPr>
        <w:pStyle w:val="2"/>
      </w:pPr>
      <w:r>
        <w:br w:type="page"/>
      </w:r>
      <w:bookmarkStart w:id="906" w:name="_Toc144974851"/>
      <w:bookmarkStart w:id="907" w:name="_Toc152042571"/>
      <w:bookmarkStart w:id="908" w:name="_Toc152045782"/>
      <w:bookmarkStart w:id="909" w:name="_Toc247514233"/>
      <w:bookmarkStart w:id="910" w:name="_Toc247527820"/>
      <w:bookmarkStart w:id="911" w:name="_Toc529440051"/>
      <w:r>
        <w:rPr>
          <w:rFonts w:hint="eastAsia"/>
        </w:rPr>
        <w:t>第五章</w:t>
      </w:r>
      <w:bookmarkEnd w:id="906"/>
      <w:bookmarkEnd w:id="907"/>
      <w:bookmarkEnd w:id="908"/>
      <w:bookmarkEnd w:id="909"/>
      <w:bookmarkEnd w:id="910"/>
      <w:r>
        <w:rPr>
          <w:rFonts w:hint="eastAsia"/>
        </w:rPr>
        <w:t xml:space="preserve"> 工程量清单</w:t>
      </w:r>
      <w:bookmarkEnd w:id="911"/>
    </w:p>
    <w:p>
      <w:pPr>
        <w:spacing w:line="480" w:lineRule="exact"/>
        <w:rPr>
          <w:rFonts w:ascii="宋体" w:hAnsi="宋体"/>
          <w:b/>
          <w:szCs w:val="21"/>
        </w:rPr>
      </w:pPr>
      <w:bookmarkStart w:id="912" w:name="_Toc144974855"/>
      <w:bookmarkStart w:id="913" w:name="_Toc152042575"/>
      <w:bookmarkStart w:id="914" w:name="_Toc152045786"/>
      <w:r>
        <w:rPr>
          <w:rFonts w:hint="eastAsia" w:ascii="宋体" w:hAnsi="宋体"/>
          <w:b/>
          <w:szCs w:val="21"/>
        </w:rPr>
        <w:t>1、工程量清单说明</w:t>
      </w:r>
    </w:p>
    <w:p>
      <w:pPr>
        <w:spacing w:line="480" w:lineRule="exact"/>
        <w:ind w:left="1" w:firstLine="420" w:firstLineChars="200"/>
        <w:rPr>
          <w:rFonts w:ascii="宋体" w:hAnsi="宋体"/>
          <w:szCs w:val="21"/>
        </w:rPr>
      </w:pPr>
      <w:r>
        <w:rPr>
          <w:rFonts w:hint="eastAsia" w:ascii="宋体" w:hAnsi="宋体"/>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80" w:lineRule="exact"/>
        <w:ind w:left="1" w:firstLine="420" w:firstLineChars="200"/>
        <w:rPr>
          <w:rFonts w:ascii="宋体" w:hAnsi="宋体"/>
          <w:szCs w:val="21"/>
        </w:rPr>
      </w:pPr>
      <w:r>
        <w:rPr>
          <w:rFonts w:hint="eastAsia" w:ascii="宋体" w:hAnsi="宋体"/>
          <w:szCs w:val="21"/>
        </w:rPr>
        <w:t>1.2 本工程量清单应与招标文件中的投标人须知、通用合同条款、专用合同条款、技术标准和要求及图纸等章节内容一起阅读和理解。</w:t>
      </w:r>
    </w:p>
    <w:p>
      <w:pPr>
        <w:spacing w:line="480" w:lineRule="exact"/>
        <w:ind w:left="1" w:firstLine="420" w:firstLineChars="200"/>
        <w:rPr>
          <w:rFonts w:ascii="宋体" w:hAnsi="宋体"/>
          <w:szCs w:val="21"/>
        </w:rPr>
      </w:pPr>
      <w:r>
        <w:rPr>
          <w:rFonts w:hint="eastAsia" w:ascii="宋体" w:hAnsi="宋体"/>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80" w:lineRule="exact"/>
        <w:ind w:left="1" w:firstLine="420" w:firstLineChars="200"/>
        <w:rPr>
          <w:rFonts w:ascii="宋体" w:hAnsi="宋体"/>
          <w:szCs w:val="21"/>
          <w:u w:val="single"/>
        </w:rPr>
      </w:pPr>
      <w:r>
        <w:rPr>
          <w:rFonts w:hint="eastAsia" w:ascii="宋体" w:hAnsi="宋体"/>
          <w:szCs w:val="21"/>
        </w:rPr>
        <w:t>1.4补充子目的子目特征、计量单位、工程量计算规则及工作内容说明如下：</w:t>
      </w:r>
      <w:r>
        <w:rPr>
          <w:rFonts w:hint="eastAsia" w:ascii="宋体" w:hAnsi="宋体"/>
          <w:szCs w:val="21"/>
          <w:u w:val="single"/>
        </w:rPr>
        <w:t>本工程使用《建设工程工程量清单计价规范》（GB50500-2013）</w:t>
      </w:r>
    </w:p>
    <w:p>
      <w:pPr>
        <w:spacing w:line="480" w:lineRule="exact"/>
        <w:ind w:left="1" w:firstLine="420" w:firstLineChars="200"/>
        <w:rPr>
          <w:rFonts w:ascii="宋体" w:hAnsi="宋体"/>
          <w:szCs w:val="21"/>
        </w:rPr>
      </w:pPr>
      <w:r>
        <w:rPr>
          <w:rFonts w:hint="eastAsia" w:ascii="宋体" w:hAnsi="宋体"/>
          <w:szCs w:val="21"/>
        </w:rPr>
        <w:t>1.5 本条第1.1款中约定的计量和计价规则适用于合同履约过程中工程量计量与价款支付、工程变更、索赔和工程结算。</w:t>
      </w:r>
    </w:p>
    <w:p>
      <w:pPr>
        <w:spacing w:line="480" w:lineRule="exact"/>
        <w:ind w:left="1" w:firstLine="420" w:firstLineChars="200"/>
        <w:rPr>
          <w:rFonts w:ascii="宋体" w:hAnsi="宋体"/>
          <w:szCs w:val="21"/>
        </w:rPr>
      </w:pPr>
      <w:r>
        <w:rPr>
          <w:rFonts w:hint="eastAsia" w:ascii="宋体" w:hAnsi="宋体"/>
          <w:szCs w:val="21"/>
        </w:rPr>
        <w:t>1.6 本条与下述第2条和第3条的说明内容是构成合同文件的已标价工程量清单的组成部分。</w:t>
      </w:r>
    </w:p>
    <w:p>
      <w:pPr>
        <w:spacing w:line="480" w:lineRule="exact"/>
        <w:rPr>
          <w:rFonts w:ascii="宋体" w:hAnsi="宋体"/>
          <w:b/>
          <w:szCs w:val="21"/>
        </w:rPr>
      </w:pPr>
      <w:r>
        <w:rPr>
          <w:rFonts w:hint="eastAsia" w:ascii="宋体" w:hAnsi="宋体"/>
          <w:b/>
          <w:szCs w:val="21"/>
        </w:rPr>
        <w:t>2、投标报价说明</w:t>
      </w:r>
    </w:p>
    <w:p>
      <w:pPr>
        <w:spacing w:line="480" w:lineRule="exact"/>
        <w:ind w:left="1" w:firstLine="420" w:firstLineChars="200"/>
        <w:rPr>
          <w:rFonts w:ascii="宋体" w:hAnsi="宋体"/>
          <w:szCs w:val="21"/>
        </w:rPr>
      </w:pPr>
      <w:r>
        <w:rPr>
          <w:rFonts w:hint="eastAsia" w:ascii="宋体" w:hAnsi="宋体"/>
          <w:szCs w:val="21"/>
        </w:rPr>
        <w:t>2.1 投标报价应根据招标文件中的有关计价要求，并按照下列依据自主报价。</w:t>
      </w:r>
    </w:p>
    <w:p>
      <w:pPr>
        <w:spacing w:line="480" w:lineRule="exact"/>
        <w:ind w:left="1" w:firstLine="420" w:firstLineChars="200"/>
        <w:rPr>
          <w:rFonts w:ascii="宋体" w:hAnsi="宋体"/>
          <w:szCs w:val="21"/>
        </w:rPr>
      </w:pPr>
      <w:r>
        <w:rPr>
          <w:rFonts w:hint="eastAsia" w:ascii="宋体" w:hAnsi="宋体"/>
          <w:szCs w:val="21"/>
        </w:rPr>
        <w:t>(1)本招标文件；</w:t>
      </w:r>
    </w:p>
    <w:p>
      <w:pPr>
        <w:spacing w:line="480" w:lineRule="exact"/>
        <w:ind w:left="1" w:firstLine="420" w:firstLineChars="200"/>
        <w:rPr>
          <w:rFonts w:ascii="宋体" w:hAnsi="宋体"/>
          <w:b/>
          <w:szCs w:val="21"/>
        </w:rPr>
      </w:pPr>
      <w:r>
        <w:rPr>
          <w:rFonts w:hint="eastAsia" w:ascii="宋体" w:hAnsi="宋体"/>
          <w:szCs w:val="21"/>
        </w:rPr>
        <w:t>(2)</w:t>
      </w:r>
      <w:r>
        <w:rPr>
          <w:rFonts w:hint="eastAsia" w:ascii="宋体" w:hAnsi="宋体"/>
          <w:b/>
          <w:szCs w:val="21"/>
        </w:rPr>
        <w:t>《建设工程工程量清单计价规范（GB50500-2013）》、《河南省市政工程预算定额（HAAI-31-2016）》、《河南省房屋建筑与装饰工程预算定额（HA01-31-2016）》、《河南省通用安装工程预算定额（HA02-31-2016）》；</w:t>
      </w:r>
    </w:p>
    <w:p>
      <w:pPr>
        <w:spacing w:line="480" w:lineRule="exact"/>
        <w:ind w:left="1" w:firstLine="420" w:firstLineChars="200"/>
        <w:rPr>
          <w:rFonts w:ascii="宋体" w:hAnsi="宋体"/>
          <w:szCs w:val="21"/>
        </w:rPr>
      </w:pPr>
      <w:r>
        <w:rPr>
          <w:rFonts w:hint="eastAsia" w:ascii="宋体" w:hAnsi="宋体"/>
          <w:szCs w:val="21"/>
        </w:rPr>
        <w:t>(3)国家或省级、行业建设主管部门颁发的计价办法；</w:t>
      </w:r>
    </w:p>
    <w:p>
      <w:pPr>
        <w:spacing w:line="480" w:lineRule="exact"/>
        <w:ind w:left="1" w:firstLine="420" w:firstLineChars="200"/>
        <w:rPr>
          <w:rFonts w:ascii="宋体" w:hAnsi="宋体"/>
          <w:szCs w:val="21"/>
        </w:rPr>
      </w:pPr>
      <w:r>
        <w:rPr>
          <w:rFonts w:hint="eastAsia" w:ascii="宋体" w:hAnsi="宋体"/>
          <w:szCs w:val="21"/>
        </w:rPr>
        <w:t>(4)招标文件(包括工程量清单)的澄清、补充和修改文件；</w:t>
      </w:r>
    </w:p>
    <w:p>
      <w:pPr>
        <w:spacing w:line="480" w:lineRule="exact"/>
        <w:ind w:left="1" w:firstLine="420" w:firstLineChars="200"/>
        <w:rPr>
          <w:rFonts w:ascii="宋体" w:hAnsi="宋体"/>
          <w:szCs w:val="21"/>
        </w:rPr>
      </w:pPr>
      <w:r>
        <w:rPr>
          <w:rFonts w:hint="eastAsia" w:ascii="宋体" w:hAnsi="宋体"/>
          <w:szCs w:val="21"/>
        </w:rPr>
        <w:t>(5)建设工程设计文件及相关资料；</w:t>
      </w:r>
    </w:p>
    <w:p>
      <w:pPr>
        <w:spacing w:line="480" w:lineRule="exact"/>
        <w:ind w:left="1" w:firstLine="420" w:firstLineChars="200"/>
        <w:rPr>
          <w:rFonts w:ascii="宋体" w:hAnsi="宋体"/>
          <w:szCs w:val="21"/>
        </w:rPr>
      </w:pPr>
      <w:r>
        <w:rPr>
          <w:rFonts w:hint="eastAsia" w:ascii="宋体" w:hAnsi="宋体"/>
          <w:szCs w:val="21"/>
        </w:rPr>
        <w:t>(6)施工现场情况、工程特点及拟定的投标施工组织设计或施工方案；</w:t>
      </w:r>
    </w:p>
    <w:p>
      <w:pPr>
        <w:spacing w:line="480" w:lineRule="exact"/>
        <w:ind w:left="1" w:firstLine="420" w:firstLineChars="200"/>
        <w:rPr>
          <w:rFonts w:ascii="宋体" w:hAnsi="宋体"/>
          <w:szCs w:val="21"/>
        </w:rPr>
      </w:pPr>
      <w:r>
        <w:rPr>
          <w:rFonts w:hint="eastAsia" w:ascii="宋体" w:hAnsi="宋体"/>
          <w:szCs w:val="21"/>
        </w:rPr>
        <w:t>(7)与建设项目相关的标准、规定等技术资料；</w:t>
      </w:r>
    </w:p>
    <w:p>
      <w:pPr>
        <w:spacing w:line="480" w:lineRule="exact"/>
        <w:ind w:left="1" w:firstLine="420" w:firstLineChars="200"/>
        <w:rPr>
          <w:rFonts w:ascii="宋体" w:hAnsi="宋体"/>
          <w:szCs w:val="21"/>
        </w:rPr>
      </w:pPr>
      <w:r>
        <w:rPr>
          <w:rFonts w:hint="eastAsia" w:ascii="宋体" w:hAnsi="宋体"/>
          <w:szCs w:val="21"/>
        </w:rPr>
        <w:t>（8）</w:t>
      </w:r>
      <w:r>
        <w:rPr>
          <w:rFonts w:hint="eastAsia" w:ascii="宋体" w:hAnsi="宋体"/>
          <w:b/>
          <w:szCs w:val="21"/>
        </w:rPr>
        <w:t>人工费按河南省定额站发布的2019年1-6月价格指数调整；</w:t>
      </w:r>
    </w:p>
    <w:p>
      <w:pPr>
        <w:spacing w:line="480" w:lineRule="exact"/>
        <w:ind w:left="1" w:firstLine="420" w:firstLineChars="200"/>
        <w:rPr>
          <w:rFonts w:ascii="宋体" w:hAnsi="宋体"/>
          <w:szCs w:val="21"/>
        </w:rPr>
      </w:pPr>
      <w:r>
        <w:rPr>
          <w:rFonts w:hint="eastAsia" w:ascii="宋体" w:hAnsi="宋体"/>
          <w:szCs w:val="21"/>
        </w:rPr>
        <w:t>（9）</w:t>
      </w:r>
      <w:r>
        <w:rPr>
          <w:rFonts w:hint="eastAsia" w:ascii="宋体" w:hAnsi="宋体"/>
          <w:b/>
          <w:szCs w:val="21"/>
        </w:rPr>
        <w:t>安全文明施工费及规费足额计取；</w:t>
      </w:r>
    </w:p>
    <w:p>
      <w:pPr>
        <w:spacing w:line="480" w:lineRule="exact"/>
        <w:ind w:left="1" w:firstLine="420" w:firstLineChars="200"/>
        <w:rPr>
          <w:rFonts w:ascii="宋体" w:hAnsi="宋体"/>
          <w:szCs w:val="21"/>
        </w:rPr>
      </w:pPr>
      <w:r>
        <w:rPr>
          <w:rFonts w:hint="eastAsia" w:ascii="宋体" w:hAnsi="宋体"/>
          <w:szCs w:val="21"/>
        </w:rPr>
        <w:t>（10）</w:t>
      </w:r>
      <w:r>
        <w:rPr>
          <w:rFonts w:hint="eastAsia" w:ascii="宋体" w:hAnsi="宋体"/>
          <w:b/>
          <w:szCs w:val="21"/>
        </w:rPr>
        <w:t>税金按增值税税率9%考虑；</w:t>
      </w:r>
    </w:p>
    <w:p>
      <w:pPr>
        <w:spacing w:line="480" w:lineRule="exact"/>
        <w:ind w:left="1" w:firstLine="420" w:firstLineChars="200"/>
        <w:rPr>
          <w:rFonts w:ascii="宋体" w:hAnsi="宋体"/>
          <w:szCs w:val="21"/>
        </w:rPr>
      </w:pPr>
      <w:r>
        <w:rPr>
          <w:rFonts w:hint="eastAsia" w:ascii="宋体" w:hAnsi="宋体"/>
          <w:szCs w:val="21"/>
        </w:rPr>
        <w:t>（11）</w:t>
      </w:r>
      <w:r>
        <w:rPr>
          <w:rFonts w:hint="eastAsia" w:ascii="宋体" w:hAnsi="宋体"/>
          <w:b/>
          <w:szCs w:val="21"/>
        </w:rPr>
        <w:t>材料价格采用许昌市建筑工程标准定额站发布《许昌工程造价信息》2019年09月信息价，信息价没有的采用市场询价；</w:t>
      </w:r>
    </w:p>
    <w:p>
      <w:pPr>
        <w:spacing w:line="480" w:lineRule="exact"/>
        <w:ind w:left="1" w:firstLine="420" w:firstLineChars="200"/>
        <w:rPr>
          <w:rFonts w:ascii="宋体" w:hAnsi="宋体"/>
          <w:szCs w:val="21"/>
        </w:rPr>
      </w:pPr>
      <w:r>
        <w:rPr>
          <w:rFonts w:hint="eastAsia" w:ascii="宋体" w:hAnsi="宋体"/>
          <w:szCs w:val="21"/>
        </w:rPr>
        <w:t>（12）其他的相关资料：</w:t>
      </w:r>
    </w:p>
    <w:p>
      <w:pPr>
        <w:autoSpaceDE w:val="0"/>
        <w:autoSpaceDN w:val="0"/>
        <w:spacing w:line="480" w:lineRule="exact"/>
        <w:ind w:firstLine="420" w:firstLineChars="200"/>
        <w:jc w:val="left"/>
        <w:rPr>
          <w:rFonts w:ascii="宋体" w:hAnsi="宋体"/>
          <w:szCs w:val="21"/>
        </w:rPr>
      </w:pPr>
      <w:r>
        <w:rPr>
          <w:rFonts w:hint="eastAsia" w:ascii="宋体" w:hAnsi="宋体"/>
          <w:szCs w:val="21"/>
        </w:rPr>
        <w:t>2.2 工程量清单中的每一子目须填入单价或价格，且只允许有一个报价。</w:t>
      </w:r>
    </w:p>
    <w:p>
      <w:pPr>
        <w:spacing w:line="480" w:lineRule="exact"/>
        <w:ind w:left="1" w:firstLine="420" w:firstLineChars="200"/>
        <w:rPr>
          <w:rFonts w:ascii="宋体" w:hAnsi="宋体"/>
          <w:szCs w:val="21"/>
        </w:rPr>
      </w:pPr>
      <w:r>
        <w:rPr>
          <w:rFonts w:hint="eastAsia" w:ascii="宋体" w:hAnsi="宋体"/>
          <w:szCs w:val="21"/>
        </w:rPr>
        <w:t>2.3 工程量清单中标价的单价或金额，应包括所需人工费、材料费、施工机械使用费和管理费及利润，以及一定范围内的风险费用。所谓“一定范围内的风险”是指合同约定的风险。</w:t>
      </w:r>
    </w:p>
    <w:p>
      <w:pPr>
        <w:spacing w:line="480" w:lineRule="exact"/>
        <w:ind w:left="1" w:firstLine="420" w:firstLineChars="200"/>
        <w:rPr>
          <w:rFonts w:ascii="宋体" w:hAnsi="宋体"/>
          <w:szCs w:val="21"/>
        </w:rPr>
      </w:pPr>
      <w:r>
        <w:rPr>
          <w:rFonts w:hint="eastAsia" w:ascii="宋体" w:hAnsi="宋体"/>
          <w:szCs w:val="21"/>
        </w:rPr>
        <w:t>2.4 已标价工程量清单中投标人没有填入单价或价格的子目，其费用视为已分摊在工程量清单中其他已标价的相关子目的单价或价格之中。</w:t>
      </w:r>
    </w:p>
    <w:p>
      <w:pPr>
        <w:spacing w:line="480" w:lineRule="exact"/>
        <w:ind w:left="1" w:firstLine="420" w:firstLineChars="200"/>
        <w:rPr>
          <w:rFonts w:ascii="宋体" w:hAnsi="宋体"/>
          <w:szCs w:val="21"/>
        </w:rPr>
      </w:pPr>
      <w:r>
        <w:rPr>
          <w:rFonts w:hint="eastAsia" w:ascii="宋体" w:hAnsi="宋体"/>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80" w:lineRule="exact"/>
        <w:ind w:left="1" w:firstLine="420" w:firstLineChars="200"/>
        <w:rPr>
          <w:rFonts w:ascii="宋体" w:hAnsi="宋体"/>
          <w:szCs w:val="21"/>
        </w:rPr>
      </w:pPr>
      <w:r>
        <w:rPr>
          <w:rFonts w:hint="eastAsia" w:ascii="宋体" w:hAnsi="宋体"/>
          <w:szCs w:val="21"/>
        </w:rPr>
        <w:t xml:space="preserve">2.6 </w:t>
      </w:r>
      <w:r>
        <w:rPr>
          <w:rFonts w:hint="eastAsia" w:ascii="宋体" w:hAnsi="宋体"/>
          <w:b/>
          <w:szCs w:val="21"/>
        </w:rPr>
        <w:t xml:space="preserve"> 有关投标报价的其他说明：</w:t>
      </w:r>
    </w:p>
    <w:p>
      <w:pPr>
        <w:tabs>
          <w:tab w:val="left" w:pos="1260"/>
        </w:tabs>
        <w:autoSpaceDE w:val="0"/>
        <w:autoSpaceDN w:val="0"/>
        <w:adjustRightInd w:val="0"/>
        <w:spacing w:line="480" w:lineRule="exact"/>
        <w:ind w:firstLine="422" w:firstLineChars="200"/>
        <w:jc w:val="left"/>
        <w:rPr>
          <w:rFonts w:ascii="宋体" w:hAnsi="宋体" w:cs="宋体"/>
          <w:b/>
          <w:szCs w:val="21"/>
        </w:rPr>
      </w:pPr>
      <w:r>
        <w:rPr>
          <w:rFonts w:hint="eastAsia" w:ascii="宋体" w:hAnsi="宋体" w:cs="宋体"/>
          <w:b/>
          <w:szCs w:val="21"/>
        </w:rPr>
        <w:t>2.6.1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80" w:lineRule="exact"/>
        <w:ind w:firstLine="422" w:firstLineChars="200"/>
        <w:jc w:val="left"/>
        <w:rPr>
          <w:rFonts w:ascii="宋体" w:hAnsi="宋体" w:cs="宋体"/>
          <w:b/>
          <w:szCs w:val="21"/>
        </w:rPr>
      </w:pPr>
      <w:r>
        <w:rPr>
          <w:rFonts w:hint="eastAsia" w:ascii="宋体" w:hAnsi="宋体" w:cs="宋体"/>
          <w:b/>
          <w:szCs w:val="21"/>
        </w:rPr>
        <w:t>2.6.2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80" w:lineRule="exact"/>
        <w:ind w:firstLine="481"/>
        <w:jc w:val="left"/>
        <w:rPr>
          <w:rFonts w:ascii="宋体" w:hAnsi="宋体" w:cs="宋体"/>
          <w:b/>
          <w:szCs w:val="21"/>
        </w:rPr>
      </w:pPr>
      <w:r>
        <w:rPr>
          <w:rFonts w:hint="eastAsia" w:ascii="宋体" w:hAnsi="宋体" w:cs="宋体"/>
          <w:b/>
          <w:szCs w:val="21"/>
        </w:rPr>
        <w:t>2.6.3投标人编制投标报价时，同一投标文件综合工日应前后保持一致。</w:t>
      </w:r>
    </w:p>
    <w:p>
      <w:pPr>
        <w:spacing w:line="480" w:lineRule="exact"/>
        <w:ind w:firstLine="481"/>
        <w:rPr>
          <w:rFonts w:ascii="宋体" w:hAnsi="宋体"/>
          <w:b/>
          <w:szCs w:val="21"/>
        </w:rPr>
      </w:pPr>
      <w:r>
        <w:rPr>
          <w:rFonts w:hint="eastAsia" w:ascii="宋体" w:hAnsi="宋体"/>
          <w:b/>
          <w:szCs w:val="21"/>
        </w:rPr>
        <w:t>3、其他说明</w:t>
      </w:r>
    </w:p>
    <w:p>
      <w:pPr>
        <w:spacing w:line="480" w:lineRule="exact"/>
        <w:ind w:left="1" w:firstLine="420" w:firstLineChars="200"/>
        <w:rPr>
          <w:rFonts w:ascii="宋体" w:hAnsi="宋体"/>
          <w:szCs w:val="21"/>
        </w:rPr>
      </w:pPr>
      <w:r>
        <w:rPr>
          <w:rFonts w:hint="eastAsia" w:ascii="宋体" w:hAnsi="宋体"/>
          <w:szCs w:val="21"/>
        </w:rPr>
        <w:t>3.1词语和定义</w:t>
      </w:r>
    </w:p>
    <w:p>
      <w:pPr>
        <w:spacing w:line="480" w:lineRule="exact"/>
        <w:ind w:left="1" w:firstLine="420" w:firstLineChars="200"/>
        <w:rPr>
          <w:rFonts w:ascii="宋体" w:hAnsi="宋体"/>
          <w:szCs w:val="21"/>
        </w:rPr>
      </w:pPr>
      <w:r>
        <w:rPr>
          <w:rFonts w:hint="eastAsia" w:ascii="宋体" w:hAnsi="宋体"/>
          <w:szCs w:val="21"/>
        </w:rPr>
        <w:t>3.1.1 工程量清单</w:t>
      </w:r>
    </w:p>
    <w:p>
      <w:pPr>
        <w:spacing w:line="480" w:lineRule="exact"/>
        <w:ind w:left="1" w:firstLine="420" w:firstLineChars="200"/>
        <w:rPr>
          <w:rFonts w:ascii="宋体" w:hAnsi="宋体"/>
          <w:szCs w:val="21"/>
        </w:rPr>
      </w:pPr>
      <w:r>
        <w:rPr>
          <w:rFonts w:hint="eastAsia" w:ascii="宋体" w:hAnsi="宋体"/>
          <w:szCs w:val="21"/>
        </w:rPr>
        <w:t>是表现本工程分部分项工程项目、措施项目、其他项目、规费项目和税金的名称和相应数量等的明细清单。</w:t>
      </w:r>
    </w:p>
    <w:p>
      <w:pPr>
        <w:spacing w:line="480" w:lineRule="exact"/>
        <w:ind w:left="1" w:firstLine="420" w:firstLineChars="200"/>
        <w:rPr>
          <w:rFonts w:ascii="宋体" w:hAnsi="宋体"/>
          <w:szCs w:val="21"/>
        </w:rPr>
      </w:pPr>
      <w:r>
        <w:rPr>
          <w:rFonts w:hint="eastAsia" w:ascii="宋体" w:hAnsi="宋体"/>
          <w:szCs w:val="21"/>
        </w:rPr>
        <w:t>3.1.2 总价子目</w:t>
      </w:r>
    </w:p>
    <w:p>
      <w:pPr>
        <w:spacing w:line="480" w:lineRule="exact"/>
        <w:ind w:left="1" w:firstLine="420" w:firstLineChars="200"/>
        <w:rPr>
          <w:rFonts w:ascii="宋体" w:hAnsi="宋体"/>
          <w:szCs w:val="21"/>
        </w:rPr>
      </w:pPr>
      <w:r>
        <w:rPr>
          <w:rFonts w:hint="eastAsia" w:ascii="宋体" w:hAnsi="宋体"/>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80" w:lineRule="exact"/>
        <w:ind w:left="1" w:firstLine="420" w:firstLineChars="200"/>
        <w:rPr>
          <w:rFonts w:ascii="宋体" w:hAnsi="宋体"/>
          <w:szCs w:val="21"/>
        </w:rPr>
      </w:pPr>
      <w:r>
        <w:rPr>
          <w:rFonts w:hint="eastAsia" w:ascii="宋体" w:hAnsi="宋体"/>
          <w:szCs w:val="21"/>
        </w:rPr>
        <w:t>3.1.3 单价子目</w:t>
      </w:r>
    </w:p>
    <w:p>
      <w:pPr>
        <w:spacing w:line="480" w:lineRule="exact"/>
        <w:ind w:left="1" w:firstLine="420" w:firstLineChars="200"/>
        <w:rPr>
          <w:rFonts w:ascii="宋体" w:hAnsi="宋体"/>
          <w:szCs w:val="21"/>
        </w:rPr>
      </w:pPr>
      <w:r>
        <w:rPr>
          <w:rFonts w:hint="eastAsia" w:ascii="宋体" w:hAnsi="宋体"/>
          <w:szCs w:val="21"/>
        </w:rPr>
        <w:t>工程量清单中以单价计价，根据有合同约束力的图纸和工程量计算规则进行计量，以实际完成数量乘以相应单价进行结算的子目。</w:t>
      </w:r>
    </w:p>
    <w:p>
      <w:pPr>
        <w:spacing w:line="480" w:lineRule="exact"/>
        <w:ind w:left="1" w:firstLine="420" w:firstLineChars="200"/>
        <w:rPr>
          <w:rFonts w:ascii="宋体" w:hAnsi="宋体"/>
          <w:szCs w:val="21"/>
        </w:rPr>
      </w:pPr>
      <w:r>
        <w:rPr>
          <w:rFonts w:hint="eastAsia" w:ascii="宋体" w:hAnsi="宋体"/>
          <w:szCs w:val="21"/>
        </w:rPr>
        <w:t>3.1.4 子目编码</w:t>
      </w:r>
    </w:p>
    <w:p>
      <w:pPr>
        <w:spacing w:line="480" w:lineRule="exact"/>
        <w:ind w:left="1" w:firstLine="420" w:firstLineChars="200"/>
        <w:rPr>
          <w:rFonts w:ascii="宋体" w:hAnsi="宋体"/>
          <w:szCs w:val="21"/>
        </w:rPr>
      </w:pPr>
      <w:r>
        <w:rPr>
          <w:rFonts w:hint="eastAsia" w:ascii="宋体" w:hAnsi="宋体"/>
          <w:szCs w:val="21"/>
        </w:rPr>
        <w:t>分部分项工程项目清单中所列的子目名称的数字标识和代码，子目编码与项目编码同义。</w:t>
      </w:r>
    </w:p>
    <w:p>
      <w:pPr>
        <w:spacing w:line="480" w:lineRule="exact"/>
        <w:ind w:left="1" w:firstLine="420" w:firstLineChars="200"/>
        <w:rPr>
          <w:rFonts w:ascii="宋体" w:hAnsi="宋体"/>
          <w:szCs w:val="21"/>
        </w:rPr>
      </w:pPr>
      <w:r>
        <w:rPr>
          <w:rFonts w:hint="eastAsia" w:ascii="宋体" w:hAnsi="宋体"/>
          <w:szCs w:val="21"/>
        </w:rPr>
        <w:t>3.1.5 子目特征</w:t>
      </w:r>
    </w:p>
    <w:p>
      <w:pPr>
        <w:spacing w:line="480" w:lineRule="exact"/>
        <w:ind w:left="1" w:firstLine="420" w:firstLineChars="200"/>
        <w:rPr>
          <w:rFonts w:ascii="宋体" w:hAnsi="宋体"/>
          <w:szCs w:val="21"/>
        </w:rPr>
      </w:pPr>
      <w:r>
        <w:rPr>
          <w:rFonts w:hint="eastAsia" w:ascii="宋体" w:hAnsi="宋体"/>
          <w:szCs w:val="21"/>
        </w:rPr>
        <w:t>构成分部分项工程项目清单子目、措施项目的实质内容、决定其自身价值的本质特征，子目特征与项目特征同义。</w:t>
      </w:r>
    </w:p>
    <w:p>
      <w:pPr>
        <w:spacing w:line="480" w:lineRule="exact"/>
        <w:ind w:left="1" w:firstLine="420" w:firstLineChars="200"/>
        <w:rPr>
          <w:rFonts w:ascii="宋体" w:hAnsi="宋体"/>
          <w:szCs w:val="21"/>
        </w:rPr>
      </w:pPr>
      <w:r>
        <w:rPr>
          <w:rFonts w:hint="eastAsia" w:ascii="宋体" w:hAnsi="宋体"/>
          <w:szCs w:val="21"/>
        </w:rPr>
        <w:t>3.1.6 规费</w:t>
      </w:r>
    </w:p>
    <w:p>
      <w:pPr>
        <w:spacing w:line="480" w:lineRule="exact"/>
        <w:ind w:left="1" w:firstLine="420" w:firstLineChars="200"/>
        <w:rPr>
          <w:rFonts w:ascii="宋体" w:hAnsi="宋体"/>
          <w:szCs w:val="21"/>
        </w:rPr>
      </w:pPr>
      <w:r>
        <w:rPr>
          <w:rFonts w:hint="eastAsia" w:ascii="宋体" w:hAnsi="宋体"/>
          <w:szCs w:val="21"/>
        </w:rPr>
        <w:t>承包人根据省级政府或省级有关权力部门规定必须缴纳的，应计入建筑安装工程造价的费用。</w:t>
      </w:r>
    </w:p>
    <w:p>
      <w:pPr>
        <w:spacing w:line="480" w:lineRule="exact"/>
        <w:ind w:left="1" w:firstLine="420" w:firstLineChars="200"/>
        <w:rPr>
          <w:rFonts w:ascii="宋体" w:hAnsi="宋体"/>
          <w:szCs w:val="21"/>
        </w:rPr>
      </w:pPr>
      <w:r>
        <w:rPr>
          <w:rFonts w:hint="eastAsia" w:ascii="宋体" w:hAnsi="宋体"/>
          <w:szCs w:val="21"/>
        </w:rPr>
        <w:t>3.1.7 税金</w:t>
      </w:r>
    </w:p>
    <w:p>
      <w:pPr>
        <w:spacing w:line="480" w:lineRule="exact"/>
        <w:ind w:left="1" w:firstLine="420" w:firstLineChars="200"/>
        <w:rPr>
          <w:rFonts w:ascii="宋体" w:hAnsi="宋体"/>
          <w:szCs w:val="21"/>
        </w:rPr>
      </w:pPr>
      <w:r>
        <w:rPr>
          <w:rFonts w:hint="eastAsia" w:ascii="宋体" w:hAnsi="宋体"/>
          <w:szCs w:val="21"/>
        </w:rPr>
        <w:t>国家税法规定的应计入建筑安装工程造价内的营业税、城市维护建设税及教育费附加等。</w:t>
      </w:r>
    </w:p>
    <w:p>
      <w:pPr>
        <w:spacing w:line="480" w:lineRule="exact"/>
        <w:ind w:left="1" w:firstLine="420" w:firstLineChars="200"/>
        <w:rPr>
          <w:rFonts w:ascii="宋体" w:hAnsi="宋体"/>
          <w:szCs w:val="21"/>
        </w:rPr>
      </w:pPr>
      <w:r>
        <w:rPr>
          <w:rFonts w:hint="eastAsia" w:ascii="宋体" w:hAnsi="宋体"/>
          <w:szCs w:val="21"/>
        </w:rPr>
        <w:t>3.1.8 总承包服务费</w:t>
      </w:r>
    </w:p>
    <w:p>
      <w:pPr>
        <w:spacing w:line="480" w:lineRule="exact"/>
        <w:ind w:left="1" w:firstLine="420" w:firstLineChars="200"/>
        <w:rPr>
          <w:rFonts w:ascii="宋体" w:hAnsi="宋体"/>
          <w:szCs w:val="21"/>
        </w:rPr>
      </w:pPr>
      <w:r>
        <w:rPr>
          <w:rFonts w:hint="eastAsia" w:ascii="宋体" w:hAnsi="宋体"/>
          <w:szCs w:val="21"/>
        </w:rPr>
        <w:t>总承包人为配合协调发包人发包的专业工程以及发包人采购的材料和工程设备等进行管理、服务以及施工现场管理、竣工资料汇总整理等所需的费用。</w:t>
      </w:r>
    </w:p>
    <w:p>
      <w:pPr>
        <w:spacing w:line="480" w:lineRule="exact"/>
        <w:ind w:left="1" w:firstLine="420" w:firstLineChars="200"/>
        <w:rPr>
          <w:rFonts w:ascii="宋体" w:hAnsi="宋体"/>
          <w:szCs w:val="21"/>
        </w:rPr>
      </w:pPr>
      <w:r>
        <w:rPr>
          <w:rFonts w:hint="eastAsia" w:ascii="宋体" w:hAnsi="宋体"/>
          <w:szCs w:val="21"/>
        </w:rPr>
        <w:t>3.1.9 同义词语</w:t>
      </w:r>
    </w:p>
    <w:p>
      <w:pPr>
        <w:spacing w:line="480" w:lineRule="exact"/>
        <w:ind w:left="1" w:firstLine="420" w:firstLineChars="200"/>
        <w:rPr>
          <w:rFonts w:ascii="宋体" w:hAnsi="宋体"/>
          <w:szCs w:val="21"/>
        </w:rPr>
      </w:pPr>
      <w:r>
        <w:rPr>
          <w:rFonts w:hint="eastAsia" w:ascii="宋体" w:hAnsi="宋体"/>
          <w:szCs w:val="21"/>
        </w:rPr>
        <w:t>本章中使用的词语“招标人”和“投标人”分别与合同条款中定义的“发包人”和“承包人”同义；就工程量清单而言，“子目”与“项目”同义。</w:t>
      </w:r>
    </w:p>
    <w:p>
      <w:pPr>
        <w:spacing w:line="480" w:lineRule="exact"/>
        <w:ind w:left="1" w:firstLine="420" w:firstLineChars="200"/>
        <w:rPr>
          <w:rFonts w:ascii="宋体" w:hAnsi="宋体"/>
          <w:b/>
          <w:szCs w:val="21"/>
        </w:rPr>
      </w:pPr>
      <w:r>
        <w:rPr>
          <w:rFonts w:hint="eastAsia" w:ascii="宋体" w:hAnsi="宋体"/>
          <w:szCs w:val="21"/>
        </w:rPr>
        <w:t>3.2工程量差异调整</w:t>
      </w:r>
    </w:p>
    <w:p>
      <w:pPr>
        <w:spacing w:line="480" w:lineRule="exact"/>
        <w:ind w:left="1" w:firstLine="420" w:firstLineChars="200"/>
        <w:rPr>
          <w:rFonts w:ascii="宋体" w:hAnsi="宋体"/>
          <w:szCs w:val="21"/>
        </w:rPr>
      </w:pPr>
      <w:r>
        <w:rPr>
          <w:rFonts w:hint="eastAsia" w:ascii="宋体" w:hAnsi="宋体"/>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480" w:lineRule="exact"/>
        <w:ind w:left="1" w:firstLine="420" w:firstLineChars="200"/>
        <w:rPr>
          <w:rFonts w:ascii="宋体" w:hAnsi="宋体"/>
          <w:szCs w:val="21"/>
        </w:rPr>
      </w:pPr>
      <w:r>
        <w:rPr>
          <w:rFonts w:hint="eastAsia" w:ascii="宋体" w:hAnsi="宋体"/>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80" w:lineRule="exact"/>
        <w:ind w:left="1" w:firstLine="420" w:firstLineChars="200"/>
        <w:rPr>
          <w:rFonts w:ascii="宋体" w:hAnsi="宋体"/>
          <w:szCs w:val="21"/>
        </w:rPr>
      </w:pPr>
      <w:r>
        <w:rPr>
          <w:rFonts w:hint="eastAsia" w:ascii="宋体" w:hAnsi="宋体"/>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80" w:lineRule="exact"/>
        <w:ind w:left="1" w:firstLine="420" w:firstLineChars="200"/>
        <w:rPr>
          <w:rFonts w:ascii="宋体" w:hAnsi="宋体"/>
          <w:szCs w:val="21"/>
        </w:rPr>
      </w:pPr>
      <w:r>
        <w:rPr>
          <w:rFonts w:hint="eastAsia" w:ascii="宋体" w:hAnsi="宋体"/>
          <w:szCs w:val="21"/>
        </w:rPr>
        <w:t>3.3暂列金额和暂估价</w:t>
      </w:r>
    </w:p>
    <w:p>
      <w:pPr>
        <w:spacing w:line="480" w:lineRule="exact"/>
        <w:ind w:left="1" w:firstLine="420" w:firstLineChars="200"/>
        <w:rPr>
          <w:rFonts w:ascii="宋体" w:hAnsi="宋体"/>
          <w:szCs w:val="21"/>
        </w:rPr>
      </w:pPr>
      <w:r>
        <w:rPr>
          <w:rFonts w:hint="eastAsia" w:ascii="宋体" w:hAnsi="宋体"/>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80" w:lineRule="exact"/>
        <w:ind w:left="1" w:firstLine="420" w:firstLineChars="200"/>
        <w:rPr>
          <w:rFonts w:ascii="宋体" w:hAnsi="宋体"/>
          <w:szCs w:val="21"/>
        </w:rPr>
      </w:pPr>
      <w:r>
        <w:rPr>
          <w:rFonts w:hint="eastAsia" w:ascii="宋体" w:hAnsi="宋体"/>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80" w:lineRule="exact"/>
        <w:ind w:left="1" w:firstLine="420" w:firstLineChars="200"/>
        <w:rPr>
          <w:rFonts w:ascii="宋体" w:hAnsi="宋体"/>
          <w:szCs w:val="21"/>
        </w:rPr>
      </w:pPr>
      <w:r>
        <w:rPr>
          <w:rFonts w:hint="eastAsia" w:ascii="宋体" w:hAnsi="宋体"/>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80" w:lineRule="exact"/>
        <w:ind w:left="1" w:firstLine="420" w:firstLineChars="200"/>
        <w:rPr>
          <w:rFonts w:ascii="宋体" w:hAnsi="宋体"/>
          <w:szCs w:val="21"/>
        </w:rPr>
      </w:pPr>
      <w:r>
        <w:rPr>
          <w:rFonts w:hint="eastAsia" w:ascii="宋体" w:hAnsi="宋体"/>
          <w:szCs w:val="21"/>
        </w:rPr>
        <w:t>3.4其他补充说明</w:t>
      </w:r>
    </w:p>
    <w:p>
      <w:pPr>
        <w:spacing w:line="480" w:lineRule="exact"/>
        <w:ind w:firstLine="457" w:firstLineChars="218"/>
        <w:rPr>
          <w:rFonts w:ascii="宋体" w:hAnsi="宋体"/>
          <w:szCs w:val="21"/>
          <w:u w:val="single"/>
        </w:rPr>
      </w:pPr>
      <w:r>
        <w:rPr>
          <w:rFonts w:hint="eastAsia" w:ascii="宋体" w:hAnsi="宋体"/>
          <w:szCs w:val="21"/>
          <w:u w:val="single"/>
        </w:rPr>
        <w:t xml:space="preserve"> 本章内容如与最新规定或评标办法有不一致内容以最新规定及评标办法为准。</w:t>
      </w:r>
    </w:p>
    <w:p>
      <w:pPr>
        <w:spacing w:line="480" w:lineRule="exact"/>
        <w:rPr>
          <w:rFonts w:ascii="宋体" w:hAnsi="宋体"/>
          <w:b/>
          <w:szCs w:val="21"/>
        </w:rPr>
      </w:pPr>
      <w:r>
        <w:rPr>
          <w:rFonts w:hint="eastAsia" w:ascii="宋体" w:hAnsi="宋体"/>
          <w:b/>
          <w:szCs w:val="21"/>
        </w:rPr>
        <w:t>4．工程量清单</w:t>
      </w:r>
    </w:p>
    <w:p>
      <w:pPr>
        <w:spacing w:line="480" w:lineRule="exact"/>
        <w:ind w:firstLine="420" w:firstLineChars="200"/>
        <w:rPr>
          <w:rFonts w:ascii="宋体" w:hAnsi="宋体"/>
          <w:szCs w:val="21"/>
          <w:u w:val="single"/>
        </w:rPr>
      </w:pPr>
      <w:r>
        <w:rPr>
          <w:rFonts w:hint="eastAsia" w:ascii="宋体" w:hAnsi="宋体"/>
          <w:szCs w:val="21"/>
          <w:u w:val="single"/>
        </w:rPr>
        <w:t>工程量清单在【</w:t>
      </w:r>
      <w:r>
        <w:rPr>
          <w:rFonts w:hint="eastAsia" w:ascii="宋体" w:hAnsi="宋体"/>
          <w:bCs/>
          <w:szCs w:val="21"/>
          <w:u w:val="single"/>
        </w:rPr>
        <w:t>全国公共资源交易平台(河南省</w:t>
      </w:r>
      <w:r>
        <w:rPr>
          <w:rFonts w:hint="eastAsia" w:ascii="宋体" w:hAnsi="MS Mincho" w:eastAsia="MS Mincho" w:cs="MS Mincho"/>
          <w:bCs/>
          <w:szCs w:val="21"/>
          <w:u w:val="single"/>
        </w:rPr>
        <w:t>▪</w:t>
      </w:r>
      <w:r>
        <w:rPr>
          <w:rFonts w:hint="eastAsia" w:ascii="宋体" w:hAnsi="宋体" w:cs="MS Mincho"/>
          <w:bCs/>
          <w:szCs w:val="21"/>
          <w:u w:val="single"/>
        </w:rPr>
        <w:t>许昌市</w:t>
      </w:r>
      <w:r>
        <w:rPr>
          <w:rFonts w:hint="eastAsia" w:ascii="宋体" w:hAnsi="宋体"/>
          <w:bCs/>
          <w:szCs w:val="21"/>
          <w:u w:val="single"/>
        </w:rPr>
        <w:t>)</w:t>
      </w:r>
      <w:r>
        <w:rPr>
          <w:rFonts w:hint="eastAsia" w:ascii="宋体" w:hAnsi="宋体"/>
          <w:szCs w:val="21"/>
          <w:u w:val="single"/>
        </w:rPr>
        <w:t>】</w:t>
      </w:r>
      <w:r>
        <w:rPr>
          <w:rFonts w:hint="eastAsia" w:ascii="宋体" w:hAnsi="宋体" w:cs="MS Mincho"/>
          <w:bCs/>
          <w:szCs w:val="21"/>
        </w:rPr>
        <w:t>（</w:t>
      </w:r>
      <w:r>
        <w:fldChar w:fldCharType="begin"/>
      </w:r>
      <w:r>
        <w:instrText xml:space="preserve"> HYPERLINK "http://www.xczbtb.com/" </w:instrText>
      </w:r>
      <w:r>
        <w:fldChar w:fldCharType="separate"/>
      </w:r>
      <w:r>
        <w:rPr>
          <w:rStyle w:val="62"/>
          <w:rFonts w:ascii="宋体" w:hAnsi="宋体" w:cs="MS Mincho"/>
          <w:bCs/>
          <w:szCs w:val="21"/>
        </w:rPr>
        <w:t>http://www.xczbtb.com/</w:t>
      </w:r>
      <w:r>
        <w:rPr>
          <w:rStyle w:val="62"/>
          <w:rFonts w:ascii="宋体" w:hAnsi="宋体" w:cs="MS Mincho"/>
          <w:bCs/>
          <w:szCs w:val="21"/>
        </w:rPr>
        <w:fldChar w:fldCharType="end"/>
      </w:r>
      <w:r>
        <w:rPr>
          <w:rFonts w:hint="eastAsia" w:ascii="宋体" w:hAnsi="宋体" w:cs="MS Mincho"/>
          <w:bCs/>
          <w:szCs w:val="21"/>
        </w:rPr>
        <w:t>），通过“投标人/供应商登录”后</w:t>
      </w:r>
      <w:r>
        <w:rPr>
          <w:rFonts w:hint="eastAsia" w:ascii="宋体" w:hAnsi="宋体"/>
          <w:bCs/>
          <w:szCs w:val="21"/>
        </w:rPr>
        <w:t>自行下载。</w:t>
      </w:r>
    </w:p>
    <w:p>
      <w:pPr>
        <w:spacing w:line="460" w:lineRule="exact"/>
        <w:ind w:firstLine="420" w:firstLineChars="200"/>
        <w:rPr>
          <w:szCs w:val="21"/>
        </w:rPr>
      </w:pPr>
      <w:r>
        <w:rPr>
          <w:rFonts w:hint="eastAsia" w:ascii="新宋体" w:eastAsia="新宋体"/>
          <w:szCs w:val="21"/>
          <w:u w:val="single"/>
        </w:rPr>
        <w:t>投标人按照下载的工程量清单编制投标报价，未尽事宜按照国家、省、市、行业现行的文件执行。</w:t>
      </w:r>
    </w:p>
    <w:p>
      <w:pPr>
        <w:spacing w:line="400" w:lineRule="exact"/>
        <w:jc w:val="left"/>
        <w:rPr>
          <w:rFonts w:ascii="宋体" w:hAnsi="宋体"/>
        </w:rPr>
      </w:pPr>
    </w:p>
    <w:p>
      <w:pPr>
        <w:pStyle w:val="2"/>
      </w:pPr>
      <w:r>
        <w:br w:type="page"/>
      </w:r>
      <w:bookmarkStart w:id="915" w:name="_Toc529440052"/>
      <w:r>
        <w:rPr>
          <w:rFonts w:hint="eastAsia"/>
        </w:rPr>
        <w:t>第六章 图纸</w:t>
      </w:r>
      <w:bookmarkEnd w:id="915"/>
    </w:p>
    <w:p/>
    <w:p>
      <w:pPr>
        <w:jc w:val="center"/>
        <w:rPr>
          <w:rFonts w:hAnsi="宋体" w:cs="黑体"/>
          <w:szCs w:val="21"/>
        </w:rPr>
      </w:pPr>
      <w:r>
        <w:rPr>
          <w:rFonts w:hint="eastAsia" w:hAnsi="宋体" w:cs="黑体"/>
          <w:szCs w:val="21"/>
        </w:rPr>
        <w:t>按照招标文件中第二章投标人须知前附表第2.1项所给的网址自行下载。</w:t>
      </w:r>
    </w:p>
    <w:p>
      <w:pPr>
        <w:jc w:val="center"/>
        <w:rPr>
          <w:rFonts w:hAnsi="宋体" w:cs="黑体"/>
          <w:szCs w:val="21"/>
        </w:rPr>
      </w:pPr>
    </w:p>
    <w:p>
      <w:pPr>
        <w:pStyle w:val="2"/>
      </w:pPr>
      <w:r>
        <w:br w:type="page"/>
      </w:r>
      <w:bookmarkStart w:id="916" w:name="_Toc529440053"/>
      <w:r>
        <w:rPr>
          <w:rFonts w:hint="eastAsia"/>
        </w:rPr>
        <w:t>第七章 技术标准和要求</w:t>
      </w:r>
      <w:bookmarkEnd w:id="916"/>
    </w:p>
    <w:p/>
    <w:p>
      <w:pPr>
        <w:spacing w:line="500" w:lineRule="exact"/>
        <w:ind w:firstLine="420" w:firstLineChars="200"/>
        <w:jc w:val="left"/>
        <w:rPr>
          <w:rFonts w:ascii="新宋体" w:hAnsi="新宋体" w:eastAsia="新宋体"/>
          <w:szCs w:val="21"/>
        </w:rPr>
      </w:pPr>
      <w:r>
        <w:rPr>
          <w:rFonts w:hint="eastAsia" w:ascii="新宋体" w:hAnsi="新宋体" w:eastAsia="新宋体"/>
          <w:szCs w:val="21"/>
        </w:rPr>
        <w:t>1、本工程技术标准和要求以本工程施工图纸和适用的国家、行业以及地方规范、标准和规程为准。</w:t>
      </w:r>
    </w:p>
    <w:p>
      <w:pPr>
        <w:spacing w:line="500" w:lineRule="exact"/>
        <w:ind w:firstLine="420" w:firstLineChars="200"/>
        <w:jc w:val="left"/>
        <w:rPr>
          <w:rFonts w:ascii="新宋体" w:hAnsi="新宋体" w:eastAsia="新宋体"/>
          <w:szCs w:val="21"/>
        </w:rPr>
      </w:pPr>
      <w:r>
        <w:rPr>
          <w:rFonts w:hint="eastAsia" w:ascii="新宋体" w:hAnsi="新宋体" w:eastAsia="新宋体"/>
          <w:szCs w:val="21"/>
        </w:rPr>
        <w:t>2、施工工地扬尘污染整治标准以《许昌市施工工地扬尘污染综合整治工作方案》许气联办【2016】21号文件为准。</w:t>
      </w:r>
    </w:p>
    <w:p/>
    <w:p/>
    <w:p>
      <w:pPr>
        <w:pStyle w:val="2"/>
      </w:pPr>
      <w:r>
        <w:rPr>
          <w:b w:val="0"/>
          <w:bCs w:val="0"/>
          <w:sz w:val="32"/>
        </w:rPr>
        <w:br w:type="page"/>
      </w:r>
      <w:bookmarkStart w:id="917" w:name="_Toc529440054"/>
      <w:bookmarkStart w:id="918" w:name="_Toc247527826"/>
      <w:bookmarkStart w:id="919" w:name="_Toc247514245"/>
      <w:r>
        <w:rPr>
          <w:rFonts w:hint="eastAsia"/>
        </w:rPr>
        <w:t>第八章 投标文件格式</w:t>
      </w:r>
      <w:bookmarkEnd w:id="912"/>
      <w:bookmarkEnd w:id="913"/>
      <w:bookmarkEnd w:id="914"/>
      <w:bookmarkEnd w:id="917"/>
      <w:bookmarkEnd w:id="918"/>
      <w:bookmarkEnd w:id="919"/>
    </w:p>
    <w:p>
      <w:pPr>
        <w:autoSpaceDE w:val="0"/>
        <w:autoSpaceDN w:val="0"/>
        <w:jc w:val="center"/>
        <w:rPr>
          <w:rFonts w:hAnsi="宋体" w:cs="宋体"/>
          <w:sz w:val="32"/>
          <w:szCs w:val="32"/>
        </w:rPr>
      </w:pPr>
    </w:p>
    <w:p>
      <w:pPr>
        <w:autoSpaceDE w:val="0"/>
        <w:autoSpaceDN w:val="0"/>
        <w:jc w:val="center"/>
        <w:rPr>
          <w:rFonts w:hAnsi="宋体" w:cs="宋体"/>
          <w:b/>
          <w:spacing w:val="60"/>
          <w:sz w:val="52"/>
          <w:szCs w:val="52"/>
          <w:u w:val="single"/>
        </w:rPr>
      </w:pPr>
      <w:r>
        <w:rPr>
          <w:rFonts w:hint="eastAsia" w:hAnsi="宋体" w:cs="宋体"/>
          <w:b/>
          <w:spacing w:val="60"/>
          <w:sz w:val="52"/>
          <w:szCs w:val="52"/>
          <w:u w:val="single"/>
        </w:rPr>
        <w:t>（工程名称、标段）</w:t>
      </w:r>
    </w:p>
    <w:p>
      <w:pPr>
        <w:tabs>
          <w:tab w:val="center" w:pos="4739"/>
        </w:tabs>
        <w:ind w:left="180"/>
        <w:jc w:val="center"/>
        <w:rPr>
          <w:rFonts w:hAnsi="宋体" w:cs="宋体"/>
          <w:b/>
          <w:sz w:val="36"/>
          <w:szCs w:val="36"/>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11" w:leftChars="53" w:firstLine="3357" w:firstLineChars="1045"/>
        <w:rPr>
          <w:rFonts w:hAnsi="宋体" w:cs="宋体"/>
          <w:b/>
          <w:sz w:val="32"/>
          <w:szCs w:val="32"/>
        </w:rPr>
      </w:pPr>
      <w:r>
        <w:rPr>
          <w:rFonts w:hint="eastAsia" w:hAnsi="宋体" w:cs="宋体"/>
          <w:b/>
          <w:sz w:val="32"/>
          <w:szCs w:val="32"/>
        </w:rPr>
        <w:t>（商务标）</w:t>
      </w:r>
    </w:p>
    <w:p>
      <w:pPr>
        <w:tabs>
          <w:tab w:val="center" w:pos="4739"/>
        </w:tabs>
        <w:ind w:left="111" w:leftChars="53" w:firstLine="2393" w:firstLineChars="745"/>
        <w:rPr>
          <w:rFonts w:hAnsi="宋体" w:cs="宋体"/>
          <w:b/>
          <w:sz w:val="32"/>
          <w:szCs w:val="32"/>
        </w:rPr>
      </w:pPr>
      <w:r>
        <w:rPr>
          <w:rFonts w:hint="eastAsia" w:hAnsi="宋体" w:cs="宋体"/>
          <w:b/>
          <w:sz w:val="32"/>
          <w:szCs w:val="32"/>
        </w:rPr>
        <w:t>项目编号：</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420" w:lineRule="exact"/>
        <w:jc w:val="center"/>
        <w:rPr>
          <w:rFonts w:hAnsi="宋体" w:cs="宋体"/>
          <w:b/>
          <w:sz w:val="36"/>
          <w:szCs w:val="36"/>
        </w:rPr>
      </w:pPr>
      <w:r>
        <w:rPr>
          <w:rFonts w:hAnsi="宋体" w:cs="宋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95"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rFonts w:hAnsi="宋体" w:cs="宋体"/>
          <w:sz w:val="32"/>
          <w:szCs w:val="32"/>
        </w:rPr>
      </w:pPr>
      <w:r>
        <w:rPr>
          <w:sz w:val="32"/>
          <w:szCs w:val="32"/>
        </w:rPr>
        <w:br w:type="page"/>
      </w:r>
    </w:p>
    <w:p>
      <w:pPr>
        <w:tabs>
          <w:tab w:val="center" w:pos="4739"/>
        </w:tabs>
        <w:spacing w:beforeLines="100" w:afterLines="100"/>
        <w:jc w:val="right"/>
        <w:rPr>
          <w:rFonts w:hAnsi="宋体" w:cs="宋体"/>
          <w:sz w:val="32"/>
          <w:szCs w:val="32"/>
        </w:rPr>
      </w:pPr>
    </w:p>
    <w:p>
      <w:pPr>
        <w:autoSpaceDE w:val="0"/>
        <w:autoSpaceDN w:val="0"/>
        <w:jc w:val="center"/>
        <w:rPr>
          <w:rFonts w:hAnsi="宋体" w:cs="宋体"/>
          <w:b/>
          <w:spacing w:val="60"/>
          <w:sz w:val="52"/>
          <w:szCs w:val="52"/>
          <w:u w:val="single"/>
        </w:rPr>
      </w:pPr>
      <w:r>
        <w:rPr>
          <w:rFonts w:hint="eastAsia" w:hAnsi="宋体" w:cs="宋体"/>
          <w:b/>
          <w:spacing w:val="60"/>
          <w:sz w:val="52"/>
          <w:szCs w:val="52"/>
          <w:u w:val="single"/>
        </w:rPr>
        <w:t>（工程名称、标段）</w:t>
      </w:r>
    </w:p>
    <w:p>
      <w:pPr>
        <w:tabs>
          <w:tab w:val="center" w:pos="4739"/>
        </w:tabs>
        <w:ind w:left="180"/>
        <w:jc w:val="center"/>
        <w:rPr>
          <w:rFonts w:hAnsi="宋体" w:cs="宋体"/>
          <w:b/>
          <w:sz w:val="36"/>
          <w:szCs w:val="36"/>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11" w:leftChars="53" w:firstLine="3357" w:firstLineChars="1045"/>
        <w:rPr>
          <w:rFonts w:hAnsi="宋体" w:cs="宋体"/>
          <w:b/>
          <w:sz w:val="32"/>
          <w:szCs w:val="32"/>
        </w:rPr>
      </w:pPr>
      <w:r>
        <w:rPr>
          <w:rFonts w:hint="eastAsia" w:hAnsi="宋体" w:cs="宋体"/>
          <w:b/>
          <w:sz w:val="32"/>
          <w:szCs w:val="32"/>
        </w:rPr>
        <w:t>综合标</w:t>
      </w:r>
    </w:p>
    <w:p>
      <w:pPr>
        <w:tabs>
          <w:tab w:val="center" w:pos="4739"/>
        </w:tabs>
        <w:ind w:left="111" w:leftChars="53" w:firstLine="2715" w:firstLineChars="845"/>
        <w:rPr>
          <w:rFonts w:hAnsi="宋体" w:cs="宋体"/>
          <w:b/>
          <w:sz w:val="32"/>
          <w:szCs w:val="32"/>
        </w:rPr>
      </w:pPr>
      <w:r>
        <w:rPr>
          <w:rFonts w:hint="eastAsia" w:hAnsi="宋体" w:cs="宋体"/>
          <w:b/>
          <w:sz w:val="32"/>
          <w:szCs w:val="32"/>
        </w:rPr>
        <w:t>项目编号：</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420" w:lineRule="exact"/>
        <w:rPr>
          <w:rFonts w:hAnsi="宋体" w:cs="宋体"/>
          <w:b/>
          <w:sz w:val="36"/>
          <w:szCs w:val="36"/>
        </w:rPr>
      </w:pPr>
    </w:p>
    <w:p>
      <w:pPr>
        <w:tabs>
          <w:tab w:val="center" w:pos="4739"/>
        </w:tabs>
        <w:ind w:left="180"/>
        <w:jc w:val="right"/>
        <w:rPr>
          <w:rFonts w:hAnsi="宋体" w:cs="黑体"/>
          <w:b/>
          <w:sz w:val="36"/>
          <w:szCs w:val="36"/>
        </w:rPr>
      </w:pPr>
    </w:p>
    <w:p>
      <w:pPr>
        <w:autoSpaceDE w:val="0"/>
        <w:autoSpaceDN w:val="0"/>
        <w:adjustRightInd w:val="0"/>
        <w:spacing w:line="420" w:lineRule="exact"/>
        <w:ind w:firstLine="3795" w:firstLineChars="1050"/>
        <w:jc w:val="left"/>
        <w:rPr>
          <w:rFonts w:hAnsi="宋体" w:cs="TimesNewRomanPSMT"/>
          <w:sz w:val="36"/>
          <w:szCs w:val="36"/>
        </w:rPr>
      </w:pPr>
      <w:r>
        <w:rPr>
          <w:rFonts w:hint="eastAsia" w:hAnsi="宋体" w:cs="黑体"/>
          <w:b/>
          <w:sz w:val="36"/>
          <w:szCs w:val="36"/>
        </w:rPr>
        <w:t>目录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二、法定代表人身份证明、授权委托书及项目负责人承诺书；</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三、投标保证金；</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七、近年完成的类似项目情况；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九、其它材料；</w:t>
      </w: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widowControl/>
        <w:jc w:val="left"/>
        <w:rPr>
          <w:rFonts w:ascii="新宋体" w:hAnsi="新宋体" w:eastAsia="新宋体"/>
          <w:b/>
          <w:sz w:val="24"/>
        </w:rPr>
      </w:pPr>
      <w:r>
        <w:rPr>
          <w:rFonts w:ascii="新宋体" w:hAnsi="新宋体" w:eastAsia="新宋体"/>
          <w:b/>
          <w:sz w:val="24"/>
        </w:rPr>
        <w:br w:type="page"/>
      </w:r>
    </w:p>
    <w:p>
      <w:pPr>
        <w:tabs>
          <w:tab w:val="center" w:pos="4739"/>
        </w:tabs>
        <w:rPr>
          <w:rFonts w:hAnsi="宋体"/>
          <w:b/>
          <w:sz w:val="32"/>
        </w:rPr>
      </w:pPr>
    </w:p>
    <w:p>
      <w:pPr>
        <w:tabs>
          <w:tab w:val="center" w:pos="4739"/>
        </w:tabs>
        <w:ind w:left="180"/>
        <w:jc w:val="center"/>
        <w:rPr>
          <w:rFonts w:hAnsi="宋体"/>
          <w:b/>
          <w:sz w:val="32"/>
        </w:rPr>
      </w:pPr>
      <w:r>
        <w:rPr>
          <w:rFonts w:hint="eastAsia" w:hAnsi="宋体"/>
          <w:b/>
          <w:sz w:val="32"/>
        </w:rPr>
        <w:t>一、投标函及投标函附录</w:t>
      </w:r>
    </w:p>
    <w:p>
      <w:pPr>
        <w:spacing w:beforeLines="100" w:afterLines="50" w:line="510" w:lineRule="exact"/>
        <w:jc w:val="center"/>
        <w:rPr>
          <w:rFonts w:hAnsi="宋体" w:cs="宋体"/>
          <w:sz w:val="28"/>
          <w:szCs w:val="28"/>
        </w:rPr>
      </w:pPr>
      <w:bookmarkStart w:id="920" w:name="_Toc250616672"/>
      <w:bookmarkStart w:id="921" w:name="_Toc271787730"/>
      <w:r>
        <w:rPr>
          <w:rFonts w:hint="eastAsia" w:hAnsi="宋体" w:cs="宋体"/>
          <w:sz w:val="28"/>
          <w:szCs w:val="28"/>
        </w:rPr>
        <w:t>（一）投标函</w:t>
      </w:r>
    </w:p>
    <w:p>
      <w:pPr>
        <w:spacing w:line="480" w:lineRule="exact"/>
        <w:rPr>
          <w:rFonts w:hAnsi="宋体" w:cs="宋体"/>
        </w:rPr>
      </w:pPr>
      <w:r>
        <w:rPr>
          <w:rFonts w:hint="eastAsia" w:hAnsi="宋体" w:cs="宋体"/>
        </w:rPr>
        <w:t>致：</w:t>
      </w:r>
      <w:r>
        <w:rPr>
          <w:rFonts w:hint="eastAsia" w:hAnsi="宋体" w:cs="宋体"/>
          <w:u w:val="single"/>
        </w:rPr>
        <w:t xml:space="preserve">                                     </w:t>
      </w:r>
      <w:r>
        <w:rPr>
          <w:rFonts w:hint="eastAsia" w:hAnsi="宋体" w:cs="宋体"/>
        </w:rPr>
        <w:t>（招标人名称）</w:t>
      </w:r>
    </w:p>
    <w:p>
      <w:pPr>
        <w:spacing w:line="480" w:lineRule="exact"/>
        <w:ind w:firstLine="420" w:firstLineChars="200"/>
        <w:rPr>
          <w:rFonts w:hAnsi="宋体" w:cs="宋体"/>
        </w:rPr>
      </w:pPr>
      <w:r>
        <w:rPr>
          <w:rFonts w:hint="eastAsia" w:hAnsi="宋体" w:cs="宋体"/>
        </w:rPr>
        <w:t>在考察现场并充分研究</w:t>
      </w:r>
      <w:r>
        <w:rPr>
          <w:rFonts w:hint="eastAsia" w:hAnsi="宋体" w:cs="宋体"/>
          <w:u w:val="single"/>
        </w:rPr>
        <w:t xml:space="preserve">                        </w:t>
      </w:r>
      <w:r>
        <w:rPr>
          <w:rFonts w:hint="eastAsia" w:hAnsi="宋体" w:cs="宋体"/>
        </w:rPr>
        <w:t>（项目名称、标段）（以下简称“本工程”）施工招标文件的全部内容后，我方兹以：</w:t>
      </w:r>
    </w:p>
    <w:p>
      <w:pPr>
        <w:spacing w:line="480" w:lineRule="exact"/>
        <w:ind w:firstLine="825" w:firstLineChars="393"/>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元</w:t>
      </w:r>
    </w:p>
    <w:p>
      <w:pPr>
        <w:spacing w:line="480" w:lineRule="exact"/>
        <w:ind w:firstLine="825" w:firstLineChars="393"/>
        <w:rPr>
          <w:rFonts w:hAnsi="宋体" w:cs="宋体"/>
        </w:rPr>
      </w:pPr>
      <w:r>
        <w:rPr>
          <w:rFonts w:hAnsi="宋体" w:cs="宋体"/>
        </w:rPr>
        <w:t>RMB</w:t>
      </w:r>
      <w:r>
        <w:rPr>
          <w:rFonts w:hint="eastAsia" w:hAnsi="宋体" w:cs="宋体"/>
        </w:rPr>
        <w:t>￥：</w:t>
      </w:r>
      <w:r>
        <w:rPr>
          <w:rFonts w:hint="eastAsia" w:hAnsi="宋体" w:cs="宋体"/>
          <w:u w:val="single"/>
        </w:rPr>
        <w:t xml:space="preserve">                                             </w:t>
      </w:r>
      <w:r>
        <w:rPr>
          <w:rFonts w:hint="eastAsia" w:hAnsi="宋体" w:cs="宋体"/>
        </w:rPr>
        <w:t>元</w:t>
      </w:r>
    </w:p>
    <w:p>
      <w:pPr>
        <w:spacing w:line="480" w:lineRule="exact"/>
        <w:rPr>
          <w:rFonts w:hAnsi="宋体" w:cs="宋体"/>
        </w:rPr>
      </w:pPr>
      <w:r>
        <w:rPr>
          <w:rFonts w:hint="eastAsia" w:hAnsi="宋体" w:cs="宋体"/>
        </w:rPr>
        <w:t>的投标价格和按合同约定有权得到的其它金额，并严格按照合同约定，施工、竣工和交付本工程并维修其中的任何缺陷。</w:t>
      </w:r>
    </w:p>
    <w:p>
      <w:pPr>
        <w:spacing w:line="480" w:lineRule="exact"/>
        <w:ind w:firstLine="420" w:firstLineChars="200"/>
        <w:rPr>
          <w:rFonts w:hAnsi="宋体" w:cs="宋体"/>
        </w:rPr>
      </w:pPr>
      <w:r>
        <w:rPr>
          <w:rFonts w:hint="eastAsia" w:hAnsi="宋体" w:cs="宋体"/>
        </w:rPr>
        <w:t>在我方的上述投标总报价中，包括：</w:t>
      </w:r>
    </w:p>
    <w:p>
      <w:pPr>
        <w:spacing w:line="480" w:lineRule="exact"/>
        <w:ind w:firstLine="917" w:firstLineChars="437"/>
        <w:rPr>
          <w:rFonts w:hAnsi="宋体" w:cs="宋体"/>
        </w:rPr>
      </w:pPr>
      <w:r>
        <w:rPr>
          <w:rFonts w:hint="eastAsia" w:hAnsi="宋体" w:cs="宋体"/>
        </w:rPr>
        <w:t>规费</w:t>
      </w:r>
      <w:r>
        <w:rPr>
          <w:rFonts w:hAnsi="宋体" w:cs="宋体"/>
        </w:rPr>
        <w:t>RMB</w:t>
      </w:r>
      <w:r>
        <w:rPr>
          <w:rFonts w:hint="eastAsia" w:hAnsi="宋体" w:cs="宋体"/>
        </w:rPr>
        <w:t>￥：</w:t>
      </w:r>
      <w:r>
        <w:rPr>
          <w:rFonts w:hint="eastAsia" w:hAnsi="宋体" w:cs="宋体"/>
          <w:u w:val="single"/>
        </w:rPr>
        <w:t xml:space="preserve">                   </w:t>
      </w:r>
      <w:r>
        <w:rPr>
          <w:rFonts w:hint="eastAsia" w:hAnsi="宋体" w:cs="宋体"/>
        </w:rPr>
        <w:t>元</w:t>
      </w:r>
    </w:p>
    <w:p>
      <w:pPr>
        <w:spacing w:line="480" w:lineRule="exact"/>
        <w:ind w:firstLine="917" w:firstLineChars="437"/>
        <w:rPr>
          <w:rFonts w:hAnsi="宋体" w:cs="宋体"/>
        </w:rPr>
      </w:pPr>
      <w:r>
        <w:rPr>
          <w:rFonts w:hint="eastAsia" w:hAnsi="宋体" w:cs="宋体"/>
        </w:rPr>
        <w:t>税金</w:t>
      </w:r>
      <w:r>
        <w:rPr>
          <w:rFonts w:hAnsi="宋体" w:cs="宋体"/>
        </w:rPr>
        <w:t>RMB</w:t>
      </w:r>
      <w:r>
        <w:rPr>
          <w:rFonts w:hint="eastAsia" w:hAnsi="宋体" w:cs="宋体"/>
        </w:rPr>
        <w:t>￥：</w:t>
      </w:r>
      <w:r>
        <w:rPr>
          <w:rFonts w:hint="eastAsia" w:hAnsi="宋体" w:cs="宋体"/>
          <w:u w:val="single"/>
        </w:rPr>
        <w:t xml:space="preserve">                   </w:t>
      </w:r>
      <w:r>
        <w:rPr>
          <w:rFonts w:hint="eastAsia" w:hAnsi="宋体" w:cs="宋体"/>
        </w:rPr>
        <w:t>元</w:t>
      </w:r>
    </w:p>
    <w:p>
      <w:pPr>
        <w:spacing w:line="480" w:lineRule="exact"/>
        <w:ind w:firstLine="917" w:firstLineChars="437"/>
        <w:rPr>
          <w:rFonts w:hAnsi="宋体" w:cs="宋体"/>
        </w:rPr>
      </w:pPr>
      <w:r>
        <w:rPr>
          <w:rFonts w:hint="eastAsia" w:hAnsi="宋体" w:cs="宋体"/>
        </w:rPr>
        <w:t>安全文明措施费</w:t>
      </w:r>
      <w:r>
        <w:rPr>
          <w:rFonts w:hAnsi="宋体" w:cs="宋体"/>
        </w:rPr>
        <w:t>RMB</w:t>
      </w:r>
      <w:r>
        <w:rPr>
          <w:rFonts w:hint="eastAsia" w:hAnsi="宋体" w:cs="宋体"/>
        </w:rPr>
        <w:t>￥：</w:t>
      </w:r>
      <w:r>
        <w:rPr>
          <w:rFonts w:hint="eastAsia" w:hAnsi="宋体" w:cs="宋体"/>
          <w:u w:val="single"/>
        </w:rPr>
        <w:t xml:space="preserve">         </w:t>
      </w:r>
      <w:r>
        <w:rPr>
          <w:rFonts w:hint="eastAsia" w:hAnsi="宋体" w:cs="宋体"/>
        </w:rPr>
        <w:t>元</w:t>
      </w:r>
    </w:p>
    <w:p>
      <w:pPr>
        <w:spacing w:line="480" w:lineRule="exact"/>
        <w:ind w:firstLine="420" w:firstLineChars="200"/>
        <w:rPr>
          <w:rFonts w:hAnsi="宋体" w:cs="宋体"/>
        </w:rPr>
      </w:pPr>
      <w:r>
        <w:rPr>
          <w:rFonts w:hint="eastAsia" w:hAnsi="宋体" w:cs="宋体"/>
        </w:rPr>
        <w:t>如果我方中标，我方保证按照合同约定的开工日期开始本工程的施工，</w:t>
      </w:r>
      <w:r>
        <w:rPr>
          <w:rFonts w:hint="eastAsia" w:hAnsi="宋体" w:cs="宋体"/>
          <w:u w:val="single"/>
        </w:rPr>
        <w:t xml:space="preserve">      </w:t>
      </w:r>
      <w:r>
        <w:rPr>
          <w:rFonts w:hint="eastAsia" w:hAnsi="宋体" w:cs="宋体"/>
        </w:rPr>
        <w:t>天（日历天）内竣工，并确保工程质量达到</w:t>
      </w:r>
      <w:r>
        <w:rPr>
          <w:rFonts w:hint="eastAsia" w:hAnsi="宋体" w:cs="宋体"/>
          <w:u w:val="single"/>
        </w:rPr>
        <w:t xml:space="preserve">      </w:t>
      </w:r>
      <w:r>
        <w:rPr>
          <w:rFonts w:hint="eastAsia" w:hAnsi="宋体" w:cs="宋体"/>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Ansi="宋体" w:cs="宋体"/>
        </w:rPr>
      </w:pPr>
      <w:r>
        <w:rPr>
          <w:rFonts w:hint="eastAsia" w:hAnsi="宋体" w:cs="宋体"/>
        </w:rPr>
        <w:t>随本投标函递交的投标函附录是本投标函的组成部分，对我方构成约束力。</w:t>
      </w:r>
    </w:p>
    <w:p>
      <w:pPr>
        <w:spacing w:line="480" w:lineRule="exact"/>
        <w:ind w:firstLine="420" w:firstLineChars="200"/>
        <w:rPr>
          <w:rFonts w:hAnsi="宋体" w:cs="宋体"/>
        </w:rPr>
      </w:pPr>
      <w:r>
        <w:rPr>
          <w:rFonts w:hint="eastAsia" w:hAnsi="宋体" w:cs="宋体"/>
        </w:rPr>
        <w:t>随同本投标函递交投标保证金一份，金额为人民币（大写）：</w:t>
      </w:r>
      <w:r>
        <w:rPr>
          <w:rFonts w:hint="eastAsia" w:hAnsi="宋体" w:cs="宋体"/>
          <w:u w:val="single"/>
        </w:rPr>
        <w:t xml:space="preserve">      </w:t>
      </w:r>
      <w:r>
        <w:rPr>
          <w:rFonts w:hint="eastAsia" w:hAnsi="宋体" w:cs="宋体"/>
        </w:rPr>
        <w:t>元（￥：</w:t>
      </w:r>
      <w:r>
        <w:rPr>
          <w:rFonts w:hint="eastAsia" w:hAnsi="宋体" w:cs="宋体"/>
          <w:u w:val="single"/>
        </w:rPr>
        <w:t xml:space="preserve">      </w:t>
      </w:r>
      <w:r>
        <w:rPr>
          <w:rFonts w:hint="eastAsia" w:hAnsi="宋体" w:cs="宋体"/>
        </w:rPr>
        <w:t>元）。</w:t>
      </w:r>
    </w:p>
    <w:p>
      <w:pPr>
        <w:spacing w:line="480" w:lineRule="exact"/>
        <w:ind w:firstLine="420" w:firstLineChars="200"/>
        <w:rPr>
          <w:rFonts w:hAnsi="宋体" w:cs="宋体"/>
        </w:rPr>
      </w:pPr>
      <w:r>
        <w:rPr>
          <w:rFonts w:hint="eastAsia" w:hAnsi="宋体" w:cs="宋体"/>
        </w:rPr>
        <w:t>在签署协议书之前，你方的中标通知书连同本投标函，包括投标函附录，对双方具有约束力。</w:t>
      </w:r>
    </w:p>
    <w:p>
      <w:pPr>
        <w:spacing w:line="480" w:lineRule="exact"/>
        <w:ind w:firstLine="420" w:firstLineChars="200"/>
        <w:rPr>
          <w:rFonts w:hAnsi="宋体" w:cs="宋体"/>
        </w:rPr>
      </w:pPr>
    </w:p>
    <w:p>
      <w:pPr>
        <w:spacing w:line="480" w:lineRule="exact"/>
        <w:ind w:firstLine="420" w:firstLineChars="200"/>
        <w:rPr>
          <w:rFonts w:hAnsi="宋体" w:cs="宋体"/>
        </w:rPr>
      </w:pPr>
      <w:r>
        <w:rPr>
          <w:rFonts w:hint="eastAsia" w:hAnsi="宋体" w:cs="宋体"/>
        </w:rPr>
        <w:t>投标人（盖章）：</w:t>
      </w:r>
    </w:p>
    <w:p>
      <w:pPr>
        <w:spacing w:line="480" w:lineRule="exact"/>
        <w:ind w:firstLine="420" w:firstLineChars="200"/>
        <w:rPr>
          <w:rFonts w:hAnsi="宋体" w:cs="宋体"/>
        </w:rPr>
      </w:pPr>
      <w:r>
        <w:rPr>
          <w:rFonts w:hint="eastAsia" w:hAnsi="宋体" w:cs="宋体"/>
        </w:rPr>
        <w:t>法定代表人或委托代理人（签字）：</w:t>
      </w:r>
    </w:p>
    <w:p>
      <w:pPr>
        <w:spacing w:line="480" w:lineRule="exact"/>
        <w:ind w:firstLine="420" w:firstLineChars="200"/>
        <w:rPr>
          <w:rFonts w:hAnsi="宋体" w:cs="宋体"/>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autoSpaceDE w:val="0"/>
        <w:autoSpaceDN w:val="0"/>
        <w:adjustRightInd w:val="0"/>
        <w:rPr>
          <w:rFonts w:ascii="黑体" w:hAnsi="新宋体" w:eastAsia="黑体" w:cs="黑体"/>
          <w:sz w:val="28"/>
          <w:szCs w:val="28"/>
        </w:rPr>
      </w:pPr>
    </w:p>
    <w:p>
      <w:pPr>
        <w:autoSpaceDE w:val="0"/>
        <w:autoSpaceDN w:val="0"/>
        <w:adjustRightInd w:val="0"/>
        <w:jc w:val="center"/>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920"/>
    </w:p>
    <w:tbl>
      <w:tblPr>
        <w:tblStyle w:val="56"/>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642"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2642"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jc w:val="center"/>
        </w:trPr>
        <w:tc>
          <w:tcPr>
            <w:tcW w:w="8864"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widowControl/>
        <w:jc w:val="left"/>
        <w:rPr>
          <w:rFonts w:ascii="黑体" w:hAnsi="新宋体" w:eastAsia="黑体" w:cs="黑体"/>
          <w:sz w:val="28"/>
          <w:szCs w:val="28"/>
        </w:rPr>
      </w:pPr>
      <w:r>
        <w:rPr>
          <w:rFonts w:ascii="黑体" w:hAnsi="新宋体" w:eastAsia="黑体" w:cs="黑体"/>
          <w:sz w:val="28"/>
          <w:szCs w:val="28"/>
        </w:rPr>
        <w:br w:type="page"/>
      </w:r>
    </w:p>
    <w:p>
      <w:pPr>
        <w:autoSpaceDE w:val="0"/>
        <w:autoSpaceDN w:val="0"/>
        <w:adjustRightInd w:val="0"/>
        <w:spacing w:line="420" w:lineRule="exact"/>
        <w:rPr>
          <w:rFonts w:ascii="黑体" w:hAnsi="新宋体" w:eastAsia="黑体" w:cs="黑体"/>
          <w:sz w:val="28"/>
          <w:szCs w:val="28"/>
        </w:rPr>
      </w:pPr>
    </w:p>
    <w:p>
      <w:pPr>
        <w:autoSpaceDE w:val="0"/>
        <w:autoSpaceDN w:val="0"/>
        <w:adjustRightInd w:val="0"/>
        <w:spacing w:line="420" w:lineRule="exact"/>
        <w:jc w:val="center"/>
        <w:rPr>
          <w:rFonts w:hAnsi="宋体" w:cs="仿宋_GB2312"/>
          <w:b/>
          <w:sz w:val="28"/>
          <w:szCs w:val="28"/>
        </w:rPr>
      </w:pPr>
      <w:r>
        <w:rPr>
          <w:rFonts w:hint="eastAsia" w:ascii="黑体" w:hAnsi="新宋体" w:eastAsia="黑体" w:cs="黑体"/>
          <w:sz w:val="28"/>
          <w:szCs w:val="28"/>
        </w:rPr>
        <w:t>二、</w:t>
      </w:r>
      <w:bookmarkEnd w:id="92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rPr>
          <w:rFonts w:ascii="黑体" w:hAnsi="新宋体" w:eastAsia="黑体" w:cs="黑体"/>
          <w:sz w:val="28"/>
          <w:szCs w:val="28"/>
        </w:rPr>
      </w:pPr>
      <w:bookmarkStart w:id="922" w:name="_Toc271787731"/>
      <w:r>
        <w:rPr>
          <w:rFonts w:hint="eastAsia" w:ascii="黑体" w:hAnsi="新宋体" w:eastAsia="黑体" w:cs="黑体"/>
          <w:sz w:val="28"/>
          <w:szCs w:val="28"/>
        </w:rPr>
        <w:t>（一）法定代表人身份证明</w:t>
      </w:r>
      <w:bookmarkEnd w:id="922"/>
    </w:p>
    <w:p>
      <w:pPr>
        <w:autoSpaceDE w:val="0"/>
        <w:autoSpaceDN w:val="0"/>
        <w:adjustRightInd w:val="0"/>
        <w:spacing w:line="420" w:lineRule="exact"/>
        <w:jc w:val="center"/>
        <w:rPr>
          <w:rFonts w:hAnsi="宋体" w:cs="黑体"/>
          <w:sz w:val="28"/>
          <w:szCs w:val="28"/>
        </w:rPr>
      </w:pP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wordWrap w:val="0"/>
        <w:autoSpaceDE w:val="0"/>
        <w:autoSpaceDN w:val="0"/>
        <w:adjustRightInd w:val="0"/>
        <w:spacing w:line="420" w:lineRule="exact"/>
        <w:ind w:firstLine="480" w:firstLineChars="200"/>
        <w:jc w:val="right"/>
        <w:rPr>
          <w:rFonts w:hAnsi="宋体" w:cs="仿宋_GB2312"/>
          <w:sz w:val="24"/>
        </w:rPr>
      </w:pPr>
    </w:p>
    <w:p>
      <w:pPr>
        <w:wordWrap w:val="0"/>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wordWrap w:val="0"/>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wordWrap w:val="0"/>
        <w:autoSpaceDE w:val="0"/>
        <w:autoSpaceDN w:val="0"/>
        <w:adjustRightInd w:val="0"/>
        <w:spacing w:line="420" w:lineRule="exact"/>
        <w:ind w:firstLine="420" w:firstLineChars="200"/>
        <w:jc w:val="right"/>
        <w:rPr>
          <w:rFonts w:hAnsi="宋体" w:cs="仿宋_GB2312"/>
          <w:szCs w:val="21"/>
        </w:rPr>
      </w:pPr>
    </w:p>
    <w:p>
      <w:pPr>
        <w:autoSpaceDE w:val="0"/>
        <w:autoSpaceDN w:val="0"/>
        <w:adjustRightInd w:val="0"/>
        <w:spacing w:line="420" w:lineRule="exact"/>
        <w:jc w:val="center"/>
        <w:rPr>
          <w:rFonts w:ascii="黑体" w:hAnsi="新宋体" w:eastAsia="黑体" w:cs="黑体"/>
          <w:sz w:val="28"/>
          <w:szCs w:val="28"/>
        </w:rPr>
      </w:pPr>
      <w:bookmarkStart w:id="923" w:name="_Toc271787732"/>
      <w:r>
        <w:rPr>
          <w:rFonts w:ascii="黑体" w:hAnsi="新宋体" w:eastAsia="黑体" w:cs="黑体"/>
          <w:sz w:val="28"/>
          <w:szCs w:val="28"/>
        </w:rPr>
        <w:br w:type="page"/>
      </w:r>
      <w:r>
        <w:rPr>
          <w:rFonts w:hint="eastAsia" w:ascii="黑体" w:hAnsi="新宋体" w:eastAsia="黑体" w:cs="黑体"/>
          <w:sz w:val="28"/>
          <w:szCs w:val="28"/>
        </w:rPr>
        <w:t>（二）授权委托书</w:t>
      </w:r>
      <w:bookmarkEnd w:id="923"/>
    </w:p>
    <w:p>
      <w:pPr>
        <w:autoSpaceDE w:val="0"/>
        <w:autoSpaceDN w:val="0"/>
        <w:spacing w:line="440" w:lineRule="exact"/>
        <w:ind w:firstLine="420" w:firstLineChars="200"/>
        <w:jc w:val="left"/>
        <w:rPr>
          <w:rFonts w:hAnsi="宋体" w:cs="宋体"/>
        </w:rPr>
      </w:pPr>
    </w:p>
    <w:p>
      <w:pPr>
        <w:autoSpaceDE w:val="0"/>
        <w:autoSpaceDN w:val="0"/>
        <w:spacing w:line="440" w:lineRule="exact"/>
        <w:ind w:firstLine="420" w:firstLineChars="200"/>
        <w:jc w:val="left"/>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（投标人名称）的法定代表人，现委托</w:t>
      </w:r>
      <w:r>
        <w:rPr>
          <w:rFonts w:hint="eastAsia" w:hAnsi="宋体" w:cs="宋体"/>
          <w:u w:val="single"/>
        </w:rPr>
        <w:t xml:space="preserve">           </w:t>
      </w:r>
      <w:r>
        <w:rPr>
          <w:rFonts w:hint="eastAsia" w:hAnsi="宋体" w:cs="宋体"/>
        </w:rPr>
        <w:t>（姓名）为我方代理人。代理人根据授权，以我方名义签署、澄清、说明、补正、递交、撤回、修改</w:t>
      </w:r>
      <w:r>
        <w:rPr>
          <w:rFonts w:hint="eastAsia" w:hAnsi="宋体" w:cs="宋体"/>
          <w:u w:val="single"/>
        </w:rPr>
        <w:t xml:space="preserve">                           </w:t>
      </w:r>
      <w:r>
        <w:rPr>
          <w:rFonts w:hint="eastAsia" w:hAnsi="宋体" w:cs="宋体"/>
        </w:rPr>
        <w:t>（项目名称、标段）投标文件、签订合同和处理有关事宜，其法律后果由我方承担。</w:t>
      </w:r>
    </w:p>
    <w:p>
      <w:pPr>
        <w:autoSpaceDE w:val="0"/>
        <w:autoSpaceDN w:val="0"/>
        <w:spacing w:line="440" w:lineRule="exact"/>
        <w:ind w:firstLine="420" w:firstLineChars="200"/>
        <w:jc w:val="left"/>
        <w:rPr>
          <w:rFonts w:hAnsi="宋体" w:cs="宋体"/>
        </w:rPr>
      </w:pPr>
      <w:r>
        <w:rPr>
          <w:rFonts w:hint="eastAsia" w:hAnsi="宋体" w:cs="宋体"/>
        </w:rPr>
        <w:t>委托期限：</w:t>
      </w:r>
      <w:r>
        <w:rPr>
          <w:rFonts w:hint="eastAsia" w:hAnsi="宋体" w:cs="宋体"/>
          <w:u w:val="single"/>
        </w:rPr>
        <w:t xml:space="preserve">                    </w:t>
      </w:r>
      <w:r>
        <w:rPr>
          <w:rFonts w:hint="eastAsia" w:hAnsi="宋体" w:cs="宋体"/>
        </w:rPr>
        <w:t>。</w:t>
      </w:r>
    </w:p>
    <w:p>
      <w:pPr>
        <w:autoSpaceDE w:val="0"/>
        <w:autoSpaceDN w:val="0"/>
        <w:spacing w:line="440" w:lineRule="exact"/>
        <w:ind w:firstLine="420" w:firstLineChars="200"/>
        <w:jc w:val="left"/>
        <w:rPr>
          <w:rFonts w:hAnsi="宋体" w:cs="宋体"/>
        </w:rPr>
      </w:pPr>
      <w:r>
        <w:rPr>
          <w:rFonts w:hint="eastAsia" w:hAnsi="宋体" w:cs="宋体"/>
        </w:rPr>
        <w:t>代理人无转委托权。</w:t>
      </w:r>
    </w:p>
    <w:p>
      <w:pPr>
        <w:autoSpaceDE w:val="0"/>
        <w:autoSpaceDN w:val="0"/>
        <w:spacing w:line="440" w:lineRule="exact"/>
        <w:ind w:firstLine="420" w:firstLineChars="200"/>
        <w:jc w:val="left"/>
        <w:rPr>
          <w:rFonts w:hAnsi="宋体" w:cs="宋体"/>
        </w:rPr>
      </w:pPr>
      <w:r>
        <w:rPr>
          <w:rFonts w:hint="eastAsia" w:hAnsi="宋体" w:cs="宋体"/>
        </w:rPr>
        <w:t>附：法定代表人身份证明</w:t>
      </w:r>
    </w:p>
    <w:p>
      <w:pPr>
        <w:autoSpaceDE w:val="0"/>
        <w:autoSpaceDN w:val="0"/>
        <w:spacing w:line="440" w:lineRule="exact"/>
        <w:ind w:firstLine="420" w:firstLineChars="200"/>
        <w:jc w:val="left"/>
        <w:rPr>
          <w:rFonts w:hAnsi="宋体" w:cs="宋体"/>
        </w:rPr>
      </w:pPr>
    </w:p>
    <w:p>
      <w:pPr>
        <w:autoSpaceDE w:val="0"/>
        <w:autoSpaceDN w:val="0"/>
        <w:spacing w:line="440" w:lineRule="exact"/>
        <w:ind w:firstLine="3238" w:firstLineChars="1542"/>
        <w:jc w:val="left"/>
        <w:rPr>
          <w:rFonts w:hAnsi="宋体" w:cs="宋体"/>
        </w:rPr>
      </w:pPr>
      <w:r>
        <w:rPr>
          <w:rFonts w:hint="eastAsia" w:hAnsi="宋体" w:cs="宋体"/>
        </w:rPr>
        <w:t>投标人：</w:t>
      </w:r>
      <w:r>
        <w:rPr>
          <w:rFonts w:hint="eastAsia" w:hAnsi="宋体" w:cs="宋体"/>
          <w:u w:val="single"/>
        </w:rPr>
        <w:t xml:space="preserve">                              </w:t>
      </w:r>
      <w:r>
        <w:rPr>
          <w:rFonts w:hint="eastAsia" w:hAnsi="宋体" w:cs="宋体"/>
        </w:rPr>
        <w:t>（盖单位章）</w:t>
      </w:r>
    </w:p>
    <w:p>
      <w:pPr>
        <w:autoSpaceDE w:val="0"/>
        <w:autoSpaceDN w:val="0"/>
        <w:spacing w:line="440" w:lineRule="exact"/>
        <w:ind w:firstLine="3238" w:firstLineChars="1542"/>
        <w:jc w:val="left"/>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（签字）</w:t>
      </w:r>
    </w:p>
    <w:p>
      <w:pPr>
        <w:autoSpaceDE w:val="0"/>
        <w:autoSpaceDN w:val="0"/>
        <w:spacing w:line="440" w:lineRule="exact"/>
        <w:ind w:firstLine="3238" w:firstLineChars="1542"/>
        <w:jc w:val="left"/>
        <w:rPr>
          <w:rFonts w:hAnsi="宋体" w:cs="宋体"/>
          <w:u w:val="single"/>
        </w:rPr>
      </w:pPr>
      <w:r>
        <w:rPr>
          <w:rFonts w:hint="eastAsia" w:hAnsi="宋体" w:cs="宋体"/>
        </w:rPr>
        <w:t>身份证号码：</w:t>
      </w:r>
      <w:r>
        <w:rPr>
          <w:rFonts w:hint="eastAsia" w:hAnsi="宋体" w:cs="宋体"/>
          <w:u w:val="single"/>
        </w:rPr>
        <w:t xml:space="preserve">                                     </w:t>
      </w:r>
    </w:p>
    <w:p>
      <w:pPr>
        <w:autoSpaceDE w:val="0"/>
        <w:autoSpaceDN w:val="0"/>
        <w:spacing w:line="440" w:lineRule="exact"/>
        <w:ind w:firstLine="3238" w:firstLineChars="1542"/>
        <w:jc w:val="lef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（签字）</w:t>
      </w:r>
    </w:p>
    <w:p>
      <w:pPr>
        <w:autoSpaceDE w:val="0"/>
        <w:autoSpaceDN w:val="0"/>
        <w:spacing w:line="440" w:lineRule="exact"/>
        <w:ind w:firstLine="3238" w:firstLineChars="1542"/>
        <w:jc w:val="left"/>
        <w:rPr>
          <w:rFonts w:hAnsi="宋体" w:cs="宋体"/>
          <w:u w:val="single"/>
        </w:rPr>
      </w:pPr>
      <w:r>
        <w:rPr>
          <w:rFonts w:hint="eastAsia" w:hAnsi="宋体" w:cs="宋体"/>
        </w:rPr>
        <w:t>身份证号码：</w:t>
      </w:r>
      <w:r>
        <w:rPr>
          <w:rFonts w:hint="eastAsia" w:hAnsi="宋体" w:cs="宋体"/>
          <w:u w:val="single"/>
        </w:rPr>
        <w:t xml:space="preserve">                                      </w:t>
      </w:r>
    </w:p>
    <w:p>
      <w:pPr>
        <w:autoSpaceDE w:val="0"/>
        <w:autoSpaceDN w:val="0"/>
        <w:spacing w:line="440" w:lineRule="exact"/>
        <w:ind w:firstLine="3238" w:firstLineChars="1542"/>
        <w:jc w:val="left"/>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（三）项目负责人承诺书</w:t>
      </w:r>
    </w:p>
    <w:p>
      <w:pPr>
        <w:spacing w:line="360" w:lineRule="auto"/>
        <w:rPr>
          <w:sz w:val="24"/>
        </w:rPr>
      </w:pPr>
    </w:p>
    <w:p>
      <w:pPr>
        <w:rPr>
          <w:rFonts w:hAnsi="宋体" w:cs="宋体"/>
        </w:rPr>
      </w:pPr>
    </w:p>
    <w:p>
      <w:pPr>
        <w:rPr>
          <w:rFonts w:hAnsi="宋体" w:cs="宋体"/>
        </w:rPr>
      </w:pPr>
      <w:r>
        <w:rPr>
          <w:rFonts w:hint="eastAsia" w:hAnsi="宋体" w:cs="宋体"/>
          <w:u w:val="single"/>
        </w:rPr>
        <w:t xml:space="preserve">                  </w:t>
      </w:r>
      <w:r>
        <w:rPr>
          <w:rFonts w:hint="eastAsia" w:hAnsi="宋体" w:cs="宋体"/>
        </w:rPr>
        <w:t>（招标人名称）：</w:t>
      </w:r>
    </w:p>
    <w:p>
      <w:pPr>
        <w:ind w:firstLine="48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（姓名）系我公司拟派</w:t>
      </w:r>
      <w:r>
        <w:rPr>
          <w:rFonts w:hint="eastAsia" w:hAnsi="宋体" w:cs="宋体"/>
          <w:u w:val="single"/>
        </w:rPr>
        <w:t xml:space="preserve">                       </w:t>
      </w:r>
      <w:r>
        <w:rPr>
          <w:rFonts w:hint="eastAsia" w:hAnsi="宋体" w:cs="宋体"/>
        </w:rPr>
        <w:t>（项目名称、标段）的项目负责人，现承诺：亲自参加开标活动，并愿意承担因我方就此弄虚作假所引起的一切法律后果。</w:t>
      </w:r>
    </w:p>
    <w:p>
      <w:pPr>
        <w:ind w:firstLine="480"/>
        <w:rPr>
          <w:rFonts w:hAnsi="宋体" w:cs="宋体"/>
        </w:rPr>
      </w:pPr>
      <w:r>
        <w:rPr>
          <w:rFonts w:hint="eastAsia" w:hAnsi="宋体" w:cs="宋体"/>
        </w:rPr>
        <w:t>特此承诺！</w:t>
      </w:r>
    </w:p>
    <w:p>
      <w:pPr>
        <w:spacing w:line="720" w:lineRule="auto"/>
        <w:ind w:firstLine="482"/>
        <w:rPr>
          <w:rFonts w:hAnsi="宋体" w:cs="宋体"/>
        </w:rPr>
      </w:pPr>
      <w:r>
        <w:rPr>
          <w:rFonts w:hint="eastAsia" w:hAnsi="宋体" w:cs="宋体"/>
        </w:rPr>
        <w:t>附：项目负责人身份证明</w:t>
      </w:r>
    </w:p>
    <w:p>
      <w:pPr>
        <w:spacing w:line="480" w:lineRule="auto"/>
        <w:ind w:firstLine="482"/>
        <w:jc w:val="right"/>
        <w:rPr>
          <w:rFonts w:hAnsi="宋体" w:cs="宋体"/>
        </w:rPr>
      </w:pPr>
      <w:r>
        <w:rPr>
          <w:rFonts w:hint="eastAsia" w:hAnsi="宋体" w:cs="宋体"/>
        </w:rPr>
        <w:t>投标人：</w:t>
      </w:r>
      <w:r>
        <w:rPr>
          <w:rFonts w:hint="eastAsia" w:hAnsi="宋体" w:cs="宋体"/>
          <w:u w:val="single"/>
        </w:rPr>
        <w:t xml:space="preserve">                      </w:t>
      </w:r>
      <w:r>
        <w:rPr>
          <w:rFonts w:hint="eastAsia" w:hAnsi="宋体" w:cs="宋体"/>
        </w:rPr>
        <w:t>（盖单位章）</w:t>
      </w:r>
    </w:p>
    <w:p>
      <w:pPr>
        <w:spacing w:line="480" w:lineRule="auto"/>
        <w:ind w:firstLine="482"/>
        <w:jc w:val="right"/>
        <w:rPr>
          <w:rFonts w:hAnsi="宋体" w:cs="宋体"/>
        </w:rPr>
      </w:pPr>
      <w:r>
        <w:rPr>
          <w:rFonts w:hint="eastAsia" w:hAnsi="宋体" w:cs="宋体"/>
        </w:rPr>
        <w:t>项目负责人：</w:t>
      </w:r>
      <w:r>
        <w:rPr>
          <w:rFonts w:hint="eastAsia" w:hAnsi="宋体" w:cs="宋体"/>
          <w:u w:val="single"/>
        </w:rPr>
        <w:t xml:space="preserve">                </w:t>
      </w:r>
      <w:r>
        <w:rPr>
          <w:rFonts w:hint="eastAsia" w:hAnsi="宋体" w:cs="宋体"/>
        </w:rPr>
        <w:t>（须本人签字）</w:t>
      </w:r>
    </w:p>
    <w:p>
      <w:pPr>
        <w:spacing w:line="480" w:lineRule="auto"/>
        <w:ind w:firstLine="482"/>
        <w:jc w:val="left"/>
        <w:rPr>
          <w:rFonts w:hAnsi="宋体" w:cs="宋体"/>
          <w:u w:val="single"/>
        </w:rPr>
      </w:pPr>
      <w:r>
        <w:rPr>
          <w:rFonts w:hint="eastAsia" w:hAnsi="宋体" w:cs="宋体"/>
        </w:rPr>
        <w:t xml:space="preserve">                                身份证号：</w:t>
      </w:r>
      <w:r>
        <w:rPr>
          <w:rFonts w:hint="eastAsia" w:hAnsi="宋体" w:cs="宋体"/>
          <w:u w:val="single"/>
        </w:rPr>
        <w:t xml:space="preserve">                                </w:t>
      </w:r>
    </w:p>
    <w:p>
      <w:pPr>
        <w:spacing w:line="720" w:lineRule="auto"/>
        <w:ind w:firstLine="482"/>
        <w:jc w:val="right"/>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ind w:firstLine="480"/>
        <w:rPr>
          <w:rFonts w:hAnsi="宋体" w:cs="宋体"/>
        </w:rPr>
      </w:pPr>
    </w:p>
    <w:tbl>
      <w:tblPr>
        <w:tblStyle w:val="56"/>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jc w:val="center"/>
              <w:rPr>
                <w:rFonts w:hAnsi="宋体" w:cs="宋体"/>
              </w:rPr>
            </w:pPr>
            <w:r>
              <w:rPr>
                <w:rFonts w:hint="eastAsia" w:hAnsi="宋体" w:cs="宋体"/>
              </w:rPr>
              <w:t>身份证</w:t>
            </w:r>
          </w:p>
        </w:tc>
        <w:tc>
          <w:tcPr>
            <w:tcW w:w="4345" w:type="dxa"/>
            <w:vAlign w:val="center"/>
          </w:tcPr>
          <w:p>
            <w:pPr>
              <w:jc w:val="center"/>
              <w:rPr>
                <w:rFonts w:hAnsi="宋体" w:cs="宋体"/>
              </w:rPr>
            </w:pPr>
            <w:r>
              <w:rPr>
                <w:rFonts w:hint="eastAsia" w:hAnsi="宋体" w:cs="宋体"/>
              </w:rPr>
              <w:t>建造师证书</w:t>
            </w:r>
          </w:p>
        </w:tc>
      </w:tr>
    </w:tbl>
    <w:p>
      <w:pPr>
        <w:spacing w:line="360" w:lineRule="auto"/>
        <w:jc w:val="center"/>
        <w:rPr>
          <w:rFonts w:hAnsi="宋体"/>
          <w:b/>
          <w:sz w:val="32"/>
        </w:rPr>
      </w:pPr>
    </w:p>
    <w:p>
      <w:pPr>
        <w:spacing w:line="360" w:lineRule="auto"/>
        <w:jc w:val="center"/>
        <w:rPr>
          <w:rFonts w:hAnsi="宋体"/>
          <w:b/>
          <w:sz w:val="32"/>
        </w:rPr>
      </w:pPr>
      <w:r>
        <w:rPr>
          <w:rFonts w:hAnsi="宋体"/>
          <w:b/>
          <w:sz w:val="32"/>
        </w:rPr>
        <w:br w:type="page"/>
      </w: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8"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三、投标保证金</w:t>
      </w:r>
    </w:p>
    <w:p>
      <w:pPr>
        <w:spacing w:line="360" w:lineRule="auto"/>
        <w:jc w:val="center"/>
        <w:rPr>
          <w:rFonts w:hAnsi="宋体" w:cs="宋体"/>
        </w:rPr>
      </w:pPr>
    </w:p>
    <w:p>
      <w:pPr>
        <w:spacing w:line="360" w:lineRule="auto"/>
        <w:jc w:val="center"/>
        <w:rPr>
          <w:rFonts w:hAnsi="宋体"/>
          <w:b/>
          <w:sz w:val="32"/>
        </w:rPr>
      </w:pPr>
      <w:r>
        <w:rPr>
          <w:rFonts w:hint="eastAsia" w:hAnsi="宋体" w:cs="宋体"/>
        </w:rPr>
        <w:t>附投标保证金有效银行转账凭证；</w:t>
      </w: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r>
        <w:rPr>
          <w:rFonts w:hAnsi="宋体"/>
          <w:b/>
          <w:sz w:val="32"/>
        </w:rPr>
        <w:br w:type="page"/>
      </w: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5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11"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p>
      <w:pPr>
        <w:spacing w:line="420" w:lineRule="exact"/>
        <w:rPr>
          <w:rFonts w:ascii="黑体" w:hAnsi="宋体" w:eastAsia="黑体"/>
          <w:sz w:val="24"/>
        </w:rPr>
      </w:pPr>
      <w:r>
        <w:rPr>
          <w:rFonts w:hint="eastAsia" w:ascii="黑体" w:hAnsi="宋体" w:eastAsia="黑体"/>
          <w:sz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ascii="黑体" w:hAnsi="宋体" w:eastAsia="黑体"/>
          <w:sz w:val="24"/>
        </w:rPr>
      </w:pPr>
    </w:p>
    <w:tbl>
      <w:tblPr>
        <w:tblStyle w:val="56"/>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hAnsi="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rPr>
      </w:pPr>
      <w:r>
        <w:rPr>
          <w:rFonts w:hint="eastAsia" w:hAnsi="宋体"/>
          <w:sz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5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姓名</w:t>
            </w:r>
          </w:p>
        </w:tc>
        <w:tc>
          <w:tcPr>
            <w:tcW w:w="4884" w:type="dxa"/>
            <w:tcBorders>
              <w:left w:val="nil"/>
            </w:tcBorders>
            <w:vAlign w:val="center"/>
          </w:tcPr>
          <w:p>
            <w:pPr>
              <w:spacing w:line="640" w:lineRule="exact"/>
              <w:rPr>
                <w:rFonts w:hAnsi="宋体"/>
                <w:sz w:val="24"/>
              </w:rPr>
            </w:pPr>
            <w:r>
              <w:rPr>
                <w:rFonts w:hint="eastAsia" w:hAnsi="宋体"/>
                <w:sz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u w:val="single"/>
        </w:rPr>
        <w:t xml:space="preserve">                      </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w:t>
      </w:r>
      <w:r>
        <w:rPr>
          <w:rFonts w:hint="eastAsia" w:hAnsi="宋体"/>
          <w:sz w:val="24"/>
          <w:u w:val="single"/>
        </w:rPr>
        <w:t xml:space="preserve">                </w:t>
      </w:r>
      <w:r>
        <w:rPr>
          <w:rFonts w:hint="eastAsia" w:hAnsi="宋体"/>
          <w:sz w:val="24"/>
        </w:rPr>
        <w:t>（项目名称）（以下简称“本工程”）的项目负责人</w:t>
      </w:r>
      <w:r>
        <w:rPr>
          <w:rFonts w:hint="eastAsia" w:hAnsi="宋体"/>
          <w:sz w:val="24"/>
          <w:u w:val="single"/>
        </w:rPr>
        <w:t xml:space="preserve">          </w:t>
      </w:r>
      <w:r>
        <w:rPr>
          <w:rFonts w:hint="eastAsia" w:hAnsi="宋体"/>
          <w:sz w:val="24"/>
        </w:rPr>
        <w:t>（项目负责人姓名）现阶段没有担任任何在施建设工程项目的项目负责人。</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440" w:lineRule="exact"/>
        <w:ind w:right="315"/>
        <w:jc w:val="right"/>
        <w:rPr>
          <w:rFonts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440" w:lineRule="exact"/>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5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rPr>
        <w:t>备注：本表后应附企业法人营业执照等材料。</w:t>
      </w: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r>
        <w:rPr>
          <w:rFonts w:hAnsi="宋体"/>
          <w:b/>
          <w:sz w:val="32"/>
          <w:szCs w:val="32"/>
        </w:rPr>
        <w:br w:type="page"/>
      </w:r>
      <w:r>
        <w:rPr>
          <w:rFonts w:hint="eastAsia" w:hAnsi="宋体"/>
          <w:b/>
          <w:sz w:val="32"/>
          <w:szCs w:val="32"/>
        </w:rPr>
        <w:t>七、近年完成的类似项目情况表</w:t>
      </w:r>
    </w:p>
    <w:tbl>
      <w:tblPr>
        <w:tblStyle w:val="5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jc w:val="center"/>
        <w:rPr>
          <w:rFonts w:hAnsi="宋体" w:cs="宋体"/>
          <w:b/>
          <w:sz w:val="32"/>
          <w:szCs w:val="32"/>
        </w:rPr>
      </w:pPr>
    </w:p>
    <w:p>
      <w:pPr>
        <w:widowControl/>
        <w:jc w:val="left"/>
        <w:rPr>
          <w:rFonts w:hAnsi="宋体" w:cs="宋体"/>
          <w:b/>
          <w:sz w:val="32"/>
          <w:szCs w:val="32"/>
        </w:rPr>
      </w:pPr>
      <w:r>
        <w:rPr>
          <w:rFonts w:hAnsi="宋体" w:cs="宋体"/>
          <w:b/>
          <w:sz w:val="32"/>
          <w:szCs w:val="32"/>
        </w:rPr>
        <w:br w:type="page"/>
      </w:r>
    </w:p>
    <w:p>
      <w:pPr>
        <w:jc w:val="center"/>
        <w:rPr>
          <w:rFonts w:hAnsi="宋体" w:cs="宋体"/>
          <w:b/>
          <w:sz w:val="32"/>
          <w:szCs w:val="32"/>
        </w:rPr>
      </w:pP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56"/>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tabs>
          <w:tab w:val="center" w:pos="4739"/>
        </w:tabs>
        <w:ind w:left="180"/>
        <w:jc w:val="left"/>
        <w:rPr>
          <w:rFonts w:hAnsi="宋体"/>
          <w:b/>
          <w:bCs/>
          <w:sz w:val="30"/>
          <w:szCs w:val="30"/>
        </w:rPr>
      </w:pPr>
    </w:p>
    <w:p>
      <w:pPr>
        <w:tabs>
          <w:tab w:val="center" w:pos="4739"/>
        </w:tabs>
        <w:spacing w:line="360" w:lineRule="auto"/>
        <w:ind w:left="180"/>
        <w:jc w:val="left"/>
        <w:rPr>
          <w:rFonts w:hAnsi="宋体"/>
          <w:b/>
          <w:bCs/>
          <w:sz w:val="24"/>
          <w:szCs w:val="30"/>
        </w:rPr>
      </w:pPr>
      <w:r>
        <w:rPr>
          <w:rFonts w:hint="eastAsia" w:hAnsi="宋体"/>
          <w:b/>
          <w:bCs/>
          <w:sz w:val="24"/>
          <w:szCs w:val="30"/>
        </w:rPr>
        <w:t>（一）反商业贿赂承诺书；</w:t>
      </w:r>
    </w:p>
    <w:p>
      <w:pPr>
        <w:tabs>
          <w:tab w:val="center" w:pos="4739"/>
        </w:tabs>
        <w:spacing w:line="360" w:lineRule="auto"/>
        <w:ind w:left="180"/>
        <w:jc w:val="left"/>
        <w:rPr>
          <w:rFonts w:hAnsi="宋体"/>
          <w:b/>
          <w:sz w:val="24"/>
          <w:szCs w:val="30"/>
        </w:rPr>
      </w:pPr>
      <w:r>
        <w:rPr>
          <w:rFonts w:hint="eastAsia" w:hAnsi="宋体"/>
          <w:b/>
          <w:sz w:val="24"/>
          <w:szCs w:val="30"/>
        </w:rPr>
        <w:t>（二</w:t>
      </w:r>
      <w:r>
        <w:rPr>
          <w:rFonts w:hAnsi="宋体"/>
          <w:b/>
          <w:sz w:val="24"/>
          <w:szCs w:val="30"/>
        </w:rPr>
        <w:t>）</w:t>
      </w:r>
      <w:r>
        <w:rPr>
          <w:rFonts w:hint="eastAsia" w:hAnsi="宋体"/>
          <w:b/>
          <w:sz w:val="24"/>
          <w:szCs w:val="30"/>
        </w:rPr>
        <w:t>诚信专项承诺书；</w:t>
      </w:r>
    </w:p>
    <w:p>
      <w:pPr>
        <w:tabs>
          <w:tab w:val="center" w:pos="4739"/>
        </w:tabs>
        <w:spacing w:line="360" w:lineRule="auto"/>
        <w:ind w:left="180"/>
        <w:jc w:val="left"/>
        <w:rPr>
          <w:rFonts w:hAnsi="宋体"/>
          <w:b/>
          <w:sz w:val="24"/>
          <w:szCs w:val="30"/>
        </w:rPr>
      </w:pPr>
      <w:r>
        <w:rPr>
          <w:rFonts w:hint="eastAsia" w:hAnsi="宋体"/>
          <w:b/>
          <w:sz w:val="24"/>
          <w:szCs w:val="30"/>
        </w:rPr>
        <w:t>（三）近年发生的诉讼及仲裁；</w:t>
      </w:r>
    </w:p>
    <w:p>
      <w:pPr>
        <w:tabs>
          <w:tab w:val="center" w:pos="4739"/>
        </w:tabs>
        <w:spacing w:line="360" w:lineRule="auto"/>
        <w:ind w:left="180"/>
        <w:jc w:val="left"/>
        <w:rPr>
          <w:rFonts w:hAnsi="宋体"/>
          <w:b/>
          <w:sz w:val="24"/>
          <w:szCs w:val="30"/>
        </w:rPr>
      </w:pPr>
      <w:r>
        <w:rPr>
          <w:rFonts w:hint="eastAsia" w:hAnsi="宋体"/>
          <w:b/>
          <w:sz w:val="24"/>
          <w:szCs w:val="30"/>
        </w:rPr>
        <w:t>（四</w:t>
      </w:r>
      <w:r>
        <w:rPr>
          <w:rFonts w:hAnsi="宋体"/>
          <w:b/>
          <w:sz w:val="24"/>
          <w:szCs w:val="30"/>
        </w:rPr>
        <w:t>）</w:t>
      </w:r>
      <w:r>
        <w:rPr>
          <w:rFonts w:hint="eastAsia" w:hAnsi="宋体"/>
          <w:b/>
          <w:sz w:val="24"/>
          <w:szCs w:val="30"/>
        </w:rPr>
        <w:t>投标人认为须附的其他材料，格式可自行编制。</w:t>
      </w:r>
    </w:p>
    <w:p>
      <w:pPr>
        <w:widowControl/>
        <w:jc w:val="left"/>
        <w:rPr>
          <w:rFonts w:hAnsi="宋体"/>
          <w:b/>
          <w:sz w:val="30"/>
          <w:szCs w:val="30"/>
        </w:rPr>
      </w:pPr>
      <w:r>
        <w:rPr>
          <w:rFonts w:hAnsi="宋体"/>
          <w:b/>
          <w:sz w:val="30"/>
          <w:szCs w:val="30"/>
        </w:rPr>
        <w:br w:type="page"/>
      </w:r>
    </w:p>
    <w:p>
      <w:pPr>
        <w:jc w:val="center"/>
        <w:rPr>
          <w:b/>
          <w:bCs/>
        </w:rPr>
      </w:pPr>
      <w:bookmarkStart w:id="924" w:name="_Toc302054845"/>
      <w:r>
        <w:rPr>
          <w:rFonts w:hint="eastAsia"/>
          <w:b/>
        </w:rPr>
        <w:t>（一）反商业贿赂承诺书</w:t>
      </w:r>
      <w:bookmarkEnd w:id="924"/>
    </w:p>
    <w:p>
      <w:pPr>
        <w:spacing w:line="360" w:lineRule="auto"/>
      </w:pPr>
      <w:r>
        <w:rPr>
          <w:rFonts w:hint="eastAsia"/>
        </w:rPr>
        <w:t>我公司承诺：</w:t>
      </w:r>
    </w:p>
    <w:p>
      <w:pPr>
        <w:spacing w:line="360" w:lineRule="auto"/>
        <w:ind w:firstLine="495" w:firstLineChars="236"/>
      </w:pPr>
      <w:r>
        <w:rPr>
          <w:rFonts w:hint="eastAsia"/>
        </w:rPr>
        <w:t>在本次招标活动中，我公司保证做到：</w:t>
      </w:r>
    </w:p>
    <w:p>
      <w:pPr>
        <w:spacing w:line="360" w:lineRule="auto"/>
        <w:ind w:firstLine="495" w:firstLineChars="236"/>
      </w:pPr>
      <w:r>
        <w:rPr>
          <w:rFonts w:hint="eastAsia"/>
        </w:rPr>
        <w:t>一、公平竞争参加本次招标活动。</w:t>
      </w:r>
    </w:p>
    <w:p>
      <w:pPr>
        <w:spacing w:line="360" w:lineRule="auto"/>
        <w:ind w:firstLine="495" w:firstLineChars="236"/>
      </w:pPr>
      <w:r>
        <w:rPr>
          <w:rFonts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95" w:firstLineChars="236"/>
      </w:pPr>
      <w:r>
        <w:rPr>
          <w:rFonts w:hint="eastAsia"/>
        </w:rPr>
        <w:t>三、若出现上述行为，我公司及参与投标的工作人员愿意接受按照国家法律法规等有关规定给予的处罚。</w:t>
      </w:r>
    </w:p>
    <w:p>
      <w:pPr>
        <w:spacing w:line="360" w:lineRule="auto"/>
      </w:pPr>
    </w:p>
    <w:p>
      <w:pPr>
        <w:spacing w:line="360" w:lineRule="auto"/>
      </w:pPr>
    </w:p>
    <w:p>
      <w:pPr>
        <w:spacing w:line="360" w:lineRule="auto"/>
        <w:jc w:val="right"/>
      </w:pPr>
      <w:r>
        <w:rPr>
          <w:rFonts w:hint="eastAsia"/>
        </w:rPr>
        <w:t>投标单位（盖章）：</w:t>
      </w:r>
    </w:p>
    <w:p>
      <w:pPr>
        <w:spacing w:line="360" w:lineRule="auto"/>
        <w:jc w:val="right"/>
      </w:pPr>
      <w:r>
        <w:rPr>
          <w:rFonts w:hint="eastAsia"/>
        </w:rPr>
        <w:t>法定代表人或委托代理人（签字）：</w:t>
      </w:r>
    </w:p>
    <w:p>
      <w:pPr>
        <w:spacing w:line="360" w:lineRule="auto"/>
        <w:jc w:val="right"/>
      </w:pPr>
      <w:r>
        <w:rPr>
          <w:rFonts w:hint="eastAsia"/>
        </w:rPr>
        <w:t>年月日</w:t>
      </w:r>
    </w:p>
    <w:p>
      <w:pPr>
        <w:widowControl/>
        <w:jc w:val="left"/>
      </w:pPr>
      <w:r>
        <w:br w:type="page"/>
      </w:r>
    </w:p>
    <w:p>
      <w:pPr>
        <w:jc w:val="center"/>
        <w:rPr>
          <w:b/>
          <w:bCs/>
        </w:rPr>
      </w:pPr>
      <w:r>
        <w:rPr>
          <w:rFonts w:hint="eastAsia"/>
          <w:b/>
        </w:rPr>
        <w:t>（二）诚信专项承诺书</w:t>
      </w:r>
    </w:p>
    <w:p>
      <w:pPr>
        <w:spacing w:line="360" w:lineRule="auto"/>
      </w:pPr>
      <w:r>
        <w:rPr>
          <w:rFonts w:hint="eastAsia"/>
        </w:rPr>
        <w:t>致</w:t>
      </w:r>
      <w:r>
        <w:rPr>
          <w:rFonts w:hint="eastAsia"/>
          <w:u w:val="single"/>
        </w:rPr>
        <w:t>（招标人）</w:t>
      </w:r>
      <w:r>
        <w:rPr>
          <w:rFonts w:hint="eastAsia"/>
        </w:rPr>
        <w:t>：</w:t>
      </w:r>
    </w:p>
    <w:p>
      <w:pPr>
        <w:spacing w:line="360" w:lineRule="auto"/>
        <w:ind w:firstLine="495" w:firstLineChars="236"/>
      </w:pPr>
      <w:r>
        <w:rPr>
          <w:rFonts w:hint="eastAsia"/>
        </w:rPr>
        <w:t>我单位为守法经营的建筑工程施工企业，针对本次</w:t>
      </w:r>
      <w:r>
        <w:rPr>
          <w:rFonts w:hint="eastAsia"/>
          <w:u w:val="single"/>
        </w:rPr>
        <w:t>（项目全称）</w:t>
      </w:r>
      <w:r>
        <w:rPr>
          <w:rFonts w:hint="eastAsia"/>
        </w:rPr>
        <w:t>招标项目，我公司郑重承诺：绝不挂靠、不转包工程、不违法分包工程。</w:t>
      </w:r>
    </w:p>
    <w:p>
      <w:pPr>
        <w:spacing w:line="360" w:lineRule="auto"/>
        <w:ind w:firstLine="495" w:firstLineChars="236"/>
      </w:pPr>
      <w:r>
        <w:rPr>
          <w:rFonts w:hint="eastAsia"/>
        </w:rPr>
        <w:t>若有挂靠、转包工程或违法分包工程行为愿意接受以下处罚：</w:t>
      </w:r>
    </w:p>
    <w:p>
      <w:pPr>
        <w:spacing w:line="360" w:lineRule="auto"/>
        <w:ind w:firstLine="495" w:firstLineChars="236"/>
      </w:pPr>
      <w:r>
        <w:rPr>
          <w:rFonts w:hint="eastAsia"/>
        </w:rPr>
        <w:t>一、由招标人向市、省和国家建设等行政主管部门报告，记入不良记录，并愿意接受任何处理决定；</w:t>
      </w:r>
    </w:p>
    <w:p>
      <w:pPr>
        <w:spacing w:line="360" w:lineRule="auto"/>
        <w:ind w:firstLine="495" w:firstLineChars="236"/>
      </w:pPr>
      <w:r>
        <w:rPr>
          <w:rFonts w:hint="eastAsia"/>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pPr>
        <w:spacing w:line="360" w:lineRule="auto"/>
        <w:ind w:firstLine="495" w:firstLineChars="236"/>
      </w:pPr>
      <w:r>
        <w:rPr>
          <w:rFonts w:hint="eastAsia"/>
        </w:rPr>
        <w:t>三、由招标人依法追究投标人相关法律责任。</w:t>
      </w:r>
    </w:p>
    <w:p>
      <w:pPr>
        <w:spacing w:line="360" w:lineRule="auto"/>
        <w:ind w:firstLine="495" w:firstLineChars="236"/>
      </w:pPr>
      <w:r>
        <w:rPr>
          <w:rFonts w:hint="eastAsia"/>
        </w:rPr>
        <w:t>我公司承诺：中标后，招标人对我单位资质、业绩和本项目主要管理人员进行核实，一经发现挂靠或弄虚作假，招标人有权取消我单位中标资格，并报送相关管理部门，列入黑名单。</w:t>
      </w:r>
    </w:p>
    <w:p>
      <w:pPr>
        <w:spacing w:line="360" w:lineRule="auto"/>
      </w:pPr>
    </w:p>
    <w:p>
      <w:pPr>
        <w:spacing w:line="360" w:lineRule="auto"/>
      </w:pPr>
    </w:p>
    <w:p>
      <w:pPr>
        <w:spacing w:line="360" w:lineRule="auto"/>
        <w:jc w:val="right"/>
        <w:rPr>
          <w:u w:val="single"/>
        </w:rPr>
      </w:pPr>
      <w:r>
        <w:rPr>
          <w:rFonts w:hint="eastAsia"/>
        </w:rPr>
        <w:t>投标单位（盖章）：</w:t>
      </w:r>
    </w:p>
    <w:p>
      <w:pPr>
        <w:spacing w:line="360" w:lineRule="auto"/>
        <w:jc w:val="right"/>
      </w:pPr>
      <w:r>
        <w:rPr>
          <w:rFonts w:hint="eastAsia"/>
        </w:rPr>
        <w:t>法定代表人或委托代理人（签字）：</w:t>
      </w:r>
    </w:p>
    <w:p>
      <w:pPr>
        <w:spacing w:line="360" w:lineRule="auto"/>
        <w:jc w:val="right"/>
      </w:pPr>
      <w:r>
        <w:rPr>
          <w:rFonts w:hint="eastAsia"/>
        </w:rPr>
        <w:t>年月日</w:t>
      </w:r>
    </w:p>
    <w:p>
      <w:pPr>
        <w:widowControl/>
        <w:jc w:val="left"/>
      </w:pPr>
      <w:r>
        <w:br w:type="page"/>
      </w:r>
    </w:p>
    <w:p>
      <w:pPr>
        <w:spacing w:line="360" w:lineRule="auto"/>
        <w:jc w:val="center"/>
        <w:rPr>
          <w:b/>
        </w:rPr>
      </w:pPr>
      <w:r>
        <w:rPr>
          <w:rFonts w:hint="eastAsia"/>
          <w:b/>
        </w:rPr>
        <w:t>（三）近年发生的诉讼及仲裁</w:t>
      </w:r>
    </w:p>
    <w:tbl>
      <w:tblPr>
        <w:tblStyle w:val="56"/>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201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Align w:val="center"/>
          </w:tcPr>
          <w:p>
            <w:pPr>
              <w:spacing w:line="360" w:lineRule="auto"/>
              <w:jc w:val="center"/>
              <w:rPr>
                <w:bCs/>
              </w:rPr>
            </w:pPr>
            <w:r>
              <w:rPr>
                <w:rFonts w:hint="eastAsia"/>
                <w:bCs/>
              </w:rPr>
              <w:t>类别</w:t>
            </w:r>
          </w:p>
        </w:tc>
        <w:tc>
          <w:tcPr>
            <w:tcW w:w="1164" w:type="dxa"/>
            <w:vAlign w:val="center"/>
          </w:tcPr>
          <w:p>
            <w:pPr>
              <w:spacing w:line="360" w:lineRule="auto"/>
              <w:jc w:val="center"/>
              <w:rPr>
                <w:bCs/>
              </w:rPr>
            </w:pPr>
            <w:r>
              <w:rPr>
                <w:rFonts w:hint="eastAsia"/>
                <w:bCs/>
              </w:rPr>
              <w:t>序号</w:t>
            </w:r>
          </w:p>
        </w:tc>
        <w:tc>
          <w:tcPr>
            <w:tcW w:w="1752" w:type="dxa"/>
            <w:vAlign w:val="center"/>
          </w:tcPr>
          <w:p>
            <w:pPr>
              <w:spacing w:line="360" w:lineRule="auto"/>
              <w:jc w:val="center"/>
              <w:rPr>
                <w:bCs/>
              </w:rPr>
            </w:pPr>
            <w:r>
              <w:rPr>
                <w:rFonts w:hint="eastAsia"/>
                <w:bCs/>
              </w:rPr>
              <w:t>发生时间</w:t>
            </w:r>
          </w:p>
        </w:tc>
        <w:tc>
          <w:tcPr>
            <w:tcW w:w="2015" w:type="dxa"/>
            <w:vAlign w:val="center"/>
          </w:tcPr>
          <w:p>
            <w:pPr>
              <w:spacing w:line="360" w:lineRule="auto"/>
              <w:jc w:val="center"/>
              <w:rPr>
                <w:bCs/>
              </w:rPr>
            </w:pPr>
            <w:r>
              <w:rPr>
                <w:rFonts w:hint="eastAsia"/>
                <w:bCs/>
              </w:rPr>
              <w:t>情况简介</w:t>
            </w:r>
          </w:p>
        </w:tc>
        <w:tc>
          <w:tcPr>
            <w:tcW w:w="2126" w:type="dxa"/>
            <w:vAlign w:val="center"/>
          </w:tcPr>
          <w:p>
            <w:pPr>
              <w:spacing w:line="360" w:lineRule="auto"/>
              <w:jc w:val="center"/>
              <w:rPr>
                <w:bCs/>
              </w:rPr>
            </w:pPr>
            <w:r>
              <w:rPr>
                <w:rFonts w:hint="eastAsia"/>
                <w:bCs/>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restart"/>
            <w:vAlign w:val="center"/>
          </w:tcPr>
          <w:p>
            <w:pPr>
              <w:spacing w:line="360" w:lineRule="auto"/>
              <w:jc w:val="center"/>
              <w:rPr>
                <w:bCs/>
              </w:rPr>
            </w:pPr>
            <w:r>
              <w:rPr>
                <w:rFonts w:hint="eastAsia"/>
                <w:bCs/>
              </w:rPr>
              <w:t>诉</w:t>
            </w:r>
          </w:p>
          <w:p>
            <w:pPr>
              <w:spacing w:line="360" w:lineRule="auto"/>
              <w:jc w:val="center"/>
              <w:rPr>
                <w:bCs/>
              </w:rPr>
            </w:pPr>
            <w:r>
              <w:rPr>
                <w:rFonts w:hint="eastAsia"/>
                <w:bCs/>
              </w:rPr>
              <w:t>讼</w:t>
            </w:r>
          </w:p>
          <w:p>
            <w:pPr>
              <w:spacing w:line="360" w:lineRule="auto"/>
              <w:jc w:val="center"/>
              <w:rPr>
                <w:bCs/>
              </w:rPr>
            </w:pPr>
            <w:r>
              <w:rPr>
                <w:rFonts w:hint="eastAsia"/>
                <w:bCs/>
              </w:rPr>
              <w:t>情</w:t>
            </w:r>
          </w:p>
          <w:p>
            <w:pPr>
              <w:spacing w:line="360" w:lineRule="auto"/>
              <w:jc w:val="center"/>
              <w:rPr>
                <w:b/>
              </w:rPr>
            </w:pPr>
            <w:r>
              <w:rPr>
                <w:rFonts w:hint="eastAsia"/>
                <w:bCs/>
              </w:rPr>
              <w:t>况</w:t>
            </w: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restart"/>
            <w:vAlign w:val="center"/>
          </w:tcPr>
          <w:p>
            <w:pPr>
              <w:spacing w:line="360" w:lineRule="auto"/>
              <w:jc w:val="center"/>
              <w:rPr>
                <w:bCs/>
              </w:rPr>
            </w:pPr>
            <w:r>
              <w:rPr>
                <w:rFonts w:hint="eastAsia"/>
                <w:bCs/>
              </w:rPr>
              <w:t>仲</w:t>
            </w:r>
          </w:p>
          <w:p>
            <w:pPr>
              <w:spacing w:line="360" w:lineRule="auto"/>
              <w:jc w:val="center"/>
              <w:rPr>
                <w:bCs/>
              </w:rPr>
            </w:pPr>
            <w:r>
              <w:rPr>
                <w:rFonts w:hint="eastAsia"/>
                <w:bCs/>
              </w:rPr>
              <w:t>裁</w:t>
            </w:r>
          </w:p>
          <w:p>
            <w:pPr>
              <w:spacing w:line="360" w:lineRule="auto"/>
              <w:jc w:val="center"/>
              <w:rPr>
                <w:bCs/>
              </w:rPr>
            </w:pPr>
            <w:r>
              <w:rPr>
                <w:rFonts w:hint="eastAsia"/>
                <w:bCs/>
              </w:rPr>
              <w:t>情</w:t>
            </w:r>
          </w:p>
          <w:p>
            <w:pPr>
              <w:spacing w:line="360" w:lineRule="auto"/>
              <w:jc w:val="center"/>
              <w:rPr>
                <w:b/>
              </w:rPr>
            </w:pPr>
            <w:r>
              <w:rPr>
                <w:rFonts w:hint="eastAsia"/>
                <w:bCs/>
              </w:rPr>
              <w:t>况</w:t>
            </w: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bl>
    <w:p/>
    <w:p>
      <w:pPr>
        <w:autoSpaceDE w:val="0"/>
        <w:autoSpaceDN w:val="0"/>
        <w:ind w:right="215"/>
        <w:jc w:val="center"/>
        <w:rPr>
          <w:rFonts w:hAnsi="宋体" w:cs="宋体"/>
          <w:b/>
          <w:sz w:val="32"/>
        </w:rPr>
      </w:pPr>
      <w:r>
        <w:rPr>
          <w:sz w:val="32"/>
          <w:szCs w:val="32"/>
        </w:rPr>
        <w:br w:type="page"/>
      </w:r>
    </w:p>
    <w:p>
      <w:pPr>
        <w:tabs>
          <w:tab w:val="center" w:pos="4739"/>
        </w:tabs>
        <w:ind w:left="180"/>
        <w:jc w:val="right"/>
        <w:rPr>
          <w:rFonts w:hAnsi="宋体" w:cs="宋体"/>
          <w:sz w:val="32"/>
          <w:szCs w:val="32"/>
        </w:rPr>
      </w:pPr>
    </w:p>
    <w:p>
      <w:pPr>
        <w:autoSpaceDE w:val="0"/>
        <w:autoSpaceDN w:val="0"/>
        <w:jc w:val="center"/>
        <w:rPr>
          <w:rFonts w:hAnsi="宋体" w:cs="宋体"/>
          <w:b/>
          <w:spacing w:val="60"/>
          <w:sz w:val="52"/>
          <w:szCs w:val="52"/>
          <w:u w:val="single"/>
        </w:rPr>
      </w:pPr>
      <w:r>
        <w:rPr>
          <w:rFonts w:hint="eastAsia" w:hAnsi="宋体" w:cs="宋体"/>
          <w:b/>
          <w:spacing w:val="60"/>
          <w:sz w:val="52"/>
          <w:szCs w:val="52"/>
          <w:u w:val="single"/>
        </w:rPr>
        <w:t>（工程名称、标段）</w:t>
      </w:r>
    </w:p>
    <w:p>
      <w:pPr>
        <w:autoSpaceDE w:val="0"/>
        <w:autoSpaceDN w:val="0"/>
        <w:jc w:val="center"/>
        <w:rPr>
          <w:rFonts w:hAnsi="宋体" w:cs="宋体"/>
          <w:sz w:val="36"/>
          <w:szCs w:val="36"/>
        </w:rPr>
      </w:pPr>
    </w:p>
    <w:p>
      <w:pPr>
        <w:autoSpaceDE w:val="0"/>
        <w:autoSpaceDN w:val="0"/>
        <w:jc w:val="center"/>
        <w:rPr>
          <w:rFonts w:hAnsi="宋体" w:cs="宋体"/>
          <w:sz w:val="36"/>
          <w:szCs w:val="36"/>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jc w:val="center"/>
        <w:rPr>
          <w:rFonts w:hAnsi="宋体" w:cs="宋体"/>
          <w:b/>
          <w:sz w:val="32"/>
          <w:szCs w:val="32"/>
        </w:rPr>
      </w:pPr>
      <w:r>
        <w:rPr>
          <w:rFonts w:hAnsi="宋体" w:cs="宋体"/>
          <w:b/>
          <w:sz w:val="32"/>
          <w:szCs w:val="32"/>
        </w:rPr>
        <w:t>(</w:t>
      </w:r>
      <w:r>
        <w:rPr>
          <w:rFonts w:hint="eastAsia" w:hAnsi="宋体" w:cs="宋体"/>
          <w:b/>
          <w:sz w:val="32"/>
          <w:szCs w:val="32"/>
        </w:rPr>
        <w:t>技术标）</w:t>
      </w:r>
    </w:p>
    <w:p>
      <w:pPr>
        <w:tabs>
          <w:tab w:val="center" w:pos="0"/>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widowControl/>
        <w:jc w:val="lef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目录</w:t>
      </w:r>
    </w:p>
    <w:p>
      <w:pPr>
        <w:autoSpaceDE w:val="0"/>
        <w:autoSpaceDN w:val="0"/>
        <w:spacing w:line="540" w:lineRule="exact"/>
        <w:jc w:val="center"/>
        <w:rPr>
          <w:rFonts w:hAnsi="宋体" w:cs="宋体"/>
          <w:b/>
          <w:sz w:val="36"/>
          <w:szCs w:val="36"/>
        </w:rPr>
      </w:pPr>
    </w:p>
    <w:p>
      <w:pPr>
        <w:spacing w:line="360" w:lineRule="auto"/>
        <w:rPr>
          <w:rFonts w:hAnsi="宋体" w:cs="宋体"/>
          <w:b/>
          <w:sz w:val="26"/>
          <w:szCs w:val="26"/>
        </w:rPr>
      </w:pPr>
      <w:r>
        <w:rPr>
          <w:rFonts w:hint="eastAsia" w:hAnsi="宋体" w:cs="宋体"/>
          <w:b/>
          <w:sz w:val="26"/>
          <w:szCs w:val="26"/>
        </w:rPr>
        <w:t>（1）内容完整性；</w:t>
      </w:r>
    </w:p>
    <w:p>
      <w:pPr>
        <w:spacing w:line="360" w:lineRule="auto"/>
        <w:rPr>
          <w:rFonts w:hAnsi="宋体" w:cs="宋体"/>
          <w:b/>
          <w:sz w:val="26"/>
          <w:szCs w:val="26"/>
        </w:rPr>
      </w:pPr>
      <w:r>
        <w:rPr>
          <w:rFonts w:hint="eastAsia" w:hAnsi="宋体" w:cs="宋体"/>
          <w:b/>
          <w:sz w:val="26"/>
          <w:szCs w:val="26"/>
        </w:rPr>
        <w:t>（2）主要施工方案与技术措施；</w:t>
      </w:r>
    </w:p>
    <w:p>
      <w:pPr>
        <w:spacing w:line="360" w:lineRule="auto"/>
        <w:rPr>
          <w:rFonts w:hAnsi="宋体" w:cs="宋体"/>
          <w:b/>
          <w:sz w:val="26"/>
          <w:szCs w:val="26"/>
        </w:rPr>
      </w:pPr>
      <w:r>
        <w:rPr>
          <w:rFonts w:hint="eastAsia" w:hAnsi="宋体" w:cs="宋体"/>
          <w:b/>
          <w:sz w:val="26"/>
          <w:szCs w:val="26"/>
        </w:rPr>
        <w:t>（3）质量管理体系与措施；</w:t>
      </w:r>
    </w:p>
    <w:p>
      <w:pPr>
        <w:spacing w:line="360" w:lineRule="auto"/>
        <w:rPr>
          <w:rFonts w:hAnsi="宋体" w:cs="宋体"/>
          <w:b/>
          <w:sz w:val="26"/>
          <w:szCs w:val="26"/>
        </w:rPr>
      </w:pPr>
      <w:r>
        <w:rPr>
          <w:rFonts w:hint="eastAsia" w:hAnsi="宋体" w:cs="宋体"/>
          <w:b/>
          <w:sz w:val="26"/>
          <w:szCs w:val="26"/>
        </w:rPr>
        <w:t>（4）安全管理体系与措施；</w:t>
      </w:r>
    </w:p>
    <w:p>
      <w:pPr>
        <w:spacing w:line="360" w:lineRule="auto"/>
        <w:rPr>
          <w:rFonts w:hAnsi="宋体" w:cs="宋体"/>
          <w:b/>
          <w:sz w:val="26"/>
          <w:szCs w:val="26"/>
        </w:rPr>
      </w:pPr>
      <w:r>
        <w:rPr>
          <w:rFonts w:hint="eastAsia" w:hAnsi="宋体" w:cs="宋体"/>
          <w:b/>
          <w:sz w:val="26"/>
          <w:szCs w:val="26"/>
        </w:rPr>
        <w:t>（5）文明施工、环境保护管理体系及施工现场扬尘治理措施；</w:t>
      </w:r>
    </w:p>
    <w:p>
      <w:pPr>
        <w:spacing w:line="360" w:lineRule="auto"/>
        <w:rPr>
          <w:rFonts w:hAnsi="宋体" w:cs="宋体"/>
          <w:b/>
          <w:sz w:val="26"/>
          <w:szCs w:val="26"/>
        </w:rPr>
      </w:pPr>
      <w:r>
        <w:rPr>
          <w:rFonts w:hint="eastAsia" w:hAnsi="宋体" w:cs="宋体"/>
          <w:b/>
          <w:sz w:val="26"/>
          <w:szCs w:val="26"/>
        </w:rPr>
        <w:t>（6）工期保证措施；</w:t>
      </w:r>
    </w:p>
    <w:p>
      <w:pPr>
        <w:spacing w:line="360" w:lineRule="auto"/>
        <w:rPr>
          <w:rFonts w:hAnsi="宋体" w:cs="宋体"/>
          <w:b/>
          <w:sz w:val="26"/>
          <w:szCs w:val="26"/>
        </w:rPr>
      </w:pPr>
      <w:r>
        <w:rPr>
          <w:rFonts w:hint="eastAsia" w:hAnsi="宋体" w:cs="宋体"/>
          <w:b/>
          <w:sz w:val="26"/>
          <w:szCs w:val="26"/>
        </w:rPr>
        <w:t>（7）拟投入资源配备计划；</w:t>
      </w:r>
    </w:p>
    <w:p>
      <w:pPr>
        <w:spacing w:line="360" w:lineRule="auto"/>
        <w:rPr>
          <w:rFonts w:hAnsi="宋体" w:cs="宋体"/>
          <w:b/>
          <w:sz w:val="26"/>
          <w:szCs w:val="26"/>
        </w:rPr>
      </w:pPr>
      <w:r>
        <w:rPr>
          <w:rFonts w:hint="eastAsia" w:hAnsi="宋体" w:cs="宋体"/>
          <w:b/>
          <w:sz w:val="26"/>
          <w:szCs w:val="26"/>
        </w:rPr>
        <w:t>（8）施工进度表与网络计划图；</w:t>
      </w:r>
    </w:p>
    <w:p>
      <w:pPr>
        <w:spacing w:line="360" w:lineRule="auto"/>
        <w:rPr>
          <w:rFonts w:hAnsi="宋体" w:cs="宋体"/>
          <w:b/>
          <w:sz w:val="26"/>
          <w:szCs w:val="26"/>
        </w:rPr>
      </w:pPr>
      <w:r>
        <w:rPr>
          <w:rFonts w:hint="eastAsia" w:hAnsi="宋体" w:cs="宋体"/>
          <w:b/>
          <w:sz w:val="26"/>
          <w:szCs w:val="26"/>
        </w:rPr>
        <w:t>（9）施工总平面布置图；</w:t>
      </w:r>
    </w:p>
    <w:p>
      <w:pPr>
        <w:spacing w:line="360" w:lineRule="auto"/>
        <w:rPr>
          <w:rFonts w:hAnsi="宋体" w:cs="宋体"/>
          <w:b/>
          <w:sz w:val="26"/>
          <w:szCs w:val="26"/>
        </w:rPr>
      </w:pPr>
      <w:r>
        <w:rPr>
          <w:rFonts w:hint="eastAsia" w:hAnsi="宋体" w:cs="宋体"/>
          <w:b/>
          <w:sz w:val="26"/>
          <w:szCs w:val="26"/>
        </w:rPr>
        <w:t>（10）技术创新的应用实施措施；</w:t>
      </w:r>
    </w:p>
    <w:p>
      <w:pPr>
        <w:spacing w:line="360" w:lineRule="auto"/>
        <w:rPr>
          <w:rFonts w:hAnsi="宋体" w:cs="宋体"/>
          <w:b/>
          <w:sz w:val="26"/>
          <w:szCs w:val="26"/>
        </w:rPr>
      </w:pPr>
      <w:r>
        <w:rPr>
          <w:rFonts w:hint="eastAsia" w:hAnsi="宋体" w:cs="宋体"/>
          <w:b/>
          <w:sz w:val="26"/>
          <w:szCs w:val="26"/>
        </w:rPr>
        <w:t>（11）采用新工艺、新技术、新设备、新材料、BIM等的程度；</w:t>
      </w:r>
    </w:p>
    <w:p>
      <w:pPr>
        <w:spacing w:line="360" w:lineRule="auto"/>
        <w:rPr>
          <w:rFonts w:hAnsi="宋体" w:cs="宋体"/>
          <w:b/>
          <w:sz w:val="26"/>
          <w:szCs w:val="26"/>
        </w:rPr>
      </w:pPr>
      <w:r>
        <w:rPr>
          <w:rFonts w:hint="eastAsia" w:hAnsi="宋体" w:cs="宋体"/>
          <w:b/>
          <w:sz w:val="26"/>
          <w:szCs w:val="26"/>
        </w:rPr>
        <w:t>（12）施工现场实施信息化监控和数据处理；</w:t>
      </w:r>
    </w:p>
    <w:p>
      <w:pPr>
        <w:spacing w:line="360" w:lineRule="auto"/>
        <w:rPr>
          <w:rFonts w:hAnsi="宋体" w:cs="宋体"/>
          <w:b/>
          <w:sz w:val="26"/>
          <w:szCs w:val="26"/>
        </w:rPr>
      </w:pPr>
      <w:r>
        <w:rPr>
          <w:rFonts w:hint="eastAsia" w:hAnsi="宋体" w:cs="宋体"/>
          <w:b/>
          <w:sz w:val="26"/>
          <w:szCs w:val="26"/>
        </w:rPr>
        <w:t>（13）风险管理措施。</w:t>
      </w:r>
    </w:p>
    <w:p>
      <w:pPr>
        <w:spacing w:line="400" w:lineRule="exact"/>
        <w:rPr>
          <w:rFonts w:ascii="宋体" w:hAnsi="宋体"/>
        </w:rPr>
      </w:pPr>
    </w:p>
    <w:sectPr>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60"/>
        <w:b/>
        <w:sz w:val="21"/>
        <w:szCs w:val="21"/>
      </w:rPr>
    </w:pPr>
    <w:r>
      <w:rPr>
        <w:b/>
        <w:sz w:val="21"/>
        <w:szCs w:val="21"/>
      </w:rPr>
      <w:fldChar w:fldCharType="begin"/>
    </w:r>
    <w:r>
      <w:rPr>
        <w:rStyle w:val="60"/>
        <w:b/>
        <w:sz w:val="21"/>
        <w:szCs w:val="21"/>
      </w:rPr>
      <w:instrText xml:space="preserve">PAGE  </w:instrText>
    </w:r>
    <w:r>
      <w:rPr>
        <w:b/>
        <w:sz w:val="21"/>
        <w:szCs w:val="21"/>
      </w:rPr>
      <w:fldChar w:fldCharType="separate"/>
    </w:r>
    <w:r>
      <w:rPr>
        <w:rStyle w:val="60"/>
        <w:b/>
        <w:sz w:val="21"/>
        <w:szCs w:val="21"/>
      </w:rPr>
      <w:t>9</w:t>
    </w:r>
    <w:r>
      <w:rPr>
        <w:b/>
        <w:sz w:val="21"/>
        <w:szCs w:val="21"/>
      </w:rPr>
      <w:fldChar w:fldCharType="end"/>
    </w:r>
  </w:p>
  <w:p>
    <w:pPr>
      <w:pStyle w:val="32"/>
      <w:pBdr>
        <w:top w:val="single" w:color="auto" w:sz="4" w:space="1"/>
      </w:pBdr>
    </w:pPr>
    <w:r>
      <w:rPr>
        <w:rFonts w:hint="eastAsia" w:ascii="宋体" w:hAnsi="宋体"/>
        <w:szCs w:val="21"/>
      </w:rPr>
      <w:t>中辰工程咨询有限公司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60"/>
        <w:b/>
        <w:sz w:val="21"/>
        <w:szCs w:val="21"/>
      </w:rPr>
    </w:pPr>
    <w:r>
      <w:rPr>
        <w:b/>
        <w:sz w:val="21"/>
        <w:szCs w:val="21"/>
      </w:rPr>
      <w:fldChar w:fldCharType="begin"/>
    </w:r>
    <w:r>
      <w:rPr>
        <w:rStyle w:val="60"/>
        <w:b/>
        <w:sz w:val="21"/>
        <w:szCs w:val="21"/>
      </w:rPr>
      <w:instrText xml:space="preserve">PAGE  </w:instrText>
    </w:r>
    <w:r>
      <w:rPr>
        <w:b/>
        <w:sz w:val="21"/>
        <w:szCs w:val="21"/>
      </w:rPr>
      <w:fldChar w:fldCharType="separate"/>
    </w:r>
    <w:r>
      <w:rPr>
        <w:rStyle w:val="60"/>
        <w:b/>
        <w:sz w:val="21"/>
        <w:szCs w:val="21"/>
      </w:rPr>
      <w:t>2</w:t>
    </w:r>
    <w:r>
      <w:rPr>
        <w:b/>
        <w:sz w:val="21"/>
        <w:szCs w:val="21"/>
      </w:rPr>
      <w:fldChar w:fldCharType="end"/>
    </w:r>
  </w:p>
  <w:p>
    <w:pPr>
      <w:pStyle w:val="32"/>
      <w:pBdr>
        <w:top w:val="single" w:color="auto" w:sz="4" w:space="1"/>
      </w:pBdr>
    </w:pPr>
    <w:r>
      <w:rPr>
        <w:rFonts w:hint="eastAsia" w:ascii="宋体" w:hAnsi="宋体"/>
        <w:szCs w:val="21"/>
      </w:rPr>
      <w:t>中辰工程咨询有限公司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60"/>
        <w:b/>
        <w:sz w:val="21"/>
        <w:szCs w:val="21"/>
      </w:rPr>
    </w:pPr>
    <w:r>
      <w:rPr>
        <w:b/>
        <w:sz w:val="21"/>
        <w:szCs w:val="21"/>
      </w:rPr>
      <w:fldChar w:fldCharType="begin"/>
    </w:r>
    <w:r>
      <w:rPr>
        <w:rStyle w:val="60"/>
        <w:b/>
        <w:sz w:val="21"/>
        <w:szCs w:val="21"/>
      </w:rPr>
      <w:instrText xml:space="preserve">PAGE  </w:instrText>
    </w:r>
    <w:r>
      <w:rPr>
        <w:b/>
        <w:sz w:val="21"/>
        <w:szCs w:val="21"/>
      </w:rPr>
      <w:fldChar w:fldCharType="separate"/>
    </w:r>
    <w:r>
      <w:rPr>
        <w:rStyle w:val="60"/>
        <w:b/>
        <w:sz w:val="21"/>
        <w:szCs w:val="21"/>
      </w:rPr>
      <w:t>56</w:t>
    </w:r>
    <w:r>
      <w:rPr>
        <w:b/>
        <w:sz w:val="21"/>
        <w:szCs w:val="21"/>
      </w:rPr>
      <w:fldChar w:fldCharType="end"/>
    </w:r>
  </w:p>
  <w:p>
    <w:pPr>
      <w:pStyle w:val="32"/>
      <w:pBdr>
        <w:top w:val="single" w:color="auto" w:sz="4" w:space="1"/>
      </w:pBdr>
    </w:pPr>
    <w:r>
      <w:rPr>
        <w:rFonts w:hint="eastAsia" w:ascii="宋体" w:hAnsi="宋体"/>
        <w:szCs w:val="21"/>
      </w:rPr>
      <w:t>中辰工程咨询有限公司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ascii="宋体" w:hAnsi="宋体"/>
        <w:sz w:val="36"/>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0</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60"/>
        <w:b/>
        <w:sz w:val="21"/>
        <w:szCs w:val="21"/>
      </w:rPr>
    </w:pPr>
    <w:r>
      <w:rPr>
        <w:b/>
        <w:sz w:val="21"/>
        <w:szCs w:val="21"/>
      </w:rPr>
      <w:fldChar w:fldCharType="begin"/>
    </w:r>
    <w:r>
      <w:rPr>
        <w:rStyle w:val="60"/>
        <w:b/>
        <w:sz w:val="21"/>
        <w:szCs w:val="21"/>
      </w:rPr>
      <w:instrText xml:space="preserve">PAGE  </w:instrText>
    </w:r>
    <w:r>
      <w:rPr>
        <w:b/>
        <w:sz w:val="21"/>
        <w:szCs w:val="21"/>
      </w:rPr>
      <w:fldChar w:fldCharType="separate"/>
    </w:r>
    <w:r>
      <w:rPr>
        <w:rStyle w:val="60"/>
        <w:b/>
        <w:sz w:val="21"/>
        <w:szCs w:val="21"/>
      </w:rPr>
      <w:t>97</w:t>
    </w:r>
    <w:r>
      <w:rPr>
        <w:b/>
        <w:sz w:val="21"/>
        <w:szCs w:val="21"/>
      </w:rPr>
      <w:fldChar w:fldCharType="end"/>
    </w:r>
  </w:p>
  <w:p>
    <w:pPr>
      <w:pStyle w:val="32"/>
      <w:pBdr>
        <w:top w:val="single" w:color="auto" w:sz="4" w:space="1"/>
      </w:pBdr>
    </w:pPr>
    <w:r>
      <w:rPr>
        <w:rFonts w:hint="eastAsia" w:ascii="宋体" w:hAnsi="宋体"/>
        <w:szCs w:val="21"/>
      </w:rPr>
      <w:t>中辰工程咨询有限公司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ascii="宋体" w:hAnsi="宋体"/>
        <w:szCs w:val="21"/>
      </w:rPr>
      <w:t>许昌市老年大学迁建项目室外景观、管网工程（二标段）施工招标文件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ascii="宋体" w:hAnsi="宋体"/>
      </w:rPr>
      <w:t>许昌市老年大学迁建项目室外景观、管网工程（二标段）施工招标文件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ascii="宋体" w:hAnsi="宋体"/>
        <w:szCs w:val="21"/>
      </w:rPr>
      <w:t>许昌市老年大学迁建项目室外景观、管网工程（二标段）施工招标文件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7"/>
      <w:pBdr>
        <w:bottom w:val="single" w:color="auto" w:sz="4" w:space="1"/>
      </w:pBdr>
      <w:jc w:val="right"/>
      <w:rPr>
        <w:sz w:val="18"/>
      </w:rPr>
    </w:pPr>
    <w:r>
      <w:rPr>
        <w:rFonts w:hint="eastAsia" w:ascii="宋体" w:hAnsi="宋体"/>
        <w:sz w:val="18"/>
        <w:szCs w:val="21"/>
      </w:rPr>
      <w:t>许昌市老年大学迁建项目室外景观、管网工程（二标段）施工招标文件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7"/>
      <w:ind w:firstLine="5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2"/>
      <w:jc w:val="center"/>
    </w:pPr>
    <w:r>
      <w:rPr>
        <w:rFonts w:hint="eastAsia"/>
      </w:rPr>
      <w:t>北三环东延快速通道工程绿化工程施工（二次）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5D9"/>
    <w:rsid w:val="0000460D"/>
    <w:rsid w:val="000052C6"/>
    <w:rsid w:val="00006161"/>
    <w:rsid w:val="000071B4"/>
    <w:rsid w:val="00011342"/>
    <w:rsid w:val="000141C4"/>
    <w:rsid w:val="00017D88"/>
    <w:rsid w:val="00023316"/>
    <w:rsid w:val="00026484"/>
    <w:rsid w:val="0002704B"/>
    <w:rsid w:val="0003160F"/>
    <w:rsid w:val="00032446"/>
    <w:rsid w:val="00034217"/>
    <w:rsid w:val="00036721"/>
    <w:rsid w:val="00036F00"/>
    <w:rsid w:val="00040A72"/>
    <w:rsid w:val="00047F17"/>
    <w:rsid w:val="00051CFB"/>
    <w:rsid w:val="00051FE9"/>
    <w:rsid w:val="000535C6"/>
    <w:rsid w:val="00053F4E"/>
    <w:rsid w:val="00054917"/>
    <w:rsid w:val="00054B62"/>
    <w:rsid w:val="00057E52"/>
    <w:rsid w:val="0006202F"/>
    <w:rsid w:val="000629FD"/>
    <w:rsid w:val="00072A0E"/>
    <w:rsid w:val="000776F9"/>
    <w:rsid w:val="0008299B"/>
    <w:rsid w:val="00084AF6"/>
    <w:rsid w:val="00085204"/>
    <w:rsid w:val="00097023"/>
    <w:rsid w:val="000A02FE"/>
    <w:rsid w:val="000A4F9B"/>
    <w:rsid w:val="000A7857"/>
    <w:rsid w:val="000B0AF9"/>
    <w:rsid w:val="000B1C24"/>
    <w:rsid w:val="000B2FDA"/>
    <w:rsid w:val="000B5D42"/>
    <w:rsid w:val="000B651E"/>
    <w:rsid w:val="000D0DF1"/>
    <w:rsid w:val="000D1BD2"/>
    <w:rsid w:val="000D231A"/>
    <w:rsid w:val="000D4F62"/>
    <w:rsid w:val="000D7AF7"/>
    <w:rsid w:val="000D7B16"/>
    <w:rsid w:val="000E25F9"/>
    <w:rsid w:val="000E3EE4"/>
    <w:rsid w:val="000E5E8C"/>
    <w:rsid w:val="000F01B2"/>
    <w:rsid w:val="000F03CA"/>
    <w:rsid w:val="000F17EF"/>
    <w:rsid w:val="000F2670"/>
    <w:rsid w:val="000F49E7"/>
    <w:rsid w:val="000F7522"/>
    <w:rsid w:val="0010278C"/>
    <w:rsid w:val="00102E1A"/>
    <w:rsid w:val="00106A2C"/>
    <w:rsid w:val="001102B3"/>
    <w:rsid w:val="0011189A"/>
    <w:rsid w:val="00112A12"/>
    <w:rsid w:val="0011563A"/>
    <w:rsid w:val="001158CB"/>
    <w:rsid w:val="0012154E"/>
    <w:rsid w:val="00122BE3"/>
    <w:rsid w:val="00122D36"/>
    <w:rsid w:val="00123B4C"/>
    <w:rsid w:val="001240F0"/>
    <w:rsid w:val="00124D83"/>
    <w:rsid w:val="001268D4"/>
    <w:rsid w:val="00131A28"/>
    <w:rsid w:val="001337CD"/>
    <w:rsid w:val="0013781C"/>
    <w:rsid w:val="00137942"/>
    <w:rsid w:val="00142133"/>
    <w:rsid w:val="00143AB0"/>
    <w:rsid w:val="00150EB8"/>
    <w:rsid w:val="001543AE"/>
    <w:rsid w:val="001544A9"/>
    <w:rsid w:val="00157F25"/>
    <w:rsid w:val="00157FCB"/>
    <w:rsid w:val="00160C64"/>
    <w:rsid w:val="00160C8E"/>
    <w:rsid w:val="0016260D"/>
    <w:rsid w:val="00165626"/>
    <w:rsid w:val="001666EF"/>
    <w:rsid w:val="00172A27"/>
    <w:rsid w:val="0017719B"/>
    <w:rsid w:val="00182929"/>
    <w:rsid w:val="00182F7D"/>
    <w:rsid w:val="0018485A"/>
    <w:rsid w:val="00184D18"/>
    <w:rsid w:val="00185558"/>
    <w:rsid w:val="00186C3D"/>
    <w:rsid w:val="0019488C"/>
    <w:rsid w:val="0019637F"/>
    <w:rsid w:val="001A2913"/>
    <w:rsid w:val="001A3193"/>
    <w:rsid w:val="001A6024"/>
    <w:rsid w:val="001B2B90"/>
    <w:rsid w:val="001B6377"/>
    <w:rsid w:val="001C120F"/>
    <w:rsid w:val="001C2444"/>
    <w:rsid w:val="001D2C7F"/>
    <w:rsid w:val="001D64F3"/>
    <w:rsid w:val="001E320F"/>
    <w:rsid w:val="001E358F"/>
    <w:rsid w:val="001E39D1"/>
    <w:rsid w:val="001E6757"/>
    <w:rsid w:val="001E6DF9"/>
    <w:rsid w:val="001F327C"/>
    <w:rsid w:val="001F4FE8"/>
    <w:rsid w:val="001F5845"/>
    <w:rsid w:val="001F5CB9"/>
    <w:rsid w:val="0020591C"/>
    <w:rsid w:val="002112A8"/>
    <w:rsid w:val="00211727"/>
    <w:rsid w:val="002144DD"/>
    <w:rsid w:val="00215A75"/>
    <w:rsid w:val="00216F56"/>
    <w:rsid w:val="00220779"/>
    <w:rsid w:val="00224B06"/>
    <w:rsid w:val="0022507E"/>
    <w:rsid w:val="00231282"/>
    <w:rsid w:val="002327DE"/>
    <w:rsid w:val="00232976"/>
    <w:rsid w:val="0023375E"/>
    <w:rsid w:val="00235139"/>
    <w:rsid w:val="0023555F"/>
    <w:rsid w:val="00237AD1"/>
    <w:rsid w:val="00240B54"/>
    <w:rsid w:val="00244354"/>
    <w:rsid w:val="0024471A"/>
    <w:rsid w:val="00245DA9"/>
    <w:rsid w:val="002536ED"/>
    <w:rsid w:val="00253903"/>
    <w:rsid w:val="00253B24"/>
    <w:rsid w:val="00261CDD"/>
    <w:rsid w:val="00264AFD"/>
    <w:rsid w:val="00264F47"/>
    <w:rsid w:val="0026545F"/>
    <w:rsid w:val="00267756"/>
    <w:rsid w:val="00272465"/>
    <w:rsid w:val="00272630"/>
    <w:rsid w:val="00272E9B"/>
    <w:rsid w:val="00275093"/>
    <w:rsid w:val="002761DE"/>
    <w:rsid w:val="00276B06"/>
    <w:rsid w:val="00276DC2"/>
    <w:rsid w:val="00277B81"/>
    <w:rsid w:val="00281C11"/>
    <w:rsid w:val="0028230A"/>
    <w:rsid w:val="002933D6"/>
    <w:rsid w:val="002935C4"/>
    <w:rsid w:val="00294A7E"/>
    <w:rsid w:val="00297708"/>
    <w:rsid w:val="002A43E1"/>
    <w:rsid w:val="002B008B"/>
    <w:rsid w:val="002B0715"/>
    <w:rsid w:val="002B0F6E"/>
    <w:rsid w:val="002B27E1"/>
    <w:rsid w:val="002B4993"/>
    <w:rsid w:val="002C3856"/>
    <w:rsid w:val="002C5CFB"/>
    <w:rsid w:val="002C7756"/>
    <w:rsid w:val="002C7B84"/>
    <w:rsid w:val="002D2000"/>
    <w:rsid w:val="002D3E35"/>
    <w:rsid w:val="002D40DE"/>
    <w:rsid w:val="002D4A06"/>
    <w:rsid w:val="002D7D12"/>
    <w:rsid w:val="002E06A4"/>
    <w:rsid w:val="002E5264"/>
    <w:rsid w:val="002E6114"/>
    <w:rsid w:val="002F1655"/>
    <w:rsid w:val="002F20E4"/>
    <w:rsid w:val="002F20F7"/>
    <w:rsid w:val="002F3D99"/>
    <w:rsid w:val="002F493F"/>
    <w:rsid w:val="002F4DD0"/>
    <w:rsid w:val="0030048E"/>
    <w:rsid w:val="00301203"/>
    <w:rsid w:val="00301ECF"/>
    <w:rsid w:val="0031110A"/>
    <w:rsid w:val="00312827"/>
    <w:rsid w:val="003141CE"/>
    <w:rsid w:val="00321271"/>
    <w:rsid w:val="00323E35"/>
    <w:rsid w:val="00326EBA"/>
    <w:rsid w:val="00336B30"/>
    <w:rsid w:val="00337365"/>
    <w:rsid w:val="00342710"/>
    <w:rsid w:val="00344A80"/>
    <w:rsid w:val="00345CB4"/>
    <w:rsid w:val="003517C1"/>
    <w:rsid w:val="00352F0B"/>
    <w:rsid w:val="003549EE"/>
    <w:rsid w:val="00360670"/>
    <w:rsid w:val="00364BBC"/>
    <w:rsid w:val="003676DA"/>
    <w:rsid w:val="00370551"/>
    <w:rsid w:val="003735ED"/>
    <w:rsid w:val="00373E17"/>
    <w:rsid w:val="00375440"/>
    <w:rsid w:val="003763D5"/>
    <w:rsid w:val="00376C47"/>
    <w:rsid w:val="00377223"/>
    <w:rsid w:val="0038036D"/>
    <w:rsid w:val="003843B1"/>
    <w:rsid w:val="00387608"/>
    <w:rsid w:val="003912A5"/>
    <w:rsid w:val="00392862"/>
    <w:rsid w:val="003948F0"/>
    <w:rsid w:val="00397972"/>
    <w:rsid w:val="003A383B"/>
    <w:rsid w:val="003B18C7"/>
    <w:rsid w:val="003B3CAD"/>
    <w:rsid w:val="003C027F"/>
    <w:rsid w:val="003C17AB"/>
    <w:rsid w:val="003C630B"/>
    <w:rsid w:val="003D2FB8"/>
    <w:rsid w:val="003D62DD"/>
    <w:rsid w:val="003D7CE5"/>
    <w:rsid w:val="003D7DFB"/>
    <w:rsid w:val="003E1648"/>
    <w:rsid w:val="003E177E"/>
    <w:rsid w:val="003E4771"/>
    <w:rsid w:val="003E678C"/>
    <w:rsid w:val="003E7360"/>
    <w:rsid w:val="003F1971"/>
    <w:rsid w:val="003F210E"/>
    <w:rsid w:val="003F2CFC"/>
    <w:rsid w:val="003F3ECA"/>
    <w:rsid w:val="003F4CB2"/>
    <w:rsid w:val="003F7203"/>
    <w:rsid w:val="003F778B"/>
    <w:rsid w:val="0040006A"/>
    <w:rsid w:val="00401E25"/>
    <w:rsid w:val="0040674F"/>
    <w:rsid w:val="00406ADB"/>
    <w:rsid w:val="00407BA1"/>
    <w:rsid w:val="00412C63"/>
    <w:rsid w:val="00415F52"/>
    <w:rsid w:val="00416583"/>
    <w:rsid w:val="00416686"/>
    <w:rsid w:val="0041678D"/>
    <w:rsid w:val="004168C1"/>
    <w:rsid w:val="00416D0D"/>
    <w:rsid w:val="00425B17"/>
    <w:rsid w:val="00435F8D"/>
    <w:rsid w:val="00440180"/>
    <w:rsid w:val="004412B4"/>
    <w:rsid w:val="00442D7C"/>
    <w:rsid w:val="004503D1"/>
    <w:rsid w:val="00454524"/>
    <w:rsid w:val="004548D4"/>
    <w:rsid w:val="0045653D"/>
    <w:rsid w:val="004572BC"/>
    <w:rsid w:val="00463C47"/>
    <w:rsid w:val="004645D9"/>
    <w:rsid w:val="004657B1"/>
    <w:rsid w:val="00466281"/>
    <w:rsid w:val="00467836"/>
    <w:rsid w:val="00471529"/>
    <w:rsid w:val="00471B7B"/>
    <w:rsid w:val="00472AE1"/>
    <w:rsid w:val="004732BA"/>
    <w:rsid w:val="00475876"/>
    <w:rsid w:val="0047735E"/>
    <w:rsid w:val="00480D78"/>
    <w:rsid w:val="00481B8E"/>
    <w:rsid w:val="004868C5"/>
    <w:rsid w:val="0048691C"/>
    <w:rsid w:val="00490066"/>
    <w:rsid w:val="004903BF"/>
    <w:rsid w:val="004954DC"/>
    <w:rsid w:val="004975D7"/>
    <w:rsid w:val="004A182A"/>
    <w:rsid w:val="004A2401"/>
    <w:rsid w:val="004A44AE"/>
    <w:rsid w:val="004A5C85"/>
    <w:rsid w:val="004A5FFF"/>
    <w:rsid w:val="004B1C2C"/>
    <w:rsid w:val="004B237F"/>
    <w:rsid w:val="004B57A6"/>
    <w:rsid w:val="004C1798"/>
    <w:rsid w:val="004C4EE8"/>
    <w:rsid w:val="004C743A"/>
    <w:rsid w:val="004D201B"/>
    <w:rsid w:val="004D6882"/>
    <w:rsid w:val="004D6EC3"/>
    <w:rsid w:val="004E43EF"/>
    <w:rsid w:val="004F0784"/>
    <w:rsid w:val="004F1135"/>
    <w:rsid w:val="004F2E11"/>
    <w:rsid w:val="004F3CAC"/>
    <w:rsid w:val="004F4A87"/>
    <w:rsid w:val="00501201"/>
    <w:rsid w:val="005054E1"/>
    <w:rsid w:val="005070C5"/>
    <w:rsid w:val="0051396A"/>
    <w:rsid w:val="00516B0E"/>
    <w:rsid w:val="005208A6"/>
    <w:rsid w:val="0053087E"/>
    <w:rsid w:val="00531870"/>
    <w:rsid w:val="00532401"/>
    <w:rsid w:val="00541067"/>
    <w:rsid w:val="005459D2"/>
    <w:rsid w:val="005471F9"/>
    <w:rsid w:val="00553C7D"/>
    <w:rsid w:val="00553E88"/>
    <w:rsid w:val="00554FE6"/>
    <w:rsid w:val="00557C4B"/>
    <w:rsid w:val="00561E73"/>
    <w:rsid w:val="00563085"/>
    <w:rsid w:val="00563FCF"/>
    <w:rsid w:val="005668CE"/>
    <w:rsid w:val="00566A89"/>
    <w:rsid w:val="00570067"/>
    <w:rsid w:val="005711F2"/>
    <w:rsid w:val="00571DAF"/>
    <w:rsid w:val="005801B4"/>
    <w:rsid w:val="00582D16"/>
    <w:rsid w:val="00583B2B"/>
    <w:rsid w:val="005846D1"/>
    <w:rsid w:val="00587C0C"/>
    <w:rsid w:val="00590D75"/>
    <w:rsid w:val="005934A3"/>
    <w:rsid w:val="005A1715"/>
    <w:rsid w:val="005A1D61"/>
    <w:rsid w:val="005A5270"/>
    <w:rsid w:val="005C1312"/>
    <w:rsid w:val="005C2BFB"/>
    <w:rsid w:val="005C6225"/>
    <w:rsid w:val="005C65F0"/>
    <w:rsid w:val="005C73E4"/>
    <w:rsid w:val="005D1099"/>
    <w:rsid w:val="005D2644"/>
    <w:rsid w:val="005D5F5A"/>
    <w:rsid w:val="005D78C1"/>
    <w:rsid w:val="005E02EF"/>
    <w:rsid w:val="005E3642"/>
    <w:rsid w:val="005E40A1"/>
    <w:rsid w:val="005E76AD"/>
    <w:rsid w:val="005F0D76"/>
    <w:rsid w:val="005F28DB"/>
    <w:rsid w:val="005F30DD"/>
    <w:rsid w:val="005F370B"/>
    <w:rsid w:val="005F4EE1"/>
    <w:rsid w:val="005F5B46"/>
    <w:rsid w:val="00600815"/>
    <w:rsid w:val="00601AEA"/>
    <w:rsid w:val="0061201C"/>
    <w:rsid w:val="00615C74"/>
    <w:rsid w:val="0062065D"/>
    <w:rsid w:val="00625698"/>
    <w:rsid w:val="00625967"/>
    <w:rsid w:val="00625C1F"/>
    <w:rsid w:val="00626146"/>
    <w:rsid w:val="006268C4"/>
    <w:rsid w:val="00630403"/>
    <w:rsid w:val="006304F2"/>
    <w:rsid w:val="0063162A"/>
    <w:rsid w:val="0063520A"/>
    <w:rsid w:val="006353DA"/>
    <w:rsid w:val="00636F44"/>
    <w:rsid w:val="006435E3"/>
    <w:rsid w:val="0064528C"/>
    <w:rsid w:val="006456E6"/>
    <w:rsid w:val="006508E9"/>
    <w:rsid w:val="00654F28"/>
    <w:rsid w:val="00656053"/>
    <w:rsid w:val="006563DB"/>
    <w:rsid w:val="00660E3C"/>
    <w:rsid w:val="00661754"/>
    <w:rsid w:val="00663086"/>
    <w:rsid w:val="00664C63"/>
    <w:rsid w:val="00667F26"/>
    <w:rsid w:val="0067302C"/>
    <w:rsid w:val="00673310"/>
    <w:rsid w:val="00673E67"/>
    <w:rsid w:val="00683578"/>
    <w:rsid w:val="00685B21"/>
    <w:rsid w:val="00685F7C"/>
    <w:rsid w:val="00692506"/>
    <w:rsid w:val="0069419C"/>
    <w:rsid w:val="006A1E15"/>
    <w:rsid w:val="006A6B53"/>
    <w:rsid w:val="006B01CE"/>
    <w:rsid w:val="006B3B38"/>
    <w:rsid w:val="006B476D"/>
    <w:rsid w:val="006B696C"/>
    <w:rsid w:val="006C15D4"/>
    <w:rsid w:val="006C3094"/>
    <w:rsid w:val="006C31AE"/>
    <w:rsid w:val="006C34AA"/>
    <w:rsid w:val="006C598D"/>
    <w:rsid w:val="006C684B"/>
    <w:rsid w:val="006D0579"/>
    <w:rsid w:val="006D1F02"/>
    <w:rsid w:val="006D2B99"/>
    <w:rsid w:val="006D41C0"/>
    <w:rsid w:val="006D46F1"/>
    <w:rsid w:val="006D48A0"/>
    <w:rsid w:val="006D4D76"/>
    <w:rsid w:val="006E07BE"/>
    <w:rsid w:val="006E2222"/>
    <w:rsid w:val="006E6184"/>
    <w:rsid w:val="006E76A9"/>
    <w:rsid w:val="006F1EE9"/>
    <w:rsid w:val="006F7BEB"/>
    <w:rsid w:val="00703F33"/>
    <w:rsid w:val="007138F7"/>
    <w:rsid w:val="00717057"/>
    <w:rsid w:val="0072103D"/>
    <w:rsid w:val="007210E3"/>
    <w:rsid w:val="00723177"/>
    <w:rsid w:val="00724503"/>
    <w:rsid w:val="0072481A"/>
    <w:rsid w:val="00724FC6"/>
    <w:rsid w:val="007252BE"/>
    <w:rsid w:val="00726AB6"/>
    <w:rsid w:val="00726CEF"/>
    <w:rsid w:val="00730311"/>
    <w:rsid w:val="0073087A"/>
    <w:rsid w:val="00732E04"/>
    <w:rsid w:val="007340CA"/>
    <w:rsid w:val="007347A7"/>
    <w:rsid w:val="00741C45"/>
    <w:rsid w:val="007443CD"/>
    <w:rsid w:val="00746626"/>
    <w:rsid w:val="007525B1"/>
    <w:rsid w:val="00753820"/>
    <w:rsid w:val="00755E6D"/>
    <w:rsid w:val="00756B0F"/>
    <w:rsid w:val="00760744"/>
    <w:rsid w:val="00761F5D"/>
    <w:rsid w:val="0076345C"/>
    <w:rsid w:val="007655E7"/>
    <w:rsid w:val="00766D1C"/>
    <w:rsid w:val="007730ED"/>
    <w:rsid w:val="00776A7D"/>
    <w:rsid w:val="00783817"/>
    <w:rsid w:val="00783BD6"/>
    <w:rsid w:val="00786B84"/>
    <w:rsid w:val="00790110"/>
    <w:rsid w:val="00792AB2"/>
    <w:rsid w:val="00794ADB"/>
    <w:rsid w:val="00794CBB"/>
    <w:rsid w:val="00797B5D"/>
    <w:rsid w:val="007A2BBF"/>
    <w:rsid w:val="007A5F19"/>
    <w:rsid w:val="007B02EF"/>
    <w:rsid w:val="007B045E"/>
    <w:rsid w:val="007B3D8F"/>
    <w:rsid w:val="007B440E"/>
    <w:rsid w:val="007B71B0"/>
    <w:rsid w:val="007B753F"/>
    <w:rsid w:val="007C0138"/>
    <w:rsid w:val="007C057E"/>
    <w:rsid w:val="007C35F3"/>
    <w:rsid w:val="007D2ED1"/>
    <w:rsid w:val="007D3271"/>
    <w:rsid w:val="007D332B"/>
    <w:rsid w:val="007D7AFC"/>
    <w:rsid w:val="007D7F84"/>
    <w:rsid w:val="007E03BF"/>
    <w:rsid w:val="007E0469"/>
    <w:rsid w:val="007E0E11"/>
    <w:rsid w:val="007E3CAA"/>
    <w:rsid w:val="007E505D"/>
    <w:rsid w:val="007E51FF"/>
    <w:rsid w:val="007E5CCC"/>
    <w:rsid w:val="007E6A83"/>
    <w:rsid w:val="007E7B56"/>
    <w:rsid w:val="007F03FD"/>
    <w:rsid w:val="007F0DF3"/>
    <w:rsid w:val="007F3EB7"/>
    <w:rsid w:val="007F69E1"/>
    <w:rsid w:val="007F6D76"/>
    <w:rsid w:val="008013DC"/>
    <w:rsid w:val="008015BA"/>
    <w:rsid w:val="00802811"/>
    <w:rsid w:val="0080510B"/>
    <w:rsid w:val="0080651B"/>
    <w:rsid w:val="00806AFD"/>
    <w:rsid w:val="008079A3"/>
    <w:rsid w:val="00810B0D"/>
    <w:rsid w:val="0081183E"/>
    <w:rsid w:val="00813107"/>
    <w:rsid w:val="00817BA5"/>
    <w:rsid w:val="00820367"/>
    <w:rsid w:val="00821222"/>
    <w:rsid w:val="00821AB6"/>
    <w:rsid w:val="00823543"/>
    <w:rsid w:val="00825126"/>
    <w:rsid w:val="00826706"/>
    <w:rsid w:val="00827A85"/>
    <w:rsid w:val="00831313"/>
    <w:rsid w:val="00831A1F"/>
    <w:rsid w:val="0083383A"/>
    <w:rsid w:val="008345A4"/>
    <w:rsid w:val="00836D99"/>
    <w:rsid w:val="00837E33"/>
    <w:rsid w:val="008433CF"/>
    <w:rsid w:val="00844A70"/>
    <w:rsid w:val="008460C8"/>
    <w:rsid w:val="008460E8"/>
    <w:rsid w:val="00846CAB"/>
    <w:rsid w:val="008479F8"/>
    <w:rsid w:val="008510C9"/>
    <w:rsid w:val="0085636E"/>
    <w:rsid w:val="0086067B"/>
    <w:rsid w:val="00862231"/>
    <w:rsid w:val="0087583C"/>
    <w:rsid w:val="0088122F"/>
    <w:rsid w:val="008926BA"/>
    <w:rsid w:val="00893BFF"/>
    <w:rsid w:val="0089415F"/>
    <w:rsid w:val="00896C57"/>
    <w:rsid w:val="008A34DA"/>
    <w:rsid w:val="008B1AA7"/>
    <w:rsid w:val="008B31F6"/>
    <w:rsid w:val="008B4CD0"/>
    <w:rsid w:val="008B604A"/>
    <w:rsid w:val="008C2DB2"/>
    <w:rsid w:val="008C3CDA"/>
    <w:rsid w:val="008C3D51"/>
    <w:rsid w:val="008C6A66"/>
    <w:rsid w:val="008D13BF"/>
    <w:rsid w:val="008D6947"/>
    <w:rsid w:val="008E0329"/>
    <w:rsid w:val="008E2155"/>
    <w:rsid w:val="008E45E4"/>
    <w:rsid w:val="008E5A15"/>
    <w:rsid w:val="008F27E3"/>
    <w:rsid w:val="008F2AA5"/>
    <w:rsid w:val="008F43DA"/>
    <w:rsid w:val="008F4CE7"/>
    <w:rsid w:val="008F56EB"/>
    <w:rsid w:val="008F66DB"/>
    <w:rsid w:val="00917982"/>
    <w:rsid w:val="00922F82"/>
    <w:rsid w:val="00923376"/>
    <w:rsid w:val="0092648D"/>
    <w:rsid w:val="009267C2"/>
    <w:rsid w:val="00931508"/>
    <w:rsid w:val="0093241E"/>
    <w:rsid w:val="00933A9C"/>
    <w:rsid w:val="00937CCE"/>
    <w:rsid w:val="00940816"/>
    <w:rsid w:val="009435C3"/>
    <w:rsid w:val="009447F4"/>
    <w:rsid w:val="00950141"/>
    <w:rsid w:val="00960E6E"/>
    <w:rsid w:val="00962B5C"/>
    <w:rsid w:val="00963E0A"/>
    <w:rsid w:val="0096754D"/>
    <w:rsid w:val="00967EBD"/>
    <w:rsid w:val="009729E1"/>
    <w:rsid w:val="009748FD"/>
    <w:rsid w:val="00977DA9"/>
    <w:rsid w:val="009803B5"/>
    <w:rsid w:val="009903DE"/>
    <w:rsid w:val="00992505"/>
    <w:rsid w:val="009949BC"/>
    <w:rsid w:val="0099727A"/>
    <w:rsid w:val="00997925"/>
    <w:rsid w:val="009A05D9"/>
    <w:rsid w:val="009A726D"/>
    <w:rsid w:val="009B0562"/>
    <w:rsid w:val="009B299E"/>
    <w:rsid w:val="009B2B92"/>
    <w:rsid w:val="009B3598"/>
    <w:rsid w:val="009B426A"/>
    <w:rsid w:val="009B42B9"/>
    <w:rsid w:val="009B5B96"/>
    <w:rsid w:val="009B729B"/>
    <w:rsid w:val="009C2249"/>
    <w:rsid w:val="009C533F"/>
    <w:rsid w:val="009C7D24"/>
    <w:rsid w:val="009D22B2"/>
    <w:rsid w:val="009D3330"/>
    <w:rsid w:val="009D4D1E"/>
    <w:rsid w:val="009E280B"/>
    <w:rsid w:val="009E3ED9"/>
    <w:rsid w:val="009E5480"/>
    <w:rsid w:val="009E711E"/>
    <w:rsid w:val="009F0159"/>
    <w:rsid w:val="009F0E0D"/>
    <w:rsid w:val="009F0F97"/>
    <w:rsid w:val="009F3CC3"/>
    <w:rsid w:val="00A077FB"/>
    <w:rsid w:val="00A11025"/>
    <w:rsid w:val="00A1346C"/>
    <w:rsid w:val="00A21368"/>
    <w:rsid w:val="00A24931"/>
    <w:rsid w:val="00A24AE0"/>
    <w:rsid w:val="00A32736"/>
    <w:rsid w:val="00A32C80"/>
    <w:rsid w:val="00A32CD1"/>
    <w:rsid w:val="00A33E3E"/>
    <w:rsid w:val="00A36AD1"/>
    <w:rsid w:val="00A50B20"/>
    <w:rsid w:val="00A51061"/>
    <w:rsid w:val="00A51549"/>
    <w:rsid w:val="00A51792"/>
    <w:rsid w:val="00A57F8A"/>
    <w:rsid w:val="00A61C8D"/>
    <w:rsid w:val="00A673BF"/>
    <w:rsid w:val="00A70348"/>
    <w:rsid w:val="00A71506"/>
    <w:rsid w:val="00A75E4D"/>
    <w:rsid w:val="00A81A36"/>
    <w:rsid w:val="00A84149"/>
    <w:rsid w:val="00A84812"/>
    <w:rsid w:val="00A84A5D"/>
    <w:rsid w:val="00A87AB4"/>
    <w:rsid w:val="00A87C1B"/>
    <w:rsid w:val="00A87C72"/>
    <w:rsid w:val="00A93056"/>
    <w:rsid w:val="00AA0400"/>
    <w:rsid w:val="00AA076E"/>
    <w:rsid w:val="00AA406C"/>
    <w:rsid w:val="00AA5256"/>
    <w:rsid w:val="00AB78D9"/>
    <w:rsid w:val="00AB7BB4"/>
    <w:rsid w:val="00AC0A6C"/>
    <w:rsid w:val="00AC12E2"/>
    <w:rsid w:val="00AC3A32"/>
    <w:rsid w:val="00AD0BE6"/>
    <w:rsid w:val="00AD0E58"/>
    <w:rsid w:val="00AD0FE2"/>
    <w:rsid w:val="00AD3F49"/>
    <w:rsid w:val="00AE690C"/>
    <w:rsid w:val="00AE7FF6"/>
    <w:rsid w:val="00AF1331"/>
    <w:rsid w:val="00AF1813"/>
    <w:rsid w:val="00AF4833"/>
    <w:rsid w:val="00B017D5"/>
    <w:rsid w:val="00B03D8D"/>
    <w:rsid w:val="00B06231"/>
    <w:rsid w:val="00B06259"/>
    <w:rsid w:val="00B07816"/>
    <w:rsid w:val="00B103BC"/>
    <w:rsid w:val="00B133F6"/>
    <w:rsid w:val="00B161DE"/>
    <w:rsid w:val="00B17276"/>
    <w:rsid w:val="00B23A07"/>
    <w:rsid w:val="00B24AE6"/>
    <w:rsid w:val="00B24CD8"/>
    <w:rsid w:val="00B25DE1"/>
    <w:rsid w:val="00B27C35"/>
    <w:rsid w:val="00B31E0C"/>
    <w:rsid w:val="00B34298"/>
    <w:rsid w:val="00B3436A"/>
    <w:rsid w:val="00B37CF9"/>
    <w:rsid w:val="00B44722"/>
    <w:rsid w:val="00B45065"/>
    <w:rsid w:val="00B4645A"/>
    <w:rsid w:val="00B4663F"/>
    <w:rsid w:val="00B4728F"/>
    <w:rsid w:val="00B47E6F"/>
    <w:rsid w:val="00B51465"/>
    <w:rsid w:val="00B51AA9"/>
    <w:rsid w:val="00B52BA5"/>
    <w:rsid w:val="00B555CF"/>
    <w:rsid w:val="00B60E23"/>
    <w:rsid w:val="00B614F1"/>
    <w:rsid w:val="00B61DAA"/>
    <w:rsid w:val="00B62030"/>
    <w:rsid w:val="00B626C2"/>
    <w:rsid w:val="00B654F7"/>
    <w:rsid w:val="00B67D7C"/>
    <w:rsid w:val="00B72BC5"/>
    <w:rsid w:val="00B751E8"/>
    <w:rsid w:val="00B7558F"/>
    <w:rsid w:val="00B75F00"/>
    <w:rsid w:val="00B81C83"/>
    <w:rsid w:val="00B836DF"/>
    <w:rsid w:val="00B84312"/>
    <w:rsid w:val="00B85A06"/>
    <w:rsid w:val="00B90E6B"/>
    <w:rsid w:val="00B937F8"/>
    <w:rsid w:val="00B93BE9"/>
    <w:rsid w:val="00B96B95"/>
    <w:rsid w:val="00B97C3D"/>
    <w:rsid w:val="00B97FA3"/>
    <w:rsid w:val="00BA1612"/>
    <w:rsid w:val="00BA1ACF"/>
    <w:rsid w:val="00BA2AED"/>
    <w:rsid w:val="00BA3C98"/>
    <w:rsid w:val="00BA41B0"/>
    <w:rsid w:val="00BA46DC"/>
    <w:rsid w:val="00BA74E3"/>
    <w:rsid w:val="00BB3702"/>
    <w:rsid w:val="00BB3889"/>
    <w:rsid w:val="00BB74EB"/>
    <w:rsid w:val="00BC1E2F"/>
    <w:rsid w:val="00BC2928"/>
    <w:rsid w:val="00BC2B59"/>
    <w:rsid w:val="00BC4D5E"/>
    <w:rsid w:val="00BC5284"/>
    <w:rsid w:val="00BC5730"/>
    <w:rsid w:val="00BD134E"/>
    <w:rsid w:val="00BD28D9"/>
    <w:rsid w:val="00BD6F04"/>
    <w:rsid w:val="00BE045A"/>
    <w:rsid w:val="00BE080D"/>
    <w:rsid w:val="00BE0F6C"/>
    <w:rsid w:val="00BE3244"/>
    <w:rsid w:val="00BE41E3"/>
    <w:rsid w:val="00BE48A1"/>
    <w:rsid w:val="00BE4CD4"/>
    <w:rsid w:val="00BE652B"/>
    <w:rsid w:val="00BF0729"/>
    <w:rsid w:val="00BF0C14"/>
    <w:rsid w:val="00BF1BA6"/>
    <w:rsid w:val="00BF4500"/>
    <w:rsid w:val="00BF685B"/>
    <w:rsid w:val="00C00E10"/>
    <w:rsid w:val="00C01D6E"/>
    <w:rsid w:val="00C02AAA"/>
    <w:rsid w:val="00C057ED"/>
    <w:rsid w:val="00C07D3A"/>
    <w:rsid w:val="00C07EF9"/>
    <w:rsid w:val="00C12F4E"/>
    <w:rsid w:val="00C136D2"/>
    <w:rsid w:val="00C13E98"/>
    <w:rsid w:val="00C14620"/>
    <w:rsid w:val="00C1562F"/>
    <w:rsid w:val="00C2218D"/>
    <w:rsid w:val="00C23119"/>
    <w:rsid w:val="00C23410"/>
    <w:rsid w:val="00C2361F"/>
    <w:rsid w:val="00C25859"/>
    <w:rsid w:val="00C30698"/>
    <w:rsid w:val="00C3602C"/>
    <w:rsid w:val="00C365C4"/>
    <w:rsid w:val="00C40A0B"/>
    <w:rsid w:val="00C44D81"/>
    <w:rsid w:val="00C46DC3"/>
    <w:rsid w:val="00C51E4A"/>
    <w:rsid w:val="00C53C89"/>
    <w:rsid w:val="00C559F5"/>
    <w:rsid w:val="00C5623E"/>
    <w:rsid w:val="00C5732E"/>
    <w:rsid w:val="00C603FA"/>
    <w:rsid w:val="00C6192A"/>
    <w:rsid w:val="00C674F8"/>
    <w:rsid w:val="00C70E03"/>
    <w:rsid w:val="00C74092"/>
    <w:rsid w:val="00C7635E"/>
    <w:rsid w:val="00C76638"/>
    <w:rsid w:val="00C80E11"/>
    <w:rsid w:val="00C9507E"/>
    <w:rsid w:val="00CA0A30"/>
    <w:rsid w:val="00CA0A38"/>
    <w:rsid w:val="00CA0C85"/>
    <w:rsid w:val="00CA21A0"/>
    <w:rsid w:val="00CA4960"/>
    <w:rsid w:val="00CA56B8"/>
    <w:rsid w:val="00CA69D8"/>
    <w:rsid w:val="00CA7572"/>
    <w:rsid w:val="00CB093A"/>
    <w:rsid w:val="00CB1EAC"/>
    <w:rsid w:val="00CB31B8"/>
    <w:rsid w:val="00CB521C"/>
    <w:rsid w:val="00CC2278"/>
    <w:rsid w:val="00CC36A6"/>
    <w:rsid w:val="00CC404D"/>
    <w:rsid w:val="00CC4E96"/>
    <w:rsid w:val="00CC539F"/>
    <w:rsid w:val="00CC5985"/>
    <w:rsid w:val="00CC6327"/>
    <w:rsid w:val="00CD0CED"/>
    <w:rsid w:val="00CD336A"/>
    <w:rsid w:val="00CD4B38"/>
    <w:rsid w:val="00CD4CC0"/>
    <w:rsid w:val="00CD75F5"/>
    <w:rsid w:val="00CD7FED"/>
    <w:rsid w:val="00CE1F74"/>
    <w:rsid w:val="00CE2F10"/>
    <w:rsid w:val="00CE478D"/>
    <w:rsid w:val="00CE553A"/>
    <w:rsid w:val="00CF5CEE"/>
    <w:rsid w:val="00CF7AD5"/>
    <w:rsid w:val="00D017D9"/>
    <w:rsid w:val="00D01BDA"/>
    <w:rsid w:val="00D04EBB"/>
    <w:rsid w:val="00D06D48"/>
    <w:rsid w:val="00D075B9"/>
    <w:rsid w:val="00D07659"/>
    <w:rsid w:val="00D100C2"/>
    <w:rsid w:val="00D109A0"/>
    <w:rsid w:val="00D119F3"/>
    <w:rsid w:val="00D12E27"/>
    <w:rsid w:val="00D17AD3"/>
    <w:rsid w:val="00D22544"/>
    <w:rsid w:val="00D230A5"/>
    <w:rsid w:val="00D23530"/>
    <w:rsid w:val="00D23849"/>
    <w:rsid w:val="00D324BD"/>
    <w:rsid w:val="00D3261E"/>
    <w:rsid w:val="00D32DAD"/>
    <w:rsid w:val="00D33BF1"/>
    <w:rsid w:val="00D3437D"/>
    <w:rsid w:val="00D363C9"/>
    <w:rsid w:val="00D37CFB"/>
    <w:rsid w:val="00D42D99"/>
    <w:rsid w:val="00D4342C"/>
    <w:rsid w:val="00D437C9"/>
    <w:rsid w:val="00D445BC"/>
    <w:rsid w:val="00D4620E"/>
    <w:rsid w:val="00D47078"/>
    <w:rsid w:val="00D508BE"/>
    <w:rsid w:val="00D52269"/>
    <w:rsid w:val="00D54153"/>
    <w:rsid w:val="00D541EC"/>
    <w:rsid w:val="00D54F80"/>
    <w:rsid w:val="00D5664A"/>
    <w:rsid w:val="00D629BC"/>
    <w:rsid w:val="00D67050"/>
    <w:rsid w:val="00D67542"/>
    <w:rsid w:val="00D72BD5"/>
    <w:rsid w:val="00D73E77"/>
    <w:rsid w:val="00D74FBB"/>
    <w:rsid w:val="00D76B3B"/>
    <w:rsid w:val="00D8626F"/>
    <w:rsid w:val="00D90BDB"/>
    <w:rsid w:val="00D950BB"/>
    <w:rsid w:val="00D978D1"/>
    <w:rsid w:val="00DA27FE"/>
    <w:rsid w:val="00DA2F23"/>
    <w:rsid w:val="00DA3464"/>
    <w:rsid w:val="00DA42F0"/>
    <w:rsid w:val="00DA6293"/>
    <w:rsid w:val="00DA656D"/>
    <w:rsid w:val="00DA7C3E"/>
    <w:rsid w:val="00DB1245"/>
    <w:rsid w:val="00DB43EA"/>
    <w:rsid w:val="00DB6886"/>
    <w:rsid w:val="00DC114B"/>
    <w:rsid w:val="00DC73CF"/>
    <w:rsid w:val="00DC7A96"/>
    <w:rsid w:val="00DD0AB7"/>
    <w:rsid w:val="00DD325A"/>
    <w:rsid w:val="00DD7DE4"/>
    <w:rsid w:val="00DE5685"/>
    <w:rsid w:val="00DE651E"/>
    <w:rsid w:val="00DF209C"/>
    <w:rsid w:val="00DF427C"/>
    <w:rsid w:val="00DF4501"/>
    <w:rsid w:val="00DF7006"/>
    <w:rsid w:val="00E03DEA"/>
    <w:rsid w:val="00E05730"/>
    <w:rsid w:val="00E127CC"/>
    <w:rsid w:val="00E12C78"/>
    <w:rsid w:val="00E132E8"/>
    <w:rsid w:val="00E215D0"/>
    <w:rsid w:val="00E23381"/>
    <w:rsid w:val="00E27C5E"/>
    <w:rsid w:val="00E31D26"/>
    <w:rsid w:val="00E35AEE"/>
    <w:rsid w:val="00E3759C"/>
    <w:rsid w:val="00E40533"/>
    <w:rsid w:val="00E47667"/>
    <w:rsid w:val="00E525BA"/>
    <w:rsid w:val="00E52DED"/>
    <w:rsid w:val="00E62A2B"/>
    <w:rsid w:val="00E637E8"/>
    <w:rsid w:val="00E722DF"/>
    <w:rsid w:val="00E735C4"/>
    <w:rsid w:val="00E76D9C"/>
    <w:rsid w:val="00E80D12"/>
    <w:rsid w:val="00E84040"/>
    <w:rsid w:val="00E84AFC"/>
    <w:rsid w:val="00E90FF7"/>
    <w:rsid w:val="00E91395"/>
    <w:rsid w:val="00E918F6"/>
    <w:rsid w:val="00E94F23"/>
    <w:rsid w:val="00EB095F"/>
    <w:rsid w:val="00EB1CB2"/>
    <w:rsid w:val="00EB2464"/>
    <w:rsid w:val="00EB2ED2"/>
    <w:rsid w:val="00EB40DF"/>
    <w:rsid w:val="00EB4161"/>
    <w:rsid w:val="00EB44A3"/>
    <w:rsid w:val="00EB48ED"/>
    <w:rsid w:val="00EB4FEF"/>
    <w:rsid w:val="00EC1B0C"/>
    <w:rsid w:val="00EC4478"/>
    <w:rsid w:val="00ED184E"/>
    <w:rsid w:val="00ED1A9D"/>
    <w:rsid w:val="00ED4372"/>
    <w:rsid w:val="00ED734E"/>
    <w:rsid w:val="00EE079E"/>
    <w:rsid w:val="00EE3992"/>
    <w:rsid w:val="00EE48C3"/>
    <w:rsid w:val="00EF7C6F"/>
    <w:rsid w:val="00F01C4D"/>
    <w:rsid w:val="00F02E4E"/>
    <w:rsid w:val="00F07D14"/>
    <w:rsid w:val="00F10C8C"/>
    <w:rsid w:val="00F12B4A"/>
    <w:rsid w:val="00F13CA6"/>
    <w:rsid w:val="00F1601B"/>
    <w:rsid w:val="00F2669B"/>
    <w:rsid w:val="00F278AC"/>
    <w:rsid w:val="00F30B36"/>
    <w:rsid w:val="00F3143F"/>
    <w:rsid w:val="00F35425"/>
    <w:rsid w:val="00F373D0"/>
    <w:rsid w:val="00F4021B"/>
    <w:rsid w:val="00F426CF"/>
    <w:rsid w:val="00F50851"/>
    <w:rsid w:val="00F50EB3"/>
    <w:rsid w:val="00F57371"/>
    <w:rsid w:val="00F606FE"/>
    <w:rsid w:val="00F633D5"/>
    <w:rsid w:val="00F646E1"/>
    <w:rsid w:val="00F66044"/>
    <w:rsid w:val="00F669DB"/>
    <w:rsid w:val="00F66BC4"/>
    <w:rsid w:val="00F67794"/>
    <w:rsid w:val="00F72C3D"/>
    <w:rsid w:val="00F75116"/>
    <w:rsid w:val="00F752E1"/>
    <w:rsid w:val="00F75E04"/>
    <w:rsid w:val="00F760C7"/>
    <w:rsid w:val="00F766EB"/>
    <w:rsid w:val="00F769C6"/>
    <w:rsid w:val="00F77550"/>
    <w:rsid w:val="00F804A3"/>
    <w:rsid w:val="00F82076"/>
    <w:rsid w:val="00F82905"/>
    <w:rsid w:val="00F83A40"/>
    <w:rsid w:val="00F83F88"/>
    <w:rsid w:val="00F95275"/>
    <w:rsid w:val="00F97723"/>
    <w:rsid w:val="00FA08A3"/>
    <w:rsid w:val="00FA2AD9"/>
    <w:rsid w:val="00FA5C8B"/>
    <w:rsid w:val="00FB517F"/>
    <w:rsid w:val="00FB77B8"/>
    <w:rsid w:val="00FC1A28"/>
    <w:rsid w:val="00FC22A5"/>
    <w:rsid w:val="00FC2BF7"/>
    <w:rsid w:val="00FC3074"/>
    <w:rsid w:val="00FC3F3A"/>
    <w:rsid w:val="00FC5D37"/>
    <w:rsid w:val="00FC7FEC"/>
    <w:rsid w:val="00FD4056"/>
    <w:rsid w:val="00FD4347"/>
    <w:rsid w:val="00FD58E6"/>
    <w:rsid w:val="00FD6080"/>
    <w:rsid w:val="00FD69DE"/>
    <w:rsid w:val="00FE5D6A"/>
    <w:rsid w:val="00FE5D7C"/>
    <w:rsid w:val="00FE61AB"/>
    <w:rsid w:val="00FE7786"/>
    <w:rsid w:val="00FF06A1"/>
    <w:rsid w:val="00FF20FD"/>
    <w:rsid w:val="00FF492E"/>
    <w:rsid w:val="65E86005"/>
    <w:rsid w:val="66927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name="index 2"/>
    <w:lsdException w:unhideWhenUsed="0" w:uiPriority="0" w:name="index 3"/>
    <w:lsdException w:unhideWhenUsed="0" w:uiPriority="0" w:semiHidden="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name="index heading"/>
    <w:lsdException w:qFormat="1" w:unhideWhenUsed="0" w:uiPriority="35"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99" w:semiHidden="0"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120" w:after="120"/>
      <w:jc w:val="center"/>
      <w:outlineLvl w:val="0"/>
    </w:pPr>
    <w:rPr>
      <w:b/>
      <w:bCs/>
      <w:kern w:val="44"/>
      <w:sz w:val="36"/>
      <w:szCs w:val="44"/>
    </w:rPr>
  </w:style>
  <w:style w:type="paragraph" w:styleId="3">
    <w:name w:val="heading 2"/>
    <w:basedOn w:val="1"/>
    <w:next w:val="1"/>
    <w:link w:val="73"/>
    <w:qFormat/>
    <w:uiPriority w:val="0"/>
    <w:pPr>
      <w:keepNext/>
      <w:keepLines/>
      <w:spacing w:before="120" w:after="120"/>
      <w:outlineLvl w:val="1"/>
    </w:pPr>
    <w:rPr>
      <w:rFonts w:ascii="Arial" w:hAnsi="Arial"/>
      <w:b/>
      <w:bCs/>
      <w:sz w:val="28"/>
      <w:szCs w:val="32"/>
    </w:rPr>
  </w:style>
  <w:style w:type="paragraph" w:styleId="4">
    <w:name w:val="heading 3"/>
    <w:basedOn w:val="1"/>
    <w:next w:val="1"/>
    <w:link w:val="70"/>
    <w:qFormat/>
    <w:uiPriority w:val="0"/>
    <w:pPr>
      <w:keepNext/>
      <w:keepLines/>
      <w:spacing w:before="120" w:after="120"/>
      <w:ind w:firstLine="137" w:firstLineChars="49"/>
      <w:outlineLvl w:val="2"/>
    </w:pPr>
    <w:rPr>
      <w:rFonts w:ascii="黑体" w:hAnsi="宋体"/>
      <w:b/>
      <w:bCs/>
      <w:sz w:val="24"/>
      <w:szCs w:val="28"/>
    </w:rPr>
  </w:style>
  <w:style w:type="paragraph" w:styleId="5">
    <w:name w:val="heading 4"/>
    <w:basedOn w:val="1"/>
    <w:next w:val="1"/>
    <w:link w:val="69"/>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111"/>
    <w:qFormat/>
    <w:uiPriority w:val="9"/>
    <w:pPr>
      <w:keepNext/>
      <w:keepLines/>
      <w:widowControl/>
      <w:spacing w:before="40" w:line="259" w:lineRule="auto"/>
      <w:jc w:val="left"/>
      <w:outlineLvl w:val="4"/>
    </w:pPr>
    <w:rPr>
      <w:rFonts w:ascii="Calibri Light" w:hAnsi="Calibri Light"/>
      <w:color w:val="2E74B5"/>
      <w:kern w:val="0"/>
      <w:sz w:val="22"/>
      <w:szCs w:val="22"/>
    </w:rPr>
  </w:style>
  <w:style w:type="paragraph" w:styleId="7">
    <w:name w:val="heading 6"/>
    <w:basedOn w:val="1"/>
    <w:next w:val="1"/>
    <w:link w:val="479"/>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480"/>
    <w:qFormat/>
    <w:uiPriority w:val="9"/>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481"/>
    <w:qFormat/>
    <w:uiPriority w:val="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482"/>
    <w:qFormat/>
    <w:uiPriority w:val="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iPriority w:val="39"/>
    <w:pPr>
      <w:ind w:left="1260"/>
      <w:jc w:val="left"/>
    </w:pPr>
    <w:rPr>
      <w:sz w:val="18"/>
      <w:szCs w:val="18"/>
    </w:rPr>
  </w:style>
  <w:style w:type="paragraph" w:styleId="12">
    <w:name w:val="index 8"/>
    <w:basedOn w:val="1"/>
    <w:next w:val="1"/>
    <w:semiHidden/>
    <w:uiPriority w:val="0"/>
    <w:pPr>
      <w:widowControl/>
      <w:spacing w:after="160" w:line="259" w:lineRule="auto"/>
      <w:ind w:left="1400" w:leftChars="1400"/>
      <w:jc w:val="left"/>
    </w:pPr>
    <w:rPr>
      <w:rFonts w:ascii="等线" w:hAnsi="等线" w:eastAsia="等线"/>
      <w:kern w:val="0"/>
      <w:sz w:val="22"/>
      <w:szCs w:val="22"/>
    </w:rPr>
  </w:style>
  <w:style w:type="paragraph" w:styleId="13">
    <w:name w:val="Normal Indent"/>
    <w:basedOn w:val="1"/>
    <w:link w:val="316"/>
    <w:uiPriority w:val="0"/>
    <w:pPr>
      <w:ind w:firstLine="420" w:firstLineChars="200"/>
    </w:pPr>
  </w:style>
  <w:style w:type="paragraph" w:styleId="14">
    <w:name w:val="caption"/>
    <w:basedOn w:val="1"/>
    <w:next w:val="1"/>
    <w:qFormat/>
    <w:uiPriority w:val="35"/>
    <w:pPr>
      <w:widowControl/>
      <w:spacing w:after="200"/>
      <w:jc w:val="left"/>
    </w:pPr>
    <w:rPr>
      <w:rFonts w:ascii="等线" w:hAnsi="等线" w:eastAsia="等线"/>
      <w:i/>
      <w:iCs/>
      <w:color w:val="44546A"/>
      <w:kern w:val="0"/>
      <w:sz w:val="18"/>
      <w:szCs w:val="18"/>
    </w:rPr>
  </w:style>
  <w:style w:type="paragraph" w:styleId="15">
    <w:name w:val="index 5"/>
    <w:basedOn w:val="1"/>
    <w:next w:val="1"/>
    <w:semiHidden/>
    <w:uiPriority w:val="0"/>
    <w:pPr>
      <w:widowControl/>
      <w:spacing w:after="160" w:line="259" w:lineRule="auto"/>
      <w:ind w:left="800" w:leftChars="800"/>
      <w:jc w:val="left"/>
    </w:pPr>
    <w:rPr>
      <w:rFonts w:ascii="等线" w:hAnsi="等线" w:eastAsia="等线"/>
      <w:kern w:val="0"/>
      <w:sz w:val="22"/>
      <w:szCs w:val="22"/>
    </w:rPr>
  </w:style>
  <w:style w:type="paragraph" w:styleId="16">
    <w:name w:val="Document Map"/>
    <w:basedOn w:val="1"/>
    <w:link w:val="77"/>
    <w:uiPriority w:val="99"/>
    <w:pPr>
      <w:shd w:val="clear" w:color="auto" w:fill="000080"/>
    </w:pPr>
  </w:style>
  <w:style w:type="paragraph" w:styleId="17">
    <w:name w:val="annotation text"/>
    <w:basedOn w:val="1"/>
    <w:link w:val="75"/>
    <w:qFormat/>
    <w:uiPriority w:val="0"/>
    <w:pPr>
      <w:jc w:val="left"/>
    </w:pPr>
  </w:style>
  <w:style w:type="paragraph" w:styleId="18">
    <w:name w:val="index 6"/>
    <w:basedOn w:val="1"/>
    <w:next w:val="1"/>
    <w:semiHidden/>
    <w:uiPriority w:val="0"/>
    <w:pPr>
      <w:widowControl/>
      <w:spacing w:after="160" w:line="259" w:lineRule="auto"/>
      <w:ind w:left="1000" w:leftChars="1000"/>
      <w:jc w:val="left"/>
    </w:pPr>
    <w:rPr>
      <w:rFonts w:ascii="等线" w:hAnsi="等线" w:eastAsia="等线"/>
      <w:kern w:val="0"/>
      <w:sz w:val="22"/>
      <w:szCs w:val="22"/>
    </w:rPr>
  </w:style>
  <w:style w:type="paragraph" w:styleId="19">
    <w:name w:val="Body Text 3"/>
    <w:basedOn w:val="1"/>
    <w:link w:val="100"/>
    <w:uiPriority w:val="0"/>
    <w:rPr>
      <w:rFonts w:ascii="宋体"/>
      <w:sz w:val="24"/>
      <w:szCs w:val="20"/>
    </w:rPr>
  </w:style>
  <w:style w:type="paragraph" w:styleId="20">
    <w:name w:val="Body Text"/>
    <w:basedOn w:val="1"/>
    <w:link w:val="66"/>
    <w:qFormat/>
    <w:uiPriority w:val="99"/>
    <w:pPr>
      <w:spacing w:after="120"/>
    </w:pPr>
  </w:style>
  <w:style w:type="paragraph" w:styleId="21">
    <w:name w:val="Body Text Indent"/>
    <w:basedOn w:val="1"/>
    <w:link w:val="101"/>
    <w:qFormat/>
    <w:uiPriority w:val="99"/>
    <w:pPr>
      <w:spacing w:after="120"/>
      <w:ind w:left="420" w:leftChars="200"/>
    </w:pPr>
  </w:style>
  <w:style w:type="paragraph" w:styleId="22">
    <w:name w:val="Block Text"/>
    <w:basedOn w:val="1"/>
    <w:uiPriority w:val="0"/>
    <w:pPr>
      <w:widowControl/>
      <w:spacing w:after="160" w:line="259" w:lineRule="auto"/>
      <w:ind w:left="420" w:right="-1031" w:rightChars="-491"/>
      <w:jc w:val="left"/>
    </w:pPr>
    <w:rPr>
      <w:rFonts w:ascii="等线" w:hAnsi="等线" w:eastAsia="等线"/>
      <w:kern w:val="0"/>
      <w:sz w:val="22"/>
      <w:szCs w:val="22"/>
    </w:rPr>
  </w:style>
  <w:style w:type="paragraph" w:styleId="23">
    <w:name w:val="index 4"/>
    <w:basedOn w:val="1"/>
    <w:next w:val="1"/>
    <w:uiPriority w:val="0"/>
    <w:pPr>
      <w:widowControl/>
      <w:spacing w:after="160" w:line="259" w:lineRule="auto"/>
      <w:ind w:left="600" w:leftChars="600"/>
      <w:jc w:val="left"/>
    </w:pPr>
    <w:rPr>
      <w:rFonts w:ascii="等线" w:hAnsi="等线" w:eastAsia="等线"/>
      <w:kern w:val="0"/>
      <w:sz w:val="22"/>
      <w:szCs w:val="22"/>
    </w:rPr>
  </w:style>
  <w:style w:type="paragraph" w:styleId="24">
    <w:name w:val="toc 5"/>
    <w:basedOn w:val="1"/>
    <w:next w:val="1"/>
    <w:uiPriority w:val="39"/>
    <w:pPr>
      <w:ind w:left="840"/>
      <w:jc w:val="left"/>
    </w:pPr>
    <w:rPr>
      <w:sz w:val="18"/>
      <w:szCs w:val="18"/>
    </w:rPr>
  </w:style>
  <w:style w:type="paragraph" w:styleId="25">
    <w:name w:val="toc 3"/>
    <w:basedOn w:val="1"/>
    <w:next w:val="1"/>
    <w:uiPriority w:val="39"/>
    <w:pPr>
      <w:ind w:left="420"/>
      <w:jc w:val="left"/>
    </w:pPr>
    <w:rPr>
      <w:iCs/>
      <w:sz w:val="20"/>
      <w:szCs w:val="20"/>
    </w:rPr>
  </w:style>
  <w:style w:type="paragraph" w:styleId="26">
    <w:name w:val="Plain Text"/>
    <w:basedOn w:val="1"/>
    <w:link w:val="93"/>
    <w:uiPriority w:val="99"/>
    <w:rPr>
      <w:rFonts w:ascii="宋体" w:hAnsi="Courier New"/>
      <w:kern w:val="0"/>
      <w:sz w:val="20"/>
      <w:szCs w:val="20"/>
    </w:rPr>
  </w:style>
  <w:style w:type="paragraph" w:styleId="27">
    <w:name w:val="toc 8"/>
    <w:basedOn w:val="1"/>
    <w:next w:val="1"/>
    <w:uiPriority w:val="39"/>
    <w:pPr>
      <w:ind w:left="1470"/>
      <w:jc w:val="left"/>
    </w:pPr>
    <w:rPr>
      <w:sz w:val="18"/>
      <w:szCs w:val="18"/>
    </w:rPr>
  </w:style>
  <w:style w:type="paragraph" w:styleId="28">
    <w:name w:val="index 3"/>
    <w:basedOn w:val="1"/>
    <w:next w:val="1"/>
    <w:semiHidden/>
    <w:uiPriority w:val="0"/>
    <w:pPr>
      <w:widowControl/>
      <w:spacing w:after="160" w:line="259" w:lineRule="auto"/>
      <w:ind w:left="400" w:leftChars="400"/>
      <w:jc w:val="left"/>
    </w:pPr>
    <w:rPr>
      <w:rFonts w:ascii="等线" w:hAnsi="等线" w:eastAsia="等线"/>
      <w:kern w:val="0"/>
      <w:sz w:val="22"/>
      <w:szCs w:val="22"/>
    </w:rPr>
  </w:style>
  <w:style w:type="paragraph" w:styleId="29">
    <w:name w:val="Date"/>
    <w:basedOn w:val="1"/>
    <w:next w:val="1"/>
    <w:link w:val="109"/>
    <w:uiPriority w:val="0"/>
    <w:rPr>
      <w:sz w:val="24"/>
      <w:szCs w:val="20"/>
    </w:rPr>
  </w:style>
  <w:style w:type="paragraph" w:styleId="30">
    <w:name w:val="Body Text Indent 2"/>
    <w:basedOn w:val="1"/>
    <w:link w:val="353"/>
    <w:qFormat/>
    <w:uiPriority w:val="99"/>
    <w:pPr>
      <w:widowControl/>
      <w:spacing w:after="120" w:line="480" w:lineRule="auto"/>
      <w:ind w:left="420" w:leftChars="200"/>
      <w:jc w:val="left"/>
    </w:pPr>
    <w:rPr>
      <w:kern w:val="0"/>
      <w:sz w:val="20"/>
    </w:rPr>
  </w:style>
  <w:style w:type="paragraph" w:styleId="31">
    <w:name w:val="Balloon Text"/>
    <w:basedOn w:val="1"/>
    <w:link w:val="108"/>
    <w:uiPriority w:val="99"/>
    <w:rPr>
      <w:sz w:val="18"/>
      <w:szCs w:val="18"/>
    </w:rPr>
  </w:style>
  <w:style w:type="paragraph" w:styleId="32">
    <w:name w:val="footer"/>
    <w:basedOn w:val="1"/>
    <w:link w:val="74"/>
    <w:qFormat/>
    <w:uiPriority w:val="99"/>
    <w:pPr>
      <w:tabs>
        <w:tab w:val="center" w:pos="4153"/>
        <w:tab w:val="right" w:pos="8306"/>
      </w:tabs>
      <w:snapToGrid w:val="0"/>
      <w:jc w:val="left"/>
    </w:pPr>
    <w:rPr>
      <w:sz w:val="18"/>
      <w:szCs w:val="18"/>
    </w:rPr>
  </w:style>
  <w:style w:type="paragraph" w:styleId="33">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uiPriority w:val="39"/>
    <w:pPr>
      <w:ind w:left="630"/>
      <w:jc w:val="left"/>
    </w:pPr>
    <w:rPr>
      <w:sz w:val="18"/>
      <w:szCs w:val="18"/>
    </w:rPr>
  </w:style>
  <w:style w:type="paragraph" w:styleId="36">
    <w:name w:val="index heading"/>
    <w:basedOn w:val="1"/>
    <w:next w:val="37"/>
    <w:semiHidden/>
    <w:uiPriority w:val="0"/>
    <w:pPr>
      <w:widowControl/>
      <w:spacing w:after="160" w:line="259" w:lineRule="auto"/>
      <w:jc w:val="left"/>
    </w:pPr>
    <w:rPr>
      <w:rFonts w:ascii="等线" w:hAnsi="等线" w:eastAsia="等线"/>
      <w:kern w:val="0"/>
      <w:sz w:val="22"/>
      <w:szCs w:val="22"/>
    </w:rPr>
  </w:style>
  <w:style w:type="paragraph" w:styleId="37">
    <w:name w:val="index 1"/>
    <w:basedOn w:val="1"/>
    <w:next w:val="1"/>
    <w:uiPriority w:val="0"/>
    <w:pPr>
      <w:spacing w:line="220" w:lineRule="exact"/>
      <w:jc w:val="center"/>
    </w:pPr>
    <w:rPr>
      <w:rFonts w:ascii="仿宋_GB2312" w:eastAsia="仿宋_GB2312"/>
      <w:szCs w:val="21"/>
    </w:rPr>
  </w:style>
  <w:style w:type="paragraph" w:styleId="38">
    <w:name w:val="Subtitle"/>
    <w:basedOn w:val="1"/>
    <w:next w:val="1"/>
    <w:link w:val="179"/>
    <w:qFormat/>
    <w:uiPriority w:val="11"/>
    <w:pPr>
      <w:widowControl/>
      <w:spacing w:after="160" w:line="259" w:lineRule="auto"/>
      <w:jc w:val="left"/>
    </w:pPr>
    <w:rPr>
      <w:rFonts w:ascii="等线" w:hAnsi="等线" w:eastAsia="等线"/>
      <w:color w:val="5A5A5A"/>
      <w:spacing w:val="15"/>
      <w:kern w:val="0"/>
      <w:sz w:val="22"/>
      <w:szCs w:val="22"/>
    </w:rPr>
  </w:style>
  <w:style w:type="paragraph" w:styleId="39">
    <w:name w:val="List"/>
    <w:basedOn w:val="1"/>
    <w:uiPriority w:val="0"/>
    <w:pPr>
      <w:widowControl/>
      <w:spacing w:after="160" w:line="259" w:lineRule="auto"/>
      <w:ind w:left="200" w:hanging="200" w:hangingChars="200"/>
      <w:jc w:val="left"/>
    </w:pPr>
    <w:rPr>
      <w:rFonts w:ascii="等线" w:hAnsi="等线" w:eastAsia="等线"/>
      <w:kern w:val="0"/>
      <w:sz w:val="22"/>
      <w:szCs w:val="22"/>
    </w:rPr>
  </w:style>
  <w:style w:type="paragraph" w:styleId="40">
    <w:name w:val="footnote text"/>
    <w:basedOn w:val="1"/>
    <w:link w:val="231"/>
    <w:qFormat/>
    <w:uiPriority w:val="0"/>
    <w:pPr>
      <w:widowControl/>
      <w:spacing w:after="160" w:line="259" w:lineRule="auto"/>
      <w:jc w:val="left"/>
    </w:pPr>
    <w:rPr>
      <w:kern w:val="0"/>
      <w:sz w:val="20"/>
      <w:szCs w:val="20"/>
    </w:rPr>
  </w:style>
  <w:style w:type="paragraph" w:styleId="41">
    <w:name w:val="toc 6"/>
    <w:basedOn w:val="1"/>
    <w:next w:val="1"/>
    <w:uiPriority w:val="39"/>
    <w:pPr>
      <w:ind w:left="1050"/>
      <w:jc w:val="left"/>
    </w:pPr>
    <w:rPr>
      <w:sz w:val="18"/>
      <w:szCs w:val="18"/>
    </w:rPr>
  </w:style>
  <w:style w:type="paragraph" w:styleId="42">
    <w:name w:val="Body Text Indent 3"/>
    <w:basedOn w:val="1"/>
    <w:link w:val="110"/>
    <w:uiPriority w:val="99"/>
    <w:pPr>
      <w:spacing w:after="120"/>
      <w:ind w:left="420" w:leftChars="200"/>
    </w:pPr>
    <w:rPr>
      <w:sz w:val="16"/>
      <w:szCs w:val="16"/>
    </w:rPr>
  </w:style>
  <w:style w:type="paragraph" w:styleId="43">
    <w:name w:val="index 7"/>
    <w:basedOn w:val="1"/>
    <w:next w:val="1"/>
    <w:semiHidden/>
    <w:uiPriority w:val="0"/>
    <w:pPr>
      <w:widowControl/>
      <w:spacing w:after="160" w:line="259" w:lineRule="auto"/>
      <w:ind w:left="1200" w:leftChars="1200"/>
      <w:jc w:val="left"/>
    </w:pPr>
    <w:rPr>
      <w:rFonts w:ascii="等线" w:hAnsi="等线" w:eastAsia="等线"/>
      <w:kern w:val="0"/>
      <w:sz w:val="22"/>
      <w:szCs w:val="22"/>
    </w:rPr>
  </w:style>
  <w:style w:type="paragraph" w:styleId="44">
    <w:name w:val="index 9"/>
    <w:basedOn w:val="1"/>
    <w:next w:val="1"/>
    <w:semiHidden/>
    <w:uiPriority w:val="0"/>
    <w:pPr>
      <w:widowControl/>
      <w:spacing w:after="160" w:line="259" w:lineRule="auto"/>
      <w:ind w:left="1600" w:leftChars="1600"/>
      <w:jc w:val="left"/>
    </w:pPr>
    <w:rPr>
      <w:rFonts w:ascii="等线" w:hAnsi="等线" w:eastAsia="等线"/>
      <w:kern w:val="0"/>
      <w:sz w:val="22"/>
      <w:szCs w:val="22"/>
    </w:rPr>
  </w:style>
  <w:style w:type="paragraph" w:styleId="45">
    <w:name w:val="table of figures"/>
    <w:basedOn w:val="1"/>
    <w:next w:val="1"/>
    <w:uiPriority w:val="0"/>
    <w:pPr>
      <w:widowControl/>
      <w:spacing w:after="160" w:line="259" w:lineRule="auto"/>
      <w:ind w:left="420" w:hanging="420"/>
      <w:jc w:val="left"/>
    </w:pPr>
    <w:rPr>
      <w:rFonts w:ascii="等线" w:hAnsi="等线" w:eastAsia="等线"/>
      <w:smallCaps/>
      <w:kern w:val="0"/>
      <w:sz w:val="20"/>
      <w:szCs w:val="20"/>
    </w:rPr>
  </w:style>
  <w:style w:type="paragraph" w:styleId="46">
    <w:name w:val="toc 2"/>
    <w:basedOn w:val="1"/>
    <w:next w:val="1"/>
    <w:qFormat/>
    <w:uiPriority w:val="39"/>
    <w:pPr>
      <w:ind w:left="210"/>
      <w:jc w:val="left"/>
    </w:pPr>
    <w:rPr>
      <w:smallCaps/>
      <w:sz w:val="20"/>
      <w:szCs w:val="20"/>
    </w:rPr>
  </w:style>
  <w:style w:type="paragraph" w:styleId="47">
    <w:name w:val="toc 9"/>
    <w:basedOn w:val="1"/>
    <w:next w:val="1"/>
    <w:uiPriority w:val="39"/>
    <w:pPr>
      <w:ind w:left="1680"/>
      <w:jc w:val="left"/>
    </w:pPr>
    <w:rPr>
      <w:sz w:val="18"/>
      <w:szCs w:val="18"/>
    </w:rPr>
  </w:style>
  <w:style w:type="paragraph" w:styleId="48">
    <w:name w:val="Body Text 2"/>
    <w:basedOn w:val="1"/>
    <w:link w:val="312"/>
    <w:qFormat/>
    <w:uiPriority w:val="0"/>
    <w:pPr>
      <w:widowControl/>
      <w:spacing w:after="120" w:line="480" w:lineRule="auto"/>
      <w:jc w:val="left"/>
    </w:pPr>
    <w:rPr>
      <w:kern w:val="0"/>
      <w:sz w:val="20"/>
    </w:rPr>
  </w:style>
  <w:style w:type="paragraph" w:styleId="49">
    <w:name w:val="List Continue 2"/>
    <w:basedOn w:val="1"/>
    <w:qFormat/>
    <w:uiPriority w:val="0"/>
    <w:pPr>
      <w:widowControl/>
      <w:spacing w:after="120" w:line="259" w:lineRule="auto"/>
      <w:ind w:left="840" w:leftChars="400"/>
      <w:jc w:val="left"/>
    </w:pPr>
    <w:rPr>
      <w:rFonts w:ascii="等线" w:hAnsi="等线" w:eastAsia="等线"/>
      <w:kern w:val="0"/>
      <w:sz w:val="22"/>
      <w:szCs w:val="20"/>
    </w:rPr>
  </w:style>
  <w:style w:type="paragraph" w:styleId="50">
    <w:name w:val="HTML Preformatted"/>
    <w:basedOn w:val="1"/>
    <w:link w:val="177"/>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Arial" w:hAnsi="Arial" w:eastAsia="等线"/>
      <w:kern w:val="0"/>
      <w:sz w:val="24"/>
      <w:szCs w:val="22"/>
    </w:rPr>
  </w:style>
  <w:style w:type="paragraph" w:styleId="51">
    <w:name w:val="Normal (Web)"/>
    <w:basedOn w:val="1"/>
    <w:qFormat/>
    <w:uiPriority w:val="99"/>
    <w:pPr>
      <w:widowControl/>
      <w:adjustRightInd w:val="0"/>
      <w:snapToGrid w:val="0"/>
      <w:spacing w:before="100" w:beforeAutospacing="1" w:after="100" w:afterAutospacing="1" w:line="440" w:lineRule="atLeast"/>
      <w:ind w:firstLine="200" w:firstLineChars="200"/>
      <w:jc w:val="left"/>
    </w:pPr>
    <w:rPr>
      <w:rFonts w:ascii="宋体" w:hAnsi="宋体" w:eastAsia="等线"/>
      <w:kern w:val="0"/>
      <w:sz w:val="24"/>
      <w:szCs w:val="22"/>
    </w:rPr>
  </w:style>
  <w:style w:type="paragraph" w:styleId="52">
    <w:name w:val="index 2"/>
    <w:basedOn w:val="1"/>
    <w:next w:val="1"/>
    <w:semiHidden/>
    <w:uiPriority w:val="0"/>
    <w:pPr>
      <w:widowControl/>
      <w:spacing w:after="160" w:line="259" w:lineRule="auto"/>
      <w:ind w:left="200" w:leftChars="200"/>
      <w:jc w:val="left"/>
    </w:pPr>
    <w:rPr>
      <w:rFonts w:ascii="等线" w:hAnsi="等线" w:eastAsia="等线"/>
      <w:kern w:val="0"/>
      <w:sz w:val="22"/>
      <w:szCs w:val="22"/>
    </w:rPr>
  </w:style>
  <w:style w:type="paragraph" w:styleId="53">
    <w:name w:val="Title"/>
    <w:basedOn w:val="1"/>
    <w:link w:val="483"/>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54">
    <w:name w:val="annotation subject"/>
    <w:basedOn w:val="17"/>
    <w:next w:val="17"/>
    <w:link w:val="67"/>
    <w:uiPriority w:val="0"/>
    <w:pPr>
      <w:jc w:val="both"/>
    </w:pPr>
    <w:rPr>
      <w:b/>
      <w:bCs/>
    </w:rPr>
  </w:style>
  <w:style w:type="paragraph" w:styleId="55">
    <w:name w:val="Body Text First Indent"/>
    <w:basedOn w:val="1"/>
    <w:link w:val="72"/>
    <w:qFormat/>
    <w:uiPriority w:val="0"/>
    <w:pPr>
      <w:spacing w:line="312" w:lineRule="auto"/>
      <w:ind w:firstLine="420"/>
    </w:pPr>
  </w:style>
  <w:style w:type="table" w:styleId="57">
    <w:name w:val="Table Grid"/>
    <w:basedOn w:val="56"/>
    <w:qFormat/>
    <w:uiPriority w:val="5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9">
    <w:name w:val="Strong"/>
    <w:qFormat/>
    <w:uiPriority w:val="22"/>
    <w:rPr>
      <w:b/>
      <w:bCs/>
      <w:color w:val="auto"/>
    </w:rPr>
  </w:style>
  <w:style w:type="character" w:styleId="60">
    <w:name w:val="page number"/>
    <w:basedOn w:val="58"/>
    <w:uiPriority w:val="0"/>
  </w:style>
  <w:style w:type="character" w:styleId="61">
    <w:name w:val="Emphasis"/>
    <w:qFormat/>
    <w:uiPriority w:val="20"/>
    <w:rPr>
      <w:i/>
      <w:iCs/>
      <w:color w:val="auto"/>
    </w:rPr>
  </w:style>
  <w:style w:type="character" w:styleId="62">
    <w:name w:val="Hyperlink"/>
    <w:qFormat/>
    <w:uiPriority w:val="99"/>
    <w:rPr>
      <w:color w:val="0000FF"/>
      <w:u w:val="single"/>
    </w:rPr>
  </w:style>
  <w:style w:type="character" w:styleId="63">
    <w:name w:val="annotation reference"/>
    <w:uiPriority w:val="0"/>
    <w:rPr>
      <w:sz w:val="21"/>
      <w:szCs w:val="21"/>
    </w:rPr>
  </w:style>
  <w:style w:type="character" w:styleId="64">
    <w:name w:val="HTML Cite"/>
    <w:unhideWhenUsed/>
    <w:qFormat/>
    <w:uiPriority w:val="99"/>
    <w:rPr>
      <w:color w:val="008000"/>
    </w:rPr>
  </w:style>
  <w:style w:type="character" w:styleId="65">
    <w:name w:val="footnote reference"/>
    <w:uiPriority w:val="0"/>
    <w:rPr>
      <w:vertAlign w:val="superscript"/>
    </w:rPr>
  </w:style>
  <w:style w:type="character" w:customStyle="1" w:styleId="66">
    <w:name w:val="正文文本 Char"/>
    <w:link w:val="20"/>
    <w:qFormat/>
    <w:uiPriority w:val="99"/>
    <w:rPr>
      <w:rFonts w:eastAsia="宋体"/>
      <w:kern w:val="2"/>
      <w:sz w:val="21"/>
      <w:szCs w:val="24"/>
      <w:lang w:val="en-US" w:eastAsia="zh-CN" w:bidi="ar-SA"/>
    </w:rPr>
  </w:style>
  <w:style w:type="character" w:customStyle="1" w:styleId="67">
    <w:name w:val="批注主题 Char"/>
    <w:link w:val="54"/>
    <w:uiPriority w:val="0"/>
    <w:rPr>
      <w:rFonts w:eastAsia="宋体"/>
      <w:b/>
      <w:bCs/>
      <w:kern w:val="2"/>
      <w:sz w:val="21"/>
      <w:szCs w:val="24"/>
      <w:lang w:val="en-US" w:eastAsia="zh-CN" w:bidi="ar-SA"/>
    </w:rPr>
  </w:style>
  <w:style w:type="character" w:customStyle="1" w:styleId="68">
    <w:name w:val="页眉 Char"/>
    <w:link w:val="33"/>
    <w:qFormat/>
    <w:uiPriority w:val="0"/>
    <w:rPr>
      <w:rFonts w:eastAsia="宋体"/>
      <w:kern w:val="2"/>
      <w:sz w:val="18"/>
      <w:szCs w:val="18"/>
      <w:lang w:val="en-US" w:eastAsia="zh-CN" w:bidi="ar-SA"/>
    </w:rPr>
  </w:style>
  <w:style w:type="character" w:customStyle="1" w:styleId="69">
    <w:name w:val="标题 4 Char"/>
    <w:link w:val="5"/>
    <w:qFormat/>
    <w:uiPriority w:val="0"/>
    <w:rPr>
      <w:rFonts w:ascii="Arial" w:hAnsi="Arial" w:eastAsia="黑体"/>
      <w:b/>
      <w:bCs/>
      <w:kern w:val="2"/>
      <w:sz w:val="28"/>
      <w:szCs w:val="28"/>
      <w:lang w:val="en-US" w:eastAsia="zh-CN" w:bidi="ar-SA"/>
    </w:rPr>
  </w:style>
  <w:style w:type="character" w:customStyle="1" w:styleId="70">
    <w:name w:val="标题 3 Char"/>
    <w:link w:val="4"/>
    <w:qFormat/>
    <w:uiPriority w:val="0"/>
    <w:rPr>
      <w:rFonts w:ascii="黑体" w:hAnsi="宋体"/>
      <w:b/>
      <w:bCs/>
      <w:kern w:val="2"/>
      <w:sz w:val="24"/>
      <w:szCs w:val="28"/>
    </w:rPr>
  </w:style>
  <w:style w:type="character" w:customStyle="1" w:styleId="71">
    <w:name w:val="标题 1 Char"/>
    <w:link w:val="2"/>
    <w:qFormat/>
    <w:uiPriority w:val="0"/>
    <w:rPr>
      <w:rFonts w:eastAsia="宋体"/>
      <w:b/>
      <w:bCs/>
      <w:kern w:val="44"/>
      <w:sz w:val="36"/>
      <w:szCs w:val="44"/>
    </w:rPr>
  </w:style>
  <w:style w:type="character" w:customStyle="1" w:styleId="72">
    <w:name w:val="正文首行缩进 Char"/>
    <w:basedOn w:val="66"/>
    <w:link w:val="55"/>
    <w:uiPriority w:val="0"/>
    <w:rPr>
      <w:rFonts w:eastAsia="宋体"/>
      <w:kern w:val="2"/>
      <w:sz w:val="21"/>
      <w:szCs w:val="24"/>
      <w:lang w:val="en-US" w:eastAsia="zh-CN" w:bidi="ar-SA"/>
    </w:rPr>
  </w:style>
  <w:style w:type="character" w:customStyle="1" w:styleId="73">
    <w:name w:val="标题 2 Char"/>
    <w:link w:val="3"/>
    <w:qFormat/>
    <w:uiPriority w:val="0"/>
    <w:rPr>
      <w:rFonts w:ascii="Arial" w:hAnsi="Arial"/>
      <w:b/>
      <w:bCs/>
      <w:kern w:val="2"/>
      <w:sz w:val="28"/>
      <w:szCs w:val="32"/>
    </w:rPr>
  </w:style>
  <w:style w:type="character" w:customStyle="1" w:styleId="74">
    <w:name w:val="页脚 Char"/>
    <w:link w:val="32"/>
    <w:qFormat/>
    <w:uiPriority w:val="99"/>
    <w:rPr>
      <w:rFonts w:eastAsia="宋体"/>
      <w:kern w:val="2"/>
      <w:sz w:val="18"/>
      <w:szCs w:val="18"/>
      <w:lang w:val="en-US" w:eastAsia="zh-CN" w:bidi="ar-SA"/>
    </w:rPr>
  </w:style>
  <w:style w:type="character" w:customStyle="1" w:styleId="75">
    <w:name w:val="批注文字 Char"/>
    <w:link w:val="17"/>
    <w:qFormat/>
    <w:uiPriority w:val="0"/>
    <w:rPr>
      <w:rFonts w:eastAsia="宋体"/>
      <w:kern w:val="2"/>
      <w:sz w:val="21"/>
      <w:szCs w:val="24"/>
      <w:lang w:val="en-US" w:eastAsia="zh-CN" w:bidi="ar-SA"/>
    </w:rPr>
  </w:style>
  <w:style w:type="character" w:customStyle="1" w:styleId="76">
    <w:name w:val="font161"/>
    <w:uiPriority w:val="0"/>
    <w:rPr>
      <w:b/>
      <w:bCs/>
      <w:sz w:val="32"/>
      <w:szCs w:val="32"/>
    </w:rPr>
  </w:style>
  <w:style w:type="character" w:customStyle="1" w:styleId="77">
    <w:name w:val="文档结构图 Char"/>
    <w:link w:val="16"/>
    <w:uiPriority w:val="99"/>
    <w:rPr>
      <w:rFonts w:eastAsia="宋体"/>
      <w:kern w:val="2"/>
      <w:sz w:val="21"/>
      <w:szCs w:val="24"/>
      <w:lang w:val="en-US" w:eastAsia="zh-CN" w:bidi="ar-SA"/>
    </w:rPr>
  </w:style>
  <w:style w:type="character" w:customStyle="1" w:styleId="78">
    <w:name w:val="访问过的超链接1"/>
    <w:uiPriority w:val="99"/>
    <w:rPr>
      <w:color w:val="800080"/>
      <w:u w:val="single"/>
    </w:rPr>
  </w:style>
  <w:style w:type="paragraph" w:customStyle="1" w:styleId="79">
    <w:name w:val="Char1"/>
    <w:basedOn w:val="1"/>
    <w:uiPriority w:val="0"/>
    <w:pPr>
      <w:tabs>
        <w:tab w:val="left" w:pos="360"/>
      </w:tabs>
    </w:pPr>
    <w:rPr>
      <w:sz w:val="24"/>
    </w:rPr>
  </w:style>
  <w:style w:type="paragraph" w:customStyle="1" w:styleId="80">
    <w:name w:val="表格"/>
    <w:basedOn w:val="1"/>
    <w:uiPriority w:val="0"/>
    <w:pPr>
      <w:jc w:val="center"/>
      <w:textAlignment w:val="center"/>
    </w:pPr>
    <w:rPr>
      <w:rFonts w:ascii="华文细黑" w:hAnsi="华文细黑"/>
      <w:kern w:val="0"/>
      <w:szCs w:val="20"/>
    </w:rPr>
  </w:style>
  <w:style w:type="paragraph" w:customStyle="1" w:styleId="81">
    <w:name w:val="样式1"/>
    <w:basedOn w:val="1"/>
    <w:next w:val="5"/>
    <w:uiPriority w:val="0"/>
    <w:pPr>
      <w:spacing w:line="360" w:lineRule="auto"/>
      <w:ind w:firstLine="420" w:firstLineChars="200"/>
    </w:pPr>
    <w:rPr>
      <w:rFonts w:ascii="宋体" w:hAnsi="宋体"/>
      <w:szCs w:val="21"/>
    </w:rPr>
  </w:style>
  <w:style w:type="paragraph" w:customStyle="1" w:styleId="82">
    <w:name w:val="修订1"/>
    <w:uiPriority w:val="0"/>
    <w:rPr>
      <w:rFonts w:ascii="Times New Roman" w:hAnsi="Times New Roman" w:eastAsia="宋体" w:cs="Times New Roman"/>
      <w:kern w:val="2"/>
      <w:sz w:val="21"/>
      <w:szCs w:val="24"/>
      <w:lang w:val="en-US" w:eastAsia="zh-CN" w:bidi="ar-SA"/>
    </w:rPr>
  </w:style>
  <w:style w:type="paragraph" w:customStyle="1" w:styleId="83">
    <w:name w:val="样式2"/>
    <w:basedOn w:val="4"/>
    <w:uiPriority w:val="0"/>
    <w:rPr>
      <w:i/>
    </w:rPr>
  </w:style>
  <w:style w:type="paragraph" w:customStyle="1" w:styleId="84">
    <w:name w:val="表格文字"/>
    <w:basedOn w:val="1"/>
    <w:uiPriority w:val="0"/>
    <w:pPr>
      <w:adjustRightInd w:val="0"/>
      <w:spacing w:line="420" w:lineRule="atLeast"/>
      <w:jc w:val="left"/>
      <w:textAlignment w:val="baseline"/>
    </w:pPr>
    <w:rPr>
      <w:kern w:val="0"/>
      <w:szCs w:val="20"/>
    </w:rPr>
  </w:style>
  <w:style w:type="paragraph" w:customStyle="1" w:styleId="85">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6">
    <w:name w:val="Char"/>
    <w:basedOn w:val="1"/>
    <w:uiPriority w:val="0"/>
    <w:pPr>
      <w:tabs>
        <w:tab w:val="left" w:pos="360"/>
      </w:tabs>
    </w:pPr>
    <w:rPr>
      <w:sz w:val="24"/>
    </w:rPr>
  </w:style>
  <w:style w:type="paragraph" w:customStyle="1" w:styleId="87">
    <w:name w:val="样式 标题 3 + (中文) 黑体 小四 非加粗 段前: 7.8 磅 段后: 0 磅 行距: 固定值 20 磅"/>
    <w:basedOn w:val="4"/>
    <w:qFormat/>
    <w:uiPriority w:val="0"/>
    <w:pPr>
      <w:spacing w:before="0" w:after="0" w:line="400" w:lineRule="exact"/>
    </w:pPr>
    <w:rPr>
      <w:rFonts w:eastAsia="黑体" w:cs="宋体"/>
      <w:bCs w:val="0"/>
      <w:szCs w:val="20"/>
    </w:rPr>
  </w:style>
  <w:style w:type="paragraph" w:customStyle="1" w:styleId="88">
    <w:name w:val="样式 标题 1 + 黑体 三号 非加粗 居中 段前: 6 磅 段后: 6 磅 行距: 固定值 20 磅"/>
    <w:basedOn w:val="2"/>
    <w:uiPriority w:val="0"/>
    <w:pPr>
      <w:spacing w:line="400" w:lineRule="exact"/>
    </w:pPr>
    <w:rPr>
      <w:rFonts w:ascii="黑体" w:hAnsi="黑体" w:eastAsia="黑体" w:cs="宋体"/>
      <w:b w:val="0"/>
      <w:bCs w:val="0"/>
      <w:sz w:val="32"/>
      <w:szCs w:val="20"/>
    </w:rPr>
  </w:style>
  <w:style w:type="paragraph" w:customStyle="1" w:styleId="89">
    <w:name w:val="1"/>
    <w:basedOn w:val="1"/>
    <w:uiPriority w:val="0"/>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Cs w:val="20"/>
    </w:rPr>
  </w:style>
  <w:style w:type="paragraph" w:customStyle="1" w:styleId="91">
    <w:name w:val="p0"/>
    <w:basedOn w:val="1"/>
    <w:qFormat/>
    <w:uiPriority w:val="0"/>
    <w:pPr>
      <w:widowControl/>
    </w:pPr>
    <w:rPr>
      <w:kern w:val="0"/>
      <w:szCs w:val="21"/>
    </w:rPr>
  </w:style>
  <w:style w:type="paragraph" w:customStyle="1" w:styleId="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3">
    <w:name w:val="纯文本 Char"/>
    <w:link w:val="26"/>
    <w:uiPriority w:val="99"/>
    <w:rPr>
      <w:rFonts w:ascii="宋体" w:hAnsi="Courier New"/>
    </w:rPr>
  </w:style>
  <w:style w:type="character" w:customStyle="1" w:styleId="94">
    <w:name w:val="纯文本 Char1"/>
    <w:uiPriority w:val="0"/>
    <w:rPr>
      <w:rFonts w:ascii="宋体" w:hAnsi="Courier New" w:cs="Courier New"/>
      <w:kern w:val="2"/>
      <w:sz w:val="21"/>
      <w:szCs w:val="21"/>
    </w:rPr>
  </w:style>
  <w:style w:type="character" w:customStyle="1" w:styleId="95">
    <w:name w:val="标题 5 Char"/>
    <w:uiPriority w:val="0"/>
    <w:rPr>
      <w:b/>
      <w:bCs/>
      <w:kern w:val="2"/>
      <w:sz w:val="28"/>
      <w:szCs w:val="28"/>
    </w:rPr>
  </w:style>
  <w:style w:type="character" w:customStyle="1" w:styleId="96">
    <w:name w:val="标题 6 Char"/>
    <w:uiPriority w:val="0"/>
    <w:rPr>
      <w:rFonts w:ascii="Cambria" w:hAnsi="Cambria" w:eastAsia="宋体" w:cs="Times New Roman"/>
      <w:b/>
      <w:bCs/>
      <w:kern w:val="0"/>
      <w:sz w:val="24"/>
      <w:szCs w:val="24"/>
    </w:rPr>
  </w:style>
  <w:style w:type="character" w:customStyle="1" w:styleId="97">
    <w:name w:val="标题 7 Char"/>
    <w:uiPriority w:val="99"/>
    <w:rPr>
      <w:rFonts w:ascii="等线" w:hAnsi="等线" w:eastAsia="等线" w:cs="Times New Roman"/>
      <w:b/>
      <w:bCs/>
      <w:kern w:val="0"/>
      <w:sz w:val="24"/>
      <w:szCs w:val="24"/>
    </w:rPr>
  </w:style>
  <w:style w:type="character" w:customStyle="1" w:styleId="98">
    <w:name w:val="标题 8 Char"/>
    <w:uiPriority w:val="99"/>
    <w:rPr>
      <w:rFonts w:ascii="Cambria" w:hAnsi="Cambria" w:eastAsia="宋体" w:cs="Times New Roman"/>
      <w:kern w:val="0"/>
      <w:sz w:val="24"/>
      <w:szCs w:val="24"/>
    </w:rPr>
  </w:style>
  <w:style w:type="character" w:customStyle="1" w:styleId="99">
    <w:name w:val="标题 9 Char"/>
    <w:uiPriority w:val="99"/>
    <w:rPr>
      <w:rFonts w:ascii="Cambria" w:hAnsi="Cambria" w:eastAsia="宋体" w:cs="Times New Roman"/>
      <w:kern w:val="0"/>
      <w:szCs w:val="21"/>
    </w:rPr>
  </w:style>
  <w:style w:type="character" w:customStyle="1" w:styleId="100">
    <w:name w:val="正文文本 3 Char"/>
    <w:link w:val="19"/>
    <w:uiPriority w:val="0"/>
    <w:rPr>
      <w:rFonts w:ascii="宋体"/>
      <w:kern w:val="2"/>
      <w:sz w:val="24"/>
    </w:rPr>
  </w:style>
  <w:style w:type="character" w:customStyle="1" w:styleId="101">
    <w:name w:val="正文文本缩进 Char"/>
    <w:link w:val="21"/>
    <w:qFormat/>
    <w:uiPriority w:val="99"/>
    <w:rPr>
      <w:kern w:val="2"/>
      <w:sz w:val="21"/>
      <w:szCs w:val="24"/>
    </w:rPr>
  </w:style>
  <w:style w:type="character" w:customStyle="1" w:styleId="102">
    <w:name w:val="文档结构图 Char1"/>
    <w:uiPriority w:val="99"/>
    <w:rPr>
      <w:rFonts w:ascii="宋体" w:hAnsi="等线" w:eastAsia="宋体" w:cs="Times New Roman"/>
      <w:kern w:val="0"/>
      <w:sz w:val="18"/>
      <w:szCs w:val="18"/>
    </w:rPr>
  </w:style>
  <w:style w:type="character" w:customStyle="1" w:styleId="103">
    <w:name w:val="正文文本 Char1"/>
    <w:uiPriority w:val="99"/>
    <w:rPr>
      <w:rFonts w:ascii="等线" w:hAnsi="等线" w:eastAsia="等线" w:cs="Times New Roman"/>
      <w:kern w:val="0"/>
      <w:sz w:val="22"/>
    </w:rPr>
  </w:style>
  <w:style w:type="character" w:customStyle="1" w:styleId="104">
    <w:name w:val="正文首行缩进 Char1"/>
    <w:semiHidden/>
    <w:uiPriority w:val="99"/>
  </w:style>
  <w:style w:type="character" w:customStyle="1" w:styleId="105">
    <w:name w:val="标题 Char"/>
    <w:uiPriority w:val="0"/>
    <w:rPr>
      <w:rFonts w:ascii="Cambria" w:hAnsi="Cambria" w:eastAsia="宋体" w:cs="Times New Roman"/>
      <w:b/>
      <w:bCs/>
      <w:kern w:val="0"/>
      <w:sz w:val="32"/>
      <w:szCs w:val="32"/>
    </w:rPr>
  </w:style>
  <w:style w:type="character" w:customStyle="1" w:styleId="106">
    <w:name w:val="批注文字 Char1"/>
    <w:uiPriority w:val="99"/>
    <w:rPr>
      <w:rFonts w:ascii="等线" w:hAnsi="等线" w:eastAsia="等线" w:cs="Times New Roman"/>
      <w:kern w:val="0"/>
      <w:sz w:val="22"/>
    </w:rPr>
  </w:style>
  <w:style w:type="character" w:customStyle="1" w:styleId="107">
    <w:name w:val="批注主题 Char1"/>
    <w:uiPriority w:val="99"/>
    <w:rPr>
      <w:rFonts w:ascii="等线" w:hAnsi="等线" w:eastAsia="等线" w:cs="Times New Roman"/>
      <w:b/>
      <w:bCs/>
      <w:kern w:val="0"/>
      <w:sz w:val="22"/>
    </w:rPr>
  </w:style>
  <w:style w:type="character" w:customStyle="1" w:styleId="108">
    <w:name w:val="批注框文本 Char"/>
    <w:link w:val="31"/>
    <w:uiPriority w:val="99"/>
    <w:rPr>
      <w:kern w:val="2"/>
      <w:sz w:val="18"/>
      <w:szCs w:val="18"/>
    </w:rPr>
  </w:style>
  <w:style w:type="character" w:customStyle="1" w:styleId="109">
    <w:name w:val="日期 Char"/>
    <w:link w:val="29"/>
    <w:uiPriority w:val="0"/>
    <w:rPr>
      <w:kern w:val="2"/>
      <w:sz w:val="24"/>
    </w:rPr>
  </w:style>
  <w:style w:type="character" w:customStyle="1" w:styleId="110">
    <w:name w:val="正文文本缩进 3 Char"/>
    <w:link w:val="42"/>
    <w:uiPriority w:val="99"/>
    <w:rPr>
      <w:kern w:val="2"/>
      <w:sz w:val="16"/>
      <w:szCs w:val="16"/>
    </w:rPr>
  </w:style>
  <w:style w:type="character" w:customStyle="1" w:styleId="111">
    <w:name w:val="标题 5 Char1"/>
    <w:link w:val="6"/>
    <w:uiPriority w:val="9"/>
    <w:rPr>
      <w:rFonts w:ascii="Calibri Light" w:hAnsi="Calibri Light"/>
      <w:color w:val="2E74B5"/>
      <w:sz w:val="22"/>
      <w:szCs w:val="22"/>
    </w:rPr>
  </w:style>
  <w:style w:type="character" w:customStyle="1" w:styleId="112">
    <w:name w:val="Heading 4 Char"/>
    <w:locked/>
    <w:uiPriority w:val="0"/>
    <w:rPr>
      <w:rFonts w:ascii="Arial" w:hAnsi="Arial" w:eastAsia="黑体" w:cs="Times New Roman"/>
      <w:b/>
      <w:sz w:val="28"/>
    </w:rPr>
  </w:style>
  <w:style w:type="character" w:customStyle="1" w:styleId="113">
    <w:name w:val="underlinespan"/>
    <w:uiPriority w:val="0"/>
  </w:style>
  <w:style w:type="character" w:customStyle="1" w:styleId="114">
    <w:name w:val="Char Char1"/>
    <w:uiPriority w:val="0"/>
    <w:rPr>
      <w:rFonts w:ascii="Arial" w:hAnsi="Arial"/>
      <w:b/>
      <w:sz w:val="32"/>
    </w:rPr>
  </w:style>
  <w:style w:type="character" w:customStyle="1" w:styleId="115">
    <w:name w:val="Heading 9 Char"/>
    <w:locked/>
    <w:uiPriority w:val="0"/>
    <w:rPr>
      <w:rFonts w:ascii="Cambria" w:hAnsi="Cambria" w:cs="Times New Roman"/>
      <w:sz w:val="21"/>
    </w:rPr>
  </w:style>
  <w:style w:type="character" w:customStyle="1" w:styleId="116">
    <w:name w:val="Char Char10"/>
    <w:uiPriority w:val="0"/>
    <w:rPr>
      <w:rFonts w:ascii="宋体" w:hAnsi="Courier New" w:eastAsia="幼圆"/>
      <w:kern w:val="2"/>
      <w:sz w:val="21"/>
      <w:lang w:val="en-US" w:eastAsia="zh-CN" w:bidi="ar-SA"/>
    </w:rPr>
  </w:style>
  <w:style w:type="character" w:customStyle="1" w:styleId="117">
    <w:name w:val="标题 Char1"/>
    <w:uiPriority w:val="10"/>
    <w:rPr>
      <w:rFonts w:ascii="Cambria" w:hAnsi="Cambria" w:cs="Times New Roman"/>
      <w:b/>
      <w:bCs/>
      <w:kern w:val="2"/>
      <w:sz w:val="32"/>
      <w:szCs w:val="32"/>
    </w:rPr>
  </w:style>
  <w:style w:type="character" w:customStyle="1" w:styleId="118">
    <w:name w:val="Char Char5"/>
    <w:uiPriority w:val="0"/>
    <w:rPr>
      <w:rFonts w:ascii="Arial" w:hAnsi="Arial" w:eastAsia="黑体"/>
      <w:sz w:val="24"/>
      <w:szCs w:val="24"/>
    </w:rPr>
  </w:style>
  <w:style w:type="character" w:customStyle="1" w:styleId="119">
    <w:name w:val="引用 Char"/>
    <w:link w:val="120"/>
    <w:locked/>
    <w:uiPriority w:val="29"/>
    <w:rPr>
      <w:rFonts w:ascii="Calibri" w:hAnsi="Calibri"/>
      <w:i/>
      <w:color w:val="000000"/>
    </w:rPr>
  </w:style>
  <w:style w:type="paragraph" w:customStyle="1" w:styleId="120">
    <w:name w:val="引用1"/>
    <w:basedOn w:val="1"/>
    <w:next w:val="1"/>
    <w:link w:val="119"/>
    <w:qFormat/>
    <w:uiPriority w:val="29"/>
    <w:pPr>
      <w:widowControl/>
      <w:spacing w:after="160" w:line="259" w:lineRule="auto"/>
      <w:jc w:val="left"/>
    </w:pPr>
    <w:rPr>
      <w:rFonts w:ascii="Calibri" w:hAnsi="Calibri"/>
      <w:i/>
      <w:color w:val="000000"/>
      <w:kern w:val="0"/>
      <w:sz w:val="20"/>
      <w:szCs w:val="20"/>
    </w:rPr>
  </w:style>
  <w:style w:type="character" w:customStyle="1" w:styleId="121">
    <w:name w:val="Document Map Char"/>
    <w:locked/>
    <w:uiPriority w:val="0"/>
    <w:rPr>
      <w:rFonts w:ascii="Times New Roman" w:hAnsi="Times New Roman" w:eastAsia="宋体" w:cs="Times New Roman"/>
      <w:sz w:val="24"/>
      <w:shd w:val="clear" w:color="auto" w:fill="000080"/>
    </w:rPr>
  </w:style>
  <w:style w:type="character" w:customStyle="1" w:styleId="122">
    <w:name w:val="Balloon Text Char"/>
    <w:locked/>
    <w:uiPriority w:val="0"/>
    <w:rPr>
      <w:rFonts w:ascii="Times New Roman" w:hAnsi="Times New Roman" w:eastAsia="宋体" w:cs="Times New Roman"/>
      <w:sz w:val="18"/>
    </w:rPr>
  </w:style>
  <w:style w:type="character" w:customStyle="1" w:styleId="123">
    <w:name w:val="Char Char9"/>
    <w:uiPriority w:val="0"/>
    <w:rPr>
      <w:rFonts w:ascii="Arial" w:hAnsi="Arial" w:eastAsia="黑体"/>
      <w:bCs/>
      <w:kern w:val="2"/>
      <w:sz w:val="30"/>
      <w:szCs w:val="32"/>
      <w:lang w:val="en-US" w:eastAsia="zh-CN" w:bidi="ar-SA"/>
    </w:rPr>
  </w:style>
  <w:style w:type="character" w:customStyle="1" w:styleId="124">
    <w:name w:val="Date Char"/>
    <w:locked/>
    <w:uiPriority w:val="0"/>
    <w:rPr>
      <w:rFonts w:ascii="Times New Roman" w:hAnsi="Times New Roman" w:eastAsia="宋体" w:cs="Times New Roman"/>
      <w:sz w:val="24"/>
    </w:rPr>
  </w:style>
  <w:style w:type="character" w:customStyle="1" w:styleId="125">
    <w:name w:val="Char Char7"/>
    <w:uiPriority w:val="0"/>
    <w:rPr>
      <w:rFonts w:ascii="Arial" w:hAnsi="Arial" w:eastAsia="黑体"/>
      <w:b/>
      <w:bCs/>
      <w:sz w:val="24"/>
      <w:szCs w:val="24"/>
    </w:rPr>
  </w:style>
  <w:style w:type="character" w:customStyle="1" w:styleId="126">
    <w:name w:val="z-窗体顶端 Char"/>
    <w:link w:val="127"/>
    <w:uiPriority w:val="0"/>
    <w:rPr>
      <w:rFonts w:ascii="Arial"/>
      <w:vanish/>
      <w:sz w:val="16"/>
      <w:szCs w:val="24"/>
    </w:rPr>
  </w:style>
  <w:style w:type="paragraph" w:customStyle="1" w:styleId="127">
    <w:name w:val="HTML Top of Form"/>
    <w:basedOn w:val="1"/>
    <w:next w:val="1"/>
    <w:link w:val="126"/>
    <w:uiPriority w:val="0"/>
    <w:pPr>
      <w:widowControl/>
      <w:pBdr>
        <w:bottom w:val="single" w:color="auto" w:sz="6" w:space="1"/>
      </w:pBdr>
      <w:spacing w:after="160" w:line="259" w:lineRule="auto"/>
      <w:jc w:val="center"/>
    </w:pPr>
    <w:rPr>
      <w:rFonts w:ascii="Arial"/>
      <w:vanish/>
      <w:kern w:val="0"/>
      <w:sz w:val="16"/>
    </w:rPr>
  </w:style>
  <w:style w:type="character" w:customStyle="1" w:styleId="128">
    <w:name w:val="Heading 3 Char"/>
    <w:locked/>
    <w:uiPriority w:val="0"/>
    <w:rPr>
      <w:rFonts w:ascii="Times New Roman" w:hAnsi="Times New Roman" w:eastAsia="宋体" w:cs="Times New Roman"/>
      <w:b/>
      <w:sz w:val="32"/>
    </w:rPr>
  </w:style>
  <w:style w:type="character" w:customStyle="1" w:styleId="129">
    <w:name w:val="Heading 1 Char"/>
    <w:locked/>
    <w:uiPriority w:val="0"/>
    <w:rPr>
      <w:rFonts w:ascii="Times New Roman" w:hAnsi="Times New Roman" w:eastAsia="宋体" w:cs="Times New Roman"/>
      <w:b/>
      <w:kern w:val="44"/>
      <w:sz w:val="44"/>
    </w:rPr>
  </w:style>
  <w:style w:type="character" w:customStyle="1" w:styleId="130">
    <w:name w:val="Heading 7 Char"/>
    <w:locked/>
    <w:uiPriority w:val="0"/>
    <w:rPr>
      <w:rFonts w:ascii="Calibri" w:hAnsi="Calibri" w:cs="Times New Roman"/>
      <w:b/>
      <w:sz w:val="24"/>
    </w:rPr>
  </w:style>
  <w:style w:type="character" w:customStyle="1" w:styleId="131">
    <w:name w:val="Char Char6"/>
    <w:uiPriority w:val="0"/>
    <w:rPr>
      <w:b/>
      <w:bCs/>
      <w:sz w:val="24"/>
      <w:szCs w:val="24"/>
    </w:rPr>
  </w:style>
  <w:style w:type="character" w:customStyle="1" w:styleId="132">
    <w:name w:val="Title Char1"/>
    <w:uiPriority w:val="0"/>
    <w:rPr>
      <w:rFonts w:ascii="Cambria" w:hAnsi="Cambria"/>
      <w:b/>
      <w:sz w:val="32"/>
    </w:rPr>
  </w:style>
  <w:style w:type="character" w:customStyle="1" w:styleId="133">
    <w:name w:val="style291"/>
    <w:uiPriority w:val="99"/>
    <w:rPr>
      <w:sz w:val="21"/>
    </w:rPr>
  </w:style>
  <w:style w:type="character" w:customStyle="1" w:styleId="134">
    <w:name w:val="副标题 Char"/>
    <w:uiPriority w:val="11"/>
    <w:rPr>
      <w:rFonts w:ascii="Cambria" w:hAnsi="Cambria"/>
      <w:b/>
      <w:bCs/>
      <w:kern w:val="28"/>
      <w:sz w:val="32"/>
      <w:szCs w:val="32"/>
    </w:rPr>
  </w:style>
  <w:style w:type="character" w:customStyle="1" w:styleId="135">
    <w:name w:val="正文文字 Char"/>
    <w:uiPriority w:val="0"/>
    <w:rPr>
      <w:kern w:val="2"/>
      <w:sz w:val="21"/>
      <w:szCs w:val="24"/>
    </w:rPr>
  </w:style>
  <w:style w:type="character" w:customStyle="1" w:styleId="136">
    <w:name w:val="Subtitle Char1"/>
    <w:uiPriority w:val="11"/>
    <w:rPr>
      <w:rFonts w:ascii="Cambria" w:hAnsi="Cambria"/>
      <w:b/>
      <w:kern w:val="28"/>
      <w:sz w:val="32"/>
    </w:rPr>
  </w:style>
  <w:style w:type="character" w:customStyle="1" w:styleId="137">
    <w:name w:val="明显引用 Char"/>
    <w:link w:val="138"/>
    <w:locked/>
    <w:uiPriority w:val="30"/>
    <w:rPr>
      <w:rFonts w:ascii="Calibri" w:hAnsi="Calibri"/>
      <w:b/>
      <w:i/>
      <w:color w:val="4F81BD"/>
    </w:rPr>
  </w:style>
  <w:style w:type="paragraph" w:customStyle="1" w:styleId="138">
    <w:name w:val="明显引用1"/>
    <w:basedOn w:val="1"/>
    <w:next w:val="1"/>
    <w:link w:val="137"/>
    <w:uiPriority w:val="30"/>
    <w:pPr>
      <w:widowControl/>
      <w:pBdr>
        <w:bottom w:val="single" w:color="4F81BD" w:sz="4" w:space="4"/>
      </w:pBdr>
      <w:spacing w:before="200" w:after="280" w:line="259" w:lineRule="auto"/>
      <w:ind w:left="936" w:right="936"/>
      <w:jc w:val="left"/>
    </w:pPr>
    <w:rPr>
      <w:rFonts w:ascii="Calibri" w:hAnsi="Calibri"/>
      <w:b/>
      <w:i/>
      <w:color w:val="4F81BD"/>
      <w:kern w:val="0"/>
      <w:sz w:val="20"/>
      <w:szCs w:val="20"/>
    </w:rPr>
  </w:style>
  <w:style w:type="character" w:customStyle="1" w:styleId="139">
    <w:name w:val="input1"/>
    <w:uiPriority w:val="0"/>
    <w:rPr>
      <w:rFonts w:hint="default" w:ascii="Times New Roman" w:hAnsi="Times New Roman" w:cs="Times New Roman"/>
      <w:shd w:val="clear" w:color="auto" w:fill="E5F0FF"/>
    </w:rPr>
  </w:style>
  <w:style w:type="character" w:customStyle="1" w:styleId="140">
    <w:name w:val="Body Text Indent Char"/>
    <w:locked/>
    <w:uiPriority w:val="0"/>
    <w:rPr>
      <w:rFonts w:ascii="Times New Roman" w:hAnsi="Times New Roman" w:eastAsia="宋体" w:cs="Times New Roman"/>
      <w:sz w:val="20"/>
    </w:rPr>
  </w:style>
  <w:style w:type="character" w:customStyle="1" w:styleId="141">
    <w:name w:val="Plain Text Char"/>
    <w:locked/>
    <w:uiPriority w:val="0"/>
    <w:rPr>
      <w:rFonts w:ascii="宋体" w:hAnsi="Courier New" w:eastAsia="宋体" w:cs="Times New Roman"/>
      <w:sz w:val="21"/>
    </w:rPr>
  </w:style>
  <w:style w:type="character" w:customStyle="1" w:styleId="142">
    <w:name w:val="Comment Text Char"/>
    <w:locked/>
    <w:uiPriority w:val="0"/>
    <w:rPr>
      <w:rFonts w:ascii="Times New Roman" w:hAnsi="Times New Roman" w:eastAsia="宋体" w:cs="Times New Roman"/>
      <w:sz w:val="24"/>
    </w:rPr>
  </w:style>
  <w:style w:type="character" w:customStyle="1" w:styleId="143">
    <w:name w:val="样式 标书正文 + 下划线 Char"/>
    <w:uiPriority w:val="0"/>
    <w:rPr>
      <w:rFonts w:eastAsia="楷体_GB2312"/>
      <w:kern w:val="2"/>
      <w:sz w:val="28"/>
      <w:szCs w:val="28"/>
      <w:u w:val="single"/>
      <w:lang w:val="en-US" w:eastAsia="zh-CN" w:bidi="ar-SA"/>
    </w:rPr>
  </w:style>
  <w:style w:type="character" w:customStyle="1" w:styleId="144">
    <w:name w:val="textcontents"/>
    <w:uiPriority w:val="0"/>
  </w:style>
  <w:style w:type="character" w:customStyle="1" w:styleId="145">
    <w:name w:val="普通文字 Char Char"/>
    <w:uiPriority w:val="99"/>
    <w:rPr>
      <w:rFonts w:ascii="宋体" w:hAnsi="Courier New" w:eastAsia="幼圆"/>
      <w:kern w:val="2"/>
      <w:sz w:val="21"/>
    </w:rPr>
  </w:style>
  <w:style w:type="character" w:customStyle="1" w:styleId="146">
    <w:name w:val="副标题 Char1"/>
    <w:uiPriority w:val="11"/>
    <w:rPr>
      <w:rFonts w:ascii="Cambria" w:hAnsi="Cambria" w:eastAsia="宋体"/>
      <w:b/>
      <w:kern w:val="28"/>
      <w:sz w:val="32"/>
    </w:rPr>
  </w:style>
  <w:style w:type="character" w:customStyle="1" w:styleId="147">
    <w:name w:val="Footer Char"/>
    <w:locked/>
    <w:uiPriority w:val="0"/>
    <w:rPr>
      <w:rFonts w:ascii="Times New Roman" w:hAnsi="Times New Roman" w:eastAsia="宋体" w:cs="Times New Roman"/>
      <w:sz w:val="18"/>
    </w:rPr>
  </w:style>
  <w:style w:type="character" w:customStyle="1" w:styleId="148">
    <w:name w:val="z-窗体顶端 Char1"/>
    <w:semiHidden/>
    <w:uiPriority w:val="99"/>
    <w:rPr>
      <w:rFonts w:ascii="Arial" w:hAnsi="Arial" w:cs="Arial"/>
      <w:vanish/>
      <w:kern w:val="2"/>
      <w:sz w:val="16"/>
      <w:szCs w:val="16"/>
    </w:rPr>
  </w:style>
  <w:style w:type="character" w:customStyle="1" w:styleId="149">
    <w:name w:val="Char Char3"/>
    <w:uiPriority w:val="0"/>
    <w:rPr>
      <w:rFonts w:ascii="宋体"/>
      <w:kern w:val="2"/>
      <w:sz w:val="24"/>
    </w:rPr>
  </w:style>
  <w:style w:type="character" w:customStyle="1" w:styleId="150">
    <w:name w:val="Subtitle Char"/>
    <w:locked/>
    <w:uiPriority w:val="0"/>
    <w:rPr>
      <w:rFonts w:ascii="Cambria" w:hAnsi="Cambria"/>
      <w:b/>
      <w:kern w:val="28"/>
      <w:sz w:val="32"/>
    </w:rPr>
  </w:style>
  <w:style w:type="character" w:customStyle="1" w:styleId="151">
    <w:name w:val="Body Text Char"/>
    <w:locked/>
    <w:uiPriority w:val="0"/>
    <w:rPr>
      <w:rFonts w:ascii="Times New Roman" w:hAnsi="Times New Roman" w:eastAsia="宋体" w:cs="Times New Roman"/>
      <w:sz w:val="24"/>
    </w:rPr>
  </w:style>
  <w:style w:type="character" w:customStyle="1" w:styleId="152">
    <w:name w:val="副标题 Char2"/>
    <w:uiPriority w:val="11"/>
    <w:rPr>
      <w:rFonts w:ascii="Cambria" w:hAnsi="Cambria" w:cs="Times New Roman"/>
      <w:b/>
      <w:bCs/>
      <w:kern w:val="28"/>
      <w:sz w:val="32"/>
      <w:szCs w:val="32"/>
    </w:rPr>
  </w:style>
  <w:style w:type="character" w:customStyle="1" w:styleId="153">
    <w:name w:val="10"/>
    <w:uiPriority w:val="0"/>
    <w:rPr>
      <w:rFonts w:ascii="Calibri" w:hAnsi="Calibri" w:cs="Calibri"/>
    </w:rPr>
  </w:style>
  <w:style w:type="character" w:customStyle="1" w:styleId="154">
    <w:name w:val="标题 Char2"/>
    <w:uiPriority w:val="10"/>
    <w:rPr>
      <w:rFonts w:ascii="Cambria" w:hAnsi="Cambria" w:eastAsia="宋体" w:cs="Times New Roman"/>
      <w:b/>
      <w:bCs/>
      <w:sz w:val="32"/>
      <w:szCs w:val="32"/>
    </w:rPr>
  </w:style>
  <w:style w:type="character" w:customStyle="1" w:styleId="155">
    <w:name w:val="标题5 Char Char"/>
    <w:link w:val="156"/>
    <w:locked/>
    <w:uiPriority w:val="0"/>
    <w:rPr>
      <w:rFonts w:ascii="Arial" w:hAnsi="Arial"/>
      <w:b/>
      <w:sz w:val="32"/>
    </w:rPr>
  </w:style>
  <w:style w:type="paragraph" w:customStyle="1" w:styleId="156">
    <w:name w:val="标题5"/>
    <w:basedOn w:val="4"/>
    <w:link w:val="155"/>
    <w:uiPriority w:val="0"/>
    <w:pPr>
      <w:widowControl/>
      <w:spacing w:before="40" w:after="0" w:line="413" w:lineRule="auto"/>
      <w:ind w:firstLine="0" w:firstLineChars="0"/>
      <w:jc w:val="left"/>
    </w:pPr>
    <w:rPr>
      <w:rFonts w:ascii="Arial" w:hAnsi="Arial"/>
      <w:bCs w:val="0"/>
      <w:kern w:val="0"/>
      <w:sz w:val="32"/>
      <w:szCs w:val="20"/>
    </w:rPr>
  </w:style>
  <w:style w:type="character" w:customStyle="1" w:styleId="157">
    <w:name w:val="Header Char"/>
    <w:locked/>
    <w:uiPriority w:val="0"/>
    <w:rPr>
      <w:rFonts w:ascii="Times New Roman" w:hAnsi="Times New Roman" w:eastAsia="宋体" w:cs="Times New Roman"/>
      <w:sz w:val="18"/>
    </w:rPr>
  </w:style>
  <w:style w:type="character" w:customStyle="1" w:styleId="158">
    <w:name w:val="Heading 2 Char"/>
    <w:locked/>
    <w:uiPriority w:val="0"/>
    <w:rPr>
      <w:rFonts w:ascii="Arial" w:hAnsi="Arial" w:eastAsia="黑体" w:cs="Times New Roman"/>
      <w:b/>
      <w:sz w:val="32"/>
    </w:rPr>
  </w:style>
  <w:style w:type="character" w:customStyle="1" w:styleId="159">
    <w:name w:val="dash6b63_6587__char1"/>
    <w:uiPriority w:val="99"/>
    <w:rPr>
      <w:rFonts w:ascii="Calibri" w:hAnsi="Calibri"/>
      <w:sz w:val="20"/>
    </w:rPr>
  </w:style>
  <w:style w:type="character" w:customStyle="1" w:styleId="160">
    <w:name w:val="Comment Subject Char"/>
    <w:locked/>
    <w:uiPriority w:val="0"/>
    <w:rPr>
      <w:rFonts w:ascii="Times New Roman" w:hAnsi="Times New Roman" w:eastAsia="宋体" w:cs="Times New Roman"/>
      <w:b/>
      <w:sz w:val="24"/>
    </w:rPr>
  </w:style>
  <w:style w:type="character" w:customStyle="1" w:styleId="161">
    <w:name w:val="Heading 5 Char"/>
    <w:locked/>
    <w:uiPriority w:val="0"/>
    <w:rPr>
      <w:rFonts w:ascii="Times New Roman" w:hAnsi="Times New Roman" w:eastAsia="宋体" w:cs="Times New Roman"/>
      <w:b/>
      <w:sz w:val="28"/>
    </w:rPr>
  </w:style>
  <w:style w:type="character" w:customStyle="1" w:styleId="162">
    <w:name w:val="z-窗体底端 Char1"/>
    <w:semiHidden/>
    <w:uiPriority w:val="99"/>
    <w:rPr>
      <w:rFonts w:ascii="Arial" w:hAnsi="Arial" w:cs="Arial"/>
      <w:vanish/>
      <w:kern w:val="2"/>
      <w:sz w:val="16"/>
      <w:szCs w:val="16"/>
    </w:rPr>
  </w:style>
  <w:style w:type="character" w:customStyle="1" w:styleId="163">
    <w:name w:val="Heading 6 Char"/>
    <w:locked/>
    <w:uiPriority w:val="0"/>
    <w:rPr>
      <w:rFonts w:ascii="Cambria" w:hAnsi="Cambria" w:cs="Times New Roman"/>
      <w:b/>
      <w:sz w:val="24"/>
    </w:rPr>
  </w:style>
  <w:style w:type="character" w:customStyle="1" w:styleId="164">
    <w:name w:val="Heading 8 Char"/>
    <w:locked/>
    <w:uiPriority w:val="0"/>
    <w:rPr>
      <w:rFonts w:ascii="Cambria" w:hAnsi="Cambria" w:cs="Times New Roman"/>
      <w:sz w:val="24"/>
    </w:rPr>
  </w:style>
  <w:style w:type="character" w:customStyle="1" w:styleId="165">
    <w:name w:val="Title Char"/>
    <w:locked/>
    <w:uiPriority w:val="0"/>
    <w:rPr>
      <w:rFonts w:ascii="Cambria" w:hAnsi="Cambria"/>
      <w:b/>
      <w:sz w:val="32"/>
    </w:rPr>
  </w:style>
  <w:style w:type="character" w:customStyle="1" w:styleId="166">
    <w:name w:val="biaoti331"/>
    <w:uiPriority w:val="99"/>
    <w:rPr>
      <w:b/>
      <w:color w:val="000000"/>
      <w:sz w:val="24"/>
      <w:u w:val="none"/>
    </w:rPr>
  </w:style>
  <w:style w:type="character" w:customStyle="1" w:styleId="167">
    <w:name w:val="z-窗体底端 Char"/>
    <w:link w:val="168"/>
    <w:uiPriority w:val="0"/>
    <w:rPr>
      <w:rFonts w:ascii="Arial"/>
      <w:vanish/>
      <w:sz w:val="16"/>
      <w:szCs w:val="24"/>
    </w:rPr>
  </w:style>
  <w:style w:type="paragraph" w:customStyle="1" w:styleId="168">
    <w:name w:val="HTML Bottom of Form"/>
    <w:basedOn w:val="1"/>
    <w:next w:val="1"/>
    <w:link w:val="167"/>
    <w:uiPriority w:val="0"/>
    <w:pPr>
      <w:widowControl/>
      <w:pBdr>
        <w:top w:val="single" w:color="auto" w:sz="6" w:space="1"/>
      </w:pBdr>
      <w:spacing w:after="160" w:line="259" w:lineRule="auto"/>
      <w:jc w:val="center"/>
    </w:pPr>
    <w:rPr>
      <w:rFonts w:ascii="Arial"/>
      <w:vanish/>
      <w:kern w:val="0"/>
      <w:sz w:val="16"/>
    </w:rPr>
  </w:style>
  <w:style w:type="character" w:customStyle="1" w:styleId="169">
    <w:name w:val="15"/>
    <w:uiPriority w:val="0"/>
    <w:rPr>
      <w:rFonts w:ascii="Calibri" w:hAnsi="Calibri" w:cs="Calibri"/>
    </w:rPr>
  </w:style>
  <w:style w:type="character" w:customStyle="1" w:styleId="170">
    <w:name w:val="Char Char4"/>
    <w:uiPriority w:val="0"/>
    <w:rPr>
      <w:rFonts w:ascii="Arial" w:hAnsi="Arial" w:eastAsia="黑体"/>
      <w:sz w:val="21"/>
      <w:szCs w:val="21"/>
    </w:rPr>
  </w:style>
  <w:style w:type="character" w:customStyle="1" w:styleId="171">
    <w:name w:val="Char Char"/>
    <w:uiPriority w:val="0"/>
    <w:rPr>
      <w:kern w:val="2"/>
      <w:sz w:val="24"/>
    </w:rPr>
  </w:style>
  <w:style w:type="character" w:customStyle="1" w:styleId="172">
    <w:name w:val="Char Char8"/>
    <w:uiPriority w:val="0"/>
    <w:rPr>
      <w:rFonts w:ascii="Arial" w:hAnsi="Arial" w:eastAsia="黑体"/>
      <w:b/>
      <w:bCs/>
      <w:kern w:val="2"/>
      <w:sz w:val="28"/>
      <w:szCs w:val="28"/>
    </w:rPr>
  </w:style>
  <w:style w:type="character" w:customStyle="1" w:styleId="173">
    <w:name w:val="Char Char2"/>
    <w:uiPriority w:val="0"/>
    <w:rPr>
      <w:kern w:val="2"/>
      <w:sz w:val="21"/>
      <w:szCs w:val="24"/>
    </w:rPr>
  </w:style>
  <w:style w:type="character" w:customStyle="1" w:styleId="174">
    <w:name w:val="标题4 Char Char"/>
    <w:link w:val="175"/>
    <w:locked/>
    <w:uiPriority w:val="0"/>
    <w:rPr>
      <w:rFonts w:ascii="Arial" w:hAnsi="Arial"/>
      <w:b/>
      <w:sz w:val="32"/>
    </w:rPr>
  </w:style>
  <w:style w:type="paragraph" w:customStyle="1" w:styleId="175">
    <w:name w:val="标题4"/>
    <w:basedOn w:val="3"/>
    <w:next w:val="23"/>
    <w:link w:val="174"/>
    <w:uiPriority w:val="0"/>
    <w:pPr>
      <w:widowControl/>
      <w:spacing w:before="40" w:after="0" w:line="413" w:lineRule="auto"/>
      <w:jc w:val="left"/>
    </w:pPr>
    <w:rPr>
      <w:bCs w:val="0"/>
      <w:kern w:val="0"/>
      <w:sz w:val="32"/>
      <w:szCs w:val="20"/>
    </w:rPr>
  </w:style>
  <w:style w:type="character" w:customStyle="1" w:styleId="176">
    <w:name w:val="HTML 预设格式 Char"/>
    <w:semiHidden/>
    <w:uiPriority w:val="99"/>
    <w:rPr>
      <w:rFonts w:ascii="Courier New" w:hAnsi="Courier New" w:cs="Courier New"/>
      <w:kern w:val="2"/>
    </w:rPr>
  </w:style>
  <w:style w:type="character" w:customStyle="1" w:styleId="177">
    <w:name w:val="HTML 预设格式 Char1"/>
    <w:link w:val="50"/>
    <w:uiPriority w:val="0"/>
    <w:rPr>
      <w:rFonts w:ascii="Arial" w:hAnsi="Arial" w:eastAsia="等线" w:cs="Arial"/>
      <w:sz w:val="24"/>
      <w:szCs w:val="22"/>
    </w:rPr>
  </w:style>
  <w:style w:type="character" w:customStyle="1" w:styleId="178">
    <w:name w:val="副标题 Char3"/>
    <w:uiPriority w:val="11"/>
    <w:rPr>
      <w:rFonts w:ascii="Cambria" w:hAnsi="Cambria" w:cs="Times New Roman"/>
      <w:b/>
      <w:bCs/>
      <w:kern w:val="28"/>
      <w:sz w:val="32"/>
      <w:szCs w:val="32"/>
    </w:rPr>
  </w:style>
  <w:style w:type="character" w:customStyle="1" w:styleId="179">
    <w:name w:val="副标题 Char4"/>
    <w:link w:val="38"/>
    <w:uiPriority w:val="11"/>
    <w:rPr>
      <w:rFonts w:ascii="等线" w:hAnsi="等线" w:eastAsia="等线"/>
      <w:color w:val="5A5A5A"/>
      <w:spacing w:val="15"/>
      <w:sz w:val="22"/>
      <w:szCs w:val="22"/>
    </w:rPr>
  </w:style>
  <w:style w:type="paragraph" w:customStyle="1" w:styleId="180">
    <w:name w:val="p7"/>
    <w:basedOn w:val="1"/>
    <w:uiPriority w:val="0"/>
    <w:pPr>
      <w:widowControl/>
      <w:spacing w:after="160" w:line="30" w:lineRule="atLeast"/>
      <w:ind w:firstLine="420"/>
      <w:jc w:val="left"/>
    </w:pPr>
    <w:rPr>
      <w:rFonts w:hint="eastAsia" w:ascii="宋体" w:hAnsi="宋体" w:eastAsia="等线"/>
      <w:kern w:val="0"/>
      <w:sz w:val="22"/>
      <w:szCs w:val="21"/>
    </w:rPr>
  </w:style>
  <w:style w:type="paragraph" w:customStyle="1" w:styleId="181">
    <w:name w:val="Blockquote"/>
    <w:basedOn w:val="1"/>
    <w:uiPriority w:val="0"/>
    <w:pPr>
      <w:widowControl/>
      <w:autoSpaceDE w:val="0"/>
      <w:autoSpaceDN w:val="0"/>
      <w:adjustRightInd w:val="0"/>
      <w:spacing w:before="100" w:after="100" w:line="259" w:lineRule="auto"/>
      <w:ind w:left="360" w:right="360"/>
      <w:jc w:val="left"/>
    </w:pPr>
    <w:rPr>
      <w:rFonts w:ascii="等线" w:hAnsi="等线" w:eastAsia="等线"/>
      <w:kern w:val="0"/>
      <w:sz w:val="24"/>
      <w:szCs w:val="20"/>
    </w:rPr>
  </w:style>
  <w:style w:type="paragraph" w:customStyle="1" w:styleId="182">
    <w:name w:val="标题3-1"/>
    <w:basedOn w:val="4"/>
    <w:uiPriority w:val="0"/>
    <w:pPr>
      <w:widowControl/>
      <w:tabs>
        <w:tab w:val="left" w:pos="425"/>
      </w:tabs>
      <w:spacing w:before="40" w:after="0" w:line="259" w:lineRule="auto"/>
      <w:ind w:left="425" w:hanging="425" w:firstLineChars="0"/>
      <w:jc w:val="left"/>
    </w:pPr>
    <w:rPr>
      <w:rFonts w:ascii="Times New Roman" w:hAnsi="Times New Roman"/>
      <w:bCs w:val="0"/>
      <w:color w:val="1F4E79"/>
      <w:kern w:val="0"/>
      <w:szCs w:val="32"/>
    </w:rPr>
  </w:style>
  <w:style w:type="paragraph" w:customStyle="1" w:styleId="183">
    <w:name w:val="xl24"/>
    <w:basedOn w:val="1"/>
    <w:uiPriority w:val="0"/>
    <w:pPr>
      <w:widowControl/>
      <w:spacing w:before="100" w:beforeAutospacing="1" w:after="100" w:afterAutospacing="1" w:line="259" w:lineRule="auto"/>
      <w:jc w:val="center"/>
      <w:textAlignment w:val="center"/>
    </w:pPr>
    <w:rPr>
      <w:rFonts w:ascii="宋体" w:hAnsi="宋体" w:eastAsia="等线"/>
      <w:kern w:val="0"/>
      <w:sz w:val="24"/>
      <w:szCs w:val="22"/>
    </w:rPr>
  </w:style>
  <w:style w:type="paragraph" w:customStyle="1" w:styleId="184">
    <w:name w:val="a1"/>
    <w:basedOn w:val="1"/>
    <w:uiPriority w:val="0"/>
    <w:pPr>
      <w:widowControl/>
      <w:spacing w:before="100" w:beforeAutospacing="1" w:after="100" w:afterAutospacing="1" w:line="259" w:lineRule="auto"/>
      <w:jc w:val="left"/>
    </w:pPr>
    <w:rPr>
      <w:rFonts w:ascii="宋体" w:hAnsi="宋体" w:eastAsia="等线" w:cs="宋体"/>
      <w:kern w:val="0"/>
      <w:sz w:val="24"/>
      <w:szCs w:val="22"/>
    </w:rPr>
  </w:style>
  <w:style w:type="paragraph" w:customStyle="1" w:styleId="185">
    <w:name w:val="a"/>
    <w:basedOn w:val="1"/>
    <w:uiPriority w:val="0"/>
    <w:pPr>
      <w:widowControl/>
      <w:spacing w:before="100" w:beforeAutospacing="1" w:after="100" w:afterAutospacing="1" w:line="259" w:lineRule="auto"/>
      <w:jc w:val="left"/>
    </w:pPr>
    <w:rPr>
      <w:rFonts w:ascii="宋体" w:hAnsi="宋体" w:eastAsia="等线" w:cs="宋体"/>
      <w:kern w:val="0"/>
      <w:sz w:val="24"/>
      <w:szCs w:val="22"/>
    </w:rPr>
  </w:style>
  <w:style w:type="paragraph" w:customStyle="1" w:styleId="186">
    <w:name w:val="列出段落1"/>
    <w:basedOn w:val="1"/>
    <w:uiPriority w:val="99"/>
    <w:pPr>
      <w:widowControl/>
      <w:spacing w:after="160" w:line="259" w:lineRule="auto"/>
      <w:ind w:firstLine="420" w:firstLineChars="200"/>
      <w:jc w:val="left"/>
    </w:pPr>
    <w:rPr>
      <w:rFonts w:ascii="Calibri" w:hAnsi="Calibri" w:eastAsia="等线"/>
      <w:kern w:val="0"/>
      <w:sz w:val="22"/>
      <w:szCs w:val="22"/>
    </w:rPr>
  </w:style>
  <w:style w:type="character" w:customStyle="1" w:styleId="187">
    <w:name w:val="z-窗体底端 Char2"/>
    <w:semiHidden/>
    <w:uiPriority w:val="99"/>
    <w:rPr>
      <w:rFonts w:ascii="Arial" w:hAnsi="Arial" w:cs="Arial"/>
      <w:vanish/>
      <w:kern w:val="2"/>
      <w:sz w:val="16"/>
      <w:szCs w:val="16"/>
    </w:rPr>
  </w:style>
  <w:style w:type="character" w:customStyle="1" w:styleId="188">
    <w:name w:val="z-窗体底端 字符"/>
    <w:semiHidden/>
    <w:uiPriority w:val="99"/>
    <w:rPr>
      <w:rFonts w:ascii="Arial" w:hAnsi="Arial" w:cs="Arial"/>
      <w:vanish/>
      <w:kern w:val="2"/>
      <w:sz w:val="16"/>
      <w:szCs w:val="16"/>
    </w:rPr>
  </w:style>
  <w:style w:type="character" w:customStyle="1" w:styleId="189">
    <w:name w:val="z-窗体顶端 Char2"/>
    <w:semiHidden/>
    <w:uiPriority w:val="99"/>
    <w:rPr>
      <w:rFonts w:ascii="Arial" w:hAnsi="Arial" w:cs="Arial"/>
      <w:vanish/>
      <w:kern w:val="2"/>
      <w:sz w:val="16"/>
      <w:szCs w:val="16"/>
    </w:rPr>
  </w:style>
  <w:style w:type="character" w:customStyle="1" w:styleId="190">
    <w:name w:val="z-窗体顶端 字符"/>
    <w:semiHidden/>
    <w:uiPriority w:val="99"/>
    <w:rPr>
      <w:rFonts w:ascii="Arial" w:hAnsi="Arial" w:cs="Arial"/>
      <w:vanish/>
      <w:kern w:val="2"/>
      <w:sz w:val="16"/>
      <w:szCs w:val="16"/>
    </w:rPr>
  </w:style>
  <w:style w:type="paragraph" w:customStyle="1" w:styleId="191">
    <w:name w:val="Char10 Char Char Char Char Char Char Char Char Char"/>
    <w:basedOn w:val="1"/>
    <w:next w:val="1"/>
    <w:uiPriority w:val="0"/>
    <w:pPr>
      <w:widowControl/>
      <w:spacing w:after="160" w:line="360" w:lineRule="auto"/>
      <w:jc w:val="left"/>
    </w:pPr>
    <w:rPr>
      <w:rFonts w:ascii="等线" w:hAnsi="等线" w:eastAsia="等线"/>
      <w:kern w:val="0"/>
      <w:sz w:val="22"/>
      <w:szCs w:val="22"/>
    </w:rPr>
  </w:style>
  <w:style w:type="paragraph" w:customStyle="1" w:styleId="192">
    <w:name w:val="xl35"/>
    <w:basedOn w:val="1"/>
    <w:uiPriority w:val="0"/>
    <w:pPr>
      <w:widowControl/>
      <w:pBdr>
        <w:left w:val="single" w:color="auto" w:sz="8" w:space="0"/>
        <w:bottom w:val="single" w:color="auto" w:sz="4" w:space="0"/>
        <w:right w:val="single" w:color="auto" w:sz="4" w:space="0"/>
      </w:pBdr>
      <w:spacing w:before="100" w:beforeAutospacing="1" w:after="100" w:afterAutospacing="1" w:line="259" w:lineRule="auto"/>
      <w:jc w:val="center"/>
      <w:textAlignment w:val="center"/>
    </w:pPr>
    <w:rPr>
      <w:rFonts w:hint="eastAsia" w:ascii="楷体_GB2312" w:hAnsi="宋体" w:eastAsia="楷体_GB2312"/>
      <w:kern w:val="0"/>
      <w:sz w:val="24"/>
      <w:szCs w:val="22"/>
    </w:rPr>
  </w:style>
  <w:style w:type="paragraph" w:customStyle="1" w:styleId="193">
    <w:name w:val="表内容"/>
    <w:basedOn w:val="1"/>
    <w:link w:val="229"/>
    <w:uiPriority w:val="0"/>
    <w:pPr>
      <w:widowControl/>
      <w:autoSpaceDE w:val="0"/>
      <w:autoSpaceDN w:val="0"/>
      <w:spacing w:after="160" w:line="259" w:lineRule="auto"/>
      <w:ind w:right="28" w:firstLine="397"/>
      <w:jc w:val="left"/>
      <w:textAlignment w:val="bottom"/>
    </w:pPr>
    <w:rPr>
      <w:rFonts w:ascii="黑体" w:hAnsi="等线" w:eastAsia="黑体"/>
      <w:kern w:val="0"/>
      <w:sz w:val="18"/>
      <w:szCs w:val="20"/>
    </w:rPr>
  </w:style>
  <w:style w:type="paragraph" w:customStyle="1" w:styleId="194">
    <w:name w:val="Char Char Char Char Char Char Char"/>
    <w:basedOn w:val="1"/>
    <w:uiPriority w:val="0"/>
    <w:pPr>
      <w:widowControl/>
      <w:spacing w:after="160" w:line="259" w:lineRule="auto"/>
      <w:jc w:val="left"/>
    </w:pPr>
    <w:rPr>
      <w:rFonts w:ascii="等线" w:hAnsi="等线" w:eastAsia="等线"/>
      <w:kern w:val="0"/>
      <w:sz w:val="22"/>
      <w:szCs w:val="22"/>
    </w:rPr>
  </w:style>
  <w:style w:type="paragraph" w:customStyle="1" w:styleId="195">
    <w:name w:val="p111"/>
    <w:basedOn w:val="1"/>
    <w:uiPriority w:val="0"/>
    <w:pPr>
      <w:widowControl/>
      <w:spacing w:after="160" w:line="30" w:lineRule="atLeast"/>
      <w:jc w:val="center"/>
    </w:pPr>
    <w:rPr>
      <w:rFonts w:ascii="黑体" w:hAnsi="宋体" w:eastAsia="黑体"/>
      <w:kern w:val="0"/>
      <w:sz w:val="28"/>
      <w:szCs w:val="28"/>
    </w:rPr>
  </w:style>
  <w:style w:type="paragraph" w:customStyle="1" w:styleId="196">
    <w:name w:val="dash6b63_65871"/>
    <w:basedOn w:val="1"/>
    <w:uiPriority w:val="99"/>
    <w:pPr>
      <w:widowControl/>
      <w:spacing w:after="160" w:line="259" w:lineRule="auto"/>
      <w:jc w:val="left"/>
    </w:pPr>
    <w:rPr>
      <w:rFonts w:ascii="Calibri" w:hAnsi="Calibri" w:eastAsia="等线" w:cs="Calibri"/>
      <w:kern w:val="0"/>
      <w:sz w:val="20"/>
      <w:szCs w:val="20"/>
    </w:rPr>
  </w:style>
  <w:style w:type="paragraph" w:customStyle="1" w:styleId="197">
    <w:name w:val="Char21"/>
    <w:basedOn w:val="1"/>
    <w:uiPriority w:val="0"/>
    <w:pPr>
      <w:widowControl/>
      <w:spacing w:after="160" w:line="259" w:lineRule="auto"/>
      <w:jc w:val="left"/>
    </w:pPr>
    <w:rPr>
      <w:rFonts w:ascii="等线" w:hAnsi="等线" w:eastAsia="等线"/>
      <w:kern w:val="0"/>
      <w:sz w:val="22"/>
      <w:szCs w:val="22"/>
    </w:rPr>
  </w:style>
  <w:style w:type="paragraph" w:customStyle="1" w:styleId="198">
    <w:name w:val="Char Char Char Char Char Char Char11"/>
    <w:basedOn w:val="1"/>
    <w:uiPriority w:val="0"/>
    <w:pPr>
      <w:widowControl/>
      <w:spacing w:after="160" w:line="259" w:lineRule="auto"/>
      <w:jc w:val="left"/>
    </w:pPr>
    <w:rPr>
      <w:rFonts w:ascii="Calibri" w:hAnsi="Calibri" w:eastAsia="等线" w:cs="Calibri"/>
      <w:kern w:val="0"/>
      <w:sz w:val="22"/>
      <w:szCs w:val="21"/>
    </w:rPr>
  </w:style>
  <w:style w:type="paragraph" w:customStyle="1" w:styleId="199">
    <w:name w:val="p15"/>
    <w:basedOn w:val="1"/>
    <w:uiPriority w:val="0"/>
    <w:pPr>
      <w:widowControl/>
      <w:spacing w:after="160" w:line="30" w:lineRule="atLeast"/>
      <w:jc w:val="left"/>
    </w:pPr>
    <w:rPr>
      <w:rFonts w:ascii="黑体" w:hAnsi="宋体" w:eastAsia="黑体"/>
      <w:kern w:val="0"/>
      <w:sz w:val="28"/>
      <w:szCs w:val="28"/>
    </w:rPr>
  </w:style>
  <w:style w:type="paragraph" w:customStyle="1" w:styleId="200">
    <w:name w:val="Revision"/>
    <w:uiPriority w:val="99"/>
    <w:pPr>
      <w:spacing w:after="160" w:line="259" w:lineRule="auto"/>
    </w:pPr>
    <w:rPr>
      <w:rFonts w:ascii="等线" w:hAnsi="等线" w:eastAsia="等线" w:cs="Times New Roman"/>
      <w:kern w:val="2"/>
      <w:sz w:val="21"/>
      <w:szCs w:val="24"/>
      <w:lang w:val="en-US" w:eastAsia="zh-CN" w:bidi="ar-SA"/>
    </w:rPr>
  </w:style>
  <w:style w:type="paragraph" w:customStyle="1" w:styleId="201">
    <w:name w:val="dash6b63_6587"/>
    <w:basedOn w:val="1"/>
    <w:uiPriority w:val="99"/>
    <w:pPr>
      <w:widowControl/>
      <w:spacing w:after="160" w:line="259" w:lineRule="auto"/>
      <w:jc w:val="left"/>
    </w:pPr>
    <w:rPr>
      <w:rFonts w:ascii="Calibri" w:hAnsi="Calibri" w:eastAsia="等线" w:cs="Calibri"/>
      <w:kern w:val="0"/>
      <w:sz w:val="20"/>
      <w:szCs w:val="20"/>
    </w:rPr>
  </w:style>
  <w:style w:type="paragraph" w:customStyle="1" w:styleId="202">
    <w:name w:val="_Style 3"/>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203">
    <w:name w:val="默认段落字体 Para Char Char Char Char"/>
    <w:basedOn w:val="1"/>
    <w:uiPriority w:val="0"/>
    <w:pPr>
      <w:widowControl/>
      <w:spacing w:after="160" w:line="259" w:lineRule="auto"/>
      <w:jc w:val="left"/>
    </w:pPr>
    <w:rPr>
      <w:rFonts w:ascii="等线" w:hAnsi="等线" w:eastAsia="等线"/>
      <w:kern w:val="0"/>
      <w:sz w:val="22"/>
      <w:szCs w:val="22"/>
    </w:rPr>
  </w:style>
  <w:style w:type="paragraph" w:customStyle="1" w:styleId="204">
    <w:name w:val="p121"/>
    <w:basedOn w:val="1"/>
    <w:uiPriority w:val="0"/>
    <w:pPr>
      <w:widowControl/>
      <w:spacing w:after="160" w:line="30" w:lineRule="atLeast"/>
      <w:jc w:val="left"/>
    </w:pPr>
    <w:rPr>
      <w:rFonts w:ascii="黑体" w:hAnsi="宋体" w:eastAsia="黑体"/>
      <w:kern w:val="0"/>
      <w:sz w:val="24"/>
      <w:szCs w:val="22"/>
    </w:rPr>
  </w:style>
  <w:style w:type="paragraph" w:customStyle="1" w:styleId="205">
    <w:name w:val="Char1 Char Char Char"/>
    <w:basedOn w:val="1"/>
    <w:uiPriority w:val="0"/>
    <w:pPr>
      <w:widowControl/>
      <w:spacing w:after="160" w:line="259" w:lineRule="auto"/>
      <w:jc w:val="left"/>
    </w:pPr>
    <w:rPr>
      <w:rFonts w:ascii="等线" w:hAnsi="等线" w:eastAsia="等线"/>
      <w:kern w:val="0"/>
      <w:sz w:val="22"/>
      <w:szCs w:val="20"/>
    </w:rPr>
  </w:style>
  <w:style w:type="paragraph" w:customStyle="1" w:styleId="206">
    <w:name w:val="List Paragraph1"/>
    <w:basedOn w:val="1"/>
    <w:uiPriority w:val="0"/>
    <w:pPr>
      <w:widowControl/>
      <w:spacing w:after="160" w:line="259" w:lineRule="auto"/>
      <w:ind w:firstLine="420" w:firstLineChars="200"/>
      <w:jc w:val="left"/>
    </w:pPr>
    <w:rPr>
      <w:rFonts w:ascii="Calibri" w:hAnsi="Calibri" w:eastAsia="等线" w:cs="宋体"/>
      <w:kern w:val="0"/>
      <w:sz w:val="24"/>
      <w:szCs w:val="22"/>
    </w:rPr>
  </w:style>
  <w:style w:type="paragraph" w:customStyle="1" w:styleId="207">
    <w:name w:val="Char Char10 Char"/>
    <w:basedOn w:val="1"/>
    <w:uiPriority w:val="0"/>
    <w:pPr>
      <w:widowControl/>
      <w:spacing w:after="160" w:line="259" w:lineRule="auto"/>
      <w:jc w:val="left"/>
    </w:pPr>
    <w:rPr>
      <w:rFonts w:ascii="等线" w:hAnsi="等线" w:eastAsia="等线"/>
      <w:kern w:val="0"/>
      <w:sz w:val="22"/>
      <w:szCs w:val="22"/>
    </w:rPr>
  </w:style>
  <w:style w:type="paragraph" w:customStyle="1" w:styleId="208">
    <w:name w:val="修订11"/>
    <w:semiHidden/>
    <w:uiPriority w:val="99"/>
    <w:pPr>
      <w:spacing w:after="160" w:line="259" w:lineRule="auto"/>
    </w:pPr>
    <w:rPr>
      <w:rFonts w:ascii="等线" w:hAnsi="等线" w:eastAsia="等线" w:cs="Times New Roman"/>
      <w:sz w:val="22"/>
      <w:szCs w:val="22"/>
      <w:lang w:val="en-US" w:eastAsia="zh-CN" w:bidi="ar-SA"/>
    </w:rPr>
  </w:style>
  <w:style w:type="paragraph" w:customStyle="1" w:styleId="209">
    <w:name w:val="Char Char Char Char Char Char Char Char Char Char Char Char Char"/>
    <w:basedOn w:val="1"/>
    <w:uiPriority w:val="0"/>
    <w:pPr>
      <w:widowControl/>
      <w:spacing w:after="160" w:line="259" w:lineRule="auto"/>
      <w:jc w:val="left"/>
    </w:pPr>
    <w:rPr>
      <w:rFonts w:ascii="仿宋_GB2312" w:hAnsi="等线" w:eastAsia="仿宋_GB2312"/>
      <w:b/>
      <w:kern w:val="0"/>
      <w:sz w:val="32"/>
      <w:szCs w:val="32"/>
    </w:rPr>
  </w:style>
  <w:style w:type="paragraph" w:customStyle="1" w:styleId="210">
    <w:name w:val="正文1"/>
    <w:qFormat/>
    <w:uiPriority w:val="0"/>
    <w:pPr>
      <w:widowControl w:val="0"/>
      <w:tabs>
        <w:tab w:val="left" w:pos="600"/>
      </w:tabs>
      <w:adjustRightInd w:val="0"/>
      <w:spacing w:after="160" w:line="312" w:lineRule="atLeast"/>
      <w:ind w:left="600"/>
      <w:jc w:val="both"/>
      <w:textAlignment w:val="baseline"/>
    </w:pPr>
    <w:rPr>
      <w:rFonts w:ascii="宋体" w:hAnsi="等线" w:eastAsia="等线" w:cs="Times New Roman"/>
      <w:sz w:val="24"/>
      <w:szCs w:val="22"/>
      <w:lang w:val="en-US" w:eastAsia="zh-CN" w:bidi="ar-SA"/>
    </w:rPr>
  </w:style>
  <w:style w:type="paragraph" w:customStyle="1" w:styleId="211">
    <w:name w:val="p12"/>
    <w:basedOn w:val="1"/>
    <w:qFormat/>
    <w:uiPriority w:val="0"/>
    <w:pPr>
      <w:widowControl/>
      <w:spacing w:after="160" w:line="30" w:lineRule="atLeast"/>
      <w:jc w:val="left"/>
    </w:pPr>
    <w:rPr>
      <w:rFonts w:ascii="黑体" w:hAnsi="宋体" w:eastAsia="黑体"/>
      <w:kern w:val="0"/>
      <w:sz w:val="24"/>
      <w:szCs w:val="22"/>
    </w:rPr>
  </w:style>
  <w:style w:type="paragraph" w:customStyle="1" w:styleId="212">
    <w:name w:val="_Style 40"/>
    <w:basedOn w:val="16"/>
    <w:uiPriority w:val="0"/>
    <w:pPr>
      <w:widowControl/>
      <w:spacing w:after="160" w:line="259" w:lineRule="auto"/>
      <w:jc w:val="left"/>
    </w:pPr>
    <w:rPr>
      <w:rFonts w:ascii="Tahoma" w:hAnsi="Tahoma" w:cs="Tahoma"/>
      <w:sz w:val="24"/>
      <w:szCs w:val="20"/>
    </w:rPr>
  </w:style>
  <w:style w:type="paragraph" w:customStyle="1" w:styleId="213">
    <w:name w:val="_Style 38"/>
    <w:next w:val="1"/>
    <w:uiPriority w:val="99"/>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214">
    <w:name w:val="p6"/>
    <w:basedOn w:val="1"/>
    <w:uiPriority w:val="0"/>
    <w:pPr>
      <w:widowControl/>
      <w:spacing w:after="160" w:line="30" w:lineRule="atLeast"/>
      <w:jc w:val="center"/>
    </w:pPr>
    <w:rPr>
      <w:rFonts w:ascii="黑体" w:hAnsi="宋体" w:eastAsia="黑体"/>
      <w:kern w:val="0"/>
      <w:sz w:val="32"/>
      <w:szCs w:val="32"/>
    </w:rPr>
  </w:style>
  <w:style w:type="paragraph" w:customStyle="1" w:styleId="215">
    <w:name w:val="标题3.1"/>
    <w:basedOn w:val="1"/>
    <w:qFormat/>
    <w:uiPriority w:val="0"/>
    <w:pPr>
      <w:widowControl/>
      <w:spacing w:after="160" w:line="259" w:lineRule="auto"/>
      <w:jc w:val="center"/>
      <w:outlineLvl w:val="1"/>
    </w:pPr>
    <w:rPr>
      <w:rFonts w:ascii="黑体" w:hAnsi="等线" w:eastAsia="黑体"/>
      <w:b/>
      <w:bCs/>
      <w:kern w:val="0"/>
      <w:sz w:val="22"/>
      <w:szCs w:val="22"/>
    </w:rPr>
  </w:style>
  <w:style w:type="paragraph" w:customStyle="1" w:styleId="216">
    <w:name w:val="Char Char Char Char"/>
    <w:basedOn w:val="1"/>
    <w:qFormat/>
    <w:uiPriority w:val="0"/>
    <w:pPr>
      <w:widowControl/>
      <w:spacing w:after="160" w:line="259" w:lineRule="auto"/>
      <w:jc w:val="left"/>
    </w:pPr>
    <w:rPr>
      <w:rFonts w:ascii="Tahoma" w:hAnsi="Tahoma" w:eastAsia="等线"/>
      <w:kern w:val="0"/>
      <w:sz w:val="24"/>
      <w:szCs w:val="20"/>
    </w:rPr>
  </w:style>
  <w:style w:type="paragraph" w:customStyle="1" w:styleId="217">
    <w:name w:val="Char Char Char Char Char Char Char Char Char Char"/>
    <w:basedOn w:val="1"/>
    <w:qFormat/>
    <w:uiPriority w:val="0"/>
    <w:pPr>
      <w:widowControl/>
      <w:spacing w:after="160" w:line="240" w:lineRule="exact"/>
      <w:jc w:val="left"/>
    </w:pPr>
    <w:rPr>
      <w:rFonts w:ascii="等线" w:hAnsi="等线" w:eastAsia="等线"/>
      <w:kern w:val="0"/>
      <w:sz w:val="22"/>
      <w:szCs w:val="20"/>
    </w:rPr>
  </w:style>
  <w:style w:type="paragraph" w:customStyle="1" w:styleId="218">
    <w:name w:val="表头"/>
    <w:basedOn w:val="1"/>
    <w:qFormat/>
    <w:uiPriority w:val="0"/>
    <w:pPr>
      <w:widowControl/>
      <w:autoSpaceDE w:val="0"/>
      <w:autoSpaceDN w:val="0"/>
      <w:adjustRightInd w:val="0"/>
      <w:spacing w:beforeLines="50" w:after="160" w:line="259" w:lineRule="auto"/>
      <w:jc w:val="center"/>
      <w:textAlignment w:val="bottom"/>
    </w:pPr>
    <w:rPr>
      <w:rFonts w:ascii="等线" w:hAnsi="等线" w:eastAsia="等线"/>
      <w:kern w:val="0"/>
      <w:sz w:val="28"/>
      <w:szCs w:val="20"/>
    </w:rPr>
  </w:style>
  <w:style w:type="paragraph" w:customStyle="1" w:styleId="219">
    <w:name w:val="Char Char10 Char Char Char Char"/>
    <w:basedOn w:val="1"/>
    <w:qFormat/>
    <w:uiPriority w:val="0"/>
    <w:pPr>
      <w:widowControl/>
      <w:spacing w:after="160" w:line="259" w:lineRule="auto"/>
      <w:jc w:val="left"/>
    </w:pPr>
    <w:rPr>
      <w:rFonts w:ascii="等线" w:hAnsi="等线" w:eastAsia="等线"/>
      <w:kern w:val="0"/>
      <w:sz w:val="22"/>
      <w:szCs w:val="22"/>
    </w:rPr>
  </w:style>
  <w:style w:type="paragraph" w:customStyle="1" w:styleId="22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等线" w:hAnsi="等线" w:eastAsia="等线"/>
      <w:kern w:val="0"/>
      <w:sz w:val="22"/>
      <w:szCs w:val="22"/>
    </w:rPr>
  </w:style>
  <w:style w:type="paragraph" w:customStyle="1" w:styleId="221">
    <w:name w:val="默认段落字体 Para Char Char Char Char Char Char Char Char Char Char"/>
    <w:basedOn w:val="1"/>
    <w:uiPriority w:val="0"/>
    <w:pPr>
      <w:widowControl/>
      <w:spacing w:after="160" w:line="360" w:lineRule="auto"/>
      <w:jc w:val="left"/>
    </w:pPr>
    <w:rPr>
      <w:rFonts w:ascii="等线" w:hAnsi="等线" w:eastAsia="等线"/>
      <w:kern w:val="0"/>
      <w:sz w:val="22"/>
      <w:szCs w:val="20"/>
    </w:rPr>
  </w:style>
  <w:style w:type="paragraph" w:customStyle="1" w:styleId="222">
    <w:name w:val="修订2"/>
    <w:semiHidden/>
    <w:uiPriority w:val="99"/>
    <w:pPr>
      <w:spacing w:after="160" w:line="259" w:lineRule="auto"/>
    </w:pPr>
    <w:rPr>
      <w:rFonts w:ascii="等线" w:hAnsi="等线" w:eastAsia="等线" w:cs="Times New Roman"/>
      <w:kern w:val="2"/>
      <w:sz w:val="21"/>
      <w:szCs w:val="21"/>
      <w:lang w:val="en-US" w:eastAsia="zh-CN" w:bidi="ar-SA"/>
    </w:rPr>
  </w:style>
  <w:style w:type="character" w:customStyle="1" w:styleId="223">
    <w:name w:val="Header Char2"/>
    <w:qFormat/>
    <w:uiPriority w:val="0"/>
    <w:rPr>
      <w:rFonts w:ascii="Times New Roman" w:hAnsi="Times New Roman" w:eastAsia="宋体" w:cs="Times New Roman"/>
      <w:sz w:val="18"/>
    </w:rPr>
  </w:style>
  <w:style w:type="character" w:customStyle="1" w:styleId="224">
    <w:name w:val="页眉 Char Char"/>
    <w:qFormat/>
    <w:uiPriority w:val="0"/>
    <w:rPr>
      <w:rFonts w:eastAsia="宋体"/>
      <w:sz w:val="18"/>
    </w:rPr>
  </w:style>
  <w:style w:type="character" w:customStyle="1" w:styleId="225">
    <w:name w:val="正文文本 2 Char1"/>
    <w:semiHidden/>
    <w:qFormat/>
    <w:uiPriority w:val="99"/>
    <w:rPr>
      <w:rFonts w:ascii="Times New Roman" w:hAnsi="Times New Roman"/>
      <w:kern w:val="2"/>
      <w:sz w:val="21"/>
    </w:rPr>
  </w:style>
  <w:style w:type="character" w:customStyle="1" w:styleId="226">
    <w:name w:val="mh-colors"/>
    <w:qFormat/>
    <w:uiPriority w:val="0"/>
  </w:style>
  <w:style w:type="character" w:customStyle="1" w:styleId="227">
    <w:name w:val="Plain Text Char Char"/>
    <w:link w:val="228"/>
    <w:qFormat/>
    <w:uiPriority w:val="0"/>
    <w:rPr>
      <w:rFonts w:ascii="宋体" w:hAnsi="Courier New" w:cs="Courier New"/>
      <w:szCs w:val="21"/>
    </w:rPr>
  </w:style>
  <w:style w:type="paragraph" w:customStyle="1" w:styleId="228">
    <w:name w:val="纯文本1"/>
    <w:basedOn w:val="1"/>
    <w:link w:val="227"/>
    <w:uiPriority w:val="0"/>
    <w:pPr>
      <w:widowControl/>
      <w:spacing w:after="160" w:line="259" w:lineRule="auto"/>
      <w:jc w:val="left"/>
    </w:pPr>
    <w:rPr>
      <w:rFonts w:ascii="宋体" w:hAnsi="Courier New"/>
      <w:kern w:val="0"/>
      <w:sz w:val="20"/>
      <w:szCs w:val="21"/>
    </w:rPr>
  </w:style>
  <w:style w:type="character" w:customStyle="1" w:styleId="229">
    <w:name w:val="表内容 Char Char"/>
    <w:link w:val="193"/>
    <w:qFormat/>
    <w:uiPriority w:val="0"/>
    <w:rPr>
      <w:rFonts w:ascii="黑体" w:hAnsi="等线" w:eastAsia="黑体"/>
      <w:sz w:val="18"/>
    </w:rPr>
  </w:style>
  <w:style w:type="character" w:customStyle="1" w:styleId="230">
    <w:name w:val="Char Char211"/>
    <w:qFormat/>
    <w:uiPriority w:val="0"/>
    <w:rPr>
      <w:rFonts w:ascii="Arial" w:hAnsi="Arial" w:eastAsia="黑体" w:cs="Times New Roman"/>
      <w:b/>
      <w:bCs/>
      <w:kern w:val="2"/>
      <w:sz w:val="32"/>
      <w:szCs w:val="32"/>
      <w:lang w:val="en-US" w:eastAsia="zh-CN"/>
    </w:rPr>
  </w:style>
  <w:style w:type="character" w:customStyle="1" w:styleId="231">
    <w:name w:val="脚注文本 Char"/>
    <w:link w:val="40"/>
    <w:qFormat/>
    <w:uiPriority w:val="0"/>
  </w:style>
  <w:style w:type="character" w:customStyle="1" w:styleId="232">
    <w:name w:val="页码2"/>
    <w:qFormat/>
    <w:uiPriority w:val="0"/>
  </w:style>
  <w:style w:type="character" w:customStyle="1" w:styleId="233">
    <w:name w:val="Char Char81"/>
    <w:qFormat/>
    <w:uiPriority w:val="0"/>
    <w:rPr>
      <w:rFonts w:ascii="Arial" w:hAnsi="Arial" w:eastAsia="黑体"/>
      <w:b/>
      <w:bCs/>
      <w:kern w:val="2"/>
      <w:sz w:val="32"/>
      <w:szCs w:val="32"/>
      <w:lang w:val="en-US" w:eastAsia="zh-CN" w:bidi="ar-SA"/>
    </w:rPr>
  </w:style>
  <w:style w:type="character" w:customStyle="1" w:styleId="234">
    <w:name w:val="正文文本缩进 2 Char"/>
    <w:link w:val="235"/>
    <w:qFormat/>
    <w:uiPriority w:val="99"/>
  </w:style>
  <w:style w:type="paragraph" w:customStyle="1" w:styleId="235">
    <w:name w:val="正文文本缩进 22"/>
    <w:basedOn w:val="1"/>
    <w:link w:val="234"/>
    <w:uiPriority w:val="99"/>
    <w:pPr>
      <w:widowControl/>
      <w:spacing w:after="120" w:line="480" w:lineRule="auto"/>
      <w:ind w:left="420" w:leftChars="200"/>
      <w:jc w:val="left"/>
    </w:pPr>
    <w:rPr>
      <w:kern w:val="0"/>
      <w:sz w:val="20"/>
      <w:szCs w:val="20"/>
    </w:rPr>
  </w:style>
  <w:style w:type="character" w:customStyle="1" w:styleId="236">
    <w:name w:val="正文文本 Char2"/>
    <w:semiHidden/>
    <w:qFormat/>
    <w:uiPriority w:val="99"/>
    <w:rPr>
      <w:rFonts w:ascii="Times New Roman" w:hAnsi="Times New Roman" w:eastAsia="宋体" w:cs="Times New Roman"/>
      <w:szCs w:val="24"/>
    </w:rPr>
  </w:style>
  <w:style w:type="character" w:customStyle="1" w:styleId="237">
    <w:name w:val="样式 标题 2 + 五号 非加粗 Char Char"/>
    <w:link w:val="238"/>
    <w:qFormat/>
    <w:uiPriority w:val="0"/>
    <w:rPr>
      <w:rFonts w:ascii="Arial" w:hAnsi="Arial"/>
      <w:b/>
      <w:sz w:val="24"/>
    </w:rPr>
  </w:style>
  <w:style w:type="paragraph" w:customStyle="1" w:styleId="238">
    <w:name w:val="样式 标题 2 + 五号 非加粗"/>
    <w:basedOn w:val="3"/>
    <w:link w:val="237"/>
    <w:qFormat/>
    <w:uiPriority w:val="0"/>
    <w:pPr>
      <w:keepNext w:val="0"/>
      <w:keepLines w:val="0"/>
      <w:widowControl/>
      <w:spacing w:line="440" w:lineRule="exact"/>
      <w:jc w:val="center"/>
    </w:pPr>
    <w:rPr>
      <w:bCs w:val="0"/>
      <w:kern w:val="0"/>
      <w:sz w:val="24"/>
      <w:szCs w:val="20"/>
    </w:rPr>
  </w:style>
  <w:style w:type="character" w:customStyle="1" w:styleId="239">
    <w:name w:val="图名 Char"/>
    <w:link w:val="240"/>
    <w:qFormat/>
    <w:uiPriority w:val="0"/>
    <w:rPr>
      <w:rFonts w:ascii="宋体"/>
      <w:b/>
      <w:szCs w:val="24"/>
    </w:rPr>
  </w:style>
  <w:style w:type="paragraph" w:customStyle="1" w:styleId="240">
    <w:name w:val="图名"/>
    <w:basedOn w:val="1"/>
    <w:link w:val="239"/>
    <w:qFormat/>
    <w:uiPriority w:val="0"/>
    <w:pPr>
      <w:widowControl/>
      <w:adjustRightInd w:val="0"/>
      <w:snapToGrid w:val="0"/>
      <w:spacing w:afterLines="50" w:line="259" w:lineRule="auto"/>
      <w:jc w:val="center"/>
    </w:pPr>
    <w:rPr>
      <w:rFonts w:ascii="宋体"/>
      <w:b/>
      <w:kern w:val="0"/>
      <w:sz w:val="20"/>
    </w:rPr>
  </w:style>
  <w:style w:type="character" w:customStyle="1" w:styleId="241">
    <w:name w:val="表格内容+居中 Char"/>
    <w:link w:val="242"/>
    <w:qFormat/>
    <w:uiPriority w:val="0"/>
    <w:rPr>
      <w:rFonts w:ascii="宋体" w:hAnsi="宋体" w:cs="宋体"/>
    </w:rPr>
  </w:style>
  <w:style w:type="paragraph" w:customStyle="1" w:styleId="242">
    <w:name w:val="表格内容+居中"/>
    <w:basedOn w:val="1"/>
    <w:link w:val="241"/>
    <w:qFormat/>
    <w:uiPriority w:val="0"/>
    <w:pPr>
      <w:widowControl/>
      <w:spacing w:after="160" w:line="340" w:lineRule="exact"/>
      <w:jc w:val="center"/>
    </w:pPr>
    <w:rPr>
      <w:rFonts w:ascii="宋体" w:hAnsi="宋体"/>
      <w:kern w:val="0"/>
      <w:sz w:val="20"/>
      <w:szCs w:val="20"/>
    </w:rPr>
  </w:style>
  <w:style w:type="character" w:customStyle="1" w:styleId="243">
    <w:name w:val="Char Char31"/>
    <w:qFormat/>
    <w:uiPriority w:val="0"/>
    <w:rPr>
      <w:kern w:val="2"/>
      <w:sz w:val="18"/>
      <w:szCs w:val="18"/>
      <w:lang w:bidi="ar-SA"/>
    </w:rPr>
  </w:style>
  <w:style w:type="character" w:customStyle="1" w:styleId="244">
    <w:name w:val="Footer Char1"/>
    <w:qFormat/>
    <w:uiPriority w:val="0"/>
    <w:rPr>
      <w:rFonts w:ascii="Times New Roman" w:hAnsi="Times New Roman" w:cs="Times New Roman"/>
      <w:sz w:val="18"/>
      <w:szCs w:val="18"/>
    </w:rPr>
  </w:style>
  <w:style w:type="character" w:customStyle="1" w:styleId="245">
    <w:name w:val="正文文本缩进 3 Char1"/>
    <w:semiHidden/>
    <w:qFormat/>
    <w:uiPriority w:val="99"/>
    <w:rPr>
      <w:rFonts w:ascii="Times New Roman" w:hAnsi="Times New Roman"/>
      <w:kern w:val="2"/>
      <w:sz w:val="16"/>
      <w:szCs w:val="16"/>
    </w:rPr>
  </w:style>
  <w:style w:type="character" w:customStyle="1" w:styleId="246">
    <w:name w:val="日期 Char1"/>
    <w:qFormat/>
    <w:uiPriority w:val="99"/>
    <w:rPr>
      <w:rFonts w:ascii="Times New Roman" w:hAnsi="Times New Roman" w:eastAsia="宋体" w:cs="Times New Roman"/>
      <w:szCs w:val="24"/>
    </w:rPr>
  </w:style>
  <w:style w:type="character" w:customStyle="1" w:styleId="247">
    <w:name w:val="Z14正文 Char"/>
    <w:link w:val="248"/>
    <w:qFormat/>
    <w:uiPriority w:val="0"/>
    <w:rPr>
      <w:rFonts w:ascii="宋体"/>
      <w:sz w:val="24"/>
    </w:rPr>
  </w:style>
  <w:style w:type="paragraph" w:customStyle="1" w:styleId="248">
    <w:name w:val="Z14正文"/>
    <w:basedOn w:val="1"/>
    <w:link w:val="247"/>
    <w:qFormat/>
    <w:uiPriority w:val="0"/>
    <w:pPr>
      <w:widowControl/>
      <w:spacing w:after="160" w:line="360" w:lineRule="auto"/>
      <w:ind w:firstLine="480" w:firstLineChars="200"/>
      <w:jc w:val="left"/>
    </w:pPr>
    <w:rPr>
      <w:rFonts w:ascii="宋体"/>
      <w:kern w:val="0"/>
      <w:sz w:val="24"/>
      <w:szCs w:val="20"/>
    </w:rPr>
  </w:style>
  <w:style w:type="character" w:customStyle="1" w:styleId="249">
    <w:name w:val="正文文本 3 Char1"/>
    <w:semiHidden/>
    <w:qFormat/>
    <w:uiPriority w:val="99"/>
    <w:rPr>
      <w:rFonts w:ascii="Calibri" w:hAnsi="Calibri" w:eastAsia="宋体" w:cs="Times New Roman"/>
      <w:sz w:val="16"/>
      <w:szCs w:val="16"/>
    </w:rPr>
  </w:style>
  <w:style w:type="character" w:customStyle="1" w:styleId="250">
    <w:name w:val="批注框文本 Char Char"/>
    <w:qFormat/>
    <w:uiPriority w:val="0"/>
    <w:rPr>
      <w:sz w:val="18"/>
    </w:rPr>
  </w:style>
  <w:style w:type="character" w:customStyle="1" w:styleId="251">
    <w:name w:val="Char Char101"/>
    <w:qFormat/>
    <w:uiPriority w:val="0"/>
    <w:rPr>
      <w:rFonts w:eastAsia="宋体"/>
      <w:b/>
      <w:bCs/>
      <w:kern w:val="2"/>
      <w:sz w:val="24"/>
      <w:szCs w:val="32"/>
      <w:lang w:val="en-US" w:eastAsia="zh-CN" w:bidi="ar-SA"/>
    </w:rPr>
  </w:style>
  <w:style w:type="character" w:customStyle="1" w:styleId="252">
    <w:name w:val="图博图名 Char"/>
    <w:link w:val="253"/>
    <w:qFormat/>
    <w:uiPriority w:val="0"/>
    <w:rPr>
      <w:rFonts w:ascii="宋体"/>
      <w:sz w:val="24"/>
      <w:szCs w:val="24"/>
    </w:rPr>
  </w:style>
  <w:style w:type="paragraph" w:customStyle="1" w:styleId="253">
    <w:name w:val="图博图名"/>
    <w:basedOn w:val="1"/>
    <w:link w:val="252"/>
    <w:qFormat/>
    <w:uiPriority w:val="0"/>
    <w:pPr>
      <w:widowControl/>
      <w:spacing w:afterLines="50" w:line="259" w:lineRule="auto"/>
      <w:jc w:val="center"/>
    </w:pPr>
    <w:rPr>
      <w:rFonts w:ascii="宋体"/>
      <w:kern w:val="0"/>
      <w:sz w:val="24"/>
    </w:rPr>
  </w:style>
  <w:style w:type="character" w:customStyle="1" w:styleId="254">
    <w:name w:val="Char Char21"/>
    <w:qFormat/>
    <w:uiPriority w:val="0"/>
    <w:rPr>
      <w:rFonts w:eastAsia="宋体"/>
      <w:kern w:val="2"/>
      <w:sz w:val="21"/>
      <w:szCs w:val="24"/>
      <w:lang w:val="en-US" w:eastAsia="zh-CN" w:bidi="ar-SA"/>
    </w:rPr>
  </w:style>
  <w:style w:type="character" w:customStyle="1" w:styleId="255">
    <w:name w:val="脚注文本 Char2"/>
    <w:semiHidden/>
    <w:qFormat/>
    <w:uiPriority w:val="99"/>
    <w:rPr>
      <w:rFonts w:ascii="Times New Roman" w:hAnsi="Times New Roman"/>
      <w:kern w:val="2"/>
      <w:sz w:val="18"/>
      <w:szCs w:val="18"/>
    </w:rPr>
  </w:style>
  <w:style w:type="character" w:customStyle="1" w:styleId="256">
    <w:name w:val="文档结构图 Char2"/>
    <w:semiHidden/>
    <w:qFormat/>
    <w:uiPriority w:val="99"/>
    <w:rPr>
      <w:rFonts w:ascii="宋体"/>
      <w:kern w:val="2"/>
      <w:sz w:val="18"/>
      <w:szCs w:val="18"/>
    </w:rPr>
  </w:style>
  <w:style w:type="character" w:customStyle="1" w:styleId="257">
    <w:name w:val="引用 Char3"/>
    <w:qFormat/>
    <w:uiPriority w:val="29"/>
    <w:rPr>
      <w:i/>
      <w:iCs/>
      <w:color w:val="000000"/>
      <w:kern w:val="2"/>
      <w:sz w:val="21"/>
      <w:szCs w:val="24"/>
    </w:rPr>
  </w:style>
  <w:style w:type="character" w:customStyle="1" w:styleId="258">
    <w:name w:val="Document Map Char Char"/>
    <w:link w:val="259"/>
    <w:qFormat/>
    <w:uiPriority w:val="0"/>
    <w:rPr>
      <w:sz w:val="16"/>
      <w:szCs w:val="16"/>
      <w:shd w:val="clear" w:color="auto" w:fill="000080"/>
    </w:rPr>
  </w:style>
  <w:style w:type="paragraph" w:customStyle="1" w:styleId="259">
    <w:name w:val="文档结构图1"/>
    <w:basedOn w:val="1"/>
    <w:link w:val="258"/>
    <w:qFormat/>
    <w:uiPriority w:val="0"/>
    <w:pPr>
      <w:widowControl/>
      <w:shd w:val="clear" w:color="auto" w:fill="000080"/>
      <w:spacing w:after="160" w:line="259" w:lineRule="auto"/>
      <w:jc w:val="left"/>
    </w:pPr>
    <w:rPr>
      <w:kern w:val="0"/>
      <w:sz w:val="16"/>
      <w:szCs w:val="16"/>
    </w:rPr>
  </w:style>
  <w:style w:type="character" w:customStyle="1" w:styleId="260">
    <w:name w:val="Char Char22"/>
    <w:qFormat/>
    <w:locked/>
    <w:uiPriority w:val="0"/>
    <w:rPr>
      <w:rFonts w:ascii="宋体" w:hAnsi="宋体" w:eastAsia="宋体"/>
      <w:kern w:val="2"/>
      <w:sz w:val="21"/>
      <w:szCs w:val="24"/>
      <w:lang w:val="en-US" w:eastAsia="zh-CN" w:bidi="ar-SA"/>
    </w:rPr>
  </w:style>
  <w:style w:type="character" w:customStyle="1" w:styleId="261">
    <w:name w:val="表格图片名称 Char"/>
    <w:link w:val="262"/>
    <w:uiPriority w:val="0"/>
    <w:rPr>
      <w:rFonts w:ascii="黑体" w:hAnsi="宋体" w:eastAsia="黑体" w:cs="宋体"/>
      <w:sz w:val="24"/>
    </w:rPr>
  </w:style>
  <w:style w:type="paragraph" w:customStyle="1" w:styleId="262">
    <w:name w:val="表格图片名称"/>
    <w:basedOn w:val="1"/>
    <w:link w:val="261"/>
    <w:qFormat/>
    <w:uiPriority w:val="0"/>
    <w:pPr>
      <w:widowControl/>
      <w:spacing w:after="160" w:line="259" w:lineRule="auto"/>
      <w:jc w:val="center"/>
    </w:pPr>
    <w:rPr>
      <w:rFonts w:ascii="黑体" w:hAnsi="宋体" w:eastAsia="黑体"/>
      <w:kern w:val="0"/>
      <w:sz w:val="24"/>
      <w:szCs w:val="20"/>
    </w:rPr>
  </w:style>
  <w:style w:type="character" w:customStyle="1" w:styleId="263">
    <w:name w:val="页码1"/>
    <w:qFormat/>
    <w:uiPriority w:val="0"/>
    <w:rPr>
      <w:rFonts w:cs="Times New Roman"/>
    </w:rPr>
  </w:style>
  <w:style w:type="character" w:customStyle="1" w:styleId="264">
    <w:name w:val="访问过的超链接11"/>
    <w:unhideWhenUsed/>
    <w:qFormat/>
    <w:uiPriority w:val="99"/>
    <w:rPr>
      <w:color w:val="954F72"/>
      <w:u w:val="single"/>
    </w:rPr>
  </w:style>
  <w:style w:type="character" w:customStyle="1" w:styleId="265">
    <w:name w:val="ask-title2"/>
    <w:qFormat/>
    <w:uiPriority w:val="0"/>
  </w:style>
  <w:style w:type="character" w:customStyle="1" w:styleId="266">
    <w:name w:val="页脚 Char1"/>
    <w:semiHidden/>
    <w:qFormat/>
    <w:uiPriority w:val="99"/>
    <w:rPr>
      <w:rFonts w:ascii="Times New Roman" w:hAnsi="Times New Roman" w:eastAsia="宋体" w:cs="Times New Roman"/>
      <w:sz w:val="18"/>
      <w:szCs w:val="18"/>
    </w:rPr>
  </w:style>
  <w:style w:type="character" w:customStyle="1" w:styleId="267">
    <w:name w:val="hover13"/>
    <w:qFormat/>
    <w:uiPriority w:val="0"/>
    <w:rPr>
      <w:u w:val="single"/>
    </w:rPr>
  </w:style>
  <w:style w:type="character" w:customStyle="1" w:styleId="268">
    <w:name w:val="Body Text Indent 2 Char Char"/>
    <w:link w:val="269"/>
    <w:qFormat/>
    <w:uiPriority w:val="0"/>
    <w:rPr>
      <w:sz w:val="24"/>
      <w:szCs w:val="24"/>
    </w:rPr>
  </w:style>
  <w:style w:type="paragraph" w:customStyle="1" w:styleId="269">
    <w:name w:val="正文文本缩进 21"/>
    <w:basedOn w:val="1"/>
    <w:link w:val="268"/>
    <w:qFormat/>
    <w:uiPriority w:val="0"/>
    <w:pPr>
      <w:widowControl/>
      <w:spacing w:after="120" w:line="480" w:lineRule="auto"/>
      <w:ind w:left="420" w:leftChars="200"/>
      <w:jc w:val="left"/>
    </w:pPr>
    <w:rPr>
      <w:kern w:val="0"/>
      <w:sz w:val="24"/>
    </w:rPr>
  </w:style>
  <w:style w:type="character" w:customStyle="1" w:styleId="270">
    <w:name w:val="mh-margin"/>
    <w:qFormat/>
    <w:uiPriority w:val="0"/>
  </w:style>
  <w:style w:type="character" w:customStyle="1" w:styleId="271">
    <w:name w:val="Date Char Char"/>
    <w:link w:val="272"/>
    <w:qFormat/>
    <w:uiPriority w:val="0"/>
    <w:rPr>
      <w:sz w:val="24"/>
      <w:szCs w:val="24"/>
    </w:rPr>
  </w:style>
  <w:style w:type="paragraph" w:customStyle="1" w:styleId="272">
    <w:name w:val="日期1"/>
    <w:basedOn w:val="1"/>
    <w:next w:val="1"/>
    <w:link w:val="271"/>
    <w:qFormat/>
    <w:uiPriority w:val="0"/>
    <w:pPr>
      <w:widowControl/>
      <w:spacing w:after="160" w:line="259" w:lineRule="auto"/>
      <w:ind w:left="100" w:leftChars="2500"/>
      <w:jc w:val="left"/>
    </w:pPr>
    <w:rPr>
      <w:kern w:val="0"/>
      <w:sz w:val="24"/>
    </w:rPr>
  </w:style>
  <w:style w:type="character" w:customStyle="1" w:styleId="273">
    <w:name w:val="Subtle Emphasis"/>
    <w:qFormat/>
    <w:uiPriority w:val="19"/>
    <w:rPr>
      <w:i/>
      <w:iCs/>
      <w:color w:val="404040"/>
    </w:rPr>
  </w:style>
  <w:style w:type="character" w:customStyle="1" w:styleId="274">
    <w:name w:val="正文文本 3 Char2"/>
    <w:qFormat/>
    <w:uiPriority w:val="0"/>
    <w:rPr>
      <w:kern w:val="2"/>
      <w:sz w:val="16"/>
      <w:szCs w:val="16"/>
    </w:rPr>
  </w:style>
  <w:style w:type="character" w:customStyle="1" w:styleId="275">
    <w:name w:val="标题 3 Char1"/>
    <w:qFormat/>
    <w:uiPriority w:val="0"/>
    <w:rPr>
      <w:rFonts w:eastAsia="宋体"/>
      <w:b/>
      <w:bCs/>
      <w:kern w:val="2"/>
      <w:sz w:val="32"/>
      <w:szCs w:val="32"/>
      <w:lang w:val="en-US" w:eastAsia="zh-CN" w:bidi="ar-SA"/>
    </w:rPr>
  </w:style>
  <w:style w:type="character" w:customStyle="1" w:styleId="276">
    <w:name w:val="Z14表格 + 居中 Char"/>
    <w:link w:val="277"/>
    <w:qFormat/>
    <w:uiPriority w:val="0"/>
    <w:rPr>
      <w:rFonts w:ascii="宋体"/>
      <w:sz w:val="24"/>
    </w:rPr>
  </w:style>
  <w:style w:type="paragraph" w:customStyle="1" w:styleId="277">
    <w:name w:val="Z14表格 + 居中"/>
    <w:basedOn w:val="278"/>
    <w:link w:val="276"/>
    <w:qFormat/>
    <w:uiPriority w:val="0"/>
    <w:pPr>
      <w:jc w:val="center"/>
    </w:pPr>
    <w:rPr>
      <w:rFonts w:eastAsia="宋体"/>
      <w:szCs w:val="20"/>
    </w:rPr>
  </w:style>
  <w:style w:type="paragraph" w:customStyle="1" w:styleId="278">
    <w:name w:val="Z14表格"/>
    <w:link w:val="317"/>
    <w:qFormat/>
    <w:uiPriority w:val="0"/>
    <w:pPr>
      <w:widowControl w:val="0"/>
      <w:spacing w:after="160" w:line="360" w:lineRule="auto"/>
      <w:jc w:val="both"/>
    </w:pPr>
    <w:rPr>
      <w:rFonts w:ascii="宋体" w:hAnsi="Times New Roman" w:eastAsia="Times New Roman" w:cs="Times New Roman"/>
      <w:sz w:val="24"/>
      <w:szCs w:val="24"/>
      <w:lang w:val="en-US" w:eastAsia="zh-CN" w:bidi="ar-SA"/>
    </w:rPr>
  </w:style>
  <w:style w:type="character" w:customStyle="1" w:styleId="279">
    <w:name w:val="标题 2 Char Char Char Char Char Char Char Char Char Char Char Char Char"/>
    <w:qFormat/>
    <w:uiPriority w:val="0"/>
    <w:rPr>
      <w:rFonts w:ascii="Arial" w:hAnsi="Arial" w:eastAsia="宋体"/>
      <w:b/>
      <w:bCs/>
      <w:kern w:val="2"/>
      <w:sz w:val="28"/>
      <w:szCs w:val="32"/>
      <w:lang w:val="en-US" w:eastAsia="zh-CN" w:bidi="ar-SA"/>
    </w:rPr>
  </w:style>
  <w:style w:type="character" w:customStyle="1" w:styleId="280">
    <w:name w:val="正文文本缩进 2 Char1"/>
    <w:semiHidden/>
    <w:qFormat/>
    <w:uiPriority w:val="99"/>
    <w:rPr>
      <w:rFonts w:ascii="Times New Roman" w:hAnsi="Times New Roman"/>
      <w:kern w:val="2"/>
      <w:sz w:val="21"/>
      <w:szCs w:val="24"/>
    </w:rPr>
  </w:style>
  <w:style w:type="character" w:customStyle="1" w:styleId="281">
    <w:name w:val="Balloon Text Char1"/>
    <w:qFormat/>
    <w:uiPriority w:val="0"/>
    <w:rPr>
      <w:rFonts w:ascii="Times New Roman" w:hAnsi="Times New Roman" w:cs="Times New Roman"/>
      <w:sz w:val="2"/>
    </w:rPr>
  </w:style>
  <w:style w:type="character" w:customStyle="1" w:styleId="282">
    <w:name w:val="Body Text 2 Char1"/>
    <w:link w:val="283"/>
    <w:qFormat/>
    <w:uiPriority w:val="0"/>
    <w:rPr>
      <w:rFonts w:ascii="Calibri" w:hAnsi="Calibri"/>
    </w:rPr>
  </w:style>
  <w:style w:type="paragraph" w:customStyle="1" w:styleId="283">
    <w:name w:val="正文文本 21"/>
    <w:basedOn w:val="1"/>
    <w:link w:val="282"/>
    <w:qFormat/>
    <w:uiPriority w:val="0"/>
    <w:pPr>
      <w:widowControl/>
      <w:spacing w:after="120" w:line="480" w:lineRule="auto"/>
      <w:jc w:val="left"/>
    </w:pPr>
    <w:rPr>
      <w:rFonts w:ascii="Calibri" w:hAnsi="Calibri"/>
      <w:kern w:val="0"/>
      <w:sz w:val="20"/>
      <w:szCs w:val="20"/>
    </w:rPr>
  </w:style>
  <w:style w:type="character" w:customStyle="1" w:styleId="284">
    <w:name w:val="批注文字 Char2"/>
    <w:qFormat/>
    <w:uiPriority w:val="0"/>
    <w:rPr>
      <w:kern w:val="2"/>
      <w:sz w:val="21"/>
      <w:szCs w:val="24"/>
    </w:rPr>
  </w:style>
  <w:style w:type="character" w:customStyle="1" w:styleId="285">
    <w:name w:val="文档结构图 Char3"/>
    <w:semiHidden/>
    <w:qFormat/>
    <w:uiPriority w:val="99"/>
    <w:rPr>
      <w:rFonts w:ascii="宋体" w:hAnsi="Times New Roman" w:eastAsia="宋体" w:cs="Times New Roman"/>
      <w:sz w:val="18"/>
      <w:szCs w:val="18"/>
    </w:rPr>
  </w:style>
  <w:style w:type="character" w:customStyle="1" w:styleId="286">
    <w:name w:val="无间隔 Char"/>
    <w:link w:val="287"/>
    <w:qFormat/>
    <w:uiPriority w:val="1"/>
    <w:rPr>
      <w:lang w:val="en-US" w:eastAsia="zh-CN" w:bidi="ar-SA"/>
    </w:rPr>
  </w:style>
  <w:style w:type="paragraph" w:styleId="287">
    <w:name w:val="No Spacing"/>
    <w:link w:val="286"/>
    <w:qFormat/>
    <w:uiPriority w:val="1"/>
    <w:rPr>
      <w:rFonts w:ascii="Times New Roman" w:hAnsi="Times New Roman" w:eastAsia="宋体" w:cs="Times New Roman"/>
      <w:lang w:val="en-US" w:eastAsia="zh-CN" w:bidi="ar-SA"/>
    </w:rPr>
  </w:style>
  <w:style w:type="character" w:customStyle="1" w:styleId="288">
    <w:name w:val="第三级目录 Char2"/>
    <w:semiHidden/>
    <w:uiPriority w:val="9"/>
    <w:rPr>
      <w:rFonts w:ascii="Calibri Light" w:hAnsi="Calibri Light" w:eastAsia="宋体" w:cs="Times New Roman"/>
      <w:b/>
      <w:bCs/>
      <w:kern w:val="2"/>
      <w:sz w:val="28"/>
      <w:szCs w:val="28"/>
    </w:rPr>
  </w:style>
  <w:style w:type="character" w:customStyle="1" w:styleId="289">
    <w:name w:val="Char Char82"/>
    <w:qFormat/>
    <w:uiPriority w:val="0"/>
    <w:rPr>
      <w:rFonts w:ascii="Arial" w:hAnsi="Arial" w:eastAsia="黑体"/>
      <w:b/>
      <w:bCs/>
      <w:kern w:val="2"/>
      <w:sz w:val="32"/>
      <w:szCs w:val="32"/>
      <w:lang w:val="en-US" w:eastAsia="zh-CN" w:bidi="ar-SA"/>
    </w:rPr>
  </w:style>
  <w:style w:type="character" w:customStyle="1" w:styleId="290">
    <w:name w:val="Body Text Indent Char1"/>
    <w:qFormat/>
    <w:uiPriority w:val="0"/>
    <w:rPr>
      <w:rFonts w:ascii="Times New Roman" w:hAnsi="Times New Roman" w:cs="Times New Roman"/>
      <w:sz w:val="20"/>
      <w:szCs w:val="20"/>
    </w:rPr>
  </w:style>
  <w:style w:type="character" w:customStyle="1" w:styleId="291">
    <w:name w:val="引用 Char1"/>
    <w:qFormat/>
    <w:uiPriority w:val="29"/>
    <w:rPr>
      <w:i/>
      <w:iCs/>
      <w:color w:val="000000"/>
      <w:kern w:val="2"/>
      <w:sz w:val="21"/>
      <w:szCs w:val="24"/>
    </w:rPr>
  </w:style>
  <w:style w:type="character" w:customStyle="1" w:styleId="292">
    <w:name w:val="标题 2 Char Char"/>
    <w:qFormat/>
    <w:uiPriority w:val="0"/>
    <w:rPr>
      <w:rFonts w:ascii="Arial" w:hAnsi="Arial" w:eastAsia="宋体"/>
      <w:b/>
      <w:bCs/>
      <w:kern w:val="2"/>
      <w:sz w:val="28"/>
      <w:szCs w:val="32"/>
      <w:lang w:val="en-US" w:eastAsia="zh-CN" w:bidi="ar-SA"/>
    </w:rPr>
  </w:style>
  <w:style w:type="character" w:customStyle="1" w:styleId="293">
    <w:name w:val="Char Char102"/>
    <w:qFormat/>
    <w:uiPriority w:val="0"/>
    <w:rPr>
      <w:rFonts w:eastAsia="宋体"/>
      <w:b/>
      <w:bCs/>
      <w:kern w:val="2"/>
      <w:sz w:val="24"/>
      <w:szCs w:val="32"/>
      <w:lang w:val="en-US" w:eastAsia="zh-CN" w:bidi="ar-SA"/>
    </w:rPr>
  </w:style>
  <w:style w:type="character" w:customStyle="1" w:styleId="294">
    <w:name w:val="批注主题 Char2"/>
    <w:qFormat/>
    <w:uiPriority w:val="0"/>
    <w:rPr>
      <w:b/>
      <w:bCs/>
      <w:kern w:val="2"/>
      <w:sz w:val="21"/>
      <w:szCs w:val="24"/>
    </w:rPr>
  </w:style>
  <w:style w:type="character" w:customStyle="1" w:styleId="295">
    <w:name w:val="Subtle Reference"/>
    <w:qFormat/>
    <w:uiPriority w:val="31"/>
    <w:rPr>
      <w:smallCaps/>
      <w:color w:val="404040"/>
    </w:rPr>
  </w:style>
  <w:style w:type="character" w:customStyle="1" w:styleId="296">
    <w:name w:val="正文格式 Char"/>
    <w:link w:val="297"/>
    <w:qFormat/>
    <w:uiPriority w:val="0"/>
    <w:rPr>
      <w:rFonts w:ascii="宋体" w:hAnsi="宋体"/>
      <w:sz w:val="28"/>
      <w:szCs w:val="24"/>
    </w:rPr>
  </w:style>
  <w:style w:type="paragraph" w:customStyle="1" w:styleId="297">
    <w:name w:val="正文格式"/>
    <w:basedOn w:val="1"/>
    <w:link w:val="296"/>
    <w:uiPriority w:val="0"/>
    <w:pPr>
      <w:widowControl/>
      <w:spacing w:after="160" w:line="259" w:lineRule="auto"/>
      <w:ind w:firstLine="200" w:firstLineChars="200"/>
      <w:jc w:val="left"/>
    </w:pPr>
    <w:rPr>
      <w:rFonts w:ascii="宋体" w:hAnsi="宋体"/>
      <w:kern w:val="0"/>
      <w:sz w:val="28"/>
    </w:rPr>
  </w:style>
  <w:style w:type="character" w:customStyle="1" w:styleId="298">
    <w:name w:val="公用表格 Char"/>
    <w:link w:val="299"/>
    <w:qFormat/>
    <w:uiPriority w:val="0"/>
    <w:rPr>
      <w:rFonts w:ascii="宋体"/>
    </w:rPr>
  </w:style>
  <w:style w:type="paragraph" w:customStyle="1" w:styleId="299">
    <w:name w:val="公用表格"/>
    <w:basedOn w:val="1"/>
    <w:link w:val="298"/>
    <w:qFormat/>
    <w:uiPriority w:val="0"/>
    <w:pPr>
      <w:widowControl/>
      <w:adjustRightInd w:val="0"/>
      <w:snapToGrid w:val="0"/>
      <w:spacing w:after="160" w:line="259" w:lineRule="auto"/>
      <w:jc w:val="left"/>
    </w:pPr>
    <w:rPr>
      <w:rFonts w:ascii="宋体"/>
      <w:kern w:val="0"/>
      <w:sz w:val="20"/>
      <w:szCs w:val="20"/>
    </w:rPr>
  </w:style>
  <w:style w:type="character" w:customStyle="1" w:styleId="300">
    <w:name w:val="正文 黑色 Char"/>
    <w:link w:val="301"/>
    <w:qFormat/>
    <w:uiPriority w:val="0"/>
    <w:rPr>
      <w:rFonts w:ascii="宋体" w:hAnsi="宋体" w:cs="宋体"/>
      <w:sz w:val="24"/>
    </w:rPr>
  </w:style>
  <w:style w:type="paragraph" w:customStyle="1" w:styleId="301">
    <w:name w:val="正文 黑色"/>
    <w:basedOn w:val="1"/>
    <w:link w:val="300"/>
    <w:qFormat/>
    <w:uiPriority w:val="0"/>
    <w:pPr>
      <w:widowControl/>
      <w:spacing w:after="160" w:line="360" w:lineRule="auto"/>
      <w:ind w:firstLine="480" w:firstLineChars="200"/>
      <w:jc w:val="left"/>
    </w:pPr>
    <w:rPr>
      <w:rFonts w:ascii="宋体" w:hAnsi="宋体"/>
      <w:kern w:val="0"/>
      <w:sz w:val="24"/>
      <w:szCs w:val="20"/>
    </w:rPr>
  </w:style>
  <w:style w:type="character" w:customStyle="1" w:styleId="302">
    <w:name w:val="Body Text 3 Char Char"/>
    <w:link w:val="303"/>
    <w:qFormat/>
    <w:uiPriority w:val="0"/>
    <w:rPr>
      <w:sz w:val="16"/>
      <w:szCs w:val="16"/>
    </w:rPr>
  </w:style>
  <w:style w:type="paragraph" w:customStyle="1" w:styleId="303">
    <w:name w:val="正文文本 31"/>
    <w:basedOn w:val="1"/>
    <w:link w:val="302"/>
    <w:qFormat/>
    <w:uiPriority w:val="0"/>
    <w:pPr>
      <w:widowControl/>
      <w:spacing w:after="120" w:line="259" w:lineRule="auto"/>
      <w:jc w:val="left"/>
    </w:pPr>
    <w:rPr>
      <w:kern w:val="0"/>
      <w:sz w:val="16"/>
      <w:szCs w:val="16"/>
    </w:rPr>
  </w:style>
  <w:style w:type="character" w:customStyle="1" w:styleId="304">
    <w:name w:val="表中文字 Char"/>
    <w:link w:val="305"/>
    <w:qFormat/>
    <w:locked/>
    <w:uiPriority w:val="99"/>
    <w:rPr>
      <w:rFonts w:ascii="宋体" w:hAnsi="宋体"/>
      <w:szCs w:val="24"/>
    </w:rPr>
  </w:style>
  <w:style w:type="paragraph" w:customStyle="1" w:styleId="305">
    <w:name w:val="表中文字"/>
    <w:basedOn w:val="1"/>
    <w:link w:val="304"/>
    <w:uiPriority w:val="99"/>
    <w:pPr>
      <w:widowControl/>
      <w:adjustRightInd w:val="0"/>
      <w:snapToGrid w:val="0"/>
      <w:spacing w:after="160" w:line="320" w:lineRule="exact"/>
      <w:jc w:val="left"/>
    </w:pPr>
    <w:rPr>
      <w:rFonts w:ascii="宋体" w:hAnsi="宋体"/>
      <w:kern w:val="0"/>
      <w:sz w:val="20"/>
    </w:rPr>
  </w:style>
  <w:style w:type="character" w:customStyle="1" w:styleId="306">
    <w:name w:val="脚注文本 Char1"/>
    <w:qFormat/>
    <w:uiPriority w:val="0"/>
    <w:rPr>
      <w:kern w:val="2"/>
      <w:sz w:val="18"/>
      <w:szCs w:val="18"/>
    </w:rPr>
  </w:style>
  <w:style w:type="character" w:customStyle="1" w:styleId="307">
    <w:name w:val="Char Char121"/>
    <w:qFormat/>
    <w:uiPriority w:val="0"/>
    <w:rPr>
      <w:b/>
      <w:bCs/>
      <w:kern w:val="44"/>
      <w:sz w:val="44"/>
      <w:szCs w:val="44"/>
    </w:rPr>
  </w:style>
  <w:style w:type="character" w:customStyle="1" w:styleId="308">
    <w:name w:val="批注框文本 Char2"/>
    <w:semiHidden/>
    <w:qFormat/>
    <w:uiPriority w:val="99"/>
    <w:rPr>
      <w:rFonts w:ascii="Times New Roman" w:hAnsi="Times New Roman" w:eastAsia="宋体" w:cs="Times New Roman"/>
      <w:sz w:val="18"/>
      <w:szCs w:val="18"/>
    </w:rPr>
  </w:style>
  <w:style w:type="character" w:customStyle="1" w:styleId="309">
    <w:name w:val="Book Title"/>
    <w:qFormat/>
    <w:uiPriority w:val="33"/>
    <w:rPr>
      <w:b/>
      <w:bCs/>
      <w:i/>
      <w:iCs/>
      <w:spacing w:val="5"/>
    </w:rPr>
  </w:style>
  <w:style w:type="character" w:customStyle="1" w:styleId="310">
    <w:name w:val="Char Char19"/>
    <w:qFormat/>
    <w:uiPriority w:val="0"/>
    <w:rPr>
      <w:rFonts w:ascii="Arial" w:hAnsi="Arial" w:eastAsia="黑体" w:cs="Times New Roman"/>
      <w:b/>
      <w:bCs/>
      <w:kern w:val="2"/>
      <w:sz w:val="32"/>
      <w:szCs w:val="32"/>
      <w:lang w:val="en-US" w:eastAsia="zh-CN" w:bidi="ar-SA"/>
    </w:rPr>
  </w:style>
  <w:style w:type="character" w:customStyle="1" w:styleId="311">
    <w:name w:val="Date Char1"/>
    <w:qFormat/>
    <w:uiPriority w:val="0"/>
    <w:rPr>
      <w:rFonts w:ascii="Times New Roman" w:hAnsi="Times New Roman" w:cs="Times New Roman"/>
      <w:sz w:val="20"/>
      <w:szCs w:val="20"/>
    </w:rPr>
  </w:style>
  <w:style w:type="character" w:customStyle="1" w:styleId="312">
    <w:name w:val="正文文本 2 Char"/>
    <w:link w:val="48"/>
    <w:qFormat/>
    <w:uiPriority w:val="0"/>
    <w:rPr>
      <w:szCs w:val="24"/>
    </w:rPr>
  </w:style>
  <w:style w:type="character" w:customStyle="1" w:styleId="313">
    <w:name w:val="正文文本 2 Char3"/>
    <w:semiHidden/>
    <w:qFormat/>
    <w:uiPriority w:val="99"/>
    <w:rPr>
      <w:rFonts w:ascii="Times New Roman" w:hAnsi="Times New Roman"/>
      <w:kern w:val="2"/>
      <w:sz w:val="21"/>
      <w:szCs w:val="24"/>
    </w:rPr>
  </w:style>
  <w:style w:type="character" w:customStyle="1" w:styleId="314">
    <w:name w:val="批注主题 Char3"/>
    <w:semiHidden/>
    <w:qFormat/>
    <w:uiPriority w:val="99"/>
    <w:rPr>
      <w:rFonts w:ascii="Times New Roman" w:hAnsi="Times New Roman" w:eastAsia="宋体" w:cs="Times New Roman"/>
      <w:b/>
      <w:bCs/>
      <w:szCs w:val="24"/>
    </w:rPr>
  </w:style>
  <w:style w:type="character" w:customStyle="1" w:styleId="315">
    <w:name w:val="Body Text Char2"/>
    <w:qFormat/>
    <w:uiPriority w:val="0"/>
    <w:rPr>
      <w:rFonts w:ascii="Times New Roman" w:hAnsi="Times New Roman" w:eastAsia="宋体" w:cs="Times New Roman"/>
    </w:rPr>
  </w:style>
  <w:style w:type="character" w:customStyle="1" w:styleId="316">
    <w:name w:val="正文缩进 Char"/>
    <w:link w:val="13"/>
    <w:qFormat/>
    <w:uiPriority w:val="0"/>
    <w:rPr>
      <w:kern w:val="2"/>
      <w:sz w:val="21"/>
      <w:szCs w:val="24"/>
    </w:rPr>
  </w:style>
  <w:style w:type="character" w:customStyle="1" w:styleId="317">
    <w:name w:val="Z14表格 Char"/>
    <w:link w:val="278"/>
    <w:qFormat/>
    <w:uiPriority w:val="0"/>
    <w:rPr>
      <w:rFonts w:ascii="宋体" w:eastAsia="Times New Roman"/>
      <w:sz w:val="24"/>
      <w:szCs w:val="24"/>
      <w:lang w:val="en-US" w:eastAsia="zh-CN" w:bidi="ar-SA"/>
    </w:rPr>
  </w:style>
  <w:style w:type="character" w:customStyle="1" w:styleId="318">
    <w:name w:val="批注引用1"/>
    <w:qFormat/>
    <w:uiPriority w:val="0"/>
    <w:rPr>
      <w:rFonts w:cs="Times New Roman"/>
      <w:sz w:val="21"/>
      <w:szCs w:val="21"/>
    </w:rPr>
  </w:style>
  <w:style w:type="character" w:customStyle="1" w:styleId="319">
    <w:name w:val="mh-texts"/>
    <w:qFormat/>
    <w:uiPriority w:val="0"/>
  </w:style>
  <w:style w:type="character" w:customStyle="1" w:styleId="320">
    <w:name w:val="Body Text Indent Char2"/>
    <w:qFormat/>
    <w:uiPriority w:val="0"/>
    <w:rPr>
      <w:rFonts w:eastAsia="宋体" w:cs="Times New Roman"/>
    </w:rPr>
  </w:style>
  <w:style w:type="character" w:customStyle="1" w:styleId="321">
    <w:name w:val="Header Char1"/>
    <w:qFormat/>
    <w:uiPriority w:val="0"/>
    <w:rPr>
      <w:rFonts w:ascii="Times New Roman" w:hAnsi="Times New Roman" w:cs="Times New Roman"/>
      <w:sz w:val="18"/>
      <w:szCs w:val="18"/>
    </w:rPr>
  </w:style>
  <w:style w:type="character" w:customStyle="1" w:styleId="322">
    <w:name w:val="中标合同验收 Char"/>
    <w:link w:val="323"/>
    <w:qFormat/>
    <w:uiPriority w:val="0"/>
    <w:rPr>
      <w:b/>
      <w:sz w:val="24"/>
    </w:rPr>
  </w:style>
  <w:style w:type="paragraph" w:customStyle="1" w:styleId="323">
    <w:name w:val="中标合同验收"/>
    <w:basedOn w:val="1"/>
    <w:link w:val="322"/>
    <w:uiPriority w:val="0"/>
    <w:pPr>
      <w:widowControl/>
      <w:spacing w:after="160" w:line="259" w:lineRule="auto"/>
      <w:jc w:val="left"/>
    </w:pPr>
    <w:rPr>
      <w:b/>
      <w:kern w:val="0"/>
      <w:sz w:val="24"/>
      <w:szCs w:val="20"/>
    </w:rPr>
  </w:style>
  <w:style w:type="character" w:customStyle="1" w:styleId="324">
    <w:name w:val="Title Char2"/>
    <w:qFormat/>
    <w:uiPriority w:val="0"/>
    <w:rPr>
      <w:rFonts w:ascii="Arial" w:hAnsi="Arial" w:eastAsia="宋体" w:cs="Times New Roman"/>
      <w:b/>
      <w:sz w:val="32"/>
    </w:rPr>
  </w:style>
  <w:style w:type="character" w:customStyle="1" w:styleId="325">
    <w:name w:val="页眉 Char1"/>
    <w:semiHidden/>
    <w:qFormat/>
    <w:uiPriority w:val="99"/>
    <w:rPr>
      <w:rFonts w:ascii="Times New Roman" w:hAnsi="Times New Roman" w:eastAsia="宋体" w:cs="Times New Roman"/>
      <w:sz w:val="18"/>
      <w:szCs w:val="18"/>
    </w:rPr>
  </w:style>
  <w:style w:type="character" w:customStyle="1" w:styleId="326">
    <w:name w:val="公用图名 Char"/>
    <w:link w:val="327"/>
    <w:qFormat/>
    <w:uiPriority w:val="0"/>
    <w:rPr>
      <w:rFonts w:ascii="宋体"/>
      <w:b/>
      <w:szCs w:val="24"/>
    </w:rPr>
  </w:style>
  <w:style w:type="paragraph" w:customStyle="1" w:styleId="327">
    <w:name w:val="公用图名"/>
    <w:basedOn w:val="1"/>
    <w:link w:val="326"/>
    <w:uiPriority w:val="0"/>
    <w:pPr>
      <w:widowControl/>
      <w:spacing w:afterLines="50" w:line="259" w:lineRule="auto"/>
      <w:jc w:val="center"/>
    </w:pPr>
    <w:rPr>
      <w:rFonts w:ascii="宋体"/>
      <w:b/>
      <w:kern w:val="0"/>
      <w:sz w:val="20"/>
    </w:rPr>
  </w:style>
  <w:style w:type="character" w:customStyle="1" w:styleId="328">
    <w:name w:val="Char Char71"/>
    <w:qFormat/>
    <w:uiPriority w:val="0"/>
    <w:rPr>
      <w:rFonts w:ascii="Arial" w:hAnsi="Arial" w:eastAsia="黑体"/>
      <w:b/>
      <w:bCs/>
      <w:kern w:val="2"/>
      <w:sz w:val="32"/>
      <w:szCs w:val="32"/>
      <w:lang w:val="en-US" w:eastAsia="zh-CN" w:bidi="ar-SA"/>
    </w:rPr>
  </w:style>
  <w:style w:type="character" w:customStyle="1" w:styleId="329">
    <w:name w:val="明显引用 Char1"/>
    <w:qFormat/>
    <w:uiPriority w:val="30"/>
    <w:rPr>
      <w:b/>
      <w:bCs/>
      <w:i/>
      <w:iCs/>
      <w:color w:val="4F81BD"/>
      <w:kern w:val="2"/>
      <w:sz w:val="21"/>
      <w:szCs w:val="24"/>
    </w:rPr>
  </w:style>
  <w:style w:type="character" w:customStyle="1" w:styleId="330">
    <w:name w:val="Plain Text Char1"/>
    <w:qFormat/>
    <w:uiPriority w:val="0"/>
    <w:rPr>
      <w:rFonts w:ascii="宋体" w:hAnsi="Courier New" w:cs="Courier New"/>
      <w:sz w:val="21"/>
      <w:szCs w:val="21"/>
    </w:rPr>
  </w:style>
  <w:style w:type="character" w:customStyle="1" w:styleId="331">
    <w:name w:val="Balloon Text Char2"/>
    <w:qFormat/>
    <w:uiPriority w:val="0"/>
    <w:rPr>
      <w:rFonts w:ascii="Times New Roman" w:hAnsi="Times New Roman" w:eastAsia="宋体" w:cs="Times New Roman"/>
      <w:sz w:val="18"/>
    </w:rPr>
  </w:style>
  <w:style w:type="character" w:customStyle="1" w:styleId="332">
    <w:name w:val="font01"/>
    <w:qFormat/>
    <w:uiPriority w:val="0"/>
    <w:rPr>
      <w:rFonts w:hint="eastAsia" w:ascii="宋体" w:hAnsi="宋体" w:eastAsia="宋体" w:cs="宋体"/>
      <w:color w:val="000000"/>
      <w:sz w:val="18"/>
      <w:szCs w:val="18"/>
      <w:u w:val="none"/>
    </w:rPr>
  </w:style>
  <w:style w:type="character" w:customStyle="1" w:styleId="333">
    <w:name w:val="页脚 Char Char"/>
    <w:qFormat/>
    <w:uiPriority w:val="0"/>
    <w:rPr>
      <w:rFonts w:ascii="Times New Roman" w:hAnsi="Times New Roman" w:eastAsia="宋体"/>
      <w:sz w:val="18"/>
    </w:rPr>
  </w:style>
  <w:style w:type="character" w:customStyle="1" w:styleId="334">
    <w:name w:val="Char Char12"/>
    <w:qFormat/>
    <w:locked/>
    <w:uiPriority w:val="0"/>
    <w:rPr>
      <w:rFonts w:ascii="宋体" w:hAnsi="宋体" w:eastAsia="宋体"/>
      <w:kern w:val="2"/>
      <w:sz w:val="21"/>
      <w:szCs w:val="24"/>
      <w:lang w:bidi="ar-SA"/>
    </w:rPr>
  </w:style>
  <w:style w:type="character" w:customStyle="1" w:styleId="335">
    <w:name w:val="普通文字 Char Char1"/>
    <w:qFormat/>
    <w:locked/>
    <w:uiPriority w:val="0"/>
    <w:rPr>
      <w:rFonts w:ascii="宋体" w:hAnsi="Courier New" w:eastAsia="宋体"/>
      <w:kern w:val="2"/>
      <w:sz w:val="24"/>
      <w:lang w:val="en-US" w:eastAsia="zh-CN" w:bidi="ar-SA"/>
    </w:rPr>
  </w:style>
  <w:style w:type="character" w:customStyle="1" w:styleId="336">
    <w:name w:val="图片字体 Char"/>
    <w:link w:val="337"/>
    <w:qFormat/>
    <w:uiPriority w:val="0"/>
    <w:rPr>
      <w:b/>
      <w:szCs w:val="24"/>
    </w:rPr>
  </w:style>
  <w:style w:type="paragraph" w:customStyle="1" w:styleId="337">
    <w:name w:val="图片字体"/>
    <w:basedOn w:val="1"/>
    <w:link w:val="336"/>
    <w:qFormat/>
    <w:uiPriority w:val="0"/>
    <w:pPr>
      <w:widowControl/>
      <w:spacing w:after="160" w:line="259" w:lineRule="auto"/>
      <w:jc w:val="center"/>
    </w:pPr>
    <w:rPr>
      <w:b/>
      <w:kern w:val="0"/>
      <w:sz w:val="20"/>
    </w:rPr>
  </w:style>
  <w:style w:type="character" w:customStyle="1" w:styleId="338">
    <w:name w:val="日期 Char3"/>
    <w:qFormat/>
    <w:uiPriority w:val="0"/>
    <w:rPr>
      <w:rFonts w:ascii="宋体" w:hAnsi="Times New Roman" w:eastAsia="宋体" w:cs="Times New Roman"/>
      <w:kern w:val="0"/>
      <w:sz w:val="28"/>
      <w:szCs w:val="20"/>
    </w:rPr>
  </w:style>
  <w:style w:type="character" w:customStyle="1" w:styleId="339">
    <w:name w:val="Body Text Indent Char Char"/>
    <w:link w:val="340"/>
    <w:qFormat/>
    <w:uiPriority w:val="0"/>
  </w:style>
  <w:style w:type="paragraph" w:customStyle="1" w:styleId="340">
    <w:name w:val="正文文本缩进1"/>
    <w:basedOn w:val="1"/>
    <w:link w:val="339"/>
    <w:qFormat/>
    <w:uiPriority w:val="0"/>
    <w:pPr>
      <w:widowControl/>
      <w:spacing w:after="120" w:line="259" w:lineRule="auto"/>
      <w:ind w:left="420" w:leftChars="200"/>
      <w:jc w:val="left"/>
    </w:pPr>
    <w:rPr>
      <w:kern w:val="0"/>
      <w:sz w:val="20"/>
      <w:szCs w:val="20"/>
    </w:rPr>
  </w:style>
  <w:style w:type="character" w:customStyle="1" w:styleId="341">
    <w:name w:val="Body Text Indent 2 Char2"/>
    <w:qFormat/>
    <w:uiPriority w:val="0"/>
    <w:rPr>
      <w:rFonts w:eastAsia="宋体" w:cs="Times New Roman"/>
    </w:rPr>
  </w:style>
  <w:style w:type="character" w:customStyle="1" w:styleId="342">
    <w:name w:val="ca-1"/>
    <w:qFormat/>
    <w:uiPriority w:val="0"/>
    <w:rPr>
      <w:rFonts w:cs="Times New Roman"/>
    </w:rPr>
  </w:style>
  <w:style w:type="character" w:customStyle="1" w:styleId="343">
    <w:name w:val="Plain Text Char2"/>
    <w:qFormat/>
    <w:uiPriority w:val="0"/>
    <w:rPr>
      <w:rFonts w:ascii="宋体" w:hAnsi="Courier New" w:eastAsia="宋体" w:cs="Times New Roman"/>
    </w:rPr>
  </w:style>
  <w:style w:type="character" w:customStyle="1" w:styleId="344">
    <w:name w:val="插图 Char"/>
    <w:link w:val="345"/>
    <w:qFormat/>
    <w:locked/>
    <w:uiPriority w:val="0"/>
    <w:rPr>
      <w:rFonts w:ascii="宋体" w:hAnsi="宋体"/>
      <w:sz w:val="24"/>
      <w:szCs w:val="24"/>
    </w:rPr>
  </w:style>
  <w:style w:type="paragraph" w:customStyle="1" w:styleId="345">
    <w:name w:val="插图"/>
    <w:basedOn w:val="1"/>
    <w:link w:val="344"/>
    <w:qFormat/>
    <w:uiPriority w:val="0"/>
    <w:pPr>
      <w:widowControl/>
      <w:spacing w:after="160" w:line="259" w:lineRule="auto"/>
      <w:jc w:val="center"/>
    </w:pPr>
    <w:rPr>
      <w:rFonts w:ascii="宋体" w:hAnsi="宋体"/>
      <w:kern w:val="0"/>
      <w:sz w:val="24"/>
    </w:rPr>
  </w:style>
  <w:style w:type="character" w:customStyle="1" w:styleId="346">
    <w:name w:val="style101"/>
    <w:qFormat/>
    <w:uiPriority w:val="0"/>
    <w:rPr>
      <w:rFonts w:hint="eastAsia" w:ascii="宋体" w:hAnsi="宋体" w:eastAsia="宋体"/>
      <w:color w:val="FFFFFF"/>
    </w:rPr>
  </w:style>
  <w:style w:type="character" w:customStyle="1" w:styleId="347">
    <w:name w:val="font11"/>
    <w:qFormat/>
    <w:uiPriority w:val="0"/>
    <w:rPr>
      <w:rFonts w:hint="eastAsia" w:ascii="宋体" w:hAnsi="宋体" w:eastAsia="宋体" w:cs="宋体"/>
      <w:color w:val="000000"/>
      <w:sz w:val="18"/>
      <w:szCs w:val="18"/>
      <w:u w:val="none"/>
    </w:rPr>
  </w:style>
  <w:style w:type="character" w:customStyle="1" w:styleId="348">
    <w:name w:val="Char Char72"/>
    <w:qFormat/>
    <w:uiPriority w:val="0"/>
    <w:rPr>
      <w:rFonts w:ascii="Arial" w:hAnsi="Arial" w:eastAsia="黑体"/>
      <w:b/>
      <w:bCs/>
      <w:kern w:val="2"/>
      <w:sz w:val="32"/>
      <w:szCs w:val="32"/>
      <w:lang w:val="en-US" w:eastAsia="zh-CN" w:bidi="ar-SA"/>
    </w:rPr>
  </w:style>
  <w:style w:type="character" w:customStyle="1" w:styleId="349">
    <w:name w:val="标题 4 Char1"/>
    <w:qFormat/>
    <w:uiPriority w:val="0"/>
    <w:rPr>
      <w:rFonts w:ascii="Arial" w:hAnsi="Arial" w:eastAsia="黑体"/>
      <w:b/>
      <w:bCs/>
      <w:kern w:val="2"/>
      <w:sz w:val="28"/>
      <w:szCs w:val="28"/>
      <w:lang w:val="en-US" w:eastAsia="zh-CN" w:bidi="ar-SA"/>
    </w:rPr>
  </w:style>
  <w:style w:type="character" w:customStyle="1" w:styleId="350">
    <w:name w:val="鲁能表格文字 Char"/>
    <w:link w:val="351"/>
    <w:qFormat/>
    <w:uiPriority w:val="0"/>
    <w:rPr>
      <w:rFonts w:ascii="宋体" w:hAnsi="宋体" w:cs="宋体"/>
      <w:szCs w:val="21"/>
    </w:rPr>
  </w:style>
  <w:style w:type="paragraph" w:customStyle="1" w:styleId="351">
    <w:name w:val="鲁能表格文字"/>
    <w:basedOn w:val="1"/>
    <w:link w:val="350"/>
    <w:qFormat/>
    <w:uiPriority w:val="0"/>
    <w:pPr>
      <w:widowControl/>
      <w:adjustRightInd w:val="0"/>
      <w:snapToGrid w:val="0"/>
      <w:spacing w:after="160" w:line="259" w:lineRule="auto"/>
      <w:jc w:val="left"/>
    </w:pPr>
    <w:rPr>
      <w:rFonts w:ascii="宋体" w:hAnsi="宋体"/>
      <w:kern w:val="0"/>
      <w:sz w:val="20"/>
      <w:szCs w:val="21"/>
    </w:rPr>
  </w:style>
  <w:style w:type="character" w:customStyle="1" w:styleId="352">
    <w:name w:val="Body Text 2 Char Char"/>
    <w:qFormat/>
    <w:uiPriority w:val="0"/>
    <w:rPr>
      <w:rFonts w:ascii="Times New Roman" w:hAnsi="Times New Roman" w:eastAsia="宋体"/>
    </w:rPr>
  </w:style>
  <w:style w:type="character" w:customStyle="1" w:styleId="353">
    <w:name w:val="正文文本缩进 2 Char2"/>
    <w:link w:val="30"/>
    <w:qFormat/>
    <w:uiPriority w:val="99"/>
    <w:rPr>
      <w:szCs w:val="24"/>
    </w:rPr>
  </w:style>
  <w:style w:type="character" w:customStyle="1" w:styleId="354">
    <w:name w:val="批注文字 Char Char"/>
    <w:qFormat/>
    <w:uiPriority w:val="0"/>
    <w:rPr>
      <w:rFonts w:ascii="宋体" w:hAnsi="Times New Roman" w:eastAsia="宋体" w:cs="Times New Roman"/>
      <w:sz w:val="28"/>
      <w:szCs w:val="20"/>
    </w:rPr>
  </w:style>
  <w:style w:type="character" w:customStyle="1" w:styleId="355">
    <w:name w:val="Intense Emphasis"/>
    <w:qFormat/>
    <w:uiPriority w:val="21"/>
    <w:rPr>
      <w:i/>
      <w:iCs/>
      <w:color w:val="5B9BD5"/>
    </w:rPr>
  </w:style>
  <w:style w:type="character" w:customStyle="1" w:styleId="356">
    <w:name w:val="批注框文本 Char1"/>
    <w:qFormat/>
    <w:uiPriority w:val="99"/>
    <w:rPr>
      <w:rFonts w:ascii="Times New Roman" w:hAnsi="Times New Roman" w:eastAsia="宋体" w:cs="Times New Roman"/>
      <w:sz w:val="18"/>
      <w:szCs w:val="18"/>
    </w:rPr>
  </w:style>
  <w:style w:type="character" w:customStyle="1" w:styleId="357">
    <w:name w:val="纯文本 Char2"/>
    <w:semiHidden/>
    <w:qFormat/>
    <w:uiPriority w:val="99"/>
    <w:rPr>
      <w:rFonts w:ascii="宋体" w:hAnsi="Courier New" w:eastAsia="宋体" w:cs="Courier New"/>
      <w:szCs w:val="21"/>
    </w:rPr>
  </w:style>
  <w:style w:type="character" w:customStyle="1" w:styleId="358">
    <w:name w:val="人保正文 Char"/>
    <w:link w:val="359"/>
    <w:qFormat/>
    <w:uiPriority w:val="0"/>
    <w:rPr>
      <w:rFonts w:ascii="宋体" w:hAnsi="宋体"/>
      <w:sz w:val="24"/>
      <w:szCs w:val="24"/>
    </w:rPr>
  </w:style>
  <w:style w:type="paragraph" w:customStyle="1" w:styleId="359">
    <w:name w:val="人保正文"/>
    <w:basedOn w:val="1"/>
    <w:link w:val="358"/>
    <w:qFormat/>
    <w:uiPriority w:val="0"/>
    <w:pPr>
      <w:widowControl/>
      <w:adjustRightInd w:val="0"/>
      <w:snapToGrid w:val="0"/>
      <w:spacing w:after="160" w:line="288" w:lineRule="auto"/>
      <w:ind w:firstLine="480" w:firstLineChars="200"/>
      <w:jc w:val="left"/>
    </w:pPr>
    <w:rPr>
      <w:rFonts w:ascii="宋体" w:hAnsi="宋体"/>
      <w:kern w:val="0"/>
      <w:sz w:val="24"/>
    </w:rPr>
  </w:style>
  <w:style w:type="character" w:customStyle="1" w:styleId="360">
    <w:name w:val="明显引用 Char2"/>
    <w:qFormat/>
    <w:uiPriority w:val="30"/>
    <w:rPr>
      <w:b/>
      <w:bCs/>
      <w:i/>
      <w:iCs/>
      <w:color w:val="4F81BD"/>
      <w:kern w:val="2"/>
      <w:sz w:val="21"/>
      <w:szCs w:val="24"/>
    </w:rPr>
  </w:style>
  <w:style w:type="character" w:customStyle="1" w:styleId="361">
    <w:name w:val="Body Text Indent 3 Char Char"/>
    <w:link w:val="362"/>
    <w:qFormat/>
    <w:uiPriority w:val="0"/>
    <w:rPr>
      <w:sz w:val="16"/>
      <w:szCs w:val="16"/>
    </w:rPr>
  </w:style>
  <w:style w:type="paragraph" w:customStyle="1" w:styleId="362">
    <w:name w:val="正文文本缩进 31"/>
    <w:basedOn w:val="1"/>
    <w:link w:val="361"/>
    <w:qFormat/>
    <w:uiPriority w:val="0"/>
    <w:pPr>
      <w:widowControl/>
      <w:spacing w:after="160" w:line="259" w:lineRule="auto"/>
      <w:ind w:firstLine="420" w:firstLineChars="200"/>
      <w:jc w:val="left"/>
    </w:pPr>
    <w:rPr>
      <w:kern w:val="0"/>
      <w:sz w:val="16"/>
      <w:szCs w:val="16"/>
    </w:rPr>
  </w:style>
  <w:style w:type="character" w:customStyle="1" w:styleId="363">
    <w:name w:val="日期 Char2"/>
    <w:semiHidden/>
    <w:qFormat/>
    <w:uiPriority w:val="99"/>
    <w:rPr>
      <w:kern w:val="2"/>
      <w:sz w:val="21"/>
      <w:szCs w:val="24"/>
    </w:rPr>
  </w:style>
  <w:style w:type="character" w:customStyle="1" w:styleId="364">
    <w:name w:val="tel"/>
    <w:uiPriority w:val="0"/>
  </w:style>
  <w:style w:type="character" w:customStyle="1" w:styleId="365">
    <w:name w:val="Date Char2"/>
    <w:uiPriority w:val="0"/>
    <w:rPr>
      <w:rFonts w:ascii="Times New Roman" w:hAnsi="Times New Roman" w:eastAsia="宋体" w:cs="Times New Roman"/>
    </w:rPr>
  </w:style>
  <w:style w:type="character" w:customStyle="1" w:styleId="366">
    <w:name w:val="正文文本缩进 Char1"/>
    <w:semiHidden/>
    <w:uiPriority w:val="99"/>
    <w:rPr>
      <w:rFonts w:ascii="Times New Roman" w:hAnsi="Times New Roman" w:eastAsia="宋体" w:cs="Times New Roman"/>
      <w:szCs w:val="24"/>
    </w:rPr>
  </w:style>
  <w:style w:type="character" w:customStyle="1" w:styleId="367">
    <w:name w:val="Body Text Indent 2 Char1"/>
    <w:qFormat/>
    <w:uiPriority w:val="0"/>
    <w:rPr>
      <w:rFonts w:ascii="Times New Roman" w:hAnsi="Times New Roman" w:cs="Times New Roman"/>
      <w:sz w:val="20"/>
      <w:szCs w:val="20"/>
    </w:rPr>
  </w:style>
  <w:style w:type="character" w:customStyle="1" w:styleId="368">
    <w:name w:val="正文文本 2 Char2"/>
    <w:qFormat/>
    <w:uiPriority w:val="0"/>
    <w:rPr>
      <w:kern w:val="2"/>
      <w:sz w:val="21"/>
      <w:szCs w:val="24"/>
    </w:rPr>
  </w:style>
  <w:style w:type="character" w:customStyle="1" w:styleId="369">
    <w:name w:val="引用 Char2"/>
    <w:qFormat/>
    <w:uiPriority w:val="29"/>
    <w:rPr>
      <w:rFonts w:ascii="Times New Roman" w:hAnsi="Times New Roman" w:eastAsia="宋体" w:cs="Times New Roman"/>
      <w:i/>
      <w:iCs/>
      <w:color w:val="000000"/>
      <w:szCs w:val="24"/>
    </w:rPr>
  </w:style>
  <w:style w:type="character" w:customStyle="1" w:styleId="370">
    <w:name w:val="表格居中 Char"/>
    <w:link w:val="371"/>
    <w:qFormat/>
    <w:uiPriority w:val="0"/>
    <w:rPr>
      <w:rFonts w:ascii="宋体" w:hAnsi="Arial"/>
      <w:sz w:val="18"/>
      <w:szCs w:val="18"/>
    </w:rPr>
  </w:style>
  <w:style w:type="paragraph" w:customStyle="1" w:styleId="371">
    <w:name w:val="表格居中"/>
    <w:basedOn w:val="1"/>
    <w:link w:val="370"/>
    <w:qFormat/>
    <w:uiPriority w:val="0"/>
    <w:pPr>
      <w:widowControl/>
      <w:spacing w:after="160" w:line="120" w:lineRule="atLeast"/>
      <w:jc w:val="center"/>
    </w:pPr>
    <w:rPr>
      <w:rFonts w:ascii="宋体" w:hAnsi="Arial"/>
      <w:kern w:val="0"/>
      <w:sz w:val="18"/>
      <w:szCs w:val="18"/>
    </w:rPr>
  </w:style>
  <w:style w:type="character" w:customStyle="1" w:styleId="372">
    <w:name w:val="正文文本 3 Char3"/>
    <w:semiHidden/>
    <w:qFormat/>
    <w:uiPriority w:val="99"/>
    <w:rPr>
      <w:rFonts w:ascii="Times New Roman" w:hAnsi="Times New Roman"/>
      <w:kern w:val="2"/>
      <w:sz w:val="16"/>
      <w:szCs w:val="16"/>
    </w:rPr>
  </w:style>
  <w:style w:type="character" w:customStyle="1" w:styleId="373">
    <w:name w:val="Quote Char1"/>
    <w:qFormat/>
    <w:uiPriority w:val="29"/>
    <w:rPr>
      <w:i/>
      <w:iCs/>
      <w:color w:val="000000"/>
    </w:rPr>
  </w:style>
  <w:style w:type="character" w:customStyle="1" w:styleId="374">
    <w:name w:val="Intense Reference"/>
    <w:qFormat/>
    <w:uiPriority w:val="32"/>
    <w:rPr>
      <w:b/>
      <w:bCs/>
      <w:smallCaps/>
      <w:color w:val="5B9BD5"/>
      <w:spacing w:val="5"/>
    </w:rPr>
  </w:style>
  <w:style w:type="character" w:customStyle="1" w:styleId="375">
    <w:name w:val="Footer Char2"/>
    <w:qFormat/>
    <w:uiPriority w:val="0"/>
    <w:rPr>
      <w:rFonts w:eastAsia="宋体" w:cs="Times New Roman"/>
      <w:sz w:val="18"/>
    </w:rPr>
  </w:style>
  <w:style w:type="character" w:customStyle="1" w:styleId="376">
    <w:name w:val="font31"/>
    <w:qFormat/>
    <w:uiPriority w:val="0"/>
    <w:rPr>
      <w:rFonts w:hint="eastAsia" w:ascii="宋体" w:hAnsi="宋体" w:eastAsia="宋体" w:cs="宋体"/>
      <w:color w:val="000000"/>
      <w:sz w:val="18"/>
      <w:szCs w:val="18"/>
      <w:u w:val="none"/>
    </w:rPr>
  </w:style>
  <w:style w:type="character" w:customStyle="1" w:styleId="377">
    <w:name w:val="表名 Char"/>
    <w:link w:val="378"/>
    <w:qFormat/>
    <w:uiPriority w:val="0"/>
    <w:rPr>
      <w:rFonts w:ascii="宋体" w:hAnsi="宋体"/>
      <w:b/>
      <w:snapToGrid w:val="0"/>
      <w:lang w:val="en-US" w:eastAsia="zh-CN" w:bidi="ar-SA"/>
    </w:rPr>
  </w:style>
  <w:style w:type="paragraph" w:customStyle="1" w:styleId="378">
    <w:name w:val="表名"/>
    <w:link w:val="377"/>
    <w:qFormat/>
    <w:uiPriority w:val="0"/>
    <w:pPr>
      <w:widowControl w:val="0"/>
      <w:adjustRightInd w:val="0"/>
      <w:snapToGrid w:val="0"/>
      <w:spacing w:before="120" w:after="160" w:line="259" w:lineRule="auto"/>
      <w:jc w:val="center"/>
    </w:pPr>
    <w:rPr>
      <w:rFonts w:ascii="宋体" w:hAnsi="宋体" w:eastAsia="宋体" w:cs="Times New Roman"/>
      <w:b/>
      <w:snapToGrid w:val="0"/>
      <w:lang w:val="en-US" w:eastAsia="zh-CN" w:bidi="ar-SA"/>
    </w:rPr>
  </w:style>
  <w:style w:type="character" w:customStyle="1" w:styleId="379">
    <w:name w:val="Intense Quote Char1"/>
    <w:qFormat/>
    <w:uiPriority w:val="30"/>
    <w:rPr>
      <w:b/>
      <w:bCs/>
      <w:i/>
      <w:iCs/>
      <w:color w:val="4F81BD"/>
    </w:rPr>
  </w:style>
  <w:style w:type="character" w:customStyle="1" w:styleId="380">
    <w:name w:val="人保图名 Char"/>
    <w:link w:val="381"/>
    <w:qFormat/>
    <w:uiPriority w:val="0"/>
    <w:rPr>
      <w:rFonts w:ascii="宋体"/>
      <w:b/>
      <w:szCs w:val="24"/>
    </w:rPr>
  </w:style>
  <w:style w:type="paragraph" w:customStyle="1" w:styleId="381">
    <w:name w:val="人保图名"/>
    <w:basedOn w:val="240"/>
    <w:link w:val="380"/>
    <w:qFormat/>
    <w:uiPriority w:val="0"/>
    <w:pPr>
      <w:adjustRightInd/>
      <w:snapToGrid/>
      <w:spacing w:after="156"/>
    </w:pPr>
  </w:style>
  <w:style w:type="character" w:customStyle="1" w:styleId="382">
    <w:name w:val="正文文本缩进 2 Char3"/>
    <w:qFormat/>
    <w:uiPriority w:val="0"/>
    <w:rPr>
      <w:kern w:val="2"/>
      <w:sz w:val="21"/>
      <w:szCs w:val="24"/>
    </w:rPr>
  </w:style>
  <w:style w:type="character" w:customStyle="1" w:styleId="383">
    <w:name w:val="正文文本缩进 2 字符"/>
    <w:semiHidden/>
    <w:qFormat/>
    <w:uiPriority w:val="99"/>
    <w:rPr>
      <w:kern w:val="2"/>
      <w:sz w:val="21"/>
      <w:szCs w:val="24"/>
    </w:rPr>
  </w:style>
  <w:style w:type="character" w:customStyle="1" w:styleId="384">
    <w:name w:val="正文文本 2 Char4"/>
    <w:uiPriority w:val="0"/>
    <w:rPr>
      <w:kern w:val="2"/>
      <w:sz w:val="21"/>
      <w:szCs w:val="24"/>
    </w:rPr>
  </w:style>
  <w:style w:type="character" w:customStyle="1" w:styleId="385">
    <w:name w:val="正文文本 2 字符"/>
    <w:semiHidden/>
    <w:uiPriority w:val="99"/>
    <w:rPr>
      <w:kern w:val="2"/>
      <w:sz w:val="21"/>
      <w:szCs w:val="24"/>
    </w:rPr>
  </w:style>
  <w:style w:type="character" w:customStyle="1" w:styleId="386">
    <w:name w:val="脚注文本 Char3"/>
    <w:qFormat/>
    <w:uiPriority w:val="0"/>
    <w:rPr>
      <w:kern w:val="2"/>
      <w:sz w:val="18"/>
      <w:szCs w:val="18"/>
    </w:rPr>
  </w:style>
  <w:style w:type="character" w:customStyle="1" w:styleId="387">
    <w:name w:val="脚注文本 字符"/>
    <w:semiHidden/>
    <w:uiPriority w:val="99"/>
    <w:rPr>
      <w:kern w:val="2"/>
      <w:sz w:val="18"/>
      <w:szCs w:val="18"/>
    </w:rPr>
  </w:style>
  <w:style w:type="paragraph" w:customStyle="1" w:styleId="38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9" w:lineRule="auto"/>
      <w:jc w:val="left"/>
      <w:textAlignment w:val="center"/>
    </w:pPr>
    <w:rPr>
      <w:rFonts w:ascii="等线" w:hAnsi="等线" w:eastAsia="等线"/>
      <w:kern w:val="0"/>
      <w:sz w:val="22"/>
      <w:szCs w:val="21"/>
    </w:rPr>
  </w:style>
  <w:style w:type="paragraph" w:customStyle="1" w:styleId="389">
    <w:name w:val="xl34"/>
    <w:basedOn w:val="1"/>
    <w:qFormat/>
    <w:uiPriority w:val="0"/>
    <w:pPr>
      <w:widowControl/>
      <w:pBdr>
        <w:bottom w:val="single" w:color="auto" w:sz="4" w:space="0"/>
      </w:pBdr>
      <w:spacing w:before="100" w:beforeAutospacing="1" w:after="100" w:afterAutospacing="1" w:line="259" w:lineRule="auto"/>
      <w:jc w:val="center"/>
      <w:textAlignment w:val="center"/>
    </w:pPr>
    <w:rPr>
      <w:rFonts w:ascii="宋体" w:hAnsi="宋体" w:eastAsia="等线"/>
      <w:b/>
      <w:bCs/>
      <w:kern w:val="0"/>
      <w:sz w:val="40"/>
      <w:szCs w:val="40"/>
    </w:rPr>
  </w:style>
  <w:style w:type="paragraph" w:customStyle="1" w:styleId="390">
    <w:name w:val="Char2"/>
    <w:basedOn w:val="1"/>
    <w:uiPriority w:val="0"/>
    <w:pPr>
      <w:widowControl/>
      <w:spacing w:after="160" w:line="240" w:lineRule="exact"/>
      <w:jc w:val="left"/>
    </w:pPr>
    <w:rPr>
      <w:rFonts w:ascii="等线" w:hAnsi="等线" w:eastAsia="等线"/>
      <w:kern w:val="0"/>
      <w:sz w:val="22"/>
      <w:szCs w:val="20"/>
    </w:rPr>
  </w:style>
  <w:style w:type="paragraph" w:customStyle="1" w:styleId="391">
    <w:name w:val="文二"/>
    <w:basedOn w:val="1"/>
    <w:uiPriority w:val="0"/>
    <w:pPr>
      <w:widowControl/>
      <w:spacing w:after="160" w:line="259" w:lineRule="auto"/>
      <w:jc w:val="left"/>
    </w:pPr>
    <w:rPr>
      <w:rFonts w:ascii="宋体" w:hAnsi="宋体" w:eastAsia="等线"/>
      <w:kern w:val="0"/>
      <w:sz w:val="22"/>
      <w:szCs w:val="21"/>
    </w:rPr>
  </w:style>
  <w:style w:type="paragraph" w:customStyle="1" w:styleId="392">
    <w:name w:val="文一"/>
    <w:basedOn w:val="1"/>
    <w:uiPriority w:val="0"/>
    <w:pPr>
      <w:widowControl/>
      <w:topLinePunct/>
      <w:adjustRightInd w:val="0"/>
      <w:snapToGrid w:val="0"/>
      <w:spacing w:after="160" w:line="360" w:lineRule="auto"/>
      <w:ind w:firstLine="200" w:firstLineChars="200"/>
      <w:jc w:val="left"/>
    </w:pPr>
    <w:rPr>
      <w:rFonts w:ascii="等线" w:hAnsi="等线" w:eastAsia="等线"/>
      <w:snapToGrid w:val="0"/>
      <w:spacing w:val="4"/>
      <w:kern w:val="0"/>
      <w:sz w:val="24"/>
      <w:szCs w:val="22"/>
    </w:rPr>
  </w:style>
  <w:style w:type="paragraph" w:customStyle="1" w:styleId="393">
    <w:name w:val="文本框字体"/>
    <w:basedOn w:val="1"/>
    <w:uiPriority w:val="0"/>
    <w:pPr>
      <w:widowControl/>
      <w:autoSpaceDE w:val="0"/>
      <w:autoSpaceDN w:val="0"/>
      <w:adjustRightInd w:val="0"/>
      <w:spacing w:after="160" w:line="259" w:lineRule="auto"/>
      <w:jc w:val="center"/>
    </w:pPr>
    <w:rPr>
      <w:rFonts w:ascii="宋体" w:hAnsi="宋体" w:eastAsia="等线"/>
      <w:kern w:val="28"/>
      <w:sz w:val="24"/>
      <w:szCs w:val="21"/>
    </w:rPr>
  </w:style>
  <w:style w:type="paragraph" w:customStyle="1" w:styleId="394">
    <w:name w:val="丽泽正文"/>
    <w:basedOn w:val="1"/>
    <w:uiPriority w:val="0"/>
    <w:pPr>
      <w:widowControl/>
      <w:adjustRightInd w:val="0"/>
      <w:snapToGrid w:val="0"/>
      <w:spacing w:after="160" w:line="440" w:lineRule="exact"/>
      <w:ind w:firstLine="200" w:firstLineChars="200"/>
      <w:jc w:val="left"/>
    </w:pPr>
    <w:rPr>
      <w:rFonts w:ascii="宋体" w:hAnsi="宋体" w:eastAsia="等线"/>
      <w:kern w:val="0"/>
      <w:sz w:val="24"/>
      <w:szCs w:val="22"/>
    </w:rPr>
  </w:style>
  <w:style w:type="paragraph" w:styleId="395">
    <w:name w:val="Quote"/>
    <w:basedOn w:val="1"/>
    <w:next w:val="1"/>
    <w:link w:val="397"/>
    <w:qFormat/>
    <w:uiPriority w:val="29"/>
    <w:pPr>
      <w:widowControl/>
      <w:spacing w:before="200" w:after="160" w:line="259" w:lineRule="auto"/>
      <w:ind w:left="864" w:right="864"/>
      <w:jc w:val="left"/>
    </w:pPr>
    <w:rPr>
      <w:rFonts w:ascii="等线" w:hAnsi="等线" w:eastAsia="等线"/>
      <w:i/>
      <w:iCs/>
      <w:color w:val="404040"/>
      <w:kern w:val="0"/>
      <w:sz w:val="22"/>
      <w:szCs w:val="22"/>
    </w:rPr>
  </w:style>
  <w:style w:type="character" w:customStyle="1" w:styleId="396">
    <w:name w:val="引用 Char4"/>
    <w:uiPriority w:val="99"/>
    <w:rPr>
      <w:i/>
      <w:iCs/>
      <w:color w:val="000000"/>
      <w:kern w:val="2"/>
      <w:sz w:val="21"/>
      <w:szCs w:val="24"/>
    </w:rPr>
  </w:style>
  <w:style w:type="character" w:customStyle="1" w:styleId="397">
    <w:name w:val="引用 Char5"/>
    <w:link w:val="395"/>
    <w:uiPriority w:val="29"/>
    <w:rPr>
      <w:rFonts w:ascii="等线" w:hAnsi="等线" w:eastAsia="等线"/>
      <w:i/>
      <w:iCs/>
      <w:color w:val="404040"/>
      <w:sz w:val="22"/>
      <w:szCs w:val="22"/>
    </w:rPr>
  </w:style>
  <w:style w:type="paragraph" w:customStyle="1" w:styleId="398">
    <w:name w:val="富力图表标题"/>
    <w:basedOn w:val="1"/>
    <w:qFormat/>
    <w:uiPriority w:val="99"/>
    <w:pPr>
      <w:widowControl/>
      <w:spacing w:after="160" w:line="460" w:lineRule="exact"/>
      <w:jc w:val="center"/>
    </w:pPr>
    <w:rPr>
      <w:rFonts w:ascii="黑体" w:hAnsi="黑体" w:eastAsia="黑体"/>
      <w:kern w:val="0"/>
      <w:sz w:val="22"/>
      <w:szCs w:val="22"/>
    </w:rPr>
  </w:style>
  <w:style w:type="paragraph" w:customStyle="1" w:styleId="399">
    <w:name w:val="表格靠左"/>
    <w:basedOn w:val="371"/>
    <w:qFormat/>
    <w:uiPriority w:val="99"/>
    <w:pPr>
      <w:spacing w:line="240" w:lineRule="auto"/>
      <w:jc w:val="left"/>
    </w:pPr>
    <w:rPr>
      <w:rFonts w:hAnsi="宋体"/>
      <w:color w:val="000000"/>
      <w:sz w:val="21"/>
      <w:szCs w:val="21"/>
    </w:rPr>
  </w:style>
  <w:style w:type="paragraph" w:customStyle="1" w:styleId="400">
    <w:name w:val="样式 正文缩进 + 首行缩进:  1.02 厘米 行距: 最小值 24 磅"/>
    <w:basedOn w:val="13"/>
    <w:qFormat/>
    <w:uiPriority w:val="0"/>
    <w:pPr>
      <w:widowControl/>
      <w:spacing w:after="160" w:line="480" w:lineRule="atLeast"/>
      <w:ind w:left="840" w:leftChars="350" w:firstLine="471" w:firstLineChars="190"/>
      <w:jc w:val="left"/>
    </w:pPr>
    <w:rPr>
      <w:rFonts w:ascii="宋体" w:hAnsi="等线" w:eastAsia="等线" w:cs="宋体"/>
      <w:color w:val="000000"/>
      <w:spacing w:val="4"/>
      <w:kern w:val="0"/>
      <w:sz w:val="24"/>
      <w:szCs w:val="20"/>
    </w:rPr>
  </w:style>
  <w:style w:type="paragraph" w:customStyle="1" w:styleId="401">
    <w:name w:val="xl32"/>
    <w:basedOn w:val="1"/>
    <w:qFormat/>
    <w:uiPriority w:val="0"/>
    <w:pPr>
      <w:widowControl/>
      <w:spacing w:before="100" w:beforeAutospacing="1" w:after="100" w:afterAutospacing="1" w:line="259" w:lineRule="auto"/>
      <w:jc w:val="left"/>
      <w:textAlignment w:val="center"/>
    </w:pPr>
    <w:rPr>
      <w:rFonts w:ascii="等线" w:hAnsi="等线" w:eastAsia="等线"/>
      <w:kern w:val="0"/>
      <w:sz w:val="20"/>
      <w:szCs w:val="20"/>
    </w:rPr>
  </w:style>
  <w:style w:type="paragraph" w:customStyle="1" w:styleId="402">
    <w:name w:val="xl33"/>
    <w:basedOn w:val="1"/>
    <w:qFormat/>
    <w:uiPriority w:val="0"/>
    <w:pPr>
      <w:widowControl/>
      <w:spacing w:before="100" w:beforeAutospacing="1" w:after="100" w:afterAutospacing="1" w:line="259" w:lineRule="auto"/>
      <w:jc w:val="left"/>
      <w:textAlignment w:val="center"/>
    </w:pPr>
    <w:rPr>
      <w:rFonts w:ascii="宋体" w:hAnsi="宋体" w:eastAsia="等线"/>
      <w:kern w:val="0"/>
      <w:sz w:val="20"/>
      <w:szCs w:val="20"/>
    </w:rPr>
  </w:style>
  <w:style w:type="paragraph" w:customStyle="1" w:styleId="40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宋体" w:hAnsi="宋体" w:eastAsia="等线"/>
      <w:kern w:val="0"/>
      <w:sz w:val="22"/>
      <w:szCs w:val="21"/>
    </w:rPr>
  </w:style>
  <w:style w:type="paragraph" w:customStyle="1" w:styleId="404">
    <w:name w:val="郑体正文"/>
    <w:basedOn w:val="1"/>
    <w:qFormat/>
    <w:uiPriority w:val="0"/>
    <w:pPr>
      <w:widowControl/>
      <w:adjustRightInd w:val="0"/>
      <w:snapToGrid w:val="0"/>
      <w:spacing w:after="160" w:line="312" w:lineRule="auto"/>
      <w:ind w:firstLine="640" w:firstLineChars="200"/>
      <w:jc w:val="left"/>
    </w:pPr>
    <w:rPr>
      <w:rFonts w:ascii="等线" w:hAnsi="宋体" w:eastAsia="等线"/>
      <w:snapToGrid w:val="0"/>
      <w:kern w:val="0"/>
      <w:sz w:val="22"/>
      <w:szCs w:val="22"/>
    </w:rPr>
  </w:style>
  <w:style w:type="paragraph" w:customStyle="1" w:styleId="405">
    <w:name w:val="Char3 Char Char1 Char Char Char Char"/>
    <w:basedOn w:val="1"/>
    <w:qFormat/>
    <w:uiPriority w:val="0"/>
    <w:pPr>
      <w:widowControl/>
      <w:spacing w:after="160" w:line="259" w:lineRule="auto"/>
      <w:jc w:val="left"/>
    </w:pPr>
    <w:rPr>
      <w:rFonts w:ascii="等线" w:hAnsi="等线" w:eastAsia="等线"/>
      <w:kern w:val="0"/>
      <w:sz w:val="22"/>
      <w:szCs w:val="22"/>
    </w:rPr>
  </w:style>
  <w:style w:type="paragraph" w:customStyle="1" w:styleId="406">
    <w:name w:val="font7"/>
    <w:basedOn w:val="1"/>
    <w:uiPriority w:val="0"/>
    <w:pPr>
      <w:widowControl/>
      <w:spacing w:before="100" w:beforeAutospacing="1" w:after="100" w:afterAutospacing="1" w:line="259" w:lineRule="auto"/>
      <w:jc w:val="left"/>
    </w:pPr>
    <w:rPr>
      <w:rFonts w:ascii="等线" w:hAnsi="等线" w:eastAsia="等线"/>
      <w:kern w:val="0"/>
      <w:sz w:val="22"/>
      <w:szCs w:val="21"/>
    </w:rPr>
  </w:style>
  <w:style w:type="paragraph" w:customStyle="1" w:styleId="407">
    <w:name w:val="空半行"/>
    <w:basedOn w:val="1"/>
    <w:uiPriority w:val="0"/>
    <w:pPr>
      <w:widowControl/>
      <w:adjustRightInd w:val="0"/>
      <w:spacing w:after="160" w:line="120" w:lineRule="exact"/>
      <w:jc w:val="left"/>
      <w:textAlignment w:val="baseline"/>
    </w:pPr>
    <w:rPr>
      <w:rFonts w:ascii="等线" w:hAnsi="等线" w:eastAsia="仿宋_GB2312"/>
      <w:color w:val="FFFFFF"/>
      <w:kern w:val="0"/>
      <w:sz w:val="30"/>
      <w:szCs w:val="20"/>
    </w:rPr>
  </w:style>
  <w:style w:type="paragraph" w:customStyle="1" w:styleId="408">
    <w:name w:val="样式4"/>
    <w:basedOn w:val="4"/>
    <w:qFormat/>
    <w:uiPriority w:val="0"/>
    <w:pPr>
      <w:widowControl/>
      <w:spacing w:before="40" w:after="0" w:line="259" w:lineRule="auto"/>
      <w:ind w:firstLine="0" w:firstLineChars="0"/>
      <w:jc w:val="left"/>
    </w:pPr>
    <w:rPr>
      <w:rFonts w:ascii="Times New Roman" w:hAnsi="Times New Roman" w:eastAsia="Arial"/>
      <w:bCs w:val="0"/>
      <w:color w:val="1F4E79"/>
      <w:kern w:val="0"/>
      <w:sz w:val="32"/>
      <w:szCs w:val="32"/>
    </w:rPr>
  </w:style>
  <w:style w:type="paragraph" w:customStyle="1" w:styleId="409">
    <w:name w:val="郑体2级"/>
    <w:basedOn w:val="1"/>
    <w:qFormat/>
    <w:uiPriority w:val="0"/>
    <w:pPr>
      <w:widowControl/>
      <w:adjustRightInd w:val="0"/>
      <w:snapToGrid w:val="0"/>
      <w:spacing w:after="160" w:line="312" w:lineRule="auto"/>
      <w:jc w:val="left"/>
      <w:outlineLvl w:val="1"/>
    </w:pPr>
    <w:rPr>
      <w:rFonts w:ascii="等线" w:hAnsi="宋体" w:eastAsia="等线"/>
      <w:b/>
      <w:bCs/>
      <w:snapToGrid w:val="0"/>
      <w:color w:val="000000"/>
      <w:kern w:val="0"/>
      <w:sz w:val="28"/>
      <w:szCs w:val="28"/>
    </w:rPr>
  </w:style>
  <w:style w:type="paragraph" w:customStyle="1" w:styleId="410">
    <w:name w:val="flNote"/>
    <w:basedOn w:val="1"/>
    <w:qFormat/>
    <w:uiPriority w:val="0"/>
    <w:pPr>
      <w:widowControl/>
      <w:adjustRightInd w:val="0"/>
      <w:spacing w:before="320" w:after="160" w:line="360" w:lineRule="atLeast"/>
      <w:jc w:val="center"/>
      <w:textAlignment w:val="baseline"/>
    </w:pPr>
    <w:rPr>
      <w:rFonts w:ascii="Arial" w:hAnsi="等线" w:eastAsia="黑体"/>
      <w:kern w:val="0"/>
      <w:sz w:val="30"/>
      <w:szCs w:val="20"/>
    </w:rPr>
  </w:style>
  <w:style w:type="paragraph" w:customStyle="1" w:styleId="411">
    <w:name w:val="Char Char1 Char Char"/>
    <w:basedOn w:val="1"/>
    <w:uiPriority w:val="0"/>
    <w:pPr>
      <w:widowControl/>
      <w:tabs>
        <w:tab w:val="left" w:pos="360"/>
      </w:tabs>
      <w:spacing w:after="160" w:line="259" w:lineRule="auto"/>
      <w:jc w:val="left"/>
    </w:pPr>
    <w:rPr>
      <w:rFonts w:ascii="等线" w:hAnsi="等线" w:eastAsia="等线"/>
      <w:kern w:val="0"/>
      <w:sz w:val="24"/>
      <w:szCs w:val="22"/>
    </w:rPr>
  </w:style>
  <w:style w:type="paragraph" w:customStyle="1" w:styleId="412">
    <w:name w:val="鲁能3级"/>
    <w:basedOn w:val="1"/>
    <w:qFormat/>
    <w:uiPriority w:val="0"/>
    <w:pPr>
      <w:widowControl/>
      <w:adjustRightInd w:val="0"/>
      <w:snapToGrid w:val="0"/>
      <w:spacing w:after="160" w:line="440" w:lineRule="exact"/>
      <w:jc w:val="left"/>
      <w:outlineLvl w:val="2"/>
    </w:pPr>
    <w:rPr>
      <w:rFonts w:ascii="宋体" w:hAnsi="宋体" w:eastAsia="等线"/>
      <w:b/>
      <w:kern w:val="0"/>
      <w:sz w:val="24"/>
      <w:szCs w:val="22"/>
    </w:rPr>
  </w:style>
  <w:style w:type="paragraph" w:customStyle="1" w:styleId="413">
    <w:name w:val="xl27"/>
    <w:basedOn w:val="1"/>
    <w:qFormat/>
    <w:uiPriority w:val="0"/>
    <w:pPr>
      <w:widowControl/>
      <w:pBdr>
        <w:bottom w:val="single" w:color="auto" w:sz="4" w:space="0"/>
        <w:right w:val="single" w:color="auto" w:sz="4" w:space="0"/>
      </w:pBdr>
      <w:spacing w:before="100" w:beforeAutospacing="1" w:after="100" w:afterAutospacing="1" w:line="259" w:lineRule="auto"/>
      <w:jc w:val="left"/>
      <w:textAlignment w:val="center"/>
    </w:pPr>
    <w:rPr>
      <w:rFonts w:ascii="宋体" w:hAnsi="宋体" w:eastAsia="等线"/>
      <w:color w:val="000000"/>
      <w:kern w:val="0"/>
      <w:sz w:val="22"/>
      <w:szCs w:val="21"/>
    </w:rPr>
  </w:style>
  <w:style w:type="paragraph" w:customStyle="1" w:styleId="414">
    <w:name w:val="Char Char Char Char Char Char Char Char Char Char1"/>
    <w:basedOn w:val="1"/>
    <w:qFormat/>
    <w:uiPriority w:val="0"/>
    <w:pPr>
      <w:widowControl/>
      <w:adjustRightInd w:val="0"/>
      <w:spacing w:after="160" w:line="360" w:lineRule="auto"/>
      <w:jc w:val="left"/>
    </w:pPr>
    <w:rPr>
      <w:rFonts w:ascii="等线" w:hAnsi="等线" w:eastAsia="等线"/>
      <w:kern w:val="0"/>
      <w:sz w:val="22"/>
      <w:szCs w:val="22"/>
    </w:rPr>
  </w:style>
  <w:style w:type="paragraph" w:styleId="415">
    <w:name w:val="Intense Quote"/>
    <w:basedOn w:val="1"/>
    <w:next w:val="1"/>
    <w:link w:val="417"/>
    <w:qFormat/>
    <w:uiPriority w:val="30"/>
    <w:pPr>
      <w:widowControl/>
      <w:pBdr>
        <w:top w:val="single" w:color="5B9BD5" w:sz="4" w:space="10"/>
        <w:bottom w:val="single" w:color="5B9BD5" w:sz="4" w:space="10"/>
      </w:pBdr>
      <w:spacing w:before="360" w:after="360" w:line="259" w:lineRule="auto"/>
      <w:ind w:left="864" w:right="864"/>
      <w:jc w:val="center"/>
    </w:pPr>
    <w:rPr>
      <w:rFonts w:ascii="等线" w:hAnsi="等线" w:eastAsia="等线"/>
      <w:i/>
      <w:iCs/>
      <w:color w:val="5B9BD5"/>
      <w:kern w:val="0"/>
      <w:sz w:val="22"/>
      <w:szCs w:val="22"/>
    </w:rPr>
  </w:style>
  <w:style w:type="character" w:customStyle="1" w:styleId="416">
    <w:name w:val="明显引用 Char3"/>
    <w:qFormat/>
    <w:uiPriority w:val="99"/>
    <w:rPr>
      <w:b/>
      <w:bCs/>
      <w:i/>
      <w:iCs/>
      <w:color w:val="4F81BD"/>
      <w:kern w:val="2"/>
      <w:sz w:val="21"/>
      <w:szCs w:val="24"/>
    </w:rPr>
  </w:style>
  <w:style w:type="character" w:customStyle="1" w:styleId="417">
    <w:name w:val="明显引用 Char4"/>
    <w:link w:val="415"/>
    <w:qFormat/>
    <w:uiPriority w:val="30"/>
    <w:rPr>
      <w:rFonts w:ascii="等线" w:hAnsi="等线" w:eastAsia="等线"/>
      <w:i/>
      <w:iCs/>
      <w:color w:val="5B9BD5"/>
      <w:sz w:val="22"/>
      <w:szCs w:val="22"/>
    </w:rPr>
  </w:style>
  <w:style w:type="paragraph" w:customStyle="1" w:styleId="41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宋体" w:hAnsi="宋体" w:eastAsia="等线"/>
      <w:b/>
      <w:bCs/>
      <w:kern w:val="0"/>
      <w:sz w:val="24"/>
      <w:szCs w:val="22"/>
    </w:rPr>
  </w:style>
  <w:style w:type="paragraph" w:customStyle="1" w:styleId="419">
    <w:name w:val="鲁能正文"/>
    <w:basedOn w:val="1"/>
    <w:qFormat/>
    <w:uiPriority w:val="0"/>
    <w:pPr>
      <w:widowControl/>
      <w:adjustRightInd w:val="0"/>
      <w:snapToGrid w:val="0"/>
      <w:spacing w:after="160" w:line="440" w:lineRule="exact"/>
      <w:ind w:firstLine="200" w:firstLineChars="200"/>
      <w:jc w:val="left"/>
    </w:pPr>
    <w:rPr>
      <w:rFonts w:ascii="宋体" w:hAnsi="宋体" w:eastAsia="等线"/>
      <w:kern w:val="0"/>
      <w:sz w:val="24"/>
      <w:szCs w:val="22"/>
    </w:rPr>
  </w:style>
  <w:style w:type="paragraph" w:customStyle="1" w:styleId="420">
    <w:name w:val="目录"/>
    <w:basedOn w:val="1"/>
    <w:qFormat/>
    <w:uiPriority w:val="0"/>
    <w:pPr>
      <w:widowControl/>
      <w:spacing w:after="160" w:line="259" w:lineRule="auto"/>
      <w:jc w:val="center"/>
    </w:pPr>
    <w:rPr>
      <w:rFonts w:ascii="宋体" w:hAnsi="等线" w:eastAsia="等线"/>
      <w:kern w:val="0"/>
      <w:sz w:val="36"/>
      <w:szCs w:val="20"/>
    </w:rPr>
  </w:style>
  <w:style w:type="paragraph" w:customStyle="1" w:styleId="421">
    <w:name w:val="普通(网站)1"/>
    <w:basedOn w:val="1"/>
    <w:qFormat/>
    <w:uiPriority w:val="0"/>
    <w:pPr>
      <w:widowControl/>
      <w:spacing w:before="100" w:beforeAutospacing="1" w:after="100" w:afterAutospacing="1" w:line="360" w:lineRule="atLeast"/>
      <w:jc w:val="left"/>
    </w:pPr>
    <w:rPr>
      <w:rFonts w:ascii="宋体" w:hAnsi="宋体" w:eastAsia="等线"/>
      <w:kern w:val="0"/>
      <w:sz w:val="24"/>
      <w:szCs w:val="20"/>
    </w:rPr>
  </w:style>
  <w:style w:type="paragraph" w:customStyle="1" w:styleId="422">
    <w:name w:val="样式 正文 + 首行缩进:  2 字符"/>
    <w:basedOn w:val="1"/>
    <w:qFormat/>
    <w:uiPriority w:val="0"/>
    <w:pPr>
      <w:widowControl/>
      <w:spacing w:after="160" w:line="259" w:lineRule="auto"/>
      <w:jc w:val="left"/>
    </w:pPr>
    <w:rPr>
      <w:rFonts w:ascii="等线" w:hAnsi="等线" w:eastAsia="等线"/>
      <w:kern w:val="0"/>
      <w:sz w:val="22"/>
      <w:szCs w:val="22"/>
    </w:rPr>
  </w:style>
  <w:style w:type="paragraph" w:customStyle="1" w:styleId="423">
    <w:name w:val="p18"/>
    <w:basedOn w:val="1"/>
    <w:qFormat/>
    <w:uiPriority w:val="0"/>
    <w:pPr>
      <w:widowControl/>
      <w:snapToGrid w:val="0"/>
      <w:spacing w:after="160" w:line="360" w:lineRule="atLeast"/>
      <w:ind w:firstLine="420"/>
      <w:jc w:val="left"/>
    </w:pPr>
    <w:rPr>
      <w:rFonts w:ascii="宋体" w:hAnsi="宋体" w:eastAsia="等线" w:cs="宋体"/>
      <w:kern w:val="0"/>
      <w:sz w:val="22"/>
      <w:szCs w:val="21"/>
    </w:rPr>
  </w:style>
  <w:style w:type="paragraph" w:customStyle="1" w:styleId="424">
    <w:name w:val="xl22"/>
    <w:basedOn w:val="1"/>
    <w:qFormat/>
    <w:uiPriority w:val="0"/>
    <w:pPr>
      <w:widowControl/>
      <w:spacing w:before="100" w:beforeAutospacing="1" w:after="100" w:afterAutospacing="1" w:line="259" w:lineRule="auto"/>
      <w:jc w:val="center"/>
      <w:textAlignment w:val="center"/>
    </w:pPr>
    <w:rPr>
      <w:rFonts w:ascii="Arial Unicode MS" w:hAnsi="Arial Unicode MS" w:eastAsia="等线" w:cs="Arial Unicode MS"/>
      <w:b/>
      <w:bCs/>
      <w:kern w:val="0"/>
      <w:sz w:val="36"/>
      <w:szCs w:val="36"/>
    </w:rPr>
  </w:style>
  <w:style w:type="paragraph" w:customStyle="1" w:styleId="425">
    <w:name w:val="xl23"/>
    <w:basedOn w:val="1"/>
    <w:qFormat/>
    <w:uiPriority w:val="0"/>
    <w:pPr>
      <w:widowControl/>
      <w:spacing w:before="100" w:beforeAutospacing="1" w:after="100" w:afterAutospacing="1" w:line="259" w:lineRule="auto"/>
      <w:jc w:val="center"/>
      <w:textAlignment w:val="center"/>
    </w:pPr>
    <w:rPr>
      <w:rFonts w:ascii="Arial Unicode MS" w:hAnsi="Arial Unicode MS" w:eastAsia="等线" w:cs="Arial Unicode MS"/>
      <w:b/>
      <w:bCs/>
      <w:kern w:val="0"/>
      <w:sz w:val="36"/>
      <w:szCs w:val="36"/>
    </w:rPr>
  </w:style>
  <w:style w:type="paragraph" w:customStyle="1" w:styleId="426">
    <w:name w:val="正文 New"/>
    <w:qFormat/>
    <w:uiPriority w:val="0"/>
    <w:pPr>
      <w:widowControl w:val="0"/>
      <w:spacing w:after="160" w:line="259" w:lineRule="auto"/>
      <w:jc w:val="both"/>
    </w:pPr>
    <w:rPr>
      <w:rFonts w:ascii="等线" w:hAnsi="等线" w:eastAsia="等线" w:cs="Times New Roman"/>
      <w:kern w:val="2"/>
      <w:sz w:val="21"/>
      <w:szCs w:val="22"/>
      <w:lang w:val="en-US" w:eastAsia="zh-CN" w:bidi="ar-SA"/>
    </w:rPr>
  </w:style>
  <w:style w:type="paragraph" w:customStyle="1" w:styleId="4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宋体" w:hAnsi="宋体" w:eastAsia="等线"/>
      <w:kern w:val="0"/>
      <w:sz w:val="22"/>
      <w:szCs w:val="21"/>
    </w:rPr>
  </w:style>
  <w:style w:type="paragraph" w:customStyle="1" w:styleId="428">
    <w:name w:val="font6"/>
    <w:basedOn w:val="1"/>
    <w:qFormat/>
    <w:uiPriority w:val="0"/>
    <w:pPr>
      <w:widowControl/>
      <w:spacing w:before="100" w:beforeAutospacing="1" w:after="100" w:afterAutospacing="1" w:line="259" w:lineRule="auto"/>
      <w:jc w:val="left"/>
    </w:pPr>
    <w:rPr>
      <w:rFonts w:ascii="宋体" w:hAnsi="宋体" w:eastAsia="等线"/>
      <w:kern w:val="0"/>
      <w:sz w:val="22"/>
      <w:szCs w:val="21"/>
    </w:rPr>
  </w:style>
  <w:style w:type="paragraph" w:customStyle="1" w:styleId="429">
    <w:name w:val="菲页2"/>
    <w:basedOn w:val="4"/>
    <w:qFormat/>
    <w:uiPriority w:val="0"/>
    <w:pPr>
      <w:widowControl/>
      <w:spacing w:line="360" w:lineRule="auto"/>
      <w:ind w:firstLine="0" w:firstLineChars="0"/>
      <w:jc w:val="center"/>
    </w:pPr>
    <w:rPr>
      <w:rFonts w:ascii="Calibri Light" w:hAnsi="Calibri Light"/>
      <w:color w:val="1F4E79"/>
      <w:kern w:val="0"/>
      <w:sz w:val="44"/>
      <w:szCs w:val="20"/>
    </w:rPr>
  </w:style>
  <w:style w:type="paragraph" w:customStyle="1" w:styleId="430">
    <w:name w:val="正文_0"/>
    <w:qFormat/>
    <w:uiPriority w:val="0"/>
    <w:pPr>
      <w:widowControl w:val="0"/>
      <w:spacing w:after="160" w:line="259" w:lineRule="auto"/>
      <w:jc w:val="both"/>
    </w:pPr>
    <w:rPr>
      <w:rFonts w:ascii="Calibri" w:hAnsi="Calibri" w:eastAsia="等线" w:cs="Times New Roman"/>
      <w:kern w:val="2"/>
      <w:sz w:val="21"/>
      <w:szCs w:val="22"/>
      <w:lang w:val="en-US" w:eastAsia="zh-CN" w:bidi="ar-SA"/>
    </w:rPr>
  </w:style>
  <w:style w:type="paragraph" w:customStyle="1" w:styleId="431">
    <w:name w:val="样式 标题 3三级目录09 + 段前: 0.5 行 段后: 0.5 行"/>
    <w:basedOn w:val="4"/>
    <w:qFormat/>
    <w:uiPriority w:val="0"/>
    <w:pPr>
      <w:keepNext w:val="0"/>
      <w:keepLines w:val="0"/>
      <w:widowControl/>
      <w:spacing w:before="0" w:after="0" w:line="360" w:lineRule="auto"/>
      <w:ind w:firstLine="0" w:firstLineChars="0"/>
      <w:jc w:val="center"/>
    </w:pPr>
    <w:rPr>
      <w:rFonts w:ascii="宋体" w:hAnsi="Times New Roman"/>
      <w:color w:val="1F4E79"/>
      <w:kern w:val="0"/>
      <w:szCs w:val="20"/>
    </w:rPr>
  </w:style>
  <w:style w:type="paragraph" w:customStyle="1" w:styleId="43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宋体" w:hAnsi="宋体" w:eastAsia="等线"/>
      <w:b/>
      <w:bCs/>
      <w:kern w:val="0"/>
      <w:sz w:val="24"/>
      <w:szCs w:val="22"/>
    </w:rPr>
  </w:style>
  <w:style w:type="paragraph" w:customStyle="1" w:styleId="433">
    <w:name w:val="表内文字"/>
    <w:basedOn w:val="1"/>
    <w:qFormat/>
    <w:uiPriority w:val="0"/>
    <w:pPr>
      <w:widowControl/>
      <w:adjustRightInd w:val="0"/>
      <w:snapToGrid w:val="0"/>
      <w:spacing w:after="160" w:line="259" w:lineRule="auto"/>
      <w:jc w:val="left"/>
    </w:pPr>
    <w:rPr>
      <w:rFonts w:ascii="宋体" w:hAnsi="等线" w:eastAsia="等线"/>
      <w:kern w:val="0"/>
      <w:sz w:val="22"/>
      <w:szCs w:val="22"/>
    </w:rPr>
  </w:style>
  <w:style w:type="paragraph" w:customStyle="1" w:styleId="434">
    <w:name w:val="TOC Heading"/>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35">
    <w:name w:val="Z14三级标题"/>
    <w:qFormat/>
    <w:uiPriority w:val="99"/>
    <w:pPr>
      <w:keepNext/>
      <w:keepLines/>
      <w:spacing w:after="160" w:line="360" w:lineRule="auto"/>
      <w:jc w:val="center"/>
      <w:outlineLvl w:val="2"/>
    </w:pPr>
    <w:rPr>
      <w:rFonts w:ascii="黑体" w:hAnsi="等线" w:eastAsia="仿宋" w:cs="Times New Roman"/>
      <w:b/>
      <w:kern w:val="2"/>
      <w:sz w:val="32"/>
      <w:szCs w:val="24"/>
      <w:lang w:val="en-US" w:eastAsia="zh-CN" w:bidi="ar-SA"/>
    </w:rPr>
  </w:style>
  <w:style w:type="paragraph" w:customStyle="1" w:styleId="436">
    <w:name w:val="1 Char"/>
    <w:basedOn w:val="1"/>
    <w:qFormat/>
    <w:uiPriority w:val="0"/>
    <w:pPr>
      <w:widowControl/>
      <w:spacing w:after="160" w:line="259" w:lineRule="auto"/>
      <w:jc w:val="left"/>
    </w:pPr>
    <w:rPr>
      <w:rFonts w:ascii="Tahoma" w:hAnsi="Tahoma" w:eastAsia="等线"/>
      <w:kern w:val="0"/>
      <w:sz w:val="24"/>
      <w:szCs w:val="20"/>
    </w:rPr>
  </w:style>
  <w:style w:type="paragraph" w:customStyle="1" w:styleId="437">
    <w:name w:val="列出段落11"/>
    <w:qFormat/>
    <w:uiPriority w:val="34"/>
    <w:pPr>
      <w:spacing w:after="160" w:line="259" w:lineRule="auto"/>
      <w:ind w:firstLine="420" w:firstLineChars="200"/>
    </w:pPr>
    <w:rPr>
      <w:rFonts w:ascii="等线" w:hAnsi="等线" w:eastAsia="等线" w:cs="Times New Roman"/>
      <w:sz w:val="22"/>
      <w:szCs w:val="22"/>
      <w:lang w:val="en-US" w:eastAsia="zh-CN" w:bidi="ar-SA"/>
    </w:rPr>
  </w:style>
  <w:style w:type="paragraph" w:customStyle="1" w:styleId="438">
    <w:name w:val="xl31"/>
    <w:basedOn w:val="1"/>
    <w:qFormat/>
    <w:uiPriority w:val="0"/>
    <w:pPr>
      <w:widowControl/>
      <w:spacing w:before="100" w:beforeAutospacing="1" w:after="100" w:afterAutospacing="1" w:line="259" w:lineRule="auto"/>
      <w:jc w:val="left"/>
      <w:textAlignment w:val="center"/>
    </w:pPr>
    <w:rPr>
      <w:rFonts w:ascii="宋体" w:hAnsi="宋体" w:eastAsia="等线"/>
      <w:b/>
      <w:bCs/>
      <w:kern w:val="0"/>
      <w:sz w:val="20"/>
      <w:szCs w:val="20"/>
    </w:rPr>
  </w:style>
  <w:style w:type="paragraph" w:customStyle="1" w:styleId="439">
    <w:name w:val="纯文本2"/>
    <w:basedOn w:val="1"/>
    <w:uiPriority w:val="99"/>
    <w:pPr>
      <w:widowControl/>
      <w:spacing w:after="160" w:line="259" w:lineRule="auto"/>
      <w:jc w:val="left"/>
    </w:pPr>
    <w:rPr>
      <w:rFonts w:ascii="宋体" w:hAnsi="Courier New" w:eastAsia="等线"/>
      <w:kern w:val="0"/>
      <w:sz w:val="20"/>
      <w:szCs w:val="20"/>
    </w:rPr>
  </w:style>
  <w:style w:type="paragraph" w:customStyle="1" w:styleId="440">
    <w:name w:val="pa-1"/>
    <w:basedOn w:val="1"/>
    <w:qFormat/>
    <w:uiPriority w:val="0"/>
    <w:pPr>
      <w:widowControl/>
      <w:spacing w:before="100" w:beforeAutospacing="1" w:after="100" w:afterAutospacing="1" w:line="259" w:lineRule="auto"/>
      <w:jc w:val="left"/>
    </w:pPr>
    <w:rPr>
      <w:rFonts w:ascii="宋体" w:hAnsi="宋体" w:eastAsia="等线" w:cs="宋体"/>
      <w:kern w:val="0"/>
      <w:sz w:val="24"/>
      <w:szCs w:val="22"/>
    </w:rPr>
  </w:style>
  <w:style w:type="paragraph" w:customStyle="1" w:styleId="441">
    <w:name w:val="_Style 128"/>
    <w:next w:val="1"/>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442">
    <w:name w:val="xl40"/>
    <w:basedOn w:val="1"/>
    <w:qFormat/>
    <w:uiPriority w:val="0"/>
    <w:pPr>
      <w:widowControl/>
      <w:spacing w:before="100" w:beforeAutospacing="1" w:after="100" w:afterAutospacing="1" w:line="259" w:lineRule="auto"/>
      <w:jc w:val="center"/>
      <w:textAlignment w:val="center"/>
    </w:pPr>
    <w:rPr>
      <w:rFonts w:ascii="宋体" w:hAnsi="宋体" w:eastAsia="等线"/>
      <w:b/>
      <w:bCs/>
      <w:kern w:val="0"/>
      <w:sz w:val="32"/>
      <w:szCs w:val="32"/>
    </w:rPr>
  </w:style>
  <w:style w:type="paragraph" w:customStyle="1" w:styleId="443">
    <w:name w:val="Char Char Char Char Char Char Char1"/>
    <w:basedOn w:val="1"/>
    <w:qFormat/>
    <w:uiPriority w:val="0"/>
    <w:pPr>
      <w:widowControl/>
      <w:snapToGrid w:val="0"/>
      <w:spacing w:after="160" w:line="360" w:lineRule="auto"/>
      <w:jc w:val="left"/>
    </w:pPr>
    <w:rPr>
      <w:rFonts w:ascii="等线" w:hAnsi="等线" w:eastAsia="等线"/>
      <w:kern w:val="0"/>
      <w:sz w:val="22"/>
      <w:szCs w:val="20"/>
    </w:rPr>
  </w:style>
  <w:style w:type="paragraph" w:customStyle="1" w:styleId="444">
    <w:name w:val="鲁能2级"/>
    <w:basedOn w:val="1"/>
    <w:qFormat/>
    <w:uiPriority w:val="0"/>
    <w:pPr>
      <w:widowControl/>
      <w:adjustRightInd w:val="0"/>
      <w:snapToGrid w:val="0"/>
      <w:spacing w:after="160" w:line="440" w:lineRule="exact"/>
      <w:jc w:val="left"/>
      <w:outlineLvl w:val="1"/>
    </w:pPr>
    <w:rPr>
      <w:rFonts w:ascii="宋体" w:hAnsi="宋体" w:eastAsia="等线"/>
      <w:b/>
      <w:bCs/>
      <w:kern w:val="0"/>
      <w:sz w:val="24"/>
      <w:szCs w:val="28"/>
    </w:rPr>
  </w:style>
  <w:style w:type="paragraph" w:customStyle="1" w:styleId="445">
    <w:name w:val="Char3 Char Char1 Char Char Char Char1"/>
    <w:basedOn w:val="1"/>
    <w:qFormat/>
    <w:uiPriority w:val="0"/>
    <w:pPr>
      <w:widowControl/>
      <w:spacing w:after="160" w:line="259" w:lineRule="auto"/>
      <w:jc w:val="left"/>
    </w:pPr>
    <w:rPr>
      <w:rFonts w:ascii="等线" w:hAnsi="等线" w:eastAsia="等线"/>
      <w:kern w:val="0"/>
      <w:sz w:val="22"/>
      <w:szCs w:val="22"/>
    </w:rPr>
  </w:style>
  <w:style w:type="paragraph" w:customStyle="1" w:styleId="446">
    <w:name w:val="宝能 表格居中"/>
    <w:basedOn w:val="1"/>
    <w:next w:val="1"/>
    <w:qFormat/>
    <w:uiPriority w:val="0"/>
    <w:pPr>
      <w:widowControl/>
      <w:spacing w:after="160" w:line="440" w:lineRule="exact"/>
      <w:jc w:val="center"/>
    </w:pPr>
    <w:rPr>
      <w:rFonts w:ascii="宋体" w:hAnsi="宋体" w:eastAsia="等线"/>
      <w:kern w:val="0"/>
      <w:sz w:val="24"/>
      <w:szCs w:val="22"/>
    </w:rPr>
  </w:style>
  <w:style w:type="paragraph" w:customStyle="1" w:styleId="447">
    <w:name w:val="Char Char11"/>
    <w:basedOn w:val="1"/>
    <w:qFormat/>
    <w:uiPriority w:val="0"/>
    <w:pPr>
      <w:widowControl/>
      <w:adjustRightInd w:val="0"/>
      <w:spacing w:after="160" w:line="360" w:lineRule="atLeast"/>
      <w:jc w:val="left"/>
    </w:pPr>
    <w:rPr>
      <w:rFonts w:ascii="等线" w:hAnsi="等线" w:eastAsia="等线"/>
      <w:kern w:val="0"/>
      <w:sz w:val="22"/>
      <w:szCs w:val="22"/>
    </w:rPr>
  </w:style>
  <w:style w:type="paragraph" w:customStyle="1" w:styleId="448">
    <w:name w:val="Z14图片"/>
    <w:qFormat/>
    <w:uiPriority w:val="99"/>
    <w:pPr>
      <w:spacing w:after="160" w:line="259" w:lineRule="auto"/>
      <w:jc w:val="center"/>
    </w:pPr>
    <w:rPr>
      <w:rFonts w:ascii="宋体" w:hAnsi="等线" w:eastAsia="等线" w:cs="Times New Roman"/>
      <w:kern w:val="2"/>
      <w:sz w:val="24"/>
      <w:szCs w:val="24"/>
      <w:lang w:val="en-US" w:eastAsia="zh-CN" w:bidi="ar-SA"/>
    </w:rPr>
  </w:style>
  <w:style w:type="paragraph" w:customStyle="1" w:styleId="449">
    <w:name w:val="富力正文"/>
    <w:basedOn w:val="1"/>
    <w:qFormat/>
    <w:uiPriority w:val="99"/>
    <w:pPr>
      <w:widowControl/>
      <w:spacing w:after="160" w:line="460" w:lineRule="exact"/>
      <w:ind w:firstLine="420" w:firstLineChars="200"/>
      <w:jc w:val="left"/>
    </w:pPr>
    <w:rPr>
      <w:rFonts w:ascii="宋体" w:hAnsi="宋体" w:eastAsia="等线"/>
      <w:kern w:val="0"/>
      <w:sz w:val="24"/>
      <w:szCs w:val="22"/>
    </w:rPr>
  </w:style>
  <w:style w:type="paragraph" w:customStyle="1" w:styleId="450">
    <w:name w:val="tt2"/>
    <w:basedOn w:val="1"/>
    <w:qFormat/>
    <w:uiPriority w:val="0"/>
    <w:pPr>
      <w:widowControl/>
      <w:spacing w:before="100" w:beforeAutospacing="1" w:after="100" w:afterAutospacing="1" w:line="411" w:lineRule="atLeast"/>
      <w:jc w:val="left"/>
    </w:pPr>
    <w:rPr>
      <w:rFonts w:ascii="宋体" w:hAnsi="宋体" w:eastAsia="等线" w:cs="宋体"/>
      <w:kern w:val="0"/>
      <w:sz w:val="30"/>
      <w:szCs w:val="30"/>
    </w:rPr>
  </w:style>
  <w:style w:type="paragraph" w:customStyle="1" w:styleId="451">
    <w:name w:val="Char Char Char"/>
    <w:basedOn w:val="1"/>
    <w:qFormat/>
    <w:uiPriority w:val="0"/>
    <w:pPr>
      <w:widowControl/>
      <w:adjustRightInd w:val="0"/>
      <w:spacing w:after="160" w:line="360" w:lineRule="atLeast"/>
      <w:jc w:val="left"/>
    </w:pPr>
    <w:rPr>
      <w:rFonts w:ascii="等线" w:hAnsi="等线" w:eastAsia="等线"/>
      <w:kern w:val="0"/>
      <w:sz w:val="22"/>
      <w:szCs w:val="22"/>
    </w:rPr>
  </w:style>
  <w:style w:type="paragraph" w:customStyle="1" w:styleId="452">
    <w:name w:val="Char Char Char Char Char Char Char Char Char Char Char"/>
    <w:qFormat/>
    <w:uiPriority w:val="99"/>
    <w:pPr>
      <w:widowControl w:val="0"/>
      <w:spacing w:after="160" w:line="300" w:lineRule="auto"/>
      <w:ind w:firstLine="480" w:firstLineChars="200"/>
      <w:jc w:val="both"/>
    </w:pPr>
    <w:rPr>
      <w:rFonts w:ascii="等线" w:hAnsi="等线" w:eastAsia="等线" w:cs="Times New Roman"/>
      <w:sz w:val="22"/>
      <w:szCs w:val="22"/>
      <w:lang w:val="en-US" w:eastAsia="zh-CN" w:bidi="ar-SA"/>
    </w:rPr>
  </w:style>
  <w:style w:type="paragraph" w:customStyle="1" w:styleId="453">
    <w:name w:val="Char3"/>
    <w:basedOn w:val="1"/>
    <w:qFormat/>
    <w:uiPriority w:val="0"/>
    <w:pPr>
      <w:widowControl/>
      <w:spacing w:after="160" w:line="259" w:lineRule="auto"/>
      <w:jc w:val="left"/>
    </w:pPr>
    <w:rPr>
      <w:rFonts w:ascii="等线" w:hAnsi="等线" w:eastAsia="等线"/>
      <w:kern w:val="0"/>
      <w:sz w:val="22"/>
      <w:szCs w:val="20"/>
    </w:rPr>
  </w:style>
  <w:style w:type="paragraph" w:customStyle="1" w:styleId="454">
    <w:name w:val="日期2"/>
    <w:basedOn w:val="1"/>
    <w:next w:val="1"/>
    <w:uiPriority w:val="99"/>
    <w:pPr>
      <w:widowControl/>
      <w:spacing w:after="160" w:line="259" w:lineRule="auto"/>
      <w:ind w:left="100" w:leftChars="2500"/>
      <w:jc w:val="left"/>
    </w:pPr>
    <w:rPr>
      <w:rFonts w:ascii="Calibri" w:hAnsi="Calibri" w:eastAsia="等线"/>
      <w:kern w:val="0"/>
      <w:sz w:val="20"/>
      <w:szCs w:val="20"/>
    </w:rPr>
  </w:style>
  <w:style w:type="paragraph" w:customStyle="1" w:styleId="455">
    <w:name w:val="font5"/>
    <w:basedOn w:val="1"/>
    <w:uiPriority w:val="0"/>
    <w:pPr>
      <w:widowControl/>
      <w:spacing w:before="100" w:beforeAutospacing="1" w:after="100" w:afterAutospacing="1" w:line="259" w:lineRule="auto"/>
      <w:jc w:val="left"/>
    </w:pPr>
    <w:rPr>
      <w:rFonts w:ascii="宋体" w:hAnsi="宋体" w:eastAsia="等线"/>
      <w:kern w:val="0"/>
      <w:sz w:val="18"/>
      <w:szCs w:val="18"/>
    </w:rPr>
  </w:style>
  <w:style w:type="paragraph" w:customStyle="1" w:styleId="456">
    <w:name w:val="样式3"/>
    <w:basedOn w:val="4"/>
    <w:uiPriority w:val="0"/>
    <w:pPr>
      <w:widowControl/>
      <w:spacing w:before="40" w:after="0" w:line="259" w:lineRule="auto"/>
      <w:ind w:firstLine="0" w:firstLineChars="0"/>
      <w:jc w:val="left"/>
    </w:pPr>
    <w:rPr>
      <w:rFonts w:ascii="Times New Roman" w:hAnsi="Times New Roman" w:eastAsia="Arial"/>
      <w:bCs w:val="0"/>
      <w:color w:val="1F4E79"/>
      <w:kern w:val="0"/>
      <w:sz w:val="32"/>
      <w:szCs w:val="32"/>
    </w:rPr>
  </w:style>
  <w:style w:type="paragraph" w:customStyle="1" w:styleId="457">
    <w:name w:val="正文_6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458">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line="259" w:lineRule="auto"/>
      <w:jc w:val="center"/>
      <w:textAlignment w:val="center"/>
    </w:pPr>
    <w:rPr>
      <w:rFonts w:ascii="宋体" w:hAnsi="宋体" w:eastAsia="等线"/>
      <w:b/>
      <w:bCs/>
      <w:kern w:val="0"/>
      <w:sz w:val="24"/>
      <w:szCs w:val="22"/>
    </w:rPr>
  </w:style>
  <w:style w:type="paragraph" w:customStyle="1" w:styleId="459">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等线" w:hAnsi="等线" w:eastAsia="等线"/>
      <w:kern w:val="0"/>
      <w:sz w:val="22"/>
      <w:szCs w:val="21"/>
    </w:rPr>
  </w:style>
  <w:style w:type="paragraph" w:customStyle="1" w:styleId="4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9" w:lineRule="auto"/>
      <w:jc w:val="left"/>
      <w:textAlignment w:val="center"/>
    </w:pPr>
    <w:rPr>
      <w:rFonts w:ascii="宋体" w:hAnsi="宋体" w:eastAsia="等线"/>
      <w:kern w:val="0"/>
      <w:sz w:val="22"/>
      <w:szCs w:val="21"/>
    </w:rPr>
  </w:style>
  <w:style w:type="paragraph" w:customStyle="1" w:styleId="461">
    <w:name w:val="郑体3级"/>
    <w:basedOn w:val="1"/>
    <w:qFormat/>
    <w:uiPriority w:val="0"/>
    <w:pPr>
      <w:widowControl/>
      <w:adjustRightInd w:val="0"/>
      <w:snapToGrid w:val="0"/>
      <w:spacing w:after="160" w:line="312" w:lineRule="auto"/>
      <w:jc w:val="left"/>
      <w:outlineLvl w:val="2"/>
    </w:pPr>
    <w:rPr>
      <w:rFonts w:ascii="等线" w:hAnsi="宋体" w:eastAsia="等线"/>
      <w:b/>
      <w:snapToGrid w:val="0"/>
      <w:color w:val="000000"/>
      <w:kern w:val="0"/>
      <w:sz w:val="22"/>
      <w:szCs w:val="22"/>
    </w:rPr>
  </w:style>
  <w:style w:type="paragraph" w:customStyle="1" w:styleId="462">
    <w:name w:val="样式 标题 4 + 居中 段前: 0 磅 段后: 0 磅 行距: 单倍行距"/>
    <w:basedOn w:val="5"/>
    <w:qFormat/>
    <w:uiPriority w:val="0"/>
    <w:pPr>
      <w:widowControl/>
      <w:spacing w:before="0" w:after="0" w:line="240" w:lineRule="auto"/>
      <w:jc w:val="center"/>
    </w:pPr>
    <w:rPr>
      <w:rFonts w:ascii="Cambria" w:hAnsi="Cambria" w:eastAsia="宋体" w:cs="宋体"/>
      <w:b w:val="0"/>
      <w:bCs w:val="0"/>
      <w:i/>
      <w:iCs/>
      <w:color w:val="2E74B5"/>
      <w:kern w:val="0"/>
      <w:sz w:val="21"/>
      <w:szCs w:val="20"/>
    </w:rPr>
  </w:style>
  <w:style w:type="paragraph" w:customStyle="1" w:styleId="463">
    <w:name w:val="样式 样式 首行缩进:  2 字符 + 四号 左侧:  1 字符 首行缩进:  2 字符 右侧:  1 字符"/>
    <w:basedOn w:val="1"/>
    <w:qFormat/>
    <w:uiPriority w:val="99"/>
    <w:pPr>
      <w:widowControl/>
      <w:snapToGrid w:val="0"/>
      <w:spacing w:after="160" w:line="259" w:lineRule="auto"/>
      <w:ind w:left="1" w:firstLine="358" w:firstLineChars="119"/>
      <w:jc w:val="left"/>
    </w:pPr>
    <w:rPr>
      <w:rFonts w:ascii="宋体" w:hAnsi="宋体" w:eastAsia="等线" w:cs="宋体"/>
      <w:b/>
      <w:kern w:val="0"/>
      <w:sz w:val="30"/>
      <w:szCs w:val="30"/>
    </w:rPr>
  </w:style>
  <w:style w:type="paragraph" w:customStyle="1" w:styleId="464">
    <w:name w:val="字元 字元"/>
    <w:basedOn w:val="1"/>
    <w:qFormat/>
    <w:uiPriority w:val="0"/>
    <w:pPr>
      <w:widowControl/>
      <w:spacing w:after="160" w:line="259" w:lineRule="auto"/>
      <w:jc w:val="left"/>
    </w:pPr>
    <w:rPr>
      <w:rFonts w:ascii="等线" w:hAnsi="等线" w:eastAsia="等线"/>
      <w:kern w:val="0"/>
      <w:sz w:val="22"/>
      <w:szCs w:val="22"/>
    </w:rPr>
  </w:style>
  <w:style w:type="paragraph" w:customStyle="1" w:styleId="465">
    <w:name w:val="郑体4级"/>
    <w:qFormat/>
    <w:uiPriority w:val="0"/>
    <w:pPr>
      <w:adjustRightInd w:val="0"/>
      <w:snapToGrid w:val="0"/>
      <w:spacing w:after="160" w:line="312" w:lineRule="auto"/>
      <w:outlineLvl w:val="3"/>
    </w:pPr>
    <w:rPr>
      <w:rFonts w:ascii="宋体" w:hAnsi="宋体" w:eastAsia="等线" w:cs="Times New Roman"/>
      <w:b/>
      <w:bCs/>
      <w:snapToGrid w:val="0"/>
      <w:sz w:val="24"/>
      <w:szCs w:val="22"/>
      <w:lang w:val="en-US" w:eastAsia="zh-CN" w:bidi="ar-SA"/>
    </w:rPr>
  </w:style>
  <w:style w:type="paragraph" w:customStyle="1" w:styleId="466">
    <w:name w:val="列表 31"/>
    <w:basedOn w:val="1"/>
    <w:qFormat/>
    <w:uiPriority w:val="0"/>
    <w:pPr>
      <w:widowControl/>
      <w:spacing w:after="160" w:line="259" w:lineRule="auto"/>
      <w:ind w:left="1260" w:hanging="420"/>
      <w:jc w:val="left"/>
    </w:pPr>
    <w:rPr>
      <w:rFonts w:ascii="等线" w:hAnsi="等线" w:eastAsia="等线"/>
      <w:kern w:val="0"/>
      <w:sz w:val="22"/>
      <w:szCs w:val="20"/>
    </w:rPr>
  </w:style>
  <w:style w:type="paragraph" w:customStyle="1" w:styleId="467">
    <w:name w:val="Char Char 字元 字元 字元 Char Char Char Char"/>
    <w:basedOn w:val="1"/>
    <w:qFormat/>
    <w:uiPriority w:val="0"/>
    <w:pPr>
      <w:widowControl/>
      <w:adjustRightInd w:val="0"/>
      <w:spacing w:after="160" w:line="360" w:lineRule="auto"/>
      <w:jc w:val="left"/>
    </w:pPr>
    <w:rPr>
      <w:rFonts w:ascii="等线" w:hAnsi="等线" w:eastAsia="等线"/>
      <w:kern w:val="0"/>
      <w:sz w:val="24"/>
      <w:szCs w:val="20"/>
    </w:rPr>
  </w:style>
  <w:style w:type="paragraph" w:customStyle="1" w:styleId="468">
    <w:name w:val="正文_8"/>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469">
    <w:name w:val="表格内容"/>
    <w:basedOn w:val="1"/>
    <w:qFormat/>
    <w:uiPriority w:val="0"/>
    <w:pPr>
      <w:widowControl/>
      <w:spacing w:after="160" w:line="460" w:lineRule="exact"/>
      <w:jc w:val="center"/>
    </w:pPr>
    <w:rPr>
      <w:rFonts w:ascii="等线" w:hAnsi="等线" w:eastAsia="等线"/>
      <w:kern w:val="0"/>
      <w:sz w:val="22"/>
      <w:szCs w:val="21"/>
    </w:rPr>
  </w:style>
  <w:style w:type="paragraph" w:customStyle="1" w:styleId="470">
    <w:name w:val="北大表格文字样式"/>
    <w:basedOn w:val="1"/>
    <w:qFormat/>
    <w:uiPriority w:val="0"/>
    <w:pPr>
      <w:widowControl/>
      <w:spacing w:after="160" w:line="360" w:lineRule="exact"/>
      <w:jc w:val="left"/>
    </w:pPr>
    <w:rPr>
      <w:rFonts w:ascii="宋体" w:hAnsi="宋体" w:eastAsia="等线"/>
      <w:kern w:val="28"/>
      <w:sz w:val="22"/>
      <w:szCs w:val="20"/>
    </w:rPr>
  </w:style>
  <w:style w:type="paragraph" w:customStyle="1" w:styleId="471">
    <w:name w:val="Char Char Char Char Char Char Char Char Char Char Char Char Char Char Char Char"/>
    <w:basedOn w:val="1"/>
    <w:qFormat/>
    <w:uiPriority w:val="0"/>
    <w:pPr>
      <w:widowControl/>
      <w:tabs>
        <w:tab w:val="left" w:pos="360"/>
      </w:tabs>
      <w:spacing w:after="160" w:line="259" w:lineRule="auto"/>
      <w:jc w:val="left"/>
    </w:pPr>
    <w:rPr>
      <w:rFonts w:ascii="等线" w:hAnsi="等线" w:eastAsia="等线"/>
      <w:kern w:val="0"/>
      <w:sz w:val="24"/>
      <w:szCs w:val="22"/>
    </w:rPr>
  </w:style>
  <w:style w:type="paragraph" w:customStyle="1" w:styleId="472">
    <w:name w:val="鲁能4级"/>
    <w:qFormat/>
    <w:uiPriority w:val="0"/>
    <w:pPr>
      <w:adjustRightInd w:val="0"/>
      <w:snapToGrid w:val="0"/>
      <w:spacing w:after="160" w:line="440" w:lineRule="exact"/>
      <w:outlineLvl w:val="3"/>
    </w:pPr>
    <w:rPr>
      <w:rFonts w:ascii="宋体" w:hAnsi="宋体" w:eastAsia="等线" w:cs="Times New Roman"/>
      <w:b/>
      <w:bCs/>
      <w:snapToGrid w:val="0"/>
      <w:sz w:val="24"/>
      <w:szCs w:val="22"/>
      <w:lang w:val="en-US" w:eastAsia="zh-CN" w:bidi="ar-SA"/>
    </w:rPr>
  </w:style>
  <w:style w:type="paragraph" w:customStyle="1" w:styleId="473">
    <w:name w:val="_Style 472"/>
    <w:basedOn w:val="1"/>
    <w:next w:val="474"/>
    <w:qFormat/>
    <w:uiPriority w:val="34"/>
    <w:pPr>
      <w:widowControl/>
      <w:spacing w:after="160" w:line="259" w:lineRule="auto"/>
      <w:ind w:firstLine="420" w:firstLineChars="200"/>
      <w:jc w:val="left"/>
    </w:pPr>
    <w:rPr>
      <w:rFonts w:ascii="等线" w:hAnsi="等线" w:eastAsia="等线"/>
      <w:kern w:val="0"/>
      <w:sz w:val="22"/>
      <w:szCs w:val="22"/>
    </w:rPr>
  </w:style>
  <w:style w:type="paragraph" w:styleId="474">
    <w:name w:val="List Paragraph"/>
    <w:basedOn w:val="1"/>
    <w:qFormat/>
    <w:uiPriority w:val="34"/>
    <w:pPr>
      <w:widowControl/>
      <w:spacing w:after="160" w:line="259" w:lineRule="auto"/>
      <w:ind w:firstLine="420" w:firstLineChars="200"/>
      <w:jc w:val="left"/>
    </w:pPr>
    <w:rPr>
      <w:rFonts w:ascii="等线" w:hAnsi="等线" w:eastAsia="等线"/>
      <w:kern w:val="0"/>
      <w:sz w:val="22"/>
      <w:szCs w:val="22"/>
    </w:rPr>
  </w:style>
  <w:style w:type="character" w:customStyle="1" w:styleId="475">
    <w:name w:val="标题 1 字符"/>
    <w:qFormat/>
    <w:uiPriority w:val="9"/>
    <w:rPr>
      <w:rFonts w:ascii="Calibri Light" w:hAnsi="Calibri Light" w:eastAsia="宋体" w:cs="Times New Roman"/>
      <w:color w:val="2E74B5"/>
      <w:kern w:val="0"/>
      <w:sz w:val="32"/>
      <w:szCs w:val="32"/>
    </w:rPr>
  </w:style>
  <w:style w:type="character" w:customStyle="1" w:styleId="476">
    <w:name w:val="标题 2 字符"/>
    <w:qFormat/>
    <w:uiPriority w:val="9"/>
    <w:rPr>
      <w:rFonts w:ascii="Calibri Light" w:hAnsi="Calibri Light" w:eastAsia="宋体" w:cs="Times New Roman"/>
      <w:color w:val="2E74B5"/>
      <w:kern w:val="0"/>
      <w:sz w:val="28"/>
      <w:szCs w:val="28"/>
    </w:rPr>
  </w:style>
  <w:style w:type="character" w:customStyle="1" w:styleId="477">
    <w:name w:val="标题 3 字符"/>
    <w:qFormat/>
    <w:uiPriority w:val="9"/>
    <w:rPr>
      <w:rFonts w:ascii="Calibri Light" w:hAnsi="Calibri Light" w:eastAsia="宋体" w:cs="Times New Roman"/>
      <w:color w:val="1F4E79"/>
      <w:kern w:val="0"/>
      <w:sz w:val="24"/>
      <w:szCs w:val="24"/>
    </w:rPr>
  </w:style>
  <w:style w:type="character" w:customStyle="1" w:styleId="478">
    <w:name w:val="标题 4 字符"/>
    <w:qFormat/>
    <w:uiPriority w:val="9"/>
    <w:rPr>
      <w:rFonts w:ascii="Calibri Light" w:hAnsi="Calibri Light" w:eastAsia="宋体" w:cs="Times New Roman"/>
      <w:i/>
      <w:iCs/>
      <w:color w:val="2E74B5"/>
      <w:kern w:val="0"/>
      <w:sz w:val="22"/>
    </w:rPr>
  </w:style>
  <w:style w:type="character" w:customStyle="1" w:styleId="479">
    <w:name w:val="标题 6 Char1"/>
    <w:link w:val="7"/>
    <w:qFormat/>
    <w:uiPriority w:val="9"/>
    <w:rPr>
      <w:rFonts w:ascii="Arial" w:hAnsi="Arial" w:eastAsia="黑体"/>
      <w:b/>
      <w:bCs/>
      <w:sz w:val="24"/>
      <w:szCs w:val="24"/>
    </w:rPr>
  </w:style>
  <w:style w:type="character" w:customStyle="1" w:styleId="480">
    <w:name w:val="标题 7 Char1"/>
    <w:link w:val="8"/>
    <w:qFormat/>
    <w:uiPriority w:val="9"/>
    <w:rPr>
      <w:b/>
      <w:bCs/>
      <w:sz w:val="24"/>
      <w:szCs w:val="24"/>
    </w:rPr>
  </w:style>
  <w:style w:type="character" w:customStyle="1" w:styleId="481">
    <w:name w:val="标题 8 Char1"/>
    <w:link w:val="9"/>
    <w:qFormat/>
    <w:uiPriority w:val="9"/>
    <w:rPr>
      <w:rFonts w:ascii="Arial" w:hAnsi="Arial" w:eastAsia="黑体"/>
      <w:sz w:val="24"/>
      <w:szCs w:val="24"/>
    </w:rPr>
  </w:style>
  <w:style w:type="character" w:customStyle="1" w:styleId="482">
    <w:name w:val="标题 9 Char1"/>
    <w:link w:val="10"/>
    <w:qFormat/>
    <w:uiPriority w:val="9"/>
    <w:rPr>
      <w:rFonts w:ascii="Arial" w:hAnsi="Arial" w:eastAsia="黑体"/>
      <w:sz w:val="21"/>
      <w:szCs w:val="21"/>
    </w:rPr>
  </w:style>
  <w:style w:type="character" w:customStyle="1" w:styleId="483">
    <w:name w:val="标题 Char3"/>
    <w:link w:val="53"/>
    <w:qFormat/>
    <w:uiPriority w:val="10"/>
    <w:rPr>
      <w:rFonts w:ascii="Arial" w:hAnsi="Arial"/>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E0B23-4285-4F62-BA1F-979BFFB4D5D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98</Pages>
  <Words>43398</Words>
  <Characters>10774</Characters>
  <Lines>89</Lines>
  <Paragraphs>108</Paragraphs>
  <TotalTime>0</TotalTime>
  <ScaleCrop>false</ScaleCrop>
  <LinksUpToDate>false</LinksUpToDate>
  <CharactersWithSpaces>54064</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2018-11-13T06:57:00Z</dcterms:created>
  <dc:creator>1</dc:creator>
  <cp:lastModifiedBy>老雷</cp:lastModifiedBy>
  <cp:lastPrinted>2019-11-04T09:05:00Z</cp:lastPrinted>
  <dcterms:modified xsi:type="dcterms:W3CDTF">2019-11-13T08:33:09Z</dcterms:modified>
  <dc:title>中华人民共和国</dc:title>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