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936" w:firstLineChars="200"/>
        <w:jc w:val="center"/>
        <w:rPr>
          <w:rFonts w:hint="eastAsia" w:ascii="黑体" w:hAnsi="黑体" w:eastAsia="黑体" w:cs="黑体"/>
          <w:b w:val="0"/>
          <w:bCs/>
          <w:color w:val="000000"/>
          <w:w w:val="90"/>
          <w:kern w:val="2"/>
          <w:sz w:val="72"/>
          <w:szCs w:val="72"/>
          <w:lang w:val="en-US" w:eastAsia="zh-CN" w:bidi="ar-SA"/>
        </w:rPr>
      </w:pPr>
      <w:r>
        <w:rPr>
          <w:rFonts w:hint="eastAsia" w:ascii="黑体" w:hAnsi="黑体" w:eastAsia="黑体" w:cs="黑体"/>
          <w:b w:val="0"/>
          <w:bCs/>
          <w:color w:val="000000"/>
          <w:w w:val="90"/>
          <w:kern w:val="2"/>
          <w:sz w:val="52"/>
          <w:szCs w:val="52"/>
          <w:lang w:val="en-US" w:eastAsia="zh-CN" w:bidi="ar-SA"/>
        </w:rPr>
        <w:t>禹州市梁北镇镇区及箕阿社区</w:t>
      </w:r>
    </w:p>
    <w:p>
      <w:pPr>
        <w:pStyle w:val="10"/>
        <w:ind w:firstLine="936" w:firstLineChars="200"/>
        <w:jc w:val="center"/>
        <w:rPr>
          <w:b/>
          <w:bCs w:val="0"/>
        </w:rPr>
      </w:pPr>
      <w:r>
        <w:rPr>
          <w:rFonts w:hint="eastAsia" w:ascii="黑体" w:hAnsi="黑体" w:eastAsia="黑体" w:cs="黑体"/>
          <w:b w:val="0"/>
          <w:bCs/>
          <w:color w:val="000000"/>
          <w:w w:val="90"/>
          <w:kern w:val="2"/>
          <w:sz w:val="52"/>
          <w:szCs w:val="52"/>
          <w:lang w:val="en-US" w:eastAsia="zh-CN" w:bidi="ar-SA"/>
        </w:rPr>
        <w:t>污水处理设施运营项目</w:t>
      </w:r>
    </w:p>
    <w:p>
      <w:pPr>
        <w:pStyle w:val="10"/>
      </w:pPr>
    </w:p>
    <w:p>
      <w:pPr>
        <w:pStyle w:val="10"/>
      </w:pPr>
    </w:p>
    <w:p>
      <w:pPr>
        <w:pStyle w:val="10"/>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val="en-US" w:eastAsia="zh-CN"/>
        </w:rPr>
        <w:t>梁北镇</w:t>
      </w:r>
      <w:r>
        <w:rPr>
          <w:rFonts w:hint="eastAsia" w:ascii="仿宋" w:hAnsi="仿宋" w:eastAsia="仿宋" w:cs="仿宋"/>
          <w:b/>
          <w:bCs/>
          <w:color w:val="000000"/>
          <w:sz w:val="32"/>
          <w:szCs w:val="32"/>
        </w:rPr>
        <w:t xml:space="preserve">人民政府 </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采购编号：YZCG-G20192</w:t>
      </w:r>
      <w:r>
        <w:rPr>
          <w:rFonts w:hint="eastAsia" w:ascii="仿宋" w:hAnsi="仿宋" w:eastAsia="仿宋" w:cs="仿宋"/>
          <w:b/>
          <w:bCs/>
          <w:color w:val="000000"/>
          <w:sz w:val="32"/>
          <w:szCs w:val="32"/>
          <w:lang w:val="en-US" w:eastAsia="zh-CN"/>
        </w:rPr>
        <w:t>53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val="en-US"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hint="eastAsia" w:cs="黑体" w:asciiTheme="minorEastAsia" w:hAnsiTheme="minorEastAsia"/>
          <w:b/>
          <w:bCs/>
          <w:sz w:val="44"/>
          <w:szCs w:val="44"/>
          <w:lang w:val="zh-CN"/>
        </w:rPr>
      </w:pPr>
    </w:p>
    <w:p>
      <w:pPr>
        <w:pStyle w:val="10"/>
        <w:rPr>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rPr>
          <w:rFonts w:hAnsi="宋体"/>
          <w:b/>
          <w:sz w:val="32"/>
          <w:szCs w:val="32"/>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lang w:eastAsia="zh-CN"/>
        </w:rPr>
        <w:t>禹州市</w:t>
      </w:r>
      <w:r>
        <w:rPr>
          <w:rFonts w:hint="eastAsia" w:ascii="仿宋" w:hAnsi="仿宋" w:eastAsia="仿宋" w:cs="仿宋"/>
          <w:b/>
          <w:bCs/>
          <w:sz w:val="36"/>
          <w:szCs w:val="36"/>
          <w:lang w:val="en-US" w:eastAsia="zh-CN"/>
        </w:rPr>
        <w:t>梁北镇镇区及箕阿社区污水处理设施运营</w:t>
      </w:r>
      <w:r>
        <w:rPr>
          <w:rFonts w:hint="eastAsia" w:ascii="仿宋" w:hAnsi="仿宋" w:eastAsia="仿宋" w:cs="仿宋"/>
          <w:b/>
          <w:bCs/>
          <w:sz w:val="36"/>
          <w:szCs w:val="36"/>
          <w:lang w:eastAsia="zh-CN"/>
        </w:rPr>
        <w:t>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公   告</w:t>
      </w:r>
    </w:p>
    <w:p>
      <w:pPr>
        <w:spacing w:line="600" w:lineRule="exact"/>
        <w:jc w:val="center"/>
        <w:rPr>
          <w:rFonts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val="en-US" w:eastAsia="zh-CN"/>
        </w:rPr>
        <w:t>梁北镇</w:t>
      </w:r>
      <w:r>
        <w:rPr>
          <w:rFonts w:hint="eastAsia" w:ascii="仿宋" w:hAnsi="仿宋" w:eastAsia="仿宋" w:cs="仿宋"/>
          <w:sz w:val="32"/>
          <w:szCs w:val="32"/>
        </w:rPr>
        <w:t>人民政府的委托，“</w:t>
      </w:r>
      <w:r>
        <w:rPr>
          <w:rFonts w:hint="eastAsia" w:ascii="仿宋" w:hAnsi="仿宋" w:eastAsia="仿宋" w:cs="仿宋"/>
          <w:sz w:val="32"/>
          <w:szCs w:val="32"/>
          <w:lang w:eastAsia="zh-CN"/>
        </w:rPr>
        <w:t>禹州市</w:t>
      </w:r>
      <w:r>
        <w:rPr>
          <w:rFonts w:hint="eastAsia" w:ascii="仿宋" w:hAnsi="仿宋" w:eastAsia="仿宋" w:cs="仿宋"/>
          <w:sz w:val="32"/>
          <w:szCs w:val="32"/>
          <w:lang w:val="en-US" w:eastAsia="zh-CN"/>
        </w:rPr>
        <w:t>梁北镇镇区及箕阿社区污水处理设施运营</w:t>
      </w:r>
      <w:r>
        <w:rPr>
          <w:rFonts w:hint="eastAsia" w:ascii="仿宋" w:hAnsi="仿宋" w:eastAsia="仿宋" w:cs="仿宋"/>
          <w:sz w:val="32"/>
          <w:szCs w:val="32"/>
          <w:lang w:eastAsia="zh-CN"/>
        </w:rPr>
        <w:t>项目</w:t>
      </w:r>
      <w:r>
        <w:rPr>
          <w:rFonts w:hint="eastAsia" w:ascii="仿宋" w:hAnsi="仿宋" w:eastAsia="仿宋" w:cs="仿宋"/>
          <w:sz w:val="32"/>
          <w:szCs w:val="32"/>
        </w:rPr>
        <w:t>”进行公开招标，欢迎合格的投标人前来投标。</w:t>
      </w:r>
    </w:p>
    <w:p>
      <w:pPr>
        <w:pStyle w:val="59"/>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val="en-US" w:eastAsia="zh-CN"/>
        </w:rPr>
        <w:t>梁北镇</w:t>
      </w:r>
      <w:r>
        <w:rPr>
          <w:rFonts w:hint="eastAsia" w:ascii="仿宋" w:hAnsi="仿宋" w:eastAsia="仿宋" w:cs="仿宋"/>
          <w:sz w:val="32"/>
          <w:szCs w:val="32"/>
        </w:rPr>
        <w:t>人民政府</w:t>
      </w:r>
      <w:r>
        <w:rPr>
          <w:rFonts w:ascii="仿宋" w:hAnsi="仿宋" w:eastAsia="仿宋" w:cs="仿宋"/>
          <w:sz w:val="32"/>
          <w:szCs w:val="32"/>
        </w:rPr>
        <w:t xml:space="preserve"> </w:t>
      </w:r>
    </w:p>
    <w:p>
      <w:pPr>
        <w:spacing w:line="600" w:lineRule="exac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2.项目名称：</w:t>
      </w:r>
      <w:r>
        <w:rPr>
          <w:rFonts w:hint="eastAsia" w:ascii="仿宋" w:hAnsi="仿宋" w:eastAsia="仿宋" w:cs="仿宋"/>
          <w:color w:val="000000"/>
          <w:kern w:val="0"/>
          <w:sz w:val="32"/>
          <w:szCs w:val="32"/>
          <w:lang w:eastAsia="zh-CN"/>
        </w:rPr>
        <w:t>禹州市</w:t>
      </w:r>
      <w:r>
        <w:rPr>
          <w:rFonts w:hint="eastAsia" w:ascii="仿宋" w:hAnsi="仿宋" w:eastAsia="仿宋" w:cs="仿宋"/>
          <w:color w:val="000000"/>
          <w:kern w:val="0"/>
          <w:sz w:val="32"/>
          <w:szCs w:val="32"/>
          <w:lang w:val="en-US" w:eastAsia="zh-CN"/>
        </w:rPr>
        <w:t>梁北镇镇区及箕阿社区污水处理设施运营</w:t>
      </w:r>
      <w:r>
        <w:rPr>
          <w:rFonts w:hint="eastAsia" w:ascii="仿宋" w:hAnsi="仿宋" w:eastAsia="仿宋" w:cs="仿宋"/>
          <w:color w:val="000000"/>
          <w:kern w:val="0"/>
          <w:sz w:val="32"/>
          <w:szCs w:val="32"/>
          <w:lang w:eastAsia="zh-CN"/>
        </w:rPr>
        <w:t>项目</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253</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4、项目需求：污水处理设施运营项目（详见招标文件）</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76.125639</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76.125639</w:t>
      </w:r>
      <w:r>
        <w:rPr>
          <w:rFonts w:hint="eastAsia" w:ascii="仿宋" w:hAnsi="仿宋" w:eastAsia="仿宋" w:cs="仿宋"/>
          <w:sz w:val="32"/>
          <w:szCs w:val="32"/>
        </w:rPr>
        <w:t>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widowControl/>
        <w:shd w:val="clear" w:color="auto" w:fill="FFFFFF"/>
        <w:spacing w:line="360" w:lineRule="auto"/>
        <w:ind w:firstLine="640" w:firstLineChars="200"/>
        <w:jc w:val="left"/>
        <w:rPr>
          <w:rFonts w:ascii="仿宋" w:hAnsi="仿宋" w:eastAsia="仿宋" w:cs="宋体"/>
          <w:iCs/>
          <w:color w:val="000000"/>
          <w:kern w:val="0"/>
          <w:sz w:val="32"/>
          <w:szCs w:val="32"/>
        </w:rPr>
      </w:pPr>
      <w:r>
        <w:rPr>
          <w:rFonts w:hint="eastAsia" w:ascii="仿宋" w:hAnsi="仿宋" w:eastAsia="仿宋" w:cs="宋体"/>
          <w:iCs/>
          <w:color w:val="000000"/>
          <w:kern w:val="0"/>
          <w:sz w:val="32"/>
          <w:szCs w:val="32"/>
        </w:rPr>
        <w:t>2、投标人须具有生态与环境修复运营服务能力评价二级及以上资质或具有环保工程专业承包三级及以上资质。</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3、被委托人须是本单位职工，须提供公司为本人缴纳社会保险证明；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4、本项目不接受联合体投标。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8"/>
          <w:rFonts w:ascii="仿宋" w:hAnsi="仿宋" w:eastAsia="仿宋" w:cs="仿宋"/>
          <w:sz w:val="32"/>
          <w:szCs w:val="32"/>
        </w:rPr>
        <w:t>http://ggzy.xuchang.gov.cn</w:t>
      </w:r>
      <w:r>
        <w:rPr>
          <w:rStyle w:val="28"/>
          <w:rFonts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 9：00（北京时间），逾期送达或不符合规定的投标文件不予接受。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（二）联系方式</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联系人姓名：</w:t>
      </w:r>
      <w:r>
        <w:rPr>
          <w:rFonts w:hint="eastAsia" w:ascii="仿宋" w:hAnsi="仿宋" w:eastAsia="仿宋" w:cs="仿宋"/>
          <w:color w:val="000000"/>
          <w:kern w:val="0"/>
          <w:sz w:val="32"/>
          <w:szCs w:val="32"/>
          <w:lang w:val="en-US" w:eastAsia="zh-CN"/>
        </w:rPr>
        <w:t>张</w:t>
      </w:r>
      <w:r>
        <w:rPr>
          <w:rFonts w:hint="eastAsia" w:ascii="仿宋" w:hAnsi="仿宋" w:eastAsia="仿宋" w:cs="仿宋"/>
          <w:color w:val="000000"/>
          <w:kern w:val="0"/>
          <w:sz w:val="32"/>
          <w:szCs w:val="32"/>
        </w:rPr>
        <w:t>先生     联系电话：8</w:t>
      </w:r>
      <w:r>
        <w:rPr>
          <w:rFonts w:hint="eastAsia" w:ascii="仿宋" w:hAnsi="仿宋" w:eastAsia="仿宋" w:cs="仿宋"/>
          <w:color w:val="000000"/>
          <w:kern w:val="0"/>
          <w:sz w:val="32"/>
          <w:szCs w:val="32"/>
          <w:lang w:val="en-US" w:eastAsia="zh-CN"/>
        </w:rPr>
        <w:t>100017</w:t>
      </w:r>
      <w:r>
        <w:rPr>
          <w:rFonts w:hint="eastAsia" w:ascii="仿宋" w:hAnsi="仿宋" w:eastAsia="仿宋" w:cs="仿宋"/>
          <w:color w:val="000000"/>
          <w:kern w:val="0"/>
          <w:sz w:val="32"/>
          <w:szCs w:val="32"/>
        </w:rPr>
        <w:t xml:space="preserve">   </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单位地址：禹州市</w:t>
      </w:r>
      <w:r>
        <w:rPr>
          <w:rFonts w:hint="eastAsia" w:ascii="仿宋" w:hAnsi="仿宋" w:eastAsia="仿宋" w:cs="仿宋"/>
          <w:color w:val="000000"/>
          <w:kern w:val="0"/>
          <w:sz w:val="32"/>
          <w:szCs w:val="32"/>
          <w:lang w:val="en-US" w:eastAsia="zh-CN"/>
        </w:rPr>
        <w:t>梁北镇</w:t>
      </w:r>
      <w:r>
        <w:rPr>
          <w:rFonts w:hint="eastAsia" w:ascii="仿宋" w:hAnsi="仿宋" w:eastAsia="仿宋" w:cs="仿宋"/>
          <w:color w:val="000000"/>
          <w:kern w:val="0"/>
          <w:sz w:val="32"/>
          <w:szCs w:val="32"/>
        </w:rPr>
        <w:t xml:space="preserve"> </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643" w:firstLineChars="200"/>
        <w:jc w:val="left"/>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rPr>
        <w:t>一、</w:t>
      </w:r>
      <w:r>
        <w:rPr>
          <w:rFonts w:hint="eastAsia" w:ascii="仿宋" w:hAnsi="仿宋" w:eastAsia="仿宋" w:cs="宋体"/>
          <w:b/>
          <w:bCs/>
          <w:color w:val="000000"/>
          <w:kern w:val="0"/>
          <w:sz w:val="32"/>
          <w:szCs w:val="32"/>
          <w:lang w:val="en-US" w:eastAsia="zh-CN"/>
        </w:rPr>
        <w:t>项目概况</w:t>
      </w:r>
    </w:p>
    <w:p>
      <w:pPr>
        <w:widowControl/>
        <w:shd w:val="clear" w:color="auto" w:fill="FFFFFF"/>
        <w:spacing w:line="360" w:lineRule="auto"/>
        <w:ind w:firstLine="643" w:firstLineChars="200"/>
        <w:jc w:val="left"/>
        <w:rPr>
          <w:rFonts w:ascii="仿宋" w:hAnsi="仿宋" w:eastAsia="仿宋"/>
          <w:sz w:val="32"/>
          <w:szCs w:val="32"/>
        </w:rPr>
      </w:pPr>
      <w:r>
        <w:rPr>
          <w:rFonts w:hint="eastAsia" w:ascii="仿宋" w:hAnsi="仿宋" w:eastAsia="仿宋" w:cs="宋体"/>
          <w:b/>
          <w:bCs/>
          <w:color w:val="000000"/>
          <w:kern w:val="0"/>
          <w:sz w:val="32"/>
          <w:szCs w:val="32"/>
        </w:rPr>
        <w:t>（1）内容：</w:t>
      </w:r>
      <w:r>
        <w:rPr>
          <w:rFonts w:hint="eastAsia" w:ascii="仿宋" w:hAnsi="仿宋" w:eastAsia="仿宋"/>
          <w:sz w:val="32"/>
          <w:szCs w:val="32"/>
        </w:rPr>
        <w:t>对污水处理站进行管理运行，确保出水达到设计标准，同时节约消毒成本。针对该污水的来源、特性及水量，从而制定有效可行的日常运营方案。结合当地实际情况，设计配套运营管理措施以及配备专业操作技术人员，保证设备的正常运转及调节，确保出水稳定达标。</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（2）概况：</w:t>
      </w:r>
      <w:r>
        <w:rPr>
          <w:rFonts w:hint="eastAsia" w:ascii="仿宋" w:hAnsi="仿宋" w:eastAsia="仿宋" w:cstheme="minorBidi"/>
          <w:kern w:val="2"/>
          <w:sz w:val="32"/>
          <w:szCs w:val="32"/>
          <w:lang w:val="en-US" w:eastAsia="zh-CN" w:bidi="ar-SA"/>
        </w:rPr>
        <w:t>禹州市梁北镇镇区及箕阿社区污水处理设施运营项目设计处理量为520t/d</w:t>
      </w:r>
      <w:r>
        <w:rPr>
          <w:rFonts w:ascii="仿宋" w:hAnsi="仿宋" w:eastAsia="仿宋" w:cstheme="minorBidi"/>
          <w:kern w:val="2"/>
          <w:sz w:val="32"/>
          <w:szCs w:val="32"/>
          <w:lang w:val="en-US" w:eastAsia="zh-CN" w:bidi="ar-SA"/>
        </w:rPr>
        <w:t>，</w:t>
      </w:r>
      <w:r>
        <w:rPr>
          <w:rFonts w:hint="eastAsia" w:ascii="仿宋" w:hAnsi="仿宋" w:eastAsia="仿宋" w:cstheme="minorBidi"/>
          <w:kern w:val="2"/>
          <w:sz w:val="32"/>
          <w:szCs w:val="32"/>
          <w:lang w:val="en-US" w:eastAsia="zh-CN" w:bidi="ar-SA"/>
        </w:rPr>
        <w:t xml:space="preserve"> </w:t>
      </w:r>
      <w:r>
        <w:rPr>
          <w:rFonts w:hint="eastAsia" w:ascii="仿宋" w:hAnsi="仿宋" w:eastAsia="仿宋"/>
          <w:sz w:val="32"/>
          <w:szCs w:val="32"/>
        </w:rPr>
        <w:t xml:space="preserve">              </w:t>
      </w:r>
    </w:p>
    <w:p>
      <w:pPr>
        <w:pStyle w:val="59"/>
        <w:spacing w:line="360" w:lineRule="auto"/>
        <w:ind w:firstLine="643"/>
        <w:rPr>
          <w:rFonts w:ascii="仿宋" w:hAnsi="仿宋" w:eastAsia="仿宋"/>
          <w:sz w:val="32"/>
          <w:szCs w:val="32"/>
        </w:rPr>
      </w:pPr>
      <w:r>
        <w:rPr>
          <w:rFonts w:hint="eastAsia" w:ascii="仿宋" w:hAnsi="仿宋" w:eastAsia="仿宋"/>
          <w:b/>
          <w:sz w:val="32"/>
          <w:szCs w:val="32"/>
        </w:rPr>
        <w:t>（3）</w:t>
      </w:r>
      <w:r>
        <w:rPr>
          <w:rFonts w:ascii="仿宋" w:hAnsi="仿宋" w:eastAsia="仿宋"/>
          <w:b/>
          <w:sz w:val="32"/>
          <w:szCs w:val="32"/>
        </w:rPr>
        <w:t>排放标准</w:t>
      </w:r>
      <w:r>
        <w:rPr>
          <w:rFonts w:hint="eastAsia" w:ascii="仿宋" w:hAnsi="仿宋" w:eastAsia="仿宋"/>
          <w:b/>
          <w:sz w:val="32"/>
          <w:szCs w:val="32"/>
        </w:rPr>
        <w:t>：</w:t>
      </w:r>
      <w:r>
        <w:rPr>
          <w:rFonts w:ascii="仿宋" w:hAnsi="仿宋" w:eastAsia="仿宋"/>
          <w:sz w:val="32"/>
          <w:szCs w:val="32"/>
        </w:rPr>
        <w:t>根据业主提供，此污水处理站出水排放标准为《</w:t>
      </w:r>
      <w:r>
        <w:rPr>
          <w:rFonts w:hint="eastAsia" w:ascii="仿宋" w:hAnsi="仿宋" w:eastAsia="仿宋"/>
          <w:sz w:val="32"/>
          <w:szCs w:val="32"/>
        </w:rPr>
        <w:t>城镇污水处理厂</w:t>
      </w:r>
      <w:r>
        <w:rPr>
          <w:rFonts w:ascii="仿宋" w:hAnsi="仿宋" w:eastAsia="仿宋"/>
          <w:sz w:val="32"/>
          <w:szCs w:val="32"/>
        </w:rPr>
        <w:t>排放标准》（GB18</w:t>
      </w:r>
      <w:r>
        <w:rPr>
          <w:rFonts w:hint="eastAsia" w:ascii="仿宋" w:hAnsi="仿宋" w:eastAsia="仿宋"/>
          <w:sz w:val="32"/>
          <w:szCs w:val="32"/>
        </w:rPr>
        <w:t>918</w:t>
      </w:r>
      <w:r>
        <w:rPr>
          <w:rFonts w:ascii="仿宋" w:hAnsi="仿宋" w:eastAsia="仿宋"/>
          <w:sz w:val="32"/>
          <w:szCs w:val="32"/>
        </w:rPr>
        <w:t>-200</w:t>
      </w:r>
      <w:r>
        <w:rPr>
          <w:rFonts w:hint="eastAsia" w:ascii="仿宋" w:hAnsi="仿宋" w:eastAsia="仿宋"/>
          <w:sz w:val="32"/>
          <w:szCs w:val="32"/>
        </w:rPr>
        <w:t>2</w:t>
      </w:r>
      <w:r>
        <w:rPr>
          <w:rFonts w:ascii="仿宋" w:hAnsi="仿宋" w:eastAsia="仿宋"/>
          <w:sz w:val="32"/>
          <w:szCs w:val="32"/>
        </w:rPr>
        <w:t>）中的</w:t>
      </w:r>
      <w:r>
        <w:rPr>
          <w:rFonts w:hint="eastAsia" w:ascii="仿宋" w:hAnsi="仿宋" w:eastAsia="仿宋"/>
          <w:sz w:val="32"/>
          <w:szCs w:val="32"/>
        </w:rPr>
        <w:t>一级（A）标准</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主要污染物排放标准如下：</w:t>
      </w:r>
    </w:p>
    <w:tbl>
      <w:tblPr>
        <w:tblStyle w:val="23"/>
        <w:tblpPr w:leftFromText="180" w:rightFromText="180" w:vertAnchor="text" w:horzAnchor="page" w:tblpX="2482" w:tblpY="220"/>
        <w:tblOverlap w:val="never"/>
        <w:tblW w:w="73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73"/>
        <w:gridCol w:w="1446"/>
        <w:gridCol w:w="1111"/>
        <w:gridCol w:w="1074"/>
        <w:gridCol w:w="8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70" w:type="dxa"/>
          </w:tcPr>
          <w:p>
            <w:pPr>
              <w:jc w:val="center"/>
              <w:rPr>
                <w:rFonts w:ascii="仿宋" w:hAnsi="仿宋" w:eastAsia="仿宋"/>
                <w:sz w:val="24"/>
                <w:szCs w:val="24"/>
              </w:rPr>
            </w:pPr>
            <w:r>
              <w:rPr>
                <w:rFonts w:hint="eastAsia" w:ascii="仿宋" w:hAnsi="仿宋" w:eastAsia="仿宋"/>
                <w:sz w:val="24"/>
                <w:szCs w:val="24"/>
              </w:rPr>
              <w:t>类别</w:t>
            </w:r>
          </w:p>
        </w:tc>
        <w:tc>
          <w:tcPr>
            <w:tcW w:w="1373" w:type="dxa"/>
          </w:tcPr>
          <w:p>
            <w:pPr>
              <w:jc w:val="center"/>
              <w:rPr>
                <w:rFonts w:ascii="仿宋" w:hAnsi="仿宋" w:eastAsia="仿宋"/>
                <w:sz w:val="24"/>
                <w:szCs w:val="24"/>
              </w:rPr>
            </w:pPr>
            <w:r>
              <w:rPr>
                <w:rFonts w:ascii="仿宋" w:hAnsi="仿宋" w:eastAsia="仿宋"/>
                <w:sz w:val="24"/>
                <w:szCs w:val="24"/>
              </w:rPr>
              <w:t>COD</w:t>
            </w:r>
          </w:p>
        </w:tc>
        <w:tc>
          <w:tcPr>
            <w:tcW w:w="1446" w:type="dxa"/>
          </w:tcPr>
          <w:p>
            <w:pPr>
              <w:jc w:val="center"/>
              <w:rPr>
                <w:rFonts w:ascii="仿宋" w:hAnsi="仿宋" w:eastAsia="仿宋"/>
                <w:sz w:val="24"/>
                <w:szCs w:val="24"/>
              </w:rPr>
            </w:pPr>
            <w:r>
              <w:rPr>
                <w:rFonts w:ascii="仿宋" w:hAnsi="仿宋" w:eastAsia="仿宋"/>
                <w:sz w:val="24"/>
                <w:szCs w:val="24"/>
              </w:rPr>
              <w:t>BOD</w:t>
            </w:r>
          </w:p>
        </w:tc>
        <w:tc>
          <w:tcPr>
            <w:tcW w:w="1111" w:type="dxa"/>
          </w:tcPr>
          <w:p>
            <w:pPr>
              <w:jc w:val="center"/>
              <w:rPr>
                <w:rFonts w:ascii="仿宋" w:hAnsi="仿宋" w:eastAsia="仿宋"/>
                <w:sz w:val="24"/>
                <w:szCs w:val="24"/>
              </w:rPr>
            </w:pPr>
            <w:r>
              <w:rPr>
                <w:rFonts w:ascii="仿宋" w:hAnsi="仿宋" w:eastAsia="仿宋"/>
                <w:sz w:val="24"/>
                <w:szCs w:val="24"/>
              </w:rPr>
              <w:t>SS</w:t>
            </w:r>
          </w:p>
        </w:tc>
        <w:tc>
          <w:tcPr>
            <w:tcW w:w="1074" w:type="dxa"/>
          </w:tcPr>
          <w:p>
            <w:pPr>
              <w:jc w:val="center"/>
              <w:rPr>
                <w:rFonts w:ascii="仿宋" w:hAnsi="仿宋" w:eastAsia="仿宋"/>
                <w:sz w:val="24"/>
                <w:szCs w:val="24"/>
              </w:rPr>
            </w:pPr>
            <w:r>
              <w:rPr>
                <w:rFonts w:ascii="仿宋" w:hAnsi="仿宋" w:eastAsia="仿宋"/>
                <w:sz w:val="24"/>
                <w:szCs w:val="24"/>
              </w:rPr>
              <w:t>氨氮</w:t>
            </w:r>
          </w:p>
        </w:tc>
        <w:tc>
          <w:tcPr>
            <w:tcW w:w="886" w:type="dxa"/>
          </w:tcPr>
          <w:p>
            <w:pPr>
              <w:jc w:val="center"/>
              <w:rPr>
                <w:rFonts w:ascii="仿宋" w:hAnsi="仿宋" w:eastAsia="仿宋"/>
                <w:sz w:val="24"/>
                <w:szCs w:val="24"/>
              </w:rPr>
            </w:pPr>
            <w:r>
              <w:rPr>
                <w:rFonts w:ascii="仿宋" w:hAnsi="仿宋" w:eastAsia="仿宋"/>
                <w:sz w:val="24"/>
                <w:szCs w:val="24"/>
              </w:rPr>
              <w:t>pH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70" w:type="dxa"/>
          </w:tcPr>
          <w:p>
            <w:pPr>
              <w:jc w:val="center"/>
              <w:rPr>
                <w:rFonts w:ascii="仿宋" w:hAnsi="仿宋" w:eastAsia="仿宋"/>
                <w:sz w:val="24"/>
                <w:szCs w:val="24"/>
              </w:rPr>
            </w:pPr>
            <w:r>
              <w:rPr>
                <w:rFonts w:hint="eastAsia" w:ascii="仿宋" w:hAnsi="仿宋" w:eastAsia="仿宋"/>
                <w:sz w:val="24"/>
                <w:szCs w:val="24"/>
              </w:rPr>
              <w:t>设计值</w:t>
            </w:r>
          </w:p>
        </w:tc>
        <w:tc>
          <w:tcPr>
            <w:tcW w:w="1373" w:type="dxa"/>
          </w:tcPr>
          <w:p>
            <w:pPr>
              <w:jc w:val="center"/>
              <w:rPr>
                <w:rFonts w:ascii="仿宋" w:hAnsi="仿宋" w:eastAsia="仿宋"/>
                <w:sz w:val="24"/>
                <w:szCs w:val="24"/>
              </w:rPr>
            </w:pPr>
            <w:r>
              <w:rPr>
                <w:rFonts w:ascii="Arial" w:hAnsi="Arial" w:eastAsia="宋体" w:cs="Arial"/>
                <w:color w:val="333333"/>
                <w:sz w:val="24"/>
                <w:szCs w:val="24"/>
                <w:shd w:val="clear" w:color="auto" w:fill="FFFFFF"/>
              </w:rPr>
              <w:t>≤</w:t>
            </w:r>
            <w:r>
              <w:rPr>
                <w:rFonts w:hint="eastAsia" w:ascii="仿宋" w:hAnsi="仿宋" w:eastAsia="仿宋"/>
                <w:sz w:val="24"/>
                <w:szCs w:val="24"/>
              </w:rPr>
              <w:t>50</w:t>
            </w:r>
            <w:r>
              <w:rPr>
                <w:rFonts w:ascii="仿宋" w:hAnsi="仿宋" w:eastAsia="仿宋"/>
                <w:sz w:val="24"/>
                <w:szCs w:val="24"/>
              </w:rPr>
              <w:t>mg/L</w:t>
            </w:r>
          </w:p>
        </w:tc>
        <w:tc>
          <w:tcPr>
            <w:tcW w:w="1446" w:type="dxa"/>
          </w:tcPr>
          <w:p>
            <w:pPr>
              <w:jc w:val="center"/>
              <w:rPr>
                <w:rFonts w:ascii="仿宋" w:hAnsi="仿宋" w:eastAsia="仿宋"/>
                <w:sz w:val="24"/>
                <w:szCs w:val="24"/>
              </w:rPr>
            </w:pPr>
            <w:r>
              <w:rPr>
                <w:rFonts w:ascii="Arial" w:hAnsi="Arial" w:eastAsia="宋体" w:cs="Arial"/>
                <w:color w:val="333333"/>
                <w:sz w:val="24"/>
                <w:szCs w:val="24"/>
                <w:shd w:val="clear" w:color="auto" w:fill="FFFFFF"/>
              </w:rPr>
              <w:t>≤</w:t>
            </w:r>
            <w:r>
              <w:rPr>
                <w:rFonts w:ascii="仿宋" w:hAnsi="仿宋" w:eastAsia="仿宋"/>
                <w:sz w:val="24"/>
                <w:szCs w:val="24"/>
              </w:rPr>
              <w:t>10 mg/L</w:t>
            </w:r>
          </w:p>
        </w:tc>
        <w:tc>
          <w:tcPr>
            <w:tcW w:w="1111" w:type="dxa"/>
          </w:tcPr>
          <w:p>
            <w:pPr>
              <w:jc w:val="center"/>
              <w:rPr>
                <w:rFonts w:ascii="仿宋" w:hAnsi="仿宋" w:eastAsia="仿宋"/>
                <w:sz w:val="24"/>
                <w:szCs w:val="24"/>
              </w:rPr>
            </w:pPr>
            <w:r>
              <w:rPr>
                <w:rFonts w:ascii="Arial" w:hAnsi="Arial" w:eastAsia="宋体" w:cs="Arial"/>
                <w:color w:val="333333"/>
                <w:sz w:val="24"/>
                <w:szCs w:val="24"/>
                <w:shd w:val="clear" w:color="auto" w:fill="FFFFFF"/>
              </w:rPr>
              <w:t>≤</w:t>
            </w:r>
            <w:r>
              <w:rPr>
                <w:rFonts w:hint="eastAsia" w:ascii="仿宋" w:hAnsi="仿宋" w:eastAsia="仿宋"/>
                <w:sz w:val="24"/>
                <w:szCs w:val="24"/>
              </w:rPr>
              <w:t>1</w:t>
            </w:r>
            <w:r>
              <w:rPr>
                <w:rFonts w:ascii="仿宋" w:hAnsi="仿宋" w:eastAsia="仿宋"/>
                <w:sz w:val="24"/>
                <w:szCs w:val="24"/>
              </w:rPr>
              <w:t>0 mg/L</w:t>
            </w:r>
          </w:p>
        </w:tc>
        <w:tc>
          <w:tcPr>
            <w:tcW w:w="1074" w:type="dxa"/>
          </w:tcPr>
          <w:p>
            <w:pPr>
              <w:jc w:val="center"/>
              <w:rPr>
                <w:rFonts w:ascii="仿宋" w:hAnsi="仿宋" w:eastAsia="仿宋"/>
                <w:sz w:val="24"/>
                <w:szCs w:val="24"/>
              </w:rPr>
            </w:pPr>
            <w:r>
              <w:rPr>
                <w:rFonts w:hint="eastAsia" w:ascii="仿宋" w:hAnsi="仿宋" w:eastAsia="仿宋"/>
                <w:sz w:val="24"/>
                <w:szCs w:val="24"/>
              </w:rPr>
              <w:t>5（8）</w:t>
            </w:r>
            <w:r>
              <w:rPr>
                <w:rFonts w:ascii="仿宋" w:hAnsi="仿宋" w:eastAsia="仿宋"/>
                <w:sz w:val="24"/>
                <w:szCs w:val="24"/>
              </w:rPr>
              <w:t>mg/L</w:t>
            </w:r>
          </w:p>
        </w:tc>
        <w:tc>
          <w:tcPr>
            <w:tcW w:w="886" w:type="dxa"/>
          </w:tcPr>
          <w:p>
            <w:pPr>
              <w:jc w:val="center"/>
              <w:rPr>
                <w:rFonts w:ascii="仿宋" w:hAnsi="仿宋" w:eastAsia="仿宋"/>
                <w:sz w:val="24"/>
                <w:szCs w:val="24"/>
              </w:rPr>
            </w:pPr>
            <w:r>
              <w:rPr>
                <w:rFonts w:ascii="仿宋" w:hAnsi="仿宋" w:eastAsia="仿宋"/>
                <w:sz w:val="24"/>
                <w:szCs w:val="24"/>
              </w:rPr>
              <w:t>6—9</w:t>
            </w:r>
          </w:p>
        </w:tc>
      </w:tr>
    </w:tbl>
    <w:p>
      <w:pPr>
        <w:spacing w:line="360" w:lineRule="auto"/>
        <w:ind w:firstLine="640" w:firstLineChars="200"/>
        <w:rPr>
          <w:rFonts w:ascii="仿宋" w:hAnsi="仿宋" w:eastAsia="仿宋"/>
          <w:sz w:val="32"/>
          <w:szCs w:val="32"/>
        </w:rPr>
      </w:pPr>
    </w:p>
    <w:p>
      <w:pPr>
        <w:pStyle w:val="10"/>
        <w:numPr>
          <w:ilvl w:val="0"/>
          <w:numId w:val="6"/>
        </w:numPr>
        <w:rPr>
          <w:rFonts w:ascii="仿宋" w:hAnsi="仿宋" w:eastAsia="仿宋" w:cs="宋体"/>
          <w:color w:val="000000"/>
          <w:kern w:val="0"/>
          <w:sz w:val="32"/>
          <w:szCs w:val="32"/>
        </w:rPr>
      </w:pPr>
    </w:p>
    <w:p>
      <w:pPr>
        <w:pStyle w:val="10"/>
        <w:numPr>
          <w:ilvl w:val="0"/>
          <w:numId w:val="7"/>
        </w:numPr>
        <w:ind w:left="480" w:leftChars="0"/>
        <w:rPr>
          <w:rFonts w:hint="eastAsia" w:ascii="仿宋" w:hAnsi="仿宋" w:eastAsia="仿宋"/>
          <w:b/>
          <w:sz w:val="32"/>
          <w:szCs w:val="32"/>
          <w:lang w:val="en-US" w:eastAsia="zh-CN"/>
        </w:rPr>
      </w:pPr>
      <w:r>
        <w:rPr>
          <w:rFonts w:hint="eastAsia" w:ascii="仿宋" w:hAnsi="仿宋" w:eastAsia="仿宋"/>
          <w:b/>
          <w:sz w:val="32"/>
          <w:szCs w:val="32"/>
          <w:lang w:val="en-US" w:eastAsia="zh-CN"/>
        </w:rPr>
        <w:t>采购需求</w:t>
      </w:r>
    </w:p>
    <w:p>
      <w:pPr>
        <w:pStyle w:val="59"/>
        <w:spacing w:line="360" w:lineRule="auto"/>
        <w:ind w:firstLine="643"/>
        <w:rPr>
          <w:rFonts w:hint="default" w:ascii="仿宋" w:hAnsi="仿宋" w:eastAsia="仿宋"/>
          <w:sz w:val="32"/>
          <w:szCs w:val="32"/>
          <w:lang w:val="en-US" w:eastAsia="zh-CN"/>
        </w:rPr>
      </w:pPr>
      <w:r>
        <w:rPr>
          <w:rFonts w:hint="default" w:ascii="仿宋" w:hAnsi="仿宋" w:eastAsia="仿宋"/>
          <w:sz w:val="32"/>
          <w:szCs w:val="32"/>
          <w:lang w:val="en-US" w:eastAsia="zh-CN"/>
        </w:rPr>
        <w:t>（一）本项目需实现的功能或者目标</w:t>
      </w:r>
    </w:p>
    <w:p>
      <w:pPr>
        <w:pStyle w:val="59"/>
        <w:spacing w:line="360" w:lineRule="auto"/>
        <w:ind w:firstLine="643"/>
        <w:rPr>
          <w:rFonts w:hint="default" w:ascii="仿宋" w:hAnsi="仿宋" w:eastAsia="仿宋"/>
          <w:sz w:val="32"/>
          <w:szCs w:val="32"/>
          <w:lang w:val="en-US" w:eastAsia="zh-CN"/>
        </w:rPr>
      </w:pPr>
      <w:r>
        <w:rPr>
          <w:rFonts w:hint="default" w:ascii="仿宋" w:hAnsi="仿宋" w:eastAsia="仿宋"/>
          <w:sz w:val="32"/>
          <w:szCs w:val="32"/>
          <w:lang w:val="en-US" w:eastAsia="zh-CN"/>
        </w:rPr>
        <w:t>对污水处理站进行管理运行，确保出水达到设计标准，同时节约消毒成本。针对该污水的来源、特性及水量，从而制定有效可行的日常运营方案。结合当地实际情况，设计配套运营管理措施以及配备专业操作技术人员，保证设备的正常运转及调节，确保出水稳定达标。</w:t>
      </w:r>
    </w:p>
    <w:p>
      <w:pPr>
        <w:pStyle w:val="59"/>
        <w:spacing w:line="360" w:lineRule="auto"/>
        <w:ind w:firstLine="643"/>
        <w:rPr>
          <w:rFonts w:hint="default" w:ascii="仿宋" w:hAnsi="仿宋" w:eastAsia="仿宋"/>
          <w:sz w:val="32"/>
          <w:szCs w:val="32"/>
          <w:lang w:val="en-US" w:eastAsia="zh-CN"/>
        </w:rPr>
      </w:pPr>
      <w:r>
        <w:rPr>
          <w:rFonts w:hint="default" w:ascii="仿宋" w:hAnsi="仿宋" w:eastAsia="仿宋"/>
          <w:sz w:val="32"/>
          <w:szCs w:val="32"/>
          <w:lang w:val="en-US" w:eastAsia="zh-CN"/>
        </w:rPr>
        <w:t>（二）采购清单</w:t>
      </w:r>
    </w:p>
    <w:tbl>
      <w:tblPr>
        <w:tblStyle w:val="23"/>
        <w:tblpPr w:leftFromText="180" w:rightFromText="180" w:vertAnchor="text" w:horzAnchor="page" w:tblpX="1314" w:tblpY="1746"/>
        <w:tblOverlap w:val="never"/>
        <w:tblW w:w="10045" w:type="dxa"/>
        <w:tblInd w:w="0" w:type="dxa"/>
        <w:tblLayout w:type="fixed"/>
        <w:tblCellMar>
          <w:top w:w="0" w:type="dxa"/>
          <w:left w:w="0" w:type="dxa"/>
          <w:bottom w:w="0" w:type="dxa"/>
          <w:right w:w="0" w:type="dxa"/>
        </w:tblCellMar>
      </w:tblPr>
      <w:tblGrid>
        <w:gridCol w:w="1080"/>
        <w:gridCol w:w="2415"/>
        <w:gridCol w:w="6550"/>
      </w:tblGrid>
      <w:tr>
        <w:tblPrEx>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color w:val="000000"/>
                <w:sz w:val="28"/>
                <w:szCs w:val="28"/>
              </w:rPr>
            </w:pPr>
            <w:r>
              <w:rPr>
                <w:rFonts w:hint="eastAsia" w:ascii="黑体" w:hAnsi="宋体" w:eastAsia="黑体" w:cs="黑体"/>
                <w:i w:val="0"/>
                <w:color w:val="000000"/>
                <w:kern w:val="0"/>
                <w:sz w:val="28"/>
                <w:szCs w:val="28"/>
                <w:u w:val="none"/>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color w:val="000000"/>
                <w:sz w:val="28"/>
                <w:szCs w:val="28"/>
              </w:rPr>
            </w:pPr>
            <w:r>
              <w:rPr>
                <w:rFonts w:hint="eastAsia" w:ascii="黑体" w:hAnsi="宋体" w:eastAsia="黑体" w:cs="黑体"/>
                <w:i w:val="0"/>
                <w:color w:val="000000"/>
                <w:kern w:val="0"/>
                <w:sz w:val="28"/>
                <w:szCs w:val="28"/>
                <w:u w:val="none"/>
                <w:lang w:val="en-US" w:eastAsia="zh-CN" w:bidi="ar"/>
              </w:rPr>
              <w:t>服务项目</w:t>
            </w:r>
          </w:p>
        </w:tc>
        <w:tc>
          <w:tcPr>
            <w:tcW w:w="6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color w:val="000000"/>
                <w:sz w:val="28"/>
                <w:szCs w:val="28"/>
              </w:rPr>
            </w:pPr>
            <w:r>
              <w:rPr>
                <w:rFonts w:hint="eastAsia" w:ascii="黑体" w:hAnsi="宋体" w:eastAsia="黑体" w:cs="黑体"/>
                <w:i w:val="0"/>
                <w:color w:val="000000"/>
                <w:kern w:val="0"/>
                <w:sz w:val="28"/>
                <w:szCs w:val="28"/>
                <w:u w:val="none"/>
                <w:lang w:val="en-US" w:eastAsia="zh-CN" w:bidi="ar"/>
              </w:rPr>
              <w:t>技术要求</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停滞设备检修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对厂区水泵、潜水搅拌器、压滤机等设备检修，确保后期正常运行</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电路及腐蚀件除锈整理</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对厂区电缆、闸刀、电表等设备检修</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电气设备整修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对配电柜等设施进行检修</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厂区绿化</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厂区杂草、树木清理，室内保洁费用</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办公及值班人员生活设施安置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床铺、办公桌、空调等基本设施</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厂区管道维护</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对厂区污水管道，污泥管道、风管等管道检修维护</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厂区基础设施维护</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对厂区建筑门锁，门窗等进行维护</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配套进场电源</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项目原设计配电总柜到电源总结点并配套电表、电杆、及人工费用</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配套水源</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因水源较远，自建无塔供水设备一套，打自备水井或自来水水源</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填料更换</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对原有填料拆除并采购安装更换新填料</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前期调试</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联目联机试车、运行调试费用</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电费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sz w:val="24"/>
                <w:szCs w:val="24"/>
                <w:u w:val="none"/>
                <w:lang w:eastAsia="zh-CN"/>
              </w:rPr>
              <w:t>现有设备日常使用耗电费用</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职工工资及社保</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相关工作人员须配备完整</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药剂费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消耗单元主要为絮凝沉淀池及污泥脱水间</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实验室质控设备及药剂</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日常进行COD、氨氮、总磷、总氮、SS、BOD、PH、MLSS、污泥含水率等项目的化验。需药品、仪器、试剂等的耗用和采购，其他消耗药剂等</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资源费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17</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水费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耗水单元主要为反冲洗、加药单元及办公区、在线监测、实验室等</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污泥及垃圾处置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污泥、沉淀池及厂区进水垃圾等处置运输</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19</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检验费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根据环保部门的要求，企业必须委托第三方化验监测机构对污水处理厂出水水质、泥质进行第三方跟踪监督监测，以监测部门出具发票为准</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管理费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日常检修维护费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主要包含零星及维护耗材等</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大修理基金</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主要包含设备故障、电机及仪器、滤料等</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占地使用费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污水处理厂占用当地耕地费用</w:t>
            </w:r>
          </w:p>
        </w:tc>
      </w:tr>
    </w:tbl>
    <w:p>
      <w:pPr>
        <w:widowControl/>
        <w:shd w:val="clear" w:color="auto" w:fill="FFFFFF"/>
        <w:spacing w:line="360" w:lineRule="auto"/>
        <w:jc w:val="left"/>
        <w:rPr>
          <w:rFonts w:ascii="仿宋" w:hAnsi="仿宋" w:eastAsia="仿宋" w:cs="宋体"/>
          <w:color w:val="000000"/>
          <w:kern w:val="0"/>
          <w:sz w:val="32"/>
          <w:szCs w:val="32"/>
        </w:rPr>
      </w:pPr>
    </w:p>
    <w:p>
      <w:pPr>
        <w:widowControl/>
        <w:shd w:val="clear" w:color="auto" w:fill="FFFFFF"/>
        <w:spacing w:line="360" w:lineRule="auto"/>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三</w:t>
      </w:r>
      <w:r>
        <w:rPr>
          <w:rFonts w:hint="eastAsia" w:ascii="仿宋" w:hAnsi="仿宋" w:eastAsia="仿宋" w:cs="宋体"/>
          <w:color w:val="000000"/>
          <w:kern w:val="0"/>
          <w:sz w:val="32"/>
          <w:szCs w:val="32"/>
        </w:rPr>
        <w:t>）服务标准、期限、效率等要求</w:t>
      </w:r>
    </w:p>
    <w:p>
      <w:pPr>
        <w:widowControl/>
        <w:shd w:val="clear" w:color="auto" w:fill="FFFFFF"/>
        <w:spacing w:line="360" w:lineRule="auto"/>
        <w:ind w:firstLine="643" w:firstLineChars="200"/>
        <w:contextualSpacing/>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标准：</w:t>
      </w:r>
      <w:r>
        <w:rPr>
          <w:rFonts w:hint="eastAsia" w:ascii="仿宋" w:hAnsi="仿宋" w:eastAsia="仿宋" w:cs="宋体"/>
          <w:color w:val="000000"/>
          <w:kern w:val="0"/>
          <w:sz w:val="32"/>
          <w:szCs w:val="32"/>
        </w:rPr>
        <w:t>1、制定污水处理厂管理标准。</w:t>
      </w:r>
    </w:p>
    <w:p>
      <w:pPr>
        <w:widowControl/>
        <w:shd w:val="clear" w:color="auto" w:fill="FFFFFF"/>
        <w:spacing w:line="360" w:lineRule="auto"/>
        <w:ind w:firstLine="1600" w:firstLineChars="5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2、建立水质监测化验机构和设施</w:t>
      </w:r>
    </w:p>
    <w:p>
      <w:pPr>
        <w:widowControl/>
        <w:shd w:val="clear" w:color="auto" w:fill="FFFFFF"/>
        <w:spacing w:line="360" w:lineRule="auto"/>
        <w:ind w:firstLine="1600" w:firstLineChars="5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3、按时限要求及时、准确、完整的上报各种报表、报告、和资料</w:t>
      </w:r>
    </w:p>
    <w:p>
      <w:pPr>
        <w:widowControl/>
        <w:shd w:val="clear" w:color="auto" w:fill="FFFFFF"/>
        <w:spacing w:line="360" w:lineRule="auto"/>
        <w:ind w:firstLine="1600" w:firstLineChars="5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4、各工艺段制定操作规程、明确工艺参数和工艺调整的范围和程序</w:t>
      </w:r>
    </w:p>
    <w:p>
      <w:pPr>
        <w:widowControl/>
        <w:shd w:val="clear" w:color="auto" w:fill="FFFFFF"/>
        <w:spacing w:line="360" w:lineRule="auto"/>
        <w:ind w:firstLine="1600" w:firstLineChars="5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5、运行管理机构健全，管理办法规范，岗位职责健全</w:t>
      </w:r>
    </w:p>
    <w:p>
      <w:pPr>
        <w:widowControl/>
        <w:shd w:val="clear" w:color="auto" w:fill="FFFFFF"/>
        <w:spacing w:line="360" w:lineRule="auto"/>
        <w:ind w:firstLine="1600" w:firstLineChars="5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6、设备管理机构设置健全，档案建立健全，专业人员配备齐全</w:t>
      </w:r>
    </w:p>
    <w:p>
      <w:pPr>
        <w:widowControl/>
        <w:shd w:val="clear" w:color="auto" w:fill="FFFFFF"/>
        <w:spacing w:line="360" w:lineRule="auto"/>
        <w:ind w:firstLine="964" w:firstLineChars="300"/>
        <w:contextualSpacing/>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效率：</w:t>
      </w:r>
      <w:r>
        <w:rPr>
          <w:rFonts w:hint="eastAsia" w:ascii="仿宋" w:hAnsi="仿宋" w:eastAsia="仿宋" w:cs="宋体"/>
          <w:color w:val="000000"/>
          <w:kern w:val="0"/>
          <w:sz w:val="32"/>
          <w:szCs w:val="32"/>
        </w:rPr>
        <w:t>自合同签订后10日进入厂区开展工作</w:t>
      </w:r>
    </w:p>
    <w:p>
      <w:pPr>
        <w:widowControl/>
        <w:shd w:val="clear" w:color="auto" w:fill="FFFFFF"/>
        <w:spacing w:line="360" w:lineRule="auto"/>
        <w:ind w:firstLine="964" w:firstLineChars="300"/>
        <w:contextualSpacing/>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服务周期：</w:t>
      </w:r>
      <w:r>
        <w:rPr>
          <w:rFonts w:hint="eastAsia" w:ascii="仿宋" w:hAnsi="仿宋" w:eastAsia="仿宋" w:cs="宋体"/>
          <w:color w:val="000000"/>
          <w:kern w:val="0"/>
          <w:sz w:val="32"/>
          <w:szCs w:val="32"/>
          <w:lang w:eastAsia="zh-CN"/>
        </w:rPr>
        <w:t>以合同约定为准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四</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pStyle w:val="10"/>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梁北镇镇区及箕阿社区污水处理设施运营</w:t>
            </w:r>
            <w:r>
              <w:rPr>
                <w:rFonts w:hint="eastAsia" w:cs="仿宋_GB2312" w:asciiTheme="minorEastAsia" w:hAnsiTheme="minorEastAsia"/>
                <w:szCs w:val="21"/>
                <w:lang w:eastAsia="zh-CN"/>
              </w:rPr>
              <w:t>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val="en-US" w:eastAsia="zh-CN"/>
              </w:rPr>
              <w:t>梁北镇人民政府</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val="en-US" w:eastAsia="zh-CN"/>
              </w:rPr>
              <w:t>梁北镇</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联系人姓名：</w:t>
            </w:r>
            <w:r>
              <w:rPr>
                <w:rFonts w:hint="eastAsia" w:cs="仿宋_GB2312" w:asciiTheme="minorEastAsia" w:hAnsiTheme="minorEastAsia"/>
                <w:sz w:val="24"/>
                <w:szCs w:val="24"/>
                <w:lang w:val="en-US" w:eastAsia="zh-CN"/>
              </w:rPr>
              <w:t>张</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8100017</w:t>
            </w:r>
            <w:r>
              <w:rPr>
                <w:rFonts w:hint="eastAsia" w:cs="仿宋_GB2312"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5、供应商不良信用记录以采购人查询结果为准，采购人查询之后，网站信息发生的任何变更不再作为评审依据，供应商自行提供的与网站信息不一致的其他证明材料亦不作为评审依据。</w:t>
            </w:r>
          </w:p>
          <w:p>
            <w:pPr>
              <w:pStyle w:val="10"/>
              <w:rPr>
                <w:rFonts w:hint="eastAsia"/>
                <w:lang w:val="en-US" w:eastAsia="zh-CN"/>
              </w:rPr>
            </w:pPr>
            <w:r>
              <w:rPr>
                <w:rFonts w:hint="eastAsia"/>
                <w:lang w:val="en-US" w:eastAsia="zh-CN"/>
              </w:rPr>
              <w:t>八、1、投标人须具有生态与环境修复运营服务能力评价二级及以上资质或具有环保工程专业承包三级及以上资质；</w:t>
            </w:r>
          </w:p>
          <w:p>
            <w:pPr>
              <w:pStyle w:val="10"/>
              <w:rPr>
                <w:rFonts w:hint="eastAsia" w:eastAsiaTheme="minorEastAsia"/>
                <w:lang w:val="en-US" w:eastAsia="zh-CN"/>
              </w:rPr>
            </w:pPr>
            <w:r>
              <w:rPr>
                <w:rFonts w:hint="eastAsia"/>
                <w:lang w:val="en-US" w:eastAsia="zh-CN"/>
              </w:rPr>
              <w:t>2、被委托人是须是本单位职工，须提供公司为本人缴纳社会保险证明；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zh-CN" w:eastAsia="zh-CN"/>
              </w:rPr>
              <w:t>76.125639</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w:t>
            </w:r>
            <w:r>
              <w:rPr>
                <w:rFonts w:hint="eastAsia" w:cs="宋体" w:asciiTheme="minorEastAsia" w:hAnsiTheme="minorEastAsia"/>
                <w:bCs/>
                <w:color w:val="FF0000"/>
                <w:sz w:val="24"/>
                <w:szCs w:val="24"/>
                <w:lang w:val="en-US" w:eastAsia="zh-CN"/>
              </w:rPr>
              <w:t>2</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5</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 </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olor w:val="FF0000"/>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w:t>
      </w:r>
      <w:r>
        <w:rPr>
          <w:rFonts w:hint="eastAsia"/>
          <w:sz w:val="24"/>
          <w:szCs w:val="24"/>
          <w:lang w:eastAsia="zh-CN"/>
        </w:rPr>
        <w:t>、</w:t>
      </w:r>
      <w:r>
        <w:rPr>
          <w:rFonts w:hint="eastAsia"/>
          <w:sz w:val="24"/>
          <w:szCs w:val="24"/>
        </w:rPr>
        <w:t>严重违法失信社会组织名单（联合体形式投标的，联合体成员存在不良信用记录，视同联合体存在不良信用记录）。</w:t>
      </w:r>
    </w:p>
    <w:p>
      <w:pPr>
        <w:pStyle w:val="29"/>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29"/>
        <w:ind w:firstLine="480"/>
        <w:rPr>
          <w:sz w:val="24"/>
          <w:szCs w:val="24"/>
        </w:rPr>
      </w:pPr>
      <w:r>
        <w:rPr>
          <w:rFonts w:hint="eastAsia"/>
          <w:sz w:val="24"/>
          <w:szCs w:val="24"/>
        </w:rPr>
        <w:t>（2）截止时间：同投标截止时间；</w:t>
      </w:r>
    </w:p>
    <w:p>
      <w:pPr>
        <w:pStyle w:val="29"/>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29"/>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10"/>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pStyle w:val="10"/>
        <w:rPr>
          <w:rFonts w:cs="宋体" w:asciiTheme="minorEastAsia" w:hAnsiTheme="minorEastAsia"/>
          <w:kern w:val="0"/>
          <w:sz w:val="24"/>
          <w:szCs w:val="24"/>
        </w:rPr>
      </w:pPr>
    </w:p>
    <w:p>
      <w:pPr>
        <w:pStyle w:val="10"/>
        <w:rPr>
          <w:rFonts w:cs="宋体" w:asciiTheme="minorEastAsia" w:hAnsiTheme="minorEastAsia"/>
          <w:kern w:val="0"/>
          <w:sz w:val="24"/>
          <w:szCs w:val="24"/>
        </w:rPr>
      </w:pPr>
    </w:p>
    <w:p>
      <w:pPr>
        <w:pStyle w:val="10"/>
        <w:rPr>
          <w:rFonts w:cs="宋体" w:asciiTheme="minorEastAsia" w:hAnsiTheme="minorEastAsia"/>
          <w:kern w:val="0"/>
          <w:sz w:val="24"/>
          <w:szCs w:val="24"/>
        </w:rPr>
      </w:pPr>
    </w:p>
    <w:p>
      <w:pPr>
        <w:pStyle w:val="10"/>
        <w:rPr>
          <w:rFonts w:cs="宋体" w:asciiTheme="minorEastAsia" w:hAnsiTheme="minorEastAsia"/>
          <w:kern w:val="0"/>
          <w:sz w:val="24"/>
          <w:szCs w:val="24"/>
        </w:rPr>
      </w:pPr>
    </w:p>
    <w:p>
      <w:pPr>
        <w:pStyle w:val="10"/>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具有</w:t>
            </w:r>
            <w:r>
              <w:rPr>
                <w:rFonts w:hint="eastAsia" w:asciiTheme="minorEastAsia" w:hAnsiTheme="minorEastAsia"/>
                <w:b/>
                <w:bCs/>
                <w:szCs w:val="21"/>
                <w:lang w:val="en-US" w:eastAsia="zh-CN"/>
              </w:rPr>
              <w:t>生态与环境修复运营服务能力评价二级及以上资质或具有环保工程专业承包三级及以上资质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投标人资格条件</w:t>
            </w:r>
          </w:p>
        </w:tc>
        <w:tc>
          <w:tcPr>
            <w:tcW w:w="5954" w:type="dxa"/>
          </w:tcPr>
          <w:p>
            <w:pPr>
              <w:spacing w:line="360" w:lineRule="auto"/>
              <w:rPr>
                <w:rFonts w:cs="仿宋_GB2312" w:asciiTheme="minorEastAsia" w:hAnsiTheme="minorEastAsia"/>
                <w:color w:val="0000FF"/>
                <w:szCs w:val="21"/>
                <w:lang w:val="zh-CN"/>
              </w:rPr>
            </w:pPr>
            <w:r>
              <w:rPr>
                <w:rFonts w:hint="eastAsia" w:cs="仿宋_GB2312" w:asciiTheme="minorEastAsia" w:hAnsiTheme="minorEastAsia"/>
                <w:color w:val="0000FF"/>
                <w:szCs w:val="21"/>
                <w:lang w:val="zh-CN"/>
              </w:rPr>
              <w:t>1、符合《政府采购法》第二十二条之规定，具有独立法人资格及相应的经营范围（以营业执照为准）；</w:t>
            </w:r>
          </w:p>
          <w:p>
            <w:pPr>
              <w:spacing w:line="360" w:lineRule="auto"/>
              <w:rPr>
                <w:rFonts w:cs="仿宋_GB2312" w:asciiTheme="minorEastAsia" w:hAnsiTheme="minorEastAsia"/>
                <w:color w:val="0000FF"/>
                <w:szCs w:val="21"/>
                <w:lang w:val="zh-CN"/>
              </w:rPr>
            </w:pPr>
            <w:r>
              <w:rPr>
                <w:rFonts w:hint="eastAsia" w:cs="仿宋_GB2312" w:asciiTheme="minorEastAsia" w:hAnsiTheme="minorEastAsia"/>
                <w:color w:val="0000FF"/>
                <w:szCs w:val="21"/>
                <w:lang w:val="zh-CN"/>
              </w:rPr>
              <w:t>2、投标人须具有生态与环境修复运营服务能力评价二级及以上资质或具有环保工程专业承包三级及以上资质。</w:t>
            </w:r>
          </w:p>
          <w:p>
            <w:pPr>
              <w:spacing w:line="360" w:lineRule="auto"/>
              <w:rPr>
                <w:rFonts w:cs="仿宋_GB2312" w:asciiTheme="minorEastAsia" w:hAnsiTheme="minorEastAsia"/>
                <w:color w:val="0000FF"/>
                <w:szCs w:val="21"/>
                <w:lang w:val="zh-CN"/>
              </w:rPr>
            </w:pPr>
            <w:r>
              <w:rPr>
                <w:rFonts w:hint="eastAsia" w:cs="仿宋_GB2312" w:asciiTheme="minorEastAsia" w:hAnsiTheme="minorEastAsia"/>
                <w:color w:val="0000FF"/>
                <w:szCs w:val="21"/>
                <w:lang w:val="zh-CN"/>
              </w:rPr>
              <w:t>3、被委托人须是本单位职工，须提供公司为本人缴纳社会保险证明；</w:t>
            </w:r>
          </w:p>
          <w:p>
            <w:pPr>
              <w:spacing w:line="360" w:lineRule="auto"/>
              <w:rPr>
                <w:rFonts w:cs="仿宋_GB2312" w:asciiTheme="minorEastAsia" w:hAnsiTheme="minorEastAsia"/>
                <w:color w:val="0000FF"/>
                <w:szCs w:val="21"/>
                <w:lang w:val="zh-CN"/>
              </w:rPr>
            </w:pPr>
            <w:r>
              <w:rPr>
                <w:rFonts w:hint="eastAsia" w:cs="仿宋_GB2312" w:asciiTheme="minorEastAsia" w:hAnsiTheme="minorEastAsia"/>
                <w:color w:val="0000FF"/>
                <w:szCs w:val="21"/>
                <w:lang w:val="zh-CN"/>
              </w:rPr>
              <w:t>4、本项目不接受联合体投标。</w:t>
            </w:r>
          </w:p>
          <w:p>
            <w:pPr>
              <w:spacing w:line="360" w:lineRule="auto"/>
              <w:rPr>
                <w:rFonts w:asciiTheme="minorEastAsia" w:hAnsiTheme="minorEastAsia"/>
                <w:bCs/>
                <w:szCs w:val="21"/>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621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(总分100分)</w:t>
            </w:r>
          </w:p>
        </w:tc>
        <w:tc>
          <w:tcPr>
            <w:tcW w:w="72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价格分值：</w:t>
            </w:r>
            <w:r>
              <w:rPr>
                <w:rFonts w:hint="eastAsia" w:ascii="宋体" w:hAnsi="宋体" w:eastAsia="仿宋" w:cs="宋体"/>
                <w:color w:val="000000"/>
                <w:kern w:val="0"/>
                <w:sz w:val="32"/>
                <w:szCs w:val="32"/>
              </w:rPr>
              <w:t>30</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商务部分：4</w:t>
            </w:r>
            <w:r>
              <w:rPr>
                <w:rFonts w:hint="eastAsia" w:ascii="宋体" w:hAnsi="宋体" w:eastAsia="仿宋" w:cs="宋体"/>
                <w:color w:val="000000"/>
                <w:kern w:val="0"/>
                <w:sz w:val="32"/>
                <w:szCs w:val="32"/>
              </w:rPr>
              <w:t>3</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技术部分：27分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一、价格部分（满分</w:t>
            </w:r>
            <w:r>
              <w:rPr>
                <w:rFonts w:hint="eastAsia" w:ascii="宋体" w:hAnsi="宋体" w:eastAsia="仿宋" w:cs="宋体"/>
                <w:bCs/>
                <w:color w:val="000000"/>
                <w:kern w:val="0"/>
                <w:sz w:val="32"/>
                <w:szCs w:val="32"/>
              </w:rPr>
              <w:t>30</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投标报价</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评分标准</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评标基准价：满足招标文件要求的有效投标报价中，最低的投标报价为评标基准价。</w:t>
            </w:r>
          </w:p>
          <w:p>
            <w:pPr>
              <w:widowControl/>
              <w:spacing w:line="330" w:lineRule="atLeast"/>
              <w:jc w:val="left"/>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投标报价得分=（评标基准价/投标报价）×</w:t>
            </w:r>
            <w:r>
              <w:rPr>
                <w:rFonts w:hint="eastAsia" w:ascii="仿宋" w:hAnsi="仿宋" w:eastAsia="仿宋" w:cs="宋体"/>
                <w:color w:val="000000"/>
                <w:kern w:val="0"/>
                <w:sz w:val="32"/>
                <w:szCs w:val="32"/>
                <w:lang w:val="en-US" w:eastAsia="zh-CN"/>
              </w:rPr>
              <w:t>30</w:t>
            </w:r>
            <w:bookmarkStart w:id="9" w:name="_GoBack"/>
            <w:bookmarkEnd w:id="9"/>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30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二、商务部分（满分</w:t>
            </w:r>
            <w:r>
              <w:rPr>
                <w:rFonts w:hint="eastAsia" w:ascii="宋体" w:hAnsi="宋体" w:eastAsia="仿宋" w:cs="宋体"/>
                <w:bCs/>
                <w:color w:val="000000"/>
                <w:kern w:val="0"/>
                <w:sz w:val="32"/>
                <w:szCs w:val="32"/>
              </w:rPr>
              <w:t>43</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业绩及售后</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投标企业</w:t>
            </w:r>
            <w:r>
              <w:rPr>
                <w:rFonts w:ascii="仿宋" w:hAnsi="仿宋" w:eastAsia="仿宋" w:cs="宋体"/>
                <w:bCs/>
                <w:iCs/>
                <w:color w:val="000000"/>
                <w:kern w:val="0"/>
                <w:sz w:val="28"/>
                <w:szCs w:val="28"/>
              </w:rPr>
              <w:t>2015</w:t>
            </w:r>
            <w:r>
              <w:rPr>
                <w:rFonts w:hint="eastAsia" w:ascii="仿宋" w:hAnsi="仿宋" w:eastAsia="仿宋" w:cs="宋体"/>
                <w:bCs/>
                <w:iCs/>
                <w:color w:val="000000"/>
                <w:kern w:val="0"/>
                <w:sz w:val="28"/>
                <w:szCs w:val="28"/>
              </w:rPr>
              <w:t>年</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月</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日至今承担过类似项目（工业或市政污水处理项目）业绩，每具有一项业绩加4分，最高得20分；</w:t>
            </w:r>
          </w:p>
          <w:p>
            <w:pPr>
              <w:widowControl/>
              <w:spacing w:line="400" w:lineRule="exact"/>
              <w:jc w:val="left"/>
              <w:rPr>
                <w:rFonts w:ascii="仿宋" w:hAnsi="仿宋" w:eastAsia="仿宋" w:cs="宋体"/>
                <w:color w:val="000000"/>
                <w:kern w:val="0"/>
                <w:sz w:val="32"/>
                <w:szCs w:val="32"/>
              </w:rPr>
            </w:pPr>
            <w:r>
              <w:rPr>
                <w:rFonts w:hint="eastAsia" w:ascii="仿宋" w:hAnsi="仿宋" w:eastAsia="仿宋" w:cs="宋体"/>
                <w:bCs/>
                <w:iCs/>
                <w:color w:val="000000"/>
                <w:kern w:val="0"/>
                <w:sz w:val="28"/>
                <w:szCs w:val="28"/>
              </w:rPr>
              <w:t>以提供的合同为准，在电子版投标文件中附复印件，否则不得分。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20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szCs w:val="21"/>
              </w:rPr>
            </w:pPr>
            <w:r>
              <w:rPr>
                <w:rFonts w:hint="eastAsia" w:ascii="仿宋" w:hAnsi="仿宋" w:eastAsia="仿宋" w:cs="宋体"/>
                <w:color w:val="000000"/>
                <w:kern w:val="0"/>
                <w:sz w:val="28"/>
                <w:szCs w:val="28"/>
              </w:rPr>
              <w:t>奖项</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仿宋" w:cs="宋体"/>
                <w:color w:val="000000"/>
                <w:kern w:val="0"/>
                <w:sz w:val="28"/>
                <w:szCs w:val="28"/>
              </w:rPr>
            </w:pPr>
            <w:r>
              <w:rPr>
                <w:rFonts w:hint="eastAsia" w:ascii="宋体" w:hAnsi="宋体" w:eastAsia="仿宋" w:cs="宋体"/>
                <w:color w:val="000000"/>
                <w:kern w:val="0"/>
                <w:sz w:val="28"/>
                <w:szCs w:val="28"/>
              </w:rPr>
              <w:t>具有省级以上环境生态与环境修复领域奖项，</w:t>
            </w:r>
            <w:r>
              <w:rPr>
                <w:rFonts w:hint="eastAsia" w:ascii="仿宋" w:hAnsi="仿宋" w:eastAsia="仿宋" w:cs="宋体"/>
                <w:bCs/>
                <w:iCs/>
                <w:color w:val="000000"/>
                <w:kern w:val="0"/>
                <w:sz w:val="28"/>
                <w:szCs w:val="28"/>
              </w:rPr>
              <w:t>每具有一项2分，最高得6分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ascii="仿宋" w:hAnsi="仿宋" w:eastAsia="仿宋" w:cs="宋体"/>
                <w:color w:val="000000"/>
                <w:kern w:val="0"/>
                <w:sz w:val="30"/>
                <w:szCs w:val="30"/>
              </w:rPr>
            </w:pPr>
            <w:r>
              <w:rPr>
                <w:rFonts w:hint="eastAsia" w:ascii="仿宋" w:hAnsi="仿宋" w:eastAsia="仿宋" w:cs="宋体"/>
                <w:color w:val="000000"/>
                <w:kern w:val="0"/>
                <w:sz w:val="30"/>
                <w:szCs w:val="3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2068" w:type="dxa"/>
            <w:vMerge w:val="restart"/>
            <w:tcBorders>
              <w:left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企业实力</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仿宋" w:cs="宋体"/>
                <w:kern w:val="0"/>
                <w:sz w:val="28"/>
                <w:szCs w:val="28"/>
              </w:rPr>
            </w:pPr>
            <w:r>
              <w:rPr>
                <w:rFonts w:hint="eastAsia" w:ascii="宋体" w:hAnsi="宋体" w:eastAsia="仿宋" w:cs="宋体"/>
                <w:kern w:val="0"/>
                <w:sz w:val="28"/>
                <w:szCs w:val="28"/>
              </w:rPr>
              <w:t>生态与环境修复工程专项设计服务能力评价证书，</w:t>
            </w:r>
            <w:r>
              <w:rPr>
                <w:rFonts w:hint="eastAsia" w:ascii="宋体" w:hAnsi="宋体" w:eastAsia="仿宋" w:cs="宋体"/>
                <w:color w:val="000000"/>
                <w:kern w:val="0"/>
                <w:sz w:val="28"/>
                <w:szCs w:val="28"/>
              </w:rPr>
              <w:t>甲级得5分，乙级得3分，丙级得1分。不提供的不得分。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仿宋" w:cs="宋体"/>
                <w:color w:val="000000"/>
                <w:kern w:val="0"/>
                <w:sz w:val="32"/>
                <w:szCs w:val="32"/>
              </w:rPr>
            </w:pPr>
            <w:r>
              <w:rPr>
                <w:rFonts w:hint="eastAsia" w:ascii="宋体" w:hAnsi="宋体" w:eastAsia="仿宋" w:cs="宋体"/>
                <w:color w:val="000000"/>
                <w:kern w:val="0"/>
                <w:sz w:val="32"/>
                <w:szCs w:val="32"/>
              </w:rPr>
              <w:t> 5</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206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仿宋" w:cs="宋体"/>
                <w:kern w:val="0"/>
                <w:sz w:val="28"/>
                <w:szCs w:val="28"/>
              </w:rPr>
            </w:pPr>
            <w:r>
              <w:rPr>
                <w:rFonts w:hint="eastAsia" w:ascii="宋体" w:hAnsi="宋体" w:eastAsia="仿宋" w:cs="宋体"/>
                <w:kern w:val="0"/>
                <w:sz w:val="28"/>
                <w:szCs w:val="28"/>
              </w:rPr>
              <w:t>企业综合信用等级评价证书</w:t>
            </w:r>
            <w:r>
              <w:rPr>
                <w:rFonts w:hint="eastAsia" w:ascii="宋体" w:hAnsi="宋体" w:eastAsia="仿宋" w:cs="宋体"/>
                <w:color w:val="000000"/>
                <w:kern w:val="0"/>
                <w:sz w:val="28"/>
                <w:szCs w:val="28"/>
              </w:rPr>
              <w:t>。AAA级得5分，AA级得3分，A级得1分。不提供的不得分。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仿宋" w:cs="宋体"/>
                <w:color w:val="000000"/>
                <w:kern w:val="0"/>
                <w:sz w:val="32"/>
                <w:szCs w:val="32"/>
              </w:rPr>
            </w:pPr>
            <w:r>
              <w:rPr>
                <w:rFonts w:hint="eastAsia" w:ascii="宋体" w:hAnsi="宋体" w:eastAsia="仿宋" w:cs="宋体"/>
                <w:color w:val="000000"/>
                <w:kern w:val="0"/>
                <w:sz w:val="32"/>
                <w:szCs w:val="32"/>
              </w:rPr>
              <w:t>5</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32"/>
                <w:szCs w:val="32"/>
              </w:rPr>
            </w:pPr>
            <w:r>
              <w:rPr>
                <w:rFonts w:hint="eastAsia" w:ascii="Times New Roman" w:hAnsi="宋体" w:cs="宋体"/>
                <w:b/>
                <w:bCs/>
                <w:color w:val="000000"/>
                <w:szCs w:val="21"/>
              </w:rPr>
              <w:t>投标文件制作情况</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仿宋" w:cs="宋体"/>
                <w:color w:val="000000"/>
                <w:kern w:val="0"/>
                <w:sz w:val="28"/>
                <w:szCs w:val="28"/>
              </w:rPr>
            </w:pPr>
            <w:r>
              <w:rPr>
                <w:rFonts w:hint="eastAsia" w:ascii="宋体" w:hAnsi="宋体" w:eastAsia="仿宋" w:cs="宋体"/>
                <w:color w:val="000000"/>
                <w:kern w:val="0"/>
                <w:sz w:val="28"/>
                <w:szCs w:val="28"/>
              </w:rPr>
              <w:t>投标文件装订美观，内容完整，无错别字，页码顺序完整无缺页，评委根据是否符合以上标准，优得3分，良得2分，一般得1分，不提供的不得分。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0"/>
                <w:szCs w:val="3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宋体" w:hAnsi="宋体" w:cs="宋体"/>
                <w:b/>
                <w:bCs/>
                <w:szCs w:val="21"/>
              </w:rPr>
              <w:t>管理制度</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仿宋" w:cs="宋体"/>
                <w:color w:val="000000"/>
                <w:kern w:val="0"/>
                <w:sz w:val="28"/>
                <w:szCs w:val="28"/>
                <w:lang w:val="zh-CN"/>
              </w:rPr>
            </w:pPr>
            <w:r>
              <w:rPr>
                <w:rFonts w:hint="eastAsia" w:ascii="宋体" w:hAnsi="宋体" w:eastAsia="仿宋" w:cs="宋体"/>
                <w:color w:val="000000"/>
                <w:kern w:val="0"/>
                <w:sz w:val="28"/>
                <w:szCs w:val="28"/>
                <w:lang w:val="zh-CN"/>
              </w:rPr>
              <w:t>主要包括本项目职工培训制度、职工考核及奖惩制度、配套设施权属清册管理制度、服务作业流程安排制度等。</w:t>
            </w:r>
          </w:p>
          <w:p>
            <w:pPr>
              <w:widowControl/>
              <w:spacing w:line="400" w:lineRule="exact"/>
              <w:jc w:val="left"/>
              <w:rPr>
                <w:rFonts w:ascii="宋体" w:hAnsi="宋体" w:eastAsia="仿宋" w:cs="宋体"/>
                <w:color w:val="000000"/>
                <w:kern w:val="0"/>
                <w:sz w:val="28"/>
                <w:szCs w:val="28"/>
              </w:rPr>
            </w:pPr>
            <w:r>
              <w:rPr>
                <w:rFonts w:hint="eastAsia" w:ascii="宋体" w:hAnsi="宋体" w:eastAsia="仿宋" w:cs="宋体"/>
                <w:color w:val="000000"/>
                <w:kern w:val="0"/>
                <w:sz w:val="28"/>
                <w:szCs w:val="28"/>
              </w:rPr>
              <w:t>优得4分，良得2分，一般得1分，不提供的不得分；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ascii="宋体" w:hAnsi="宋体" w:eastAsia="仿宋" w:cs="宋体"/>
                <w:color w:val="000000"/>
                <w:kern w:val="0"/>
                <w:sz w:val="32"/>
                <w:szCs w:val="32"/>
              </w:rPr>
            </w:pPr>
            <w:r>
              <w:rPr>
                <w:rFonts w:hint="eastAsia" w:ascii="仿宋" w:hAnsi="仿宋" w:eastAsia="仿宋" w:cs="宋体"/>
                <w:color w:val="000000"/>
                <w:kern w:val="0"/>
                <w:sz w:val="30"/>
                <w:szCs w:val="30"/>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三、技术部分（满分</w:t>
            </w:r>
            <w:r>
              <w:rPr>
                <w:rFonts w:hint="eastAsia" w:ascii="宋体" w:hAnsi="宋体" w:eastAsia="仿宋" w:cs="宋体"/>
                <w:bCs/>
                <w:color w:val="000000"/>
                <w:kern w:val="0"/>
                <w:sz w:val="32"/>
                <w:szCs w:val="32"/>
              </w:rPr>
              <w:t>27</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总体服务方案</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pacing w:val="-4"/>
                <w:sz w:val="28"/>
                <w:szCs w:val="28"/>
              </w:rPr>
            </w:pPr>
            <w:r>
              <w:rPr>
                <w:rFonts w:ascii="仿宋" w:hAnsi="仿宋" w:eastAsia="仿宋" w:cs="仿宋"/>
                <w:b/>
                <w:bCs/>
                <w:color w:val="000000"/>
                <w:spacing w:val="-4"/>
                <w:sz w:val="28"/>
                <w:szCs w:val="28"/>
              </w:rPr>
              <w:t>1.</w:t>
            </w:r>
            <w:r>
              <w:rPr>
                <w:rFonts w:hint="eastAsia" w:ascii="仿宋" w:hAnsi="仿宋" w:eastAsia="仿宋" w:cs="仿宋"/>
                <w:b/>
                <w:bCs/>
                <w:color w:val="000000"/>
                <w:spacing w:val="-4"/>
                <w:sz w:val="28"/>
                <w:szCs w:val="28"/>
              </w:rPr>
              <w:t>服务工作思路及目标（4分）</w:t>
            </w:r>
            <w:r>
              <w:rPr>
                <w:rFonts w:hint="eastAsia" w:ascii="仿宋" w:hAnsi="仿宋" w:eastAsia="仿宋" w:cs="仿宋"/>
                <w:spacing w:val="-4"/>
                <w:sz w:val="28"/>
                <w:szCs w:val="28"/>
              </w:rPr>
              <w:t>对招标内容理解的准确性，目标的明确性、工作内容的全面性；方案是否合理可行，是否经济等，充分考虑各种因素。以及对业主提供的有关资料、人员配合、设施和服务等支持的要求。由评委独立打分，优秀的得4分，一般的得</w:t>
            </w:r>
            <w:r>
              <w:rPr>
                <w:rFonts w:ascii="仿宋" w:hAnsi="仿宋" w:eastAsia="仿宋" w:cs="仿宋"/>
                <w:spacing w:val="-4"/>
                <w:sz w:val="28"/>
                <w:szCs w:val="28"/>
              </w:rPr>
              <w:t>1-</w:t>
            </w:r>
            <w:r>
              <w:rPr>
                <w:rFonts w:hint="eastAsia" w:ascii="仿宋" w:hAnsi="仿宋" w:eastAsia="仿宋" w:cs="仿宋"/>
                <w:spacing w:val="-4"/>
                <w:sz w:val="28"/>
                <w:szCs w:val="28"/>
              </w:rPr>
              <w:t>3分，缺项得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ascii="仿宋" w:hAnsi="仿宋" w:eastAsia="仿宋" w:cs="仿宋"/>
                <w:b/>
                <w:bCs/>
                <w:color w:val="000000"/>
                <w:spacing w:val="-4"/>
                <w:sz w:val="28"/>
                <w:szCs w:val="28"/>
              </w:rPr>
              <w:t>2.</w:t>
            </w:r>
            <w:r>
              <w:rPr>
                <w:rFonts w:hint="eastAsia" w:ascii="仿宋" w:hAnsi="仿宋" w:eastAsia="仿宋" w:cs="仿宋"/>
                <w:b/>
                <w:bCs/>
                <w:color w:val="000000"/>
                <w:spacing w:val="-4"/>
                <w:sz w:val="28"/>
                <w:szCs w:val="28"/>
              </w:rPr>
              <w:t>质量保证体系与保证流程（2分）</w:t>
            </w:r>
            <w:r>
              <w:rPr>
                <w:rFonts w:hint="eastAsia" w:ascii="仿宋" w:hAnsi="仿宋" w:eastAsia="仿宋" w:cs="仿宋"/>
                <w:bCs/>
                <w:color w:val="000000"/>
                <w:spacing w:val="-4"/>
                <w:sz w:val="28"/>
                <w:szCs w:val="28"/>
              </w:rPr>
              <w:t>体</w:t>
            </w:r>
            <w:r>
              <w:rPr>
                <w:rFonts w:hint="eastAsia" w:ascii="仿宋" w:hAnsi="仿宋" w:eastAsia="仿宋" w:cs="仿宋"/>
                <w:spacing w:val="-4"/>
                <w:sz w:val="28"/>
                <w:szCs w:val="28"/>
              </w:rPr>
              <w:t>系建立完善、合理，质量服务流程建全、合理，由评委独立打分，优秀的得2分，较好的得</w:t>
            </w:r>
            <w:r>
              <w:rPr>
                <w:rFonts w:ascii="仿宋" w:hAnsi="仿宋" w:eastAsia="仿宋" w:cs="仿宋"/>
                <w:spacing w:val="-4"/>
                <w:sz w:val="28"/>
                <w:szCs w:val="28"/>
              </w:rPr>
              <w:t>1</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ascii="仿宋" w:hAnsi="仿宋" w:eastAsia="仿宋" w:cs="仿宋"/>
                <w:b/>
                <w:spacing w:val="-4"/>
                <w:sz w:val="28"/>
                <w:szCs w:val="28"/>
              </w:rPr>
              <w:t>3.</w:t>
            </w:r>
            <w:r>
              <w:rPr>
                <w:rFonts w:hint="eastAsia" w:ascii="仿宋" w:hAnsi="仿宋" w:eastAsia="仿宋" w:cs="仿宋"/>
                <w:b/>
                <w:spacing w:val="-4"/>
                <w:sz w:val="28"/>
                <w:szCs w:val="28"/>
              </w:rPr>
              <w:t>组织机构的方案与措施（</w:t>
            </w:r>
            <w:r>
              <w:rPr>
                <w:rFonts w:ascii="仿宋" w:hAnsi="仿宋" w:eastAsia="仿宋" w:cs="仿宋"/>
                <w:b/>
                <w:spacing w:val="-4"/>
                <w:sz w:val="28"/>
                <w:szCs w:val="28"/>
              </w:rPr>
              <w:t>3</w:t>
            </w:r>
            <w:r>
              <w:rPr>
                <w:rFonts w:hint="eastAsia" w:ascii="仿宋" w:hAnsi="仿宋" w:eastAsia="仿宋" w:cs="仿宋"/>
                <w:b/>
                <w:spacing w:val="-4"/>
                <w:sz w:val="28"/>
                <w:szCs w:val="28"/>
              </w:rPr>
              <w:t>分）</w:t>
            </w:r>
            <w:r>
              <w:rPr>
                <w:rFonts w:hint="eastAsia" w:ascii="仿宋" w:hAnsi="仿宋" w:eastAsia="仿宋" w:cs="仿宋"/>
                <w:spacing w:val="-4"/>
                <w:sz w:val="28"/>
                <w:szCs w:val="28"/>
              </w:rPr>
              <w:t>明确项目的机构设置情况，指明项目负责人、技术负责人、质量负责人、各工序的相应负责人、专职检测人员、作业人员的编队（组）情况，由评委独立打分，优秀的得</w:t>
            </w:r>
            <w:r>
              <w:rPr>
                <w:rFonts w:ascii="仿宋" w:hAnsi="仿宋" w:eastAsia="仿宋" w:cs="仿宋"/>
                <w:spacing w:val="-4"/>
                <w:sz w:val="28"/>
                <w:szCs w:val="28"/>
              </w:rPr>
              <w:t>3</w:t>
            </w:r>
            <w:r>
              <w:rPr>
                <w:rFonts w:hint="eastAsia" w:ascii="仿宋" w:hAnsi="仿宋" w:eastAsia="仿宋" w:cs="仿宋"/>
                <w:spacing w:val="-4"/>
                <w:sz w:val="28"/>
                <w:szCs w:val="28"/>
              </w:rPr>
              <w:t>分，较好的得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hint="eastAsia" w:ascii="仿宋" w:hAnsi="仿宋" w:eastAsia="仿宋" w:cs="仿宋"/>
                <w:b/>
                <w:spacing w:val="-4"/>
                <w:sz w:val="28"/>
                <w:szCs w:val="28"/>
              </w:rPr>
              <w:t>4</w:t>
            </w:r>
            <w:r>
              <w:rPr>
                <w:rFonts w:ascii="仿宋" w:hAnsi="仿宋" w:eastAsia="仿宋" w:cs="仿宋"/>
                <w:b/>
                <w:spacing w:val="-4"/>
                <w:sz w:val="28"/>
                <w:szCs w:val="28"/>
              </w:rPr>
              <w:t>.</w:t>
            </w:r>
            <w:r>
              <w:rPr>
                <w:rFonts w:hint="eastAsia" w:ascii="仿宋" w:hAnsi="仿宋" w:eastAsia="仿宋" w:cs="仿宋"/>
                <w:b/>
                <w:spacing w:val="-4"/>
                <w:sz w:val="28"/>
                <w:szCs w:val="28"/>
              </w:rPr>
              <w:t>项目实施方案的全面性（3分）</w:t>
            </w:r>
            <w:r>
              <w:rPr>
                <w:rFonts w:hint="eastAsia" w:ascii="仿宋" w:hAnsi="仿宋" w:eastAsia="仿宋" w:cs="仿宋"/>
                <w:spacing w:val="-4"/>
                <w:sz w:val="28"/>
                <w:szCs w:val="28"/>
              </w:rPr>
              <w:t>方案合理、具有科学性、完整性、可靠性和可执行性（包括：工作程序、工作方法、步骤、工作方案、技术路线等方案），由评委独立打分，优秀的得</w:t>
            </w:r>
            <w:r>
              <w:rPr>
                <w:rFonts w:ascii="仿宋" w:hAnsi="仿宋" w:eastAsia="仿宋" w:cs="仿宋"/>
                <w:spacing w:val="-4"/>
                <w:sz w:val="28"/>
                <w:szCs w:val="28"/>
              </w:rPr>
              <w:t>3</w:t>
            </w:r>
            <w:r>
              <w:rPr>
                <w:rFonts w:hint="eastAsia" w:ascii="仿宋" w:hAnsi="仿宋" w:eastAsia="仿宋" w:cs="仿宋"/>
                <w:spacing w:val="-4"/>
                <w:sz w:val="28"/>
                <w:szCs w:val="28"/>
              </w:rPr>
              <w:t>分，较好的得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hint="eastAsia" w:ascii="仿宋" w:hAnsi="仿宋" w:eastAsia="仿宋" w:cs="仿宋"/>
                <w:b/>
                <w:spacing w:val="-4"/>
                <w:sz w:val="28"/>
                <w:szCs w:val="28"/>
              </w:rPr>
              <w:t>5</w:t>
            </w:r>
            <w:r>
              <w:rPr>
                <w:rFonts w:ascii="仿宋" w:hAnsi="仿宋" w:eastAsia="仿宋" w:cs="仿宋"/>
                <w:b/>
                <w:spacing w:val="-4"/>
                <w:sz w:val="28"/>
                <w:szCs w:val="28"/>
              </w:rPr>
              <w:t>.</w:t>
            </w:r>
            <w:r>
              <w:rPr>
                <w:rFonts w:hint="eastAsia" w:ascii="仿宋" w:hAnsi="仿宋" w:eastAsia="仿宋" w:cs="仿宋"/>
                <w:b/>
                <w:spacing w:val="-4"/>
                <w:sz w:val="28"/>
                <w:szCs w:val="28"/>
              </w:rPr>
              <w:t>现场服务（4分）</w:t>
            </w:r>
            <w:r>
              <w:rPr>
                <w:rFonts w:hint="eastAsia" w:ascii="仿宋" w:hAnsi="仿宋" w:eastAsia="仿宋" w:cs="仿宋"/>
                <w:spacing w:val="-4"/>
                <w:sz w:val="28"/>
                <w:szCs w:val="28"/>
              </w:rPr>
              <w:t>现场服务承诺是否到位，保障措施是否可靠，由评委独立打分，优秀的得</w:t>
            </w:r>
            <w:r>
              <w:rPr>
                <w:rFonts w:ascii="仿宋" w:hAnsi="仿宋" w:eastAsia="仿宋" w:cs="仿宋"/>
                <w:spacing w:val="-4"/>
                <w:sz w:val="28"/>
                <w:szCs w:val="28"/>
              </w:rPr>
              <w:t>4</w:t>
            </w:r>
            <w:r>
              <w:rPr>
                <w:rFonts w:hint="eastAsia" w:ascii="仿宋" w:hAnsi="仿宋" w:eastAsia="仿宋" w:cs="仿宋"/>
                <w:spacing w:val="-4"/>
                <w:sz w:val="28"/>
                <w:szCs w:val="28"/>
              </w:rPr>
              <w:t>分，一般的得</w:t>
            </w:r>
            <w:r>
              <w:rPr>
                <w:rFonts w:ascii="仿宋" w:hAnsi="仿宋" w:eastAsia="仿宋" w:cs="仿宋"/>
                <w:spacing w:val="-4"/>
                <w:sz w:val="28"/>
                <w:szCs w:val="28"/>
              </w:rPr>
              <w:t>1-3</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宋体"/>
                <w:color w:val="000000"/>
                <w:kern w:val="0"/>
                <w:sz w:val="32"/>
                <w:szCs w:val="32"/>
              </w:rPr>
            </w:pPr>
            <w:r>
              <w:rPr>
                <w:rFonts w:hint="eastAsia" w:ascii="仿宋" w:hAnsi="仿宋" w:eastAsia="仿宋" w:cs="仿宋"/>
                <w:b/>
                <w:bCs/>
                <w:spacing w:val="-4"/>
                <w:sz w:val="28"/>
                <w:szCs w:val="28"/>
              </w:rPr>
              <w:t>6</w:t>
            </w:r>
            <w:r>
              <w:rPr>
                <w:rFonts w:ascii="仿宋" w:hAnsi="仿宋" w:eastAsia="仿宋" w:cs="仿宋"/>
                <w:b/>
                <w:bCs/>
                <w:spacing w:val="-4"/>
                <w:sz w:val="28"/>
                <w:szCs w:val="28"/>
              </w:rPr>
              <w:t>.</w:t>
            </w:r>
            <w:r>
              <w:rPr>
                <w:rFonts w:hint="eastAsia" w:ascii="仿宋" w:hAnsi="仿宋" w:eastAsia="仿宋" w:cs="仿宋"/>
                <w:b/>
                <w:bCs/>
                <w:spacing w:val="-4"/>
                <w:sz w:val="28"/>
                <w:szCs w:val="28"/>
              </w:rPr>
              <w:t>合理化建议（4分）</w:t>
            </w:r>
            <w:r>
              <w:rPr>
                <w:rFonts w:hint="eastAsia" w:ascii="仿宋" w:hAnsi="仿宋" w:eastAsia="仿宋" w:cs="仿宋"/>
                <w:spacing w:val="-4"/>
                <w:sz w:val="28"/>
                <w:szCs w:val="28"/>
              </w:rPr>
              <w:t>能够提高服务质量、提高工作效率的合理化建议。由评委独立打分，优秀的得</w:t>
            </w:r>
            <w:r>
              <w:rPr>
                <w:rFonts w:ascii="仿宋" w:hAnsi="仿宋" w:eastAsia="仿宋" w:cs="仿宋"/>
                <w:spacing w:val="-4"/>
                <w:sz w:val="28"/>
                <w:szCs w:val="28"/>
              </w:rPr>
              <w:t>3-4</w:t>
            </w:r>
            <w:r>
              <w:rPr>
                <w:rFonts w:hint="eastAsia" w:ascii="仿宋" w:hAnsi="仿宋" w:eastAsia="仿宋" w:cs="仿宋"/>
                <w:spacing w:val="-4"/>
                <w:sz w:val="28"/>
                <w:szCs w:val="28"/>
              </w:rPr>
              <w:t>分，一般的得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20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b/>
                <w:bCs/>
                <w:color w:val="000000"/>
                <w:kern w:val="0"/>
                <w:sz w:val="28"/>
                <w:szCs w:val="28"/>
              </w:rPr>
              <w:t>售后服务及培训计划</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（1）投标人针对本项目有详细的售后服务方案，建立完善的技术支持体系，计4分；</w:t>
            </w:r>
          </w:p>
          <w:p>
            <w:pPr>
              <w:spacing w:line="400" w:lineRule="exact"/>
              <w:rPr>
                <w:rFonts w:ascii="仿宋" w:hAnsi="仿宋" w:eastAsia="仿宋" w:cs="宋体"/>
                <w:color w:val="000000"/>
                <w:kern w:val="0"/>
                <w:sz w:val="32"/>
                <w:szCs w:val="32"/>
              </w:rPr>
            </w:pPr>
            <w:r>
              <w:rPr>
                <w:rFonts w:hint="eastAsia" w:ascii="仿宋" w:hAnsi="仿宋" w:eastAsia="仿宋" w:cs="宋体"/>
                <w:color w:val="000000"/>
                <w:kern w:val="0"/>
                <w:sz w:val="28"/>
                <w:szCs w:val="28"/>
              </w:rPr>
              <w:t>（2）培训工作的目标、任务、计划、组织等实施方案安排合理、清晰、可行。根据情况计3分。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7</w:t>
            </w:r>
            <w:r>
              <w:rPr>
                <w:rFonts w:hint="eastAsia" w:ascii="仿宋" w:hAnsi="仿宋" w:eastAsia="仿宋" w:cs="宋体"/>
                <w:color w:val="000000"/>
                <w:kern w:val="0"/>
                <w:sz w:val="32"/>
                <w:szCs w:val="32"/>
              </w:rPr>
              <w:t>分</w:t>
            </w:r>
          </w:p>
        </w:tc>
      </w:tr>
    </w:tbl>
    <w:p>
      <w:pPr>
        <w:pStyle w:val="10"/>
        <w:rPr>
          <w:rFonts w:hint="eastAsia"/>
          <w:lang w:val="zh-CN"/>
        </w:rPr>
      </w:pPr>
    </w:p>
    <w:p>
      <w:pPr>
        <w:pStyle w:val="10"/>
        <w:rPr>
          <w:rFonts w:hint="eastAsia"/>
          <w:lang w:val="zh-CN"/>
        </w:rPr>
      </w:pPr>
    </w:p>
    <w:p>
      <w:pPr>
        <w:pStyle w:val="10"/>
        <w:rPr>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29"/>
        <w:ind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10"/>
        <w:rPr>
          <w:rFonts w:cs="黑体" w:asciiTheme="minorEastAsia" w:hAnsiTheme="minorEastAsia"/>
          <w:b/>
          <w:bCs/>
          <w:sz w:val="44"/>
          <w:szCs w:val="44"/>
          <w:lang w:val="zh-CN"/>
        </w:rPr>
      </w:pPr>
    </w:p>
    <w:p>
      <w:pPr>
        <w:pStyle w:val="10"/>
        <w:rPr>
          <w:rFonts w:cs="黑体" w:asciiTheme="minorEastAsia" w:hAnsiTheme="minorEastAsia"/>
          <w:b/>
          <w:bCs/>
          <w:sz w:val="44"/>
          <w:szCs w:val="44"/>
          <w:lang w:val="zh-CN"/>
        </w:rPr>
      </w:pPr>
    </w:p>
    <w:p>
      <w:pPr>
        <w:pStyle w:val="10"/>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3570" w:firstLineChars="1700"/>
        <w:rPr>
          <w:rFonts w:ascii="宋体" w:cs="宋体"/>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10"/>
        <w:rPr>
          <w:rFonts w:hAnsi="宋体" w:eastAsia="宋体"/>
          <w:b/>
          <w:snapToGrid w:val="0"/>
          <w:kern w:val="0"/>
          <w:sz w:val="36"/>
          <w:szCs w:val="36"/>
        </w:rPr>
      </w:pPr>
    </w:p>
    <w:p>
      <w:pPr>
        <w:pStyle w:val="10"/>
        <w:ind w:firstLine="3373" w:firstLineChars="1400"/>
        <w:rPr>
          <w:rFonts w:ascii="仿宋" w:hAnsi="仿宋" w:eastAsia="仿宋" w:cs="仿宋"/>
          <w:b/>
          <w:sz w:val="24"/>
          <w:szCs w:val="24"/>
        </w:rPr>
      </w:pPr>
      <w:r>
        <w:rPr>
          <w:rFonts w:hint="eastAsia" w:ascii="仿宋" w:hAnsi="仿宋" w:eastAsia="仿宋" w:cs="仿宋"/>
          <w:b/>
          <w:sz w:val="24"/>
          <w:szCs w:val="24"/>
        </w:rPr>
        <w:t>4.1 投标分项报价表</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pStyle w:val="10"/>
        <w:ind w:firstLine="3373" w:firstLineChars="1400"/>
        <w:rPr>
          <w:rFonts w:ascii="仿宋" w:hAnsi="仿宋" w:eastAsia="仿宋" w:cs="仿宋"/>
          <w:b/>
          <w:sz w:val="24"/>
          <w:szCs w:val="24"/>
        </w:rPr>
      </w:pPr>
    </w:p>
    <w:p>
      <w:pPr>
        <w:pStyle w:val="10"/>
        <w:ind w:firstLine="3373" w:firstLineChars="1400"/>
        <w:rPr>
          <w:rFonts w:ascii="仿宋" w:hAnsi="仿宋" w:eastAsia="仿宋" w:cs="仿宋"/>
          <w:b/>
          <w:sz w:val="24"/>
          <w:szCs w:val="24"/>
        </w:rPr>
      </w:pPr>
    </w:p>
    <w:p>
      <w:pPr>
        <w:pStyle w:val="10"/>
        <w:ind w:firstLine="3373" w:firstLineChars="1400"/>
        <w:rPr>
          <w:rFonts w:ascii="仿宋" w:hAnsi="仿宋" w:eastAsia="仿宋" w:cs="仿宋"/>
          <w:b/>
          <w:sz w:val="24"/>
          <w:szCs w:val="24"/>
        </w:rPr>
      </w:pPr>
    </w:p>
    <w:p>
      <w:pPr>
        <w:pStyle w:val="10"/>
        <w:ind w:firstLine="3373" w:firstLineChars="1400"/>
        <w:rPr>
          <w:rFonts w:ascii="仿宋" w:hAnsi="仿宋" w:eastAsia="仿宋" w:cs="仿宋"/>
          <w:b/>
          <w:sz w:val="24"/>
          <w:szCs w:val="24"/>
        </w:rPr>
      </w:pPr>
    </w:p>
    <w:p>
      <w:pPr>
        <w:spacing w:line="500" w:lineRule="exact"/>
        <w:outlineLvl w:val="0"/>
        <w:rPr>
          <w:rFonts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4.2  工作方案</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pStyle w:val="10"/>
        <w:rPr>
          <w:rFonts w:ascii="仿宋" w:hAnsi="仿宋" w:eastAsia="仿宋" w:cs="仿宋"/>
          <w:b/>
          <w:sz w:val="24"/>
          <w:szCs w:val="24"/>
        </w:rPr>
      </w:pPr>
    </w:p>
    <w:p>
      <w:pPr>
        <w:pStyle w:val="10"/>
        <w:rPr>
          <w:rFonts w:ascii="仿宋" w:hAnsi="仿宋" w:eastAsia="仿宋" w:cs="仿宋"/>
          <w:b/>
          <w:sz w:val="24"/>
          <w:szCs w:val="24"/>
        </w:rPr>
      </w:pPr>
    </w:p>
    <w:p>
      <w:pPr>
        <w:pStyle w:val="10"/>
        <w:rPr>
          <w:rFonts w:ascii="仿宋" w:hAnsi="仿宋" w:eastAsia="仿宋" w:cs="仿宋"/>
          <w:b/>
          <w:sz w:val="24"/>
          <w:szCs w:val="24"/>
        </w:rPr>
      </w:pPr>
    </w:p>
    <w:p>
      <w:pPr>
        <w:pStyle w:val="1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4.3  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 xml:space="preserve"> （根据招标文件规定及投标商自身条件编制）</w:t>
      </w:r>
    </w:p>
    <w:p>
      <w:pPr>
        <w:spacing w:line="500" w:lineRule="exact"/>
        <w:outlineLvl w:val="0"/>
        <w:rPr>
          <w:rFonts w:ascii="仿宋" w:hAnsi="仿宋" w:eastAsia="仿宋" w:cs="仿宋"/>
          <w:b/>
          <w:sz w:val="24"/>
          <w:szCs w:val="24"/>
        </w:rPr>
      </w:pPr>
    </w:p>
    <w:p>
      <w:pPr>
        <w:pStyle w:val="10"/>
        <w:rPr>
          <w:rFonts w:ascii="仿宋" w:hAnsi="仿宋" w:eastAsia="仿宋" w:cs="仿宋"/>
          <w:b/>
          <w:sz w:val="24"/>
          <w:szCs w:val="24"/>
        </w:rPr>
      </w:pPr>
    </w:p>
    <w:p>
      <w:pPr>
        <w:pStyle w:val="1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4.4 拟派本项目组成员情况一览表</w:t>
      </w:r>
    </w:p>
    <w:tbl>
      <w:tblPr>
        <w:tblStyle w:val="23"/>
        <w:tblW w:w="9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980" w:type="dxa"/>
            <w:vAlign w:val="center"/>
          </w:tcPr>
          <w:p>
            <w:pPr>
              <w:rPr>
                <w:rFonts w:ascii="仿宋" w:hAnsi="仿宋" w:eastAsia="仿宋"/>
                <w:sz w:val="24"/>
                <w:szCs w:val="24"/>
              </w:rPr>
            </w:pPr>
            <w:r>
              <w:rPr>
                <w:rFonts w:hint="eastAsia" w:ascii="仿宋" w:hAnsi="仿宋" w:eastAsia="仿宋"/>
                <w:sz w:val="24"/>
                <w:szCs w:val="24"/>
              </w:rPr>
              <w:t>姓名</w:t>
            </w:r>
          </w:p>
        </w:tc>
        <w:tc>
          <w:tcPr>
            <w:tcW w:w="703" w:type="dxa"/>
            <w:vAlign w:val="center"/>
          </w:tcPr>
          <w:p>
            <w:pPr>
              <w:rPr>
                <w:rFonts w:ascii="仿宋" w:hAnsi="仿宋" w:eastAsia="仿宋"/>
                <w:sz w:val="24"/>
                <w:szCs w:val="24"/>
              </w:rPr>
            </w:pPr>
            <w:r>
              <w:rPr>
                <w:rFonts w:hint="eastAsia" w:ascii="仿宋" w:hAnsi="仿宋" w:eastAsia="仿宋"/>
                <w:sz w:val="24"/>
                <w:szCs w:val="24"/>
              </w:rPr>
              <w:t>年龄</w:t>
            </w:r>
          </w:p>
        </w:tc>
        <w:tc>
          <w:tcPr>
            <w:tcW w:w="1265" w:type="dxa"/>
            <w:vAlign w:val="center"/>
          </w:tcPr>
          <w:p>
            <w:pPr>
              <w:rPr>
                <w:rFonts w:ascii="仿宋" w:hAnsi="仿宋" w:eastAsia="仿宋"/>
                <w:sz w:val="24"/>
                <w:szCs w:val="24"/>
              </w:rPr>
            </w:pPr>
            <w:r>
              <w:rPr>
                <w:rFonts w:hint="eastAsia" w:ascii="仿宋" w:hAnsi="仿宋" w:eastAsia="仿宋"/>
                <w:sz w:val="24"/>
                <w:szCs w:val="24"/>
              </w:rPr>
              <w:t>学历</w:t>
            </w:r>
          </w:p>
        </w:tc>
        <w:tc>
          <w:tcPr>
            <w:tcW w:w="1513" w:type="dxa"/>
            <w:vAlign w:val="center"/>
          </w:tcPr>
          <w:p>
            <w:pPr>
              <w:rPr>
                <w:rFonts w:ascii="仿宋" w:hAnsi="仿宋" w:eastAsia="仿宋"/>
                <w:sz w:val="24"/>
                <w:szCs w:val="24"/>
              </w:rPr>
            </w:pPr>
            <w:r>
              <w:rPr>
                <w:rFonts w:hint="eastAsia" w:ascii="仿宋" w:hAnsi="仿宋" w:eastAsia="仿宋"/>
                <w:sz w:val="24"/>
                <w:szCs w:val="24"/>
              </w:rPr>
              <w:t>职称</w:t>
            </w:r>
          </w:p>
        </w:tc>
        <w:tc>
          <w:tcPr>
            <w:tcW w:w="1564" w:type="dxa"/>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r>
              <w:rPr>
                <w:rFonts w:eastAsia="仿宋"/>
                <w:sz w:val="24"/>
                <w:szCs w:val="24"/>
              </w:rPr>
              <w:t> </w:t>
            </w: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outlineLvl w:val="0"/>
        <w:rPr>
          <w:rFonts w:hAnsi="宋体" w:eastAsia="宋体"/>
          <w:b/>
          <w:snapToGrid w:val="0"/>
          <w:kern w:val="0"/>
          <w:sz w:val="36"/>
          <w:szCs w:val="36"/>
        </w:rPr>
      </w:pPr>
    </w:p>
    <w:p>
      <w:pPr>
        <w:pStyle w:val="21"/>
        <w:ind w:firstLine="361"/>
        <w:rPr>
          <w:rFonts w:hAnsi="宋体"/>
          <w:b/>
          <w:snapToGrid w:val="0"/>
          <w:sz w:val="36"/>
          <w:szCs w:val="36"/>
        </w:rPr>
      </w:pPr>
    </w:p>
    <w:p>
      <w:pPr>
        <w:pStyle w:val="22"/>
        <w:ind w:firstLine="723"/>
        <w:rPr>
          <w:rFonts w:hAnsi="宋体"/>
          <w:b/>
          <w:snapToGrid w:val="0"/>
          <w:kern w:val="0"/>
          <w:sz w:val="36"/>
          <w:szCs w:val="36"/>
        </w:rPr>
      </w:pPr>
    </w:p>
    <w:p>
      <w:pPr>
        <w:pStyle w:val="21"/>
        <w:ind w:firstLine="0" w:firstLineChars="0"/>
      </w:pPr>
    </w:p>
    <w:p>
      <w:pPr>
        <w:pStyle w:val="21"/>
        <w:ind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1"/>
        <w:ind w:firstLine="240"/>
        <w:rPr>
          <w:rFonts w:cs="宋体" w:asciiTheme="minorEastAsia" w:hAnsiTheme="minorEastAsia"/>
          <w:sz w:val="24"/>
          <w:szCs w:val="24"/>
          <w:lang w:val="zh-CN"/>
        </w:rPr>
      </w:pPr>
    </w:p>
    <w:p>
      <w:pPr>
        <w:pStyle w:val="22"/>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EBADDBC"/>
    <w:multiLevelType w:val="singleLevel"/>
    <w:tmpl w:val="0EBADDBC"/>
    <w:lvl w:ilvl="0" w:tentative="0">
      <w:start w:val="4"/>
      <w:numFmt w:val="decimal"/>
      <w:suff w:val="nothing"/>
      <w:lvlText w:val="（%1）"/>
      <w:lvlJc w:val="left"/>
      <w:pPr>
        <w:ind w:left="480" w:firstLine="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5C5E5ABF"/>
    <w:multiLevelType w:val="singleLevel"/>
    <w:tmpl w:val="5C5E5ABF"/>
    <w:lvl w:ilvl="0" w:tentative="0">
      <w:start w:val="2"/>
      <w:numFmt w:val="chineseCounting"/>
      <w:suff w:val="nothing"/>
      <w:lvlText w:val="%1、"/>
      <w:lvlJc w:val="left"/>
      <w:rPr>
        <w:rFonts w:hint="eastAsia"/>
      </w:rPr>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3"/>
  </w:num>
  <w:num w:numId="7">
    <w:abstractNumId w:val="9"/>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1B0F"/>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170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1A777D3"/>
    <w:rsid w:val="027C7D92"/>
    <w:rsid w:val="027E3612"/>
    <w:rsid w:val="028F2D07"/>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9E74C1"/>
    <w:rsid w:val="11C23651"/>
    <w:rsid w:val="11E13F76"/>
    <w:rsid w:val="11E26AF3"/>
    <w:rsid w:val="12677A21"/>
    <w:rsid w:val="129267D1"/>
    <w:rsid w:val="12C422CE"/>
    <w:rsid w:val="133A18D1"/>
    <w:rsid w:val="13EB69AF"/>
    <w:rsid w:val="13EF7D11"/>
    <w:rsid w:val="140778EB"/>
    <w:rsid w:val="14AF5CC8"/>
    <w:rsid w:val="15456733"/>
    <w:rsid w:val="158908A7"/>
    <w:rsid w:val="158E318D"/>
    <w:rsid w:val="160708E9"/>
    <w:rsid w:val="160E3E81"/>
    <w:rsid w:val="16EE4E99"/>
    <w:rsid w:val="171E620C"/>
    <w:rsid w:val="17A87F25"/>
    <w:rsid w:val="17C161F9"/>
    <w:rsid w:val="17E240FD"/>
    <w:rsid w:val="17F27C17"/>
    <w:rsid w:val="183965F3"/>
    <w:rsid w:val="189035FD"/>
    <w:rsid w:val="18C769E5"/>
    <w:rsid w:val="18D55096"/>
    <w:rsid w:val="18E30A17"/>
    <w:rsid w:val="194C1AA6"/>
    <w:rsid w:val="198348D6"/>
    <w:rsid w:val="1A08396D"/>
    <w:rsid w:val="1A146B1D"/>
    <w:rsid w:val="1A2568F5"/>
    <w:rsid w:val="1AFBFFDD"/>
    <w:rsid w:val="1B1653FD"/>
    <w:rsid w:val="1B785CA6"/>
    <w:rsid w:val="1B8A2805"/>
    <w:rsid w:val="1BA636FD"/>
    <w:rsid w:val="1BC2665F"/>
    <w:rsid w:val="1BDD2BF4"/>
    <w:rsid w:val="1C003DF9"/>
    <w:rsid w:val="1C2D1536"/>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D6205D"/>
    <w:rsid w:val="39984BA7"/>
    <w:rsid w:val="39FD28B4"/>
    <w:rsid w:val="3AC47AB6"/>
    <w:rsid w:val="3ADD0A2E"/>
    <w:rsid w:val="3B4B38A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6A36091"/>
    <w:rsid w:val="477C4489"/>
    <w:rsid w:val="477E79DB"/>
    <w:rsid w:val="48BB1E61"/>
    <w:rsid w:val="48E44347"/>
    <w:rsid w:val="4A6B5A69"/>
    <w:rsid w:val="4AB4093D"/>
    <w:rsid w:val="4AE22F4C"/>
    <w:rsid w:val="4B536EA5"/>
    <w:rsid w:val="4B5A0EED"/>
    <w:rsid w:val="4C965BE0"/>
    <w:rsid w:val="4CA91082"/>
    <w:rsid w:val="4D5E54DA"/>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2D6BBD"/>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5F17EF5"/>
    <w:rsid w:val="76B11983"/>
    <w:rsid w:val="76CC7C86"/>
    <w:rsid w:val="774700AD"/>
    <w:rsid w:val="777A3042"/>
    <w:rsid w:val="777E0158"/>
    <w:rsid w:val="788A0F31"/>
    <w:rsid w:val="78DF6C14"/>
    <w:rsid w:val="78F56DD8"/>
    <w:rsid w:val="7A77760E"/>
    <w:rsid w:val="7AB008B6"/>
    <w:rsid w:val="7AC70899"/>
    <w:rsid w:val="7B3F7553"/>
    <w:rsid w:val="7B6F304C"/>
    <w:rsid w:val="7B7986D1"/>
    <w:rsid w:val="7B877587"/>
    <w:rsid w:val="7CED067D"/>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10"/>
    <w:semiHidden/>
    <w:qFormat/>
    <w:uiPriority w:val="99"/>
  </w:style>
  <w:style w:type="character" w:customStyle="1" w:styleId="54">
    <w:name w:val="正文首行缩进 Char"/>
    <w:basedOn w:val="53"/>
    <w:link w:val="21"/>
    <w:qFormat/>
    <w:uiPriority w:val="0"/>
    <w:rPr>
      <w:rFonts w:ascii="宋体" w:hAnsi="Times New Roman" w:eastAsia="宋体" w:cs="Times New Roman"/>
      <w:kern w:val="0"/>
      <w:sz w:val="34"/>
      <w:szCs w:val="20"/>
    </w:rPr>
  </w:style>
  <w:style w:type="character" w:customStyle="1" w:styleId="55">
    <w:name w:val="HTML 预设格式 Char"/>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67</Pages>
  <Words>5456</Words>
  <Characters>31100</Characters>
  <Lines>259</Lines>
  <Paragraphs>72</Paragraphs>
  <TotalTime>52</TotalTime>
  <ScaleCrop>false</ScaleCrop>
  <LinksUpToDate>false</LinksUpToDate>
  <CharactersWithSpaces>36484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2019-11-13T08:25:00Z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