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spacing w:line="600" w:lineRule="exact"/>
        <w:jc w:val="center"/>
        <w:rPr>
          <w:rFonts w:hint="eastAsia" w:eastAsiaTheme="minorEastAsia"/>
          <w:b/>
          <w:bCs/>
          <w:sz w:val="44"/>
          <w:szCs w:val="44"/>
          <w:lang w:eastAsia="zh-CN"/>
        </w:rPr>
      </w:pPr>
      <w:r>
        <w:rPr>
          <w:b/>
          <w:bCs/>
          <w:sz w:val="44"/>
          <w:szCs w:val="44"/>
        </w:rPr>
        <w:t>禹州市</w:t>
      </w:r>
      <w:r>
        <w:rPr>
          <w:rFonts w:hint="eastAsia"/>
          <w:b/>
          <w:bCs/>
          <w:sz w:val="44"/>
          <w:szCs w:val="44"/>
          <w:lang w:val="en-US" w:eastAsia="zh-CN"/>
        </w:rPr>
        <w:t>文化广电和旅游局星级农家乐奖励</w:t>
      </w:r>
      <w:r>
        <w:rPr>
          <w:b/>
          <w:bCs/>
          <w:sz w:val="44"/>
          <w:szCs w:val="44"/>
        </w:rPr>
        <w:t>项目</w:t>
      </w:r>
      <w:r>
        <w:rPr>
          <w:rFonts w:hint="eastAsia"/>
          <w:b/>
          <w:bCs/>
          <w:sz w:val="44"/>
          <w:szCs w:val="44"/>
          <w:lang w:eastAsia="zh-CN"/>
        </w:rPr>
        <w:t>（</w:t>
      </w:r>
      <w:r>
        <w:rPr>
          <w:rFonts w:hint="eastAsia"/>
          <w:b/>
          <w:bCs/>
          <w:sz w:val="44"/>
          <w:szCs w:val="44"/>
          <w:lang w:val="en-US" w:eastAsia="zh-CN"/>
        </w:rPr>
        <w:t>二次</w:t>
      </w:r>
      <w:r>
        <w:rPr>
          <w:rFonts w:hint="eastAsia"/>
          <w:b/>
          <w:bCs/>
          <w:sz w:val="44"/>
          <w:szCs w:val="44"/>
          <w:lang w:eastAsia="zh-CN"/>
        </w:rPr>
        <w:t>）</w:t>
      </w: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p>
    <w:p>
      <w:pPr>
        <w:jc w:val="center"/>
        <w:rPr>
          <w:rFonts w:ascii="华文隶书" w:eastAsia="华文隶书"/>
          <w:b/>
          <w:w w:val="90"/>
          <w:sz w:val="56"/>
          <w:szCs w:val="56"/>
        </w:rPr>
      </w:pPr>
      <w:r>
        <w:rPr>
          <w:rFonts w:hint="eastAsia" w:ascii="华文隶书" w:eastAsia="华文隶书"/>
          <w:b/>
          <w:w w:val="90"/>
          <w:sz w:val="56"/>
          <w:szCs w:val="56"/>
        </w:rPr>
        <w:t>询  价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bCs/>
          <w:sz w:val="36"/>
          <w:szCs w:val="36"/>
          <w:lang w:val="en-US"/>
        </w:rPr>
      </w:pPr>
      <w:r>
        <w:rPr>
          <w:rFonts w:hint="eastAsia" w:asciiTheme="majorEastAsia" w:hAnsiTheme="majorEastAsia" w:eastAsiaTheme="majorEastAsia" w:cstheme="majorEastAsia"/>
          <w:b/>
          <w:bCs/>
          <w:sz w:val="36"/>
          <w:szCs w:val="36"/>
        </w:rPr>
        <w:t xml:space="preserve">      采购编号：YZCG-X2019</w:t>
      </w:r>
      <w:r>
        <w:rPr>
          <w:rFonts w:hint="eastAsia" w:asciiTheme="majorEastAsia" w:hAnsiTheme="majorEastAsia" w:eastAsiaTheme="majorEastAsia" w:cstheme="majorEastAsia"/>
          <w:b/>
          <w:bCs/>
          <w:sz w:val="36"/>
          <w:szCs w:val="36"/>
          <w:lang w:val="en-US" w:eastAsia="zh-CN"/>
        </w:rPr>
        <w:t>275-1</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采购单位：禹州市</w:t>
      </w:r>
      <w:r>
        <w:rPr>
          <w:rFonts w:hint="eastAsia" w:asciiTheme="majorEastAsia" w:hAnsiTheme="majorEastAsia" w:eastAsiaTheme="majorEastAsia" w:cstheme="majorEastAsia"/>
          <w:b/>
          <w:bCs/>
          <w:sz w:val="36"/>
          <w:szCs w:val="36"/>
          <w:lang w:val="en-US" w:eastAsia="zh-CN"/>
        </w:rPr>
        <w:t>文化广电和旅游局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val="en-US" w:eastAsia="zh-CN"/>
        </w:rPr>
        <w:t>十一</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adjustRightInd w:val="0"/>
        <w:snapToGrid w:val="0"/>
        <w:spacing w:line="360" w:lineRule="auto"/>
        <w:ind w:firstLine="840" w:firstLineChars="400"/>
        <w:jc w:val="left"/>
        <w:rPr>
          <w:rFonts w:ascii="宋体" w:hAnsi="宋体"/>
          <w:szCs w:val="21"/>
        </w:rPr>
      </w:pPr>
    </w:p>
    <w:p>
      <w:pPr>
        <w:spacing w:line="600" w:lineRule="exact"/>
        <w:jc w:val="center"/>
        <w:rPr>
          <w:rFonts w:hint="eastAsia" w:eastAsiaTheme="minorEastAsia"/>
          <w:b/>
          <w:bCs/>
          <w:sz w:val="44"/>
          <w:szCs w:val="44"/>
          <w:lang w:eastAsia="zh-CN"/>
        </w:rPr>
      </w:pPr>
      <w:r>
        <w:rPr>
          <w:b/>
          <w:bCs/>
          <w:sz w:val="44"/>
          <w:szCs w:val="44"/>
        </w:rPr>
        <w:t>禹州市</w:t>
      </w:r>
      <w:r>
        <w:rPr>
          <w:rFonts w:hint="eastAsia"/>
          <w:b/>
          <w:bCs/>
          <w:sz w:val="44"/>
          <w:szCs w:val="44"/>
          <w:lang w:val="en-US" w:eastAsia="zh-CN"/>
        </w:rPr>
        <w:t>文化广电和旅游局星级农家乐奖励</w:t>
      </w:r>
      <w:r>
        <w:rPr>
          <w:b/>
          <w:bCs/>
          <w:sz w:val="44"/>
          <w:szCs w:val="44"/>
        </w:rPr>
        <w:t>项目</w:t>
      </w:r>
      <w:r>
        <w:rPr>
          <w:rFonts w:hint="eastAsia"/>
          <w:b/>
          <w:bCs/>
          <w:sz w:val="44"/>
          <w:szCs w:val="44"/>
          <w:lang w:eastAsia="zh-CN"/>
        </w:rPr>
        <w:t>（</w:t>
      </w:r>
      <w:r>
        <w:rPr>
          <w:rFonts w:hint="eastAsia"/>
          <w:b/>
          <w:bCs/>
          <w:sz w:val="44"/>
          <w:szCs w:val="44"/>
          <w:lang w:val="en-US" w:eastAsia="zh-CN"/>
        </w:rPr>
        <w:t>二次</w:t>
      </w:r>
      <w:r>
        <w:rPr>
          <w:rFonts w:hint="eastAsia"/>
          <w:b/>
          <w:bCs/>
          <w:sz w:val="44"/>
          <w:szCs w:val="44"/>
          <w:lang w:eastAsia="zh-CN"/>
        </w:rPr>
        <w:t>）</w:t>
      </w:r>
    </w:p>
    <w:p>
      <w:pPr>
        <w:spacing w:line="600" w:lineRule="exact"/>
        <w:jc w:val="center"/>
        <w:rPr>
          <w:rFonts w:hint="eastAsia" w:eastAsiaTheme="minorEastAsia"/>
          <w:b/>
          <w:bCs/>
          <w:sz w:val="44"/>
          <w:szCs w:val="44"/>
          <w:lang w:eastAsia="zh-CN"/>
        </w:rPr>
      </w:pPr>
      <w:r>
        <w:rPr>
          <w:rFonts w:hint="eastAsia"/>
          <w:b/>
          <w:bCs/>
          <w:sz w:val="44"/>
          <w:szCs w:val="44"/>
        </w:rPr>
        <w:t>询价</w:t>
      </w:r>
      <w:r>
        <w:rPr>
          <w:rFonts w:hint="eastAsia"/>
          <w:b/>
          <w:bCs/>
          <w:sz w:val="44"/>
          <w:szCs w:val="44"/>
          <w:lang w:val="en-US" w:eastAsia="zh-CN"/>
        </w:rPr>
        <w:t>邀请函</w:t>
      </w:r>
    </w:p>
    <w:p>
      <w:pPr>
        <w:spacing w:line="600" w:lineRule="exact"/>
        <w:jc w:val="center"/>
        <w:rPr>
          <w:b/>
          <w:bCs/>
          <w:sz w:val="44"/>
          <w:szCs w:val="44"/>
        </w:rPr>
      </w:pPr>
    </w:p>
    <w:p>
      <w:pPr>
        <w:spacing w:line="44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禹州市政府采购中心受</w:t>
      </w:r>
      <w:r>
        <w:rPr>
          <w:rFonts w:hint="eastAsia" w:ascii="仿宋" w:hAnsi="仿宋" w:eastAsia="仿宋" w:cs="仿宋"/>
          <w:sz w:val="32"/>
          <w:szCs w:val="32"/>
        </w:rPr>
        <w:t>禹州市</w:t>
      </w:r>
      <w:r>
        <w:rPr>
          <w:rFonts w:hint="eastAsia" w:ascii="仿宋" w:hAnsi="仿宋" w:eastAsia="仿宋" w:cs="仿宋"/>
          <w:sz w:val="32"/>
          <w:szCs w:val="32"/>
          <w:lang w:val="en-US" w:eastAsia="zh-CN"/>
        </w:rPr>
        <w:t>文化广电和旅游局</w:t>
      </w:r>
      <w:r>
        <w:rPr>
          <w:rFonts w:hint="eastAsia" w:ascii="仿宋" w:hAnsi="仿宋" w:eastAsia="仿宋" w:cs="仿宋_GB2312"/>
          <w:sz w:val="32"/>
          <w:szCs w:val="32"/>
        </w:rPr>
        <w:t>的委托，就“禹州市</w:t>
      </w:r>
      <w:r>
        <w:rPr>
          <w:rFonts w:hint="eastAsia" w:ascii="仿宋" w:hAnsi="仿宋" w:eastAsia="仿宋" w:cs="仿宋_GB2312"/>
          <w:sz w:val="32"/>
          <w:szCs w:val="32"/>
          <w:lang w:val="en-US" w:eastAsia="zh-CN"/>
        </w:rPr>
        <w:t>文化广电和旅游局星级农家乐奖励</w:t>
      </w:r>
      <w:r>
        <w:rPr>
          <w:rFonts w:hint="eastAsia" w:ascii="仿宋" w:hAnsi="仿宋" w:eastAsia="仿宋" w:cs="仿宋_GB2312"/>
          <w:sz w:val="32"/>
          <w:szCs w:val="32"/>
        </w:rPr>
        <w:t>项目</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二次</w:t>
      </w:r>
      <w:r>
        <w:rPr>
          <w:rFonts w:hint="eastAsia" w:ascii="仿宋" w:hAnsi="仿宋" w:eastAsia="仿宋" w:cs="仿宋_GB2312"/>
          <w:sz w:val="32"/>
          <w:szCs w:val="32"/>
          <w:lang w:eastAsia="zh-CN"/>
        </w:rPr>
        <w:t>）</w:t>
      </w:r>
      <w:r>
        <w:rPr>
          <w:rFonts w:hint="eastAsia" w:ascii="仿宋" w:hAnsi="仿宋" w:eastAsia="仿宋" w:cs="仿宋_GB2312"/>
          <w:sz w:val="32"/>
          <w:szCs w:val="32"/>
        </w:rPr>
        <w:t>”进行询价，欢迎合格的投标人前来投标。</w:t>
      </w:r>
    </w:p>
    <w:p>
      <w:pPr>
        <w:widowControl/>
        <w:numPr>
          <w:ilvl w:val="0"/>
          <w:numId w:val="4"/>
        </w:numPr>
        <w:shd w:val="clear" w:color="auto" w:fill="FFFFFF"/>
        <w:spacing w:line="440" w:lineRule="exact"/>
        <w:ind w:firstLine="482"/>
        <w:jc w:val="left"/>
        <w:rPr>
          <w:rFonts w:ascii="黑体" w:hAnsi="黑体" w:eastAsia="黑体" w:cs="Arial"/>
          <w:b/>
          <w:color w:val="000000"/>
          <w:kern w:val="0"/>
          <w:sz w:val="32"/>
          <w:szCs w:val="32"/>
        </w:rPr>
      </w:pPr>
      <w:r>
        <w:rPr>
          <w:rFonts w:ascii="黑体" w:hAnsi="黑体" w:eastAsia="黑体" w:cs="Arial"/>
          <w:b/>
          <w:color w:val="000000"/>
          <w:kern w:val="0"/>
          <w:sz w:val="32"/>
          <w:szCs w:val="32"/>
        </w:rPr>
        <w:t>项目基本情况</w:t>
      </w:r>
    </w:p>
    <w:p>
      <w:pPr>
        <w:widowControl/>
        <w:shd w:val="clear" w:color="auto" w:fill="FFFFFF"/>
        <w:spacing w:line="440" w:lineRule="exact"/>
        <w:jc w:val="left"/>
        <w:rPr>
          <w:rFonts w:ascii="仿宋" w:hAnsi="仿宋" w:eastAsia="仿宋" w:cs="仿宋"/>
          <w:sz w:val="32"/>
          <w:szCs w:val="32"/>
        </w:rPr>
      </w:pPr>
      <w:r>
        <w:rPr>
          <w:rFonts w:hint="eastAsia" w:ascii="黑体" w:hAnsi="黑体" w:eastAsia="黑体" w:cs="Arial"/>
          <w:b/>
          <w:color w:val="000000"/>
          <w:kern w:val="0"/>
          <w:sz w:val="32"/>
          <w:szCs w:val="32"/>
        </w:rPr>
        <w:t xml:space="preserve">  </w:t>
      </w:r>
      <w:r>
        <w:rPr>
          <w:rFonts w:hint="eastAsia" w:ascii="仿宋" w:hAnsi="仿宋" w:eastAsia="仿宋" w:cs="仿宋_GB2312"/>
          <w:sz w:val="32"/>
          <w:szCs w:val="32"/>
        </w:rPr>
        <w:t xml:space="preserve"> 1、采购人：禹州市</w:t>
      </w:r>
      <w:r>
        <w:rPr>
          <w:rFonts w:hint="eastAsia" w:ascii="仿宋" w:hAnsi="仿宋" w:eastAsia="仿宋" w:cs="仿宋_GB2312"/>
          <w:sz w:val="32"/>
          <w:szCs w:val="32"/>
          <w:lang w:val="en-US" w:eastAsia="zh-CN"/>
        </w:rPr>
        <w:t>文化广电和旅游局</w:t>
      </w:r>
      <w:r>
        <w:rPr>
          <w:rFonts w:ascii="仿宋" w:hAnsi="仿宋" w:eastAsia="仿宋" w:cs="仿宋"/>
          <w:sz w:val="32"/>
          <w:szCs w:val="32"/>
        </w:rPr>
        <w:t xml:space="preserve"> </w:t>
      </w:r>
    </w:p>
    <w:p>
      <w:pPr>
        <w:widowControl/>
        <w:shd w:val="clear" w:color="auto" w:fill="FFFFFF"/>
        <w:spacing w:line="440" w:lineRule="exact"/>
        <w:ind w:left="420" w:leftChars="200"/>
        <w:jc w:val="left"/>
        <w:rPr>
          <w:rFonts w:hint="eastAsia" w:ascii="仿宋" w:hAnsi="仿宋" w:eastAsia="仿宋" w:cs="Arial"/>
          <w:color w:val="000000"/>
          <w:kern w:val="0"/>
          <w:sz w:val="32"/>
          <w:szCs w:val="32"/>
          <w:lang w:eastAsia="zh-CN"/>
        </w:rPr>
      </w:pPr>
      <w:r>
        <w:rPr>
          <w:rFonts w:hint="eastAsia" w:ascii="仿宋" w:hAnsi="仿宋" w:eastAsia="仿宋" w:cs="Arial"/>
          <w:color w:val="000000"/>
          <w:kern w:val="0"/>
          <w:sz w:val="32"/>
          <w:szCs w:val="32"/>
        </w:rPr>
        <w:t>2、</w:t>
      </w:r>
      <w:r>
        <w:rPr>
          <w:rFonts w:ascii="仿宋" w:hAnsi="仿宋" w:eastAsia="仿宋" w:cs="Arial"/>
          <w:color w:val="000000"/>
          <w:kern w:val="0"/>
          <w:sz w:val="32"/>
          <w:szCs w:val="32"/>
        </w:rPr>
        <w:t>项目名称：</w:t>
      </w:r>
      <w:r>
        <w:rPr>
          <w:rFonts w:hint="eastAsia" w:ascii="仿宋" w:hAnsi="仿宋" w:eastAsia="仿宋" w:cs="Arial"/>
          <w:color w:val="000000"/>
          <w:kern w:val="0"/>
          <w:sz w:val="32"/>
          <w:szCs w:val="32"/>
        </w:rPr>
        <w:t>禹州市</w:t>
      </w:r>
      <w:r>
        <w:rPr>
          <w:rFonts w:hint="eastAsia" w:ascii="仿宋" w:hAnsi="仿宋" w:eastAsia="仿宋" w:cs="Arial"/>
          <w:color w:val="000000"/>
          <w:kern w:val="0"/>
          <w:sz w:val="32"/>
          <w:szCs w:val="32"/>
          <w:lang w:val="en-US" w:eastAsia="zh-CN"/>
        </w:rPr>
        <w:t>文化广电和旅游局星级农家乐奖励</w:t>
      </w:r>
      <w:r>
        <w:rPr>
          <w:rFonts w:hint="eastAsia" w:ascii="仿宋" w:hAnsi="仿宋" w:eastAsia="仿宋" w:cs="Arial"/>
          <w:color w:val="000000"/>
          <w:kern w:val="0"/>
          <w:sz w:val="32"/>
          <w:szCs w:val="32"/>
        </w:rPr>
        <w:t>项目</w:t>
      </w:r>
      <w:r>
        <w:rPr>
          <w:rFonts w:hint="eastAsia" w:ascii="仿宋" w:hAnsi="仿宋" w:eastAsia="仿宋" w:cs="Arial"/>
          <w:color w:val="000000"/>
          <w:kern w:val="0"/>
          <w:sz w:val="32"/>
          <w:szCs w:val="32"/>
          <w:lang w:eastAsia="zh-CN"/>
        </w:rPr>
        <w:t>（</w:t>
      </w:r>
      <w:r>
        <w:rPr>
          <w:rFonts w:hint="eastAsia" w:ascii="仿宋" w:hAnsi="仿宋" w:eastAsia="仿宋" w:cs="Arial"/>
          <w:color w:val="000000"/>
          <w:kern w:val="0"/>
          <w:sz w:val="32"/>
          <w:szCs w:val="32"/>
          <w:lang w:val="en-US" w:eastAsia="zh-CN"/>
        </w:rPr>
        <w:t>二次</w:t>
      </w:r>
      <w:r>
        <w:rPr>
          <w:rFonts w:hint="eastAsia" w:ascii="仿宋" w:hAnsi="仿宋" w:eastAsia="仿宋" w:cs="Arial"/>
          <w:color w:val="000000"/>
          <w:kern w:val="0"/>
          <w:sz w:val="32"/>
          <w:szCs w:val="32"/>
          <w:lang w:eastAsia="zh-CN"/>
        </w:rPr>
        <w:t>）</w:t>
      </w:r>
    </w:p>
    <w:p>
      <w:pPr>
        <w:widowControl/>
        <w:shd w:val="clear" w:color="auto" w:fill="FFFFFF"/>
        <w:spacing w:line="440" w:lineRule="exact"/>
        <w:ind w:left="420" w:leftChars="200"/>
        <w:jc w:val="left"/>
        <w:rPr>
          <w:rFonts w:hint="default" w:ascii="仿宋" w:hAnsi="仿宋" w:eastAsia="仿宋" w:cs="仿宋_GB2312"/>
          <w:sz w:val="32"/>
          <w:szCs w:val="32"/>
          <w:lang w:val="en-US" w:eastAsia="zh-CN"/>
        </w:rPr>
      </w:pPr>
      <w:r>
        <w:rPr>
          <w:rFonts w:hint="eastAsia" w:ascii="仿宋" w:hAnsi="仿宋" w:eastAsia="仿宋" w:cs="Arial"/>
          <w:color w:val="000000"/>
          <w:kern w:val="0"/>
          <w:sz w:val="32"/>
          <w:szCs w:val="32"/>
        </w:rPr>
        <w:t>3、采购</w:t>
      </w:r>
      <w:r>
        <w:rPr>
          <w:rFonts w:ascii="仿宋" w:hAnsi="仿宋" w:eastAsia="仿宋" w:cs="Arial"/>
          <w:color w:val="000000"/>
          <w:kern w:val="0"/>
          <w:sz w:val="32"/>
          <w:szCs w:val="32"/>
        </w:rPr>
        <w:t>编号：</w:t>
      </w:r>
      <w:r>
        <w:rPr>
          <w:rFonts w:hint="eastAsia" w:ascii="仿宋" w:hAnsi="仿宋" w:eastAsia="仿宋" w:cs="仿宋_GB2312"/>
          <w:sz w:val="32"/>
          <w:szCs w:val="32"/>
        </w:rPr>
        <w:t>YZCG-X2019</w:t>
      </w:r>
      <w:r>
        <w:rPr>
          <w:rFonts w:hint="eastAsia" w:ascii="仿宋" w:hAnsi="仿宋" w:eastAsia="仿宋" w:cs="仿宋_GB2312"/>
          <w:sz w:val="32"/>
          <w:szCs w:val="32"/>
          <w:lang w:val="en-US" w:eastAsia="zh-CN"/>
        </w:rPr>
        <w:t>275-1</w:t>
      </w:r>
    </w:p>
    <w:p>
      <w:pPr>
        <w:widowControl/>
        <w:shd w:val="clear" w:color="auto" w:fill="FFFFFF"/>
        <w:spacing w:line="440" w:lineRule="exact"/>
        <w:ind w:firstLine="482"/>
        <w:jc w:val="left"/>
        <w:rPr>
          <w:rFonts w:ascii="仿宋" w:hAnsi="仿宋" w:eastAsia="仿宋" w:cs="仿宋_GB2312"/>
          <w:sz w:val="32"/>
          <w:szCs w:val="32"/>
        </w:rPr>
      </w:pPr>
      <w:r>
        <w:rPr>
          <w:rFonts w:hint="eastAsia" w:ascii="仿宋" w:hAnsi="仿宋" w:eastAsia="仿宋" w:cs="Arial"/>
          <w:color w:val="000000"/>
          <w:kern w:val="0"/>
          <w:sz w:val="32"/>
          <w:szCs w:val="32"/>
        </w:rPr>
        <w:t>4、</w:t>
      </w:r>
      <w:r>
        <w:rPr>
          <w:rFonts w:ascii="仿宋" w:hAnsi="仿宋" w:eastAsia="仿宋" w:cs="Arial"/>
          <w:color w:val="000000"/>
          <w:kern w:val="0"/>
          <w:sz w:val="32"/>
          <w:szCs w:val="32"/>
        </w:rPr>
        <w:t>项目需求：</w:t>
      </w:r>
      <w:r>
        <w:rPr>
          <w:rFonts w:hint="eastAsia" w:ascii="仿宋" w:hAnsi="仿宋" w:eastAsia="仿宋" w:cs="Arial"/>
          <w:color w:val="000000"/>
          <w:kern w:val="0"/>
          <w:sz w:val="32"/>
          <w:szCs w:val="32"/>
          <w:lang w:val="en-US" w:eastAsia="zh-CN"/>
        </w:rPr>
        <w:t>卧式冰柜80台</w:t>
      </w:r>
      <w:r>
        <w:rPr>
          <w:rFonts w:hint="eastAsia" w:ascii="仿宋" w:hAnsi="仿宋" w:eastAsia="仿宋" w:cs="仿宋_GB2312"/>
          <w:sz w:val="32"/>
          <w:szCs w:val="32"/>
        </w:rPr>
        <w:t>（详见</w:t>
      </w:r>
      <w:r>
        <w:rPr>
          <w:rFonts w:hint="eastAsia" w:ascii="仿宋" w:hAnsi="仿宋" w:eastAsia="仿宋" w:cs="仿宋_GB2312"/>
          <w:sz w:val="32"/>
          <w:szCs w:val="32"/>
          <w:lang w:val="en-US" w:eastAsia="zh-CN"/>
        </w:rPr>
        <w:t>询价</w:t>
      </w:r>
      <w:r>
        <w:rPr>
          <w:rFonts w:hint="eastAsia" w:ascii="仿宋" w:hAnsi="仿宋" w:eastAsia="仿宋" w:cs="仿宋_GB2312"/>
          <w:sz w:val="32"/>
          <w:szCs w:val="32"/>
        </w:rPr>
        <w:t>文件）</w:t>
      </w:r>
    </w:p>
    <w:p>
      <w:pPr>
        <w:widowControl/>
        <w:shd w:val="clear" w:color="auto" w:fill="FFFFFF"/>
        <w:spacing w:line="440" w:lineRule="exact"/>
        <w:ind w:firstLine="482"/>
        <w:jc w:val="left"/>
        <w:rPr>
          <w:rFonts w:ascii="仿宋" w:hAnsi="仿宋" w:eastAsia="仿宋" w:cs="仿宋_GB2312"/>
          <w:sz w:val="32"/>
          <w:szCs w:val="32"/>
        </w:rPr>
      </w:pPr>
      <w:r>
        <w:rPr>
          <w:rFonts w:hint="eastAsia" w:ascii="仿宋" w:hAnsi="仿宋" w:eastAsia="仿宋" w:cs="仿宋_GB2312"/>
          <w:sz w:val="32"/>
          <w:szCs w:val="32"/>
        </w:rPr>
        <w:t>5、采购预算：</w:t>
      </w:r>
      <w:r>
        <w:rPr>
          <w:rFonts w:hint="eastAsia" w:ascii="仿宋" w:hAnsi="仿宋" w:eastAsia="仿宋" w:cs="仿宋_GB2312"/>
          <w:sz w:val="32"/>
          <w:szCs w:val="32"/>
          <w:lang w:val="en-US" w:eastAsia="zh-CN"/>
        </w:rPr>
        <w:t>32</w:t>
      </w:r>
      <w:r>
        <w:rPr>
          <w:rFonts w:hint="eastAsia" w:ascii="仿宋" w:hAnsi="仿宋" w:eastAsia="仿宋" w:cs="仿宋_GB2312"/>
          <w:sz w:val="32"/>
          <w:szCs w:val="32"/>
        </w:rPr>
        <w:t>万元</w:t>
      </w:r>
    </w:p>
    <w:p>
      <w:pPr>
        <w:widowControl/>
        <w:shd w:val="clear" w:color="auto" w:fill="FFFFFF"/>
        <w:spacing w:line="440" w:lineRule="exact"/>
        <w:ind w:firstLine="472" w:firstLineChars="147"/>
        <w:jc w:val="left"/>
        <w:rPr>
          <w:rFonts w:ascii="黑体" w:hAnsi="黑体" w:eastAsia="黑体" w:cs="Arial"/>
          <w:b/>
          <w:color w:val="000000"/>
          <w:kern w:val="0"/>
          <w:sz w:val="32"/>
          <w:szCs w:val="32"/>
        </w:rPr>
      </w:pPr>
      <w:r>
        <w:rPr>
          <w:rFonts w:hint="eastAsia" w:ascii="黑体" w:hAnsi="黑体" w:eastAsia="黑体" w:cs="Arial"/>
          <w:b/>
          <w:color w:val="000000"/>
          <w:kern w:val="0"/>
          <w:sz w:val="32"/>
          <w:szCs w:val="32"/>
        </w:rPr>
        <w:t>二、</w:t>
      </w:r>
      <w:r>
        <w:rPr>
          <w:rFonts w:ascii="黑体" w:hAnsi="黑体" w:eastAsia="黑体" w:cs="Arial"/>
          <w:b/>
          <w:color w:val="000000"/>
          <w:kern w:val="0"/>
          <w:sz w:val="32"/>
          <w:szCs w:val="32"/>
        </w:rPr>
        <w:t>需要落实的政府采购政策</w:t>
      </w:r>
    </w:p>
    <w:p>
      <w:pPr>
        <w:widowControl/>
        <w:shd w:val="clear" w:color="auto" w:fill="FFFFFF"/>
        <w:spacing w:line="440" w:lineRule="exact"/>
        <w:ind w:firstLine="640" w:firstLineChars="200"/>
        <w:jc w:val="left"/>
        <w:rPr>
          <w:rFonts w:ascii="仿宋" w:hAnsi="仿宋" w:eastAsia="仿宋" w:cs="Arial"/>
          <w:color w:val="000000"/>
          <w:kern w:val="0"/>
          <w:sz w:val="32"/>
          <w:szCs w:val="32"/>
        </w:rPr>
      </w:pPr>
      <w:r>
        <w:rPr>
          <w:rFonts w:ascii="仿宋" w:hAnsi="仿宋" w:eastAsia="仿宋" w:cs="Arial"/>
          <w:color w:val="000000"/>
          <w:kern w:val="0"/>
          <w:sz w:val="32"/>
          <w:szCs w:val="32"/>
        </w:rPr>
        <w:t>本项目落实节约能源、保护环境、扶持不发达地区和少数民族地区、促进中小企业、监狱企业发展等政府采购政策。（详见</w:t>
      </w:r>
      <w:r>
        <w:rPr>
          <w:rFonts w:hint="eastAsia" w:ascii="仿宋" w:hAnsi="仿宋" w:eastAsia="仿宋" w:cs="Arial"/>
          <w:color w:val="000000"/>
          <w:kern w:val="0"/>
          <w:sz w:val="32"/>
          <w:szCs w:val="32"/>
          <w:lang w:val="en-US" w:eastAsia="zh-CN"/>
        </w:rPr>
        <w:t>询价</w:t>
      </w:r>
      <w:r>
        <w:rPr>
          <w:rFonts w:ascii="仿宋" w:hAnsi="仿宋" w:eastAsia="仿宋" w:cs="Arial"/>
          <w:color w:val="000000"/>
          <w:kern w:val="0"/>
          <w:sz w:val="32"/>
          <w:szCs w:val="32"/>
        </w:rPr>
        <w:t>文件）</w:t>
      </w:r>
    </w:p>
    <w:p>
      <w:pPr>
        <w:pStyle w:val="43"/>
        <w:widowControl/>
        <w:numPr>
          <w:ilvl w:val="0"/>
          <w:numId w:val="5"/>
        </w:numPr>
        <w:shd w:val="clear" w:color="auto" w:fill="FFFFFF"/>
        <w:spacing w:line="440" w:lineRule="exact"/>
        <w:ind w:firstLineChars="0"/>
        <w:jc w:val="left"/>
        <w:rPr>
          <w:rFonts w:ascii="黑体" w:hAnsi="黑体" w:eastAsia="黑体" w:cs="Arial"/>
          <w:b/>
          <w:color w:val="000000"/>
          <w:kern w:val="0"/>
          <w:sz w:val="32"/>
          <w:szCs w:val="32"/>
        </w:rPr>
      </w:pPr>
      <w:r>
        <w:rPr>
          <w:rFonts w:ascii="黑体" w:hAnsi="黑体" w:eastAsia="黑体" w:cs="Arial"/>
          <w:b/>
          <w:color w:val="000000"/>
          <w:kern w:val="0"/>
          <w:sz w:val="32"/>
          <w:szCs w:val="32"/>
        </w:rPr>
        <w:t>供应商资格要求</w:t>
      </w:r>
    </w:p>
    <w:p>
      <w:pPr>
        <w:widowControl/>
        <w:shd w:val="clear" w:color="auto" w:fill="FFFFFF"/>
        <w:spacing w:line="400" w:lineRule="exact"/>
        <w:ind w:left="482"/>
        <w:jc w:val="left"/>
        <w:rPr>
          <w:rFonts w:ascii="仿宋" w:hAnsi="仿宋" w:eastAsia="仿宋" w:cs="仿宋"/>
          <w:sz w:val="32"/>
          <w:szCs w:val="32"/>
        </w:rPr>
      </w:pPr>
      <w:r>
        <w:rPr>
          <w:rFonts w:hint="eastAsia" w:ascii="仿宋" w:hAnsi="仿宋" w:eastAsia="仿宋" w:cs="仿宋"/>
          <w:sz w:val="32"/>
          <w:szCs w:val="32"/>
        </w:rPr>
        <w:t>1、符合《政府采购法》第二十二条之规定，具有独立法人资格及相应的经营范围（以营业执照为准）；</w:t>
      </w:r>
    </w:p>
    <w:p>
      <w:pPr>
        <w:spacing w:line="400" w:lineRule="exact"/>
        <w:ind w:left="319" w:leftChars="152" w:firstLine="160" w:firstLineChars="50"/>
        <w:rPr>
          <w:rFonts w:ascii="仿宋" w:hAnsi="仿宋" w:eastAsia="仿宋" w:cs="仿宋"/>
          <w:sz w:val="32"/>
          <w:szCs w:val="32"/>
        </w:rPr>
      </w:pPr>
      <w:r>
        <w:rPr>
          <w:rFonts w:hint="eastAsia" w:ascii="仿宋" w:hAnsi="仿宋" w:eastAsia="仿宋" w:cs="仿宋"/>
          <w:sz w:val="32"/>
          <w:szCs w:val="32"/>
        </w:rPr>
        <w:t>2、被委托人须是本单位职工，须提供公司为本人缴纳社会保险证明；</w:t>
      </w:r>
    </w:p>
    <w:p>
      <w:pPr>
        <w:spacing w:line="400" w:lineRule="exact"/>
        <w:ind w:firstLine="320" w:firstLineChars="100"/>
        <w:rPr>
          <w:rFonts w:ascii="仿宋" w:hAnsi="仿宋" w:eastAsia="仿宋" w:cs="仿宋"/>
          <w:sz w:val="32"/>
          <w:szCs w:val="32"/>
        </w:rPr>
      </w:pPr>
      <w:r>
        <w:rPr>
          <w:rFonts w:hint="eastAsia" w:ascii="仿宋" w:hAnsi="仿宋" w:eastAsia="仿宋" w:cs="仿宋"/>
          <w:sz w:val="32"/>
          <w:szCs w:val="32"/>
        </w:rPr>
        <w:t>3、本项目不接受联合体投标。</w:t>
      </w:r>
    </w:p>
    <w:p>
      <w:pPr>
        <w:widowControl/>
        <w:shd w:val="clear" w:color="auto" w:fill="FFFFFF"/>
        <w:spacing w:line="440" w:lineRule="exact"/>
        <w:ind w:firstLine="482"/>
        <w:jc w:val="left"/>
        <w:rPr>
          <w:rFonts w:ascii="黑体" w:hAnsi="黑体" w:eastAsia="黑体" w:cs="Arial"/>
          <w:b/>
          <w:color w:val="000000"/>
          <w:kern w:val="0"/>
          <w:sz w:val="32"/>
          <w:szCs w:val="32"/>
        </w:rPr>
      </w:pPr>
      <w:r>
        <w:rPr>
          <w:rFonts w:ascii="黑体" w:hAnsi="黑体" w:eastAsia="黑体" w:cs="Arial"/>
          <w:b/>
          <w:color w:val="000000"/>
          <w:kern w:val="0"/>
          <w:sz w:val="32"/>
          <w:szCs w:val="32"/>
        </w:rPr>
        <w:t>四、获取</w:t>
      </w:r>
      <w:r>
        <w:rPr>
          <w:rFonts w:hint="eastAsia" w:ascii="黑体" w:hAnsi="黑体" w:eastAsia="黑体" w:cs="Arial"/>
          <w:b/>
          <w:color w:val="000000"/>
          <w:kern w:val="0"/>
          <w:sz w:val="32"/>
          <w:szCs w:val="32"/>
        </w:rPr>
        <w:t>询价</w:t>
      </w:r>
      <w:r>
        <w:rPr>
          <w:rFonts w:ascii="黑体" w:hAnsi="黑体" w:eastAsia="黑体" w:cs="Arial"/>
          <w:b/>
          <w:color w:val="000000"/>
          <w:kern w:val="0"/>
          <w:sz w:val="32"/>
          <w:szCs w:val="32"/>
        </w:rPr>
        <w:t>文件的</w:t>
      </w:r>
      <w:r>
        <w:rPr>
          <w:rFonts w:hint="eastAsia" w:ascii="黑体" w:hAnsi="黑体" w:eastAsia="黑体" w:cs="Arial"/>
          <w:b/>
          <w:color w:val="000000"/>
          <w:kern w:val="0"/>
          <w:sz w:val="32"/>
          <w:szCs w:val="32"/>
        </w:rPr>
        <w:t>方式、时间、</w:t>
      </w:r>
      <w:r>
        <w:rPr>
          <w:rFonts w:ascii="黑体" w:hAnsi="黑体" w:eastAsia="黑体" w:cs="Arial"/>
          <w:b/>
          <w:color w:val="000000"/>
          <w:kern w:val="0"/>
          <w:sz w:val="32"/>
          <w:szCs w:val="32"/>
        </w:rPr>
        <w:t>地点</w:t>
      </w:r>
    </w:p>
    <w:p>
      <w:pPr>
        <w:wordWrap w:val="0"/>
        <w:topLinePunct/>
        <w:snapToGrid w:val="0"/>
        <w:spacing w:line="440" w:lineRule="exact"/>
        <w:ind w:firstLine="640" w:firstLineChars="200"/>
        <w:rPr>
          <w:rFonts w:ascii="仿宋" w:hAnsi="仿宋" w:eastAsia="仿宋" w:cs="宋体"/>
          <w:sz w:val="32"/>
          <w:szCs w:val="32"/>
        </w:rPr>
      </w:pPr>
      <w:r>
        <w:rPr>
          <w:rFonts w:hint="eastAsia" w:ascii="仿宋" w:hAnsi="仿宋" w:eastAsia="仿宋" w:cs="宋体"/>
          <w:sz w:val="32"/>
          <w:szCs w:val="32"/>
        </w:rPr>
        <w:t>1</w:t>
      </w:r>
      <w:r>
        <w:rPr>
          <w:rFonts w:hint="eastAsia" w:ascii="仿宋" w:hAnsi="仿宋" w:eastAsia="仿宋" w:cs="宋体"/>
          <w:sz w:val="32"/>
          <w:szCs w:val="32"/>
          <w:lang w:val="zh-CN"/>
        </w:rPr>
        <w:t>、持</w:t>
      </w:r>
      <w:r>
        <w:rPr>
          <w:rFonts w:hint="eastAsia" w:ascii="仿宋" w:hAnsi="仿宋" w:eastAsia="仿宋" w:cs="宋体"/>
          <w:sz w:val="32"/>
          <w:szCs w:val="32"/>
        </w:rPr>
        <w:t>CA</w:t>
      </w:r>
      <w:r>
        <w:rPr>
          <w:rFonts w:hint="eastAsia" w:ascii="仿宋" w:hAnsi="仿宋" w:eastAsia="仿宋" w:cs="宋体"/>
          <w:sz w:val="32"/>
          <w:szCs w:val="32"/>
          <w:lang w:val="zh-CN"/>
        </w:rPr>
        <w:t>数字认证证书</w:t>
      </w:r>
      <w:r>
        <w:rPr>
          <w:rFonts w:hint="eastAsia" w:ascii="仿宋" w:hAnsi="仿宋" w:eastAsia="仿宋" w:cs="宋体"/>
          <w:sz w:val="32"/>
          <w:szCs w:val="32"/>
        </w:rPr>
        <w:t>，</w:t>
      </w:r>
      <w:r>
        <w:rPr>
          <w:rFonts w:hint="eastAsia" w:ascii="仿宋" w:hAnsi="仿宋" w:eastAsia="仿宋" w:cs="宋体"/>
          <w:sz w:val="32"/>
          <w:szCs w:val="32"/>
          <w:lang w:val="zh-CN"/>
        </w:rPr>
        <w:t>登录</w:t>
      </w:r>
      <w:r>
        <w:rPr>
          <w:rFonts w:hint="eastAsia" w:ascii="仿宋" w:hAnsi="仿宋" w:eastAsia="仿宋" w:cs="宋体"/>
          <w:color w:val="auto"/>
          <w:sz w:val="32"/>
          <w:szCs w:val="32"/>
          <w:u w:val="none"/>
        </w:rPr>
        <w:fldChar w:fldCharType="begin"/>
      </w:r>
      <w:r>
        <w:rPr>
          <w:rFonts w:hint="eastAsia" w:ascii="仿宋" w:hAnsi="仿宋" w:eastAsia="仿宋" w:cs="宋体"/>
          <w:color w:val="auto"/>
          <w:sz w:val="32"/>
          <w:szCs w:val="32"/>
          <w:u w:val="none"/>
        </w:rPr>
        <w:instrText xml:space="preserve"> HYPERLINK "http://221.14.6.70:8088/ggzy/eps/public/RegistAllJcxx.html" </w:instrText>
      </w:r>
      <w:r>
        <w:rPr>
          <w:rFonts w:hint="eastAsia" w:ascii="仿宋" w:hAnsi="仿宋" w:eastAsia="仿宋" w:cs="宋体"/>
          <w:color w:val="auto"/>
          <w:sz w:val="32"/>
          <w:szCs w:val="32"/>
          <w:u w:val="none"/>
        </w:rPr>
        <w:fldChar w:fldCharType="separate"/>
      </w:r>
      <w:r>
        <w:rPr>
          <w:rStyle w:val="27"/>
          <w:rFonts w:hint="eastAsia" w:ascii="仿宋" w:hAnsi="仿宋" w:eastAsia="仿宋" w:cs="宋体"/>
          <w:sz w:val="32"/>
          <w:szCs w:val="32"/>
        </w:rPr>
        <w:t>http://221.14.6.70:8088/ggzy/eps/public/RegistAllJcxx.html</w:t>
      </w:r>
      <w:r>
        <w:rPr>
          <w:rFonts w:hint="eastAsia" w:ascii="仿宋" w:hAnsi="仿宋" w:eastAsia="仿宋" w:cs="宋体"/>
          <w:color w:val="auto"/>
          <w:sz w:val="32"/>
          <w:szCs w:val="32"/>
          <w:u w:val="none"/>
        </w:rPr>
        <w:fldChar w:fldCharType="end"/>
      </w:r>
      <w:r>
        <w:rPr>
          <w:rFonts w:hint="eastAsia" w:ascii="仿宋" w:hAnsi="仿宋" w:eastAsia="仿宋" w:cs="宋体"/>
          <w:sz w:val="32"/>
          <w:szCs w:val="32"/>
          <w:lang w:val="zh-CN"/>
        </w:rPr>
        <w:t>进行免费注册登记</w:t>
      </w:r>
      <w:r>
        <w:rPr>
          <w:rFonts w:hint="eastAsia" w:ascii="仿宋" w:hAnsi="仿宋" w:eastAsia="仿宋" w:cs="宋体"/>
          <w:sz w:val="32"/>
          <w:szCs w:val="32"/>
        </w:rPr>
        <w:t>（</w:t>
      </w:r>
      <w:r>
        <w:rPr>
          <w:rFonts w:hint="eastAsia" w:ascii="仿宋" w:hAnsi="仿宋" w:eastAsia="仿宋" w:cs="宋体"/>
          <w:sz w:val="32"/>
          <w:szCs w:val="32"/>
          <w:lang w:val="zh-CN"/>
        </w:rPr>
        <w:t>详见全国公共资源交易平台</w:t>
      </w:r>
      <w:r>
        <w:rPr>
          <w:rFonts w:hint="eastAsia" w:ascii="仿宋" w:hAnsi="仿宋" w:eastAsia="仿宋" w:cs="宋体"/>
          <w:sz w:val="32"/>
          <w:szCs w:val="32"/>
        </w:rPr>
        <w:t>（</w:t>
      </w:r>
      <w:r>
        <w:rPr>
          <w:rFonts w:hint="eastAsia" w:ascii="仿宋" w:hAnsi="仿宋" w:eastAsia="仿宋" w:cs="宋体"/>
          <w:sz w:val="32"/>
          <w:szCs w:val="32"/>
          <w:lang w:val="zh-CN"/>
        </w:rPr>
        <w:t>河南省</w:t>
      </w:r>
      <w:r>
        <w:rPr>
          <w:rFonts w:hint="eastAsia" w:ascii="仿宋" w:hAnsi="仿宋" w:eastAsia="仿宋" w:cs="宋体"/>
          <w:sz w:val="32"/>
          <w:szCs w:val="32"/>
        </w:rPr>
        <w:t>·</w:t>
      </w:r>
      <w:r>
        <w:rPr>
          <w:rFonts w:hint="eastAsia" w:ascii="仿宋" w:hAnsi="仿宋" w:eastAsia="仿宋" w:cs="宋体"/>
          <w:sz w:val="32"/>
          <w:szCs w:val="32"/>
          <w:lang w:val="zh-CN"/>
        </w:rPr>
        <w:t>许昌市</w:t>
      </w:r>
      <w:r>
        <w:rPr>
          <w:rFonts w:hint="eastAsia" w:ascii="仿宋" w:hAnsi="仿宋" w:eastAsia="仿宋" w:cs="宋体"/>
          <w:sz w:val="32"/>
          <w:szCs w:val="32"/>
        </w:rPr>
        <w:t>）“</w:t>
      </w:r>
      <w:r>
        <w:rPr>
          <w:rFonts w:hint="eastAsia" w:ascii="仿宋" w:hAnsi="仿宋" w:eastAsia="仿宋" w:cs="宋体"/>
          <w:sz w:val="32"/>
          <w:szCs w:val="32"/>
          <w:lang w:val="zh-CN"/>
        </w:rPr>
        <w:t>常见问题解答</w:t>
      </w:r>
      <w:r>
        <w:rPr>
          <w:rFonts w:hint="eastAsia" w:ascii="仿宋" w:hAnsi="仿宋" w:eastAsia="仿宋" w:cs="宋体"/>
          <w:sz w:val="32"/>
          <w:szCs w:val="32"/>
        </w:rPr>
        <w:t>-</w:t>
      </w:r>
      <w:r>
        <w:rPr>
          <w:rFonts w:hint="eastAsia" w:ascii="仿宋" w:hAnsi="仿宋" w:eastAsia="仿宋" w:cs="宋体"/>
          <w:sz w:val="32"/>
          <w:szCs w:val="32"/>
          <w:lang w:val="zh-CN"/>
        </w:rPr>
        <w:t>诚信库网上注册相关资料下载</w:t>
      </w:r>
      <w:r>
        <w:rPr>
          <w:rFonts w:hint="eastAsia" w:ascii="仿宋" w:hAnsi="仿宋" w:eastAsia="仿宋" w:cs="宋体"/>
          <w:sz w:val="32"/>
          <w:szCs w:val="32"/>
        </w:rPr>
        <w:t>”）；</w:t>
      </w:r>
    </w:p>
    <w:p>
      <w:pPr>
        <w:wordWrap w:val="0"/>
        <w:topLinePunct/>
        <w:autoSpaceDE w:val="0"/>
        <w:autoSpaceDN w:val="0"/>
        <w:adjustRightInd w:val="0"/>
        <w:snapToGrid w:val="0"/>
        <w:spacing w:line="440" w:lineRule="exact"/>
        <w:ind w:firstLine="482"/>
        <w:rPr>
          <w:rFonts w:ascii="楷体" w:hAnsi="楷体" w:eastAsia="楷体" w:cs="宋体"/>
          <w:sz w:val="32"/>
          <w:szCs w:val="32"/>
        </w:rPr>
      </w:pPr>
      <w:r>
        <w:rPr>
          <w:rFonts w:hint="eastAsia" w:ascii="仿宋" w:hAnsi="仿宋" w:eastAsia="仿宋" w:cs="宋体"/>
          <w:sz w:val="32"/>
          <w:szCs w:val="32"/>
          <w:lang w:val="zh-CN"/>
        </w:rPr>
        <w:t>　</w:t>
      </w:r>
      <w:r>
        <w:rPr>
          <w:rFonts w:hint="eastAsia" w:ascii="仿宋" w:hAnsi="仿宋" w:eastAsia="仿宋" w:cs="宋体"/>
          <w:sz w:val="32"/>
          <w:szCs w:val="32"/>
        </w:rPr>
        <w:t>2</w:t>
      </w:r>
      <w:r>
        <w:rPr>
          <w:rFonts w:hint="eastAsia" w:ascii="仿宋" w:hAnsi="仿宋" w:eastAsia="仿宋" w:cs="宋体"/>
          <w:sz w:val="32"/>
          <w:szCs w:val="32"/>
          <w:lang w:val="zh-CN"/>
        </w:rPr>
        <w:t>、在投标截止时间前登录</w:t>
      </w:r>
      <w:r>
        <w:fldChar w:fldCharType="begin"/>
      </w:r>
      <w:r>
        <w:instrText xml:space="preserve"> HYPERLINK "360安全浏览器.lnk" </w:instrText>
      </w:r>
      <w:r>
        <w:fldChar w:fldCharType="separate"/>
      </w:r>
      <w:r>
        <w:rPr>
          <w:rStyle w:val="27"/>
          <w:rFonts w:hint="eastAsia" w:ascii="仿宋" w:hAnsi="仿宋" w:eastAsia="仿宋" w:cs="宋体"/>
          <w:sz w:val="32"/>
          <w:szCs w:val="32"/>
        </w:rPr>
        <w:t>http://ggzy.xuchang.gov.cn</w:t>
      </w:r>
      <w:r>
        <w:rPr>
          <w:rStyle w:val="27"/>
          <w:rFonts w:hint="eastAsia" w:ascii="仿宋" w:hAnsi="仿宋" w:eastAsia="仿宋" w:cs="宋体"/>
          <w:sz w:val="32"/>
          <w:szCs w:val="32"/>
        </w:rPr>
        <w:fldChar w:fldCharType="end"/>
      </w:r>
      <w:r>
        <w:rPr>
          <w:rFonts w:hint="eastAsia" w:ascii="仿宋" w:hAnsi="仿宋" w:eastAsia="仿宋" w:cs="宋体"/>
          <w:sz w:val="32"/>
          <w:szCs w:val="32"/>
        </w:rPr>
        <w:t>，</w:t>
      </w:r>
      <w:r>
        <w:rPr>
          <w:rFonts w:hint="eastAsia" w:ascii="仿宋" w:hAnsi="仿宋" w:eastAsia="仿宋" w:cs="宋体"/>
          <w:sz w:val="32"/>
          <w:szCs w:val="32"/>
          <w:lang w:val="zh-CN"/>
        </w:rPr>
        <w:t>自行下载询价文件</w:t>
      </w:r>
      <w:r>
        <w:rPr>
          <w:rFonts w:hint="eastAsia" w:ascii="仿宋" w:hAnsi="仿宋" w:eastAsia="仿宋" w:cs="宋体"/>
          <w:sz w:val="32"/>
          <w:szCs w:val="32"/>
        </w:rPr>
        <w:t>（</w:t>
      </w:r>
      <w:r>
        <w:rPr>
          <w:rFonts w:hint="eastAsia" w:ascii="仿宋" w:hAnsi="仿宋" w:eastAsia="仿宋" w:cs="宋体"/>
          <w:sz w:val="32"/>
          <w:szCs w:val="32"/>
          <w:lang w:val="zh-CN"/>
        </w:rPr>
        <w:t>详见全国公共资源交易平台</w:t>
      </w:r>
      <w:r>
        <w:rPr>
          <w:rFonts w:hint="eastAsia" w:ascii="仿宋" w:hAnsi="仿宋" w:eastAsia="仿宋" w:cs="宋体"/>
          <w:sz w:val="32"/>
          <w:szCs w:val="32"/>
        </w:rPr>
        <w:t>（</w:t>
      </w:r>
      <w:r>
        <w:rPr>
          <w:rFonts w:hint="eastAsia" w:ascii="仿宋" w:hAnsi="仿宋" w:eastAsia="仿宋" w:cs="宋体"/>
          <w:sz w:val="32"/>
          <w:szCs w:val="32"/>
          <w:lang w:val="zh-CN"/>
        </w:rPr>
        <w:t>河南省</w:t>
      </w:r>
      <w:r>
        <w:rPr>
          <w:rFonts w:hint="eastAsia" w:ascii="仿宋" w:hAnsi="仿宋" w:eastAsia="仿宋" w:cs="宋体"/>
          <w:sz w:val="32"/>
          <w:szCs w:val="32"/>
        </w:rPr>
        <w:t>·</w:t>
      </w:r>
      <w:r>
        <w:rPr>
          <w:rFonts w:hint="eastAsia" w:ascii="仿宋" w:hAnsi="仿宋" w:eastAsia="仿宋" w:cs="宋体"/>
          <w:sz w:val="32"/>
          <w:szCs w:val="32"/>
          <w:lang w:val="zh-CN"/>
        </w:rPr>
        <w:t>许昌市</w:t>
      </w:r>
      <w:r>
        <w:rPr>
          <w:rFonts w:hint="eastAsia" w:ascii="仿宋" w:hAnsi="仿宋" w:eastAsia="仿宋" w:cs="宋体"/>
          <w:sz w:val="32"/>
          <w:szCs w:val="32"/>
        </w:rPr>
        <w:t>）“</w:t>
      </w:r>
      <w:r>
        <w:rPr>
          <w:rFonts w:hint="eastAsia" w:ascii="仿宋" w:hAnsi="仿宋" w:eastAsia="仿宋" w:cs="宋体"/>
          <w:sz w:val="32"/>
          <w:szCs w:val="32"/>
          <w:lang w:val="zh-CN"/>
        </w:rPr>
        <w:t>常见问题解答</w:t>
      </w:r>
      <w:r>
        <w:rPr>
          <w:rFonts w:hint="eastAsia" w:ascii="仿宋" w:hAnsi="仿宋" w:eastAsia="仿宋" w:cs="宋体"/>
          <w:sz w:val="32"/>
          <w:szCs w:val="32"/>
        </w:rPr>
        <w:t>-</w:t>
      </w:r>
      <w:r>
        <w:rPr>
          <w:rFonts w:hint="eastAsia" w:ascii="仿宋" w:hAnsi="仿宋" w:eastAsia="仿宋" w:cs="宋体"/>
          <w:sz w:val="32"/>
          <w:szCs w:val="32"/>
          <w:lang w:val="zh-CN"/>
        </w:rPr>
        <w:t>交易系统操作手册</w:t>
      </w:r>
      <w:r>
        <w:rPr>
          <w:rFonts w:hint="eastAsia" w:ascii="仿宋" w:hAnsi="仿宋" w:eastAsia="仿宋" w:cs="宋体"/>
          <w:sz w:val="32"/>
          <w:szCs w:val="32"/>
        </w:rPr>
        <w:t>”）</w:t>
      </w:r>
      <w:r>
        <w:rPr>
          <w:rFonts w:hint="eastAsia" w:ascii="仿宋" w:hAnsi="仿宋" w:eastAsia="仿宋" w:cs="宋体"/>
          <w:sz w:val="32"/>
          <w:szCs w:val="32"/>
          <w:lang w:val="zh-CN"/>
        </w:rPr>
        <w:t>。</w:t>
      </w:r>
    </w:p>
    <w:p>
      <w:pPr>
        <w:spacing w:line="44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3、未通过全国公共资源交易平台（河南省·许昌市）下载询价文件的投标企业，拒收其递交的投标文件。</w:t>
      </w:r>
    </w:p>
    <w:p>
      <w:pPr>
        <w:spacing w:line="440" w:lineRule="exact"/>
        <w:ind w:firstLine="640"/>
        <w:rPr>
          <w:rFonts w:ascii="仿宋" w:hAnsi="仿宋" w:eastAsia="仿宋" w:cs="仿宋_GB2312"/>
          <w:sz w:val="32"/>
          <w:szCs w:val="32"/>
        </w:rPr>
      </w:pPr>
      <w:r>
        <w:rPr>
          <w:rFonts w:hint="eastAsia" w:ascii="仿宋" w:hAnsi="仿宋" w:eastAsia="仿宋" w:cs="仿宋_GB2312"/>
          <w:sz w:val="32"/>
          <w:szCs w:val="32"/>
        </w:rPr>
        <w:t>4、询价文件每份售价人民币300元（开标现场现金收取），于递交投标文件时缴纳给采购代理机构，售后不退。</w:t>
      </w:r>
    </w:p>
    <w:p>
      <w:pPr>
        <w:widowControl/>
        <w:shd w:val="clear" w:color="auto" w:fill="FFFFFF"/>
        <w:spacing w:line="440" w:lineRule="exact"/>
        <w:ind w:firstLine="482"/>
        <w:jc w:val="left"/>
        <w:rPr>
          <w:rFonts w:ascii="黑体" w:hAnsi="黑体" w:eastAsia="黑体" w:cs="Arial"/>
          <w:color w:val="000000"/>
          <w:kern w:val="0"/>
          <w:sz w:val="32"/>
          <w:szCs w:val="32"/>
        </w:rPr>
      </w:pPr>
      <w:r>
        <w:rPr>
          <w:rFonts w:ascii="黑体" w:hAnsi="黑体" w:eastAsia="黑体" w:cs="Arial"/>
          <w:color w:val="000000"/>
          <w:kern w:val="0"/>
          <w:sz w:val="32"/>
          <w:szCs w:val="32"/>
        </w:rPr>
        <w:t>五、</w:t>
      </w:r>
      <w:r>
        <w:rPr>
          <w:rFonts w:hint="eastAsia" w:ascii="黑体" w:hAnsi="黑体" w:eastAsia="黑体" w:cs="Arial"/>
          <w:color w:val="000000"/>
          <w:kern w:val="0"/>
          <w:sz w:val="32"/>
          <w:szCs w:val="32"/>
        </w:rPr>
        <w:t>询价</w:t>
      </w:r>
      <w:r>
        <w:rPr>
          <w:rFonts w:ascii="黑体" w:hAnsi="黑体" w:eastAsia="黑体" w:cs="Arial"/>
          <w:color w:val="000000"/>
          <w:kern w:val="0"/>
          <w:sz w:val="32"/>
          <w:szCs w:val="32"/>
        </w:rPr>
        <w:t>截止时间、</w:t>
      </w:r>
      <w:r>
        <w:rPr>
          <w:rFonts w:hint="eastAsia" w:ascii="黑体" w:hAnsi="黑体" w:eastAsia="黑体" w:cs="Arial"/>
          <w:color w:val="000000"/>
          <w:kern w:val="0"/>
          <w:sz w:val="32"/>
          <w:szCs w:val="32"/>
        </w:rPr>
        <w:t>询价</w:t>
      </w:r>
      <w:r>
        <w:rPr>
          <w:rFonts w:ascii="黑体" w:hAnsi="黑体" w:eastAsia="黑体" w:cs="Arial"/>
          <w:color w:val="000000"/>
          <w:kern w:val="0"/>
          <w:sz w:val="32"/>
          <w:szCs w:val="32"/>
        </w:rPr>
        <w:t>时间及地点：</w:t>
      </w:r>
    </w:p>
    <w:p>
      <w:pPr>
        <w:widowControl/>
        <w:shd w:val="clear" w:color="auto" w:fill="FFFFFF"/>
        <w:spacing w:line="440" w:lineRule="exact"/>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1、询价</w:t>
      </w:r>
      <w:r>
        <w:rPr>
          <w:rFonts w:ascii="仿宋" w:hAnsi="仿宋" w:eastAsia="仿宋" w:cs="Arial"/>
          <w:color w:val="000000"/>
          <w:kern w:val="0"/>
          <w:sz w:val="32"/>
          <w:szCs w:val="32"/>
        </w:rPr>
        <w:t>截止及</w:t>
      </w:r>
      <w:r>
        <w:rPr>
          <w:rFonts w:hint="eastAsia" w:ascii="仿宋" w:hAnsi="仿宋" w:eastAsia="仿宋" w:cs="Arial"/>
          <w:color w:val="000000"/>
          <w:kern w:val="0"/>
          <w:sz w:val="32"/>
          <w:szCs w:val="32"/>
        </w:rPr>
        <w:t>询价</w:t>
      </w:r>
      <w:r>
        <w:rPr>
          <w:rFonts w:ascii="仿宋" w:hAnsi="仿宋" w:eastAsia="仿宋" w:cs="Arial"/>
          <w:color w:val="000000"/>
          <w:kern w:val="0"/>
          <w:sz w:val="32"/>
          <w:szCs w:val="32"/>
        </w:rPr>
        <w:t>时间：</w:t>
      </w:r>
      <w:r>
        <w:rPr>
          <w:rFonts w:hint="eastAsia" w:ascii="仿宋" w:hAnsi="仿宋" w:eastAsia="仿宋" w:cs="Times New Roman"/>
          <w:color w:val="000000"/>
          <w:kern w:val="0"/>
          <w:sz w:val="32"/>
          <w:szCs w:val="32"/>
        </w:rPr>
        <w:t>2019</w:t>
      </w:r>
      <w:r>
        <w:rPr>
          <w:rFonts w:ascii="仿宋" w:hAnsi="仿宋" w:eastAsia="仿宋" w:cs="Arial"/>
          <w:color w:val="000000"/>
          <w:kern w:val="0"/>
          <w:sz w:val="32"/>
          <w:szCs w:val="32"/>
        </w:rPr>
        <w:t>年</w:t>
      </w:r>
      <w:r>
        <w:rPr>
          <w:rFonts w:hint="eastAsia" w:ascii="仿宋" w:hAnsi="仿宋" w:eastAsia="仿宋" w:cs="Arial"/>
          <w:color w:val="000000"/>
          <w:kern w:val="0"/>
          <w:sz w:val="32"/>
          <w:szCs w:val="32"/>
          <w:lang w:val="en-US" w:eastAsia="zh-CN"/>
        </w:rPr>
        <w:t>11</w:t>
      </w:r>
      <w:r>
        <w:rPr>
          <w:rFonts w:ascii="仿宋" w:hAnsi="仿宋" w:eastAsia="仿宋" w:cs="Arial"/>
          <w:color w:val="000000"/>
          <w:kern w:val="0"/>
          <w:sz w:val="32"/>
          <w:szCs w:val="32"/>
        </w:rPr>
        <w:t>月</w:t>
      </w:r>
      <w:r>
        <w:rPr>
          <w:rFonts w:hint="eastAsia" w:ascii="仿宋" w:hAnsi="仿宋" w:eastAsia="仿宋" w:cs="Arial"/>
          <w:color w:val="000000"/>
          <w:kern w:val="0"/>
          <w:sz w:val="32"/>
          <w:szCs w:val="32"/>
          <w:lang w:val="en-US" w:eastAsia="zh-CN"/>
        </w:rPr>
        <w:t>19</w:t>
      </w:r>
      <w:r>
        <w:rPr>
          <w:rFonts w:ascii="仿宋" w:hAnsi="仿宋" w:eastAsia="仿宋" w:cs="Arial"/>
          <w:color w:val="000000"/>
          <w:kern w:val="0"/>
          <w:sz w:val="32"/>
          <w:szCs w:val="32"/>
        </w:rPr>
        <w:t>日</w:t>
      </w:r>
      <w:r>
        <w:rPr>
          <w:rFonts w:hint="eastAsia" w:ascii="仿宋" w:hAnsi="仿宋" w:eastAsia="仿宋" w:cs="Arial"/>
          <w:color w:val="000000"/>
          <w:kern w:val="0"/>
          <w:sz w:val="32"/>
          <w:szCs w:val="32"/>
          <w:lang w:val="en-US" w:eastAsia="zh-CN"/>
        </w:rPr>
        <w:t>10:00</w:t>
      </w:r>
      <w:r>
        <w:rPr>
          <w:rFonts w:ascii="仿宋" w:hAnsi="仿宋" w:eastAsia="仿宋" w:cs="Arial"/>
          <w:color w:val="000000"/>
          <w:kern w:val="0"/>
          <w:sz w:val="32"/>
          <w:szCs w:val="32"/>
        </w:rPr>
        <w:t>（北京时间），逾期送达或不符合规定的投标文件不予接受。</w:t>
      </w:r>
    </w:p>
    <w:p>
      <w:pPr>
        <w:widowControl/>
        <w:shd w:val="clear" w:color="auto" w:fill="FFFFFF"/>
        <w:spacing w:line="440" w:lineRule="exact"/>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2、询价</w:t>
      </w:r>
      <w:r>
        <w:rPr>
          <w:rFonts w:ascii="仿宋" w:hAnsi="仿宋" w:eastAsia="仿宋" w:cs="Arial"/>
          <w:color w:val="000000"/>
          <w:kern w:val="0"/>
          <w:sz w:val="32"/>
          <w:szCs w:val="32"/>
        </w:rPr>
        <w:t>地点：</w:t>
      </w:r>
      <w:r>
        <w:rPr>
          <w:rFonts w:hint="eastAsia" w:ascii="仿宋" w:hAnsi="仿宋" w:eastAsia="仿宋" w:cs="仿宋_GB2312"/>
          <w:sz w:val="32"/>
          <w:szCs w:val="32"/>
        </w:rPr>
        <w:t>禹州市公共资源交易中心第二开标室（禹州市</w:t>
      </w:r>
      <w:r>
        <w:rPr>
          <w:rFonts w:hint="eastAsia" w:ascii="仿宋" w:hAnsi="仿宋" w:eastAsia="仿宋" w:cs="Arial"/>
          <w:color w:val="000000"/>
          <w:kern w:val="0"/>
          <w:sz w:val="32"/>
          <w:szCs w:val="32"/>
        </w:rPr>
        <w:t>行政服务中心楼9楼）</w:t>
      </w:r>
      <w:r>
        <w:rPr>
          <w:rFonts w:ascii="仿宋" w:hAnsi="仿宋" w:eastAsia="仿宋" w:cs="Arial"/>
          <w:color w:val="000000"/>
          <w:kern w:val="0"/>
          <w:sz w:val="32"/>
          <w:szCs w:val="32"/>
        </w:rPr>
        <w:t xml:space="preserve"> </w:t>
      </w:r>
    </w:p>
    <w:p>
      <w:pPr>
        <w:spacing w:line="44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4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4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4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widowControl/>
        <w:shd w:val="clear" w:color="auto" w:fill="FFFFFF"/>
        <w:spacing w:line="44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widowControl/>
        <w:shd w:val="clear" w:color="auto" w:fill="FFFFFF"/>
        <w:spacing w:line="44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widowControl/>
        <w:shd w:val="clear" w:color="auto" w:fill="FFFFFF"/>
        <w:spacing w:line="44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widowControl/>
        <w:shd w:val="clear" w:color="auto" w:fill="FFFFFF"/>
        <w:spacing w:line="44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val="en-US" w:eastAsia="zh-CN"/>
        </w:rPr>
        <w:t>李</w:t>
      </w:r>
      <w:r>
        <w:rPr>
          <w:rFonts w:hint="eastAsia" w:ascii="仿宋" w:hAnsi="仿宋" w:eastAsia="仿宋" w:cs="仿宋"/>
          <w:color w:val="000000"/>
          <w:kern w:val="0"/>
          <w:sz w:val="32"/>
          <w:szCs w:val="32"/>
        </w:rPr>
        <w:t>女士    联系电话：0374-2077111</w:t>
      </w:r>
    </w:p>
    <w:p>
      <w:pPr>
        <w:widowControl/>
        <w:shd w:val="clear" w:color="auto" w:fill="FFFFFF"/>
        <w:spacing w:line="400" w:lineRule="exact"/>
        <w:ind w:left="481"/>
        <w:jc w:val="left"/>
        <w:rPr>
          <w:rFonts w:ascii="仿宋" w:hAnsi="仿宋" w:eastAsia="仿宋" w:cs="仿宋"/>
          <w:sz w:val="32"/>
          <w:szCs w:val="32"/>
        </w:rPr>
      </w:pPr>
      <w:r>
        <w:rPr>
          <w:rFonts w:hint="eastAsia" w:ascii="仿宋" w:hAnsi="仿宋" w:eastAsia="仿宋" w:cs="仿宋"/>
          <w:color w:val="000000"/>
          <w:kern w:val="0"/>
          <w:sz w:val="32"/>
          <w:szCs w:val="32"/>
        </w:rPr>
        <w:t>（二）采购单位：禹州市</w:t>
      </w:r>
      <w:r>
        <w:rPr>
          <w:rFonts w:hint="eastAsia" w:ascii="仿宋" w:hAnsi="仿宋" w:eastAsia="仿宋" w:cs="仿宋"/>
          <w:color w:val="000000"/>
          <w:kern w:val="0"/>
          <w:sz w:val="32"/>
          <w:szCs w:val="32"/>
          <w:lang w:val="en-US" w:eastAsia="zh-CN"/>
        </w:rPr>
        <w:t>文化广电和旅游局</w:t>
      </w:r>
      <w:r>
        <w:rPr>
          <w:rFonts w:ascii="仿宋" w:hAnsi="仿宋" w:eastAsia="仿宋" w:cs="仿宋"/>
          <w:sz w:val="32"/>
          <w:szCs w:val="32"/>
        </w:rPr>
        <w:t xml:space="preserve"> </w:t>
      </w:r>
    </w:p>
    <w:p>
      <w:pPr>
        <w:widowControl/>
        <w:shd w:val="clear" w:color="auto" w:fill="FFFFFF"/>
        <w:spacing w:line="400" w:lineRule="exact"/>
        <w:ind w:firstLine="960" w:firstLineChars="30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地址：禹州市</w:t>
      </w:r>
      <w:r>
        <w:rPr>
          <w:rFonts w:hint="eastAsia" w:ascii="仿宋" w:hAnsi="仿宋" w:eastAsia="仿宋" w:cs="仿宋"/>
          <w:color w:val="000000"/>
          <w:kern w:val="0"/>
          <w:sz w:val="32"/>
          <w:szCs w:val="32"/>
          <w:lang w:val="en-US" w:eastAsia="zh-CN"/>
        </w:rPr>
        <w:t>禹王大道</w:t>
      </w:r>
    </w:p>
    <w:p>
      <w:pPr>
        <w:widowControl/>
        <w:shd w:val="clear" w:color="auto" w:fill="FFFFFF"/>
        <w:spacing w:line="400" w:lineRule="exact"/>
        <w:ind w:firstLine="641"/>
        <w:jc w:val="lef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val="en-US" w:eastAsia="zh-CN"/>
        </w:rPr>
        <w:t>周女士</w:t>
      </w:r>
      <w:r>
        <w:rPr>
          <w:rFonts w:hint="eastAsia" w:ascii="仿宋" w:hAnsi="仿宋" w:eastAsia="仿宋" w:cs="仿宋"/>
          <w:color w:val="000000"/>
          <w:kern w:val="0"/>
          <w:sz w:val="32"/>
          <w:szCs w:val="32"/>
        </w:rPr>
        <w:t xml:space="preserve">   联系电话：</w:t>
      </w:r>
      <w:r>
        <w:rPr>
          <w:rFonts w:hint="eastAsia" w:ascii="仿宋" w:hAnsi="仿宋" w:eastAsia="仿宋" w:cs="仿宋"/>
          <w:color w:val="000000"/>
          <w:kern w:val="0"/>
          <w:sz w:val="32"/>
          <w:szCs w:val="32"/>
          <w:lang w:val="en-US" w:eastAsia="zh-CN"/>
        </w:rPr>
        <w:t>13803743997</w:t>
      </w:r>
    </w:p>
    <w:p>
      <w:pPr>
        <w:spacing w:line="440" w:lineRule="exact"/>
        <w:ind w:firstLine="5440" w:firstLineChars="1700"/>
        <w:rPr>
          <w:rFonts w:ascii="仿宋" w:hAnsi="仿宋" w:eastAsia="仿宋" w:cs="仿宋"/>
          <w:sz w:val="32"/>
          <w:szCs w:val="32"/>
        </w:rPr>
      </w:pPr>
      <w:r>
        <w:rPr>
          <w:rFonts w:hint="eastAsia" w:ascii="仿宋" w:hAnsi="仿宋" w:eastAsia="仿宋" w:cs="仿宋"/>
          <w:sz w:val="32"/>
          <w:szCs w:val="32"/>
        </w:rPr>
        <w:t xml:space="preserve">   </w:t>
      </w:r>
    </w:p>
    <w:p>
      <w:pPr>
        <w:spacing w:line="440" w:lineRule="exact"/>
        <w:ind w:firstLine="6080" w:firstLineChars="1900"/>
        <w:rPr>
          <w:rFonts w:ascii="仿宋" w:hAnsi="仿宋" w:eastAsia="仿宋" w:cs="仿宋"/>
          <w:sz w:val="32"/>
          <w:szCs w:val="32"/>
        </w:rPr>
      </w:pPr>
    </w:p>
    <w:p>
      <w:pPr>
        <w:spacing w:line="440" w:lineRule="exact"/>
        <w:ind w:firstLine="3520" w:firstLineChars="1100"/>
        <w:rPr>
          <w:rFonts w:ascii="仿宋" w:hAnsi="仿宋" w:eastAsia="仿宋" w:cs="仿宋"/>
          <w:sz w:val="32"/>
          <w:szCs w:val="32"/>
        </w:rPr>
      </w:pP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w:t>
      </w:r>
    </w:p>
    <w:p>
      <w:pPr>
        <w:widowControl/>
        <w:shd w:val="clear" w:color="auto" w:fill="FFFFFF"/>
        <w:spacing w:line="440" w:lineRule="exact"/>
        <w:jc w:val="left"/>
        <w:rPr>
          <w:rFonts w:ascii="仿宋" w:hAnsi="仿宋" w:eastAsia="仿宋" w:cs="Arial"/>
          <w:color w:val="000000"/>
          <w:kern w:val="0"/>
          <w:sz w:val="32"/>
          <w:szCs w:val="32"/>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本项目为全流程电子化交易项目，请认真阅读询价文件，并注意以下事项。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供应商应按询价文件规定编制、提交电子响应文件和纸质响应文件。询价响应文件递交地点、询价现场不接受供应商递交的备份电子响应文件和纸质响应文件以外的其他资料。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电子文件下载、制作、提交期间和询价响应文件递交（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）下载“许昌投标文件制作系统SEARUN 最新版本”，按询价文件要求制作电子响应文件。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供应商须将询价文件要求的资质、业绩、荣誉及相关人员证明材料等资料原件扫描件（或图片）制作到所提交的电子响应文件中。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供应商对同一项目多个标段进行报价的，应分别下载所响应标段的询价文件，按标段制作电子响应文件，并</w:t>
      </w:r>
      <w:r>
        <w:rPr>
          <w:rFonts w:hAnsi="宋体"/>
          <w:color w:val="000000"/>
          <w:szCs w:val="21"/>
        </w:rPr>
        <w:t>按</w:t>
      </w:r>
      <w:r>
        <w:rPr>
          <w:rFonts w:hint="eastAsia" w:hAnsi="宋体"/>
          <w:color w:val="000000"/>
          <w:szCs w:val="21"/>
        </w:rPr>
        <w:t>询价文件</w:t>
      </w:r>
      <w:r>
        <w:rPr>
          <w:rFonts w:hAnsi="宋体"/>
          <w:color w:val="000000"/>
          <w:szCs w:val="21"/>
        </w:rPr>
        <w:t>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”的文件用于电子响应使用，后缀名为“.PDF”的文件用于打印纸质响应文件，名称为“备份”的文件夹使用电子介质存储，供询价响应文件递交现场备用。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电子响应文件应在询价文件规定的询价响应截止时间之前成功提交至《全国公共资源交易平台(河南省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电子响应文件成功提交后，供应商应打印“投标文件提交回执单”供询价响应文件递交现场备查。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采用全流程电子化交易评审时，询价小组以电子响应文件为依据评审。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全流程电子化交易如因系统异常情况无法完成，将以人工方式进行。询价小组以纸质响应文件为依据评审。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一、采购清单</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（一）、产品性能及配置要求：</w:t>
      </w:r>
    </w:p>
    <w:tbl>
      <w:tblPr>
        <w:tblStyle w:val="22"/>
        <w:tblpPr w:leftFromText="180" w:rightFromText="180" w:vertAnchor="text" w:horzAnchor="page" w:tblpXSpec="center" w:tblpY="270"/>
        <w:tblOverlap w:val="never"/>
        <w:tblW w:w="0" w:type="auto"/>
        <w:jc w:val="center"/>
        <w:tblLayout w:type="fixed"/>
        <w:tblCellMar>
          <w:top w:w="0" w:type="dxa"/>
          <w:left w:w="0" w:type="dxa"/>
          <w:bottom w:w="0" w:type="dxa"/>
          <w:right w:w="0" w:type="dxa"/>
        </w:tblCellMar>
      </w:tblPr>
      <w:tblGrid>
        <w:gridCol w:w="1260"/>
        <w:gridCol w:w="2475"/>
        <w:gridCol w:w="4155"/>
      </w:tblGrid>
      <w:tr>
        <w:tblPrEx>
          <w:tblCellMar>
            <w:top w:w="0" w:type="dxa"/>
            <w:left w:w="0" w:type="dxa"/>
            <w:bottom w:w="0" w:type="dxa"/>
            <w:right w:w="0" w:type="dxa"/>
          </w:tblCellMar>
        </w:tblPrEx>
        <w:trPr>
          <w:trHeight w:val="400" w:hRule="atLeast"/>
          <w:jc w:val="center"/>
        </w:trPr>
        <w:tc>
          <w:tcPr>
            <w:tcW w:w="12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序号</w:t>
            </w:r>
          </w:p>
        </w:tc>
        <w:tc>
          <w:tcPr>
            <w:tcW w:w="247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项目</w:t>
            </w:r>
          </w:p>
        </w:tc>
        <w:tc>
          <w:tcPr>
            <w:tcW w:w="415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要求</w:t>
            </w:r>
          </w:p>
        </w:tc>
      </w:tr>
      <w:tr>
        <w:tblPrEx>
          <w:tblCellMar>
            <w:top w:w="0" w:type="dxa"/>
            <w:left w:w="0" w:type="dxa"/>
            <w:bottom w:w="0" w:type="dxa"/>
            <w:right w:w="0" w:type="dxa"/>
          </w:tblCellMar>
        </w:tblPrEx>
        <w:trPr>
          <w:trHeight w:val="1922" w:hRule="exact"/>
          <w:jc w:val="center"/>
        </w:trPr>
        <w:tc>
          <w:tcPr>
            <w:tcW w:w="126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1</w:t>
            </w:r>
          </w:p>
        </w:tc>
        <w:tc>
          <w:tcPr>
            <w:tcW w:w="247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产品尺寸</w:t>
            </w:r>
          </w:p>
        </w:tc>
        <w:tc>
          <w:tcPr>
            <w:tcW w:w="415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长：1900mm-2000mm</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宽：750mm-820mm</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高：860mm-920mm</w:t>
            </w:r>
          </w:p>
        </w:tc>
      </w:tr>
      <w:tr>
        <w:tblPrEx>
          <w:tblCellMar>
            <w:top w:w="0" w:type="dxa"/>
            <w:left w:w="0" w:type="dxa"/>
            <w:bottom w:w="0" w:type="dxa"/>
            <w:right w:w="0" w:type="dxa"/>
          </w:tblCellMar>
        </w:tblPrEx>
        <w:trPr>
          <w:trHeight w:val="567" w:hRule="exact"/>
          <w:jc w:val="center"/>
        </w:trPr>
        <w:tc>
          <w:tcPr>
            <w:tcW w:w="126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2</w:t>
            </w:r>
          </w:p>
        </w:tc>
        <w:tc>
          <w:tcPr>
            <w:tcW w:w="247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总容积/有效容积</w:t>
            </w:r>
          </w:p>
        </w:tc>
        <w:tc>
          <w:tcPr>
            <w:tcW w:w="415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≧700L</w:t>
            </w:r>
          </w:p>
        </w:tc>
      </w:tr>
      <w:tr>
        <w:tblPrEx>
          <w:tblCellMar>
            <w:top w:w="0" w:type="dxa"/>
            <w:left w:w="0" w:type="dxa"/>
            <w:bottom w:w="0" w:type="dxa"/>
            <w:right w:w="0" w:type="dxa"/>
          </w:tblCellMar>
        </w:tblPrEx>
        <w:trPr>
          <w:trHeight w:val="567" w:hRule="exact"/>
          <w:jc w:val="center"/>
        </w:trPr>
        <w:tc>
          <w:tcPr>
            <w:tcW w:w="126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3</w:t>
            </w:r>
          </w:p>
        </w:tc>
        <w:tc>
          <w:tcPr>
            <w:tcW w:w="247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温度范围℃</w:t>
            </w:r>
          </w:p>
        </w:tc>
        <w:tc>
          <w:tcPr>
            <w:tcW w:w="415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≦-18℃</w:t>
            </w:r>
          </w:p>
        </w:tc>
      </w:tr>
      <w:tr>
        <w:tblPrEx>
          <w:tblCellMar>
            <w:top w:w="0" w:type="dxa"/>
            <w:left w:w="0" w:type="dxa"/>
            <w:bottom w:w="0" w:type="dxa"/>
            <w:right w:w="0" w:type="dxa"/>
          </w:tblCellMar>
        </w:tblPrEx>
        <w:trPr>
          <w:trHeight w:val="567" w:hRule="exact"/>
          <w:jc w:val="center"/>
        </w:trPr>
        <w:tc>
          <w:tcPr>
            <w:tcW w:w="126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4</w:t>
            </w:r>
          </w:p>
        </w:tc>
        <w:tc>
          <w:tcPr>
            <w:tcW w:w="247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冷冻能力</w:t>
            </w:r>
          </w:p>
        </w:tc>
        <w:tc>
          <w:tcPr>
            <w:tcW w:w="415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≥45kg/24h</w:t>
            </w:r>
          </w:p>
        </w:tc>
      </w:tr>
      <w:tr>
        <w:tblPrEx>
          <w:tblCellMar>
            <w:top w:w="0" w:type="dxa"/>
            <w:left w:w="0" w:type="dxa"/>
            <w:bottom w:w="0" w:type="dxa"/>
            <w:right w:w="0" w:type="dxa"/>
          </w:tblCellMar>
        </w:tblPrEx>
        <w:trPr>
          <w:trHeight w:val="567" w:hRule="exact"/>
          <w:jc w:val="center"/>
        </w:trPr>
        <w:tc>
          <w:tcPr>
            <w:tcW w:w="126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5</w:t>
            </w:r>
          </w:p>
        </w:tc>
        <w:tc>
          <w:tcPr>
            <w:tcW w:w="247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国家能耗等级</w:t>
            </w:r>
          </w:p>
        </w:tc>
        <w:tc>
          <w:tcPr>
            <w:tcW w:w="415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商用一级</w:t>
            </w:r>
          </w:p>
        </w:tc>
      </w:tr>
      <w:tr>
        <w:tblPrEx>
          <w:tblCellMar>
            <w:top w:w="0" w:type="dxa"/>
            <w:left w:w="0" w:type="dxa"/>
            <w:bottom w:w="0" w:type="dxa"/>
            <w:right w:w="0" w:type="dxa"/>
          </w:tblCellMar>
        </w:tblPrEx>
        <w:trPr>
          <w:trHeight w:val="567" w:hRule="exact"/>
          <w:jc w:val="center"/>
        </w:trPr>
        <w:tc>
          <w:tcPr>
            <w:tcW w:w="126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6</w:t>
            </w:r>
          </w:p>
        </w:tc>
        <w:tc>
          <w:tcPr>
            <w:tcW w:w="247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蒸发管材质</w:t>
            </w:r>
          </w:p>
        </w:tc>
        <w:tc>
          <w:tcPr>
            <w:tcW w:w="415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铜管</w:t>
            </w:r>
          </w:p>
        </w:tc>
      </w:tr>
      <w:tr>
        <w:tblPrEx>
          <w:tblCellMar>
            <w:top w:w="0" w:type="dxa"/>
            <w:left w:w="0" w:type="dxa"/>
            <w:bottom w:w="0" w:type="dxa"/>
            <w:right w:w="0" w:type="dxa"/>
          </w:tblCellMar>
        </w:tblPrEx>
        <w:trPr>
          <w:trHeight w:val="567" w:hRule="exact"/>
          <w:jc w:val="center"/>
        </w:trPr>
        <w:tc>
          <w:tcPr>
            <w:tcW w:w="126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7</w:t>
            </w:r>
          </w:p>
        </w:tc>
        <w:tc>
          <w:tcPr>
            <w:tcW w:w="247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保温层材料</w:t>
            </w:r>
          </w:p>
        </w:tc>
        <w:tc>
          <w:tcPr>
            <w:tcW w:w="415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环戊烷，≥65mm</w:t>
            </w:r>
          </w:p>
        </w:tc>
      </w:tr>
      <w:tr>
        <w:tblPrEx>
          <w:tblCellMar>
            <w:top w:w="0" w:type="dxa"/>
            <w:left w:w="0" w:type="dxa"/>
            <w:bottom w:w="0" w:type="dxa"/>
            <w:right w:w="0" w:type="dxa"/>
          </w:tblCellMar>
        </w:tblPrEx>
        <w:trPr>
          <w:trHeight w:val="567" w:hRule="exact"/>
          <w:jc w:val="center"/>
        </w:trPr>
        <w:tc>
          <w:tcPr>
            <w:tcW w:w="126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8</w:t>
            </w:r>
          </w:p>
        </w:tc>
        <w:tc>
          <w:tcPr>
            <w:tcW w:w="247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内胆材质</w:t>
            </w:r>
          </w:p>
        </w:tc>
        <w:tc>
          <w:tcPr>
            <w:tcW w:w="415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预涂钢板</w:t>
            </w:r>
          </w:p>
        </w:tc>
      </w:tr>
      <w:tr>
        <w:tblPrEx>
          <w:tblCellMar>
            <w:top w:w="0" w:type="dxa"/>
            <w:left w:w="0" w:type="dxa"/>
            <w:bottom w:w="0" w:type="dxa"/>
            <w:right w:w="0" w:type="dxa"/>
          </w:tblCellMar>
        </w:tblPrEx>
        <w:trPr>
          <w:trHeight w:val="567" w:hRule="exact"/>
          <w:jc w:val="center"/>
        </w:trPr>
        <w:tc>
          <w:tcPr>
            <w:tcW w:w="126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9</w:t>
            </w:r>
          </w:p>
        </w:tc>
        <w:tc>
          <w:tcPr>
            <w:tcW w:w="2475" w:type="dxa"/>
            <w:tcBorders>
              <w:top w:val="nil"/>
              <w:left w:val="nil"/>
              <w:bottom w:val="single" w:color="000000" w:sz="8" w:space="0"/>
              <w:right w:val="single" w:color="000000" w:sz="8" w:space="0"/>
            </w:tcBorders>
            <w:noWrap w:val="0"/>
            <w:tcMar>
              <w:top w:w="15" w:type="dxa"/>
              <w:left w:w="15" w:type="dxa"/>
              <w:right w:w="15" w:type="dxa"/>
            </w:tcMar>
            <w:vAlign w:val="top"/>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标准耗电量</w:t>
            </w:r>
          </w:p>
        </w:tc>
        <w:tc>
          <w:tcPr>
            <w:tcW w:w="4155" w:type="dxa"/>
            <w:tcBorders>
              <w:top w:val="nil"/>
              <w:left w:val="nil"/>
              <w:bottom w:val="single" w:color="000000" w:sz="8" w:space="0"/>
              <w:right w:val="single" w:color="000000" w:sz="8" w:space="0"/>
            </w:tcBorders>
            <w:noWrap w:val="0"/>
            <w:tcMar>
              <w:top w:w="15" w:type="dxa"/>
              <w:left w:w="15" w:type="dxa"/>
              <w:right w:w="15" w:type="dxa"/>
            </w:tcMar>
            <w:vAlign w:val="top"/>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≤3.8kW.h/24h</w:t>
            </w:r>
          </w:p>
        </w:tc>
      </w:tr>
      <w:tr>
        <w:tblPrEx>
          <w:tblCellMar>
            <w:top w:w="0" w:type="dxa"/>
            <w:left w:w="0" w:type="dxa"/>
            <w:bottom w:w="0" w:type="dxa"/>
            <w:right w:w="0" w:type="dxa"/>
          </w:tblCellMar>
        </w:tblPrEx>
        <w:trPr>
          <w:trHeight w:val="567" w:hRule="exact"/>
          <w:jc w:val="center"/>
        </w:trPr>
        <w:tc>
          <w:tcPr>
            <w:tcW w:w="126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10</w:t>
            </w:r>
          </w:p>
        </w:tc>
        <w:tc>
          <w:tcPr>
            <w:tcW w:w="247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制冷方式</w:t>
            </w:r>
          </w:p>
        </w:tc>
        <w:tc>
          <w:tcPr>
            <w:tcW w:w="415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直冷</w:t>
            </w:r>
          </w:p>
        </w:tc>
      </w:tr>
      <w:tr>
        <w:tblPrEx>
          <w:tblCellMar>
            <w:top w:w="0" w:type="dxa"/>
            <w:left w:w="0" w:type="dxa"/>
            <w:bottom w:w="0" w:type="dxa"/>
            <w:right w:w="0" w:type="dxa"/>
          </w:tblCellMar>
        </w:tblPrEx>
        <w:trPr>
          <w:trHeight w:val="567" w:hRule="exact"/>
          <w:jc w:val="center"/>
        </w:trPr>
        <w:tc>
          <w:tcPr>
            <w:tcW w:w="126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11</w:t>
            </w:r>
          </w:p>
        </w:tc>
        <w:tc>
          <w:tcPr>
            <w:tcW w:w="247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冷凝方式</w:t>
            </w:r>
          </w:p>
        </w:tc>
        <w:tc>
          <w:tcPr>
            <w:tcW w:w="415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风冷</w:t>
            </w:r>
          </w:p>
        </w:tc>
      </w:tr>
      <w:tr>
        <w:tblPrEx>
          <w:tblCellMar>
            <w:top w:w="0" w:type="dxa"/>
            <w:left w:w="0" w:type="dxa"/>
            <w:bottom w:w="0" w:type="dxa"/>
            <w:right w:w="0" w:type="dxa"/>
          </w:tblCellMar>
        </w:tblPrEx>
        <w:trPr>
          <w:trHeight w:val="611" w:hRule="exact"/>
          <w:jc w:val="center"/>
        </w:trPr>
        <w:tc>
          <w:tcPr>
            <w:tcW w:w="12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12</w:t>
            </w:r>
          </w:p>
        </w:tc>
        <w:tc>
          <w:tcPr>
            <w:tcW w:w="24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气候类型</w:t>
            </w:r>
          </w:p>
        </w:tc>
        <w:tc>
          <w:tcPr>
            <w:tcW w:w="415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SN,N,ST</w:t>
            </w:r>
          </w:p>
        </w:tc>
      </w:tr>
      <w:tr>
        <w:tblPrEx>
          <w:tblCellMar>
            <w:top w:w="0" w:type="dxa"/>
            <w:left w:w="0" w:type="dxa"/>
            <w:bottom w:w="0" w:type="dxa"/>
            <w:right w:w="0" w:type="dxa"/>
          </w:tblCellMar>
        </w:tblPrEx>
        <w:trPr>
          <w:trHeight w:val="567" w:hRule="exact"/>
          <w:jc w:val="center"/>
        </w:trPr>
        <w:tc>
          <w:tcPr>
            <w:tcW w:w="12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13</w:t>
            </w:r>
          </w:p>
        </w:tc>
        <w:tc>
          <w:tcPr>
            <w:tcW w:w="247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压缩机品牌</w:t>
            </w:r>
          </w:p>
        </w:tc>
        <w:tc>
          <w:tcPr>
            <w:tcW w:w="415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名牌压缩机</w:t>
            </w:r>
          </w:p>
        </w:tc>
      </w:tr>
      <w:tr>
        <w:tblPrEx>
          <w:tblCellMar>
            <w:top w:w="0" w:type="dxa"/>
            <w:left w:w="0" w:type="dxa"/>
            <w:bottom w:w="0" w:type="dxa"/>
            <w:right w:w="0" w:type="dxa"/>
          </w:tblCellMar>
        </w:tblPrEx>
        <w:trPr>
          <w:trHeight w:val="567" w:hRule="exact"/>
          <w:jc w:val="center"/>
        </w:trPr>
        <w:tc>
          <w:tcPr>
            <w:tcW w:w="126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14</w:t>
            </w:r>
          </w:p>
        </w:tc>
        <w:tc>
          <w:tcPr>
            <w:tcW w:w="247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制冷性能</w:t>
            </w:r>
          </w:p>
        </w:tc>
        <w:tc>
          <w:tcPr>
            <w:tcW w:w="415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符合国家要求</w:t>
            </w:r>
          </w:p>
        </w:tc>
      </w:tr>
      <w:tr>
        <w:tblPrEx>
          <w:tblCellMar>
            <w:top w:w="0" w:type="dxa"/>
            <w:left w:w="0" w:type="dxa"/>
            <w:bottom w:w="0" w:type="dxa"/>
            <w:right w:w="0" w:type="dxa"/>
          </w:tblCellMar>
        </w:tblPrEx>
        <w:trPr>
          <w:trHeight w:val="567" w:hRule="exact"/>
          <w:jc w:val="center"/>
        </w:trPr>
        <w:tc>
          <w:tcPr>
            <w:tcW w:w="126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15</w:t>
            </w:r>
          </w:p>
        </w:tc>
        <w:tc>
          <w:tcPr>
            <w:tcW w:w="247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电源</w:t>
            </w:r>
          </w:p>
        </w:tc>
        <w:tc>
          <w:tcPr>
            <w:tcW w:w="415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220v/50Hz</w:t>
            </w:r>
          </w:p>
        </w:tc>
      </w:tr>
      <w:tr>
        <w:tblPrEx>
          <w:tblCellMar>
            <w:top w:w="0" w:type="dxa"/>
            <w:left w:w="0" w:type="dxa"/>
            <w:bottom w:w="0" w:type="dxa"/>
            <w:right w:w="0" w:type="dxa"/>
          </w:tblCellMar>
        </w:tblPrEx>
        <w:trPr>
          <w:trHeight w:val="567" w:hRule="exact"/>
          <w:jc w:val="center"/>
        </w:trPr>
        <w:tc>
          <w:tcPr>
            <w:tcW w:w="126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16</w:t>
            </w:r>
          </w:p>
        </w:tc>
        <w:tc>
          <w:tcPr>
            <w:tcW w:w="247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制冷剂</w:t>
            </w:r>
          </w:p>
        </w:tc>
        <w:tc>
          <w:tcPr>
            <w:tcW w:w="415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R290</w:t>
            </w:r>
          </w:p>
        </w:tc>
      </w:tr>
      <w:tr>
        <w:tblPrEx>
          <w:tblCellMar>
            <w:top w:w="0" w:type="dxa"/>
            <w:left w:w="0" w:type="dxa"/>
            <w:bottom w:w="0" w:type="dxa"/>
            <w:right w:w="0" w:type="dxa"/>
          </w:tblCellMar>
        </w:tblPrEx>
        <w:trPr>
          <w:trHeight w:val="567" w:hRule="exact"/>
          <w:jc w:val="center"/>
        </w:trPr>
        <w:tc>
          <w:tcPr>
            <w:tcW w:w="126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17</w:t>
            </w:r>
          </w:p>
        </w:tc>
        <w:tc>
          <w:tcPr>
            <w:tcW w:w="247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门锁</w:t>
            </w:r>
          </w:p>
        </w:tc>
        <w:tc>
          <w:tcPr>
            <w:tcW w:w="415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有</w:t>
            </w:r>
          </w:p>
        </w:tc>
      </w:tr>
      <w:tr>
        <w:tblPrEx>
          <w:tblCellMar>
            <w:top w:w="0" w:type="dxa"/>
            <w:left w:w="0" w:type="dxa"/>
            <w:bottom w:w="0" w:type="dxa"/>
            <w:right w:w="0" w:type="dxa"/>
          </w:tblCellMar>
        </w:tblPrEx>
        <w:trPr>
          <w:trHeight w:val="567" w:hRule="exact"/>
          <w:jc w:val="center"/>
        </w:trPr>
        <w:tc>
          <w:tcPr>
            <w:tcW w:w="12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18</w:t>
            </w:r>
          </w:p>
        </w:tc>
        <w:tc>
          <w:tcPr>
            <w:tcW w:w="247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防触电保护类型</w:t>
            </w:r>
          </w:p>
        </w:tc>
        <w:tc>
          <w:tcPr>
            <w:tcW w:w="415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I</w:t>
            </w:r>
          </w:p>
        </w:tc>
      </w:tr>
    </w:tbl>
    <w:p>
      <w:pPr>
        <w:spacing w:line="360" w:lineRule="auto"/>
        <w:ind w:firstLine="480" w:firstLineChars="200"/>
        <w:contextualSpacing/>
        <w:rPr>
          <w:rFonts w:hint="eastAsia" w:cs="仿宋_GB2312" w:asciiTheme="minorEastAsia" w:hAnsiTheme="minorEastAsia"/>
          <w:sz w:val="24"/>
          <w:szCs w:val="24"/>
          <w:lang w:val="en-US" w:eastAsia="zh-CN"/>
        </w:rPr>
      </w:pPr>
    </w:p>
    <w:p>
      <w:pPr>
        <w:spacing w:line="360" w:lineRule="auto"/>
        <w:ind w:firstLine="480" w:firstLineChars="200"/>
        <w:contextualSpacing/>
        <w:rPr>
          <w:rFonts w:hint="eastAsia" w:cs="仿宋_GB2312" w:asciiTheme="minorEastAsia" w:hAnsiTheme="minorEastAsia"/>
          <w:sz w:val="24"/>
          <w:szCs w:val="24"/>
          <w:lang w:val="en-US" w:eastAsia="zh-CN"/>
        </w:rPr>
      </w:pPr>
    </w:p>
    <w:p>
      <w:pPr>
        <w:spacing w:line="360" w:lineRule="auto"/>
        <w:ind w:firstLine="480" w:firstLineChars="200"/>
        <w:contextualSpacing/>
        <w:rPr>
          <w:rFonts w:hint="eastAsia" w:cs="仿宋_GB2312" w:asciiTheme="minorEastAsia" w:hAnsiTheme="minorEastAsia"/>
          <w:sz w:val="24"/>
          <w:szCs w:val="24"/>
          <w:lang w:val="en-US" w:eastAsia="zh-CN"/>
        </w:rPr>
      </w:pPr>
    </w:p>
    <w:p>
      <w:pPr>
        <w:spacing w:line="360" w:lineRule="auto"/>
        <w:ind w:firstLine="480" w:firstLineChars="200"/>
        <w:contextualSpacing/>
        <w:rPr>
          <w:rFonts w:hint="eastAsia" w:cs="仿宋_GB2312" w:asciiTheme="minorEastAsia" w:hAnsiTheme="minorEastAsia"/>
          <w:sz w:val="24"/>
          <w:szCs w:val="24"/>
          <w:lang w:val="en-US" w:eastAsia="zh-CN"/>
        </w:rPr>
      </w:pP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（二）、样式：</w:t>
      </w:r>
    </w:p>
    <w:p>
      <w:pPr>
        <w:spacing w:line="360" w:lineRule="auto"/>
        <w:contextualSpacing/>
        <w:rPr>
          <w:rFonts w:cs="微软雅黑" w:asciiTheme="minorEastAsia" w:hAnsiTheme="minorEastAsia"/>
          <w:b/>
          <w:sz w:val="24"/>
          <w:szCs w:val="24"/>
        </w:rPr>
      </w:pPr>
      <w:r>
        <w:rPr>
          <w:rFonts w:hint="eastAsia" w:cs="微软雅黑" w:asciiTheme="minorEastAsia" w:hAnsiTheme="minorEastAsia"/>
          <w:b/>
          <w:sz w:val="24"/>
          <w:szCs w:val="24"/>
          <w:lang w:val="en-US" w:eastAsia="zh-CN"/>
        </w:rPr>
        <w:t xml:space="preserve">        </w:t>
      </w:r>
      <w:r>
        <w:rPr>
          <w:rFonts w:hint="eastAsia" w:cs="微软雅黑" w:asciiTheme="minorEastAsia" w:hAnsiTheme="minorEastAsia"/>
          <w:b/>
          <w:sz w:val="24"/>
          <w:szCs w:val="24"/>
          <w:lang w:val="en-US" w:eastAsia="zh-CN"/>
        </w:rPr>
        <w:drawing>
          <wp:inline distT="0" distB="0" distL="114300" distR="114300">
            <wp:extent cx="3649345" cy="2791460"/>
            <wp:effectExtent l="0" t="0" r="8255" b="8890"/>
            <wp:docPr id="2" name="图片 2" descr="15671247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67124737(1)"/>
                    <pic:cNvPicPr>
                      <a:picLocks noChangeAspect="1"/>
                    </pic:cNvPicPr>
                  </pic:nvPicPr>
                  <pic:blipFill>
                    <a:blip r:embed="rId5"/>
                    <a:stretch>
                      <a:fillRect/>
                    </a:stretch>
                  </pic:blipFill>
                  <pic:spPr>
                    <a:xfrm>
                      <a:off x="0" y="0"/>
                      <a:ext cx="3649345" cy="2791460"/>
                    </a:xfrm>
                    <a:prstGeom prst="rect">
                      <a:avLst/>
                    </a:prstGeom>
                  </pic:spPr>
                </pic:pic>
              </a:graphicData>
            </a:graphic>
          </wp:inline>
        </w:drawing>
      </w:r>
    </w:p>
    <w:p>
      <w:pPr>
        <w:spacing w:line="360" w:lineRule="auto"/>
        <w:ind w:firstLine="422" w:firstLineChars="200"/>
        <w:contextualSpacing/>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二、采购标的执行标准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并在有效期内的产品，应在响应文件中提供“所投产品符合国家强制性要求承诺函”并加盖投标人公章，否则将承担其响应被视为非实质性响应的风险。</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三、采购标的的其他技术、服务等要求</w:t>
      </w:r>
    </w:p>
    <w:p>
      <w:pPr>
        <w:wordWrap w:val="0"/>
        <w:topLinePunct/>
        <w:spacing w:line="360" w:lineRule="auto"/>
        <w:ind w:firstLine="480" w:firstLineChars="200"/>
        <w:rPr>
          <w:rFonts w:hint="default" w:ascii="宋体" w:cs="宋体"/>
          <w:sz w:val="24"/>
          <w:lang w:val="en-US" w:eastAsia="zh-CN"/>
        </w:rPr>
      </w:pPr>
      <w:r>
        <w:rPr>
          <w:rFonts w:hint="default" w:ascii="宋体" w:cs="宋体"/>
          <w:sz w:val="24"/>
          <w:lang w:val="en-US" w:eastAsia="zh-CN"/>
        </w:rPr>
        <w:t>投标人提供的产品属市场占有率高的知名品牌，必须满足招标方的要求全新现货，产品质量稳定且符合国家和有关部门质量检测标准。交货方式及运费承担：汽运或零担；中标方负责运输费用。质保期:整机一年，压缩机三年。</w:t>
      </w:r>
    </w:p>
    <w:p>
      <w:pPr>
        <w:wordWrap w:val="0"/>
        <w:topLinePunct/>
        <w:spacing w:line="360" w:lineRule="auto"/>
        <w:rPr>
          <w:rFonts w:hint="eastAsia" w:ascii="宋体" w:cs="宋体"/>
          <w:sz w:val="24"/>
          <w:lang w:val="zh-CN"/>
        </w:rPr>
      </w:pP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3、所响应产品必须符合国家质量检测标准和本询价文件规定标准的全新正品现货。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2、按照询价文件要求、响应文件和承诺验收</w:t>
      </w:r>
      <w:r>
        <w:rPr>
          <w:rFonts w:hint="eastAsia" w:ascii="仿宋" w:hAnsi="仿宋" w:eastAsia="仿宋" w:cs="宋体"/>
          <w:color w:val="000000"/>
          <w:kern w:val="0"/>
          <w:sz w:val="24"/>
          <w:szCs w:val="24"/>
          <w:lang w:val="zh-CN"/>
        </w:rPr>
        <w:t>；</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3、按照国家相关标准、行业标准、地方标准或者其他标准、规范验收</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六、付款方式</w:t>
      </w:r>
      <w:r>
        <w:rPr>
          <w:rFonts w:hint="eastAsia" w:cs="宋体" w:asciiTheme="minorEastAsia" w:hAnsiTheme="minorEastAsia"/>
          <w:b/>
          <w:color w:val="000000"/>
          <w:kern w:val="0"/>
          <w:sz w:val="24"/>
          <w:szCs w:val="24"/>
        </w:rPr>
        <w:t xml:space="preserve"> ：以签订合同为准</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询价文件中凡标有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 禹州市</w:t>
            </w:r>
            <w:r>
              <w:rPr>
                <w:rFonts w:hint="eastAsia" w:cs="仿宋_GB2312" w:asciiTheme="minorEastAsia" w:hAnsiTheme="minorEastAsia"/>
                <w:szCs w:val="21"/>
                <w:lang w:val="en-US" w:eastAsia="zh-CN"/>
              </w:rPr>
              <w:t>文化广电和旅游局星级农家乐奖励</w:t>
            </w:r>
            <w:r>
              <w:rPr>
                <w:rFonts w:hint="eastAsia" w:cs="仿宋_GB2312" w:asciiTheme="minorEastAsia" w:hAnsiTheme="minorEastAsia"/>
                <w:szCs w:val="21"/>
              </w:rPr>
              <w:t>项目</w:t>
            </w:r>
            <w:r>
              <w:rPr>
                <w:rFonts w:hint="eastAsia" w:cs="仿宋_GB2312" w:asciiTheme="minorEastAsia" w:hAnsiTheme="minorEastAsia"/>
                <w:szCs w:val="21"/>
                <w:lang w:eastAsia="zh-CN"/>
              </w:rPr>
              <w:t>（</w:t>
            </w:r>
            <w:r>
              <w:rPr>
                <w:rFonts w:hint="eastAsia" w:cs="仿宋_GB2312" w:asciiTheme="minorEastAsia" w:hAnsiTheme="minorEastAsia"/>
                <w:szCs w:val="21"/>
                <w:lang w:val="en-US" w:eastAsia="zh-CN"/>
              </w:rPr>
              <w:t>二次</w:t>
            </w:r>
            <w:r>
              <w:rPr>
                <w:rFonts w:hint="eastAsia" w:cs="仿宋_GB2312" w:asciiTheme="minorEastAsia" w:hAnsiTheme="minorEastAsia"/>
                <w:szCs w:val="21"/>
                <w:lang w:eastAsia="zh-CN"/>
              </w:rPr>
              <w:t>）</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项目编号：</w:t>
            </w:r>
            <w:r>
              <w:rPr>
                <w:rFonts w:cs="仿宋_GB2312" w:asciiTheme="minorEastAsia" w:hAnsiTheme="minorEastAsia"/>
                <w:szCs w:val="21"/>
              </w:rPr>
              <w:t>YZCG-</w:t>
            </w:r>
            <w:r>
              <w:rPr>
                <w:rFonts w:hint="eastAsia" w:cs="仿宋_GB2312" w:asciiTheme="minorEastAsia" w:hAnsiTheme="minorEastAsia"/>
                <w:szCs w:val="21"/>
              </w:rPr>
              <w:t>X2019</w:t>
            </w:r>
            <w:r>
              <w:rPr>
                <w:rFonts w:hint="eastAsia" w:cs="仿宋_GB2312" w:asciiTheme="minorEastAsia" w:hAnsiTheme="minorEastAsia"/>
                <w:szCs w:val="21"/>
                <w:lang w:val="en-US" w:eastAsia="zh-CN"/>
              </w:rPr>
              <w:t>275-1</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w:t>
            </w:r>
            <w:r>
              <w:rPr>
                <w:rFonts w:hint="eastAsia" w:cs="仿宋_GB2312" w:asciiTheme="minorEastAsia" w:hAnsiTheme="minorEastAsia"/>
                <w:szCs w:val="21"/>
                <w:lang w:val="en-US" w:eastAsia="zh-CN"/>
              </w:rPr>
              <w:t>文化广电和旅游局</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w:t>
            </w:r>
            <w:r>
              <w:rPr>
                <w:rFonts w:hint="eastAsia" w:cs="仿宋_GB2312" w:asciiTheme="minorEastAsia" w:hAnsiTheme="minorEastAsia"/>
                <w:szCs w:val="21"/>
                <w:lang w:val="en-US" w:eastAsia="zh-CN"/>
              </w:rPr>
              <w:t>禹王大道</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 xml:space="preserve">联系人：  </w:t>
            </w:r>
            <w:r>
              <w:rPr>
                <w:rFonts w:hint="eastAsia" w:cs="仿宋_GB2312" w:asciiTheme="minorEastAsia" w:hAnsiTheme="minorEastAsia"/>
                <w:szCs w:val="21"/>
                <w:lang w:val="en-US" w:eastAsia="zh-CN"/>
              </w:rPr>
              <w:t>周女士</w:t>
            </w:r>
            <w:r>
              <w:rPr>
                <w:rFonts w:hint="eastAsia" w:cs="仿宋_GB2312" w:asciiTheme="minorEastAsia" w:hAnsiTheme="minorEastAsia"/>
                <w:szCs w:val="21"/>
              </w:rPr>
              <w:t xml:space="preserve">   联系电话：</w:t>
            </w:r>
            <w:r>
              <w:rPr>
                <w:rFonts w:hint="eastAsia" w:cs="仿宋_GB2312" w:asciiTheme="minorEastAsia" w:hAnsiTheme="minorEastAsia"/>
                <w:szCs w:val="21"/>
                <w:lang w:val="en-US" w:eastAsia="zh-CN"/>
              </w:rPr>
              <w:t>13803743997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地址：禹州市禹王大道</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李</w:t>
            </w:r>
            <w:r>
              <w:rPr>
                <w:rFonts w:hint="eastAsia" w:cs="仿宋_GB2312" w:asciiTheme="minorEastAsia" w:hAnsiTheme="minorEastAsia"/>
                <w:szCs w:val="21"/>
              </w:rPr>
              <w:t>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参加本次政府采购项目询价响应截止时间前三个月内任意一个月缴纳税收凭据。（依法免税的供应商，应提供相应文件证明依法免税）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2、截止时间：同询价响应截止时间；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名单、政府采购严重违法失信行为记录名单、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32</w:t>
            </w:r>
            <w:r>
              <w:rPr>
                <w:rFonts w:hint="eastAsia" w:cs="宋体" w:asciiTheme="minorEastAsia" w:hAnsiTheme="minorEastAsia"/>
                <w:bCs/>
                <w:szCs w:val="21"/>
                <w:lang w:val="zh-CN"/>
              </w:rPr>
              <w:t>万元，超出预算金额的响应无效。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提交询价响应文件的截止之日起算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成交供应商询价</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询价响应截止及询价时间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11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19</w:t>
            </w:r>
            <w:r>
              <w:rPr>
                <w:rFonts w:hint="eastAsia" w:cs="宋体" w:asciiTheme="minorEastAsia" w:hAnsiTheme="minorEastAsia"/>
                <w:bCs/>
                <w:szCs w:val="21"/>
              </w:rPr>
              <w:t xml:space="preserve"> </w:t>
            </w:r>
            <w:r>
              <w:rPr>
                <w:rFonts w:hint="eastAsia" w:cs="宋体" w:asciiTheme="minorEastAsia" w:hAnsiTheme="minorEastAsia"/>
                <w:bCs/>
                <w:szCs w:val="21"/>
                <w:lang w:val="zh-CN"/>
              </w:rPr>
              <w:t>日</w:t>
            </w:r>
            <w:r>
              <w:rPr>
                <w:rFonts w:hint="eastAsia" w:cs="宋体" w:asciiTheme="minorEastAsia" w:hAnsiTheme="minorEastAsia"/>
                <w:bCs/>
                <w:szCs w:val="21"/>
              </w:rPr>
              <w:t xml:space="preserve"> </w:t>
            </w:r>
            <w:r>
              <w:rPr>
                <w:rFonts w:hint="eastAsia" w:cs="宋体" w:asciiTheme="minorEastAsia" w:hAnsiTheme="minorEastAsia"/>
                <w:bCs/>
                <w:szCs w:val="21"/>
                <w:lang w:val="en-US" w:eastAsia="zh-CN"/>
              </w:rPr>
              <w:t>10</w:t>
            </w:r>
            <w:bookmarkStart w:id="0" w:name="_GoBack"/>
            <w:bookmarkEnd w:id="0"/>
            <w:r>
              <w:rPr>
                <w:rFonts w:hint="eastAsia" w:cs="宋体" w:asciiTheme="minorEastAsia" w:hAnsiTheme="minorEastAsia"/>
                <w:bCs/>
                <w:szCs w:val="21"/>
              </w:rPr>
              <w:t xml:space="preserve">：00 </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递交询价响应文件</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询价公告、成交公告、变更（更正）公告、现场勘察答复等相关信息同时在以下网站发布：《中国政府采购网》、《河南省政府采购网》、《全国公共资源交易平台（河南省·许昌市）》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询价响应截止时间3个工作日前（</w:t>
            </w:r>
            <w:r>
              <w:rPr>
                <w:rFonts w:hint="eastAsia" w:cs="仿宋_GB2312" w:asciiTheme="minorEastAsia" w:hAnsiTheme="minorEastAsia"/>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询价小组的，须向集中采购机构出具授权函。除授权代表外，采购单位委派纪检监察人员对询价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向禹州市公共资源交易中心交易见证部发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送响应报价及分项报价一览表（包含主要成交标的的名称、规格型号、数量、单价、服务要求等）电子文档，并同时电话告知交易见证部。联系电话：0374-</w:t>
            </w:r>
            <w:r>
              <w:rPr>
                <w:rFonts w:hint="eastAsia" w:cs="宋体" w:asciiTheme="minorEastAsia" w:hAnsiTheme="minorEastAsia"/>
                <w:bCs/>
                <w:szCs w:val="21"/>
              </w:rPr>
              <w:t>2077000</w:t>
            </w:r>
            <w:r>
              <w:rPr>
                <w:rFonts w:hint="eastAsia" w:cs="宋体" w:asciiTheme="minorEastAsia" w:hAnsiTheme="minorEastAsia"/>
                <w:bCs/>
                <w:szCs w:val="21"/>
                <w:lang w:val="zh-CN"/>
              </w:rPr>
              <w:t>；邮箱：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本询价文件仅适用于本次“采购邀请”</w:t>
      </w:r>
      <w:r>
        <w:rPr>
          <w:rFonts w:hint="eastAsia" w:ascii="宋体" w:hAnsi="宋体"/>
          <w:szCs w:val="21"/>
        </w:rPr>
        <w:t xml:space="preserve"> 和“供应商须知前附表”中所述采购项目的采购。</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“服务”系指询价文件规定的供应商为完成采购项目所需承担的全部义务。</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询价文件</w:t>
      </w:r>
      <w:r>
        <w:rPr>
          <w:rFonts w:cs="宋体" w:asciiTheme="minorEastAsia" w:hAnsiTheme="minorEastAsia"/>
          <w:kern w:val="0"/>
          <w:szCs w:val="21"/>
        </w:rPr>
        <w:t>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 “中国社会组织公共服务平台”网站（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询价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contextualSpacing/>
        <w:rPr>
          <w:rFonts w:cs="宋体" w:asciiTheme="minorEastAsia" w:hAnsiTheme="minorEastAsia"/>
          <w:kern w:val="0"/>
          <w:szCs w:val="21"/>
        </w:rPr>
      </w:pPr>
      <w:r>
        <w:rPr>
          <w:rFonts w:hint="eastAsia" w:cs="微软雅黑"/>
          <w:color w:val="000000"/>
        </w:rPr>
        <w:t>除询价文件费用外，不收取费用。</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二、询价文件说明</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（9）本项目询价文件的澄清、答复、修改、补充内容（如有的话）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在询价响应截止期前，无论出于何种原因，采购人可主动地或在解答供应商提出的澄清问题时对询价文件进行修改。</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澄清或修改公告的内容为询价文件的组成部分，并对供应商具有约束力。当询价文件与澄清或修改公告就同一内容的表述不一致时，以最后发出的文件内容为准。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响应文件计量单位，询价文件已有明确规定的，使用询价文件规定的计量单位；询价文件没有规定的，一律采用中华人民共和国法定计量单位。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本次采购项目的报价均以人民币为计算单位。</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响应文件的构成应符合法律法规及询价文件的要求。</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供应商应当按照询价文件的要求编制响应文件。响应文件应当对询价文件提出的要求和条件作出明确响应。</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16.1  本项目不收取投标保证金。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16.2  投标人应提供投标承诺函。</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询价文件的数量和签署盖章</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17.1 供应商应提交响应文件份数见“供应商须知前附表”。</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在询价文件中已明示需盖章及签名之处，电子响应文件应按询价文件要求加盖供应商电子印章和法人电子印章或授权代表电子印章。</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供应商必须在“采购邀请”和“供应商须知前附表”中规定的询价响应文件截止时间前，将所有响应文件送达询价文件指定的地点。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供应商补充、修改的内容并作为响应文件的组成部分。补充或修改应当按询价文件要求签署、盖章、密封、递交，并应注明“修改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供应商不得在投标有效期内撤销响应文件，否则投标人将承担违背投标承诺函的责任追究。</w:t>
      </w:r>
    </w:p>
    <w:p>
      <w:pPr>
        <w:pStyle w:val="43"/>
        <w:autoSpaceDE w:val="0"/>
        <w:autoSpaceDN w:val="0"/>
        <w:spacing w:line="360" w:lineRule="auto"/>
        <w:ind w:left="420"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五、开标和评审</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询价响应截止时间</w:t>
      </w:r>
      <w:r>
        <w:rPr>
          <w:rFonts w:hint="eastAsia" w:cs="宋体" w:asciiTheme="minorEastAsia" w:hAnsiTheme="minor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（1）电子询价文件的解密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43"/>
        <w:numPr>
          <w:ilvl w:val="1"/>
          <w:numId w:val="11"/>
        </w:numPr>
        <w:autoSpaceDE w:val="0"/>
        <w:autoSpaceDN w:val="0"/>
        <w:spacing w:line="360" w:lineRule="auto"/>
        <w:ind w:firstLineChars="0"/>
        <w:contextualSpacing/>
        <w:rPr>
          <w:rFonts w:hint="eastAsia" w:ascii="ˎ̥" w:hAnsi="ˎ̥"/>
          <w:vanish/>
        </w:rPr>
      </w:pP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hint="eastAsia"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hint="eastAsia"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hint="eastAsia"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资格审查：询价小组依据有关法律法规和询价文件的规定对供应商的资格进行审查。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1"/>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28.1.1 未按照招标文件的规定提交投标承诺函的；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不具备询价文件中规定的资格要求的；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报价超过询价文件中规定的预算金额的；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不同供应商的响应文件异常一致或者响应报价呈规律性差异；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询价小组应当从质量和服务均能满足采购文件实质性响应要求的供应商中，按照报价由低到高的顺序提出</w:t>
      </w:r>
      <w:r>
        <w:rPr>
          <w:rFonts w:hint="eastAsia" w:ascii="ˎ̥" w:hAnsi="ˎ̥"/>
        </w:rPr>
        <w:t>三名</w:t>
      </w:r>
      <w:r>
        <w:rPr>
          <w:rFonts w:ascii="ˎ̥" w:hAnsi="ˎ̥"/>
        </w:rPr>
        <w:t>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Cs w:val="21"/>
        </w:rPr>
        <w:t>。</w:t>
      </w:r>
    </w:p>
    <w:p>
      <w:pPr>
        <w:pStyle w:val="43"/>
        <w:numPr>
          <w:ilvl w:val="1"/>
          <w:numId w:val="17"/>
        </w:numPr>
        <w:autoSpaceDE w:val="0"/>
        <w:autoSpaceDN w:val="0"/>
        <w:spacing w:line="360" w:lineRule="auto"/>
        <w:ind w:firstLineChars="0"/>
        <w:contextualSpacing/>
        <w:rPr>
          <w:rFonts w:hint="eastAsia"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3"/>
        <w:numPr>
          <w:ilvl w:val="0"/>
          <w:numId w:val="11"/>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w:t>
      </w:r>
      <w:r>
        <w:rPr>
          <w:rFonts w:hint="eastAsia" w:cs="宋体" w:asciiTheme="minorEastAsia" w:hAnsiTheme="minorEastAsia"/>
          <w:kern w:val="0"/>
          <w:szCs w:val="21"/>
        </w:rPr>
        <w:t>询价</w:t>
      </w:r>
      <w:r>
        <w:rPr>
          <w:rFonts w:cs="宋体" w:asciiTheme="minorEastAsia" w:hAnsiTheme="minorEastAsia"/>
          <w:kern w:val="0"/>
          <w:szCs w:val="21"/>
        </w:rPr>
        <w:t>采购方式适用情形的；</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1"/>
        </w:numPr>
        <w:autoSpaceDE w:val="0"/>
        <w:autoSpaceDN w:val="0"/>
        <w:spacing w:line="360" w:lineRule="auto"/>
        <w:ind w:firstLineChars="0"/>
        <w:contextualSpacing/>
        <w:rPr>
          <w:rFonts w:hint="eastAsia" w:ascii="ˎ̥" w:hAnsi="ˎ̥"/>
        </w:rPr>
      </w:pPr>
      <w:r>
        <w:rPr>
          <w:rFonts w:hint="eastAsia" w:ascii="ˎ̥" w:hAnsi="ˎ̥"/>
        </w:rPr>
        <w:t>在采购过程中符合竞争要求的供应商或者报价未超过采购预算的供应商不足3家的。</w:t>
      </w:r>
    </w:p>
    <w:p>
      <w:pPr>
        <w:pStyle w:val="43"/>
        <w:autoSpaceDE w:val="0"/>
        <w:autoSpaceDN w:val="0"/>
        <w:spacing w:line="360" w:lineRule="auto"/>
        <w:ind w:left="964" w:firstLine="0" w:firstLineChars="0"/>
        <w:contextualSpacing/>
        <w:rPr>
          <w:rFonts w:hint="eastAsia" w:ascii="ˎ̥" w:hAnsi="ˎ̥"/>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9"/>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对询价文件提出质疑的，供应商应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询价文件，且应当在</w:t>
      </w:r>
      <w:r>
        <w:rPr>
          <w:rFonts w:cs="宋体" w:asciiTheme="minorEastAsia" w:hAnsiTheme="minorEastAsia"/>
          <w:kern w:val="0"/>
          <w:szCs w:val="21"/>
        </w:rPr>
        <w:t>获取</w:t>
      </w:r>
      <w:r>
        <w:rPr>
          <w:rFonts w:hint="eastAsia" w:cs="宋体" w:asciiTheme="minorEastAsia" w:hAnsiTheme="minorEastAsia"/>
          <w:kern w:val="0"/>
          <w:szCs w:val="21"/>
        </w:rPr>
        <w:t>询价文件</w:t>
      </w:r>
      <w:r>
        <w:rPr>
          <w:rFonts w:cs="宋体" w:asciiTheme="minorEastAsia" w:hAnsiTheme="minorEastAsia"/>
          <w:kern w:val="0"/>
          <w:szCs w:val="21"/>
        </w:rPr>
        <w:t>或者</w:t>
      </w:r>
      <w:r>
        <w:rPr>
          <w:rFonts w:hint="eastAsia" w:cs="宋体" w:asciiTheme="minorEastAsia" w:hAnsiTheme="minorEastAsia"/>
          <w:kern w:val="0"/>
          <w:szCs w:val="21"/>
        </w:rPr>
        <w:t>询价文件</w:t>
      </w:r>
      <w:r>
        <w:rPr>
          <w:rFonts w:cs="宋体" w:asciiTheme="minorEastAsia" w:hAnsiTheme="minorEastAsia"/>
          <w:kern w:val="0"/>
          <w:szCs w:val="21"/>
        </w:rPr>
        <w:t>公告期限届满之日起7个工作日内</w:t>
      </w:r>
      <w:r>
        <w:rPr>
          <w:rFonts w:hint="eastAsia" w:cs="宋体" w:asciiTheme="minorEastAsia" w:hAnsiTheme="minor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询价文件</w:t>
      </w:r>
      <w:r>
        <w:rPr>
          <w:rFonts w:cs="宋体" w:asciiTheme="minorEastAsia" w:hAnsiTheme="minorEastAsia"/>
          <w:kern w:val="0"/>
          <w:szCs w:val="21"/>
        </w:rPr>
        <w:t>提出的质疑，依法通过澄清或者修改可以继续开展采购活动的，澄清或者修改</w:t>
      </w:r>
      <w:r>
        <w:rPr>
          <w:rFonts w:hint="eastAsia" w:cs="宋体" w:asciiTheme="minorEastAsia" w:hAnsiTheme="minorEastAsia"/>
          <w:kern w:val="0"/>
          <w:szCs w:val="21"/>
        </w:rPr>
        <w:t>询价文件</w:t>
      </w:r>
      <w:r>
        <w:rPr>
          <w:rFonts w:cs="宋体" w:asciiTheme="minorEastAsia" w:hAnsiTheme="minorEastAsia"/>
          <w:kern w:val="0"/>
          <w:szCs w:val="21"/>
        </w:rPr>
        <w:t>后继续开展采购活动；否则应当修改</w:t>
      </w:r>
      <w:r>
        <w:rPr>
          <w:rFonts w:hint="eastAsia" w:cs="宋体" w:asciiTheme="minorEastAsia" w:hAnsiTheme="minorEastAsia"/>
          <w:kern w:val="0"/>
          <w:szCs w:val="21"/>
        </w:rPr>
        <w:t>询价文件</w:t>
      </w:r>
      <w:r>
        <w:rPr>
          <w:rFonts w:cs="宋体" w:asciiTheme="minorEastAsia" w:hAnsiTheme="minorEastAsia"/>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资格审查与评审</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询价小组</w:t>
            </w:r>
            <w:r>
              <w:rPr>
                <w:rFonts w:hint="eastAsia" w:asciiTheme="minorEastAsia" w:hAnsiTheme="minorEastAsia"/>
                <w:bCs/>
                <w:szCs w:val="21"/>
              </w:rPr>
              <w:t>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asciiTheme="minorEastAsia" w:hAnsiTheme="minorEastAsia"/>
                <w:bCs/>
                <w:szCs w:val="21"/>
              </w:rPr>
              <w:t>（4）信用信息的使用原则：</w:t>
            </w:r>
            <w:r>
              <w:rPr>
                <w:rFonts w:hint="eastAsia" w:cs="宋体" w:asciiTheme="minorEastAsia" w:hAnsiTheme="minorEastAsia"/>
                <w:kern w:val="0"/>
                <w:szCs w:val="21"/>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从质量和服务均能满足采购文件实质性响应要求的供应商中，按照报价由低到高的顺序提出三名成交候选人。根据规定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响应文件符合询价文件实质性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则响应文件中应根据本项目询价文件“第二章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w:t>
      </w:r>
      <w:r>
        <w:rPr>
          <w:rFonts w:hint="eastAsia" w:asciiTheme="minorEastAsia" w:hAnsiTheme="minorEastAsia" w:eastAsiaTheme="minorEastAsia"/>
          <w:color w:val="000000"/>
          <w:sz w:val="21"/>
          <w:szCs w:val="21"/>
          <w:u w:val="single"/>
        </w:rPr>
        <w:t>成交供应商</w:t>
      </w:r>
      <w:r>
        <w:rPr>
          <w:rFonts w:asciiTheme="minorEastAsia" w:hAnsiTheme="minorEastAsia" w:eastAsiaTheme="minorEastAsia"/>
          <w:color w:val="000000"/>
          <w:sz w:val="21"/>
          <w:szCs w:val="21"/>
          <w:u w:val="single"/>
        </w:rPr>
        <w:t>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w:t>
      </w:r>
      <w:r>
        <w:rPr>
          <w:rFonts w:hint="eastAsia" w:asciiTheme="minorEastAsia" w:hAnsiTheme="minorEastAsia" w:eastAsiaTheme="minorEastAsia"/>
          <w:color w:val="000000"/>
          <w:sz w:val="21"/>
          <w:szCs w:val="21"/>
        </w:rPr>
        <w:t>成交供应商</w:t>
      </w:r>
      <w:r>
        <w:rPr>
          <w:rFonts w:asciiTheme="minorEastAsia" w:hAnsiTheme="minorEastAsia" w:eastAsiaTheme="minorEastAsia"/>
          <w:color w:val="000000"/>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、乙方的</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color w:val="000000"/>
          <w:sz w:val="21"/>
          <w:szCs w:val="21"/>
        </w:rPr>
        <w:t>成交</w:t>
      </w:r>
      <w:r>
        <w:rPr>
          <w:rFonts w:asciiTheme="minorEastAsia" w:hAnsiTheme="minorEastAsia" w:eastAsiaTheme="minorEastAsia"/>
          <w:color w:val="000000"/>
          <w:sz w:val="21"/>
          <w:szCs w:val="21"/>
        </w:rPr>
        <w:t>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已有规定的，双方均不得变更或调整；</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rPr>
          <w:rFonts w:cs="黑体" w:asciiTheme="minorEastAsia" w:hAnsiTheme="minorEastAsia"/>
          <w:b/>
          <w:bCs/>
          <w:sz w:val="44"/>
          <w:szCs w:val="44"/>
          <w:lang w:val="zh-CN"/>
        </w:rPr>
      </w:pPr>
    </w:p>
    <w:p>
      <w:pPr>
        <w:autoSpaceDE w:val="0"/>
        <w:autoSpaceDN w:val="0"/>
        <w:adjustRightInd w:val="0"/>
        <w:spacing w:line="700" w:lineRule="exact"/>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_（项目名称、招标编号）采购的采购公告及采购邀请，_______（姓名和职务）被正式授权并代表供应商（供应商名称、地址）提交。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我方确认收到贵方提供的（项目名称、招标编号）询价文件的全部内容。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代表我方全权处理有关本项目询价响应的一切事宜。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在此提交的响应文件，正本一份，副本1份。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我方已完全明白询价文件的所有条款要求，并申明如下：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一、按询价文件提供的全部货物与相关服务的响应总价详见《报价一览表》。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二、本询价文件的有效期为询价响应截止时间起</w:t>
      </w:r>
      <w:r>
        <w:rPr>
          <w:rFonts w:hint="eastAsia" w:asciiTheme="minorEastAsia" w:hAnsiTheme="minorEastAsia"/>
          <w:i/>
          <w:snapToGrid w:val="0"/>
          <w:kern w:val="0"/>
          <w:szCs w:val="21"/>
          <w:u w:val="single"/>
        </w:rPr>
        <w:t xml:space="preserve">    </w:t>
      </w:r>
      <w:r>
        <w:rPr>
          <w:rFonts w:hint="eastAsia" w:cs="Courier New" w:asciiTheme="minorEastAsia" w:hAnsiTheme="minorEastAsia"/>
          <w:szCs w:val="21"/>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三、我方明白并同意，在规定的询价响应时间截止之后，响应有效期之内撤销询价响应的，则我方将承担违背投标承诺函的责任追究。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四、我方同意按照贵方可能提出的要求而提供与询价响应有关的任何其它数据、信息或资料。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五、我方理解贵方不一定接受最低响应价或任何贵方可能收到的询价响应。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六、我方如果成交，将保证履行询价文件及其澄清、修改文件（如果有）中的全部责任和义务，按质、按量、按期完成《采购需求》及《合同书》中的全部任务。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以上内容如有虚假或与事实不符的，询价小组可将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询价</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加本询价</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rPr>
      </w:pPr>
      <w:r>
        <w:rPr>
          <w:rFonts w:hint="eastAsia" w:ascii="宋体" w:hAnsi="宋体"/>
          <w:b/>
          <w:bCs/>
          <w:color w:val="000000"/>
          <w:sz w:val="24"/>
          <w:szCs w:val="24"/>
        </w:rPr>
        <w:t>3.5</w:t>
      </w:r>
      <w:r>
        <w:rPr>
          <w:rFonts w:hint="eastAsia" w:ascii="宋体" w:hAnsi="宋体"/>
          <w:b/>
          <w:bCs/>
          <w:color w:val="000000"/>
          <w:sz w:val="24"/>
        </w:rPr>
        <w:t>投标承诺函</w:t>
      </w:r>
    </w:p>
    <w:p>
      <w:pPr>
        <w:autoSpaceDE w:val="0"/>
        <w:autoSpaceDN w:val="0"/>
        <w:snapToGrid w:val="0"/>
        <w:spacing w:line="360" w:lineRule="auto"/>
        <w:rPr>
          <w:rFonts w:ascii="宋体" w:hAnsi="宋体"/>
          <w:b/>
          <w:bCs/>
          <w:color w:val="000000"/>
          <w:sz w:val="24"/>
        </w:rPr>
      </w:pP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u w:val="single"/>
          <w:lang w:val="zh-CN"/>
        </w:rPr>
        <w:t xml:space="preserve">     </w:t>
      </w:r>
      <w:r>
        <w:rPr>
          <w:rFonts w:cs="宋体" w:asciiTheme="minorEastAsia" w:hAnsiTheme="minorEastAsia"/>
          <w:szCs w:val="21"/>
          <w:u w:val="single"/>
          <w:lang w:val="zh-CN"/>
        </w:rPr>
        <w:t xml:space="preserve">     </w:t>
      </w:r>
      <w:r>
        <w:rPr>
          <w:rFonts w:hint="eastAsia" w:cs="宋体" w:asciiTheme="minorEastAsia" w:hAnsiTheme="minorEastAsia"/>
          <w:szCs w:val="21"/>
          <w:u w:val="single"/>
          <w:lang w:val="zh-CN"/>
        </w:rPr>
        <w:t xml:space="preserve">        </w:t>
      </w:r>
      <w:r>
        <w:rPr>
          <w:rFonts w:cs="宋体" w:asciiTheme="minorEastAsia" w:hAnsiTheme="minorEastAsia"/>
          <w:szCs w:val="21"/>
          <w:lang w:val="zh-CN"/>
        </w:rPr>
        <w:t>（</w:t>
      </w:r>
      <w:r>
        <w:rPr>
          <w:rFonts w:hint="eastAsia" w:cs="宋体" w:asciiTheme="minorEastAsia" w:hAnsiTheme="minorEastAsia"/>
          <w:szCs w:val="21"/>
          <w:lang w:val="zh-CN"/>
        </w:rPr>
        <w:t>采购</w:t>
      </w:r>
      <w:r>
        <w:rPr>
          <w:rFonts w:cs="宋体" w:asciiTheme="minorEastAsia" w:hAnsiTheme="minorEastAsia"/>
          <w:szCs w:val="21"/>
          <w:lang w:val="zh-CN"/>
        </w:rPr>
        <w:t>人名称）：</w:t>
      </w:r>
    </w:p>
    <w:p>
      <w:pPr>
        <w:spacing w:beforeLines="50" w:afterLines="50" w:line="360" w:lineRule="auto"/>
        <w:ind w:firstLine="420" w:firstLineChars="200"/>
        <w:contextualSpacing/>
        <w:rPr>
          <w:rFonts w:cs="宋体" w:asciiTheme="minorEastAsia" w:hAnsiTheme="minorEastAsia"/>
          <w:szCs w:val="21"/>
          <w:lang w:val="zh-CN"/>
        </w:rPr>
      </w:pPr>
      <w:r>
        <w:rPr>
          <w:rFonts w:cs="宋体" w:asciiTheme="minorEastAsia" w:hAnsiTheme="minorEastAsia"/>
          <w:szCs w:val="21"/>
          <w:lang w:val="zh-CN"/>
        </w:rPr>
        <w:t>经研究，我</w:t>
      </w:r>
      <w:r>
        <w:rPr>
          <w:rFonts w:hint="eastAsia" w:cs="宋体" w:asciiTheme="minorEastAsia" w:hAnsiTheme="minorEastAsia"/>
          <w:szCs w:val="21"/>
          <w:lang w:val="zh-CN"/>
        </w:rPr>
        <w:t>方自愿参与贵方</w:t>
      </w:r>
      <w:r>
        <w:rPr>
          <w:rFonts w:hint="eastAsia" w:cs="宋体" w:asciiTheme="minorEastAsia" w:hAnsiTheme="minorEastAsia"/>
          <w:szCs w:val="21"/>
          <w:u w:val="single"/>
          <w:lang w:val="zh-CN"/>
        </w:rPr>
        <w:t xml:space="preserve">       </w:t>
      </w:r>
      <w:r>
        <w:rPr>
          <w:rFonts w:cs="宋体" w:asciiTheme="minorEastAsia" w:hAnsiTheme="minorEastAsia"/>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cs="宋体" w:asciiTheme="minorEastAsia" w:hAnsiTheme="minorEastAsia"/>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cs="宋体" w:asciiTheme="minorEastAsia" w:hAnsiTheme="minorEastAsia"/>
          <w:szCs w:val="21"/>
          <w:u w:val="single"/>
          <w:lang w:val="zh-CN"/>
        </w:rPr>
        <w:t>_</w:t>
      </w:r>
      <w:r>
        <w:rPr>
          <w:rFonts w:hint="eastAsia" w:cs="宋体" w:asciiTheme="minorEastAsia" w:hAnsiTheme="minorEastAsia"/>
          <w:szCs w:val="21"/>
          <w:lang w:val="zh-CN"/>
        </w:rPr>
        <w:t>（采购编号、项目名称）的</w:t>
      </w:r>
      <w:r>
        <w:rPr>
          <w:rFonts w:cs="宋体" w:asciiTheme="minorEastAsia" w:hAnsiTheme="minorEastAsia"/>
          <w:szCs w:val="21"/>
          <w:lang w:val="zh-CN"/>
        </w:rPr>
        <w:t>投标，</w:t>
      </w:r>
      <w:r>
        <w:rPr>
          <w:rFonts w:hint="eastAsia" w:cs="宋体" w:asciiTheme="minorEastAsia" w:hAnsiTheme="minorEastAsia"/>
          <w:szCs w:val="21"/>
          <w:lang w:val="zh-CN"/>
        </w:rPr>
        <w:t>将</w:t>
      </w:r>
      <w:r>
        <w:rPr>
          <w:rFonts w:cs="宋体" w:asciiTheme="minorEastAsia" w:hAnsiTheme="minorEastAsia"/>
          <w:szCs w:val="21"/>
          <w:lang w:val="zh-CN"/>
        </w:rPr>
        <w:t>严格</w:t>
      </w:r>
      <w:r>
        <w:rPr>
          <w:rFonts w:hint="eastAsia" w:cs="宋体" w:asciiTheme="minorEastAsia" w:hAnsiTheme="minorEastAsia"/>
          <w:szCs w:val="21"/>
          <w:lang w:val="zh-CN"/>
        </w:rPr>
        <w:t>遵守</w:t>
      </w:r>
      <w:r>
        <w:rPr>
          <w:rFonts w:cs="宋体" w:asciiTheme="minorEastAsia" w:hAnsiTheme="minorEastAsia"/>
          <w:szCs w:val="21"/>
          <w:lang w:val="zh-CN"/>
        </w:rPr>
        <w:t>《</w:t>
      </w:r>
      <w:r>
        <w:rPr>
          <w:rFonts w:hint="eastAsia" w:cs="宋体" w:asciiTheme="minorEastAsia" w:hAnsiTheme="minorEastAsia"/>
          <w:szCs w:val="21"/>
          <w:lang w:val="zh-CN"/>
        </w:rPr>
        <w:t>中华人民共和国政府采购</w:t>
      </w:r>
      <w:r>
        <w:rPr>
          <w:rFonts w:cs="宋体" w:asciiTheme="minorEastAsia" w:hAnsiTheme="minorEastAsia"/>
          <w:szCs w:val="21"/>
          <w:lang w:val="zh-CN"/>
        </w:rPr>
        <w:t>法》等</w:t>
      </w:r>
      <w:r>
        <w:rPr>
          <w:rFonts w:hint="eastAsia" w:cs="宋体" w:asciiTheme="minorEastAsia" w:hAnsiTheme="minorEastAsia"/>
          <w:szCs w:val="21"/>
          <w:lang w:val="zh-CN"/>
        </w:rPr>
        <w:t>相关</w:t>
      </w:r>
      <w:r>
        <w:rPr>
          <w:rFonts w:cs="宋体" w:asciiTheme="minorEastAsia" w:hAnsiTheme="minorEastAsia"/>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投标人名称（盖章）：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
      <w:pPr>
        <w:autoSpaceDE w:val="0"/>
        <w:autoSpaceDN w:val="0"/>
        <w:adjustRightInd w:val="0"/>
        <w:spacing w:line="360" w:lineRule="auto"/>
        <w:ind w:right="-11"/>
        <w:rPr>
          <w:rFonts w:ascii="宋体" w:cs="宋体"/>
          <w:szCs w:val="21"/>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询价文件</w:t>
      </w:r>
      <w:r>
        <w:rPr>
          <w:rFonts w:ascii="宋体" w:hAnsi="宋体"/>
          <w:b/>
          <w:bCs/>
          <w:color w:val="000000"/>
          <w:sz w:val="28"/>
          <w:szCs w:val="28"/>
        </w:rPr>
        <w:t>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55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8134F19"/>
    <w:multiLevelType w:val="multilevel"/>
    <w:tmpl w:val="48134F19"/>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5A051E9E"/>
    <w:multiLevelType w:val="singleLevel"/>
    <w:tmpl w:val="5A051E9E"/>
    <w:lvl w:ilvl="0" w:tentative="0">
      <w:start w:val="1"/>
      <w:numFmt w:val="chineseCounting"/>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14"/>
  </w:num>
  <w:num w:numId="5">
    <w:abstractNumId w:val="12"/>
  </w:num>
  <w:num w:numId="6">
    <w:abstractNumId w:val="9"/>
  </w:num>
  <w:num w:numId="7">
    <w:abstractNumId w:val="15"/>
  </w:num>
  <w:num w:numId="8">
    <w:abstractNumId w:val="7"/>
  </w:num>
  <w:num w:numId="9">
    <w:abstractNumId w:val="2"/>
  </w:num>
  <w:num w:numId="10">
    <w:abstractNumId w:val="8"/>
  </w:num>
  <w:num w:numId="11">
    <w:abstractNumId w:val="10"/>
  </w:num>
  <w:num w:numId="12">
    <w:abstractNumId w:val="18"/>
  </w:num>
  <w:num w:numId="13">
    <w:abstractNumId w:val="6"/>
  </w:num>
  <w:num w:numId="14">
    <w:abstractNumId w:val="3"/>
  </w:num>
  <w:num w:numId="15">
    <w:abstractNumId w:val="16"/>
  </w:num>
  <w:num w:numId="16">
    <w:abstractNumId w:val="11"/>
  </w:num>
  <w:num w:numId="17">
    <w:abstractNumId w:val="5"/>
  </w:num>
  <w:num w:numId="18">
    <w:abstractNumId w:val="17"/>
  </w:num>
  <w:num w:numId="19">
    <w:abstractNumId w:val="1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29EC"/>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2AD"/>
    <w:rsid w:val="00063640"/>
    <w:rsid w:val="0007075F"/>
    <w:rsid w:val="00073DCF"/>
    <w:rsid w:val="00075875"/>
    <w:rsid w:val="000763D3"/>
    <w:rsid w:val="00077FF3"/>
    <w:rsid w:val="0008053A"/>
    <w:rsid w:val="00081171"/>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3ED"/>
    <w:rsid w:val="000D1A9C"/>
    <w:rsid w:val="000D581B"/>
    <w:rsid w:val="000D5D95"/>
    <w:rsid w:val="000D648E"/>
    <w:rsid w:val="000D74F9"/>
    <w:rsid w:val="000D7DD7"/>
    <w:rsid w:val="000E0A3C"/>
    <w:rsid w:val="000E22B9"/>
    <w:rsid w:val="000E263E"/>
    <w:rsid w:val="000E264F"/>
    <w:rsid w:val="000E3E48"/>
    <w:rsid w:val="000E4F3B"/>
    <w:rsid w:val="000F5266"/>
    <w:rsid w:val="000F7B6E"/>
    <w:rsid w:val="001008C2"/>
    <w:rsid w:val="00104301"/>
    <w:rsid w:val="001052E3"/>
    <w:rsid w:val="00105FFA"/>
    <w:rsid w:val="00110C26"/>
    <w:rsid w:val="00111A8C"/>
    <w:rsid w:val="00111C75"/>
    <w:rsid w:val="0011232C"/>
    <w:rsid w:val="0011325E"/>
    <w:rsid w:val="0011409A"/>
    <w:rsid w:val="00114133"/>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D2D"/>
    <w:rsid w:val="00175CCB"/>
    <w:rsid w:val="00175D7E"/>
    <w:rsid w:val="0017717D"/>
    <w:rsid w:val="00177313"/>
    <w:rsid w:val="00177750"/>
    <w:rsid w:val="001829C2"/>
    <w:rsid w:val="00183EF7"/>
    <w:rsid w:val="00184640"/>
    <w:rsid w:val="00185001"/>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1389"/>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6ED1"/>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46975"/>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0F02"/>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0BA"/>
    <w:rsid w:val="004224AA"/>
    <w:rsid w:val="00423593"/>
    <w:rsid w:val="00427171"/>
    <w:rsid w:val="00431563"/>
    <w:rsid w:val="00431A4E"/>
    <w:rsid w:val="00431F06"/>
    <w:rsid w:val="0043314E"/>
    <w:rsid w:val="00434CD5"/>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501"/>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07D1C"/>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5EAB"/>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2921"/>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710"/>
    <w:rsid w:val="005D272E"/>
    <w:rsid w:val="005D433F"/>
    <w:rsid w:val="005D5852"/>
    <w:rsid w:val="005D5E11"/>
    <w:rsid w:val="005D6950"/>
    <w:rsid w:val="005D77CF"/>
    <w:rsid w:val="005E0150"/>
    <w:rsid w:val="005E070E"/>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07B83"/>
    <w:rsid w:val="006118DE"/>
    <w:rsid w:val="0061788D"/>
    <w:rsid w:val="006211BD"/>
    <w:rsid w:val="00621788"/>
    <w:rsid w:val="00621B6C"/>
    <w:rsid w:val="00622134"/>
    <w:rsid w:val="00622FF6"/>
    <w:rsid w:val="00626DBC"/>
    <w:rsid w:val="00633894"/>
    <w:rsid w:val="006341CB"/>
    <w:rsid w:val="00634A59"/>
    <w:rsid w:val="00634E5F"/>
    <w:rsid w:val="00636AAD"/>
    <w:rsid w:val="006378BB"/>
    <w:rsid w:val="00637BD3"/>
    <w:rsid w:val="00644E97"/>
    <w:rsid w:val="00651415"/>
    <w:rsid w:val="00660988"/>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866"/>
    <w:rsid w:val="00685CAE"/>
    <w:rsid w:val="00687075"/>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19D"/>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6E19"/>
    <w:rsid w:val="00702238"/>
    <w:rsid w:val="00703498"/>
    <w:rsid w:val="007106F8"/>
    <w:rsid w:val="00710BB7"/>
    <w:rsid w:val="00710DF8"/>
    <w:rsid w:val="007111C4"/>
    <w:rsid w:val="007118ED"/>
    <w:rsid w:val="00712E6E"/>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614A"/>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6616"/>
    <w:rsid w:val="0078733C"/>
    <w:rsid w:val="00792870"/>
    <w:rsid w:val="00793ADE"/>
    <w:rsid w:val="007942AC"/>
    <w:rsid w:val="007A05F2"/>
    <w:rsid w:val="007A0F7B"/>
    <w:rsid w:val="007A1777"/>
    <w:rsid w:val="007A5D41"/>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23C8"/>
    <w:rsid w:val="00834D27"/>
    <w:rsid w:val="00836566"/>
    <w:rsid w:val="008375D0"/>
    <w:rsid w:val="00837834"/>
    <w:rsid w:val="008429C9"/>
    <w:rsid w:val="00843E89"/>
    <w:rsid w:val="00847A1F"/>
    <w:rsid w:val="0085091C"/>
    <w:rsid w:val="00850A7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10FBF"/>
    <w:rsid w:val="00912327"/>
    <w:rsid w:val="00912E30"/>
    <w:rsid w:val="009130EC"/>
    <w:rsid w:val="00913638"/>
    <w:rsid w:val="00920741"/>
    <w:rsid w:val="00924304"/>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6FC1"/>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6A1"/>
    <w:rsid w:val="009A296B"/>
    <w:rsid w:val="009A2BC5"/>
    <w:rsid w:val="009A47E3"/>
    <w:rsid w:val="009A5F82"/>
    <w:rsid w:val="009A6F91"/>
    <w:rsid w:val="009A7B22"/>
    <w:rsid w:val="009B05E1"/>
    <w:rsid w:val="009B3ABA"/>
    <w:rsid w:val="009B3B64"/>
    <w:rsid w:val="009B4ECF"/>
    <w:rsid w:val="009B773A"/>
    <w:rsid w:val="009C12AB"/>
    <w:rsid w:val="009C35AA"/>
    <w:rsid w:val="009C46D1"/>
    <w:rsid w:val="009C5C9D"/>
    <w:rsid w:val="009D09DF"/>
    <w:rsid w:val="009D0D89"/>
    <w:rsid w:val="009D24B7"/>
    <w:rsid w:val="009D43BB"/>
    <w:rsid w:val="009D7347"/>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5DE9"/>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045C"/>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532FE"/>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2A3B"/>
    <w:rsid w:val="00BF1DA5"/>
    <w:rsid w:val="00BF21E1"/>
    <w:rsid w:val="00C00EB4"/>
    <w:rsid w:val="00C02C34"/>
    <w:rsid w:val="00C02DE2"/>
    <w:rsid w:val="00C06F9E"/>
    <w:rsid w:val="00C07CED"/>
    <w:rsid w:val="00C124C8"/>
    <w:rsid w:val="00C12E3A"/>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57E1B"/>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51DC"/>
    <w:rsid w:val="00CB13C7"/>
    <w:rsid w:val="00CB1755"/>
    <w:rsid w:val="00CB3DB2"/>
    <w:rsid w:val="00CB5066"/>
    <w:rsid w:val="00CB5576"/>
    <w:rsid w:val="00CB761A"/>
    <w:rsid w:val="00CC46BF"/>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1B4"/>
    <w:rsid w:val="00DD43EB"/>
    <w:rsid w:val="00DD5441"/>
    <w:rsid w:val="00DD66CF"/>
    <w:rsid w:val="00DE0880"/>
    <w:rsid w:val="00DE3E9A"/>
    <w:rsid w:val="00DE4F7B"/>
    <w:rsid w:val="00DE58C3"/>
    <w:rsid w:val="00DE70BC"/>
    <w:rsid w:val="00DF233C"/>
    <w:rsid w:val="00DF493C"/>
    <w:rsid w:val="00DF664B"/>
    <w:rsid w:val="00E00A80"/>
    <w:rsid w:val="00E033A9"/>
    <w:rsid w:val="00E05333"/>
    <w:rsid w:val="00E07350"/>
    <w:rsid w:val="00E10B67"/>
    <w:rsid w:val="00E155B5"/>
    <w:rsid w:val="00E16A95"/>
    <w:rsid w:val="00E16B67"/>
    <w:rsid w:val="00E203D7"/>
    <w:rsid w:val="00E2286C"/>
    <w:rsid w:val="00E23924"/>
    <w:rsid w:val="00E2434C"/>
    <w:rsid w:val="00E24944"/>
    <w:rsid w:val="00E26A2C"/>
    <w:rsid w:val="00E328ED"/>
    <w:rsid w:val="00E32D01"/>
    <w:rsid w:val="00E3418E"/>
    <w:rsid w:val="00E35345"/>
    <w:rsid w:val="00E353E7"/>
    <w:rsid w:val="00E403D1"/>
    <w:rsid w:val="00E4131A"/>
    <w:rsid w:val="00E42B6F"/>
    <w:rsid w:val="00E43378"/>
    <w:rsid w:val="00E45587"/>
    <w:rsid w:val="00E52D68"/>
    <w:rsid w:val="00E544C0"/>
    <w:rsid w:val="00E60107"/>
    <w:rsid w:val="00E6072E"/>
    <w:rsid w:val="00E62376"/>
    <w:rsid w:val="00E62935"/>
    <w:rsid w:val="00E63001"/>
    <w:rsid w:val="00E6391C"/>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5056"/>
    <w:rsid w:val="00F165A3"/>
    <w:rsid w:val="00F206B2"/>
    <w:rsid w:val="00F21791"/>
    <w:rsid w:val="00F21E3B"/>
    <w:rsid w:val="00F23C62"/>
    <w:rsid w:val="00F30ABD"/>
    <w:rsid w:val="00F31EB3"/>
    <w:rsid w:val="00F3359B"/>
    <w:rsid w:val="00F40E35"/>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2C08"/>
    <w:rsid w:val="00F95851"/>
    <w:rsid w:val="00F97918"/>
    <w:rsid w:val="00FA034D"/>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2AB7E7D"/>
    <w:rsid w:val="053F5432"/>
    <w:rsid w:val="064E7C45"/>
    <w:rsid w:val="08C110A9"/>
    <w:rsid w:val="0B463D03"/>
    <w:rsid w:val="0C4C440E"/>
    <w:rsid w:val="0CAE7D79"/>
    <w:rsid w:val="0F492F98"/>
    <w:rsid w:val="100B4F00"/>
    <w:rsid w:val="11BD006B"/>
    <w:rsid w:val="12C27102"/>
    <w:rsid w:val="14214638"/>
    <w:rsid w:val="149819C8"/>
    <w:rsid w:val="15EE44D7"/>
    <w:rsid w:val="197B011F"/>
    <w:rsid w:val="1AAF6502"/>
    <w:rsid w:val="1BC27E34"/>
    <w:rsid w:val="1C317F37"/>
    <w:rsid w:val="1C527EEE"/>
    <w:rsid w:val="1D90357B"/>
    <w:rsid w:val="21DF17AC"/>
    <w:rsid w:val="22B643D4"/>
    <w:rsid w:val="25720679"/>
    <w:rsid w:val="27B5253B"/>
    <w:rsid w:val="29F9408A"/>
    <w:rsid w:val="2C2E4C48"/>
    <w:rsid w:val="2D5F028F"/>
    <w:rsid w:val="2E8D15FA"/>
    <w:rsid w:val="2F344697"/>
    <w:rsid w:val="2F45482D"/>
    <w:rsid w:val="2F477084"/>
    <w:rsid w:val="305F0D15"/>
    <w:rsid w:val="307D673F"/>
    <w:rsid w:val="318C2EA9"/>
    <w:rsid w:val="326B6CB0"/>
    <w:rsid w:val="32B20743"/>
    <w:rsid w:val="35306958"/>
    <w:rsid w:val="35B62091"/>
    <w:rsid w:val="37C55007"/>
    <w:rsid w:val="391E6950"/>
    <w:rsid w:val="3A1A525E"/>
    <w:rsid w:val="3B380893"/>
    <w:rsid w:val="3D96637E"/>
    <w:rsid w:val="3F8576E9"/>
    <w:rsid w:val="43522E59"/>
    <w:rsid w:val="46366161"/>
    <w:rsid w:val="46E35449"/>
    <w:rsid w:val="473960E8"/>
    <w:rsid w:val="485128BA"/>
    <w:rsid w:val="49574371"/>
    <w:rsid w:val="4D005CCE"/>
    <w:rsid w:val="505F0174"/>
    <w:rsid w:val="51352836"/>
    <w:rsid w:val="52523F58"/>
    <w:rsid w:val="544C0545"/>
    <w:rsid w:val="56262F54"/>
    <w:rsid w:val="57E14B71"/>
    <w:rsid w:val="58A31F4C"/>
    <w:rsid w:val="5BC86218"/>
    <w:rsid w:val="5CB139A0"/>
    <w:rsid w:val="60AD7F6C"/>
    <w:rsid w:val="614E3A65"/>
    <w:rsid w:val="6321107C"/>
    <w:rsid w:val="67341FB4"/>
    <w:rsid w:val="69FB4D8B"/>
    <w:rsid w:val="6D32159C"/>
    <w:rsid w:val="70564660"/>
    <w:rsid w:val="71A2533B"/>
    <w:rsid w:val="755E1E93"/>
    <w:rsid w:val="75AB4839"/>
    <w:rsid w:val="763A3042"/>
    <w:rsid w:val="767C5E46"/>
    <w:rsid w:val="76B625A7"/>
    <w:rsid w:val="78AF68A0"/>
    <w:rsid w:val="7C347A99"/>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 w:type="paragraph" w:customStyle="1" w:styleId="57">
    <w:name w:val="*正文"/>
    <w:basedOn w:val="1"/>
    <w:qFormat/>
    <w:uiPriority w:val="0"/>
    <w:pPr>
      <w:keepNext/>
      <w:keepLines/>
      <w:spacing w:line="360" w:lineRule="auto"/>
      <w:ind w:firstLine="200" w:firstLineChars="200"/>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92A8C7-BE3A-40F6-A851-B98E8C9BA6A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55</Pages>
  <Words>4262</Words>
  <Characters>24298</Characters>
  <Lines>202</Lines>
  <Paragraphs>57</Paragraphs>
  <TotalTime>2</TotalTime>
  <ScaleCrop>false</ScaleCrop>
  <LinksUpToDate>false</LinksUpToDate>
  <CharactersWithSpaces>28503</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2019-08-09T02:38:00Z</dcterms:created>
  <dc:creator>许昌市公共资源交易中心:孟莉</dc:creator>
  <cp:lastModifiedBy>禹州市公共资源交易中心:郭亚青</cp:lastModifiedBy>
  <cp:lastPrinted>2019-08-09T02:20:00Z</cp:lastPrinted>
  <dcterms:modified xsi:type="dcterms:W3CDTF">2019-11-11T02:44:45Z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