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黑体" w:hAnsi="黑体" w:eastAsia="黑体" w:cs="黑体"/>
          <w:b/>
          <w:color w:val="000000"/>
          <w:spacing w:val="-16"/>
          <w:w w:val="90"/>
          <w:kern w:val="22"/>
          <w:sz w:val="44"/>
          <w:szCs w:val="44"/>
        </w:rPr>
      </w:pPr>
      <w:r>
        <w:rPr>
          <w:rFonts w:hint="eastAsia" w:ascii="黑体" w:hAnsi="黑体" w:eastAsia="黑体" w:cs="黑体"/>
          <w:b/>
          <w:bCs/>
          <w:color w:val="000000"/>
          <w:sz w:val="44"/>
          <w:szCs w:val="44"/>
          <w:shd w:val="clear" w:color="auto" w:fill="FFFFFF"/>
        </w:rPr>
        <w:t>长葛市机关事务管理局“</w:t>
      </w:r>
      <w:r>
        <w:rPr>
          <w:rFonts w:hint="eastAsia" w:ascii="黑体" w:hAnsi="黑体" w:eastAsia="黑体" w:cs="黑体"/>
          <w:b/>
          <w:bCs/>
          <w:color w:val="000000"/>
          <w:sz w:val="44"/>
          <w:szCs w:val="44"/>
          <w:shd w:val="clear" w:color="auto" w:fill="FFFFFF"/>
          <w:lang w:eastAsia="zh-CN"/>
        </w:rPr>
        <w:t>质检大厦</w:t>
      </w:r>
      <w:r>
        <w:rPr>
          <w:rFonts w:hint="eastAsia" w:ascii="黑体" w:hAnsi="黑体" w:eastAsia="黑体" w:cs="黑体"/>
          <w:b/>
          <w:bCs/>
          <w:color w:val="000000"/>
          <w:sz w:val="44"/>
          <w:szCs w:val="44"/>
          <w:shd w:val="clear" w:color="auto" w:fill="FFFFFF"/>
        </w:rPr>
        <w:t>物业服务项目”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项目编号：长招采公字【2019】04</w:t>
      </w:r>
      <w:r>
        <w:rPr>
          <w:rFonts w:hint="eastAsia" w:asciiTheme="majorEastAsia" w:hAnsiTheme="majorEastAsia" w:eastAsiaTheme="majorEastAsia" w:cstheme="majorEastAsia"/>
          <w:b/>
          <w:bCs/>
          <w:color w:val="000000"/>
          <w:sz w:val="36"/>
          <w:szCs w:val="36"/>
          <w:lang w:val="en-US" w:eastAsia="zh-CN"/>
        </w:rPr>
        <w:t>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采购单位：长葛市机关事务管理局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集中采购机构：长葛市公共资源交易中心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二〇一九年九月</w:t>
      </w:r>
      <w:r>
        <w:rPr>
          <w:rFonts w:hint="eastAsia" w:asciiTheme="majorEastAsia" w:hAnsiTheme="majorEastAsia" w:eastAsiaTheme="majorEastAsia" w:cstheme="majorEastAsia"/>
          <w:b/>
          <w:bCs/>
          <w:color w:val="000000"/>
          <w:sz w:val="36"/>
          <w:szCs w:val="36"/>
          <w:lang w:eastAsia="zh-CN"/>
        </w:rPr>
        <w:t>三十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jc w:val="left"/>
        <w:rPr>
          <w:color w:val="000000"/>
          <w:szCs w:val="21"/>
          <w:shd w:val="clear" w:color="auto" w:fill="FFFFFF"/>
        </w:rPr>
      </w:pPr>
      <w:r>
        <w:rPr>
          <w:rFonts w:hint="eastAsia"/>
          <w:color w:val="000000"/>
          <w:szCs w:val="21"/>
          <w:shd w:val="clear" w:color="auto" w:fill="FFFFFF"/>
        </w:rPr>
        <w:t xml:space="preserve">    长葛市公共资源交易中心受长葛市机关事务管理局的委托，对长葛市机关事务管理局“</w:t>
      </w:r>
      <w:r>
        <w:rPr>
          <w:rFonts w:hint="eastAsia"/>
          <w:color w:val="000000"/>
          <w:szCs w:val="21"/>
          <w:shd w:val="clear" w:color="auto" w:fill="FFFFFF"/>
          <w:lang w:eastAsia="zh-CN"/>
        </w:rPr>
        <w:t>质检大厦</w:t>
      </w:r>
      <w:r>
        <w:rPr>
          <w:rFonts w:hint="eastAsia"/>
          <w:color w:val="000000"/>
          <w:szCs w:val="21"/>
          <w:shd w:val="clear" w:color="auto" w:fill="FFFFFF"/>
        </w:rPr>
        <w:t>物业服务项目”项目进行公开招标。现邀请符合本招标文件规定条件的供应商前来投标。</w:t>
      </w:r>
    </w:p>
    <w:p>
      <w:pPr>
        <w:pStyle w:val="21"/>
        <w:widowControl/>
        <w:shd w:val="clear" w:color="auto" w:fill="FFFFFF"/>
        <w:spacing w:line="360" w:lineRule="auto"/>
        <w:ind w:firstLine="420" w:firstLineChars="200"/>
        <w:contextualSpacing/>
        <w:jc w:val="left"/>
        <w:rPr>
          <w:rFonts w:asciiTheme="minorHAnsi" w:hAnsiTheme="minorHAnsi" w:eastAsiaTheme="minorEastAsia" w:cstheme="minorBidi"/>
          <w:color w:val="000000"/>
          <w:sz w:val="21"/>
          <w:szCs w:val="21"/>
          <w:shd w:val="clear" w:color="auto" w:fill="FFFFFF"/>
        </w:rPr>
      </w:pPr>
      <w:r>
        <w:rPr>
          <w:rFonts w:hint="eastAsia" w:asciiTheme="minorHAnsi" w:hAnsiTheme="minorHAnsi" w:eastAsiaTheme="minorEastAsia" w:cstheme="minorBidi"/>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olor w:val="000000"/>
          <w:sz w:val="21"/>
          <w:szCs w:val="21"/>
          <w:shd w:val="clear" w:color="auto" w:fill="FFFFFF"/>
        </w:rPr>
        <w:t>称：</w:t>
      </w:r>
      <w:r>
        <w:rPr>
          <w:color w:val="000000"/>
          <w:sz w:val="21"/>
          <w:szCs w:val="21"/>
          <w:shd w:val="clear" w:color="auto" w:fill="FFFFFF"/>
        </w:rPr>
        <w:t xml:space="preserve"> </w:t>
      </w:r>
      <w:r>
        <w:rPr>
          <w:rFonts w:hint="eastAsia" w:asciiTheme="minorHAnsi" w:hAnsiTheme="minorHAnsi" w:eastAsiaTheme="minorEastAsia" w:cstheme="minorBidi"/>
          <w:color w:val="000000"/>
          <w:sz w:val="21"/>
          <w:szCs w:val="21"/>
          <w:shd w:val="clear" w:color="auto" w:fill="FFFFFF"/>
        </w:rPr>
        <w:t>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质检大厦物业</w:t>
      </w:r>
      <w:r>
        <w:rPr>
          <w:rFonts w:hint="eastAsia" w:asciiTheme="minorHAnsi" w:hAnsiTheme="minorHAnsi" w:eastAsiaTheme="minorEastAsia" w:cstheme="minorBidi"/>
          <w:color w:val="000000"/>
          <w:sz w:val="21"/>
          <w:szCs w:val="21"/>
          <w:shd w:val="clear" w:color="auto" w:fill="FFFFFF"/>
        </w:rPr>
        <w:t>服务项目”项目</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（二）项目编号：长招采公字【2019】0</w:t>
      </w:r>
      <w:r>
        <w:rPr>
          <w:rFonts w:hint="eastAsia"/>
          <w:color w:val="000000"/>
          <w:sz w:val="21"/>
          <w:szCs w:val="21"/>
          <w:shd w:val="clear" w:color="auto" w:fill="FFFFFF"/>
          <w:lang w:val="en-US" w:eastAsia="zh-CN"/>
        </w:rPr>
        <w:t>49</w:t>
      </w:r>
      <w:r>
        <w:rPr>
          <w:rFonts w:hint="eastAsia"/>
          <w:color w:val="000000"/>
          <w:sz w:val="21"/>
          <w:szCs w:val="21"/>
          <w:shd w:val="clear" w:color="auto" w:fill="FFFFFF"/>
        </w:rPr>
        <w:t xml:space="preserve">号    </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 xml:space="preserve">（三）采购方式：公开招标                                                                                                                         </w:t>
      </w:r>
    </w:p>
    <w:p>
      <w:pPr>
        <w:pStyle w:val="21"/>
        <w:widowControl/>
        <w:spacing w:line="360" w:lineRule="auto"/>
        <w:ind w:firstLine="420" w:firstLineChars="200"/>
        <w:rPr>
          <w:color w:val="000000"/>
          <w:sz w:val="21"/>
          <w:szCs w:val="21"/>
          <w:shd w:val="clear" w:color="auto" w:fill="FFFFFF"/>
        </w:rPr>
      </w:pPr>
      <w:r>
        <w:rPr>
          <w:rFonts w:hint="eastAsia"/>
          <w:color w:val="000000"/>
          <w:sz w:val="21"/>
          <w:szCs w:val="21"/>
          <w:shd w:val="clear" w:color="auto" w:fill="FFFFFF"/>
        </w:rPr>
        <w:t>（四）采购内容：长葛市机关事务管理局</w:t>
      </w:r>
      <w:r>
        <w:rPr>
          <w:rFonts w:hint="eastAsia" w:asciiTheme="minorHAnsi" w:hAnsiTheme="minorHAnsi" w:eastAsiaTheme="minorEastAsia" w:cstheme="minorBidi"/>
          <w:color w:val="000000"/>
          <w:kern w:val="2"/>
          <w:sz w:val="21"/>
          <w:szCs w:val="21"/>
          <w:shd w:val="clear" w:color="auto" w:fill="FFFFFF"/>
          <w:lang w:val="en-US" w:eastAsia="zh-CN" w:bidi="ar-SA"/>
        </w:rPr>
        <w:t>“质检大厦物业服</w:t>
      </w:r>
      <w:r>
        <w:rPr>
          <w:rFonts w:hint="eastAsia"/>
          <w:color w:val="000000"/>
          <w:sz w:val="21"/>
          <w:szCs w:val="21"/>
          <w:shd w:val="clear" w:color="auto" w:fill="FFFFFF"/>
        </w:rPr>
        <w:t>务项目”；详见招标文件。</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（五）预算金额</w:t>
      </w:r>
      <w:r>
        <w:rPr>
          <w:rFonts w:hint="eastAsia" w:asciiTheme="minorHAnsi" w:hAnsiTheme="minorHAnsi" w:eastAsiaTheme="minorEastAsia" w:cstheme="minorBidi"/>
          <w:color w:val="000000"/>
          <w:kern w:val="2"/>
          <w:sz w:val="21"/>
          <w:szCs w:val="21"/>
          <w:shd w:val="clear" w:color="auto" w:fill="FFFFFF"/>
          <w:lang w:val="en-US" w:eastAsia="zh-CN" w:bidi="ar-SA"/>
        </w:rPr>
        <w:t>：¥1879080元。最高限价：¥1879080元（超</w:t>
      </w:r>
      <w:r>
        <w:rPr>
          <w:rFonts w:hint="eastAsia"/>
          <w:color w:val="000000"/>
          <w:sz w:val="21"/>
          <w:szCs w:val="21"/>
          <w:shd w:val="clear" w:color="auto" w:fill="FFFFFF"/>
        </w:rPr>
        <w:t>过此预算为无效报价）。</w:t>
      </w:r>
    </w:p>
    <w:p>
      <w:pPr>
        <w:pStyle w:val="21"/>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（六）交付（服务、完工）时间 ：3年</w:t>
      </w:r>
      <w:r>
        <w:rPr>
          <w:color w:val="000000"/>
          <w:sz w:val="21"/>
          <w:szCs w:val="21"/>
          <w:shd w:val="clear" w:color="auto" w:fill="FFFFFF"/>
        </w:rPr>
        <w:t xml:space="preserve"> </w:t>
      </w:r>
    </w:p>
    <w:p>
      <w:pPr>
        <w:pStyle w:val="21"/>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olor w:val="000000"/>
          <w:sz w:val="21"/>
          <w:szCs w:val="21"/>
          <w:shd w:val="clear" w:color="auto" w:fill="FFFFFF"/>
        </w:rPr>
        <w:t>（七）交付（服务、完工）地</w:t>
      </w:r>
      <w:r>
        <w:rPr>
          <w:rFonts w:hint="eastAsia" w:cs="Times New Roman"/>
          <w:color w:val="000000"/>
          <w:sz w:val="21"/>
          <w:szCs w:val="21"/>
          <w:shd w:val="clear" w:color="auto" w:fill="FFFFFF"/>
        </w:rPr>
        <w:t>点：长葛市</w:t>
      </w:r>
      <w:r>
        <w:rPr>
          <w:rFonts w:hint="eastAsia" w:cs="Times New Roman"/>
          <w:color w:val="000000"/>
          <w:sz w:val="21"/>
          <w:szCs w:val="21"/>
          <w:shd w:val="clear" w:color="auto" w:fill="FFFFFF"/>
          <w:lang w:eastAsia="zh-CN"/>
        </w:rPr>
        <w:t>张辽路与</w:t>
      </w:r>
      <w:r>
        <w:rPr>
          <w:rFonts w:hint="eastAsia" w:cs="Times New Roman"/>
          <w:color w:val="000000"/>
          <w:sz w:val="21"/>
          <w:szCs w:val="21"/>
          <w:shd w:val="clear" w:color="auto" w:fill="FFFFFF"/>
        </w:rPr>
        <w:t>葛天大道</w:t>
      </w:r>
      <w:r>
        <w:rPr>
          <w:rFonts w:hint="eastAsia" w:cs="Times New Roman"/>
          <w:color w:val="000000"/>
          <w:sz w:val="21"/>
          <w:szCs w:val="21"/>
          <w:shd w:val="clear" w:color="auto" w:fill="FFFFFF"/>
          <w:lang w:eastAsia="zh-CN"/>
        </w:rPr>
        <w:t>交叉口向东</w:t>
      </w:r>
      <w:r>
        <w:rPr>
          <w:rFonts w:hint="eastAsia" w:cs="Times New Roman"/>
          <w:color w:val="000000"/>
          <w:sz w:val="21"/>
          <w:szCs w:val="21"/>
          <w:shd w:val="clear" w:color="auto" w:fill="FFFFFF"/>
          <w:lang w:val="en-US" w:eastAsia="zh-CN"/>
        </w:rPr>
        <w:t>200米</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（八）分包：不允许。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（九）标包：一个标包</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（一）投标截止及开标时间：2019年</w:t>
      </w:r>
      <w:r>
        <w:rPr>
          <w:rFonts w:hint="eastAsia" w:cs="仿宋_GB2312" w:asciiTheme="minorEastAsia" w:hAnsiTheme="minorEastAsia" w:eastAsiaTheme="minorEastAsia"/>
          <w:color w:val="FF0000"/>
          <w:sz w:val="21"/>
          <w:szCs w:val="21"/>
          <w:lang w:val="en-US" w:eastAsia="zh-CN"/>
        </w:rPr>
        <w:t>10</w:t>
      </w:r>
      <w:r>
        <w:rPr>
          <w:rFonts w:hint="eastAsia" w:cs="仿宋_GB2312" w:asciiTheme="minorEastAsia" w:hAnsiTheme="minorEastAsia" w:eastAsiaTheme="minorEastAsia"/>
          <w:color w:val="FF0000"/>
          <w:sz w:val="21"/>
          <w:szCs w:val="21"/>
        </w:rPr>
        <w:t>月</w:t>
      </w:r>
      <w:r>
        <w:rPr>
          <w:rFonts w:hint="eastAsia" w:cs="仿宋_GB2312" w:asciiTheme="minorEastAsia" w:hAnsiTheme="minorEastAsia" w:eastAsiaTheme="minorEastAsia"/>
          <w:color w:val="FF0000"/>
          <w:sz w:val="21"/>
          <w:szCs w:val="21"/>
          <w:lang w:val="en-US" w:eastAsia="zh-CN"/>
        </w:rPr>
        <w:t>29</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lang w:val="en-US" w:eastAsia="zh-CN"/>
        </w:rPr>
        <w:t>9</w:t>
      </w:r>
      <w:r>
        <w:rPr>
          <w:rFonts w:hint="eastAsia" w:cs="仿宋_GB2312" w:asciiTheme="minorEastAsia" w:hAnsiTheme="minorEastAsia" w:eastAsiaTheme="minorEastAsia"/>
          <w:color w:val="FF0000"/>
          <w:sz w:val="21"/>
          <w:szCs w:val="21"/>
        </w:rPr>
        <w:t>时</w:t>
      </w:r>
      <w:r>
        <w:rPr>
          <w:rFonts w:hint="eastAsia" w:cs="仿宋_GB2312" w:asciiTheme="minorEastAsia" w:hAnsiTheme="minorEastAsia" w:eastAsiaTheme="minorEastAsia"/>
          <w:color w:val="FF0000"/>
          <w:sz w:val="21"/>
          <w:szCs w:val="21"/>
          <w:lang w:val="en-US" w:eastAsia="zh-CN"/>
        </w:rPr>
        <w:t>00</w:t>
      </w:r>
      <w:r>
        <w:rPr>
          <w:rFonts w:hint="eastAsia" w:cs="仿宋_GB2312" w:asciiTheme="minorEastAsia" w:hAnsiTheme="minorEastAsia" w:eastAsiaTheme="minorEastAsia"/>
          <w:color w:val="FF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（二）开标地点：长葛市公共资源交易中心（长葛市商务区6号楼）</w:t>
      </w:r>
      <w:r>
        <w:rPr>
          <w:rFonts w:hint="eastAsia" w:cs="仿宋_GB2312" w:asciiTheme="minorEastAsia" w:hAnsiTheme="minorEastAsia" w:eastAsiaTheme="minorEastAsia"/>
          <w:color w:val="FF0000"/>
          <w:sz w:val="21"/>
          <w:szCs w:val="21"/>
          <w:lang w:val="en-US" w:eastAsia="zh-CN"/>
        </w:rPr>
        <w:t>4</w:t>
      </w:r>
      <w:r>
        <w:rPr>
          <w:rFonts w:hint="eastAsia" w:cs="仿宋_GB2312" w:asciiTheme="minorEastAsia" w:hAnsiTheme="minorEastAsia" w:eastAsiaTheme="minorEastAsia"/>
          <w:color w:val="FF0000"/>
          <w:sz w:val="21"/>
          <w:szCs w:val="21"/>
        </w:rPr>
        <w:t>楼开标</w:t>
      </w:r>
      <w:r>
        <w:rPr>
          <w:rFonts w:hint="eastAsia" w:cs="仿宋_GB2312" w:asciiTheme="minorEastAsia" w:hAnsiTheme="minorEastAsia" w:eastAsiaTheme="minorEastAsia"/>
          <w:color w:val="FF0000"/>
          <w:sz w:val="21"/>
          <w:szCs w:val="21"/>
          <w:lang w:eastAsia="zh-CN"/>
        </w:rPr>
        <w:t>二</w:t>
      </w:r>
      <w:r>
        <w:rPr>
          <w:rFonts w:hint="eastAsia" w:cs="仿宋_GB2312" w:asciiTheme="minorEastAsia" w:hAnsiTheme="minorEastAsia" w:eastAsiaTheme="minorEastAsia"/>
          <w:color w:val="FF0000"/>
          <w:sz w:val="21"/>
          <w:szCs w:val="21"/>
        </w:rPr>
        <w:t>室</w:t>
      </w:r>
      <w:r>
        <w:rPr>
          <w:rFonts w:hint="eastAsia" w:cs="仿宋_GB2312" w:asciiTheme="minorEastAsia" w:hAnsiTheme="minorEastAsia" w:eastAsiaTheme="minorEastAsia"/>
          <w:color w:val="FF0000"/>
          <w:sz w:val="21"/>
          <w:szCs w:val="21"/>
          <w:lang w:val="en-US" w:eastAsia="zh-CN"/>
        </w:rPr>
        <w:t>409室</w:t>
      </w:r>
      <w:r>
        <w:rPr>
          <w:rFonts w:hint="eastAsia" w:cs="仿宋_GB2312" w:asciiTheme="minorEastAsia" w:hAnsiTheme="minorEastAsia" w:eastAsiaTheme="minorEastAsia"/>
          <w:color w:val="FF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采购人：长葛市机关事务管理局</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联系人：侯先生                 联系电话：13837421936 </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地址：长葛市葛天大道中段</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集中采购机构：长葛市公共资源交易中心</w:t>
      </w:r>
    </w:p>
    <w:p>
      <w:pPr>
        <w:spacing w:line="360" w:lineRule="auto"/>
        <w:rPr>
          <w:rFonts w:cs="仿宋_GB2312" w:asciiTheme="minorEastAsia" w:hAnsiTheme="minorEastAsia"/>
          <w:color w:val="000000"/>
          <w:szCs w:val="21"/>
        </w:rPr>
      </w:pPr>
      <w:r>
        <w:rPr>
          <w:rFonts w:hint="eastAsia" w:cs="仿宋_GB2312" w:asciiTheme="minorEastAsia" w:hAnsiTheme="minorEastAsia"/>
          <w:color w:val="000000"/>
          <w:szCs w:val="21"/>
        </w:rPr>
        <w:t xml:space="preserve">    地址：长葛市葛天大道东段商务区6#楼4楼</w:t>
      </w:r>
    </w:p>
    <w:p>
      <w:pPr>
        <w:spacing w:line="360" w:lineRule="auto"/>
        <w:rPr>
          <w:rFonts w:hint="default" w:cs="仿宋_GB2312" w:asciiTheme="minorEastAsia" w:hAnsiTheme="minorEastAsia" w:eastAsiaTheme="minorEastAsia"/>
          <w:color w:val="000000"/>
          <w:szCs w:val="21"/>
          <w:lang w:val="en-US" w:eastAsia="zh-CN"/>
        </w:rPr>
      </w:pPr>
      <w:r>
        <w:rPr>
          <w:rFonts w:hint="eastAsia" w:cs="仿宋_GB2312" w:asciiTheme="minorEastAsia" w:hAnsiTheme="minorEastAsia"/>
          <w:color w:val="000000"/>
          <w:szCs w:val="21"/>
        </w:rPr>
        <w:t xml:space="preserve">    联系人：政府采购</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部            联系电话：0374-6189</w:t>
      </w:r>
      <w:r>
        <w:rPr>
          <w:rFonts w:hint="eastAsia" w:cs="仿宋_GB2312" w:asciiTheme="minorEastAsia" w:hAnsiTheme="minorEastAsia"/>
          <w:color w:val="000000"/>
          <w:szCs w:val="21"/>
          <w:lang w:val="en-US" w:eastAsia="zh-CN"/>
        </w:rPr>
        <w:t>379</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asciiTheme="minorEastAsia" w:hAnsiTheme="minorEastAsia"/>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pStyle w:val="38"/>
        <w:numPr>
          <w:ilvl w:val="0"/>
          <w:numId w:val="0"/>
        </w:numPr>
        <w:ind w:firstLine="1890" w:firstLineChars="900"/>
        <w:jc w:val="both"/>
        <w:rPr>
          <w:b/>
          <w:bCs/>
          <w:sz w:val="32"/>
          <w:szCs w:val="32"/>
        </w:rPr>
      </w:pPr>
      <w:r>
        <w:rPr>
          <w:rFonts w:hint="eastAsia" w:cs="宋体" w:asciiTheme="minorEastAsia" w:hAnsiTheme="minorEastAsia"/>
          <w:color w:val="FF0000"/>
          <w:kern w:val="0"/>
          <w:szCs w:val="21"/>
        </w:rPr>
        <w:t>★</w:t>
      </w:r>
      <w:r>
        <w:rPr>
          <w:rFonts w:hint="eastAsia" w:cs="黑体" w:asciiTheme="minorEastAsia" w:hAnsiTheme="minorEastAsia" w:eastAsiaTheme="minorEastAsia"/>
          <w:b/>
          <w:bCs/>
          <w:color w:val="000000"/>
          <w:kern w:val="2"/>
          <w:sz w:val="24"/>
          <w:szCs w:val="24"/>
          <w:shd w:val="clear" w:color="auto" w:fill="FFFFFF"/>
          <w:lang w:val="en-US" w:eastAsia="zh-CN" w:bidi="ar-SA"/>
        </w:rPr>
        <w:t>长葛市质检大厦物业服务项目要求</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pStyle w:val="38"/>
              <w:ind w:firstLine="0" w:firstLineChars="0"/>
              <w:jc w:val="center"/>
              <w:rPr>
                <w:b/>
                <w:bCs/>
                <w:sz w:val="28"/>
                <w:szCs w:val="28"/>
              </w:rPr>
            </w:pPr>
            <w:r>
              <w:rPr>
                <w:rFonts w:hint="eastAsia"/>
                <w:b/>
                <w:bCs/>
                <w:sz w:val="28"/>
                <w:szCs w:val="28"/>
              </w:rPr>
              <w:t>项目</w:t>
            </w:r>
          </w:p>
        </w:tc>
        <w:tc>
          <w:tcPr>
            <w:tcW w:w="7497" w:type="dxa"/>
            <w:noWrap w:val="0"/>
            <w:vAlign w:val="top"/>
          </w:tcPr>
          <w:p>
            <w:pPr>
              <w:pStyle w:val="38"/>
              <w:ind w:firstLine="0" w:firstLineChars="0"/>
              <w:jc w:val="center"/>
              <w:rPr>
                <w:sz w:val="24"/>
              </w:rPr>
            </w:pPr>
            <w:r>
              <w:rPr>
                <w:rFonts w:hint="eastAsia"/>
                <w:b/>
                <w:bCs/>
                <w:sz w:val="28"/>
                <w:szCs w:val="28"/>
              </w:rPr>
              <w:t>工 作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5" w:type="dxa"/>
            <w:noWrap w:val="0"/>
            <w:vAlign w:val="top"/>
          </w:tcPr>
          <w:p>
            <w:pPr>
              <w:pStyle w:val="38"/>
              <w:ind w:firstLine="0" w:firstLineChars="0"/>
              <w:jc w:val="center"/>
              <w:rPr>
                <w:rFonts w:hint="eastAsia"/>
                <w:b/>
                <w:bCs/>
                <w:sz w:val="28"/>
                <w:szCs w:val="28"/>
              </w:rPr>
            </w:pPr>
            <w:r>
              <w:rPr>
                <w:rFonts w:hint="eastAsia"/>
                <w:b/>
                <w:bCs/>
                <w:sz w:val="28"/>
                <w:szCs w:val="28"/>
              </w:rPr>
              <w:t>物业经理</w:t>
            </w:r>
          </w:p>
        </w:tc>
        <w:tc>
          <w:tcPr>
            <w:tcW w:w="7497" w:type="dxa"/>
            <w:noWrap w:val="0"/>
            <w:vAlign w:val="top"/>
          </w:tcPr>
          <w:p>
            <w:pPr>
              <w:pStyle w:val="38"/>
              <w:ind w:firstLine="0" w:firstLineChars="0"/>
              <w:rPr>
                <w:rFonts w:hint="eastAsia"/>
                <w:sz w:val="24"/>
              </w:rPr>
            </w:pPr>
            <w:r>
              <w:rPr>
                <w:rFonts w:hint="eastAsia"/>
                <w:sz w:val="24"/>
              </w:rPr>
              <w:t>1、物业项目经理1人，年龄不超过50周岁，整治合格，身体健康，人品端正，负责整个物业服务项目的管理协调工作、具备物业管理岗位证书。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pStyle w:val="38"/>
              <w:ind w:firstLine="0" w:firstLineChars="0"/>
              <w:jc w:val="center"/>
              <w:rPr>
                <w:rFonts w:hint="eastAsia"/>
                <w:b/>
                <w:bCs/>
                <w:sz w:val="28"/>
                <w:szCs w:val="28"/>
              </w:rPr>
            </w:pPr>
            <w:r>
              <w:rPr>
                <w:rFonts w:hint="eastAsia"/>
                <w:b/>
                <w:bCs/>
                <w:sz w:val="28"/>
                <w:szCs w:val="28"/>
              </w:rPr>
              <w:t>安</w:t>
            </w:r>
          </w:p>
          <w:p>
            <w:pPr>
              <w:pStyle w:val="38"/>
              <w:ind w:firstLine="0" w:firstLineChars="0"/>
              <w:jc w:val="center"/>
              <w:rPr>
                <w:rFonts w:hint="eastAsia"/>
                <w:b/>
                <w:bCs/>
                <w:sz w:val="28"/>
                <w:szCs w:val="28"/>
              </w:rPr>
            </w:pPr>
            <w:r>
              <w:rPr>
                <w:rFonts w:hint="eastAsia"/>
                <w:b/>
                <w:bCs/>
                <w:sz w:val="28"/>
                <w:szCs w:val="28"/>
              </w:rPr>
              <w:t>保</w:t>
            </w:r>
          </w:p>
          <w:p>
            <w:pPr>
              <w:pStyle w:val="38"/>
              <w:ind w:firstLine="0" w:firstLineChars="0"/>
              <w:jc w:val="center"/>
              <w:rPr>
                <w:rFonts w:hint="eastAsia"/>
                <w:b/>
                <w:bCs/>
                <w:sz w:val="28"/>
                <w:szCs w:val="28"/>
              </w:rPr>
            </w:pPr>
            <w:r>
              <w:rPr>
                <w:rFonts w:hint="eastAsia"/>
                <w:b/>
                <w:bCs/>
                <w:sz w:val="28"/>
                <w:szCs w:val="28"/>
              </w:rPr>
              <w:t>工</w:t>
            </w:r>
          </w:p>
          <w:p>
            <w:pPr>
              <w:pStyle w:val="38"/>
              <w:ind w:firstLine="0" w:firstLineChars="0"/>
              <w:jc w:val="center"/>
              <w:rPr>
                <w:b/>
                <w:bCs/>
                <w:sz w:val="28"/>
                <w:szCs w:val="28"/>
              </w:rPr>
            </w:pPr>
            <w:r>
              <w:rPr>
                <w:rFonts w:hint="eastAsia"/>
                <w:b/>
                <w:bCs/>
                <w:sz w:val="28"/>
                <w:szCs w:val="28"/>
              </w:rPr>
              <w:t>作</w:t>
            </w:r>
          </w:p>
        </w:tc>
        <w:tc>
          <w:tcPr>
            <w:tcW w:w="7497" w:type="dxa"/>
            <w:noWrap w:val="0"/>
            <w:vAlign w:val="top"/>
          </w:tcPr>
          <w:p>
            <w:pPr>
              <w:pStyle w:val="38"/>
              <w:ind w:firstLine="0" w:firstLineChars="0"/>
              <w:rPr>
                <w:rFonts w:hint="eastAsia"/>
                <w:sz w:val="24"/>
              </w:rPr>
            </w:pPr>
            <w:r>
              <w:rPr>
                <w:rFonts w:hint="eastAsia"/>
                <w:sz w:val="24"/>
              </w:rPr>
              <w:t>1、人员</w:t>
            </w:r>
            <w:r>
              <w:rPr>
                <w:rFonts w:hint="eastAsia"/>
                <w:sz w:val="24"/>
                <w:lang w:val="en-US" w:eastAsia="zh-CN"/>
              </w:rPr>
              <w:t>6</w:t>
            </w:r>
            <w:r>
              <w:rPr>
                <w:rFonts w:hint="eastAsia"/>
                <w:sz w:val="24"/>
              </w:rPr>
              <w:t>人，年龄不超过50周岁，政治合格，身体健康，人品端正，无社会犯罪记录。</w:t>
            </w:r>
          </w:p>
          <w:p>
            <w:pPr>
              <w:pStyle w:val="38"/>
              <w:ind w:firstLine="0" w:firstLineChars="0"/>
              <w:rPr>
                <w:sz w:val="24"/>
              </w:rPr>
            </w:pPr>
            <w:r>
              <w:rPr>
                <w:rFonts w:hint="eastAsia"/>
                <w:sz w:val="24"/>
              </w:rPr>
              <w:t>2、负责24小时门岗室值班，对出入人员及车辆进行登记，禁止无关人员和车辆进入办公区域。</w:t>
            </w:r>
          </w:p>
          <w:p>
            <w:pPr>
              <w:pStyle w:val="38"/>
              <w:ind w:firstLine="0" w:firstLineChars="0"/>
              <w:rPr>
                <w:rFonts w:hint="eastAsia"/>
                <w:sz w:val="24"/>
              </w:rPr>
            </w:pPr>
            <w:r>
              <w:rPr>
                <w:rFonts w:hint="eastAsia"/>
                <w:sz w:val="24"/>
              </w:rPr>
              <w:t>3、负责楼、院内巡逻，特别是夜间巡逻次数要保证。</w:t>
            </w:r>
          </w:p>
          <w:p>
            <w:pPr>
              <w:pStyle w:val="38"/>
              <w:ind w:firstLine="0" w:firstLineChars="0"/>
              <w:rPr>
                <w:rFonts w:hint="eastAsia"/>
                <w:sz w:val="24"/>
              </w:rPr>
            </w:pPr>
            <w:r>
              <w:rPr>
                <w:rFonts w:hint="eastAsia"/>
                <w:sz w:val="24"/>
              </w:rPr>
              <w:t>4、负责引导院内和地下车库的车辆有序停放，制止和纠正乱停乱放。</w:t>
            </w:r>
          </w:p>
          <w:p>
            <w:pPr>
              <w:pStyle w:val="38"/>
              <w:ind w:firstLine="0" w:firstLineChars="0"/>
              <w:rPr>
                <w:rFonts w:hint="eastAsia"/>
                <w:sz w:val="24"/>
              </w:rPr>
            </w:pPr>
            <w:r>
              <w:rPr>
                <w:rFonts w:hint="eastAsia"/>
                <w:sz w:val="24"/>
              </w:rPr>
              <w:t>5、负责公共区域内公共设施、设备，保证完好。</w:t>
            </w:r>
          </w:p>
          <w:p>
            <w:pPr>
              <w:pStyle w:val="38"/>
              <w:ind w:firstLine="0" w:firstLineChars="0"/>
              <w:rPr>
                <w:rFonts w:hint="eastAsia"/>
                <w:sz w:val="24"/>
              </w:rPr>
            </w:pPr>
            <w:r>
              <w:rPr>
                <w:rFonts w:hint="eastAsia"/>
                <w:sz w:val="24"/>
              </w:rPr>
              <w:t>6、保安人员必须熟练使用消防器材，遇有紧急情况，迅速处理，及时上报。</w:t>
            </w:r>
          </w:p>
          <w:p>
            <w:pPr>
              <w:pStyle w:val="38"/>
              <w:ind w:firstLine="0" w:firstLineChars="0"/>
              <w:rPr>
                <w:sz w:val="24"/>
              </w:rPr>
            </w:pPr>
            <w:r>
              <w:rPr>
                <w:rFonts w:hint="eastAsia"/>
                <w:sz w:val="24"/>
              </w:rPr>
              <w:t>7、落实业主单位安排的其他安保工作。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025" w:type="dxa"/>
            <w:noWrap w:val="0"/>
            <w:vAlign w:val="top"/>
          </w:tcPr>
          <w:p>
            <w:pPr>
              <w:pStyle w:val="38"/>
              <w:ind w:firstLine="0" w:firstLineChars="0"/>
              <w:jc w:val="center"/>
              <w:rPr>
                <w:b/>
                <w:bCs/>
                <w:sz w:val="28"/>
                <w:szCs w:val="28"/>
              </w:rPr>
            </w:pPr>
            <w:r>
              <w:rPr>
                <w:rFonts w:hint="eastAsia"/>
                <w:b/>
                <w:bCs/>
                <w:sz w:val="28"/>
                <w:szCs w:val="28"/>
              </w:rPr>
              <w:t>卫生保洁</w:t>
            </w:r>
          </w:p>
        </w:tc>
        <w:tc>
          <w:tcPr>
            <w:tcW w:w="7497" w:type="dxa"/>
            <w:noWrap w:val="0"/>
            <w:vAlign w:val="top"/>
          </w:tcPr>
          <w:p>
            <w:pPr>
              <w:pStyle w:val="38"/>
              <w:ind w:firstLine="0" w:firstLineChars="0"/>
              <w:rPr>
                <w:rFonts w:hint="eastAsia"/>
                <w:sz w:val="24"/>
              </w:rPr>
            </w:pPr>
            <w:r>
              <w:rPr>
                <w:rFonts w:hint="eastAsia"/>
                <w:sz w:val="24"/>
              </w:rPr>
              <w:t>1、人员</w:t>
            </w:r>
            <w:r>
              <w:rPr>
                <w:rFonts w:hint="eastAsia"/>
                <w:sz w:val="24"/>
                <w:lang w:val="en-US" w:eastAsia="zh-CN"/>
              </w:rPr>
              <w:t>8</w:t>
            </w:r>
            <w:bookmarkStart w:id="12" w:name="_GoBack"/>
            <w:bookmarkEnd w:id="12"/>
            <w:r>
              <w:rPr>
                <w:rFonts w:hint="eastAsia"/>
                <w:sz w:val="24"/>
              </w:rPr>
              <w:t>人，年龄不超过50周岁，人品端正，吃苦耐劳，无社会犯罪记录。</w:t>
            </w:r>
          </w:p>
          <w:p>
            <w:pPr>
              <w:pStyle w:val="38"/>
              <w:ind w:firstLine="0" w:firstLineChars="0"/>
              <w:rPr>
                <w:rFonts w:hint="eastAsia"/>
                <w:sz w:val="24"/>
              </w:rPr>
            </w:pPr>
            <w:r>
              <w:rPr>
                <w:rFonts w:hint="eastAsia"/>
                <w:sz w:val="24"/>
              </w:rPr>
              <w:t>2、负责单位公共部分的管理、保养、清洁和垃圾清理。包括楼梯间、电梯间、走廊、门厅、卫生间、开水间、会议室、大院等，以及重要活动的临时性保洁等。</w:t>
            </w:r>
          </w:p>
          <w:p>
            <w:pPr>
              <w:pStyle w:val="38"/>
              <w:ind w:firstLine="0" w:firstLineChars="0"/>
              <w:rPr>
                <w:rFonts w:hint="eastAsia"/>
                <w:sz w:val="24"/>
              </w:rPr>
            </w:pPr>
            <w:r>
              <w:rPr>
                <w:rFonts w:hint="eastAsia"/>
                <w:sz w:val="24"/>
              </w:rPr>
              <w:t>3、负责单位垃圾清运工作。</w:t>
            </w:r>
          </w:p>
          <w:p>
            <w:pPr>
              <w:pStyle w:val="38"/>
              <w:ind w:firstLine="0" w:firstLineChars="0"/>
              <w:rPr>
                <w:sz w:val="24"/>
              </w:rPr>
            </w:pPr>
            <w:r>
              <w:rPr>
                <w:rFonts w:hint="eastAsia"/>
                <w:sz w:val="24"/>
              </w:rPr>
              <w:t>4、落实业主单位安排的其他保洁工作。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pStyle w:val="38"/>
              <w:ind w:firstLine="0" w:firstLineChars="0"/>
              <w:jc w:val="center"/>
              <w:rPr>
                <w:b/>
                <w:bCs/>
                <w:sz w:val="28"/>
                <w:szCs w:val="28"/>
              </w:rPr>
            </w:pPr>
            <w:r>
              <w:rPr>
                <w:rFonts w:hint="eastAsia"/>
                <w:b/>
                <w:bCs/>
                <w:sz w:val="28"/>
                <w:szCs w:val="28"/>
              </w:rPr>
              <w:t>绿化养护</w:t>
            </w:r>
          </w:p>
        </w:tc>
        <w:tc>
          <w:tcPr>
            <w:tcW w:w="7497" w:type="dxa"/>
            <w:noWrap w:val="0"/>
            <w:vAlign w:val="top"/>
          </w:tcPr>
          <w:p>
            <w:pPr>
              <w:pStyle w:val="38"/>
              <w:ind w:firstLine="0" w:firstLineChars="0"/>
              <w:rPr>
                <w:sz w:val="24"/>
              </w:rPr>
            </w:pPr>
            <w:r>
              <w:rPr>
                <w:rFonts w:hint="eastAsia"/>
                <w:sz w:val="24"/>
              </w:rPr>
              <w:t>1、绿化管理员1人，年龄不超过45周岁，人品端正，吃苦耐劳，具有绿化管理、养护经验。</w:t>
            </w:r>
          </w:p>
          <w:p>
            <w:pPr>
              <w:pStyle w:val="38"/>
              <w:ind w:firstLine="0" w:firstLineChars="0"/>
              <w:rPr>
                <w:rFonts w:hint="eastAsia"/>
                <w:sz w:val="24"/>
              </w:rPr>
            </w:pPr>
            <w:r>
              <w:rPr>
                <w:rFonts w:hint="eastAsia"/>
                <w:sz w:val="24"/>
              </w:rPr>
              <w:t>2、及时清除绿化区域杂物，保持清洁美观。</w:t>
            </w:r>
          </w:p>
          <w:p>
            <w:pPr>
              <w:pStyle w:val="38"/>
              <w:ind w:firstLine="0" w:firstLineChars="0"/>
              <w:rPr>
                <w:rFonts w:hint="eastAsia"/>
                <w:sz w:val="24"/>
              </w:rPr>
            </w:pPr>
            <w:r>
              <w:rPr>
                <w:rFonts w:hint="eastAsia"/>
                <w:sz w:val="24"/>
              </w:rPr>
              <w:t>3、修剪平整，做好病虫防治，补栽补种，科学施肥、浇水等养护工作。</w:t>
            </w:r>
          </w:p>
          <w:p>
            <w:pPr>
              <w:pStyle w:val="38"/>
              <w:ind w:firstLine="0" w:firstLineChars="0"/>
              <w:rPr>
                <w:sz w:val="24"/>
              </w:rPr>
            </w:pPr>
            <w:r>
              <w:rPr>
                <w:rFonts w:hint="eastAsia"/>
                <w:sz w:val="24"/>
              </w:rPr>
              <w:t>4、按照绿化养护二级管理标准执行。</w:t>
            </w:r>
          </w:p>
        </w:tc>
      </w:tr>
    </w:tbl>
    <w:p>
      <w:pPr>
        <w:pStyle w:val="38"/>
        <w:ind w:firstLine="0" w:firstLineChars="0"/>
        <w:jc w:val="center"/>
        <w:rPr>
          <w:rFonts w:hint="eastAsia"/>
          <w:b/>
          <w:bCs/>
          <w:sz w:val="32"/>
          <w:szCs w:val="32"/>
        </w:rPr>
      </w:pPr>
      <w:r>
        <w:rPr>
          <w:rFonts w:hint="eastAsia"/>
          <w:b/>
          <w:bCs/>
          <w:sz w:val="32"/>
          <w:szCs w:val="32"/>
        </w:rPr>
        <w:t>2、具体标准细则</w:t>
      </w: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（1）保洁工作标准及内容：</w:t>
      </w:r>
    </w:p>
    <w:tbl>
      <w:tblPr>
        <w:tblStyle w:val="23"/>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每</w:t>
            </w:r>
            <w:r>
              <w:rPr>
                <w:rFonts w:hint="eastAsia" w:ascii="仿宋_GB2312" w:hAnsi="仿宋_GB2312" w:eastAsia="仿宋_GB2312" w:cs="仿宋_GB2312"/>
                <w:sz w:val="24"/>
                <w:szCs w:val="24"/>
                <w:lang w:eastAsia="zh-CN"/>
              </w:rPr>
              <w:t>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厅</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w:t>
            </w:r>
          </w:p>
          <w:p>
            <w:pP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w:t>
            </w:r>
          </w:p>
          <w:p>
            <w:pPr>
              <w:tabs>
                <w:tab w:val="left" w:pos="155"/>
              </w:tabs>
              <w:ind w:firstLine="84" w:firstLineChars="35"/>
              <w:jc w:val="center"/>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大厅</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楼梯扶手</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烟灰桶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无蛛丝、杂物、污渍、灰尘，光洁</w:t>
            </w:r>
          </w:p>
        </w:tc>
      </w:tr>
    </w:tbl>
    <w:p>
      <w:pPr>
        <w:pStyle w:val="2"/>
        <w:rPr>
          <w:rFonts w:hint="eastAsia"/>
        </w:rPr>
      </w:pPr>
    </w:p>
    <w:tbl>
      <w:tblPr>
        <w:tblStyle w:val="23"/>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noWrap w:val="0"/>
            <w:vAlign w:val="center"/>
          </w:tcPr>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公</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共</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洗</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手</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i/>
                <w:sz w:val="24"/>
              </w:rPr>
            </w:pPr>
            <w:r>
              <w:rPr>
                <w:rFonts w:hint="eastAsia" w:ascii="仿宋_GB2312" w:hAnsi="仿宋_GB2312" w:eastAsia="仿宋_GB2312" w:cs="仿宋_GB2312"/>
                <w:sz w:val="24"/>
              </w:rPr>
              <w:t>间</w:t>
            </w:r>
          </w:p>
          <w:p>
            <w:pPr>
              <w:jc w:val="center"/>
              <w:rPr>
                <w:rFonts w:hint="eastAsia" w:ascii="仿宋_GB2312" w:hAnsi="仿宋_GB2312" w:eastAsia="仿宋_GB2312" w:cs="仿宋_GB2312"/>
                <w:i/>
                <w:sz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清拖二次，并随时保洁</w:t>
            </w:r>
          </w:p>
          <w:p>
            <w:pPr>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56"/>
              <w:widowControl w:val="0"/>
              <w:pBdr>
                <w:bottom w:val="none" w:color="auto" w:sz="0" w:space="0"/>
                <w:right w:val="none" w:color="auto" w:sz="0" w:space="0"/>
              </w:pBdr>
              <w:spacing w:before="0" w:beforeAutospacing="0" w:after="0" w:afterAutospacing="0"/>
              <w:rPr>
                <w:rFonts w:hint="eastAsia" w:ascii="仿宋_GB2312" w:hAnsi="仿宋_GB2312" w:eastAsia="仿宋_GB2312" w:cs="仿宋_GB2312"/>
                <w:szCs w:val="24"/>
              </w:rPr>
            </w:pPr>
            <w:r>
              <w:rPr>
                <w:rFonts w:hint="eastAsia" w:ascii="仿宋_GB2312" w:hAnsi="仿宋_GB2312" w:eastAsia="仿宋_GB2312" w:cs="仿宋_GB2312"/>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洗手台</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夏季据情喷洒</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梯</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w:t>
            </w:r>
          </w:p>
          <w:p>
            <w:pPr>
              <w:jc w:val="center"/>
              <w:rPr>
                <w:rFonts w:hint="eastAsia" w:ascii="仿宋_GB2312" w:hAnsi="仿宋_GB2312" w:eastAsia="仿宋_GB2312" w:cs="仿宋_GB2312"/>
                <w:b/>
                <w:i/>
                <w:sz w:val="24"/>
              </w:rPr>
            </w:pPr>
            <w:r>
              <w:rPr>
                <w:rFonts w:hint="eastAsia" w:ascii="仿宋_GB2312" w:hAnsi="仿宋_GB2312" w:eastAsia="仿宋_GB2312" w:cs="仿宋_GB2312"/>
                <w:sz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不锈钢门、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擦不锈钢油一次，保养</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电梯轿厢</w:t>
            </w:r>
          </w:p>
          <w:p>
            <w:pPr>
              <w:pStyle w:val="56"/>
              <w:widowControl w:val="0"/>
              <w:pBdr>
                <w:bottom w:val="none" w:color="auto" w:sz="0" w:space="0"/>
                <w:right w:val="none" w:color="auto" w:sz="0" w:space="0"/>
              </w:pBdr>
              <w:spacing w:before="0" w:beforeAutospacing="0" w:after="0" w:afterAutospacing="0"/>
              <w:rPr>
                <w:rFonts w:hint="eastAsia" w:ascii="仿宋_GB2312" w:hAnsi="仿宋_GB2312" w:eastAsia="仿宋_GB2312" w:cs="仿宋_GB2312"/>
                <w:szCs w:val="24"/>
              </w:rPr>
            </w:pPr>
            <w:r>
              <w:rPr>
                <w:rFonts w:hint="eastAsia" w:ascii="仿宋_GB2312" w:hAnsi="仿宋_GB2312" w:eastAsia="仿宋_GB2312" w:cs="仿宋_GB2312"/>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全面刮洗一次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b/>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喷洒二次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hint="eastAsia" w:ascii="仿宋_GB2312" w:hAnsi="仿宋_GB2312" w:eastAsia="仿宋_GB2312" w:cs="仿宋_GB2312"/>
                <w:sz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sz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每 天</w:t>
            </w:r>
          </w:p>
        </w:tc>
        <w:tc>
          <w:tcPr>
            <w:tcW w:w="108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每星期</w:t>
            </w:r>
          </w:p>
        </w:tc>
        <w:tc>
          <w:tcPr>
            <w:tcW w:w="11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停</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车</w:t>
            </w:r>
          </w:p>
          <w:p>
            <w:pPr>
              <w:jc w:val="center"/>
              <w:rPr>
                <w:rFonts w:hint="eastAsia" w:ascii="仿宋_GB2312" w:hAnsi="仿宋_GB2312" w:eastAsia="仿宋_GB2312" w:cs="仿宋_GB2312"/>
                <w:b/>
                <w:i/>
                <w:sz w:val="24"/>
              </w:rPr>
            </w:pPr>
            <w:r>
              <w:rPr>
                <w:rFonts w:hint="eastAsia" w:ascii="仿宋_GB2312" w:hAnsi="仿宋_GB2312" w:eastAsia="仿宋_GB2312" w:cs="仿宋_GB2312"/>
                <w:sz w:val="24"/>
              </w:rPr>
              <w:t>场</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部</w:t>
            </w:r>
          </w:p>
          <w:p>
            <w:pPr>
              <w:jc w:val="center"/>
              <w:rPr>
                <w:rFonts w:hint="eastAsia" w:ascii="仿宋_GB2312" w:hAnsi="仿宋_GB2312" w:eastAsia="仿宋_GB2312" w:cs="仿宋_GB2312"/>
                <w:i/>
                <w:sz w:val="24"/>
              </w:rPr>
            </w:pPr>
            <w:r>
              <w:rPr>
                <w:rFonts w:hint="eastAsia" w:ascii="仿宋_GB2312" w:hAnsi="仿宋_GB2312" w:eastAsia="仿宋_GB2312" w:cs="仿宋_GB2312"/>
                <w:sz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清扫一次，局部除渍并随时保洁</w:t>
            </w:r>
          </w:p>
        </w:tc>
        <w:tc>
          <w:tcPr>
            <w:tcW w:w="1080" w:type="dxa"/>
            <w:tcBorders>
              <w:top w:val="single" w:color="auto" w:sz="4" w:space="0"/>
              <w:left w:val="single" w:color="auto" w:sz="6" w:space="0"/>
              <w:right w:val="single" w:color="auto" w:sz="4" w:space="0"/>
            </w:tcBorders>
            <w:noWrap w:val="0"/>
            <w:vAlign w:val="center"/>
          </w:tcPr>
          <w:p>
            <w:pPr>
              <w:jc w:val="center"/>
              <w:rPr>
                <w:rFonts w:hint="eastAsia" w:ascii="仿宋_GB2312" w:hAnsi="仿宋_GB2312" w:eastAsia="仿宋_GB2312" w:cs="仿宋_GB2312"/>
                <w:sz w:val="24"/>
              </w:rPr>
            </w:pPr>
          </w:p>
        </w:tc>
        <w:tc>
          <w:tcPr>
            <w:tcW w:w="1136"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抹一次除渍，保洁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抹一次，巡回保洁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广告指示牌</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hint="eastAsia" w:ascii="仿宋_GB2312" w:hAnsi="仿宋_GB2312" w:eastAsia="仿宋_GB2312" w:cs="仿宋_GB2312"/>
                <w:i/>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清除杂物并保洁</w:t>
            </w:r>
          </w:p>
          <w:p>
            <w:pPr>
              <w:rPr>
                <w:rFonts w:hint="eastAsia" w:ascii="仿宋_GB2312" w:hAnsi="仿宋_GB2312" w:eastAsia="仿宋_GB2312" w:cs="仿宋_GB2312"/>
                <w:sz w:val="24"/>
              </w:rPr>
            </w:pPr>
            <w:r>
              <w:rPr>
                <w:rFonts w:hint="eastAsia" w:ascii="仿宋_GB2312" w:hAnsi="仿宋_GB2312" w:eastAsia="仿宋_GB2312" w:cs="仿宋_GB2312"/>
                <w:sz w:val="24"/>
              </w:rPr>
              <w:t>随时疏通堵塞</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无杂物、无异味、无积泥沙、无堵塞</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（2）安保工作标准及内容：</w:t>
      </w:r>
    </w:p>
    <w:tbl>
      <w:tblPr>
        <w:tblStyle w:val="23"/>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1、上岗须着公司统一的保安员制服，戴好帽，系正领带，扎紧武装带，衣领钮扣全部扣好。</w:t>
            </w:r>
          </w:p>
          <w:p>
            <w:pPr>
              <w:pStyle w:val="14"/>
              <w:snapToGrid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2、上岗须佩戴好工作牌。工作牌统一佩戴在外衣左上衣袋上方。</w:t>
            </w:r>
          </w:p>
          <w:p>
            <w:pPr>
              <w:pStyle w:val="14"/>
              <w:snapToGrid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3、制服领口、袖口处不得显露个人衣物，制服外不得显露个人物品（如纪念章、笔、手机、锁匙扣等），制服衣袋不得装过大过厚物品。</w:t>
            </w:r>
          </w:p>
          <w:p>
            <w:pPr>
              <w:pStyle w:val="14"/>
              <w:snapToGrid w:val="0"/>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1、上岗时举止应文明、大方。</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2、头发要整洁，不留长发。</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3、精神振作，姿态良好，抬头挺胸。不得东倒西歪、前倾后靠，不得伸懒腰，不袖手、背手、插腰或将手插入衣袋。</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4、值勤时不得抽烟、吃零食，不得看小说杂志、报纸、会客闲聊、吹口哨等与工作无关的事情，不得随地吐痰、乱丢杂物。</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5、注意检查和保持仪表，但不得当众整理个人衣物。</w:t>
            </w:r>
          </w:p>
          <w:p>
            <w:pPr>
              <w:snapToGrid w:val="0"/>
              <w:ind w:left="312" w:hanging="312"/>
              <w:rPr>
                <w:rFonts w:hint="eastAsia" w:ascii="仿宋_GB2312" w:hAnsi="仿宋_GB2312" w:eastAsia="仿宋_GB2312" w:cs="仿宋_GB2312"/>
                <w:sz w:val="24"/>
              </w:rPr>
            </w:pPr>
            <w:r>
              <w:rPr>
                <w:rFonts w:hint="eastAsia" w:ascii="仿宋_GB2312" w:hAnsi="仿宋_GB2312" w:eastAsia="仿宋_GB2312" w:cs="仿宋_GB2312"/>
                <w:sz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1、保安员实行24小时值班制，每班提前10分钟进行交接班。</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1．公秩器械包括有对讲机、警棍等，它是公秩人员执行任务的工具和武器，属公共财产，每个公秩员都有责任和义务将其保管好，防止遗失或损坏。</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2．公秩器械只供公秩员执行公务时使用，严禁用作其他用途。</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3．公秩器械严禁转借他人，严禁个人携带外出，如因工作需要须报服务中心批准。</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4．对讲机使用应严格按规定频率正确操作，严禁公秩员私自乱拆、乱拧、乱调其它频率。若有损坏视情节赔偿。</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5．执勤中禁止使用对讲机聊天、说笑、以及谈一些无关工作的话题。严禁在检查时通风报信。</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6．警棍是公秩员制服犯罪分子以及自卫的武器，严禁用来当作斗殴或威吓他人的工具。</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7．公秩员交接班时，应做好公秩器械的交接验收记录，防止出现问题时互相推卸责任。</w:t>
            </w:r>
          </w:p>
          <w:p>
            <w:pPr>
              <w:rPr>
                <w:rFonts w:hint="eastAsia" w:ascii="仿宋_GB2312" w:hAnsi="仿宋_GB2312" w:eastAsia="仿宋_GB2312" w:cs="仿宋_GB2312"/>
                <w:sz w:val="24"/>
              </w:rPr>
            </w:pPr>
            <w:r>
              <w:rPr>
                <w:rFonts w:hint="eastAsia" w:ascii="仿宋_GB2312" w:hAnsi="仿宋_GB2312" w:eastAsia="仿宋_GB2312" w:cs="仿宋_GB2312"/>
                <w:sz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1、熟悉本岗位职责，熟悉入住人员的基本情况，包括相貌特征、常规进出时间等。</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2、当发现双手提（拿）着重物的客户进出大门有困难时，应主动提供帮助。</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3、若遇领导或前来指导、参观的社会各届人士，应立即起立敬礼。</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4、外来人员进出，值班人员填写《来访登记表》，谢绝推销和其他闲杂人员进入。</w:t>
            </w:r>
          </w:p>
          <w:p>
            <w:pPr>
              <w:ind w:left="308" w:hanging="298"/>
              <w:rPr>
                <w:rFonts w:hint="eastAsia" w:ascii="仿宋_GB2312" w:hAnsi="仿宋_GB2312" w:eastAsia="仿宋_GB2312" w:cs="仿宋_GB2312"/>
                <w:sz w:val="24"/>
              </w:rPr>
            </w:pPr>
            <w:r>
              <w:rPr>
                <w:rFonts w:hint="eastAsia" w:ascii="仿宋_GB2312" w:hAnsi="仿宋_GB2312" w:eastAsia="仿宋_GB2312" w:cs="仿宋_GB2312"/>
                <w:sz w:val="24"/>
              </w:rPr>
              <w:t>5、当用户搬出物品时，应区分不同情况，必要时值班人员查验用户《出入物品申报表》后予以放行，同时收回《出入物品申报表》。</w:t>
            </w:r>
          </w:p>
          <w:p>
            <w:pPr>
              <w:snapToGrid w:val="0"/>
              <w:ind w:left="322" w:hanging="312"/>
              <w:rPr>
                <w:rFonts w:hint="eastAsia" w:ascii="仿宋_GB2312" w:hAnsi="仿宋_GB2312" w:eastAsia="仿宋_GB2312" w:cs="仿宋_GB2312"/>
                <w:sz w:val="24"/>
              </w:rPr>
            </w:pPr>
            <w:r>
              <w:rPr>
                <w:rFonts w:hint="eastAsia" w:ascii="仿宋_GB2312" w:hAnsi="仿宋_GB2312" w:eastAsia="仿宋_GB2312" w:cs="仿宋_GB2312"/>
                <w:sz w:val="24"/>
              </w:rPr>
              <w:t>6、对于出现的紧急情况，应及时上报。</w:t>
            </w:r>
          </w:p>
          <w:p>
            <w:pPr>
              <w:pStyle w:val="13"/>
              <w:snapToGrid w:val="0"/>
              <w:ind w:left="312" w:hanging="3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snapToGrid w:val="0"/>
              <w:ind w:left="113" w:right="113"/>
              <w:jc w:val="center"/>
              <w:rPr>
                <w:rFonts w:hint="eastAsia" w:ascii="仿宋_GB2312" w:hAnsi="仿宋_GB2312" w:eastAsia="仿宋_GB2312" w:cs="仿宋_GB2312"/>
                <w:sz w:val="24"/>
              </w:rPr>
            </w:pPr>
            <w:r>
              <w:rPr>
                <w:rFonts w:hint="eastAsia" w:ascii="仿宋_GB2312" w:hAnsi="仿宋_GB2312" w:eastAsia="仿宋_GB2312" w:cs="仿宋_GB2312"/>
                <w:sz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1、巡逻时要多走、多看、多听、多嗅。重点检查治安、防火、防盗等情况，消防等公共设备、设施是否完好，防盗门是否关好等。发现问题立即处理，做好《值班记录表》，并上报班长。</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2、巡逻中发现可疑人员，要前往盘查，必要时检查其所带物品。属三无人员，应驱赶出辖区；属推销、摆卖人员，应劝其离开辖区。</w:t>
            </w:r>
          </w:p>
          <w:p>
            <w:pPr>
              <w:snapToGrid w:val="0"/>
              <w:ind w:left="322" w:hanging="312"/>
              <w:rPr>
                <w:rFonts w:hint="eastAsia" w:ascii="仿宋_GB2312" w:hAnsi="仿宋_GB2312" w:eastAsia="仿宋_GB2312" w:cs="仿宋_GB2312"/>
                <w:sz w:val="24"/>
              </w:rPr>
            </w:pPr>
            <w:r>
              <w:rPr>
                <w:rFonts w:hint="eastAsia" w:ascii="仿宋_GB2312" w:hAnsi="仿宋_GB2312" w:eastAsia="仿宋_GB2312" w:cs="仿宋_GB2312"/>
                <w:sz w:val="24"/>
              </w:rPr>
              <w:t>3、对于出现的紧急情况，应及时上报。</w:t>
            </w:r>
          </w:p>
          <w:p>
            <w:pPr>
              <w:pStyle w:val="14"/>
              <w:snapToGrid w:val="0"/>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4、协助服务中心做好有关管理工作。</w:t>
            </w:r>
          </w:p>
        </w:tc>
      </w:tr>
    </w:tbl>
    <w:p>
      <w:pPr>
        <w:ind w:firstLine="649" w:firstLineChars="147"/>
        <w:rPr>
          <w:rFonts w:hint="eastAsia"/>
          <w:b/>
          <w:bCs/>
          <w:sz w:val="44"/>
          <w:szCs w:val="44"/>
        </w:rPr>
      </w:pPr>
    </w:p>
    <w:p>
      <w:pPr>
        <w:widowControl/>
        <w:shd w:val="clear" w:color="auto" w:fill="FFFFFF"/>
        <w:spacing w:line="360" w:lineRule="auto"/>
        <w:ind w:firstLine="420" w:firstLineChars="200"/>
        <w:contextualSpacing/>
        <w:jc w:val="left"/>
        <w:rPr>
          <w:rFonts w:hint="eastAsia" w:cs="宋体" w:asciiTheme="minorEastAsia" w:hAnsiTheme="minorEastAsia"/>
          <w:color w:val="FF0000"/>
          <w:kern w:val="0"/>
          <w:szCs w:val="21"/>
        </w:rPr>
      </w:pP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rPr>
        <w:t>1、</w:t>
      </w:r>
      <w:r>
        <w:rPr>
          <w:rFonts w:hint="eastAsia" w:ascii="宋体" w:cs="宋体"/>
          <w:sz w:val="24"/>
          <w:lang w:val="zh-CN"/>
        </w:rPr>
        <w:t>投标文件中须有详细可行的实施方案，</w:t>
      </w:r>
      <w:r>
        <w:rPr>
          <w:rFonts w:hint="eastAsia" w:ascii="宋体" w:cs="宋体"/>
          <w:b/>
          <w:bCs/>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中标人所需用工必须符合国家《劳动法》要求，其工资发放不得低于同期许昌市最低工资标准，并对其一切安全负责，如发生用工纠纷，由中标人自行承担全部责任。</w:t>
      </w:r>
    </w:p>
    <w:p>
      <w:pPr>
        <w:wordWrap w:val="0"/>
        <w:topLinePunct/>
        <w:spacing w:line="360" w:lineRule="auto"/>
        <w:ind w:firstLine="480" w:firstLineChars="200"/>
        <w:rPr>
          <w:rFonts w:ascii="宋体" w:cs="宋体"/>
          <w:b/>
          <w:sz w:val="24"/>
          <w:lang w:val="zh-CN"/>
        </w:rPr>
      </w:pPr>
      <w:r>
        <w:rPr>
          <w:rFonts w:hint="eastAsia" w:ascii="宋体" w:cs="宋体"/>
          <w:sz w:val="24"/>
        </w:rPr>
        <w:t>4</w:t>
      </w:r>
      <w:r>
        <w:rPr>
          <w:rFonts w:hint="eastAsia" w:ascii="宋体" w:cs="宋体"/>
          <w:sz w:val="24"/>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rPr>
        <w:t>四、本项目预算金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en-US" w:eastAsia="zh-CN"/>
        </w:rPr>
        <w:t>187.9080</w:t>
      </w:r>
      <w:r>
        <w:rPr>
          <w:rFonts w:hint="eastAsia" w:cs="宋体" w:asciiTheme="minorEastAsia" w:hAnsiTheme="minorEastAsia" w:eastAsiaTheme="minorEastAsia"/>
          <w:b/>
          <w:color w:val="000000"/>
          <w:kern w:val="0"/>
          <w:lang w:val="zh-CN"/>
        </w:rPr>
        <w:t>万元。最高限价¥</w:t>
      </w:r>
      <w:r>
        <w:rPr>
          <w:rFonts w:hint="eastAsia" w:cs="宋体" w:asciiTheme="minorEastAsia" w:hAnsiTheme="minorEastAsia" w:eastAsiaTheme="minorEastAsia"/>
          <w:b/>
          <w:color w:val="000000"/>
          <w:kern w:val="0"/>
          <w:lang w:val="en-US" w:eastAsia="zh-CN"/>
        </w:rPr>
        <w:t>187.9080</w:t>
      </w:r>
      <w:r>
        <w:rPr>
          <w:rFonts w:hint="eastAsia" w:cs="宋体" w:asciiTheme="minorEastAsia" w:hAnsiTheme="minorEastAsia" w:eastAsiaTheme="minorEastAsia"/>
          <w:b/>
          <w:color w:val="000000"/>
          <w:kern w:val="0"/>
          <w:lang w:val="zh-CN"/>
        </w:rPr>
        <w:t>万元。超出最高限价的投标无效。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五、资金支付</w:t>
      </w:r>
    </w:p>
    <w:p>
      <w:pPr>
        <w:wordWrap w:val="0"/>
        <w:topLinePunct/>
        <w:spacing w:line="360" w:lineRule="auto"/>
        <w:ind w:firstLine="480" w:firstLineChars="200"/>
        <w:rPr>
          <w:rFonts w:ascii="宋体" w:cs="宋体"/>
          <w:sz w:val="24"/>
          <w:lang w:val="zh-CN"/>
        </w:rPr>
      </w:pPr>
      <w:r>
        <w:rPr>
          <w:rFonts w:hint="eastAsia" w:cs="宋体" w:asciiTheme="minorEastAsia" w:hAnsiTheme="minorEastAsia"/>
          <w:color w:val="000000"/>
          <w:kern w:val="0"/>
          <w:sz w:val="24"/>
          <w:szCs w:val="24"/>
          <w:lang w:val="zh-CN"/>
        </w:rPr>
        <w:t>1、支付方式：</w:t>
      </w:r>
      <w:r>
        <w:rPr>
          <w:rFonts w:hint="eastAsia" w:ascii="宋体" w:cs="宋体"/>
          <w:sz w:val="24"/>
          <w:lang w:val="zh-CN"/>
        </w:rPr>
        <w:t>银行转账</w:t>
      </w:r>
    </w:p>
    <w:p>
      <w:pPr>
        <w:wordWrap w:val="0"/>
        <w:topLinePunct/>
        <w:spacing w:line="360" w:lineRule="auto"/>
        <w:ind w:firstLine="480" w:firstLineChars="200"/>
        <w:rPr>
          <w:rFonts w:ascii="宋体" w:cs="宋体"/>
          <w:sz w:val="24"/>
          <w:lang w:val="zh-CN"/>
        </w:rPr>
      </w:pPr>
      <w:r>
        <w:rPr>
          <w:rFonts w:hint="eastAsia" w:ascii="宋体" w:cs="宋体"/>
          <w:sz w:val="24"/>
          <w:lang w:val="zh-CN"/>
        </w:rPr>
        <w:t>2、支付时间及条件：服务期限叁年，按合同支付。</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项目名称：长葛市机关事务管理局“</w:t>
            </w:r>
            <w:r>
              <w:rPr>
                <w:rFonts w:hint="eastAsia" w:cs="仿宋_GB2312" w:asciiTheme="minorEastAsia" w:hAnsiTheme="minorEastAsia"/>
                <w:szCs w:val="21"/>
                <w:lang w:eastAsia="zh-CN"/>
              </w:rPr>
              <w:t>质检大厦</w:t>
            </w:r>
            <w:r>
              <w:rPr>
                <w:rFonts w:hint="eastAsia" w:cs="仿宋_GB2312" w:asciiTheme="minorEastAsia" w:hAnsiTheme="minorEastAsia"/>
                <w:szCs w:val="21"/>
              </w:rPr>
              <w:t>物业服务项目”</w:t>
            </w:r>
            <w:r>
              <w:rPr>
                <w:rFonts w:cs="仿宋_GB2312" w:asciiTheme="minorEastAsia" w:hAnsiTheme="minorEastAsia"/>
                <w:szCs w:val="21"/>
              </w:rPr>
              <w:t xml:space="preserve"> </w:t>
            </w:r>
          </w:p>
          <w:p>
            <w:pPr>
              <w:widowControl/>
              <w:wordWrap w:val="0"/>
              <w:spacing w:line="360" w:lineRule="auto"/>
              <w:ind w:left="-1449" w:leftChars="-690" w:right="-334" w:rightChars="-159"/>
              <w:rPr>
                <w:rFonts w:cs="仿宋_GB2312" w:asciiTheme="minorEastAsia" w:hAnsiTheme="minorEastAsia"/>
                <w:szCs w:val="21"/>
              </w:rPr>
            </w:pPr>
            <w:r>
              <w:rPr>
                <w:rFonts w:hint="eastAsia" w:cs="仿宋_GB2312" w:asciiTheme="minorEastAsia" w:hAnsiTheme="minorEastAsia"/>
                <w:szCs w:val="21"/>
              </w:rPr>
              <w:t xml:space="preserve">              项目编号：长招采公字[2019]04</w:t>
            </w:r>
            <w:r>
              <w:rPr>
                <w:rFonts w:hint="eastAsia" w:cs="仿宋_GB2312" w:asciiTheme="minorEastAsia" w:hAnsiTheme="minorEastAsia"/>
                <w:szCs w:val="21"/>
                <w:lang w:val="en-US" w:eastAsia="zh-CN"/>
              </w:rPr>
              <w:t>9</w:t>
            </w:r>
            <w:r>
              <w:rPr>
                <w:rFonts w:hint="eastAsia" w:cs="仿宋_GB2312" w:asciiTheme="minorEastAsia" w:hAnsiTheme="minorEastAsia"/>
                <w:szCs w:val="21"/>
              </w:rPr>
              <w:t>号</w:t>
            </w:r>
          </w:p>
          <w:p>
            <w:pPr>
              <w:pStyle w:val="21"/>
              <w:widowControl/>
              <w:spacing w:line="360" w:lineRule="auto"/>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项目内容：长葛市机关事务管理局“</w:t>
            </w:r>
            <w:r>
              <w:rPr>
                <w:rFonts w:hint="eastAsia" w:cs="仿宋_GB2312" w:asciiTheme="minorEastAsia" w:hAnsiTheme="minorEastAsia" w:eastAsiaTheme="minorEastAsia"/>
                <w:sz w:val="21"/>
                <w:szCs w:val="21"/>
                <w:lang w:eastAsia="zh-CN"/>
              </w:rPr>
              <w:t>质检大厦</w:t>
            </w:r>
            <w:r>
              <w:rPr>
                <w:rFonts w:hint="eastAsia" w:cs="仿宋_GB2312" w:asciiTheme="minorEastAsia" w:hAnsiTheme="minorEastAsia" w:eastAsiaTheme="minorEastAsia"/>
                <w:sz w:val="21"/>
                <w:szCs w:val="21"/>
              </w:rPr>
              <w:t>物业服务项目”；详细要求见采购文件。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eastAsiaTheme="minorEastAsia"/>
                <w:kern w:val="2"/>
                <w:sz w:val="21"/>
                <w:szCs w:val="21"/>
                <w:lang w:val="en-US" w:eastAsia="zh-CN" w:bidi="ar-SA"/>
              </w:rPr>
              <w:t xml:space="preserve">：长葛市张辽路与葛天大道交叉口向东200米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cs="仿宋_GB2312" w:asciiTheme="minorEastAsia" w:hAnsiTheme="minorEastAsia"/>
                <w:szCs w:val="21"/>
              </w:rPr>
              <w:t xml:space="preserve"> </w:t>
            </w:r>
            <w:r>
              <w:rPr>
                <w:rFonts w:hint="eastAsia" w:cs="仿宋_GB2312" w:asciiTheme="minorEastAsia" w:hAnsiTheme="minorEastAsia"/>
                <w:szCs w:val="21"/>
              </w:rPr>
              <w:t>长葛市机关事务管理局</w:t>
            </w:r>
          </w:p>
          <w:p>
            <w:pPr>
              <w:spacing w:line="360" w:lineRule="auto"/>
              <w:rPr>
                <w:rFonts w:cs="仿宋_GB2312" w:asciiTheme="minorEastAsia" w:hAnsiTheme="minorEastAsia"/>
                <w:szCs w:val="21"/>
              </w:rPr>
            </w:pPr>
            <w:r>
              <w:rPr>
                <w:rFonts w:hint="eastAsia" w:cs="仿宋_GB2312" w:asciiTheme="minorEastAsia" w:hAnsiTheme="minorEastAsia"/>
                <w:szCs w:val="21"/>
              </w:rPr>
              <w:t>地址：长葛市葛天大道中段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联系人：侯先生                电话：13837421936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名称：长葛市公共资源交易中心</w:t>
            </w:r>
            <w:r>
              <w:rPr>
                <w:rFonts w:cs="仿宋_GB2312" w:asciiTheme="minorEastAsia" w:hAnsiTheme="minorEastAsia"/>
                <w:szCs w:val="21"/>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地址：长葛市商务区6号楼4楼   </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 联系人：政府采购</w:t>
            </w:r>
            <w:r>
              <w:rPr>
                <w:rFonts w:hint="eastAsia" w:cs="仿宋_GB2312" w:asciiTheme="minorEastAsia" w:hAnsiTheme="minorEastAsia"/>
                <w:szCs w:val="21"/>
                <w:lang w:eastAsia="zh-CN"/>
              </w:rPr>
              <w:t>一</w:t>
            </w:r>
            <w:r>
              <w:rPr>
                <w:rFonts w:hint="eastAsia" w:cs="仿宋_GB2312" w:asciiTheme="minorEastAsia" w:hAnsiTheme="minorEastAsia"/>
                <w:szCs w:val="21"/>
              </w:rPr>
              <w:t>部          电话：0374-6189</w:t>
            </w:r>
            <w:r>
              <w:rPr>
                <w:rFonts w:hint="eastAsia" w:cs="仿宋_GB2312" w:asciiTheme="minorEastAsia" w:hAnsiTheme="minorEastAsia"/>
                <w:szCs w:val="21"/>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ind w:firstLine="422" w:firstLineChars="200"/>
              <w:rPr>
                <w:rFonts w:hint="eastAsia" w:cs="宋体" w:asciiTheme="minorEastAsia" w:hAnsiTheme="minorEastAsia"/>
                <w:b/>
                <w:bCs/>
                <w:szCs w:val="21"/>
                <w:lang w:val="zh-CN"/>
              </w:rPr>
            </w:pPr>
            <w:r>
              <w:rPr>
                <w:rFonts w:hint="eastAsia" w:cs="微软雅黑" w:asciiTheme="minorEastAsia" w:hAnsiTheme="minorEastAsia"/>
                <w:b/>
                <w:color w:val="FF0000"/>
                <w:szCs w:val="21"/>
                <w:lang w:val="zh-CN"/>
              </w:rPr>
              <w:t>★</w:t>
            </w:r>
            <w:r>
              <w:rPr>
                <w:rFonts w:hint="eastAsia" w:cs="宋体" w:asciiTheme="minorEastAsia" w:hAnsiTheme="minorEastAsia"/>
                <w:b w:val="0"/>
                <w:bCs w:val="0"/>
                <w:szCs w:val="21"/>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
                <w:bCs/>
                <w:szCs w:val="21"/>
                <w:lang w:val="zh-CN"/>
              </w:rPr>
            </w:pPr>
            <w:r>
              <w:rPr>
                <w:rFonts w:hint="eastAsia" w:cs="宋体" w:asciiTheme="minorEastAsia" w:hAnsiTheme="minorEastAsia"/>
                <w:b/>
                <w:bCs/>
                <w:szCs w:val="21"/>
                <w:lang w:val="zh-CN"/>
              </w:rPr>
              <w:t>¥</w:t>
            </w:r>
            <w:r>
              <w:rPr>
                <w:rFonts w:hint="eastAsia" w:cs="宋体" w:asciiTheme="minorEastAsia" w:hAnsiTheme="minorEastAsia"/>
                <w:b/>
                <w:bCs/>
                <w:szCs w:val="21"/>
                <w:lang w:val="en-US" w:eastAsia="zh-CN"/>
              </w:rPr>
              <w:t>187.9080</w:t>
            </w:r>
            <w:r>
              <w:rPr>
                <w:rFonts w:hint="eastAsia" w:cs="宋体" w:asciiTheme="minorEastAsia" w:hAnsiTheme="minorEastAsia"/>
                <w:b/>
                <w:bCs/>
                <w:szCs w:val="21"/>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60天（自提交投标文件的截止之日起算），供应商应当在投标有效期内办理相关事宜。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投标截止及开标时间</w:t>
            </w:r>
          </w:p>
        </w:tc>
        <w:tc>
          <w:tcPr>
            <w:tcW w:w="6813" w:type="dxa"/>
            <w:vAlign w:val="center"/>
          </w:tcPr>
          <w:p>
            <w:pPr>
              <w:autoSpaceDE w:val="0"/>
              <w:autoSpaceDN w:val="0"/>
              <w:adjustRightInd w:val="0"/>
              <w:spacing w:line="360" w:lineRule="auto"/>
              <w:ind w:firstLine="210" w:firstLineChars="100"/>
              <w:rPr>
                <w:rFonts w:cs="仿宋_GB2312" w:asciiTheme="minorEastAsia" w:hAnsiTheme="minorEastAsia"/>
                <w:color w:val="FF0000"/>
                <w:szCs w:val="21"/>
              </w:rPr>
            </w:pPr>
            <w:r>
              <w:rPr>
                <w:rFonts w:hint="eastAsia" w:cs="仿宋_GB2312" w:asciiTheme="minorEastAsia" w:hAnsiTheme="minorEastAsia"/>
                <w:color w:val="FF0000"/>
                <w:szCs w:val="21"/>
              </w:rPr>
              <w:t>2019年</w:t>
            </w:r>
            <w:r>
              <w:rPr>
                <w:rFonts w:hint="eastAsia" w:cs="仿宋_GB2312" w:asciiTheme="minorEastAsia" w:hAnsiTheme="minorEastAsia"/>
                <w:color w:val="FF0000"/>
                <w:szCs w:val="21"/>
                <w:lang w:val="en-US" w:eastAsia="zh-CN"/>
              </w:rPr>
              <w:t>10</w:t>
            </w:r>
            <w:r>
              <w:rPr>
                <w:rFonts w:hint="eastAsia" w:cs="仿宋_GB2312" w:asciiTheme="minorEastAsia" w:hAnsiTheme="minorEastAsia"/>
                <w:color w:val="FF0000"/>
                <w:szCs w:val="21"/>
              </w:rPr>
              <w:t>月</w:t>
            </w:r>
            <w:r>
              <w:rPr>
                <w:rFonts w:hint="eastAsia" w:cs="仿宋_GB2312" w:asciiTheme="minorEastAsia" w:hAnsiTheme="minorEastAsia"/>
                <w:color w:val="FF0000"/>
                <w:szCs w:val="21"/>
                <w:lang w:val="en-US" w:eastAsia="zh-CN"/>
              </w:rPr>
              <w:t>29</w:t>
            </w:r>
            <w:r>
              <w:rPr>
                <w:rFonts w:hint="eastAsia" w:cs="仿宋_GB2312" w:asciiTheme="minorEastAsia" w:hAnsiTheme="minorEastAsia"/>
                <w:color w:val="FF0000"/>
                <w:szCs w:val="21"/>
              </w:rPr>
              <w:t>日</w:t>
            </w:r>
            <w:r>
              <w:rPr>
                <w:rFonts w:hint="eastAsia" w:cs="仿宋_GB2312" w:asciiTheme="minorEastAsia" w:hAnsiTheme="minorEastAsia"/>
                <w:color w:val="FF0000"/>
                <w:szCs w:val="21"/>
                <w:lang w:val="en-US" w:eastAsia="zh-CN"/>
              </w:rPr>
              <w:t xml:space="preserve">9 </w:t>
            </w:r>
            <w:r>
              <w:rPr>
                <w:rFonts w:hint="eastAsia" w:cs="仿宋_GB2312" w:asciiTheme="minorEastAsia" w:hAnsiTheme="minorEastAsia"/>
                <w:color w:val="FF0000"/>
                <w:szCs w:val="21"/>
              </w:rPr>
              <w:t>时</w:t>
            </w:r>
            <w:r>
              <w:rPr>
                <w:rFonts w:hint="eastAsia" w:cs="仿宋_GB2312" w:asciiTheme="minorEastAsia" w:hAnsiTheme="minorEastAsia"/>
                <w:color w:val="FF0000"/>
                <w:szCs w:val="21"/>
                <w:lang w:val="en-US" w:eastAsia="zh-CN"/>
              </w:rPr>
              <w:t>00</w:t>
            </w:r>
            <w:r>
              <w:rPr>
                <w:rFonts w:hint="eastAsia" w:cs="仿宋_GB2312" w:asciiTheme="minorEastAsia" w:hAnsiTheme="minorEastAsia"/>
                <w:color w:val="FF000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递交投标文件</w:t>
            </w:r>
          </w:p>
          <w:p>
            <w:pPr>
              <w:autoSpaceDE w:val="0"/>
              <w:autoSpaceDN w:val="0"/>
              <w:adjustRightInd w:val="0"/>
              <w:spacing w:line="360" w:lineRule="auto"/>
              <w:jc w:val="center"/>
              <w:rPr>
                <w:rFonts w:cs="仿宋_GB2312" w:asciiTheme="minorEastAsia" w:hAnsiTheme="minorEastAsia"/>
                <w:color w:val="FF0000"/>
                <w:szCs w:val="21"/>
              </w:rPr>
            </w:pPr>
            <w:r>
              <w:rPr>
                <w:rFonts w:hint="eastAsia" w:cs="仿宋_GB2312" w:asciiTheme="minorEastAsia" w:hAnsiTheme="minorEastAsia"/>
                <w:color w:val="FF0000"/>
                <w:szCs w:val="21"/>
              </w:rPr>
              <w:t>及开标地点</w:t>
            </w:r>
          </w:p>
        </w:tc>
        <w:tc>
          <w:tcPr>
            <w:tcW w:w="6813" w:type="dxa"/>
            <w:vAlign w:val="center"/>
          </w:tcPr>
          <w:p>
            <w:pPr>
              <w:autoSpaceDE w:val="0"/>
              <w:autoSpaceDN w:val="0"/>
              <w:adjustRightInd w:val="0"/>
              <w:spacing w:line="360" w:lineRule="auto"/>
              <w:rPr>
                <w:rFonts w:cs="仿宋_GB2312" w:asciiTheme="minorEastAsia" w:hAnsiTheme="minorEastAsia"/>
                <w:color w:val="FF0000"/>
                <w:szCs w:val="21"/>
              </w:rPr>
            </w:pPr>
            <w:r>
              <w:rPr>
                <w:rFonts w:hint="eastAsia" w:cs="仿宋_GB2312" w:asciiTheme="minorEastAsia" w:hAnsiTheme="minorEastAsia"/>
                <w:color w:val="FF0000"/>
                <w:szCs w:val="21"/>
              </w:rPr>
              <w:t>长葛市公共资源交易中心</w:t>
            </w:r>
            <w:r>
              <w:rPr>
                <w:rFonts w:hint="eastAsia" w:cs="仿宋_GB2312" w:asciiTheme="minorEastAsia" w:hAnsiTheme="minorEastAsia"/>
                <w:color w:val="FF0000"/>
                <w:szCs w:val="21"/>
                <w:lang w:val="en-US" w:eastAsia="zh-CN"/>
              </w:rPr>
              <w:t>4</w:t>
            </w:r>
            <w:r>
              <w:rPr>
                <w:rFonts w:hint="eastAsia" w:cs="仿宋_GB2312" w:asciiTheme="minorEastAsia" w:hAnsiTheme="minorEastAsia"/>
                <w:color w:val="FF0000"/>
                <w:szCs w:val="21"/>
              </w:rPr>
              <w:t>楼开标</w:t>
            </w:r>
            <w:r>
              <w:rPr>
                <w:rFonts w:hint="eastAsia" w:cs="仿宋_GB2312" w:asciiTheme="minorEastAsia" w:hAnsiTheme="minorEastAsia"/>
                <w:color w:val="FF0000"/>
                <w:szCs w:val="21"/>
                <w:lang w:val="en-US" w:eastAsia="zh-CN"/>
              </w:rPr>
              <w:t>二</w:t>
            </w:r>
            <w:r>
              <w:rPr>
                <w:rFonts w:hint="eastAsia" w:cs="仿宋_GB2312" w:asciiTheme="minorEastAsia" w:hAnsiTheme="minorEastAsia"/>
                <w:color w:val="FF0000"/>
                <w:szCs w:val="21"/>
              </w:rPr>
              <w:t>室</w:t>
            </w:r>
            <w:r>
              <w:rPr>
                <w:rFonts w:hint="eastAsia" w:cs="仿宋_GB2312" w:asciiTheme="minorEastAsia" w:hAnsiTheme="minorEastAsia"/>
                <w:color w:val="FF0000"/>
                <w:szCs w:val="21"/>
                <w:lang w:val="en-US" w:eastAsia="zh-CN"/>
              </w:rPr>
              <w:t>409室</w:t>
            </w:r>
            <w:r>
              <w:rPr>
                <w:rFonts w:hint="eastAsia" w:cs="仿宋_GB2312" w:asciiTheme="minorEastAsia" w:hAnsiTheme="minorEastAsia"/>
                <w:color w:val="FF0000"/>
                <w:szCs w:val="21"/>
              </w:rPr>
              <w:t>（长葛市葛天大道商务区6号楼）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rPr>
            </w:pPr>
            <w:r>
              <w:rPr>
                <w:rFonts w:hint="eastAsia" w:cs="仿宋_GB2312" w:asciiTheme="minorEastAsia" w:hAnsiTheme="minorEastAsia"/>
                <w:szCs w:val="21"/>
              </w:rPr>
              <w:t>本项目不收取。 但投标人应提供投标承诺函。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评审委员会的，须向采购代理机构出具授权函。除授权代表外，采购单位委派纪检监察人员对评标过程实施监督的须进入长葛市公共资源交易中心四楼监控大厅，并向采购代理机构出具授权函，且不得超过2人。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333333"/>
                <w:szCs w:val="21"/>
              </w:rPr>
            </w:pPr>
            <w:r>
              <w:rPr>
                <w:rFonts w:cs="宋体" w:asciiTheme="minorEastAsia" w:hAnsiTheme="minorEastAsia"/>
                <w:color w:val="333333"/>
                <w:szCs w:val="21"/>
              </w:rPr>
              <w:fldChar w:fldCharType="begin"/>
            </w:r>
            <w:r>
              <w:rPr>
                <w:rFonts w:hint="eastAsia" w:cs="宋体" w:asciiTheme="minorEastAsia" w:hAnsiTheme="minorEastAsia"/>
                <w:color w:val="333333"/>
                <w:szCs w:val="21"/>
              </w:rPr>
              <w:instrText xml:space="preserve">eq \o\ac(□,√)</w:instrText>
            </w:r>
            <w:r>
              <w:rPr>
                <w:rFonts w:cs="宋体" w:asciiTheme="minorEastAsia" w:hAnsiTheme="minorEastAsia"/>
                <w:color w:val="333333"/>
                <w:szCs w:val="21"/>
              </w:rPr>
              <w:fldChar w:fldCharType="end"/>
            </w:r>
            <w:r>
              <w:rPr>
                <w:rFonts w:hint="eastAsia" w:cs="宋体" w:asciiTheme="minorEastAsia" w:hAnsiTheme="minorEastAsia"/>
                <w:color w:val="333333"/>
                <w:szCs w:val="21"/>
              </w:rPr>
              <w:t>要求提交。履约保证金的数额为合同金额的10%。</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rPr>
              <w:t>开户行：河南长葛农村商业银行股份有限公司营业部</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rPr>
              <w:t>户  名：长葛市公共资源交易中心</w:t>
            </w:r>
          </w:p>
          <w:p>
            <w:pPr>
              <w:spacing w:line="400" w:lineRule="exact"/>
              <w:rPr>
                <w:rFonts w:cs="宋体" w:asciiTheme="minorEastAsia" w:hAnsiTheme="minorEastAsia"/>
                <w:color w:val="333333"/>
                <w:szCs w:val="21"/>
              </w:rPr>
            </w:pPr>
            <w:r>
              <w:rPr>
                <w:rFonts w:hint="eastAsia" w:cs="宋体" w:asciiTheme="minorEastAsia" w:hAnsiTheme="minorEastAsia"/>
                <w:color w:val="333333"/>
                <w:szCs w:val="21"/>
              </w:rPr>
              <w:t>账  号：13201001800000552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向长葛市公共资源交易中心政府采购二部发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送投标报价及分项报价一览表（包含主要中标标的的名称、规格型号、数量、单价、服务要求等）电子文档，并同时通知政府采购二部。联系电话：0374-6189667；邮箱zfcgeb@126.com。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“集中采购机构”：接受采购人委托，代理采购项目的集中采购机构。集中采购名称、地址、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集中采购机构及其分支机构不得在所代理的采购项目中投标或者代理投标，不得为所代理的采购项目的投标人参加本项目提供投标咨询。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投标保证金及履约保证金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履约保证金按投标人须知前附表中要求的收取。</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招标人将按招标文件规定的时间和地点组织公开开标。开标由集中采购机构主持，邀请投标人参加。评标委员会成员不得参加开标活动。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评审专家对本单位的采购项目只能作为采购人代表参与评标。集中采购机构工作人员不得参加由本机构代理的政府采购项目的评标。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（三）资格审查中所涉及到的证书及材料，均须在电子投标文件中提供原件的扫描件（或图片）。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pPr w:leftFromText="180" w:rightFromText="180" w:vertAnchor="text" w:horzAnchor="page" w:tblpX="1465" w:tblpY="682"/>
        <w:tblOverlap w:val="never"/>
        <w:tblW w:w="9729" w:type="dxa"/>
        <w:tblInd w:w="0" w:type="dxa"/>
        <w:tblLayout w:type="fixed"/>
        <w:tblCellMar>
          <w:top w:w="0" w:type="dxa"/>
          <w:left w:w="108" w:type="dxa"/>
          <w:bottom w:w="0" w:type="dxa"/>
          <w:right w:w="108" w:type="dxa"/>
        </w:tblCellMar>
      </w:tblPr>
      <w:tblGrid>
        <w:gridCol w:w="445"/>
        <w:gridCol w:w="494"/>
        <w:gridCol w:w="672"/>
        <w:gridCol w:w="1515"/>
        <w:gridCol w:w="6603"/>
      </w:tblGrid>
      <w:tr>
        <w:tblPrEx>
          <w:tblCellMar>
            <w:top w:w="0" w:type="dxa"/>
            <w:left w:w="108" w:type="dxa"/>
            <w:bottom w:w="0" w:type="dxa"/>
            <w:right w:w="108" w:type="dxa"/>
          </w:tblCellMar>
        </w:tblPrEx>
        <w:trPr>
          <w:cantSplit/>
          <w:trHeight w:val="280" w:hRule="atLeast"/>
        </w:trPr>
        <w:tc>
          <w:tcPr>
            <w:tcW w:w="445" w:type="dxa"/>
            <w:vMerge w:val="restart"/>
            <w:tcBorders>
              <w:top w:val="doub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序号</w:t>
            </w:r>
          </w:p>
        </w:tc>
        <w:tc>
          <w:tcPr>
            <w:tcW w:w="494" w:type="dxa"/>
            <w:vMerge w:val="restart"/>
            <w:tcBorders>
              <w:top w:val="doub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项目</w:t>
            </w:r>
          </w:p>
        </w:tc>
        <w:tc>
          <w:tcPr>
            <w:tcW w:w="8790" w:type="dxa"/>
            <w:gridSpan w:val="3"/>
            <w:tcBorders>
              <w:top w:val="doub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评分细则</w:t>
            </w:r>
          </w:p>
        </w:tc>
      </w:tr>
      <w:tr>
        <w:tblPrEx>
          <w:tblCellMar>
            <w:top w:w="0" w:type="dxa"/>
            <w:left w:w="108" w:type="dxa"/>
            <w:bottom w:w="0" w:type="dxa"/>
            <w:right w:w="108" w:type="dxa"/>
          </w:tblCellMar>
        </w:tblPrEx>
        <w:trPr>
          <w:cantSplit/>
          <w:trHeight w:val="382" w:hRule="atLeast"/>
        </w:trPr>
        <w:tc>
          <w:tcPr>
            <w:tcW w:w="445" w:type="dxa"/>
            <w:vMerge w:val="continue"/>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494" w:type="dxa"/>
            <w:vMerge w:val="continue"/>
            <w:tcBorders>
              <w:top w:val="doub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分值</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评分标准</w:t>
            </w:r>
          </w:p>
        </w:tc>
      </w:tr>
      <w:tr>
        <w:tblPrEx>
          <w:tblCellMar>
            <w:top w:w="0" w:type="dxa"/>
            <w:left w:w="108" w:type="dxa"/>
            <w:bottom w:w="0" w:type="dxa"/>
            <w:right w:w="108" w:type="dxa"/>
          </w:tblCellMar>
        </w:tblPrEx>
        <w:trPr>
          <w:trHeight w:val="332" w:hRule="atLeast"/>
        </w:trPr>
        <w:tc>
          <w:tcPr>
            <w:tcW w:w="445" w:type="dxa"/>
            <w:tcBorders>
              <w:top w:val="single" w:color="auto" w:sz="4" w:space="0"/>
              <w:left w:val="doub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1</w:t>
            </w:r>
          </w:p>
        </w:tc>
        <w:tc>
          <w:tcPr>
            <w:tcW w:w="4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exact"/>
              <w:jc w:val="center"/>
              <w:rPr>
                <w:rFonts w:ascii="宋体" w:hAnsi="宋体"/>
                <w:kern w:val="0"/>
                <w:szCs w:val="21"/>
              </w:rPr>
            </w:pPr>
            <w:r>
              <w:rPr>
                <w:rFonts w:hint="eastAsia" w:ascii="宋体" w:hAnsi="宋体"/>
                <w:kern w:val="0"/>
                <w:szCs w:val="21"/>
              </w:rPr>
              <w:t>报价得分</w:t>
            </w:r>
          </w:p>
        </w:tc>
        <w:tc>
          <w:tcPr>
            <w:tcW w:w="6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8118" w:type="dxa"/>
            <w:gridSpan w:val="2"/>
            <w:tcBorders>
              <w:top w:val="single" w:color="auto" w:sz="4" w:space="0"/>
              <w:left w:val="single" w:color="auto" w:sz="4" w:space="0"/>
              <w:bottom w:val="single" w:color="auto" w:sz="4" w:space="0"/>
              <w:right w:val="double" w:color="auto" w:sz="4" w:space="0"/>
            </w:tcBorders>
            <w:vAlign w:val="center"/>
          </w:tcPr>
          <w:p>
            <w:pPr>
              <w:pStyle w:val="58"/>
              <w:rPr>
                <w:rFonts w:ascii="宋体" w:hAnsi="宋体"/>
                <w:b/>
                <w:bCs/>
              </w:rPr>
            </w:pPr>
            <w:r>
              <w:rPr>
                <w:rFonts w:hint="eastAsia" w:ascii="宋体" w:hAnsi="宋体"/>
                <w:b/>
                <w:bCs/>
              </w:rPr>
              <w:t>有效投标价格最低的为评标基准价，其价格分为满分。</w:t>
            </w:r>
          </w:p>
          <w:p>
            <w:pPr>
              <w:pStyle w:val="58"/>
              <w:rPr>
                <w:rFonts w:ascii="宋体" w:hAnsi="宋体"/>
                <w:b/>
                <w:bCs/>
              </w:rPr>
            </w:pPr>
            <w:r>
              <w:rPr>
                <w:rFonts w:hint="eastAsia" w:ascii="宋体" w:hAnsi="宋体"/>
                <w:b/>
                <w:bCs/>
              </w:rPr>
              <w:t>其他供应商的价格分统一按照下列公式计算：</w:t>
            </w:r>
          </w:p>
          <w:p>
            <w:pPr>
              <w:pStyle w:val="58"/>
              <w:rPr>
                <w:rFonts w:ascii="宋体" w:hAnsi="宋体"/>
                <w:b/>
                <w:bCs/>
              </w:rPr>
            </w:pPr>
            <w:r>
              <w:rPr>
                <w:rFonts w:hint="eastAsia" w:ascii="宋体" w:hAnsi="宋体"/>
                <w:b/>
                <w:bCs/>
              </w:rPr>
              <w:t>投标报价得分=(评标基准价／投标报价)×20%×100。</w:t>
            </w:r>
          </w:p>
          <w:p>
            <w:pPr>
              <w:pStyle w:val="58"/>
              <w:rPr>
                <w:rFonts w:ascii="宋体" w:hAnsi="宋体"/>
                <w:b/>
                <w:bCs/>
              </w:rPr>
            </w:pPr>
            <w:r>
              <w:rPr>
                <w:rFonts w:hint="eastAsia" w:ascii="宋体" w:hAnsi="宋体"/>
                <w:b/>
                <w:bCs/>
              </w:rPr>
              <w:t>注：分值计算保留小数点后两位，小数点后第三位“四舍五入”。</w:t>
            </w:r>
            <w:r>
              <w:rPr>
                <w:rFonts w:hint="eastAsia" w:ascii="宋体" w:hAnsi="宋体"/>
                <w:b/>
                <w:bCs/>
              </w:rPr>
              <w:br w:type="textWrapping"/>
            </w:r>
            <w:r>
              <w:rPr>
                <w:rFonts w:hint="eastAsia" w:ascii="宋体" w:hAnsi="宋体"/>
                <w:b/>
                <w:bCs/>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CellMar>
            <w:top w:w="0" w:type="dxa"/>
            <w:left w:w="108" w:type="dxa"/>
            <w:bottom w:w="0" w:type="dxa"/>
            <w:right w:w="108" w:type="dxa"/>
          </w:tblCellMar>
        </w:tblPrEx>
        <w:trPr>
          <w:trHeight w:val="360" w:hRule="atLeast"/>
        </w:trPr>
        <w:tc>
          <w:tcPr>
            <w:tcW w:w="44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w:t>
            </w:r>
          </w:p>
        </w:tc>
        <w:tc>
          <w:tcPr>
            <w:tcW w:w="49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商务部分</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40</w:t>
            </w: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r>
              <w:rPr>
                <w:rFonts w:hint="eastAsia" w:ascii="宋体" w:hAnsi="宋体" w:cs="宋体"/>
                <w:szCs w:val="21"/>
              </w:rPr>
              <w:t>1、业绩（15分）。供应商2016年以来具有合同金额在50万元/年以上的类似项目业绩（以合同签订时间为准），每份得3分，本项最多得15分。(以合同和银行出具的转账凭证为准，二者缺一不计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numPr>
                <w:ilvl w:val="0"/>
                <w:numId w:val="17"/>
              </w:numPr>
              <w:spacing w:line="300" w:lineRule="auto"/>
              <w:ind w:right="147" w:rightChars="70"/>
              <w:textAlignment w:val="center"/>
            </w:pPr>
            <w:r>
              <w:rPr>
                <w:rFonts w:hint="eastAsia"/>
              </w:rPr>
              <w:t>荣誉（9分）。</w:t>
            </w:r>
          </w:p>
          <w:p>
            <w:pPr>
              <w:spacing w:line="300" w:lineRule="auto"/>
              <w:ind w:right="147" w:rightChars="70"/>
              <w:textAlignment w:val="center"/>
            </w:pPr>
            <w:r>
              <w:rPr>
                <w:rFonts w:hint="eastAsia" w:ascii="宋体" w:hAnsi="宋体" w:cs="宋体"/>
                <w:szCs w:val="21"/>
                <w:lang w:val="en-US" w:eastAsia="zh-CN"/>
              </w:rPr>
              <w:t>投标企业获得过物业主管部门或政府有关部门颁发的荣誉的，省部级得6分，地市级得3分，本项最高得9分。以证书及奖励文件为准，二者缺一不计分，投标文件中附完整的扫描件。</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3、信誉（5分）。2016年以来，企业获得过企业信用等级证书的，AAA级得5分，AA级得3分，A级得1分。以证书为准，</w:t>
            </w:r>
            <w:r>
              <w:rPr>
                <w:rFonts w:hint="eastAsia" w:ascii="宋体" w:hAnsi="宋体" w:cs="宋体"/>
                <w:szCs w:val="21"/>
              </w:rPr>
              <w:t>投标文件中附完整的扫描件</w:t>
            </w:r>
            <w:r>
              <w:rPr>
                <w:rFonts w:hint="eastAsia" w:ascii="宋体" w:hAnsi="宋体" w:cs="宋体"/>
                <w:kern w:val="0"/>
                <w:szCs w:val="21"/>
              </w:rPr>
              <w:t>。</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4、体系认证（9分）。企业获得环境管理体系认证证书、职业健康安全管理体系认证证书、质量管理体系认证证书的，每个证书得3分，最高得9分。以证书为准，</w:t>
            </w:r>
            <w:r>
              <w:rPr>
                <w:rFonts w:hint="eastAsia" w:ascii="宋体" w:hAnsi="宋体" w:cs="宋体"/>
                <w:szCs w:val="21"/>
              </w:rPr>
              <w:t>投标文件中附完整的扫描件</w:t>
            </w:r>
            <w:r>
              <w:rPr>
                <w:rFonts w:hint="eastAsia" w:ascii="宋体" w:hAnsi="宋体" w:cs="宋体"/>
                <w:kern w:val="0"/>
                <w:szCs w:val="21"/>
              </w:rPr>
              <w:t>。</w:t>
            </w:r>
            <w:r>
              <w:rPr>
                <w:rFonts w:hint="eastAsia" w:ascii="宋体" w:hAnsi="宋体"/>
                <w:szCs w:val="21"/>
              </w:rPr>
              <w:t>【须提供认证证书和带网址的中国国家认证认可监督管理委员会网页查询截图】</w:t>
            </w:r>
          </w:p>
        </w:tc>
      </w:tr>
      <w:tr>
        <w:tblPrEx>
          <w:tblCellMar>
            <w:top w:w="0" w:type="dxa"/>
            <w:left w:w="108" w:type="dxa"/>
            <w:bottom w:w="0" w:type="dxa"/>
            <w:right w:w="108" w:type="dxa"/>
          </w:tblCellMar>
        </w:tblPrEx>
        <w:trPr>
          <w:trHeight w:val="535" w:hRule="atLeast"/>
        </w:trPr>
        <w:tc>
          <w:tcPr>
            <w:tcW w:w="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49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szCs w:val="21"/>
              </w:rPr>
            </w:pPr>
          </w:p>
        </w:tc>
        <w:tc>
          <w:tcPr>
            <w:tcW w:w="81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right="147" w:rightChars="70"/>
              <w:textAlignment w:val="center"/>
              <w:rPr>
                <w:rFonts w:ascii="宋体" w:hAnsi="宋体" w:cs="宋体"/>
                <w:kern w:val="0"/>
                <w:szCs w:val="21"/>
              </w:rPr>
            </w:pPr>
            <w:r>
              <w:rPr>
                <w:rFonts w:hint="eastAsia" w:ascii="宋体" w:hAnsi="宋体" w:cs="宋体"/>
                <w:kern w:val="0"/>
                <w:szCs w:val="21"/>
              </w:rPr>
              <w:t>5、</w:t>
            </w:r>
            <w:r>
              <w:rPr>
                <w:rFonts w:hint="eastAsia" w:ascii="宋体" w:hAnsi="宋体" w:cs="宋体"/>
                <w:b/>
                <w:bCs/>
                <w:kern w:val="0"/>
                <w:szCs w:val="21"/>
              </w:rPr>
              <w:t>员工保险（2分）。公司管理的物业服务项目，购买有雇主责任险（或团体人身意外险）的得2分。（如为团体人身险，人数不得低于20人）。以保险合同为准，</w:t>
            </w:r>
            <w:r>
              <w:rPr>
                <w:rFonts w:hint="eastAsia" w:ascii="宋体" w:hAnsi="宋体" w:cs="宋体"/>
                <w:b/>
                <w:bCs/>
                <w:szCs w:val="21"/>
              </w:rPr>
              <w:t>投标文件中附完整的扫描件</w:t>
            </w:r>
            <w:r>
              <w:rPr>
                <w:rFonts w:hint="eastAsia" w:ascii="宋体" w:hAnsi="宋体" w:cs="宋体"/>
                <w:kern w:val="0"/>
                <w:szCs w:val="21"/>
              </w:rPr>
              <w:t>。</w:t>
            </w:r>
          </w:p>
        </w:tc>
      </w:tr>
      <w:tr>
        <w:tblPrEx>
          <w:tblCellMar>
            <w:top w:w="0" w:type="dxa"/>
            <w:left w:w="108" w:type="dxa"/>
            <w:bottom w:w="0" w:type="dxa"/>
            <w:right w:w="108" w:type="dxa"/>
          </w:tblCellMar>
        </w:tblPrEx>
        <w:trPr>
          <w:cantSplit/>
          <w:trHeight w:val="187" w:hRule="atLeast"/>
        </w:trPr>
        <w:tc>
          <w:tcPr>
            <w:tcW w:w="445" w:type="dxa"/>
            <w:vMerge w:val="restart"/>
            <w:tcBorders>
              <w:top w:val="single" w:color="auto" w:sz="4" w:space="0"/>
              <w:left w:val="double" w:color="auto" w:sz="4" w:space="0"/>
              <w:right w:val="single" w:color="auto" w:sz="4" w:space="0"/>
            </w:tcBorders>
            <w:vAlign w:val="center"/>
          </w:tcPr>
          <w:p>
            <w:pPr>
              <w:rPr>
                <w:rFonts w:ascii="宋体" w:hAnsi="宋体"/>
                <w:kern w:val="0"/>
                <w:szCs w:val="21"/>
              </w:rPr>
            </w:pPr>
            <w:r>
              <w:rPr>
                <w:rFonts w:hint="eastAsia" w:ascii="宋体" w:hAnsi="宋体"/>
                <w:kern w:val="0"/>
                <w:szCs w:val="21"/>
              </w:rPr>
              <w:t>3</w:t>
            </w:r>
          </w:p>
        </w:tc>
        <w:tc>
          <w:tcPr>
            <w:tcW w:w="494" w:type="dxa"/>
            <w:vMerge w:val="restart"/>
            <w:tcBorders>
              <w:top w:val="single" w:color="auto" w:sz="4" w:space="0"/>
              <w:left w:val="single" w:color="auto" w:sz="4" w:space="0"/>
              <w:right w:val="single" w:color="auto" w:sz="4" w:space="0"/>
            </w:tcBorders>
            <w:vAlign w:val="center"/>
          </w:tcPr>
          <w:p>
            <w:pPr>
              <w:pStyle w:val="58"/>
              <w:rPr>
                <w:rFonts w:ascii="宋体" w:hAnsi="宋体"/>
              </w:rPr>
            </w:pPr>
            <w:r>
              <w:rPr>
                <w:rFonts w:hint="eastAsia" w:ascii="Arial" w:hAnsi="Arial" w:cs="Arial"/>
                <w:color w:val="333333"/>
                <w:shd w:val="clear" w:color="auto" w:fill="FFFFFF"/>
              </w:rPr>
              <w:t>物业管理方案</w:t>
            </w:r>
          </w:p>
        </w:tc>
        <w:tc>
          <w:tcPr>
            <w:tcW w:w="672" w:type="dxa"/>
            <w:vMerge w:val="restart"/>
            <w:tcBorders>
              <w:top w:val="single" w:color="auto" w:sz="4" w:space="0"/>
              <w:left w:val="single" w:color="auto" w:sz="4" w:space="0"/>
              <w:right w:val="single" w:color="auto" w:sz="4" w:space="0"/>
            </w:tcBorders>
            <w:vAlign w:val="center"/>
          </w:tcPr>
          <w:p>
            <w:pPr>
              <w:pStyle w:val="58"/>
              <w:rPr>
                <w:rFonts w:ascii="宋体" w:hAnsi="宋体"/>
              </w:rPr>
            </w:pPr>
            <w:r>
              <w:rPr>
                <w:rFonts w:hint="eastAsia" w:ascii="宋体" w:hAnsi="宋体"/>
              </w:rPr>
              <w:t>40</w:t>
            </w: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1、项目特点分析（3分）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根据投标人通过对本项目的特点、难点分析，并要根据难点提出相应的管理措施。（由评委分为三档打分，一档3分，二档2分，三档1分打分，缺项不得分）</w:t>
            </w:r>
          </w:p>
        </w:tc>
      </w:tr>
      <w:tr>
        <w:tblPrEx>
          <w:tblCellMar>
            <w:top w:w="0" w:type="dxa"/>
            <w:left w:w="108" w:type="dxa"/>
            <w:bottom w:w="0" w:type="dxa"/>
            <w:right w:w="108" w:type="dxa"/>
          </w:tblCellMar>
        </w:tblPrEx>
        <w:trPr>
          <w:cantSplit/>
          <w:trHeight w:val="14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2、服务模式（3分）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投标人根据项目具体情况，设计服务模式、机制并提出服务的理念等。（由评委分为三档打分，一档3分，二档2分，三档1分打分，缺项不得分）</w:t>
            </w:r>
          </w:p>
        </w:tc>
      </w:tr>
      <w:tr>
        <w:tblPrEx>
          <w:tblCellMar>
            <w:top w:w="0" w:type="dxa"/>
            <w:left w:w="108" w:type="dxa"/>
            <w:bottom w:w="0" w:type="dxa"/>
            <w:right w:w="108" w:type="dxa"/>
          </w:tblCellMar>
        </w:tblPrEx>
        <w:trPr>
          <w:cantSplit/>
          <w:trHeight w:val="31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3、服务目标及质量管理措施（5分）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投标人根据服务内容承诺各项管理目标，并提出质量管理措施。（由评委分为三档打分，一档5分，二档3分，三档1分打分，缺项不得分）</w:t>
            </w:r>
          </w:p>
        </w:tc>
      </w:tr>
      <w:tr>
        <w:tblPrEx>
          <w:tblCellMar>
            <w:top w:w="0" w:type="dxa"/>
            <w:left w:w="108" w:type="dxa"/>
            <w:bottom w:w="0" w:type="dxa"/>
            <w:right w:w="108" w:type="dxa"/>
          </w:tblCellMar>
        </w:tblPrEx>
        <w:trPr>
          <w:cantSplit/>
          <w:trHeight w:val="35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4、设备设施维护方案（5分）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根据各投标人提供的设备设施管理运行与维护方案。（由评委分为三档打分，一档5分，二档3分，三档1分打分，缺项不得分）</w:t>
            </w:r>
          </w:p>
        </w:tc>
      </w:tr>
      <w:tr>
        <w:tblPrEx>
          <w:tblCellMar>
            <w:top w:w="0" w:type="dxa"/>
            <w:left w:w="108" w:type="dxa"/>
            <w:bottom w:w="0" w:type="dxa"/>
            <w:right w:w="108" w:type="dxa"/>
          </w:tblCellMar>
        </w:tblPrEx>
        <w:trPr>
          <w:cantSplit/>
          <w:trHeight w:val="329"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5、养护及保洁服务方案（5分）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根据各投标人提供的养护及保洁服务方案的针对性与合理性。（由评委分为三档打分，一档5分，二档3分，三档1分打分，缺项不得分）</w:t>
            </w:r>
          </w:p>
        </w:tc>
      </w:tr>
      <w:tr>
        <w:tblPrEx>
          <w:tblCellMar>
            <w:top w:w="0" w:type="dxa"/>
            <w:left w:w="108" w:type="dxa"/>
            <w:bottom w:w="0" w:type="dxa"/>
            <w:right w:w="108" w:type="dxa"/>
          </w:tblCellMar>
        </w:tblPrEx>
        <w:trPr>
          <w:cantSplit/>
          <w:trHeight w:val="710"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6、人员配置、管理方案（3分）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投标人根据服务内容.标准提出相应的人员配置方案的合理性，及人员管理方案的针对性与有效性（由评委分为三档打分，一档3分，二档2分，三档1分打分，缺项不得分）。</w:t>
            </w:r>
          </w:p>
        </w:tc>
      </w:tr>
      <w:tr>
        <w:tblPrEx>
          <w:tblCellMar>
            <w:top w:w="0" w:type="dxa"/>
            <w:left w:w="108" w:type="dxa"/>
            <w:bottom w:w="0" w:type="dxa"/>
            <w:right w:w="108" w:type="dxa"/>
          </w:tblCellMar>
        </w:tblPrEx>
        <w:trPr>
          <w:cantSplit/>
          <w:trHeight w:val="305"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7、物资装备计划（3分）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根据投标人提供的物资装备计划的针对性与合理性。（由评委分为三档打分，一档3分，二档2分，三档1分打分，缺项不得分）</w:t>
            </w:r>
          </w:p>
        </w:tc>
      </w:tr>
      <w:tr>
        <w:tblPrEx>
          <w:tblCellMar>
            <w:top w:w="0" w:type="dxa"/>
            <w:left w:w="108" w:type="dxa"/>
            <w:bottom w:w="0" w:type="dxa"/>
            <w:right w:w="108" w:type="dxa"/>
          </w:tblCellMar>
        </w:tblPrEx>
        <w:trPr>
          <w:cantSplit/>
          <w:trHeight w:val="504"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8、与采购人联动机制（3分）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根据投标人提供与采购人联动机制的全面性与实用性，（由评委分为三档打分，一档3分，二档2分，三档1分打分，缺项不得分）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tcPr>
          <w:p>
            <w:pPr>
              <w:pStyle w:val="21"/>
              <w:widowControl/>
              <w:spacing w:line="440" w:lineRule="exact"/>
              <w:rPr>
                <w:rFonts w:ascii="宋体" w:hAnsi="宋体"/>
                <w:sz w:val="21"/>
                <w:szCs w:val="21"/>
              </w:rPr>
            </w:pPr>
            <w:r>
              <w:rPr>
                <w:rFonts w:hint="eastAsia" w:ascii="宋体" w:hAnsi="宋体"/>
                <w:sz w:val="21"/>
                <w:szCs w:val="21"/>
              </w:rPr>
              <w:t>9、应急预案（5分）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根据投标人提供各种应急预案的全面性与针对性。（由评委分为三档打分，一档5分，二档3分，三档1分打分，缺项不得分）</w:t>
            </w:r>
          </w:p>
        </w:tc>
      </w:tr>
      <w:tr>
        <w:tblPrEx>
          <w:tblCellMar>
            <w:top w:w="0" w:type="dxa"/>
            <w:left w:w="108" w:type="dxa"/>
            <w:bottom w:w="0" w:type="dxa"/>
            <w:right w:w="108" w:type="dxa"/>
          </w:tblCellMar>
        </w:tblPrEx>
        <w:trPr>
          <w:cantSplit/>
          <w:trHeight w:val="193" w:hRule="atLeast"/>
        </w:trPr>
        <w:tc>
          <w:tcPr>
            <w:tcW w:w="445" w:type="dxa"/>
            <w:vMerge w:val="continue"/>
            <w:tcBorders>
              <w:left w:val="double" w:color="auto" w:sz="4" w:space="0"/>
              <w:right w:val="single" w:color="auto" w:sz="4" w:space="0"/>
            </w:tcBorders>
            <w:vAlign w:val="center"/>
          </w:tcPr>
          <w:p>
            <w:pPr>
              <w:rPr>
                <w:rFonts w:ascii="宋体" w:hAnsi="宋体"/>
                <w:kern w:val="0"/>
                <w:szCs w:val="21"/>
              </w:rPr>
            </w:pPr>
          </w:p>
        </w:tc>
        <w:tc>
          <w:tcPr>
            <w:tcW w:w="494" w:type="dxa"/>
            <w:vMerge w:val="continue"/>
            <w:tcBorders>
              <w:left w:val="single" w:color="auto" w:sz="4" w:space="0"/>
              <w:right w:val="single" w:color="auto" w:sz="4" w:space="0"/>
            </w:tcBorders>
            <w:vAlign w:val="center"/>
          </w:tcPr>
          <w:p>
            <w:pPr>
              <w:pStyle w:val="58"/>
              <w:rPr>
                <w:rFonts w:ascii="Arial" w:hAnsi="Arial" w:cs="Arial"/>
                <w:color w:val="333333"/>
                <w:shd w:val="clear" w:color="auto" w:fill="FFFFFF"/>
              </w:rPr>
            </w:pPr>
          </w:p>
        </w:tc>
        <w:tc>
          <w:tcPr>
            <w:tcW w:w="672" w:type="dxa"/>
            <w:vMerge w:val="continue"/>
            <w:tcBorders>
              <w:left w:val="single" w:color="auto" w:sz="4" w:space="0"/>
              <w:right w:val="single" w:color="auto" w:sz="4" w:space="0"/>
            </w:tcBorders>
            <w:vAlign w:val="center"/>
          </w:tcPr>
          <w:p>
            <w:pPr>
              <w:pStyle w:val="58"/>
              <w:rPr>
                <w:rFonts w:ascii="宋体" w:hAnsi="宋体"/>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10、服务承诺（5分）</w:t>
            </w:r>
          </w:p>
        </w:tc>
        <w:tc>
          <w:tcPr>
            <w:tcW w:w="6603" w:type="dxa"/>
            <w:tcBorders>
              <w:top w:val="single" w:color="auto" w:sz="4" w:space="0"/>
              <w:left w:val="single" w:color="auto" w:sz="4" w:space="0"/>
              <w:bottom w:val="single" w:color="auto" w:sz="4" w:space="0"/>
              <w:right w:val="double" w:color="auto" w:sz="4" w:space="0"/>
            </w:tcBorders>
          </w:tcPr>
          <w:p>
            <w:pPr>
              <w:pStyle w:val="21"/>
              <w:widowControl/>
              <w:spacing w:line="440" w:lineRule="exact"/>
              <w:rPr>
                <w:rFonts w:ascii="宋体" w:hAnsi="宋体"/>
                <w:sz w:val="21"/>
                <w:szCs w:val="21"/>
              </w:rPr>
            </w:pPr>
            <w:r>
              <w:rPr>
                <w:rFonts w:hint="eastAsia" w:ascii="宋体" w:hAnsi="宋体"/>
                <w:sz w:val="21"/>
                <w:szCs w:val="21"/>
              </w:rPr>
              <w:t>具有完善的服务计划，具有为采购人排忧解难的制度安排。由评委综合比较分为三档，一档5分，二档3分，三档1分打分，无服务计划不得分。</w:t>
            </w:r>
          </w:p>
        </w:tc>
      </w:tr>
      <w:tr>
        <w:tblPrEx>
          <w:tblCellMar>
            <w:top w:w="0" w:type="dxa"/>
            <w:left w:w="108" w:type="dxa"/>
            <w:bottom w:w="0" w:type="dxa"/>
            <w:right w:w="108" w:type="dxa"/>
          </w:tblCellMar>
        </w:tblPrEx>
        <w:trPr>
          <w:trHeight w:val="455" w:hRule="atLeast"/>
        </w:trPr>
        <w:tc>
          <w:tcPr>
            <w:tcW w:w="939" w:type="dxa"/>
            <w:gridSpan w:val="2"/>
            <w:tcBorders>
              <w:top w:val="single" w:color="auto" w:sz="4" w:space="0"/>
              <w:left w:val="doub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合计</w:t>
            </w:r>
          </w:p>
        </w:tc>
        <w:tc>
          <w:tcPr>
            <w:tcW w:w="672" w:type="dxa"/>
            <w:tcBorders>
              <w:top w:val="single" w:color="auto" w:sz="4" w:space="0"/>
              <w:left w:val="single" w:color="auto" w:sz="4" w:space="0"/>
              <w:bottom w:val="double" w:color="auto" w:sz="4" w:space="0"/>
              <w:right w:val="single" w:color="auto" w:sz="4" w:space="0"/>
            </w:tcBorders>
            <w:vAlign w:val="center"/>
          </w:tcPr>
          <w:p>
            <w:pPr>
              <w:rPr>
                <w:rFonts w:ascii="宋体" w:hAnsi="宋体"/>
                <w:kern w:val="0"/>
                <w:sz w:val="22"/>
              </w:rPr>
            </w:pPr>
            <w:r>
              <w:rPr>
                <w:rFonts w:hint="eastAsia" w:ascii="宋体" w:hAnsi="宋体"/>
                <w:kern w:val="0"/>
                <w:sz w:val="22"/>
              </w:rPr>
              <w:t>100</w:t>
            </w:r>
          </w:p>
        </w:tc>
        <w:tc>
          <w:tcPr>
            <w:tcW w:w="8118" w:type="dxa"/>
            <w:gridSpan w:val="2"/>
            <w:tcBorders>
              <w:top w:val="single" w:color="auto" w:sz="4" w:space="0"/>
              <w:left w:val="single" w:color="auto" w:sz="4" w:space="0"/>
              <w:bottom w:val="double" w:color="auto" w:sz="4" w:space="0"/>
              <w:right w:val="double" w:color="auto" w:sz="4" w:space="0"/>
            </w:tcBorders>
            <w:vAlign w:val="center"/>
          </w:tcPr>
          <w:p>
            <w:pPr>
              <w:rPr>
                <w:rFonts w:ascii="宋体" w:hAnsi="宋体"/>
                <w:kern w:val="0"/>
                <w:sz w:val="22"/>
              </w:rPr>
            </w:pPr>
            <w:r>
              <w:rPr>
                <w:rFonts w:hint="eastAsia" w:ascii="宋体" w:hAnsi="宋体"/>
                <w:kern w:val="0"/>
                <w:sz w:val="22"/>
              </w:rPr>
              <w:t xml:space="preserve"> </w:t>
            </w:r>
          </w:p>
        </w:tc>
      </w:tr>
    </w:tbl>
    <w:p>
      <w:pPr>
        <w:spacing w:line="360" w:lineRule="auto"/>
        <w:ind w:firstLine="422" w:firstLineChars="200"/>
        <w:rPr>
          <w:rFonts w:cs="仿宋_GB2312" w:asciiTheme="minorEastAsia" w:hAnsiTheme="minorEastAsia"/>
          <w:b/>
          <w:szCs w:val="21"/>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84023138"/>
      <w:bookmarkStart w:id="6" w:name="_Toc174185203"/>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r>
        <w:rPr>
          <w:rFonts w:asciiTheme="minorEastAsia" w:hAnsiTheme="minorEastAsia"/>
          <w:b/>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宋体" w:hAnsi="宋体"/>
          <w:szCs w:val="21"/>
        </w:rPr>
      </w:pPr>
      <w:r>
        <w:rPr>
          <w:rFonts w:hint="eastAsia" w:ascii="宋体" w:hAnsi="宋体"/>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ascii="宋体" w:hAnsi="宋体"/>
          <w:szCs w:val="21"/>
        </w:rPr>
        <w:t>我方已完全明白招标文件的所有</w:t>
      </w:r>
      <w:r>
        <w:rPr>
          <w:rFonts w:hint="eastAsia" w:cs="Courier New" w:asciiTheme="minorEastAsia" w:hAnsiTheme="minorEastAsia"/>
          <w:szCs w:val="21"/>
        </w:rPr>
        <w:t>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我方同意在本项目招标文件中规定的开标日起60天内遵守本投标文件中的承诺且在此期限期满之前均具有约束力。我方同意并遵守本招标文件“投标人须知”中第十四条第三款关于延长投标有效期的规定。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采购人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449F7"/>
    <w:multiLevelType w:val="singleLevel"/>
    <w:tmpl w:val="86E449F7"/>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7BBD60"/>
    <w:multiLevelType w:val="singleLevel"/>
    <w:tmpl w:val="797BBD60"/>
    <w:lvl w:ilvl="0" w:tentative="0">
      <w:start w:val="2"/>
      <w:numFmt w:val="decimal"/>
      <w:suff w:val="nothing"/>
      <w:lvlText w:val="%1、"/>
      <w:lvlJc w:val="left"/>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7"/>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70A"/>
    <w:rsid w:val="0002244E"/>
    <w:rsid w:val="00032E32"/>
    <w:rsid w:val="000332D6"/>
    <w:rsid w:val="000346ED"/>
    <w:rsid w:val="000576C2"/>
    <w:rsid w:val="00057F7C"/>
    <w:rsid w:val="00073D7B"/>
    <w:rsid w:val="00075D7D"/>
    <w:rsid w:val="000779E8"/>
    <w:rsid w:val="00077E62"/>
    <w:rsid w:val="00080F36"/>
    <w:rsid w:val="00085F8B"/>
    <w:rsid w:val="0008676F"/>
    <w:rsid w:val="000873AE"/>
    <w:rsid w:val="000928D7"/>
    <w:rsid w:val="00094EAD"/>
    <w:rsid w:val="000A4572"/>
    <w:rsid w:val="000A6110"/>
    <w:rsid w:val="000B34C4"/>
    <w:rsid w:val="000B5686"/>
    <w:rsid w:val="000C75A7"/>
    <w:rsid w:val="000D07EA"/>
    <w:rsid w:val="000D2DED"/>
    <w:rsid w:val="000D39AC"/>
    <w:rsid w:val="00100BEF"/>
    <w:rsid w:val="001013D9"/>
    <w:rsid w:val="0010571F"/>
    <w:rsid w:val="00117B60"/>
    <w:rsid w:val="00121E2F"/>
    <w:rsid w:val="00133EDE"/>
    <w:rsid w:val="00142DB6"/>
    <w:rsid w:val="0015237B"/>
    <w:rsid w:val="00152A00"/>
    <w:rsid w:val="00156EC1"/>
    <w:rsid w:val="00160E65"/>
    <w:rsid w:val="00162C1E"/>
    <w:rsid w:val="001669F3"/>
    <w:rsid w:val="00166E01"/>
    <w:rsid w:val="00181D66"/>
    <w:rsid w:val="0019038A"/>
    <w:rsid w:val="001B474D"/>
    <w:rsid w:val="001D2E1A"/>
    <w:rsid w:val="001D4207"/>
    <w:rsid w:val="001D68FA"/>
    <w:rsid w:val="001E7C2C"/>
    <w:rsid w:val="001F5571"/>
    <w:rsid w:val="00203BE3"/>
    <w:rsid w:val="00210C2B"/>
    <w:rsid w:val="00210FCB"/>
    <w:rsid w:val="00250C01"/>
    <w:rsid w:val="002863C2"/>
    <w:rsid w:val="00293C27"/>
    <w:rsid w:val="002945DA"/>
    <w:rsid w:val="002A5B82"/>
    <w:rsid w:val="002C1571"/>
    <w:rsid w:val="002C42F6"/>
    <w:rsid w:val="002C7916"/>
    <w:rsid w:val="002D494E"/>
    <w:rsid w:val="002D4951"/>
    <w:rsid w:val="002E2CED"/>
    <w:rsid w:val="002F3A7B"/>
    <w:rsid w:val="002F4123"/>
    <w:rsid w:val="00302F61"/>
    <w:rsid w:val="003033ED"/>
    <w:rsid w:val="003044A3"/>
    <w:rsid w:val="003161BC"/>
    <w:rsid w:val="00320DAC"/>
    <w:rsid w:val="00323356"/>
    <w:rsid w:val="003242B4"/>
    <w:rsid w:val="003305F9"/>
    <w:rsid w:val="00335F83"/>
    <w:rsid w:val="00337912"/>
    <w:rsid w:val="0034111D"/>
    <w:rsid w:val="003552A2"/>
    <w:rsid w:val="00372961"/>
    <w:rsid w:val="00380CFB"/>
    <w:rsid w:val="0038333D"/>
    <w:rsid w:val="00390295"/>
    <w:rsid w:val="003A03A0"/>
    <w:rsid w:val="003B2838"/>
    <w:rsid w:val="003B75ED"/>
    <w:rsid w:val="003C7F5A"/>
    <w:rsid w:val="003D6794"/>
    <w:rsid w:val="003F5CD2"/>
    <w:rsid w:val="00406170"/>
    <w:rsid w:val="00410B93"/>
    <w:rsid w:val="00414383"/>
    <w:rsid w:val="004207F8"/>
    <w:rsid w:val="00422114"/>
    <w:rsid w:val="0044305C"/>
    <w:rsid w:val="004438F4"/>
    <w:rsid w:val="00461483"/>
    <w:rsid w:val="00473ADD"/>
    <w:rsid w:val="00476C13"/>
    <w:rsid w:val="0048573C"/>
    <w:rsid w:val="00486FE2"/>
    <w:rsid w:val="004A1AF2"/>
    <w:rsid w:val="004A383B"/>
    <w:rsid w:val="004A4195"/>
    <w:rsid w:val="004B054D"/>
    <w:rsid w:val="004C01E2"/>
    <w:rsid w:val="004E07F6"/>
    <w:rsid w:val="004E0F6D"/>
    <w:rsid w:val="004E5765"/>
    <w:rsid w:val="004F121A"/>
    <w:rsid w:val="004F1C5F"/>
    <w:rsid w:val="004F32A0"/>
    <w:rsid w:val="004F7AD2"/>
    <w:rsid w:val="00501891"/>
    <w:rsid w:val="00515F85"/>
    <w:rsid w:val="00521623"/>
    <w:rsid w:val="0052728E"/>
    <w:rsid w:val="005316FF"/>
    <w:rsid w:val="0054649B"/>
    <w:rsid w:val="00550D0B"/>
    <w:rsid w:val="005579B6"/>
    <w:rsid w:val="00567B17"/>
    <w:rsid w:val="00575D26"/>
    <w:rsid w:val="0057676D"/>
    <w:rsid w:val="0058008A"/>
    <w:rsid w:val="0058369C"/>
    <w:rsid w:val="0058393C"/>
    <w:rsid w:val="0058525C"/>
    <w:rsid w:val="00595AE4"/>
    <w:rsid w:val="005A3857"/>
    <w:rsid w:val="005A39DD"/>
    <w:rsid w:val="005A4753"/>
    <w:rsid w:val="005B0C29"/>
    <w:rsid w:val="005B52B6"/>
    <w:rsid w:val="005C0CF5"/>
    <w:rsid w:val="005C3AE6"/>
    <w:rsid w:val="005C5F5B"/>
    <w:rsid w:val="005C67C8"/>
    <w:rsid w:val="005D7666"/>
    <w:rsid w:val="005E534D"/>
    <w:rsid w:val="005F225E"/>
    <w:rsid w:val="005F6F6A"/>
    <w:rsid w:val="00600306"/>
    <w:rsid w:val="006078AC"/>
    <w:rsid w:val="00614340"/>
    <w:rsid w:val="00617A3D"/>
    <w:rsid w:val="00620785"/>
    <w:rsid w:val="006303FC"/>
    <w:rsid w:val="00630CA6"/>
    <w:rsid w:val="00634FA0"/>
    <w:rsid w:val="00636AAD"/>
    <w:rsid w:val="00641150"/>
    <w:rsid w:val="00642CFC"/>
    <w:rsid w:val="006503D0"/>
    <w:rsid w:val="0066419E"/>
    <w:rsid w:val="00667B6D"/>
    <w:rsid w:val="0067302F"/>
    <w:rsid w:val="0067566A"/>
    <w:rsid w:val="0067738B"/>
    <w:rsid w:val="00680752"/>
    <w:rsid w:val="00680AFA"/>
    <w:rsid w:val="0068663A"/>
    <w:rsid w:val="0069025C"/>
    <w:rsid w:val="006907F7"/>
    <w:rsid w:val="00693F99"/>
    <w:rsid w:val="006A3D75"/>
    <w:rsid w:val="006B3D9A"/>
    <w:rsid w:val="006B4BB3"/>
    <w:rsid w:val="006B7982"/>
    <w:rsid w:val="006D10FD"/>
    <w:rsid w:val="006D4496"/>
    <w:rsid w:val="006D5FEB"/>
    <w:rsid w:val="006D7001"/>
    <w:rsid w:val="006D77A9"/>
    <w:rsid w:val="006E145E"/>
    <w:rsid w:val="006E1967"/>
    <w:rsid w:val="006E1AB0"/>
    <w:rsid w:val="006E3E32"/>
    <w:rsid w:val="006F5EBA"/>
    <w:rsid w:val="00702C35"/>
    <w:rsid w:val="0071006A"/>
    <w:rsid w:val="00717D9E"/>
    <w:rsid w:val="0072406E"/>
    <w:rsid w:val="00733882"/>
    <w:rsid w:val="00736FD5"/>
    <w:rsid w:val="00750835"/>
    <w:rsid w:val="00765BB6"/>
    <w:rsid w:val="00770487"/>
    <w:rsid w:val="00780EF2"/>
    <w:rsid w:val="00784A09"/>
    <w:rsid w:val="00794F26"/>
    <w:rsid w:val="0079532F"/>
    <w:rsid w:val="007A1275"/>
    <w:rsid w:val="007A5977"/>
    <w:rsid w:val="007B0A8C"/>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7617D"/>
    <w:rsid w:val="008828F3"/>
    <w:rsid w:val="00892943"/>
    <w:rsid w:val="00895D33"/>
    <w:rsid w:val="008A5A2E"/>
    <w:rsid w:val="008B01DC"/>
    <w:rsid w:val="008B132A"/>
    <w:rsid w:val="008B5CD5"/>
    <w:rsid w:val="008B7021"/>
    <w:rsid w:val="008C5D9C"/>
    <w:rsid w:val="008D0201"/>
    <w:rsid w:val="008D2D0F"/>
    <w:rsid w:val="008D76DD"/>
    <w:rsid w:val="008E276D"/>
    <w:rsid w:val="008E7B4D"/>
    <w:rsid w:val="008F0CB1"/>
    <w:rsid w:val="009164E8"/>
    <w:rsid w:val="00926299"/>
    <w:rsid w:val="009410BE"/>
    <w:rsid w:val="00951B07"/>
    <w:rsid w:val="00956A32"/>
    <w:rsid w:val="00960738"/>
    <w:rsid w:val="00961679"/>
    <w:rsid w:val="009623EE"/>
    <w:rsid w:val="00962400"/>
    <w:rsid w:val="009648EB"/>
    <w:rsid w:val="0097473D"/>
    <w:rsid w:val="00991EE9"/>
    <w:rsid w:val="009A0AC9"/>
    <w:rsid w:val="009B61E8"/>
    <w:rsid w:val="009C12AB"/>
    <w:rsid w:val="009D4208"/>
    <w:rsid w:val="009D76D2"/>
    <w:rsid w:val="009E01A6"/>
    <w:rsid w:val="009E0C30"/>
    <w:rsid w:val="00A04493"/>
    <w:rsid w:val="00A04AFF"/>
    <w:rsid w:val="00A14EEB"/>
    <w:rsid w:val="00A163C6"/>
    <w:rsid w:val="00A220EE"/>
    <w:rsid w:val="00A22272"/>
    <w:rsid w:val="00A24AAD"/>
    <w:rsid w:val="00A305AC"/>
    <w:rsid w:val="00A33B8B"/>
    <w:rsid w:val="00A55096"/>
    <w:rsid w:val="00A57B03"/>
    <w:rsid w:val="00A6683F"/>
    <w:rsid w:val="00A678FE"/>
    <w:rsid w:val="00A831DE"/>
    <w:rsid w:val="00A85979"/>
    <w:rsid w:val="00AA4948"/>
    <w:rsid w:val="00AA6AA0"/>
    <w:rsid w:val="00AA75E5"/>
    <w:rsid w:val="00AB190E"/>
    <w:rsid w:val="00AB1F1D"/>
    <w:rsid w:val="00AC4FB4"/>
    <w:rsid w:val="00AD282C"/>
    <w:rsid w:val="00AD4B46"/>
    <w:rsid w:val="00AE1360"/>
    <w:rsid w:val="00AE565E"/>
    <w:rsid w:val="00AF47D5"/>
    <w:rsid w:val="00AF6A4F"/>
    <w:rsid w:val="00AF712E"/>
    <w:rsid w:val="00B03A69"/>
    <w:rsid w:val="00B055BE"/>
    <w:rsid w:val="00B14B8C"/>
    <w:rsid w:val="00B15E4D"/>
    <w:rsid w:val="00B16D9F"/>
    <w:rsid w:val="00B237B5"/>
    <w:rsid w:val="00B310D0"/>
    <w:rsid w:val="00B40EF5"/>
    <w:rsid w:val="00B4490E"/>
    <w:rsid w:val="00B50E45"/>
    <w:rsid w:val="00B510F5"/>
    <w:rsid w:val="00B52ECB"/>
    <w:rsid w:val="00B54144"/>
    <w:rsid w:val="00B54904"/>
    <w:rsid w:val="00B622EF"/>
    <w:rsid w:val="00B67CBD"/>
    <w:rsid w:val="00B739DB"/>
    <w:rsid w:val="00B750A7"/>
    <w:rsid w:val="00B855ED"/>
    <w:rsid w:val="00B965F2"/>
    <w:rsid w:val="00BA5277"/>
    <w:rsid w:val="00BC0D9C"/>
    <w:rsid w:val="00BC0DFC"/>
    <w:rsid w:val="00BD1C8B"/>
    <w:rsid w:val="00BD1EE7"/>
    <w:rsid w:val="00BE0DFE"/>
    <w:rsid w:val="00BE45BC"/>
    <w:rsid w:val="00BF54FA"/>
    <w:rsid w:val="00C00BB2"/>
    <w:rsid w:val="00C01C37"/>
    <w:rsid w:val="00C061F0"/>
    <w:rsid w:val="00C1406D"/>
    <w:rsid w:val="00C21C83"/>
    <w:rsid w:val="00C22776"/>
    <w:rsid w:val="00C247A1"/>
    <w:rsid w:val="00C26656"/>
    <w:rsid w:val="00C4573C"/>
    <w:rsid w:val="00C457B9"/>
    <w:rsid w:val="00C556BC"/>
    <w:rsid w:val="00C5581B"/>
    <w:rsid w:val="00C561B4"/>
    <w:rsid w:val="00C62D22"/>
    <w:rsid w:val="00C6346F"/>
    <w:rsid w:val="00C63EF7"/>
    <w:rsid w:val="00C6500F"/>
    <w:rsid w:val="00C8034C"/>
    <w:rsid w:val="00C960E9"/>
    <w:rsid w:val="00CA0D3A"/>
    <w:rsid w:val="00CB10AE"/>
    <w:rsid w:val="00CB1C7E"/>
    <w:rsid w:val="00CB2B6A"/>
    <w:rsid w:val="00CC3D8E"/>
    <w:rsid w:val="00CC7610"/>
    <w:rsid w:val="00CD1D26"/>
    <w:rsid w:val="00CE2CF1"/>
    <w:rsid w:val="00D00C7D"/>
    <w:rsid w:val="00D0125C"/>
    <w:rsid w:val="00D023F6"/>
    <w:rsid w:val="00D050D2"/>
    <w:rsid w:val="00D379BE"/>
    <w:rsid w:val="00D40594"/>
    <w:rsid w:val="00D530CE"/>
    <w:rsid w:val="00D60CC8"/>
    <w:rsid w:val="00D60D1B"/>
    <w:rsid w:val="00D62B97"/>
    <w:rsid w:val="00D63CA1"/>
    <w:rsid w:val="00D678D3"/>
    <w:rsid w:val="00D76C9F"/>
    <w:rsid w:val="00D76FFA"/>
    <w:rsid w:val="00D95F07"/>
    <w:rsid w:val="00DA1077"/>
    <w:rsid w:val="00DA62F5"/>
    <w:rsid w:val="00DB5925"/>
    <w:rsid w:val="00DB7E57"/>
    <w:rsid w:val="00DC3848"/>
    <w:rsid w:val="00DC3E97"/>
    <w:rsid w:val="00DC4942"/>
    <w:rsid w:val="00DC67C5"/>
    <w:rsid w:val="00DD3287"/>
    <w:rsid w:val="00DD71B6"/>
    <w:rsid w:val="00DE0C54"/>
    <w:rsid w:val="00DE7D93"/>
    <w:rsid w:val="00DF0C77"/>
    <w:rsid w:val="00E20746"/>
    <w:rsid w:val="00E34F3B"/>
    <w:rsid w:val="00E4000B"/>
    <w:rsid w:val="00E432D5"/>
    <w:rsid w:val="00E574F2"/>
    <w:rsid w:val="00E5756C"/>
    <w:rsid w:val="00E650E5"/>
    <w:rsid w:val="00E804D5"/>
    <w:rsid w:val="00EA645B"/>
    <w:rsid w:val="00EA64C2"/>
    <w:rsid w:val="00EB1100"/>
    <w:rsid w:val="00EB7168"/>
    <w:rsid w:val="00EC7B35"/>
    <w:rsid w:val="00EC7F72"/>
    <w:rsid w:val="00ED0519"/>
    <w:rsid w:val="00EE78AB"/>
    <w:rsid w:val="00EF2ACD"/>
    <w:rsid w:val="00EF46ED"/>
    <w:rsid w:val="00EF573C"/>
    <w:rsid w:val="00EF7D19"/>
    <w:rsid w:val="00F065C6"/>
    <w:rsid w:val="00F11527"/>
    <w:rsid w:val="00F27FEA"/>
    <w:rsid w:val="00F31DEF"/>
    <w:rsid w:val="00F3490E"/>
    <w:rsid w:val="00F35E04"/>
    <w:rsid w:val="00F45937"/>
    <w:rsid w:val="00F50A79"/>
    <w:rsid w:val="00F5201D"/>
    <w:rsid w:val="00F5755B"/>
    <w:rsid w:val="00F609BF"/>
    <w:rsid w:val="00F826A6"/>
    <w:rsid w:val="00F9402A"/>
    <w:rsid w:val="00F96B77"/>
    <w:rsid w:val="00FA0B24"/>
    <w:rsid w:val="00FA256C"/>
    <w:rsid w:val="00FB1061"/>
    <w:rsid w:val="00FB2FC2"/>
    <w:rsid w:val="00FB3047"/>
    <w:rsid w:val="00FB7E42"/>
    <w:rsid w:val="00FC2988"/>
    <w:rsid w:val="00FC3B84"/>
    <w:rsid w:val="00FF11D2"/>
    <w:rsid w:val="00FF620F"/>
    <w:rsid w:val="00FF6F49"/>
    <w:rsid w:val="014C7EFB"/>
    <w:rsid w:val="023A2D30"/>
    <w:rsid w:val="04DE7147"/>
    <w:rsid w:val="04FB462D"/>
    <w:rsid w:val="05C47361"/>
    <w:rsid w:val="065F1C9F"/>
    <w:rsid w:val="0677308B"/>
    <w:rsid w:val="0869373C"/>
    <w:rsid w:val="0D65122C"/>
    <w:rsid w:val="0E946F1B"/>
    <w:rsid w:val="0F3A1B66"/>
    <w:rsid w:val="0FE0228A"/>
    <w:rsid w:val="15DB00B5"/>
    <w:rsid w:val="16C71C5A"/>
    <w:rsid w:val="16E82C47"/>
    <w:rsid w:val="175B0D1D"/>
    <w:rsid w:val="1BEF4168"/>
    <w:rsid w:val="1DBC43D0"/>
    <w:rsid w:val="220E0770"/>
    <w:rsid w:val="22BD171B"/>
    <w:rsid w:val="230D730F"/>
    <w:rsid w:val="2565328D"/>
    <w:rsid w:val="25763983"/>
    <w:rsid w:val="263D5209"/>
    <w:rsid w:val="265D320F"/>
    <w:rsid w:val="26FF383C"/>
    <w:rsid w:val="29F17957"/>
    <w:rsid w:val="2A67675B"/>
    <w:rsid w:val="2F0F3DD5"/>
    <w:rsid w:val="2F77302E"/>
    <w:rsid w:val="3156216B"/>
    <w:rsid w:val="35832E24"/>
    <w:rsid w:val="36F1239C"/>
    <w:rsid w:val="38546C94"/>
    <w:rsid w:val="3B5E512C"/>
    <w:rsid w:val="46D4672D"/>
    <w:rsid w:val="49371C54"/>
    <w:rsid w:val="537542FC"/>
    <w:rsid w:val="53AB43BE"/>
    <w:rsid w:val="55063038"/>
    <w:rsid w:val="581118B6"/>
    <w:rsid w:val="5B2B1F0F"/>
    <w:rsid w:val="5DAD6C18"/>
    <w:rsid w:val="5FBB1D03"/>
    <w:rsid w:val="60983233"/>
    <w:rsid w:val="614F212C"/>
    <w:rsid w:val="624E56B0"/>
    <w:rsid w:val="64822ECF"/>
    <w:rsid w:val="68AC6820"/>
    <w:rsid w:val="69F24350"/>
    <w:rsid w:val="6EA63EC8"/>
    <w:rsid w:val="6EF57651"/>
    <w:rsid w:val="6FB716E3"/>
    <w:rsid w:val="74980574"/>
    <w:rsid w:val="7528551A"/>
    <w:rsid w:val="76E840AD"/>
    <w:rsid w:val="77B934E7"/>
    <w:rsid w:val="7FD06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0"/>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Body Text Indent 3"/>
    <w:basedOn w:val="1"/>
    <w:qFormat/>
    <w:uiPriority w:val="0"/>
    <w:pPr>
      <w:spacing w:after="120"/>
      <w:ind w:left="420" w:leftChars="200"/>
    </w:pPr>
    <w:rPr>
      <w:sz w:val="16"/>
      <w:szCs w:val="16"/>
    </w:rPr>
  </w:style>
  <w:style w:type="paragraph" w:styleId="20">
    <w:name w:val="HTML Preformatted"/>
    <w:basedOn w:val="1"/>
    <w:link w:val="5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0"/>
    <w:rPr>
      <w:rFonts w:ascii="Calibri" w:hAnsi="Calibri" w:eastAsia="宋体" w:cs="Times New Roman"/>
      <w:sz w:val="24"/>
      <w:szCs w:val="24"/>
    </w:rPr>
  </w:style>
  <w:style w:type="paragraph" w:styleId="22">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2"/>
    <w:qFormat/>
    <w:uiPriority w:val="0"/>
    <w:rPr>
      <w:rFonts w:ascii="Calibri" w:hAnsi="Calibri" w:eastAsia="宋体" w:cs="Times New Roman"/>
      <w:b/>
      <w:bCs/>
      <w:kern w:val="44"/>
      <w:sz w:val="44"/>
      <w:szCs w:val="44"/>
    </w:rPr>
  </w:style>
  <w:style w:type="character" w:customStyle="1" w:styleId="28">
    <w:name w:val="标题 2 Char"/>
    <w:basedOn w:val="24"/>
    <w:link w:val="3"/>
    <w:qFormat/>
    <w:uiPriority w:val="0"/>
    <w:rPr>
      <w:rFonts w:ascii="Arial" w:hAnsi="Arial" w:eastAsia="黑体" w:cs="Times New Roman"/>
      <w:b/>
      <w:bCs/>
      <w:kern w:val="0"/>
      <w:sz w:val="32"/>
      <w:szCs w:val="32"/>
    </w:rPr>
  </w:style>
  <w:style w:type="character" w:customStyle="1" w:styleId="29">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5"/>
    <w:qFormat/>
    <w:uiPriority w:val="0"/>
    <w:rPr>
      <w:rFonts w:ascii="Arial" w:hAnsi="Arial" w:eastAsia="黑体" w:cs="Times New Roman"/>
      <w:b/>
      <w:bCs/>
      <w:kern w:val="0"/>
      <w:sz w:val="28"/>
      <w:szCs w:val="28"/>
    </w:rPr>
  </w:style>
  <w:style w:type="character" w:customStyle="1" w:styleId="31">
    <w:name w:val="纯文本 Char"/>
    <w:basedOn w:val="24"/>
    <w:link w:val="13"/>
    <w:qFormat/>
    <w:uiPriority w:val="0"/>
    <w:rPr>
      <w:rFonts w:eastAsia="宋体"/>
      <w:sz w:val="24"/>
    </w:rPr>
  </w:style>
  <w:style w:type="character" w:customStyle="1" w:styleId="32">
    <w:name w:val="日期 Char"/>
    <w:basedOn w:val="24"/>
    <w:link w:val="14"/>
    <w:qFormat/>
    <w:uiPriority w:val="99"/>
  </w:style>
  <w:style w:type="character" w:customStyle="1" w:styleId="33">
    <w:name w:val="页脚 Char"/>
    <w:basedOn w:val="24"/>
    <w:link w:val="16"/>
    <w:qFormat/>
    <w:uiPriority w:val="99"/>
    <w:rPr>
      <w:sz w:val="18"/>
      <w:szCs w:val="18"/>
    </w:rPr>
  </w:style>
  <w:style w:type="character" w:customStyle="1" w:styleId="34">
    <w:name w:val="页眉 Char"/>
    <w:basedOn w:val="24"/>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34"/>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8"/>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9"/>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0"/>
    <w:qFormat/>
    <w:uiPriority w:val="0"/>
    <w:rPr>
      <w:sz w:val="24"/>
    </w:rPr>
  </w:style>
  <w:style w:type="character" w:customStyle="1" w:styleId="54">
    <w:name w:val="正文文本缩进 Char1"/>
    <w:basedOn w:val="24"/>
    <w:link w:val="10"/>
    <w:semiHidden/>
    <w:qFormat/>
    <w:uiPriority w:val="99"/>
  </w:style>
  <w:style w:type="character" w:customStyle="1" w:styleId="55">
    <w:name w:val="批注框文本 Char"/>
    <w:basedOn w:val="24"/>
    <w:link w:val="15"/>
    <w:semiHidden/>
    <w:qFormat/>
    <w:uiPriority w:val="99"/>
    <w:rPr>
      <w:sz w:val="18"/>
      <w:szCs w:val="18"/>
    </w:rPr>
  </w:style>
  <w:style w:type="paragraph" w:customStyle="1" w:styleId="56">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 w:type="character" w:customStyle="1" w:styleId="57">
    <w:name w:val="font81"/>
    <w:uiPriority w:val="0"/>
    <w:rPr>
      <w:rFonts w:ascii="Symbol" w:hAnsi="Symbol" w:cs="Symbol"/>
      <w:color w:val="000000"/>
      <w:sz w:val="20"/>
      <w:szCs w:val="20"/>
      <w:u w:val="none"/>
    </w:rPr>
  </w:style>
  <w:style w:type="paragraph" w:customStyle="1" w:styleId="58">
    <w:name w:val="p0"/>
    <w:basedOn w:val="1"/>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6174</Words>
  <Characters>35192</Characters>
  <Lines>293</Lines>
  <Paragraphs>82</Paragraphs>
  <TotalTime>9</TotalTime>
  <ScaleCrop>false</ScaleCrop>
  <LinksUpToDate>false</LinksUpToDate>
  <CharactersWithSpaces>41284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幸子</cp:lastModifiedBy>
  <cp:lastPrinted>2019-08-02T09:19:00Z</cp:lastPrinted>
  <dcterms:modified xsi:type="dcterms:W3CDTF">2019-10-22T08:39:11Z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