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许昌市文化广电和旅游局“许昌市文物安全智慧巡查系统建设”项目</w:t>
      </w:r>
    </w:p>
    <w:p>
      <w:pPr>
        <w:jc w:val="center"/>
        <w:rPr>
          <w:rFonts w:hint="eastAsia" w:asciiTheme="majorEastAsia" w:hAnsiTheme="majorEastAsia" w:eastAsiaTheme="majorEastAsia" w:cstheme="majorEastAsia"/>
          <w:b/>
          <w:bCs/>
          <w:color w:val="000000"/>
          <w:sz w:val="44"/>
          <w:szCs w:val="44"/>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161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采购单位：许昌市文化广电和旅游局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十一</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七</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w:t>
      </w:r>
      <w:r>
        <w:rPr>
          <w:rFonts w:hint="eastAsia" w:cs="仿宋_GB2312" w:asciiTheme="minorEastAsia" w:hAnsiTheme="minorEastAsia" w:eastAsiaTheme="minorEastAsia"/>
          <w:color w:val="000000"/>
          <w:sz w:val="21"/>
          <w:szCs w:val="21"/>
          <w:shd w:val="clear" w:color="auto" w:fill="FFFFFF"/>
        </w:rPr>
        <w:t>中心(以下简称采购中心) 受许昌市文化广电和旅游局的委托，对“许昌市文物安全智慧巡查系统建设”项目进行公开</w:t>
      </w:r>
      <w:r>
        <w:rPr>
          <w:rFonts w:hint="eastAsia"/>
          <w:color w:val="000000"/>
          <w:sz w:val="21"/>
          <w:szCs w:val="21"/>
          <w:shd w:val="clear" w:color="auto" w:fill="FFFFFF"/>
        </w:rPr>
        <w:t>招标。现邀请符合本招标文件规定条件的供应商前来投标。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（一）项目名称：许昌市文物安全智慧巡查系统建设</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161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（四）项目主要内容、数量及要求：功能建设共包含文物安全巡查综合管理平台、县（市）区级文物安全综合管理系统、市直博物馆文物安全综合管理系统、前端app系统等内容。</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55万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shd w:val="clear" w:color="auto" w:fill="FFFFFF"/>
          <w:lang w:val="en-US" w:eastAsia="zh-CN"/>
        </w:rPr>
        <w:t>55万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90天。</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（七）交付（服务、完工）地点：许昌市文化广电和旅游局</w:t>
      </w:r>
    </w:p>
    <w:p>
      <w:pPr>
        <w:pStyle w:val="20"/>
        <w:widowControl/>
        <w:shd w:val="clear" w:color="auto" w:fill="FFFFFF"/>
        <w:spacing w:line="360" w:lineRule="auto"/>
        <w:ind w:firstLine="420" w:firstLineChars="20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仿宋_GB2312" w:asciiTheme="minorEastAsia" w:hAnsiTheme="minorEastAsia" w:eastAsiaTheme="minorEastAsia"/>
          <w:color w:val="000000"/>
          <w:sz w:val="21"/>
          <w:szCs w:val="21"/>
        </w:rPr>
        <w:t>（一）投标截止及开标时间：201</w:t>
      </w:r>
      <w:r>
        <w:rPr>
          <w:rFonts w:hint="eastAsia" w:cs="宋体" w:asciiTheme="minorEastAsia" w:hAnsiTheme="minorEastAsia"/>
          <w:color w:val="000000"/>
          <w:sz w:val="21"/>
          <w:szCs w:val="21"/>
        </w:rPr>
        <w:t>9年</w:t>
      </w:r>
      <w:r>
        <w:rPr>
          <w:rFonts w:hint="eastAsia" w:cs="宋体" w:asciiTheme="minorEastAsia" w:hAnsiTheme="minorEastAsia"/>
          <w:color w:val="000000"/>
          <w:sz w:val="21"/>
          <w:szCs w:val="21"/>
          <w:lang w:val="en-US" w:eastAsia="zh-CN"/>
        </w:rPr>
        <w:t>11</w:t>
      </w:r>
      <w:r>
        <w:rPr>
          <w:rFonts w:hint="eastAsia" w:cs="宋体" w:asciiTheme="minorEastAsia" w:hAnsiTheme="minorEastAsia"/>
          <w:color w:val="000000"/>
          <w:sz w:val="21"/>
          <w:szCs w:val="21"/>
        </w:rPr>
        <w:t>月</w:t>
      </w:r>
      <w:r>
        <w:rPr>
          <w:rFonts w:hint="eastAsia" w:cs="宋体" w:asciiTheme="minorEastAsia" w:hAnsiTheme="minorEastAsia"/>
          <w:color w:val="000000"/>
          <w:sz w:val="21"/>
          <w:szCs w:val="21"/>
          <w:lang w:val="en-US" w:eastAsia="zh-CN"/>
        </w:rPr>
        <w:t>29</w:t>
      </w:r>
      <w:r>
        <w:rPr>
          <w:rFonts w:hint="eastAsia" w:cs="宋体" w:asciiTheme="minorEastAsia" w:hAnsiTheme="minorEastAsia"/>
          <w:color w:val="000000"/>
          <w:sz w:val="21"/>
          <w:szCs w:val="21"/>
        </w:rPr>
        <w:t>日</w:t>
      </w:r>
      <w:r>
        <w:rPr>
          <w:rFonts w:hint="eastAsia" w:cs="宋体" w:asciiTheme="minorEastAsia" w:hAnsiTheme="minorEastAsia"/>
          <w:color w:val="000000"/>
          <w:sz w:val="21"/>
          <w:szCs w:val="21"/>
          <w:lang w:val="en-US" w:eastAsia="zh-CN"/>
        </w:rPr>
        <w:t>8</w:t>
      </w:r>
      <w:r>
        <w:rPr>
          <w:rFonts w:hint="eastAsia" w:cs="宋体" w:asciiTheme="minorEastAsia" w:hAnsiTheme="minorEastAsia"/>
          <w:color w:val="000000"/>
          <w:sz w:val="21"/>
          <w:szCs w:val="21"/>
        </w:rPr>
        <w:t>时</w:t>
      </w:r>
      <w:r>
        <w:rPr>
          <w:rFonts w:hint="eastAsia" w:cs="宋体" w:asciiTheme="minorEastAsia" w:hAnsiTheme="minorEastAsia"/>
          <w:color w:val="000000"/>
          <w:sz w:val="21"/>
          <w:szCs w:val="21"/>
          <w:lang w:val="en-US" w:eastAsia="zh-CN"/>
        </w:rPr>
        <w:t>30</w:t>
      </w:r>
      <w:r>
        <w:rPr>
          <w:rFonts w:hint="eastAsia" w:cs="宋体" w:asciiTheme="minorEastAsia" w:hAnsiTheme="minorEastAsia"/>
          <w:color w:val="000000"/>
          <w:sz w:val="21"/>
          <w:szCs w:val="21"/>
        </w:rPr>
        <w:t xml:space="preserve"> 分（北京时间），逾期提交或不符合规定的投标文件不予接受。</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宋体" w:asciiTheme="minorEastAsia" w:hAnsiTheme="minorEastAsia"/>
          <w:color w:val="000000"/>
          <w:sz w:val="21"/>
          <w:szCs w:val="21"/>
        </w:rPr>
        <w:t>（二）开标地点：许昌市公共资源交易中心（龙兴路与竹林路交汇处创业服务中心C座）三楼开标</w:t>
      </w:r>
      <w:r>
        <w:rPr>
          <w:rFonts w:hint="eastAsia" w:cs="宋体" w:asciiTheme="minorEastAsia" w:hAnsiTheme="minorEastAsia"/>
          <w:color w:val="000000"/>
          <w:sz w:val="21"/>
          <w:szCs w:val="21"/>
          <w:lang w:eastAsia="zh-CN"/>
        </w:rPr>
        <w:t>五</w:t>
      </w:r>
      <w:r>
        <w:rPr>
          <w:rFonts w:hint="eastAsia" w:cs="宋体" w:asciiTheme="minorEastAsia" w:hAnsi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cs="MS Mincho" w:eastAsiaTheme="minorEastAsia"/>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许昌市文化广电和旅游局</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地址：许昌市八一路东段广电大厦</w:t>
      </w:r>
    </w:p>
    <w:p>
      <w:pPr>
        <w:adjustRightInd w:val="0"/>
        <w:spacing w:line="360" w:lineRule="auto"/>
        <w:ind w:firstLine="840" w:firstLineChars="400"/>
        <w:contextualSpacing/>
        <w:jc w:val="left"/>
        <w:rPr>
          <w:rFonts w:ascii="宋体" w:hAnsi="宋体"/>
          <w:szCs w:val="21"/>
        </w:rPr>
      </w:pPr>
      <w:r>
        <w:rPr>
          <w:rFonts w:hint="eastAsia" w:cs="仿宋_GB2312" w:asciiTheme="minorEastAsia" w:hAnsiTheme="minorEastAsia" w:eastAsiaTheme="minorEastAsia"/>
          <w:color w:val="000000"/>
          <w:kern w:val="2"/>
          <w:sz w:val="21"/>
          <w:szCs w:val="21"/>
          <w:lang w:val="en-US" w:eastAsia="zh-CN" w:bidi="ar-SA"/>
        </w:rPr>
        <w:t>联系人：温志恒                   联系电话：15637415656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szCs w:val="21"/>
        </w:rPr>
        <w:t>地</w:t>
      </w:r>
      <w:r>
        <w:rPr>
          <w:rFonts w:hint="eastAsia" w:cs="仿宋_GB2312" w:asciiTheme="minorEastAsia" w:hAnsiTheme="minorEastAsia" w:eastAsiaTheme="minorEastAsia"/>
          <w:color w:val="000000"/>
          <w:kern w:val="2"/>
          <w:sz w:val="21"/>
          <w:szCs w:val="21"/>
          <w:lang w:val="en-US" w:eastAsia="zh-CN" w:bidi="ar-SA"/>
        </w:rPr>
        <w:t>址：许昌市龙兴路与竹林路交汇处创业服务中心C座</w:t>
      </w:r>
    </w:p>
    <w:p>
      <w:pPr>
        <w:adjustRightInd w:val="0"/>
        <w:spacing w:line="360" w:lineRule="auto"/>
        <w:ind w:firstLine="840" w:firstLineChars="400"/>
        <w:contextualSpacing/>
        <w:jc w:val="left"/>
        <w:rPr>
          <w:rFonts w:ascii="宋体" w:hAnsi="宋体"/>
          <w:szCs w:val="21"/>
        </w:rPr>
      </w:pPr>
      <w:r>
        <w:rPr>
          <w:rFonts w:hint="eastAsia" w:cs="仿宋_GB2312" w:asciiTheme="minorEastAsia" w:hAnsiTheme="minorEastAsia" w:eastAsiaTheme="minorEastAsia"/>
          <w:color w:val="000000"/>
          <w:kern w:val="2"/>
          <w:sz w:val="21"/>
          <w:szCs w:val="21"/>
          <w:lang w:val="en-US" w:eastAsia="zh-CN" w:bidi="ar-SA"/>
        </w:rPr>
        <w:t>联系人：杨女士                           联系电</w:t>
      </w:r>
      <w:r>
        <w:rPr>
          <w:rFonts w:hint="eastAsia" w:ascii="宋体" w:hAnsi="宋体"/>
          <w:szCs w:val="21"/>
        </w:rPr>
        <w:t>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本项目建设需坚持“可操作、可扩展、可移植”的基本原则，切合实际，解决问题，体现综合管理要求、实现安全管理目标。本项目建立安全文物信息管理中心，管理全市不可移动文物、博物馆纪念馆（含非国有博物馆）收藏的可移动文物的基本信息，并实现动态数据信息更管具备管理对象的可扩展性。本项目建立安全巡查管理，管理文物安全巡查人员的巡查行为，开发基于智能手机的移动巡查程序，嵌入巡查对象的基本信息，可以便利回传图片、视频等信息。</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文物安全巡查综合管理平台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spacing w:before="156" w:beforeLines="50"/>
              <w:ind w:left="0" w:leftChars="-2" w:hanging="4" w:hangingChars="2"/>
              <w:jc w:val="left"/>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将整个辖区文物的管理、安全、巡查等集于一体的平台，囊括了辖区内所有文物的数据信息，可以查询、调阅市内所有数据信息。包含市级综合平台的建设、各县（市）区级平台接口、市直博物馆的数据接口建设。</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1.系统管理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1.1 组织架构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 单位管理 实现单位编码/单位名称/经度纬度/文保级别/详细地址/管理单位或使用人/负责人/联系电话/图片/是否启用/是否馆内/是否区内管理；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 用户管理 系统用户的管理；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1.4 权限管理 对辖区内不同级别的领导分配不同的权限，查阅的信息范围也不同；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1.5 通讯录 通讯录的列表及其修改、删除等管理；通讯录的详情包含姓名/电话/备注等信息管理；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1.6 APP升级管理  APP版本的升级配置管理；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1.7 系统设置 用户协议修改配置；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1.8 日志管理；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1.9 菜单管理.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2.巡查管理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2.1 巡查排班 按人按时进行排班查看；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2.2 巡查登记 巡查的列表、 巡查点的查看、巡查选项确认和登记、新增巡查点；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2.3 待办事项 待办事项的列表和详情、及其任务处理；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2.4 延期处理 对文物的延期申请、审核等功能；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2.5 历史记录 查看巡查历史的记录；</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2.6 监控 能够查看实时监控的图片；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2.7 定位 车辆和人的定位功能；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2.8 田野文物查询 基于馆外的查询管理；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2.9 田野文物巡查统计 实现馆外巡查统计基于馆外的查询管理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2.10 巡查次数统计 基于馆外的查询管理，对巡查次数统计</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3.宣传管理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3.1 新闻政策 新闻发布管理功能；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3.2 文物资料 对文物资料进行管理；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3.3 通知列表 通知消息的列表管理</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县（市）区级文物安全综合管理系统</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spacing w:before="156" w:beforeLines="50"/>
              <w:ind w:left="0" w:leftChars="-2" w:hanging="4" w:hangingChars="2"/>
              <w:jc w:val="left"/>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将辖区内各县（市）区所有文物点的所有数据信息集于一体，根据不同的权限可以查询、跟踪、协调、处理相应的问题，并将这些数据通过接口系统上传至市级综合管理平台。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1.系统管理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1.1 组织架构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 单位管理 实现单位编码/单位名称/经度纬度/文保级别/详细地址/管理单位或使用人/负责人/联系电话/图片/是否启用/是否馆内/是否区内管理；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 用户管理 系统用户的管理；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1.4 权限管理 对辖区内不同级别的领导分配不同的权限，查阅的信息范围也不同；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1.5 通讯录 通讯录的列表及其修改、删除等管理；通讯录的详情包含姓名/电话/备注等信息管理；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1.6 系统设置 用户协议修改配置；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1.7 日志管理；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1.8 菜单管理.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2.巡查管理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2.1 巡查排班 按人按时进行排班查看；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2.2 巡查登记 巡查的列表、 巡查点的查看、巡查选项确认和登记、新增巡查点；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2.3 待办事项 待办事项的列表和详情、及其任务处理；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2.4 延期处理 对文物的延期申请、审核等功能；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2.5 历史记录 查看巡查历史的记录；</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2.6 田野文物巡查统计 实现馆外巡查统计基于馆外的查询管理；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2.7 巡查次数统计 基于馆外的查询管理，对巡查次数统计；</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2.8 监控管理 查看获取的监控图片和配置管理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2.9 定位管理 定位目标管理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2.10 积分管理 管理积分信息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 宣传管理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3.1 新闻政策 新闻发布管理功能；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3.2 文物资料 对文物资料进行管理；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3.3 通知列表 通知消息的列表管理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 数据接口管理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4.1 安卓端调取接口 安卓端调取接口集合</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4.2 iOS调取接口 iOS调取接口集合</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4.3 短信平台调取接口 短信平台调取接口集合</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4.4 县区市文物单位接口 9家县区市文物单位接口集合</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4.5 博物馆单位接口 16个博物馆单位接口集合</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否</w:t>
            </w:r>
          </w:p>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市直博物馆文物安全综合管理系统</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spacing w:before="156" w:beforeLines="50"/>
              <w:ind w:left="0" w:leftChars="-2" w:hanging="4" w:hangingChars="2"/>
              <w:jc w:val="left"/>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将博物馆内所有文物点的相关数据信息集中在此系统，根据不同的权限可以查询、跟踪、协调、处理相应的问题，并将这些数据整合打包后上传至文物安全巡查综合管理平台。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1.系统管理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 用户设置 可以实现对系统用户的设置管理；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 权限管理 对辖区内不同级别的领导分配不同的权限，查阅的信息范围也不同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 通讯录 通讯录的列表及其修改、删除等管理；通讯录的详情包含姓名/电话/备注等信息管理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1.4 系统设置 用户协议修改配置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1.5 日志管理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1.6 菜单管理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 巡查管理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2.1 巡查排班 对巡查排班管理，对辖区内的巡检排班人员、时间进行查询；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2.2 巡查登记 巡查的列表、 巡查点的查看、巡查选项确认和登记、新增巡查点；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2.3 待办事项 待办事项的列表和详情、及其任务处理；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2.4 延期处理 对文物的延期申请、审核等功能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2.5 历史记录 查看巡查历史的记录；</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2.6 监控管理 查看获取的监控图片和配置管理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2.7 巡查统计 基于馆外的查询管理，对巡查次数统计</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3. 宣传管理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3.1 新闻政策 新闻发布管理功能；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3.2 文物资料 对文物资料进行管理；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3.3 通知列表 通知消息的列表管理</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4</w:t>
            </w:r>
          </w:p>
        </w:tc>
        <w:tc>
          <w:tcPr>
            <w:tcW w:w="0" w:type="auto"/>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前端APP</w:t>
            </w:r>
          </w:p>
        </w:tc>
        <w:tc>
          <w:tcPr>
            <w:tcW w:w="0" w:type="auto"/>
            <w:vAlign w:val="center"/>
          </w:tcPr>
          <w:p>
            <w:pPr>
              <w:widowControl/>
              <w:snapToGrid w:val="0"/>
              <w:spacing w:before="156" w:beforeLines="50"/>
              <w:ind w:left="0" w:leftChars="-2" w:hanging="4" w:hangingChars="2"/>
              <w:jc w:val="left"/>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直管文物单位相关工作人员通过我们的渠道下载该APP系统，然后注册和登录进入APP系统内部界面，包含主页、通讯录、宣传管理和个人中心等四大功能模块。主界面里包含巡查登记、待办事项、历史记录、延期处理、巡查排班、视频监控等模块来实现对文物管理单位及文物的安全巡查相关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1.基础功能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 注册 用户输入手机号/密码/确认密码/姓名/头像/身份证号完成注册；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 登录 用户输入手机号和密码登录系统；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2.主界面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2.1 巡查登记 巡查的列表 、巡查点的查看、巡查选项确认和登记、新增巡查点；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2.2 待办事项 待办事项的列表和详情、及其任务处理；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2.3 历史记录 查看巡查历史的记录；</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2.4 延期处理 对文物的延期申请、审核等功能；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2.5 巡查排班 按人按时进行排班查看；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2.6 查询统计 基于馆外的查询统计功能；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2.7 视频监控 查看实时监控的图片。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3.通讯管理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3.1 通讯录列表 通讯录的列表；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3.2 通讯录详情 通讯录的详情，包含姓名/电话/备注等信息；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4.宣传管理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4.1 通知列表 通知消息的列表展示；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4.2 新增通知 新建一条通知消息（标题/内容/紧急程度）；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4.3 通知详情 通知消息的详细展示；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4.4 新闻政策 新闻政策的管理；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4.5 文物资料 文物资料的管理。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5.个人中心</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5.1 用户信息展示 姓名/性别/头像/身份证号等信息；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5.2 修改用户信息 修改用户的相关信息；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5.3 系统设置 系统设置管理；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5.4 密码管理 输入原密码和新密码后修改密码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5.5 用户协议 展示该平台系统用户协议内容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5.6 意见反馈 用户可提交意见反馈到管理后台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5.7 关于我们 展示该平台运营方信息内容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5.8 版本更新 点击可主动更新到最新版本</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5.9 清理缓存 点击可以清理本地缓存</w:t>
            </w:r>
          </w:p>
        </w:tc>
        <w:tc>
          <w:tcPr>
            <w:tcW w:w="0" w:type="auto"/>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套</w:t>
            </w:r>
          </w:p>
        </w:tc>
        <w:tc>
          <w:tcPr>
            <w:tcW w:w="0" w:type="auto"/>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1</w:t>
            </w:r>
          </w:p>
        </w:tc>
        <w:tc>
          <w:tcPr>
            <w:tcW w:w="0" w:type="auto"/>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5</w:t>
            </w:r>
          </w:p>
        </w:tc>
        <w:tc>
          <w:tcPr>
            <w:tcW w:w="0" w:type="auto"/>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智能会议平板</w:t>
            </w:r>
          </w:p>
        </w:tc>
        <w:tc>
          <w:tcPr>
            <w:tcW w:w="0" w:type="auto"/>
            <w:vAlign w:val="center"/>
          </w:tcPr>
          <w:p>
            <w:pPr>
              <w:widowControl/>
              <w:snapToGrid w:val="0"/>
              <w:spacing w:before="156" w:beforeLines="50"/>
              <w:ind w:left="0" w:leftChars="-2" w:hanging="4" w:hangingChars="2"/>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不低于65寸触摸显示屏，分辨率：</w:t>
            </w:r>
            <w:r>
              <w:rPr>
                <w:rFonts w:ascii="仿宋" w:hAnsi="仿宋" w:eastAsia="仿宋" w:cs="宋体"/>
                <w:color w:val="000000"/>
                <w:kern w:val="0"/>
                <w:sz w:val="24"/>
                <w:szCs w:val="24"/>
              </w:rPr>
              <w:t>3840</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2160</w:t>
            </w:r>
            <w:r>
              <w:rPr>
                <w:rFonts w:hint="eastAsia" w:ascii="仿宋" w:hAnsi="仿宋" w:eastAsia="仿宋" w:cs="宋体"/>
                <w:color w:val="000000"/>
                <w:kern w:val="0"/>
                <w:sz w:val="24"/>
                <w:szCs w:val="24"/>
              </w:rPr>
              <w:t>；</w:t>
            </w:r>
          </w:p>
          <w:p>
            <w:pPr>
              <w:widowControl/>
              <w:snapToGrid w:val="0"/>
              <w:spacing w:before="156" w:beforeLines="50"/>
              <w:ind w:left="0" w:leftChars="-2" w:hanging="4" w:hangingChars="2"/>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亮度：</w:t>
            </w:r>
            <w:r>
              <w:rPr>
                <w:rFonts w:ascii="仿宋" w:hAnsi="仿宋" w:eastAsia="仿宋" w:cs="宋体"/>
                <w:color w:val="000000"/>
                <w:kern w:val="0"/>
                <w:sz w:val="24"/>
                <w:szCs w:val="24"/>
              </w:rPr>
              <w:t>350cd/m</w:t>
            </w:r>
            <w:r>
              <w:rPr>
                <w:rFonts w:hint="eastAsia" w:ascii="仿宋" w:hAnsi="仿宋" w:eastAsia="仿宋" w:cs="宋体"/>
                <w:color w:val="000000"/>
                <w:kern w:val="0"/>
                <w:sz w:val="24"/>
                <w:szCs w:val="24"/>
              </w:rPr>
              <w:t>²；</w:t>
            </w:r>
          </w:p>
          <w:p>
            <w:pPr>
              <w:widowControl/>
              <w:snapToGrid w:val="0"/>
              <w:spacing w:before="156" w:beforeLines="50"/>
              <w:ind w:left="0" w:leftChars="-2" w:hanging="4" w:hangingChars="2"/>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对比度：1200:1；</w:t>
            </w:r>
          </w:p>
          <w:p>
            <w:pPr>
              <w:widowControl/>
              <w:snapToGrid w:val="0"/>
              <w:spacing w:before="156" w:beforeLines="50"/>
              <w:ind w:left="0" w:leftChars="-2" w:hanging="4" w:hangingChars="2"/>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响应时间9ms，可视角度178°，色彩16.7M，VGA支持模式1920×1080(60Hz)向下兼容，HDMI 支持模式1080P向下兼容；操作方式为智能触摸，红外10点触摸；</w:t>
            </w:r>
          </w:p>
          <w:p>
            <w:pPr>
              <w:widowControl/>
              <w:snapToGrid w:val="0"/>
              <w:spacing w:before="156" w:beforeLines="50"/>
              <w:ind w:left="0" w:leftChars="-2" w:hanging="4" w:hangingChars="2"/>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触摸前拆维护；</w:t>
            </w:r>
          </w:p>
          <w:p>
            <w:pPr>
              <w:widowControl/>
              <w:snapToGrid w:val="0"/>
              <w:spacing w:before="156" w:beforeLines="50"/>
              <w:ind w:left="0" w:leftChars="-2" w:hanging="4" w:hangingChars="2"/>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不透明物体 （手指、笔等）可进行触控操作；</w:t>
            </w:r>
          </w:p>
          <w:p>
            <w:pPr>
              <w:widowControl/>
              <w:snapToGrid w:val="0"/>
              <w:spacing w:before="156" w:beforeLines="50"/>
              <w:ind w:left="0" w:leftChars="-2" w:hanging="4" w:hangingChars="2"/>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流畅的毛笔书写模式；</w:t>
            </w:r>
          </w:p>
          <w:p>
            <w:pPr>
              <w:widowControl/>
              <w:snapToGrid w:val="0"/>
              <w:spacing w:before="156" w:beforeLines="50"/>
              <w:ind w:left="0" w:leftChars="-2" w:hanging="4" w:hangingChars="2"/>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可以无线投屏，U乐享最多支持8个设备接入，同时支持4分屏（不同移动设备）进行互动投屏；</w:t>
            </w:r>
          </w:p>
          <w:p>
            <w:pPr>
              <w:widowControl/>
              <w:snapToGrid w:val="0"/>
              <w:spacing w:before="156" w:beforeLines="50"/>
              <w:ind w:left="0" w:leftChars="-2" w:hanging="4" w:hangingChars="2"/>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▲具有防烁伤技术，可有效防止液晶屏被灼伤，能很好的解决在静止画面时液晶分子容易被损伤的情况，有效延长液晶屏的使用寿命；</w:t>
            </w:r>
          </w:p>
          <w:p>
            <w:pPr>
              <w:widowControl/>
              <w:snapToGrid w:val="0"/>
              <w:spacing w:before="156" w:beforeLines="50"/>
              <w:ind w:left="0" w:leftChars="-2" w:hanging="4" w:hangingChars="2"/>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▲具有一种零功耗待机电路及显示终端、一种软启动电路及开关电源装置技术；</w:t>
            </w:r>
          </w:p>
          <w:p>
            <w:pPr>
              <w:widowControl/>
              <w:snapToGrid w:val="0"/>
              <w:spacing w:before="156" w:beforeLines="50"/>
              <w:ind w:left="0" w:leftChars="-2" w:hanging="4" w:hangingChars="2"/>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▲具有一种信号数据处理方法、装置及智能终端等专项技术；</w:t>
            </w:r>
          </w:p>
          <w:p>
            <w:pPr>
              <w:widowControl/>
              <w:snapToGrid w:val="0"/>
              <w:spacing w:before="156" w:beforeLines="50"/>
              <w:ind w:left="0" w:leftChars="-2" w:hanging="4" w:hangingChars="2"/>
              <w:jc w:val="left"/>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具有智能温控散热功能，即利用在机芯板的智能自动感温控器件，当环境温度未达到一定限制时，其散热风扇不会启动工作，当机内温度达到设定限值时，散热风扇将自动启动开始对机内散热，当温度达到超出范围时，将会出现报警，从而以保证设备的稳定运行，提升产品的工作效率。</w:t>
            </w:r>
          </w:p>
        </w:tc>
        <w:tc>
          <w:tcPr>
            <w:tcW w:w="0" w:type="auto"/>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台</w:t>
            </w:r>
          </w:p>
        </w:tc>
        <w:tc>
          <w:tcPr>
            <w:tcW w:w="0" w:type="auto"/>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1</w:t>
            </w:r>
          </w:p>
        </w:tc>
        <w:tc>
          <w:tcPr>
            <w:tcW w:w="0" w:type="auto"/>
            <w:vAlign w:val="center"/>
          </w:tcPr>
          <w:p>
            <w:pPr>
              <w:widowControl/>
              <w:snapToGrid w:val="0"/>
              <w:spacing w:before="156" w:beforeLines="50"/>
              <w:ind w:left="0" w:leftChars="-2" w:hanging="4" w:hangingChars="2"/>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w:t>
      </w:r>
      <w:r>
        <w:rPr>
          <w:rFonts w:hint="eastAsia" w:cs="宋体" w:asciiTheme="minorEastAsia" w:hAnsiTheme="minorEastAsia"/>
          <w:kern w:val="0"/>
          <w:sz w:val="24"/>
          <w:szCs w:val="24"/>
        </w:rPr>
        <w:t>产品被列入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ind w:firstLine="48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四、服务标准、期限、效率等要求</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对接承诺：均要符合以下要求：1）、要提供良好的用户界面，并且充分考虑操作频度、合理布局，使运维人员通过系统可以高效率的进行工作。2）通过适当的硬件支持以及优化的软件，提供良好的响应速度，支持业务操作的高效进行。3）能够与许昌市政务云现有平台无缝对接，政务云是由许昌市政府主导，联通系统集成有限公司河南省分公司建设运营的“互联网+政务服务”综合服务平台。应在投标文件中提供承诺函并加盖投标人公章，</w:t>
      </w:r>
      <w:r>
        <w:rPr>
          <w:rFonts w:hint="eastAsia" w:cs="仿宋_GB2312" w:asciiTheme="minorEastAsia" w:hAnsiTheme="minorEastAsia"/>
          <w:b/>
          <w:bCs/>
          <w:sz w:val="24"/>
          <w:szCs w:val="24"/>
          <w:lang w:val="zh-CN"/>
        </w:rPr>
        <w:t>不提供的为无效投标</w:t>
      </w:r>
      <w:r>
        <w:rPr>
          <w:rFonts w:hint="eastAsia" w:cs="仿宋_GB2312" w:asciiTheme="minorEastAsia" w:hAnsiTheme="minorEastAsia"/>
          <w:sz w:val="24"/>
          <w:szCs w:val="24"/>
          <w:lang w:val="zh-CN"/>
        </w:rPr>
        <w:t>。</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2、培训</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（1）培训计划</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本项目中标人负责对采购方人员提供技术培训，使之在验收后，胜任系统的操作、维护、管理及故障分析和处理等工作。投标人应在投标文件中提出培训计划，计划包括培训项目、时间及培训方式等详细内容，达到使相关人员熟练使用系统的目的。培训前，中标人需编制完成技术档案和培训教材。</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（2）培训内容</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软件的安装、调试；系统的配置、管理和调优；常见故障的检查、处理和解决方法等；系统的日常维护方法与注意事项；紧急情况的处理方法；常见故障的排除及日常维护。</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（3）培训效果要求</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能够使工作人员独立完成系统的部署、配置、管理和正常使用，熟练掌握系统的架构、使用技巧以及日常维护和系统扩展等，能够独立进行管理、故障处理、日常测试维护等工作。包括：使用户掌握系统的结构和配置方法；维护人员掌握系统运维能力，能承担系统日常维护工作。</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1、投标人须明确采购清单中序号5投标产品的厂家、产地、品牌、型号、详细参数，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4、本项目为交钥匙工程。</w:t>
      </w:r>
    </w:p>
    <w:p>
      <w:pPr>
        <w:widowControl/>
        <w:spacing w:line="572" w:lineRule="exac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本项目免费质保期从项目验收通过之日起2年（承诺延长免费质保期的以延长的质保期为准），在免费质保期内，中标人须对本项目中所提供的软件免费升级，免费保修。如果采购人根据实际要求修改软件时，在合理范围内（不超过软件开发部分总工作量的10%），中标人须及时免费修改。投标人在投标文件中应提供承诺函，</w:t>
      </w:r>
      <w:r>
        <w:rPr>
          <w:rFonts w:hint="eastAsia" w:asciiTheme="minorEastAsia" w:hAnsiTheme="minorEastAsia" w:eastAsiaTheme="minorEastAsia" w:cstheme="minorEastAsia"/>
          <w:b/>
          <w:bCs/>
          <w:color w:val="000000"/>
          <w:kern w:val="0"/>
          <w:sz w:val="24"/>
          <w:szCs w:val="24"/>
        </w:rPr>
        <w:t>否则为无效投标。</w:t>
      </w:r>
    </w:p>
    <w:p>
      <w:pPr>
        <w:widowControl/>
        <w:spacing w:line="572" w:lineRule="exact"/>
        <w:ind w:firstLine="6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6、</w:t>
      </w:r>
      <w:r>
        <w:rPr>
          <w:rFonts w:hint="eastAsia" w:asciiTheme="minorEastAsia" w:hAnsiTheme="minorEastAsia" w:eastAsiaTheme="minorEastAsia" w:cstheme="minorEastAsia"/>
          <w:color w:val="000000"/>
          <w:kern w:val="0"/>
          <w:sz w:val="24"/>
          <w:szCs w:val="24"/>
        </w:rPr>
        <w:t>在免费质保期内，如遇系统出现故障，一般故障需 4 小时内解决，重大故障需 24 小时内解决，完成系统恢复。如设备出现故障，现场不能修复的，必须36小时内采取无偿提供采购物品的备用件或整机等措施，保证用户单位的正常使用。投标人在投标文件中应提供承诺函，</w:t>
      </w:r>
      <w:r>
        <w:rPr>
          <w:rFonts w:hint="eastAsia" w:asciiTheme="minorEastAsia" w:hAnsiTheme="minorEastAsia" w:eastAsiaTheme="minorEastAsia" w:cstheme="minorEastAsia"/>
          <w:b/>
          <w:bCs/>
          <w:color w:val="000000"/>
          <w:kern w:val="0"/>
          <w:sz w:val="24"/>
          <w:szCs w:val="24"/>
        </w:rPr>
        <w:t>否则为无效投标。</w:t>
      </w:r>
    </w:p>
    <w:p>
      <w:pPr>
        <w:widowControl/>
        <w:spacing w:line="572" w:lineRule="exact"/>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应在系统建设完成后，提供全套系统交底资料纸质文档 3 份和电子文档, 并提供全套设备使用的全部资料。投标人在投标文件中应提供承诺函，</w:t>
      </w:r>
      <w:r>
        <w:rPr>
          <w:rFonts w:hint="eastAsia" w:asciiTheme="minorEastAsia" w:hAnsiTheme="minorEastAsia" w:eastAsiaTheme="minorEastAsia" w:cstheme="minorEastAsia"/>
          <w:b/>
          <w:bCs/>
          <w:color w:val="000000"/>
          <w:kern w:val="0"/>
          <w:sz w:val="24"/>
          <w:szCs w:val="24"/>
        </w:rPr>
        <w:t>否则为无效投标。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rPr>
        <w:t>七、本项目预算金额</w:t>
      </w:r>
      <w:r>
        <w:rPr>
          <w:rFonts w:hint="eastAsia" w:cs="黑体" w:asciiTheme="minorEastAsia" w:hAnsiTheme="minorEastAsia" w:eastAsiaTheme="minorEastAsia"/>
          <w:b/>
          <w:bCs/>
          <w:color w:val="000000"/>
          <w:shd w:val="clear" w:color="auto" w:fill="FFFFFF"/>
          <w:lang w:val="en-US" w:eastAsia="zh-CN"/>
        </w:rPr>
        <w:t>55万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55万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zh-CN" w:eastAsia="zh-CN"/>
        </w:rPr>
        <w:t>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2、支付时间及条件：全部项目完毕验收合格后，支付至合同总价款的95%；剩余5%，满一年无质量问题，一次性付清。</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项目名称：许昌市文化广电和旅游局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161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项目内容：功能建设共包含文物安全巡查综合管理平台、县（市）区级文物安全综合管理系统、市直博物馆文物安全综合管理系统、前端app系统等内容。</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名称：许昌市文化广电和旅游局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w:t>
            </w:r>
            <w:r>
              <w:rPr>
                <w:rFonts w:hint="eastAsia" w:cs="仿宋_GB2312" w:asciiTheme="minorEastAsia" w:hAnsiTheme="minorEastAsia"/>
                <w:szCs w:val="21"/>
              </w:rPr>
              <w:t>八一路东段广电大厦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联系人：温志恒                    电话：15637415656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55万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w:t>
            </w:r>
            <w:r>
              <w:rPr>
                <w:rFonts w:hint="eastAsia" w:cs="宋体" w:asciiTheme="minorEastAsia" w:hAnsiTheme="minorEastAsia"/>
                <w:color w:val="000000"/>
                <w:szCs w:val="21"/>
                <w:lang w:val="zh-CN"/>
              </w:rPr>
              <w:t>开标五室（龙兴</w:t>
            </w:r>
            <w:r>
              <w:rPr>
                <w:rFonts w:cs="宋体" w:asciiTheme="minorEastAsia" w:hAnsiTheme="minorEastAsia"/>
                <w:bCs/>
                <w:szCs w:val="21"/>
                <w:lang w:val="zh-CN"/>
              </w:rPr>
              <w:t>路与竹林路交汇处</w:t>
            </w:r>
            <w:r>
              <w:rPr>
                <w:rFonts w:hint="eastAsia" w:cs="宋体" w:asciiTheme="minorEastAsia" w:hAnsiTheme="minorEastAsia"/>
                <w:bCs/>
                <w:szCs w:val="21"/>
                <w:lang w:val="zh-CN"/>
              </w:rPr>
              <w:t>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w:t>
            </w:r>
            <w:r>
              <w:rPr>
                <w:rFonts w:hint="eastAsia" w:cs="宋体" w:asciiTheme="minorEastAsia" w:hAnsiTheme="minorEastAsia"/>
                <w:color w:val="000000"/>
                <w:szCs w:val="21"/>
              </w:rPr>
              <w:t>.</w:t>
            </w:r>
            <w:r>
              <w:rPr>
                <w:rFonts w:cs="宋体" w:asciiTheme="minorEastAsia" w:hAnsiTheme="minorEastAsia"/>
                <w:color w:val="000000"/>
                <w:szCs w:val="21"/>
              </w:rPr>
              <w:t>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w:t>
            </w:r>
            <w:r>
              <w:rPr>
                <w:rFonts w:hint="eastAsia" w:cs="宋体" w:asciiTheme="minorEastAsia" w:hAnsiTheme="minorEastAsia"/>
                <w:bCs/>
                <w:color w:val="FF0000"/>
                <w:szCs w:val="21"/>
                <w:lang w:val="zh-CN"/>
              </w:rPr>
              <w:t>告知</w:t>
            </w:r>
            <w:r>
              <w:rPr>
                <w:rFonts w:hint="eastAsia" w:cs="宋体" w:asciiTheme="minorEastAsia" w:hAnsiTheme="minorEastAsia"/>
                <w:bCs/>
                <w:szCs w:val="21"/>
                <w:lang w:val="zh-CN"/>
              </w:rPr>
              <w:t xml:space="preserve">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autoSpaceDE w:val="0"/>
              <w:autoSpaceDN w:val="0"/>
              <w:spacing w:line="360" w:lineRule="auto"/>
              <w:contextualSpacing/>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32</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24</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14</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pacing w:line="360" w:lineRule="auto"/>
              <w:jc w:val="center"/>
              <w:rPr>
                <w:rFonts w:hint="eastAsia" w:ascii="宋体" w:hAnsi="宋体"/>
                <w:color w:val="000000"/>
                <w:szCs w:val="21"/>
                <w:lang w:val="en-GB"/>
              </w:rPr>
            </w:pPr>
            <w:r>
              <w:rPr>
                <w:rFonts w:hint="eastAsia" w:ascii="宋体" w:hAnsi="宋体"/>
                <w:color w:val="000000"/>
                <w:szCs w:val="21"/>
                <w:lang w:val="en-GB"/>
              </w:rPr>
              <w:t>报价部分</w:t>
            </w:r>
          </w:p>
          <w:p>
            <w:pPr>
              <w:spacing w:line="360" w:lineRule="auto"/>
              <w:jc w:val="center"/>
              <w:rPr>
                <w:rFonts w:hint="eastAsia" w:ascii="宋体" w:hAnsi="宋体"/>
                <w:color w:val="000000"/>
                <w:szCs w:val="21"/>
                <w:lang w:val="en-GB"/>
              </w:rPr>
            </w:pPr>
            <w:r>
              <w:rPr>
                <w:rFonts w:hint="eastAsia" w:ascii="宋体" w:hAnsi="宋体"/>
                <w:color w:val="000000"/>
                <w:szCs w:val="21"/>
                <w:lang w:val="en-GB"/>
              </w:rPr>
              <w:t>（</w:t>
            </w:r>
            <w:r>
              <w:rPr>
                <w:rFonts w:hint="eastAsia" w:ascii="宋体" w:hAnsi="宋体"/>
                <w:color w:val="000000"/>
                <w:szCs w:val="21"/>
                <w:lang w:val="en-US" w:eastAsia="zh-CN"/>
              </w:rPr>
              <w:t>30</w:t>
            </w:r>
            <w:r>
              <w:rPr>
                <w:rFonts w:hint="eastAsia" w:ascii="宋体" w:hAnsi="宋体"/>
                <w:color w:val="000000"/>
                <w:szCs w:val="21"/>
                <w:lang w:val="en-GB"/>
              </w:rPr>
              <w:t>分）</w:t>
            </w:r>
          </w:p>
        </w:tc>
        <w:tc>
          <w:tcPr>
            <w:tcW w:w="1560" w:type="dxa"/>
            <w:vAlign w:val="center"/>
          </w:tcPr>
          <w:p>
            <w:pPr>
              <w:spacing w:line="360" w:lineRule="auto"/>
              <w:jc w:val="center"/>
              <w:rPr>
                <w:rFonts w:hint="eastAsia" w:ascii="宋体" w:hAnsi="宋体"/>
                <w:color w:val="000000"/>
                <w:szCs w:val="21"/>
                <w:lang w:val="en-GB"/>
              </w:rPr>
            </w:pPr>
            <w:r>
              <w:rPr>
                <w:rFonts w:hint="eastAsia" w:ascii="宋体" w:hAnsi="宋体"/>
                <w:color w:val="000000"/>
                <w:szCs w:val="21"/>
                <w:lang w:val="en-GB"/>
              </w:rPr>
              <w:t>报价</w:t>
            </w:r>
          </w:p>
          <w:p>
            <w:pPr>
              <w:spacing w:line="360" w:lineRule="auto"/>
              <w:jc w:val="center"/>
              <w:rPr>
                <w:rFonts w:hint="eastAsia" w:ascii="宋体" w:hAnsi="宋体"/>
                <w:color w:val="000000"/>
                <w:szCs w:val="21"/>
                <w:lang w:val="en-GB"/>
              </w:rPr>
            </w:pPr>
            <w:r>
              <w:rPr>
                <w:rFonts w:hint="eastAsia" w:ascii="宋体" w:hAnsi="宋体"/>
                <w:color w:val="000000"/>
                <w:szCs w:val="21"/>
                <w:lang w:val="en-GB"/>
              </w:rPr>
              <w:t>（</w:t>
            </w:r>
            <w:r>
              <w:rPr>
                <w:rFonts w:hint="eastAsia" w:ascii="宋体" w:hAnsi="宋体"/>
                <w:color w:val="000000"/>
                <w:szCs w:val="21"/>
                <w:lang w:val="en-US" w:eastAsia="zh-CN"/>
              </w:rPr>
              <w:t>30</w:t>
            </w:r>
            <w:r>
              <w:rPr>
                <w:rFonts w:hint="eastAsia" w:ascii="宋体" w:hAnsi="宋体"/>
                <w:color w:val="000000"/>
                <w:szCs w:val="21"/>
                <w:lang w:val="en-GB"/>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pacing w:line="360" w:lineRule="auto"/>
              <w:jc w:val="center"/>
              <w:rPr>
                <w:rFonts w:hint="eastAsia" w:ascii="宋体" w:hAnsi="宋体"/>
                <w:color w:val="000000"/>
                <w:szCs w:val="21"/>
                <w:lang w:val="en-GB"/>
              </w:rPr>
            </w:pPr>
            <w:r>
              <w:rPr>
                <w:rFonts w:hint="eastAsia" w:ascii="宋体" w:hAnsi="宋体"/>
                <w:color w:val="000000"/>
                <w:szCs w:val="21"/>
                <w:lang w:val="en-GB"/>
              </w:rPr>
              <w:t>商务部分</w:t>
            </w:r>
          </w:p>
          <w:p>
            <w:pPr>
              <w:spacing w:line="360" w:lineRule="auto"/>
              <w:jc w:val="center"/>
              <w:rPr>
                <w:rFonts w:hint="eastAsia" w:ascii="宋体" w:hAnsi="宋体"/>
                <w:color w:val="000000"/>
                <w:szCs w:val="21"/>
                <w:lang w:val="en-GB"/>
              </w:rPr>
            </w:pPr>
            <w:r>
              <w:rPr>
                <w:rFonts w:hint="eastAsia" w:ascii="宋体" w:hAnsi="宋体"/>
                <w:color w:val="000000"/>
                <w:szCs w:val="21"/>
                <w:lang w:val="en-GB"/>
              </w:rPr>
              <w:t>（</w:t>
            </w:r>
            <w:r>
              <w:rPr>
                <w:rFonts w:hint="eastAsia" w:ascii="宋体" w:hAnsi="宋体"/>
                <w:color w:val="000000"/>
                <w:szCs w:val="21"/>
                <w:lang w:val="en-US" w:eastAsia="zh-CN"/>
              </w:rPr>
              <w:t>32</w:t>
            </w:r>
            <w:r>
              <w:rPr>
                <w:rFonts w:hint="eastAsia" w:ascii="宋体" w:hAnsi="宋体"/>
                <w:color w:val="000000"/>
                <w:szCs w:val="21"/>
                <w:lang w:val="en-GB"/>
              </w:rPr>
              <w:t>分）</w:t>
            </w:r>
          </w:p>
        </w:tc>
        <w:tc>
          <w:tcPr>
            <w:tcW w:w="1560" w:type="dxa"/>
            <w:vAlign w:val="center"/>
          </w:tcPr>
          <w:p>
            <w:pPr>
              <w:spacing w:line="360" w:lineRule="auto"/>
              <w:jc w:val="center"/>
              <w:rPr>
                <w:rFonts w:hint="eastAsia" w:ascii="宋体" w:hAnsi="宋体"/>
                <w:color w:val="000000"/>
                <w:szCs w:val="21"/>
                <w:lang w:val="en-GB"/>
              </w:rPr>
            </w:pPr>
            <w:r>
              <w:rPr>
                <w:rFonts w:hint="eastAsia" w:ascii="宋体" w:hAnsi="宋体"/>
                <w:color w:val="000000"/>
                <w:szCs w:val="21"/>
                <w:lang w:val="en-GB"/>
              </w:rPr>
              <w:t>业绩</w:t>
            </w:r>
          </w:p>
          <w:p>
            <w:pPr>
              <w:spacing w:line="360" w:lineRule="auto"/>
              <w:jc w:val="center"/>
              <w:rPr>
                <w:rFonts w:hint="eastAsia" w:ascii="宋体" w:hAnsi="宋体"/>
                <w:color w:val="000000"/>
                <w:szCs w:val="21"/>
                <w:lang w:val="en-GB"/>
              </w:rPr>
            </w:pPr>
            <w:r>
              <w:rPr>
                <w:rFonts w:hint="eastAsia" w:ascii="宋体" w:hAnsi="宋体"/>
                <w:color w:val="000000"/>
                <w:szCs w:val="21"/>
                <w:lang w:val="en-GB"/>
              </w:rPr>
              <w:t>（</w:t>
            </w:r>
            <w:r>
              <w:rPr>
                <w:rFonts w:hint="eastAsia" w:ascii="宋体" w:hAnsi="宋体"/>
                <w:color w:val="000000"/>
                <w:szCs w:val="21"/>
                <w:lang w:val="en-US" w:eastAsia="zh-CN"/>
              </w:rPr>
              <w:t>8</w:t>
            </w:r>
            <w:r>
              <w:rPr>
                <w:rFonts w:hint="eastAsia" w:ascii="宋体" w:hAnsi="宋体"/>
                <w:color w:val="000000"/>
                <w:szCs w:val="21"/>
                <w:lang w:val="en-GB"/>
              </w:rPr>
              <w:t>分）</w:t>
            </w:r>
          </w:p>
        </w:tc>
        <w:tc>
          <w:tcPr>
            <w:tcW w:w="6095" w:type="dxa"/>
            <w:vAlign w:val="center"/>
          </w:tcPr>
          <w:p>
            <w:pPr>
              <w:spacing w:line="360" w:lineRule="auto"/>
              <w:jc w:val="left"/>
              <w:rPr>
                <w:rFonts w:hint="eastAsia" w:ascii="宋体" w:hAnsi="宋体"/>
                <w:color w:val="000000"/>
                <w:szCs w:val="21"/>
                <w:lang w:val="zh-CN"/>
              </w:rPr>
            </w:pPr>
            <w:r>
              <w:rPr>
                <w:rFonts w:hint="eastAsia" w:ascii="宋体" w:hAnsi="宋体"/>
                <w:color w:val="000000"/>
                <w:szCs w:val="21"/>
                <w:lang w:val="en-GB"/>
              </w:rPr>
              <w:t>投标人提供2016年1月1日以来类似项目合同，每提供1个得2分，最高得8分。（以合同、验收报告为准）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pacing w:line="360" w:lineRule="auto"/>
              <w:jc w:val="center"/>
              <w:rPr>
                <w:rFonts w:hint="eastAsia" w:ascii="宋体" w:hAnsi="宋体"/>
                <w:color w:val="000000"/>
                <w:szCs w:val="21"/>
                <w:lang w:val="en-GB"/>
              </w:rPr>
            </w:pPr>
          </w:p>
        </w:tc>
        <w:tc>
          <w:tcPr>
            <w:tcW w:w="1560" w:type="dxa"/>
            <w:vAlign w:val="center"/>
          </w:tcPr>
          <w:p>
            <w:pPr>
              <w:spacing w:line="360" w:lineRule="auto"/>
              <w:jc w:val="center"/>
              <w:rPr>
                <w:rFonts w:hint="eastAsia" w:ascii="宋体" w:hAnsi="宋体"/>
                <w:color w:val="000000"/>
                <w:szCs w:val="21"/>
                <w:lang w:val="en-GB"/>
              </w:rPr>
            </w:pPr>
            <w:r>
              <w:rPr>
                <w:rFonts w:hint="eastAsia" w:ascii="宋体" w:hAnsi="宋体"/>
                <w:color w:val="000000"/>
                <w:szCs w:val="21"/>
                <w:lang w:val="en-GB"/>
              </w:rPr>
              <w:t>企业实力</w:t>
            </w:r>
          </w:p>
          <w:p>
            <w:pPr>
              <w:spacing w:line="360" w:lineRule="auto"/>
              <w:jc w:val="center"/>
              <w:rPr>
                <w:rFonts w:hint="eastAsia" w:ascii="宋体" w:hAnsi="宋体"/>
                <w:color w:val="000000"/>
                <w:szCs w:val="21"/>
                <w:lang w:val="en-GB"/>
              </w:rPr>
            </w:pPr>
            <w:r>
              <w:rPr>
                <w:rFonts w:hint="eastAsia" w:ascii="宋体" w:hAnsi="宋体"/>
                <w:color w:val="000000"/>
                <w:szCs w:val="21"/>
                <w:lang w:val="en-GB"/>
              </w:rPr>
              <w:t>（ 11 分）</w:t>
            </w:r>
          </w:p>
        </w:tc>
        <w:tc>
          <w:tcPr>
            <w:tcW w:w="6095" w:type="dxa"/>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（1）投标人自2016年以来获得过行政工商管理部门认定的“守合同重信用”企业的得2分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（2）投标人具有税务部门颁发的纳税信用等级A级及以上证书得4分；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（3）有高新技术企业证书得2分；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（4）供应商提供2016年1月以来信用评级机构出具的有效的企业信用报告，等级为AAA级的得3分；AA级的得2分；A级的得1分。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pacing w:line="360" w:lineRule="auto"/>
              <w:jc w:val="center"/>
              <w:rPr>
                <w:rFonts w:hint="eastAsia" w:ascii="宋体" w:hAnsi="宋体"/>
                <w:color w:val="000000"/>
                <w:szCs w:val="21"/>
                <w:lang w:val="en-GB"/>
              </w:rPr>
            </w:pPr>
          </w:p>
        </w:tc>
        <w:tc>
          <w:tcPr>
            <w:tcW w:w="1560" w:type="dxa"/>
            <w:vAlign w:val="center"/>
          </w:tcPr>
          <w:p>
            <w:pPr>
              <w:spacing w:line="360" w:lineRule="auto"/>
              <w:jc w:val="center"/>
              <w:rPr>
                <w:rFonts w:hint="eastAsia" w:ascii="宋体" w:hAnsi="宋体"/>
                <w:color w:val="000000"/>
                <w:szCs w:val="21"/>
                <w:lang w:val="en-GB"/>
              </w:rPr>
            </w:pPr>
            <w:r>
              <w:rPr>
                <w:rFonts w:hint="eastAsia" w:ascii="宋体" w:hAnsi="宋体"/>
                <w:color w:val="000000"/>
                <w:szCs w:val="21"/>
                <w:lang w:val="en-GB"/>
              </w:rPr>
              <w:t>管理体系</w:t>
            </w:r>
          </w:p>
          <w:p>
            <w:pPr>
              <w:spacing w:line="360" w:lineRule="auto"/>
              <w:jc w:val="center"/>
              <w:rPr>
                <w:rFonts w:hint="eastAsia" w:ascii="宋体" w:hAnsi="宋体"/>
                <w:color w:val="000000"/>
                <w:szCs w:val="21"/>
                <w:lang w:val="en-US" w:eastAsia="zh-CN"/>
              </w:rPr>
            </w:pPr>
            <w:r>
              <w:rPr>
                <w:rFonts w:hint="eastAsia" w:ascii="宋体" w:hAnsi="宋体"/>
                <w:color w:val="000000"/>
                <w:szCs w:val="21"/>
                <w:lang w:val="en-GB"/>
              </w:rPr>
              <w:t>（ 11 分）</w:t>
            </w:r>
          </w:p>
        </w:tc>
        <w:tc>
          <w:tcPr>
            <w:tcW w:w="6095" w:type="dxa"/>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（1）投标人具有ISO9001质量管理体系认证证书，得2分；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（2）投标人具有ISO14001环境管理体系认证证书，得2分；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（3）投标人具有OHSAS18001职业健康安全管理体系认证证书，得2分；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（4）投标人具有ISO27001信息安全管理体系认证证书，得2分；</w:t>
            </w:r>
          </w:p>
          <w:p>
            <w:pPr>
              <w:spacing w:line="360" w:lineRule="auto"/>
              <w:jc w:val="left"/>
              <w:rPr>
                <w:rFonts w:hint="eastAsia" w:ascii="宋体" w:hAnsi="宋体"/>
                <w:color w:val="000000"/>
                <w:szCs w:val="21"/>
                <w:lang w:val="en-US" w:eastAsia="zh-CN"/>
              </w:rPr>
            </w:pPr>
            <w:r>
              <w:rPr>
                <w:rFonts w:hint="eastAsia" w:ascii="宋体" w:hAnsi="宋体"/>
                <w:color w:val="000000"/>
                <w:szCs w:val="21"/>
                <w:lang w:val="en-GB"/>
              </w:rPr>
              <w:t>（5）投标人具有CMMI3及以上认证证书得3分，没有不得分；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pacing w:line="360" w:lineRule="auto"/>
              <w:jc w:val="center"/>
              <w:rPr>
                <w:rFonts w:hint="eastAsia" w:ascii="宋体" w:hAnsi="宋体"/>
                <w:color w:val="000000"/>
                <w:szCs w:val="21"/>
                <w:lang w:val="en-GB"/>
              </w:rPr>
            </w:pPr>
          </w:p>
        </w:tc>
        <w:tc>
          <w:tcPr>
            <w:tcW w:w="1560" w:type="dxa"/>
            <w:vAlign w:val="center"/>
          </w:tcPr>
          <w:p>
            <w:pPr>
              <w:spacing w:line="360" w:lineRule="auto"/>
              <w:jc w:val="center"/>
              <w:rPr>
                <w:rFonts w:hint="eastAsia" w:ascii="宋体" w:hAnsi="宋体"/>
                <w:color w:val="000000"/>
                <w:szCs w:val="21"/>
                <w:lang w:val="en-GB"/>
              </w:rPr>
            </w:pPr>
            <w:r>
              <w:rPr>
                <w:rFonts w:hint="eastAsia" w:ascii="宋体" w:hAnsi="宋体"/>
                <w:color w:val="000000"/>
                <w:szCs w:val="21"/>
                <w:lang w:val="en-GB"/>
              </w:rPr>
              <w:t>节约能源、保护环境政策加分</w:t>
            </w:r>
          </w:p>
          <w:p>
            <w:pPr>
              <w:spacing w:line="360" w:lineRule="auto"/>
              <w:jc w:val="center"/>
              <w:rPr>
                <w:rFonts w:hint="eastAsia" w:ascii="宋体" w:hAnsi="宋体"/>
                <w:color w:val="000000"/>
                <w:szCs w:val="21"/>
                <w:lang w:val="en-GB"/>
              </w:rPr>
            </w:pPr>
            <w:r>
              <w:rPr>
                <w:rFonts w:hint="eastAsia" w:ascii="宋体" w:hAnsi="宋体"/>
                <w:color w:val="000000"/>
                <w:szCs w:val="21"/>
                <w:lang w:val="en-GB"/>
              </w:rPr>
              <w:t>（ 2 分）</w:t>
            </w:r>
          </w:p>
        </w:tc>
        <w:tc>
          <w:tcPr>
            <w:tcW w:w="6095" w:type="dxa"/>
            <w:vAlign w:val="center"/>
          </w:tcPr>
          <w:p>
            <w:pPr>
              <w:spacing w:line="360" w:lineRule="auto"/>
              <w:jc w:val="left"/>
              <w:rPr>
                <w:rFonts w:asciiTheme="minorEastAsia" w:hAnsiTheme="minorEastAsia"/>
                <w:szCs w:val="21"/>
              </w:rPr>
            </w:pPr>
            <w:r>
              <w:rPr>
                <w:rFonts w:hint="eastAsia" w:ascii="宋体" w:hAnsi="宋体"/>
                <w:color w:val="000000"/>
                <w:szCs w:val="21"/>
                <w:lang w:val="en-GB"/>
              </w:rPr>
              <w:t>1、除政府强制采购的节能产品外，投标人所投产品属于“节能产品政府采购品目清单”优先采购产品，</w:t>
            </w:r>
            <w:r>
              <w:rPr>
                <w:rFonts w:hint="eastAsia" w:cs="仿宋_GB2312" w:asciiTheme="minorEastAsia" w:hAnsiTheme="minorEastAsia"/>
                <w:szCs w:val="21"/>
                <w:lang w:val="zh-CN"/>
              </w:rPr>
              <w:t>投标</w:t>
            </w:r>
            <w:r>
              <w:rPr>
                <w:rFonts w:hint="eastAsia" w:asciiTheme="minorEastAsia" w:hAnsiTheme="minorEastAsia"/>
                <w:szCs w:val="21"/>
              </w:rPr>
              <w:t>文件中提供具有国家确定的认证机构出具的、处于有效期之内的节能产品认证证书。每项0.5分，满分1分。</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olor w:val="000000"/>
                <w:szCs w:val="21"/>
                <w:lang w:val="en-GB"/>
              </w:rPr>
              <w:t>2、投标人所投产品属于“环境标志产品政府采购品目清单”内产品，</w:t>
            </w:r>
            <w:r>
              <w:rPr>
                <w:rFonts w:hint="eastAsia" w:cs="仿宋_GB2312" w:asciiTheme="minorEastAsia" w:hAnsiTheme="minorEastAsia"/>
                <w:szCs w:val="21"/>
                <w:lang w:val="zh-CN"/>
              </w:rPr>
              <w:t>投标文件中提供</w:t>
            </w:r>
            <w:r>
              <w:rPr>
                <w:rFonts w:hint="eastAsia" w:asciiTheme="minorEastAsia" w:hAnsiTheme="minorEastAsia"/>
                <w:szCs w:val="21"/>
              </w:rPr>
              <w:t>具有国家确定的认证机构出具的、处于有效期之内的节能产品认证证书</w:t>
            </w:r>
            <w:r>
              <w:rPr>
                <w:rFonts w:hint="eastAsia" w:cs="仿宋_GB2312" w:asciiTheme="minorEastAsia" w:hAnsiTheme="minorEastAsia"/>
                <w:szCs w:val="21"/>
                <w:lang w:val="zh-CN"/>
              </w:rPr>
              <w:t>。</w:t>
            </w:r>
            <w:r>
              <w:rPr>
                <w:rFonts w:hint="eastAsia" w:ascii="宋体" w:hAnsi="宋体"/>
                <w:color w:val="000000"/>
                <w:szCs w:val="21"/>
                <w:lang w:val="en-GB"/>
              </w:rPr>
              <w:t>每项0.5分，满分1分。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384" w:type="dxa"/>
            <w:vMerge w:val="restart"/>
            <w:tcBorders>
              <w:right w:val="single" w:color="auto" w:sz="4" w:space="0"/>
            </w:tcBorders>
            <w:vAlign w:val="center"/>
          </w:tcPr>
          <w:p>
            <w:pPr>
              <w:spacing w:line="360" w:lineRule="auto"/>
              <w:jc w:val="center"/>
              <w:rPr>
                <w:rFonts w:hint="eastAsia" w:ascii="宋体" w:hAnsi="宋体"/>
                <w:color w:val="000000"/>
                <w:szCs w:val="21"/>
                <w:lang w:val="en-GB"/>
              </w:rPr>
            </w:pPr>
            <w:r>
              <w:rPr>
                <w:rFonts w:hint="eastAsia" w:ascii="宋体" w:hAnsi="宋体"/>
                <w:color w:val="000000"/>
                <w:szCs w:val="21"/>
                <w:lang w:val="en-GB"/>
              </w:rPr>
              <w:t>技术部分</w:t>
            </w:r>
          </w:p>
          <w:p>
            <w:pPr>
              <w:spacing w:line="360" w:lineRule="auto"/>
              <w:jc w:val="center"/>
              <w:rPr>
                <w:rFonts w:hint="eastAsia" w:ascii="宋体" w:hAnsi="宋体"/>
                <w:color w:val="000000"/>
                <w:szCs w:val="21"/>
                <w:lang w:val="en-GB"/>
              </w:rPr>
            </w:pPr>
            <w:r>
              <w:rPr>
                <w:rFonts w:hint="eastAsia" w:ascii="宋体" w:hAnsi="宋体"/>
                <w:color w:val="000000"/>
                <w:szCs w:val="21"/>
                <w:lang w:val="en-GB"/>
              </w:rPr>
              <w:t>（</w:t>
            </w:r>
            <w:r>
              <w:rPr>
                <w:rFonts w:hint="eastAsia" w:ascii="宋体" w:hAnsi="宋体"/>
                <w:color w:val="000000"/>
                <w:szCs w:val="21"/>
                <w:lang w:val="en-US" w:eastAsia="zh-CN"/>
              </w:rPr>
              <w:t>24</w:t>
            </w:r>
            <w:r>
              <w:rPr>
                <w:rFonts w:hint="eastAsia" w:ascii="宋体" w:hAnsi="宋体"/>
                <w:color w:val="000000"/>
                <w:szCs w:val="21"/>
                <w:lang w:val="en-GB"/>
              </w:rPr>
              <w:t xml:space="preserve"> 分）</w:t>
            </w:r>
          </w:p>
        </w:tc>
        <w:tc>
          <w:tcPr>
            <w:tcW w:w="1560" w:type="dxa"/>
            <w:tcBorders>
              <w:right w:val="single" w:color="auto" w:sz="4" w:space="0"/>
            </w:tcBorders>
            <w:vAlign w:val="center"/>
          </w:tcPr>
          <w:p>
            <w:pPr>
              <w:spacing w:line="360" w:lineRule="auto"/>
              <w:jc w:val="center"/>
              <w:rPr>
                <w:rFonts w:hint="eastAsia" w:ascii="宋体" w:hAnsi="宋体"/>
                <w:color w:val="000000"/>
                <w:szCs w:val="21"/>
                <w:lang w:val="en-GB"/>
              </w:rPr>
            </w:pPr>
            <w:r>
              <w:rPr>
                <w:rFonts w:hint="eastAsia" w:ascii="宋体" w:hAnsi="宋体"/>
                <w:color w:val="000000"/>
                <w:szCs w:val="21"/>
                <w:lang w:val="en-GB"/>
              </w:rPr>
              <w:t>货物技术规格、参数与要求响应</w:t>
            </w:r>
          </w:p>
          <w:p>
            <w:pPr>
              <w:spacing w:line="360" w:lineRule="auto"/>
              <w:jc w:val="center"/>
              <w:rPr>
                <w:rFonts w:hint="eastAsia" w:ascii="宋体" w:hAnsi="宋体"/>
                <w:color w:val="000000"/>
                <w:szCs w:val="21"/>
                <w:lang w:val="en-GB"/>
              </w:rPr>
            </w:pPr>
            <w:r>
              <w:rPr>
                <w:rFonts w:hint="eastAsia" w:ascii="宋体" w:hAnsi="宋体"/>
                <w:color w:val="000000"/>
                <w:szCs w:val="21"/>
                <w:lang w:val="en-GB"/>
              </w:rPr>
              <w:t>（</w:t>
            </w:r>
            <w:r>
              <w:rPr>
                <w:rFonts w:hint="eastAsia" w:ascii="宋体" w:hAnsi="宋体"/>
                <w:color w:val="000000"/>
                <w:szCs w:val="21"/>
                <w:lang w:val="en-US" w:eastAsia="zh-CN"/>
              </w:rPr>
              <w:t>12</w:t>
            </w:r>
            <w:r>
              <w:rPr>
                <w:rFonts w:hint="eastAsia" w:ascii="宋体" w:hAnsi="宋体"/>
                <w:color w:val="000000"/>
                <w:szCs w:val="21"/>
                <w:lang w:val="en-GB"/>
              </w:rPr>
              <w:t>分）</w:t>
            </w:r>
          </w:p>
        </w:tc>
        <w:tc>
          <w:tcPr>
            <w:tcW w:w="6095" w:type="dxa"/>
            <w:tcBorders>
              <w:right w:val="single" w:color="auto" w:sz="4" w:space="0"/>
            </w:tcBorders>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在招标采购清单中加▲项参数提供具有CNAS标识的检测机构出具的检测报告，每有一项加3分，总分12分。</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pacing w:line="360" w:lineRule="auto"/>
              <w:jc w:val="center"/>
              <w:rPr>
                <w:rFonts w:hint="eastAsia" w:ascii="宋体" w:hAnsi="宋体"/>
                <w:color w:val="000000"/>
                <w:szCs w:val="21"/>
                <w:lang w:val="en-GB"/>
              </w:rPr>
            </w:pPr>
          </w:p>
        </w:tc>
        <w:tc>
          <w:tcPr>
            <w:tcW w:w="1560" w:type="dxa"/>
            <w:tcBorders>
              <w:right w:val="single" w:color="auto" w:sz="4" w:space="0"/>
            </w:tcBorders>
            <w:vAlign w:val="center"/>
          </w:tcPr>
          <w:p>
            <w:pPr>
              <w:spacing w:line="360" w:lineRule="auto"/>
              <w:jc w:val="center"/>
              <w:rPr>
                <w:rFonts w:hint="eastAsia" w:ascii="宋体" w:hAnsi="宋体"/>
                <w:color w:val="000000"/>
                <w:szCs w:val="21"/>
                <w:lang w:val="en-GB"/>
              </w:rPr>
            </w:pPr>
            <w:r>
              <w:rPr>
                <w:rFonts w:hint="eastAsia" w:ascii="宋体" w:hAnsi="宋体"/>
                <w:color w:val="000000"/>
                <w:szCs w:val="21"/>
                <w:lang w:val="en-GB"/>
              </w:rPr>
              <w:t>技术方案</w:t>
            </w:r>
          </w:p>
          <w:p>
            <w:pPr>
              <w:spacing w:line="360" w:lineRule="auto"/>
              <w:jc w:val="center"/>
              <w:rPr>
                <w:rFonts w:hint="eastAsia" w:ascii="宋体" w:hAnsi="宋体"/>
                <w:color w:val="000000"/>
                <w:szCs w:val="21"/>
                <w:lang w:val="en-GB"/>
              </w:rPr>
            </w:pPr>
            <w:r>
              <w:rPr>
                <w:rFonts w:hint="eastAsia" w:ascii="宋体" w:hAnsi="宋体"/>
                <w:color w:val="000000"/>
                <w:szCs w:val="21"/>
                <w:lang w:val="en-GB"/>
              </w:rPr>
              <w:t>（</w:t>
            </w:r>
            <w:r>
              <w:rPr>
                <w:rFonts w:hint="eastAsia" w:ascii="宋体" w:hAnsi="宋体"/>
                <w:color w:val="000000"/>
                <w:szCs w:val="21"/>
                <w:lang w:val="en-US" w:eastAsia="zh-CN"/>
              </w:rPr>
              <w:t>12</w:t>
            </w:r>
            <w:r>
              <w:rPr>
                <w:rFonts w:hint="eastAsia" w:ascii="宋体" w:hAnsi="宋体"/>
                <w:color w:val="000000"/>
                <w:szCs w:val="21"/>
                <w:lang w:val="en-GB"/>
              </w:rPr>
              <w:t>分）</w:t>
            </w:r>
          </w:p>
        </w:tc>
        <w:tc>
          <w:tcPr>
            <w:tcW w:w="6095" w:type="dxa"/>
            <w:tcBorders>
              <w:bottom w:val="single" w:color="auto" w:sz="4" w:space="0"/>
              <w:right w:val="single" w:color="auto" w:sz="4" w:space="0"/>
            </w:tcBorders>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1、投标人所投技术方案及产品须完全响应招标要求，技术方案应包含项目分析、设计思路、前端设计、后端平台设计、技术优势、功能设计等方面，投标人每满足一项的得1.5分，总分9分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2、投标人在投标文件中提供对市政务云对接方案的得3分。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pacing w:line="360" w:lineRule="auto"/>
              <w:jc w:val="center"/>
              <w:rPr>
                <w:rFonts w:hint="eastAsia" w:ascii="宋体" w:hAnsi="宋体"/>
                <w:color w:val="000000"/>
                <w:szCs w:val="21"/>
                <w:lang w:val="en-GB"/>
              </w:rPr>
            </w:pPr>
            <w:r>
              <w:rPr>
                <w:rFonts w:hint="eastAsia" w:ascii="宋体" w:hAnsi="宋体"/>
                <w:color w:val="000000"/>
                <w:szCs w:val="21"/>
                <w:lang w:val="en-GB"/>
              </w:rPr>
              <w:t>服务部分</w:t>
            </w:r>
          </w:p>
          <w:p>
            <w:pPr>
              <w:spacing w:line="360" w:lineRule="auto"/>
              <w:jc w:val="center"/>
              <w:rPr>
                <w:rFonts w:hint="eastAsia" w:ascii="宋体" w:hAnsi="宋体"/>
                <w:color w:val="000000"/>
                <w:szCs w:val="21"/>
                <w:lang w:val="en-GB"/>
              </w:rPr>
            </w:pPr>
            <w:r>
              <w:rPr>
                <w:rFonts w:hint="eastAsia" w:ascii="宋体" w:hAnsi="宋体"/>
                <w:color w:val="000000"/>
                <w:szCs w:val="21"/>
                <w:lang w:val="en-GB"/>
              </w:rPr>
              <w:t>（</w:t>
            </w:r>
            <w:r>
              <w:rPr>
                <w:rFonts w:hint="eastAsia" w:ascii="宋体" w:hAnsi="宋体"/>
                <w:color w:val="000000"/>
                <w:szCs w:val="21"/>
                <w:lang w:val="en-US" w:eastAsia="zh-CN"/>
              </w:rPr>
              <w:t>14</w:t>
            </w:r>
            <w:r>
              <w:rPr>
                <w:rFonts w:hint="eastAsia" w:ascii="宋体" w:hAnsi="宋体"/>
                <w:color w:val="000000"/>
                <w:szCs w:val="21"/>
                <w:lang w:val="en-GB"/>
              </w:rPr>
              <w:t>分）</w:t>
            </w:r>
          </w:p>
        </w:tc>
        <w:tc>
          <w:tcPr>
            <w:tcW w:w="1560"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olor w:val="000000"/>
                <w:szCs w:val="21"/>
                <w:lang w:val="en-GB"/>
              </w:rPr>
            </w:pPr>
            <w:bookmarkStart w:id="6" w:name="_Hlk535157568"/>
            <w:r>
              <w:rPr>
                <w:rFonts w:hint="eastAsia" w:ascii="宋体" w:hAnsi="宋体"/>
                <w:color w:val="000000"/>
                <w:szCs w:val="21"/>
                <w:lang w:val="en-GB"/>
              </w:rPr>
              <w:t>售后服务</w:t>
            </w:r>
            <w:bookmarkEnd w:id="6"/>
          </w:p>
          <w:p>
            <w:pPr>
              <w:spacing w:line="360" w:lineRule="auto"/>
              <w:jc w:val="center"/>
              <w:rPr>
                <w:rFonts w:hint="eastAsia" w:ascii="宋体" w:hAnsi="宋体"/>
                <w:color w:val="000000"/>
                <w:szCs w:val="21"/>
                <w:lang w:val="en-GB"/>
              </w:rPr>
            </w:pPr>
            <w:r>
              <w:rPr>
                <w:rFonts w:hint="eastAsia" w:ascii="宋体" w:hAnsi="宋体"/>
                <w:color w:val="000000"/>
                <w:szCs w:val="21"/>
                <w:lang w:val="en-GB"/>
              </w:rPr>
              <w:t>（</w:t>
            </w:r>
            <w:r>
              <w:rPr>
                <w:rFonts w:hint="eastAsia" w:ascii="宋体" w:hAnsi="宋体"/>
                <w:color w:val="000000"/>
                <w:szCs w:val="21"/>
                <w:lang w:val="en-US" w:eastAsia="zh-CN"/>
              </w:rPr>
              <w:t>8</w:t>
            </w:r>
            <w:r>
              <w:rPr>
                <w:rFonts w:hint="eastAsia" w:ascii="宋体" w:hAnsi="宋体"/>
                <w:color w:val="000000"/>
                <w:szCs w:val="21"/>
                <w:lang w:val="en-GB"/>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US" w:eastAsia="zh-CN"/>
              </w:rPr>
              <w:t>1、</w:t>
            </w:r>
            <w:r>
              <w:rPr>
                <w:rFonts w:hint="eastAsia" w:ascii="宋体" w:hAnsi="宋体"/>
                <w:color w:val="000000"/>
                <w:szCs w:val="21"/>
                <w:lang w:val="en-GB"/>
              </w:rPr>
              <w:t>投标人在2年免费质保基础上每增加1年得3分，满分6分；提供免费质保函加盖投标人公章。</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2、投标人投标文件中提供培训方案的，得2分，未提供的不得分。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pacing w:line="360" w:lineRule="auto"/>
              <w:jc w:val="center"/>
              <w:rPr>
                <w:rFonts w:hint="eastAsia" w:ascii="宋体" w:hAnsi="宋体"/>
                <w:color w:val="000000"/>
                <w:szCs w:val="21"/>
                <w:lang w:val="en-GB"/>
              </w:rPr>
            </w:pPr>
            <w:bookmarkStart w:id="7" w:name="_Hlk535157742"/>
          </w:p>
        </w:tc>
        <w:tc>
          <w:tcPr>
            <w:tcW w:w="1560" w:type="dxa"/>
            <w:tcBorders>
              <w:left w:val="single" w:color="auto" w:sz="4" w:space="0"/>
              <w:right w:val="single" w:color="auto" w:sz="4" w:space="0"/>
            </w:tcBorders>
            <w:vAlign w:val="center"/>
          </w:tcPr>
          <w:p>
            <w:pPr>
              <w:spacing w:line="360" w:lineRule="auto"/>
              <w:jc w:val="center"/>
              <w:rPr>
                <w:rFonts w:hint="eastAsia" w:ascii="宋体" w:hAnsi="宋体"/>
                <w:color w:val="000000"/>
                <w:szCs w:val="21"/>
                <w:lang w:val="en-GB"/>
              </w:rPr>
            </w:pPr>
            <w:bookmarkStart w:id="8" w:name="_Hlk535157663"/>
            <w:r>
              <w:rPr>
                <w:rFonts w:hint="eastAsia" w:ascii="宋体" w:hAnsi="宋体"/>
                <w:color w:val="000000"/>
                <w:szCs w:val="21"/>
                <w:lang w:val="en-GB"/>
              </w:rPr>
              <w:t>项目实施团队</w:t>
            </w:r>
            <w:bookmarkEnd w:id="8"/>
            <w:r>
              <w:rPr>
                <w:rFonts w:hint="eastAsia" w:ascii="宋体" w:hAnsi="宋体"/>
                <w:color w:val="000000"/>
                <w:szCs w:val="21"/>
                <w:lang w:val="en-GB"/>
              </w:rPr>
              <w:t>（</w:t>
            </w:r>
            <w:r>
              <w:rPr>
                <w:rFonts w:hint="eastAsia" w:ascii="宋体" w:hAnsi="宋体"/>
                <w:color w:val="000000"/>
                <w:szCs w:val="21"/>
                <w:lang w:val="en-US" w:eastAsia="zh-CN"/>
              </w:rPr>
              <w:t>4</w:t>
            </w:r>
            <w:r>
              <w:rPr>
                <w:rFonts w:hint="eastAsia" w:ascii="宋体" w:hAnsi="宋体"/>
                <w:color w:val="000000"/>
                <w:szCs w:val="21"/>
                <w:lang w:val="en-GB"/>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1、投标人拟投入本项目的项目成员有1名具备中级或以上技术职称（计算机相关专业）的得1分，每增加1名得1分，满分4分。需提供证书（省级及以上政府部门颁发的）并提供相关人员的身份证复印件及近 1年（2018年10月-2019年10月）内任意连续三个月为其在本单位缴纳养老保险有效证明。</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pacing w:line="360" w:lineRule="auto"/>
              <w:jc w:val="center"/>
              <w:rPr>
                <w:rFonts w:hint="eastAsia" w:ascii="宋体" w:hAnsi="宋体"/>
                <w:color w:val="000000"/>
                <w:szCs w:val="21"/>
                <w:lang w:val="en-GB"/>
              </w:rPr>
            </w:pPr>
          </w:p>
        </w:tc>
        <w:tc>
          <w:tcPr>
            <w:tcW w:w="1560" w:type="dxa"/>
            <w:tcBorders>
              <w:left w:val="single" w:color="auto" w:sz="4" w:space="0"/>
              <w:right w:val="single" w:color="auto" w:sz="4" w:space="0"/>
            </w:tcBorders>
            <w:vAlign w:val="center"/>
          </w:tcPr>
          <w:p>
            <w:pPr>
              <w:spacing w:line="360" w:lineRule="auto"/>
              <w:jc w:val="center"/>
              <w:rPr>
                <w:rFonts w:hint="eastAsia" w:ascii="宋体" w:hAnsi="宋体"/>
                <w:color w:val="000000"/>
                <w:szCs w:val="21"/>
                <w:lang w:val="en-GB"/>
              </w:rPr>
            </w:pPr>
            <w:r>
              <w:rPr>
                <w:rFonts w:hint="eastAsia" w:ascii="宋体" w:hAnsi="宋体"/>
                <w:color w:val="000000"/>
                <w:szCs w:val="21"/>
                <w:lang w:val="en-GB"/>
              </w:rPr>
              <w:t>投标文件编制</w:t>
            </w:r>
          </w:p>
          <w:p>
            <w:pPr>
              <w:spacing w:line="360" w:lineRule="auto"/>
              <w:jc w:val="center"/>
              <w:rPr>
                <w:rFonts w:hint="eastAsia" w:ascii="宋体" w:hAnsi="宋体"/>
                <w:color w:val="000000"/>
                <w:szCs w:val="21"/>
                <w:lang w:val="en-GB"/>
              </w:rPr>
            </w:pPr>
            <w:r>
              <w:rPr>
                <w:rFonts w:hint="eastAsia" w:ascii="宋体" w:hAnsi="宋体"/>
                <w:color w:val="000000"/>
                <w:szCs w:val="21"/>
                <w:lang w:val="en-GB"/>
              </w:rPr>
              <w:t>（</w:t>
            </w:r>
            <w:r>
              <w:rPr>
                <w:rFonts w:hint="eastAsia" w:ascii="宋体" w:hAnsi="宋体"/>
                <w:color w:val="000000"/>
                <w:szCs w:val="21"/>
                <w:lang w:val="en-US" w:eastAsia="zh-CN"/>
              </w:rPr>
              <w:t>2</w:t>
            </w:r>
            <w:r>
              <w:rPr>
                <w:rFonts w:hint="eastAsia" w:ascii="宋体" w:hAnsi="宋体"/>
                <w:color w:val="000000"/>
                <w:szCs w:val="21"/>
                <w:lang w:val="en-GB"/>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投标文件的编制符合招标文件规定、装订整齐、印刷精美得2分，投标文件编制无目录和页码，排序混乱和缺篇少页的不得分。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9" w:name="_Toc186274126"/>
      <w:bookmarkStart w:id="10" w:name="_Toc184023138"/>
      <w:bookmarkStart w:id="11" w:name="_Toc174185203"/>
      <w:r>
        <w:rPr>
          <w:rFonts w:hint="eastAsia" w:cs="黑体" w:asciiTheme="minorEastAsia" w:hAnsiTheme="minorEastAsia" w:eastAsiaTheme="minorEastAsia"/>
          <w:color w:val="auto"/>
          <w:kern w:val="2"/>
          <w:sz w:val="28"/>
          <w:szCs w:val="28"/>
          <w:lang w:val="zh-CN"/>
        </w:rPr>
        <w:t>一、投标人应答索引表</w:t>
      </w:r>
      <w:bookmarkEnd w:id="9"/>
      <w:bookmarkEnd w:id="10"/>
      <w:bookmarkEnd w:id="11"/>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2" w:name="_资格证明文件"/>
            <w:bookmarkEnd w:id="12"/>
            <w:bookmarkStart w:id="13"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3"/>
          </w:p>
        </w:tc>
        <w:tc>
          <w:tcPr>
            <w:tcW w:w="4492" w:type="dxa"/>
            <w:gridSpan w:val="2"/>
            <w:vAlign w:val="center"/>
          </w:tcPr>
          <w:p>
            <w:pPr>
              <w:jc w:val="center"/>
              <w:rPr>
                <w:rFonts w:asciiTheme="minorEastAsia" w:hAnsiTheme="minorEastAsia"/>
                <w:szCs w:val="21"/>
              </w:rPr>
            </w:pPr>
            <w:bookmarkStart w:id="14"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4"/>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Pr>
          <w:rFonts w:hint="eastAsia" w:ascii="宋体" w:hAnsi="宋体"/>
          <w:b/>
          <w:bCs/>
          <w:color w:val="000000"/>
          <w:sz w:val="24"/>
          <w:szCs w:val="24"/>
        </w:rPr>
        <w:t>4.10 残疾人福利性单位声明函</w:t>
      </w:r>
    </w:p>
    <w:bookmarkEnd w:id="15"/>
    <w:bookmarkEnd w:id="16"/>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49FB32C"/>
    <w:multiLevelType w:val="singleLevel"/>
    <w:tmpl w:val="549FB32C"/>
    <w:lvl w:ilvl="0" w:tentative="0">
      <w:start w:val="1"/>
      <w:numFmt w:val="chineseCounting"/>
      <w:suff w:val="nothing"/>
      <w:lvlText w:val="%1、"/>
      <w:lvlJc w:val="left"/>
      <w:rPr>
        <w:rFonts w:hint="eastAsia"/>
      </w:r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8"/>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10"/>
  </w:num>
  <w:num w:numId="6">
    <w:abstractNumId w:val="7"/>
  </w:num>
  <w:num w:numId="7">
    <w:abstractNumId w:val="14"/>
  </w:num>
  <w:num w:numId="8">
    <w:abstractNumId w:val="4"/>
  </w:num>
  <w:num w:numId="9">
    <w:abstractNumId w:val="5"/>
  </w:num>
  <w:num w:numId="10">
    <w:abstractNumId w:val="16"/>
  </w:num>
  <w:num w:numId="11">
    <w:abstractNumId w:val="9"/>
  </w:num>
  <w:num w:numId="12">
    <w:abstractNumId w:val="15"/>
  </w:num>
  <w:num w:numId="13">
    <w:abstractNumId w:val="3"/>
  </w:num>
  <w:num w:numId="14">
    <w:abstractNumId w:val="6"/>
  </w:num>
  <w:num w:numId="15">
    <w:abstractNumId w:val="11"/>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1691"/>
    <w:rsid w:val="000029D7"/>
    <w:rsid w:val="00010EAA"/>
    <w:rsid w:val="00060C36"/>
    <w:rsid w:val="000F2705"/>
    <w:rsid w:val="000F31C7"/>
    <w:rsid w:val="001058C3"/>
    <w:rsid w:val="001478F5"/>
    <w:rsid w:val="001606A0"/>
    <w:rsid w:val="00180CB1"/>
    <w:rsid w:val="00192BC1"/>
    <w:rsid w:val="001D1694"/>
    <w:rsid w:val="001D3032"/>
    <w:rsid w:val="002033D2"/>
    <w:rsid w:val="00212E8B"/>
    <w:rsid w:val="0021491B"/>
    <w:rsid w:val="002172F1"/>
    <w:rsid w:val="0022647A"/>
    <w:rsid w:val="00245DD4"/>
    <w:rsid w:val="00251E85"/>
    <w:rsid w:val="002E1F43"/>
    <w:rsid w:val="002E58AE"/>
    <w:rsid w:val="002F7711"/>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5D63"/>
    <w:rsid w:val="00490249"/>
    <w:rsid w:val="004A32D7"/>
    <w:rsid w:val="004D0575"/>
    <w:rsid w:val="004E7EC3"/>
    <w:rsid w:val="004F536E"/>
    <w:rsid w:val="00513598"/>
    <w:rsid w:val="00522D70"/>
    <w:rsid w:val="00530561"/>
    <w:rsid w:val="00551ECC"/>
    <w:rsid w:val="0055285D"/>
    <w:rsid w:val="00577214"/>
    <w:rsid w:val="0059207A"/>
    <w:rsid w:val="005C35F8"/>
    <w:rsid w:val="005C3615"/>
    <w:rsid w:val="005D0A26"/>
    <w:rsid w:val="00606FAC"/>
    <w:rsid w:val="00636AAD"/>
    <w:rsid w:val="00645715"/>
    <w:rsid w:val="006572EA"/>
    <w:rsid w:val="006771A0"/>
    <w:rsid w:val="006C1240"/>
    <w:rsid w:val="006E6CF8"/>
    <w:rsid w:val="0070512A"/>
    <w:rsid w:val="00721F78"/>
    <w:rsid w:val="00762DEF"/>
    <w:rsid w:val="007C1AB2"/>
    <w:rsid w:val="007E5CCF"/>
    <w:rsid w:val="00801D53"/>
    <w:rsid w:val="00807665"/>
    <w:rsid w:val="00831948"/>
    <w:rsid w:val="008377E1"/>
    <w:rsid w:val="008523E7"/>
    <w:rsid w:val="008616E3"/>
    <w:rsid w:val="00863BA1"/>
    <w:rsid w:val="0088255B"/>
    <w:rsid w:val="008A2A8E"/>
    <w:rsid w:val="008B2DE8"/>
    <w:rsid w:val="008B4F75"/>
    <w:rsid w:val="008D0BF8"/>
    <w:rsid w:val="008E2232"/>
    <w:rsid w:val="0092779F"/>
    <w:rsid w:val="00946644"/>
    <w:rsid w:val="00974FB6"/>
    <w:rsid w:val="009A42F4"/>
    <w:rsid w:val="009C12AB"/>
    <w:rsid w:val="009F0ADF"/>
    <w:rsid w:val="009F164F"/>
    <w:rsid w:val="009F549B"/>
    <w:rsid w:val="00A06976"/>
    <w:rsid w:val="00A10531"/>
    <w:rsid w:val="00A1105A"/>
    <w:rsid w:val="00A23034"/>
    <w:rsid w:val="00A41ED1"/>
    <w:rsid w:val="00A5068C"/>
    <w:rsid w:val="00A526FE"/>
    <w:rsid w:val="00A933D9"/>
    <w:rsid w:val="00AC741E"/>
    <w:rsid w:val="00AD1C56"/>
    <w:rsid w:val="00B207C4"/>
    <w:rsid w:val="00B24694"/>
    <w:rsid w:val="00B25281"/>
    <w:rsid w:val="00B464DB"/>
    <w:rsid w:val="00B61AAD"/>
    <w:rsid w:val="00B90354"/>
    <w:rsid w:val="00BD0BD6"/>
    <w:rsid w:val="00BF0755"/>
    <w:rsid w:val="00C60C57"/>
    <w:rsid w:val="00C619BF"/>
    <w:rsid w:val="00C639D1"/>
    <w:rsid w:val="00C74839"/>
    <w:rsid w:val="00CC1691"/>
    <w:rsid w:val="00CD31FE"/>
    <w:rsid w:val="00CE05E1"/>
    <w:rsid w:val="00D45A31"/>
    <w:rsid w:val="00D860AB"/>
    <w:rsid w:val="00D8771F"/>
    <w:rsid w:val="00DC1501"/>
    <w:rsid w:val="00DC533B"/>
    <w:rsid w:val="00E142DF"/>
    <w:rsid w:val="00E610C1"/>
    <w:rsid w:val="00E63701"/>
    <w:rsid w:val="00EA2B60"/>
    <w:rsid w:val="00EB1EC5"/>
    <w:rsid w:val="00EF7777"/>
    <w:rsid w:val="00F03CF1"/>
    <w:rsid w:val="00F06D3F"/>
    <w:rsid w:val="00F12BF3"/>
    <w:rsid w:val="00F40BE5"/>
    <w:rsid w:val="00F50141"/>
    <w:rsid w:val="00F80416"/>
    <w:rsid w:val="00F84301"/>
    <w:rsid w:val="00F84B0C"/>
    <w:rsid w:val="00F93EAF"/>
    <w:rsid w:val="00FB5156"/>
    <w:rsid w:val="00FB75BA"/>
    <w:rsid w:val="00FC380D"/>
    <w:rsid w:val="00FC42A1"/>
    <w:rsid w:val="00FE7AC3"/>
    <w:rsid w:val="059864E8"/>
    <w:rsid w:val="0DF43C62"/>
    <w:rsid w:val="105B5498"/>
    <w:rsid w:val="15B124AA"/>
    <w:rsid w:val="1EAE190B"/>
    <w:rsid w:val="235149FE"/>
    <w:rsid w:val="2A53345A"/>
    <w:rsid w:val="2CB367F9"/>
    <w:rsid w:val="336D7C19"/>
    <w:rsid w:val="3A406437"/>
    <w:rsid w:val="3A5C7876"/>
    <w:rsid w:val="3BCD1E33"/>
    <w:rsid w:val="44A451C0"/>
    <w:rsid w:val="47665CE1"/>
    <w:rsid w:val="516A0B9E"/>
    <w:rsid w:val="630E0843"/>
    <w:rsid w:val="66A8128D"/>
    <w:rsid w:val="66EA4D68"/>
    <w:rsid w:val="699E1A40"/>
    <w:rsid w:val="78C8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HTML 预设格式 Char1"/>
    <w:basedOn w:val="23"/>
    <w:link w:val="19"/>
    <w:semiHidden/>
    <w:uiPriority w:val="99"/>
    <w:rPr>
      <w:rFonts w:ascii="Courier New" w:hAnsi="Courier New" w:cs="Courier New"/>
      <w:sz w:val="20"/>
      <w:szCs w:val="20"/>
    </w:rPr>
  </w:style>
  <w:style w:type="character" w:customStyle="1" w:styleId="53">
    <w:name w:val="正文文本缩进 Char"/>
    <w:link w:val="10"/>
    <w:qFormat/>
    <w:uiPriority w:val="0"/>
    <w:rPr>
      <w:sz w:val="24"/>
    </w:rPr>
  </w:style>
  <w:style w:type="character" w:customStyle="1" w:styleId="54">
    <w:name w:val="正文文本缩进 Char1"/>
    <w:basedOn w:val="23"/>
    <w:link w:val="10"/>
    <w:semiHidden/>
    <w:qFormat/>
    <w:uiPriority w:val="99"/>
  </w:style>
  <w:style w:type="character" w:customStyle="1" w:styleId="55">
    <w:name w:val="批注框文本 Char"/>
    <w:basedOn w:val="23"/>
    <w:link w:val="15"/>
    <w:semiHidden/>
    <w:qFormat/>
    <w:uiPriority w:val="99"/>
    <w:rPr>
      <w:sz w:val="18"/>
      <w:szCs w:val="18"/>
    </w:rPr>
  </w:style>
  <w:style w:type="character" w:customStyle="1" w:styleId="56">
    <w:name w:val="批注框文本 Char1"/>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5715</Words>
  <Characters>32581</Characters>
  <Lines>271</Lines>
  <Paragraphs>76</Paragraphs>
  <TotalTime>7</TotalTime>
  <ScaleCrop>false</ScaleCrop>
  <LinksUpToDate>false</LinksUpToDate>
  <CharactersWithSpaces>38220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2019-10-29T02:40:00Z</dcterms:created>
  <dc:creator>许昌市公共资源交易中心:孟莉</dc:creator>
  <cp:lastModifiedBy>羊</cp:lastModifiedBy>
  <dcterms:modified xsi:type="dcterms:W3CDTF">2019-11-07T03:24:05Z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