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ind w:left="2098" w:leftChars="142" w:hanging="1800" w:hangingChars="500"/>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禹州市敬老院安装视频监控、智慧用电、呼叫系统、</w:t>
      </w:r>
    </w:p>
    <w:p>
      <w:pPr>
        <w:keepNext w:val="0"/>
        <w:keepLines w:val="0"/>
        <w:pageBreakBefore w:val="0"/>
        <w:kinsoku/>
        <w:wordWrap/>
        <w:overflowPunct/>
        <w:topLinePunct w:val="0"/>
        <w:autoSpaceDE/>
        <w:autoSpaceDN/>
        <w:bidi w:val="0"/>
        <w:adjustRightInd/>
        <w:spacing w:line="240" w:lineRule="auto"/>
        <w:ind w:left="2098" w:leftChars="142" w:hanging="1800" w:hangingChars="500"/>
        <w:jc w:val="center"/>
        <w:rPr>
          <w:rFonts w:hint="eastAsia" w:ascii="黑体" w:hAnsi="黑体" w:eastAsia="黑体" w:cs="黑体"/>
          <w:sz w:val="36"/>
          <w:szCs w:val="36"/>
          <w:lang w:val="en-US"/>
        </w:rPr>
      </w:pPr>
      <w:r>
        <w:rPr>
          <w:rFonts w:hint="eastAsia" w:ascii="黑体" w:hAnsi="黑体" w:eastAsia="黑体" w:cs="黑体"/>
          <w:sz w:val="36"/>
          <w:szCs w:val="36"/>
          <w:lang w:val="en-US" w:eastAsia="zh-CN"/>
        </w:rPr>
        <w:t>烟感报警等采购项目（二次）</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评标报告</w:t>
      </w:r>
    </w:p>
    <w:p>
      <w:pPr>
        <w:pStyle w:val="5"/>
        <w:keepNext w:val="0"/>
        <w:keepLines w:val="0"/>
        <w:widowControl/>
        <w:suppressLineNumbers w:val="0"/>
        <w:shd w:val="clear" w:fill="FFFFFF"/>
        <w:snapToGrid w:val="0"/>
        <w:spacing w:before="452" w:beforeAutospacing="0" w:after="0" w:afterAutospacing="0" w:line="560" w:lineRule="atLeast"/>
        <w:ind w:left="0" w:right="0" w:firstLine="641"/>
        <w:jc w:val="left"/>
      </w:pPr>
      <w:r>
        <w:rPr>
          <w:rFonts w:ascii="黑体" w:hAnsi="宋体" w:eastAsia="黑体" w:cs="黑体"/>
          <w:color w:val="000000"/>
          <w:sz w:val="32"/>
          <w:szCs w:val="32"/>
          <w:u w:val="none"/>
          <w:shd w:val="clear" w:fill="FFFFFF"/>
        </w:rPr>
        <w:t>一、项目概况</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（一）项目名称：禹州市敬老院安装视频监控、智慧用电、呼叫系统、烟感报警等采购项目（二次）  </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采购编号：YZCG-G2019200-1</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招标公告发布日期：2019年10月10日</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（四）变更公告发布日期：-</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（五）开标日期：2019年11月4日10:00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（七）最高限价：109.9744万元</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（八）评标办法：综合评分法</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（九）资格审查方式：开标结束后，采购人依法对投标人资格进行审查。</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 (十) 招标公告刊登的媒体：中国政府采购网、河南省政府采购网、许昌市政府采购网、全国公共资源交易平台（河南省·许昌市）。</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pPr>
      <w:r>
        <w:rPr>
          <w:rFonts w:hint="eastAsia" w:ascii="黑体" w:hAnsi="宋体" w:eastAsia="黑体" w:cs="黑体"/>
          <w:color w:val="000000"/>
          <w:sz w:val="32"/>
          <w:szCs w:val="32"/>
          <w:u w:val="none"/>
          <w:shd w:val="clear" w:fill="FFFFFF"/>
          <w:lang w:val="en-US"/>
        </w:rPr>
        <w:t> </w:t>
      </w:r>
      <w:r>
        <w:rPr>
          <w:rFonts w:hint="eastAsia" w:ascii="黑体" w:hAnsi="宋体" w:eastAsia="黑体" w:cs="黑体"/>
          <w:color w:val="000000"/>
          <w:sz w:val="32"/>
          <w:szCs w:val="32"/>
          <w:u w:val="none"/>
          <w:shd w:val="clear" w:fill="FFFFFF"/>
        </w:rPr>
        <w:t>二、开标记录及投标报价</w:t>
      </w:r>
    </w:p>
    <w:tbl>
      <w:tblPr>
        <w:tblStyle w:val="6"/>
        <w:tblW w:w="8791"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848"/>
        <w:gridCol w:w="3867"/>
        <w:gridCol w:w="2133"/>
        <w:gridCol w:w="1943"/>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05"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交货期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sz w:val="24"/>
                <w:szCs w:val="21"/>
                <w:lang w:val="en-US" w:eastAsia="zh-CN"/>
              </w:rPr>
              <w:t>河南顺合电子工程有限公司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1094891.00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60天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2</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禹州世纪伟业科技有限公司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1082000.00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Theme="minorHAnsi" w:hAnsiTheme="minorHAnsi" w:eastAsiaTheme="minorEastAsia" w:cstheme="minorBidi"/>
                <w:kern w:val="0"/>
                <w:sz w:val="24"/>
                <w:szCs w:val="24"/>
                <w:lang w:val="en-US" w:eastAsia="zh-CN" w:bidi="ar"/>
              </w:rPr>
            </w:pPr>
            <w:r>
              <w:rPr>
                <w:rFonts w:hint="eastAsia" w:cstheme="minorBidi"/>
                <w:kern w:val="0"/>
                <w:sz w:val="24"/>
                <w:szCs w:val="24"/>
                <w:lang w:val="en-US" w:eastAsia="zh-CN" w:bidi="ar"/>
              </w:rPr>
              <w:t>60天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sz w:val="24"/>
                <w:szCs w:val="24"/>
                <w:lang w:val="en-US" w:eastAsia="zh-CN"/>
              </w:rPr>
              <w:t>禹州市天网安防科技有限公司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lang w:val="en-US" w:eastAsia="zh-CN"/>
              </w:rPr>
            </w:pPr>
            <w:r>
              <w:rPr>
                <w:rFonts w:hint="eastAsia" w:ascii="宋体" w:hAnsi="宋体" w:eastAsia="宋体" w:cs="宋体"/>
                <w:color w:val="000000"/>
                <w:kern w:val="0"/>
                <w:sz w:val="24"/>
                <w:szCs w:val="24"/>
                <w:lang w:val="en-US" w:eastAsia="zh-CN" w:bidi="ar"/>
              </w:rPr>
              <w:t>1056510.00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eastAsia" w:asciiTheme="minorHAnsi" w:hAnsiTheme="minorHAnsi" w:eastAsiaTheme="minorEastAsia" w:cstheme="minorBidi"/>
                <w:kern w:val="0"/>
                <w:sz w:val="24"/>
                <w:szCs w:val="24"/>
                <w:lang w:val="en-US" w:eastAsia="zh-CN" w:bidi="ar"/>
              </w:rPr>
            </w:pPr>
            <w:r>
              <w:rPr>
                <w:rFonts w:hint="eastAsia" w:ascii="宋体" w:hAnsi="宋体" w:eastAsia="宋体" w:cs="宋体"/>
                <w:color w:val="000000"/>
                <w:kern w:val="0"/>
                <w:sz w:val="24"/>
                <w:szCs w:val="24"/>
                <w:lang w:val="en-US" w:eastAsia="zh-CN" w:bidi="ar"/>
              </w:rPr>
              <w:t>60天</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90" w:hRule="atLeast"/>
          <w:tblCellSpacing w:w="0" w:type="dxa"/>
        </w:trPr>
        <w:tc>
          <w:tcPr>
            <w:tcW w:w="848"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5"/>
              <w:keepNext w:val="0"/>
              <w:keepLines w:val="0"/>
              <w:widowControl/>
              <w:suppressLineNumbers w:val="0"/>
              <w:spacing w:line="330" w:lineRule="atLeast"/>
              <w:jc w:val="center"/>
              <w:rPr>
                <w:rFonts w:hint="default"/>
                <w:lang w:val="en-US" w:eastAsia="zh-CN"/>
              </w:rPr>
            </w:pPr>
            <w:r>
              <w:rPr>
                <w:rFonts w:hint="eastAsia"/>
                <w:lang w:val="en-US" w:eastAsia="zh-CN"/>
              </w:rPr>
              <w:t>4</w:t>
            </w:r>
          </w:p>
        </w:tc>
        <w:tc>
          <w:tcPr>
            <w:tcW w:w="3867"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河南禹铨大数据研究院有限公司</w:t>
            </w:r>
          </w:p>
        </w:tc>
        <w:tc>
          <w:tcPr>
            <w:tcW w:w="213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1070000.00</w:t>
            </w:r>
          </w:p>
        </w:tc>
        <w:tc>
          <w:tcPr>
            <w:tcW w:w="1943"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60天</w:t>
            </w:r>
          </w:p>
        </w:tc>
      </w:tr>
    </w:tbl>
    <w:p>
      <w:pPr>
        <w:pStyle w:val="5"/>
        <w:keepNext w:val="0"/>
        <w:keepLines w:val="0"/>
        <w:pageBreakBefore w:val="0"/>
        <w:widowControl/>
        <w:numPr>
          <w:ilvl w:val="0"/>
          <w:numId w:val="2"/>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324" w:right="0" w:firstLine="301"/>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四家供应商均通过了资格审查。</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left="7" w:leftChars="0" w:right="0" w:rightChars="0" w:firstLine="617" w:firstLineChars="193"/>
        <w:jc w:val="left"/>
        <w:textAlignment w:val="auto"/>
        <w:rPr>
          <w:rFonts w:hint="default" w:ascii="仿宋" w:hAnsi="仿宋" w:eastAsia="仿宋" w:cs="仿宋"/>
          <w:b w:val="0"/>
          <w:i w:val="0"/>
          <w:color w:val="000000"/>
          <w:sz w:val="32"/>
          <w:szCs w:val="32"/>
          <w:u w:val="none"/>
          <w:shd w:val="clear" w:fill="FFFFFF"/>
          <w:lang w:val="en-US" w:eastAsia="zh-CN"/>
        </w:rPr>
      </w:pPr>
      <w:r>
        <w:rPr>
          <w:rFonts w:hint="eastAsia" w:ascii="仿宋" w:hAnsi="仿宋" w:eastAsia="仿宋" w:cs="仿宋"/>
          <w:b w:val="0"/>
          <w:i w:val="0"/>
          <w:color w:val="000000"/>
          <w:sz w:val="32"/>
          <w:szCs w:val="32"/>
          <w:u w:val="none"/>
          <w:shd w:val="clear" w:fill="FFFFFF"/>
          <w:lang w:val="en-US" w:eastAsia="zh-CN"/>
        </w:rPr>
        <w:t>四家不同供应商电子投标文件制作硬件特征码无异常。禹州市天网安防科技有限公司所投产品“主机备用锂电池”无厂家、品牌、型号且多款电流互感器型号雷同，根据招标文件第二章第五条规定，未通过符合性审查。其它三家供应商通过符合性审查。</w:t>
      </w:r>
    </w:p>
    <w:p>
      <w:pPr>
        <w:pStyle w:val="72"/>
      </w:pP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3"/>
      </w:pPr>
      <w:r>
        <w:t>窗体底端</w:t>
      </w:r>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lang w:eastAsia="zh-CN"/>
        </w:rPr>
        <w:t>（</w:t>
      </w:r>
      <w:r>
        <w:rPr>
          <w:rFonts w:hint="eastAsia" w:ascii="仿宋" w:hAnsi="仿宋" w:eastAsia="仿宋" w:cs="仿宋"/>
          <w:color w:val="000000"/>
          <w:sz w:val="32"/>
          <w:szCs w:val="32"/>
          <w:u w:val="none"/>
          <w:shd w:val="clear" w:fill="FFFFFF"/>
          <w:lang w:val="en-US" w:eastAsia="zh-CN"/>
        </w:rPr>
        <w:t>二）</w:t>
      </w:r>
      <w:r>
        <w:rPr>
          <w:rFonts w:hint="eastAsia" w:ascii="仿宋" w:hAnsi="仿宋" w:eastAsia="仿宋" w:cs="仿宋"/>
          <w:color w:val="000000"/>
          <w:sz w:val="32"/>
          <w:szCs w:val="32"/>
          <w:u w:val="none"/>
          <w:shd w:val="clear" w:fill="FFFFFF"/>
        </w:rPr>
        <w:t>综合比较与评价</w:t>
      </w:r>
      <w:r>
        <w:rPr>
          <w:rFonts w:hint="eastAsia" w:ascii="仿宋" w:hAnsi="仿宋" w:eastAsia="仿宋" w:cs="仿宋"/>
          <w:color w:val="000000"/>
          <w:sz w:val="32"/>
          <w:szCs w:val="32"/>
          <w:u w:val="none"/>
          <w:shd w:val="clear" w:fill="FFFFFF"/>
          <w:lang w:val="en-US"/>
        </w:rPr>
        <w:t> </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经过评审委员会对报价、商务部分和技术部分的综合评比，各投标人得分情况如下：</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400" w:lineRule="exact"/>
        <w:ind w:right="0" w:rightChars="0" w:firstLine="640" w:firstLineChars="200"/>
        <w:jc w:val="left"/>
        <w:textAlignment w:val="auto"/>
        <w:rPr>
          <w:rFonts w:hint="eastAsia" w:ascii="仿宋" w:hAnsi="仿宋" w:eastAsia="仿宋" w:cs="仿宋"/>
          <w:b w:val="0"/>
          <w:i w:val="0"/>
          <w:color w:val="auto"/>
          <w:sz w:val="32"/>
          <w:szCs w:val="32"/>
          <w:u w:val="none"/>
          <w:shd w:val="clear" w:fill="FFFFFF"/>
          <w:lang w:val="en-US" w:eastAsia="zh-CN"/>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widowControl/>
              <w:suppressLineNumbers w:val="0"/>
              <w:spacing w:line="330" w:lineRule="atLeast"/>
              <w:ind w:left="0" w:leftChars="0" w:right="0" w:rightChars="0"/>
              <w:jc w:val="center"/>
              <w:rPr>
                <w:rFonts w:hint="eastAsia" w:ascii="宋体" w:hAnsi="宋体" w:eastAsia="宋体" w:cs="宋体"/>
                <w:b w:val="0"/>
                <w:bCs w:val="0"/>
                <w:sz w:val="24"/>
                <w:szCs w:val="24"/>
                <w:lang w:val="en-US" w:eastAsia="zh-CN"/>
              </w:rPr>
            </w:pPr>
            <w:r>
              <w:rPr>
                <w:rFonts w:hint="eastAsia" w:ascii="宋体" w:hAnsi="宋体" w:eastAsia="宋体"/>
                <w:sz w:val="24"/>
                <w:szCs w:val="21"/>
                <w:lang w:val="en-US" w:eastAsia="zh-CN"/>
              </w:rPr>
              <w:t>河南顺合电子工程有限公司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36分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100分</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48.86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64.86</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48.86</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65.86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48.86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62.86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48.86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14</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62.86</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48.86</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15</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63.86</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default"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64.06</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widowControl/>
              <w:suppressLineNumbers w:val="0"/>
              <w:spacing w:line="330" w:lineRule="atLeast"/>
              <w:ind w:left="0" w:leftChars="0" w:right="0" w:rightChars="0"/>
              <w:jc w:val="center"/>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禹州世纪伟业科技有限公司</w:t>
            </w:r>
          </w:p>
        </w:tc>
      </w:tr>
      <w:tr>
        <w:tblPrEx>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14分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36分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49.45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color w:val="auto"/>
                <w:lang w:val="en-US" w:eastAsia="zh-CN"/>
              </w:rPr>
            </w:pPr>
            <w:r>
              <w:rPr>
                <w:rFonts w:hint="eastAsia"/>
                <w:b w:val="0"/>
                <w:i w:val="0"/>
                <w:color w:val="auto"/>
                <w:lang w:val="en-US" w:eastAsia="zh-CN"/>
              </w:rPr>
              <w:t>68.45</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49.45</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66.45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66.45</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66.45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49.45</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0</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19</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68.45</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67.25</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napToGrid w:val="0"/>
        <w:spacing w:before="227" w:beforeAutospacing="0" w:after="0" w:afterAutospacing="0" w:line="360" w:lineRule="auto"/>
        <w:ind w:left="0" w:right="0" w:firstLine="641"/>
        <w:jc w:val="left"/>
        <w:rPr>
          <w:rFonts w:hint="eastAsia" w:ascii="宋体" w:hAnsi="宋体" w:eastAsia="宋体" w:cs="宋体"/>
          <w:b w:val="0"/>
          <w:i w:val="0"/>
          <w:color w:val="000000"/>
          <w:kern w:val="0"/>
          <w:sz w:val="24"/>
          <w:szCs w:val="24"/>
          <w:u w:val="none"/>
          <w:shd w:val="clear" w:fill="FFFFFF"/>
          <w:lang w:val="en-US" w:eastAsia="zh-CN" w:bidi="ar"/>
        </w:rPr>
      </w:pPr>
    </w:p>
    <w:tbl>
      <w:tblPr>
        <w:tblStyle w:val="6"/>
        <w:tblW w:w="8326" w:type="dxa"/>
        <w:tblInd w:w="-40" w:type="dxa"/>
        <w:shd w:val="clear" w:color="auto" w:fill="auto"/>
        <w:tblLayout w:type="fixed"/>
        <w:tblCellMar>
          <w:top w:w="0" w:type="dxa"/>
          <w:left w:w="0" w:type="dxa"/>
          <w:bottom w:w="0" w:type="dxa"/>
          <w:right w:w="0" w:type="dxa"/>
        </w:tblCellMar>
      </w:tblPr>
      <w:tblGrid>
        <w:gridCol w:w="841"/>
        <w:gridCol w:w="1620"/>
        <w:gridCol w:w="1725"/>
        <w:gridCol w:w="1800"/>
        <w:gridCol w:w="2340"/>
      </w:tblGrid>
      <w:tr>
        <w:tblPrEx>
          <w:tblLayout w:type="fixed"/>
          <w:tblCellMar>
            <w:top w:w="0" w:type="dxa"/>
            <w:left w:w="0" w:type="dxa"/>
            <w:bottom w:w="0" w:type="dxa"/>
            <w:right w:w="0" w:type="dxa"/>
          </w:tblCellMar>
        </w:tblPrEx>
        <w:trPr>
          <w:trHeight w:val="690" w:hRule="atLeast"/>
        </w:trPr>
        <w:tc>
          <w:tcPr>
            <w:tcW w:w="8326"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sz w:val="24"/>
                <w:szCs w:val="24"/>
                <w:lang w:val="en-US" w:eastAsia="zh-CN"/>
              </w:rPr>
            </w:pPr>
            <w:r>
              <w:rPr>
                <w:rFonts w:hint="eastAsia" w:ascii="宋体" w:hAnsi="宋体" w:eastAsia="宋体" w:cs="宋体"/>
                <w:sz w:val="24"/>
                <w:szCs w:val="24"/>
                <w:lang w:val="en-US" w:eastAsia="zh-CN"/>
              </w:rPr>
              <w:t>河南禹铨大数据研究院有限公司</w:t>
            </w:r>
          </w:p>
        </w:tc>
      </w:tr>
      <w:tr>
        <w:tblPrEx>
          <w:shd w:val="clear" w:color="auto" w:fill="auto"/>
          <w:tblLayout w:type="fixed"/>
          <w:tblCellMar>
            <w:top w:w="0" w:type="dxa"/>
            <w:left w:w="0" w:type="dxa"/>
            <w:bottom w:w="0" w:type="dxa"/>
            <w:right w:w="0" w:type="dxa"/>
          </w:tblCellMar>
        </w:tblPrEx>
        <w:trPr>
          <w:trHeight w:val="1740" w:hRule="atLeast"/>
        </w:trPr>
        <w:tc>
          <w:tcPr>
            <w:tcW w:w="841" w:type="dxa"/>
            <w:tcBorders>
              <w:top w:val="single" w:color="000000" w:sz="8" w:space="0"/>
              <w:left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评审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因素</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报价</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50分</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商务部分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14分</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技术部分</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36分</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right="0"/>
              <w:jc w:val="center"/>
              <w:rPr>
                <w:rFonts w:hint="eastAsia" w:ascii="宋体" w:hAnsi="宋体" w:eastAsia="宋体" w:cs="宋体"/>
                <w:b w:val="0"/>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合  计</w:t>
            </w:r>
          </w:p>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100分</w:t>
            </w:r>
          </w:p>
        </w:tc>
      </w:tr>
      <w:tr>
        <w:tblPrEx>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评委1</w:t>
            </w:r>
          </w:p>
        </w:tc>
        <w:tc>
          <w:tcPr>
            <w:tcW w:w="1620" w:type="dxa"/>
            <w:tcBorders>
              <w:top w:val="single" w:color="000000" w:sz="8" w:space="0"/>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88</w:t>
            </w:r>
          </w:p>
        </w:tc>
      </w:tr>
      <w:tr>
        <w:tblPrEx>
          <w:shd w:val="clear" w:color="auto" w:fill="auto"/>
          <w:tblLayout w:type="fixed"/>
          <w:tblCellMar>
            <w:top w:w="0" w:type="dxa"/>
            <w:left w:w="0" w:type="dxa"/>
            <w:bottom w:w="0" w:type="dxa"/>
            <w:right w:w="0" w:type="dxa"/>
          </w:tblCellMar>
        </w:tblPrEx>
        <w:trPr>
          <w:trHeight w:val="510" w:hRule="atLeast"/>
        </w:trPr>
        <w:tc>
          <w:tcPr>
            <w:tcW w:w="841"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评委2</w:t>
            </w:r>
          </w:p>
        </w:tc>
        <w:tc>
          <w:tcPr>
            <w:tcW w:w="1620" w:type="dxa"/>
            <w:tcBorders>
              <w:top w:val="nil"/>
              <w:left w:val="single" w:color="000000" w:sz="8" w:space="0"/>
              <w:bottom w:val="single" w:color="000000" w:sz="8" w:space="0"/>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nil"/>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26</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88</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评委3</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28</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90</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评委4</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rPr>
            </w:pPr>
            <w:r>
              <w:rPr>
                <w:rFonts w:hint="eastAsia" w:ascii="宋体" w:hAnsi="宋体" w:eastAsia="宋体" w:cs="宋体"/>
                <w:b w:val="0"/>
                <w:i w:val="0"/>
                <w:color w:val="000000"/>
                <w:kern w:val="0"/>
                <w:sz w:val="24"/>
                <w:szCs w:val="24"/>
                <w:u w:val="none"/>
                <w:lang w:val="en-US" w:eastAsia="zh-CN" w:bidi="ar"/>
              </w:rPr>
              <w:t>评委5</w:t>
            </w:r>
          </w:p>
        </w:tc>
        <w:tc>
          <w:tcPr>
            <w:tcW w:w="16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b w:val="0"/>
                <w:i w:val="0"/>
                <w:color w:val="auto"/>
              </w:rPr>
            </w:pPr>
            <w:r>
              <w:rPr>
                <w:rFonts w:hint="eastAsia"/>
                <w:b w:val="0"/>
                <w:i w:val="0"/>
                <w:color w:val="auto"/>
                <w:lang w:val="en-US" w:eastAsia="zh-CN"/>
              </w:rPr>
              <w:t>50</w:t>
            </w:r>
          </w:p>
        </w:tc>
        <w:tc>
          <w:tcPr>
            <w:tcW w:w="1725"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12</w:t>
            </w:r>
          </w:p>
        </w:tc>
        <w:tc>
          <w:tcPr>
            <w:tcW w:w="180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27</w:t>
            </w:r>
          </w:p>
        </w:tc>
        <w:tc>
          <w:tcPr>
            <w:tcW w:w="2340"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eastAsiaTheme="minorEastAsia"/>
                <w:b w:val="0"/>
                <w:i w:val="0"/>
                <w:color w:val="auto"/>
                <w:lang w:val="en-US" w:eastAsia="zh-CN"/>
              </w:rPr>
            </w:pPr>
            <w:r>
              <w:rPr>
                <w:rFonts w:hint="eastAsia"/>
                <w:b w:val="0"/>
                <w:i w:val="0"/>
                <w:color w:val="auto"/>
                <w:lang w:val="en-US" w:eastAsia="zh-CN"/>
              </w:rPr>
              <w:t>89</w:t>
            </w:r>
          </w:p>
        </w:tc>
      </w:tr>
      <w:tr>
        <w:tblPrEx>
          <w:tblLayout w:type="fixed"/>
          <w:tblCellMar>
            <w:top w:w="0" w:type="dxa"/>
            <w:left w:w="0" w:type="dxa"/>
            <w:bottom w:w="0" w:type="dxa"/>
            <w:right w:w="0" w:type="dxa"/>
          </w:tblCellMar>
        </w:tblPrEx>
        <w:trPr>
          <w:trHeight w:val="510" w:hRule="atLeast"/>
        </w:trPr>
        <w:tc>
          <w:tcPr>
            <w:tcW w:w="841" w:type="dxa"/>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eastAsia" w:ascii="仿宋" w:hAnsi="仿宋" w:eastAsia="仿宋" w:cs="仿宋"/>
                <w:b/>
                <w:i w:val="0"/>
                <w:color w:val="000000"/>
                <w:kern w:val="0"/>
                <w:sz w:val="24"/>
                <w:szCs w:val="24"/>
                <w:u w:val="none"/>
                <w:lang w:val="en-US" w:eastAsia="zh-CN" w:bidi="ar"/>
              </w:rPr>
            </w:pPr>
            <w:r>
              <w:rPr>
                <w:rFonts w:hint="eastAsia" w:ascii="宋体" w:hAnsi="宋体" w:eastAsia="宋体" w:cs="宋体"/>
                <w:b w:val="0"/>
                <w:i w:val="0"/>
                <w:color w:val="000000"/>
                <w:kern w:val="0"/>
                <w:sz w:val="24"/>
                <w:szCs w:val="24"/>
                <w:u w:val="none"/>
                <w:lang w:val="en-US" w:eastAsia="zh-CN" w:bidi="ar"/>
              </w:rPr>
              <w:t>平均分</w:t>
            </w:r>
          </w:p>
        </w:tc>
        <w:tc>
          <w:tcPr>
            <w:tcW w:w="7485" w:type="dxa"/>
            <w:gridSpan w:val="4"/>
            <w:tcBorders>
              <w:top w:val="single" w:color="000000" w:sz="8" w:space="0"/>
              <w:left w:val="single" w:color="000000" w:sz="8" w:space="0"/>
              <w:bottom w:val="single" w:color="000000" w:sz="8" w:space="0"/>
              <w:right w:val="single" w:color="000000"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napToGrid w:val="0"/>
              <w:spacing w:before="0" w:beforeAutospacing="0" w:after="0" w:afterAutospacing="0"/>
              <w:ind w:left="0" w:leftChars="0" w:right="0" w:rightChars="0"/>
              <w:jc w:val="center"/>
              <w:rPr>
                <w:rFonts w:hint="default"/>
                <w:b w:val="0"/>
                <w:i w:val="0"/>
                <w:lang w:val="en-US" w:eastAsia="zh-CN"/>
              </w:rPr>
            </w:pPr>
            <w:r>
              <w:rPr>
                <w:rFonts w:hint="eastAsia"/>
                <w:b w:val="0"/>
                <w:i w:val="0"/>
                <w:lang w:val="en-US" w:eastAsia="zh-CN"/>
              </w:rPr>
              <w:t>88.8</w:t>
            </w:r>
          </w:p>
        </w:tc>
      </w:tr>
    </w:tbl>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227" w:beforeAutospacing="0" w:after="0" w:afterAutospacing="0" w:line="240" w:lineRule="auto"/>
        <w:ind w:right="0"/>
        <w:jc w:val="left"/>
        <w:textAlignment w:val="auto"/>
        <w:rPr>
          <w:rFonts w:hint="default" w:eastAsia="仿宋"/>
          <w:b w:val="0"/>
          <w:i w:val="0"/>
          <w:color w:val="auto"/>
          <w:lang w:val="en-US" w:eastAsia="zh-CN"/>
        </w:rPr>
      </w:pPr>
      <w:r>
        <w:rPr>
          <w:rFonts w:hint="eastAsia" w:ascii="仿宋" w:hAnsi="仿宋" w:eastAsia="仿宋" w:cs="仿宋"/>
          <w:b w:val="0"/>
          <w:i w:val="0"/>
          <w:color w:val="auto"/>
          <w:sz w:val="32"/>
          <w:szCs w:val="32"/>
          <w:u w:val="none"/>
          <w:shd w:val="clear" w:fill="FFFFFF"/>
          <w:lang w:val="en-US" w:eastAsia="zh-CN"/>
        </w:rPr>
        <w:t>（三）最终得分如下：</w:t>
      </w:r>
    </w:p>
    <w:tbl>
      <w:tblPr>
        <w:tblStyle w:val="6"/>
        <w:tblpPr w:leftFromText="180" w:rightFromText="180" w:vertAnchor="text" w:horzAnchor="page" w:tblpXSpec="center" w:tblpY="113"/>
        <w:tblOverlap w:val="never"/>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5"/>
        <w:gridCol w:w="4416"/>
        <w:gridCol w:w="1624"/>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8" w:hRule="atLeast"/>
          <w:jc w:val="center"/>
        </w:trPr>
        <w:tc>
          <w:tcPr>
            <w:tcW w:w="144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4416" w:type="dxa"/>
            <w:noWrap w:val="0"/>
            <w:vAlign w:val="top"/>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1624"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最终得分</w:t>
            </w:r>
          </w:p>
        </w:tc>
        <w:tc>
          <w:tcPr>
            <w:tcW w:w="1035" w:type="dxa"/>
            <w:noWrap w:val="0"/>
            <w:vAlign w:val="top"/>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1445"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cs="仿宋"/>
                <w:color w:val="000000"/>
                <w:sz w:val="28"/>
                <w:szCs w:val="28"/>
                <w:u w:val="none"/>
                <w:shd w:val="clear" w:fill="FFFFFF"/>
                <w:lang w:val="en-US" w:eastAsia="zh-CN"/>
              </w:rPr>
              <w:t>河南禹铨大数据研究院有限公司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88.8</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1445"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left"/>
              <w:rPr>
                <w:rFonts w:hint="default" w:ascii="仿宋" w:hAnsi="仿宋" w:eastAsia="仿宋"/>
                <w:sz w:val="24"/>
                <w:szCs w:val="24"/>
                <w:lang w:val="en-US" w:eastAsia="zh-CN"/>
              </w:rPr>
            </w:pPr>
            <w:r>
              <w:rPr>
                <w:rFonts w:hint="eastAsia" w:ascii="仿宋" w:hAnsi="仿宋" w:eastAsia="仿宋" w:cs="仿宋"/>
                <w:color w:val="000000"/>
                <w:sz w:val="28"/>
                <w:szCs w:val="28"/>
                <w:u w:val="none"/>
                <w:shd w:val="clear" w:fill="FFFFFF"/>
                <w:lang w:val="en-US" w:eastAsia="zh-CN"/>
              </w:rPr>
              <w:t>禹州世纪伟业科技有限公司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67.25</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1445" w:type="dxa"/>
            <w:noWrap w:val="0"/>
            <w:vAlign w:val="center"/>
          </w:tcPr>
          <w:p>
            <w:pPr>
              <w:pStyle w:val="5"/>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left"/>
              <w:rPr>
                <w:rFonts w:hint="eastAsia" w:ascii="仿宋" w:hAnsi="仿宋" w:eastAsia="仿宋"/>
                <w:sz w:val="24"/>
                <w:szCs w:val="24"/>
                <w:lang w:val="en-US" w:eastAsia="zh-CN"/>
              </w:rPr>
            </w:pPr>
            <w:r>
              <w:rPr>
                <w:rFonts w:hint="eastAsia" w:ascii="仿宋" w:hAnsi="仿宋" w:eastAsia="仿宋" w:cs="仿宋"/>
                <w:color w:val="000000"/>
                <w:sz w:val="28"/>
                <w:szCs w:val="28"/>
                <w:u w:val="none"/>
                <w:shd w:val="clear" w:fill="FFFFFF"/>
                <w:lang w:val="en-US" w:eastAsia="zh-CN"/>
              </w:rPr>
              <w:t>河南顺合电子工程有限公司</w:t>
            </w:r>
          </w:p>
        </w:tc>
        <w:tc>
          <w:tcPr>
            <w:tcW w:w="1624" w:type="dxa"/>
            <w:noWrap w:val="0"/>
            <w:vAlign w:val="center"/>
          </w:tcPr>
          <w:p>
            <w:pPr>
              <w:spacing w:line="440" w:lineRule="exact"/>
              <w:jc w:val="center"/>
              <w:rPr>
                <w:rFonts w:hint="default" w:ascii="仿宋" w:hAnsi="仿宋" w:eastAsia="仿宋"/>
                <w:sz w:val="24"/>
                <w:szCs w:val="24"/>
                <w:lang w:val="en-US" w:eastAsia="zh-CN"/>
              </w:rPr>
            </w:pPr>
            <w:r>
              <w:rPr>
                <w:rFonts w:hint="eastAsia" w:ascii="仿宋" w:hAnsi="仿宋" w:eastAsia="仿宋"/>
                <w:sz w:val="24"/>
                <w:szCs w:val="24"/>
                <w:lang w:val="en-US" w:eastAsia="zh-CN"/>
              </w:rPr>
              <w:t>64.06</w:t>
            </w:r>
          </w:p>
        </w:tc>
        <w:tc>
          <w:tcPr>
            <w:tcW w:w="1035" w:type="dxa"/>
            <w:noWrap w:val="0"/>
            <w:vAlign w:val="center"/>
          </w:tcPr>
          <w:p>
            <w:pPr>
              <w:spacing w:line="440" w:lineRule="exact"/>
              <w:jc w:val="center"/>
              <w:rPr>
                <w:rFonts w:hint="eastAsia" w:ascii="仿宋" w:hAnsi="仿宋" w:eastAsia="仿宋"/>
                <w:sz w:val="30"/>
                <w:szCs w:val="30"/>
                <w:lang w:val="en-US" w:eastAsia="zh-CN"/>
              </w:rPr>
            </w:pPr>
            <w:r>
              <w:rPr>
                <w:rFonts w:hint="eastAsia" w:ascii="仿宋" w:hAnsi="仿宋" w:eastAsia="仿宋"/>
                <w:sz w:val="30"/>
                <w:szCs w:val="30"/>
                <w:lang w:val="en-US" w:eastAsia="zh-CN"/>
              </w:rPr>
              <w:t>3</w:t>
            </w:r>
          </w:p>
        </w:tc>
      </w:tr>
    </w:tbl>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pPr>
      <w:r>
        <w:rPr>
          <w:rFonts w:hint="eastAsia" w:ascii="黑体" w:hAnsi="宋体" w:eastAsia="黑体" w:cs="黑体"/>
          <w:color w:val="000000"/>
          <w:sz w:val="32"/>
          <w:szCs w:val="32"/>
          <w:u w:val="none"/>
          <w:shd w:val="clear" w:fill="FFFFFF"/>
          <w:lang w:val="en-US" w:eastAsia="zh-CN"/>
        </w:rPr>
        <w:t xml:space="preserve"> </w:t>
      </w:r>
      <w:r>
        <w:rPr>
          <w:rFonts w:hint="eastAsia" w:ascii="黑体" w:hAnsi="宋体" w:eastAsia="黑体" w:cs="黑体"/>
          <w:color w:val="000000"/>
          <w:sz w:val="32"/>
          <w:szCs w:val="32"/>
          <w:u w:val="none"/>
          <w:shd w:val="clear" w:fill="FFFFFF"/>
        </w:rPr>
        <w:t>五、评标委员会推荐中标候选人（或采购人授权确定中标人）情况</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第一中标候选人：</w:t>
      </w:r>
      <w:r>
        <w:rPr>
          <w:rFonts w:hint="eastAsia" w:ascii="仿宋" w:hAnsi="仿宋" w:eastAsia="仿宋" w:cs="仿宋"/>
          <w:color w:val="000000"/>
          <w:sz w:val="28"/>
          <w:szCs w:val="28"/>
          <w:u w:val="none"/>
          <w:shd w:val="clear" w:fill="FFFFFF"/>
          <w:lang w:val="en-US" w:eastAsia="zh-CN"/>
        </w:rPr>
        <w:t>河南禹铨大数据研究院有限公司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地址：：禹州市颍川办府东路（人防大楼 3 楼） </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电话：：0374-8674886   邮政编号：461670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中标金额：1070000.00元（壹佰零柒万元整）</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第二中标候选人：</w:t>
      </w:r>
      <w:r>
        <w:rPr>
          <w:rFonts w:hint="eastAsia" w:ascii="仿宋" w:hAnsi="仿宋" w:eastAsia="仿宋" w:cs="仿宋"/>
          <w:color w:val="000000"/>
          <w:sz w:val="28"/>
          <w:szCs w:val="28"/>
          <w:u w:val="none"/>
          <w:shd w:val="clear" w:fill="FFFFFF"/>
          <w:lang w:val="en-US" w:eastAsia="zh-CN"/>
        </w:rPr>
        <w:t>禹州世纪伟业科技有限公司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地址：禹州市颍川办药城路东侧（东商贸南零</w:t>
      </w:r>
      <w:r>
        <w:rPr>
          <w:rFonts w:hint="default" w:ascii="仿宋" w:hAnsi="仿宋" w:eastAsia="仿宋" w:cs="仿宋"/>
          <w:color w:val="000000"/>
          <w:sz w:val="28"/>
          <w:szCs w:val="28"/>
          <w:u w:val="none"/>
          <w:shd w:val="clear" w:fill="FFFFFF"/>
          <w:lang w:val="en-US" w:eastAsia="zh-CN"/>
        </w:rPr>
        <w:t xml:space="preserve">3 </w:t>
      </w:r>
      <w:r>
        <w:rPr>
          <w:rFonts w:hint="eastAsia" w:ascii="仿宋" w:hAnsi="仿宋" w:eastAsia="仿宋" w:cs="仿宋"/>
          <w:color w:val="000000"/>
          <w:sz w:val="28"/>
          <w:szCs w:val="28"/>
          <w:u w:val="none"/>
          <w:shd w:val="clear" w:fill="FFFFFF"/>
          <w:lang w:val="en-US" w:eastAsia="zh-CN"/>
        </w:rPr>
        <w:t>号）</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电话：电 话：</w:t>
      </w:r>
      <w:r>
        <w:rPr>
          <w:rFonts w:hint="default" w:ascii="仿宋" w:hAnsi="仿宋" w:eastAsia="仿宋" w:cs="仿宋"/>
          <w:color w:val="000000"/>
          <w:sz w:val="28"/>
          <w:szCs w:val="28"/>
          <w:u w:val="none"/>
          <w:shd w:val="clear" w:fill="FFFFFF"/>
          <w:lang w:val="en-US" w:eastAsia="zh-CN"/>
        </w:rPr>
        <w:t>15937442233</w:t>
      </w:r>
      <w:r>
        <w:rPr>
          <w:rFonts w:hint="eastAsia" w:ascii="仿宋" w:hAnsi="仿宋" w:eastAsia="仿宋" w:cs="仿宋"/>
          <w:color w:val="000000"/>
          <w:sz w:val="28"/>
          <w:szCs w:val="28"/>
          <w:u w:val="none"/>
          <w:shd w:val="clear" w:fill="FFFFFF"/>
          <w:lang w:val="en-US" w:eastAsia="zh-CN"/>
        </w:rPr>
        <w:t xml:space="preserve">    邮政编号：461670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中标金额：1082000.00元（壹佰零捌万贰仟元整）</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第三中标候选人：</w:t>
      </w:r>
      <w:r>
        <w:rPr>
          <w:rFonts w:hint="eastAsia" w:ascii="仿宋" w:hAnsi="仿宋" w:eastAsia="仿宋" w:cs="仿宋"/>
          <w:color w:val="000000"/>
          <w:sz w:val="28"/>
          <w:szCs w:val="28"/>
          <w:u w:val="none"/>
          <w:shd w:val="clear" w:fill="FFFFFF"/>
          <w:lang w:val="en-US" w:eastAsia="zh-CN"/>
        </w:rPr>
        <w:t>河南顺合电子工程有限公司</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 xml:space="preserve">地址：郑州市金水区东风路 82 号院 20 号楼 15 层 1503 号 </w:t>
      </w:r>
    </w:p>
    <w:p>
      <w:pPr>
        <w:keepNext w:val="0"/>
        <w:keepLines w:val="0"/>
        <w:widowControl/>
        <w:suppressLineNumbers w:val="0"/>
        <w:jc w:val="left"/>
        <w:rPr>
          <w:rFonts w:hint="default"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电话：：0371-55319595    邮政编号：450000</w:t>
      </w:r>
    </w:p>
    <w:p>
      <w:pPr>
        <w:keepNext w:val="0"/>
        <w:keepLines w:val="0"/>
        <w:widowControl/>
        <w:suppressLineNumbers w:val="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中标金额：1094891.00元（壹佰零玖万肆仟捌佰玖拾壹元整）</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sz w:val="30"/>
          <w:szCs w:val="30"/>
        </w:rPr>
      </w:pPr>
      <w:r>
        <w:rPr>
          <w:rFonts w:hint="eastAsia" w:ascii="黑体" w:hAnsi="宋体" w:eastAsia="黑体" w:cs="黑体"/>
          <w:color w:val="000000"/>
          <w:sz w:val="30"/>
          <w:szCs w:val="30"/>
          <w:u w:val="none"/>
          <w:shd w:val="clear" w:fill="FFFFFF"/>
          <w:lang w:val="en-US" w:eastAsia="zh-CN"/>
        </w:rPr>
        <w:t>六、投标人根据评标</w:t>
      </w:r>
      <w:r>
        <w:rPr>
          <w:rFonts w:hint="eastAsia" w:ascii="黑体" w:hAnsi="宋体" w:eastAsia="黑体" w:cs="黑体"/>
          <w:color w:val="000000"/>
          <w:sz w:val="30"/>
          <w:szCs w:val="30"/>
          <w:u w:val="none"/>
          <w:shd w:val="clear" w:fill="FFFFFF"/>
        </w:rPr>
        <w:t>委员会要求进行的澄清、说明或者补正：</w:t>
      </w:r>
      <w:r>
        <w:rPr>
          <w:rFonts w:hint="eastAsia" w:ascii="仿宋" w:hAnsi="仿宋" w:eastAsia="仿宋" w:cs="仿宋"/>
          <w:color w:val="000000"/>
          <w:kern w:val="2"/>
          <w:sz w:val="28"/>
          <w:szCs w:val="28"/>
          <w:u w:val="none"/>
          <w:shd w:val="clear" w:fill="FFFFFF"/>
          <w:lang w:val="en-US" w:eastAsia="zh-CN" w:bidi="ar-SA"/>
        </w:rPr>
        <w:t>无。</w:t>
      </w:r>
      <w:bookmarkStart w:id="0" w:name="_GoBack"/>
      <w:bookmarkEnd w:id="0"/>
    </w:p>
    <w:p>
      <w:pPr>
        <w:pStyle w:val="5"/>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jc w:val="left"/>
        <w:textAlignment w:val="auto"/>
        <w:rPr>
          <w:rFonts w:hint="eastAsia" w:ascii="黑体" w:hAnsi="宋体" w:eastAsia="黑体" w:cs="黑体"/>
          <w:color w:val="000000"/>
          <w:sz w:val="30"/>
          <w:szCs w:val="30"/>
          <w:u w:val="none"/>
          <w:shd w:val="clear" w:fill="FFFFFF"/>
        </w:rPr>
      </w:pPr>
      <w:r>
        <w:rPr>
          <w:rFonts w:hint="eastAsia" w:ascii="微软雅黑" w:hAnsi="微软雅黑" w:eastAsia="微软雅黑" w:cs="微软雅黑"/>
          <w:color w:val="333333"/>
          <w:sz w:val="30"/>
          <w:szCs w:val="30"/>
          <w:u w:val="none"/>
          <w:shd w:val="clear" w:fill="FFFFFF"/>
          <w:lang w:val="en-US"/>
        </w:rPr>
        <w:t xml:space="preserve">       </w:t>
      </w:r>
      <w:r>
        <w:rPr>
          <w:rFonts w:hint="eastAsia" w:ascii="黑体" w:hAnsi="宋体" w:eastAsia="黑体" w:cs="黑体"/>
          <w:color w:val="000000"/>
          <w:sz w:val="30"/>
          <w:szCs w:val="30"/>
          <w:u w:val="none"/>
          <w:shd w:val="clear" w:fill="FFFFFF"/>
        </w:rPr>
        <w:t>七、是否存在评标委员会成员更换：</w:t>
      </w:r>
    </w:p>
    <w:p>
      <w:pPr>
        <w:pStyle w:val="5"/>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0" w:firstLineChars="0"/>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无。</w:t>
      </w:r>
    </w:p>
    <w:p>
      <w:pPr>
        <w:pStyle w:val="5"/>
        <w:keepNext w:val="0"/>
        <w:keepLines w:val="0"/>
        <w:pageBreakBefore w:val="0"/>
        <w:widowControl/>
        <w:numPr>
          <w:ilvl w:val="0"/>
          <w:numId w:val="3"/>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评标委员会</w:t>
      </w:r>
      <w:r>
        <w:rPr>
          <w:rFonts w:hint="eastAsia" w:ascii="黑体" w:hAnsi="宋体" w:eastAsia="黑体" w:cs="黑体"/>
          <w:color w:val="000000"/>
          <w:sz w:val="30"/>
          <w:szCs w:val="30"/>
          <w:u w:val="none"/>
          <w:shd w:val="clear" w:fill="FFFFFF"/>
          <w:lang w:val="en-US" w:eastAsia="zh-CN"/>
        </w:rPr>
        <w:t>主任：康国玺</w:t>
      </w:r>
    </w:p>
    <w:p>
      <w:pPr>
        <w:pStyle w:val="5"/>
        <w:keepNext w:val="0"/>
        <w:keepLines w:val="0"/>
        <w:pageBreakBefore w:val="0"/>
        <w:widowControl/>
        <w:numPr>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40" w:leftChars="0" w:right="0" w:rightChars="0"/>
        <w:jc w:val="left"/>
        <w:textAlignment w:val="auto"/>
        <w:rPr>
          <w:rFonts w:hint="eastAsia" w:ascii="黑体" w:hAnsi="宋体" w:eastAsia="黑体" w:cs="黑体"/>
          <w:color w:val="000000"/>
          <w:sz w:val="30"/>
          <w:szCs w:val="30"/>
          <w:u w:val="none"/>
          <w:shd w:val="clear" w:fill="FFFFFF"/>
          <w:lang w:val="en-US" w:eastAsia="zh-CN"/>
        </w:rPr>
      </w:pPr>
      <w:r>
        <w:rPr>
          <w:rFonts w:hint="eastAsia" w:ascii="黑体" w:hAnsi="宋体" w:eastAsia="黑体" w:cs="黑体"/>
          <w:color w:val="000000"/>
          <w:sz w:val="30"/>
          <w:szCs w:val="30"/>
          <w:u w:val="none"/>
          <w:shd w:val="clear" w:fill="FFFFFF"/>
        </w:rPr>
        <w:t>评标委员会成员名单</w:t>
      </w:r>
      <w:r>
        <w:rPr>
          <w:rFonts w:hint="eastAsia" w:ascii="仿宋" w:hAnsi="仿宋" w:eastAsia="仿宋" w:cs="仿宋"/>
          <w:color w:val="000000"/>
          <w:sz w:val="30"/>
          <w:szCs w:val="30"/>
          <w:u w:val="none"/>
          <w:shd w:val="clear" w:fill="FFFFFF"/>
        </w:rPr>
        <w:t>：</w:t>
      </w:r>
      <w:r>
        <w:rPr>
          <w:rFonts w:hint="eastAsia" w:ascii="黑体" w:hAnsi="宋体" w:eastAsia="黑体" w:cs="黑体"/>
          <w:color w:val="000000"/>
          <w:sz w:val="30"/>
          <w:szCs w:val="30"/>
          <w:u w:val="none"/>
          <w:shd w:val="clear" w:fill="FFFFFF"/>
          <w:lang w:val="en-US" w:eastAsia="zh-CN"/>
        </w:rPr>
        <w:t xml:space="preserve">李国举、康国玺、李智慧、李红雨、王建平   </w:t>
      </w:r>
    </w:p>
    <w:p>
      <w:pPr>
        <w:keepNext w:val="0"/>
        <w:keepLines w:val="0"/>
        <w:widowControl/>
        <w:suppressLineNumbers w:val="0"/>
        <w:ind w:firstLine="5880" w:firstLineChars="2100"/>
        <w:jc w:val="left"/>
        <w:rPr>
          <w:rFonts w:hint="eastAsia" w:ascii="仿宋" w:hAnsi="仿宋" w:eastAsia="仿宋" w:cs="仿宋"/>
          <w:color w:val="000000"/>
          <w:sz w:val="28"/>
          <w:szCs w:val="28"/>
          <w:u w:val="none"/>
          <w:shd w:val="clear" w:fill="FFFFFF"/>
          <w:lang w:val="en-US" w:eastAsia="zh-CN"/>
        </w:rPr>
      </w:pPr>
      <w:r>
        <w:rPr>
          <w:rFonts w:hint="eastAsia" w:ascii="仿宋" w:hAnsi="仿宋" w:eastAsia="仿宋" w:cs="仿宋"/>
          <w:color w:val="000000"/>
          <w:sz w:val="28"/>
          <w:szCs w:val="28"/>
          <w:u w:val="none"/>
          <w:shd w:val="clear" w:fill="FFFFFF"/>
          <w:lang w:val="en-US" w:eastAsia="zh-CN"/>
        </w:rPr>
        <w:t>2019年11月6日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00" w:usb3="00000000" w:csb0="0004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11ED3A40"/>
    <w:multiLevelType w:val="singleLevel"/>
    <w:tmpl w:val="11ED3A40"/>
    <w:lvl w:ilvl="0" w:tentative="0">
      <w:start w:val="3"/>
      <w:numFmt w:val="chineseCounting"/>
      <w:suff w:val="nothing"/>
      <w:lvlText w:val="%1、"/>
      <w:lvlJc w:val="left"/>
      <w:rPr>
        <w:rFonts w:hint="eastAsia"/>
      </w:rPr>
    </w:lvl>
  </w:abstractNum>
  <w:abstractNum w:abstractNumId="2">
    <w:nsid w:val="57B56AC1"/>
    <w:multiLevelType w:val="singleLevel"/>
    <w:tmpl w:val="57B56AC1"/>
    <w:lvl w:ilvl="0" w:tentative="0">
      <w:start w:val="8"/>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30D4F75"/>
    <w:rsid w:val="046A30F2"/>
    <w:rsid w:val="050E61B3"/>
    <w:rsid w:val="0568416F"/>
    <w:rsid w:val="06AD1E3E"/>
    <w:rsid w:val="07F800D3"/>
    <w:rsid w:val="08D75275"/>
    <w:rsid w:val="091D1846"/>
    <w:rsid w:val="09F03305"/>
    <w:rsid w:val="0D21183A"/>
    <w:rsid w:val="0E3D02A4"/>
    <w:rsid w:val="0F6B7734"/>
    <w:rsid w:val="0FD802D1"/>
    <w:rsid w:val="109A17DA"/>
    <w:rsid w:val="12BB5366"/>
    <w:rsid w:val="13A7762A"/>
    <w:rsid w:val="14245DBC"/>
    <w:rsid w:val="143425F3"/>
    <w:rsid w:val="144A3A3E"/>
    <w:rsid w:val="15033594"/>
    <w:rsid w:val="157129DD"/>
    <w:rsid w:val="15FC2A9B"/>
    <w:rsid w:val="17D926FA"/>
    <w:rsid w:val="1A5042D6"/>
    <w:rsid w:val="1BD00BD8"/>
    <w:rsid w:val="1D03587C"/>
    <w:rsid w:val="1D2F1724"/>
    <w:rsid w:val="1D863BDB"/>
    <w:rsid w:val="1DA95CDC"/>
    <w:rsid w:val="1E196947"/>
    <w:rsid w:val="219845BA"/>
    <w:rsid w:val="22034C9F"/>
    <w:rsid w:val="220719F2"/>
    <w:rsid w:val="22BF2B0F"/>
    <w:rsid w:val="23D527F8"/>
    <w:rsid w:val="24347A56"/>
    <w:rsid w:val="250F79CA"/>
    <w:rsid w:val="281C3862"/>
    <w:rsid w:val="28B2034C"/>
    <w:rsid w:val="29B06DA3"/>
    <w:rsid w:val="2B1A2E58"/>
    <w:rsid w:val="2C7A62AD"/>
    <w:rsid w:val="2D080062"/>
    <w:rsid w:val="2D723D7C"/>
    <w:rsid w:val="2D9C085B"/>
    <w:rsid w:val="2ED67925"/>
    <w:rsid w:val="2F4C455E"/>
    <w:rsid w:val="2FDC63C1"/>
    <w:rsid w:val="313C2C12"/>
    <w:rsid w:val="31534C8B"/>
    <w:rsid w:val="31A42F31"/>
    <w:rsid w:val="321D771D"/>
    <w:rsid w:val="33DB07DB"/>
    <w:rsid w:val="34E763F5"/>
    <w:rsid w:val="363A185F"/>
    <w:rsid w:val="386B5961"/>
    <w:rsid w:val="387E3CE9"/>
    <w:rsid w:val="3A745AA5"/>
    <w:rsid w:val="3B1C631F"/>
    <w:rsid w:val="3BDA5757"/>
    <w:rsid w:val="3C2C4265"/>
    <w:rsid w:val="3C492603"/>
    <w:rsid w:val="3CC736A9"/>
    <w:rsid w:val="3D375DAF"/>
    <w:rsid w:val="3D90594C"/>
    <w:rsid w:val="3DD7020A"/>
    <w:rsid w:val="3E504CFE"/>
    <w:rsid w:val="42A668D7"/>
    <w:rsid w:val="44EB3951"/>
    <w:rsid w:val="45B82664"/>
    <w:rsid w:val="462721B8"/>
    <w:rsid w:val="463B1FB6"/>
    <w:rsid w:val="471813B4"/>
    <w:rsid w:val="493123CC"/>
    <w:rsid w:val="4AFD0F3D"/>
    <w:rsid w:val="4B7B39BE"/>
    <w:rsid w:val="4C6A5EC8"/>
    <w:rsid w:val="4C702E23"/>
    <w:rsid w:val="4D2103BD"/>
    <w:rsid w:val="4D565D01"/>
    <w:rsid w:val="4DD70C15"/>
    <w:rsid w:val="4ECF48F5"/>
    <w:rsid w:val="4F1149FB"/>
    <w:rsid w:val="4FCE6222"/>
    <w:rsid w:val="5198609B"/>
    <w:rsid w:val="54B368C9"/>
    <w:rsid w:val="55F515B1"/>
    <w:rsid w:val="563F1657"/>
    <w:rsid w:val="575E34E9"/>
    <w:rsid w:val="59272954"/>
    <w:rsid w:val="59743366"/>
    <w:rsid w:val="59D950BD"/>
    <w:rsid w:val="5C1437CD"/>
    <w:rsid w:val="5C3C5905"/>
    <w:rsid w:val="5DE74906"/>
    <w:rsid w:val="5E943DC4"/>
    <w:rsid w:val="5E944783"/>
    <w:rsid w:val="5F7475E7"/>
    <w:rsid w:val="604133F7"/>
    <w:rsid w:val="61676F9F"/>
    <w:rsid w:val="61B4681C"/>
    <w:rsid w:val="62094375"/>
    <w:rsid w:val="62DF2949"/>
    <w:rsid w:val="639635CF"/>
    <w:rsid w:val="63B02821"/>
    <w:rsid w:val="64207847"/>
    <w:rsid w:val="64776005"/>
    <w:rsid w:val="668D68CB"/>
    <w:rsid w:val="66C75080"/>
    <w:rsid w:val="681C0391"/>
    <w:rsid w:val="6A4D3015"/>
    <w:rsid w:val="6A7F5A88"/>
    <w:rsid w:val="6C2D42C5"/>
    <w:rsid w:val="6C6726DC"/>
    <w:rsid w:val="6E902FFD"/>
    <w:rsid w:val="6EC648B5"/>
    <w:rsid w:val="6F7613B8"/>
    <w:rsid w:val="6F87576C"/>
    <w:rsid w:val="6FC82958"/>
    <w:rsid w:val="71336BEC"/>
    <w:rsid w:val="74B27047"/>
    <w:rsid w:val="75B75AFB"/>
    <w:rsid w:val="75ED24AD"/>
    <w:rsid w:val="763860D4"/>
    <w:rsid w:val="77204DC9"/>
    <w:rsid w:val="79213531"/>
    <w:rsid w:val="79EC55AB"/>
    <w:rsid w:val="7AAE5BAF"/>
    <w:rsid w:val="7AC65398"/>
    <w:rsid w:val="7AD02F53"/>
    <w:rsid w:val="7C8C3F7D"/>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8">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FollowedHyperlink"/>
    <w:basedOn w:val="8"/>
    <w:qFormat/>
    <w:uiPriority w:val="0"/>
    <w:rPr>
      <w:color w:val="000000"/>
      <w:u w:val="none"/>
    </w:rPr>
  </w:style>
  <w:style w:type="character" w:styleId="10">
    <w:name w:val="Emphasis"/>
    <w:basedOn w:val="8"/>
    <w:qFormat/>
    <w:uiPriority w:val="0"/>
  </w:style>
  <w:style w:type="character" w:styleId="11">
    <w:name w:val="Hyperlink"/>
    <w:basedOn w:val="8"/>
    <w:qFormat/>
    <w:uiPriority w:val="0"/>
    <w:rPr>
      <w:color w:val="000000"/>
      <w:u w:val="none"/>
    </w:rPr>
  </w:style>
  <w:style w:type="character" w:customStyle="1" w:styleId="12">
    <w:name w:val="red"/>
    <w:basedOn w:val="8"/>
    <w:qFormat/>
    <w:uiPriority w:val="0"/>
    <w:rPr>
      <w:color w:val="FF0000"/>
      <w:sz w:val="18"/>
      <w:szCs w:val="18"/>
    </w:rPr>
  </w:style>
  <w:style w:type="character" w:customStyle="1" w:styleId="13">
    <w:name w:val="red1"/>
    <w:basedOn w:val="8"/>
    <w:qFormat/>
    <w:uiPriority w:val="0"/>
    <w:rPr>
      <w:color w:val="FF0000"/>
      <w:sz w:val="18"/>
      <w:szCs w:val="18"/>
    </w:rPr>
  </w:style>
  <w:style w:type="character" w:customStyle="1" w:styleId="14">
    <w:name w:val="red2"/>
    <w:basedOn w:val="8"/>
    <w:qFormat/>
    <w:uiPriority w:val="0"/>
    <w:rPr>
      <w:color w:val="CC0000"/>
    </w:rPr>
  </w:style>
  <w:style w:type="character" w:customStyle="1" w:styleId="15">
    <w:name w:val="red3"/>
    <w:basedOn w:val="8"/>
    <w:qFormat/>
    <w:uiPriority w:val="0"/>
    <w:rPr>
      <w:color w:val="FF0000"/>
    </w:rPr>
  </w:style>
  <w:style w:type="character" w:customStyle="1" w:styleId="16">
    <w:name w:val="green"/>
    <w:basedOn w:val="8"/>
    <w:qFormat/>
    <w:uiPriority w:val="0"/>
    <w:rPr>
      <w:color w:val="66AE00"/>
      <w:sz w:val="18"/>
      <w:szCs w:val="18"/>
    </w:rPr>
  </w:style>
  <w:style w:type="character" w:customStyle="1" w:styleId="17">
    <w:name w:val="green1"/>
    <w:basedOn w:val="8"/>
    <w:qFormat/>
    <w:uiPriority w:val="0"/>
    <w:rPr>
      <w:color w:val="66AE00"/>
      <w:sz w:val="18"/>
      <w:szCs w:val="18"/>
    </w:rPr>
  </w:style>
  <w:style w:type="character" w:customStyle="1" w:styleId="18">
    <w:name w:val="hover25"/>
    <w:basedOn w:val="8"/>
    <w:qFormat/>
    <w:uiPriority w:val="0"/>
  </w:style>
  <w:style w:type="character" w:customStyle="1" w:styleId="19">
    <w:name w:val="gb-jt"/>
    <w:basedOn w:val="8"/>
    <w:qFormat/>
    <w:uiPriority w:val="0"/>
  </w:style>
  <w:style w:type="character" w:customStyle="1" w:styleId="20">
    <w:name w:val="blue"/>
    <w:basedOn w:val="8"/>
    <w:qFormat/>
    <w:uiPriority w:val="0"/>
    <w:rPr>
      <w:color w:val="0371C6"/>
      <w:sz w:val="21"/>
      <w:szCs w:val="21"/>
    </w:rPr>
  </w:style>
  <w:style w:type="character" w:customStyle="1" w:styleId="21">
    <w:name w:val="right"/>
    <w:basedOn w:val="8"/>
    <w:qFormat/>
    <w:uiPriority w:val="0"/>
    <w:rPr>
      <w:color w:val="999999"/>
      <w:sz w:val="18"/>
      <w:szCs w:val="18"/>
    </w:rPr>
  </w:style>
  <w:style w:type="character" w:customStyle="1" w:styleId="22">
    <w:name w:val="focus2"/>
    <w:basedOn w:val="8"/>
    <w:qFormat/>
    <w:uiPriority w:val="0"/>
    <w:rPr>
      <w:b/>
      <w:color w:val="000000"/>
    </w:rPr>
  </w:style>
  <w:style w:type="character" w:customStyle="1" w:styleId="23">
    <w:name w:val="icon_gzkj"/>
    <w:basedOn w:val="8"/>
    <w:qFormat/>
    <w:uiPriority w:val="0"/>
  </w:style>
  <w:style w:type="character" w:customStyle="1" w:styleId="24">
    <w:name w:val="searchopen"/>
    <w:basedOn w:val="8"/>
    <w:qFormat/>
    <w:uiPriority w:val="0"/>
  </w:style>
  <w:style w:type="character" w:customStyle="1" w:styleId="25">
    <w:name w:val="searchclose"/>
    <w:basedOn w:val="8"/>
    <w:qFormat/>
    <w:uiPriority w:val="0"/>
  </w:style>
  <w:style w:type="character" w:customStyle="1" w:styleId="26">
    <w:name w:val="close6"/>
    <w:basedOn w:val="8"/>
    <w:qFormat/>
    <w:uiPriority w:val="0"/>
  </w:style>
  <w:style w:type="character" w:customStyle="1" w:styleId="27">
    <w:name w:val="icon_dljg"/>
    <w:basedOn w:val="8"/>
    <w:qFormat/>
    <w:uiPriority w:val="0"/>
  </w:style>
  <w:style w:type="character" w:customStyle="1" w:styleId="28">
    <w:name w:val="icon_cxktbr"/>
    <w:basedOn w:val="8"/>
    <w:qFormat/>
    <w:uiPriority w:val="0"/>
  </w:style>
  <w:style w:type="character" w:customStyle="1" w:styleId="29">
    <w:name w:val="icon_cxkcyry"/>
    <w:basedOn w:val="8"/>
    <w:qFormat/>
    <w:uiPriority w:val="0"/>
  </w:style>
  <w:style w:type="character" w:customStyle="1" w:styleId="30">
    <w:name w:val="swapimg4"/>
    <w:basedOn w:val="8"/>
    <w:qFormat/>
    <w:uiPriority w:val="0"/>
  </w:style>
  <w:style w:type="character" w:customStyle="1" w:styleId="31">
    <w:name w:val="swapimg5"/>
    <w:basedOn w:val="8"/>
    <w:qFormat/>
    <w:uiPriority w:val="0"/>
  </w:style>
  <w:style w:type="character" w:customStyle="1" w:styleId="32">
    <w:name w:val="menutitle10"/>
    <w:basedOn w:val="8"/>
    <w:qFormat/>
    <w:uiPriority w:val="0"/>
    <w:rPr>
      <w:color w:val="333333"/>
      <w:sz w:val="24"/>
      <w:szCs w:val="24"/>
    </w:rPr>
  </w:style>
  <w:style w:type="character" w:customStyle="1" w:styleId="33">
    <w:name w:val="menutitle11"/>
    <w:basedOn w:val="8"/>
    <w:uiPriority w:val="0"/>
    <w:rPr>
      <w:color w:val="333333"/>
      <w:sz w:val="24"/>
      <w:szCs w:val="24"/>
    </w:rPr>
  </w:style>
  <w:style w:type="character" w:customStyle="1" w:styleId="34">
    <w:name w:val="icon_xzry"/>
    <w:basedOn w:val="8"/>
    <w:qFormat/>
    <w:uiPriority w:val="0"/>
  </w:style>
  <w:style w:type="character" w:customStyle="1" w:styleId="35">
    <w:name w:val="icon_lzrz"/>
    <w:basedOn w:val="8"/>
    <w:qFormat/>
    <w:uiPriority w:val="0"/>
  </w:style>
  <w:style w:type="character" w:customStyle="1" w:styleId="36">
    <w:name w:val="icon_xglc"/>
    <w:basedOn w:val="8"/>
    <w:qFormat/>
    <w:uiPriority w:val="0"/>
  </w:style>
  <w:style w:type="character" w:customStyle="1" w:styleId="37">
    <w:name w:val="m-text"/>
    <w:basedOn w:val="8"/>
    <w:qFormat/>
    <w:uiPriority w:val="0"/>
  </w:style>
  <w:style w:type="character" w:customStyle="1" w:styleId="38">
    <w:name w:val="l_10"/>
    <w:basedOn w:val="8"/>
    <w:uiPriority w:val="0"/>
  </w:style>
  <w:style w:type="character" w:customStyle="1" w:styleId="39">
    <w:name w:val="l_101"/>
    <w:basedOn w:val="8"/>
    <w:qFormat/>
    <w:uiPriority w:val="0"/>
  </w:style>
  <w:style w:type="character" w:customStyle="1" w:styleId="40">
    <w:name w:val="l_0"/>
    <w:basedOn w:val="8"/>
    <w:qFormat/>
    <w:uiPriority w:val="0"/>
  </w:style>
  <w:style w:type="character" w:customStyle="1" w:styleId="41">
    <w:name w:val="l_01"/>
    <w:basedOn w:val="8"/>
    <w:qFormat/>
    <w:uiPriority w:val="0"/>
  </w:style>
  <w:style w:type="character" w:customStyle="1" w:styleId="42">
    <w:name w:val="l_1"/>
    <w:basedOn w:val="8"/>
    <w:qFormat/>
    <w:uiPriority w:val="0"/>
  </w:style>
  <w:style w:type="character" w:customStyle="1" w:styleId="43">
    <w:name w:val="l_11"/>
    <w:basedOn w:val="8"/>
    <w:qFormat/>
    <w:uiPriority w:val="0"/>
  </w:style>
  <w:style w:type="character" w:customStyle="1" w:styleId="44">
    <w:name w:val="l_4"/>
    <w:basedOn w:val="8"/>
    <w:uiPriority w:val="0"/>
  </w:style>
  <w:style w:type="character" w:customStyle="1" w:styleId="45">
    <w:name w:val="l_41"/>
    <w:basedOn w:val="8"/>
    <w:uiPriority w:val="0"/>
  </w:style>
  <w:style w:type="character" w:customStyle="1" w:styleId="46">
    <w:name w:val="l_2"/>
    <w:basedOn w:val="8"/>
    <w:qFormat/>
    <w:uiPriority w:val="0"/>
  </w:style>
  <w:style w:type="character" w:customStyle="1" w:styleId="47">
    <w:name w:val="l_21"/>
    <w:basedOn w:val="8"/>
    <w:qFormat/>
    <w:uiPriority w:val="0"/>
  </w:style>
  <w:style w:type="character" w:customStyle="1" w:styleId="48">
    <w:name w:val="l_3"/>
    <w:basedOn w:val="8"/>
    <w:qFormat/>
    <w:uiPriority w:val="0"/>
  </w:style>
  <w:style w:type="character" w:customStyle="1" w:styleId="49">
    <w:name w:val="l_31"/>
    <w:basedOn w:val="8"/>
    <w:qFormat/>
    <w:uiPriority w:val="0"/>
  </w:style>
  <w:style w:type="character" w:customStyle="1" w:styleId="50">
    <w:name w:val="l_6"/>
    <w:basedOn w:val="8"/>
    <w:qFormat/>
    <w:uiPriority w:val="0"/>
  </w:style>
  <w:style w:type="character" w:customStyle="1" w:styleId="51">
    <w:name w:val="l_61"/>
    <w:basedOn w:val="8"/>
    <w:qFormat/>
    <w:uiPriority w:val="0"/>
  </w:style>
  <w:style w:type="character" w:customStyle="1" w:styleId="52">
    <w:name w:val="l_5"/>
    <w:basedOn w:val="8"/>
    <w:qFormat/>
    <w:uiPriority w:val="0"/>
  </w:style>
  <w:style w:type="character" w:customStyle="1" w:styleId="53">
    <w:name w:val="l_51"/>
    <w:basedOn w:val="8"/>
    <w:qFormat/>
    <w:uiPriority w:val="0"/>
  </w:style>
  <w:style w:type="character" w:customStyle="1" w:styleId="54">
    <w:name w:val="l_7"/>
    <w:basedOn w:val="8"/>
    <w:qFormat/>
    <w:uiPriority w:val="0"/>
  </w:style>
  <w:style w:type="character" w:customStyle="1" w:styleId="55">
    <w:name w:val="l_71"/>
    <w:basedOn w:val="8"/>
    <w:qFormat/>
    <w:uiPriority w:val="0"/>
  </w:style>
  <w:style w:type="character" w:customStyle="1" w:styleId="56">
    <w:name w:val="l_8"/>
    <w:basedOn w:val="8"/>
    <w:qFormat/>
    <w:uiPriority w:val="0"/>
  </w:style>
  <w:style w:type="character" w:customStyle="1" w:styleId="57">
    <w:name w:val="l_81"/>
    <w:basedOn w:val="8"/>
    <w:qFormat/>
    <w:uiPriority w:val="0"/>
  </w:style>
  <w:style w:type="character" w:customStyle="1" w:styleId="58">
    <w:name w:val="l_9"/>
    <w:basedOn w:val="8"/>
    <w:qFormat/>
    <w:uiPriority w:val="0"/>
  </w:style>
  <w:style w:type="character" w:customStyle="1" w:styleId="59">
    <w:name w:val="l_91"/>
    <w:basedOn w:val="8"/>
    <w:qFormat/>
    <w:uiPriority w:val="0"/>
  </w:style>
  <w:style w:type="character" w:customStyle="1" w:styleId="60">
    <w:name w:val="l_111"/>
    <w:basedOn w:val="8"/>
    <w:qFormat/>
    <w:uiPriority w:val="0"/>
  </w:style>
  <w:style w:type="character" w:customStyle="1" w:styleId="61">
    <w:name w:val="l_112"/>
    <w:basedOn w:val="8"/>
    <w:qFormat/>
    <w:uiPriority w:val="0"/>
  </w:style>
  <w:style w:type="character" w:customStyle="1" w:styleId="62">
    <w:name w:val="l_12"/>
    <w:basedOn w:val="8"/>
    <w:qFormat/>
    <w:uiPriority w:val="0"/>
  </w:style>
  <w:style w:type="character" w:customStyle="1" w:styleId="63">
    <w:name w:val="l_121"/>
    <w:basedOn w:val="8"/>
    <w:qFormat/>
    <w:uiPriority w:val="0"/>
  </w:style>
  <w:style w:type="character" w:customStyle="1" w:styleId="64">
    <w:name w:val="l_13"/>
    <w:basedOn w:val="8"/>
    <w:qFormat/>
    <w:uiPriority w:val="0"/>
  </w:style>
  <w:style w:type="character" w:customStyle="1" w:styleId="65">
    <w:name w:val="l_131"/>
    <w:basedOn w:val="8"/>
    <w:qFormat/>
    <w:uiPriority w:val="0"/>
  </w:style>
  <w:style w:type="character" w:customStyle="1" w:styleId="66">
    <w:name w:val="l_14"/>
    <w:basedOn w:val="8"/>
    <w:qFormat/>
    <w:uiPriority w:val="0"/>
  </w:style>
  <w:style w:type="character" w:customStyle="1" w:styleId="67">
    <w:name w:val="l_141"/>
    <w:basedOn w:val="8"/>
    <w:qFormat/>
    <w:uiPriority w:val="0"/>
  </w:style>
  <w:style w:type="character" w:customStyle="1" w:styleId="68">
    <w:name w:val="l_15"/>
    <w:basedOn w:val="8"/>
    <w:qFormat/>
    <w:uiPriority w:val="0"/>
  </w:style>
  <w:style w:type="character" w:customStyle="1" w:styleId="69">
    <w:name w:val="l_151"/>
    <w:basedOn w:val="8"/>
    <w:qFormat/>
    <w:uiPriority w:val="0"/>
  </w:style>
  <w:style w:type="character" w:customStyle="1" w:styleId="70">
    <w:name w:val="color_cdyy"/>
    <w:basedOn w:val="8"/>
    <w:qFormat/>
    <w:uiPriority w:val="0"/>
    <w:rPr>
      <w:color w:val="FFFFFF"/>
      <w:bdr w:val="single" w:color="FFFFFF" w:sz="6" w:space="0"/>
    </w:rPr>
  </w:style>
  <w:style w:type="character" w:customStyle="1" w:styleId="71">
    <w:name w:val="swapimg"/>
    <w:basedOn w:val="8"/>
    <w:qFormat/>
    <w:uiPriority w:val="0"/>
  </w:style>
  <w:style w:type="paragraph" w:customStyle="1" w:styleId="72">
    <w:name w:val="_Style 70"/>
    <w:basedOn w:val="1"/>
    <w:next w:val="1"/>
    <w:qFormat/>
    <w:uiPriority w:val="0"/>
    <w:pPr>
      <w:pBdr>
        <w:bottom w:val="single" w:color="auto" w:sz="6" w:space="1"/>
      </w:pBdr>
      <w:jc w:val="center"/>
    </w:pPr>
    <w:rPr>
      <w:rFonts w:ascii="Arial" w:eastAsia="宋体"/>
      <w:vanish/>
      <w:sz w:val="16"/>
    </w:rPr>
  </w:style>
  <w:style w:type="paragraph" w:customStyle="1" w:styleId="73">
    <w:name w:val="_Style 71"/>
    <w:basedOn w:val="1"/>
    <w:next w:val="1"/>
    <w:qFormat/>
    <w:uiPriority w:val="0"/>
    <w:pPr>
      <w:pBdr>
        <w:top w:val="single" w:color="auto" w:sz="6" w:space="1"/>
      </w:pBdr>
      <w:jc w:val="center"/>
    </w:pPr>
    <w:rPr>
      <w:rFonts w:ascii="Arial" w:eastAsia="宋体"/>
      <w:vanish/>
      <w:sz w:val="16"/>
    </w:rPr>
  </w:style>
  <w:style w:type="character" w:customStyle="1" w:styleId="74">
    <w:name w:val="menutitle"/>
    <w:basedOn w:val="8"/>
    <w:qFormat/>
    <w:uiPriority w:val="0"/>
    <w:rPr>
      <w:color w:val="333333"/>
      <w:sz w:val="24"/>
      <w:szCs w:val="24"/>
    </w:rPr>
  </w:style>
  <w:style w:type="character" w:customStyle="1" w:styleId="75">
    <w:name w:val="menutitle1"/>
    <w:basedOn w:val="8"/>
    <w:qFormat/>
    <w:uiPriority w:val="0"/>
    <w:rPr>
      <w:color w:val="333333"/>
      <w:sz w:val="24"/>
      <w:szCs w:val="24"/>
    </w:rPr>
  </w:style>
  <w:style w:type="character" w:customStyle="1" w:styleId="76">
    <w:name w:val="swapimg1"/>
    <w:basedOn w:val="8"/>
    <w:qFormat/>
    <w:uiPriority w:val="0"/>
  </w:style>
  <w:style w:type="character" w:customStyle="1" w:styleId="77">
    <w:name w:val="l_122"/>
    <w:basedOn w:val="8"/>
    <w:qFormat/>
    <w:uiPriority w:val="0"/>
  </w:style>
  <w:style w:type="character" w:customStyle="1" w:styleId="78">
    <w:name w:val="focus"/>
    <w:basedOn w:val="8"/>
    <w:uiPriority w:val="0"/>
    <w:rPr>
      <w:b/>
      <w:color w:val="000000"/>
    </w:rPr>
  </w:style>
  <w:style w:type="character" w:customStyle="1" w:styleId="79">
    <w:name w:val="swapimg3"/>
    <w:basedOn w:val="8"/>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Office_11.1.0.8799_F1E327BC-269C-435d-A152-05C5408002CA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禹州市公共资源交易中心:付珊珊</cp:lastModifiedBy>
  <cp:lastPrinted>2019-10-31T06:40:00Z</cp:lastPrinted>
  <dcterms:modified xsi:type="dcterms:W3CDTF">2019-11-07T01:28:34Z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2052-11.1.0.8799</vt:lpwstr>
  </property>
</Properties>
</file>