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黑体" w:hAnsi="Arial" w:eastAsia="黑体" w:cs="Arial"/>
          <w:b/>
          <w:bCs/>
          <w:color w:val="auto"/>
          <w:kern w:val="0"/>
          <w:sz w:val="44"/>
          <w:szCs w:val="44"/>
        </w:rPr>
      </w:pPr>
    </w:p>
    <w:p>
      <w:pPr>
        <w:jc w:val="center"/>
        <w:rPr>
          <w:rFonts w:ascii="宋体" w:hAnsi="宋体"/>
          <w:b/>
          <w:bCs/>
          <w:color w:val="auto"/>
          <w:sz w:val="52"/>
          <w:szCs w:val="52"/>
        </w:rPr>
      </w:pPr>
      <w:r>
        <w:rPr>
          <w:rFonts w:hint="eastAsia" w:ascii="宋体" w:hAnsi="宋体"/>
          <w:b/>
          <w:bCs/>
          <w:color w:val="auto"/>
          <w:sz w:val="52"/>
          <w:szCs w:val="52"/>
        </w:rPr>
        <w:t>许昌市颍汝干渠综合整治工程</w:t>
      </w:r>
    </w:p>
    <w:p>
      <w:pPr>
        <w:jc w:val="center"/>
        <w:rPr>
          <w:rFonts w:ascii="宋体" w:hAnsi="宋体"/>
          <w:b/>
          <w:bCs/>
          <w:color w:val="auto"/>
          <w:sz w:val="52"/>
          <w:szCs w:val="52"/>
        </w:rPr>
      </w:pPr>
      <w:r>
        <w:rPr>
          <w:rFonts w:hint="eastAsia" w:ascii="宋体" w:hAnsi="宋体"/>
          <w:b/>
          <w:bCs/>
          <w:color w:val="auto"/>
          <w:sz w:val="52"/>
          <w:szCs w:val="52"/>
        </w:rPr>
        <w:t>（经济技术开发区段）</w:t>
      </w:r>
      <w:r>
        <w:rPr>
          <w:rFonts w:hint="eastAsia" w:ascii="宋体" w:hAnsi="宋体"/>
          <w:b/>
          <w:bCs/>
          <w:color w:val="auto"/>
          <w:sz w:val="52"/>
          <w:szCs w:val="52"/>
          <w:lang w:eastAsia="zh-CN"/>
        </w:rPr>
        <w:t>二期</w:t>
      </w:r>
    </w:p>
    <w:p>
      <w:pPr>
        <w:jc w:val="center"/>
        <w:rPr>
          <w:rFonts w:ascii="宋体" w:hAnsi="宋体"/>
          <w:b/>
          <w:bCs/>
          <w:color w:val="auto"/>
          <w:sz w:val="32"/>
        </w:rPr>
      </w:pPr>
    </w:p>
    <w:p>
      <w:pPr>
        <w:jc w:val="center"/>
        <w:rPr>
          <w:rFonts w:ascii="宋体" w:hAnsi="宋体"/>
          <w:b/>
          <w:bCs/>
          <w:color w:val="auto"/>
          <w:sz w:val="84"/>
          <w:szCs w:val="84"/>
        </w:rPr>
      </w:pPr>
    </w:p>
    <w:p>
      <w:pPr>
        <w:rPr>
          <w:rFonts w:ascii="宋体" w:hAnsi="宋体"/>
          <w:b/>
          <w:bCs/>
          <w:color w:val="auto"/>
          <w:sz w:val="84"/>
          <w:szCs w:val="84"/>
        </w:rPr>
      </w:pPr>
    </w:p>
    <w:p>
      <w:pPr>
        <w:jc w:val="center"/>
        <w:rPr>
          <w:rFonts w:ascii="宋体" w:hAnsi="宋体"/>
          <w:b/>
          <w:color w:val="auto"/>
          <w:sz w:val="72"/>
          <w:szCs w:val="72"/>
        </w:rPr>
      </w:pPr>
      <w:r>
        <w:rPr>
          <w:rFonts w:hint="eastAsia" w:ascii="宋体" w:hAnsi="宋体"/>
          <w:b/>
          <w:bCs/>
          <w:color w:val="auto"/>
          <w:sz w:val="52"/>
          <w:szCs w:val="52"/>
        </w:rPr>
        <w:t>施工招标文件</w:t>
      </w:r>
    </w:p>
    <w:p>
      <w:pPr>
        <w:jc w:val="left"/>
        <w:rPr>
          <w:rFonts w:ascii="宋体" w:hAnsi="宋体"/>
          <w:b/>
          <w:bCs/>
          <w:color w:val="auto"/>
          <w:sz w:val="32"/>
          <w:szCs w:val="32"/>
        </w:rPr>
      </w:pPr>
      <w:r>
        <w:rPr>
          <w:rFonts w:hint="eastAsia" w:ascii="宋体" w:hAnsi="宋体"/>
          <w:b/>
          <w:color w:val="auto"/>
          <w:sz w:val="28"/>
          <w:szCs w:val="28"/>
        </w:rPr>
        <w:t xml:space="preserve">                   </w:t>
      </w:r>
      <w:r>
        <w:rPr>
          <w:rFonts w:hint="eastAsia" w:ascii="宋体" w:hAnsi="宋体"/>
          <w:bCs/>
          <w:color w:val="auto"/>
          <w:sz w:val="28"/>
          <w:szCs w:val="28"/>
        </w:rPr>
        <w:t xml:space="preserve"> </w:t>
      </w:r>
      <w:r>
        <w:rPr>
          <w:rFonts w:hint="eastAsia" w:ascii="宋体" w:hAnsi="宋体"/>
          <w:b/>
          <w:bCs/>
          <w:color w:val="auto"/>
          <w:sz w:val="32"/>
          <w:szCs w:val="32"/>
        </w:rPr>
        <w:t xml:space="preserve"> </w:t>
      </w:r>
    </w:p>
    <w:p>
      <w:pPr>
        <w:jc w:val="center"/>
        <w:rPr>
          <w:rFonts w:hint="default" w:ascii="宋体" w:hAnsi="宋体" w:eastAsia="宋体"/>
          <w:b/>
          <w:bCs/>
          <w:color w:val="auto"/>
          <w:sz w:val="32"/>
          <w:szCs w:val="32"/>
          <w:lang w:val="en-US" w:eastAsia="zh-CN"/>
        </w:rPr>
      </w:pPr>
      <w:r>
        <w:rPr>
          <w:rFonts w:hint="eastAsia" w:ascii="宋体" w:hAnsi="宋体"/>
          <w:b/>
          <w:bCs/>
          <w:color w:val="auto"/>
          <w:sz w:val="32"/>
          <w:szCs w:val="32"/>
        </w:rPr>
        <w:t>项目编号：</w:t>
      </w:r>
      <w:r>
        <w:rPr>
          <w:rFonts w:ascii="宋体" w:hAnsi="宋体"/>
          <w:b/>
          <w:bCs/>
          <w:color w:val="auto"/>
          <w:sz w:val="32"/>
          <w:szCs w:val="32"/>
        </w:rPr>
        <w:t>XCGC-</w:t>
      </w:r>
      <w:r>
        <w:rPr>
          <w:rFonts w:hint="eastAsia" w:ascii="宋体" w:hAnsi="宋体"/>
          <w:b/>
          <w:bCs/>
          <w:color w:val="auto"/>
          <w:sz w:val="32"/>
          <w:szCs w:val="32"/>
          <w:lang w:eastAsia="zh-CN"/>
        </w:rPr>
        <w:t>S20190</w:t>
      </w:r>
      <w:r>
        <w:rPr>
          <w:rFonts w:hint="eastAsia" w:ascii="宋体" w:hAnsi="宋体"/>
          <w:b/>
          <w:bCs/>
          <w:color w:val="auto"/>
          <w:sz w:val="32"/>
          <w:szCs w:val="32"/>
          <w:lang w:val="en-US" w:eastAsia="zh-CN"/>
        </w:rPr>
        <w:t>26</w:t>
      </w:r>
    </w:p>
    <w:p>
      <w:pPr>
        <w:pStyle w:val="32"/>
        <w:ind w:firstLine="210"/>
        <w:rPr>
          <w:color w:val="auto"/>
        </w:rPr>
      </w:pPr>
    </w:p>
    <w:p>
      <w:pPr>
        <w:tabs>
          <w:tab w:val="left" w:pos="2850"/>
        </w:tabs>
        <w:spacing w:line="580" w:lineRule="exact"/>
        <w:jc w:val="left"/>
        <w:rPr>
          <w:rFonts w:ascii="宋体" w:hAnsi="宋体"/>
          <w:b/>
          <w:bCs/>
          <w:color w:val="auto"/>
          <w:sz w:val="28"/>
        </w:rPr>
      </w:pPr>
    </w:p>
    <w:p>
      <w:pPr>
        <w:tabs>
          <w:tab w:val="left" w:pos="2850"/>
        </w:tabs>
        <w:spacing w:line="580" w:lineRule="exact"/>
        <w:ind w:firstLine="1106" w:firstLineChars="395"/>
        <w:jc w:val="left"/>
        <w:rPr>
          <w:rFonts w:ascii="宋体" w:hAnsi="宋体"/>
          <w:b/>
          <w:bCs/>
          <w:color w:val="auto"/>
          <w:sz w:val="28"/>
        </w:rPr>
      </w:pPr>
    </w:p>
    <w:p>
      <w:pPr>
        <w:spacing w:line="480" w:lineRule="auto"/>
        <w:jc w:val="left"/>
        <w:rPr>
          <w:rFonts w:hint="eastAsia" w:ascii="宋体" w:hAnsi="宋体"/>
          <w:b/>
          <w:bCs/>
          <w:color w:val="auto"/>
          <w:sz w:val="32"/>
          <w:szCs w:val="32"/>
        </w:rPr>
      </w:pPr>
      <w:r>
        <w:rPr>
          <w:rFonts w:hint="eastAsia" w:ascii="宋体" w:hAnsi="宋体"/>
          <w:b/>
          <w:bCs/>
          <w:color w:val="auto"/>
          <w:sz w:val="32"/>
          <w:szCs w:val="32"/>
        </w:rPr>
        <w:t xml:space="preserve">      </w:t>
      </w:r>
    </w:p>
    <w:p>
      <w:pPr>
        <w:spacing w:line="480" w:lineRule="auto"/>
        <w:jc w:val="left"/>
        <w:rPr>
          <w:rFonts w:ascii="宋体" w:hAnsi="宋体"/>
          <w:b/>
          <w:bCs/>
          <w:color w:val="auto"/>
          <w:sz w:val="32"/>
          <w:szCs w:val="32"/>
        </w:rPr>
      </w:pPr>
      <w:r>
        <w:rPr>
          <w:rFonts w:hint="eastAsia" w:ascii="宋体" w:hAnsi="宋体"/>
          <w:b/>
          <w:bCs/>
          <w:color w:val="auto"/>
          <w:sz w:val="32"/>
          <w:szCs w:val="32"/>
        </w:rPr>
        <w:t xml:space="preserve">    招 标 人：许昌经济技术开发区法制与社会服务局</w:t>
      </w:r>
    </w:p>
    <w:p>
      <w:pPr>
        <w:pStyle w:val="32"/>
        <w:spacing w:line="480" w:lineRule="auto"/>
        <w:ind w:firstLine="1536" w:firstLineChars="480"/>
        <w:rPr>
          <w:rFonts w:ascii="宋体" w:hAnsi="宋体"/>
          <w:b/>
          <w:bCs/>
          <w:color w:val="auto"/>
          <w:sz w:val="32"/>
          <w:szCs w:val="32"/>
        </w:rPr>
      </w:pPr>
      <w:r>
        <w:rPr>
          <w:rFonts w:hint="eastAsia" w:ascii="宋体" w:hAnsi="宋体"/>
          <w:b/>
          <w:bCs/>
          <w:color w:val="auto"/>
          <w:sz w:val="32"/>
          <w:szCs w:val="32"/>
        </w:rPr>
        <w:t>代理机构：</w:t>
      </w:r>
      <w:r>
        <w:rPr>
          <w:rFonts w:hint="eastAsia" w:ascii="宋体" w:hAnsi="宋体"/>
          <w:b/>
          <w:bCs/>
          <w:color w:val="auto"/>
          <w:sz w:val="32"/>
          <w:szCs w:val="32"/>
          <w:lang w:val="zh-CN"/>
        </w:rPr>
        <w:t>河南远大建设工程管理有限公司</w:t>
      </w:r>
    </w:p>
    <w:p>
      <w:pPr>
        <w:spacing w:line="480" w:lineRule="auto"/>
        <w:ind w:firstLine="3680" w:firstLineChars="1150"/>
        <w:rPr>
          <w:rFonts w:ascii="宋体" w:hAnsi="宋体"/>
          <w:b/>
          <w:bCs/>
          <w:color w:val="auto"/>
          <w:sz w:val="32"/>
          <w:szCs w:val="32"/>
        </w:rPr>
      </w:pPr>
    </w:p>
    <w:p>
      <w:pPr>
        <w:spacing w:line="480" w:lineRule="auto"/>
        <w:ind w:firstLine="3680" w:firstLineChars="1150"/>
        <w:rPr>
          <w:b/>
          <w:color w:val="auto"/>
          <w:spacing w:val="36"/>
          <w:sz w:val="32"/>
          <w:szCs w:val="32"/>
        </w:rPr>
      </w:pPr>
      <w:r>
        <w:rPr>
          <w:rFonts w:hint="eastAsia" w:ascii="宋体" w:hAnsi="宋体"/>
          <w:b/>
          <w:bCs/>
          <w:color w:val="auto"/>
          <w:sz w:val="32"/>
          <w:szCs w:val="32"/>
        </w:rPr>
        <w:t>二〇一九年</w:t>
      </w:r>
      <w:r>
        <w:rPr>
          <w:rFonts w:hint="eastAsia" w:ascii="宋体" w:hAnsi="宋体"/>
          <w:b/>
          <w:bCs/>
          <w:color w:val="auto"/>
          <w:sz w:val="32"/>
          <w:szCs w:val="32"/>
          <w:lang w:eastAsia="zh-CN"/>
        </w:rPr>
        <w:t>十一</w:t>
      </w:r>
      <w:r>
        <w:rPr>
          <w:rFonts w:hint="eastAsia" w:ascii="宋体" w:hAnsi="宋体"/>
          <w:b/>
          <w:bCs/>
          <w:color w:val="auto"/>
          <w:sz w:val="32"/>
          <w:szCs w:val="32"/>
        </w:rPr>
        <w:t>月</w:t>
      </w:r>
    </w:p>
    <w:p>
      <w:pPr>
        <w:spacing w:line="312" w:lineRule="auto"/>
        <w:jc w:val="center"/>
        <w:rPr>
          <w:rFonts w:ascii="宋体" w:hAnsi="宋体" w:cs="宋体"/>
          <w:b/>
          <w:color w:val="auto"/>
          <w:sz w:val="30"/>
          <w:szCs w:val="30"/>
        </w:rPr>
        <w:sectPr>
          <w:headerReference r:id="rId5" w:type="first"/>
          <w:headerReference r:id="rId3" w:type="default"/>
          <w:footerReference r:id="rId6" w:type="default"/>
          <w:headerReference r:id="rId4" w:type="even"/>
          <w:footerReference r:id="rId7" w:type="even"/>
          <w:pgSz w:w="11906" w:h="16838"/>
          <w:pgMar w:top="1531" w:right="1418" w:bottom="1531" w:left="1418" w:header="851" w:footer="992" w:gutter="0"/>
          <w:pgNumType w:start="1"/>
          <w:cols w:space="720" w:num="1"/>
          <w:titlePg/>
          <w:docGrid w:type="linesAndChars" w:linePitch="312" w:charSpace="0"/>
        </w:sect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ascii="宋体" w:hAnsi="宋体"/>
          <w:b/>
          <w:color w:val="auto"/>
          <w:sz w:val="32"/>
        </w:rPr>
      </w:pPr>
    </w:p>
    <w:p>
      <w:pPr>
        <w:tabs>
          <w:tab w:val="left" w:leader="hyphen" w:pos="7919"/>
        </w:tabs>
        <w:snapToGrid w:val="0"/>
        <w:spacing w:line="480" w:lineRule="auto"/>
        <w:rPr>
          <w:rFonts w:ascii="黑体" w:hAnsi="宋体" w:eastAsia="黑体"/>
          <w:b/>
          <w:color w:val="auto"/>
          <w:sz w:val="28"/>
        </w:rPr>
      </w:pPr>
      <w:r>
        <w:rPr>
          <w:rFonts w:hint="eastAsia" w:ascii="黑体" w:hAnsi="宋体" w:eastAsia="黑体"/>
          <w:b/>
          <w:color w:val="auto"/>
          <w:sz w:val="32"/>
        </w:rPr>
        <w:t xml:space="preserve">    </w:t>
      </w: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28"/>
        </w:rPr>
      </w:pPr>
      <w:r>
        <w:rPr>
          <w:rFonts w:hint="eastAsia" w:ascii="黑体" w:hAnsi="宋体" w:eastAsia="黑体"/>
          <w:b/>
          <w:color w:val="auto"/>
          <w:sz w:val="28"/>
        </w:rPr>
        <w:t>第二章  投标人须知</w:t>
      </w:r>
      <w:r>
        <w:rPr>
          <w:rFonts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32"/>
        </w:rPr>
      </w:pPr>
      <w:r>
        <w:rPr>
          <w:rFonts w:hint="eastAsia" w:ascii="黑体" w:hAnsi="宋体" w:eastAsia="黑体"/>
          <w:b/>
          <w:color w:val="auto"/>
          <w:sz w:val="28"/>
        </w:rPr>
        <w:t>第四章  合同条款</w:t>
      </w:r>
      <w:r>
        <w:rPr>
          <w:rFonts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第六章  图纸</w:t>
      </w:r>
      <w:r>
        <w:rPr>
          <w:rFonts w:ascii="黑体" w:hAnsi="宋体" w:eastAsia="黑体"/>
          <w:b/>
          <w:color w:val="auto"/>
          <w:sz w:val="28"/>
        </w:rPr>
        <w:tab/>
      </w:r>
      <w:r>
        <w:rPr>
          <w:rFonts w:ascii="黑体" w:hAnsi="宋体" w:eastAsia="黑体"/>
          <w:b/>
          <w:color w:val="auto"/>
          <w:sz w:val="28"/>
        </w:rPr>
        <w:tab/>
      </w:r>
    </w:p>
    <w:p>
      <w:pPr>
        <w:tabs>
          <w:tab w:val="left" w:leader="hyphen" w:pos="7919"/>
        </w:tabs>
        <w:snapToGrid w:val="0"/>
        <w:spacing w:line="480" w:lineRule="auto"/>
        <w:ind w:firstLine="560" w:firstLineChars="200"/>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ascii="黑体" w:hAnsi="宋体" w:eastAsia="黑体"/>
          <w:b/>
          <w:color w:val="auto"/>
          <w:sz w:val="28"/>
        </w:rPr>
        <w:tab/>
      </w:r>
      <w:r>
        <w:rPr>
          <w:rFonts w:hint="eastAsia" w:ascii="黑体" w:hAnsi="宋体" w:eastAsia="黑体"/>
          <w:b/>
          <w:color w:val="auto"/>
          <w:sz w:val="28"/>
        </w:rPr>
        <w:tab/>
      </w:r>
    </w:p>
    <w:p>
      <w:pPr>
        <w:ind w:firstLine="560" w:firstLineChars="200"/>
        <w:rPr>
          <w:rFonts w:ascii="宋体" w:hAnsi="宋体"/>
          <w:b/>
          <w:color w:val="auto"/>
          <w:sz w:val="32"/>
        </w:rPr>
      </w:pPr>
      <w:r>
        <w:rPr>
          <w:rFonts w:hint="eastAsia" w:ascii="黑体" w:hAnsi="宋体" w:eastAsia="黑体"/>
          <w:b/>
          <w:color w:val="auto"/>
          <w:sz w:val="28"/>
        </w:rPr>
        <w:t>第八章  投标文件格式</w:t>
      </w:r>
      <w:r>
        <w:rPr>
          <w:rFonts w:hint="eastAsia" w:ascii="仿宋" w:hAnsi="仿宋" w:eastAsia="仿宋" w:cs="仿宋"/>
          <w:bCs/>
          <w:color w:val="auto"/>
          <w:sz w:val="28"/>
        </w:rPr>
        <w:t>--------------------------------</w:t>
      </w:r>
      <w:r>
        <w:rPr>
          <w:rFonts w:hint="eastAsia" w:ascii="仿宋" w:hAnsi="仿宋" w:eastAsia="仿宋" w:cs="仿宋"/>
          <w:bCs/>
          <w:color w:val="auto"/>
          <w:sz w:val="28"/>
        </w:rPr>
        <w:tab/>
      </w:r>
    </w:p>
    <w:p>
      <w:pPr>
        <w:tabs>
          <w:tab w:val="left" w:leader="hyphen" w:pos="7919"/>
        </w:tabs>
        <w:snapToGrid w:val="0"/>
        <w:spacing w:line="480" w:lineRule="auto"/>
        <w:rPr>
          <w:rFonts w:ascii="黑体" w:hAnsi="宋体" w:eastAsia="黑体"/>
          <w:b/>
          <w:color w:val="auto"/>
          <w:sz w:val="32"/>
        </w:rPr>
      </w:pPr>
      <w:r>
        <w:rPr>
          <w:rFonts w:hint="eastAsia" w:ascii="黑体" w:hAnsi="宋体" w:eastAsia="黑体"/>
          <w:b/>
          <w:color w:val="auto"/>
          <w:sz w:val="32"/>
        </w:rPr>
        <w:t xml:space="preserve">    </w:t>
      </w: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2"/>
        <w:ind w:firstLine="321"/>
        <w:rPr>
          <w:rFonts w:ascii="黑体" w:hAnsi="宋体" w:eastAsia="黑体"/>
          <w:b/>
          <w:color w:val="auto"/>
          <w:sz w:val="32"/>
        </w:rPr>
      </w:pPr>
    </w:p>
    <w:p>
      <w:pPr>
        <w:pStyle w:val="30"/>
        <w:widowControl/>
        <w:numPr>
          <w:ilvl w:val="0"/>
          <w:numId w:val="1"/>
        </w:numPr>
        <w:shd w:val="clear" w:color="060000" w:fill="FFFFFF"/>
        <w:spacing w:before="0" w:beforeAutospacing="0" w:after="0" w:afterAutospacing="0" w:line="288" w:lineRule="auto"/>
        <w:jc w:val="center"/>
        <w:outlineLvl w:val="0"/>
        <w:rPr>
          <w:rFonts w:ascii="宋体" w:hAnsi="宋体" w:cs="宋体"/>
          <w:b/>
          <w:color w:val="auto"/>
          <w:sz w:val="44"/>
          <w:szCs w:val="44"/>
        </w:rPr>
      </w:pPr>
      <w:bookmarkStart w:id="0" w:name="_Toc405406287"/>
      <w:bookmarkStart w:id="1" w:name="_Toc13242"/>
      <w:bookmarkStart w:id="2" w:name="_Toc517940854"/>
      <w:r>
        <w:rPr>
          <w:rFonts w:hint="eastAsia" w:ascii="宋体" w:hAnsi="宋体" w:cs="宋体"/>
          <w:b/>
          <w:color w:val="auto"/>
          <w:sz w:val="44"/>
          <w:szCs w:val="44"/>
        </w:rPr>
        <w:t>招 标 公 告</w:t>
      </w:r>
      <w:bookmarkEnd w:id="0"/>
      <w:bookmarkEnd w:id="1"/>
      <w:bookmarkEnd w:id="2"/>
    </w:p>
    <w:p>
      <w:pPr>
        <w:spacing w:line="500" w:lineRule="exact"/>
        <w:ind w:firstLine="320" w:firstLineChars="100"/>
        <w:jc w:val="center"/>
        <w:rPr>
          <w:rFonts w:hAnsi="宋体"/>
          <w:b/>
          <w:color w:val="auto"/>
          <w:sz w:val="32"/>
          <w:szCs w:val="32"/>
        </w:rPr>
      </w:pPr>
      <w:r>
        <w:rPr>
          <w:rFonts w:hint="eastAsia" w:hAnsi="宋体"/>
          <w:b/>
          <w:color w:val="auto"/>
          <w:sz w:val="32"/>
          <w:szCs w:val="32"/>
        </w:rPr>
        <w:t>XCGC-</w:t>
      </w:r>
      <w:r>
        <w:rPr>
          <w:rFonts w:hint="eastAsia" w:hAnsi="宋体"/>
          <w:b/>
          <w:color w:val="auto"/>
          <w:sz w:val="32"/>
          <w:szCs w:val="32"/>
          <w:lang w:eastAsia="zh-CN"/>
        </w:rPr>
        <w:t>S2019026</w:t>
      </w:r>
      <w:r>
        <w:rPr>
          <w:rFonts w:hint="eastAsia" w:hAnsi="宋体"/>
          <w:b/>
          <w:color w:val="auto"/>
          <w:sz w:val="32"/>
          <w:szCs w:val="32"/>
          <w:lang w:val="en-US" w:eastAsia="zh-CN"/>
        </w:rPr>
        <w:t xml:space="preserve">   </w:t>
      </w:r>
      <w:r>
        <w:rPr>
          <w:rFonts w:hint="eastAsia" w:hAnsi="宋体"/>
          <w:b/>
          <w:color w:val="auto"/>
          <w:sz w:val="32"/>
          <w:szCs w:val="32"/>
        </w:rPr>
        <w:t>许昌经济技术开发区法制与社会服务局</w:t>
      </w:r>
    </w:p>
    <w:p>
      <w:pPr>
        <w:spacing w:line="500" w:lineRule="exact"/>
        <w:ind w:firstLine="320" w:firstLineChars="100"/>
        <w:jc w:val="center"/>
        <w:rPr>
          <w:rFonts w:hint="eastAsia" w:hAnsi="宋体"/>
          <w:b/>
          <w:color w:val="auto"/>
          <w:sz w:val="32"/>
          <w:szCs w:val="32"/>
        </w:rPr>
      </w:pPr>
      <w:r>
        <w:rPr>
          <w:rFonts w:hint="eastAsia" w:hAnsi="宋体"/>
          <w:b/>
          <w:color w:val="auto"/>
          <w:sz w:val="32"/>
          <w:szCs w:val="32"/>
        </w:rPr>
        <w:t xml:space="preserve">   “许昌市颍汝干渠综合整治工程</w:t>
      </w:r>
      <w:r>
        <w:rPr>
          <w:rFonts w:hint="eastAsia" w:hAnsi="宋体"/>
          <w:b/>
          <w:color w:val="auto"/>
          <w:sz w:val="32"/>
          <w:szCs w:val="32"/>
          <w:lang w:eastAsia="zh-CN"/>
        </w:rPr>
        <w:t>（经济技术开发区段）二期</w:t>
      </w:r>
      <w:r>
        <w:rPr>
          <w:rFonts w:hint="eastAsia" w:hAnsi="宋体"/>
          <w:b/>
          <w:color w:val="auto"/>
          <w:sz w:val="32"/>
          <w:szCs w:val="32"/>
        </w:rPr>
        <w:t>”</w:t>
      </w:r>
    </w:p>
    <w:p>
      <w:pPr>
        <w:spacing w:line="500" w:lineRule="exact"/>
        <w:ind w:firstLine="320" w:firstLineChars="100"/>
        <w:jc w:val="center"/>
        <w:rPr>
          <w:rFonts w:hAnsi="宋体"/>
          <w:b/>
          <w:color w:val="auto"/>
          <w:sz w:val="32"/>
          <w:szCs w:val="32"/>
        </w:rPr>
      </w:pPr>
      <w:r>
        <w:rPr>
          <w:rFonts w:hint="eastAsia" w:hAnsi="宋体"/>
          <w:b/>
          <w:color w:val="auto"/>
          <w:sz w:val="32"/>
          <w:szCs w:val="32"/>
        </w:rPr>
        <w:t>招标公告</w:t>
      </w:r>
    </w:p>
    <w:p>
      <w:pPr>
        <w:spacing w:line="4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一、招标条件</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许昌市颍汝干渠综合整治工程</w:t>
      </w:r>
      <w:r>
        <w:rPr>
          <w:rFonts w:hint="eastAsia" w:asciiTheme="minorEastAsia" w:hAnsiTheme="minorEastAsia" w:eastAsiaTheme="minorEastAsia"/>
          <w:color w:val="auto"/>
          <w:sz w:val="24"/>
          <w:lang w:eastAsia="zh-CN"/>
        </w:rPr>
        <w:t>（经济技术开发区段）二期</w:t>
      </w:r>
      <w:r>
        <w:rPr>
          <w:rFonts w:hint="eastAsia" w:asciiTheme="minorEastAsia" w:hAnsiTheme="minorEastAsia" w:eastAsiaTheme="minorEastAsia"/>
          <w:color w:val="auto"/>
          <w:sz w:val="24"/>
        </w:rPr>
        <w:t>，已由许昌经济技术开发区发展改革局以许开发改【2019】7号批准建设，招标人为许昌经济技术开发区法制与社会服务局，建设资金来源为财政资金，出资比例100%。项目已具备招标条件，现对该项目施工进行公开招标。</w:t>
      </w:r>
    </w:p>
    <w:p>
      <w:pPr>
        <w:spacing w:line="4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二、项目概况与招标范围</w:t>
      </w:r>
    </w:p>
    <w:p>
      <w:pPr>
        <w:spacing w:line="46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2.1项目编号：</w:t>
      </w:r>
      <w:r>
        <w:rPr>
          <w:rFonts w:asciiTheme="minorEastAsia" w:hAnsiTheme="minorEastAsia" w:eastAsiaTheme="minorEastAsia"/>
          <w:color w:val="auto"/>
          <w:sz w:val="24"/>
        </w:rPr>
        <w:t>XCGC-</w:t>
      </w:r>
      <w:r>
        <w:rPr>
          <w:rFonts w:hint="eastAsia" w:asciiTheme="minorEastAsia" w:hAnsiTheme="minorEastAsia" w:eastAsiaTheme="minorEastAsia"/>
          <w:color w:val="auto"/>
          <w:sz w:val="24"/>
          <w:lang w:eastAsia="zh-CN"/>
        </w:rPr>
        <w:t>S2019026</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2.2建设地点：颍汝干渠经济技术开发区段</w:t>
      </w:r>
    </w:p>
    <w:p>
      <w:pPr>
        <w:spacing w:line="460" w:lineRule="exact"/>
        <w:ind w:firstLine="480" w:firstLineChars="20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rPr>
        <w:t>2.3主要建设内容：</w:t>
      </w:r>
      <w:r>
        <w:rPr>
          <w:rFonts w:hint="eastAsia" w:asciiTheme="minorEastAsia" w:hAnsiTheme="minorEastAsia" w:eastAsiaTheme="minorEastAsia"/>
          <w:color w:val="auto"/>
          <w:sz w:val="24"/>
          <w:highlight w:val="none"/>
        </w:rPr>
        <w:t>项目主要建设内容包括(1)堤顶道路工程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经济技术开发区左岸桩号27+808</w:t>
      </w:r>
      <w:r>
        <w:rPr>
          <w:rFonts w:hint="eastAsia" w:ascii="Arial" w:hAnsi="Arial" w:eastAsia="宋体" w:cs="Arial"/>
          <w:i w:val="0"/>
          <w:caps w:val="0"/>
          <w:color w:val="auto"/>
          <w:spacing w:val="0"/>
          <w:sz w:val="24"/>
          <w:szCs w:val="24"/>
          <w:highlight w:val="none"/>
          <w:shd w:val="clear" w:fill="FFFFFF"/>
        </w:rPr>
        <w:t>~</w:t>
      </w:r>
      <w:r>
        <w:rPr>
          <w:rFonts w:hint="eastAsia" w:asciiTheme="minorEastAsia" w:hAnsiTheme="minorEastAsia" w:eastAsiaTheme="minorEastAsia"/>
          <w:color w:val="auto"/>
          <w:sz w:val="24"/>
          <w:highlight w:val="none"/>
        </w:rPr>
        <w:t>27+986</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28+119</w:t>
      </w:r>
      <w:r>
        <w:rPr>
          <w:rFonts w:hint="eastAsia" w:ascii="Arial" w:hAnsi="Arial" w:eastAsia="宋体" w:cs="Arial"/>
          <w:i w:val="0"/>
          <w:caps w:val="0"/>
          <w:color w:val="auto"/>
          <w:spacing w:val="0"/>
          <w:sz w:val="24"/>
          <w:szCs w:val="24"/>
          <w:highlight w:val="none"/>
          <w:shd w:val="clear" w:fill="FFFFFF"/>
        </w:rPr>
        <w:t>~</w:t>
      </w:r>
      <w:r>
        <w:rPr>
          <w:rFonts w:hint="eastAsia" w:asciiTheme="minorEastAsia" w:hAnsiTheme="minorEastAsia" w:eastAsiaTheme="minorEastAsia"/>
          <w:color w:val="auto"/>
          <w:sz w:val="24"/>
          <w:highlight w:val="none"/>
        </w:rPr>
        <w:t>28+245原混凝土道路加铺沥青路面</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右岸桩号27+355</w:t>
      </w:r>
      <w:r>
        <w:rPr>
          <w:rFonts w:hint="eastAsia" w:ascii="Arial" w:hAnsi="Arial" w:eastAsia="宋体" w:cs="Arial"/>
          <w:i w:val="0"/>
          <w:caps w:val="0"/>
          <w:color w:val="auto"/>
          <w:spacing w:val="0"/>
          <w:sz w:val="24"/>
          <w:szCs w:val="24"/>
          <w:highlight w:val="none"/>
          <w:shd w:val="clear" w:fill="FFFFFF"/>
        </w:rPr>
        <w:t>~</w:t>
      </w:r>
      <w:r>
        <w:rPr>
          <w:rFonts w:hint="eastAsia" w:asciiTheme="minorEastAsia" w:hAnsiTheme="minorEastAsia" w:eastAsiaTheme="minorEastAsia"/>
          <w:color w:val="auto"/>
          <w:sz w:val="24"/>
          <w:highlight w:val="none"/>
        </w:rPr>
        <w:t>28+287加宽原混凝土道路至5m并铺沥青路面</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(2)景观绿化工程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对干渠两岸管理范围(左岸12m</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右岸15m)实施景观绿化工程。</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2.4招标范围：施工标段范围为招标文件、工程量清单、施工图纸、设计变更（如有）及答疑纪要（如有）范围内的所有工程内容。</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2.5工期:</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0日历天。</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2.6质量要求：合格</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2.8标段划分：一个标段</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highlight w:val="none"/>
        </w:rPr>
        <w:t>招标控制价：</w:t>
      </w:r>
      <w:bookmarkStart w:id="3" w:name="_Toc511666594"/>
      <w:r>
        <w:rPr>
          <w:rFonts w:hint="eastAsia" w:asciiTheme="minorEastAsia" w:hAnsiTheme="minorEastAsia" w:eastAsiaTheme="minorEastAsia"/>
          <w:color w:val="auto"/>
          <w:sz w:val="24"/>
          <w:highlight w:val="none"/>
          <w:lang w:val="en-US" w:eastAsia="zh-CN"/>
        </w:rPr>
        <w:t>2813253.88</w:t>
      </w:r>
      <w:r>
        <w:rPr>
          <w:rFonts w:hint="eastAsia" w:asciiTheme="minorEastAsia" w:hAnsiTheme="minorEastAsia" w:eastAsiaTheme="minorEastAsia"/>
          <w:color w:val="auto"/>
          <w:sz w:val="24"/>
          <w:highlight w:val="none"/>
        </w:rPr>
        <w:t>元</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三、投标人资格要求</w:t>
      </w:r>
      <w:bookmarkEnd w:id="3"/>
    </w:p>
    <w:p>
      <w:pPr>
        <w:pStyle w:val="10"/>
        <w:spacing w:line="360" w:lineRule="auto"/>
        <w:ind w:firstLine="480" w:firstLineChars="200"/>
        <w:rPr>
          <w:rFonts w:hint="eastAsia" w:asciiTheme="minorEastAsia" w:hAnsiTheme="minorEastAsia" w:eastAsiaTheme="minorEastAsia"/>
          <w:color w:val="auto"/>
          <w:sz w:val="24"/>
          <w:highlight w:val="none"/>
        </w:rPr>
      </w:pPr>
      <w:bookmarkStart w:id="4" w:name="_Toc511666595"/>
      <w:r>
        <w:rPr>
          <w:rFonts w:hint="eastAsia" w:asciiTheme="minorEastAsia" w:hAnsiTheme="minorEastAsia" w:eastAsiaTheme="minorEastAsia"/>
          <w:color w:val="auto"/>
          <w:sz w:val="24"/>
        </w:rPr>
        <w:t>3.1</w:t>
      </w:r>
      <w:bookmarkEnd w:id="4"/>
      <w:r>
        <w:rPr>
          <w:rFonts w:hint="eastAsia" w:asciiTheme="minorEastAsia" w:hAnsiTheme="minorEastAsia" w:eastAsiaTheme="minorEastAsia"/>
          <w:color w:val="auto"/>
          <w:sz w:val="24"/>
          <w:highlight w:val="none"/>
        </w:rPr>
        <w:t>投标人具有独立企业法人资格，具有有效的营业执照、税务登记证、组织机构代码证（或三证合一的营业执照）</w:t>
      </w:r>
      <w:r>
        <w:rPr>
          <w:rFonts w:hint="eastAsia" w:asciiTheme="minorEastAsia" w:hAnsiTheme="minorEastAsia" w:eastAsiaTheme="minorEastAsia"/>
          <w:color w:val="auto"/>
          <w:sz w:val="24"/>
          <w:highlight w:val="none"/>
          <w:lang w:eastAsia="zh-CN"/>
        </w:rPr>
        <w:t>，并且经营范围包括水利水电工程施工和园林绿化工程施工</w:t>
      </w:r>
      <w:r>
        <w:rPr>
          <w:rFonts w:hint="eastAsia" w:asciiTheme="minorEastAsia" w:hAnsiTheme="minorEastAsia" w:eastAsiaTheme="minorEastAsia"/>
          <w:color w:val="auto"/>
          <w:sz w:val="24"/>
          <w:highlight w:val="none"/>
        </w:rPr>
        <w:t>；具备水利水电工程施工总承包</w:t>
      </w:r>
      <w:r>
        <w:rPr>
          <w:rFonts w:hint="eastAsia" w:asciiTheme="minorEastAsia" w:hAnsiTheme="minorEastAsia" w:eastAsiaTheme="minorEastAsia"/>
          <w:color w:val="auto"/>
          <w:sz w:val="24"/>
          <w:highlight w:val="none"/>
          <w:lang w:eastAsia="zh-CN"/>
        </w:rPr>
        <w:t>贰</w:t>
      </w:r>
      <w:r>
        <w:rPr>
          <w:rFonts w:hint="eastAsia" w:asciiTheme="minorEastAsia" w:hAnsiTheme="minorEastAsia" w:eastAsiaTheme="minorEastAsia"/>
          <w:color w:val="auto"/>
          <w:sz w:val="24"/>
          <w:highlight w:val="none"/>
        </w:rPr>
        <w:t>级及以上资质、具有有效的安全生产许可证；并在人员、设备、资金等方面具有相应的施工能力。</w:t>
      </w:r>
    </w:p>
    <w:p>
      <w:pPr>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3.2拟派项目负责人必须具备水利水电专业贰级以上注册建造师资格（不含临时），且无在建工程（出具加盖公章的无在建工程承诺书）。</w:t>
      </w:r>
    </w:p>
    <w:p>
      <w:pPr>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3.3技术负责人应具有水利水电工程相关专业中级及以上技术职称。</w:t>
      </w:r>
    </w:p>
    <w:p>
      <w:pPr>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3.4企业主要负责人、拟派项目负责人和专职安全员应取得水行政主管部门核发的安全生产考核合格证。</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3.5投标单位需提供企业住所地人社部门出具的项目负责人及委托代理人201</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月1日到2019年</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月1日以来（任意三个月）社会保险证明（或相关缴纳凭证）。</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rPr>
        <w:t>3.6</w:t>
      </w:r>
      <w:r>
        <w:rPr>
          <w:rFonts w:hint="eastAsia" w:asciiTheme="minorEastAsia" w:hAnsiTheme="minorEastAsia" w:eastAsiaTheme="minorEastAsia"/>
          <w:color w:val="auto"/>
          <w:sz w:val="24"/>
          <w:highlight w:val="none"/>
        </w:rPr>
        <w:t>投标人不能被“信用中国”（https://www.creditchina.gov.cn/）和“信用河南”（http://www.credithn.gov.cn/）网站信用信息栏列入黑名单，不能被“国家企业信用信息公示系统”（http://www.gsxt.gov.cn/index.html）列入经营异常名录或严重违法失信企业名单，不能被“中国执行信息公开网”（http://zxgk.court.gov.cn/）列入失信被执行人名单，不能被国家税务总局网站（http://hd.chinatax.gov.cn/xxk/）列入重大税收违法案件信息公布栏</w:t>
      </w:r>
      <w:r>
        <w:rPr>
          <w:rFonts w:hint="eastAsia" w:asciiTheme="minorEastAsia" w:hAnsiTheme="minorEastAsia" w:eastAsiaTheme="minorEastAsia"/>
          <w:color w:val="auto"/>
          <w:sz w:val="24"/>
          <w:highlight w:val="none"/>
          <w:lang w:eastAsia="zh-CN"/>
        </w:rPr>
        <w:t>。需提供</w:t>
      </w:r>
      <w:r>
        <w:rPr>
          <w:rFonts w:hint="eastAsia" w:asciiTheme="minorEastAsia" w:hAnsiTheme="minorEastAsia" w:eastAsiaTheme="minorEastAsia"/>
          <w:color w:val="auto"/>
          <w:sz w:val="24"/>
          <w:highlight w:val="none"/>
        </w:rPr>
        <w:t>查询结果页面截图，若有不良记录，报名无效（执行财库【2016】125号文）（以网上公示为准）。</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3.7投标人及其主要参建人员</w:t>
      </w:r>
      <w:r>
        <w:rPr>
          <w:rFonts w:hint="eastAsia" w:hAnsi="宋体" w:cs="宋体"/>
          <w:color w:val="auto"/>
          <w:sz w:val="24"/>
          <w:szCs w:val="24"/>
          <w:highlight w:val="none"/>
        </w:rPr>
        <w:t>须在全国水利建设市场监管服务平台信用信息公开（以网上公示为准，提供网页截图）</w:t>
      </w:r>
      <w:r>
        <w:rPr>
          <w:rFonts w:hint="eastAsia" w:asciiTheme="minorEastAsia" w:hAnsiTheme="minorEastAsia" w:eastAsiaTheme="minorEastAsia"/>
          <w:color w:val="auto"/>
          <w:sz w:val="24"/>
          <w:highlight w:val="none"/>
        </w:rPr>
        <w:t>;委托代理人应是全国水利建设市场监管服务平台公开的人员。投标人不能被全国水利建设市场监管服务平台列入失信黑名单。(以网页公示为准)。</w:t>
      </w:r>
    </w:p>
    <w:p>
      <w:pPr>
        <w:spacing w:line="460" w:lineRule="exact"/>
        <w:ind w:firstLine="480" w:firstLineChars="200"/>
        <w:rPr>
          <w:rFonts w:asciiTheme="minorEastAsia" w:hAnsiTheme="minorEastAsia" w:eastAsiaTheme="minorEastAsia"/>
          <w:color w:val="auto"/>
          <w:sz w:val="24"/>
        </w:rPr>
      </w:pPr>
      <w:bookmarkStart w:id="5" w:name="_Toc511666617"/>
      <w:r>
        <w:rPr>
          <w:rFonts w:hint="eastAsia" w:asciiTheme="minorEastAsia" w:hAnsiTheme="minorEastAsia" w:eastAsiaTheme="minorEastAsia"/>
          <w:color w:val="auto"/>
          <w:sz w:val="24"/>
        </w:rPr>
        <w:t>3.8本次招标不接受联合体投标。</w:t>
      </w:r>
      <w:bookmarkEnd w:id="5"/>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四、网上下载招标文件</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4.1持CA数字认证证书，登录《全国公共资源交易平台（河南省·许昌市）》“系统用户注册”入口（http://221.14.6.70:8088/ggzy/eps/public/RegistAllJcxx.html）进行免费注册登记（详见“常见问题解答-诚信库网上注册相关资料下载”）；</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asciiTheme="minorEastAsia" w:hAnsiTheme="minorEastAsia" w:eastAsiaTheme="minorEastAsia"/>
          <w:b/>
          <w:bCs/>
          <w:color w:val="auto"/>
          <w:sz w:val="24"/>
        </w:rPr>
        <w:t xml:space="preserve">五、招标文件和施工图纸的获取       </w:t>
      </w:r>
      <w:r>
        <w:rPr>
          <w:rFonts w:hint="eastAsia" w:hAnsi="宋体"/>
          <w:b/>
          <w:color w:val="auto"/>
          <w:sz w:val="24"/>
        </w:rPr>
        <w:t xml:space="preserve">                                                                                                                                                                                                                          </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5.1招标文件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图纸和工程量清单的获取：投标人投标文件递交截止时间前均可登录《全国公共资源交易平台(河南省▪许昌市)》（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asciiTheme="minorEastAsia" w:hAnsiTheme="minorEastAsia" w:eastAsiaTheme="minorEastAsia"/>
          <w:color w:val="auto"/>
          <w:sz w:val="24"/>
        </w:rPr>
        <w:t>http://www.xcggzy.gov.cn/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），通过“投标人/供应商登录” 入口自行下载。</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5.2招标文件售价1000元/套，于递交投标文件时缴纳给招标代理机构，售后不退。</w:t>
      </w:r>
    </w:p>
    <w:p>
      <w:pPr>
        <w:spacing w:line="4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六、投标文件的递交</w:t>
      </w:r>
    </w:p>
    <w:p>
      <w:pPr>
        <w:spacing w:line="46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bookmarkStart w:id="6" w:name="_Toc511666620"/>
      <w:r>
        <w:rPr>
          <w:rFonts w:hint="eastAsia" w:asciiTheme="minorEastAsia" w:hAnsiTheme="minorEastAsia" w:eastAsiaTheme="minorEastAsia"/>
          <w:color w:val="auto"/>
          <w:sz w:val="24"/>
        </w:rPr>
        <w:t>6.1 本项目为全流程电子化交易项目，须提交电子投标文件和电子介质存储的投标文件。</w:t>
      </w:r>
    </w:p>
    <w:p>
      <w:pPr>
        <w:spacing w:line="46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6.2 投标文件提交的截止时间及开标时间：2019年</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28</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 xml:space="preserve">9 </w:t>
      </w:r>
      <w:r>
        <w:rPr>
          <w:rFonts w:hint="eastAsia" w:asciiTheme="minorEastAsia" w:hAnsiTheme="minorEastAsia" w:eastAsiaTheme="minorEastAsia"/>
          <w:color w:val="auto"/>
          <w:sz w:val="24"/>
        </w:rPr>
        <w:t>时</w:t>
      </w:r>
      <w:r>
        <w:rPr>
          <w:rFonts w:hint="eastAsia" w:asciiTheme="minorEastAsia" w:hAnsiTheme="minorEastAsia" w:eastAsiaTheme="minorEastAsia"/>
          <w:color w:val="auto"/>
          <w:sz w:val="24"/>
          <w:lang w:val="en-US" w:eastAsia="zh-CN"/>
        </w:rPr>
        <w:t>30</w:t>
      </w:r>
      <w:r>
        <w:rPr>
          <w:rFonts w:hint="eastAsia" w:asciiTheme="minorEastAsia" w:hAnsiTheme="minorEastAsia" w:eastAsiaTheme="minorEastAsia"/>
          <w:color w:val="auto"/>
          <w:sz w:val="24"/>
        </w:rPr>
        <w:t xml:space="preserve"> 分。</w:t>
      </w:r>
    </w:p>
    <w:p>
      <w:pPr>
        <w:spacing w:line="46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6.3电子投标文件的提交：电子投标文件应在投标文件提交截止时间（开标时间）之前成功提交至《全国公共资源交易平台(河南省▪许昌市)》公共资源交易系统，并提交1份使用电子介质存储的备份文件。</w:t>
      </w:r>
    </w:p>
    <w:p>
      <w:pPr>
        <w:spacing w:line="46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6.4电子投标文件提交地点：</w:t>
      </w:r>
      <w:r>
        <w:rPr>
          <w:rFonts w:hint="eastAsia" w:cs="宋体" w:asciiTheme="minorEastAsia" w:hAnsiTheme="minorEastAsia" w:eastAsiaTheme="minorEastAsia"/>
          <w:color w:val="auto"/>
          <w:sz w:val="24"/>
          <w:lang w:eastAsia="zh-CN"/>
        </w:rPr>
        <w:t>许昌市公共资源交易中心（龙兴路与竹林路交汇处创业服务中心</w:t>
      </w:r>
      <w:r>
        <w:rPr>
          <w:rFonts w:hint="eastAsia" w:cs="宋体" w:asciiTheme="minorEastAsia" w:hAnsiTheme="minorEastAsia" w:eastAsiaTheme="minorEastAsia"/>
          <w:color w:val="auto"/>
          <w:sz w:val="24"/>
          <w:lang w:val="en-US" w:eastAsia="zh-CN"/>
        </w:rPr>
        <w:t>C座</w:t>
      </w:r>
      <w:r>
        <w:rPr>
          <w:rFonts w:hint="eastAsia" w:cs="宋体" w:asciiTheme="minorEastAsia" w:hAnsiTheme="minorEastAsia" w:eastAsiaTheme="minorEastAsia"/>
          <w:color w:val="auto"/>
          <w:sz w:val="24"/>
          <w:lang w:eastAsia="zh-CN"/>
        </w:rPr>
        <w:t>）三楼开标一室</w:t>
      </w:r>
      <w:r>
        <w:rPr>
          <w:rFonts w:hint="eastAsia" w:asciiTheme="minorEastAsia" w:hAnsiTheme="minorEastAsia" w:eastAsiaTheme="minorEastAsia"/>
          <w:color w:val="auto"/>
          <w:sz w:val="24"/>
        </w:rPr>
        <w:t>。</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6.5逾期送达的或者未送达指定地点的电子介质存储的投标文件的，招标人不予受理。</w:t>
      </w:r>
      <w:bookmarkEnd w:id="6"/>
    </w:p>
    <w:p>
      <w:pPr>
        <w:spacing w:line="4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七、发布公告的媒介</w:t>
      </w:r>
    </w:p>
    <w:p>
      <w:pPr>
        <w:spacing w:line="4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本公告同时在《【全国公共资源交易平台（河南省•许昌市）】》、《河南省电子招标投标公共服务平台》上发布。</w:t>
      </w:r>
    </w:p>
    <w:p>
      <w:pPr>
        <w:spacing w:line="4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八、联系方式</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招标人：许昌经济技术开发区法制与社会服务局  </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  址：许昌经济技术开发区院内</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李</w:t>
      </w:r>
      <w:r>
        <w:rPr>
          <w:rFonts w:hint="eastAsia" w:cs="宋体" w:asciiTheme="minorEastAsia" w:hAnsiTheme="minorEastAsia" w:eastAsiaTheme="minorEastAsia"/>
          <w:color w:val="auto"/>
          <w:sz w:val="24"/>
          <w:highlight w:val="none"/>
        </w:rPr>
        <w:t xml:space="preserve">先生     </w:t>
      </w:r>
    </w:p>
    <w:p>
      <w:pPr>
        <w:spacing w:line="46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电  话：0374-858</w:t>
      </w:r>
      <w:r>
        <w:rPr>
          <w:rFonts w:hint="eastAsia" w:cs="宋体" w:asciiTheme="minorEastAsia" w:hAnsiTheme="minorEastAsia" w:eastAsiaTheme="minorEastAsia"/>
          <w:color w:val="auto"/>
          <w:sz w:val="24"/>
          <w:highlight w:val="none"/>
          <w:lang w:val="en-US" w:eastAsia="zh-CN"/>
        </w:rPr>
        <w:t>8029</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代理机构：</w:t>
      </w:r>
      <w:r>
        <w:rPr>
          <w:rFonts w:hint="eastAsia" w:cs="宋体" w:asciiTheme="minorEastAsia" w:hAnsiTheme="minorEastAsia" w:eastAsiaTheme="minorEastAsia"/>
          <w:color w:val="auto"/>
          <w:sz w:val="24"/>
          <w:lang w:eastAsia="zh-CN"/>
        </w:rPr>
        <w:t>河南远大建设工程管理有限公司</w:t>
      </w:r>
      <w:r>
        <w:rPr>
          <w:rFonts w:hint="eastAsia" w:cs="宋体" w:asciiTheme="minorEastAsia" w:hAnsiTheme="minorEastAsia" w:eastAsiaTheme="minorEastAsia"/>
          <w:color w:val="auto"/>
          <w:sz w:val="24"/>
        </w:rPr>
        <w:t xml:space="preserve">           </w:t>
      </w:r>
    </w:p>
    <w:p>
      <w:pPr>
        <w:spacing w:line="460" w:lineRule="exact"/>
        <w:ind w:firstLine="480" w:firstLineChars="200"/>
        <w:rPr>
          <w:rFonts w:hint="default" w:eastAsia="宋体" w:cs="宋体" w:asciiTheme="minorEastAsia" w:hAnsiTheme="minorEastAsia"/>
          <w:color w:val="auto"/>
          <w:sz w:val="24"/>
          <w:lang w:val="en-US" w:eastAsia="zh-CN"/>
        </w:rPr>
      </w:pPr>
      <w:r>
        <w:rPr>
          <w:rFonts w:hint="eastAsia" w:cs="宋体" w:asciiTheme="minorEastAsia" w:hAnsiTheme="minorEastAsia" w:eastAsiaTheme="minorEastAsia"/>
          <w:color w:val="auto"/>
          <w:sz w:val="24"/>
        </w:rPr>
        <w:t>地    址：</w:t>
      </w:r>
      <w:r>
        <w:rPr>
          <w:rFonts w:hint="eastAsia" w:ascii="宋体" w:hAnsi="宋体" w:cs="宋体"/>
          <w:color w:val="auto"/>
          <w:kern w:val="0"/>
          <w:sz w:val="24"/>
          <w:lang w:val="zh-CN"/>
        </w:rPr>
        <w:t>许昌市智慧大道中央金座</w:t>
      </w:r>
      <w:r>
        <w:rPr>
          <w:rFonts w:hint="eastAsia" w:ascii="宋体" w:hAnsi="宋体" w:cs="宋体"/>
          <w:color w:val="auto"/>
          <w:kern w:val="0"/>
          <w:sz w:val="24"/>
          <w:lang w:val="en-US" w:eastAsia="zh-CN"/>
        </w:rPr>
        <w:t>D座5层</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项目负责人：</w:t>
      </w:r>
      <w:r>
        <w:rPr>
          <w:rFonts w:hint="eastAsia" w:cs="宋体" w:asciiTheme="minorEastAsia" w:hAnsiTheme="minorEastAsia" w:eastAsiaTheme="minorEastAsia"/>
          <w:color w:val="auto"/>
          <w:sz w:val="24"/>
          <w:lang w:eastAsia="zh-CN"/>
        </w:rPr>
        <w:t>张</w:t>
      </w:r>
      <w:r>
        <w:rPr>
          <w:rFonts w:hint="eastAsia" w:cs="宋体" w:asciiTheme="minorEastAsia" w:hAnsiTheme="minorEastAsia" w:eastAsiaTheme="minorEastAsia"/>
          <w:color w:val="auto"/>
          <w:sz w:val="24"/>
        </w:rPr>
        <w:t>女士</w:t>
      </w:r>
    </w:p>
    <w:p>
      <w:pPr>
        <w:spacing w:line="460" w:lineRule="exact"/>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电    话：0374-</w:t>
      </w:r>
      <w:r>
        <w:rPr>
          <w:rFonts w:hint="eastAsia" w:cs="宋体" w:asciiTheme="minorEastAsia" w:hAnsiTheme="minorEastAsia" w:eastAsiaTheme="minorEastAsia"/>
          <w:color w:val="auto"/>
          <w:sz w:val="24"/>
          <w:lang w:val="en-US" w:eastAsia="zh-CN"/>
        </w:rPr>
        <w:t>2791566</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行政监督部门：许昌经济技术开发区管理委员会</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  址：许昌经济技术开发区院内</w:t>
      </w:r>
    </w:p>
    <w:p>
      <w:pPr>
        <w:spacing w:line="4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联系人：高先生     </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电  话：0374-8581863</w:t>
      </w:r>
    </w:p>
    <w:p>
      <w:pPr>
        <w:pStyle w:val="32"/>
        <w:ind w:firstLine="210"/>
        <w:rPr>
          <w:color w:val="auto"/>
        </w:rPr>
      </w:pPr>
    </w:p>
    <w:p>
      <w:pPr>
        <w:pStyle w:val="32"/>
        <w:spacing w:after="0" w:line="460" w:lineRule="exact"/>
        <w:ind w:firstLine="480" w:firstLineChars="200"/>
        <w:rPr>
          <w:rFonts w:asciiTheme="minorEastAsia" w:hAnsiTheme="minorEastAsia" w:eastAsiaTheme="minorEastAsia"/>
          <w:color w:val="auto"/>
          <w:sz w:val="24"/>
        </w:rPr>
      </w:pPr>
    </w:p>
    <w:p>
      <w:pPr>
        <w:pStyle w:val="32"/>
        <w:spacing w:after="0" w:line="460" w:lineRule="exact"/>
        <w:ind w:firstLine="480" w:firstLineChars="200"/>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许昌经济技术开发区法制与社会服务局                                      </w:t>
      </w:r>
    </w:p>
    <w:p>
      <w:pPr>
        <w:pStyle w:val="32"/>
        <w:spacing w:after="0" w:line="460" w:lineRule="exact"/>
        <w:ind w:firstLine="480" w:firstLineChars="200"/>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2019年</w:t>
      </w:r>
      <w:r>
        <w:rPr>
          <w:rFonts w:hint="eastAsia" w:cs="宋体" w:asciiTheme="minorEastAsia" w:hAnsiTheme="minorEastAsia" w:eastAsiaTheme="minorEastAsia"/>
          <w:color w:val="auto"/>
          <w:sz w:val="24"/>
          <w:lang w:val="en-US" w:eastAsia="zh-CN"/>
        </w:rPr>
        <w:t xml:space="preserve"> 11 </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 xml:space="preserve"> 6</w:t>
      </w:r>
      <w:bookmarkStart w:id="561" w:name="_GoBack"/>
      <w:bookmarkEnd w:id="561"/>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日</w:t>
      </w:r>
    </w:p>
    <w:p>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pPr>
        <w:keepNext w:val="0"/>
        <w:keepLines w:val="0"/>
        <w:pageBreakBefore w:val="0"/>
        <w:widowControl/>
        <w:kinsoku/>
        <w:wordWrap/>
        <w:overflowPunct/>
        <w:topLinePunct w:val="0"/>
        <w:autoSpaceDE/>
        <w:autoSpaceDN/>
        <w:bidi w:val="0"/>
        <w:adjustRightInd/>
        <w:spacing w:line="300" w:lineRule="auto"/>
        <w:textAlignment w:val="auto"/>
        <w:rPr>
          <w:rFonts w:hAnsi="宋体" w:cs="宋体"/>
          <w:b/>
          <w:bCs/>
          <w:color w:val="auto"/>
          <w:sz w:val="24"/>
          <w:szCs w:val="24"/>
        </w:rPr>
      </w:pPr>
      <w:r>
        <w:rPr>
          <w:rFonts w:hint="eastAsia" w:hAnsi="宋体" w:cs="宋体"/>
          <w:b/>
          <w:bCs/>
          <w:color w:val="auto"/>
          <w:sz w:val="24"/>
          <w:szCs w:val="24"/>
        </w:rPr>
        <w:t>温馨提示：</w:t>
      </w:r>
    </w:p>
    <w:p>
      <w:pPr>
        <w:keepNext w:val="0"/>
        <w:keepLines w:val="0"/>
        <w:pageBreakBefore w:val="0"/>
        <w:kinsoku/>
        <w:wordWrap/>
        <w:overflowPunct/>
        <w:topLinePunct w:val="0"/>
        <w:autoSpaceDE/>
        <w:autoSpaceDN/>
        <w:bidi w:val="0"/>
        <w:adjustRightInd/>
        <w:snapToGrid w:val="0"/>
        <w:spacing w:line="300" w:lineRule="auto"/>
        <w:ind w:left="-105" w:leftChars="-50" w:right="-105" w:rightChars="-50" w:firstLine="601"/>
        <w:textAlignment w:val="auto"/>
        <w:rPr>
          <w:rFonts w:hAnsi="宋体" w:cs="宋体"/>
          <w:color w:val="auto"/>
          <w:sz w:val="24"/>
          <w:szCs w:val="24"/>
        </w:rPr>
      </w:pPr>
      <w:r>
        <w:rPr>
          <w:rFonts w:hint="eastAsia" w:hAnsi="宋体" w:cs="宋体"/>
          <w:b/>
          <w:bCs/>
          <w:color w:val="auto"/>
          <w:sz w:val="24"/>
          <w:szCs w:val="24"/>
        </w:rPr>
        <w:t>本项目为全流程电子化交易项目，请认真阅读招标文件，并注意以下事项。</w:t>
      </w:r>
    </w:p>
    <w:p>
      <w:pPr>
        <w:keepNext w:val="0"/>
        <w:keepLines w:val="0"/>
        <w:pageBreakBefore w:val="0"/>
        <w:kinsoku/>
        <w:wordWrap/>
        <w:overflowPunct/>
        <w:topLinePunct w:val="0"/>
        <w:autoSpaceDE/>
        <w:autoSpaceDN/>
        <w:bidi w:val="0"/>
        <w:adjustRightInd/>
        <w:snapToGrid w:val="0"/>
        <w:spacing w:line="300" w:lineRule="auto"/>
        <w:ind w:left="-105" w:leftChars="-50" w:right="-105" w:rightChars="-50" w:firstLine="601"/>
        <w:textAlignment w:val="auto"/>
        <w:rPr>
          <w:rFonts w:hAnsi="宋体" w:cs="宋体"/>
          <w:b/>
          <w:bCs/>
          <w:color w:val="auto"/>
          <w:sz w:val="24"/>
          <w:szCs w:val="24"/>
        </w:rPr>
      </w:pPr>
      <w:r>
        <w:rPr>
          <w:rFonts w:hAnsi="宋体" w:cs="宋体"/>
          <w:b/>
          <w:bCs/>
          <w:color w:val="auto"/>
          <w:sz w:val="24"/>
          <w:szCs w:val="24"/>
        </w:rPr>
        <w:t>1.</w:t>
      </w:r>
      <w:r>
        <w:rPr>
          <w:rFonts w:hint="eastAsia" w:hAnsi="宋体" w:cs="宋体"/>
          <w:b/>
          <w:bCs/>
          <w:color w:val="auto"/>
          <w:sz w:val="24"/>
          <w:szCs w:val="24"/>
        </w:rPr>
        <w:t>投标人应按招标文件规定下载、编制、提交电子投标文件。开、评标现场不接受投标人递交的电子投标文件以外的其他资料。</w:t>
      </w:r>
    </w:p>
    <w:p>
      <w:pPr>
        <w:keepNext w:val="0"/>
        <w:keepLines w:val="0"/>
        <w:pageBreakBefore w:val="0"/>
        <w:kinsoku/>
        <w:wordWrap/>
        <w:overflowPunct/>
        <w:topLinePunct w:val="0"/>
        <w:autoSpaceDE/>
        <w:autoSpaceDN/>
        <w:bidi w:val="0"/>
        <w:adjustRightInd/>
        <w:snapToGrid w:val="0"/>
        <w:spacing w:line="300" w:lineRule="auto"/>
        <w:ind w:left="-105" w:leftChars="-50" w:right="-105" w:rightChars="-50" w:firstLine="601"/>
        <w:textAlignment w:val="auto"/>
        <w:rPr>
          <w:rFonts w:hAnsi="宋体" w:cs="宋体"/>
          <w:b/>
          <w:bCs/>
          <w:color w:val="auto"/>
          <w:sz w:val="24"/>
          <w:szCs w:val="24"/>
        </w:rPr>
      </w:pPr>
      <w:r>
        <w:rPr>
          <w:rFonts w:hAnsi="宋体" w:cs="宋体"/>
          <w:b/>
          <w:bCs/>
          <w:color w:val="auto"/>
          <w:sz w:val="24"/>
          <w:szCs w:val="24"/>
        </w:rPr>
        <w:t>2.</w:t>
      </w:r>
      <w:r>
        <w:rPr>
          <w:rFonts w:hint="eastAsia" w:hAnsi="宋体" w:cs="宋体"/>
          <w:b/>
          <w:bCs/>
          <w:color w:val="auto"/>
          <w:sz w:val="24"/>
          <w:szCs w:val="24"/>
        </w:rPr>
        <w:t>电子文件下载、制作、提交期间和开标（电子投标文件的解密）环节，投标人须使用</w:t>
      </w:r>
      <w:r>
        <w:rPr>
          <w:rFonts w:hAnsi="宋体" w:cs="宋体"/>
          <w:b/>
          <w:bCs/>
          <w:color w:val="auto"/>
          <w:sz w:val="24"/>
          <w:szCs w:val="24"/>
        </w:rPr>
        <w:t>CA</w:t>
      </w:r>
      <w:r>
        <w:rPr>
          <w:rFonts w:hint="eastAsia" w:hAnsi="宋体" w:cs="宋体"/>
          <w:b/>
          <w:bCs/>
          <w:color w:val="auto"/>
          <w:sz w:val="24"/>
          <w:szCs w:val="24"/>
        </w:rPr>
        <w:t>数字证书（证书须在有效期内）。</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s="宋体"/>
          <w:bCs/>
          <w:color w:val="auto"/>
          <w:sz w:val="24"/>
          <w:szCs w:val="24"/>
        </w:rPr>
        <w:t>3</w:t>
      </w:r>
      <w:r>
        <w:rPr>
          <w:rFonts w:hAnsi="宋体"/>
          <w:color w:val="auto"/>
          <w:sz w:val="24"/>
          <w:szCs w:val="24"/>
        </w:rPr>
        <w:t>.</w:t>
      </w:r>
      <w:r>
        <w:rPr>
          <w:rFonts w:hint="eastAsia" w:hAnsi="宋体"/>
          <w:color w:val="auto"/>
          <w:sz w:val="24"/>
          <w:szCs w:val="24"/>
        </w:rPr>
        <w:t>电子投标文件的制作</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 xml:space="preserve">3.1 </w:t>
      </w:r>
      <w:r>
        <w:rPr>
          <w:rFonts w:hint="eastAsia" w:hAnsi="宋体"/>
          <w:color w:val="auto"/>
          <w:sz w:val="24"/>
          <w:szCs w:val="24"/>
        </w:rPr>
        <w:t>投标人登录《全国公共资源交易平台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sz w:val="24"/>
          <w:szCs w:val="24"/>
        </w:rPr>
        <w:fldChar w:fldCharType="begin"/>
      </w:r>
      <w:r>
        <w:rPr>
          <w:color w:val="auto"/>
          <w:sz w:val="24"/>
          <w:szCs w:val="24"/>
        </w:rPr>
        <w:instrText xml:space="preserve">HYPERLINK "http://221.14.6.70:8088/ggzy/"</w:instrText>
      </w:r>
      <w:r>
        <w:rPr>
          <w:color w:val="auto"/>
          <w:sz w:val="24"/>
          <w:szCs w:val="24"/>
        </w:rPr>
        <w:fldChar w:fldCharType="separate"/>
      </w:r>
      <w:r>
        <w:rPr>
          <w:rStyle w:val="39"/>
          <w:rFonts w:hAnsi="宋体"/>
          <w:color w:val="auto"/>
          <w:sz w:val="24"/>
          <w:szCs w:val="24"/>
        </w:rPr>
        <w:t>http://221.14.6.70:8088/ggzy/</w:t>
      </w:r>
      <w:r>
        <w:rPr>
          <w:color w:val="auto"/>
          <w:sz w:val="24"/>
          <w:szCs w:val="24"/>
        </w:rPr>
        <w:fldChar w:fldCharType="end"/>
      </w:r>
      <w:r>
        <w:rPr>
          <w:rFonts w:hint="eastAsia" w:hAnsi="宋体"/>
          <w:color w:val="auto"/>
          <w:sz w:val="24"/>
          <w:szCs w:val="24"/>
        </w:rPr>
        <w:t>）下载“许昌投标文件制作系统</w:t>
      </w:r>
      <w:r>
        <w:rPr>
          <w:rFonts w:hAnsi="宋体"/>
          <w:color w:val="auto"/>
          <w:sz w:val="24"/>
          <w:szCs w:val="24"/>
        </w:rPr>
        <w:t>SEARUN V1.1</w:t>
      </w:r>
      <w:r>
        <w:rPr>
          <w:rFonts w:hint="eastAsia" w:hAnsi="宋体"/>
          <w:color w:val="auto"/>
          <w:sz w:val="24"/>
          <w:szCs w:val="24"/>
        </w:rPr>
        <w:t>”，按招标文件要求制作电子投标文件。</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int="eastAsia" w:hAnsi="宋体"/>
          <w:color w:val="auto"/>
          <w:sz w:val="24"/>
          <w:szCs w:val="24"/>
        </w:rPr>
        <w:t>电子投标文件的制作，参考《全国公共资源交易平台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Ansi="宋体"/>
          <w:color w:val="auto"/>
          <w:sz w:val="24"/>
          <w:szCs w:val="24"/>
        </w:rPr>
        <w:t>)</w:t>
      </w:r>
      <w:r>
        <w:rPr>
          <w:rFonts w:hint="eastAsia" w:hAnsi="宋体"/>
          <w:color w:val="auto"/>
          <w:sz w:val="24"/>
          <w:szCs w:val="24"/>
        </w:rPr>
        <w:t>》公共资源交易系统——组件下载——交易系统操作手册（投标人、供应商）。</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 xml:space="preserve">3.2 </w:t>
      </w:r>
      <w:r>
        <w:rPr>
          <w:rFonts w:hint="eastAsia" w:hAnsi="宋体"/>
          <w:color w:val="auto"/>
          <w:sz w:val="24"/>
          <w:szCs w:val="24"/>
        </w:rPr>
        <w:t>投标人须将招标文件要求的资质、业绩、荣誉及相关人员证明材料等资料原件扫描件（或图片）制作到所提交的电子投标文件中。</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int="eastAsia" w:hAnsi="宋体"/>
          <w:color w:val="auto"/>
          <w:sz w:val="24"/>
          <w:szCs w:val="24"/>
        </w:rPr>
        <w:t>一个标段对应生成一个文件夹（</w:t>
      </w:r>
      <w:r>
        <w:rPr>
          <w:rFonts w:hAnsi="宋体"/>
          <w:color w:val="auto"/>
          <w:sz w:val="24"/>
          <w:szCs w:val="24"/>
        </w:rPr>
        <w:t>xxxx</w:t>
      </w:r>
      <w:r>
        <w:rPr>
          <w:rFonts w:hint="eastAsia" w:hAnsi="宋体"/>
          <w:color w:val="auto"/>
          <w:sz w:val="24"/>
          <w:szCs w:val="24"/>
        </w:rPr>
        <w:t>项目</w:t>
      </w:r>
      <w:r>
        <w:rPr>
          <w:rFonts w:hAnsi="宋体"/>
          <w:color w:val="auto"/>
          <w:sz w:val="24"/>
          <w:szCs w:val="24"/>
        </w:rPr>
        <w:t>xx</w:t>
      </w:r>
      <w:r>
        <w:rPr>
          <w:rFonts w:hint="eastAsia" w:hAnsi="宋体"/>
          <w:color w:val="auto"/>
          <w:sz w:val="24"/>
          <w:szCs w:val="24"/>
        </w:rPr>
        <w:t>标段）</w:t>
      </w:r>
      <w:r>
        <w:rPr>
          <w:rFonts w:hAnsi="宋体"/>
          <w:color w:val="auto"/>
          <w:sz w:val="24"/>
          <w:szCs w:val="24"/>
        </w:rPr>
        <w:t xml:space="preserve">, </w:t>
      </w:r>
      <w:r>
        <w:rPr>
          <w:rFonts w:hint="eastAsia" w:hAnsi="宋体"/>
          <w:color w:val="auto"/>
          <w:sz w:val="24"/>
          <w:szCs w:val="24"/>
        </w:rPr>
        <w:t>其中包含</w:t>
      </w:r>
      <w:r>
        <w:rPr>
          <w:rFonts w:hAnsi="宋体"/>
          <w:color w:val="auto"/>
          <w:sz w:val="24"/>
          <w:szCs w:val="24"/>
        </w:rPr>
        <w:t>2</w:t>
      </w:r>
      <w:r>
        <w:rPr>
          <w:rFonts w:hint="eastAsia" w:hAnsi="宋体"/>
          <w:color w:val="auto"/>
          <w:sz w:val="24"/>
          <w:szCs w:val="24"/>
        </w:rPr>
        <w:t>个文件和</w:t>
      </w:r>
      <w:r>
        <w:rPr>
          <w:rFonts w:hAnsi="宋体"/>
          <w:color w:val="auto"/>
          <w:sz w:val="24"/>
          <w:szCs w:val="24"/>
        </w:rPr>
        <w:t>1</w:t>
      </w:r>
      <w:r>
        <w:rPr>
          <w:rFonts w:hint="eastAsia" w:hAnsi="宋体"/>
          <w:color w:val="auto"/>
          <w:sz w:val="24"/>
          <w:szCs w:val="24"/>
        </w:rPr>
        <w:t>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keepNext w:val="0"/>
        <w:keepLines w:val="0"/>
        <w:pageBreakBefore w:val="0"/>
        <w:kinsoku/>
        <w:wordWrap/>
        <w:overflowPunct/>
        <w:topLinePunct w:val="0"/>
        <w:autoSpaceDE/>
        <w:autoSpaceDN/>
        <w:bidi w:val="0"/>
        <w:adjustRightInd/>
        <w:snapToGrid w:val="0"/>
        <w:spacing w:line="300" w:lineRule="auto"/>
        <w:ind w:left="-105" w:leftChars="-50" w:right="-105" w:rightChars="-50" w:firstLine="602"/>
        <w:textAlignment w:val="auto"/>
        <w:rPr>
          <w:rFonts w:hint="eastAsia" w:hAnsi="宋体" w:cs="宋体"/>
          <w:b/>
          <w:bCs/>
          <w:color w:val="auto"/>
          <w:sz w:val="24"/>
          <w:szCs w:val="24"/>
        </w:rPr>
      </w:pPr>
      <w:r>
        <w:rPr>
          <w:rFonts w:hAnsi="宋体" w:cs="宋体"/>
          <w:b/>
          <w:bCs/>
          <w:color w:val="auto"/>
          <w:sz w:val="24"/>
          <w:szCs w:val="24"/>
        </w:rPr>
        <w:t>4.</w:t>
      </w:r>
      <w:r>
        <w:rPr>
          <w:rFonts w:hint="eastAsia" w:hAnsi="宋体" w:cs="宋体"/>
          <w:b/>
          <w:bCs/>
          <w:color w:val="auto"/>
          <w:sz w:val="24"/>
          <w:szCs w:val="24"/>
        </w:rPr>
        <w:t>电子投标文件的提交</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4.1</w:t>
      </w:r>
      <w:r>
        <w:rPr>
          <w:rFonts w:hint="eastAsia" w:hAnsi="宋体"/>
          <w:color w:val="auto"/>
          <w:sz w:val="24"/>
          <w:szCs w:val="24"/>
        </w:rPr>
        <w:t>电子投标文件应在招标文件规定的投标文件提交截止时间（开标时间）之前成功提交至《全国公共资源交易平台</w:t>
      </w:r>
      <w:r>
        <w:rPr>
          <w:rFonts w:hAnsi="宋体"/>
          <w:color w:val="auto"/>
          <w:sz w:val="24"/>
          <w:szCs w:val="24"/>
        </w:rPr>
        <w:t>(</w:t>
      </w:r>
      <w:r>
        <w:rPr>
          <w:rFonts w:hint="eastAsia" w:hAnsi="宋体"/>
          <w:color w:val="auto"/>
          <w:sz w:val="24"/>
          <w:szCs w:val="24"/>
        </w:rPr>
        <w:t>河南省▪许昌市</w:t>
      </w:r>
      <w:r>
        <w:rPr>
          <w:rFonts w:hAnsi="宋体"/>
          <w:color w:val="auto"/>
          <w:sz w:val="24"/>
          <w:szCs w:val="24"/>
        </w:rPr>
        <w:t>)</w:t>
      </w:r>
      <w:r>
        <w:rPr>
          <w:rFonts w:hint="eastAsia" w:hAnsi="宋体"/>
          <w:color w:val="auto"/>
          <w:sz w:val="24"/>
          <w:szCs w:val="24"/>
        </w:rPr>
        <w:t>》公共资源交易系统（</w:t>
      </w:r>
      <w:r>
        <w:rPr>
          <w:rFonts w:hAnsi="宋体"/>
          <w:color w:val="auto"/>
          <w:sz w:val="24"/>
          <w:szCs w:val="24"/>
        </w:rPr>
        <w:fldChar w:fldCharType="begin"/>
      </w:r>
      <w:r>
        <w:rPr>
          <w:rFonts w:hAnsi="宋体"/>
          <w:color w:val="auto"/>
          <w:sz w:val="24"/>
          <w:szCs w:val="24"/>
        </w:rPr>
        <w:instrText xml:space="preserve">HYPERLINK "http://221.14.6.70:8088/ggzy/"</w:instrText>
      </w:r>
      <w:r>
        <w:rPr>
          <w:rFonts w:hAnsi="宋体"/>
          <w:color w:val="auto"/>
          <w:sz w:val="24"/>
          <w:szCs w:val="24"/>
        </w:rPr>
        <w:fldChar w:fldCharType="separate"/>
      </w:r>
      <w:r>
        <w:rPr>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int="eastAsia" w:hAnsi="宋体"/>
          <w:color w:val="auto"/>
          <w:sz w:val="24"/>
          <w:szCs w:val="24"/>
        </w:rPr>
        <w:t>投标人应充分考虑并预留技术处理和上传数据所需时间。</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 xml:space="preserve">4.2 </w:t>
      </w:r>
      <w:r>
        <w:rPr>
          <w:rFonts w:hint="eastAsia" w:hAnsi="宋体"/>
          <w:color w:val="auto"/>
          <w:sz w:val="24"/>
          <w:szCs w:val="24"/>
        </w:rPr>
        <w:t>投标人对同一项目多个标段进行投标的，电子投标文件应按标段分别提交。</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 xml:space="preserve">4.3 </w:t>
      </w:r>
      <w:r>
        <w:rPr>
          <w:rFonts w:hint="eastAsia" w:hAnsi="宋体"/>
          <w:color w:val="auto"/>
          <w:sz w:val="24"/>
          <w:szCs w:val="24"/>
        </w:rPr>
        <w:t>电子投标文件成功提交后，投标人应打印“投标文件提交回执单”，供开标现场备查。</w:t>
      </w:r>
    </w:p>
    <w:p>
      <w:pPr>
        <w:keepNext w:val="0"/>
        <w:keepLines w:val="0"/>
        <w:pageBreakBefore w:val="0"/>
        <w:kinsoku/>
        <w:wordWrap/>
        <w:overflowPunct/>
        <w:topLinePunct w:val="0"/>
        <w:autoSpaceDE/>
        <w:autoSpaceDN/>
        <w:bidi w:val="0"/>
        <w:adjustRightInd/>
        <w:snapToGrid w:val="0"/>
        <w:spacing w:line="300" w:lineRule="auto"/>
        <w:ind w:left="-105" w:leftChars="-50" w:right="-105" w:rightChars="-50" w:firstLine="602"/>
        <w:textAlignment w:val="auto"/>
        <w:rPr>
          <w:rFonts w:hAnsi="宋体" w:cs="宋体"/>
          <w:b/>
          <w:bCs/>
          <w:color w:val="auto"/>
          <w:sz w:val="24"/>
          <w:szCs w:val="24"/>
        </w:rPr>
      </w:pPr>
      <w:r>
        <w:rPr>
          <w:rFonts w:hAnsi="宋体" w:cs="宋体"/>
          <w:b/>
          <w:bCs/>
          <w:color w:val="auto"/>
          <w:sz w:val="24"/>
          <w:szCs w:val="24"/>
        </w:rPr>
        <w:t>5.</w:t>
      </w:r>
      <w:r>
        <w:rPr>
          <w:rFonts w:hint="eastAsia" w:hAnsi="宋体" w:cs="宋体"/>
          <w:b/>
          <w:bCs/>
          <w:color w:val="auto"/>
          <w:sz w:val="24"/>
          <w:szCs w:val="24"/>
        </w:rPr>
        <w:t>评标依据</w:t>
      </w:r>
    </w:p>
    <w:p>
      <w:pPr>
        <w:keepNext w:val="0"/>
        <w:keepLines w:val="0"/>
        <w:pageBreakBefore w:val="0"/>
        <w:widowControl/>
        <w:kinsoku/>
        <w:wordWrap/>
        <w:overflowPunct/>
        <w:topLinePunct w:val="0"/>
        <w:autoSpaceDE/>
        <w:autoSpaceDN/>
        <w:bidi w:val="0"/>
        <w:adjustRightInd/>
        <w:spacing w:line="300" w:lineRule="auto"/>
        <w:ind w:firstLine="600"/>
        <w:textAlignment w:val="auto"/>
        <w:rPr>
          <w:rFonts w:hAnsi="宋体"/>
          <w:color w:val="auto"/>
          <w:sz w:val="24"/>
          <w:szCs w:val="24"/>
        </w:rPr>
      </w:pPr>
      <w:r>
        <w:rPr>
          <w:rFonts w:hAnsi="宋体"/>
          <w:color w:val="auto"/>
          <w:sz w:val="24"/>
          <w:szCs w:val="24"/>
        </w:rPr>
        <w:t>5.1</w:t>
      </w:r>
      <w:r>
        <w:rPr>
          <w:rFonts w:hint="eastAsia" w:hAnsi="宋体"/>
          <w:color w:val="auto"/>
          <w:sz w:val="24"/>
          <w:szCs w:val="24"/>
        </w:rPr>
        <w:t>采用全流程电子化交易评标时，评标委员会以电子投标文件为依据评标。</w:t>
      </w:r>
    </w:p>
    <w:p>
      <w:pPr>
        <w:pStyle w:val="32"/>
        <w:keepNext w:val="0"/>
        <w:keepLines w:val="0"/>
        <w:pageBreakBefore w:val="0"/>
        <w:kinsoku/>
        <w:wordWrap/>
        <w:overflowPunct/>
        <w:topLinePunct w:val="0"/>
        <w:autoSpaceDE/>
        <w:autoSpaceDN/>
        <w:bidi w:val="0"/>
        <w:adjustRightInd/>
        <w:spacing w:line="300" w:lineRule="auto"/>
        <w:ind w:firstLineChars="150"/>
        <w:textAlignment w:val="auto"/>
        <w:rPr>
          <w:rFonts w:hint="eastAsia" w:ascii="宋体" w:hAnsi="宋体" w:cs="宋体"/>
          <w:color w:val="auto"/>
          <w:kern w:val="0"/>
          <w:sz w:val="24"/>
          <w:szCs w:val="24"/>
        </w:rPr>
      </w:pPr>
      <w:r>
        <w:rPr>
          <w:rFonts w:hAnsi="宋体"/>
          <w:color w:val="auto"/>
          <w:sz w:val="24"/>
          <w:szCs w:val="24"/>
        </w:rPr>
        <w:t>5.2</w:t>
      </w:r>
      <w:r>
        <w:rPr>
          <w:rFonts w:hint="eastAsia" w:hAnsi="宋体"/>
          <w:color w:val="auto"/>
          <w:sz w:val="24"/>
          <w:szCs w:val="24"/>
        </w:rPr>
        <w:t>全流程电子化交易系统如因系统异常情况无法完成，将以人工方式进行。评标委员会以投标人</w:t>
      </w:r>
      <w:r>
        <w:rPr>
          <w:rFonts w:hint="eastAsia" w:hAnsi="宋体" w:cs="宋体"/>
          <w:color w:val="auto"/>
          <w:sz w:val="24"/>
          <w:szCs w:val="24"/>
        </w:rPr>
        <w:t>提供的电子介质存储的投标文件为依据评标。</w:t>
      </w:r>
    </w:p>
    <w:p>
      <w:pPr>
        <w:pStyle w:val="32"/>
        <w:spacing w:after="0" w:line="460" w:lineRule="exact"/>
        <w:ind w:firstLine="480" w:firstLineChars="200"/>
        <w:jc w:val="center"/>
        <w:rPr>
          <w:rFonts w:hint="eastAsia" w:cs="宋体" w:asciiTheme="minorEastAsia" w:hAnsiTheme="minorEastAsia" w:eastAsiaTheme="minorEastAsia"/>
          <w:color w:val="auto"/>
          <w:sz w:val="24"/>
        </w:rPr>
      </w:pPr>
    </w:p>
    <w:p>
      <w:pPr>
        <w:pStyle w:val="32"/>
        <w:ind w:firstLine="210"/>
        <w:rPr>
          <w:color w:val="auto"/>
        </w:rPr>
      </w:pPr>
      <w:r>
        <w:rPr>
          <w:color w:val="auto"/>
        </w:rPr>
        <w:br w:type="page"/>
      </w:r>
    </w:p>
    <w:p>
      <w:pPr>
        <w:pStyle w:val="32"/>
        <w:ind w:firstLine="0" w:firstLineChars="0"/>
        <w:jc w:val="center"/>
        <w:rPr>
          <w:rFonts w:ascii="宋体" w:hAnsi="宋体" w:cs="宋体"/>
          <w:b/>
          <w:bCs/>
          <w:color w:val="auto"/>
          <w:sz w:val="44"/>
          <w:szCs w:val="44"/>
        </w:rPr>
      </w:pPr>
      <w:bookmarkStart w:id="7" w:name="_Toc17593"/>
      <w:bookmarkStart w:id="8" w:name="_Toc15029"/>
      <w:bookmarkStart w:id="9" w:name="_Toc19466"/>
      <w:bookmarkStart w:id="10" w:name="_Toc18374"/>
      <w:r>
        <w:rPr>
          <w:rFonts w:hint="eastAsia" w:ascii="宋体" w:hAnsi="宋体" w:cs="宋体"/>
          <w:b/>
          <w:bCs/>
          <w:color w:val="auto"/>
          <w:sz w:val="44"/>
          <w:szCs w:val="44"/>
        </w:rPr>
        <w:t>第二章 投标人须知</w:t>
      </w:r>
      <w:bookmarkEnd w:id="7"/>
      <w:bookmarkEnd w:id="8"/>
      <w:bookmarkEnd w:id="9"/>
      <w:bookmarkEnd w:id="10"/>
      <w:bookmarkStart w:id="11" w:name="_Toc1802"/>
    </w:p>
    <w:p>
      <w:pPr>
        <w:pStyle w:val="30"/>
        <w:widowControl/>
        <w:shd w:val="clear" w:color="060000" w:fill="FFFFFF"/>
        <w:spacing w:before="0" w:beforeAutospacing="0" w:after="0" w:afterAutospacing="0" w:line="288" w:lineRule="auto"/>
        <w:outlineLvl w:val="1"/>
        <w:rPr>
          <w:rFonts w:ascii="宋体" w:hAnsi="宋体" w:cs="宋体"/>
          <w:b/>
          <w:color w:val="auto"/>
        </w:rPr>
      </w:pPr>
      <w:bookmarkStart w:id="12" w:name="_Toc21334"/>
      <w:bookmarkStart w:id="13" w:name="_Toc517940855"/>
      <w:r>
        <w:rPr>
          <w:rFonts w:hint="eastAsia" w:ascii="宋体" w:hAnsi="宋体" w:cs="宋体"/>
          <w:b/>
          <w:color w:val="auto"/>
        </w:rPr>
        <w:t>投标人须知前附表</w:t>
      </w:r>
      <w:bookmarkEnd w:id="11"/>
      <w:bookmarkEnd w:id="12"/>
      <w:bookmarkEnd w:id="13"/>
    </w:p>
    <w:tbl>
      <w:tblPr>
        <w:tblStyle w:val="33"/>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281"/>
        <w:gridCol w:w="2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color w:val="auto"/>
                <w:kern w:val="0"/>
                <w:sz w:val="24"/>
              </w:rPr>
            </w:pPr>
            <w:r>
              <w:rPr>
                <w:rFonts w:hint="eastAsia" w:ascii="宋体" w:hAnsi="宋体" w:cs="宋体"/>
                <w:b/>
                <w:color w:val="auto"/>
                <w:kern w:val="0"/>
                <w:sz w:val="24"/>
              </w:rPr>
              <w:t>条款号</w:t>
            </w:r>
          </w:p>
        </w:tc>
        <w:tc>
          <w:tcPr>
            <w:tcW w:w="2384" w:type="dxa"/>
            <w:gridSpan w:val="4"/>
            <w:vAlign w:val="center"/>
          </w:tcPr>
          <w:p>
            <w:pPr>
              <w:spacing w:line="312" w:lineRule="auto"/>
              <w:jc w:val="center"/>
              <w:rPr>
                <w:rFonts w:ascii="宋体" w:hAnsi="宋体" w:cs="宋体"/>
                <w:b/>
                <w:color w:val="auto"/>
                <w:kern w:val="0"/>
                <w:sz w:val="24"/>
              </w:rPr>
            </w:pPr>
            <w:r>
              <w:rPr>
                <w:rFonts w:hint="eastAsia" w:ascii="宋体" w:hAnsi="宋体" w:cs="宋体"/>
                <w:b/>
                <w:color w:val="auto"/>
                <w:kern w:val="0"/>
                <w:sz w:val="24"/>
              </w:rPr>
              <w:t>条  款  名  称</w:t>
            </w:r>
          </w:p>
        </w:tc>
        <w:tc>
          <w:tcPr>
            <w:tcW w:w="6441" w:type="dxa"/>
            <w:vAlign w:val="center"/>
          </w:tcPr>
          <w:p>
            <w:pPr>
              <w:spacing w:line="312" w:lineRule="auto"/>
              <w:jc w:val="center"/>
              <w:rPr>
                <w:rFonts w:ascii="宋体" w:hAnsi="宋体" w:cs="宋体"/>
                <w:b/>
                <w:color w:val="auto"/>
                <w:kern w:val="0"/>
                <w:sz w:val="24"/>
              </w:rPr>
            </w:pPr>
            <w:r>
              <w:rPr>
                <w:rFonts w:hint="eastAsia" w:ascii="宋体" w:hAnsi="宋体" w:cs="宋体"/>
                <w:b/>
                <w:color w:val="auto"/>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招标人</w:t>
            </w:r>
          </w:p>
        </w:tc>
        <w:tc>
          <w:tcPr>
            <w:tcW w:w="6441" w:type="dxa"/>
            <w:vAlign w:val="center"/>
          </w:tcPr>
          <w:p>
            <w:pPr>
              <w:pStyle w:val="30"/>
              <w:widowControl/>
              <w:shd w:val="clear" w:color="060000" w:fill="FFFFFF"/>
              <w:spacing w:before="0" w:beforeAutospacing="0" w:after="0" w:afterAutospacing="0" w:line="400" w:lineRule="exact"/>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 xml:space="preserve">招标人：许昌经济技术开发区法制与社会服务局  </w:t>
            </w:r>
          </w:p>
          <w:p>
            <w:pPr>
              <w:pStyle w:val="30"/>
              <w:widowControl/>
              <w:shd w:val="clear" w:color="060000" w:fill="FFFFFF"/>
              <w:spacing w:before="0" w:beforeAutospacing="0" w:after="0" w:afterAutospacing="0" w:line="400" w:lineRule="exact"/>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地  址：许昌经济技术开发区院内</w:t>
            </w:r>
          </w:p>
          <w:p>
            <w:pPr>
              <w:pStyle w:val="30"/>
              <w:widowControl/>
              <w:shd w:val="clear" w:color="060000" w:fill="FFFFFF"/>
              <w:spacing w:before="0" w:beforeAutospacing="0" w:after="0" w:afterAutospacing="0" w:line="400" w:lineRule="exact"/>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联系人：李先生     </w:t>
            </w:r>
          </w:p>
          <w:p>
            <w:pPr>
              <w:pStyle w:val="30"/>
              <w:widowControl/>
              <w:shd w:val="clear" w:color="060000" w:fill="FFFFFF"/>
              <w:spacing w:before="0" w:beforeAutospacing="0" w:after="0" w:afterAutospacing="0" w:line="400" w:lineRule="exact"/>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highlight w:val="none"/>
              </w:rPr>
              <w:t>电  话：0374-8588029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代理机构</w:t>
            </w:r>
          </w:p>
        </w:tc>
        <w:tc>
          <w:tcPr>
            <w:tcW w:w="6441" w:type="dxa"/>
            <w:vAlign w:val="center"/>
          </w:tcPr>
          <w:p>
            <w:pPr>
              <w:autoSpaceDE w:val="0"/>
              <w:autoSpaceDN w:val="0"/>
              <w:adjustRightInd w:val="0"/>
              <w:spacing w:line="400" w:lineRule="exac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代理机构：河南远大建设工程管理有限公司           </w:t>
            </w:r>
          </w:p>
          <w:p>
            <w:pPr>
              <w:autoSpaceDE w:val="0"/>
              <w:autoSpaceDN w:val="0"/>
              <w:adjustRightInd w:val="0"/>
              <w:spacing w:line="400" w:lineRule="exac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地    址：许昌市智慧大道中央金座D座5层</w:t>
            </w:r>
          </w:p>
          <w:p>
            <w:pPr>
              <w:autoSpaceDE w:val="0"/>
              <w:autoSpaceDN w:val="0"/>
              <w:adjustRightInd w:val="0"/>
              <w:spacing w:line="400" w:lineRule="exac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项目负责人：张女士</w:t>
            </w:r>
          </w:p>
          <w:p>
            <w:pPr>
              <w:autoSpaceDE w:val="0"/>
              <w:autoSpaceDN w:val="0"/>
              <w:adjustRightInd w:val="0"/>
              <w:spacing w:line="400" w:lineRule="exact"/>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val="zh-CN"/>
              </w:rPr>
              <w:t>电    话：0374-2791566</w:t>
            </w:r>
            <w:r>
              <w:rPr>
                <w:rFonts w:hint="eastAsia" w:cs="宋体" w:asciiTheme="minorEastAsia" w:hAnsiTheme="minorEastAsia" w:eastAsiaTheme="minorEastAsia"/>
                <w:color w:val="auto"/>
                <w:kern w:val="0"/>
                <w:sz w:val="24"/>
                <w:lang w:val="en-US" w:eastAsia="zh-CN"/>
              </w:rPr>
              <w:t xml:space="preserve"> 15290910904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1.1.3</w:t>
            </w:r>
          </w:p>
        </w:tc>
        <w:tc>
          <w:tcPr>
            <w:tcW w:w="2384" w:type="dxa"/>
            <w:gridSpan w:val="4"/>
            <w:vAlign w:val="center"/>
          </w:tcPr>
          <w:p>
            <w:pPr>
              <w:spacing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6441" w:type="dxa"/>
            <w:vAlign w:val="center"/>
          </w:tcPr>
          <w:p>
            <w:pPr>
              <w:autoSpaceDE w:val="0"/>
              <w:autoSpaceDN w:val="0"/>
              <w:adjustRightInd w:val="0"/>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许昌市颍汝干渠综合整治工程</w:t>
            </w:r>
            <w:r>
              <w:rPr>
                <w:rFonts w:hint="eastAsia" w:cs="宋体" w:asciiTheme="minorEastAsia" w:hAnsiTheme="minorEastAsia" w:eastAsiaTheme="minorEastAsia"/>
                <w:color w:val="auto"/>
                <w:sz w:val="24"/>
                <w:lang w:eastAsia="zh-CN"/>
              </w:rPr>
              <w:t>（经济技术开发区段）二期</w:t>
            </w:r>
            <w:r>
              <w:rPr>
                <w:rFonts w:hint="eastAsia" w:cs="宋体" w:asciiTheme="minorEastAsia" w:hAnsiTheme="minorEastAsia" w:eastAsiaTheme="min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1.1.4</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建设地点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颍汝干渠经济技术开发区段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资金落实情况</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1.2.3</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标段划分</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1.3.1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招标范围</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本工程招标文件、工程量清单、施工图纸、设计变更（如有）及答疑纪要（如有）范围内的所有工程内容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1.3.2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计划工期</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9</w:t>
            </w:r>
            <w:r>
              <w:rPr>
                <w:rFonts w:hint="eastAsia" w:cs="宋体" w:asciiTheme="minorEastAsia" w:hAnsiTheme="minorEastAsia" w:eastAsiaTheme="minorEastAsia"/>
                <w:color w:val="auto"/>
                <w:kern w:val="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1.3.3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质量要求</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1.4.1</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投标人资质条件和能力</w:t>
            </w:r>
          </w:p>
        </w:tc>
        <w:tc>
          <w:tcPr>
            <w:tcW w:w="6441" w:type="dxa"/>
            <w:vAlign w:val="center"/>
          </w:tcPr>
          <w:p>
            <w:pPr>
              <w:numPr>
                <w:ilvl w:val="0"/>
                <w:numId w:val="2"/>
              </w:numPr>
              <w:spacing w:line="400" w:lineRule="exact"/>
              <w:jc w:val="left"/>
              <w:outlineLvl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具有独立企业法人资格，具有有效的营业执照、税务登记证、组织机构代码证（或三证合一的营业执照），并且经营范围包括水利水电工程施工和园林绿化工程施工；具备水利水电工程施工总承包贰级及以上资质、具有有效的安全生产许可证；并在人员、设备、资金等方面具有相应的施工能力。</w:t>
            </w:r>
          </w:p>
          <w:p>
            <w:pPr>
              <w:numPr>
                <w:ilvl w:val="0"/>
                <w:numId w:val="2"/>
              </w:numPr>
              <w:spacing w:line="400" w:lineRule="exact"/>
              <w:jc w:val="left"/>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拟派项目负责人必须具备水利水电专业贰级以上注册建造师资格（不含临时），且无在建工程（出具加盖公章的无在建工程承诺书）。</w:t>
            </w:r>
          </w:p>
          <w:p>
            <w:pPr>
              <w:numPr>
                <w:ilvl w:val="0"/>
                <w:numId w:val="2"/>
              </w:numPr>
              <w:spacing w:line="400" w:lineRule="exact"/>
              <w:jc w:val="left"/>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技术负责人应具有水利水电工程相关专业中级及以上技术职称。</w:t>
            </w:r>
          </w:p>
          <w:p>
            <w:pPr>
              <w:numPr>
                <w:ilvl w:val="0"/>
                <w:numId w:val="2"/>
              </w:numPr>
              <w:spacing w:line="400" w:lineRule="exact"/>
              <w:jc w:val="left"/>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企业主要负责人、拟派项目负责人和专职安全员应取得水行政主管部门核发的安全生产考核合格证。</w:t>
            </w:r>
          </w:p>
          <w:p>
            <w:pPr>
              <w:numPr>
                <w:ilvl w:val="0"/>
                <w:numId w:val="2"/>
              </w:numPr>
              <w:spacing w:line="400" w:lineRule="exact"/>
              <w:jc w:val="left"/>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投标单位需提供企业住所地人社部门出具的项目负责人及委托代理人2019年6月1日到2019年10月1日以来（任意三个月）社会保险证明（或相关缴纳凭证）。</w:t>
            </w:r>
          </w:p>
          <w:p>
            <w:pPr>
              <w:numPr>
                <w:ilvl w:val="0"/>
                <w:numId w:val="2"/>
              </w:numPr>
              <w:spacing w:line="400" w:lineRule="exact"/>
              <w:jc w:val="left"/>
              <w:outlineLvl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不能被“信用中国”（https://www.creditchina.gov.cn/）和“信用河南”（http://www.credithn.gov.cn/）网站信用信息栏列入黑名单，不能被“国家企业信用信息公示系统”（http://www.gsxt.gov.cn/index.html）列入经营异常名录或严重违法失信企业名单，不能被“中国执行信息公开网”（http://zxgk.court.gov.cn/）列入失信被执行人名单，不能被国家税务总局网站（http://hd.chinatax.gov.cn/xxk/）列入重大税收违法案件信息公布栏。需提供查询结果页面截图，若有不良记录，报名无效（执行财库【2016】125号文）（以网上公示为准）。</w:t>
            </w:r>
          </w:p>
          <w:p>
            <w:pPr>
              <w:numPr>
                <w:ilvl w:val="0"/>
                <w:numId w:val="2"/>
              </w:numPr>
              <w:spacing w:line="400" w:lineRule="exact"/>
              <w:jc w:val="left"/>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及其主要参建人员须在全国水利建设市场监管服务平台信用信息公开（以网上公示为准，提供网页截图）;委托代理人应是全国水利建设市场监管服务平台公开的人员。投标人不能被全国水利建设市场监管服务平台列入失信黑名单。(以网页公示为准)。</w:t>
            </w:r>
          </w:p>
          <w:p>
            <w:pPr>
              <w:numPr>
                <w:ilvl w:val="0"/>
                <w:numId w:val="2"/>
              </w:numPr>
              <w:spacing w:line="400" w:lineRule="exact"/>
              <w:jc w:val="left"/>
              <w:outlineLvl w:val="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本次招标不接受联合体投标。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1.4.2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是否接受联合体投标</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1.9.1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踏勘现场</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投标预备会</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投标人提出问题的截止时间</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1.10.3</w:t>
            </w:r>
          </w:p>
        </w:tc>
        <w:tc>
          <w:tcPr>
            <w:tcW w:w="2384" w:type="dxa"/>
            <w:gridSpan w:val="4"/>
            <w:vAlign w:val="center"/>
          </w:tcPr>
          <w:p>
            <w:pPr>
              <w:spacing w:line="400" w:lineRule="exact"/>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招标人澄清的时间</w:t>
            </w:r>
          </w:p>
        </w:tc>
        <w:tc>
          <w:tcPr>
            <w:tcW w:w="6441" w:type="dxa"/>
            <w:vAlign w:val="center"/>
          </w:tcPr>
          <w:p>
            <w:pPr>
              <w:spacing w:line="400" w:lineRule="exact"/>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分  包</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偏  离</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构成招标文件的其他材料</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2.1.1</w:t>
            </w:r>
          </w:p>
        </w:tc>
        <w:tc>
          <w:tcPr>
            <w:tcW w:w="2384" w:type="dxa"/>
            <w:gridSpan w:val="4"/>
            <w:vAlign w:val="center"/>
          </w:tcPr>
          <w:p>
            <w:pPr>
              <w:spacing w:line="400" w:lineRule="exact"/>
              <w:jc w:val="center"/>
              <w:rPr>
                <w:rFonts w:cs="黑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招标文件及图纸的下载</w:t>
            </w:r>
          </w:p>
        </w:tc>
        <w:tc>
          <w:tcPr>
            <w:tcW w:w="6441" w:type="dxa"/>
          </w:tcPr>
          <w:p>
            <w:pPr>
              <w:autoSpaceDE w:val="0"/>
              <w:autoSpaceDN w:val="0"/>
              <w:adjustRightInd w:val="0"/>
              <w:spacing w:line="400" w:lineRule="exac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招标文件的获取：投标人于投标文件递交截止时间前均可登录【全国公共资源交易平台(河南省▪许昌市)】（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s="仿宋_GB2312" w:asciiTheme="minorEastAsia" w:hAnsiTheme="minorEastAsia" w:eastAsiaTheme="minorEastAsia"/>
                <w:color w:val="auto"/>
                <w:sz w:val="24"/>
              </w:rPr>
              <w:t>http://www.xczbtb.com/</w:t>
            </w:r>
            <w:r>
              <w:rPr>
                <w:rFonts w:hint="eastAsia" w:cs="仿宋_GB2312" w:asciiTheme="minorEastAsia" w:hAnsiTheme="minorEastAsia" w:eastAsiaTheme="minorEastAsia"/>
                <w:color w:val="auto"/>
                <w:sz w:val="24"/>
              </w:rPr>
              <w:fldChar w:fldCharType="end"/>
            </w:r>
            <w:r>
              <w:rPr>
                <w:rFonts w:hint="eastAsia" w:cs="仿宋_GB2312" w:asciiTheme="minorEastAsia" w:hAnsiTheme="minorEastAsia" w:eastAsiaTheme="minorEastAsia"/>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2.2.1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投标人要求澄清招标文件的截止时间</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w:t>
            </w:r>
          </w:p>
        </w:tc>
        <w:tc>
          <w:tcPr>
            <w:tcW w:w="2384" w:type="dxa"/>
            <w:gridSpan w:val="4"/>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投标截止时间</w:t>
            </w:r>
          </w:p>
        </w:tc>
        <w:tc>
          <w:tcPr>
            <w:tcW w:w="6441"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2019年</w:t>
            </w:r>
            <w:r>
              <w:rPr>
                <w:rFonts w:hint="eastAsia" w:cs="宋体" w:asciiTheme="minorEastAsia" w:hAnsiTheme="minorEastAsia" w:eastAsiaTheme="minorEastAsia"/>
                <w:color w:val="auto"/>
                <w:sz w:val="24"/>
                <w:lang w:val="en-US" w:eastAsia="zh-CN"/>
              </w:rPr>
              <w:t>11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28</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 xml:space="preserve">9 </w:t>
            </w:r>
            <w:r>
              <w:rPr>
                <w:rFonts w:hint="eastAsia" w:cs="宋体" w:asciiTheme="minorEastAsia" w:hAnsiTheme="minorEastAsia" w:eastAsiaTheme="minorEastAsia"/>
                <w:color w:val="auto"/>
                <w:sz w:val="24"/>
              </w:rPr>
              <w:t>时</w:t>
            </w:r>
            <w:r>
              <w:rPr>
                <w:rFonts w:hint="eastAsia" w:cs="宋体" w:asciiTheme="minorEastAsia" w:hAnsiTheme="minorEastAsia" w:eastAsiaTheme="minorEastAsia"/>
                <w:color w:val="auto"/>
                <w:sz w:val="24"/>
                <w:lang w:val="en-US" w:eastAsia="zh-CN"/>
              </w:rPr>
              <w:t xml:space="preserve">30 </w:t>
            </w:r>
            <w:r>
              <w:rPr>
                <w:rFonts w:hint="eastAsia" w:cs="宋体" w:asciiTheme="minorEastAsia" w:hAnsiTheme="minorEastAsia" w:eastAsiaTheme="minorEastAsia"/>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2.2.3</w:t>
            </w:r>
          </w:p>
        </w:tc>
        <w:tc>
          <w:tcPr>
            <w:tcW w:w="2384" w:type="dxa"/>
            <w:gridSpan w:val="4"/>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投标人确认收到招标文件澄清的时间</w:t>
            </w:r>
          </w:p>
        </w:tc>
        <w:tc>
          <w:tcPr>
            <w:tcW w:w="6441"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2.3.2</w:t>
            </w:r>
          </w:p>
        </w:tc>
        <w:tc>
          <w:tcPr>
            <w:tcW w:w="2384" w:type="dxa"/>
            <w:gridSpan w:val="4"/>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投标人确认收到招标文件修改的时间</w:t>
            </w:r>
          </w:p>
        </w:tc>
        <w:tc>
          <w:tcPr>
            <w:tcW w:w="6441"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3.1.1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构成投标文件的其他材料</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3.3.1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投标有效期</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val="en-US" w:eastAsia="zh-CN"/>
              </w:rPr>
              <w:t>9</w:t>
            </w:r>
            <w:r>
              <w:rPr>
                <w:rFonts w:hint="eastAsia" w:cs="仿宋_GB2312" w:asciiTheme="minorEastAsia" w:hAnsiTheme="minorEastAsia" w:eastAsiaTheme="minorEastAsia"/>
                <w:color w:val="auto"/>
                <w:sz w:val="24"/>
              </w:rPr>
              <w:t>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pacing w:line="400" w:lineRule="exact"/>
              <w:rPr>
                <w:rFonts w:asciiTheme="minorEastAsia" w:hAnsiTheme="minorEastAsia" w:eastAsiaTheme="minorEastAsia"/>
                <w:color w:val="auto"/>
                <w:sz w:val="24"/>
              </w:rPr>
            </w:pPr>
          </w:p>
          <w:p>
            <w:pPr>
              <w:spacing w:line="400" w:lineRule="exact"/>
              <w:jc w:val="center"/>
              <w:rPr>
                <w:rFonts w:cs="宋体" w:asciiTheme="minorEastAsia" w:hAnsiTheme="minorEastAsia" w:eastAsiaTheme="minorEastAsia"/>
                <w:color w:val="auto"/>
                <w:kern w:val="0"/>
                <w:sz w:val="24"/>
              </w:rPr>
            </w:pPr>
          </w:p>
          <w:p>
            <w:pPr>
              <w:spacing w:line="400" w:lineRule="exact"/>
              <w:jc w:val="center"/>
              <w:rPr>
                <w:rFonts w:cs="宋体" w:asciiTheme="minorEastAsia" w:hAnsiTheme="minorEastAsia" w:eastAsiaTheme="minorEastAsia"/>
                <w:color w:val="auto"/>
                <w:kern w:val="0"/>
                <w:sz w:val="24"/>
              </w:rPr>
            </w:pPr>
          </w:p>
          <w:p>
            <w:pPr>
              <w:spacing w:line="400" w:lineRule="exact"/>
              <w:jc w:val="center"/>
              <w:rPr>
                <w:rFonts w:cs="宋体" w:asciiTheme="minorEastAsia" w:hAnsiTheme="minorEastAsia" w:eastAsiaTheme="minorEastAsia"/>
                <w:color w:val="auto"/>
                <w:kern w:val="0"/>
                <w:sz w:val="24"/>
              </w:rPr>
            </w:pPr>
          </w:p>
          <w:p>
            <w:pPr>
              <w:spacing w:line="400" w:lineRule="exact"/>
              <w:jc w:val="center"/>
              <w:rPr>
                <w:rFonts w:cs="宋体" w:asciiTheme="minorEastAsia" w:hAnsiTheme="minorEastAsia" w:eastAsiaTheme="minorEastAsia"/>
                <w:color w:val="auto"/>
                <w:kern w:val="0"/>
                <w:sz w:val="24"/>
              </w:rPr>
            </w:pPr>
          </w:p>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3.4.1</w:t>
            </w:r>
          </w:p>
        </w:tc>
        <w:tc>
          <w:tcPr>
            <w:tcW w:w="2384" w:type="dxa"/>
            <w:gridSpan w:val="4"/>
            <w:vAlign w:val="center"/>
          </w:tcPr>
          <w:p>
            <w:pPr>
              <w:autoSpaceDE w:val="0"/>
              <w:autoSpaceDN w:val="0"/>
              <w:adjustRightInd w:val="0"/>
              <w:spacing w:line="400" w:lineRule="exact"/>
              <w:jc w:val="center"/>
              <w:rPr>
                <w:rFonts w:cs="仿宋_GB2312" w:asciiTheme="minorEastAsia" w:hAnsiTheme="minorEastAsia" w:eastAsiaTheme="minorEastAsia"/>
                <w:color w:val="auto"/>
                <w:sz w:val="24"/>
              </w:rPr>
            </w:pPr>
          </w:p>
          <w:p>
            <w:pPr>
              <w:autoSpaceDE w:val="0"/>
              <w:autoSpaceDN w:val="0"/>
              <w:adjustRightInd w:val="0"/>
              <w:spacing w:line="400" w:lineRule="exact"/>
              <w:jc w:val="center"/>
              <w:rPr>
                <w:rFonts w:cs="仿宋_GB2312" w:asciiTheme="minorEastAsia" w:hAnsiTheme="minorEastAsia" w:eastAsiaTheme="minorEastAsia"/>
                <w:color w:val="auto"/>
                <w:sz w:val="24"/>
              </w:rPr>
            </w:pPr>
          </w:p>
          <w:p>
            <w:pPr>
              <w:autoSpaceDE w:val="0"/>
              <w:autoSpaceDN w:val="0"/>
              <w:adjustRightInd w:val="0"/>
              <w:spacing w:line="400" w:lineRule="exact"/>
              <w:jc w:val="center"/>
              <w:rPr>
                <w:rFonts w:cs="仿宋_GB2312" w:asciiTheme="minorEastAsia" w:hAnsiTheme="minorEastAsia" w:eastAsiaTheme="minorEastAsia"/>
                <w:color w:val="auto"/>
                <w:sz w:val="24"/>
              </w:rPr>
            </w:pPr>
          </w:p>
          <w:p>
            <w:pPr>
              <w:autoSpaceDE w:val="0"/>
              <w:autoSpaceDN w:val="0"/>
              <w:adjustRightInd w:val="0"/>
              <w:spacing w:line="400" w:lineRule="exact"/>
              <w:jc w:val="center"/>
              <w:rPr>
                <w:rFonts w:cs="仿宋_GB2312" w:asciiTheme="minorEastAsia" w:hAnsiTheme="minorEastAsia" w:eastAsiaTheme="minorEastAsia"/>
                <w:color w:val="auto"/>
                <w:sz w:val="24"/>
              </w:rPr>
            </w:pPr>
          </w:p>
          <w:p>
            <w:pPr>
              <w:autoSpaceDE w:val="0"/>
              <w:autoSpaceDN w:val="0"/>
              <w:adjustRightInd w:val="0"/>
              <w:spacing w:line="400" w:lineRule="exact"/>
              <w:jc w:val="center"/>
              <w:rPr>
                <w:rFonts w:cs="仿宋_GB2312" w:asciiTheme="minorEastAsia" w:hAnsiTheme="minorEastAsia" w:eastAsiaTheme="minorEastAsia"/>
                <w:color w:val="auto"/>
                <w:sz w:val="24"/>
              </w:rPr>
            </w:pPr>
          </w:p>
          <w:p>
            <w:pPr>
              <w:autoSpaceDE w:val="0"/>
              <w:autoSpaceDN w:val="0"/>
              <w:adjustRightInd w:val="0"/>
              <w:spacing w:line="400" w:lineRule="exact"/>
              <w:jc w:val="center"/>
              <w:rPr>
                <w:rFonts w:cs="黑体"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投标保证金须知</w:t>
            </w:r>
          </w:p>
        </w:tc>
        <w:tc>
          <w:tcPr>
            <w:tcW w:w="6441" w:type="dxa"/>
            <w:vAlign w:val="center"/>
          </w:tcPr>
          <w:p>
            <w:pPr>
              <w:autoSpaceDE w:val="0"/>
              <w:autoSpaceDN w:val="0"/>
              <w:adjustRightInd w:val="0"/>
              <w:spacing w:line="400" w:lineRule="exact"/>
              <w:jc w:val="left"/>
              <w:rPr>
                <w:rFonts w:asciiTheme="minorEastAsia" w:hAnsiTheme="minorEastAsia" w:eastAsiaTheme="minorEastAsia"/>
                <w:color w:val="auto"/>
                <w:sz w:val="24"/>
              </w:rPr>
            </w:pPr>
            <w:r>
              <w:rPr>
                <w:rFonts w:asciiTheme="minorEastAsia" w:hAnsiTheme="minorEastAsia" w:eastAsiaTheme="minorEastAsia"/>
                <w:color w:val="auto"/>
                <w:sz w:val="24"/>
              </w:rPr>
              <w:t>1、自文件发布之日起，投标人需进行基本户备案（建设工程项目），已备案的基本户开户银行、账户发生变化的，须在投标保证金缴纳前办理变更手续。</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2、基本户备案流程： </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3、特殊情况处理：</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投标人投标过程中因账户开户银行、银行账号发生变化，不能按照来款途径原路返还投标保证金的，投标人须提供原账户开户银行相关证明及新开账户开户许可证，到中心</w:t>
            </w: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楼交易见证部办理退款手续（0374-2968027）。</w:t>
            </w:r>
            <w:r>
              <w:rPr>
                <w:rFonts w:asciiTheme="minorEastAsia" w:hAnsiTheme="minorEastAsia" w:eastAsiaTheme="minorEastAsia"/>
                <w:color w:val="auto"/>
                <w:sz w:val="24"/>
              </w:rPr>
              <w:br w:type="textWrapping"/>
            </w:r>
            <w:r>
              <w:rPr>
                <w:rFonts w:asciiTheme="minorEastAsia" w:hAnsiTheme="minorEastAsia" w:eastAsiaTheme="minorEastAsia"/>
                <w:color w:val="auto"/>
                <w:sz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3.4.2</w:t>
            </w:r>
          </w:p>
        </w:tc>
        <w:tc>
          <w:tcPr>
            <w:tcW w:w="2384" w:type="dxa"/>
            <w:gridSpan w:val="4"/>
            <w:vAlign w:val="center"/>
          </w:tcPr>
          <w:p>
            <w:pPr>
              <w:autoSpaceDE w:val="0"/>
              <w:autoSpaceDN w:val="0"/>
              <w:adjustRightInd w:val="0"/>
              <w:spacing w:line="40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投标保证金</w:t>
            </w:r>
          </w:p>
        </w:tc>
        <w:tc>
          <w:tcPr>
            <w:tcW w:w="6441" w:type="dxa"/>
            <w:vAlign w:val="center"/>
          </w:tcPr>
          <w:p>
            <w:pPr>
              <w:autoSpaceDE w:val="0"/>
              <w:autoSpaceDN w:val="0"/>
              <w:adjustRightInd w:val="0"/>
              <w:spacing w:line="276" w:lineRule="auto"/>
              <w:jc w:val="left"/>
              <w:rPr>
                <w:rFonts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b/>
                <w:bCs/>
                <w:color w:val="auto"/>
                <w:sz w:val="24"/>
              </w:rPr>
              <w:t>投标保证金递交截止时间：同投标截止时间。</w:t>
            </w:r>
          </w:p>
          <w:p>
            <w:pPr>
              <w:pStyle w:val="32"/>
              <w:ind w:firstLine="0" w:firstLineChars="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金额：</w:t>
            </w:r>
            <w:r>
              <w:rPr>
                <w:rFonts w:hint="eastAsia" w:asciiTheme="minorEastAsia" w:hAnsiTheme="minorEastAsia" w:eastAsiaTheme="minorEastAsia" w:cstheme="minorEastAsia"/>
                <w:b/>
                <w:bCs/>
                <w:color w:val="auto"/>
                <w:sz w:val="24"/>
                <w:lang w:eastAsia="zh-CN"/>
              </w:rPr>
              <w:t>伍万伍仟元整</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55000</w:t>
            </w:r>
            <w:r>
              <w:rPr>
                <w:rFonts w:hint="eastAsia" w:asciiTheme="minorEastAsia" w:hAnsiTheme="minorEastAsia" w:eastAsiaTheme="minorEastAsia" w:cstheme="minorEastAsia"/>
                <w:b/>
                <w:bCs/>
                <w:color w:val="auto"/>
                <w:sz w:val="24"/>
              </w:rPr>
              <w:t>.00元）</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3、投标保证金缴纳方式：</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3.1投标人网上报名后，登录http://221.14.6.70:8088/ggzy </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系统，依次点击“会员向导”→“参与投标”→“费用缴纳说明”→“保证金缴纳说明单”，获取缴费说明单，根据每个标段的缴纳说明单在缴纳截止时间前缴纳；</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3.2成功缴纳后重新登录前述系统，依次点击“会员向导”→“参与投标”→“保证金绑定”→“绑定”进行投标保证金绑定。</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4、未按上述规定操作引起的无效投标，由投标人自行负责。</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5、汇款凭证无须备注项目编号和项目名称。</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6、出现以下情形造成的投标保证金无效，由投标人自行负责。</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(1)投标保证金未从投标人的基本账户转出；</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(2)投标保证金未按照招标文件划分的标段依次转账。</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7、《保证金缴纳绑定操作指南》获取方法：</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登录许昌公共资源交易系统-组件下载-《保证金缴纳绑定操作指南》</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9、投标保证金的退还：</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（2）项目废标或招标人终止招标的，在此后5个工作日内退还投标保证金及银行同期活期存利息。</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（3）投标活动中出现质疑、投诉的，中标候选人、质疑人和被质疑人、投诉人和被投诉人的投标保证金暂停退还。</w:t>
            </w:r>
          </w:p>
          <w:p>
            <w:pPr>
              <w:autoSpaceDE w:val="0"/>
              <w:autoSpaceDN w:val="0"/>
              <w:adjustRightInd w:val="0"/>
              <w:spacing w:line="4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（4）相关投标人有违法违规行为的项目，其投标保证金暂不退还，待行政监督部门对相关情况处置后，按照有关规定办理。</w:t>
            </w:r>
          </w:p>
          <w:p>
            <w:pPr>
              <w:autoSpaceDE w:val="0"/>
              <w:autoSpaceDN w:val="0"/>
              <w:adjustRightInd w:val="0"/>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（5）退还投标保证金，除另有规定外，一般以转账方式一次性退还至投标保证金的原提交账户。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3.5.2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近年财务状况的年份要求</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201</w:t>
            </w:r>
            <w:r>
              <w:rPr>
                <w:rFonts w:hint="eastAsia" w:cs="宋体" w:asciiTheme="minorEastAsia" w:hAnsiTheme="minorEastAsia" w:eastAsiaTheme="minorEastAsia"/>
                <w:color w:val="auto"/>
                <w:kern w:val="0"/>
                <w:sz w:val="24"/>
                <w:lang w:val="en-US" w:eastAsia="zh-CN"/>
              </w:rPr>
              <w:t>6</w:t>
            </w:r>
            <w:r>
              <w:rPr>
                <w:rFonts w:hint="eastAsia" w:cs="宋体" w:asciiTheme="minorEastAsia" w:hAnsiTheme="minorEastAsia" w:eastAsiaTheme="minorEastAsia"/>
                <w:color w:val="auto"/>
                <w:kern w:val="0"/>
                <w:sz w:val="24"/>
              </w:rPr>
              <w:t>年、201</w:t>
            </w:r>
            <w:r>
              <w:rPr>
                <w:rFonts w:hint="eastAsia" w:cs="宋体" w:asciiTheme="minorEastAsia" w:hAnsiTheme="minorEastAsia" w:eastAsiaTheme="minorEastAsia"/>
                <w:color w:val="auto"/>
                <w:kern w:val="0"/>
                <w:sz w:val="24"/>
                <w:lang w:val="en-US" w:eastAsia="zh-CN"/>
              </w:rPr>
              <w:t>7</w:t>
            </w:r>
            <w:r>
              <w:rPr>
                <w:rFonts w:hint="eastAsia" w:cs="宋体" w:asciiTheme="minorEastAsia" w:hAnsiTheme="minorEastAsia" w:eastAsiaTheme="minorEastAsia"/>
                <w:color w:val="auto"/>
                <w:kern w:val="0"/>
                <w:sz w:val="24"/>
              </w:rPr>
              <w:t>年、201</w:t>
            </w:r>
            <w:r>
              <w:rPr>
                <w:rFonts w:hint="eastAsia" w:cs="宋体" w:asciiTheme="minorEastAsia" w:hAnsiTheme="minorEastAsia" w:eastAsiaTheme="minorEastAsia"/>
                <w:color w:val="auto"/>
                <w:kern w:val="0"/>
                <w:sz w:val="24"/>
                <w:lang w:val="en-US" w:eastAsia="zh-CN"/>
              </w:rPr>
              <w:t>8</w:t>
            </w:r>
            <w:r>
              <w:rPr>
                <w:rFonts w:hint="eastAsia" w:cs="宋体" w:asciiTheme="minorEastAsia" w:hAnsiTheme="minorEastAsia" w:eastAsiaTheme="minorEastAsia"/>
                <w:color w:val="auto"/>
                <w:kern w:val="0"/>
                <w:sz w:val="24"/>
              </w:rPr>
              <w:t>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3.5.3</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3.5.4</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近年荣誉的年份要求</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3.5.5</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近年发生的诉讼及仲裁情况的年份要求</w:t>
            </w:r>
          </w:p>
        </w:tc>
        <w:tc>
          <w:tcPr>
            <w:tcW w:w="6441" w:type="dxa"/>
            <w:vAlign w:val="center"/>
          </w:tcPr>
          <w:p>
            <w:pPr>
              <w:spacing w:line="400" w:lineRule="exact"/>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kern w:val="0"/>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3.6</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是否允许递交备选投标方案</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3.7.3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签字和（或）盖章要求</w:t>
            </w:r>
          </w:p>
        </w:tc>
        <w:tc>
          <w:tcPr>
            <w:tcW w:w="6441" w:type="dxa"/>
            <w:vAlign w:val="center"/>
          </w:tcPr>
          <w:p>
            <w:pPr>
              <w:autoSpaceDE w:val="0"/>
              <w:autoSpaceDN w:val="0"/>
              <w:adjustRightInd w:val="0"/>
              <w:spacing w:line="400" w:lineRule="exact"/>
              <w:rPr>
                <w:rFonts w:cs="宋体" w:asciiTheme="minorEastAsia" w:hAnsiTheme="minorEastAsia" w:eastAsiaTheme="minorEastAsia"/>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3.7.4</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投标文件份数</w:t>
            </w:r>
          </w:p>
        </w:tc>
        <w:tc>
          <w:tcPr>
            <w:tcW w:w="6441" w:type="dxa"/>
            <w:vAlign w:val="center"/>
          </w:tcPr>
          <w:p>
            <w:pPr>
              <w:autoSpaceDE w:val="0"/>
              <w:autoSpaceDN w:val="0"/>
              <w:adjustRightInd w:val="0"/>
              <w:spacing w:line="360" w:lineRule="auto"/>
              <w:rPr>
                <w:rFonts w:hAnsi="宋体" w:cs="宋体"/>
                <w:color w:val="auto"/>
                <w:sz w:val="24"/>
              </w:rPr>
            </w:pPr>
            <w:r>
              <w:rPr>
                <w:rFonts w:hint="eastAsia" w:hAnsi="宋体" w:cs="宋体"/>
                <w:color w:val="auto"/>
                <w:sz w:val="24"/>
              </w:rPr>
              <w:t>1、电子投标文件</w:t>
            </w:r>
          </w:p>
          <w:p>
            <w:pPr>
              <w:autoSpaceDE w:val="0"/>
              <w:autoSpaceDN w:val="0"/>
              <w:adjustRightInd w:val="0"/>
              <w:spacing w:line="360" w:lineRule="auto"/>
              <w:rPr>
                <w:rFonts w:hAnsi="宋体" w:cs="宋体"/>
                <w:color w:val="auto"/>
                <w:sz w:val="24"/>
              </w:rPr>
            </w:pPr>
            <w:r>
              <w:rPr>
                <w:rFonts w:hint="eastAsia" w:hAnsi="宋体" w:cs="宋体"/>
                <w:color w:val="auto"/>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Ansi="宋体" w:cs="宋体"/>
                <w:color w:val="auto"/>
                <w:sz w:val="24"/>
              </w:rPr>
            </w:pPr>
            <w:r>
              <w:rPr>
                <w:rFonts w:hint="eastAsia" w:hAnsi="宋体" w:cs="宋体"/>
                <w:color w:val="auto"/>
                <w:sz w:val="24"/>
              </w:rPr>
              <w:t>（2）使用电子介质存储的投标文件1份</w:t>
            </w:r>
            <w:r>
              <w:rPr>
                <w:rFonts w:hint="eastAsia" w:hAnsi="宋体"/>
                <w:color w:val="auto"/>
                <w:sz w:val="24"/>
              </w:rPr>
              <w:t>文件格式为：xxx公司XXX（项目编号）.bin）</w:t>
            </w:r>
            <w:r>
              <w:rPr>
                <w:rFonts w:hint="eastAsia" w:hAnsi="宋体" w:cs="宋体"/>
                <w:color w:val="auto"/>
                <w:sz w:val="24"/>
              </w:rPr>
              <w:t>。</w:t>
            </w:r>
          </w:p>
          <w:p>
            <w:pPr>
              <w:spacing w:line="360" w:lineRule="auto"/>
              <w:rPr>
                <w:rFonts w:hAnsi="宋体" w:cs="宋体"/>
                <w:color w:val="auto"/>
                <w:sz w:val="24"/>
              </w:rPr>
            </w:pPr>
            <w:r>
              <w:rPr>
                <w:rFonts w:hint="eastAsia" w:hAnsi="宋体" w:cs="宋体"/>
                <w:color w:val="auto"/>
                <w:sz w:val="24"/>
              </w:rPr>
              <w:t>电子投标文件和电子备用文件的内容、格式、水印码、</w:t>
            </w:r>
            <w:r>
              <w:rPr>
                <w:rFonts w:hint="eastAsia" w:hAnsi="宋体" w:cs="宋体"/>
                <w:b/>
                <w:color w:val="auto"/>
                <w:sz w:val="24"/>
              </w:rPr>
              <w:t>电子签章</w:t>
            </w:r>
            <w:r>
              <w:rPr>
                <w:rFonts w:hint="eastAsia" w:hAnsi="宋体" w:cs="宋体"/>
                <w:color w:val="auto"/>
                <w:sz w:val="24"/>
              </w:rPr>
              <w:t>应一致。</w:t>
            </w:r>
          </w:p>
          <w:p>
            <w:pPr>
              <w:spacing w:line="400" w:lineRule="exact"/>
              <w:rPr>
                <w:rFonts w:cs="宋体" w:asciiTheme="minorEastAsia" w:hAnsiTheme="minorEastAsia" w:eastAsiaTheme="minorEastAsia"/>
                <w:color w:val="auto"/>
                <w:kern w:val="0"/>
                <w:sz w:val="24"/>
              </w:rPr>
            </w:pPr>
            <w:r>
              <w:rPr>
                <w:rFonts w:hint="eastAsia" w:ascii="等线" w:hAnsi="等线" w:eastAsia="等线"/>
                <w:b/>
                <w:color w:val="auto"/>
                <w:sz w:val="24"/>
              </w:rPr>
              <w:t>注:</w:t>
            </w:r>
            <w:r>
              <w:rPr>
                <w:rFonts w:hint="eastAsia" w:hAnsi="宋体"/>
                <w:b/>
                <w:color w:val="auto"/>
                <w:sz w:val="24"/>
              </w:rPr>
              <w:t>投标人提交的电子投标文件，必须是通过</w:t>
            </w:r>
            <w:r>
              <w:rPr>
                <w:rFonts w:hint="eastAsia" w:ascii="等线" w:hAnsi="等线" w:eastAsia="等线"/>
                <w:b/>
                <w:color w:val="auto"/>
                <w:sz w:val="24"/>
              </w:rPr>
              <w:t>“</w:t>
            </w:r>
            <w:r>
              <w:rPr>
                <w:rFonts w:hint="eastAsia" w:hAnsi="宋体"/>
                <w:b/>
                <w:color w:val="auto"/>
                <w:sz w:val="24"/>
              </w:rPr>
              <w:t>许昌投标文件制作系统SEARUNV1.1</w:t>
            </w:r>
            <w:r>
              <w:rPr>
                <w:rFonts w:hint="eastAsia" w:ascii="等线" w:hAnsi="等线" w:eastAsia="等线"/>
                <w:b/>
                <w:color w:val="auto"/>
                <w:sz w:val="24"/>
              </w:rPr>
              <w:t>”</w:t>
            </w:r>
            <w:r>
              <w:rPr>
                <w:rFonts w:hint="eastAsia" w:hAnsi="宋体"/>
                <w:b/>
                <w:color w:val="auto"/>
                <w:sz w:val="24"/>
              </w:rPr>
              <w:t>制作，</w:t>
            </w:r>
            <w:r>
              <w:rPr>
                <w:rFonts w:hint="eastAsia" w:ascii="等线" w:hAnsi="等线" w:eastAsia="等线"/>
                <w:b/>
                <w:color w:val="auto"/>
                <w:sz w:val="24"/>
              </w:rPr>
              <w:t>并</w:t>
            </w:r>
            <w:r>
              <w:rPr>
                <w:rFonts w:hint="eastAsia" w:hAnsi="宋体"/>
                <w:b/>
                <w:color w:val="auto"/>
                <w:sz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3.7.5</w:t>
            </w:r>
          </w:p>
        </w:tc>
        <w:tc>
          <w:tcPr>
            <w:tcW w:w="2384" w:type="dxa"/>
            <w:gridSpan w:val="4"/>
            <w:vAlign w:val="center"/>
          </w:tcPr>
          <w:p>
            <w:pPr>
              <w:autoSpaceDE w:val="0"/>
              <w:autoSpaceDN w:val="0"/>
              <w:adjustRightInd w:val="0"/>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装订要求</w:t>
            </w:r>
          </w:p>
          <w:p>
            <w:pPr>
              <w:spacing w:line="400" w:lineRule="exact"/>
              <w:jc w:val="center"/>
              <w:rPr>
                <w:rFonts w:cs="宋体" w:asciiTheme="minorEastAsia" w:hAnsiTheme="minorEastAsia" w:eastAsiaTheme="minorEastAsia"/>
                <w:color w:val="auto"/>
                <w:kern w:val="0"/>
                <w:sz w:val="24"/>
              </w:rPr>
            </w:pPr>
          </w:p>
        </w:tc>
        <w:tc>
          <w:tcPr>
            <w:tcW w:w="6441" w:type="dxa"/>
            <w:vAlign w:val="center"/>
          </w:tcPr>
          <w:p>
            <w:pPr>
              <w:spacing w:line="400" w:lineRule="exact"/>
              <w:jc w:val="left"/>
              <w:rPr>
                <w:rFonts w:asciiTheme="minorEastAsia" w:hAnsiTheme="minorEastAsia" w:eastAsiaTheme="minorEastAsia"/>
                <w:color w:val="auto"/>
                <w:sz w:val="24"/>
              </w:rPr>
            </w:pPr>
            <w:r>
              <w:rPr>
                <w:rFonts w:hint="eastAsia" w:hAnsi="宋体"/>
                <w:color w:val="auto"/>
                <w:sz w:val="24"/>
              </w:rPr>
              <w:t>电子介质存储的投标文件应密封包装，</w:t>
            </w:r>
            <w:r>
              <w:rPr>
                <w:rFonts w:hint="eastAsia" w:hAnsi="宋体" w:cs="宋体"/>
                <w:color w:val="auto"/>
                <w:sz w:val="24"/>
              </w:rPr>
              <w:t>并加盖单位公章，法定代表人或委托代理人签名。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4.1.1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封套上写明</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招标人名称：</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项目名称）</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val="en-US" w:eastAsia="zh-CN"/>
              </w:rPr>
              <w:t>/</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 xml:space="preserve"> (标段名称)</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投标人名称：</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（盖章）</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递交投标文件地点</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lang w:eastAsia="zh-CN"/>
              </w:rPr>
              <w:t>许昌市公共资源交易中心（龙兴路与竹林路交汇处创业服务中心</w:t>
            </w:r>
            <w:r>
              <w:rPr>
                <w:rFonts w:hint="eastAsia" w:cs="宋体" w:asciiTheme="minorEastAsia" w:hAnsiTheme="minorEastAsia" w:eastAsiaTheme="minorEastAsia"/>
                <w:color w:val="auto"/>
                <w:sz w:val="24"/>
                <w:lang w:val="en-US" w:eastAsia="zh-CN"/>
              </w:rPr>
              <w:t>C座</w:t>
            </w:r>
            <w:r>
              <w:rPr>
                <w:rFonts w:hint="eastAsia" w:cs="宋体" w:asciiTheme="minorEastAsia" w:hAnsiTheme="minorEastAsia" w:eastAsiaTheme="minorEastAsia"/>
                <w:color w:val="auto"/>
                <w:sz w:val="24"/>
                <w:lang w:eastAsia="zh-CN"/>
              </w:rPr>
              <w:t>）三楼开标一室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4.2.3</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是否退还投标文件</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开标时间：同投标截止时间</w:t>
            </w:r>
          </w:p>
          <w:p>
            <w:pPr>
              <w:spacing w:line="400" w:lineRule="exact"/>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sz w:val="24"/>
                <w:lang w:eastAsia="zh-CN"/>
              </w:rPr>
              <w:t>开评</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lang w:eastAsia="zh-CN"/>
              </w:rPr>
              <w:t>许昌市公共资源交易中心（龙兴路与竹林路交汇处创业服务中心</w:t>
            </w:r>
            <w:r>
              <w:rPr>
                <w:rFonts w:hint="eastAsia" w:cs="宋体" w:asciiTheme="minorEastAsia" w:hAnsiTheme="minorEastAsia" w:eastAsiaTheme="minorEastAsia"/>
                <w:color w:val="auto"/>
                <w:sz w:val="24"/>
                <w:lang w:val="en-US" w:eastAsia="zh-CN"/>
              </w:rPr>
              <w:t>C座</w:t>
            </w:r>
            <w:r>
              <w:rPr>
                <w:rFonts w:hint="eastAsia" w:cs="宋体" w:asciiTheme="minorEastAsia" w:hAnsiTheme="minorEastAsia" w:eastAsiaTheme="minorEastAsia"/>
                <w:color w:val="auto"/>
                <w:sz w:val="24"/>
                <w:lang w:eastAsia="zh-CN"/>
              </w:rPr>
              <w:t>）三楼开标一室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5.2</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开标程序</w:t>
            </w:r>
          </w:p>
        </w:tc>
        <w:tc>
          <w:tcPr>
            <w:tcW w:w="6441" w:type="dxa"/>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密封情况检查：由投标人代表对密封情况进行检查</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6.1</w:t>
            </w:r>
          </w:p>
        </w:tc>
        <w:tc>
          <w:tcPr>
            <w:tcW w:w="2384" w:type="dxa"/>
            <w:gridSpan w:val="4"/>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评标委员会的组建</w:t>
            </w:r>
          </w:p>
        </w:tc>
        <w:tc>
          <w:tcPr>
            <w:tcW w:w="6441"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评标委员会构成：5人。从河南省综合评标专家库中随机抽取相关经济、</w:t>
            </w:r>
            <w:r>
              <w:rPr>
                <w:rFonts w:hint="eastAsia" w:cs="宋体" w:asciiTheme="minorEastAsia" w:hAnsiTheme="minorEastAsia" w:eastAsiaTheme="minorEastAsia"/>
                <w:color w:val="auto"/>
                <w:sz w:val="24"/>
                <w:highlight w:val="none"/>
              </w:rPr>
              <w:t>技术</w:t>
            </w:r>
            <w:r>
              <w:rPr>
                <w:rFonts w:hint="eastAsia" w:cs="宋体" w:asciiTheme="minorEastAsia" w:hAnsiTheme="minorEastAsia" w:eastAsiaTheme="minorEastAsia"/>
                <w:color w:val="auto"/>
                <w:sz w:val="24"/>
                <w:highlight w:val="none"/>
                <w:lang w:eastAsia="zh-CN"/>
              </w:rPr>
              <w:t>（含园林专业专家）</w:t>
            </w:r>
            <w:r>
              <w:rPr>
                <w:rFonts w:hint="eastAsia" w:cs="宋体" w:asciiTheme="minorEastAsia" w:hAnsiTheme="minorEastAsia" w:eastAsiaTheme="minorEastAsia"/>
                <w:color w:val="auto"/>
                <w:sz w:val="24"/>
              </w:rPr>
              <w:t>4人和招标人代表1名，其中注册造价工程师不少于2人。</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7.1</w:t>
            </w:r>
          </w:p>
        </w:tc>
        <w:tc>
          <w:tcPr>
            <w:tcW w:w="2384" w:type="dxa"/>
            <w:gridSpan w:val="4"/>
            <w:vAlign w:val="center"/>
          </w:tcPr>
          <w:p>
            <w:pPr>
              <w:spacing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是否授权评标委员会</w:t>
            </w:r>
          </w:p>
          <w:p>
            <w:pPr>
              <w:spacing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确定中标人</w:t>
            </w:r>
          </w:p>
        </w:tc>
        <w:tc>
          <w:tcPr>
            <w:tcW w:w="6441" w:type="dxa"/>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10.1.1</w:t>
            </w:r>
          </w:p>
        </w:tc>
        <w:tc>
          <w:tcPr>
            <w:tcW w:w="2281" w:type="dxa"/>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类似项目</w:t>
            </w:r>
          </w:p>
        </w:tc>
        <w:tc>
          <w:tcPr>
            <w:tcW w:w="6465" w:type="dxa"/>
            <w:gridSpan w:val="2"/>
            <w:vAlign w:val="center"/>
          </w:tcPr>
          <w:p>
            <w:pPr>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类似项目：指2016年1月1日（以合同签订时间为准）以来承建过单项合同金额不小于本项目招标控制价的水利水电工程。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w:t>
            </w: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10.2.1</w:t>
            </w:r>
          </w:p>
        </w:tc>
        <w:tc>
          <w:tcPr>
            <w:tcW w:w="2281" w:type="dxa"/>
            <w:vAlign w:val="center"/>
          </w:tcPr>
          <w:p>
            <w:pPr>
              <w:spacing w:line="400" w:lineRule="exact"/>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p>
            <w:pPr>
              <w:spacing w:line="400" w:lineRule="exact"/>
              <w:rPr>
                <w:rFonts w:cs="宋体" w:asciiTheme="minorEastAsia" w:hAnsiTheme="minorEastAsia" w:eastAsiaTheme="minorEastAsia"/>
                <w:color w:val="auto"/>
                <w:kern w:val="0"/>
                <w:sz w:val="24"/>
              </w:rPr>
            </w:pPr>
          </w:p>
        </w:tc>
        <w:tc>
          <w:tcPr>
            <w:tcW w:w="6465" w:type="dxa"/>
            <w:gridSpan w:val="2"/>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本工程设招标控制价： </w:t>
            </w:r>
          </w:p>
          <w:p>
            <w:pPr>
              <w:keepNext/>
              <w:spacing w:line="400" w:lineRule="exact"/>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rPr>
              <w:t>大写：</w:t>
            </w:r>
            <w:r>
              <w:rPr>
                <w:rFonts w:hint="eastAsia" w:cs="宋体" w:asciiTheme="minorEastAsia" w:hAnsiTheme="minorEastAsia" w:eastAsiaTheme="minorEastAsia"/>
                <w:color w:val="auto"/>
                <w:kern w:val="0"/>
                <w:sz w:val="24"/>
                <w:lang w:eastAsia="zh-CN"/>
              </w:rPr>
              <w:t>贰佰捌拾壹万叁仟贰佰伍拾叁元捌角捌分</w:t>
            </w:r>
            <w:r>
              <w:rPr>
                <w:rFonts w:hint="eastAsia" w:cs="宋体" w:asciiTheme="minorEastAsia" w:hAnsiTheme="minorEastAsia" w:eastAsiaTheme="minorEastAsia"/>
                <w:color w:val="auto"/>
                <w:kern w:val="0"/>
                <w:sz w:val="24"/>
                <w:lang w:val="en-US" w:eastAsia="zh-CN"/>
              </w:rPr>
              <w:t xml:space="preserve">  </w:t>
            </w:r>
          </w:p>
          <w:p>
            <w:pPr>
              <w:keepNext/>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小写：</w:t>
            </w:r>
            <w:r>
              <w:rPr>
                <w:rFonts w:hint="eastAsia" w:cs="宋体" w:asciiTheme="minorEastAsia" w:hAnsiTheme="minorEastAsia" w:eastAsiaTheme="minorEastAsia"/>
                <w:color w:val="auto"/>
                <w:kern w:val="0"/>
                <w:sz w:val="24"/>
                <w:lang w:val="en-US" w:eastAsia="zh-CN"/>
              </w:rPr>
              <w:t>2813253.88</w:t>
            </w:r>
            <w:r>
              <w:rPr>
                <w:rFonts w:hint="eastAsia" w:cs="宋体" w:asciiTheme="minorEastAsia" w:hAnsiTheme="minorEastAsia" w:eastAsiaTheme="minorEastAsia"/>
                <w:color w:val="auto"/>
                <w:kern w:val="0"/>
                <w:sz w:val="24"/>
              </w:rPr>
              <w:t>元</w:t>
            </w:r>
          </w:p>
          <w:p>
            <w:pPr>
              <w:spacing w:line="400" w:lineRule="exac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10.2.2</w:t>
            </w:r>
          </w:p>
        </w:tc>
        <w:tc>
          <w:tcPr>
            <w:tcW w:w="2281" w:type="dxa"/>
            <w:vAlign w:val="center"/>
          </w:tcPr>
          <w:p>
            <w:pPr>
              <w:spacing w:line="340" w:lineRule="exact"/>
              <w:jc w:val="center"/>
              <w:rPr>
                <w:rFonts w:cs="宋体" w:asciiTheme="minorEastAsia" w:hAnsiTheme="minorEastAsia" w:eastAsiaTheme="minorEastAsia"/>
                <w:color w:val="auto"/>
                <w:kern w:val="0"/>
                <w:sz w:val="24"/>
              </w:rPr>
            </w:pPr>
            <w:r>
              <w:rPr>
                <w:rFonts w:hint="eastAsia" w:hAnsi="宋体" w:cs="宋体"/>
                <w:color w:val="auto"/>
                <w:sz w:val="24"/>
              </w:rPr>
              <w:t>履约担保</w:t>
            </w:r>
          </w:p>
        </w:tc>
        <w:tc>
          <w:tcPr>
            <w:tcW w:w="6465" w:type="dxa"/>
            <w:gridSpan w:val="2"/>
            <w:vAlign w:val="center"/>
          </w:tcPr>
          <w:p>
            <w:pPr>
              <w:spacing w:line="340" w:lineRule="exact"/>
              <w:rPr>
                <w:rFonts w:cs="宋体" w:asciiTheme="minorEastAsia" w:hAnsiTheme="minorEastAsia" w:eastAsiaTheme="minorEastAsia"/>
                <w:b/>
                <w:color w:val="auto"/>
                <w:kern w:val="0"/>
                <w:sz w:val="24"/>
              </w:rPr>
            </w:pPr>
            <w:r>
              <w:rPr>
                <w:rFonts w:hint="eastAsia" w:hAnsi="宋体" w:cs="宋体"/>
                <w:color w:val="auto"/>
                <w:sz w:val="24"/>
              </w:rPr>
              <w:t>投标人中标后7日内须向招标人缴纳中标金额的10%的履约保证金。履约保证金依照双方合同协商退还。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10.2.3</w:t>
            </w:r>
          </w:p>
        </w:tc>
        <w:tc>
          <w:tcPr>
            <w:tcW w:w="2281" w:type="dxa"/>
            <w:vAlign w:val="center"/>
          </w:tcPr>
          <w:p>
            <w:pPr>
              <w:spacing w:line="340" w:lineRule="exact"/>
              <w:jc w:val="center"/>
              <w:rPr>
                <w:rFonts w:hAnsi="宋体" w:cs="宋体"/>
                <w:color w:val="auto"/>
                <w:sz w:val="24"/>
              </w:rPr>
            </w:pPr>
            <w:r>
              <w:rPr>
                <w:rFonts w:hint="eastAsia" w:hAnsi="宋体" w:cs="宋体"/>
                <w:color w:val="auto"/>
                <w:sz w:val="24"/>
              </w:rPr>
              <w:t>农民工工资保证金</w:t>
            </w:r>
          </w:p>
        </w:tc>
        <w:tc>
          <w:tcPr>
            <w:tcW w:w="6465" w:type="dxa"/>
            <w:gridSpan w:val="2"/>
            <w:vAlign w:val="center"/>
          </w:tcPr>
          <w:p>
            <w:pPr>
              <w:spacing w:line="340" w:lineRule="exact"/>
              <w:rPr>
                <w:rFonts w:hAnsi="宋体" w:cs="宋体"/>
                <w:color w:val="auto"/>
                <w:sz w:val="24"/>
              </w:rPr>
            </w:pPr>
            <w:r>
              <w:rPr>
                <w:rFonts w:hint="eastAsia" w:hAnsi="宋体" w:cs="宋体"/>
                <w:color w:val="auto"/>
                <w:sz w:val="24"/>
              </w:rPr>
              <w:t>投标人中标后应在工程开工前按照中标价的2%向建设单位缴纳农民工工资保证金，并由建设单位将施工企业缴纳农民工工资保证金的银行凭证向工程所在地水行政主管部门报备。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ind w:firstLine="352" w:firstLineChars="147"/>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在中标通知书发出前，招标人将中标候选人的情况在《全国公共资源交易平台(河南省</w:t>
            </w:r>
            <w:r>
              <w:rPr>
                <w:rFonts w:hint="eastAsia" w:hAnsi="MS Mincho" w:eastAsia="MS Mincho" w:cs="MS Mincho" w:asciiTheme="minorEastAsia"/>
                <w:color w:val="auto"/>
                <w:sz w:val="24"/>
              </w:rPr>
              <w:t>▪</w:t>
            </w:r>
            <w:r>
              <w:rPr>
                <w:rFonts w:hint="eastAsia" w:cs="宋体" w:asciiTheme="minorEastAsia" w:hAnsiTheme="minorEastAsia" w:eastAsiaTheme="minorEastAsia"/>
                <w:color w:val="auto"/>
                <w:sz w:val="24"/>
              </w:rPr>
              <w:t>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color w:val="auto"/>
                <w:kern w:val="0"/>
                <w:sz w:val="24"/>
              </w:rPr>
            </w:pPr>
          </w:p>
        </w:tc>
        <w:tc>
          <w:tcPr>
            <w:tcW w:w="8765" w:type="dxa"/>
            <w:gridSpan w:val="4"/>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1、逾期送达的或者未送达指定地点的电子投标文件；</w:t>
            </w:r>
          </w:p>
          <w:p>
            <w:pPr>
              <w:spacing w:line="400" w:lineRule="exac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2、电子版投标文件未按招标文件要求密封的；</w:t>
            </w:r>
          </w:p>
          <w:p>
            <w:pPr>
              <w:spacing w:line="400" w:lineRule="exac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3、未按招标文件要求缴纳投标保证金的；</w:t>
            </w:r>
          </w:p>
          <w:p>
            <w:pPr>
              <w:spacing w:line="400" w:lineRule="exac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color w:val="auto"/>
                <w:kern w:val="0"/>
                <w:sz w:val="24"/>
              </w:rPr>
            </w:pPr>
          </w:p>
        </w:tc>
        <w:tc>
          <w:tcPr>
            <w:tcW w:w="8746" w:type="dxa"/>
            <w:gridSpan w:val="3"/>
            <w:vAlign w:val="center"/>
          </w:tcPr>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招标文件及有关资料费：1000元/套，售后不退。</w:t>
            </w:r>
          </w:p>
          <w:p>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color w:val="auto"/>
                <w:sz w:val="24"/>
              </w:rPr>
            </w:pPr>
            <w:r>
              <w:rPr>
                <w:rFonts w:hint="eastAsia" w:ascii="宋体" w:hAnsi="宋体" w:cs="宋体"/>
                <w:color w:val="auto"/>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color w:val="auto"/>
                <w:kern w:val="0"/>
                <w:sz w:val="24"/>
              </w:rPr>
            </w:pPr>
          </w:p>
        </w:tc>
        <w:tc>
          <w:tcPr>
            <w:tcW w:w="8746" w:type="dxa"/>
            <w:gridSpan w:val="3"/>
            <w:vAlign w:val="center"/>
          </w:tcPr>
          <w:p>
            <w:pPr>
              <w:autoSpaceDE w:val="0"/>
              <w:autoSpaceDN w:val="0"/>
              <w:spacing w:line="440" w:lineRule="exact"/>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color w:val="auto"/>
                <w:sz w:val="24"/>
              </w:rPr>
            </w:pPr>
            <w:r>
              <w:rPr>
                <w:rFonts w:hint="eastAsia" w:hAnsi="宋体" w:cs="宋体"/>
                <w:color w:val="auto"/>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color w:val="auto"/>
                <w:sz w:val="24"/>
              </w:rPr>
            </w:pPr>
            <w:r>
              <w:rPr>
                <w:rFonts w:hint="eastAsia" w:hAnsi="宋体" w:cs="宋体"/>
                <w:color w:val="auto"/>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color w:val="auto"/>
                <w:sz w:val="24"/>
              </w:rPr>
            </w:pPr>
            <w:r>
              <w:rPr>
                <w:rFonts w:hint="eastAsia" w:hAnsi="宋体" w:cs="宋体"/>
                <w:color w:val="auto"/>
                <w:sz w:val="24"/>
              </w:rPr>
              <w:t>6、投标人电子投标文件成功提交后，应打印“投标文件提交回执单”，供开标现场备查。</w:t>
            </w:r>
          </w:p>
          <w:p>
            <w:pPr>
              <w:autoSpaceDE w:val="0"/>
              <w:autoSpaceDN w:val="0"/>
              <w:spacing w:line="440" w:lineRule="exact"/>
              <w:jc w:val="left"/>
              <w:outlineLvl w:val="0"/>
              <w:rPr>
                <w:rFonts w:hAnsi="宋体" w:cs="宋体"/>
                <w:color w:val="auto"/>
                <w:sz w:val="24"/>
              </w:rPr>
            </w:pPr>
            <w:r>
              <w:rPr>
                <w:rFonts w:hint="eastAsia" w:hAnsi="宋体" w:cs="宋体"/>
                <w:color w:val="auto"/>
                <w:sz w:val="24"/>
              </w:rPr>
              <w:t>7、商务标投标文件制作注意事项：</w:t>
            </w:r>
          </w:p>
          <w:p>
            <w:pPr>
              <w:autoSpaceDE w:val="0"/>
              <w:autoSpaceDN w:val="0"/>
              <w:spacing w:line="440" w:lineRule="exact"/>
              <w:jc w:val="left"/>
              <w:outlineLvl w:val="0"/>
              <w:rPr>
                <w:rFonts w:hAnsi="宋体" w:cs="宋体"/>
                <w:color w:val="auto"/>
                <w:sz w:val="24"/>
              </w:rPr>
            </w:pPr>
            <w:r>
              <w:rPr>
                <w:rFonts w:hint="eastAsia" w:hAnsi="宋体" w:cs="宋体"/>
                <w:color w:val="auto"/>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color w:val="auto"/>
                <w:sz w:val="24"/>
              </w:rPr>
            </w:pPr>
            <w:r>
              <w:rPr>
                <w:rFonts w:hint="eastAsia" w:hAnsi="宋体" w:cs="宋体"/>
                <w:color w:val="auto"/>
                <w:sz w:val="24"/>
              </w:rPr>
              <w:t>7.2 商务标投标文件制作技术咨询：0374-2961598。</w:t>
            </w:r>
          </w:p>
          <w:p>
            <w:pPr>
              <w:autoSpaceDE w:val="0"/>
              <w:autoSpaceDN w:val="0"/>
              <w:adjustRightInd w:val="0"/>
              <w:snapToGrid w:val="0"/>
              <w:spacing w:line="276" w:lineRule="auto"/>
              <w:jc w:val="left"/>
              <w:outlineLvl w:val="0"/>
              <w:rPr>
                <w:rFonts w:hint="eastAsia" w:hAnsi="宋体" w:cs="仿宋_GB2312"/>
                <w:color w:val="auto"/>
                <w:sz w:val="24"/>
                <w:lang w:val="zh-CN"/>
              </w:rPr>
            </w:pPr>
            <w:r>
              <w:rPr>
                <w:rFonts w:hint="eastAsia" w:hAnsi="宋体" w:cs="仿宋_GB2312"/>
                <w:color w:val="auto"/>
                <w:sz w:val="24"/>
              </w:rPr>
              <w:t>8</w:t>
            </w:r>
            <w:r>
              <w:rPr>
                <w:rFonts w:hint="eastAsia" w:hAnsi="宋体" w:cs="仿宋_GB2312"/>
                <w:color w:val="auto"/>
                <w:sz w:val="24"/>
                <w:lang w:val="zh-CN"/>
              </w:rPr>
              <w:t>、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autoSpaceDE w:val="0"/>
              <w:autoSpaceDN w:val="0"/>
              <w:adjustRightInd w:val="0"/>
              <w:snapToGrid w:val="0"/>
              <w:spacing w:line="276" w:lineRule="auto"/>
              <w:jc w:val="left"/>
              <w:outlineLvl w:val="0"/>
              <w:rPr>
                <w:rFonts w:hint="eastAsia" w:hAnsi="宋体" w:cs="仿宋_GB2312"/>
                <w:color w:val="auto"/>
                <w:sz w:val="24"/>
                <w:lang w:val="zh-CN"/>
              </w:rPr>
            </w:pPr>
            <w:r>
              <w:rPr>
                <w:rFonts w:hint="eastAsia" w:hAnsi="宋体" w:cs="仿宋_GB2312"/>
                <w:color w:val="auto"/>
                <w:sz w:val="24"/>
                <w:lang w:val="zh-CN"/>
              </w:rPr>
              <w:t>9、《许昌市水利建设领域保障农民工工资支付工作管理办法（试行）》（许市水[2018]53号）规定，施工总承包企业应在工程开工前按照中标价的2%向建设单位缴纳农民工工资保证金，并由建设单位将施工总承包企业缴纳农民工工资保证金的银行凭证向工程所在地水行政主管部门报备。</w:t>
            </w:r>
          </w:p>
          <w:p>
            <w:pPr>
              <w:autoSpaceDE w:val="0"/>
              <w:autoSpaceDN w:val="0"/>
              <w:adjustRightInd w:val="0"/>
              <w:snapToGrid w:val="0"/>
              <w:spacing w:line="276" w:lineRule="auto"/>
              <w:jc w:val="left"/>
              <w:outlineLvl w:val="0"/>
              <w:rPr>
                <w:rFonts w:hint="eastAsia" w:hAnsi="宋体" w:cs="仿宋_GB2312"/>
                <w:color w:val="auto"/>
                <w:sz w:val="24"/>
                <w:highlight w:val="none"/>
                <w:lang w:val="zh-CN"/>
              </w:rPr>
            </w:pPr>
            <w:r>
              <w:rPr>
                <w:rFonts w:hint="eastAsia" w:hAnsi="宋体" w:cs="仿宋_GB2312"/>
                <w:color w:val="auto"/>
                <w:sz w:val="24"/>
                <w:highlight w:val="none"/>
                <w:lang w:val="zh-CN"/>
              </w:rPr>
              <w:t>投标人必须在标书中作如下承诺，未作以下承诺的其投标无效：</w:t>
            </w:r>
          </w:p>
          <w:p>
            <w:pPr>
              <w:autoSpaceDE w:val="0"/>
              <w:autoSpaceDN w:val="0"/>
              <w:adjustRightInd w:val="0"/>
              <w:snapToGrid w:val="0"/>
              <w:spacing w:line="276" w:lineRule="auto"/>
              <w:jc w:val="left"/>
              <w:outlineLvl w:val="0"/>
              <w:rPr>
                <w:rFonts w:hint="eastAsia" w:hAnsi="宋体" w:cs="仿宋_GB2312"/>
                <w:color w:val="auto"/>
                <w:sz w:val="24"/>
                <w:highlight w:val="none"/>
                <w:lang w:val="zh-CN"/>
              </w:rPr>
            </w:pPr>
            <w:r>
              <w:rPr>
                <w:rFonts w:hint="eastAsia" w:hAnsi="宋体" w:cs="仿宋_GB2312"/>
                <w:color w:val="auto"/>
                <w:sz w:val="24"/>
                <w:highlight w:val="none"/>
                <w:lang w:val="zh-CN"/>
              </w:rPr>
              <w:t>1．承诺中标后及时、足额缴纳农民工工资保证金。</w:t>
            </w:r>
          </w:p>
          <w:p>
            <w:pPr>
              <w:autoSpaceDE w:val="0"/>
              <w:autoSpaceDN w:val="0"/>
              <w:adjustRightInd w:val="0"/>
              <w:snapToGrid w:val="0"/>
              <w:spacing w:line="400" w:lineRule="exact"/>
              <w:jc w:val="left"/>
              <w:outlineLvl w:val="0"/>
              <w:rPr>
                <w:rFonts w:ascii="宋体" w:hAnsi="宋体"/>
                <w:color w:val="auto"/>
                <w:sz w:val="24"/>
              </w:rPr>
            </w:pPr>
            <w:r>
              <w:rPr>
                <w:rFonts w:hint="eastAsia" w:hAnsi="宋体" w:cs="仿宋_GB2312"/>
                <w:color w:val="auto"/>
                <w:sz w:val="24"/>
                <w:highlight w:val="none"/>
                <w:lang w:val="zh-CN"/>
              </w:rPr>
              <w:t>2．承诺依法足额支付农民工工资，一旦其承建的工程项目出现拖欠农民工工资情况的，可由建设单位从其缴纳的农民工工资保证金中先予垫支。</w:t>
            </w:r>
          </w:p>
        </w:tc>
      </w:tr>
    </w:tbl>
    <w:p>
      <w:pPr>
        <w:pStyle w:val="2"/>
        <w:spacing w:before="0" w:after="0" w:line="440" w:lineRule="exact"/>
        <w:rPr>
          <w:rFonts w:ascii="宋体" w:hAnsi="宋体" w:eastAsia="宋体" w:cs="宋体"/>
          <w:bCs w:val="0"/>
          <w:color w:val="auto"/>
          <w:sz w:val="24"/>
          <w:szCs w:val="24"/>
        </w:rPr>
      </w:pPr>
      <w:bookmarkStart w:id="14" w:name="_Toc215282127"/>
      <w:bookmarkStart w:id="15" w:name="_Toc215282133"/>
      <w:r>
        <w:rPr>
          <w:rFonts w:hint="eastAsia"/>
          <w:b w:val="0"/>
          <w:bCs w:val="0"/>
          <w:color w:val="auto"/>
          <w:sz w:val="24"/>
        </w:rPr>
        <w:t>注：投标人须知正文与投标人须知前附表相应条款不一致时，以须知前附表内容为准。</w:t>
      </w:r>
      <w:r>
        <w:rPr>
          <w:rFonts w:hint="eastAsia" w:ascii="宋体" w:hAnsi="宋体"/>
          <w:b w:val="0"/>
          <w:bCs w:val="0"/>
          <w:color w:val="auto"/>
        </w:rPr>
        <w:br w:type="page"/>
      </w:r>
      <w:bookmarkStart w:id="16" w:name="_Toc1059"/>
      <w:bookmarkStart w:id="17" w:name="_Toc517940866"/>
      <w:r>
        <w:rPr>
          <w:rFonts w:hint="eastAsia" w:ascii="宋体" w:hAnsi="宋体" w:eastAsia="宋体" w:cs="宋体"/>
          <w:bCs w:val="0"/>
          <w:color w:val="auto"/>
          <w:sz w:val="24"/>
          <w:szCs w:val="24"/>
        </w:rPr>
        <w:t>1. 总则</w:t>
      </w:r>
      <w:bookmarkEnd w:id="14"/>
      <w:bookmarkEnd w:id="16"/>
      <w:bookmarkEnd w:id="17"/>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color w:val="auto"/>
          <w:sz w:val="24"/>
        </w:rPr>
      </w:pPr>
      <w:bookmarkStart w:id="18" w:name="_Toc152045530"/>
      <w:bookmarkStart w:id="19" w:name="_Toc144974498"/>
      <w:bookmarkStart w:id="20" w:name="_Toc179632547"/>
      <w:bookmarkStart w:id="21" w:name="_Toc152042306"/>
      <w:r>
        <w:rPr>
          <w:rFonts w:hint="eastAsia" w:cs="宋体" w:asciiTheme="minorEastAsia" w:hAnsiTheme="minorEastAsia" w:eastAsiaTheme="minorEastAsia"/>
          <w:b/>
          <w:bCs/>
          <w:color w:val="auto"/>
          <w:sz w:val="24"/>
        </w:rPr>
        <w:t>1.1 项目概况</w:t>
      </w:r>
      <w:bookmarkEnd w:id="18"/>
      <w:bookmarkEnd w:id="19"/>
      <w:bookmarkEnd w:id="20"/>
      <w:bookmarkEnd w:id="21"/>
      <w:r>
        <w:rPr>
          <w:rFonts w:hint="eastAsia" w:cs="宋体" w:asciiTheme="minorEastAsia" w:hAnsiTheme="minorEastAsia" w:eastAsiaTheme="minorEastAsia"/>
          <w:b/>
          <w:bCs/>
          <w:color w:val="auto"/>
          <w:sz w:val="24"/>
        </w:rPr>
        <w:tab/>
      </w:r>
    </w:p>
    <w:p>
      <w:pPr>
        <w:pStyle w:val="81"/>
        <w:adjustRightInd w:val="0"/>
        <w:snapToGrid w:val="0"/>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 1.1.1根据《中华人民共和国招标投标法》、《河南省水利工程建设项目施工评标办法》（豫水建{2016}49号）等有关法律、法规和规章的规定，本招标项目已具备招标条件，现对本工程施工进行公开招标。</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 本招标项目招标人：见投标人须知前附表。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1.1.4 本招标项目地点：见投标人须知前附表。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color w:val="auto"/>
          <w:sz w:val="24"/>
        </w:rPr>
      </w:pPr>
      <w:bookmarkStart w:id="22" w:name="_Toc152042307"/>
      <w:bookmarkStart w:id="23" w:name="_Toc144974499"/>
      <w:bookmarkStart w:id="24" w:name="_Toc152045531"/>
      <w:bookmarkStart w:id="25" w:name="_Toc179632548"/>
      <w:r>
        <w:rPr>
          <w:rFonts w:hint="eastAsia" w:cs="宋体" w:asciiTheme="minorEastAsia" w:hAnsiTheme="minorEastAsia" w:eastAsiaTheme="minorEastAsia"/>
          <w:b/>
          <w:bCs/>
          <w:color w:val="auto"/>
          <w:sz w:val="24"/>
        </w:rPr>
        <w:t>1.2 资金来源和落实情况</w:t>
      </w:r>
      <w:bookmarkEnd w:id="22"/>
      <w:bookmarkEnd w:id="23"/>
      <w:bookmarkEnd w:id="24"/>
      <w:bookmarkEnd w:id="25"/>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1.2.1 本招标项目的资金来源及出资比例：见投标人须知前附表。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1.2.2本招标项目的资金落实情况：见投标人须知前附表。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color w:val="auto"/>
          <w:sz w:val="24"/>
        </w:rPr>
      </w:pPr>
      <w:bookmarkStart w:id="26" w:name="_Toc152042308"/>
      <w:bookmarkStart w:id="27" w:name="_Toc144974500"/>
      <w:bookmarkStart w:id="28" w:name="_Toc152045532"/>
      <w:bookmarkStart w:id="29" w:name="_Toc179632549"/>
      <w:r>
        <w:rPr>
          <w:rFonts w:hint="eastAsia" w:cs="宋体" w:asciiTheme="minorEastAsia" w:hAnsiTheme="minorEastAsia" w:eastAsiaTheme="minorEastAsia"/>
          <w:b/>
          <w:bCs/>
          <w:color w:val="auto"/>
          <w:sz w:val="24"/>
        </w:rPr>
        <w:t>1.3 标段划分、招标范围、工期和质量要求</w:t>
      </w:r>
      <w:bookmarkEnd w:id="26"/>
      <w:bookmarkEnd w:id="27"/>
      <w:bookmarkEnd w:id="28"/>
      <w:bookmarkEnd w:id="29"/>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1.3.1 标段划分：见投标人须知前附表。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1.3.2本招标项目的招标范围：见投标人须知前附表。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1.3.3 本招标项目的计划工期要求：见投标人须知前附表。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1.3.4 本招标项目的质量要求：见投标人须知前附表。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color w:val="auto"/>
          <w:sz w:val="24"/>
        </w:rPr>
      </w:pPr>
      <w:bookmarkStart w:id="30" w:name="_Toc152045533"/>
      <w:bookmarkStart w:id="31" w:name="_Toc179632550"/>
      <w:bookmarkStart w:id="32" w:name="_Toc144974501"/>
      <w:bookmarkStart w:id="33" w:name="_Toc152042309"/>
      <w:r>
        <w:rPr>
          <w:rFonts w:hint="eastAsia" w:cs="宋体" w:asciiTheme="minorEastAsia" w:hAnsiTheme="minorEastAsia" w:eastAsiaTheme="minorEastAsia"/>
          <w:b/>
          <w:bCs/>
          <w:color w:val="auto"/>
          <w:sz w:val="24"/>
        </w:rPr>
        <w:t>1.4 投标人及技术负责人资格要求</w:t>
      </w:r>
      <w:bookmarkEnd w:id="30"/>
      <w:bookmarkEnd w:id="31"/>
      <w:bookmarkEnd w:id="32"/>
      <w:bookmarkEnd w:id="33"/>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1.4.1投标人资格要求：见投标人须知前附表。</w:t>
      </w:r>
      <w:bookmarkStart w:id="34" w:name="_Toc270513360"/>
      <w:bookmarkStart w:id="35" w:name="_Toc144974502"/>
      <w:bookmarkStart w:id="36" w:name="_Toc152045534"/>
      <w:bookmarkStart w:id="37" w:name="_Toc152042310"/>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1.4.2本项目不接受联合体投标。</w:t>
      </w:r>
      <w:bookmarkEnd w:id="34"/>
      <w:bookmarkEnd w:id="35"/>
      <w:bookmarkEnd w:id="36"/>
      <w:bookmarkEnd w:id="37"/>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1.4.3投标人不得存在下列情形之一：</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（1）为招标人不具有独立法人资格的附属机构（单位）；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（2）为本标段前期准备提供设计或咨询服务的；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（3）为本标段的监理人；</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（4）为本标段的代建人；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（5）为本标段提供招标代理服务的；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（6）与本标段的监理人或代建人或招标代理机构同为一个法定代表人的；</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（7）与本标段的监理人或代建人或招标代理机构相互控股或参股的；</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（8）与本标段的监理人或代建人或招标代理机构相互任职或工作的；</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（9）被责令停业的；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（10）被暂停或取消投标资格的； </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（11）财产被接管或冻结的。</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（12）在最近三年内有骗取中标或严重违约或重大工程质量问题的。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1.5 费用承担</w:t>
      </w:r>
      <w:bookmarkEnd w:id="15"/>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投标人准备和参加投标活动发生的费用自理。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38" w:name="_Toc215282134"/>
      <w:r>
        <w:rPr>
          <w:rFonts w:hint="eastAsia" w:cs="宋体" w:asciiTheme="minorEastAsia" w:hAnsiTheme="minorEastAsia" w:eastAsiaTheme="minorEastAsia"/>
          <w:b/>
          <w:color w:val="auto"/>
          <w:sz w:val="24"/>
        </w:rPr>
        <w:t>1.6 保密</w:t>
      </w:r>
      <w:bookmarkEnd w:id="38"/>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39" w:name="_Toc215282135"/>
      <w:r>
        <w:rPr>
          <w:rFonts w:hint="eastAsia" w:cs="宋体" w:asciiTheme="minorEastAsia" w:hAnsiTheme="minorEastAsia" w:eastAsiaTheme="minorEastAsia"/>
          <w:b/>
          <w:color w:val="auto"/>
          <w:sz w:val="24"/>
        </w:rPr>
        <w:t>1.7 语言文字</w:t>
      </w:r>
      <w:bookmarkEnd w:id="39"/>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除专用术语外，与招标投标有关的语言均使用中文。必要时专用术语应附有中文注释。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40" w:name="_Toc215282136"/>
      <w:r>
        <w:rPr>
          <w:rFonts w:hint="eastAsia" w:cs="宋体" w:asciiTheme="minorEastAsia" w:hAnsiTheme="minorEastAsia" w:eastAsiaTheme="minorEastAsia"/>
          <w:b/>
          <w:color w:val="auto"/>
          <w:sz w:val="24"/>
        </w:rPr>
        <w:t>1.8 计量单位</w:t>
      </w:r>
      <w:bookmarkEnd w:id="40"/>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所有计量均采用中华人民共和国法定计量单位。</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41" w:name="_Toc215282137"/>
      <w:r>
        <w:rPr>
          <w:rFonts w:hint="eastAsia" w:cs="宋体" w:asciiTheme="minorEastAsia" w:hAnsiTheme="minorEastAsia" w:eastAsiaTheme="minorEastAsia"/>
          <w:b/>
          <w:color w:val="auto"/>
          <w:sz w:val="24"/>
        </w:rPr>
        <w:t>1.9 踏勘现场</w:t>
      </w:r>
      <w:bookmarkEnd w:id="41"/>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1.9.1招标人不组织踏勘现场，投标人可自行踏勘现场。</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1.9.2 投标人踏勘现场发生的费用自理。</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1.9.3 除招标人的原因外，投标人自行负责在踏勘现场中所发生的人员伤亡和财产损失。</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42" w:name="_Toc215282138"/>
      <w:r>
        <w:rPr>
          <w:rFonts w:hint="eastAsia" w:cs="宋体" w:asciiTheme="minorEastAsia" w:hAnsiTheme="minorEastAsia" w:eastAsiaTheme="minorEastAsia"/>
          <w:b/>
          <w:color w:val="auto"/>
          <w:sz w:val="24"/>
        </w:rPr>
        <w:t>1.10 投标预备会</w:t>
      </w:r>
      <w:bookmarkEnd w:id="42"/>
      <w:r>
        <w:rPr>
          <w:rFonts w:hint="eastAsia" w:cs="宋体" w:asciiTheme="minorEastAsia" w:hAnsiTheme="minorEastAsia" w:eastAsiaTheme="minorEastAsia"/>
          <w:b/>
          <w:color w:val="auto"/>
          <w:sz w:val="24"/>
        </w:rPr>
        <w:t>（无）</w:t>
      </w:r>
      <w:bookmarkStart w:id="43" w:name="_Toc21528213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1.11 分包</w:t>
      </w:r>
      <w:bookmarkEnd w:id="43"/>
      <w:r>
        <w:rPr>
          <w:rFonts w:hint="eastAsia" w:cs="宋体" w:asciiTheme="minorEastAsia" w:hAnsiTheme="minorEastAsia" w:eastAsiaTheme="minorEastAsia"/>
          <w:b/>
          <w:color w:val="auto"/>
          <w:sz w:val="24"/>
        </w:rPr>
        <w:t>（见投标人须知前附表）</w:t>
      </w:r>
      <w:bookmarkStart w:id="44" w:name="_Toc215282140"/>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1.12 偏离</w:t>
      </w:r>
      <w:bookmarkEnd w:id="44"/>
      <w:r>
        <w:rPr>
          <w:rFonts w:hint="eastAsia" w:cs="宋体" w:asciiTheme="minorEastAsia" w:hAnsiTheme="minorEastAsia" w:eastAsiaTheme="minorEastAsia"/>
          <w:b/>
          <w:color w:val="auto"/>
          <w:sz w:val="24"/>
        </w:rPr>
        <w:t>（不允许）</w:t>
      </w:r>
      <w:bookmarkStart w:id="45" w:name="_Toc215282141"/>
    </w:p>
    <w:p>
      <w:pPr>
        <w:pStyle w:val="2"/>
        <w:spacing w:before="0" w:after="0" w:line="420" w:lineRule="exact"/>
        <w:ind w:firstLine="480" w:firstLineChars="200"/>
        <w:rPr>
          <w:rFonts w:asciiTheme="minorEastAsia" w:hAnsiTheme="minorEastAsia" w:eastAsiaTheme="minorEastAsia"/>
          <w:bCs w:val="0"/>
          <w:color w:val="auto"/>
          <w:sz w:val="24"/>
          <w:szCs w:val="24"/>
        </w:rPr>
      </w:pPr>
      <w:bookmarkStart w:id="46" w:name="_Toc517940867"/>
      <w:bookmarkStart w:id="47" w:name="_Toc14209"/>
      <w:r>
        <w:rPr>
          <w:rFonts w:hint="eastAsia" w:asciiTheme="minorEastAsia" w:hAnsiTheme="minorEastAsia" w:eastAsiaTheme="minorEastAsia"/>
          <w:bCs w:val="0"/>
          <w:color w:val="auto"/>
          <w:sz w:val="24"/>
          <w:szCs w:val="24"/>
        </w:rPr>
        <w:t>2. 招标文件</w:t>
      </w:r>
      <w:bookmarkEnd w:id="45"/>
      <w:bookmarkEnd w:id="46"/>
      <w:bookmarkEnd w:id="47"/>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48" w:name="_Toc215282142"/>
      <w:r>
        <w:rPr>
          <w:rFonts w:hint="eastAsia" w:cs="宋体" w:asciiTheme="minorEastAsia" w:hAnsiTheme="minorEastAsia" w:eastAsiaTheme="minorEastAsia"/>
          <w:b/>
          <w:color w:val="auto"/>
          <w:sz w:val="24"/>
        </w:rPr>
        <w:t>2.1 招标文件的组成</w:t>
      </w:r>
      <w:bookmarkEnd w:id="48"/>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本招标文件包括：</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（1）招标公告；</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（2）投标人须知；</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（3）评标办法；</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（4）合同条款及格式；</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（5）工程量清单；</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（6）图纸；</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（7）技术标准和要求；</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（8）投标文件格式；</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（9）投标人须知前附表规定的其他材料。</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根据本章第2.2 款和第2.3款对招标文件所作的澄清、修改，构成招标文件的组成部分。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49" w:name="_Toc215282143"/>
      <w:r>
        <w:rPr>
          <w:rFonts w:hint="eastAsia" w:cs="宋体" w:asciiTheme="minorEastAsia" w:hAnsiTheme="minorEastAsia" w:eastAsiaTheme="minorEastAsia"/>
          <w:b/>
          <w:color w:val="auto"/>
          <w:sz w:val="24"/>
        </w:rPr>
        <w:t>2.2 招标文件的澄清</w:t>
      </w:r>
      <w:bookmarkEnd w:id="49"/>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cs="宋体" w:asciiTheme="minorEastAsia" w:hAnsiTheme="minorEastAsia" w:eastAsiaTheme="minorEastAsia"/>
          <w:b/>
          <w:bCs/>
          <w:color w:val="auto"/>
          <w:sz w:val="24"/>
        </w:rPr>
        <w:t>如未提出异议，视为全面接受。</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2.2.3 所有澄清、答疑全部以公共资源交易系统电子平台发出的为准，不再接受书面形式的递交。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2.3 招标文件的修改</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2.3.2 当招标文件（含评标、定标办法）、补充通知、答疑纪要，内容相互矛盾时，以最后发出的通知（或纪要）为准。</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50" w:name="_Toc30979"/>
      <w:bookmarkStart w:id="51" w:name="_Toc517940868"/>
      <w:bookmarkStart w:id="52" w:name="_Toc215282145"/>
      <w:r>
        <w:rPr>
          <w:rFonts w:hint="eastAsia" w:asciiTheme="minorEastAsia" w:hAnsiTheme="minorEastAsia" w:eastAsiaTheme="minorEastAsia"/>
          <w:bCs w:val="0"/>
          <w:color w:val="auto"/>
          <w:sz w:val="24"/>
          <w:szCs w:val="24"/>
        </w:rPr>
        <w:t>3. 投标文件</w:t>
      </w:r>
      <w:bookmarkEnd w:id="50"/>
      <w:bookmarkEnd w:id="51"/>
      <w:bookmarkEnd w:id="52"/>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53" w:name="_Toc215282146"/>
      <w:r>
        <w:rPr>
          <w:rFonts w:hint="eastAsia" w:cs="宋体" w:asciiTheme="minorEastAsia" w:hAnsiTheme="minorEastAsia" w:eastAsiaTheme="minorEastAsia"/>
          <w:b/>
          <w:color w:val="auto"/>
          <w:sz w:val="24"/>
        </w:rPr>
        <w:t>3.1 投标文件的组成</w:t>
      </w:r>
      <w:bookmarkEnd w:id="53"/>
    </w:p>
    <w:p>
      <w:pPr>
        <w:adjustRightInd w:val="0"/>
        <w:snapToGrid w:val="0"/>
        <w:spacing w:line="420" w:lineRule="exact"/>
        <w:ind w:firstLine="480" w:firstLineChars="200"/>
        <w:rPr>
          <w:rFonts w:cs="宋体" w:asciiTheme="minorEastAsia" w:hAnsiTheme="minorEastAsia" w:eastAsiaTheme="minorEastAsia"/>
          <w:color w:val="auto"/>
          <w:sz w:val="24"/>
        </w:rPr>
      </w:pPr>
      <w:bookmarkStart w:id="54" w:name="_Toc215282147"/>
      <w:r>
        <w:rPr>
          <w:rFonts w:hint="eastAsia" w:cs="宋体" w:asciiTheme="minorEastAsia" w:hAnsiTheme="minorEastAsia" w:eastAsiaTheme="minorEastAsia"/>
          <w:color w:val="auto"/>
          <w:sz w:val="24"/>
        </w:rPr>
        <w:t xml:space="preserve"> 投标文件包括但不限于以下内容：</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（一）投标函及投标函附录</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（二）法定代表人身份证明及授权委托书</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（三）投标保证金</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（四）已标价工程量清单</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（五）施工组织设计</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（六）项目管理机构</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（七）资格证明文件</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（八）近年财务状况</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（九）近年完成的类似项目情况表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（十）正在施工的和新承接的项目情况表</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（十一）近年发生的诉讼和仲裁情况</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（十二）承诺书</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（十三）投标人须知前附表规定的其它材料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3.2 投标报价</w:t>
      </w:r>
      <w:bookmarkEnd w:id="54"/>
    </w:p>
    <w:p>
      <w:pPr>
        <w:adjustRightInd w:val="0"/>
        <w:snapToGrid w:val="0"/>
        <w:spacing w:line="360" w:lineRule="auto"/>
        <w:ind w:firstLine="480" w:firstLineChars="200"/>
        <w:rPr>
          <w:rFonts w:ascii="宋体" w:hAnsi="宋体" w:cs="宋体"/>
          <w:color w:val="auto"/>
          <w:sz w:val="24"/>
        </w:rPr>
      </w:pPr>
      <w:bookmarkStart w:id="55" w:name="_Toc215282148"/>
      <w:r>
        <w:rPr>
          <w:rFonts w:hint="eastAsia" w:ascii="宋体" w:hAnsi="宋体" w:cs="宋体"/>
          <w:color w:val="auto"/>
          <w:sz w:val="24"/>
        </w:rPr>
        <w:t>3.2.1 投标报价编制的依据：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河南省现行水利水电工程造价规范及省、市相关配套文件；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 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 工程施工图；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 现场踏勘资料及招标答疑资料（如有）。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 投标报价的有关要求：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 投标报价是投标人完成本工程并验收合格所需的全部费用，是单价基础上的总价；</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 投标人因抢工期而发生的技术措施费、抢工费，由投标人自行负担；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 本次招标不接受任何有选择的报价，投标文件中只允许有一个投标报价。</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color w:val="auto"/>
          <w:sz w:val="24"/>
        </w:rPr>
      </w:pPr>
      <w:r>
        <w:rPr>
          <w:rFonts w:hint="eastAsia" w:ascii="宋体" w:hAnsi="宋体" w:cs="宋体"/>
          <w:color w:val="auto"/>
          <w:sz w:val="24"/>
        </w:rPr>
        <w:t>3.2.4 中标价即合同价。</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3.3 投标有效期</w:t>
      </w:r>
      <w:bookmarkEnd w:id="55"/>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3.3.1 在投标人须知前附表规定的投标有效期内，投标人不得要求撤销或修改其投标文件。</w:t>
      </w:r>
    </w:p>
    <w:p>
      <w:pPr>
        <w:adjustRightInd w:val="0"/>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56" w:name="_Toc282436964"/>
      <w:r>
        <w:rPr>
          <w:rFonts w:hint="eastAsia" w:cs="宋体" w:asciiTheme="minorEastAsia" w:hAnsiTheme="minorEastAsia" w:eastAsiaTheme="minorEastAsia"/>
          <w:b/>
          <w:color w:val="auto"/>
          <w:sz w:val="24"/>
        </w:rPr>
        <w:t>3.4 投标保证金</w:t>
      </w:r>
      <w:bookmarkEnd w:id="56"/>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3.4.2.3 每个投标人每个项目每个标段只有唯一缴纳账号，</w:t>
      </w:r>
      <w:r>
        <w:rPr>
          <w:rFonts w:hint="eastAsia" w:hAnsi="宋体" w:cs="宋体"/>
          <w:color w:val="auto"/>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3.4.2.4</w:t>
      </w:r>
      <w:r>
        <w:rPr>
          <w:rFonts w:hint="eastAsia" w:hAnsi="宋体" w:cs="宋体"/>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lang w:val="zh-CN"/>
        </w:rPr>
        <w:t xml:space="preserve">3.4.2.6 </w:t>
      </w:r>
      <w:r>
        <w:rPr>
          <w:rFonts w:hint="eastAsia" w:hAnsi="宋体" w:cs="宋体"/>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（3）项目废标或招标人终止招标的，在此后5个工作日内退还投标保证金及银行同期活期存利息。</w:t>
      </w:r>
      <w:r>
        <w:rPr>
          <w:rFonts w:hint="eastAsia" w:hAnsi="宋体" w:cs="宋体"/>
          <w:color w:val="auto"/>
          <w:sz w:val="24"/>
        </w:rPr>
        <w:br w:type="textWrapping"/>
      </w:r>
      <w:r>
        <w:rPr>
          <w:rFonts w:hint="eastAsia" w:hAnsi="宋体" w:cs="宋体"/>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（8）特殊情况处理</w:t>
      </w:r>
    </w:p>
    <w:p>
      <w:pPr>
        <w:tabs>
          <w:tab w:val="left" w:pos="1260"/>
        </w:tabs>
        <w:autoSpaceDE w:val="0"/>
        <w:autoSpaceDN w:val="0"/>
        <w:adjustRightInd w:val="0"/>
        <w:spacing w:line="460" w:lineRule="exact"/>
        <w:ind w:firstLine="480" w:firstLineChars="200"/>
        <w:jc w:val="left"/>
        <w:rPr>
          <w:rFonts w:hAnsi="宋体" w:cs="宋体"/>
          <w:color w:val="auto"/>
          <w:sz w:val="24"/>
          <w:szCs w:val="22"/>
        </w:rPr>
      </w:pPr>
      <w:r>
        <w:rPr>
          <w:rFonts w:hint="eastAsia" w:hAnsi="宋体" w:cs="宋体"/>
          <w:color w:val="auto"/>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color w:val="auto"/>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szCs w:val="22"/>
        </w:rPr>
        <w:t>②投标截止后，确因投标人技术原因造成的投标文件无法解密、导入失败的，视为其撤销投标文件，投标保证金予以退还</w:t>
      </w:r>
      <w:r>
        <w:rPr>
          <w:rFonts w:hint="eastAsia" w:hAnsi="宋体" w:cs="宋体"/>
          <w:color w:val="auto"/>
          <w:sz w:val="24"/>
        </w:rPr>
        <w:t>。</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rPr>
        <w:t>（6）</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（7）相关法律、法规规定不予退还的其它情形</w:t>
      </w:r>
      <w:r>
        <w:rPr>
          <w:rFonts w:hint="eastAsia" w:hAnsi="宋体" w:cs="宋体"/>
          <w:color w:val="auto"/>
          <w:sz w:val="24"/>
          <w:lang w:val="zh-CN"/>
        </w:rPr>
        <w:t>。</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int="eastAsia"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hAnsi="宋体" w:cs="宋体"/>
          <w:b/>
          <w:bCs/>
          <w:color w:val="auto"/>
          <w:sz w:val="24"/>
          <w:lang w:eastAsia="zh-CN"/>
        </w:rPr>
      </w:pPr>
      <w:r>
        <w:rPr>
          <w:rFonts w:hint="eastAsia" w:hAnsi="宋体" w:cs="宋体"/>
          <w:b/>
          <w:bCs/>
          <w:color w:val="auto"/>
          <w:sz w:val="24"/>
        </w:rPr>
        <w:t>3.5.6中标单位负责在项目建设中涉及地方关系等方面的协调,并承担由此产生的费用；同时对施工过程中的一切安全问题负责，投标人应对此项作出承诺，否则按废标处理</w:t>
      </w:r>
      <w:r>
        <w:rPr>
          <w:rFonts w:hint="eastAsia" w:hAnsi="宋体" w:cs="宋体"/>
          <w:b/>
          <w:bCs/>
          <w:color w:val="auto"/>
          <w:sz w:val="24"/>
          <w:lang w:eastAsia="zh-CN"/>
        </w:rPr>
        <w:t>。</w:t>
      </w:r>
    </w:p>
    <w:p>
      <w:pPr>
        <w:autoSpaceDE w:val="0"/>
        <w:autoSpaceDN w:val="0"/>
        <w:spacing w:line="440" w:lineRule="exact"/>
        <w:ind w:firstLine="480"/>
        <w:jc w:val="left"/>
        <w:rPr>
          <w:rFonts w:hint="eastAsia" w:hAnsi="宋体" w:cs="宋体"/>
          <w:b/>
          <w:bCs/>
          <w:color w:val="auto"/>
          <w:sz w:val="24"/>
        </w:rPr>
      </w:pPr>
      <w:r>
        <w:rPr>
          <w:rFonts w:hint="eastAsia" w:hAnsi="宋体" w:cs="宋体"/>
          <w:b/>
          <w:bCs/>
          <w:color w:val="auto"/>
          <w:sz w:val="24"/>
          <w:lang w:val="en-US" w:eastAsia="zh-CN"/>
        </w:rPr>
        <w:t>3.5.7</w:t>
      </w:r>
      <w:r>
        <w:rPr>
          <w:rFonts w:hint="eastAsia" w:hAnsi="宋体" w:cs="宋体"/>
          <w:b/>
          <w:bCs/>
          <w:color w:val="auto"/>
          <w:sz w:val="24"/>
        </w:rPr>
        <w:t>投标文件中资格审查资料的</w:t>
      </w:r>
      <w:r>
        <w:rPr>
          <w:rFonts w:hint="eastAsia" w:hAnsi="宋体" w:cs="宋体"/>
          <w:b/>
          <w:bCs/>
          <w:color w:val="auto"/>
          <w:sz w:val="24"/>
          <w:lang w:eastAsia="zh-CN"/>
        </w:rPr>
        <w:t>原件扫描件</w:t>
      </w:r>
      <w:r>
        <w:rPr>
          <w:rFonts w:hint="eastAsia" w:hAnsi="宋体" w:cs="宋体"/>
          <w:b/>
          <w:bCs/>
          <w:color w:val="auto"/>
          <w:sz w:val="24"/>
        </w:rPr>
        <w:t>必须加盖投标单位公章</w:t>
      </w:r>
      <w:r>
        <w:rPr>
          <w:rFonts w:hint="eastAsia" w:hAnsi="宋体" w:cs="宋体"/>
          <w:b/>
          <w:bCs/>
          <w:color w:val="auto"/>
          <w:sz w:val="24"/>
          <w:lang w:eastAsia="zh-CN"/>
        </w:rPr>
        <w:t>（电子印章）</w:t>
      </w:r>
      <w:r>
        <w:rPr>
          <w:rFonts w:hint="eastAsia" w:hAnsi="宋体" w:cs="宋体"/>
          <w:b/>
          <w:bCs/>
          <w:color w:val="auto"/>
          <w:sz w:val="24"/>
        </w:rPr>
        <w:t>。在招投标期间，被河南省相关行政主管部门列入禁止在河南省进行投标的企业，所递交的投标文件无效，按废标处理。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57" w:name="_Toc215282150"/>
      <w:r>
        <w:rPr>
          <w:rFonts w:hint="eastAsia" w:cs="宋体" w:asciiTheme="minorEastAsia" w:hAnsiTheme="minorEastAsia" w:eastAsiaTheme="minorEastAsia"/>
          <w:b/>
          <w:color w:val="auto"/>
          <w:sz w:val="24"/>
        </w:rPr>
        <w:t>3.</w:t>
      </w:r>
      <w:bookmarkEnd w:id="57"/>
      <w:r>
        <w:rPr>
          <w:rFonts w:hint="eastAsia" w:cs="宋体" w:asciiTheme="minorEastAsia" w:hAnsiTheme="minorEastAsia" w:eastAsiaTheme="minorEastAsia"/>
          <w:b/>
          <w:color w:val="auto"/>
          <w:sz w:val="24"/>
        </w:rPr>
        <w:t>6备选投标方案（不需要）</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58" w:name="_Toc215282152"/>
      <w:r>
        <w:rPr>
          <w:rFonts w:hint="eastAsia" w:cs="宋体" w:asciiTheme="minorEastAsia" w:hAnsiTheme="minorEastAsia" w:eastAsiaTheme="minorEastAsia"/>
          <w:b/>
          <w:color w:val="auto"/>
          <w:sz w:val="24"/>
        </w:rPr>
        <w:t>3.7 投标文件的编制</w:t>
      </w:r>
      <w:bookmarkEnd w:id="58"/>
    </w:p>
    <w:p>
      <w:pPr>
        <w:spacing w:line="360" w:lineRule="auto"/>
        <w:ind w:firstLine="480" w:firstLineChars="200"/>
        <w:rPr>
          <w:rFonts w:hAnsi="宋体" w:cs="宋体"/>
          <w:color w:val="auto"/>
          <w:sz w:val="24"/>
        </w:rPr>
      </w:pPr>
      <w:bookmarkStart w:id="59" w:name="_Toc215282153"/>
      <w:bookmarkStart w:id="60" w:name="_Toc23256"/>
      <w:bookmarkStart w:id="61" w:name="_Toc215282154"/>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olor w:val="auto"/>
          <w:sz w:val="24"/>
        </w:rPr>
      </w:pPr>
      <w:r>
        <w:rPr>
          <w:rFonts w:hint="eastAsia" w:hAnsi="宋体" w:cs="宋体"/>
          <w:color w:val="auto"/>
          <w:sz w:val="24"/>
        </w:rPr>
        <w:t xml:space="preserve">3.7.3 </w:t>
      </w:r>
      <w:r>
        <w:rPr>
          <w:rFonts w:hint="eastAsia" w:hAnsi="宋体"/>
          <w:color w:val="auto"/>
          <w:sz w:val="24"/>
        </w:rPr>
        <w:t>投标人登录许昌公共资源交易系统下载“许昌投标文件制作系统SEARUN V1.1”，按招标文件要求制作电子投标文件（包括含工程量清单的投标文件）。</w:t>
      </w:r>
    </w:p>
    <w:p>
      <w:pPr>
        <w:autoSpaceDE w:val="0"/>
        <w:autoSpaceDN w:val="0"/>
        <w:spacing w:line="360" w:lineRule="auto"/>
        <w:ind w:firstLine="480" w:firstLineChars="200"/>
        <w:jc w:val="left"/>
        <w:outlineLvl w:val="0"/>
        <w:rPr>
          <w:rFonts w:hAnsi="宋体" w:cs="宋体"/>
          <w:color w:val="auto"/>
          <w:sz w:val="24"/>
        </w:rPr>
      </w:pPr>
      <w:r>
        <w:rPr>
          <w:rFonts w:hint="eastAsia" w:hAnsi="宋体" w:cs="宋体"/>
          <w:color w:val="auto"/>
          <w:sz w:val="24"/>
        </w:rPr>
        <w:t>3.7.4 使用电子介质存储的备份文件1份。</w:t>
      </w:r>
    </w:p>
    <w:p>
      <w:pPr>
        <w:tabs>
          <w:tab w:val="left" w:pos="7095"/>
        </w:tabs>
        <w:spacing w:line="360" w:lineRule="auto"/>
        <w:ind w:firstLine="480" w:firstLineChars="200"/>
        <w:rPr>
          <w:rFonts w:hAnsi="宋体"/>
          <w:color w:val="auto"/>
          <w:sz w:val="24"/>
        </w:rPr>
      </w:pPr>
      <w:r>
        <w:rPr>
          <w:rFonts w:hint="eastAsia" w:hAnsi="宋体"/>
          <w:color w:val="auto"/>
          <w:sz w:val="24"/>
        </w:rPr>
        <w:t>3.7.5同时生成与电子投标文件内容、水印码、电子签章一致的PDF文件。</w:t>
      </w:r>
    </w:p>
    <w:p>
      <w:pPr>
        <w:tabs>
          <w:tab w:val="left" w:pos="7095"/>
        </w:tabs>
        <w:spacing w:line="360" w:lineRule="auto"/>
        <w:ind w:firstLine="480" w:firstLineChars="200"/>
        <w:rPr>
          <w:rFonts w:asciiTheme="minorEastAsia" w:hAnsiTheme="minorEastAsia" w:eastAsiaTheme="minorEastAsia"/>
          <w:color w:val="auto"/>
          <w:sz w:val="24"/>
        </w:rPr>
      </w:pPr>
      <w:r>
        <w:rPr>
          <w:rFonts w:hint="eastAsia" w:hAnsi="宋体"/>
          <w:color w:val="auto"/>
          <w:sz w:val="24"/>
        </w:rPr>
        <w:t>3.7.6当生成的电子投标文件投标报价大小写不一致时，以大写为准</w:t>
      </w:r>
      <w:r>
        <w:rPr>
          <w:rFonts w:hint="eastAsia" w:asciiTheme="minorEastAsia" w:hAnsiTheme="minorEastAsia" w:eastAsiaTheme="minorEastAsia"/>
          <w:color w:val="auto"/>
          <w:sz w:val="24"/>
        </w:rPr>
        <w:t>。</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62" w:name="_Toc517940869"/>
      <w:r>
        <w:rPr>
          <w:rFonts w:hint="eastAsia" w:cs="宋体" w:asciiTheme="minorEastAsia" w:hAnsiTheme="minorEastAsia" w:eastAsiaTheme="minorEastAsia"/>
          <w:color w:val="auto"/>
          <w:sz w:val="24"/>
          <w:szCs w:val="24"/>
        </w:rPr>
        <w:t>4. 投标</w:t>
      </w:r>
      <w:bookmarkEnd w:id="59"/>
      <w:bookmarkEnd w:id="60"/>
      <w:bookmarkEnd w:id="62"/>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4.1 投标文件的密封和标记</w:t>
      </w:r>
      <w:bookmarkEnd w:id="61"/>
    </w:p>
    <w:p>
      <w:pPr>
        <w:tabs>
          <w:tab w:val="left" w:pos="7095"/>
        </w:tabs>
        <w:spacing w:line="360" w:lineRule="auto"/>
        <w:ind w:firstLine="480" w:firstLineChars="200"/>
        <w:rPr>
          <w:rFonts w:hint="eastAsia" w:hAnsi="宋体"/>
          <w:color w:val="auto"/>
          <w:sz w:val="24"/>
        </w:rPr>
      </w:pPr>
      <w:bookmarkStart w:id="63" w:name="_Toc215282155"/>
      <w:r>
        <w:rPr>
          <w:rFonts w:hint="eastAsia" w:hAnsi="宋体"/>
          <w:color w:val="auto"/>
          <w:sz w:val="24"/>
        </w:rPr>
        <w:t>电子介质存储的投标文件应单独密封，封套上写明“招标人名称、投标人名称、项目名称，在  年  月  日  时  分前不得开启”，并加盖单位公章，法定代表人或委托代理人签名，在投标截止时间前递交。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4.2 投标文件的递交</w:t>
      </w:r>
      <w:bookmarkEnd w:id="63"/>
    </w:p>
    <w:p>
      <w:pPr>
        <w:spacing w:line="420" w:lineRule="exact"/>
        <w:ind w:firstLine="480" w:firstLineChars="200"/>
        <w:rPr>
          <w:rFonts w:hint="eastAsia" w:cs="宋体" w:asciiTheme="minorEastAsia" w:hAnsiTheme="minorEastAsia" w:eastAsiaTheme="minorEastAsia"/>
          <w:color w:val="auto"/>
          <w:sz w:val="24"/>
        </w:rPr>
      </w:pPr>
      <w:bookmarkStart w:id="64" w:name="_Toc215282156"/>
      <w:r>
        <w:rPr>
          <w:rFonts w:hint="eastAsia" w:cs="宋体" w:asciiTheme="minorEastAsia" w:hAnsiTheme="minorEastAsia" w:eastAsiaTheme="minorEastAsia"/>
          <w:color w:val="auto"/>
          <w:sz w:val="24"/>
        </w:rPr>
        <w:t>4.2.1 投标人应在投标人须知前附表中规定的投标截止时间前成功上传电子投标文件和现场提交电子介质存储的投标文件。</w:t>
      </w:r>
    </w:p>
    <w:p>
      <w:pPr>
        <w:spacing w:line="42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 投标人提交电子介质存储的投标文件地点：见投标人须知前附表。</w:t>
      </w:r>
    </w:p>
    <w:p>
      <w:pPr>
        <w:spacing w:line="42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4.2.3 除投标人须知前附表另有规定外，投标人所提交的电子投标文件及电子介质存储的投标文件不予退还。</w:t>
      </w:r>
    </w:p>
    <w:p>
      <w:pPr>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4.2.4 逾期送达的或者未送达指定地点的电子介质存储的投标文件，招标人不予受理。</w:t>
      </w:r>
    </w:p>
    <w:p>
      <w:pPr>
        <w:spacing w:line="420" w:lineRule="exact"/>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4.3 投标文件的修改与撤回</w:t>
      </w:r>
      <w:bookmarkEnd w:id="64"/>
      <w:bookmarkStart w:id="65" w:name="_Toc215282157"/>
      <w:bookmarkStart w:id="66" w:name="_Toc22202"/>
    </w:p>
    <w:p>
      <w:pPr>
        <w:spacing w:line="42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4.3.1 在本章第2.2.2 项规定的投标截止时间前，投标人可以修改或撤回已提交的电子投标文件修改或撤回应以书面形式通知招标人。</w:t>
      </w:r>
    </w:p>
    <w:p>
      <w:pPr>
        <w:spacing w:line="42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4.3.2 投标人修改或撤回已提交电子投标文件的书面通知应按照投标人须知前附表第3.7.3 项的要求签字或盖章。招标人收到书面通知后，向投标人出具签收凭证。</w:t>
      </w:r>
    </w:p>
    <w:p>
      <w:pPr>
        <w:spacing w:line="42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4.3.3 修改的内容为投标文件的组成部分。修改的电子投标文件应按照本章第3条、第4条规定进行编制、密封、标记和提交，并标明“修改”字样。</w:t>
      </w:r>
    </w:p>
    <w:p>
      <w:pPr>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67" w:name="_Toc517940870"/>
      <w:r>
        <w:rPr>
          <w:rFonts w:hint="eastAsia" w:cs="宋体" w:asciiTheme="minorEastAsia" w:hAnsiTheme="minorEastAsia" w:eastAsiaTheme="minorEastAsia"/>
          <w:color w:val="auto"/>
          <w:sz w:val="24"/>
          <w:szCs w:val="24"/>
        </w:rPr>
        <w:t>5. 开标</w:t>
      </w:r>
      <w:bookmarkEnd w:id="65"/>
      <w:bookmarkEnd w:id="66"/>
      <w:bookmarkEnd w:id="67"/>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 开标时间和地点</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5.2开标程序</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5.2.1主持人按下列程序进行开标：</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（1）宣布投标截止时间，并公布招标人、代理机构、监督部门名称；</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（2）宣布开标纪律；</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（3）公布在投标截止时间前递交投标文件的投标人名称和投标保证金缴纳情况。</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（4）电子投标文件解密</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（5）宣布唱标顺序，按已定顺序唱标，唱标内容为：投标人名称、投标报价、质量目标、工期及其他内容，并记录；</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（6）现场抽取参与计算评标基准价的K值并宣布，同时公布招标控制价；</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（7）投标人代表、招标人代表、监标人、记录人等有关人员在开标记录上签字确认；</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（8）开标结束。</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5.2.2 电子投标文件的解密</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5.2.2.1本项目为全流程电子化交易项目，电子投标文件采用双重加密。在投标截止时间到达后，分标段进行解密。</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(1)投标人解密：投标人使用本单位CA数字证书远程或现场进行解密。需现场使用一体机进行解密的，请在代理机构引导下进行。</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(2)代理机构解密：代理机构按电子投标文件到达交易系统的先后顺序，使用本单位CA数字证书进行再次解密。</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5.2.2.2电子投标文件解密异常情况处理</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（1）因电子交易系统异常无法解密电子投标文件的，以人工方式进行。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因投标人原因电子投标文件解密失败的，由系统技术人员协助投标人将备份文件（电子介质存储）导入系统。若备份文件（电子介质存储）无法导入系统或导入系统仍无法解密的，视为投标人撤销其投标文件。</w:t>
      </w:r>
      <w:bookmarkStart w:id="68" w:name="_Toc215282160"/>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69" w:name="_Toc517940871"/>
      <w:bookmarkStart w:id="70" w:name="_Toc419"/>
      <w:r>
        <w:rPr>
          <w:rFonts w:hint="eastAsia" w:cs="宋体" w:asciiTheme="minorEastAsia" w:hAnsiTheme="minorEastAsia" w:eastAsiaTheme="minorEastAsia"/>
          <w:color w:val="auto"/>
          <w:sz w:val="24"/>
          <w:szCs w:val="24"/>
        </w:rPr>
        <w:t>6. 评标</w:t>
      </w:r>
      <w:bookmarkEnd w:id="68"/>
      <w:bookmarkEnd w:id="69"/>
      <w:bookmarkEnd w:id="70"/>
      <w:bookmarkStart w:id="71" w:name="_Toc215282161"/>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6.1 评标委员会</w:t>
      </w:r>
      <w:bookmarkEnd w:id="71"/>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 评标由招标人依法组建的评标委员会负责。评标委员成员人数的确定方式见投标人须知前附表。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6.1.2 评标委员会成员有下列情形之一的，应当回避：</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（1）招标人或投标人的主要负责人的近亲属；</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（2）项目主管部门或者行政监督部门的人员；</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（3）与投标人有经济利益关系，可能影响对投标公正评审的；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（4）曾因在招标、评标以及其他与招标投标有关活动中从事违法行为而受过行政处罚或刑事处罚的。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72" w:name="_Toc215282162"/>
      <w:r>
        <w:rPr>
          <w:rFonts w:hint="eastAsia" w:cs="宋体" w:asciiTheme="minorEastAsia" w:hAnsiTheme="minorEastAsia" w:eastAsiaTheme="minorEastAsia"/>
          <w:b/>
          <w:color w:val="auto"/>
          <w:sz w:val="24"/>
        </w:rPr>
        <w:t>6.2 评标原则</w:t>
      </w:r>
      <w:bookmarkEnd w:id="72"/>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评标活动遵循公平、公正、科学和择优的原则。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73" w:name="_Toc215282163"/>
      <w:r>
        <w:rPr>
          <w:rFonts w:hint="eastAsia" w:cs="宋体" w:asciiTheme="minorEastAsia" w:hAnsiTheme="minorEastAsia" w:eastAsiaTheme="minorEastAsia"/>
          <w:b/>
          <w:color w:val="auto"/>
          <w:sz w:val="24"/>
        </w:rPr>
        <w:t>6.3 评标</w:t>
      </w:r>
      <w:bookmarkEnd w:id="73"/>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评标委员会按照第三章“评标办法”规定的方法、评审因素、标准和程序对投标文件进行评审。第三章“评标办法”没有规定的方法、评审因素和标准，不作为评标依据。</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74" w:name="_Toc215282164"/>
      <w:bookmarkStart w:id="75" w:name="_Toc23856"/>
      <w:bookmarkStart w:id="76" w:name="_Toc517940872"/>
      <w:r>
        <w:rPr>
          <w:rFonts w:hint="eastAsia" w:cs="宋体" w:asciiTheme="minorEastAsia" w:hAnsiTheme="minorEastAsia" w:eastAsiaTheme="minorEastAsia"/>
          <w:color w:val="auto"/>
          <w:sz w:val="24"/>
          <w:szCs w:val="24"/>
        </w:rPr>
        <w:t>7. 合同授予</w:t>
      </w:r>
      <w:bookmarkEnd w:id="74"/>
      <w:bookmarkEnd w:id="75"/>
      <w:bookmarkEnd w:id="76"/>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77" w:name="_Toc215282165"/>
      <w:r>
        <w:rPr>
          <w:rFonts w:hint="eastAsia" w:cs="宋体" w:asciiTheme="minorEastAsia" w:hAnsiTheme="minorEastAsia" w:eastAsiaTheme="minorEastAsia"/>
          <w:b/>
          <w:color w:val="auto"/>
          <w:sz w:val="24"/>
        </w:rPr>
        <w:t>7.1 定标方式</w:t>
      </w:r>
      <w:bookmarkEnd w:id="77"/>
    </w:p>
    <w:p>
      <w:pPr>
        <w:adjustRightInd w:val="0"/>
        <w:snapToGrid w:val="0"/>
        <w:spacing w:line="420" w:lineRule="exact"/>
        <w:ind w:firstLine="480" w:firstLineChars="200"/>
        <w:rPr>
          <w:rFonts w:cs="宋体" w:asciiTheme="minorEastAsia" w:hAnsiTheme="minorEastAsia" w:eastAsiaTheme="minorEastAsia"/>
          <w:color w:val="auto"/>
          <w:sz w:val="24"/>
        </w:rPr>
      </w:pPr>
      <w:bookmarkStart w:id="78" w:name="_Toc215282166"/>
      <w:r>
        <w:rPr>
          <w:rFonts w:hint="eastAsia" w:cs="宋体" w:asciiTheme="minorEastAsia" w:hAnsiTheme="minorEastAsia" w:eastAsiaTheme="minorEastAsia"/>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7.2 中标通知</w:t>
      </w:r>
      <w:bookmarkEnd w:id="78"/>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在本章第3.3 款规定的投标有效期内，招标人以书面形式向中标人发出中标通知书，同时将中标结果通知未中标的投标人。</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79" w:name="_Toc152045569"/>
      <w:bookmarkStart w:id="80" w:name="_Toc152042345"/>
      <w:bookmarkStart w:id="81" w:name="_Toc144974537"/>
      <w:bookmarkStart w:id="82" w:name="_Toc179632587"/>
      <w:bookmarkStart w:id="83" w:name="_Toc215282169"/>
      <w:r>
        <w:rPr>
          <w:rFonts w:hint="eastAsia" w:cs="宋体" w:asciiTheme="minorEastAsia" w:hAnsiTheme="minorEastAsia" w:eastAsiaTheme="minorEastAsia"/>
          <w:b/>
          <w:color w:val="auto"/>
          <w:sz w:val="24"/>
        </w:rPr>
        <w:t>7.3</w:t>
      </w:r>
      <w:bookmarkEnd w:id="79"/>
      <w:bookmarkEnd w:id="80"/>
      <w:bookmarkEnd w:id="81"/>
      <w:bookmarkEnd w:id="82"/>
      <w:r>
        <w:rPr>
          <w:rFonts w:hint="eastAsia" w:cs="宋体" w:asciiTheme="minorEastAsia" w:hAnsiTheme="minorEastAsia" w:eastAsiaTheme="minorEastAsia"/>
          <w:b/>
          <w:color w:val="auto"/>
          <w:sz w:val="24"/>
        </w:rPr>
        <w:t xml:space="preserve"> 履约担保</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7.3.1 在签订合同前，中标人应按投标人须知前附表规定的金额、担保形式和招标文件第四章“合同条款及格式”规定的履约担保格式向招标人提交履约担保。此项属招标人的实质性要求，投标单位若无此承诺，取消其中标资格。</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84" w:name="_Toc179632588"/>
      <w:bookmarkStart w:id="85" w:name="_Toc152045570"/>
      <w:bookmarkStart w:id="86" w:name="_Toc152042346"/>
      <w:bookmarkStart w:id="87" w:name="_Toc144974538"/>
      <w:r>
        <w:rPr>
          <w:rFonts w:hint="eastAsia" w:cs="宋体" w:asciiTheme="minorEastAsia" w:hAnsiTheme="minorEastAsia" w:eastAsiaTheme="minorEastAsia"/>
          <w:b/>
          <w:color w:val="auto"/>
          <w:sz w:val="24"/>
        </w:rPr>
        <w:t>7.4 签订合同</w:t>
      </w:r>
      <w:bookmarkEnd w:id="84"/>
      <w:bookmarkEnd w:id="85"/>
      <w:bookmarkEnd w:id="86"/>
      <w:bookmarkEnd w:id="87"/>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88" w:name="_Toc221950219"/>
      <w:r>
        <w:rPr>
          <w:rFonts w:hint="eastAsia" w:cs="宋体" w:asciiTheme="minorEastAsia" w:hAnsiTheme="minorEastAsia" w:eastAsiaTheme="minorEastAsia"/>
          <w:color w:val="auto"/>
          <w:sz w:val="24"/>
        </w:rPr>
        <w:t>7.4.2 发出中标通知书后，招标人无正当理由拒签合同的，招标人向中标人退还投标保证金，并按投标保证金双倍的金额赔偿投标人损失。</w:t>
      </w:r>
      <w:bookmarkEnd w:id="88"/>
      <w:r>
        <w:rPr>
          <w:rFonts w:hint="eastAsia" w:cs="宋体" w:asciiTheme="minorEastAsia" w:hAnsiTheme="minorEastAsia" w:eastAsiaTheme="minorEastAsia"/>
          <w:color w:val="auto"/>
          <w:sz w:val="24"/>
        </w:rPr>
        <w:t xml:space="preserve"> </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89" w:name="_Toc19935"/>
      <w:bookmarkStart w:id="90" w:name="_Toc517940873"/>
      <w:r>
        <w:rPr>
          <w:rFonts w:hint="eastAsia" w:cs="宋体" w:asciiTheme="minorEastAsia" w:hAnsiTheme="minorEastAsia" w:eastAsiaTheme="minorEastAsia"/>
          <w:color w:val="auto"/>
          <w:sz w:val="24"/>
          <w:szCs w:val="24"/>
        </w:rPr>
        <w:t>8. 重新招标和不再招标</w:t>
      </w:r>
      <w:bookmarkEnd w:id="83"/>
      <w:bookmarkEnd w:id="89"/>
      <w:bookmarkEnd w:id="90"/>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91" w:name="_Toc215282170"/>
      <w:r>
        <w:rPr>
          <w:rFonts w:hint="eastAsia" w:cs="宋体" w:asciiTheme="minorEastAsia" w:hAnsiTheme="minorEastAsia" w:eastAsiaTheme="minorEastAsia"/>
          <w:b/>
          <w:color w:val="auto"/>
          <w:sz w:val="24"/>
        </w:rPr>
        <w:t>8.1 重新招标</w:t>
      </w:r>
      <w:bookmarkEnd w:id="91"/>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有下列情形之一的，招标人将重新招标：</w:t>
      </w:r>
    </w:p>
    <w:p>
      <w:pPr>
        <w:numPr>
          <w:ilvl w:val="0"/>
          <w:numId w:val="3"/>
        </w:num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投标截止时间止，投标人少于3个的；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（2）经评标委员会评审后否决所有投标的。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color w:val="auto"/>
          <w:sz w:val="24"/>
        </w:rPr>
      </w:pPr>
      <w:bookmarkStart w:id="92" w:name="_Toc215282171"/>
      <w:r>
        <w:rPr>
          <w:rFonts w:hint="eastAsia" w:cs="宋体" w:asciiTheme="minorEastAsia" w:hAnsiTheme="minorEastAsia" w:eastAsiaTheme="minorEastAsia"/>
          <w:b/>
          <w:color w:val="auto"/>
          <w:sz w:val="24"/>
        </w:rPr>
        <w:t>8.2 不再招标</w:t>
      </w:r>
      <w:bookmarkEnd w:id="92"/>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重新招标后投标人仍少于3个或者所有投标被否决的，属于必须审批或核准的工程建设项目，经原审批或核准部门批准后不再进行招标。</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93" w:name="_Toc215282172"/>
      <w:bookmarkStart w:id="94" w:name="_Toc26940"/>
      <w:bookmarkStart w:id="95" w:name="_Toc517940874"/>
      <w:r>
        <w:rPr>
          <w:rFonts w:hint="eastAsia" w:cs="宋体" w:asciiTheme="minorEastAsia" w:hAnsiTheme="minorEastAsia" w:eastAsiaTheme="minorEastAsia"/>
          <w:color w:val="auto"/>
          <w:sz w:val="24"/>
          <w:szCs w:val="24"/>
        </w:rPr>
        <w:t>9. 纪律和监督</w:t>
      </w:r>
      <w:bookmarkEnd w:id="93"/>
      <w:bookmarkEnd w:id="94"/>
      <w:bookmarkEnd w:id="95"/>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96" w:name="_Toc215282173"/>
      <w:r>
        <w:rPr>
          <w:rFonts w:hint="eastAsia" w:cs="宋体" w:asciiTheme="minorEastAsia" w:hAnsiTheme="minorEastAsia" w:eastAsiaTheme="minorEastAsia"/>
          <w:color w:val="auto"/>
          <w:sz w:val="24"/>
        </w:rPr>
        <w:t>9.1 对招标人的纪律要求</w:t>
      </w:r>
      <w:bookmarkEnd w:id="96"/>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97" w:name="_Toc215282174"/>
      <w:r>
        <w:rPr>
          <w:rFonts w:hint="eastAsia" w:cs="宋体" w:asciiTheme="minorEastAsia" w:hAnsiTheme="minorEastAsia" w:eastAsiaTheme="minorEastAsia"/>
          <w:color w:val="auto"/>
          <w:sz w:val="24"/>
        </w:rPr>
        <w:t>9.2 对投标人的纪律要求</w:t>
      </w:r>
      <w:bookmarkEnd w:id="97"/>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98" w:name="_Toc215282175"/>
      <w:r>
        <w:rPr>
          <w:rFonts w:hint="eastAsia" w:cs="宋体" w:asciiTheme="minorEastAsia" w:hAnsiTheme="minorEastAsia" w:eastAsiaTheme="minorEastAsia"/>
          <w:color w:val="auto"/>
          <w:sz w:val="24"/>
        </w:rPr>
        <w:t>9.3 对评标委员会成员的纪律要求</w:t>
      </w:r>
      <w:bookmarkEnd w:id="98"/>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99" w:name="_Toc215282176"/>
      <w:r>
        <w:rPr>
          <w:rFonts w:hint="eastAsia" w:cs="宋体" w:asciiTheme="minorEastAsia" w:hAnsiTheme="minorEastAsia" w:eastAsiaTheme="minorEastAsia"/>
          <w:color w:val="auto"/>
          <w:sz w:val="24"/>
        </w:rPr>
        <w:t>9.4 对与评标活动有关的工作人员的纪律要求</w:t>
      </w:r>
      <w:bookmarkEnd w:id="99"/>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bookmarkStart w:id="100" w:name="_Toc215282177"/>
      <w:r>
        <w:rPr>
          <w:rFonts w:hint="eastAsia" w:cs="宋体" w:asciiTheme="minorEastAsia" w:hAnsiTheme="minorEastAsia" w:eastAsiaTheme="minorEastAsia"/>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9.5 投诉</w:t>
      </w:r>
      <w:bookmarkEnd w:id="100"/>
    </w:p>
    <w:p>
      <w:pPr>
        <w:autoSpaceDE w:val="0"/>
        <w:autoSpaceDN w:val="0"/>
        <w:adjustRightInd w:val="0"/>
        <w:snapToGrid w:val="0"/>
        <w:spacing w:line="42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投标人和其他利害关系人认为本次招标活动违反法律、法规和规章规定的，有权向有关行政监督部门投诉。</w:t>
      </w:r>
    </w:p>
    <w:p>
      <w:pPr>
        <w:pStyle w:val="2"/>
        <w:spacing w:before="0" w:after="0" w:line="420" w:lineRule="exact"/>
        <w:ind w:firstLine="480" w:firstLineChars="200"/>
        <w:rPr>
          <w:rFonts w:cs="宋体" w:asciiTheme="minorEastAsia" w:hAnsiTheme="minorEastAsia" w:eastAsiaTheme="minorEastAsia"/>
          <w:color w:val="auto"/>
          <w:sz w:val="24"/>
          <w:szCs w:val="24"/>
        </w:rPr>
      </w:pPr>
      <w:bookmarkStart w:id="101" w:name="_Toc517940875"/>
      <w:bookmarkStart w:id="102" w:name="_Toc10389"/>
      <w:r>
        <w:rPr>
          <w:rFonts w:hint="eastAsia" w:cs="宋体" w:asciiTheme="minorEastAsia" w:hAnsiTheme="minorEastAsia" w:eastAsiaTheme="minorEastAsia"/>
          <w:color w:val="auto"/>
          <w:sz w:val="24"/>
          <w:szCs w:val="24"/>
        </w:rPr>
        <w:t>10.需要补充的其他内容</w:t>
      </w:r>
      <w:bookmarkEnd w:id="101"/>
      <w:bookmarkEnd w:id="102"/>
    </w:p>
    <w:p>
      <w:pPr>
        <w:autoSpaceDE w:val="0"/>
        <w:autoSpaceDN w:val="0"/>
        <w:adjustRightInd w:val="0"/>
        <w:snapToGrid w:val="0"/>
        <w:spacing w:line="420" w:lineRule="exact"/>
        <w:ind w:firstLine="480" w:firstLineChars="200"/>
        <w:jc w:val="left"/>
        <w:rPr>
          <w:rFonts w:ascii="宋体" w:hAnsi="宋体" w:cs="宋体"/>
          <w:color w:val="auto"/>
          <w:sz w:val="24"/>
        </w:rPr>
      </w:pPr>
      <w:r>
        <w:rPr>
          <w:rFonts w:hint="eastAsia" w:cs="宋体" w:asciiTheme="minorEastAsia" w:hAnsiTheme="minorEastAsia" w:eastAsiaTheme="minorEastAsia"/>
          <w:color w:val="auto"/>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color w:val="auto"/>
          <w:sz w:val="24"/>
        </w:rPr>
      </w:pPr>
    </w:p>
    <w:p>
      <w:pPr>
        <w:pStyle w:val="32"/>
        <w:ind w:firstLine="240"/>
        <w:rPr>
          <w:rFonts w:ascii="宋体" w:hAnsi="宋体" w:cs="宋体"/>
          <w:color w:val="auto"/>
          <w:sz w:val="24"/>
        </w:rPr>
      </w:pPr>
    </w:p>
    <w:p>
      <w:pPr>
        <w:pStyle w:val="32"/>
        <w:ind w:firstLine="240"/>
        <w:rPr>
          <w:rFonts w:ascii="宋体" w:hAnsi="宋体" w:cs="宋体"/>
          <w:color w:val="auto"/>
          <w:sz w:val="24"/>
        </w:rPr>
      </w:pPr>
    </w:p>
    <w:p>
      <w:pPr>
        <w:pStyle w:val="32"/>
        <w:ind w:firstLine="240"/>
        <w:rPr>
          <w:rFonts w:ascii="宋体" w:hAnsi="宋体" w:cs="宋体"/>
          <w:color w:val="auto"/>
          <w:sz w:val="24"/>
        </w:rPr>
      </w:pPr>
    </w:p>
    <w:p>
      <w:pPr>
        <w:pStyle w:val="32"/>
        <w:ind w:firstLine="240"/>
        <w:rPr>
          <w:rFonts w:ascii="宋体" w:hAnsi="宋体" w:cs="宋体"/>
          <w:color w:val="auto"/>
          <w:sz w:val="24"/>
        </w:rPr>
      </w:pPr>
    </w:p>
    <w:p>
      <w:pPr>
        <w:pStyle w:val="2"/>
        <w:rPr>
          <w:rFonts w:ascii="宋体" w:hAnsi="宋体" w:cs="宋体"/>
          <w:b w:val="0"/>
          <w:color w:val="auto"/>
          <w:sz w:val="24"/>
        </w:rPr>
      </w:pPr>
      <w:bookmarkStart w:id="103" w:name="_Toc26838"/>
      <w:bookmarkStart w:id="104" w:name="_Toc22712"/>
      <w:bookmarkStart w:id="105" w:name="_Toc5248"/>
      <w:bookmarkStart w:id="106" w:name="_Toc20265"/>
      <w:bookmarkStart w:id="107" w:name="_Toc517940876"/>
      <w:r>
        <w:rPr>
          <w:rFonts w:hint="eastAsia" w:ascii="宋体" w:hAnsi="宋体" w:cs="宋体"/>
          <w:b w:val="0"/>
          <w:color w:val="auto"/>
          <w:sz w:val="24"/>
        </w:rPr>
        <w:t>附表一：</w:t>
      </w:r>
      <w:bookmarkEnd w:id="103"/>
      <w:bookmarkEnd w:id="104"/>
      <w:bookmarkEnd w:id="105"/>
      <w:bookmarkEnd w:id="106"/>
      <w:bookmarkStart w:id="108" w:name="_Toc32640"/>
      <w:r>
        <w:rPr>
          <w:rFonts w:hint="eastAsia" w:ascii="宋体" w:hAnsi="宋体" w:cs="宋体"/>
          <w:b w:val="0"/>
          <w:color w:val="auto"/>
          <w:sz w:val="24"/>
        </w:rPr>
        <w:t>问题澄清通知</w:t>
      </w:r>
      <w:bookmarkEnd w:id="107"/>
      <w:bookmarkEnd w:id="108"/>
    </w:p>
    <w:p>
      <w:pPr>
        <w:spacing w:beforeLines="100" w:afterLines="100" w:line="312" w:lineRule="auto"/>
        <w:jc w:val="center"/>
        <w:rPr>
          <w:rFonts w:ascii="宋体" w:hAnsi="宋体" w:cs="宋体"/>
          <w:color w:val="auto"/>
          <w:sz w:val="24"/>
        </w:rPr>
      </w:pPr>
      <w:r>
        <w:rPr>
          <w:rFonts w:hint="eastAsia" w:ascii="宋体" w:hAnsi="宋体" w:cs="宋体"/>
          <w:color w:val="auto"/>
          <w:sz w:val="24"/>
        </w:rPr>
        <w:t>问题澄清通知</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r>
        <w:rPr>
          <w:rFonts w:hint="eastAsia" w:ascii="宋体" w:hAnsi="宋体" w:cs="宋体"/>
          <w:color w:val="auto"/>
          <w:sz w:val="24"/>
          <w:u w:val="single"/>
        </w:rPr>
        <w:t xml:space="preserve">                  </w:t>
      </w:r>
    </w:p>
    <w:p>
      <w:pPr>
        <w:spacing w:line="312"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w:t>
      </w:r>
    </w:p>
    <w:p>
      <w:pPr>
        <w:spacing w:line="312"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color w:val="auto"/>
          <w:sz w:val="24"/>
        </w:rPr>
      </w:pPr>
      <w:r>
        <w:rPr>
          <w:rFonts w:hint="eastAsia" w:ascii="宋体" w:hAnsi="宋体" w:cs="宋体"/>
          <w:color w:val="auto"/>
          <w:sz w:val="24"/>
        </w:rPr>
        <w:t>请将上述问题的澄清、说明或者补正于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时前密封递交至（详细地址）或传真至</w:t>
      </w:r>
      <w:r>
        <w:rPr>
          <w:rFonts w:hint="eastAsia" w:ascii="宋体" w:hAnsi="宋体" w:cs="宋体"/>
          <w:color w:val="auto"/>
          <w:sz w:val="24"/>
          <w:u w:val="single"/>
        </w:rPr>
        <w:t xml:space="preserve">      </w:t>
      </w:r>
      <w:r>
        <w:rPr>
          <w:rFonts w:hint="eastAsia" w:ascii="宋体" w:hAnsi="宋体" w:cs="宋体"/>
          <w:color w:val="auto"/>
          <w:sz w:val="24"/>
        </w:rPr>
        <w:t>（传真号码）。采用传真方式的，应在</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12"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时前将原件递交至</w:t>
      </w:r>
      <w:r>
        <w:rPr>
          <w:rFonts w:hint="eastAsia" w:ascii="宋体" w:hAnsi="宋体" w:cs="宋体"/>
          <w:color w:val="auto"/>
          <w:sz w:val="24"/>
          <w:u w:val="single"/>
        </w:rPr>
        <w:t xml:space="preserve">                         </w:t>
      </w:r>
      <w:r>
        <w:rPr>
          <w:rFonts w:hint="eastAsia" w:ascii="宋体" w:hAnsi="宋体" w:cs="宋体"/>
          <w:color w:val="auto"/>
          <w:sz w:val="24"/>
        </w:rPr>
        <w:t xml:space="preserve"> （详细地址）。</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附件：质疑问卷</w:t>
      </w:r>
    </w:p>
    <w:p>
      <w:pPr>
        <w:spacing w:line="312" w:lineRule="auto"/>
        <w:ind w:left="3360" w:leftChars="1600" w:firstLine="360" w:firstLineChars="150"/>
        <w:rPr>
          <w:rFonts w:ascii="宋体" w:hAnsi="宋体" w:cs="宋体"/>
          <w:color w:val="auto"/>
          <w:sz w:val="24"/>
        </w:rPr>
      </w:pPr>
      <w:bookmarkStart w:id="109" w:name="_Toc22729"/>
      <w:bookmarkStart w:id="110" w:name="_Toc18603"/>
      <w:bookmarkStart w:id="111" w:name="_Toc13289"/>
      <w:bookmarkStart w:id="112" w:name="_Toc30339"/>
      <w:bookmarkStart w:id="113" w:name="_Toc425"/>
      <w:r>
        <w:rPr>
          <w:rFonts w:hint="eastAsia" w:ascii="宋体" w:hAnsi="宋体" w:cs="宋体"/>
          <w:color w:val="auto"/>
          <w:sz w:val="24"/>
          <w:u w:val="single"/>
        </w:rPr>
        <w:t xml:space="preserve">                 </w:t>
      </w:r>
      <w:r>
        <w:rPr>
          <w:rFonts w:hint="eastAsia" w:ascii="宋体" w:hAnsi="宋体" w:cs="宋体"/>
          <w:color w:val="auto"/>
          <w:sz w:val="24"/>
        </w:rPr>
        <w:t>（项目名称）施工招标评标委员</w:t>
      </w:r>
    </w:p>
    <w:p>
      <w:pPr>
        <w:spacing w:line="312" w:lineRule="auto"/>
        <w:jc w:val="right"/>
        <w:rPr>
          <w:rFonts w:ascii="宋体" w:hAnsi="宋体" w:cs="宋体"/>
          <w:color w:val="auto"/>
          <w:sz w:val="24"/>
        </w:rPr>
      </w:pPr>
      <w:r>
        <w:rPr>
          <w:rFonts w:hint="eastAsia" w:ascii="宋体" w:hAnsi="宋体" w:cs="宋体"/>
          <w:color w:val="auto"/>
          <w:sz w:val="24"/>
        </w:rPr>
        <w:t>（经评标委员会授权的招标人代表签字或招标人加盖单位章）</w:t>
      </w:r>
      <w:bookmarkEnd w:id="109"/>
      <w:bookmarkEnd w:id="110"/>
      <w:bookmarkEnd w:id="111"/>
      <w:bookmarkEnd w:id="112"/>
      <w:bookmarkEnd w:id="113"/>
    </w:p>
    <w:p>
      <w:pPr>
        <w:spacing w:line="312" w:lineRule="auto"/>
        <w:ind w:firstLine="5280" w:firstLineChars="2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pStyle w:val="2"/>
        <w:rPr>
          <w:rFonts w:ascii="宋体" w:hAnsi="宋体" w:cs="宋体"/>
          <w:color w:val="auto"/>
          <w:sz w:val="24"/>
        </w:rPr>
      </w:pPr>
      <w:r>
        <w:rPr>
          <w:rFonts w:hint="eastAsia" w:ascii="宋体" w:hAnsi="宋体" w:cs="宋体"/>
          <w:color w:val="auto"/>
          <w:sz w:val="24"/>
        </w:rPr>
        <w:br w:type="page"/>
      </w:r>
      <w:bookmarkStart w:id="114" w:name="_Toc25361"/>
      <w:bookmarkStart w:id="115" w:name="_Toc517940877"/>
      <w:r>
        <w:rPr>
          <w:rFonts w:hint="eastAsia" w:ascii="宋体" w:hAnsi="宋体" w:cs="宋体"/>
          <w:b w:val="0"/>
          <w:color w:val="auto"/>
          <w:sz w:val="24"/>
        </w:rPr>
        <w:t>附表二：问题的澄清</w:t>
      </w:r>
      <w:bookmarkEnd w:id="114"/>
      <w:bookmarkEnd w:id="115"/>
    </w:p>
    <w:p>
      <w:pPr>
        <w:spacing w:beforeLines="100" w:afterLines="100" w:line="312" w:lineRule="auto"/>
        <w:jc w:val="center"/>
        <w:rPr>
          <w:rFonts w:ascii="宋体" w:hAnsi="宋体" w:cs="宋体"/>
          <w:color w:val="auto"/>
          <w:sz w:val="24"/>
        </w:rPr>
      </w:pPr>
      <w:r>
        <w:rPr>
          <w:rFonts w:hint="eastAsia" w:ascii="宋体" w:hAnsi="宋体" w:cs="宋体"/>
          <w:color w:val="auto"/>
          <w:sz w:val="24"/>
        </w:rPr>
        <w:t>问题的澄清、说明或补正</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（项目名称）施工招标评标委员会：</w:t>
      </w:r>
    </w:p>
    <w:p>
      <w:pPr>
        <w:spacing w:line="312" w:lineRule="auto"/>
        <w:ind w:firstLine="480" w:firstLineChars="200"/>
        <w:rPr>
          <w:rFonts w:ascii="宋体" w:hAnsi="宋体" w:cs="宋体"/>
          <w:color w:val="auto"/>
          <w:sz w:val="24"/>
        </w:rPr>
      </w:pPr>
      <w:r>
        <w:rPr>
          <w:rFonts w:hint="eastAsia" w:ascii="宋体" w:hAnsi="宋体" w:cs="宋体"/>
          <w:color w:val="auto"/>
          <w:sz w:val="24"/>
        </w:rPr>
        <w:t>问题澄清通知（编号：</w:t>
      </w:r>
      <w:r>
        <w:rPr>
          <w:rFonts w:hint="eastAsia" w:ascii="宋体" w:hAnsi="宋体" w:cs="宋体"/>
          <w:color w:val="auto"/>
          <w:sz w:val="24"/>
          <w:u w:val="single"/>
        </w:rPr>
        <w:t xml:space="preserve">      </w:t>
      </w:r>
      <w:r>
        <w:rPr>
          <w:rFonts w:hint="eastAsia" w:ascii="宋体" w:hAnsi="宋体" w:cs="宋体"/>
          <w:color w:val="auto"/>
          <w:sz w:val="24"/>
        </w:rPr>
        <w:t>）已收悉，现澄清、说明或者补正如下：</w:t>
      </w:r>
    </w:p>
    <w:p>
      <w:pPr>
        <w:spacing w:line="312" w:lineRule="auto"/>
        <w:ind w:firstLine="480" w:firstLineChars="200"/>
        <w:rPr>
          <w:rFonts w:ascii="宋体" w:hAnsi="宋体" w:cs="宋体"/>
          <w:color w:val="auto"/>
          <w:sz w:val="24"/>
        </w:rPr>
      </w:pPr>
      <w:r>
        <w:rPr>
          <w:rFonts w:hint="eastAsia" w:ascii="宋体" w:hAnsi="宋体" w:cs="宋体"/>
          <w:color w:val="auto"/>
          <w:sz w:val="24"/>
        </w:rPr>
        <w:t>1.</w:t>
      </w:r>
    </w:p>
    <w:p>
      <w:pPr>
        <w:spacing w:line="312" w:lineRule="auto"/>
        <w:ind w:firstLine="480" w:firstLineChars="200"/>
        <w:rPr>
          <w:rFonts w:ascii="宋体" w:hAnsi="宋体" w:cs="宋体"/>
          <w:color w:val="auto"/>
          <w:sz w:val="24"/>
        </w:rPr>
      </w:pPr>
      <w:r>
        <w:rPr>
          <w:rFonts w:hint="eastAsia" w:ascii="宋体" w:hAnsi="宋体" w:cs="宋体"/>
          <w:color w:val="auto"/>
          <w:sz w:val="24"/>
        </w:rPr>
        <w:t>2.</w:t>
      </w: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r>
        <w:rPr>
          <w:rFonts w:hint="eastAsia" w:ascii="宋体" w:hAnsi="宋体" w:cs="宋体"/>
          <w:color w:val="auto"/>
          <w:sz w:val="24"/>
        </w:rPr>
        <w:t>……</w:t>
      </w: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wordWrap w:val="0"/>
        <w:spacing w:line="312" w:lineRule="auto"/>
        <w:ind w:firstLine="480" w:firstLineChars="200"/>
        <w:jc w:val="right"/>
        <w:rPr>
          <w:rFonts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 xml:space="preserve">（盖单位章） </w:t>
      </w:r>
    </w:p>
    <w:p>
      <w:pPr>
        <w:wordWrap w:val="0"/>
        <w:spacing w:beforeLines="50" w:afterLines="50" w:line="312" w:lineRule="auto"/>
        <w:jc w:val="right"/>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 xml:space="preserve">（签字或盖章） </w:t>
      </w:r>
    </w:p>
    <w:p>
      <w:pPr>
        <w:spacing w:line="312" w:lineRule="auto"/>
        <w:ind w:firstLine="5760" w:firstLineChars="2400"/>
        <w:rPr>
          <w:rFonts w:ascii="宋体" w:hAnsi="宋体" w:cs="宋体"/>
          <w:color w:val="auto"/>
          <w:sz w:val="24"/>
          <w:u w:val="single"/>
        </w:rPr>
      </w:pPr>
    </w:p>
    <w:p>
      <w:pPr>
        <w:spacing w:line="312" w:lineRule="auto"/>
        <w:ind w:firstLine="5760" w:firstLineChars="24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autoSpaceDE w:val="0"/>
        <w:autoSpaceDN w:val="0"/>
        <w:adjustRightInd w:val="0"/>
        <w:spacing w:line="312" w:lineRule="auto"/>
        <w:jc w:val="left"/>
        <w:outlineLvl w:val="2"/>
        <w:rPr>
          <w:rFonts w:ascii="宋体" w:hAnsi="宋体" w:cs="宋体"/>
          <w:b/>
          <w:color w:val="auto"/>
          <w:sz w:val="24"/>
        </w:rPr>
      </w:pPr>
    </w:p>
    <w:p>
      <w:pPr>
        <w:autoSpaceDE w:val="0"/>
        <w:autoSpaceDN w:val="0"/>
        <w:adjustRightInd w:val="0"/>
        <w:spacing w:line="312" w:lineRule="auto"/>
        <w:jc w:val="left"/>
        <w:outlineLvl w:val="2"/>
        <w:rPr>
          <w:rFonts w:ascii="宋体" w:hAnsi="宋体" w:cs="宋体"/>
          <w:b/>
          <w:color w:val="auto"/>
          <w:sz w:val="24"/>
        </w:rPr>
      </w:pPr>
    </w:p>
    <w:p>
      <w:pPr>
        <w:autoSpaceDE w:val="0"/>
        <w:autoSpaceDN w:val="0"/>
        <w:adjustRightInd w:val="0"/>
        <w:spacing w:line="312" w:lineRule="auto"/>
        <w:jc w:val="left"/>
        <w:outlineLvl w:val="2"/>
        <w:rPr>
          <w:rFonts w:ascii="宋体" w:hAnsi="宋体" w:cs="宋体"/>
          <w:b/>
          <w:color w:val="auto"/>
          <w:sz w:val="24"/>
        </w:rPr>
      </w:pPr>
    </w:p>
    <w:p>
      <w:pPr>
        <w:autoSpaceDE w:val="0"/>
        <w:autoSpaceDN w:val="0"/>
        <w:adjustRightInd w:val="0"/>
        <w:spacing w:line="312" w:lineRule="auto"/>
        <w:jc w:val="left"/>
        <w:outlineLvl w:val="2"/>
        <w:rPr>
          <w:rFonts w:ascii="宋体" w:hAnsi="宋体" w:cs="宋体"/>
          <w:b/>
          <w:color w:val="auto"/>
          <w:sz w:val="24"/>
        </w:rPr>
      </w:pPr>
    </w:p>
    <w:p>
      <w:pPr>
        <w:autoSpaceDE w:val="0"/>
        <w:autoSpaceDN w:val="0"/>
        <w:adjustRightInd w:val="0"/>
        <w:spacing w:line="312" w:lineRule="auto"/>
        <w:jc w:val="left"/>
        <w:outlineLvl w:val="2"/>
        <w:rPr>
          <w:rFonts w:ascii="宋体" w:hAnsi="宋体" w:cs="宋体"/>
          <w:b/>
          <w:color w:val="auto"/>
          <w:sz w:val="24"/>
        </w:rPr>
      </w:pPr>
    </w:p>
    <w:p>
      <w:pPr>
        <w:autoSpaceDE w:val="0"/>
        <w:autoSpaceDN w:val="0"/>
        <w:adjustRightInd w:val="0"/>
        <w:spacing w:line="312" w:lineRule="auto"/>
        <w:jc w:val="left"/>
        <w:outlineLvl w:val="2"/>
        <w:rPr>
          <w:rFonts w:ascii="宋体" w:hAnsi="宋体" w:cs="宋体"/>
          <w:b/>
          <w:color w:val="auto"/>
          <w:sz w:val="24"/>
        </w:rPr>
      </w:pPr>
    </w:p>
    <w:p>
      <w:pPr>
        <w:pStyle w:val="3"/>
        <w:jc w:val="center"/>
        <w:rPr>
          <w:rStyle w:val="41"/>
          <w:rFonts w:ascii="宋体" w:hAnsi="宋体" w:eastAsia="宋体"/>
          <w:b/>
          <w:bCs w:val="0"/>
          <w:color w:val="auto"/>
          <w:sz w:val="44"/>
          <w:szCs w:val="44"/>
        </w:rPr>
      </w:pPr>
      <w:bookmarkStart w:id="116" w:name="_Toc29777"/>
      <w:bookmarkStart w:id="117" w:name="_Toc14547"/>
      <w:bookmarkStart w:id="118" w:name="_Toc16968"/>
      <w:bookmarkStart w:id="119" w:name="_Toc517940878"/>
      <w:bookmarkStart w:id="120" w:name="_Toc26924"/>
      <w:r>
        <w:rPr>
          <w:rStyle w:val="41"/>
          <w:rFonts w:hint="eastAsia" w:ascii="宋体" w:hAnsi="宋体" w:eastAsia="宋体"/>
          <w:b/>
          <w:bCs w:val="0"/>
          <w:color w:val="auto"/>
          <w:sz w:val="44"/>
          <w:szCs w:val="44"/>
        </w:rPr>
        <w:t>第三章 评标办法</w:t>
      </w:r>
      <w:bookmarkEnd w:id="116"/>
      <w:bookmarkEnd w:id="117"/>
      <w:bookmarkEnd w:id="118"/>
      <w:bookmarkStart w:id="121" w:name="_Toc280275114"/>
      <w:bookmarkStart w:id="122" w:name="_Toc280271283"/>
      <w:bookmarkStart w:id="123" w:name="_Toc280271136"/>
      <w:r>
        <w:rPr>
          <w:rStyle w:val="41"/>
          <w:rFonts w:hint="eastAsia" w:ascii="宋体" w:hAnsi="宋体" w:eastAsia="宋体"/>
          <w:b/>
          <w:bCs w:val="0"/>
          <w:color w:val="auto"/>
          <w:sz w:val="44"/>
          <w:szCs w:val="44"/>
        </w:rPr>
        <w:t>（综合评估法）</w:t>
      </w:r>
      <w:bookmarkEnd w:id="119"/>
      <w:bookmarkEnd w:id="120"/>
    </w:p>
    <w:bookmarkEnd w:id="121"/>
    <w:bookmarkEnd w:id="122"/>
    <w:bookmarkEnd w:id="123"/>
    <w:p>
      <w:pPr>
        <w:pStyle w:val="2"/>
        <w:jc w:val="center"/>
        <w:rPr>
          <w:color w:val="auto"/>
          <w:szCs w:val="21"/>
        </w:rPr>
      </w:pPr>
      <w:bookmarkStart w:id="124" w:name="_Toc382164569"/>
      <w:bookmarkStart w:id="125" w:name="_Toc399834329"/>
      <w:bookmarkStart w:id="126" w:name="_Toc517940879"/>
      <w:bookmarkStart w:id="127" w:name="_Toc511829749"/>
      <w:r>
        <w:rPr>
          <w:rFonts w:hint="eastAsia"/>
          <w:color w:val="auto"/>
          <w:szCs w:val="21"/>
        </w:rPr>
        <w:t>评标办法前附表</w:t>
      </w:r>
      <w:bookmarkEnd w:id="124"/>
      <w:bookmarkEnd w:id="125"/>
      <w:bookmarkEnd w:id="126"/>
      <w:bookmarkEnd w:id="127"/>
    </w:p>
    <w:tbl>
      <w:tblPr>
        <w:tblStyle w:val="33"/>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hint="eastAsia" w:asciiTheme="minorEastAsia" w:hAnsiTheme="minorEastAsia" w:eastAsiaTheme="minorEastAsia" w:cstheme="minorEastAsia"/>
                <w:b/>
                <w:color w:val="auto"/>
                <w:sz w:val="21"/>
                <w:szCs w:val="21"/>
              </w:rPr>
            </w:pPr>
            <w:bookmarkStart w:id="128" w:name="_Toc152045600"/>
            <w:bookmarkStart w:id="129" w:name="_Toc152042378"/>
            <w:bookmarkStart w:id="130" w:name="_Toc144974567"/>
            <w:bookmarkStart w:id="131" w:name="_Toc296602489"/>
            <w:bookmarkStart w:id="132" w:name="_Toc144974568"/>
            <w:bookmarkStart w:id="133" w:name="_Toc152045601"/>
            <w:bookmarkStart w:id="134" w:name="_Toc152042377"/>
            <w:bookmarkStart w:id="135" w:name="_Toc179632618"/>
            <w:bookmarkStart w:id="136" w:name="_Toc21173"/>
            <w:bookmarkStart w:id="137" w:name="_Toc246996244"/>
            <w:bookmarkStart w:id="138" w:name="_Toc246996987"/>
            <w:bookmarkStart w:id="139" w:name="_Toc247085759"/>
            <w:bookmarkStart w:id="140" w:name="_Toc179632619"/>
            <w:r>
              <w:rPr>
                <w:rFonts w:hint="eastAsia" w:asciiTheme="minorEastAsia" w:hAnsiTheme="minorEastAsia" w:eastAsiaTheme="minorEastAsia" w:cstheme="minorEastAsia"/>
                <w:b/>
                <w:color w:val="auto"/>
                <w:sz w:val="21"/>
                <w:szCs w:val="21"/>
              </w:rPr>
              <w:t>条款号</w:t>
            </w:r>
          </w:p>
        </w:tc>
        <w:tc>
          <w:tcPr>
            <w:tcW w:w="2303" w:type="dxa"/>
            <w:vAlign w:val="center"/>
          </w:tcPr>
          <w:p>
            <w:pPr>
              <w:spacing w:line="312" w:lineRule="auto"/>
              <w:jc w:val="center"/>
              <w:rPr>
                <w:rFonts w:hint="eastAsia" w:asciiTheme="minorEastAsia" w:hAnsiTheme="minorEastAsia" w:eastAsiaTheme="minorEastAsia" w:cstheme="minorEastAsia"/>
                <w:b/>
                <w:color w:val="auto"/>
                <w:sz w:val="21"/>
                <w:szCs w:val="21"/>
              </w:rPr>
            </w:pPr>
            <w:bookmarkStart w:id="141" w:name="_Toc221950446"/>
            <w:r>
              <w:rPr>
                <w:rFonts w:hint="eastAsia" w:asciiTheme="minorEastAsia" w:hAnsiTheme="minorEastAsia" w:eastAsiaTheme="minorEastAsia" w:cstheme="minorEastAsia"/>
                <w:b/>
                <w:color w:val="auto"/>
                <w:sz w:val="21"/>
                <w:szCs w:val="21"/>
              </w:rPr>
              <w:t>评审因素</w:t>
            </w:r>
            <w:bookmarkEnd w:id="141"/>
          </w:p>
        </w:tc>
        <w:tc>
          <w:tcPr>
            <w:tcW w:w="6056" w:type="dxa"/>
            <w:vAlign w:val="center"/>
          </w:tcPr>
          <w:p>
            <w:pPr>
              <w:spacing w:line="312"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vMerge w:val="restart"/>
            <w:vAlign w:val="center"/>
          </w:tcPr>
          <w:p>
            <w:pPr>
              <w:spacing w:line="460" w:lineRule="exact"/>
              <w:jc w:val="center"/>
              <w:rPr>
                <w:rFonts w:hint="eastAsia" w:asciiTheme="minorEastAsia" w:hAnsiTheme="minorEastAsia" w:eastAsiaTheme="minorEastAsia" w:cstheme="minorEastAsia"/>
                <w:color w:val="auto"/>
                <w:sz w:val="21"/>
                <w:szCs w:val="21"/>
              </w:rPr>
            </w:pPr>
            <w:bookmarkStart w:id="142" w:name="_Toc221950448"/>
            <w:r>
              <w:rPr>
                <w:rFonts w:hint="eastAsia" w:asciiTheme="minorEastAsia" w:hAnsiTheme="minorEastAsia" w:eastAsiaTheme="minorEastAsia" w:cstheme="minorEastAsia"/>
                <w:color w:val="auto"/>
                <w:sz w:val="21"/>
                <w:szCs w:val="21"/>
              </w:rPr>
              <w:t>2.1.1</w:t>
            </w:r>
            <w:bookmarkEnd w:id="142"/>
          </w:p>
        </w:tc>
        <w:tc>
          <w:tcPr>
            <w:tcW w:w="625" w:type="dxa"/>
            <w:vMerge w:val="restart"/>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形式评审</w:t>
            </w: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投标人名称</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与营业执照、资质证书是否一致；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投标文件的签字盖章</w:t>
            </w:r>
          </w:p>
        </w:tc>
        <w:tc>
          <w:tcPr>
            <w:tcW w:w="6056" w:type="dxa"/>
            <w:vAlign w:val="center"/>
          </w:tcPr>
          <w:p>
            <w:pPr>
              <w:spacing w:line="460" w:lineRule="exact"/>
              <w:rPr>
                <w:rFonts w:hint="eastAsia" w:eastAsia="宋体" w:asciiTheme="minorEastAsia" w:hAnsiTheme="minorEastAsia" w:cstheme="minorEastAsia"/>
                <w:color w:val="auto"/>
                <w:sz w:val="21"/>
                <w:szCs w:val="21"/>
                <w:lang w:eastAsia="zh-CN"/>
              </w:rPr>
            </w:pPr>
            <w:r>
              <w:rPr>
                <w:rFonts w:hint="eastAsia" w:ascii="宋体" w:hAnsi="宋体" w:cs="宋体"/>
                <w:color w:val="auto"/>
                <w:szCs w:val="21"/>
              </w:rPr>
              <w:t>符合招标文件的要求</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投标文件格式</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宋体" w:hAnsi="宋体" w:cs="宋体"/>
                <w:color w:val="auto"/>
                <w:szCs w:val="21"/>
              </w:rPr>
              <w:t>符合招标文件的要求</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报价唯一</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投标文件的份数</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restart"/>
            <w:vAlign w:val="center"/>
          </w:tcPr>
          <w:p>
            <w:pPr>
              <w:spacing w:line="4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w:t>
            </w:r>
          </w:p>
        </w:tc>
        <w:tc>
          <w:tcPr>
            <w:tcW w:w="625" w:type="dxa"/>
            <w:vMerge w:val="restart"/>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资格评审</w:t>
            </w: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营业执照</w:t>
            </w:r>
          </w:p>
        </w:tc>
        <w:tc>
          <w:tcPr>
            <w:tcW w:w="6056" w:type="dxa"/>
            <w:vAlign w:val="center"/>
          </w:tcPr>
          <w:p>
            <w:pPr>
              <w:spacing w:line="460" w:lineRule="exact"/>
              <w:rPr>
                <w:rFonts w:hint="eastAsia" w:asciiTheme="minorEastAsia" w:hAnsiTheme="minorEastAsia" w:eastAsiaTheme="minorEastAsia" w:cstheme="minorEastAsia"/>
                <w:b/>
                <w:color w:val="auto"/>
                <w:sz w:val="21"/>
                <w:szCs w:val="21"/>
              </w:rPr>
            </w:pPr>
            <w:r>
              <w:rPr>
                <w:rFonts w:ascii="宋体" w:hAnsi="宋体"/>
                <w:color w:val="auto"/>
                <w:szCs w:val="21"/>
              </w:rPr>
              <w:t>具备有效的营业执照</w:t>
            </w:r>
            <w:r>
              <w:rPr>
                <w:rFonts w:hint="eastAsia" w:asciiTheme="minorEastAsia" w:hAnsiTheme="minorEastAsia" w:eastAsiaTheme="minorEastAsia" w:cstheme="minorEastAsia"/>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spacing w:line="4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资质要求</w:t>
            </w:r>
          </w:p>
        </w:tc>
        <w:tc>
          <w:tcPr>
            <w:tcW w:w="6056" w:type="dxa"/>
            <w:vAlign w:val="center"/>
          </w:tcPr>
          <w:p>
            <w:pPr>
              <w:spacing w:line="46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符合第二章投标人须知第1.4.1款规定；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spacing w:line="4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企业业绩</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企业2016年1月1日以来具有已</w:t>
            </w:r>
            <w:r>
              <w:rPr>
                <w:rFonts w:hint="eastAsia" w:ascii="宋体" w:hAnsi="宋体"/>
                <w:color w:val="auto"/>
                <w:szCs w:val="21"/>
                <w:lang w:eastAsia="zh-CN"/>
              </w:rPr>
              <w:t>完成的类似工程业绩；（以</w:t>
            </w:r>
            <w:r>
              <w:rPr>
                <w:rFonts w:hint="eastAsia" w:ascii="宋体" w:hAnsi="宋体"/>
                <w:color w:val="auto"/>
                <w:szCs w:val="21"/>
                <w:lang w:val="zh-CN" w:eastAsia="zh-CN"/>
              </w:rPr>
              <w:t>合同协议书和竣工验收备案登记表为准</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财务状况要求</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2016年、2017年、2018年财务良好</w:t>
            </w:r>
            <w:r>
              <w:rPr>
                <w:rFonts w:hint="eastAsia" w:ascii="宋体" w:hAnsi="宋体"/>
                <w:b/>
                <w:color w:val="auto"/>
                <w:szCs w:val="21"/>
              </w:rPr>
              <w:t>，</w:t>
            </w:r>
            <w:r>
              <w:rPr>
                <w:rFonts w:hint="eastAsia" w:ascii="宋体" w:hAnsi="宋体"/>
                <w:bCs/>
                <w:color w:val="auto"/>
                <w:szCs w:val="21"/>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信誉要求</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宋体" w:hAnsi="Courier New" w:cs="Courier New"/>
                <w:color w:val="auto"/>
                <w:szCs w:val="21"/>
              </w:rPr>
              <w:t>核实投标人信誉及信用记录情况：仅核实投标人获奖、受罚、信用信息登记等的真实性</w:t>
            </w:r>
            <w:r>
              <w:rPr>
                <w:rFonts w:hint="eastAsia" w:ascii="宋体" w:hAnsi="宋体"/>
                <w:b/>
                <w:color w:val="auto"/>
                <w:szCs w:val="21"/>
              </w:rPr>
              <w:t>（以全国水利建设市场监管服务平台公开进行信用信息公示公示为准）</w:t>
            </w:r>
            <w:r>
              <w:rPr>
                <w:rFonts w:hint="eastAsia" w:ascii="宋体" w:hAnsi="Courier New" w:cs="Courier New"/>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拟派项目经理、技术负责人资格要求</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符合第</w:t>
            </w:r>
            <w:r>
              <w:rPr>
                <w:rFonts w:ascii="宋体" w:hAnsi="宋体"/>
                <w:color w:val="auto"/>
                <w:szCs w:val="21"/>
              </w:rPr>
              <w:t>二</w:t>
            </w:r>
            <w:r>
              <w:rPr>
                <w:rFonts w:hint="eastAsia" w:ascii="宋体" w:hAnsi="宋体"/>
                <w:color w:val="auto"/>
                <w:szCs w:val="21"/>
              </w:rPr>
              <w:t>章投标人须知第1.4.1款规定</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312" w:lineRule="auto"/>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被授权委托人、项目经理</w:t>
            </w:r>
          </w:p>
        </w:tc>
        <w:tc>
          <w:tcPr>
            <w:tcW w:w="60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被授权委托人、项目经理必须与全国水利建设市场监管服务平台公示的相符；（以网页公示为准)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312" w:lineRule="auto"/>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安全生产考核合格证</w:t>
            </w:r>
          </w:p>
        </w:tc>
        <w:tc>
          <w:tcPr>
            <w:tcW w:w="6056"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符合第二章投标人须知第1.4.1款规定</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符合第二章投标人须知第1.4.1款规定。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restart"/>
            <w:vAlign w:val="center"/>
          </w:tcPr>
          <w:p>
            <w:pPr>
              <w:spacing w:line="460" w:lineRule="exact"/>
              <w:jc w:val="center"/>
              <w:rPr>
                <w:rFonts w:hint="eastAsia" w:asciiTheme="minorEastAsia" w:hAnsiTheme="minorEastAsia" w:eastAsiaTheme="minorEastAsia" w:cstheme="minorEastAsia"/>
                <w:color w:val="auto"/>
                <w:sz w:val="21"/>
                <w:szCs w:val="21"/>
              </w:rPr>
            </w:pPr>
            <w:bookmarkStart w:id="143" w:name="_Toc221950452"/>
            <w:r>
              <w:rPr>
                <w:rFonts w:hint="eastAsia" w:asciiTheme="minorEastAsia" w:hAnsiTheme="minorEastAsia" w:eastAsiaTheme="minorEastAsia" w:cstheme="minorEastAsia"/>
                <w:color w:val="auto"/>
                <w:sz w:val="21"/>
                <w:szCs w:val="21"/>
              </w:rPr>
              <w:t>2.1.3</w:t>
            </w:r>
            <w:bookmarkEnd w:id="143"/>
          </w:p>
        </w:tc>
        <w:tc>
          <w:tcPr>
            <w:tcW w:w="625" w:type="dxa"/>
            <w:vMerge w:val="restart"/>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响应性评审</w:t>
            </w: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投标范围</w:t>
            </w:r>
          </w:p>
        </w:tc>
        <w:tc>
          <w:tcPr>
            <w:tcW w:w="6056" w:type="dxa"/>
            <w:vAlign w:val="center"/>
          </w:tcPr>
          <w:p>
            <w:pPr>
              <w:spacing w:line="460" w:lineRule="exact"/>
              <w:rPr>
                <w:rFonts w:hint="eastAsia" w:asciiTheme="minorEastAsia" w:hAnsiTheme="minorEastAsia" w:eastAsiaTheme="minorEastAsia" w:cstheme="minorEastAsia"/>
                <w:color w:val="auto"/>
                <w:sz w:val="21"/>
                <w:szCs w:val="21"/>
              </w:rPr>
            </w:pPr>
            <w:bookmarkStart w:id="144" w:name="_Toc221950422"/>
            <w:bookmarkStart w:id="145" w:name="_Toc221950424"/>
            <w:r>
              <w:rPr>
                <w:rFonts w:hint="eastAsia" w:asciiTheme="minorEastAsia" w:hAnsiTheme="minorEastAsia" w:eastAsiaTheme="minorEastAsia" w:cstheme="minorEastAsia"/>
                <w:color w:val="auto"/>
                <w:sz w:val="21"/>
                <w:szCs w:val="21"/>
              </w:rPr>
              <w:t>符合第二章“投标人须知”第1.3.1项规定</w:t>
            </w:r>
            <w:bookmarkEnd w:id="144"/>
            <w:r>
              <w:rPr>
                <w:rFonts w:hint="eastAsia" w:asciiTheme="minorEastAsia" w:hAnsiTheme="minorEastAsia" w:eastAsiaTheme="minorEastAsia" w:cstheme="minorEastAsia"/>
                <w:color w:val="auto"/>
                <w:sz w:val="21"/>
                <w:szCs w:val="21"/>
              </w:rPr>
              <w:t>；</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计划工期</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工程质量</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投标有效期</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符合第二章“投标人须知”第</w:t>
            </w:r>
            <w:r>
              <w:rPr>
                <w:rFonts w:hint="eastAsia" w:asciiTheme="minorEastAsia" w:hAnsiTheme="minorEastAsia" w:eastAsiaTheme="minorEastAsia" w:cstheme="minorEastAsia"/>
                <w:color w:val="auto"/>
                <w:sz w:val="21"/>
                <w:szCs w:val="21"/>
                <w:lang w:val="en-US" w:eastAsia="zh-CN"/>
              </w:rPr>
              <w:t>3.3.1</w:t>
            </w:r>
            <w:r>
              <w:rPr>
                <w:rFonts w:hint="eastAsia" w:asciiTheme="minorEastAsia" w:hAnsiTheme="minorEastAsia" w:eastAsiaTheme="minorEastAsia" w:cstheme="minorEastAsia"/>
                <w:color w:val="auto"/>
                <w:sz w:val="21"/>
                <w:szCs w:val="21"/>
              </w:rPr>
              <w:t>项规定</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符合第二章“投标人须知”第3.4.2款规定；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权利义务</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已标价工程量清单</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符合第五章“工程量清单”填报的要求；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技术标准和要求</w:t>
            </w:r>
          </w:p>
        </w:tc>
        <w:tc>
          <w:tcPr>
            <w:tcW w:w="6056"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tc>
        <w:tc>
          <w:tcPr>
            <w:tcW w:w="6056" w:type="dxa"/>
            <w:vAlign w:val="center"/>
          </w:tcPr>
          <w:p>
            <w:pPr>
              <w:autoSpaceDE w:val="0"/>
              <w:autoSpaceDN w:val="0"/>
              <w:spacing w:line="460" w:lineRule="exact"/>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hint="eastAsia" w:asciiTheme="minorEastAsia" w:hAnsiTheme="minorEastAsia" w:eastAsiaTheme="minorEastAsia" w:cstheme="minorEastAsia"/>
                <w:color w:val="auto"/>
                <w:sz w:val="21"/>
                <w:szCs w:val="21"/>
              </w:rPr>
            </w:pPr>
          </w:p>
        </w:tc>
        <w:tc>
          <w:tcPr>
            <w:tcW w:w="625" w:type="dxa"/>
            <w:vMerge w:val="continue"/>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p>
        </w:tc>
        <w:tc>
          <w:tcPr>
            <w:tcW w:w="2303" w:type="dxa"/>
            <w:vAlign w:val="center"/>
          </w:tcPr>
          <w:p>
            <w:pPr>
              <w:autoSpaceDE w:val="0"/>
              <w:autoSpaceDN w:val="0"/>
              <w:spacing w:line="460" w:lineRule="exact"/>
              <w:contextualSpacing/>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w:t>
            </w:r>
          </w:p>
        </w:tc>
        <w:tc>
          <w:tcPr>
            <w:tcW w:w="6056" w:type="dxa"/>
            <w:vAlign w:val="center"/>
          </w:tcPr>
          <w:p>
            <w:pPr>
              <w:tabs>
                <w:tab w:val="left" w:pos="1080"/>
              </w:tabs>
              <w:spacing w:line="460" w:lineRule="exact"/>
              <w:rPr>
                <w:rFonts w:hint="eastAsia"/>
                <w:color w:val="auto"/>
                <w:lang w:eastAsia="zh-CN"/>
              </w:rPr>
            </w:pPr>
            <w:r>
              <w:rPr>
                <w:rFonts w:hint="eastAsia"/>
                <w:color w:val="auto"/>
              </w:rPr>
              <w:t>1、投标文件应附廉政承诺书</w:t>
            </w:r>
            <w:r>
              <w:rPr>
                <w:rFonts w:hint="eastAsia"/>
                <w:color w:val="auto"/>
                <w:lang w:eastAsia="zh-CN"/>
              </w:rPr>
              <w:t>。</w:t>
            </w:r>
          </w:p>
          <w:p>
            <w:pPr>
              <w:tabs>
                <w:tab w:val="left" w:pos="1080"/>
              </w:tabs>
              <w:spacing w:line="460" w:lineRule="exact"/>
              <w:rPr>
                <w:rFonts w:hint="eastAsia"/>
                <w:color w:val="auto"/>
              </w:rPr>
            </w:pPr>
            <w:r>
              <w:rPr>
                <w:rFonts w:hint="eastAsia"/>
                <w:color w:val="auto"/>
              </w:rPr>
              <w:t>2、投标人应提供主要参建人员签字备案表，载明姓名、拟任职务、个人身份信息等内容，并由本人亲笔签名。</w:t>
            </w:r>
          </w:p>
          <w:p>
            <w:pPr>
              <w:tabs>
                <w:tab w:val="left" w:pos="1080"/>
              </w:tabs>
              <w:spacing w:line="460" w:lineRule="exact"/>
              <w:rPr>
                <w:rFonts w:hint="eastAsia"/>
                <w:color w:val="auto"/>
              </w:rPr>
            </w:pPr>
            <w:r>
              <w:rPr>
                <w:rFonts w:hint="eastAsia"/>
                <w:color w:val="auto"/>
              </w:rPr>
              <w:t>3、招标文件中规定的其他实质性内容。</w:t>
            </w:r>
          </w:p>
          <w:p>
            <w:pPr>
              <w:tabs>
                <w:tab w:val="left" w:pos="1080"/>
              </w:tabs>
              <w:spacing w:line="460" w:lineRule="exact"/>
              <w:rPr>
                <w:rFonts w:hint="eastAsia"/>
                <w:color w:val="auto"/>
                <w:highlight w:val="none"/>
                <w:lang w:val="zh-CN"/>
              </w:rPr>
            </w:pPr>
            <w:r>
              <w:rPr>
                <w:rFonts w:hint="eastAsia"/>
                <w:color w:val="auto"/>
                <w:highlight w:val="none"/>
                <w:lang w:val="en-US" w:eastAsia="zh-CN"/>
              </w:rPr>
              <w:t>4、</w:t>
            </w:r>
            <w:r>
              <w:rPr>
                <w:rFonts w:hint="eastAsia"/>
                <w:color w:val="auto"/>
                <w:highlight w:val="none"/>
                <w:lang w:val="zh-CN"/>
              </w:rPr>
              <w:t>投标人必须在标书中作如下承诺，未作以下承诺的其投标无效：</w:t>
            </w:r>
          </w:p>
          <w:p>
            <w:pPr>
              <w:tabs>
                <w:tab w:val="left" w:pos="1080"/>
              </w:tabs>
              <w:spacing w:line="460" w:lineRule="exact"/>
              <w:rPr>
                <w:rFonts w:hint="eastAsia"/>
                <w:color w:val="auto"/>
                <w:highlight w:val="none"/>
                <w:lang w:val="zh-CN"/>
              </w:rPr>
            </w:pPr>
            <w:r>
              <w:rPr>
                <w:rFonts w:hint="eastAsia"/>
                <w:color w:val="auto"/>
                <w:highlight w:val="none"/>
                <w:lang w:val="zh-CN"/>
              </w:rPr>
              <w:t>1．承诺中标后及时、足额缴纳农民工工资保证金。</w:t>
            </w:r>
          </w:p>
          <w:p>
            <w:pPr>
              <w:tabs>
                <w:tab w:val="left" w:pos="1080"/>
              </w:tabs>
              <w:spacing w:line="460" w:lineRule="exact"/>
              <w:rPr>
                <w:rFonts w:hint="eastAsia" w:eastAsiaTheme="minorEastAsia"/>
                <w:color w:val="auto"/>
                <w:lang w:val="en-US" w:eastAsia="zh-CN"/>
              </w:rPr>
            </w:pPr>
            <w:r>
              <w:rPr>
                <w:rFonts w:hint="eastAsia"/>
                <w:color w:val="auto"/>
                <w:highlight w:val="none"/>
                <w:lang w:val="zh-CN"/>
              </w:rPr>
              <w:t>2．承诺依法足额支付农民工工资，一旦其承建的工程项目出现拖欠农民工工资情况的，可由建设单位从其缴纳的农民工工资保证金中先予垫支。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46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2303" w:type="dxa"/>
            <w:vAlign w:val="center"/>
          </w:tcPr>
          <w:p>
            <w:pPr>
              <w:spacing w:line="46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评分因素</w:t>
            </w:r>
          </w:p>
        </w:tc>
        <w:tc>
          <w:tcPr>
            <w:tcW w:w="6056" w:type="dxa"/>
            <w:vAlign w:val="center"/>
          </w:tcPr>
          <w:p>
            <w:pPr>
              <w:spacing w:line="460" w:lineRule="exact"/>
              <w:ind w:right="2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400" w:lineRule="exact"/>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2.2.1</w:t>
            </w:r>
          </w:p>
        </w:tc>
        <w:tc>
          <w:tcPr>
            <w:tcW w:w="2303" w:type="dxa"/>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分值构成</w:t>
            </w:r>
          </w:p>
          <w:p>
            <w:pPr>
              <w:spacing w:line="400" w:lineRule="exact"/>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(总分100分)</w:t>
            </w:r>
          </w:p>
        </w:tc>
        <w:tc>
          <w:tcPr>
            <w:tcW w:w="6056" w:type="dxa"/>
            <w:vAlign w:val="center"/>
          </w:tcPr>
          <w:p>
            <w:pPr>
              <w:spacing w:line="300" w:lineRule="atLeast"/>
              <w:ind w:right="2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施工组织设计：35 分</w:t>
            </w:r>
          </w:p>
          <w:p>
            <w:pPr>
              <w:spacing w:line="300" w:lineRule="atLeast"/>
              <w:ind w:right="2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项目管理机构：10 分</w:t>
            </w:r>
          </w:p>
          <w:p>
            <w:pPr>
              <w:spacing w:line="300" w:lineRule="atLeast"/>
              <w:ind w:right="2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投标报价：40分</w:t>
            </w:r>
          </w:p>
          <w:p>
            <w:pPr>
              <w:spacing w:line="300" w:lineRule="atLeast"/>
              <w:ind w:right="2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信用等级5分</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其他评分因素：10分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400" w:lineRule="exact"/>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2.2.2</w:t>
            </w:r>
          </w:p>
        </w:tc>
        <w:tc>
          <w:tcPr>
            <w:tcW w:w="2303" w:type="dxa"/>
            <w:vAlign w:val="center"/>
          </w:tcPr>
          <w:p>
            <w:pPr>
              <w:spacing w:line="400" w:lineRule="exact"/>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评标基准价计算公式</w:t>
            </w:r>
          </w:p>
        </w:tc>
        <w:tc>
          <w:tcPr>
            <w:tcW w:w="6056" w:type="dxa"/>
            <w:vAlign w:val="center"/>
          </w:tcPr>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S=T×0.5+[(a1+a2+a3+ai)/n] ×0.5</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式中：</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S—评标基准价；</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T—招标控制价；</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ai—在招标控制价的95%（含）-100%（含）区间的投标报价；当所有投标报价均不在招标控制价的95%（含）-100%（含）区间时，招标控制价即为评标基准价。</w:t>
            </w:r>
          </w:p>
          <w:p>
            <w:pPr>
              <w:spacing w:line="300" w:lineRule="atLeas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n—投标人的个数。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2.2.3</w:t>
            </w:r>
          </w:p>
        </w:tc>
        <w:tc>
          <w:tcPr>
            <w:tcW w:w="2303" w:type="dxa"/>
            <w:vAlign w:val="center"/>
          </w:tcPr>
          <w:p>
            <w:pPr>
              <w:autoSpaceDE w:val="0"/>
              <w:autoSpaceDN w:val="0"/>
              <w:spacing w:line="240" w:lineRule="atLeast"/>
              <w:contextualSpacing/>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投标报价的偏差率计算</w:t>
            </w:r>
          </w:p>
        </w:tc>
        <w:tc>
          <w:tcPr>
            <w:tcW w:w="6056" w:type="dxa"/>
            <w:vAlign w:val="center"/>
          </w:tcPr>
          <w:p>
            <w:pPr>
              <w:spacing w:line="400" w:lineRule="exact"/>
              <w:ind w:right="248"/>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3.4.1</w:t>
            </w:r>
          </w:p>
        </w:tc>
        <w:tc>
          <w:tcPr>
            <w:tcW w:w="2303" w:type="dxa"/>
            <w:vAlign w:val="center"/>
          </w:tcPr>
          <w:p>
            <w:pPr>
              <w:autoSpaceDE w:val="0"/>
              <w:autoSpaceDN w:val="0"/>
              <w:spacing w:line="240" w:lineRule="atLeast"/>
              <w:contextualSpacing/>
              <w:jc w:val="center"/>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投标人最终得分的计算方法</w:t>
            </w:r>
          </w:p>
        </w:tc>
        <w:tc>
          <w:tcPr>
            <w:tcW w:w="6056" w:type="dxa"/>
            <w:vAlign w:val="center"/>
          </w:tcPr>
          <w:p>
            <w:pPr>
              <w:spacing w:line="240" w:lineRule="atLeast"/>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评标委员会仅对通过初步评审的投标文件进行详细评审。</w:t>
            </w:r>
          </w:p>
          <w:p>
            <w:pPr>
              <w:spacing w:line="240" w:lineRule="atLeast"/>
              <w:contextualSpacing/>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sz w:val="21"/>
                <w:szCs w:val="21"/>
              </w:rPr>
              <w:t>最终得分=评标委员会所有成员打分的算术平均值+奖励项目得分-惩罚项目得分。（计算评分值均保留两位小数）。</w:t>
            </w:r>
          </w:p>
        </w:tc>
      </w:tr>
    </w:tbl>
    <w:p>
      <w:pPr>
        <w:pStyle w:val="2"/>
        <w:spacing w:before="0" w:after="0" w:line="360" w:lineRule="auto"/>
        <w:rPr>
          <w:rFonts w:ascii="宋体" w:hAnsi="宋体" w:eastAsia="宋体"/>
          <w:color w:val="auto"/>
          <w:sz w:val="24"/>
          <w:szCs w:val="24"/>
        </w:rPr>
      </w:pPr>
      <w:r>
        <w:rPr>
          <w:rFonts w:hint="eastAsia" w:ascii="宋体" w:hAnsi="宋体" w:eastAsia="宋体"/>
          <w:color w:val="auto"/>
          <w:sz w:val="24"/>
          <w:szCs w:val="24"/>
        </w:rPr>
        <w:t>1、评标方法</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pPr>
        <w:pStyle w:val="2"/>
        <w:spacing w:before="0" w:after="0" w:line="360" w:lineRule="auto"/>
        <w:rPr>
          <w:rFonts w:ascii="宋体" w:hAnsi="宋体" w:eastAsia="宋体"/>
          <w:color w:val="auto"/>
          <w:sz w:val="24"/>
          <w:szCs w:val="24"/>
        </w:rPr>
      </w:pPr>
      <w:bookmarkStart w:id="146" w:name="_Toc269809087"/>
      <w:bookmarkStart w:id="147" w:name="_Toc273289856"/>
      <w:r>
        <w:rPr>
          <w:rFonts w:hint="eastAsia" w:ascii="宋体" w:hAnsi="宋体" w:eastAsia="宋体"/>
          <w:color w:val="auto"/>
          <w:sz w:val="24"/>
          <w:szCs w:val="24"/>
        </w:rPr>
        <w:t>2、评审标准</w:t>
      </w:r>
      <w:bookmarkEnd w:id="146"/>
      <w:bookmarkEnd w:id="147"/>
    </w:p>
    <w:p>
      <w:pPr>
        <w:pStyle w:val="2"/>
        <w:spacing w:before="0" w:after="0" w:line="360" w:lineRule="auto"/>
        <w:rPr>
          <w:rFonts w:ascii="宋体" w:hAnsi="宋体" w:eastAsia="宋体"/>
          <w:color w:val="auto"/>
          <w:sz w:val="24"/>
          <w:szCs w:val="24"/>
        </w:rPr>
      </w:pPr>
      <w:r>
        <w:rPr>
          <w:rFonts w:hint="eastAsia" w:ascii="宋体" w:hAnsi="宋体" w:eastAsia="宋体"/>
          <w:color w:val="auto"/>
          <w:sz w:val="24"/>
          <w:szCs w:val="24"/>
        </w:rPr>
        <w:t>2.1 初步评审标准</w:t>
      </w:r>
    </w:p>
    <w:p>
      <w:pPr>
        <w:spacing w:line="360" w:lineRule="auto"/>
        <w:rPr>
          <w:rFonts w:ascii="宋体" w:hAnsi="宋体"/>
          <w:color w:val="auto"/>
          <w:sz w:val="24"/>
        </w:rPr>
      </w:pPr>
      <w:r>
        <w:rPr>
          <w:rFonts w:hint="eastAsia"/>
          <w:b/>
          <w:color w:val="auto"/>
          <w:sz w:val="24"/>
        </w:rPr>
        <w:t xml:space="preserve">  </w:t>
      </w:r>
      <w:r>
        <w:rPr>
          <w:rFonts w:hint="eastAsia" w:ascii="宋体" w:hAnsi="宋体"/>
          <w:color w:val="auto"/>
          <w:sz w:val="24"/>
        </w:rPr>
        <w:t>2.1.1  形式评审标准：详见评标办法前附表。</w:t>
      </w:r>
    </w:p>
    <w:p>
      <w:pPr>
        <w:pStyle w:val="2"/>
        <w:spacing w:before="0" w:after="0" w:line="360" w:lineRule="auto"/>
        <w:ind w:firstLine="120" w:firstLineChars="50"/>
        <w:rPr>
          <w:rFonts w:ascii="宋体" w:hAnsi="宋体" w:eastAsia="宋体"/>
          <w:b w:val="0"/>
          <w:color w:val="auto"/>
          <w:sz w:val="24"/>
          <w:szCs w:val="24"/>
        </w:rPr>
      </w:pPr>
      <w:r>
        <w:rPr>
          <w:rFonts w:hint="eastAsia" w:ascii="宋体" w:hAnsi="宋体" w:eastAsia="宋体"/>
          <w:b w:val="0"/>
          <w:color w:val="auto"/>
          <w:sz w:val="24"/>
          <w:szCs w:val="24"/>
        </w:rPr>
        <w:t xml:space="preserve"> 2.1.2 资格评审标准：详见评标办法前附表。</w:t>
      </w:r>
    </w:p>
    <w:p>
      <w:pPr>
        <w:pStyle w:val="2"/>
        <w:spacing w:before="0" w:after="0" w:line="360" w:lineRule="auto"/>
        <w:ind w:firstLine="240" w:firstLineChars="100"/>
        <w:rPr>
          <w:rFonts w:ascii="宋体" w:hAnsi="宋体" w:eastAsia="宋体"/>
          <w:b w:val="0"/>
          <w:color w:val="auto"/>
          <w:sz w:val="24"/>
          <w:szCs w:val="24"/>
        </w:rPr>
      </w:pPr>
      <w:r>
        <w:rPr>
          <w:rFonts w:hint="eastAsia" w:ascii="宋体" w:hAnsi="宋体" w:eastAsia="宋体"/>
          <w:b w:val="0"/>
          <w:color w:val="auto"/>
          <w:sz w:val="24"/>
          <w:szCs w:val="24"/>
        </w:rPr>
        <w:t>2.1.3 响应性评审标准：详见评标办法前附表。</w:t>
      </w:r>
    </w:p>
    <w:p>
      <w:pPr>
        <w:pStyle w:val="2"/>
        <w:spacing w:before="0" w:after="0" w:line="360" w:lineRule="auto"/>
        <w:rPr>
          <w:rFonts w:ascii="宋体" w:hAnsi="宋体" w:eastAsia="宋体"/>
          <w:color w:val="auto"/>
          <w:sz w:val="24"/>
          <w:szCs w:val="24"/>
        </w:rPr>
      </w:pPr>
      <w:r>
        <w:rPr>
          <w:rFonts w:ascii="宋体" w:hAnsi="宋体" w:eastAsia="宋体"/>
          <w:color w:val="auto"/>
          <w:sz w:val="24"/>
          <w:szCs w:val="24"/>
        </w:rPr>
        <w:t>2.2 分值构成与评分标准</w:t>
      </w:r>
    </w:p>
    <w:p>
      <w:pPr>
        <w:pStyle w:val="2"/>
        <w:spacing w:before="0" w:after="0" w:line="360" w:lineRule="auto"/>
        <w:ind w:firstLine="240" w:firstLineChars="100"/>
        <w:rPr>
          <w:rFonts w:ascii="宋体" w:hAnsi="宋体" w:eastAsia="宋体"/>
          <w:b w:val="0"/>
          <w:color w:val="auto"/>
          <w:sz w:val="24"/>
          <w:szCs w:val="24"/>
        </w:rPr>
      </w:pPr>
      <w:bookmarkStart w:id="148" w:name="_Toc221950492"/>
      <w:r>
        <w:rPr>
          <w:rFonts w:ascii="宋体" w:hAnsi="宋体" w:eastAsia="宋体"/>
          <w:b w:val="0"/>
          <w:color w:val="auto"/>
          <w:sz w:val="24"/>
          <w:szCs w:val="24"/>
        </w:rPr>
        <w:t>2.2.1 分值构成</w:t>
      </w:r>
      <w:r>
        <w:rPr>
          <w:rFonts w:hint="eastAsia" w:ascii="宋体" w:hAnsi="宋体" w:eastAsia="宋体"/>
          <w:b w:val="0"/>
          <w:color w:val="auto"/>
          <w:sz w:val="24"/>
          <w:szCs w:val="24"/>
        </w:rPr>
        <w:t>：</w:t>
      </w:r>
    </w:p>
    <w:p>
      <w:pPr>
        <w:spacing w:line="360" w:lineRule="auto"/>
        <w:ind w:firstLine="424" w:firstLineChars="177"/>
        <w:rPr>
          <w:rFonts w:ascii="宋体" w:hAnsi="宋体"/>
          <w:color w:val="auto"/>
          <w:sz w:val="24"/>
        </w:rPr>
      </w:pPr>
      <w:r>
        <w:rPr>
          <w:rFonts w:ascii="宋体" w:hAnsi="宋体"/>
          <w:color w:val="auto"/>
          <w:sz w:val="24"/>
        </w:rPr>
        <w:t>（1）施工组织设计：见评标办法前附表；</w:t>
      </w:r>
    </w:p>
    <w:p>
      <w:pPr>
        <w:spacing w:line="360" w:lineRule="auto"/>
        <w:ind w:firstLine="424" w:firstLineChars="177"/>
        <w:rPr>
          <w:rFonts w:ascii="宋体" w:hAnsi="宋体"/>
          <w:color w:val="auto"/>
          <w:sz w:val="24"/>
        </w:rPr>
      </w:pPr>
      <w:r>
        <w:rPr>
          <w:rFonts w:ascii="宋体" w:hAnsi="宋体"/>
          <w:color w:val="auto"/>
          <w:sz w:val="24"/>
        </w:rPr>
        <w:t>（2）项目管理机构：见评标办法前附表；</w:t>
      </w:r>
    </w:p>
    <w:p>
      <w:pPr>
        <w:spacing w:line="360" w:lineRule="auto"/>
        <w:ind w:firstLine="424" w:firstLineChars="177"/>
        <w:rPr>
          <w:rFonts w:ascii="宋体" w:hAnsi="宋体"/>
          <w:color w:val="auto"/>
          <w:sz w:val="24"/>
        </w:rPr>
      </w:pPr>
      <w:r>
        <w:rPr>
          <w:rFonts w:ascii="宋体" w:hAnsi="宋体"/>
          <w:color w:val="auto"/>
          <w:sz w:val="24"/>
        </w:rPr>
        <w:t>（3）投标报价：见评标办法前附表；</w:t>
      </w:r>
    </w:p>
    <w:p>
      <w:pPr>
        <w:spacing w:line="360" w:lineRule="auto"/>
        <w:ind w:firstLine="424" w:firstLineChars="177"/>
        <w:rPr>
          <w:rFonts w:ascii="宋体" w:hAnsi="宋体"/>
          <w:color w:val="auto"/>
          <w:sz w:val="24"/>
        </w:rPr>
      </w:pPr>
      <w:r>
        <w:rPr>
          <w:rFonts w:hint="eastAsia" w:ascii="宋体" w:hAnsi="宋体"/>
          <w:color w:val="auto"/>
          <w:sz w:val="24"/>
        </w:rPr>
        <w:t>（4）信用等级：见评标办法前附表；</w:t>
      </w:r>
    </w:p>
    <w:p>
      <w:pPr>
        <w:spacing w:line="360" w:lineRule="auto"/>
        <w:ind w:firstLine="424" w:firstLineChars="177"/>
        <w:rPr>
          <w:rFonts w:ascii="宋体" w:hAnsi="宋体"/>
          <w:color w:val="auto"/>
          <w:sz w:val="24"/>
        </w:rPr>
      </w:pPr>
      <w:r>
        <w:rPr>
          <w:rFonts w:ascii="宋体" w:hAnsi="宋体"/>
          <w:color w:val="auto"/>
          <w:sz w:val="24"/>
        </w:rPr>
        <w:t>（</w:t>
      </w:r>
      <w:r>
        <w:rPr>
          <w:rFonts w:hint="eastAsia" w:ascii="宋体" w:hAnsi="宋体"/>
          <w:color w:val="auto"/>
          <w:sz w:val="24"/>
        </w:rPr>
        <w:t>5</w:t>
      </w:r>
      <w:r>
        <w:rPr>
          <w:rFonts w:ascii="宋体" w:hAnsi="宋体"/>
          <w:color w:val="auto"/>
          <w:sz w:val="24"/>
        </w:rPr>
        <w:t>）其他评分因素：见评标办法前附表。</w:t>
      </w:r>
    </w:p>
    <w:bookmarkEnd w:id="148"/>
    <w:p>
      <w:pPr>
        <w:pStyle w:val="2"/>
        <w:spacing w:before="0" w:after="0" w:line="360" w:lineRule="auto"/>
        <w:ind w:firstLine="240" w:firstLineChars="100"/>
        <w:rPr>
          <w:rFonts w:ascii="宋体" w:hAnsi="宋体" w:eastAsia="宋体"/>
          <w:b w:val="0"/>
          <w:color w:val="auto"/>
          <w:sz w:val="24"/>
          <w:szCs w:val="24"/>
        </w:rPr>
      </w:pPr>
      <w:bookmarkStart w:id="149" w:name="_Toc221950497"/>
      <w:bookmarkStart w:id="150" w:name="_Toc221950503"/>
      <w:r>
        <w:rPr>
          <w:rFonts w:hint="eastAsia" w:ascii="宋体" w:hAnsi="宋体" w:eastAsia="宋体"/>
          <w:b w:val="0"/>
          <w:color w:val="auto"/>
          <w:sz w:val="24"/>
          <w:szCs w:val="24"/>
        </w:rPr>
        <w:t>2.2.2采用复合标底法确定评标基准价</w:t>
      </w:r>
      <w:bookmarkEnd w:id="149"/>
      <w:r>
        <w:rPr>
          <w:rFonts w:hint="eastAsia" w:ascii="宋体" w:hAnsi="宋体" w:eastAsia="宋体"/>
          <w:b w:val="0"/>
          <w:color w:val="auto"/>
          <w:sz w:val="24"/>
          <w:szCs w:val="24"/>
        </w:rPr>
        <w:t>：</w:t>
      </w:r>
    </w:p>
    <w:p>
      <w:pPr>
        <w:spacing w:line="360" w:lineRule="auto"/>
        <w:ind w:firstLine="720" w:firstLineChars="300"/>
        <w:rPr>
          <w:rFonts w:hint="eastAsia" w:ascii="宋体" w:hAnsi="宋体"/>
          <w:color w:val="auto"/>
          <w:sz w:val="24"/>
        </w:rPr>
      </w:pPr>
      <w:r>
        <w:rPr>
          <w:rFonts w:hint="eastAsia" w:ascii="宋体" w:hAnsi="宋体"/>
          <w:color w:val="auto"/>
          <w:sz w:val="24"/>
        </w:rPr>
        <w:t>S=T×0.5+[(a1+a2+a3+ai)/n] ×0.5</w:t>
      </w:r>
    </w:p>
    <w:p>
      <w:pPr>
        <w:spacing w:line="360" w:lineRule="auto"/>
        <w:ind w:firstLine="720" w:firstLineChars="300"/>
        <w:rPr>
          <w:rFonts w:hint="eastAsia" w:ascii="宋体" w:hAnsi="宋体"/>
          <w:color w:val="auto"/>
          <w:sz w:val="24"/>
        </w:rPr>
      </w:pPr>
      <w:r>
        <w:rPr>
          <w:rFonts w:hint="eastAsia" w:ascii="宋体" w:hAnsi="宋体"/>
          <w:color w:val="auto"/>
          <w:sz w:val="24"/>
        </w:rPr>
        <w:t>式中：</w:t>
      </w:r>
    </w:p>
    <w:p>
      <w:pPr>
        <w:spacing w:line="360" w:lineRule="auto"/>
        <w:ind w:firstLine="720" w:firstLineChars="300"/>
        <w:rPr>
          <w:rFonts w:hint="eastAsia" w:ascii="宋体" w:hAnsi="宋体"/>
          <w:color w:val="auto"/>
          <w:sz w:val="24"/>
        </w:rPr>
      </w:pPr>
      <w:r>
        <w:rPr>
          <w:rFonts w:hint="eastAsia" w:ascii="宋体" w:hAnsi="宋体"/>
          <w:color w:val="auto"/>
          <w:sz w:val="24"/>
        </w:rPr>
        <w:t>S—评标基准价；</w:t>
      </w:r>
    </w:p>
    <w:p>
      <w:pPr>
        <w:spacing w:line="360" w:lineRule="auto"/>
        <w:ind w:firstLine="720" w:firstLineChars="300"/>
        <w:rPr>
          <w:rFonts w:hint="eastAsia" w:ascii="宋体" w:hAnsi="宋体"/>
          <w:color w:val="auto"/>
          <w:sz w:val="24"/>
        </w:rPr>
      </w:pPr>
      <w:r>
        <w:rPr>
          <w:rFonts w:hint="eastAsia" w:ascii="宋体" w:hAnsi="宋体"/>
          <w:color w:val="auto"/>
          <w:sz w:val="24"/>
        </w:rPr>
        <w:t>T—招标控制价；</w:t>
      </w:r>
    </w:p>
    <w:p>
      <w:pPr>
        <w:spacing w:line="360" w:lineRule="auto"/>
        <w:ind w:firstLine="720" w:firstLineChars="300"/>
        <w:rPr>
          <w:rFonts w:hint="eastAsia" w:ascii="宋体" w:hAnsi="宋体"/>
          <w:color w:val="auto"/>
          <w:sz w:val="24"/>
        </w:rPr>
      </w:pPr>
      <w:r>
        <w:rPr>
          <w:rFonts w:hint="eastAsia" w:ascii="宋体" w:hAnsi="宋体"/>
          <w:color w:val="auto"/>
          <w:sz w:val="24"/>
        </w:rPr>
        <w:t>ai—在招标控制价的95%（含）-100%（含）区间的投标报价；当所有投标报价均不在招标控制价的95%（含）-100%（含）区间时，招标控制价即为评标基准价。</w:t>
      </w:r>
    </w:p>
    <w:p>
      <w:pPr>
        <w:spacing w:line="360" w:lineRule="auto"/>
        <w:ind w:firstLine="720" w:firstLineChars="300"/>
        <w:rPr>
          <w:rFonts w:ascii="宋体" w:hAnsi="宋体"/>
          <w:color w:val="auto"/>
          <w:sz w:val="24"/>
        </w:rPr>
      </w:pPr>
      <w:r>
        <w:rPr>
          <w:rFonts w:hint="eastAsia" w:ascii="宋体" w:hAnsi="宋体"/>
          <w:color w:val="auto"/>
          <w:sz w:val="24"/>
        </w:rPr>
        <w:t>n—投标人的个数。</w:t>
      </w:r>
    </w:p>
    <w:p>
      <w:pPr>
        <w:pStyle w:val="2"/>
        <w:spacing w:before="0" w:after="0" w:line="360" w:lineRule="auto"/>
        <w:ind w:firstLine="240" w:firstLineChars="100"/>
        <w:rPr>
          <w:rFonts w:ascii="宋体" w:hAnsi="宋体" w:eastAsia="宋体"/>
          <w:b w:val="0"/>
          <w:color w:val="auto"/>
          <w:sz w:val="24"/>
          <w:szCs w:val="24"/>
        </w:rPr>
      </w:pPr>
      <w:bookmarkStart w:id="151" w:name="_Toc221950502"/>
      <w:r>
        <w:rPr>
          <w:rFonts w:hint="eastAsia" w:ascii="宋体" w:hAnsi="宋体" w:eastAsia="宋体"/>
          <w:b w:val="0"/>
          <w:bCs w:val="0"/>
          <w:color w:val="auto"/>
          <w:sz w:val="24"/>
          <w:szCs w:val="24"/>
        </w:rPr>
        <w:t>2.2.3</w:t>
      </w:r>
      <w:r>
        <w:rPr>
          <w:rFonts w:hint="eastAsia" w:ascii="宋体" w:hAnsi="宋体" w:eastAsia="宋体"/>
          <w:b w:val="0"/>
          <w:color w:val="auto"/>
          <w:sz w:val="24"/>
          <w:szCs w:val="24"/>
        </w:rPr>
        <w:t>投标报价的偏差率计算方法:</w:t>
      </w:r>
    </w:p>
    <w:p>
      <w:pPr>
        <w:spacing w:line="400" w:lineRule="exact"/>
        <w:ind w:right="248" w:firstLine="480" w:firstLineChars="200"/>
        <w:rPr>
          <w:rFonts w:ascii="宋体" w:hAnsi="宋体"/>
          <w:color w:val="auto"/>
          <w:sz w:val="24"/>
        </w:rPr>
      </w:pPr>
      <w:r>
        <w:rPr>
          <w:rFonts w:hint="eastAsia" w:ascii="宋体" w:hAnsi="宋体"/>
          <w:color w:val="auto"/>
          <w:sz w:val="24"/>
        </w:rPr>
        <w:t>偏差率=100%×(投标人报价-评标基准价)/评标基准价</w:t>
      </w:r>
      <w:bookmarkEnd w:id="151"/>
    </w:p>
    <w:p>
      <w:pPr>
        <w:pStyle w:val="2"/>
        <w:spacing w:before="0" w:after="0" w:line="360" w:lineRule="auto"/>
        <w:ind w:firstLine="240" w:firstLineChars="100"/>
        <w:rPr>
          <w:rFonts w:ascii="宋体" w:hAnsi="宋体" w:eastAsia="宋体"/>
          <w:b w:val="0"/>
          <w:color w:val="auto"/>
          <w:sz w:val="24"/>
          <w:szCs w:val="24"/>
        </w:rPr>
      </w:pPr>
      <w:r>
        <w:rPr>
          <w:rFonts w:ascii="宋体" w:hAnsi="宋体" w:eastAsia="宋体"/>
          <w:b w:val="0"/>
          <w:bCs w:val="0"/>
          <w:color w:val="auto"/>
          <w:sz w:val="24"/>
          <w:szCs w:val="24"/>
        </w:rPr>
        <w:t xml:space="preserve">2.2.4 </w:t>
      </w:r>
      <w:r>
        <w:rPr>
          <w:rFonts w:ascii="宋体" w:hAnsi="宋体" w:eastAsia="宋体"/>
          <w:b w:val="0"/>
          <w:color w:val="auto"/>
          <w:sz w:val="24"/>
          <w:szCs w:val="24"/>
        </w:rPr>
        <w:t>评分标准</w:t>
      </w:r>
      <w:bookmarkEnd w:id="150"/>
      <w:r>
        <w:rPr>
          <w:rFonts w:hint="eastAsia" w:ascii="宋体" w:hAnsi="宋体" w:eastAsia="宋体"/>
          <w:b w:val="0"/>
          <w:color w:val="auto"/>
          <w:sz w:val="24"/>
          <w:szCs w:val="24"/>
        </w:rPr>
        <w:t>：</w:t>
      </w:r>
      <w:r>
        <w:rPr>
          <w:rFonts w:ascii="宋体" w:hAnsi="宋体" w:eastAsia="宋体"/>
          <w:b w:val="0"/>
          <w:color w:val="auto"/>
          <w:sz w:val="24"/>
          <w:szCs w:val="24"/>
        </w:rPr>
        <w:t xml:space="preserve"> </w:t>
      </w:r>
    </w:p>
    <w:p>
      <w:pPr>
        <w:autoSpaceDE w:val="0"/>
        <w:autoSpaceDN w:val="0"/>
        <w:adjustRightInd w:val="0"/>
        <w:spacing w:line="360" w:lineRule="auto"/>
        <w:ind w:firstLine="480" w:firstLineChars="200"/>
        <w:rPr>
          <w:rFonts w:ascii="宋体" w:hAnsi="宋体"/>
          <w:color w:val="auto"/>
          <w:sz w:val="24"/>
        </w:rPr>
      </w:pPr>
      <w:bookmarkStart w:id="152" w:name="_Toc221950504"/>
      <w:r>
        <w:rPr>
          <w:rFonts w:ascii="宋体" w:hAnsi="宋体"/>
          <w:color w:val="auto"/>
          <w:sz w:val="24"/>
        </w:rPr>
        <w:t>评分标准按照本章附件</w:t>
      </w:r>
      <w:r>
        <w:rPr>
          <w:rFonts w:hint="eastAsia" w:ascii="宋体" w:hAnsi="宋体"/>
          <w:color w:val="auto"/>
          <w:sz w:val="24"/>
        </w:rPr>
        <w:t>四</w:t>
      </w:r>
      <w:r>
        <w:rPr>
          <w:rFonts w:ascii="宋体" w:hAnsi="宋体"/>
          <w:color w:val="auto"/>
          <w:sz w:val="24"/>
        </w:rPr>
        <w:t>。</w:t>
      </w:r>
    </w:p>
    <w:bookmarkEnd w:id="152"/>
    <w:p>
      <w:pPr>
        <w:pStyle w:val="2"/>
        <w:spacing w:before="0" w:after="0" w:line="360" w:lineRule="auto"/>
        <w:rPr>
          <w:rFonts w:ascii="宋体" w:hAnsi="宋体" w:eastAsia="宋体"/>
          <w:color w:val="auto"/>
          <w:sz w:val="24"/>
          <w:szCs w:val="24"/>
        </w:rPr>
      </w:pPr>
      <w:bookmarkStart w:id="153" w:name="_Toc222033850"/>
      <w:bookmarkStart w:id="154" w:name="_Toc229305359"/>
      <w:bookmarkStart w:id="155" w:name="_Toc222029499"/>
      <w:bookmarkStart w:id="156" w:name="_Toc222032668"/>
      <w:bookmarkStart w:id="157" w:name="_Toc222031001"/>
      <w:bookmarkStart w:id="158" w:name="_Toc221950505"/>
      <w:bookmarkStart w:id="159" w:name="_Toc168476122"/>
      <w:bookmarkStart w:id="160" w:name="_Toc168475719"/>
      <w:bookmarkStart w:id="161" w:name="_Toc276296518"/>
      <w:bookmarkStart w:id="162" w:name="_Toc279698603"/>
      <w:bookmarkStart w:id="163" w:name="_Toc279701648"/>
      <w:r>
        <w:rPr>
          <w:rFonts w:ascii="宋体" w:hAnsi="宋体" w:eastAsia="宋体"/>
          <w:color w:val="auto"/>
          <w:sz w:val="24"/>
          <w:szCs w:val="24"/>
        </w:rPr>
        <w:t>3. 评标程序</w:t>
      </w:r>
      <w:bookmarkEnd w:id="153"/>
      <w:bookmarkEnd w:id="154"/>
      <w:bookmarkEnd w:id="155"/>
      <w:bookmarkEnd w:id="156"/>
      <w:bookmarkEnd w:id="157"/>
      <w:bookmarkEnd w:id="158"/>
      <w:bookmarkEnd w:id="159"/>
      <w:bookmarkEnd w:id="160"/>
      <w:bookmarkEnd w:id="161"/>
      <w:bookmarkEnd w:id="162"/>
      <w:bookmarkEnd w:id="163"/>
    </w:p>
    <w:p>
      <w:pPr>
        <w:pStyle w:val="2"/>
        <w:spacing w:before="0" w:after="0" w:line="360" w:lineRule="auto"/>
        <w:rPr>
          <w:rFonts w:ascii="宋体" w:hAnsi="宋体" w:eastAsia="宋体"/>
          <w:color w:val="auto"/>
          <w:sz w:val="24"/>
          <w:szCs w:val="24"/>
        </w:rPr>
      </w:pPr>
      <w:bookmarkStart w:id="164" w:name="_Toc186623668"/>
      <w:bookmarkStart w:id="165" w:name="_Toc186623355"/>
      <w:r>
        <w:rPr>
          <w:rFonts w:ascii="宋体" w:hAnsi="宋体" w:eastAsia="宋体"/>
          <w:color w:val="auto"/>
          <w:sz w:val="24"/>
          <w:szCs w:val="24"/>
        </w:rPr>
        <w:t>3.1 初步评审</w:t>
      </w:r>
      <w:bookmarkEnd w:id="164"/>
      <w:bookmarkEnd w:id="165"/>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3.1.1 评标委员会可以要求投标人提交第二章“投标人须知”第3.5.</w:t>
      </w:r>
      <w:r>
        <w:rPr>
          <w:rFonts w:hint="eastAsia" w:ascii="宋体" w:hAnsi="宋体"/>
          <w:color w:val="auto"/>
          <w:sz w:val="24"/>
        </w:rPr>
        <w:t>2</w:t>
      </w:r>
      <w:r>
        <w:rPr>
          <w:rFonts w:ascii="宋体" w:hAnsi="宋体"/>
          <w:color w:val="auto"/>
          <w:sz w:val="24"/>
        </w:rPr>
        <w:t xml:space="preserve"> 项至3.5.5 项规定的有关</w:t>
      </w:r>
      <w:r>
        <w:rPr>
          <w:rFonts w:hint="eastAsia" w:ascii="宋体" w:hAnsi="宋体" w:cs="宋体"/>
          <w:color w:val="auto"/>
          <w:sz w:val="24"/>
        </w:rPr>
        <w:t>证明和证件的原件扫描件</w:t>
      </w:r>
      <w:r>
        <w:rPr>
          <w:rFonts w:ascii="宋体" w:hAnsi="宋体"/>
          <w:color w:val="auto"/>
          <w:sz w:val="24"/>
        </w:rPr>
        <w:t>，以便核验。评标委员会依据本章第2.1 款规定的标准对投标文件进行初步评审。有一项不符合评审标准的，作废标处理。</w:t>
      </w:r>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3.1.2 投标人有以下情形之一的，其投标作废标处理：</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⑴未按招标文件要求签字盖章的；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⑵未提供授权委托人、技术负责人、项目负责人的近三个月社保证明和劳动合同的；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⑶未按招标文件要求提交投标保证金的；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⑷投标人资格条件不符合国家有关规定和招标文件要求的；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⑸违反国家强制性标准的；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⑹是否按照要求对投标报价进行确认、对投标文件进行澄清、说明或者补充的；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⑺投标文件附有招标人不能接受的条件的或不符合招标文件规定的其它情况的；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⑻变更工程量清单内容的；</w:t>
      </w:r>
    </w:p>
    <w:p>
      <w:pPr>
        <w:spacing w:line="360" w:lineRule="auto"/>
        <w:ind w:firstLine="480" w:firstLineChars="200"/>
        <w:jc w:val="left"/>
        <w:rPr>
          <w:rFonts w:ascii="宋体" w:hAnsi="宋体" w:cs="宋体"/>
          <w:b/>
          <w:color w:val="auto"/>
          <w:sz w:val="24"/>
        </w:rPr>
      </w:pPr>
      <w:r>
        <w:rPr>
          <w:rFonts w:hint="eastAsia" w:ascii="宋体" w:hAnsi="宋体" w:cs="宋体"/>
          <w:b/>
          <w:color w:val="auto"/>
          <w:sz w:val="24"/>
        </w:rPr>
        <w:t>⑼以他人名义投标、串通投标、弄虚作假的；</w:t>
      </w:r>
    </w:p>
    <w:p>
      <w:pPr>
        <w:spacing w:line="360" w:lineRule="auto"/>
        <w:ind w:firstLine="480" w:firstLineChars="200"/>
        <w:rPr>
          <w:rFonts w:ascii="宋体" w:hAnsi="宋体" w:cs="宋体"/>
          <w:color w:val="auto"/>
          <w:sz w:val="24"/>
        </w:rPr>
      </w:pPr>
      <w:r>
        <w:rPr>
          <w:rFonts w:hint="eastAsia" w:ascii="宋体" w:hAnsi="宋体" w:cs="宋体"/>
          <w:color w:val="auto"/>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(1）投标文件中的大写金额与小写金额不一致的，以大写金额为准；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r>
        <w:rPr>
          <w:rFonts w:ascii="宋体" w:hAnsi="宋体"/>
          <w:color w:val="auto"/>
          <w:sz w:val="24"/>
        </w:rPr>
        <w:t>。</w:t>
      </w:r>
    </w:p>
    <w:p>
      <w:pPr>
        <w:pStyle w:val="2"/>
        <w:spacing w:before="0" w:after="0" w:line="360" w:lineRule="auto"/>
        <w:rPr>
          <w:rFonts w:ascii="宋体" w:hAnsi="宋体" w:eastAsia="宋体"/>
          <w:color w:val="auto"/>
          <w:sz w:val="24"/>
          <w:szCs w:val="24"/>
        </w:rPr>
      </w:pPr>
      <w:bookmarkStart w:id="166" w:name="_Toc186623356"/>
      <w:bookmarkStart w:id="167" w:name="_Toc186623669"/>
      <w:r>
        <w:rPr>
          <w:rFonts w:ascii="宋体" w:hAnsi="宋体" w:eastAsia="宋体"/>
          <w:color w:val="auto"/>
          <w:sz w:val="24"/>
          <w:szCs w:val="24"/>
        </w:rPr>
        <w:t>3.2 详细评审</w:t>
      </w:r>
      <w:bookmarkEnd w:id="166"/>
      <w:bookmarkEnd w:id="167"/>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3.2.1 评标委员会按本章第2.2款规定的量化因素和分值进行打分，并计算出综合评估得分。</w:t>
      </w:r>
    </w:p>
    <w:p>
      <w:pPr>
        <w:autoSpaceDE w:val="0"/>
        <w:autoSpaceDN w:val="0"/>
        <w:adjustRightInd w:val="0"/>
        <w:spacing w:line="360" w:lineRule="auto"/>
        <w:ind w:firstLine="120" w:firstLineChars="50"/>
        <w:rPr>
          <w:rFonts w:ascii="宋体" w:hAnsi="宋体"/>
          <w:color w:val="auto"/>
          <w:sz w:val="24"/>
        </w:rPr>
      </w:pPr>
      <w:r>
        <w:rPr>
          <w:rFonts w:ascii="宋体" w:hAnsi="宋体"/>
          <w:color w:val="auto"/>
          <w:sz w:val="24"/>
        </w:rPr>
        <w:t>（1）按本章第2.2.4（1）目规定的评审因素和分值对施工组织设计计算出得分A；</w:t>
      </w:r>
    </w:p>
    <w:p>
      <w:pPr>
        <w:autoSpaceDE w:val="0"/>
        <w:autoSpaceDN w:val="0"/>
        <w:adjustRightInd w:val="0"/>
        <w:spacing w:line="360" w:lineRule="auto"/>
        <w:ind w:firstLine="120" w:firstLineChars="50"/>
        <w:rPr>
          <w:rFonts w:ascii="宋体" w:hAnsi="宋体"/>
          <w:color w:val="auto"/>
          <w:sz w:val="24"/>
        </w:rPr>
      </w:pPr>
      <w:r>
        <w:rPr>
          <w:rFonts w:ascii="宋体" w:hAnsi="宋体"/>
          <w:color w:val="auto"/>
          <w:sz w:val="24"/>
        </w:rPr>
        <w:t>（2）按本章第2.2.4（2）目规定的评审因素和分值对项目管理机构计算出得分B；</w:t>
      </w:r>
    </w:p>
    <w:p>
      <w:pPr>
        <w:autoSpaceDE w:val="0"/>
        <w:autoSpaceDN w:val="0"/>
        <w:adjustRightInd w:val="0"/>
        <w:spacing w:line="360" w:lineRule="auto"/>
        <w:ind w:firstLine="120" w:firstLineChars="50"/>
        <w:rPr>
          <w:rFonts w:ascii="宋体" w:hAnsi="宋体"/>
          <w:color w:val="auto"/>
          <w:sz w:val="24"/>
        </w:rPr>
      </w:pPr>
      <w:r>
        <w:rPr>
          <w:rFonts w:ascii="宋体" w:hAnsi="宋体"/>
          <w:color w:val="auto"/>
          <w:sz w:val="24"/>
        </w:rPr>
        <w:t>（3）按本章第2.2.4（3）目规定的评审因素和分值对投标报价计算出得分C；</w:t>
      </w:r>
    </w:p>
    <w:p>
      <w:pPr>
        <w:autoSpaceDE w:val="0"/>
        <w:autoSpaceDN w:val="0"/>
        <w:adjustRightInd w:val="0"/>
        <w:spacing w:line="360" w:lineRule="auto"/>
        <w:ind w:firstLine="120" w:firstLineChars="50"/>
        <w:rPr>
          <w:rFonts w:ascii="宋体" w:hAnsi="宋体"/>
          <w:color w:val="auto"/>
          <w:sz w:val="24"/>
        </w:rPr>
      </w:pPr>
      <w:r>
        <w:rPr>
          <w:rFonts w:ascii="宋体" w:hAnsi="宋体"/>
          <w:color w:val="auto"/>
          <w:sz w:val="24"/>
        </w:rPr>
        <w:t>（4）按本章第2.2.4（4）目规定的评审因素和分值对其他部分计算出得分D。</w:t>
      </w:r>
    </w:p>
    <w:p>
      <w:pPr>
        <w:autoSpaceDE w:val="0"/>
        <w:autoSpaceDN w:val="0"/>
        <w:adjustRightInd w:val="0"/>
        <w:spacing w:line="360" w:lineRule="auto"/>
        <w:ind w:firstLine="120" w:firstLineChars="50"/>
        <w:rPr>
          <w:rFonts w:ascii="宋体" w:hAnsi="宋体"/>
          <w:color w:val="auto"/>
          <w:sz w:val="24"/>
        </w:rPr>
      </w:pPr>
      <w:r>
        <w:rPr>
          <w:rFonts w:ascii="宋体" w:hAnsi="宋体"/>
          <w:color w:val="auto"/>
          <w:sz w:val="24"/>
        </w:rPr>
        <w:t>（</w:t>
      </w:r>
      <w:r>
        <w:rPr>
          <w:rFonts w:hint="eastAsia" w:ascii="宋体" w:hAnsi="宋体"/>
          <w:color w:val="auto"/>
          <w:sz w:val="24"/>
        </w:rPr>
        <w:t>5</w:t>
      </w:r>
      <w:r>
        <w:rPr>
          <w:rFonts w:ascii="宋体" w:hAnsi="宋体"/>
          <w:color w:val="auto"/>
          <w:sz w:val="24"/>
        </w:rPr>
        <w:t>）按本章第2.2.4（</w:t>
      </w:r>
      <w:r>
        <w:rPr>
          <w:rFonts w:hint="eastAsia" w:ascii="宋体" w:hAnsi="宋体"/>
          <w:color w:val="auto"/>
          <w:sz w:val="24"/>
        </w:rPr>
        <w:t>5</w:t>
      </w:r>
      <w:r>
        <w:rPr>
          <w:rFonts w:ascii="宋体" w:hAnsi="宋体"/>
          <w:color w:val="auto"/>
          <w:sz w:val="24"/>
        </w:rPr>
        <w:t>）目规定的评审因素和分值对其他部分计算出得分</w:t>
      </w:r>
      <w:r>
        <w:rPr>
          <w:rFonts w:hint="eastAsia" w:ascii="宋体" w:hAnsi="宋体"/>
          <w:color w:val="auto"/>
          <w:sz w:val="24"/>
        </w:rPr>
        <w:t>E</w:t>
      </w:r>
      <w:r>
        <w:rPr>
          <w:rFonts w:ascii="宋体" w:hAnsi="宋体"/>
          <w:color w:val="auto"/>
          <w:sz w:val="24"/>
        </w:rPr>
        <w:t>。</w:t>
      </w:r>
    </w:p>
    <w:p>
      <w:pPr>
        <w:autoSpaceDE w:val="0"/>
        <w:autoSpaceDN w:val="0"/>
        <w:adjustRightInd w:val="0"/>
        <w:spacing w:line="360" w:lineRule="auto"/>
        <w:ind w:firstLine="120" w:firstLineChars="50"/>
        <w:rPr>
          <w:rFonts w:ascii="宋体" w:hAnsi="宋体"/>
          <w:color w:val="auto"/>
          <w:sz w:val="24"/>
        </w:rPr>
      </w:pPr>
      <w:r>
        <w:rPr>
          <w:rFonts w:hint="eastAsia" w:ascii="宋体" w:hAnsi="宋体"/>
          <w:color w:val="auto"/>
          <w:sz w:val="24"/>
        </w:rPr>
        <w:t>综合评估得分=A+B+C+D+E</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投标人最终得分=综合评估得分的算术平均值 + 奖励分值 - 惩罚分值。（计算评分值均保留两位小数）</w:t>
      </w:r>
    </w:p>
    <w:p>
      <w:pPr>
        <w:spacing w:line="360" w:lineRule="auto"/>
        <w:ind w:firstLine="480" w:firstLineChars="200"/>
        <w:rPr>
          <w:rFonts w:hAnsi="宋体"/>
          <w:color w:val="auto"/>
          <w:spacing w:val="-3"/>
          <w:sz w:val="24"/>
        </w:rPr>
      </w:pPr>
      <w:r>
        <w:rPr>
          <w:rFonts w:hint="eastAsia" w:ascii="宋体" w:hAnsi="宋体" w:cs="宋体"/>
          <w:color w:val="auto"/>
          <w:sz w:val="24"/>
        </w:rPr>
        <w:t>3.2.3</w:t>
      </w:r>
      <w:r>
        <w:rPr>
          <w:rFonts w:hint="eastAsia" w:hAnsi="宋体"/>
          <w:color w:val="auto"/>
          <w:sz w:val="24"/>
        </w:rPr>
        <w:t>评审工作全部结束后，评标委员会应填写评标结果汇总表。</w:t>
      </w:r>
      <w:r>
        <w:rPr>
          <w:rFonts w:hint="eastAsia" w:hAnsi="宋体"/>
          <w:color w:val="auto"/>
          <w:spacing w:val="-3"/>
          <w:sz w:val="24"/>
        </w:rPr>
        <w:t>评标委员会应按下列原则进行评分汇总统计：</w:t>
      </w:r>
    </w:p>
    <w:p>
      <w:pPr>
        <w:adjustRightInd w:val="0"/>
        <w:snapToGrid w:val="0"/>
        <w:spacing w:line="400" w:lineRule="exact"/>
        <w:ind w:left="408"/>
        <w:rPr>
          <w:rFonts w:hint="eastAsia" w:hAnsi="宋体"/>
          <w:color w:val="auto"/>
          <w:spacing w:val="-3"/>
          <w:sz w:val="24"/>
        </w:rPr>
      </w:pPr>
      <w:r>
        <w:rPr>
          <w:rFonts w:hint="eastAsia" w:hAnsi="宋体"/>
          <w:color w:val="auto"/>
          <w:spacing w:val="-3"/>
          <w:sz w:val="24"/>
        </w:rPr>
        <w:t>（1）分数计算过程中，保留两位小数，小数点后第三位四舍五入。</w:t>
      </w:r>
    </w:p>
    <w:p>
      <w:pPr>
        <w:adjustRightInd w:val="0"/>
        <w:snapToGrid w:val="0"/>
        <w:spacing w:line="400" w:lineRule="exact"/>
        <w:rPr>
          <w:rFonts w:hint="eastAsia" w:hAnsi="宋体"/>
          <w:color w:val="auto"/>
          <w:spacing w:val="-3"/>
          <w:sz w:val="24"/>
        </w:rPr>
      </w:pPr>
      <w:r>
        <w:rPr>
          <w:rFonts w:hint="eastAsia" w:hAnsi="宋体"/>
          <w:color w:val="auto"/>
          <w:spacing w:val="-3"/>
          <w:sz w:val="24"/>
        </w:rPr>
        <w:t xml:space="preserve">    （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360" w:lineRule="auto"/>
        <w:ind w:firstLine="480" w:firstLineChars="200"/>
        <w:rPr>
          <w:rFonts w:ascii="宋体" w:hAnsi="宋体" w:cs="宋体"/>
          <w:color w:val="auto"/>
          <w:sz w:val="24"/>
        </w:rPr>
      </w:pPr>
      <w:r>
        <w:rPr>
          <w:rFonts w:hint="eastAsia" w:ascii="宋体" w:hAnsi="宋体" w:cs="宋体"/>
          <w:color w:val="auto"/>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240" w:firstLineChars="100"/>
        <w:rPr>
          <w:rFonts w:ascii="宋体" w:hAnsi="宋体"/>
          <w:color w:val="auto"/>
          <w:sz w:val="24"/>
        </w:rPr>
      </w:pPr>
      <w:r>
        <w:rPr>
          <w:rFonts w:hint="eastAsia" w:ascii="宋体" w:hAnsi="宋体" w:cs="宋体"/>
          <w:color w:val="auto"/>
          <w:sz w:val="24"/>
        </w:rPr>
        <w:t>3.2.5投标人获奖、受罚、信用信息登记等，由招标代理机构从“全国水利建设市场信用信息平台”（http://rcpu.cwun.org/）及“河南省水利建设市场主体信用信息管理平台”(http://xyxxgk.hnsl.gov.cn/)上收集并向评标委员会提供，评标委员会应以此为依据核实投标人提供的相关证明材料</w:t>
      </w:r>
      <w:r>
        <w:rPr>
          <w:rFonts w:ascii="宋体" w:hAnsi="宋体"/>
          <w:color w:val="auto"/>
          <w:sz w:val="24"/>
        </w:rPr>
        <w:t>。</w:t>
      </w:r>
    </w:p>
    <w:p>
      <w:pPr>
        <w:pStyle w:val="2"/>
        <w:spacing w:before="0" w:after="0" w:line="360" w:lineRule="auto"/>
        <w:rPr>
          <w:rFonts w:ascii="宋体" w:hAnsi="宋体" w:eastAsia="宋体"/>
          <w:color w:val="auto"/>
          <w:sz w:val="24"/>
          <w:szCs w:val="24"/>
        </w:rPr>
      </w:pPr>
      <w:bookmarkStart w:id="168" w:name="_Toc186623670"/>
      <w:bookmarkStart w:id="169" w:name="_Toc186623357"/>
      <w:r>
        <w:rPr>
          <w:rFonts w:ascii="宋体" w:hAnsi="宋体" w:eastAsia="宋体"/>
          <w:color w:val="auto"/>
          <w:sz w:val="24"/>
          <w:szCs w:val="24"/>
        </w:rPr>
        <w:t>3.3 投标文件的澄清和补正</w:t>
      </w:r>
      <w:bookmarkEnd w:id="168"/>
      <w:bookmarkEnd w:id="169"/>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3.3.2 澄清、说明和补正不得改变投标文件的实质性内容（算术性错误修正的除外）。投标人的书面澄清、说明和补正属于投标文件的组成部分。</w:t>
      </w:r>
    </w:p>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3.3.3 评标委员会对投标人提交的澄清、说明或补正有疑问的，可以要求投标人进一步澄清、说明或补正，直至满足评标委员会的要求。</w:t>
      </w:r>
    </w:p>
    <w:p>
      <w:pPr>
        <w:pStyle w:val="2"/>
        <w:spacing w:before="0" w:after="0" w:line="360" w:lineRule="auto"/>
        <w:rPr>
          <w:rFonts w:ascii="宋体" w:hAnsi="宋体" w:eastAsia="宋体"/>
          <w:color w:val="auto"/>
          <w:sz w:val="24"/>
          <w:szCs w:val="24"/>
        </w:rPr>
      </w:pPr>
      <w:bookmarkStart w:id="170" w:name="_Toc221950514"/>
      <w:r>
        <w:rPr>
          <w:rFonts w:ascii="宋体" w:hAnsi="宋体" w:eastAsia="宋体"/>
          <w:color w:val="auto"/>
          <w:sz w:val="24"/>
          <w:szCs w:val="24"/>
        </w:rPr>
        <w:t>3.4 评标结果</w:t>
      </w:r>
    </w:p>
    <w:bookmarkEnd w:id="170"/>
    <w:p>
      <w:pPr>
        <w:autoSpaceDE w:val="0"/>
        <w:autoSpaceDN w:val="0"/>
        <w:adjustRightInd w:val="0"/>
        <w:spacing w:line="360" w:lineRule="auto"/>
        <w:ind w:firstLine="240" w:firstLineChars="100"/>
        <w:rPr>
          <w:rFonts w:ascii="宋体" w:hAnsi="宋体"/>
          <w:color w:val="auto"/>
          <w:sz w:val="24"/>
        </w:rPr>
      </w:pPr>
      <w:r>
        <w:rPr>
          <w:rFonts w:ascii="宋体" w:hAnsi="宋体"/>
          <w:color w:val="auto"/>
          <w:sz w:val="24"/>
        </w:rPr>
        <w:t>3.4.1 评标委员会依据本章第2.2条评分标准进行评分，按评标办法前附表的约定计算投标人最终得分，根据得分由高到低的顺序推荐</w:t>
      </w:r>
      <w:r>
        <w:rPr>
          <w:rFonts w:hint="eastAsia" w:ascii="宋体" w:hAnsi="宋体"/>
          <w:color w:val="auto"/>
          <w:sz w:val="24"/>
        </w:rPr>
        <w:t>1-</w:t>
      </w:r>
      <w:r>
        <w:rPr>
          <w:rFonts w:ascii="宋体" w:hAnsi="宋体"/>
          <w:color w:val="auto"/>
          <w:sz w:val="24"/>
        </w:rPr>
        <w:t>3名中标候选人，并标明推荐顺序。</w:t>
      </w:r>
    </w:p>
    <w:p>
      <w:pPr>
        <w:spacing w:line="360" w:lineRule="auto"/>
        <w:ind w:firstLine="240" w:firstLineChars="100"/>
        <w:rPr>
          <w:color w:val="auto"/>
          <w:szCs w:val="21"/>
        </w:rPr>
      </w:pPr>
      <w:r>
        <w:rPr>
          <w:rFonts w:ascii="宋体" w:hAnsi="宋体"/>
          <w:color w:val="auto"/>
          <w:sz w:val="24"/>
        </w:rPr>
        <w:t>3.4.2 评标委员会完成评标后，应当向招标人提交书面评标报告。</w:t>
      </w:r>
    </w:p>
    <w:p>
      <w:pPr>
        <w:pStyle w:val="32"/>
        <w:ind w:firstLine="210"/>
        <w:rPr>
          <w:color w:val="auto"/>
          <w:szCs w:val="21"/>
        </w:rPr>
      </w:pPr>
    </w:p>
    <w:p>
      <w:pPr>
        <w:rPr>
          <w:rFonts w:ascii="宋体" w:hAnsi="宋体" w:eastAsia="宋体"/>
          <w:color w:val="auto"/>
          <w:sz w:val="24"/>
          <w:szCs w:val="24"/>
        </w:rPr>
      </w:pPr>
      <w:bookmarkStart w:id="171" w:name="_Toc276296521"/>
      <w:bookmarkStart w:id="172" w:name="_Toc277250382"/>
      <w:bookmarkStart w:id="173" w:name="_Toc277253857"/>
      <w:bookmarkStart w:id="174" w:name="_Toc279701651"/>
      <w:bookmarkStart w:id="175" w:name="_Toc279698606"/>
      <w:r>
        <w:rPr>
          <w:rFonts w:ascii="宋体" w:hAnsi="宋体" w:eastAsia="宋体"/>
          <w:color w:val="auto"/>
          <w:sz w:val="24"/>
          <w:szCs w:val="24"/>
        </w:rPr>
        <w:br w:type="page"/>
      </w:r>
    </w:p>
    <w:p>
      <w:pPr>
        <w:pStyle w:val="2"/>
        <w:spacing w:before="0" w:after="0" w:line="360" w:lineRule="auto"/>
        <w:rPr>
          <w:rFonts w:ascii="宋体" w:hAnsi="宋体" w:eastAsia="宋体"/>
          <w:color w:val="auto"/>
          <w:sz w:val="24"/>
          <w:szCs w:val="24"/>
        </w:rPr>
      </w:pPr>
      <w:r>
        <w:rPr>
          <w:rFonts w:ascii="宋体" w:hAnsi="宋体" w:eastAsia="宋体"/>
          <w:color w:val="auto"/>
          <w:sz w:val="24"/>
          <w:szCs w:val="24"/>
        </w:rPr>
        <w:t>附件</w:t>
      </w:r>
      <w:r>
        <w:rPr>
          <w:rFonts w:hint="eastAsia" w:ascii="宋体" w:hAnsi="宋体" w:eastAsia="宋体"/>
          <w:color w:val="auto"/>
          <w:sz w:val="24"/>
          <w:szCs w:val="24"/>
        </w:rPr>
        <w:t>四</w:t>
      </w:r>
      <w:r>
        <w:rPr>
          <w:rFonts w:ascii="宋体" w:hAnsi="宋体" w:eastAsia="宋体"/>
          <w:color w:val="auto"/>
          <w:sz w:val="24"/>
          <w:szCs w:val="24"/>
        </w:rPr>
        <w:t>：</w:t>
      </w:r>
      <w:bookmarkEnd w:id="171"/>
      <w:bookmarkEnd w:id="172"/>
      <w:bookmarkEnd w:id="173"/>
      <w:bookmarkEnd w:id="174"/>
      <w:bookmarkEnd w:id="175"/>
      <w:bookmarkStart w:id="176" w:name="_Toc279701652"/>
      <w:bookmarkStart w:id="177" w:name="_Toc277250383"/>
      <w:bookmarkStart w:id="178" w:name="_Toc276296522"/>
      <w:bookmarkStart w:id="179" w:name="_Toc279698607"/>
      <w:bookmarkStart w:id="180" w:name="_Toc277253858"/>
      <w:bookmarkStart w:id="181" w:name="_Toc276293405"/>
      <w:r>
        <w:rPr>
          <w:rFonts w:ascii="宋体" w:hAnsi="宋体" w:eastAsia="宋体"/>
          <w:color w:val="auto"/>
          <w:sz w:val="24"/>
          <w:szCs w:val="24"/>
        </w:rPr>
        <w:t>评分标准</w:t>
      </w:r>
      <w:bookmarkEnd w:id="176"/>
      <w:bookmarkEnd w:id="177"/>
      <w:bookmarkEnd w:id="178"/>
      <w:bookmarkEnd w:id="179"/>
      <w:bookmarkEnd w:id="180"/>
      <w:bookmarkEnd w:id="181"/>
    </w:p>
    <w:tbl>
      <w:tblPr>
        <w:tblStyle w:val="33"/>
        <w:tblpPr w:leftFromText="180" w:rightFromText="180" w:vertAnchor="text" w:tblpXSpec="center" w:tblpY="1"/>
        <w:tblOverlap w:val="never"/>
        <w:tblW w:w="965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
      <w:tblGrid>
        <w:gridCol w:w="874"/>
        <w:gridCol w:w="559"/>
        <w:gridCol w:w="425"/>
        <w:gridCol w:w="2112"/>
        <w:gridCol w:w="720"/>
        <w:gridCol w:w="496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15" w:hRule="atLeast"/>
        </w:trPr>
        <w:tc>
          <w:tcPr>
            <w:tcW w:w="3970" w:type="dxa"/>
            <w:gridSpan w:val="4"/>
            <w:vAlign w:val="center"/>
          </w:tcPr>
          <w:p>
            <w:pPr>
              <w:autoSpaceDE w:val="0"/>
              <w:autoSpaceDN w:val="0"/>
              <w:adjustRightInd w:val="0"/>
              <w:snapToGrid w:val="0"/>
              <w:jc w:val="center"/>
              <w:rPr>
                <w:rFonts w:ascii="宋体" w:hAnsi="宋体"/>
                <w:bCs/>
                <w:color w:val="auto"/>
                <w:sz w:val="21"/>
                <w:szCs w:val="21"/>
              </w:rPr>
            </w:pPr>
            <w:r>
              <w:rPr>
                <w:rFonts w:ascii="宋体" w:hAnsi="宋体"/>
                <w:bCs/>
                <w:color w:val="auto"/>
                <w:sz w:val="21"/>
                <w:szCs w:val="21"/>
                <w:lang w:val="zh-CN"/>
              </w:rPr>
              <w:t>评分项目</w:t>
            </w:r>
          </w:p>
        </w:tc>
        <w:tc>
          <w:tcPr>
            <w:tcW w:w="720" w:type="dxa"/>
            <w:vAlign w:val="center"/>
          </w:tcPr>
          <w:p>
            <w:pPr>
              <w:autoSpaceDE w:val="0"/>
              <w:autoSpaceDN w:val="0"/>
              <w:adjustRightInd w:val="0"/>
              <w:snapToGrid w:val="0"/>
              <w:jc w:val="center"/>
              <w:rPr>
                <w:rFonts w:ascii="宋体" w:hAnsi="宋体"/>
                <w:bCs/>
                <w:color w:val="auto"/>
                <w:sz w:val="21"/>
                <w:szCs w:val="21"/>
                <w:lang w:val="zh-CN"/>
              </w:rPr>
            </w:pPr>
            <w:r>
              <w:rPr>
                <w:rFonts w:ascii="宋体" w:hAnsi="宋体"/>
                <w:bCs/>
                <w:color w:val="auto"/>
                <w:sz w:val="21"/>
                <w:szCs w:val="21"/>
                <w:lang w:val="zh-CN"/>
              </w:rPr>
              <w:t>赋分</w:t>
            </w:r>
          </w:p>
        </w:tc>
        <w:tc>
          <w:tcPr>
            <w:tcW w:w="4968" w:type="dxa"/>
            <w:vAlign w:val="center"/>
          </w:tcPr>
          <w:p>
            <w:pPr>
              <w:autoSpaceDE w:val="0"/>
              <w:autoSpaceDN w:val="0"/>
              <w:adjustRightInd w:val="0"/>
              <w:snapToGrid w:val="0"/>
              <w:jc w:val="center"/>
              <w:rPr>
                <w:rFonts w:ascii="宋体" w:hAnsi="宋体"/>
                <w:bCs/>
                <w:color w:val="auto"/>
                <w:sz w:val="21"/>
                <w:szCs w:val="21"/>
                <w:lang w:val="zh-CN"/>
              </w:rPr>
            </w:pPr>
            <w:r>
              <w:rPr>
                <w:rFonts w:ascii="宋体" w:hAnsi="宋体"/>
                <w:bCs/>
                <w:color w:val="auto"/>
                <w:sz w:val="21"/>
                <w:szCs w:val="21"/>
                <w:lang w:val="zh-CN"/>
              </w:rPr>
              <w:t>评   分  说  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899" w:hRule="atLeast"/>
        </w:trPr>
        <w:tc>
          <w:tcPr>
            <w:tcW w:w="874" w:type="dxa"/>
            <w:vMerge w:val="restart"/>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2.2.4</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(1)</w:t>
            </w:r>
          </w:p>
          <w:p>
            <w:pPr>
              <w:autoSpaceDE w:val="0"/>
              <w:autoSpaceDN w:val="0"/>
              <w:adjustRightInd w:val="0"/>
              <w:snapToGrid w:val="0"/>
              <w:jc w:val="center"/>
              <w:rPr>
                <w:rFonts w:ascii="宋体" w:hAnsi="宋体"/>
                <w:color w:val="auto"/>
                <w:sz w:val="21"/>
                <w:szCs w:val="21"/>
              </w:rPr>
            </w:pPr>
          </w:p>
          <w:p>
            <w:pPr>
              <w:autoSpaceDE w:val="0"/>
              <w:autoSpaceDN w:val="0"/>
              <w:adjustRightInd w:val="0"/>
              <w:snapToGrid w:val="0"/>
              <w:jc w:val="center"/>
              <w:rPr>
                <w:rFonts w:ascii="宋体" w:hAnsi="宋体"/>
                <w:color w:val="auto"/>
                <w:sz w:val="21"/>
                <w:szCs w:val="21"/>
              </w:rPr>
            </w:pPr>
          </w:p>
        </w:tc>
        <w:tc>
          <w:tcPr>
            <w:tcW w:w="559" w:type="dxa"/>
            <w:vMerge w:val="restart"/>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A</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施工</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组织</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设计</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分</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w:t>
            </w:r>
          </w:p>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1</w:t>
            </w:r>
          </w:p>
        </w:tc>
        <w:tc>
          <w:tcPr>
            <w:tcW w:w="2112" w:type="dxa"/>
            <w:vAlign w:val="center"/>
          </w:tcPr>
          <w:p>
            <w:pPr>
              <w:jc w:val="center"/>
              <w:rPr>
                <w:rFonts w:ascii="宋体" w:hAnsi="宋体"/>
                <w:color w:val="auto"/>
                <w:sz w:val="21"/>
                <w:szCs w:val="21"/>
              </w:rPr>
            </w:pPr>
            <w:r>
              <w:rPr>
                <w:rFonts w:ascii="宋体" w:hAnsi="宋体"/>
                <w:color w:val="auto"/>
                <w:sz w:val="21"/>
                <w:szCs w:val="21"/>
              </w:rPr>
              <w:t>施工总</w:t>
            </w:r>
            <w:r>
              <w:rPr>
                <w:rFonts w:hint="eastAsia" w:ascii="宋体" w:hAnsi="宋体"/>
                <w:color w:val="auto"/>
                <w:sz w:val="21"/>
                <w:szCs w:val="21"/>
              </w:rPr>
              <w:t>体</w:t>
            </w:r>
            <w:r>
              <w:rPr>
                <w:rFonts w:ascii="宋体" w:hAnsi="宋体"/>
                <w:color w:val="auto"/>
                <w:sz w:val="21"/>
                <w:szCs w:val="21"/>
              </w:rPr>
              <w:t>布置</w:t>
            </w:r>
          </w:p>
        </w:tc>
        <w:tc>
          <w:tcPr>
            <w:tcW w:w="720"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4968" w:type="dxa"/>
            <w:vAlign w:val="center"/>
          </w:tcPr>
          <w:p>
            <w:pPr>
              <w:rPr>
                <w:rFonts w:ascii="宋体" w:hAnsi="宋体"/>
                <w:color w:val="auto"/>
                <w:sz w:val="21"/>
                <w:szCs w:val="21"/>
              </w:rPr>
            </w:pPr>
            <w:r>
              <w:rPr>
                <w:rFonts w:hint="eastAsia" w:ascii="宋体" w:hAnsi="宋体"/>
                <w:color w:val="auto"/>
                <w:sz w:val="21"/>
                <w:szCs w:val="21"/>
              </w:rPr>
              <w:t>评价对</w:t>
            </w:r>
            <w:r>
              <w:rPr>
                <w:rFonts w:ascii="宋体" w:hAnsi="宋体"/>
                <w:color w:val="auto"/>
                <w:sz w:val="21"/>
                <w:szCs w:val="21"/>
              </w:rPr>
              <w:t>工程的理解、施工总布置的合理性，合理</w:t>
            </w:r>
            <w:r>
              <w:rPr>
                <w:rFonts w:hint="eastAsia" w:ascii="宋体" w:hAnsi="宋体"/>
                <w:color w:val="auto"/>
                <w:sz w:val="21"/>
                <w:szCs w:val="21"/>
              </w:rPr>
              <w:t>2</w:t>
            </w:r>
            <w:r>
              <w:rPr>
                <w:rFonts w:ascii="宋体" w:hAnsi="宋体"/>
                <w:color w:val="auto"/>
                <w:sz w:val="21"/>
                <w:szCs w:val="21"/>
              </w:rPr>
              <w:t>分，基本合理</w:t>
            </w:r>
            <w:r>
              <w:rPr>
                <w:rFonts w:hint="eastAsia" w:ascii="宋体" w:hAnsi="宋体"/>
                <w:color w:val="auto"/>
                <w:sz w:val="21"/>
                <w:szCs w:val="21"/>
              </w:rPr>
              <w:t>1</w:t>
            </w:r>
            <w:r>
              <w:rPr>
                <w:rFonts w:ascii="宋体" w:hAnsi="宋体"/>
                <w:color w:val="auto"/>
                <w:sz w:val="21"/>
                <w:szCs w:val="21"/>
              </w:rPr>
              <w:t>分</w:t>
            </w:r>
            <w:r>
              <w:rPr>
                <w:rFonts w:hint="eastAsia" w:ascii="宋体" w:hAnsi="宋体"/>
                <w:color w:val="auto"/>
                <w:sz w:val="21"/>
                <w:szCs w:val="21"/>
              </w:rPr>
              <w:t>，不合理0分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027"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2</w:t>
            </w:r>
          </w:p>
        </w:tc>
        <w:tc>
          <w:tcPr>
            <w:tcW w:w="2112" w:type="dxa"/>
            <w:vAlign w:val="center"/>
          </w:tcPr>
          <w:p>
            <w:pPr>
              <w:jc w:val="center"/>
              <w:rPr>
                <w:rFonts w:ascii="宋体" w:hAnsi="宋体"/>
                <w:color w:val="auto"/>
                <w:sz w:val="21"/>
                <w:szCs w:val="21"/>
              </w:rPr>
            </w:pPr>
            <w:r>
              <w:rPr>
                <w:rFonts w:ascii="宋体" w:hAnsi="宋体"/>
                <w:color w:val="auto"/>
                <w:sz w:val="21"/>
                <w:szCs w:val="21"/>
              </w:rPr>
              <w:t>施工方案</w:t>
            </w:r>
          </w:p>
        </w:tc>
        <w:tc>
          <w:tcPr>
            <w:tcW w:w="720" w:type="dxa"/>
            <w:vAlign w:val="center"/>
          </w:tcPr>
          <w:p>
            <w:pPr>
              <w:jc w:val="center"/>
              <w:rPr>
                <w:rFonts w:ascii="宋体" w:hAnsi="宋体"/>
                <w:color w:val="auto"/>
                <w:sz w:val="21"/>
                <w:szCs w:val="21"/>
              </w:rPr>
            </w:pPr>
            <w:r>
              <w:rPr>
                <w:rFonts w:hint="eastAsia" w:ascii="宋体" w:hAnsi="宋体"/>
                <w:color w:val="auto"/>
                <w:sz w:val="21"/>
                <w:szCs w:val="21"/>
              </w:rPr>
              <w:t>10</w:t>
            </w:r>
          </w:p>
        </w:tc>
        <w:tc>
          <w:tcPr>
            <w:tcW w:w="4968" w:type="dxa"/>
            <w:vAlign w:val="center"/>
          </w:tcPr>
          <w:p>
            <w:pPr>
              <w:rPr>
                <w:rFonts w:ascii="宋体" w:hAnsi="宋体"/>
                <w:color w:val="auto"/>
                <w:sz w:val="21"/>
                <w:szCs w:val="21"/>
              </w:rPr>
            </w:pPr>
            <w:bookmarkStart w:id="182" w:name="_Toc276293406"/>
            <w:bookmarkStart w:id="183" w:name="_Toc279698608"/>
            <w:bookmarkStart w:id="184" w:name="_Toc277250384"/>
            <w:bookmarkStart w:id="185" w:name="_Toc276296523"/>
            <w:bookmarkStart w:id="186" w:name="_Toc277253859"/>
            <w:bookmarkStart w:id="187" w:name="_Toc279701653"/>
            <w:r>
              <w:rPr>
                <w:rFonts w:ascii="宋体" w:hAnsi="宋体"/>
                <w:color w:val="auto"/>
                <w:sz w:val="21"/>
                <w:szCs w:val="21"/>
                <w:lang w:val="zh-CN"/>
              </w:rPr>
              <w:t>评价主要施工方法、施工工序、主要技术措施，施工工艺和施工机械的先进性。</w:t>
            </w:r>
            <w:r>
              <w:rPr>
                <w:rFonts w:ascii="宋体" w:hAnsi="宋体"/>
                <w:color w:val="auto"/>
                <w:sz w:val="21"/>
                <w:szCs w:val="21"/>
              </w:rPr>
              <w:t>合理</w:t>
            </w:r>
            <w:r>
              <w:rPr>
                <w:rFonts w:hint="eastAsia" w:ascii="宋体" w:hAnsi="宋体"/>
                <w:color w:val="auto"/>
                <w:sz w:val="21"/>
                <w:szCs w:val="21"/>
              </w:rPr>
              <w:t>6</w:t>
            </w:r>
            <w:r>
              <w:rPr>
                <w:rFonts w:ascii="宋体" w:hAnsi="宋体"/>
                <w:color w:val="auto"/>
                <w:sz w:val="21"/>
                <w:szCs w:val="21"/>
              </w:rPr>
              <w:t>～10分，基本合理</w:t>
            </w:r>
            <w:r>
              <w:rPr>
                <w:rFonts w:hint="eastAsia" w:ascii="宋体" w:hAnsi="宋体"/>
                <w:color w:val="auto"/>
                <w:sz w:val="21"/>
                <w:szCs w:val="21"/>
              </w:rPr>
              <w:t>1</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rPr>
              <w:t>分</w:t>
            </w:r>
            <w:bookmarkEnd w:id="182"/>
            <w:bookmarkEnd w:id="183"/>
            <w:bookmarkEnd w:id="184"/>
            <w:bookmarkEnd w:id="185"/>
            <w:bookmarkEnd w:id="186"/>
            <w:bookmarkEnd w:id="187"/>
            <w:r>
              <w:rPr>
                <w:rFonts w:hint="eastAsia" w:ascii="宋体" w:hAnsi="宋体"/>
                <w:color w:val="auto"/>
                <w:sz w:val="21"/>
                <w:szCs w:val="21"/>
              </w:rPr>
              <w:t>，不合理0分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226"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3</w:t>
            </w:r>
          </w:p>
        </w:tc>
        <w:tc>
          <w:tcPr>
            <w:tcW w:w="2112" w:type="dxa"/>
            <w:vAlign w:val="center"/>
          </w:tcPr>
          <w:p>
            <w:pPr>
              <w:jc w:val="center"/>
              <w:rPr>
                <w:rFonts w:ascii="宋体" w:hAnsi="宋体"/>
                <w:color w:val="auto"/>
                <w:sz w:val="21"/>
                <w:szCs w:val="21"/>
              </w:rPr>
            </w:pPr>
            <w:r>
              <w:rPr>
                <w:rFonts w:ascii="宋体" w:hAnsi="宋体"/>
                <w:color w:val="auto"/>
                <w:sz w:val="21"/>
                <w:szCs w:val="21"/>
              </w:rPr>
              <w:t>质量保证体系和措施</w:t>
            </w:r>
          </w:p>
        </w:tc>
        <w:tc>
          <w:tcPr>
            <w:tcW w:w="720" w:type="dxa"/>
            <w:vAlign w:val="center"/>
          </w:tcPr>
          <w:p>
            <w:pPr>
              <w:jc w:val="center"/>
              <w:rPr>
                <w:rFonts w:ascii="宋体" w:hAnsi="宋体"/>
                <w:color w:val="auto"/>
                <w:sz w:val="21"/>
                <w:szCs w:val="21"/>
              </w:rPr>
            </w:pPr>
            <w:r>
              <w:rPr>
                <w:rFonts w:hint="eastAsia" w:ascii="宋体" w:hAnsi="宋体"/>
                <w:color w:val="auto"/>
                <w:sz w:val="21"/>
                <w:szCs w:val="21"/>
              </w:rPr>
              <w:t>5</w:t>
            </w:r>
          </w:p>
        </w:tc>
        <w:tc>
          <w:tcPr>
            <w:tcW w:w="4968" w:type="dxa"/>
            <w:vAlign w:val="center"/>
          </w:tcPr>
          <w:p>
            <w:pPr>
              <w:rPr>
                <w:rFonts w:ascii="宋体" w:hAnsi="宋体"/>
                <w:color w:val="auto"/>
                <w:sz w:val="21"/>
                <w:szCs w:val="21"/>
              </w:rPr>
            </w:pPr>
            <w:r>
              <w:rPr>
                <w:rFonts w:ascii="宋体" w:hAnsi="宋体"/>
                <w:color w:val="auto"/>
                <w:sz w:val="21"/>
                <w:szCs w:val="21"/>
                <w:lang w:val="zh-CN"/>
              </w:rPr>
              <w:t>综合评价质量目标,质量保证体系是否健全；质量保证措施是否合理有效并具有针对性，健全</w:t>
            </w:r>
            <w:r>
              <w:rPr>
                <w:rFonts w:ascii="宋体" w:hAnsi="宋体"/>
                <w:color w:val="auto"/>
                <w:sz w:val="21"/>
                <w:szCs w:val="21"/>
              </w:rPr>
              <w:t>有效合理</w:t>
            </w:r>
            <w:r>
              <w:rPr>
                <w:rFonts w:hint="eastAsia" w:ascii="宋体" w:hAnsi="宋体"/>
                <w:color w:val="auto"/>
                <w:sz w:val="21"/>
                <w:szCs w:val="21"/>
              </w:rPr>
              <w:t>3</w:t>
            </w:r>
            <w:r>
              <w:rPr>
                <w:rFonts w:ascii="宋体" w:hAnsi="宋体"/>
                <w:color w:val="auto"/>
                <w:sz w:val="21"/>
                <w:szCs w:val="21"/>
              </w:rPr>
              <w:t>～5分，基本合理</w:t>
            </w:r>
            <w:r>
              <w:rPr>
                <w:rFonts w:hint="eastAsia" w:ascii="宋体" w:hAnsi="宋体"/>
                <w:color w:val="auto"/>
                <w:sz w:val="21"/>
                <w:szCs w:val="21"/>
              </w:rPr>
              <w:t>1</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分</w:t>
            </w:r>
            <w:r>
              <w:rPr>
                <w:rFonts w:hint="eastAsia" w:ascii="宋体" w:hAnsi="宋体"/>
                <w:color w:val="auto"/>
                <w:sz w:val="21"/>
                <w:szCs w:val="21"/>
              </w:rPr>
              <w:t>，不合理0分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4</w:t>
            </w:r>
          </w:p>
        </w:tc>
        <w:tc>
          <w:tcPr>
            <w:tcW w:w="2112" w:type="dxa"/>
            <w:vAlign w:val="center"/>
          </w:tcPr>
          <w:p>
            <w:pPr>
              <w:jc w:val="center"/>
              <w:rPr>
                <w:rFonts w:ascii="宋体" w:hAnsi="宋体"/>
                <w:color w:val="auto"/>
                <w:sz w:val="21"/>
                <w:szCs w:val="21"/>
              </w:rPr>
            </w:pPr>
            <w:r>
              <w:rPr>
                <w:rFonts w:ascii="宋体" w:hAnsi="宋体"/>
                <w:color w:val="auto"/>
                <w:sz w:val="21"/>
                <w:szCs w:val="21"/>
              </w:rPr>
              <w:t>施工进度计划及保证措施</w:t>
            </w:r>
          </w:p>
        </w:tc>
        <w:tc>
          <w:tcPr>
            <w:tcW w:w="720" w:type="dxa"/>
            <w:vAlign w:val="center"/>
          </w:tcPr>
          <w:p>
            <w:pPr>
              <w:jc w:val="center"/>
              <w:rPr>
                <w:rFonts w:ascii="宋体" w:hAnsi="宋体"/>
                <w:color w:val="auto"/>
                <w:sz w:val="21"/>
                <w:szCs w:val="21"/>
              </w:rPr>
            </w:pPr>
            <w:r>
              <w:rPr>
                <w:rFonts w:hint="eastAsia" w:ascii="宋体" w:hAnsi="宋体"/>
                <w:color w:val="auto"/>
                <w:sz w:val="21"/>
                <w:szCs w:val="21"/>
              </w:rPr>
              <w:t>5</w:t>
            </w:r>
          </w:p>
        </w:tc>
        <w:tc>
          <w:tcPr>
            <w:tcW w:w="4968" w:type="dxa"/>
            <w:vAlign w:val="center"/>
          </w:tcPr>
          <w:p>
            <w:pPr>
              <w:rPr>
                <w:rFonts w:ascii="宋体" w:hAnsi="宋体"/>
                <w:color w:val="auto"/>
                <w:sz w:val="21"/>
                <w:szCs w:val="21"/>
              </w:rPr>
            </w:pPr>
            <w:r>
              <w:rPr>
                <w:rFonts w:ascii="宋体" w:hAnsi="宋体"/>
                <w:color w:val="auto"/>
                <w:sz w:val="21"/>
                <w:szCs w:val="21"/>
                <w:lang w:val="zh-CN"/>
              </w:rPr>
              <w:t>评价施工进度计划合理，保证措施具有针对性、措施先进可行得3</w:t>
            </w:r>
            <w:r>
              <w:rPr>
                <w:rFonts w:ascii="宋体" w:hAnsi="宋体"/>
                <w:color w:val="auto"/>
                <w:sz w:val="21"/>
                <w:szCs w:val="21"/>
              </w:rPr>
              <w:t>～</w:t>
            </w:r>
            <w:r>
              <w:rPr>
                <w:rFonts w:hint="eastAsia" w:ascii="宋体" w:hAnsi="宋体"/>
                <w:color w:val="auto"/>
                <w:sz w:val="21"/>
                <w:szCs w:val="21"/>
              </w:rPr>
              <w:t>5</w:t>
            </w:r>
            <w:r>
              <w:rPr>
                <w:rFonts w:ascii="宋体" w:hAnsi="宋体"/>
                <w:color w:val="auto"/>
                <w:sz w:val="21"/>
                <w:szCs w:val="21"/>
                <w:lang w:val="zh-CN"/>
              </w:rPr>
              <w:t>分，基本</w:t>
            </w:r>
            <w:r>
              <w:rPr>
                <w:rFonts w:hint="eastAsia" w:ascii="宋体" w:hAnsi="宋体"/>
                <w:color w:val="auto"/>
                <w:sz w:val="21"/>
                <w:szCs w:val="21"/>
                <w:lang w:val="zh-CN"/>
              </w:rPr>
              <w:t>合理</w:t>
            </w:r>
            <w:r>
              <w:rPr>
                <w:rFonts w:ascii="宋体" w:hAnsi="宋体"/>
                <w:color w:val="auto"/>
                <w:sz w:val="21"/>
                <w:szCs w:val="21"/>
                <w:lang w:val="zh-CN"/>
              </w:rPr>
              <w:t>可行1</w:t>
            </w:r>
            <w:r>
              <w:rPr>
                <w:rFonts w:ascii="宋体" w:hAnsi="宋体"/>
                <w:color w:val="auto"/>
                <w:sz w:val="21"/>
                <w:szCs w:val="21"/>
              </w:rPr>
              <w:t>～</w:t>
            </w:r>
            <w:r>
              <w:rPr>
                <w:rFonts w:ascii="宋体" w:hAnsi="宋体"/>
                <w:color w:val="auto"/>
                <w:sz w:val="21"/>
                <w:szCs w:val="21"/>
                <w:lang w:val="zh-CN"/>
              </w:rPr>
              <w:t>2</w:t>
            </w:r>
            <w:r>
              <w:rPr>
                <w:rFonts w:hint="eastAsia" w:ascii="宋体" w:hAnsi="宋体"/>
                <w:color w:val="auto"/>
                <w:sz w:val="21"/>
                <w:szCs w:val="21"/>
              </w:rPr>
              <w:t>，不合理不可行0分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718"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5</w:t>
            </w:r>
          </w:p>
        </w:tc>
        <w:tc>
          <w:tcPr>
            <w:tcW w:w="2112" w:type="dxa"/>
            <w:vAlign w:val="center"/>
          </w:tcPr>
          <w:p>
            <w:pPr>
              <w:autoSpaceDE w:val="0"/>
              <w:autoSpaceDN w:val="0"/>
              <w:adjustRightInd w:val="0"/>
              <w:snapToGrid w:val="0"/>
              <w:jc w:val="center"/>
              <w:rPr>
                <w:rFonts w:ascii="宋体" w:hAnsi="宋体"/>
                <w:bCs/>
                <w:color w:val="auto"/>
                <w:sz w:val="21"/>
                <w:szCs w:val="21"/>
                <w:lang w:val="zh-CN"/>
              </w:rPr>
            </w:pPr>
            <w:r>
              <w:rPr>
                <w:rFonts w:ascii="宋体" w:hAnsi="宋体"/>
                <w:bCs/>
                <w:color w:val="auto"/>
                <w:sz w:val="21"/>
                <w:szCs w:val="21"/>
                <w:lang w:val="zh-CN"/>
              </w:rPr>
              <w:t>施工人员配备</w:t>
            </w:r>
          </w:p>
        </w:tc>
        <w:tc>
          <w:tcPr>
            <w:tcW w:w="720" w:type="dxa"/>
            <w:vAlign w:val="center"/>
          </w:tcPr>
          <w:p>
            <w:pPr>
              <w:autoSpaceDE w:val="0"/>
              <w:autoSpaceDN w:val="0"/>
              <w:adjustRightInd w:val="0"/>
              <w:snapToGrid w:val="0"/>
              <w:jc w:val="center"/>
              <w:rPr>
                <w:rFonts w:ascii="宋体" w:hAnsi="宋体"/>
                <w:bCs/>
                <w:color w:val="auto"/>
                <w:sz w:val="21"/>
                <w:szCs w:val="21"/>
                <w:lang w:val="zh-CN"/>
              </w:rPr>
            </w:pPr>
            <w:r>
              <w:rPr>
                <w:rFonts w:hint="eastAsia" w:ascii="宋体" w:hAnsi="宋体"/>
                <w:bCs/>
                <w:color w:val="auto"/>
                <w:sz w:val="21"/>
                <w:szCs w:val="21"/>
              </w:rPr>
              <w:t>4</w:t>
            </w:r>
          </w:p>
        </w:tc>
        <w:tc>
          <w:tcPr>
            <w:tcW w:w="4968" w:type="dxa"/>
            <w:vAlign w:val="center"/>
          </w:tcPr>
          <w:p>
            <w:pPr>
              <w:autoSpaceDE w:val="0"/>
              <w:autoSpaceDN w:val="0"/>
              <w:adjustRightInd w:val="0"/>
              <w:snapToGrid w:val="0"/>
              <w:rPr>
                <w:rFonts w:ascii="宋体" w:hAnsi="宋体"/>
                <w:color w:val="auto"/>
                <w:sz w:val="21"/>
                <w:szCs w:val="21"/>
                <w:lang w:val="zh-CN"/>
              </w:rPr>
            </w:pPr>
            <w:r>
              <w:rPr>
                <w:rFonts w:ascii="宋体" w:hAnsi="宋体"/>
                <w:color w:val="auto"/>
                <w:sz w:val="21"/>
                <w:szCs w:val="21"/>
              </w:rPr>
              <w:t>施工人员按阶段配备合理3～</w:t>
            </w:r>
            <w:r>
              <w:rPr>
                <w:rFonts w:hint="eastAsia" w:ascii="宋体" w:hAnsi="宋体"/>
                <w:color w:val="auto"/>
                <w:sz w:val="21"/>
                <w:szCs w:val="21"/>
              </w:rPr>
              <w:t>4</w:t>
            </w:r>
            <w:r>
              <w:rPr>
                <w:rFonts w:ascii="宋体" w:hAnsi="宋体"/>
                <w:color w:val="auto"/>
                <w:sz w:val="21"/>
                <w:szCs w:val="21"/>
              </w:rPr>
              <w:t>分，基本合理1～2分</w:t>
            </w:r>
            <w:r>
              <w:rPr>
                <w:rFonts w:hint="eastAsia" w:ascii="宋体" w:hAnsi="宋体"/>
                <w:color w:val="auto"/>
                <w:sz w:val="21"/>
                <w:szCs w:val="21"/>
              </w:rPr>
              <w:t>，不合理0分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6</w:t>
            </w:r>
          </w:p>
        </w:tc>
        <w:tc>
          <w:tcPr>
            <w:tcW w:w="2112" w:type="dxa"/>
            <w:vAlign w:val="center"/>
          </w:tcPr>
          <w:p>
            <w:pPr>
              <w:autoSpaceDE w:val="0"/>
              <w:autoSpaceDN w:val="0"/>
              <w:adjustRightInd w:val="0"/>
              <w:snapToGrid w:val="0"/>
              <w:jc w:val="center"/>
              <w:rPr>
                <w:rFonts w:ascii="宋体" w:hAnsi="宋体"/>
                <w:color w:val="auto"/>
                <w:sz w:val="21"/>
                <w:szCs w:val="21"/>
              </w:rPr>
            </w:pPr>
            <w:r>
              <w:rPr>
                <w:rFonts w:ascii="宋体" w:hAnsi="宋体"/>
                <w:bCs/>
                <w:color w:val="auto"/>
                <w:sz w:val="21"/>
                <w:szCs w:val="21"/>
                <w:lang w:val="zh-CN"/>
              </w:rPr>
              <w:t>配备的施工设备的数量和性能</w:t>
            </w:r>
          </w:p>
        </w:tc>
        <w:tc>
          <w:tcPr>
            <w:tcW w:w="720" w:type="dxa"/>
            <w:vAlign w:val="center"/>
          </w:tcPr>
          <w:p>
            <w:pPr>
              <w:autoSpaceDE w:val="0"/>
              <w:autoSpaceDN w:val="0"/>
              <w:adjustRightInd w:val="0"/>
              <w:snapToGrid w:val="0"/>
              <w:jc w:val="center"/>
              <w:rPr>
                <w:rFonts w:ascii="宋体" w:hAnsi="宋体"/>
                <w:color w:val="auto"/>
                <w:sz w:val="21"/>
                <w:szCs w:val="21"/>
                <w:lang w:val="zh-CN"/>
              </w:rPr>
            </w:pPr>
            <w:r>
              <w:rPr>
                <w:rFonts w:hint="eastAsia" w:ascii="宋体" w:hAnsi="宋体"/>
                <w:bCs/>
                <w:color w:val="auto"/>
                <w:sz w:val="21"/>
                <w:szCs w:val="21"/>
              </w:rPr>
              <w:t>4</w:t>
            </w:r>
          </w:p>
        </w:tc>
        <w:tc>
          <w:tcPr>
            <w:tcW w:w="4968" w:type="dxa"/>
            <w:vAlign w:val="center"/>
          </w:tcPr>
          <w:p>
            <w:pPr>
              <w:autoSpaceDE w:val="0"/>
              <w:autoSpaceDN w:val="0"/>
              <w:adjustRightInd w:val="0"/>
              <w:snapToGrid w:val="0"/>
              <w:rPr>
                <w:rFonts w:ascii="宋体" w:hAnsi="宋体"/>
                <w:color w:val="auto"/>
                <w:sz w:val="21"/>
                <w:szCs w:val="21"/>
                <w:lang w:val="zh-CN"/>
              </w:rPr>
            </w:pPr>
            <w:r>
              <w:rPr>
                <w:rFonts w:ascii="宋体" w:hAnsi="宋体"/>
                <w:color w:val="auto"/>
                <w:sz w:val="21"/>
                <w:szCs w:val="21"/>
                <w:lang w:val="zh-CN"/>
              </w:rPr>
              <w:t>对拟投入本工程施工的机械设备类型、型号、数量及适用性、可靠性进行综合评审，优良3</w:t>
            </w:r>
            <w:r>
              <w:rPr>
                <w:rFonts w:ascii="宋体" w:hAnsi="宋体"/>
                <w:color w:val="auto"/>
                <w:sz w:val="21"/>
                <w:szCs w:val="21"/>
              </w:rPr>
              <w:t>～</w:t>
            </w:r>
            <w:r>
              <w:rPr>
                <w:rFonts w:ascii="宋体" w:hAnsi="宋体"/>
                <w:color w:val="auto"/>
                <w:sz w:val="21"/>
                <w:szCs w:val="21"/>
                <w:lang w:val="zh-CN"/>
              </w:rPr>
              <w:t>4分、一般1～2分</w:t>
            </w:r>
            <w:r>
              <w:rPr>
                <w:rFonts w:hint="eastAsia" w:ascii="宋体" w:hAnsi="宋体"/>
                <w:color w:val="auto"/>
                <w:sz w:val="21"/>
                <w:szCs w:val="21"/>
              </w:rPr>
              <w:t>，不合理0分</w:t>
            </w:r>
            <w:r>
              <w:rPr>
                <w:rFonts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rPr>
              <w:t>7</w:t>
            </w:r>
          </w:p>
        </w:tc>
        <w:tc>
          <w:tcPr>
            <w:tcW w:w="2112" w:type="dxa"/>
            <w:vAlign w:val="center"/>
          </w:tcPr>
          <w:p>
            <w:pPr>
              <w:autoSpaceDE w:val="0"/>
              <w:autoSpaceDN w:val="0"/>
              <w:adjustRightInd w:val="0"/>
              <w:snapToGrid w:val="0"/>
              <w:jc w:val="center"/>
              <w:rPr>
                <w:rFonts w:ascii="宋体" w:hAnsi="宋体"/>
                <w:bCs/>
                <w:color w:val="auto"/>
                <w:sz w:val="21"/>
                <w:szCs w:val="21"/>
                <w:lang w:val="zh-CN"/>
              </w:rPr>
            </w:pPr>
            <w:r>
              <w:rPr>
                <w:rFonts w:ascii="宋体" w:hAnsi="宋体"/>
                <w:bCs/>
                <w:color w:val="auto"/>
                <w:sz w:val="21"/>
                <w:szCs w:val="21"/>
                <w:lang w:val="zh-CN"/>
              </w:rPr>
              <w:t>安全生产、文明施工</w:t>
            </w:r>
          </w:p>
        </w:tc>
        <w:tc>
          <w:tcPr>
            <w:tcW w:w="720" w:type="dxa"/>
            <w:vAlign w:val="center"/>
          </w:tcPr>
          <w:p>
            <w:pPr>
              <w:autoSpaceDE w:val="0"/>
              <w:autoSpaceDN w:val="0"/>
              <w:adjustRightInd w:val="0"/>
              <w:snapToGrid w:val="0"/>
              <w:jc w:val="center"/>
              <w:rPr>
                <w:rFonts w:ascii="宋体" w:hAnsi="宋体"/>
                <w:bCs/>
                <w:color w:val="auto"/>
                <w:sz w:val="21"/>
                <w:szCs w:val="21"/>
                <w:lang w:val="zh-CN"/>
              </w:rPr>
            </w:pPr>
            <w:r>
              <w:rPr>
                <w:rFonts w:hint="eastAsia" w:ascii="宋体" w:hAnsi="宋体"/>
                <w:bCs/>
                <w:color w:val="auto"/>
                <w:sz w:val="21"/>
                <w:szCs w:val="21"/>
              </w:rPr>
              <w:t>5</w:t>
            </w:r>
          </w:p>
        </w:tc>
        <w:tc>
          <w:tcPr>
            <w:tcW w:w="4968" w:type="dxa"/>
            <w:vAlign w:val="center"/>
          </w:tcPr>
          <w:p>
            <w:pPr>
              <w:autoSpaceDE w:val="0"/>
              <w:autoSpaceDN w:val="0"/>
              <w:adjustRightInd w:val="0"/>
              <w:snapToGrid w:val="0"/>
              <w:rPr>
                <w:rFonts w:ascii="宋体" w:hAnsi="宋体"/>
                <w:bCs/>
                <w:color w:val="auto"/>
                <w:sz w:val="21"/>
                <w:szCs w:val="21"/>
                <w:lang w:val="zh-CN"/>
              </w:rPr>
            </w:pPr>
            <w:r>
              <w:rPr>
                <w:rFonts w:hint="eastAsia" w:ascii="宋体" w:hAnsi="宋体"/>
                <w:color w:val="auto"/>
                <w:sz w:val="21"/>
                <w:szCs w:val="21"/>
              </w:rPr>
              <w:t>评价安全生产保证体系健全，安全生产保证措施合理，文明施工和环境保护措施，得力的得3</w:t>
            </w:r>
            <w:r>
              <w:rPr>
                <w:rFonts w:ascii="宋体" w:hAnsi="宋体"/>
                <w:color w:val="auto"/>
                <w:sz w:val="21"/>
                <w:szCs w:val="21"/>
              </w:rPr>
              <w:t>～</w:t>
            </w:r>
            <w:r>
              <w:rPr>
                <w:rFonts w:hint="eastAsia" w:ascii="宋体" w:hAnsi="宋体"/>
                <w:color w:val="auto"/>
                <w:sz w:val="21"/>
                <w:szCs w:val="21"/>
              </w:rPr>
              <w:t>5分、</w:t>
            </w:r>
            <w:r>
              <w:rPr>
                <w:rFonts w:ascii="宋体" w:hAnsi="宋体"/>
                <w:color w:val="auto"/>
                <w:sz w:val="21"/>
                <w:szCs w:val="21"/>
                <w:lang w:val="zh-CN"/>
              </w:rPr>
              <w:t>一般1～2分</w:t>
            </w:r>
            <w:r>
              <w:rPr>
                <w:rFonts w:hint="eastAsia" w:ascii="宋体" w:hAnsi="宋体"/>
                <w:color w:val="auto"/>
                <w:sz w:val="21"/>
                <w:szCs w:val="21"/>
              </w:rPr>
              <w:t>，不合理0分</w:t>
            </w:r>
            <w:r>
              <w:rPr>
                <w:rFonts w:hint="eastAsia"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901" w:hRule="atLeast"/>
        </w:trPr>
        <w:tc>
          <w:tcPr>
            <w:tcW w:w="874" w:type="dxa"/>
            <w:vMerge w:val="restart"/>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2.2.4</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(2)</w:t>
            </w:r>
          </w:p>
          <w:p>
            <w:pPr>
              <w:autoSpaceDE w:val="0"/>
              <w:autoSpaceDN w:val="0"/>
              <w:adjustRightInd w:val="0"/>
              <w:snapToGrid w:val="0"/>
              <w:jc w:val="center"/>
              <w:rPr>
                <w:rFonts w:ascii="宋体" w:hAnsi="宋体"/>
                <w:color w:val="auto"/>
                <w:sz w:val="21"/>
                <w:szCs w:val="21"/>
              </w:rPr>
            </w:pPr>
          </w:p>
        </w:tc>
        <w:tc>
          <w:tcPr>
            <w:tcW w:w="559" w:type="dxa"/>
            <w:vMerge w:val="restart"/>
            <w:vAlign w:val="center"/>
          </w:tcPr>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B</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项目</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管理</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机构</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10</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分</w:t>
            </w:r>
          </w:p>
          <w:p>
            <w:pPr>
              <w:autoSpaceDE w:val="0"/>
              <w:autoSpaceDN w:val="0"/>
              <w:adjustRightInd w:val="0"/>
              <w:snapToGrid w:val="0"/>
              <w:jc w:val="center"/>
              <w:rPr>
                <w:rFonts w:ascii="宋体" w:hAnsi="宋体"/>
                <w:color w:val="auto"/>
                <w:sz w:val="21"/>
                <w:szCs w:val="21"/>
              </w:rPr>
            </w:pPr>
            <w:r>
              <w:rPr>
                <w:rFonts w:ascii="宋体" w:hAnsi="宋体"/>
                <w:color w:val="auto"/>
                <w:sz w:val="21"/>
                <w:szCs w:val="21"/>
              </w:rPr>
              <w:t>︶</w:t>
            </w: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8</w:t>
            </w:r>
          </w:p>
        </w:tc>
        <w:tc>
          <w:tcPr>
            <w:tcW w:w="2112"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组织机构及人员配备</w:t>
            </w:r>
          </w:p>
        </w:tc>
        <w:tc>
          <w:tcPr>
            <w:tcW w:w="720" w:type="dxa"/>
            <w:vAlign w:val="center"/>
          </w:tcPr>
          <w:p>
            <w:pPr>
              <w:autoSpaceDE w:val="0"/>
              <w:autoSpaceDN w:val="0"/>
              <w:adjustRightInd w:val="0"/>
              <w:snapToGrid w:val="0"/>
              <w:jc w:val="center"/>
              <w:rPr>
                <w:rFonts w:hint="eastAsia" w:ascii="宋体" w:hAnsi="宋体" w:eastAsia="宋体"/>
                <w:color w:val="auto"/>
                <w:sz w:val="21"/>
                <w:szCs w:val="21"/>
                <w:lang w:val="zh-CN" w:eastAsia="zh-CN"/>
              </w:rPr>
            </w:pPr>
            <w:r>
              <w:rPr>
                <w:rFonts w:hint="eastAsia" w:ascii="宋体" w:hAnsi="宋体"/>
                <w:color w:val="auto"/>
                <w:sz w:val="21"/>
                <w:szCs w:val="21"/>
                <w:lang w:val="en-US" w:eastAsia="zh-CN"/>
              </w:rPr>
              <w:t>5</w:t>
            </w:r>
          </w:p>
        </w:tc>
        <w:tc>
          <w:tcPr>
            <w:tcW w:w="4968" w:type="dxa"/>
            <w:vAlign w:val="center"/>
          </w:tcPr>
          <w:p>
            <w:pPr>
              <w:autoSpaceDE w:val="0"/>
              <w:autoSpaceDN w:val="0"/>
              <w:adjustRightInd w:val="0"/>
              <w:snapToGrid w:val="0"/>
              <w:rPr>
                <w:rFonts w:ascii="宋体" w:hAnsi="宋体"/>
                <w:color w:val="auto"/>
                <w:sz w:val="21"/>
                <w:szCs w:val="21"/>
                <w:lang w:val="zh-CN"/>
              </w:rPr>
            </w:pPr>
            <w:r>
              <w:rPr>
                <w:rFonts w:ascii="宋体" w:hAnsi="宋体"/>
                <w:color w:val="auto"/>
                <w:sz w:val="21"/>
                <w:szCs w:val="21"/>
                <w:lang w:val="zh-CN"/>
              </w:rPr>
              <w:t>对组织机构和专业的完整性、人员配备的合理性进行综合评审，合理3～</w:t>
            </w:r>
            <w:r>
              <w:rPr>
                <w:rFonts w:hint="eastAsia" w:ascii="宋体" w:hAnsi="宋体"/>
                <w:color w:val="auto"/>
                <w:sz w:val="21"/>
                <w:szCs w:val="21"/>
                <w:lang w:val="en-US" w:eastAsia="zh-CN"/>
              </w:rPr>
              <w:t>5</w:t>
            </w:r>
            <w:r>
              <w:rPr>
                <w:rFonts w:ascii="宋体" w:hAnsi="宋体"/>
                <w:color w:val="auto"/>
                <w:sz w:val="21"/>
                <w:szCs w:val="21"/>
                <w:lang w:val="zh-CN"/>
              </w:rPr>
              <w:t>分、基本合理</w:t>
            </w:r>
            <w:r>
              <w:rPr>
                <w:rFonts w:hint="eastAsia" w:ascii="宋体" w:hAnsi="宋体"/>
                <w:color w:val="auto"/>
                <w:sz w:val="21"/>
                <w:szCs w:val="21"/>
              </w:rPr>
              <w:t>1</w:t>
            </w:r>
            <w:r>
              <w:rPr>
                <w:rFonts w:ascii="宋体" w:hAnsi="宋体"/>
                <w:color w:val="auto"/>
                <w:sz w:val="21"/>
                <w:szCs w:val="21"/>
                <w:lang w:val="zh-CN"/>
              </w:rPr>
              <w:t>～</w:t>
            </w:r>
            <w:r>
              <w:rPr>
                <w:rFonts w:hint="eastAsia" w:ascii="宋体" w:hAnsi="宋体"/>
                <w:color w:val="auto"/>
                <w:sz w:val="21"/>
                <w:szCs w:val="21"/>
              </w:rPr>
              <w:t>2</w:t>
            </w:r>
            <w:r>
              <w:rPr>
                <w:rFonts w:ascii="宋体" w:hAnsi="宋体"/>
                <w:color w:val="auto"/>
                <w:sz w:val="21"/>
                <w:szCs w:val="21"/>
                <w:lang w:val="zh-CN"/>
              </w:rPr>
              <w:t>分</w:t>
            </w:r>
            <w:r>
              <w:rPr>
                <w:rFonts w:hint="eastAsia" w:ascii="宋体" w:hAnsi="宋体"/>
                <w:color w:val="auto"/>
                <w:sz w:val="21"/>
                <w:szCs w:val="21"/>
              </w:rPr>
              <w:t>，不合理0分</w:t>
            </w:r>
            <w:r>
              <w:rPr>
                <w:rFonts w:ascii="宋体" w:hAnsi="宋体"/>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281"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color w:val="auto"/>
                <w:sz w:val="21"/>
                <w:szCs w:val="21"/>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9</w:t>
            </w:r>
          </w:p>
        </w:tc>
        <w:tc>
          <w:tcPr>
            <w:tcW w:w="2112"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项目</w:t>
            </w:r>
            <w:r>
              <w:rPr>
                <w:rFonts w:hint="eastAsia" w:ascii="宋体" w:hAnsi="宋体"/>
                <w:color w:val="auto"/>
                <w:sz w:val="21"/>
                <w:szCs w:val="21"/>
                <w:lang w:val="zh-CN"/>
              </w:rPr>
              <w:t>负责人</w:t>
            </w:r>
          </w:p>
        </w:tc>
        <w:tc>
          <w:tcPr>
            <w:tcW w:w="720" w:type="dxa"/>
            <w:vAlign w:val="center"/>
          </w:tcPr>
          <w:p>
            <w:pPr>
              <w:autoSpaceDE w:val="0"/>
              <w:autoSpaceDN w:val="0"/>
              <w:adjustRightInd w:val="0"/>
              <w:snapToGrid w:val="0"/>
              <w:jc w:val="center"/>
              <w:rPr>
                <w:rFonts w:hint="eastAsia" w:ascii="宋体" w:hAnsi="宋体" w:eastAsia="宋体"/>
                <w:color w:val="auto"/>
                <w:sz w:val="21"/>
                <w:szCs w:val="21"/>
                <w:lang w:val="zh-CN" w:eastAsia="zh-CN"/>
              </w:rPr>
            </w:pPr>
            <w:r>
              <w:rPr>
                <w:rFonts w:hint="eastAsia" w:ascii="宋体" w:hAnsi="宋体"/>
                <w:color w:val="auto"/>
                <w:sz w:val="21"/>
                <w:szCs w:val="21"/>
                <w:lang w:val="en-US" w:eastAsia="zh-CN"/>
              </w:rPr>
              <w:t>3</w:t>
            </w:r>
          </w:p>
        </w:tc>
        <w:tc>
          <w:tcPr>
            <w:tcW w:w="4968" w:type="dxa"/>
            <w:vAlign w:val="center"/>
          </w:tcPr>
          <w:p>
            <w:pPr>
              <w:autoSpaceDE w:val="0"/>
              <w:autoSpaceDN w:val="0"/>
              <w:adjustRightInd w:val="0"/>
              <w:snapToGrid w:val="0"/>
              <w:rPr>
                <w:rFonts w:ascii="宋体" w:hAnsi="宋体"/>
                <w:color w:val="auto"/>
                <w:sz w:val="21"/>
                <w:szCs w:val="21"/>
                <w:lang w:val="zh-CN"/>
              </w:rPr>
            </w:pPr>
            <w:r>
              <w:rPr>
                <w:rFonts w:hint="eastAsia" w:ascii="宋体" w:hAnsi="宋体"/>
                <w:color w:val="auto"/>
                <w:sz w:val="21"/>
                <w:szCs w:val="21"/>
                <w:lang w:val="zh-CN"/>
              </w:rPr>
              <w:t>2016年1月1日以来项目负责人承建过类似工程一项业绩得</w:t>
            </w:r>
            <w:r>
              <w:rPr>
                <w:rFonts w:hint="eastAsia" w:ascii="宋体" w:hAnsi="宋体"/>
                <w:color w:val="auto"/>
                <w:sz w:val="21"/>
                <w:szCs w:val="21"/>
                <w:lang w:val="en-US" w:eastAsia="zh-CN"/>
              </w:rPr>
              <w:t>3</w:t>
            </w:r>
            <w:r>
              <w:rPr>
                <w:rFonts w:ascii="宋体" w:hAnsi="宋体"/>
                <w:color w:val="auto"/>
                <w:sz w:val="21"/>
                <w:szCs w:val="21"/>
                <w:lang w:val="zh-CN"/>
              </w:rPr>
              <w:t>分</w:t>
            </w:r>
            <w:r>
              <w:rPr>
                <w:rFonts w:hint="eastAsia" w:ascii="宋体" w:hAnsi="宋体"/>
                <w:color w:val="auto"/>
                <w:sz w:val="21"/>
                <w:szCs w:val="21"/>
                <w:lang w:val="zh-CN"/>
              </w:rPr>
              <w:t>，本项</w:t>
            </w:r>
            <w:r>
              <w:rPr>
                <w:rFonts w:ascii="宋体" w:hAnsi="宋体"/>
                <w:color w:val="auto"/>
                <w:sz w:val="21"/>
                <w:szCs w:val="21"/>
                <w:lang w:val="zh-CN"/>
              </w:rPr>
              <w:t>最多</w:t>
            </w:r>
            <w:r>
              <w:rPr>
                <w:rFonts w:hint="eastAsia" w:ascii="宋体" w:hAnsi="宋体"/>
                <w:color w:val="auto"/>
                <w:sz w:val="21"/>
                <w:szCs w:val="21"/>
                <w:lang w:val="zh-CN"/>
              </w:rPr>
              <w:t>得</w:t>
            </w:r>
            <w:r>
              <w:rPr>
                <w:rFonts w:hint="eastAsia" w:ascii="宋体" w:hAnsi="宋体"/>
                <w:color w:val="auto"/>
                <w:sz w:val="21"/>
                <w:szCs w:val="21"/>
                <w:lang w:val="en-US" w:eastAsia="zh-CN"/>
              </w:rPr>
              <w:t>3</w:t>
            </w:r>
            <w:r>
              <w:rPr>
                <w:rFonts w:ascii="宋体" w:hAnsi="宋体"/>
                <w:color w:val="auto"/>
                <w:sz w:val="21"/>
                <w:szCs w:val="21"/>
                <w:lang w:val="zh-CN"/>
              </w:rPr>
              <w:t>分。</w:t>
            </w:r>
            <w:r>
              <w:rPr>
                <w:rFonts w:hint="eastAsia" w:ascii="宋体" w:hAnsi="宋体"/>
                <w:b/>
                <w:color w:val="auto"/>
                <w:sz w:val="21"/>
                <w:szCs w:val="21"/>
                <w:lang w:val="zh-CN"/>
              </w:rPr>
              <w:t>（以合同协议书和中标通知书为准，若上述资料均不显示项目负责人姓名，不得分）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832"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color w:val="auto"/>
                <w:sz w:val="21"/>
                <w:szCs w:val="21"/>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color w:val="auto"/>
                <w:sz w:val="21"/>
                <w:szCs w:val="21"/>
              </w:rPr>
            </w:pPr>
          </w:p>
        </w:tc>
        <w:tc>
          <w:tcPr>
            <w:tcW w:w="425"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10</w:t>
            </w:r>
          </w:p>
        </w:tc>
        <w:tc>
          <w:tcPr>
            <w:tcW w:w="2112" w:type="dxa"/>
            <w:vAlign w:val="center"/>
          </w:tcPr>
          <w:p>
            <w:pPr>
              <w:autoSpaceDE w:val="0"/>
              <w:autoSpaceDN w:val="0"/>
              <w:adjustRightInd w:val="0"/>
              <w:snapToGrid w:val="0"/>
              <w:jc w:val="center"/>
              <w:rPr>
                <w:rFonts w:ascii="宋体" w:hAnsi="宋体"/>
                <w:color w:val="auto"/>
                <w:sz w:val="21"/>
                <w:szCs w:val="21"/>
                <w:lang w:val="zh-CN"/>
              </w:rPr>
            </w:pPr>
            <w:r>
              <w:rPr>
                <w:rFonts w:ascii="宋体" w:hAnsi="宋体"/>
                <w:color w:val="auto"/>
                <w:sz w:val="21"/>
                <w:szCs w:val="21"/>
                <w:lang w:val="zh-CN"/>
              </w:rPr>
              <w:t>技术负责人</w:t>
            </w:r>
          </w:p>
        </w:tc>
        <w:tc>
          <w:tcPr>
            <w:tcW w:w="720" w:type="dxa"/>
            <w:vAlign w:val="center"/>
          </w:tcPr>
          <w:p>
            <w:pPr>
              <w:autoSpaceDE w:val="0"/>
              <w:autoSpaceDN w:val="0"/>
              <w:adjustRightInd w:val="0"/>
              <w:snapToGrid w:val="0"/>
              <w:jc w:val="center"/>
              <w:rPr>
                <w:rFonts w:ascii="宋体" w:hAnsi="宋体"/>
                <w:color w:val="auto"/>
                <w:sz w:val="21"/>
                <w:szCs w:val="21"/>
                <w:lang w:val="zh-CN"/>
              </w:rPr>
            </w:pPr>
            <w:r>
              <w:rPr>
                <w:rFonts w:hint="eastAsia" w:ascii="宋体" w:hAnsi="宋体"/>
                <w:color w:val="auto"/>
                <w:sz w:val="21"/>
                <w:szCs w:val="21"/>
              </w:rPr>
              <w:t>2</w:t>
            </w:r>
          </w:p>
        </w:tc>
        <w:tc>
          <w:tcPr>
            <w:tcW w:w="4968" w:type="dxa"/>
            <w:tcBorders>
              <w:bottom w:val="single" w:color="auto" w:sz="4" w:space="0"/>
            </w:tcBorders>
            <w:vAlign w:val="center"/>
          </w:tcPr>
          <w:p>
            <w:pPr>
              <w:rPr>
                <w:rFonts w:ascii="宋体" w:hAnsi="宋体"/>
                <w:color w:val="auto"/>
                <w:sz w:val="21"/>
                <w:szCs w:val="21"/>
                <w:lang w:val="zh-CN"/>
              </w:rPr>
            </w:pPr>
            <w:r>
              <w:rPr>
                <w:rFonts w:ascii="宋体" w:hAnsi="宋体"/>
                <w:color w:val="auto"/>
                <w:sz w:val="21"/>
                <w:szCs w:val="21"/>
                <w:lang w:val="zh-CN"/>
              </w:rPr>
              <w:t>具有</w:t>
            </w:r>
            <w:r>
              <w:rPr>
                <w:rFonts w:hint="eastAsia" w:ascii="宋体" w:hAnsi="宋体"/>
                <w:color w:val="auto"/>
                <w:sz w:val="21"/>
                <w:szCs w:val="21"/>
                <w:lang w:val="zh-CN"/>
              </w:rPr>
              <w:t>水利水电相关专业高</w:t>
            </w:r>
            <w:r>
              <w:rPr>
                <w:rFonts w:ascii="宋体" w:hAnsi="宋体"/>
                <w:color w:val="auto"/>
                <w:sz w:val="21"/>
                <w:szCs w:val="21"/>
                <w:lang w:val="zh-CN"/>
              </w:rPr>
              <w:t>级职称的</w:t>
            </w:r>
            <w:r>
              <w:rPr>
                <w:rFonts w:hint="eastAsia" w:ascii="宋体" w:hAnsi="宋体"/>
                <w:color w:val="auto"/>
                <w:sz w:val="21"/>
                <w:szCs w:val="21"/>
                <w:lang w:val="zh-CN"/>
              </w:rPr>
              <w:t>得</w:t>
            </w:r>
            <w:r>
              <w:rPr>
                <w:rFonts w:hint="eastAsia" w:ascii="宋体" w:hAnsi="宋体"/>
                <w:color w:val="auto"/>
                <w:sz w:val="21"/>
                <w:szCs w:val="21"/>
              </w:rPr>
              <w:t>2</w:t>
            </w:r>
            <w:r>
              <w:rPr>
                <w:rFonts w:ascii="宋体" w:hAnsi="宋体"/>
                <w:color w:val="auto"/>
                <w:sz w:val="21"/>
                <w:szCs w:val="21"/>
                <w:lang w:val="zh-CN"/>
              </w:rPr>
              <w:t>分</w:t>
            </w:r>
            <w:r>
              <w:rPr>
                <w:rFonts w:hint="eastAsia" w:ascii="宋体" w:hAnsi="宋体"/>
                <w:color w:val="auto"/>
                <w:sz w:val="21"/>
                <w:szCs w:val="21"/>
                <w:lang w:val="zh-CN"/>
              </w:rPr>
              <w:t>。</w:t>
            </w:r>
            <w:r>
              <w:rPr>
                <w:rFonts w:hint="eastAsia" w:ascii="宋体" w:hAnsi="宋体"/>
                <w:b/>
                <w:color w:val="auto"/>
                <w:sz w:val="21"/>
                <w:szCs w:val="21"/>
                <w:lang w:val="zh-CN"/>
              </w:rPr>
              <w:t>（以证书为准）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520" w:hRule="atLeast"/>
        </w:trPr>
        <w:tc>
          <w:tcPr>
            <w:tcW w:w="874" w:type="dxa"/>
            <w:vAlign w:val="center"/>
          </w:tcPr>
          <w:p>
            <w:pPr>
              <w:autoSpaceDE w:val="0"/>
              <w:autoSpaceDN w:val="0"/>
              <w:adjustRightInd w:val="0"/>
              <w:snapToGrid w:val="0"/>
              <w:jc w:val="center"/>
              <w:rPr>
                <w:rFonts w:asciiTheme="minorEastAsia" w:hAnsiTheme="minorEastAsia" w:eastAsiaTheme="minorEastAsia" w:cstheme="minorEastAsia"/>
                <w:color w:val="auto"/>
                <w:sz w:val="21"/>
                <w:szCs w:val="21"/>
              </w:rPr>
            </w:pPr>
          </w:p>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 (3)</w:t>
            </w:r>
          </w:p>
        </w:tc>
        <w:tc>
          <w:tcPr>
            <w:tcW w:w="559" w:type="dxa"/>
            <w:vAlign w:val="center"/>
          </w:tcPr>
          <w:p>
            <w:pPr>
              <w:autoSpaceDE w:val="0"/>
              <w:autoSpaceDN w:val="0"/>
              <w:adjustRightInd w:val="0"/>
              <w:snapToGrid w:val="0"/>
              <w:jc w:val="center"/>
              <w:rPr>
                <w:rFonts w:hint="eastAsia" w:ascii="宋体" w:hAnsi="宋体"/>
                <w:color w:val="auto"/>
                <w:sz w:val="21"/>
                <w:szCs w:val="21"/>
              </w:rPr>
            </w:pPr>
            <w:r>
              <w:rPr>
                <w:rFonts w:hint="eastAsia" w:ascii="宋体" w:hAnsi="宋体"/>
                <w:color w:val="auto"/>
                <w:sz w:val="21"/>
                <w:szCs w:val="21"/>
              </w:rPr>
              <w:t>C</w:t>
            </w:r>
          </w:p>
          <w:p>
            <w:pPr>
              <w:autoSpaceDE w:val="0"/>
              <w:autoSpaceDN w:val="0"/>
              <w:adjustRightInd w:val="0"/>
              <w:snapToGrid w:val="0"/>
              <w:jc w:val="center"/>
              <w:rPr>
                <w:rFonts w:ascii="宋体" w:hAnsi="宋体"/>
                <w:color w:val="auto"/>
                <w:sz w:val="21"/>
                <w:szCs w:val="21"/>
              </w:rPr>
            </w:pPr>
            <w:r>
              <w:rPr>
                <w:rFonts w:hint="eastAsia" w:ascii="宋体" w:hAnsi="宋体"/>
                <w:color w:val="auto"/>
                <w:sz w:val="21"/>
                <w:szCs w:val="21"/>
              </w:rPr>
              <w:t>投标报价</w:t>
            </w:r>
          </w:p>
          <w:p>
            <w:pPr>
              <w:autoSpaceDE w:val="0"/>
              <w:autoSpaceDN w:val="0"/>
              <w:adjustRightInd w:val="0"/>
              <w:snapToGrid w:val="0"/>
              <w:jc w:val="center"/>
              <w:rPr>
                <w:rFonts w:ascii="宋体" w:hAnsi="宋体"/>
                <w:color w:val="auto"/>
                <w:sz w:val="21"/>
                <w:szCs w:val="21"/>
              </w:rPr>
            </w:pPr>
            <w:r>
              <w:rPr>
                <w:rFonts w:hint="eastAsia" w:ascii="宋体" w:hAnsi="宋体"/>
                <w:color w:val="auto"/>
                <w:sz w:val="21"/>
                <w:szCs w:val="21"/>
              </w:rPr>
              <w:t>︵</w:t>
            </w:r>
          </w:p>
          <w:p>
            <w:pPr>
              <w:autoSpaceDE w:val="0"/>
              <w:autoSpaceDN w:val="0"/>
              <w:adjustRightInd w:val="0"/>
              <w:snapToGrid w:val="0"/>
              <w:jc w:val="center"/>
              <w:rPr>
                <w:rFonts w:ascii="宋体" w:hAnsi="宋体"/>
                <w:color w:val="auto"/>
                <w:sz w:val="21"/>
                <w:szCs w:val="21"/>
              </w:rPr>
            </w:pPr>
            <w:r>
              <w:rPr>
                <w:rFonts w:hint="eastAsia" w:ascii="宋体" w:hAnsi="宋体"/>
                <w:color w:val="auto"/>
                <w:sz w:val="21"/>
                <w:szCs w:val="21"/>
              </w:rPr>
              <w:t>40</w:t>
            </w:r>
          </w:p>
          <w:p>
            <w:pPr>
              <w:autoSpaceDE w:val="0"/>
              <w:autoSpaceDN w:val="0"/>
              <w:adjustRightInd w:val="0"/>
              <w:snapToGrid w:val="0"/>
              <w:jc w:val="center"/>
              <w:rPr>
                <w:rFonts w:ascii="宋体" w:hAnsi="宋体"/>
                <w:color w:val="auto"/>
                <w:sz w:val="21"/>
                <w:szCs w:val="21"/>
              </w:rPr>
            </w:pPr>
            <w:r>
              <w:rPr>
                <w:rFonts w:hint="eastAsia" w:ascii="宋体" w:hAnsi="宋体"/>
                <w:color w:val="auto"/>
                <w:sz w:val="21"/>
                <w:szCs w:val="21"/>
              </w:rPr>
              <w:t>分</w:t>
            </w:r>
          </w:p>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宋体" w:hAnsi="宋体"/>
                <w:color w:val="auto"/>
                <w:sz w:val="21"/>
                <w:szCs w:val="21"/>
              </w:rPr>
              <w:t>︶</w:t>
            </w: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Cs/>
                <w:color w:val="auto"/>
                <w:sz w:val="21"/>
                <w:szCs w:val="21"/>
                <w:lang w:val="zh-CN"/>
              </w:rPr>
              <w:t>投标总报价</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40</w:t>
            </w:r>
          </w:p>
        </w:tc>
        <w:tc>
          <w:tcPr>
            <w:tcW w:w="4968" w:type="dxa"/>
            <w:vAlign w:val="center"/>
          </w:tcPr>
          <w:p>
            <w:pPr>
              <w:autoSpaceDE w:val="0"/>
              <w:autoSpaceDN w:val="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投标人的投标报价与评标基准价相等时得40分，每高于评标基准价1%扣2分；每低于评标基准价1%扣1分。直至分数扣完为止。</w:t>
            </w:r>
          </w:p>
          <w:p>
            <w:pPr>
              <w:autoSpaceDE w:val="0"/>
              <w:autoSpaceDN w:val="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   投标报价计算结果保留两位小数，小数点后第三位四舍五入。</w:t>
            </w:r>
          </w:p>
          <w:p>
            <w:pPr>
              <w:autoSpaceDE w:val="0"/>
              <w:autoSpaceDN w:val="0"/>
              <w:contextualSpacing/>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（注：评标基准价的计算方法详见评标办法前附表）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915" w:hRule="atLeast"/>
        </w:trPr>
        <w:tc>
          <w:tcPr>
            <w:tcW w:w="874"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 (4)</w:t>
            </w:r>
          </w:p>
        </w:tc>
        <w:tc>
          <w:tcPr>
            <w:tcW w:w="559"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r>
              <w:rPr>
                <w:rFonts w:hint="eastAsia" w:ascii="宋体" w:hAnsi="宋体"/>
                <w:color w:val="auto"/>
                <w:sz w:val="21"/>
                <w:szCs w:val="21"/>
              </w:rPr>
              <w:t>信用等级(5分)</w:t>
            </w:r>
          </w:p>
        </w:tc>
        <w:tc>
          <w:tcPr>
            <w:tcW w:w="425" w:type="dxa"/>
            <w:tcBorders>
              <w:top w:val="single" w:color="auto" w:sz="4" w:space="0"/>
            </w:tcBorders>
            <w:vAlign w:val="center"/>
          </w:tcPr>
          <w:p>
            <w:pPr>
              <w:autoSpaceDE w:val="0"/>
              <w:autoSpaceDN w:val="0"/>
              <w:ind w:left="105" w:leftChars="50"/>
              <w:contextualSpacing/>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2112"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宋体" w:hAnsi="宋体" w:cs="宋体"/>
                <w:color w:val="auto"/>
                <w:kern w:val="1"/>
                <w:sz w:val="21"/>
                <w:szCs w:val="21"/>
              </w:rPr>
              <w:t>投标人信用等级</w:t>
            </w:r>
          </w:p>
        </w:tc>
        <w:tc>
          <w:tcPr>
            <w:tcW w:w="720"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4968" w:type="dxa"/>
            <w:tcBorders>
              <w:top w:val="single" w:color="auto" w:sz="4" w:space="0"/>
            </w:tcBorders>
            <w:vAlign w:val="center"/>
          </w:tcPr>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投标人信用等级的权重:信用等级经水利部评定且在有效期内，并以全国水利建设市场监管服务平台公开的为准。信用等级分值或权重：AAA级为5分，AA级为4分，A级为3分，BBB级为1分，CCC级为0。</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（一）投标人在全国水利建设市场信用信息管理系统已建立信用档案，没有信用等级的，其信用等级视为BBB级；未建立信用档案的视为CCC级。</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（二）投标人近两年内存在且被发现有下列严重失信行为的，信用等级视为CCC级：</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1.出借、借用资质证书进行投标或承接工程的；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2.围标、串标的；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3.转包或违法分包所承揽工程的；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4.有行贿、受贿违法记录的；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5.对重(特)大质量事故、生产安全事故负有直接责任的；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6.公开信息隐瞒真实情况、弄虚作假的;</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7.拖欠农民工工资数额较大或造成严重不良影响的;</w:t>
            </w:r>
          </w:p>
          <w:p>
            <w:pPr>
              <w:autoSpaceDE w:val="0"/>
              <w:autoSpaceDN w:val="0"/>
              <w:contextualSpacing/>
              <w:rPr>
                <w:rFonts w:asciiTheme="minorEastAsia" w:hAnsiTheme="minorEastAsia" w:eastAsiaTheme="minorEastAsia" w:cstheme="minorEastAsia"/>
                <w:color w:val="auto"/>
                <w:sz w:val="21"/>
                <w:szCs w:val="21"/>
                <w:lang w:val="zh-CN"/>
              </w:rPr>
            </w:pPr>
            <w:r>
              <w:rPr>
                <w:rFonts w:hint="eastAsia" w:ascii="宋体" w:hAnsi="宋体" w:cs="宋体"/>
                <w:color w:val="auto"/>
                <w:kern w:val="1"/>
                <w:sz w:val="21"/>
                <w:szCs w:val="21"/>
              </w:rPr>
              <w:t>8.国家和省有关法律法规规定的其他情形。</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037" w:hRule="atLeast"/>
        </w:trPr>
        <w:tc>
          <w:tcPr>
            <w:tcW w:w="874" w:type="dxa"/>
            <w:vMerge w:val="restart"/>
            <w:vAlign w:val="center"/>
          </w:tcPr>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 (5)</w:t>
            </w:r>
          </w:p>
          <w:p>
            <w:pPr>
              <w:keepNext/>
              <w:keepLines/>
              <w:autoSpaceDE w:val="0"/>
              <w:autoSpaceDN w:val="0"/>
              <w:adjustRightInd w:val="0"/>
              <w:snapToGrid w:val="0"/>
              <w:jc w:val="center"/>
              <w:outlineLvl w:val="2"/>
              <w:rPr>
                <w:rFonts w:asciiTheme="minorEastAsia" w:hAnsiTheme="minorEastAsia" w:eastAsiaTheme="minorEastAsia" w:cstheme="minorEastAsia"/>
                <w:color w:val="auto"/>
                <w:sz w:val="21"/>
                <w:szCs w:val="21"/>
              </w:rPr>
            </w:pPr>
          </w:p>
        </w:tc>
        <w:tc>
          <w:tcPr>
            <w:tcW w:w="559" w:type="dxa"/>
            <w:vMerge w:val="restart"/>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其它评分因素</w:t>
            </w:r>
          </w:p>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p>
            <w:pPr>
              <w:autoSpaceDE w:val="0"/>
              <w:autoSpaceDN w:val="0"/>
              <w:adjustRightInd w:val="0"/>
              <w:snapToGrid w:val="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w:t>
            </w:r>
          </w:p>
          <w:p>
            <w:pPr>
              <w:keepNext/>
              <w:keepLines/>
              <w:autoSpaceDE w:val="0"/>
              <w:autoSpaceDN w:val="0"/>
              <w:adjustRightInd w:val="0"/>
              <w:snapToGrid w:val="0"/>
              <w:jc w:val="center"/>
              <w:outlineLvl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425" w:type="dxa"/>
            <w:vAlign w:val="center"/>
          </w:tcPr>
          <w:p>
            <w:pPr>
              <w:autoSpaceDE w:val="0"/>
              <w:autoSpaceDN w:val="0"/>
              <w:ind w:left="105" w:leftChars="50"/>
              <w:contextualSpacing/>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201</w:t>
            </w: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zh-CN"/>
              </w:rPr>
              <w:t>年1月1日以来的类似工程经历</w:t>
            </w:r>
          </w:p>
        </w:tc>
        <w:tc>
          <w:tcPr>
            <w:tcW w:w="720" w:type="dxa"/>
            <w:vAlign w:val="center"/>
          </w:tcPr>
          <w:p>
            <w:pPr>
              <w:autoSpaceDE w:val="0"/>
              <w:autoSpaceDN w:val="0"/>
              <w:ind w:left="105" w:leftChars="50"/>
              <w:contextualSpacing/>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6</w:t>
            </w:r>
          </w:p>
        </w:tc>
        <w:tc>
          <w:tcPr>
            <w:tcW w:w="4968" w:type="dxa"/>
            <w:vAlign w:val="center"/>
          </w:tcPr>
          <w:p>
            <w:pPr>
              <w:autoSpaceDE w:val="0"/>
              <w:autoSpaceDN w:val="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201</w:t>
            </w: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zh-CN"/>
              </w:rPr>
              <w:t>年1月1日以来承建过类似工程</w:t>
            </w:r>
            <w:r>
              <w:rPr>
                <w:rFonts w:hint="eastAsia" w:asciiTheme="minorEastAsia" w:hAnsiTheme="minorEastAsia" w:eastAsiaTheme="minorEastAsia" w:cstheme="minorEastAsia"/>
                <w:color w:val="auto"/>
                <w:sz w:val="21"/>
                <w:szCs w:val="21"/>
              </w:rPr>
              <w:t>（以签订合同时间为准）</w:t>
            </w:r>
            <w:r>
              <w:rPr>
                <w:rFonts w:hint="eastAsia" w:asciiTheme="minorEastAsia" w:hAnsiTheme="minorEastAsia" w:eastAsiaTheme="minorEastAsia" w:cstheme="minorEastAsia"/>
                <w:color w:val="auto"/>
                <w:sz w:val="21"/>
                <w:szCs w:val="21"/>
                <w:lang w:val="zh-CN"/>
              </w:rPr>
              <w:t>每项得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rPr>
              <w:t>分，本项最高得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val="zh-CN"/>
              </w:rPr>
              <w:t>分。</w:t>
            </w:r>
          </w:p>
          <w:p>
            <w:pPr>
              <w:autoSpaceDE w:val="0"/>
              <w:autoSpaceDN w:val="0"/>
              <w:contextualSpacing/>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以【法定媒介中标（成交）公示网页截图】和【</w:t>
            </w:r>
            <w:r>
              <w:rPr>
                <w:rFonts w:hint="eastAsia" w:ascii="宋体" w:hAnsi="宋体"/>
                <w:b/>
                <w:color w:val="auto"/>
                <w:sz w:val="21"/>
                <w:szCs w:val="21"/>
                <w:lang w:val="zh-CN"/>
              </w:rPr>
              <w:t>合同协议书</w:t>
            </w:r>
            <w:r>
              <w:rPr>
                <w:rFonts w:hint="eastAsia" w:asciiTheme="minorEastAsia" w:hAnsiTheme="minorEastAsia" w:eastAsiaTheme="minorEastAsia" w:cstheme="minorEastAsia"/>
                <w:b/>
                <w:bCs/>
                <w:color w:val="auto"/>
                <w:sz w:val="21"/>
                <w:szCs w:val="21"/>
                <w:lang w:val="zh-CN"/>
              </w:rPr>
              <w:t>】和【中标通知书或竣工验收备案登记表】为准。本项与项目负责人业绩不重复计分，</w:t>
            </w:r>
            <w:r>
              <w:rPr>
                <w:rFonts w:hint="eastAsia" w:asciiTheme="minorEastAsia" w:hAnsiTheme="minorEastAsia" w:eastAsiaTheme="minorEastAsia" w:cstheme="minorEastAsia"/>
                <w:b/>
                <w:bCs/>
                <w:color w:val="auto"/>
                <w:sz w:val="21"/>
                <w:szCs w:val="21"/>
                <w:lang w:val="zh-CN" w:eastAsia="zh-CN"/>
              </w:rPr>
              <w:t>以高分项计分</w:t>
            </w:r>
            <w:r>
              <w:rPr>
                <w:rFonts w:hint="eastAsia" w:asciiTheme="minorEastAsia" w:hAnsiTheme="minorEastAsia" w:eastAsiaTheme="minorEastAsia" w:cstheme="minorEastAsia"/>
                <w:b/>
                <w:bCs/>
                <w:color w:val="auto"/>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45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p>
        </w:tc>
        <w:tc>
          <w:tcPr>
            <w:tcW w:w="425" w:type="dxa"/>
            <w:vAlign w:val="center"/>
          </w:tcPr>
          <w:p>
            <w:pPr>
              <w:autoSpaceDE w:val="0"/>
              <w:autoSpaceDN w:val="0"/>
              <w:ind w:left="105" w:leftChars="50"/>
              <w:contextualSpacing/>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color w:val="auto"/>
                <w:sz w:val="21"/>
                <w:szCs w:val="21"/>
                <w:lang w:val="zh-CN"/>
              </w:rPr>
            </w:pPr>
            <w:r>
              <w:rPr>
                <w:rFonts w:hint="eastAsia" w:asciiTheme="minorEastAsia" w:hAnsiTheme="minorEastAsia" w:eastAsiaTheme="minorEastAsia" w:cstheme="minorEastAsia"/>
                <w:color w:val="auto"/>
                <w:sz w:val="21"/>
                <w:szCs w:val="21"/>
                <w:lang w:val="zh-CN"/>
              </w:rPr>
              <w:t>近三年财务状况</w:t>
            </w:r>
          </w:p>
        </w:tc>
        <w:tc>
          <w:tcPr>
            <w:tcW w:w="720" w:type="dxa"/>
            <w:vAlign w:val="center"/>
          </w:tcPr>
          <w:p>
            <w:pPr>
              <w:autoSpaceDE w:val="0"/>
              <w:autoSpaceDN w:val="0"/>
              <w:ind w:left="105" w:leftChars="50"/>
              <w:contextualSpacing/>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1</w:t>
            </w:r>
          </w:p>
        </w:tc>
        <w:tc>
          <w:tcPr>
            <w:tcW w:w="4968" w:type="dxa"/>
            <w:vAlign w:val="center"/>
          </w:tcPr>
          <w:p>
            <w:pPr>
              <w:autoSpaceDE w:val="0"/>
              <w:autoSpaceDN w:val="0"/>
              <w:contextualSpacing/>
              <w:rPr>
                <w:rFonts w:asciiTheme="minorEastAsia" w:hAnsiTheme="minorEastAsia" w:eastAsiaTheme="minorEastAsia" w:cstheme="minorEastAsia"/>
                <w:i/>
                <w:color w:val="auto"/>
                <w:sz w:val="21"/>
                <w:szCs w:val="21"/>
                <w:lang w:val="zh-CN"/>
              </w:rPr>
            </w:pPr>
            <w:r>
              <w:rPr>
                <w:rFonts w:hint="eastAsia" w:asciiTheme="minorEastAsia" w:hAnsiTheme="minorEastAsia" w:eastAsiaTheme="minorEastAsia" w:cstheme="minorEastAsia"/>
                <w:color w:val="auto"/>
                <w:sz w:val="21"/>
                <w:szCs w:val="21"/>
              </w:rPr>
              <w:t>201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年度、201</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年度、201</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年度财务状况，一年盈利得</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分，持平亏损不得分，</w:t>
            </w:r>
            <w:r>
              <w:rPr>
                <w:rFonts w:hint="eastAsia" w:asciiTheme="minorEastAsia" w:hAnsiTheme="minorEastAsia" w:eastAsiaTheme="minorEastAsia" w:cstheme="minorEastAsia"/>
                <w:color w:val="auto"/>
                <w:sz w:val="21"/>
                <w:szCs w:val="21"/>
                <w:lang w:eastAsia="zh-CN"/>
              </w:rPr>
              <w:t>三个年度均盈利得</w:t>
            </w:r>
            <w:r>
              <w:rPr>
                <w:rFonts w:hint="eastAsia" w:asciiTheme="minorEastAsia" w:hAnsiTheme="minorEastAsia" w:eastAsiaTheme="minorEastAsia" w:cstheme="minorEastAsia"/>
                <w:color w:val="auto"/>
                <w:sz w:val="21"/>
                <w:szCs w:val="21"/>
                <w:lang w:val="en-US" w:eastAsia="zh-CN"/>
              </w:rPr>
              <w:t>1分，</w:t>
            </w:r>
            <w:r>
              <w:rPr>
                <w:rFonts w:hint="eastAsia" w:asciiTheme="minorEastAsia" w:hAnsiTheme="minorEastAsia" w:eastAsiaTheme="minorEastAsia" w:cstheme="minorEastAsia"/>
                <w:color w:val="auto"/>
                <w:sz w:val="21"/>
                <w:szCs w:val="21"/>
              </w:rPr>
              <w:t>本项最高得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b/>
                <w:color w:val="auto"/>
                <w:sz w:val="21"/>
                <w:szCs w:val="21"/>
                <w:lang w:val="zh-CN"/>
              </w:rPr>
              <w:t>（以相应年份的财务审计报告为准）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45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color w:val="auto"/>
                <w:sz w:val="21"/>
                <w:szCs w:val="21"/>
              </w:rPr>
            </w:pPr>
          </w:p>
        </w:tc>
        <w:tc>
          <w:tcPr>
            <w:tcW w:w="425" w:type="dxa"/>
            <w:vAlign w:val="center"/>
          </w:tcPr>
          <w:p>
            <w:pPr>
              <w:autoSpaceDE w:val="0"/>
              <w:autoSpaceDN w:val="0"/>
              <w:ind w:left="105" w:leftChars="50"/>
              <w:contextualSpacing/>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2112" w:type="dxa"/>
            <w:vAlign w:val="center"/>
          </w:tcPr>
          <w:p>
            <w:pPr>
              <w:autoSpaceDE w:val="0"/>
              <w:autoSpaceDN w:val="0"/>
              <w:ind w:left="105" w:leftChars="50"/>
              <w:contextualSpacing/>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守合同重信用</w:t>
            </w:r>
          </w:p>
        </w:tc>
        <w:tc>
          <w:tcPr>
            <w:tcW w:w="720" w:type="dxa"/>
            <w:vAlign w:val="center"/>
          </w:tcPr>
          <w:p>
            <w:pPr>
              <w:autoSpaceDE w:val="0"/>
              <w:autoSpaceDN w:val="0"/>
              <w:ind w:left="105" w:leftChars="50"/>
              <w:contextualSpacing/>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968" w:type="dxa"/>
            <w:vAlign w:val="center"/>
          </w:tcPr>
          <w:p>
            <w:pPr>
              <w:autoSpaceDE w:val="0"/>
              <w:autoSpaceDN w:val="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lang w:val="zh-CN"/>
              </w:rPr>
              <w:t>在2016年1月1日以来（以颁奖时间为准）获得河南省工商行政管理局（河南省市场监督管理局）颁发的“守合同重信用”称号的得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rPr>
              <w:t>分。（以获奖证书和奖励文件及全国水利建设市场监管服务平台公开的为准）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合计</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A+B+C+D</w:t>
            </w:r>
            <w:r>
              <w:rPr>
                <w:rFonts w:hint="eastAsia" w:asciiTheme="minorEastAsia" w:hAnsiTheme="minorEastAsia" w:eastAsiaTheme="minorEastAsia" w:cstheme="minorEastAsia"/>
                <w:color w:val="auto"/>
                <w:sz w:val="21"/>
                <w:szCs w:val="21"/>
              </w:rPr>
              <w:t>+E</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100</w:t>
            </w:r>
          </w:p>
        </w:tc>
        <w:tc>
          <w:tcPr>
            <w:tcW w:w="4968" w:type="dxa"/>
            <w:vAlign w:val="center"/>
          </w:tcPr>
          <w:p>
            <w:pPr>
              <w:autoSpaceDE w:val="0"/>
              <w:autoSpaceDN w:val="0"/>
              <w:ind w:left="105" w:leftChars="50" w:firstLine="42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277" w:hRule="atLeast"/>
        </w:trPr>
        <w:tc>
          <w:tcPr>
            <w:tcW w:w="1858" w:type="dxa"/>
            <w:gridSpan w:val="3"/>
            <w:vAlign w:val="center"/>
          </w:tcPr>
          <w:p>
            <w:pPr>
              <w:spacing w:line="312" w:lineRule="auto"/>
              <w:jc w:val="center"/>
              <w:rPr>
                <w:rFonts w:asciiTheme="minorEastAsia" w:hAnsiTheme="minorEastAsia" w:eastAsiaTheme="minorEastAsia" w:cstheme="minorEastAsia"/>
                <w:color w:val="auto"/>
                <w:sz w:val="21"/>
                <w:szCs w:val="21"/>
                <w:lang w:val="zh-CN"/>
              </w:rPr>
            </w:pPr>
            <w:r>
              <w:rPr>
                <w:rFonts w:ascii="宋体" w:hAnsi="宋体"/>
                <w:b/>
                <w:color w:val="auto"/>
                <w:sz w:val="21"/>
                <w:szCs w:val="21"/>
              </w:rPr>
              <w:t>条款号</w:t>
            </w:r>
          </w:p>
        </w:tc>
        <w:tc>
          <w:tcPr>
            <w:tcW w:w="2112" w:type="dxa"/>
            <w:vAlign w:val="center"/>
          </w:tcPr>
          <w:p>
            <w:pPr>
              <w:spacing w:line="312" w:lineRule="auto"/>
              <w:jc w:val="center"/>
              <w:rPr>
                <w:rFonts w:asciiTheme="minorEastAsia" w:hAnsiTheme="minorEastAsia" w:eastAsiaTheme="minorEastAsia" w:cstheme="minorEastAsia"/>
                <w:color w:val="auto"/>
                <w:sz w:val="21"/>
                <w:szCs w:val="21"/>
                <w:lang w:val="zh-CN"/>
              </w:rPr>
            </w:pPr>
            <w:r>
              <w:rPr>
                <w:rFonts w:hint="eastAsia" w:ascii="宋体" w:hAnsi="宋体"/>
                <w:b/>
                <w:color w:val="auto"/>
                <w:sz w:val="21"/>
                <w:szCs w:val="21"/>
              </w:rPr>
              <w:t>评分因素</w:t>
            </w:r>
          </w:p>
        </w:tc>
        <w:tc>
          <w:tcPr>
            <w:tcW w:w="5688" w:type="dxa"/>
            <w:gridSpan w:val="2"/>
            <w:vAlign w:val="center"/>
          </w:tcPr>
          <w:p>
            <w:pPr>
              <w:autoSpaceDE w:val="0"/>
              <w:autoSpaceDN w:val="0"/>
              <w:ind w:left="105" w:leftChars="50" w:firstLine="420"/>
              <w:contextualSpacing/>
              <w:jc w:val="center"/>
              <w:rPr>
                <w:rFonts w:asciiTheme="minorEastAsia" w:hAnsiTheme="minorEastAsia" w:eastAsiaTheme="minorEastAsia" w:cstheme="minorEastAsia"/>
                <w:color w:val="auto"/>
                <w:sz w:val="21"/>
                <w:szCs w:val="21"/>
                <w:lang w:val="zh-CN"/>
              </w:rPr>
            </w:pPr>
            <w:r>
              <w:rPr>
                <w:rFonts w:hint="eastAsia" w:ascii="宋体" w:hAnsi="宋体"/>
                <w:b/>
                <w:color w:val="auto"/>
                <w:sz w:val="21"/>
                <w:szCs w:val="21"/>
              </w:rPr>
              <w:t>评审标准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ascii="宋体" w:hAnsi="宋体" w:cs="宋体"/>
                <w:color w:val="auto"/>
                <w:kern w:val="1"/>
                <w:sz w:val="21"/>
                <w:szCs w:val="21"/>
              </w:rPr>
              <w:t>投标人获奖</w:t>
            </w:r>
          </w:p>
        </w:tc>
        <w:tc>
          <w:tcPr>
            <w:tcW w:w="5688" w:type="dxa"/>
            <w:gridSpan w:val="2"/>
            <w:vAlign w:val="center"/>
          </w:tcPr>
          <w:p>
            <w:pPr>
              <w:tabs>
                <w:tab w:val="left" w:pos="1080"/>
              </w:tabs>
              <w:spacing w:line="276" w:lineRule="auto"/>
              <w:ind w:right="128" w:rightChars="61"/>
              <w:rPr>
                <w:rFonts w:ascii="宋体" w:hAnsi="宋体" w:cs="宋体"/>
                <w:color w:val="auto"/>
                <w:kern w:val="1"/>
                <w:sz w:val="21"/>
                <w:szCs w:val="21"/>
              </w:rPr>
            </w:pPr>
            <w:r>
              <w:rPr>
                <w:rFonts w:hint="eastAsia" w:ascii="宋体" w:hAnsi="宋体" w:cs="宋体"/>
                <w:color w:val="auto"/>
                <w:kern w:val="1"/>
                <w:szCs w:val="21"/>
              </w:rPr>
              <w:t>以下情形为奖励分值，累计不超过5分：</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1.承建的水利工程</w:t>
            </w:r>
            <w:r>
              <w:rPr>
                <w:rFonts w:hint="eastAsia" w:asciiTheme="minorEastAsia" w:hAnsiTheme="minorEastAsia" w:eastAsiaTheme="minorEastAsia" w:cstheme="minorEastAsia"/>
                <w:color w:val="auto"/>
                <w:szCs w:val="21"/>
                <w:lang w:val="zh-CN"/>
              </w:rPr>
              <w:t>201</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zh-CN"/>
              </w:rPr>
              <w:t>年1月1日以来</w:t>
            </w:r>
            <w:r>
              <w:rPr>
                <w:rFonts w:hint="eastAsia" w:ascii="宋体" w:hAnsi="宋体" w:cs="宋体"/>
                <w:color w:val="auto"/>
                <w:kern w:val="1"/>
                <w:sz w:val="21"/>
                <w:szCs w:val="21"/>
              </w:rPr>
              <w:t>获得省级以上（含省级）行政主管部门或其精神文明指导委员会颁发的“文明工地”称号的，每项加0.5分，最多不超过1分；</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2.承建的水利工程</w:t>
            </w:r>
            <w:r>
              <w:rPr>
                <w:rFonts w:hint="eastAsia" w:asciiTheme="minorEastAsia" w:hAnsiTheme="minorEastAsia" w:eastAsiaTheme="minorEastAsia" w:cstheme="minorEastAsia"/>
                <w:color w:val="auto"/>
                <w:szCs w:val="21"/>
                <w:lang w:val="zh-CN"/>
              </w:rPr>
              <w:t>201</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zh-CN"/>
              </w:rPr>
              <w:t>年1月1日以来</w:t>
            </w:r>
            <w:r>
              <w:rPr>
                <w:rFonts w:hint="eastAsia" w:ascii="宋体" w:hAnsi="宋体" w:cs="宋体"/>
                <w:color w:val="auto"/>
                <w:kern w:val="1"/>
                <w:sz w:val="21"/>
                <w:szCs w:val="21"/>
              </w:rPr>
              <w:t>获得省级行政主管部门颁发的“优质工程”或“优秀施工”的，加1分，最多不超过1分；</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3.承建的水利工程</w:t>
            </w:r>
            <w:r>
              <w:rPr>
                <w:rFonts w:hint="eastAsia" w:asciiTheme="minorEastAsia" w:hAnsiTheme="minorEastAsia" w:eastAsiaTheme="minorEastAsia" w:cstheme="minorEastAsia"/>
                <w:color w:val="auto"/>
                <w:szCs w:val="21"/>
                <w:lang w:val="zh-CN"/>
              </w:rPr>
              <w:t>201</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zh-CN"/>
              </w:rPr>
              <w:t>年1月1日以来</w:t>
            </w:r>
            <w:r>
              <w:rPr>
                <w:rFonts w:hint="eastAsia" w:ascii="宋体" w:hAnsi="宋体" w:cs="宋体"/>
                <w:color w:val="auto"/>
                <w:kern w:val="1"/>
                <w:sz w:val="21"/>
                <w:szCs w:val="21"/>
              </w:rPr>
              <w:t>获得“大禹奖”或“鲁班奖”的，加2分，最多不超过2分；</w:t>
            </w:r>
          </w:p>
          <w:p>
            <w:pPr>
              <w:tabs>
                <w:tab w:val="left" w:pos="1080"/>
              </w:tabs>
              <w:spacing w:line="276" w:lineRule="auto"/>
              <w:rPr>
                <w:rFonts w:ascii="宋体" w:hAnsi="宋体" w:cs="宋体"/>
                <w:color w:val="auto"/>
                <w:kern w:val="1"/>
                <w:sz w:val="21"/>
                <w:szCs w:val="21"/>
              </w:rPr>
            </w:pPr>
            <w:r>
              <w:rPr>
                <w:rFonts w:hint="eastAsia" w:ascii="宋体" w:hAnsi="宋体" w:cs="宋体"/>
                <w:color w:val="auto"/>
                <w:kern w:val="1"/>
                <w:sz w:val="21"/>
                <w:szCs w:val="21"/>
              </w:rPr>
              <w:t>4.获得“水利安全生产标准化”达标单位的，一级（水利部颁发）加3分，二级（省级水行政主管部门颁发）加2分，三级（省辖市或直管县水行政主管部门颁发）加1分。</w:t>
            </w:r>
          </w:p>
          <w:p>
            <w:pPr>
              <w:tabs>
                <w:tab w:val="left" w:pos="1080"/>
              </w:tabs>
              <w:spacing w:line="276" w:lineRule="auto"/>
              <w:rPr>
                <w:rFonts w:asciiTheme="minorEastAsia" w:hAnsiTheme="minorEastAsia" w:eastAsiaTheme="minorEastAsia" w:cstheme="minorEastAsia"/>
                <w:color w:val="auto"/>
                <w:sz w:val="21"/>
                <w:szCs w:val="21"/>
                <w:lang w:val="zh-CN"/>
              </w:rPr>
            </w:pPr>
            <w:r>
              <w:rPr>
                <w:rFonts w:hint="eastAsia" w:ascii="宋体" w:hAnsi="宋体" w:cs="宋体"/>
                <w:color w:val="auto"/>
                <w:kern w:val="1"/>
                <w:sz w:val="21"/>
                <w:szCs w:val="21"/>
              </w:rPr>
              <w:t>上述1、2、3项加分时，同一奖项类别的同一工程不重复计算。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color w:val="auto"/>
                <w:sz w:val="21"/>
                <w:szCs w:val="21"/>
                <w:lang w:val="zh-CN"/>
              </w:rPr>
            </w:pPr>
            <w:r>
              <w:rPr>
                <w:rFonts w:ascii="宋体" w:hAnsi="宋体" w:cs="宋体"/>
                <w:color w:val="auto"/>
                <w:kern w:val="1"/>
                <w:sz w:val="21"/>
                <w:szCs w:val="21"/>
              </w:rPr>
              <w:t>投标人受罚</w:t>
            </w:r>
          </w:p>
        </w:tc>
        <w:tc>
          <w:tcPr>
            <w:tcW w:w="5688" w:type="dxa"/>
            <w:gridSpan w:val="2"/>
            <w:vAlign w:val="center"/>
          </w:tcPr>
          <w:p>
            <w:pPr>
              <w:tabs>
                <w:tab w:val="left" w:pos="1080"/>
              </w:tabs>
              <w:spacing w:line="276" w:lineRule="auto"/>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以下情形为惩罚分值，没有累计限制：</w:t>
            </w:r>
          </w:p>
          <w:p>
            <w:pPr>
              <w:tabs>
                <w:tab w:val="left" w:pos="1080"/>
              </w:tabs>
              <w:spacing w:line="276" w:lineRule="auto"/>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1.近三年承建的水利工程发生过一般安全生产事故的，一次扣3分，较大及以上的一次扣5分；</w:t>
            </w:r>
          </w:p>
          <w:p>
            <w:pPr>
              <w:tabs>
                <w:tab w:val="left" w:pos="1080"/>
              </w:tabs>
              <w:spacing w:line="276" w:lineRule="auto"/>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2.近三年承建的水利工程发生过一般质量事故的，一次扣3分，较大及以上的一次扣5分；</w:t>
            </w:r>
          </w:p>
          <w:p>
            <w:pPr>
              <w:tabs>
                <w:tab w:val="left" w:pos="1080"/>
              </w:tabs>
              <w:spacing w:line="276" w:lineRule="auto"/>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3.除以上1、2项外，不良行为记录在全国水利建设市场信用信息平台上公告且在处罚期限内的，一次扣3分。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450" w:hRule="atLeast"/>
        </w:trPr>
        <w:tc>
          <w:tcPr>
            <w:tcW w:w="1858" w:type="dxa"/>
            <w:gridSpan w:val="3"/>
            <w:vAlign w:val="center"/>
          </w:tcPr>
          <w:p>
            <w:pPr>
              <w:autoSpaceDE w:val="0"/>
              <w:autoSpaceDN w:val="0"/>
              <w:spacing w:line="240" w:lineRule="atLeast"/>
              <w:contextualSpacing/>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惩罚情况</w:t>
            </w:r>
          </w:p>
        </w:tc>
        <w:tc>
          <w:tcPr>
            <w:tcW w:w="7800" w:type="dxa"/>
            <w:gridSpan w:val="3"/>
            <w:vAlign w:val="center"/>
          </w:tcPr>
          <w:p>
            <w:pPr>
              <w:spacing w:line="240" w:lineRule="atLeast"/>
              <w:ind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投标人获奖、受罚、信用备案等信息，由评标委员会从“全国水利建设市场监管服务平台”上收集，评标委员会应以此为依据核实投标人提供的相关证明材料。</w:t>
            </w:r>
          </w:p>
          <w:p>
            <w:pPr>
              <w:spacing w:line="240" w:lineRule="atLeast"/>
              <w:ind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应以此为依据核实投标人提供的相关证明材料（获奖文件和荣誉证书原件扫描件）。未在上述平台收集到奖励信息的或投标人未按要求提供证明材料原件扫描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450" w:hRule="atLeast"/>
        </w:trPr>
        <w:tc>
          <w:tcPr>
            <w:tcW w:w="9658" w:type="dxa"/>
            <w:gridSpan w:val="6"/>
            <w:vAlign w:val="center"/>
          </w:tcPr>
          <w:p>
            <w:pPr>
              <w:spacing w:line="276" w:lineRule="auto"/>
              <w:ind w:firstLine="641"/>
              <w:rPr>
                <w:rFonts w:ascii="宋体" w:hAnsi="宋体" w:cs="宋体"/>
                <w:color w:val="auto"/>
                <w:kern w:val="1"/>
                <w:sz w:val="21"/>
                <w:szCs w:val="21"/>
              </w:rPr>
            </w:pPr>
            <w:r>
              <w:rPr>
                <w:rFonts w:ascii="宋体" w:hAnsi="宋体" w:cs="宋体"/>
                <w:bCs/>
                <w:color w:val="auto"/>
                <w:kern w:val="1"/>
                <w:sz w:val="21"/>
                <w:szCs w:val="21"/>
                <w:lang w:bidi="zh-CN"/>
              </w:rPr>
              <w:t>投标人有下列情形之一的，其单位及主要参建人员的资格资历、工程业绩、良好行为等不予认定：</w:t>
            </w:r>
          </w:p>
          <w:p>
            <w:pPr>
              <w:spacing w:line="276" w:lineRule="auto"/>
              <w:ind w:firstLine="641"/>
              <w:rPr>
                <w:rFonts w:ascii="宋体" w:hAnsi="宋体" w:cs="宋体"/>
                <w:color w:val="auto"/>
                <w:kern w:val="1"/>
                <w:sz w:val="21"/>
                <w:szCs w:val="21"/>
              </w:rPr>
            </w:pPr>
            <w:r>
              <w:rPr>
                <w:rFonts w:ascii="宋体" w:hAnsi="宋体" w:cs="宋体"/>
                <w:bCs/>
                <w:color w:val="auto"/>
                <w:kern w:val="1"/>
                <w:sz w:val="21"/>
                <w:szCs w:val="21"/>
                <w:lang w:bidi="zh-CN"/>
              </w:rPr>
              <w:t>（一）未在</w:t>
            </w:r>
            <w:r>
              <w:rPr>
                <w:rFonts w:hint="eastAsia" w:asciiTheme="minorEastAsia" w:hAnsiTheme="minorEastAsia" w:eastAsiaTheme="minorEastAsia" w:cstheme="minorEastAsia"/>
                <w:color w:val="auto"/>
                <w:sz w:val="21"/>
                <w:szCs w:val="21"/>
              </w:rPr>
              <w:t>全国水利建设市场监管服务平台</w:t>
            </w:r>
            <w:r>
              <w:rPr>
                <w:rFonts w:ascii="宋体" w:hAnsi="宋体" w:cs="宋体"/>
                <w:bCs/>
                <w:color w:val="auto"/>
                <w:kern w:val="1"/>
                <w:sz w:val="21"/>
                <w:szCs w:val="21"/>
                <w:lang w:bidi="zh-CN"/>
              </w:rPr>
              <w:t>建立信用档案的，或提交的材料与信用平台公开的信息不符的。</w:t>
            </w:r>
          </w:p>
          <w:p>
            <w:pPr>
              <w:spacing w:line="276" w:lineRule="auto"/>
              <w:ind w:firstLine="641"/>
              <w:rPr>
                <w:rFonts w:ascii="宋体" w:hAnsi="宋体" w:cs="宋体"/>
                <w:color w:val="auto"/>
                <w:kern w:val="1"/>
                <w:sz w:val="21"/>
                <w:szCs w:val="21"/>
              </w:rPr>
            </w:pPr>
            <w:r>
              <w:rPr>
                <w:rFonts w:ascii="宋体" w:hAnsi="宋体" w:cs="宋体"/>
                <w:color w:val="auto"/>
                <w:kern w:val="1"/>
                <w:sz w:val="21"/>
                <w:szCs w:val="21"/>
              </w:rPr>
              <w:t>（二）</w:t>
            </w:r>
            <w:r>
              <w:rPr>
                <w:rFonts w:hint="eastAsia" w:asciiTheme="minorEastAsia" w:hAnsiTheme="minorEastAsia" w:eastAsiaTheme="minorEastAsia" w:cstheme="minorEastAsia"/>
                <w:color w:val="auto"/>
                <w:sz w:val="21"/>
                <w:szCs w:val="21"/>
              </w:rPr>
              <w:t>全国水利建设市场监管服务平台</w:t>
            </w:r>
            <w:r>
              <w:rPr>
                <w:rFonts w:ascii="宋体" w:hAnsi="宋体" w:cs="宋体"/>
                <w:color w:val="auto"/>
                <w:kern w:val="1"/>
                <w:sz w:val="21"/>
                <w:szCs w:val="21"/>
              </w:rPr>
              <w:t>内容不包含招标人要求提供的其他信用信息的，投标人未按招标人的要求提供相关证明材料的。</w:t>
            </w:r>
          </w:p>
          <w:p>
            <w:pPr>
              <w:spacing w:line="240" w:lineRule="atLeast"/>
              <w:ind w:firstLine="630" w:firstLineChars="300"/>
              <w:contextualSpacing/>
              <w:rPr>
                <w:rFonts w:asciiTheme="minorEastAsia" w:hAnsiTheme="minorEastAsia" w:eastAsiaTheme="minorEastAsia" w:cstheme="minorEastAsia"/>
                <w:color w:val="auto"/>
                <w:sz w:val="21"/>
                <w:szCs w:val="21"/>
              </w:rPr>
            </w:pPr>
            <w:r>
              <w:rPr>
                <w:rFonts w:hint="eastAsia" w:ascii="宋体" w:hAnsi="宋体" w:cs="宋体"/>
                <w:color w:val="auto"/>
                <w:kern w:val="1"/>
                <w:sz w:val="21"/>
                <w:szCs w:val="21"/>
              </w:rPr>
              <w:t>（三）</w:t>
            </w:r>
            <w:r>
              <w:rPr>
                <w:rFonts w:ascii="宋体" w:hAnsi="宋体" w:cs="宋体"/>
                <w:color w:val="auto"/>
                <w:kern w:val="1"/>
                <w:sz w:val="21"/>
                <w:szCs w:val="21"/>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b/>
          <w:color w:val="auto"/>
          <w:kern w:val="1"/>
          <w:sz w:val="24"/>
        </w:rPr>
      </w:pPr>
      <w:r>
        <w:rPr>
          <w:rFonts w:ascii="宋体" w:hAnsi="宋体" w:cs="宋体"/>
          <w:b/>
          <w:color w:val="auto"/>
          <w:kern w:val="1"/>
          <w:sz w:val="24"/>
        </w:rPr>
        <w:t>备注：</w:t>
      </w:r>
    </w:p>
    <w:p>
      <w:pPr>
        <w:spacing w:line="360" w:lineRule="auto"/>
        <w:rPr>
          <w:rFonts w:ascii="宋体" w:hAnsi="宋体" w:cs="宋体"/>
          <w:b/>
          <w:color w:val="auto"/>
          <w:kern w:val="1"/>
          <w:sz w:val="24"/>
        </w:rPr>
      </w:pPr>
      <w:r>
        <w:rPr>
          <w:rFonts w:ascii="宋体" w:hAnsi="宋体" w:cs="宋体"/>
          <w:b/>
          <w:color w:val="auto"/>
          <w:kern w:val="1"/>
          <w:sz w:val="24"/>
        </w:rPr>
        <w:t>（1）所有证件如遇延期办理的应提供相关行政主管部门出具的证明</w:t>
      </w:r>
      <w:r>
        <w:rPr>
          <w:rFonts w:hint="eastAsia" w:ascii="宋体" w:hAnsi="宋体" w:cs="宋体"/>
          <w:b/>
          <w:color w:val="auto"/>
          <w:kern w:val="1"/>
          <w:sz w:val="24"/>
        </w:rPr>
        <w:t>且在有效期内</w:t>
      </w:r>
      <w:r>
        <w:rPr>
          <w:rFonts w:ascii="宋体" w:hAnsi="宋体" w:cs="宋体"/>
          <w:b/>
          <w:color w:val="auto"/>
          <w:kern w:val="1"/>
          <w:sz w:val="24"/>
        </w:rPr>
        <w:t>。</w:t>
      </w:r>
      <w:bookmarkStart w:id="188" w:name="_Toc517940880"/>
      <w:bookmarkStart w:id="189" w:name="_Toc511829750"/>
    </w:p>
    <w:p>
      <w:pPr>
        <w:spacing w:line="360" w:lineRule="auto"/>
        <w:rPr>
          <w:rFonts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w:t>
      </w:r>
      <w:r>
        <w:rPr>
          <w:rFonts w:hint="eastAsia" w:ascii="宋体" w:hAnsi="宋体"/>
          <w:b/>
          <w:bCs/>
          <w:color w:val="auto"/>
          <w:sz w:val="24"/>
          <w:lang w:val="zh-CN"/>
        </w:rPr>
        <w:t>投标人应根据评分项目，按照评分标准表项目内容顺序（评标要素索引表）列出在投标文件中相应的页码范围，并附</w:t>
      </w:r>
      <w:r>
        <w:rPr>
          <w:rFonts w:hint="eastAsia" w:ascii="宋体" w:hAnsi="宋体"/>
          <w:b/>
          <w:bCs/>
          <w:color w:val="auto"/>
          <w:sz w:val="24"/>
        </w:rPr>
        <w:t>在投标文件的目录前。</w:t>
      </w:r>
    </w:p>
    <w:p>
      <w:pPr>
        <w:spacing w:line="360" w:lineRule="auto"/>
        <w:rPr>
          <w:rStyle w:val="41"/>
          <w:rFonts w:ascii="宋体" w:hAnsi="宋体" w:eastAsia="宋体"/>
          <w:bCs w:val="0"/>
          <w:color w:val="auto"/>
          <w:sz w:val="44"/>
          <w:szCs w:val="44"/>
        </w:rPr>
      </w:pPr>
      <w:r>
        <w:rPr>
          <w:rFonts w:hint="eastAsia" w:ascii="宋体" w:hAnsi="宋体"/>
          <w:b/>
          <w:bCs/>
          <w:color w:val="auto"/>
          <w:sz w:val="24"/>
        </w:rPr>
        <w:t>（</w:t>
      </w:r>
      <w:r>
        <w:rPr>
          <w:rFonts w:hint="eastAsia" w:ascii="宋体" w:hAnsi="宋体"/>
          <w:b/>
          <w:bCs/>
          <w:color w:val="auto"/>
          <w:sz w:val="24"/>
          <w:lang w:val="en-US" w:eastAsia="zh-CN"/>
        </w:rPr>
        <w:t>3</w:t>
      </w:r>
      <w:r>
        <w:rPr>
          <w:rFonts w:hint="eastAsia" w:ascii="宋体" w:hAnsi="宋体"/>
          <w:b/>
          <w:bCs/>
          <w:color w:val="auto"/>
          <w:sz w:val="24"/>
        </w:rPr>
        <w:t>）</w:t>
      </w:r>
      <w:r>
        <w:rPr>
          <w:rFonts w:hint="eastAsia" w:ascii="宋体" w:hAnsi="宋体"/>
          <w:b/>
          <w:bCs/>
          <w:color w:val="auto"/>
          <w:sz w:val="24"/>
          <w:lang w:val="zh-CN"/>
        </w:rPr>
        <w:t>评分分值精确到小数点后2位。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88"/>
      <w:bookmarkEnd w:id="189"/>
      <w:bookmarkStart w:id="190" w:name="_Toc21870"/>
      <w:bookmarkStart w:id="191" w:name="_Toc701"/>
      <w:bookmarkStart w:id="192" w:name="_Toc4299"/>
      <w:bookmarkStart w:id="193" w:name="_Toc24218"/>
      <w:bookmarkStart w:id="194" w:name="_Toc24212"/>
      <w:bookmarkStart w:id="195" w:name="_Toc517940883"/>
    </w:p>
    <w:p>
      <w:pPr>
        <w:pStyle w:val="32"/>
        <w:ind w:firstLine="442"/>
        <w:rPr>
          <w:rStyle w:val="41"/>
          <w:rFonts w:ascii="宋体" w:hAnsi="宋体" w:eastAsia="宋体"/>
          <w:bCs w:val="0"/>
          <w:color w:val="auto"/>
          <w:sz w:val="44"/>
          <w:szCs w:val="44"/>
        </w:rPr>
      </w:pPr>
    </w:p>
    <w:p>
      <w:pPr>
        <w:pStyle w:val="3"/>
        <w:ind w:firstLine="1760" w:firstLineChars="400"/>
        <w:rPr>
          <w:rStyle w:val="41"/>
          <w:rFonts w:ascii="宋体" w:hAnsi="宋体" w:eastAsia="宋体"/>
          <w:b/>
          <w:bCs w:val="0"/>
          <w:color w:val="auto"/>
          <w:sz w:val="44"/>
          <w:szCs w:val="44"/>
        </w:rPr>
      </w:pPr>
      <w:r>
        <w:rPr>
          <w:rStyle w:val="41"/>
          <w:rFonts w:hint="eastAsia" w:ascii="宋体" w:hAnsi="宋体" w:eastAsia="宋体"/>
          <w:b/>
          <w:bCs w:val="0"/>
          <w:color w:val="auto"/>
          <w:sz w:val="44"/>
          <w:szCs w:val="44"/>
        </w:rPr>
        <w:t>第四章  合同条款、协议及格式</w:t>
      </w:r>
      <w:bookmarkEnd w:id="190"/>
      <w:bookmarkEnd w:id="191"/>
      <w:bookmarkEnd w:id="192"/>
      <w:bookmarkEnd w:id="193"/>
      <w:bookmarkEnd w:id="194"/>
      <w:bookmarkEnd w:id="195"/>
    </w:p>
    <w:p>
      <w:pPr>
        <w:spacing w:line="312" w:lineRule="auto"/>
        <w:jc w:val="center"/>
        <w:rPr>
          <w:rFonts w:ascii="宋体" w:hAnsi="宋体"/>
          <w:b/>
          <w:bCs/>
          <w:color w:val="auto"/>
          <w:sz w:val="28"/>
          <w:szCs w:val="28"/>
        </w:rPr>
      </w:pPr>
      <w:r>
        <w:rPr>
          <w:rFonts w:hint="eastAsia" w:ascii="宋体" w:hAnsi="宋体"/>
          <w:b/>
          <w:bCs/>
          <w:color w:val="auto"/>
          <w:sz w:val="28"/>
          <w:szCs w:val="28"/>
        </w:rPr>
        <w:t xml:space="preserve"> 第一节 </w:t>
      </w:r>
      <w:r>
        <w:rPr>
          <w:rFonts w:ascii="宋体" w:hAnsi="宋体"/>
          <w:b/>
          <w:bCs/>
          <w:color w:val="auto"/>
          <w:sz w:val="28"/>
          <w:szCs w:val="28"/>
        </w:rPr>
        <w:t>通用合同条款</w:t>
      </w:r>
      <w:r>
        <w:rPr>
          <w:rFonts w:hint="eastAsia" w:ascii="宋体" w:hAnsi="宋体"/>
          <w:b/>
          <w:bCs/>
          <w:color w:val="auto"/>
          <w:sz w:val="28"/>
          <w:szCs w:val="28"/>
        </w:rPr>
        <w:t>(略)</w:t>
      </w:r>
    </w:p>
    <w:p>
      <w:pPr>
        <w:spacing w:line="312" w:lineRule="auto"/>
        <w:jc w:val="center"/>
        <w:rPr>
          <w:rFonts w:ascii="宋体" w:hAnsi="宋体"/>
          <w:b/>
          <w:bCs/>
          <w:color w:val="auto"/>
          <w:sz w:val="28"/>
          <w:szCs w:val="28"/>
        </w:rPr>
      </w:pPr>
      <w:bookmarkStart w:id="196" w:name="_Toc221948340"/>
      <w:bookmarkStart w:id="197" w:name="_Toc229305386"/>
      <w:bookmarkStart w:id="198" w:name="_Toc382164588"/>
      <w:bookmarkStart w:id="199" w:name="_Toc221951110"/>
      <w:bookmarkStart w:id="200" w:name="_Toc222032695"/>
      <w:bookmarkStart w:id="201" w:name="_Toc222029526"/>
      <w:bookmarkStart w:id="202" w:name="_Toc222031028"/>
      <w:bookmarkStart w:id="203" w:name="_Toc382164703"/>
      <w:bookmarkStart w:id="204" w:name="_Toc222033877"/>
      <w:r>
        <w:rPr>
          <w:rFonts w:hint="eastAsia" w:ascii="宋体" w:hAnsi="宋体"/>
          <w:b/>
          <w:bCs/>
          <w:color w:val="auto"/>
          <w:sz w:val="28"/>
          <w:szCs w:val="28"/>
        </w:rPr>
        <w:t>第二节 专用合同条款</w:t>
      </w:r>
      <w:bookmarkEnd w:id="196"/>
      <w:bookmarkEnd w:id="197"/>
      <w:bookmarkEnd w:id="198"/>
      <w:bookmarkEnd w:id="199"/>
      <w:bookmarkEnd w:id="200"/>
      <w:bookmarkEnd w:id="201"/>
      <w:bookmarkEnd w:id="202"/>
      <w:bookmarkEnd w:id="203"/>
      <w:bookmarkEnd w:id="204"/>
    </w:p>
    <w:p>
      <w:pPr>
        <w:spacing w:line="312" w:lineRule="auto"/>
        <w:rPr>
          <w:rFonts w:ascii="宋体" w:hAnsi="宋体" w:cs="宋体"/>
          <w:b/>
          <w:color w:val="auto"/>
          <w:sz w:val="24"/>
        </w:rPr>
      </w:pPr>
      <w:bookmarkStart w:id="205" w:name="_Toc222029527"/>
      <w:bookmarkStart w:id="206" w:name="_Toc221951111"/>
      <w:bookmarkStart w:id="207" w:name="_Toc222031029"/>
      <w:bookmarkStart w:id="208" w:name="_Toc222032696"/>
      <w:bookmarkStart w:id="209" w:name="_Toc222033878"/>
      <w:bookmarkStart w:id="210" w:name="_Toc229305387"/>
      <w:r>
        <w:rPr>
          <w:rFonts w:hint="eastAsia" w:ascii="宋体" w:hAnsi="宋体" w:cs="宋体"/>
          <w:b/>
          <w:color w:val="auto"/>
          <w:sz w:val="24"/>
        </w:rPr>
        <w:t>1．一般约定</w:t>
      </w:r>
      <w:bookmarkEnd w:id="205"/>
      <w:bookmarkEnd w:id="206"/>
      <w:bookmarkEnd w:id="207"/>
      <w:bookmarkEnd w:id="208"/>
      <w:bookmarkEnd w:id="209"/>
      <w:bookmarkEnd w:id="210"/>
    </w:p>
    <w:p>
      <w:pPr>
        <w:spacing w:line="312" w:lineRule="auto"/>
        <w:rPr>
          <w:rFonts w:ascii="宋体" w:hAnsi="宋体" w:cs="宋体"/>
          <w:b/>
          <w:bCs/>
          <w:color w:val="auto"/>
          <w:sz w:val="24"/>
        </w:rPr>
      </w:pPr>
      <w:bookmarkStart w:id="211" w:name="_Toc221951112"/>
      <w:r>
        <w:rPr>
          <w:rFonts w:hint="eastAsia" w:ascii="宋体" w:hAnsi="宋体" w:cs="宋体"/>
          <w:b/>
          <w:bCs/>
          <w:color w:val="auto"/>
          <w:sz w:val="24"/>
        </w:rPr>
        <w:t>1.1  词语定义</w:t>
      </w:r>
      <w:bookmarkEnd w:id="211"/>
    </w:p>
    <w:p>
      <w:pPr>
        <w:spacing w:line="312" w:lineRule="auto"/>
        <w:rPr>
          <w:rFonts w:ascii="宋体" w:hAnsi="宋体" w:cs="宋体"/>
          <w:color w:val="auto"/>
          <w:sz w:val="24"/>
        </w:rPr>
      </w:pPr>
      <w:bookmarkStart w:id="212" w:name="_Toc221951113"/>
      <w:r>
        <w:rPr>
          <w:rFonts w:hint="eastAsia" w:ascii="宋体" w:hAnsi="宋体" w:cs="宋体"/>
          <w:color w:val="auto"/>
          <w:sz w:val="24"/>
        </w:rPr>
        <w:t>1.1.2  合同当事人和人员</w:t>
      </w:r>
      <w:bookmarkEnd w:id="212"/>
    </w:p>
    <w:p>
      <w:pPr>
        <w:spacing w:line="312" w:lineRule="auto"/>
        <w:rPr>
          <w:rFonts w:ascii="宋体" w:hAnsi="宋体" w:cs="宋体"/>
          <w:color w:val="auto"/>
          <w:sz w:val="24"/>
        </w:rPr>
      </w:pPr>
      <w:bookmarkStart w:id="213" w:name="_Toc221951114"/>
      <w:r>
        <w:rPr>
          <w:rFonts w:hint="eastAsia" w:ascii="宋体" w:hAnsi="宋体" w:cs="宋体"/>
          <w:color w:val="auto"/>
          <w:sz w:val="24"/>
        </w:rPr>
        <w:t>1.1.2.2  发包人：</w:t>
      </w:r>
      <w:r>
        <w:rPr>
          <w:rFonts w:hint="eastAsia" w:ascii="宋体" w:hAnsi="宋体" w:cs="宋体"/>
          <w:color w:val="auto"/>
          <w:sz w:val="24"/>
          <w:u w:val="single"/>
        </w:rPr>
        <w:t xml:space="preserve">             (填入发包人的名称)       </w:t>
      </w:r>
      <w:r>
        <w:rPr>
          <w:rFonts w:hint="eastAsia" w:ascii="宋体" w:hAnsi="宋体" w:cs="宋体"/>
          <w:color w:val="auto"/>
          <w:sz w:val="24"/>
        </w:rPr>
        <w:t>。</w:t>
      </w:r>
      <w:bookmarkEnd w:id="213"/>
    </w:p>
    <w:p>
      <w:pPr>
        <w:spacing w:line="312" w:lineRule="auto"/>
        <w:rPr>
          <w:rFonts w:ascii="宋体" w:hAnsi="宋体" w:cs="宋体"/>
          <w:color w:val="auto"/>
          <w:sz w:val="24"/>
        </w:rPr>
      </w:pPr>
      <w:bookmarkStart w:id="214" w:name="_Toc221951115"/>
      <w:r>
        <w:rPr>
          <w:rFonts w:hint="eastAsia" w:ascii="宋体" w:hAnsi="宋体" w:cs="宋体"/>
          <w:color w:val="auto"/>
          <w:sz w:val="24"/>
        </w:rPr>
        <w:t>1.1.2.3  承包人：</w:t>
      </w:r>
      <w:r>
        <w:rPr>
          <w:rFonts w:hint="eastAsia" w:ascii="宋体" w:hAnsi="宋体" w:cs="宋体"/>
          <w:color w:val="auto"/>
          <w:sz w:val="24"/>
          <w:u w:val="single"/>
        </w:rPr>
        <w:t xml:space="preserve">                 (签约后填入承包人的名称)    </w:t>
      </w:r>
      <w:r>
        <w:rPr>
          <w:rFonts w:hint="eastAsia" w:ascii="宋体" w:hAnsi="宋体" w:cs="宋体"/>
          <w:color w:val="auto"/>
          <w:sz w:val="24"/>
        </w:rPr>
        <w:t>。</w:t>
      </w:r>
      <w:bookmarkEnd w:id="214"/>
    </w:p>
    <w:p>
      <w:pPr>
        <w:spacing w:line="312" w:lineRule="auto"/>
        <w:rPr>
          <w:rFonts w:ascii="宋体" w:hAnsi="宋体" w:cs="宋体"/>
          <w:color w:val="auto"/>
          <w:sz w:val="24"/>
        </w:rPr>
      </w:pPr>
      <w:bookmarkStart w:id="215" w:name="_Toc221951116"/>
      <w:r>
        <w:rPr>
          <w:rFonts w:hint="eastAsia" w:ascii="宋体" w:hAnsi="宋体" w:cs="宋体"/>
          <w:color w:val="auto"/>
          <w:sz w:val="24"/>
        </w:rPr>
        <w:t>1.1.2.5  分包人：</w:t>
      </w:r>
      <w:r>
        <w:rPr>
          <w:rFonts w:hint="eastAsia" w:ascii="宋体" w:hAnsi="宋体" w:cs="宋体"/>
          <w:color w:val="auto"/>
          <w:sz w:val="24"/>
          <w:u w:val="single"/>
        </w:rPr>
        <w:t xml:space="preserve">                 (签约后填入分包人的名称)    </w:t>
      </w:r>
      <w:r>
        <w:rPr>
          <w:rFonts w:hint="eastAsia" w:ascii="宋体" w:hAnsi="宋体" w:cs="宋体"/>
          <w:color w:val="auto"/>
          <w:sz w:val="24"/>
        </w:rPr>
        <w:t>。</w:t>
      </w:r>
      <w:bookmarkEnd w:id="215"/>
    </w:p>
    <w:p>
      <w:pPr>
        <w:spacing w:line="312" w:lineRule="auto"/>
        <w:rPr>
          <w:rFonts w:ascii="宋体" w:hAnsi="宋体" w:cs="宋体"/>
          <w:color w:val="auto"/>
          <w:sz w:val="24"/>
        </w:rPr>
      </w:pPr>
      <w:bookmarkStart w:id="216" w:name="_Toc221951117"/>
      <w:r>
        <w:rPr>
          <w:rFonts w:hint="eastAsia" w:ascii="宋体" w:hAnsi="宋体" w:cs="宋体"/>
          <w:color w:val="auto"/>
          <w:sz w:val="24"/>
        </w:rPr>
        <w:t>1.1.2.6  监理人：</w:t>
      </w:r>
      <w:r>
        <w:rPr>
          <w:rFonts w:hint="eastAsia" w:ascii="宋体" w:hAnsi="宋体" w:cs="宋体"/>
          <w:color w:val="auto"/>
          <w:sz w:val="24"/>
          <w:u w:val="single"/>
        </w:rPr>
        <w:t xml:space="preserve">                     (填入监理人名称)       </w:t>
      </w:r>
      <w:r>
        <w:rPr>
          <w:rFonts w:hint="eastAsia" w:ascii="宋体" w:hAnsi="宋体" w:cs="宋体"/>
          <w:color w:val="auto"/>
          <w:sz w:val="24"/>
        </w:rPr>
        <w:t xml:space="preserve"> 。</w:t>
      </w:r>
      <w:bookmarkEnd w:id="216"/>
    </w:p>
    <w:p>
      <w:pPr>
        <w:spacing w:line="312" w:lineRule="auto"/>
        <w:rPr>
          <w:rFonts w:ascii="宋体" w:hAnsi="宋体" w:cs="宋体"/>
          <w:color w:val="auto"/>
          <w:sz w:val="24"/>
        </w:rPr>
      </w:pPr>
      <w:bookmarkStart w:id="217" w:name="_Toc221951125"/>
      <w:r>
        <w:rPr>
          <w:rFonts w:hint="eastAsia" w:ascii="宋体" w:hAnsi="宋体" w:cs="宋体"/>
          <w:color w:val="auto"/>
          <w:sz w:val="24"/>
        </w:rPr>
        <w:t>1.1.4  日期</w:t>
      </w:r>
      <w:bookmarkEnd w:id="217"/>
      <w:r>
        <w:rPr>
          <w:rFonts w:hint="eastAsia" w:ascii="宋体" w:hAnsi="宋体" w:cs="宋体"/>
          <w:color w:val="auto"/>
          <w:sz w:val="24"/>
        </w:rPr>
        <w:t>：</w:t>
      </w:r>
      <w:r>
        <w:rPr>
          <w:rFonts w:hint="eastAsia" w:ascii="宋体" w:hAnsi="宋体" w:cs="宋体"/>
          <w:color w:val="auto"/>
          <w:sz w:val="24"/>
          <w:u w:val="single"/>
        </w:rPr>
        <w:t xml:space="preserve">                                               </w:t>
      </w:r>
    </w:p>
    <w:p>
      <w:pPr>
        <w:spacing w:line="312" w:lineRule="auto"/>
        <w:rPr>
          <w:rFonts w:ascii="宋体" w:hAnsi="宋体" w:cs="宋体"/>
          <w:color w:val="auto"/>
          <w:sz w:val="24"/>
        </w:rPr>
      </w:pPr>
      <w:bookmarkStart w:id="218" w:name="_Toc221951126"/>
      <w:r>
        <w:rPr>
          <w:rFonts w:hint="eastAsia" w:ascii="宋体" w:hAnsi="宋体" w:cs="宋体"/>
          <w:color w:val="auto"/>
          <w:sz w:val="24"/>
        </w:rPr>
        <w:t>1.1.4.5  缺陷责任期：</w:t>
      </w:r>
      <w:r>
        <w:rPr>
          <w:rFonts w:hint="eastAsia" w:ascii="宋体" w:hAnsi="宋体" w:cs="宋体"/>
          <w:color w:val="auto"/>
          <w:sz w:val="24"/>
          <w:u w:val="single"/>
        </w:rPr>
        <w:t xml:space="preserve">    （填写本合同工程的缺陷责任期限）    </w:t>
      </w:r>
      <w:r>
        <w:rPr>
          <w:rFonts w:hint="eastAsia" w:ascii="宋体" w:hAnsi="宋体" w:cs="宋体"/>
          <w:color w:val="auto"/>
          <w:sz w:val="24"/>
        </w:rPr>
        <w:t>。</w:t>
      </w:r>
      <w:bookmarkEnd w:id="218"/>
    </w:p>
    <w:p>
      <w:pPr>
        <w:spacing w:line="312" w:lineRule="auto"/>
        <w:rPr>
          <w:rFonts w:ascii="宋体" w:hAnsi="宋体" w:cs="宋体"/>
          <w:b/>
          <w:bCs/>
          <w:color w:val="auto"/>
          <w:sz w:val="24"/>
        </w:rPr>
      </w:pPr>
      <w:bookmarkStart w:id="219" w:name="_Toc221951127"/>
      <w:r>
        <w:rPr>
          <w:rFonts w:hint="eastAsia" w:ascii="宋体" w:hAnsi="宋体" w:cs="宋体"/>
          <w:b/>
          <w:bCs/>
          <w:color w:val="auto"/>
          <w:sz w:val="24"/>
        </w:rPr>
        <w:t>1.4  合同文件的优先顺序</w:t>
      </w:r>
      <w:bookmarkEnd w:id="219"/>
      <w:bookmarkStart w:id="220" w:name="_Toc221951129"/>
    </w:p>
    <w:p>
      <w:pPr>
        <w:spacing w:line="312" w:lineRule="auto"/>
        <w:ind w:firstLine="120" w:firstLineChars="50"/>
        <w:rPr>
          <w:rFonts w:ascii="宋体" w:hAnsi="宋体" w:cs="宋体"/>
          <w:color w:val="auto"/>
          <w:sz w:val="24"/>
        </w:rPr>
      </w:pPr>
      <w:r>
        <w:rPr>
          <w:rFonts w:hint="eastAsia" w:ascii="宋体" w:hAnsi="宋体" w:cs="宋体"/>
          <w:color w:val="auto"/>
          <w:sz w:val="24"/>
        </w:rPr>
        <w:t>进人合同文件的各项文件及其优先顺序是</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1.7  联络</w:t>
      </w:r>
      <w:bookmarkEnd w:id="220"/>
    </w:p>
    <w:p>
      <w:pPr>
        <w:spacing w:line="312" w:lineRule="auto"/>
        <w:rPr>
          <w:rFonts w:ascii="宋体" w:hAnsi="宋体" w:cs="宋体"/>
          <w:color w:val="auto"/>
          <w:sz w:val="24"/>
        </w:rPr>
      </w:pPr>
      <w:bookmarkStart w:id="221" w:name="_Toc221951130"/>
      <w:r>
        <w:rPr>
          <w:rFonts w:hint="eastAsia" w:ascii="宋体" w:hAnsi="宋体" w:cs="宋体"/>
          <w:color w:val="auto"/>
          <w:sz w:val="24"/>
        </w:rPr>
        <w:t>1.7.2来往函件均应按技术标准和要求（合同技术条款）约定的期限送达</w:t>
      </w:r>
      <w:r>
        <w:rPr>
          <w:rFonts w:hint="eastAsia" w:ascii="宋体" w:hAnsi="宋体" w:cs="宋体"/>
          <w:color w:val="auto"/>
          <w:sz w:val="24"/>
          <w:u w:val="single"/>
        </w:rPr>
        <w:t xml:space="preserve">  (填写文件送达地点)  </w:t>
      </w:r>
      <w:r>
        <w:rPr>
          <w:rFonts w:hint="eastAsia" w:ascii="宋体" w:hAnsi="宋体" w:cs="宋体"/>
          <w:color w:val="auto"/>
          <w:sz w:val="24"/>
        </w:rPr>
        <w:t>。</w:t>
      </w:r>
      <w:bookmarkEnd w:id="221"/>
    </w:p>
    <w:p>
      <w:pPr>
        <w:spacing w:line="312" w:lineRule="auto"/>
        <w:rPr>
          <w:rFonts w:ascii="宋体" w:hAnsi="宋体" w:cs="宋体"/>
          <w:b/>
          <w:color w:val="auto"/>
          <w:sz w:val="24"/>
        </w:rPr>
      </w:pPr>
      <w:bookmarkStart w:id="222" w:name="_Toc222029528"/>
      <w:bookmarkStart w:id="223" w:name="_Toc222031030"/>
      <w:bookmarkStart w:id="224" w:name="_Toc222033879"/>
      <w:bookmarkStart w:id="225" w:name="_Toc229305388"/>
      <w:bookmarkStart w:id="226" w:name="_Toc221951131"/>
      <w:bookmarkStart w:id="227" w:name="_Toc222032697"/>
      <w:bookmarkStart w:id="228" w:name="_Toc221951132"/>
      <w:r>
        <w:rPr>
          <w:rFonts w:hint="eastAsia" w:ascii="宋体" w:hAnsi="宋体" w:cs="宋体"/>
          <w:b/>
          <w:color w:val="auto"/>
          <w:sz w:val="24"/>
        </w:rPr>
        <w:t>2  发包人义务</w:t>
      </w:r>
      <w:bookmarkEnd w:id="222"/>
      <w:bookmarkEnd w:id="223"/>
      <w:bookmarkEnd w:id="224"/>
      <w:bookmarkEnd w:id="225"/>
      <w:bookmarkEnd w:id="226"/>
      <w:bookmarkEnd w:id="227"/>
    </w:p>
    <w:p>
      <w:pPr>
        <w:spacing w:line="312" w:lineRule="auto"/>
        <w:rPr>
          <w:rFonts w:ascii="宋体" w:hAnsi="宋体" w:cs="宋体"/>
          <w:b/>
          <w:bCs/>
          <w:color w:val="auto"/>
          <w:sz w:val="24"/>
        </w:rPr>
      </w:pPr>
      <w:r>
        <w:rPr>
          <w:rFonts w:hint="eastAsia" w:ascii="宋体" w:hAnsi="宋体" w:cs="宋体"/>
          <w:b/>
          <w:bCs/>
          <w:color w:val="auto"/>
          <w:sz w:val="24"/>
        </w:rPr>
        <w:t>2.3  提供施工场地</w:t>
      </w:r>
      <w:bookmarkEnd w:id="228"/>
    </w:p>
    <w:p>
      <w:pPr>
        <w:spacing w:line="312" w:lineRule="auto"/>
        <w:ind w:right="248" w:firstLine="480"/>
        <w:rPr>
          <w:rFonts w:ascii="宋体" w:hAnsi="宋体" w:cs="宋体"/>
          <w:color w:val="auto"/>
          <w:sz w:val="24"/>
        </w:rPr>
      </w:pPr>
      <w:bookmarkStart w:id="229" w:name="_Toc221951133"/>
      <w:r>
        <w:rPr>
          <w:rFonts w:hint="eastAsia" w:ascii="宋体" w:hAnsi="宋体" w:cs="宋体"/>
          <w:color w:val="auto"/>
          <w:sz w:val="24"/>
        </w:rPr>
        <w:t>2.3.2</w:t>
      </w:r>
      <w:bookmarkEnd w:id="229"/>
      <w:r>
        <w:rPr>
          <w:rFonts w:hint="eastAsia" w:ascii="宋体" w:hAnsi="宋体" w:cs="宋体"/>
          <w:color w:val="auto"/>
          <w:sz w:val="24"/>
        </w:rPr>
        <w:t>发包人提供的施工场地范围为：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right="248" w:firstLine="480"/>
        <w:rPr>
          <w:rFonts w:ascii="宋体" w:hAnsi="宋体" w:cs="宋体"/>
          <w:color w:val="auto"/>
          <w:sz w:val="24"/>
        </w:rPr>
      </w:pPr>
      <w:r>
        <w:rPr>
          <w:rFonts w:hint="eastAsia" w:ascii="宋体" w:hAnsi="宋体" w:cs="宋体"/>
          <w:color w:val="auto"/>
          <w:sz w:val="24"/>
        </w:rPr>
        <w:t>2.2.3承包人自行勘察的施工场地范围为：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230" w:name="_Toc221951134"/>
      <w:r>
        <w:rPr>
          <w:rFonts w:hint="eastAsia" w:ascii="宋体" w:hAnsi="宋体" w:cs="宋体"/>
          <w:b/>
          <w:bCs/>
          <w:color w:val="auto"/>
          <w:sz w:val="24"/>
        </w:rPr>
        <w:t>2.8  其它义务</w:t>
      </w:r>
      <w:bookmarkEnd w:id="230"/>
      <w:r>
        <w:rPr>
          <w:rFonts w:hint="eastAsia" w:ascii="宋体" w:hAnsi="宋体" w:cs="宋体"/>
          <w:b/>
          <w:bCs/>
          <w:color w:val="auto"/>
          <w:sz w:val="24"/>
        </w:rPr>
        <w:t xml:space="preserve"> </w:t>
      </w:r>
    </w:p>
    <w:p>
      <w:pPr>
        <w:pStyle w:val="19"/>
        <w:spacing w:line="312" w:lineRule="auto"/>
        <w:ind w:right="248"/>
        <w:rPr>
          <w:rFonts w:ascii="宋体" w:hAnsi="宋体" w:cs="宋体"/>
          <w:color w:val="auto"/>
          <w:sz w:val="24"/>
        </w:rPr>
      </w:pPr>
      <w:bookmarkStart w:id="231" w:name="_Toc221951135"/>
      <w:r>
        <w:rPr>
          <w:rFonts w:hint="eastAsia" w:ascii="宋体" w:hAnsi="宋体" w:cs="宋体"/>
          <w:color w:val="auto"/>
          <w:sz w:val="24"/>
        </w:rPr>
        <w:t xml:space="preserve"> (根据发包人的合同管理要求补充)</w:t>
      </w:r>
      <w:bookmarkEnd w:id="231"/>
    </w:p>
    <w:p>
      <w:pPr>
        <w:spacing w:line="312" w:lineRule="auto"/>
        <w:ind w:right="248" w:firstLine="480"/>
        <w:rPr>
          <w:rFonts w:ascii="宋体" w:hAnsi="宋体" w:cs="宋体"/>
          <w:color w:val="auto"/>
          <w:sz w:val="24"/>
        </w:rPr>
      </w:pPr>
      <w:bookmarkStart w:id="232" w:name="_Toc221951136"/>
      <w:r>
        <w:rPr>
          <w:rFonts w:hint="eastAsia" w:ascii="宋体" w:hAnsi="宋体" w:cs="宋体"/>
          <w:color w:val="auto"/>
          <w:sz w:val="24"/>
        </w:rPr>
        <w:t>(1) ……</w:t>
      </w:r>
      <w:bookmarkEnd w:id="232"/>
    </w:p>
    <w:p>
      <w:pPr>
        <w:spacing w:line="312" w:lineRule="auto"/>
        <w:ind w:right="248" w:firstLine="480"/>
        <w:rPr>
          <w:rFonts w:ascii="宋体" w:hAnsi="宋体" w:cs="宋体"/>
          <w:color w:val="auto"/>
          <w:sz w:val="24"/>
        </w:rPr>
      </w:pPr>
      <w:bookmarkStart w:id="233" w:name="_Toc221951137"/>
      <w:r>
        <w:rPr>
          <w:rFonts w:hint="eastAsia" w:ascii="宋体" w:hAnsi="宋体" w:cs="宋体"/>
          <w:color w:val="auto"/>
          <w:sz w:val="24"/>
        </w:rPr>
        <w:t>(2) ……</w:t>
      </w:r>
      <w:bookmarkEnd w:id="233"/>
    </w:p>
    <w:p>
      <w:pPr>
        <w:spacing w:line="312" w:lineRule="auto"/>
        <w:rPr>
          <w:rFonts w:ascii="宋体" w:hAnsi="宋体" w:cs="宋体"/>
          <w:b/>
          <w:color w:val="auto"/>
          <w:sz w:val="24"/>
        </w:rPr>
      </w:pPr>
      <w:bookmarkStart w:id="234" w:name="_Toc222031031"/>
      <w:bookmarkStart w:id="235" w:name="_Toc222032698"/>
      <w:bookmarkStart w:id="236" w:name="_Toc221951140"/>
      <w:bookmarkStart w:id="237" w:name="_Toc222033880"/>
      <w:bookmarkStart w:id="238" w:name="_Toc222029529"/>
      <w:bookmarkStart w:id="239" w:name="_Toc229305389"/>
      <w:r>
        <w:rPr>
          <w:rFonts w:hint="eastAsia" w:ascii="宋体" w:hAnsi="宋体" w:cs="宋体"/>
          <w:b/>
          <w:color w:val="auto"/>
          <w:sz w:val="24"/>
        </w:rPr>
        <w:t>3  监理人</w:t>
      </w:r>
      <w:bookmarkEnd w:id="234"/>
      <w:bookmarkEnd w:id="235"/>
      <w:bookmarkEnd w:id="236"/>
      <w:bookmarkEnd w:id="237"/>
      <w:bookmarkEnd w:id="238"/>
      <w:bookmarkEnd w:id="239"/>
    </w:p>
    <w:p>
      <w:pPr>
        <w:spacing w:line="312" w:lineRule="auto"/>
        <w:rPr>
          <w:rFonts w:ascii="宋体" w:hAnsi="宋体" w:cs="宋体"/>
          <w:b/>
          <w:bCs/>
          <w:color w:val="auto"/>
          <w:sz w:val="24"/>
        </w:rPr>
      </w:pPr>
      <w:bookmarkStart w:id="240" w:name="_Toc221951141"/>
      <w:r>
        <w:rPr>
          <w:rFonts w:hint="eastAsia" w:ascii="宋体" w:hAnsi="宋体" w:cs="宋体"/>
          <w:b/>
          <w:bCs/>
          <w:color w:val="auto"/>
          <w:sz w:val="24"/>
        </w:rPr>
        <w:t>3.1  监理人的职责和权力</w:t>
      </w:r>
      <w:bookmarkEnd w:id="240"/>
    </w:p>
    <w:p>
      <w:pPr>
        <w:spacing w:line="312" w:lineRule="auto"/>
        <w:ind w:right="248" w:firstLine="480"/>
        <w:rPr>
          <w:rFonts w:ascii="宋体" w:hAnsi="宋体" w:cs="宋体"/>
          <w:color w:val="auto"/>
          <w:sz w:val="24"/>
        </w:rPr>
      </w:pPr>
      <w:bookmarkStart w:id="241" w:name="_Toc221951142"/>
      <w:r>
        <w:rPr>
          <w:rFonts w:hint="eastAsia" w:ascii="宋体" w:hAnsi="宋体" w:cs="宋体"/>
          <w:color w:val="auto"/>
          <w:sz w:val="24"/>
        </w:rPr>
        <w:t>3.1.1</w:t>
      </w:r>
      <w:bookmarkEnd w:id="241"/>
      <w:r>
        <w:rPr>
          <w:rFonts w:hint="eastAsia" w:ascii="宋体" w:hAnsi="宋体" w:cs="宋体"/>
          <w:color w:val="auto"/>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color w:val="auto"/>
          <w:sz w:val="24"/>
        </w:rPr>
      </w:pPr>
      <w:bookmarkStart w:id="242" w:name="_Toc222029530"/>
      <w:bookmarkStart w:id="243" w:name="_Toc222031032"/>
      <w:bookmarkStart w:id="244" w:name="_Toc229305390"/>
      <w:bookmarkStart w:id="245" w:name="_Toc221951150"/>
      <w:bookmarkStart w:id="246" w:name="_Toc222033881"/>
      <w:bookmarkStart w:id="247" w:name="_Toc222032699"/>
      <w:r>
        <w:rPr>
          <w:rFonts w:hint="eastAsia" w:ascii="宋体" w:hAnsi="宋体" w:cs="宋体"/>
          <w:color w:val="auto"/>
          <w:sz w:val="24"/>
        </w:rPr>
        <w:t>(l）按第4.3款约定，批准工程的分包；</w:t>
      </w:r>
    </w:p>
    <w:p>
      <w:pPr>
        <w:spacing w:line="312" w:lineRule="auto"/>
        <w:ind w:right="248" w:firstLine="480"/>
        <w:rPr>
          <w:rFonts w:ascii="宋体" w:hAnsi="宋体" w:cs="宋体"/>
          <w:color w:val="auto"/>
          <w:sz w:val="24"/>
        </w:rPr>
      </w:pPr>
      <w:r>
        <w:rPr>
          <w:rFonts w:hint="eastAsia" w:ascii="宋体" w:hAnsi="宋体" w:cs="宋体"/>
          <w:color w:val="auto"/>
          <w:sz w:val="24"/>
        </w:rPr>
        <w:t>(2）按第11.3款约定，确定延长完工期限；</w:t>
      </w:r>
    </w:p>
    <w:p>
      <w:pPr>
        <w:spacing w:line="312" w:lineRule="auto"/>
        <w:ind w:right="248" w:firstLine="480"/>
        <w:rPr>
          <w:rFonts w:ascii="宋体" w:hAnsi="宋体" w:cs="宋体"/>
          <w:color w:val="auto"/>
          <w:sz w:val="24"/>
        </w:rPr>
      </w:pPr>
      <w:r>
        <w:rPr>
          <w:rFonts w:hint="eastAsia" w:ascii="宋体" w:hAnsi="宋体" w:cs="宋体"/>
          <w:color w:val="auto"/>
          <w:sz w:val="24"/>
        </w:rPr>
        <w:t>(3）按第15.6款约定，批准暂列金额的使用；</w:t>
      </w:r>
    </w:p>
    <w:p>
      <w:pPr>
        <w:spacing w:line="312" w:lineRule="auto"/>
        <w:ind w:right="248" w:firstLine="480"/>
        <w:rPr>
          <w:rFonts w:ascii="宋体" w:hAnsi="宋体" w:cs="宋体"/>
          <w:color w:val="auto"/>
          <w:sz w:val="24"/>
        </w:rPr>
      </w:pPr>
      <w:r>
        <w:rPr>
          <w:rFonts w:hint="eastAsia" w:ascii="宋体" w:hAnsi="宋体" w:cs="宋体"/>
          <w:color w:val="auto"/>
          <w:sz w:val="24"/>
        </w:rPr>
        <w:t xml:space="preserve">(4）… … </w:t>
      </w:r>
    </w:p>
    <w:p>
      <w:pPr>
        <w:spacing w:line="312" w:lineRule="auto"/>
        <w:rPr>
          <w:rFonts w:ascii="宋体" w:hAnsi="宋体" w:cs="宋体"/>
          <w:b/>
          <w:color w:val="auto"/>
          <w:sz w:val="24"/>
        </w:rPr>
      </w:pPr>
      <w:r>
        <w:rPr>
          <w:rFonts w:hint="eastAsia" w:ascii="宋体" w:hAnsi="宋体" w:cs="宋体"/>
          <w:b/>
          <w:color w:val="auto"/>
          <w:sz w:val="24"/>
        </w:rPr>
        <w:t>4  承包人</w:t>
      </w:r>
      <w:bookmarkEnd w:id="242"/>
      <w:bookmarkEnd w:id="243"/>
      <w:bookmarkEnd w:id="244"/>
      <w:bookmarkEnd w:id="245"/>
      <w:bookmarkEnd w:id="246"/>
      <w:bookmarkEnd w:id="247"/>
    </w:p>
    <w:p>
      <w:pPr>
        <w:spacing w:line="312" w:lineRule="auto"/>
        <w:rPr>
          <w:rFonts w:ascii="宋体" w:hAnsi="宋体" w:cs="宋体"/>
          <w:b/>
          <w:bCs/>
          <w:color w:val="auto"/>
          <w:sz w:val="24"/>
        </w:rPr>
      </w:pPr>
      <w:bookmarkStart w:id="248" w:name="_Toc221951151"/>
      <w:r>
        <w:rPr>
          <w:rFonts w:hint="eastAsia" w:ascii="宋体" w:hAnsi="宋体" w:cs="宋体"/>
          <w:b/>
          <w:bCs/>
          <w:color w:val="auto"/>
          <w:sz w:val="24"/>
        </w:rPr>
        <w:t>4.1  承包人的一般义务</w:t>
      </w:r>
      <w:bookmarkEnd w:id="248"/>
    </w:p>
    <w:p>
      <w:pPr>
        <w:spacing w:line="312" w:lineRule="auto"/>
        <w:ind w:right="248" w:firstLine="480"/>
        <w:rPr>
          <w:rFonts w:ascii="宋体" w:hAnsi="宋体" w:cs="宋体"/>
          <w:color w:val="auto"/>
          <w:sz w:val="24"/>
        </w:rPr>
      </w:pPr>
      <w:bookmarkStart w:id="249" w:name="_Toc221951152"/>
      <w:r>
        <w:rPr>
          <w:rFonts w:hint="eastAsia" w:ascii="宋体" w:hAnsi="宋体" w:cs="宋体"/>
          <w:color w:val="auto"/>
          <w:sz w:val="24"/>
        </w:rPr>
        <w:t>4.1.1承包人项目班子其他成员：</w:t>
      </w:r>
    </w:p>
    <w:p>
      <w:pPr>
        <w:spacing w:line="312" w:lineRule="auto"/>
        <w:ind w:right="248" w:firstLine="480"/>
        <w:rPr>
          <w:rFonts w:ascii="宋体" w:hAnsi="宋体" w:cs="宋体"/>
          <w:color w:val="auto"/>
          <w:sz w:val="24"/>
        </w:rPr>
      </w:pPr>
      <w:r>
        <w:rPr>
          <w:rFonts w:hint="eastAsia" w:ascii="宋体" w:hAnsi="宋体" w:cs="宋体"/>
          <w:color w:val="auto"/>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color w:val="auto"/>
          <w:sz w:val="24"/>
        </w:rPr>
      </w:pPr>
      <w:r>
        <w:rPr>
          <w:rFonts w:hint="eastAsia" w:ascii="宋体" w:hAnsi="宋体" w:cs="宋体"/>
          <w:color w:val="auto"/>
          <w:sz w:val="24"/>
        </w:rPr>
        <w:t>4.1.10  其他义务</w:t>
      </w:r>
      <w:bookmarkEnd w:id="249"/>
    </w:p>
    <w:p>
      <w:pPr>
        <w:spacing w:line="312" w:lineRule="auto"/>
        <w:ind w:right="248" w:firstLine="480"/>
        <w:rPr>
          <w:rFonts w:ascii="宋体" w:hAnsi="宋体" w:cs="宋体"/>
          <w:color w:val="auto"/>
          <w:sz w:val="24"/>
        </w:rPr>
      </w:pPr>
      <w:r>
        <w:rPr>
          <w:rFonts w:hint="eastAsia" w:ascii="宋体" w:hAnsi="宋体" w:cs="宋体"/>
          <w:color w:val="auto"/>
          <w:sz w:val="24"/>
        </w:rPr>
        <w:t>　（1）… …</w:t>
      </w:r>
    </w:p>
    <w:p>
      <w:pPr>
        <w:spacing w:line="312" w:lineRule="auto"/>
        <w:ind w:right="248" w:firstLine="480"/>
        <w:rPr>
          <w:rFonts w:ascii="宋体" w:hAnsi="宋体" w:cs="宋体"/>
          <w:color w:val="auto"/>
          <w:sz w:val="24"/>
        </w:rPr>
      </w:pPr>
      <w:r>
        <w:rPr>
          <w:rFonts w:hint="eastAsia" w:ascii="宋体" w:hAnsi="宋体" w:cs="宋体"/>
          <w:color w:val="auto"/>
          <w:sz w:val="24"/>
        </w:rPr>
        <w:t>　（2）… …</w:t>
      </w:r>
    </w:p>
    <w:p>
      <w:pPr>
        <w:spacing w:line="312" w:lineRule="auto"/>
        <w:rPr>
          <w:rFonts w:ascii="宋体" w:hAnsi="宋体" w:cs="宋体"/>
          <w:b/>
          <w:bCs/>
          <w:color w:val="auto"/>
          <w:sz w:val="24"/>
        </w:rPr>
      </w:pPr>
      <w:bookmarkStart w:id="250" w:name="_Toc221951153"/>
      <w:r>
        <w:rPr>
          <w:rFonts w:hint="eastAsia" w:ascii="宋体" w:hAnsi="宋体" w:cs="宋体"/>
          <w:b/>
          <w:bCs/>
          <w:color w:val="auto"/>
          <w:sz w:val="24"/>
        </w:rPr>
        <w:t>4.3  分包</w:t>
      </w:r>
      <w:bookmarkEnd w:id="250"/>
    </w:p>
    <w:p>
      <w:pPr>
        <w:spacing w:line="312" w:lineRule="auto"/>
        <w:ind w:right="248" w:firstLine="360" w:firstLineChars="150"/>
        <w:rPr>
          <w:rFonts w:ascii="宋体" w:hAnsi="宋体" w:cs="宋体"/>
          <w:bCs/>
          <w:color w:val="auto"/>
          <w:sz w:val="24"/>
        </w:rPr>
      </w:pPr>
      <w:bookmarkStart w:id="251" w:name="_Toc221951154"/>
      <w:r>
        <w:rPr>
          <w:rFonts w:hint="eastAsia" w:ascii="宋体" w:hAnsi="宋体" w:cs="宋体"/>
          <w:bCs/>
          <w:color w:val="auto"/>
          <w:sz w:val="24"/>
        </w:rPr>
        <w:t>4.3.2  允许承包人分包的工程项目、工作内容与</w:t>
      </w:r>
      <w:r>
        <w:rPr>
          <w:rFonts w:hint="eastAsia" w:ascii="宋体" w:hAnsi="宋体" w:cs="宋体"/>
          <w:color w:val="auto"/>
          <w:sz w:val="24"/>
          <w:lang w:val="zh-CN"/>
        </w:rPr>
        <w:t>分包金额</w:t>
      </w:r>
      <w:r>
        <w:rPr>
          <w:rFonts w:hint="eastAsia" w:ascii="宋体" w:hAnsi="宋体" w:cs="宋体"/>
          <w:bCs/>
          <w:color w:val="auto"/>
          <w:sz w:val="24"/>
        </w:rPr>
        <w:t>限额为：</w:t>
      </w:r>
      <w:bookmarkEnd w:id="251"/>
    </w:p>
    <w:p>
      <w:pPr>
        <w:pStyle w:val="19"/>
        <w:spacing w:line="312" w:lineRule="auto"/>
        <w:ind w:left="0" w:leftChars="0" w:right="248"/>
        <w:rPr>
          <w:rFonts w:ascii="宋体" w:hAnsi="宋体" w:cs="宋体"/>
          <w:bCs/>
          <w:color w:val="auto"/>
          <w:sz w:val="24"/>
        </w:rPr>
      </w:pPr>
      <w:r>
        <w:rPr>
          <w:rFonts w:hint="eastAsia" w:ascii="宋体" w:hAnsi="宋体" w:cs="宋体"/>
          <w:b/>
          <w:color w:val="auto"/>
          <w:sz w:val="24"/>
        </w:rPr>
        <w:t xml:space="preserve">  </w:t>
      </w:r>
      <w:bookmarkStart w:id="252" w:name="_Toc221951155"/>
      <w:r>
        <w:rPr>
          <w:rFonts w:hint="eastAsia" w:ascii="宋体" w:hAnsi="宋体" w:cs="宋体"/>
          <w:color w:val="auto"/>
          <w:sz w:val="24"/>
        </w:rPr>
        <w:t>（</w:t>
      </w:r>
      <w:r>
        <w:rPr>
          <w:rFonts w:hint="eastAsia" w:ascii="宋体" w:hAnsi="宋体" w:cs="宋体"/>
          <w:bCs/>
          <w:color w:val="auto"/>
          <w:sz w:val="24"/>
        </w:rPr>
        <w:t>1）工程项目：</w:t>
      </w:r>
      <w:r>
        <w:rPr>
          <w:rFonts w:hint="eastAsia" w:ascii="宋体" w:hAnsi="宋体" w:cs="宋体"/>
          <w:bCs/>
          <w:color w:val="auto"/>
          <w:sz w:val="24"/>
          <w:u w:val="single"/>
        </w:rPr>
        <w:t xml:space="preserve">                                                </w:t>
      </w:r>
      <w:r>
        <w:rPr>
          <w:rFonts w:hint="eastAsia" w:ascii="宋体" w:hAnsi="宋体" w:cs="宋体"/>
          <w:bCs/>
          <w:color w:val="auto"/>
          <w:sz w:val="24"/>
        </w:rPr>
        <w:t>。</w:t>
      </w:r>
      <w:bookmarkEnd w:id="252"/>
    </w:p>
    <w:p>
      <w:pPr>
        <w:pStyle w:val="19"/>
        <w:spacing w:line="312" w:lineRule="auto"/>
        <w:ind w:left="0" w:leftChars="0" w:right="248" w:firstLine="120" w:firstLineChars="50"/>
        <w:rPr>
          <w:rFonts w:ascii="宋体" w:hAnsi="宋体" w:cs="宋体"/>
          <w:bCs/>
          <w:color w:val="auto"/>
          <w:sz w:val="24"/>
        </w:rPr>
      </w:pPr>
      <w:r>
        <w:rPr>
          <w:rFonts w:hint="eastAsia" w:ascii="宋体" w:hAnsi="宋体" w:cs="宋体"/>
          <w:bCs/>
          <w:color w:val="auto"/>
          <w:sz w:val="24"/>
        </w:rPr>
        <w:t xml:space="preserve"> </w:t>
      </w:r>
      <w:bookmarkStart w:id="253" w:name="_Toc221951156"/>
      <w:r>
        <w:rPr>
          <w:rFonts w:hint="eastAsia" w:ascii="宋体" w:hAnsi="宋体" w:cs="宋体"/>
          <w:bCs/>
          <w:color w:val="auto"/>
          <w:sz w:val="24"/>
        </w:rPr>
        <w:t>（2）工作内容：</w:t>
      </w:r>
      <w:r>
        <w:rPr>
          <w:rFonts w:hint="eastAsia" w:ascii="宋体" w:hAnsi="宋体" w:cs="宋体"/>
          <w:bCs/>
          <w:color w:val="auto"/>
          <w:sz w:val="24"/>
          <w:u w:val="single"/>
        </w:rPr>
        <w:t xml:space="preserve">                                                </w:t>
      </w:r>
      <w:r>
        <w:rPr>
          <w:rFonts w:hint="eastAsia" w:ascii="宋体" w:hAnsi="宋体" w:cs="宋体"/>
          <w:bCs/>
          <w:color w:val="auto"/>
          <w:sz w:val="24"/>
        </w:rPr>
        <w:t>。</w:t>
      </w:r>
      <w:bookmarkEnd w:id="253"/>
    </w:p>
    <w:p>
      <w:pPr>
        <w:pStyle w:val="19"/>
        <w:spacing w:line="312" w:lineRule="auto"/>
        <w:ind w:left="0" w:leftChars="0" w:right="248" w:firstLine="240" w:firstLineChars="100"/>
        <w:rPr>
          <w:rFonts w:ascii="宋体" w:hAnsi="宋体" w:cs="宋体"/>
          <w:color w:val="auto"/>
          <w:sz w:val="24"/>
        </w:rPr>
      </w:pPr>
      <w:bookmarkStart w:id="254" w:name="_Toc221951157"/>
      <w:r>
        <w:rPr>
          <w:rFonts w:hint="eastAsia" w:ascii="宋体" w:hAnsi="宋体" w:cs="宋体"/>
          <w:color w:val="auto"/>
          <w:sz w:val="24"/>
        </w:rPr>
        <w:t>（3）分包金额限额：</w:t>
      </w:r>
      <w:r>
        <w:rPr>
          <w:rFonts w:hint="eastAsia" w:ascii="宋体" w:hAnsi="宋体" w:cs="宋体"/>
          <w:color w:val="auto"/>
          <w:sz w:val="24"/>
          <w:u w:val="single"/>
        </w:rPr>
        <w:t xml:space="preserve">                                   </w:t>
      </w:r>
      <w:r>
        <w:rPr>
          <w:rFonts w:hint="eastAsia" w:ascii="宋体" w:hAnsi="宋体" w:cs="宋体"/>
          <w:color w:val="auto"/>
          <w:sz w:val="24"/>
        </w:rPr>
        <w:t>。</w:t>
      </w:r>
      <w:bookmarkEnd w:id="254"/>
    </w:p>
    <w:p>
      <w:pPr>
        <w:pStyle w:val="19"/>
        <w:spacing w:line="312" w:lineRule="auto"/>
        <w:ind w:left="0" w:leftChars="0" w:right="248" w:firstLine="360" w:firstLineChars="150"/>
        <w:rPr>
          <w:rFonts w:ascii="宋体" w:hAnsi="宋体" w:cs="宋体"/>
          <w:bCs/>
          <w:color w:val="auto"/>
          <w:sz w:val="24"/>
        </w:rPr>
      </w:pPr>
      <w:r>
        <w:rPr>
          <w:rFonts w:hint="eastAsia" w:ascii="宋体" w:hAnsi="宋体" w:cs="宋体"/>
          <w:color w:val="auto"/>
          <w:sz w:val="24"/>
        </w:rPr>
        <w:t>4.3.10 分包人项目管理机构的设立：</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bookmarkStart w:id="255" w:name="_Toc221951158"/>
      <w:r>
        <w:rPr>
          <w:rFonts w:hint="eastAsia" w:ascii="宋体" w:hAnsi="宋体" w:cs="宋体"/>
          <w:b/>
          <w:bCs/>
          <w:color w:val="auto"/>
          <w:sz w:val="24"/>
        </w:rPr>
        <w:t>4.11  不利物质条件</w:t>
      </w:r>
      <w:bookmarkEnd w:id="255"/>
    </w:p>
    <w:p>
      <w:pPr>
        <w:spacing w:line="312" w:lineRule="auto"/>
        <w:ind w:right="248" w:firstLine="360" w:firstLineChars="150"/>
        <w:rPr>
          <w:rFonts w:ascii="宋体" w:hAnsi="宋体" w:cs="宋体"/>
          <w:color w:val="auto"/>
          <w:sz w:val="24"/>
        </w:rPr>
      </w:pPr>
      <w:bookmarkStart w:id="256" w:name="_Toc221951159"/>
      <w:r>
        <w:rPr>
          <w:rFonts w:hint="eastAsia" w:ascii="宋体" w:hAnsi="宋体" w:cs="宋体"/>
          <w:color w:val="auto"/>
          <w:sz w:val="24"/>
        </w:rPr>
        <w:t>4.11.1 不利物质条件的范围：</w:t>
      </w:r>
      <w:r>
        <w:rPr>
          <w:rFonts w:hint="eastAsia" w:ascii="宋体" w:hAnsi="宋体" w:cs="宋体"/>
          <w:color w:val="auto"/>
          <w:sz w:val="24"/>
          <w:u w:val="single"/>
        </w:rPr>
        <w:t xml:space="preserve">                                            </w:t>
      </w:r>
      <w:r>
        <w:rPr>
          <w:rFonts w:hint="eastAsia" w:ascii="宋体" w:hAnsi="宋体" w:cs="宋体"/>
          <w:color w:val="auto"/>
          <w:sz w:val="24"/>
        </w:rPr>
        <w:t>。</w:t>
      </w:r>
      <w:bookmarkEnd w:id="256"/>
    </w:p>
    <w:p>
      <w:pPr>
        <w:spacing w:line="312" w:lineRule="auto"/>
        <w:rPr>
          <w:rFonts w:ascii="宋体" w:hAnsi="宋体" w:cs="宋体"/>
          <w:b/>
          <w:color w:val="auto"/>
          <w:sz w:val="24"/>
        </w:rPr>
      </w:pPr>
      <w:bookmarkStart w:id="257" w:name="_Toc222031033"/>
      <w:bookmarkStart w:id="258" w:name="_Toc222029531"/>
      <w:bookmarkStart w:id="259" w:name="_Toc222033882"/>
      <w:bookmarkStart w:id="260" w:name="_Toc222032700"/>
      <w:bookmarkStart w:id="261" w:name="_Toc229305391"/>
      <w:bookmarkStart w:id="262" w:name="_Toc221951160"/>
      <w:r>
        <w:rPr>
          <w:rFonts w:hint="eastAsia" w:ascii="宋体" w:hAnsi="宋体" w:cs="宋体"/>
          <w:b/>
          <w:color w:val="auto"/>
          <w:sz w:val="24"/>
        </w:rPr>
        <w:t>5  材料和工程设备</w:t>
      </w:r>
      <w:bookmarkEnd w:id="257"/>
      <w:bookmarkEnd w:id="258"/>
      <w:bookmarkEnd w:id="259"/>
      <w:bookmarkEnd w:id="260"/>
      <w:bookmarkEnd w:id="261"/>
      <w:bookmarkEnd w:id="262"/>
    </w:p>
    <w:p>
      <w:pPr>
        <w:spacing w:line="312" w:lineRule="auto"/>
        <w:rPr>
          <w:rFonts w:ascii="宋体" w:hAnsi="宋体" w:cs="宋体"/>
          <w:b/>
          <w:bCs/>
          <w:color w:val="auto"/>
          <w:sz w:val="24"/>
        </w:rPr>
      </w:pPr>
      <w:bookmarkStart w:id="263" w:name="_Toc221951161"/>
      <w:r>
        <w:rPr>
          <w:rFonts w:hint="eastAsia" w:ascii="宋体" w:hAnsi="宋体" w:cs="宋体"/>
          <w:b/>
          <w:bCs/>
          <w:color w:val="auto"/>
          <w:sz w:val="24"/>
        </w:rPr>
        <w:t xml:space="preserve">5.2  </w:t>
      </w:r>
      <w:bookmarkEnd w:id="263"/>
      <w:r>
        <w:rPr>
          <w:rFonts w:hint="eastAsia" w:ascii="宋体" w:hAnsi="宋体" w:cs="宋体"/>
          <w:b/>
          <w:bCs/>
          <w:color w:val="auto"/>
          <w:sz w:val="24"/>
        </w:rPr>
        <w:t>发包人提供的材料和工程设备</w:t>
      </w:r>
    </w:p>
    <w:p>
      <w:pPr>
        <w:spacing w:line="312" w:lineRule="auto"/>
        <w:ind w:firstLine="360" w:firstLineChars="150"/>
        <w:rPr>
          <w:rFonts w:ascii="宋体" w:hAnsi="宋体" w:cs="宋体"/>
          <w:color w:val="auto"/>
          <w:sz w:val="24"/>
        </w:rPr>
      </w:pPr>
      <w:r>
        <w:rPr>
          <w:rFonts w:hint="eastAsia" w:ascii="宋体" w:hAnsi="宋体" w:cs="宋体"/>
          <w:color w:val="auto"/>
          <w:sz w:val="24"/>
        </w:rPr>
        <w:t>5.2.1 发包人提</w:t>
      </w:r>
      <w:r>
        <w:rPr>
          <w:rFonts w:hint="eastAsia" w:ascii="宋体" w:hAnsi="宋体" w:cs="宋体"/>
          <w:bCs/>
          <w:color w:val="auto"/>
          <w:sz w:val="24"/>
        </w:rPr>
        <w:t>供的材料和工程设备</w:t>
      </w:r>
      <w:r>
        <w:rPr>
          <w:rFonts w:hint="eastAsia" w:ascii="宋体" w:hAnsi="宋体" w:cs="宋体"/>
          <w:color w:val="auto"/>
          <w:sz w:val="24"/>
        </w:rPr>
        <w:t>见下表：</w:t>
      </w:r>
    </w:p>
    <w:p>
      <w:pPr>
        <w:spacing w:line="312" w:lineRule="auto"/>
        <w:ind w:right="248" w:firstLine="2800" w:firstLineChars="1167"/>
        <w:rPr>
          <w:rFonts w:ascii="宋体" w:hAnsi="宋体" w:cs="宋体"/>
          <w:color w:val="auto"/>
          <w:sz w:val="24"/>
        </w:rPr>
      </w:pPr>
      <w:r>
        <w:rPr>
          <w:rFonts w:hint="eastAsia" w:ascii="宋体" w:hAnsi="宋体" w:cs="宋体"/>
          <w:b/>
          <w:color w:val="auto"/>
          <w:sz w:val="24"/>
        </w:rPr>
        <w:t>发包人提供的主要材料表(</w:t>
      </w:r>
      <w:r>
        <w:rPr>
          <w:rFonts w:hint="eastAsia" w:ascii="宋体" w:hAnsi="宋体" w:cs="宋体"/>
          <w:color w:val="auto"/>
          <w:sz w:val="24"/>
        </w:rPr>
        <w:t>参考格式</w:t>
      </w:r>
      <w:r>
        <w:rPr>
          <w:rFonts w:hint="eastAsia" w:ascii="宋体" w:hAnsi="宋体" w:cs="宋体"/>
          <w:b/>
          <w:color w:val="auto"/>
          <w:sz w:val="24"/>
        </w:rPr>
        <w:t>)</w:t>
      </w:r>
    </w:p>
    <w:tbl>
      <w:tblPr>
        <w:tblStyle w:val="33"/>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材料名称</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材料规格</w:t>
            </w:r>
          </w:p>
        </w:tc>
        <w:tc>
          <w:tcPr>
            <w:tcW w:w="763" w:type="dxa"/>
          </w:tcPr>
          <w:p>
            <w:pPr>
              <w:spacing w:line="312" w:lineRule="auto"/>
              <w:ind w:right="-33"/>
              <w:jc w:val="center"/>
              <w:rPr>
                <w:rFonts w:ascii="宋体" w:hAnsi="宋体" w:cs="宋体"/>
                <w:color w:val="auto"/>
                <w:sz w:val="24"/>
              </w:rPr>
            </w:pPr>
            <w:r>
              <w:rPr>
                <w:rFonts w:hint="eastAsia" w:ascii="宋体" w:hAnsi="宋体" w:cs="宋体"/>
                <w:color w:val="auto"/>
                <w:sz w:val="24"/>
              </w:rPr>
              <w:t>数量</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交货地点</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交货方式</w:t>
            </w:r>
          </w:p>
        </w:tc>
        <w:tc>
          <w:tcPr>
            <w:tcW w:w="1596" w:type="dxa"/>
          </w:tcPr>
          <w:p>
            <w:pPr>
              <w:spacing w:line="312" w:lineRule="auto"/>
              <w:jc w:val="center"/>
              <w:rPr>
                <w:rFonts w:ascii="宋体" w:hAnsi="宋体" w:cs="宋体"/>
                <w:color w:val="auto"/>
                <w:sz w:val="24"/>
              </w:rPr>
            </w:pPr>
            <w:r>
              <w:rPr>
                <w:rFonts w:hint="eastAsia" w:ascii="宋体" w:hAnsi="宋体" w:cs="宋体"/>
                <w:color w:val="auto"/>
                <w:sz w:val="24"/>
              </w:rPr>
              <w:t>计划交货日期</w:t>
            </w:r>
          </w:p>
        </w:tc>
        <w:tc>
          <w:tcPr>
            <w:tcW w:w="796" w:type="dxa"/>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bl>
    <w:p>
      <w:pPr>
        <w:spacing w:line="312" w:lineRule="auto"/>
        <w:ind w:right="248"/>
        <w:rPr>
          <w:rFonts w:ascii="宋体" w:hAnsi="宋体" w:cs="宋体"/>
          <w:b/>
          <w:color w:val="auto"/>
          <w:sz w:val="24"/>
        </w:rPr>
      </w:pPr>
    </w:p>
    <w:p>
      <w:pPr>
        <w:pStyle w:val="32"/>
        <w:ind w:firstLine="210"/>
        <w:rPr>
          <w:color w:val="auto"/>
        </w:rPr>
      </w:pPr>
    </w:p>
    <w:p>
      <w:pPr>
        <w:spacing w:line="312" w:lineRule="auto"/>
        <w:ind w:right="248"/>
        <w:jc w:val="center"/>
        <w:rPr>
          <w:rFonts w:ascii="宋体" w:hAnsi="宋体" w:cs="宋体"/>
          <w:color w:val="auto"/>
          <w:sz w:val="24"/>
        </w:rPr>
      </w:pPr>
      <w:r>
        <w:rPr>
          <w:rFonts w:hint="eastAsia" w:ascii="宋体" w:hAnsi="宋体" w:cs="宋体"/>
          <w:b/>
          <w:color w:val="auto"/>
          <w:sz w:val="24"/>
        </w:rPr>
        <w:t>发包人提供的工程设备表(</w:t>
      </w:r>
      <w:r>
        <w:rPr>
          <w:rFonts w:hint="eastAsia" w:ascii="宋体" w:hAnsi="宋体" w:cs="宋体"/>
          <w:color w:val="auto"/>
          <w:sz w:val="24"/>
        </w:rPr>
        <w:t>参考格式</w:t>
      </w:r>
      <w:r>
        <w:rPr>
          <w:rFonts w:hint="eastAsia" w:ascii="宋体" w:hAnsi="宋体" w:cs="宋体"/>
          <w:b/>
          <w:color w:val="auto"/>
          <w:sz w:val="24"/>
        </w:rPr>
        <w:t>)</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596" w:type="dxa"/>
          </w:tcPr>
          <w:p>
            <w:pPr>
              <w:spacing w:line="312" w:lineRule="auto"/>
              <w:jc w:val="center"/>
              <w:rPr>
                <w:rFonts w:ascii="宋体" w:hAnsi="宋体" w:cs="宋体"/>
                <w:color w:val="auto"/>
                <w:sz w:val="24"/>
              </w:rPr>
            </w:pPr>
            <w:r>
              <w:rPr>
                <w:rFonts w:hint="eastAsia" w:ascii="宋体" w:hAnsi="宋体" w:cs="宋体"/>
                <w:color w:val="auto"/>
                <w:sz w:val="24"/>
              </w:rPr>
              <w:t>工程设备名称</w:t>
            </w:r>
          </w:p>
        </w:tc>
        <w:tc>
          <w:tcPr>
            <w:tcW w:w="1396" w:type="dxa"/>
          </w:tcPr>
          <w:p>
            <w:pPr>
              <w:spacing w:line="312" w:lineRule="auto"/>
              <w:jc w:val="center"/>
              <w:rPr>
                <w:rFonts w:ascii="宋体" w:hAnsi="宋体" w:cs="宋体"/>
                <w:color w:val="auto"/>
                <w:sz w:val="24"/>
              </w:rPr>
            </w:pPr>
            <w:r>
              <w:rPr>
                <w:rFonts w:hint="eastAsia" w:ascii="宋体" w:hAnsi="宋体" w:cs="宋体"/>
                <w:color w:val="auto"/>
                <w:sz w:val="24"/>
              </w:rPr>
              <w:t>型号及规格</w:t>
            </w:r>
          </w:p>
        </w:tc>
        <w:tc>
          <w:tcPr>
            <w:tcW w:w="763" w:type="dxa"/>
          </w:tcPr>
          <w:p>
            <w:pPr>
              <w:spacing w:line="312" w:lineRule="auto"/>
              <w:ind w:right="-33"/>
              <w:jc w:val="center"/>
              <w:rPr>
                <w:rFonts w:ascii="宋体" w:hAnsi="宋体" w:cs="宋体"/>
                <w:color w:val="auto"/>
                <w:sz w:val="24"/>
              </w:rPr>
            </w:pPr>
            <w:r>
              <w:rPr>
                <w:rFonts w:hint="eastAsia" w:ascii="宋体" w:hAnsi="宋体" w:cs="宋体"/>
                <w:color w:val="auto"/>
                <w:sz w:val="24"/>
              </w:rPr>
              <w:t>数量</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交货地点</w:t>
            </w:r>
          </w:p>
        </w:tc>
        <w:tc>
          <w:tcPr>
            <w:tcW w:w="1196" w:type="dxa"/>
          </w:tcPr>
          <w:p>
            <w:pPr>
              <w:spacing w:line="312" w:lineRule="auto"/>
              <w:jc w:val="center"/>
              <w:rPr>
                <w:rFonts w:ascii="宋体" w:hAnsi="宋体" w:cs="宋体"/>
                <w:color w:val="auto"/>
                <w:sz w:val="24"/>
              </w:rPr>
            </w:pPr>
            <w:r>
              <w:rPr>
                <w:rFonts w:hint="eastAsia" w:ascii="宋体" w:hAnsi="宋体" w:cs="宋体"/>
                <w:color w:val="auto"/>
                <w:sz w:val="24"/>
              </w:rPr>
              <w:t>交货方式</w:t>
            </w:r>
          </w:p>
        </w:tc>
        <w:tc>
          <w:tcPr>
            <w:tcW w:w="1550" w:type="dxa"/>
          </w:tcPr>
          <w:p>
            <w:pPr>
              <w:spacing w:line="312" w:lineRule="auto"/>
              <w:jc w:val="center"/>
              <w:rPr>
                <w:rFonts w:ascii="宋体" w:hAnsi="宋体" w:cs="宋体"/>
                <w:color w:val="auto"/>
                <w:sz w:val="24"/>
              </w:rPr>
            </w:pPr>
            <w:r>
              <w:rPr>
                <w:rFonts w:hint="eastAsia" w:ascii="宋体" w:hAnsi="宋体" w:cs="宋体"/>
                <w:color w:val="auto"/>
                <w:sz w:val="24"/>
              </w:rPr>
              <w:t>计划交货日期</w:t>
            </w:r>
          </w:p>
        </w:tc>
        <w:tc>
          <w:tcPr>
            <w:tcW w:w="796" w:type="dxa"/>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13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50"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13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50"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1396" w:type="dxa"/>
          </w:tcPr>
          <w:p>
            <w:pPr>
              <w:spacing w:line="312" w:lineRule="auto"/>
              <w:ind w:right="248"/>
              <w:jc w:val="center"/>
              <w:rPr>
                <w:rFonts w:ascii="宋体" w:hAnsi="宋体" w:cs="宋体"/>
                <w:color w:val="auto"/>
                <w:sz w:val="24"/>
              </w:rPr>
            </w:pPr>
          </w:p>
        </w:tc>
        <w:tc>
          <w:tcPr>
            <w:tcW w:w="763"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196" w:type="dxa"/>
          </w:tcPr>
          <w:p>
            <w:pPr>
              <w:spacing w:line="312" w:lineRule="auto"/>
              <w:ind w:right="248"/>
              <w:jc w:val="center"/>
              <w:rPr>
                <w:rFonts w:ascii="宋体" w:hAnsi="宋体" w:cs="宋体"/>
                <w:color w:val="auto"/>
                <w:sz w:val="24"/>
              </w:rPr>
            </w:pPr>
          </w:p>
        </w:tc>
        <w:tc>
          <w:tcPr>
            <w:tcW w:w="1550" w:type="dxa"/>
          </w:tcPr>
          <w:p>
            <w:pPr>
              <w:spacing w:line="312" w:lineRule="auto"/>
              <w:ind w:right="248"/>
              <w:jc w:val="center"/>
              <w:rPr>
                <w:rFonts w:ascii="宋体" w:hAnsi="宋体" w:cs="宋体"/>
                <w:color w:val="auto"/>
                <w:sz w:val="24"/>
              </w:rPr>
            </w:pPr>
          </w:p>
        </w:tc>
        <w:tc>
          <w:tcPr>
            <w:tcW w:w="796" w:type="dxa"/>
          </w:tcPr>
          <w:p>
            <w:pPr>
              <w:spacing w:line="312" w:lineRule="auto"/>
              <w:ind w:right="248"/>
              <w:jc w:val="center"/>
              <w:rPr>
                <w:rFonts w:ascii="宋体" w:hAnsi="宋体" w:cs="宋体"/>
                <w:color w:val="auto"/>
                <w:sz w:val="24"/>
              </w:rPr>
            </w:pPr>
          </w:p>
        </w:tc>
      </w:tr>
    </w:tbl>
    <w:p>
      <w:pPr>
        <w:spacing w:line="312" w:lineRule="auto"/>
        <w:rPr>
          <w:rFonts w:ascii="宋体" w:hAnsi="宋体" w:cs="宋体"/>
          <w:color w:val="auto"/>
          <w:sz w:val="24"/>
        </w:rPr>
      </w:pPr>
    </w:p>
    <w:p>
      <w:pPr>
        <w:spacing w:line="312" w:lineRule="auto"/>
        <w:rPr>
          <w:rFonts w:ascii="宋体" w:hAnsi="宋体" w:cs="宋体"/>
          <w:b/>
          <w:color w:val="auto"/>
          <w:sz w:val="24"/>
        </w:rPr>
      </w:pPr>
      <w:bookmarkStart w:id="264" w:name="_Toc221951166"/>
      <w:bookmarkStart w:id="265" w:name="_Toc222031034"/>
      <w:bookmarkStart w:id="266" w:name="_Toc229305392"/>
      <w:bookmarkStart w:id="267" w:name="_Toc222032701"/>
      <w:bookmarkStart w:id="268" w:name="_Toc222033883"/>
      <w:bookmarkStart w:id="269" w:name="_Toc222029532"/>
      <w:r>
        <w:rPr>
          <w:rFonts w:hint="eastAsia" w:ascii="宋体" w:hAnsi="宋体" w:cs="宋体"/>
          <w:b/>
          <w:color w:val="auto"/>
          <w:sz w:val="24"/>
        </w:rPr>
        <w:t>6  施工设备和临时设施</w:t>
      </w:r>
      <w:bookmarkEnd w:id="264"/>
      <w:bookmarkEnd w:id="265"/>
      <w:bookmarkEnd w:id="266"/>
      <w:bookmarkEnd w:id="267"/>
      <w:bookmarkEnd w:id="268"/>
      <w:bookmarkEnd w:id="269"/>
      <w:r>
        <w:rPr>
          <w:rFonts w:hint="eastAsia" w:ascii="宋体" w:hAnsi="宋体" w:cs="宋体"/>
          <w:b/>
          <w:color w:val="auto"/>
          <w:sz w:val="24"/>
        </w:rPr>
        <w:t xml:space="preserve"> </w:t>
      </w:r>
    </w:p>
    <w:p>
      <w:pPr>
        <w:spacing w:line="312" w:lineRule="auto"/>
        <w:rPr>
          <w:rFonts w:ascii="宋体" w:hAnsi="宋体" w:cs="宋体"/>
          <w:b/>
          <w:bCs/>
          <w:color w:val="auto"/>
          <w:sz w:val="24"/>
        </w:rPr>
      </w:pPr>
      <w:bookmarkStart w:id="270" w:name="_Toc221951167"/>
      <w:r>
        <w:rPr>
          <w:rFonts w:hint="eastAsia" w:ascii="宋体" w:hAnsi="宋体" w:cs="宋体"/>
          <w:b/>
          <w:bCs/>
          <w:color w:val="auto"/>
          <w:sz w:val="24"/>
        </w:rPr>
        <w:t>6.2  发包人提供的施工设备和临时设施</w:t>
      </w:r>
      <w:bookmarkEnd w:id="270"/>
    </w:p>
    <w:p>
      <w:pPr>
        <w:spacing w:line="312" w:lineRule="auto"/>
        <w:ind w:right="248"/>
        <w:rPr>
          <w:rFonts w:ascii="宋体" w:hAnsi="宋体" w:cs="宋体"/>
          <w:bCs/>
          <w:color w:val="auto"/>
          <w:sz w:val="24"/>
        </w:rPr>
      </w:pPr>
      <w:bookmarkStart w:id="271" w:name="_Toc221951169"/>
      <w:r>
        <w:rPr>
          <w:rFonts w:hint="eastAsia" w:ascii="宋体" w:hAnsi="宋体" w:cs="宋体"/>
          <w:bCs/>
          <w:color w:val="auto"/>
          <w:sz w:val="24"/>
        </w:rPr>
        <w:t>（1）发包人提供的的施工设备见下表</w:t>
      </w:r>
      <w:bookmarkEnd w:id="271"/>
      <w:r>
        <w:rPr>
          <w:rFonts w:hint="eastAsia" w:ascii="宋体" w:hAnsi="宋体" w:cs="宋体"/>
          <w:bCs/>
          <w:color w:val="auto"/>
          <w:sz w:val="24"/>
        </w:rPr>
        <w:t>：</w:t>
      </w:r>
      <w:bookmarkStart w:id="272" w:name="_Toc221951170"/>
    </w:p>
    <w:p>
      <w:pPr>
        <w:spacing w:line="312" w:lineRule="auto"/>
        <w:ind w:right="248" w:firstLine="3146" w:firstLineChars="1311"/>
        <w:rPr>
          <w:rFonts w:ascii="宋体" w:hAnsi="宋体" w:cs="宋体"/>
          <w:color w:val="auto"/>
          <w:sz w:val="24"/>
        </w:rPr>
      </w:pPr>
      <w:r>
        <w:rPr>
          <w:rFonts w:hint="eastAsia" w:ascii="宋体" w:hAnsi="宋体" w:cs="宋体"/>
          <w:b/>
          <w:color w:val="auto"/>
          <w:sz w:val="24"/>
        </w:rPr>
        <w:t>发包人提供的施工设备表(</w:t>
      </w:r>
      <w:r>
        <w:rPr>
          <w:rFonts w:hint="eastAsia" w:ascii="宋体" w:hAnsi="宋体" w:cs="宋体"/>
          <w:color w:val="auto"/>
          <w:sz w:val="24"/>
        </w:rPr>
        <w:t>参考格式</w:t>
      </w:r>
      <w:r>
        <w:rPr>
          <w:rFonts w:hint="eastAsia" w:ascii="宋体" w:hAnsi="宋体" w:cs="宋体"/>
          <w:b/>
          <w:color w:val="auto"/>
          <w:sz w:val="24"/>
        </w:rPr>
        <w:t>)</w:t>
      </w:r>
      <w:bookmarkEnd w:id="272"/>
    </w:p>
    <w:tbl>
      <w:tblPr>
        <w:tblStyle w:val="33"/>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193" w:type="dxa"/>
            <w:vAlign w:val="center"/>
          </w:tcPr>
          <w:p>
            <w:pPr>
              <w:spacing w:line="312" w:lineRule="auto"/>
              <w:ind w:right="-3"/>
              <w:jc w:val="center"/>
              <w:rPr>
                <w:rFonts w:ascii="宋体" w:hAnsi="宋体" w:cs="宋体"/>
                <w:color w:val="auto"/>
                <w:sz w:val="24"/>
              </w:rPr>
            </w:pPr>
            <w:bookmarkStart w:id="273" w:name="_Toc221951171"/>
            <w:r>
              <w:rPr>
                <w:rFonts w:hint="eastAsia" w:ascii="宋体" w:hAnsi="宋体" w:cs="宋体"/>
                <w:color w:val="auto"/>
                <w:sz w:val="24"/>
              </w:rPr>
              <w:t>设备名称</w:t>
            </w:r>
            <w:bookmarkEnd w:id="273"/>
          </w:p>
        </w:tc>
        <w:tc>
          <w:tcPr>
            <w:tcW w:w="1396" w:type="dxa"/>
            <w:vAlign w:val="center"/>
          </w:tcPr>
          <w:p>
            <w:pPr>
              <w:spacing w:line="312" w:lineRule="auto"/>
              <w:jc w:val="center"/>
              <w:rPr>
                <w:rFonts w:ascii="宋体" w:hAnsi="宋体" w:cs="宋体"/>
                <w:color w:val="auto"/>
                <w:sz w:val="24"/>
              </w:rPr>
            </w:pPr>
            <w:bookmarkStart w:id="274" w:name="_Toc221951172"/>
            <w:r>
              <w:rPr>
                <w:rFonts w:hint="eastAsia" w:ascii="宋体" w:hAnsi="宋体" w:cs="宋体"/>
                <w:color w:val="auto"/>
                <w:sz w:val="24"/>
              </w:rPr>
              <w:t>型号及规格</w:t>
            </w:r>
            <w:bookmarkEnd w:id="274"/>
          </w:p>
        </w:tc>
        <w:tc>
          <w:tcPr>
            <w:tcW w:w="1196" w:type="dxa"/>
            <w:vAlign w:val="center"/>
          </w:tcPr>
          <w:p>
            <w:pPr>
              <w:spacing w:line="312" w:lineRule="auto"/>
              <w:jc w:val="center"/>
              <w:rPr>
                <w:rFonts w:ascii="宋体" w:hAnsi="宋体" w:cs="宋体"/>
                <w:color w:val="auto"/>
                <w:sz w:val="24"/>
              </w:rPr>
            </w:pPr>
            <w:bookmarkStart w:id="275" w:name="_Toc221951173"/>
            <w:r>
              <w:rPr>
                <w:rFonts w:hint="eastAsia" w:ascii="宋体" w:hAnsi="宋体" w:cs="宋体"/>
                <w:color w:val="auto"/>
                <w:sz w:val="24"/>
              </w:rPr>
              <w:t>设备状况</w:t>
            </w:r>
            <w:bookmarkEnd w:id="275"/>
          </w:p>
        </w:tc>
        <w:tc>
          <w:tcPr>
            <w:tcW w:w="763" w:type="dxa"/>
            <w:vAlign w:val="center"/>
          </w:tcPr>
          <w:p>
            <w:pPr>
              <w:spacing w:line="312" w:lineRule="auto"/>
              <w:ind w:right="-33"/>
              <w:jc w:val="center"/>
              <w:rPr>
                <w:rFonts w:ascii="宋体" w:hAnsi="宋体" w:cs="宋体"/>
                <w:color w:val="auto"/>
                <w:sz w:val="24"/>
              </w:rPr>
            </w:pPr>
            <w:bookmarkStart w:id="276" w:name="_Toc221951174"/>
            <w:r>
              <w:rPr>
                <w:rFonts w:hint="eastAsia" w:ascii="宋体" w:hAnsi="宋体" w:cs="宋体"/>
                <w:color w:val="auto"/>
                <w:sz w:val="24"/>
              </w:rPr>
              <w:t>数量</w:t>
            </w:r>
            <w:bookmarkEnd w:id="276"/>
          </w:p>
        </w:tc>
        <w:tc>
          <w:tcPr>
            <w:tcW w:w="1196" w:type="dxa"/>
            <w:vAlign w:val="center"/>
          </w:tcPr>
          <w:p>
            <w:pPr>
              <w:spacing w:line="312" w:lineRule="auto"/>
              <w:jc w:val="center"/>
              <w:rPr>
                <w:rFonts w:ascii="宋体" w:hAnsi="宋体" w:cs="宋体"/>
                <w:color w:val="auto"/>
                <w:sz w:val="24"/>
              </w:rPr>
            </w:pPr>
            <w:bookmarkStart w:id="277" w:name="_Toc221951175"/>
            <w:r>
              <w:rPr>
                <w:rFonts w:hint="eastAsia" w:ascii="宋体" w:hAnsi="宋体" w:cs="宋体"/>
                <w:color w:val="auto"/>
                <w:sz w:val="24"/>
              </w:rPr>
              <w:t>移交地点</w:t>
            </w:r>
            <w:bookmarkEnd w:id="277"/>
          </w:p>
        </w:tc>
        <w:tc>
          <w:tcPr>
            <w:tcW w:w="1596" w:type="dxa"/>
          </w:tcPr>
          <w:p>
            <w:pPr>
              <w:spacing w:line="312" w:lineRule="auto"/>
              <w:jc w:val="center"/>
              <w:rPr>
                <w:rFonts w:ascii="宋体" w:hAnsi="宋体" w:cs="宋体"/>
                <w:color w:val="auto"/>
                <w:sz w:val="24"/>
              </w:rPr>
            </w:pPr>
            <w:r>
              <w:rPr>
                <w:rFonts w:hint="eastAsia" w:ascii="宋体" w:hAnsi="宋体" w:cs="宋体"/>
                <w:color w:val="auto"/>
                <w:sz w:val="24"/>
              </w:rPr>
              <w:t>计划移交日期</w:t>
            </w:r>
          </w:p>
        </w:tc>
        <w:tc>
          <w:tcPr>
            <w:tcW w:w="796" w:type="dxa"/>
            <w:vAlign w:val="center"/>
          </w:tcPr>
          <w:p>
            <w:pPr>
              <w:spacing w:line="312" w:lineRule="auto"/>
              <w:jc w:val="center"/>
              <w:rPr>
                <w:rFonts w:ascii="宋体" w:hAnsi="宋体" w:cs="宋体"/>
                <w:color w:val="auto"/>
                <w:sz w:val="24"/>
              </w:rPr>
            </w:pPr>
            <w:bookmarkStart w:id="278" w:name="_Toc221951176"/>
            <w:r>
              <w:rPr>
                <w:rFonts w:hint="eastAsia" w:ascii="宋体" w:hAnsi="宋体" w:cs="宋体"/>
                <w:color w:val="auto"/>
                <w:sz w:val="24"/>
              </w:rPr>
              <w:t>备注</w:t>
            </w:r>
            <w:bookmarkEnd w:id="2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3" w:type="dxa"/>
            <w:vAlign w:val="center"/>
          </w:tcPr>
          <w:p>
            <w:pPr>
              <w:spacing w:line="312" w:lineRule="auto"/>
              <w:ind w:right="248"/>
              <w:jc w:val="center"/>
              <w:rPr>
                <w:rFonts w:ascii="宋体" w:hAnsi="宋体" w:cs="宋体"/>
                <w:color w:val="auto"/>
                <w:sz w:val="24"/>
              </w:rPr>
            </w:pPr>
          </w:p>
        </w:tc>
        <w:tc>
          <w:tcPr>
            <w:tcW w:w="1396"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763"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vAlign w:val="center"/>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3" w:type="dxa"/>
            <w:vAlign w:val="center"/>
          </w:tcPr>
          <w:p>
            <w:pPr>
              <w:spacing w:line="312" w:lineRule="auto"/>
              <w:ind w:right="248"/>
              <w:jc w:val="center"/>
              <w:rPr>
                <w:rFonts w:ascii="宋体" w:hAnsi="宋体" w:cs="宋体"/>
                <w:color w:val="auto"/>
                <w:sz w:val="24"/>
              </w:rPr>
            </w:pPr>
          </w:p>
        </w:tc>
        <w:tc>
          <w:tcPr>
            <w:tcW w:w="1396"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763"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vAlign w:val="center"/>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color w:val="auto"/>
                <w:sz w:val="24"/>
              </w:rPr>
            </w:pPr>
          </w:p>
        </w:tc>
        <w:tc>
          <w:tcPr>
            <w:tcW w:w="1193" w:type="dxa"/>
            <w:vAlign w:val="center"/>
          </w:tcPr>
          <w:p>
            <w:pPr>
              <w:spacing w:line="312" w:lineRule="auto"/>
              <w:ind w:right="248"/>
              <w:jc w:val="center"/>
              <w:rPr>
                <w:rFonts w:ascii="宋体" w:hAnsi="宋体" w:cs="宋体"/>
                <w:color w:val="auto"/>
                <w:sz w:val="24"/>
              </w:rPr>
            </w:pPr>
          </w:p>
        </w:tc>
        <w:tc>
          <w:tcPr>
            <w:tcW w:w="1396"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763" w:type="dxa"/>
            <w:vAlign w:val="center"/>
          </w:tcPr>
          <w:p>
            <w:pPr>
              <w:spacing w:line="312" w:lineRule="auto"/>
              <w:ind w:right="248"/>
              <w:jc w:val="center"/>
              <w:rPr>
                <w:rFonts w:ascii="宋体" w:hAnsi="宋体" w:cs="宋体"/>
                <w:color w:val="auto"/>
                <w:sz w:val="24"/>
              </w:rPr>
            </w:pPr>
          </w:p>
        </w:tc>
        <w:tc>
          <w:tcPr>
            <w:tcW w:w="1196" w:type="dxa"/>
            <w:vAlign w:val="center"/>
          </w:tcPr>
          <w:p>
            <w:pPr>
              <w:spacing w:line="312" w:lineRule="auto"/>
              <w:ind w:right="248"/>
              <w:jc w:val="center"/>
              <w:rPr>
                <w:rFonts w:ascii="宋体" w:hAnsi="宋体" w:cs="宋体"/>
                <w:color w:val="auto"/>
                <w:sz w:val="24"/>
              </w:rPr>
            </w:pPr>
          </w:p>
        </w:tc>
        <w:tc>
          <w:tcPr>
            <w:tcW w:w="1596" w:type="dxa"/>
          </w:tcPr>
          <w:p>
            <w:pPr>
              <w:spacing w:line="312" w:lineRule="auto"/>
              <w:ind w:right="248"/>
              <w:jc w:val="center"/>
              <w:rPr>
                <w:rFonts w:ascii="宋体" w:hAnsi="宋体" w:cs="宋体"/>
                <w:color w:val="auto"/>
                <w:sz w:val="24"/>
              </w:rPr>
            </w:pPr>
          </w:p>
        </w:tc>
        <w:tc>
          <w:tcPr>
            <w:tcW w:w="796" w:type="dxa"/>
            <w:vAlign w:val="center"/>
          </w:tcPr>
          <w:p>
            <w:pPr>
              <w:spacing w:line="312" w:lineRule="auto"/>
              <w:ind w:right="248"/>
              <w:jc w:val="center"/>
              <w:rPr>
                <w:rFonts w:ascii="宋体" w:hAnsi="宋体" w:cs="宋体"/>
                <w:color w:val="auto"/>
                <w:sz w:val="24"/>
              </w:rPr>
            </w:pPr>
          </w:p>
        </w:tc>
      </w:tr>
    </w:tbl>
    <w:p>
      <w:pPr>
        <w:pStyle w:val="29"/>
        <w:spacing w:line="312" w:lineRule="auto"/>
        <w:rPr>
          <w:rFonts w:ascii="宋体" w:hAnsi="宋体" w:cs="宋体"/>
          <w:color w:val="auto"/>
          <w:sz w:val="24"/>
        </w:rPr>
      </w:pPr>
      <w:bookmarkStart w:id="279" w:name="_Toc221951177"/>
      <w:r>
        <w:rPr>
          <w:rFonts w:hint="eastAsia" w:ascii="宋体" w:hAnsi="宋体" w:cs="宋体"/>
          <w:color w:val="auto"/>
          <w:sz w:val="24"/>
        </w:rPr>
        <w:t>注：设备状况栏内填写该设备的新旧程度、购进时间、已使用小时数和最近一次的大修时间。</w:t>
      </w:r>
      <w:bookmarkEnd w:id="279"/>
    </w:p>
    <w:p>
      <w:pPr>
        <w:spacing w:line="312" w:lineRule="auto"/>
        <w:ind w:right="248"/>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发包人提供的临时设施：</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80" w:name="_Toc222033884"/>
      <w:bookmarkStart w:id="281" w:name="_Toc222032702"/>
      <w:bookmarkStart w:id="282" w:name="_Toc222031035"/>
      <w:bookmarkStart w:id="283" w:name="_Toc222029533"/>
      <w:bookmarkStart w:id="284" w:name="_Toc221951178"/>
      <w:r>
        <w:rPr>
          <w:rFonts w:hint="eastAsia" w:ascii="宋体" w:hAnsi="宋体" w:cs="宋体"/>
          <w:b/>
          <w:color w:val="auto"/>
          <w:sz w:val="24"/>
        </w:rPr>
        <w:t>7  交通运输</w:t>
      </w:r>
      <w:bookmarkEnd w:id="280"/>
      <w:bookmarkEnd w:id="281"/>
      <w:bookmarkEnd w:id="282"/>
      <w:bookmarkEnd w:id="283"/>
      <w:bookmarkEnd w:id="284"/>
    </w:p>
    <w:p>
      <w:pPr>
        <w:spacing w:line="312" w:lineRule="auto"/>
        <w:rPr>
          <w:rFonts w:ascii="宋体" w:hAnsi="宋体" w:cs="宋体"/>
          <w:b/>
          <w:bCs/>
          <w:color w:val="auto"/>
          <w:sz w:val="24"/>
        </w:rPr>
      </w:pPr>
      <w:bookmarkStart w:id="285" w:name="_Toc221951179"/>
      <w:r>
        <w:rPr>
          <w:rFonts w:hint="eastAsia" w:ascii="宋体" w:hAnsi="宋体" w:cs="宋体"/>
          <w:b/>
          <w:bCs/>
          <w:color w:val="auto"/>
          <w:sz w:val="24"/>
        </w:rPr>
        <w:t>7.1  道路通行权和场外设施</w:t>
      </w:r>
      <w:bookmarkEnd w:id="285"/>
    </w:p>
    <w:p>
      <w:pPr>
        <w:spacing w:line="312" w:lineRule="auto"/>
        <w:ind w:right="248" w:firstLine="360" w:firstLineChars="150"/>
        <w:rPr>
          <w:rFonts w:ascii="宋体" w:hAnsi="宋体" w:cs="宋体"/>
          <w:color w:val="auto"/>
          <w:sz w:val="24"/>
        </w:rPr>
      </w:pPr>
      <w:r>
        <w:rPr>
          <w:rFonts w:hint="eastAsia" w:ascii="宋体" w:hAnsi="宋体" w:cs="宋体"/>
          <w:bCs/>
          <w:color w:val="auto"/>
          <w:sz w:val="24"/>
        </w:rPr>
        <w:t>道路通行权和场外设施的约定</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r>
        <w:rPr>
          <w:rFonts w:hint="eastAsia" w:ascii="宋体" w:hAnsi="宋体" w:cs="宋体"/>
          <w:b/>
          <w:color w:val="auto"/>
          <w:sz w:val="24"/>
        </w:rPr>
        <w:t xml:space="preserve">8 测量放线   </w:t>
      </w:r>
    </w:p>
    <w:p>
      <w:pPr>
        <w:spacing w:line="312" w:lineRule="auto"/>
        <w:rPr>
          <w:rFonts w:ascii="宋体" w:hAnsi="宋体" w:cs="宋体"/>
          <w:b/>
          <w:bCs/>
          <w:color w:val="auto"/>
          <w:sz w:val="24"/>
        </w:rPr>
      </w:pPr>
      <w:r>
        <w:rPr>
          <w:rFonts w:hint="eastAsia" w:ascii="宋体" w:hAnsi="宋体" w:cs="宋体"/>
          <w:b/>
          <w:bCs/>
          <w:color w:val="auto"/>
          <w:sz w:val="24"/>
        </w:rPr>
        <w:t>8.1施工控制网</w:t>
      </w:r>
    </w:p>
    <w:p>
      <w:pPr>
        <w:spacing w:line="312" w:lineRule="auto"/>
        <w:ind w:right="248" w:firstLine="360" w:firstLineChars="150"/>
        <w:rPr>
          <w:rFonts w:ascii="宋体" w:hAnsi="宋体" w:cs="宋体"/>
          <w:color w:val="auto"/>
          <w:sz w:val="24"/>
        </w:rPr>
      </w:pPr>
      <w:r>
        <w:rPr>
          <w:rFonts w:hint="eastAsia" w:ascii="宋体" w:hAnsi="宋体" w:cs="宋体"/>
          <w:bCs/>
          <w:color w:val="auto"/>
          <w:sz w:val="24"/>
        </w:rPr>
        <w:t>8.1.1 施工控制网的约定：</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r>
        <w:rPr>
          <w:rFonts w:hint="eastAsia" w:ascii="宋体" w:hAnsi="宋体" w:cs="宋体"/>
          <w:b/>
          <w:color w:val="auto"/>
          <w:sz w:val="24"/>
        </w:rPr>
        <w:t>9 施工安全、治安保卫和环境保护</w:t>
      </w:r>
    </w:p>
    <w:p>
      <w:pPr>
        <w:spacing w:line="312" w:lineRule="auto"/>
        <w:rPr>
          <w:rFonts w:ascii="宋体" w:hAnsi="宋体" w:cs="宋体"/>
          <w:b/>
          <w:bCs/>
          <w:color w:val="auto"/>
          <w:sz w:val="24"/>
        </w:rPr>
      </w:pPr>
      <w:r>
        <w:rPr>
          <w:rFonts w:hint="eastAsia" w:ascii="宋体" w:hAnsi="宋体" w:cs="宋体"/>
          <w:b/>
          <w:bCs/>
          <w:color w:val="auto"/>
          <w:sz w:val="24"/>
        </w:rPr>
        <w:t>9.1 发包人的施工安全责任</w:t>
      </w:r>
    </w:p>
    <w:p>
      <w:pPr>
        <w:spacing w:line="312" w:lineRule="auto"/>
        <w:ind w:right="248" w:firstLine="360" w:firstLineChars="150"/>
        <w:rPr>
          <w:rFonts w:ascii="宋体" w:hAnsi="宋体" w:cs="宋体"/>
          <w:color w:val="auto"/>
          <w:sz w:val="24"/>
          <w:u w:val="single"/>
        </w:rPr>
      </w:pPr>
      <w:r>
        <w:rPr>
          <w:rFonts w:hint="eastAsia" w:ascii="宋体" w:hAnsi="宋体" w:cs="宋体"/>
          <w:color w:val="auto"/>
          <w:sz w:val="24"/>
        </w:rPr>
        <w:t>9</w:t>
      </w:r>
      <w:r>
        <w:rPr>
          <w:rFonts w:hint="eastAsia" w:ascii="宋体" w:hAnsi="宋体" w:cs="宋体"/>
          <w:bCs/>
          <w:color w:val="auto"/>
          <w:sz w:val="24"/>
        </w:rPr>
        <w:t>.1.4 发包人提供</w:t>
      </w:r>
      <w:r>
        <w:rPr>
          <w:rFonts w:hint="eastAsia" w:ascii="宋体" w:hAnsi="宋体" w:cs="宋体"/>
          <w:color w:val="auto"/>
          <w:sz w:val="24"/>
          <w:u w:val="single"/>
        </w:rPr>
        <w:t xml:space="preserve">                 </w:t>
      </w:r>
      <w:r>
        <w:rPr>
          <w:rFonts w:hint="eastAsia" w:ascii="宋体" w:hAnsi="宋体" w:cs="宋体"/>
          <w:bCs/>
          <w:color w:val="auto"/>
          <w:sz w:val="24"/>
        </w:rPr>
        <w:t>资料，其余资料由承包人负责收集。</w:t>
      </w:r>
    </w:p>
    <w:p>
      <w:pPr>
        <w:spacing w:line="312" w:lineRule="auto"/>
        <w:rPr>
          <w:rFonts w:ascii="宋体" w:hAnsi="宋体" w:cs="宋体"/>
          <w:b/>
          <w:bCs/>
          <w:color w:val="auto"/>
          <w:sz w:val="24"/>
        </w:rPr>
      </w:pPr>
      <w:r>
        <w:rPr>
          <w:rFonts w:hint="eastAsia" w:ascii="宋体" w:hAnsi="宋体" w:cs="宋体"/>
          <w:b/>
          <w:bCs/>
          <w:color w:val="auto"/>
          <w:sz w:val="24"/>
        </w:rPr>
        <w:t>9.2 承包人的施工安全责任</w:t>
      </w:r>
    </w:p>
    <w:p>
      <w:pPr>
        <w:spacing w:line="312" w:lineRule="auto"/>
        <w:ind w:right="248" w:firstLine="480"/>
        <w:rPr>
          <w:rFonts w:ascii="宋体" w:hAnsi="宋体" w:cs="宋体"/>
          <w:color w:val="auto"/>
          <w:sz w:val="24"/>
        </w:rPr>
      </w:pPr>
      <w:r>
        <w:rPr>
          <w:rFonts w:hint="eastAsia" w:ascii="宋体" w:hAnsi="宋体" w:cs="宋体"/>
          <w:color w:val="auto"/>
          <w:sz w:val="24"/>
        </w:rPr>
        <w:t>9.2.12 下列工程应编制专项施工方案：</w:t>
      </w:r>
      <w:r>
        <w:rPr>
          <w:rFonts w:hint="eastAsia" w:ascii="宋体" w:hAnsi="宋体" w:cs="宋体"/>
          <w:color w:val="auto"/>
          <w:sz w:val="24"/>
          <w:u w:val="single"/>
        </w:rPr>
        <w:t xml:space="preserve">                </w:t>
      </w:r>
      <w:r>
        <w:rPr>
          <w:rFonts w:hint="eastAsia" w:ascii="宋体" w:hAnsi="宋体" w:cs="宋体"/>
          <w:color w:val="auto"/>
          <w:sz w:val="24"/>
        </w:rPr>
        <w:t>。其中</w:t>
      </w:r>
      <w:r>
        <w:rPr>
          <w:rFonts w:hint="eastAsia" w:ascii="宋体" w:hAnsi="宋体" w:cs="宋体"/>
          <w:color w:val="auto"/>
          <w:sz w:val="24"/>
          <w:u w:val="single"/>
        </w:rPr>
        <w:t xml:space="preserve">          </w:t>
      </w:r>
      <w:r>
        <w:rPr>
          <w:rFonts w:hint="eastAsia" w:ascii="宋体" w:hAnsi="宋体" w:cs="宋体"/>
          <w:color w:val="auto"/>
          <w:sz w:val="24"/>
        </w:rPr>
        <w:t>应组织专家论证和审查。</w:t>
      </w:r>
    </w:p>
    <w:p>
      <w:pPr>
        <w:spacing w:line="312" w:lineRule="auto"/>
        <w:rPr>
          <w:rFonts w:ascii="宋体" w:hAnsi="宋体" w:cs="宋体"/>
          <w:b/>
          <w:bCs/>
          <w:color w:val="auto"/>
          <w:sz w:val="24"/>
        </w:rPr>
      </w:pPr>
      <w:r>
        <w:rPr>
          <w:rFonts w:hint="eastAsia" w:ascii="宋体" w:hAnsi="宋体" w:cs="宋体"/>
          <w:b/>
          <w:bCs/>
          <w:color w:val="auto"/>
          <w:sz w:val="24"/>
        </w:rPr>
        <w:t>9.7 文明工地</w:t>
      </w:r>
    </w:p>
    <w:p>
      <w:pPr>
        <w:spacing w:line="312" w:lineRule="auto"/>
        <w:ind w:right="248" w:firstLine="480"/>
        <w:rPr>
          <w:rFonts w:ascii="宋体" w:hAnsi="宋体" w:cs="宋体"/>
          <w:color w:val="auto"/>
          <w:sz w:val="24"/>
        </w:rPr>
      </w:pPr>
      <w:r>
        <w:rPr>
          <w:rFonts w:hint="eastAsia" w:ascii="宋体" w:hAnsi="宋体" w:cs="宋体"/>
          <w:color w:val="auto"/>
          <w:sz w:val="24"/>
        </w:rPr>
        <w:t>9.7.1 本合同文明工地的约定：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86" w:name="_Toc222031038"/>
      <w:bookmarkStart w:id="287" w:name="_Toc222033887"/>
      <w:bookmarkStart w:id="288" w:name="_Toc222032705"/>
      <w:bookmarkStart w:id="289" w:name="_Toc222029536"/>
      <w:bookmarkStart w:id="290" w:name="_Toc229305394"/>
      <w:bookmarkStart w:id="291" w:name="_Toc221951188"/>
      <w:r>
        <w:rPr>
          <w:rFonts w:hint="eastAsia" w:ascii="宋体" w:hAnsi="宋体" w:cs="宋体"/>
          <w:b/>
          <w:color w:val="auto"/>
          <w:sz w:val="24"/>
        </w:rPr>
        <w:t>11  开工和竣工</w:t>
      </w:r>
      <w:bookmarkEnd w:id="286"/>
      <w:bookmarkEnd w:id="287"/>
      <w:bookmarkEnd w:id="288"/>
      <w:bookmarkEnd w:id="289"/>
      <w:bookmarkEnd w:id="290"/>
      <w:bookmarkEnd w:id="291"/>
      <w:r>
        <w:rPr>
          <w:rFonts w:hint="eastAsia" w:ascii="宋体" w:hAnsi="宋体" w:cs="宋体"/>
          <w:b/>
          <w:color w:val="auto"/>
          <w:sz w:val="24"/>
        </w:rPr>
        <w:t>（完工）</w:t>
      </w:r>
    </w:p>
    <w:p>
      <w:pPr>
        <w:spacing w:line="312" w:lineRule="auto"/>
        <w:rPr>
          <w:rFonts w:ascii="宋体" w:hAnsi="宋体" w:cs="宋体"/>
          <w:color w:val="auto"/>
          <w:sz w:val="24"/>
        </w:rPr>
      </w:pPr>
      <w:bookmarkStart w:id="292" w:name="_Toc221951189"/>
      <w:r>
        <w:rPr>
          <w:rFonts w:hint="eastAsia" w:ascii="宋体" w:hAnsi="宋体" w:cs="宋体"/>
          <w:b/>
          <w:bCs/>
          <w:color w:val="auto"/>
          <w:sz w:val="24"/>
        </w:rPr>
        <w:t>11</w:t>
      </w:r>
      <w:r>
        <w:rPr>
          <w:rFonts w:hint="eastAsia" w:ascii="宋体" w:hAnsi="宋体" w:cs="宋体"/>
          <w:color w:val="auto"/>
          <w:sz w:val="24"/>
        </w:rPr>
        <w:t>.4  异常恶劣的气候条件</w:t>
      </w:r>
      <w:bookmarkEnd w:id="292"/>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bookmarkStart w:id="293" w:name="_Toc221951191"/>
      <w:r>
        <w:rPr>
          <w:rFonts w:hint="eastAsia" w:ascii="宋体" w:hAnsi="宋体" w:cs="宋体"/>
          <w:color w:val="auto"/>
          <w:sz w:val="24"/>
        </w:rPr>
        <w:t>11.4.3  本合同工程界定异常恶劣气候条件的范围为：</w:t>
      </w:r>
      <w:bookmarkEnd w:id="293"/>
    </w:p>
    <w:p>
      <w:pPr>
        <w:spacing w:line="312" w:lineRule="auto"/>
        <w:ind w:right="248" w:firstLine="480"/>
        <w:rPr>
          <w:rFonts w:ascii="宋体" w:hAnsi="宋体" w:cs="宋体"/>
          <w:color w:val="auto"/>
          <w:sz w:val="24"/>
        </w:rPr>
      </w:pPr>
      <w:bookmarkStart w:id="294" w:name="_Toc221951192"/>
      <w:r>
        <w:rPr>
          <w:rFonts w:hint="eastAsia" w:ascii="宋体" w:hAnsi="宋体" w:cs="宋体"/>
          <w:color w:val="auto"/>
          <w:sz w:val="24"/>
        </w:rPr>
        <w:t>（1）日降雨量大于</w:t>
      </w:r>
      <w:r>
        <w:rPr>
          <w:rFonts w:hint="eastAsia" w:ascii="宋体" w:hAnsi="宋体" w:cs="宋体"/>
          <w:color w:val="auto"/>
          <w:sz w:val="24"/>
          <w:u w:val="single"/>
        </w:rPr>
        <w:t xml:space="preserve">     </w:t>
      </w:r>
      <w:r>
        <w:rPr>
          <w:rFonts w:hint="eastAsia" w:ascii="宋体" w:hAnsi="宋体" w:cs="宋体"/>
          <w:color w:val="auto"/>
          <w:sz w:val="24"/>
        </w:rPr>
        <w:t>㎜的雨日超过</w:t>
      </w:r>
      <w:r>
        <w:rPr>
          <w:rFonts w:hint="eastAsia" w:ascii="宋体" w:hAnsi="宋体" w:cs="宋体"/>
          <w:color w:val="auto"/>
          <w:sz w:val="24"/>
          <w:u w:val="single"/>
        </w:rPr>
        <w:t xml:space="preserve">     </w:t>
      </w:r>
      <w:r>
        <w:rPr>
          <w:rFonts w:hint="eastAsia" w:ascii="宋体" w:hAnsi="宋体" w:cs="宋体"/>
          <w:color w:val="auto"/>
          <w:sz w:val="24"/>
        </w:rPr>
        <w:t>天； `</w:t>
      </w:r>
      <w:bookmarkEnd w:id="294"/>
    </w:p>
    <w:p>
      <w:pPr>
        <w:spacing w:line="312" w:lineRule="auto"/>
        <w:ind w:right="248" w:firstLine="480"/>
        <w:rPr>
          <w:rFonts w:ascii="宋体" w:hAnsi="宋体" w:cs="宋体"/>
          <w:color w:val="auto"/>
          <w:sz w:val="24"/>
        </w:rPr>
      </w:pPr>
      <w:bookmarkStart w:id="295" w:name="_Toc221951193"/>
      <w:r>
        <w:rPr>
          <w:rFonts w:hint="eastAsia" w:ascii="宋体" w:hAnsi="宋体" w:cs="宋体"/>
          <w:color w:val="auto"/>
          <w:sz w:val="24"/>
        </w:rPr>
        <w:t>（2）风速大于</w:t>
      </w:r>
      <w:r>
        <w:rPr>
          <w:rFonts w:hint="eastAsia" w:ascii="宋体" w:hAnsi="宋体" w:cs="宋体"/>
          <w:color w:val="auto"/>
          <w:sz w:val="24"/>
          <w:u w:val="single"/>
        </w:rPr>
        <w:t xml:space="preserve">     </w:t>
      </w:r>
      <w:r>
        <w:rPr>
          <w:rFonts w:hint="eastAsia" w:ascii="宋体" w:hAnsi="宋体" w:cs="宋体"/>
          <w:color w:val="auto"/>
          <w:sz w:val="24"/>
        </w:rPr>
        <w:t>m/s的</w:t>
      </w:r>
      <w:r>
        <w:rPr>
          <w:rFonts w:hint="eastAsia" w:ascii="宋体" w:hAnsi="宋体" w:cs="宋体"/>
          <w:color w:val="auto"/>
          <w:sz w:val="24"/>
          <w:u w:val="single"/>
        </w:rPr>
        <w:t xml:space="preserve">   </w:t>
      </w:r>
      <w:r>
        <w:rPr>
          <w:rFonts w:hint="eastAsia" w:ascii="宋体" w:hAnsi="宋体" w:cs="宋体"/>
          <w:color w:val="auto"/>
          <w:sz w:val="24"/>
        </w:rPr>
        <w:t>级以上台风灾害；</w:t>
      </w:r>
      <w:bookmarkEnd w:id="295"/>
    </w:p>
    <w:p>
      <w:pPr>
        <w:spacing w:line="312" w:lineRule="auto"/>
        <w:ind w:right="248" w:firstLine="480"/>
        <w:rPr>
          <w:rFonts w:ascii="宋体" w:hAnsi="宋体" w:cs="宋体"/>
          <w:color w:val="auto"/>
          <w:sz w:val="24"/>
        </w:rPr>
      </w:pPr>
      <w:bookmarkStart w:id="296" w:name="_Toc221951194"/>
      <w:r>
        <w:rPr>
          <w:rFonts w:hint="eastAsia" w:ascii="宋体" w:hAnsi="宋体" w:cs="宋体"/>
          <w:color w:val="auto"/>
          <w:sz w:val="24"/>
        </w:rPr>
        <w:t>（3）</w:t>
      </w:r>
      <w:bookmarkEnd w:id="296"/>
      <w:r>
        <w:rPr>
          <w:rFonts w:hint="eastAsia" w:ascii="宋体" w:hAnsi="宋体" w:cs="宋体"/>
          <w:color w:val="auto"/>
          <w:sz w:val="24"/>
        </w:rPr>
        <w:t>日气温超过</w:t>
      </w:r>
      <w:r>
        <w:rPr>
          <w:rFonts w:hint="eastAsia" w:ascii="宋体" w:hAnsi="宋体" w:cs="宋体"/>
          <w:color w:val="auto"/>
          <w:sz w:val="24"/>
          <w:u w:val="single"/>
        </w:rPr>
        <w:t xml:space="preserve">    </w:t>
      </w:r>
      <w:r>
        <w:rPr>
          <w:rFonts w:hint="eastAsia" w:ascii="宋体" w:hAnsi="宋体" w:cs="宋体"/>
          <w:color w:val="auto"/>
          <w:sz w:val="24"/>
        </w:rPr>
        <w:t>℃的高温大于</w:t>
      </w:r>
      <w:r>
        <w:rPr>
          <w:rFonts w:hint="eastAsia" w:ascii="宋体" w:hAnsi="宋体" w:cs="宋体"/>
          <w:color w:val="auto"/>
          <w:sz w:val="24"/>
          <w:u w:val="single"/>
        </w:rPr>
        <w:t xml:space="preserve">     </w:t>
      </w:r>
      <w:r>
        <w:rPr>
          <w:rFonts w:hint="eastAsia" w:ascii="宋体" w:hAnsi="宋体" w:cs="宋体"/>
          <w:color w:val="auto"/>
          <w:sz w:val="24"/>
        </w:rPr>
        <w:t>天；</w:t>
      </w:r>
    </w:p>
    <w:p>
      <w:pPr>
        <w:spacing w:line="312" w:lineRule="auto"/>
        <w:ind w:right="248" w:firstLine="480"/>
        <w:rPr>
          <w:rFonts w:ascii="宋体" w:hAnsi="宋体" w:cs="宋体"/>
          <w:color w:val="auto"/>
          <w:sz w:val="24"/>
        </w:rPr>
      </w:pPr>
      <w:bookmarkStart w:id="297" w:name="_Toc221951195"/>
      <w:r>
        <w:rPr>
          <w:rFonts w:hint="eastAsia" w:ascii="宋体" w:hAnsi="宋体" w:cs="宋体"/>
          <w:color w:val="auto"/>
          <w:sz w:val="24"/>
        </w:rPr>
        <w:t>（4）</w:t>
      </w:r>
      <w:bookmarkEnd w:id="297"/>
      <w:r>
        <w:rPr>
          <w:rFonts w:hint="eastAsia" w:ascii="宋体" w:hAnsi="宋体" w:cs="宋体"/>
          <w:color w:val="auto"/>
          <w:sz w:val="24"/>
        </w:rPr>
        <w:t>日气温低于</w:t>
      </w:r>
      <w:r>
        <w:rPr>
          <w:rFonts w:hint="eastAsia" w:ascii="宋体" w:hAnsi="宋体" w:cs="宋体"/>
          <w:color w:val="auto"/>
          <w:sz w:val="24"/>
          <w:u w:val="single"/>
        </w:rPr>
        <w:t xml:space="preserve">    </w:t>
      </w:r>
      <w:r>
        <w:rPr>
          <w:rFonts w:hint="eastAsia" w:ascii="宋体" w:hAnsi="宋体" w:cs="宋体"/>
          <w:color w:val="auto"/>
          <w:sz w:val="24"/>
        </w:rPr>
        <w:t>℃的严寒大于</w:t>
      </w:r>
      <w:r>
        <w:rPr>
          <w:rFonts w:hint="eastAsia" w:ascii="宋体" w:hAnsi="宋体" w:cs="宋体"/>
          <w:color w:val="auto"/>
          <w:sz w:val="24"/>
          <w:u w:val="single"/>
        </w:rPr>
        <w:t xml:space="preserve">     </w:t>
      </w:r>
      <w:r>
        <w:rPr>
          <w:rFonts w:hint="eastAsia" w:ascii="宋体" w:hAnsi="宋体" w:cs="宋体"/>
          <w:color w:val="auto"/>
          <w:sz w:val="24"/>
        </w:rPr>
        <w:t>天。</w:t>
      </w:r>
    </w:p>
    <w:p>
      <w:pPr>
        <w:spacing w:line="312" w:lineRule="auto"/>
        <w:ind w:right="248" w:firstLine="480"/>
        <w:rPr>
          <w:rFonts w:ascii="宋体" w:hAnsi="宋体" w:cs="宋体"/>
          <w:color w:val="auto"/>
          <w:sz w:val="24"/>
        </w:rPr>
      </w:pPr>
      <w:bookmarkStart w:id="298" w:name="_Toc221951196"/>
      <w:r>
        <w:rPr>
          <w:rFonts w:hint="eastAsia" w:ascii="宋体" w:hAnsi="宋体" w:cs="宋体"/>
          <w:color w:val="auto"/>
          <w:sz w:val="24"/>
        </w:rPr>
        <w:t>（5）</w:t>
      </w:r>
      <w:bookmarkEnd w:id="298"/>
      <w:r>
        <w:rPr>
          <w:rFonts w:hint="eastAsia" w:ascii="宋体" w:hAnsi="宋体" w:cs="宋体"/>
          <w:color w:val="auto"/>
          <w:sz w:val="24"/>
        </w:rPr>
        <w:t>造成工程损坏的冰雹和大雪灾害：                。</w:t>
      </w:r>
    </w:p>
    <w:p>
      <w:pPr>
        <w:spacing w:line="312" w:lineRule="auto"/>
        <w:ind w:right="248" w:firstLine="480"/>
        <w:rPr>
          <w:rFonts w:ascii="宋体" w:hAnsi="宋体" w:cs="宋体"/>
          <w:color w:val="auto"/>
          <w:sz w:val="24"/>
        </w:rPr>
      </w:pPr>
      <w:bookmarkStart w:id="299" w:name="_Toc221951197"/>
      <w:r>
        <w:rPr>
          <w:rFonts w:hint="eastAsia" w:ascii="宋体" w:hAnsi="宋体" w:cs="宋体"/>
          <w:color w:val="auto"/>
          <w:sz w:val="24"/>
        </w:rPr>
        <w:t>（6）其他异常恶劣气候灾害。</w:t>
      </w:r>
      <w:bookmarkEnd w:id="299"/>
    </w:p>
    <w:p>
      <w:pPr>
        <w:spacing w:line="312" w:lineRule="auto"/>
        <w:rPr>
          <w:rFonts w:ascii="宋体" w:hAnsi="宋体" w:cs="宋体"/>
          <w:color w:val="auto"/>
          <w:sz w:val="24"/>
        </w:rPr>
      </w:pPr>
      <w:bookmarkStart w:id="300" w:name="_Toc221951198"/>
      <w:r>
        <w:rPr>
          <w:rFonts w:hint="eastAsia" w:ascii="宋体" w:hAnsi="宋体" w:cs="宋体"/>
          <w:b/>
          <w:bCs/>
          <w:color w:val="auto"/>
          <w:sz w:val="24"/>
        </w:rPr>
        <w:t>11</w:t>
      </w:r>
      <w:r>
        <w:rPr>
          <w:rFonts w:hint="eastAsia" w:ascii="宋体" w:hAnsi="宋体" w:cs="宋体"/>
          <w:color w:val="auto"/>
          <w:sz w:val="24"/>
        </w:rPr>
        <w:t>.5  承包人工期延误</w:t>
      </w:r>
      <w:bookmarkEnd w:id="300"/>
      <w:r>
        <w:rPr>
          <w:rFonts w:hint="eastAsia" w:ascii="宋体" w:hAnsi="宋体" w:cs="宋体"/>
          <w:color w:val="auto"/>
          <w:sz w:val="24"/>
        </w:rPr>
        <w:t xml:space="preserve"> </w:t>
      </w:r>
    </w:p>
    <w:p>
      <w:pPr>
        <w:spacing w:line="312" w:lineRule="auto"/>
        <w:ind w:right="248" w:firstLine="480" w:firstLineChars="200"/>
        <w:rPr>
          <w:rFonts w:ascii="宋体" w:hAnsi="宋体" w:cs="宋体"/>
          <w:bCs/>
          <w:color w:val="auto"/>
          <w:sz w:val="24"/>
        </w:rPr>
      </w:pPr>
      <w:bookmarkStart w:id="301" w:name="_Toc221951200"/>
      <w:r>
        <w:rPr>
          <w:rFonts w:hint="eastAsia" w:ascii="宋体" w:hAnsi="宋体" w:cs="宋体"/>
          <w:bCs/>
          <w:color w:val="auto"/>
          <w:sz w:val="24"/>
        </w:rPr>
        <w:t>（1）逾期竣工违约金表(参考格式)</w:t>
      </w:r>
      <w:bookmarkEnd w:id="301"/>
    </w:p>
    <w:tbl>
      <w:tblPr>
        <w:tblStyle w:val="33"/>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color w:val="auto"/>
                <w:sz w:val="24"/>
              </w:rPr>
            </w:pPr>
            <w:bookmarkStart w:id="302" w:name="_Toc221951201"/>
            <w:r>
              <w:rPr>
                <w:rFonts w:hint="eastAsia" w:ascii="宋体" w:hAnsi="宋体" w:cs="宋体"/>
                <w:color w:val="auto"/>
                <w:sz w:val="24"/>
              </w:rPr>
              <w:t>序号</w:t>
            </w:r>
            <w:bookmarkEnd w:id="302"/>
          </w:p>
        </w:tc>
        <w:tc>
          <w:tcPr>
            <w:tcW w:w="3999" w:type="dxa"/>
            <w:vAlign w:val="center"/>
          </w:tcPr>
          <w:p>
            <w:pPr>
              <w:spacing w:line="312" w:lineRule="auto"/>
              <w:ind w:right="3"/>
              <w:jc w:val="center"/>
              <w:rPr>
                <w:rFonts w:ascii="宋体" w:hAnsi="宋体" w:cs="宋体"/>
                <w:color w:val="auto"/>
                <w:sz w:val="24"/>
              </w:rPr>
            </w:pPr>
            <w:bookmarkStart w:id="303" w:name="_Toc221951202"/>
            <w:r>
              <w:rPr>
                <w:rFonts w:hint="eastAsia" w:ascii="宋体" w:hAnsi="宋体" w:cs="宋体"/>
                <w:color w:val="auto"/>
                <w:sz w:val="24"/>
              </w:rPr>
              <w:t>项目及其说明</w:t>
            </w:r>
            <w:bookmarkEnd w:id="303"/>
          </w:p>
        </w:tc>
        <w:tc>
          <w:tcPr>
            <w:tcW w:w="2172" w:type="dxa"/>
            <w:vAlign w:val="center"/>
          </w:tcPr>
          <w:p>
            <w:pPr>
              <w:spacing w:line="312" w:lineRule="auto"/>
              <w:ind w:right="9"/>
              <w:jc w:val="center"/>
              <w:rPr>
                <w:rFonts w:ascii="宋体" w:hAnsi="宋体" w:cs="宋体"/>
                <w:color w:val="auto"/>
                <w:sz w:val="24"/>
              </w:rPr>
            </w:pPr>
            <w:bookmarkStart w:id="304" w:name="_Toc221951203"/>
            <w:r>
              <w:rPr>
                <w:rFonts w:hint="eastAsia" w:ascii="宋体" w:hAnsi="宋体" w:cs="宋体"/>
                <w:color w:val="auto"/>
                <w:sz w:val="24"/>
              </w:rPr>
              <w:t>要求竣工日期</w:t>
            </w:r>
            <w:bookmarkEnd w:id="304"/>
          </w:p>
        </w:tc>
        <w:tc>
          <w:tcPr>
            <w:tcW w:w="2171" w:type="dxa"/>
          </w:tcPr>
          <w:p>
            <w:pPr>
              <w:spacing w:line="312" w:lineRule="auto"/>
              <w:ind w:right="9"/>
              <w:jc w:val="center"/>
              <w:rPr>
                <w:rFonts w:ascii="宋体" w:hAnsi="宋体" w:cs="宋体"/>
                <w:color w:val="auto"/>
                <w:sz w:val="24"/>
              </w:rPr>
            </w:pPr>
            <w:bookmarkStart w:id="305" w:name="_Toc221951204"/>
            <w:r>
              <w:rPr>
                <w:rFonts w:hint="eastAsia" w:ascii="宋体" w:hAnsi="宋体" w:cs="宋体"/>
                <w:color w:val="auto"/>
                <w:sz w:val="24"/>
              </w:rPr>
              <w:t>违约金(元/天)</w:t>
            </w:r>
            <w:bookmarkEnd w:id="30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color w:val="auto"/>
                <w:sz w:val="24"/>
              </w:rPr>
            </w:pPr>
          </w:p>
        </w:tc>
        <w:tc>
          <w:tcPr>
            <w:tcW w:w="3999" w:type="dxa"/>
            <w:vAlign w:val="center"/>
          </w:tcPr>
          <w:p>
            <w:pPr>
              <w:spacing w:line="312" w:lineRule="auto"/>
              <w:ind w:right="248"/>
              <w:jc w:val="center"/>
              <w:rPr>
                <w:rFonts w:ascii="宋体" w:hAnsi="宋体" w:cs="宋体"/>
                <w:color w:val="auto"/>
                <w:sz w:val="24"/>
              </w:rPr>
            </w:pPr>
          </w:p>
        </w:tc>
        <w:tc>
          <w:tcPr>
            <w:tcW w:w="2172" w:type="dxa"/>
            <w:vAlign w:val="center"/>
          </w:tcPr>
          <w:p>
            <w:pPr>
              <w:spacing w:line="312" w:lineRule="auto"/>
              <w:ind w:right="248"/>
              <w:jc w:val="center"/>
              <w:rPr>
                <w:rFonts w:ascii="宋体" w:hAnsi="宋体" w:cs="宋体"/>
                <w:color w:val="auto"/>
                <w:sz w:val="24"/>
              </w:rPr>
            </w:pPr>
          </w:p>
        </w:tc>
        <w:tc>
          <w:tcPr>
            <w:tcW w:w="2171" w:type="dxa"/>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color w:val="auto"/>
                <w:sz w:val="24"/>
              </w:rPr>
            </w:pPr>
          </w:p>
        </w:tc>
        <w:tc>
          <w:tcPr>
            <w:tcW w:w="3999" w:type="dxa"/>
            <w:vAlign w:val="center"/>
          </w:tcPr>
          <w:p>
            <w:pPr>
              <w:spacing w:line="312" w:lineRule="auto"/>
              <w:ind w:right="248"/>
              <w:jc w:val="center"/>
              <w:rPr>
                <w:rFonts w:ascii="宋体" w:hAnsi="宋体" w:cs="宋体"/>
                <w:color w:val="auto"/>
                <w:sz w:val="24"/>
              </w:rPr>
            </w:pPr>
          </w:p>
        </w:tc>
        <w:tc>
          <w:tcPr>
            <w:tcW w:w="2172" w:type="dxa"/>
            <w:vAlign w:val="center"/>
          </w:tcPr>
          <w:p>
            <w:pPr>
              <w:spacing w:line="312" w:lineRule="auto"/>
              <w:ind w:right="248"/>
              <w:jc w:val="center"/>
              <w:rPr>
                <w:rFonts w:ascii="宋体" w:hAnsi="宋体" w:cs="宋体"/>
                <w:color w:val="auto"/>
                <w:sz w:val="24"/>
              </w:rPr>
            </w:pPr>
          </w:p>
        </w:tc>
        <w:tc>
          <w:tcPr>
            <w:tcW w:w="2171" w:type="dxa"/>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color w:val="auto"/>
                <w:sz w:val="24"/>
              </w:rPr>
            </w:pPr>
          </w:p>
        </w:tc>
        <w:tc>
          <w:tcPr>
            <w:tcW w:w="3999" w:type="dxa"/>
            <w:vAlign w:val="center"/>
          </w:tcPr>
          <w:p>
            <w:pPr>
              <w:spacing w:line="312" w:lineRule="auto"/>
              <w:ind w:right="248"/>
              <w:jc w:val="center"/>
              <w:rPr>
                <w:rFonts w:ascii="宋体" w:hAnsi="宋体" w:cs="宋体"/>
                <w:color w:val="auto"/>
                <w:sz w:val="24"/>
              </w:rPr>
            </w:pPr>
          </w:p>
        </w:tc>
        <w:tc>
          <w:tcPr>
            <w:tcW w:w="2172" w:type="dxa"/>
            <w:vAlign w:val="center"/>
          </w:tcPr>
          <w:p>
            <w:pPr>
              <w:spacing w:line="312" w:lineRule="auto"/>
              <w:ind w:right="248"/>
              <w:jc w:val="center"/>
              <w:rPr>
                <w:rFonts w:ascii="宋体" w:hAnsi="宋体" w:cs="宋体"/>
                <w:color w:val="auto"/>
                <w:sz w:val="24"/>
              </w:rPr>
            </w:pPr>
          </w:p>
        </w:tc>
        <w:tc>
          <w:tcPr>
            <w:tcW w:w="2171" w:type="dxa"/>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color w:val="auto"/>
                <w:sz w:val="24"/>
              </w:rPr>
            </w:pPr>
          </w:p>
        </w:tc>
        <w:tc>
          <w:tcPr>
            <w:tcW w:w="3999" w:type="dxa"/>
            <w:vAlign w:val="center"/>
          </w:tcPr>
          <w:p>
            <w:pPr>
              <w:spacing w:line="312" w:lineRule="auto"/>
              <w:ind w:right="248"/>
              <w:jc w:val="center"/>
              <w:rPr>
                <w:rFonts w:ascii="宋体" w:hAnsi="宋体" w:cs="宋体"/>
                <w:color w:val="auto"/>
                <w:sz w:val="24"/>
              </w:rPr>
            </w:pPr>
          </w:p>
        </w:tc>
        <w:tc>
          <w:tcPr>
            <w:tcW w:w="2172" w:type="dxa"/>
            <w:vAlign w:val="center"/>
          </w:tcPr>
          <w:p>
            <w:pPr>
              <w:spacing w:line="312" w:lineRule="auto"/>
              <w:ind w:right="248"/>
              <w:jc w:val="center"/>
              <w:rPr>
                <w:rFonts w:ascii="宋体" w:hAnsi="宋体" w:cs="宋体"/>
                <w:color w:val="auto"/>
                <w:sz w:val="24"/>
              </w:rPr>
            </w:pPr>
          </w:p>
        </w:tc>
        <w:tc>
          <w:tcPr>
            <w:tcW w:w="2171" w:type="dxa"/>
          </w:tcPr>
          <w:p>
            <w:pPr>
              <w:spacing w:line="312" w:lineRule="auto"/>
              <w:ind w:right="248"/>
              <w:jc w:val="center"/>
              <w:rPr>
                <w:rFonts w:ascii="宋体" w:hAnsi="宋体" w:cs="宋体"/>
                <w:color w:val="auto"/>
                <w:sz w:val="24"/>
              </w:rPr>
            </w:pPr>
          </w:p>
        </w:tc>
      </w:tr>
    </w:tbl>
    <w:p>
      <w:pPr>
        <w:spacing w:line="312" w:lineRule="auto"/>
        <w:ind w:right="248" w:firstLine="480" w:firstLineChars="200"/>
        <w:rPr>
          <w:rFonts w:ascii="宋体" w:hAnsi="宋体" w:cs="宋体"/>
          <w:color w:val="auto"/>
          <w:sz w:val="24"/>
        </w:rPr>
      </w:pPr>
      <w:bookmarkStart w:id="306" w:name="_Toc221951205"/>
      <w:r>
        <w:rPr>
          <w:rFonts w:hint="eastAsia" w:ascii="宋体" w:hAnsi="宋体" w:cs="宋体"/>
          <w:color w:val="auto"/>
          <w:sz w:val="24"/>
        </w:rPr>
        <w:t>（2）全部逾期竣工违约金的总限额为</w:t>
      </w:r>
      <w:r>
        <w:rPr>
          <w:rFonts w:hint="eastAsia" w:ascii="宋体" w:hAnsi="宋体" w:cs="宋体"/>
          <w:color w:val="auto"/>
          <w:sz w:val="24"/>
          <w:u w:val="single"/>
        </w:rPr>
        <w:t xml:space="preserve">  （不超过合同总价的  %） </w:t>
      </w:r>
      <w:r>
        <w:rPr>
          <w:rFonts w:hint="eastAsia" w:ascii="宋体" w:hAnsi="宋体" w:cs="宋体"/>
          <w:color w:val="auto"/>
          <w:sz w:val="24"/>
        </w:rPr>
        <w:t>。</w:t>
      </w:r>
      <w:bookmarkEnd w:id="306"/>
    </w:p>
    <w:p>
      <w:pPr>
        <w:spacing w:line="312" w:lineRule="auto"/>
        <w:rPr>
          <w:rFonts w:ascii="宋体" w:hAnsi="宋体" w:cs="宋体"/>
          <w:color w:val="auto"/>
          <w:sz w:val="24"/>
        </w:rPr>
      </w:pPr>
      <w:r>
        <w:rPr>
          <w:rFonts w:hint="eastAsia" w:ascii="宋体" w:hAnsi="宋体" w:cs="宋体"/>
          <w:b/>
          <w:bCs/>
          <w:color w:val="auto"/>
          <w:sz w:val="24"/>
        </w:rPr>
        <w:t>11</w:t>
      </w:r>
      <w:r>
        <w:rPr>
          <w:rFonts w:hint="eastAsia" w:ascii="宋体" w:hAnsi="宋体" w:cs="宋体"/>
          <w:color w:val="auto"/>
          <w:sz w:val="24"/>
        </w:rPr>
        <w:t>.6 工期提前</w:t>
      </w:r>
    </w:p>
    <w:p>
      <w:pPr>
        <w:spacing w:line="312" w:lineRule="auto"/>
        <w:ind w:right="248" w:firstLine="480"/>
        <w:rPr>
          <w:rFonts w:ascii="宋体" w:hAnsi="宋体" w:cs="宋体"/>
          <w:color w:val="auto"/>
          <w:sz w:val="24"/>
        </w:rPr>
      </w:pPr>
      <w:r>
        <w:rPr>
          <w:rFonts w:hint="eastAsia" w:ascii="宋体" w:hAnsi="宋体" w:cs="宋体"/>
          <w:color w:val="auto"/>
          <w:sz w:val="24"/>
        </w:rPr>
        <w:t>工期提前的奖金约定：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307" w:name="_Toc229305395"/>
      <w:bookmarkStart w:id="308" w:name="_Toc222031039"/>
      <w:bookmarkStart w:id="309" w:name="_Toc221951206"/>
      <w:bookmarkStart w:id="310" w:name="_Toc222033888"/>
      <w:bookmarkStart w:id="311" w:name="_Toc222032706"/>
      <w:bookmarkStart w:id="312" w:name="_Toc222029537"/>
      <w:r>
        <w:rPr>
          <w:rFonts w:hint="eastAsia" w:ascii="宋体" w:hAnsi="宋体" w:cs="宋体"/>
          <w:b/>
          <w:color w:val="auto"/>
          <w:sz w:val="24"/>
        </w:rPr>
        <w:t>12  暂停施工</w:t>
      </w:r>
      <w:bookmarkEnd w:id="307"/>
      <w:bookmarkEnd w:id="308"/>
      <w:bookmarkEnd w:id="309"/>
      <w:bookmarkEnd w:id="310"/>
      <w:bookmarkEnd w:id="311"/>
      <w:bookmarkEnd w:id="312"/>
    </w:p>
    <w:p>
      <w:pPr>
        <w:spacing w:line="312" w:lineRule="auto"/>
        <w:rPr>
          <w:rFonts w:ascii="宋体" w:hAnsi="宋体" w:cs="宋体"/>
          <w:b/>
          <w:bCs/>
          <w:color w:val="auto"/>
          <w:sz w:val="24"/>
        </w:rPr>
      </w:pPr>
      <w:bookmarkStart w:id="313" w:name="_Toc221951207"/>
      <w:r>
        <w:rPr>
          <w:rFonts w:hint="eastAsia" w:ascii="宋体" w:hAnsi="宋体" w:cs="宋体"/>
          <w:b/>
          <w:bCs/>
          <w:color w:val="auto"/>
          <w:sz w:val="24"/>
        </w:rPr>
        <w:t>12.1  承包人暂停施工的责任</w:t>
      </w:r>
      <w:bookmarkEnd w:id="313"/>
    </w:p>
    <w:p>
      <w:pPr>
        <w:spacing w:line="312" w:lineRule="auto"/>
        <w:ind w:right="248" w:firstLine="480"/>
        <w:rPr>
          <w:rFonts w:ascii="宋体" w:hAnsi="宋体" w:cs="宋体"/>
          <w:color w:val="auto"/>
          <w:sz w:val="24"/>
        </w:rPr>
      </w:pPr>
      <w:bookmarkStart w:id="314" w:name="_Toc221951209"/>
      <w:r>
        <w:rPr>
          <w:rFonts w:hint="eastAsia" w:ascii="宋体" w:hAnsi="宋体" w:cs="宋体"/>
          <w:color w:val="auto"/>
          <w:sz w:val="24"/>
        </w:rPr>
        <w:t xml:space="preserve"> (5) 承包人承担的其他暂停施工责任的其它情形：</w:t>
      </w:r>
      <w:r>
        <w:rPr>
          <w:rFonts w:hint="eastAsia" w:ascii="宋体" w:hAnsi="宋体" w:cs="宋体"/>
          <w:color w:val="auto"/>
          <w:sz w:val="24"/>
          <w:u w:val="single"/>
        </w:rPr>
        <w:t xml:space="preserve">                   </w:t>
      </w:r>
      <w:r>
        <w:rPr>
          <w:rFonts w:hint="eastAsia" w:ascii="宋体" w:hAnsi="宋体" w:cs="宋体"/>
          <w:color w:val="auto"/>
          <w:sz w:val="24"/>
        </w:rPr>
        <w:t>。</w:t>
      </w:r>
      <w:bookmarkEnd w:id="314"/>
    </w:p>
    <w:p>
      <w:pPr>
        <w:spacing w:line="312" w:lineRule="auto"/>
        <w:rPr>
          <w:rFonts w:ascii="宋体" w:hAnsi="宋体" w:cs="宋体"/>
          <w:b/>
          <w:bCs/>
          <w:color w:val="auto"/>
          <w:sz w:val="24"/>
        </w:rPr>
      </w:pPr>
      <w:r>
        <w:rPr>
          <w:rFonts w:hint="eastAsia" w:ascii="宋体" w:hAnsi="宋体" w:cs="宋体"/>
          <w:b/>
          <w:bCs/>
          <w:color w:val="auto"/>
          <w:sz w:val="24"/>
        </w:rPr>
        <w:t xml:space="preserve">12.2  发包人暂停施工的责任   </w:t>
      </w:r>
    </w:p>
    <w:p>
      <w:pPr>
        <w:spacing w:line="312" w:lineRule="auto"/>
        <w:rPr>
          <w:rFonts w:ascii="宋体" w:hAnsi="宋体" w:cs="宋体"/>
          <w:color w:val="auto"/>
          <w:sz w:val="24"/>
        </w:rPr>
      </w:pPr>
      <w:r>
        <w:rPr>
          <w:rFonts w:hint="eastAsia" w:ascii="宋体" w:hAnsi="宋体" w:cs="宋体"/>
          <w:color w:val="auto"/>
          <w:sz w:val="24"/>
        </w:rPr>
        <w:t xml:space="preserve">      (3) 发包人承担的其他暂停施工责任的其它情形：</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r>
        <w:rPr>
          <w:rFonts w:hint="eastAsia" w:ascii="宋体" w:hAnsi="宋体" w:cs="宋体"/>
          <w:b/>
          <w:color w:val="auto"/>
          <w:sz w:val="24"/>
        </w:rPr>
        <w:t>13 工程质量</w:t>
      </w:r>
    </w:p>
    <w:p>
      <w:pPr>
        <w:spacing w:line="312" w:lineRule="auto"/>
        <w:rPr>
          <w:rFonts w:ascii="宋体" w:hAnsi="宋体" w:cs="宋体"/>
          <w:b/>
          <w:bCs/>
          <w:color w:val="auto"/>
          <w:sz w:val="24"/>
        </w:rPr>
      </w:pPr>
      <w:r>
        <w:rPr>
          <w:rFonts w:hint="eastAsia" w:ascii="宋体" w:hAnsi="宋体" w:cs="宋体"/>
          <w:b/>
          <w:bCs/>
          <w:color w:val="auto"/>
          <w:sz w:val="24"/>
        </w:rPr>
        <w:t>13.7 质量评定</w:t>
      </w:r>
    </w:p>
    <w:p>
      <w:pPr>
        <w:spacing w:line="312" w:lineRule="auto"/>
        <w:rPr>
          <w:rFonts w:ascii="宋体" w:hAnsi="宋体" w:cs="宋体"/>
          <w:color w:val="auto"/>
          <w:sz w:val="24"/>
          <w:u w:val="single"/>
        </w:rPr>
      </w:pPr>
      <w:r>
        <w:rPr>
          <w:rFonts w:hint="eastAsia" w:ascii="宋体" w:hAnsi="宋体" w:cs="宋体"/>
          <w:color w:val="auto"/>
          <w:sz w:val="24"/>
        </w:rPr>
        <w:t>13.7.4 重要隐蔽单元工程和关键部位单元工程质量评定的约定：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u w:val="single"/>
        </w:rPr>
      </w:pPr>
      <w:r>
        <w:rPr>
          <w:rFonts w:hint="eastAsia" w:ascii="宋体" w:hAnsi="宋体" w:cs="宋体"/>
          <w:color w:val="auto"/>
          <w:sz w:val="24"/>
        </w:rPr>
        <w:t>13.7.7 工程合格标准为：</w:t>
      </w:r>
      <w:r>
        <w:rPr>
          <w:rFonts w:hint="eastAsia" w:ascii="宋体" w:hAnsi="宋体" w:cs="宋体"/>
          <w:color w:val="auto"/>
          <w:sz w:val="24"/>
          <w:u w:val="single"/>
        </w:rPr>
        <w:t xml:space="preserve">        </w:t>
      </w:r>
      <w:r>
        <w:rPr>
          <w:rFonts w:hint="eastAsia" w:ascii="宋体" w:hAnsi="宋体" w:cs="宋体"/>
          <w:color w:val="auto"/>
          <w:sz w:val="24"/>
        </w:rPr>
        <w:t>；优良标准为：</w:t>
      </w:r>
      <w:r>
        <w:rPr>
          <w:rFonts w:hint="eastAsia" w:ascii="宋体" w:hAnsi="宋体" w:cs="宋体"/>
          <w:color w:val="auto"/>
          <w:sz w:val="24"/>
          <w:u w:val="single"/>
        </w:rPr>
        <w:t xml:space="preserve">        </w:t>
      </w:r>
      <w:r>
        <w:rPr>
          <w:rFonts w:hint="eastAsia" w:ascii="宋体" w:hAnsi="宋体" w:cs="宋体"/>
          <w:color w:val="auto"/>
          <w:sz w:val="24"/>
        </w:rPr>
        <w:t>。达到优良的奖金为：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13.8 质量事故处理</w:t>
      </w:r>
    </w:p>
    <w:p>
      <w:pPr>
        <w:spacing w:line="312" w:lineRule="auto"/>
        <w:rPr>
          <w:rFonts w:ascii="宋体" w:hAnsi="宋体" w:cs="宋体"/>
          <w:color w:val="auto"/>
          <w:sz w:val="24"/>
        </w:rPr>
      </w:pPr>
      <w:r>
        <w:rPr>
          <w:rFonts w:hint="eastAsia" w:ascii="宋体" w:hAnsi="宋体" w:cs="宋体"/>
          <w:color w:val="auto"/>
          <w:sz w:val="24"/>
        </w:rPr>
        <w:t>13.8.4 工程竣工验收时，</w:t>
      </w:r>
      <w:r>
        <w:rPr>
          <w:rFonts w:hint="eastAsia" w:ascii="宋体" w:hAnsi="宋体" w:cs="宋体"/>
          <w:color w:val="auto"/>
          <w:sz w:val="24"/>
          <w:u w:val="single"/>
        </w:rPr>
        <w:t xml:space="preserve">           </w:t>
      </w:r>
      <w:r>
        <w:rPr>
          <w:rFonts w:hint="eastAsia" w:ascii="宋体" w:hAnsi="宋体" w:cs="宋体"/>
          <w:color w:val="auto"/>
          <w:sz w:val="24"/>
        </w:rPr>
        <w:t>向竣工验收委员会汇报并提交历次质量缺陷处理的备案资料。</w:t>
      </w:r>
    </w:p>
    <w:p>
      <w:pPr>
        <w:spacing w:line="312" w:lineRule="auto"/>
        <w:rPr>
          <w:rFonts w:ascii="宋体" w:hAnsi="宋体" w:cs="宋体"/>
          <w:b/>
          <w:color w:val="auto"/>
          <w:sz w:val="24"/>
        </w:rPr>
      </w:pPr>
      <w:r>
        <w:rPr>
          <w:rFonts w:hint="eastAsia" w:ascii="宋体" w:hAnsi="宋体" w:cs="宋体"/>
          <w:b/>
          <w:color w:val="auto"/>
          <w:sz w:val="24"/>
        </w:rPr>
        <w:t>14. 试验和检验</w:t>
      </w:r>
    </w:p>
    <w:p>
      <w:pPr>
        <w:spacing w:line="312" w:lineRule="auto"/>
        <w:rPr>
          <w:rFonts w:ascii="宋体" w:hAnsi="宋体" w:cs="宋体"/>
          <w:b/>
          <w:bCs/>
          <w:color w:val="auto"/>
          <w:sz w:val="24"/>
        </w:rPr>
      </w:pPr>
      <w:r>
        <w:rPr>
          <w:rFonts w:hint="eastAsia" w:ascii="宋体" w:hAnsi="宋体" w:cs="宋体"/>
          <w:b/>
          <w:bCs/>
          <w:color w:val="auto"/>
          <w:sz w:val="24"/>
        </w:rPr>
        <w:t>14.1材料、工程设备和工程的试验和检验</w:t>
      </w:r>
    </w:p>
    <w:p>
      <w:pPr>
        <w:spacing w:line="312" w:lineRule="auto"/>
        <w:rPr>
          <w:rFonts w:ascii="宋体" w:hAnsi="宋体" w:cs="宋体"/>
          <w:color w:val="auto"/>
          <w:sz w:val="24"/>
          <w:u w:val="single"/>
        </w:rPr>
      </w:pPr>
      <w:r>
        <w:rPr>
          <w:rFonts w:hint="eastAsia" w:ascii="宋体" w:hAnsi="宋体" w:cs="宋体"/>
          <w:color w:val="auto"/>
          <w:sz w:val="24"/>
        </w:rPr>
        <w:t>14.1.5 水工金属结构、启闭机及机电产品进场后的交货检查和验收中，承包人负责</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rPr>
      </w:pPr>
      <w:r>
        <w:rPr>
          <w:rFonts w:hint="eastAsia" w:ascii="宋体" w:hAnsi="宋体" w:cs="宋体"/>
          <w:color w:val="auto"/>
          <w:sz w:val="24"/>
        </w:rPr>
        <w:t>14.1.6 本工程实行见证取样的试块、试件及有关材料：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315" w:name="_Toc221951213"/>
      <w:bookmarkStart w:id="316" w:name="_Toc222033890"/>
      <w:bookmarkStart w:id="317" w:name="_Toc222032708"/>
      <w:bookmarkStart w:id="318" w:name="_Toc222029539"/>
      <w:bookmarkStart w:id="319" w:name="_Toc222031041"/>
      <w:bookmarkStart w:id="320" w:name="_Toc229305396"/>
      <w:r>
        <w:rPr>
          <w:rFonts w:hint="eastAsia" w:ascii="宋体" w:hAnsi="宋体" w:cs="宋体"/>
          <w:b/>
          <w:color w:val="auto"/>
          <w:sz w:val="24"/>
        </w:rPr>
        <w:t>15  变更</w:t>
      </w:r>
      <w:bookmarkEnd w:id="315"/>
      <w:bookmarkEnd w:id="316"/>
      <w:bookmarkEnd w:id="317"/>
      <w:bookmarkEnd w:id="318"/>
      <w:bookmarkEnd w:id="319"/>
      <w:bookmarkEnd w:id="320"/>
    </w:p>
    <w:p>
      <w:pPr>
        <w:spacing w:line="312" w:lineRule="auto"/>
        <w:rPr>
          <w:rFonts w:ascii="宋体" w:hAnsi="宋体" w:cs="宋体"/>
          <w:b/>
          <w:bCs/>
          <w:color w:val="auto"/>
          <w:sz w:val="24"/>
        </w:rPr>
      </w:pPr>
      <w:bookmarkStart w:id="321" w:name="_Toc221951214"/>
      <w:r>
        <w:rPr>
          <w:rFonts w:hint="eastAsia" w:ascii="宋体" w:hAnsi="宋体" w:cs="宋体"/>
          <w:b/>
          <w:bCs/>
          <w:color w:val="auto"/>
          <w:sz w:val="24"/>
        </w:rPr>
        <w:t>15.1  变更的范围和内容</w:t>
      </w:r>
      <w:bookmarkEnd w:id="321"/>
    </w:p>
    <w:p>
      <w:pPr>
        <w:spacing w:line="312" w:lineRule="auto"/>
        <w:ind w:right="248" w:firstLine="480"/>
        <w:rPr>
          <w:rFonts w:ascii="宋体" w:hAnsi="宋体" w:cs="宋体"/>
          <w:color w:val="auto"/>
          <w:sz w:val="24"/>
        </w:rPr>
      </w:pPr>
      <w:bookmarkStart w:id="322" w:name="_Toc221951216"/>
      <w:r>
        <w:rPr>
          <w:rFonts w:hint="eastAsia" w:ascii="宋体" w:hAnsi="宋体" w:cs="宋体"/>
          <w:color w:val="auto"/>
          <w:sz w:val="24"/>
        </w:rPr>
        <w:t>（6）增加或减少合同中关键项目的工程量超过其项目工程总量的</w:t>
      </w:r>
      <w:r>
        <w:rPr>
          <w:rFonts w:hint="eastAsia" w:ascii="宋体" w:hAnsi="宋体" w:cs="宋体"/>
          <w:color w:val="auto"/>
          <w:sz w:val="24"/>
          <w:u w:val="single"/>
        </w:rPr>
        <w:t xml:space="preserve">     </w:t>
      </w:r>
      <w:r>
        <w:rPr>
          <w:rFonts w:hint="eastAsia" w:ascii="宋体" w:hAnsi="宋体" w:cs="宋体"/>
          <w:color w:val="auto"/>
          <w:sz w:val="24"/>
        </w:rPr>
        <w:t>％。</w:t>
      </w:r>
      <w:bookmarkEnd w:id="322"/>
      <w:r>
        <w:rPr>
          <w:rFonts w:hint="eastAsia" w:ascii="宋体" w:hAnsi="宋体" w:cs="宋体"/>
          <w:color w:val="auto"/>
          <w:sz w:val="24"/>
        </w:rPr>
        <w:t>关键项目：</w:t>
      </w:r>
      <w:r>
        <w:rPr>
          <w:rFonts w:hint="eastAsia" w:ascii="宋体" w:hAnsi="宋体" w:cs="宋体"/>
          <w:color w:val="auto"/>
          <w:sz w:val="24"/>
          <w:u w:val="single"/>
        </w:rPr>
        <w:t xml:space="preserve">     </w:t>
      </w:r>
      <w:r>
        <w:rPr>
          <w:rFonts w:hint="eastAsia" w:ascii="宋体" w:hAnsi="宋体" w:cs="宋体"/>
          <w:color w:val="auto"/>
          <w:sz w:val="24"/>
        </w:rPr>
        <w:t>，单价调整方式：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323" w:name="_Toc221951218"/>
      <w:r>
        <w:rPr>
          <w:rFonts w:hint="eastAsia" w:ascii="宋体" w:hAnsi="宋体" w:cs="宋体"/>
          <w:b/>
          <w:bCs/>
          <w:color w:val="auto"/>
          <w:sz w:val="24"/>
        </w:rPr>
        <w:t>15.5承包人的合理化建议</w:t>
      </w:r>
    </w:p>
    <w:p>
      <w:pPr>
        <w:spacing w:line="312" w:lineRule="auto"/>
        <w:ind w:firstLine="420"/>
        <w:rPr>
          <w:rFonts w:ascii="宋体" w:hAnsi="宋体" w:cs="宋体"/>
          <w:color w:val="auto"/>
          <w:sz w:val="24"/>
        </w:rPr>
      </w:pPr>
      <w:r>
        <w:rPr>
          <w:rFonts w:hint="eastAsia" w:ascii="宋体" w:hAnsi="宋体" w:cs="宋体"/>
          <w:color w:val="auto"/>
          <w:sz w:val="24"/>
        </w:rPr>
        <w:t xml:space="preserve">15.5.2 </w:t>
      </w:r>
      <w:bookmarkEnd w:id="323"/>
      <w:bookmarkStart w:id="324" w:name="_Toc221951219"/>
      <w:r>
        <w:rPr>
          <w:rFonts w:hint="eastAsia" w:ascii="宋体" w:hAnsi="宋体" w:cs="宋体"/>
          <w:color w:val="auto"/>
          <w:sz w:val="24"/>
        </w:rPr>
        <w:t>承包人实现合理化建议的奖励金额为：</w:t>
      </w:r>
      <w:r>
        <w:rPr>
          <w:rFonts w:hint="eastAsia" w:ascii="宋体" w:hAnsi="宋体" w:cs="宋体"/>
          <w:color w:val="auto"/>
          <w:sz w:val="24"/>
          <w:u w:val="single"/>
        </w:rPr>
        <w:t xml:space="preserve">  （填写奖励额度</w:t>
      </w:r>
      <w:bookmarkEnd w:id="324"/>
      <w:bookmarkStart w:id="325" w:name="_Toc221951220"/>
      <w:r>
        <w:rPr>
          <w:rFonts w:hint="eastAsia" w:ascii="宋体" w:hAnsi="宋体" w:cs="宋体"/>
          <w:color w:val="auto"/>
          <w:sz w:val="24"/>
          <w:u w:val="single"/>
        </w:rPr>
        <w:t>）</w:t>
      </w:r>
      <w:r>
        <w:rPr>
          <w:rFonts w:hint="eastAsia" w:ascii="宋体" w:hAnsi="宋体" w:cs="宋体"/>
          <w:color w:val="auto"/>
          <w:sz w:val="24"/>
        </w:rPr>
        <w:t>。</w:t>
      </w:r>
      <w:bookmarkEnd w:id="325"/>
    </w:p>
    <w:p>
      <w:pPr>
        <w:spacing w:line="312" w:lineRule="auto"/>
        <w:rPr>
          <w:rFonts w:ascii="宋体" w:hAnsi="宋体" w:cs="宋体"/>
          <w:b/>
          <w:bCs/>
          <w:color w:val="auto"/>
          <w:sz w:val="24"/>
        </w:rPr>
      </w:pPr>
      <w:bookmarkStart w:id="326" w:name="_Toc221951221"/>
      <w:r>
        <w:rPr>
          <w:rFonts w:hint="eastAsia" w:ascii="宋体" w:hAnsi="宋体" w:cs="宋体"/>
          <w:b/>
          <w:bCs/>
          <w:color w:val="auto"/>
          <w:sz w:val="24"/>
        </w:rPr>
        <w:t>15.8  暂估价</w:t>
      </w:r>
      <w:bookmarkEnd w:id="326"/>
    </w:p>
    <w:p>
      <w:pPr>
        <w:spacing w:line="312" w:lineRule="auto"/>
        <w:rPr>
          <w:rFonts w:ascii="宋体" w:hAnsi="宋体" w:cs="宋体"/>
          <w:color w:val="auto"/>
          <w:sz w:val="24"/>
        </w:rPr>
      </w:pPr>
      <w:r>
        <w:rPr>
          <w:rFonts w:hint="eastAsia" w:ascii="宋体" w:hAnsi="宋体" w:cs="宋体"/>
          <w:color w:val="auto"/>
          <w:sz w:val="24"/>
        </w:rPr>
        <w:t xml:space="preserve">    15.8.1 (l）发包人和承包人组织招标的暂估价项目：</w:t>
      </w:r>
      <w:r>
        <w:rPr>
          <w:rFonts w:hint="eastAsia" w:ascii="宋体" w:hAnsi="宋体" w:cs="宋体"/>
          <w:color w:val="auto"/>
          <w:sz w:val="24"/>
          <w:u w:val="single"/>
        </w:rPr>
        <w:t xml:space="preserve">    （签约后填入）  </w:t>
      </w:r>
      <w:r>
        <w:rPr>
          <w:rFonts w:hint="eastAsia" w:ascii="宋体" w:hAnsi="宋体" w:cs="宋体"/>
          <w:color w:val="auto"/>
          <w:sz w:val="24"/>
        </w:rPr>
        <w:t>；发包人组织招标的暂估价项目：</w:t>
      </w:r>
      <w:r>
        <w:rPr>
          <w:rFonts w:hint="eastAsia" w:ascii="宋体" w:hAnsi="宋体" w:cs="宋体"/>
          <w:color w:val="auto"/>
          <w:sz w:val="24"/>
          <w:u w:val="single"/>
        </w:rPr>
        <w:t xml:space="preserve">   （签约后填入）    </w:t>
      </w:r>
      <w:r>
        <w:rPr>
          <w:rFonts w:hint="eastAsia" w:ascii="宋体" w:hAnsi="宋体" w:cs="宋体"/>
          <w:color w:val="auto"/>
          <w:sz w:val="24"/>
        </w:rPr>
        <w:t>。</w:t>
      </w:r>
    </w:p>
    <w:p>
      <w:pPr>
        <w:spacing w:line="312" w:lineRule="auto"/>
        <w:ind w:firstLine="720" w:firstLineChars="300"/>
        <w:rPr>
          <w:rFonts w:ascii="宋体" w:hAnsi="宋体" w:cs="宋体"/>
          <w:color w:val="auto"/>
          <w:sz w:val="24"/>
        </w:rPr>
      </w:pPr>
      <w:r>
        <w:rPr>
          <w:rFonts w:hint="eastAsia" w:ascii="宋体" w:hAnsi="宋体" w:cs="宋体"/>
          <w:color w:val="auto"/>
          <w:sz w:val="24"/>
        </w:rPr>
        <w:t xml:space="preserve">    （2）发包人和承包人以招标方式选择暂估价项目供应商或分包人时，双方的权利义务关系：</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327" w:name="_Toc229305397"/>
      <w:r>
        <w:rPr>
          <w:rFonts w:hint="eastAsia" w:ascii="宋体" w:hAnsi="宋体" w:cs="宋体"/>
          <w:b/>
          <w:color w:val="auto"/>
          <w:sz w:val="24"/>
        </w:rPr>
        <w:t>16 价格调整</w:t>
      </w:r>
      <w:bookmarkEnd w:id="327"/>
    </w:p>
    <w:p>
      <w:pPr>
        <w:spacing w:line="312" w:lineRule="auto"/>
        <w:rPr>
          <w:rFonts w:ascii="宋体" w:hAnsi="宋体" w:cs="宋体"/>
          <w:b/>
          <w:bCs/>
          <w:color w:val="auto"/>
          <w:sz w:val="24"/>
        </w:rPr>
      </w:pPr>
      <w:r>
        <w:rPr>
          <w:rFonts w:hint="eastAsia" w:ascii="宋体" w:hAnsi="宋体" w:cs="宋体"/>
          <w:b/>
          <w:bCs/>
          <w:color w:val="auto"/>
          <w:sz w:val="24"/>
        </w:rPr>
        <w:t>16.1 物价波动引起的价格调整</w:t>
      </w:r>
    </w:p>
    <w:p>
      <w:pPr>
        <w:spacing w:line="312" w:lineRule="auto"/>
        <w:rPr>
          <w:rFonts w:ascii="宋体" w:hAnsi="宋体" w:cs="宋体"/>
          <w:color w:val="auto"/>
          <w:sz w:val="24"/>
        </w:rPr>
      </w:pPr>
      <w:bookmarkStart w:id="328" w:name="_Toc222031042"/>
      <w:bookmarkStart w:id="329" w:name="_Toc229305398"/>
      <w:bookmarkStart w:id="330" w:name="_Toc222029540"/>
      <w:bookmarkStart w:id="331" w:name="_Toc221951223"/>
      <w:bookmarkStart w:id="332" w:name="_Toc222033891"/>
      <w:bookmarkStart w:id="333" w:name="_Toc222032709"/>
      <w:r>
        <w:rPr>
          <w:rFonts w:hint="eastAsia" w:ascii="宋体" w:hAnsi="宋体" w:cs="宋体"/>
          <w:color w:val="auto"/>
          <w:sz w:val="24"/>
        </w:rPr>
        <w:t xml:space="preserve">   16.1.1物价波动引起的价格调整方式：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rPr>
      </w:pPr>
      <w:r>
        <w:rPr>
          <w:rFonts w:hint="eastAsia" w:ascii="宋体" w:hAnsi="宋体" w:cs="宋体"/>
          <w:color w:val="auto"/>
          <w:sz w:val="24"/>
        </w:rPr>
        <w:t xml:space="preserve">   16.1.2采用造价信息调整价格差额</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r>
        <w:rPr>
          <w:rFonts w:hint="eastAsia" w:ascii="宋体" w:hAnsi="宋体" w:cs="宋体"/>
          <w:color w:val="auto"/>
          <w:sz w:val="24"/>
        </w:rPr>
        <w:t xml:space="preserve">         工程造价信息及其来源：</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r>
        <w:rPr>
          <w:rFonts w:hint="eastAsia" w:ascii="宋体" w:hAnsi="宋体" w:cs="宋体"/>
          <w:color w:val="auto"/>
          <w:sz w:val="24"/>
        </w:rPr>
        <w:t xml:space="preserve">         价格调整的项目和系数：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hint="eastAsia" w:ascii="宋体" w:hAnsi="宋体" w:cs="宋体"/>
          <w:b/>
          <w:color w:val="auto"/>
          <w:sz w:val="24"/>
        </w:rPr>
      </w:pPr>
      <w:r>
        <w:rPr>
          <w:rFonts w:hint="eastAsia" w:ascii="宋体" w:hAnsi="宋体" w:cs="宋体"/>
          <w:b/>
          <w:color w:val="auto"/>
          <w:sz w:val="24"/>
        </w:rPr>
        <w:t>17  计量与支付</w:t>
      </w:r>
      <w:bookmarkEnd w:id="328"/>
      <w:bookmarkEnd w:id="329"/>
      <w:bookmarkEnd w:id="330"/>
      <w:bookmarkEnd w:id="331"/>
      <w:bookmarkEnd w:id="332"/>
      <w:bookmarkEnd w:id="333"/>
    </w:p>
    <w:p>
      <w:pPr>
        <w:spacing w:line="312" w:lineRule="auto"/>
        <w:rPr>
          <w:rFonts w:hint="eastAsia" w:ascii="宋体" w:hAnsi="宋体" w:cs="宋体"/>
          <w:b/>
          <w:color w:val="auto"/>
          <w:sz w:val="24"/>
        </w:rPr>
      </w:pPr>
      <w:r>
        <w:rPr>
          <w:rFonts w:hint="eastAsia" w:ascii="宋体" w:hAnsi="宋体" w:cs="宋体"/>
          <w:b/>
          <w:color w:val="auto"/>
          <w:sz w:val="24"/>
          <w:lang w:val="en-US"/>
        </w:rPr>
        <w:t xml:space="preserve">17.1 </w:t>
      </w:r>
      <w:r>
        <w:rPr>
          <w:rFonts w:hint="eastAsia" w:ascii="宋体" w:hAnsi="宋体" w:cs="宋体"/>
          <w:b/>
          <w:color w:val="auto"/>
          <w:sz w:val="24"/>
        </w:rPr>
        <w:t>预付款及付款方式</w:t>
      </w:r>
    </w:p>
    <w:p>
      <w:pPr>
        <w:spacing w:line="312" w:lineRule="auto"/>
        <w:ind w:firstLine="480" w:firstLineChars="200"/>
        <w:rPr>
          <w:rFonts w:hint="default" w:ascii="宋体" w:hAnsi="宋体" w:eastAsia="宋体" w:cs="宋体"/>
          <w:b/>
          <w:color w:val="auto"/>
          <w:sz w:val="24"/>
          <w:lang w:val="en-US" w:eastAsia="zh-CN"/>
        </w:rPr>
      </w:pPr>
      <w:r>
        <w:rPr>
          <w:rFonts w:hint="eastAsia" w:ascii="宋体" w:hAnsi="宋体" w:cs="宋体"/>
          <w:color w:val="auto"/>
          <w:sz w:val="24"/>
        </w:rPr>
        <w:t>本项目工程款和支付方式按工程进度全部完工后支付工程款，无预付款；待工程全部完工且审计验收合格交付完成后，以审计额度支付工程款。”</w:t>
      </w:r>
    </w:p>
    <w:p>
      <w:pPr>
        <w:spacing w:line="312" w:lineRule="auto"/>
        <w:rPr>
          <w:rFonts w:hint="eastAsia" w:ascii="宋体" w:hAnsi="宋体" w:cs="宋体"/>
          <w:b/>
          <w:color w:val="auto"/>
          <w:sz w:val="24"/>
        </w:rPr>
      </w:pPr>
      <w:bookmarkStart w:id="334" w:name="_Toc221951260"/>
      <w:r>
        <w:rPr>
          <w:rFonts w:hint="eastAsia" w:ascii="宋体" w:hAnsi="宋体" w:cs="宋体"/>
          <w:b/>
          <w:color w:val="auto"/>
          <w:sz w:val="24"/>
        </w:rPr>
        <w:t>17.4  质量保证金</w:t>
      </w:r>
      <w:bookmarkEnd w:id="334"/>
    </w:p>
    <w:p>
      <w:pPr>
        <w:spacing w:line="312" w:lineRule="auto"/>
        <w:ind w:right="248" w:firstLine="480" w:firstLineChars="200"/>
        <w:rPr>
          <w:rFonts w:ascii="宋体" w:hAnsi="宋体" w:cs="宋体"/>
          <w:color w:val="auto"/>
          <w:sz w:val="24"/>
        </w:rPr>
      </w:pPr>
      <w:r>
        <w:rPr>
          <w:rFonts w:hint="eastAsia"/>
          <w:color w:val="auto"/>
          <w:sz w:val="24"/>
          <w:szCs w:val="24"/>
        </w:rPr>
        <w:t>工程最终结算金额，以实际发生工程量及工程审计结论为准，扣留的质量保证金总额为最终审计决算金额的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335" w:name="_Toc221951265"/>
      <w:r>
        <w:rPr>
          <w:rFonts w:hint="eastAsia" w:ascii="宋体" w:hAnsi="宋体" w:cs="宋体"/>
          <w:b/>
          <w:bCs/>
          <w:color w:val="auto"/>
          <w:sz w:val="24"/>
        </w:rPr>
        <w:t>17.5  竣工（完工）结算</w:t>
      </w:r>
      <w:bookmarkEnd w:id="335"/>
    </w:p>
    <w:p>
      <w:pPr>
        <w:spacing w:line="312" w:lineRule="auto"/>
        <w:ind w:right="248" w:firstLine="480"/>
        <w:rPr>
          <w:rFonts w:ascii="宋体" w:hAnsi="宋体" w:cs="宋体"/>
          <w:color w:val="auto"/>
          <w:sz w:val="24"/>
        </w:rPr>
      </w:pPr>
      <w:bookmarkStart w:id="336" w:name="_Toc221951266"/>
      <w:r>
        <w:rPr>
          <w:rFonts w:hint="eastAsia" w:ascii="宋体" w:hAnsi="宋体" w:cs="宋体"/>
          <w:color w:val="auto"/>
          <w:sz w:val="24"/>
        </w:rPr>
        <w:t>17.5.1  竣工（完工）付款申请单</w:t>
      </w:r>
      <w:bookmarkEnd w:id="336"/>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bookmarkStart w:id="337" w:name="_Toc221951267"/>
      <w:r>
        <w:rPr>
          <w:rFonts w:hint="eastAsia" w:ascii="宋体" w:hAnsi="宋体" w:cs="宋体"/>
          <w:color w:val="auto"/>
          <w:sz w:val="24"/>
        </w:rPr>
        <w:t>（1）承包人应提交竣工付款申请单一式</w:t>
      </w:r>
      <w:r>
        <w:rPr>
          <w:rFonts w:hint="eastAsia" w:ascii="宋体" w:hAnsi="宋体" w:cs="宋体"/>
          <w:color w:val="auto"/>
          <w:sz w:val="24"/>
          <w:u w:val="single"/>
        </w:rPr>
        <w:t xml:space="preserve">   </w:t>
      </w:r>
      <w:r>
        <w:rPr>
          <w:rFonts w:hint="eastAsia" w:ascii="宋体" w:hAnsi="宋体" w:cs="宋体"/>
          <w:color w:val="auto"/>
          <w:sz w:val="24"/>
        </w:rPr>
        <w:t>份。</w:t>
      </w:r>
      <w:bookmarkEnd w:id="337"/>
    </w:p>
    <w:p>
      <w:pPr>
        <w:spacing w:line="312" w:lineRule="auto"/>
        <w:rPr>
          <w:rFonts w:ascii="宋体" w:hAnsi="宋体" w:cs="宋体"/>
          <w:b/>
          <w:bCs/>
          <w:color w:val="auto"/>
          <w:sz w:val="24"/>
        </w:rPr>
      </w:pPr>
      <w:bookmarkStart w:id="338" w:name="_Toc221951268"/>
      <w:r>
        <w:rPr>
          <w:rFonts w:hint="eastAsia" w:ascii="宋体" w:hAnsi="宋体" w:cs="宋体"/>
          <w:b/>
          <w:bCs/>
          <w:color w:val="auto"/>
          <w:sz w:val="24"/>
        </w:rPr>
        <w:t>17.6  最终结清</w:t>
      </w:r>
      <w:bookmarkEnd w:id="338"/>
    </w:p>
    <w:p>
      <w:pPr>
        <w:spacing w:line="312" w:lineRule="auto"/>
        <w:ind w:right="248" w:firstLine="480"/>
        <w:rPr>
          <w:rFonts w:ascii="宋体" w:hAnsi="宋体" w:cs="宋体"/>
          <w:color w:val="auto"/>
          <w:sz w:val="24"/>
        </w:rPr>
      </w:pPr>
      <w:bookmarkStart w:id="339" w:name="_Toc221951269"/>
      <w:r>
        <w:rPr>
          <w:rFonts w:hint="eastAsia" w:ascii="宋体" w:hAnsi="宋体" w:cs="宋体"/>
          <w:color w:val="auto"/>
          <w:sz w:val="24"/>
        </w:rPr>
        <w:t>17.6 1  最终结清申请单</w:t>
      </w:r>
      <w:bookmarkEnd w:id="339"/>
    </w:p>
    <w:p>
      <w:pPr>
        <w:spacing w:line="312" w:lineRule="auto"/>
        <w:ind w:right="248" w:firstLine="480"/>
        <w:rPr>
          <w:rFonts w:ascii="宋体" w:hAnsi="宋体" w:cs="宋体"/>
          <w:color w:val="auto"/>
          <w:sz w:val="24"/>
        </w:rPr>
      </w:pPr>
      <w:bookmarkStart w:id="340" w:name="_Toc221951270"/>
      <w:r>
        <w:rPr>
          <w:rFonts w:hint="eastAsia" w:ascii="宋体" w:hAnsi="宋体" w:cs="宋体"/>
          <w:color w:val="auto"/>
          <w:sz w:val="24"/>
        </w:rPr>
        <w:t>（1）承包人应提交最终结清申请单一式</w:t>
      </w:r>
      <w:r>
        <w:rPr>
          <w:rFonts w:hint="eastAsia" w:ascii="宋体" w:hAnsi="宋体" w:cs="宋体"/>
          <w:color w:val="auto"/>
          <w:sz w:val="24"/>
          <w:u w:val="single"/>
        </w:rPr>
        <w:t xml:space="preserve">   </w:t>
      </w:r>
      <w:r>
        <w:rPr>
          <w:rFonts w:hint="eastAsia" w:ascii="宋体" w:hAnsi="宋体" w:cs="宋体"/>
          <w:color w:val="auto"/>
          <w:sz w:val="24"/>
        </w:rPr>
        <w:t>份。</w:t>
      </w:r>
      <w:bookmarkEnd w:id="340"/>
    </w:p>
    <w:p>
      <w:pPr>
        <w:spacing w:line="312" w:lineRule="auto"/>
        <w:rPr>
          <w:rFonts w:ascii="宋体" w:hAnsi="宋体" w:cs="宋体"/>
          <w:b/>
          <w:bCs/>
          <w:color w:val="auto"/>
          <w:sz w:val="24"/>
        </w:rPr>
      </w:pPr>
      <w:r>
        <w:rPr>
          <w:rFonts w:hint="eastAsia" w:ascii="宋体" w:hAnsi="宋体" w:cs="宋体"/>
          <w:b/>
          <w:bCs/>
          <w:color w:val="auto"/>
          <w:sz w:val="24"/>
        </w:rPr>
        <w:t>17.7 竣工财务决算</w:t>
      </w:r>
    </w:p>
    <w:p>
      <w:pPr>
        <w:spacing w:line="312" w:lineRule="auto"/>
        <w:ind w:right="248" w:firstLine="480"/>
        <w:rPr>
          <w:rFonts w:ascii="宋体" w:hAnsi="宋体" w:cs="宋体"/>
          <w:color w:val="auto"/>
          <w:sz w:val="24"/>
        </w:rPr>
      </w:pPr>
      <w:r>
        <w:rPr>
          <w:rFonts w:hint="eastAsia" w:ascii="宋体" w:hAnsi="宋体" w:cs="宋体"/>
          <w:color w:val="auto"/>
          <w:sz w:val="24"/>
        </w:rPr>
        <w:t>承包人应为竣工财务决算编制提供的资料：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341" w:name="_Toc221951271"/>
      <w:bookmarkStart w:id="342" w:name="_Toc222033892"/>
      <w:bookmarkStart w:id="343" w:name="_Toc229305399"/>
      <w:bookmarkStart w:id="344" w:name="_Toc222029541"/>
      <w:bookmarkStart w:id="345" w:name="_Toc222032710"/>
      <w:bookmarkStart w:id="346" w:name="_Toc222031043"/>
      <w:r>
        <w:rPr>
          <w:rFonts w:hint="eastAsia" w:ascii="宋体" w:hAnsi="宋体" w:cs="宋体"/>
          <w:b/>
          <w:color w:val="auto"/>
          <w:sz w:val="24"/>
        </w:rPr>
        <w:t>18  竣工验收</w:t>
      </w:r>
      <w:bookmarkEnd w:id="341"/>
      <w:bookmarkEnd w:id="342"/>
      <w:bookmarkEnd w:id="343"/>
      <w:bookmarkEnd w:id="344"/>
      <w:bookmarkEnd w:id="345"/>
      <w:bookmarkEnd w:id="346"/>
      <w:r>
        <w:rPr>
          <w:rFonts w:hint="eastAsia" w:ascii="宋体" w:hAnsi="宋体" w:cs="宋体"/>
          <w:b/>
          <w:color w:val="auto"/>
          <w:sz w:val="24"/>
        </w:rPr>
        <w:t>（验收）</w:t>
      </w:r>
    </w:p>
    <w:p>
      <w:pPr>
        <w:spacing w:line="312" w:lineRule="auto"/>
        <w:rPr>
          <w:rFonts w:ascii="宋体" w:hAnsi="宋体" w:cs="宋体"/>
          <w:b/>
          <w:bCs/>
          <w:color w:val="auto"/>
          <w:sz w:val="24"/>
        </w:rPr>
      </w:pPr>
      <w:bookmarkStart w:id="347" w:name="_Toc221951272"/>
      <w:r>
        <w:rPr>
          <w:rFonts w:hint="eastAsia" w:ascii="宋体" w:hAnsi="宋体" w:cs="宋体"/>
          <w:b/>
          <w:bCs/>
          <w:color w:val="auto"/>
          <w:sz w:val="24"/>
        </w:rPr>
        <w:t xml:space="preserve">18.1 </w:t>
      </w:r>
      <w:bookmarkEnd w:id="347"/>
      <w:r>
        <w:rPr>
          <w:rFonts w:hint="eastAsia" w:ascii="宋体" w:hAnsi="宋体" w:cs="宋体"/>
          <w:b/>
          <w:bCs/>
          <w:color w:val="auto"/>
          <w:sz w:val="24"/>
        </w:rPr>
        <w:t>验收工作分类</w:t>
      </w:r>
    </w:p>
    <w:p>
      <w:pPr>
        <w:spacing w:line="312" w:lineRule="auto"/>
        <w:ind w:firstLine="360" w:firstLineChars="150"/>
        <w:rPr>
          <w:rFonts w:ascii="宋体" w:hAnsi="宋体" w:cs="宋体"/>
          <w:color w:val="auto"/>
          <w:sz w:val="24"/>
        </w:rPr>
      </w:pPr>
      <w:bookmarkStart w:id="348" w:name="_Toc221951274"/>
      <w:r>
        <w:rPr>
          <w:rFonts w:hint="eastAsia" w:ascii="宋体" w:hAnsi="宋体" w:cs="宋体"/>
          <w:color w:val="auto"/>
          <w:sz w:val="24"/>
        </w:rPr>
        <w:t>本工程法人验收包括：</w:t>
      </w:r>
      <w:r>
        <w:rPr>
          <w:rFonts w:hint="eastAsia" w:ascii="宋体" w:hAnsi="宋体" w:cs="宋体"/>
          <w:color w:val="auto"/>
          <w:sz w:val="24"/>
          <w:u w:val="single"/>
        </w:rPr>
        <w:t xml:space="preserve">        </w:t>
      </w:r>
      <w:r>
        <w:rPr>
          <w:rFonts w:hint="eastAsia" w:ascii="宋体" w:hAnsi="宋体" w:cs="宋体"/>
          <w:color w:val="auto"/>
          <w:sz w:val="24"/>
        </w:rPr>
        <w:t>；政府验收包括：</w:t>
      </w:r>
      <w:r>
        <w:rPr>
          <w:rFonts w:hint="eastAsia" w:ascii="宋体" w:hAnsi="宋体" w:cs="宋体"/>
          <w:color w:val="auto"/>
          <w:sz w:val="24"/>
          <w:u w:val="single"/>
        </w:rPr>
        <w:t xml:space="preserve">        </w:t>
      </w:r>
      <w:r>
        <w:rPr>
          <w:rFonts w:hint="eastAsia" w:ascii="宋体" w:hAnsi="宋体" w:cs="宋体"/>
          <w:color w:val="auto"/>
          <w:sz w:val="24"/>
        </w:rPr>
        <w:t>。验收条件为：</w:t>
      </w:r>
      <w:r>
        <w:rPr>
          <w:rFonts w:hint="eastAsia" w:ascii="宋体" w:hAnsi="宋体" w:cs="宋体"/>
          <w:color w:val="auto"/>
          <w:sz w:val="24"/>
          <w:u w:val="single"/>
        </w:rPr>
        <w:t xml:space="preserve">       </w:t>
      </w:r>
      <w:r>
        <w:rPr>
          <w:rFonts w:hint="eastAsia" w:ascii="宋体" w:hAnsi="宋体" w:cs="宋体"/>
          <w:color w:val="auto"/>
          <w:sz w:val="24"/>
        </w:rPr>
        <w:t>，验收程序为：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18.2 分部工程验收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18.2.2 本工程由发包人主持的分部工程验收为</w:t>
      </w:r>
      <w:r>
        <w:rPr>
          <w:rFonts w:hint="eastAsia" w:ascii="宋体" w:hAnsi="宋体" w:cs="宋体"/>
          <w:color w:val="auto"/>
          <w:sz w:val="24"/>
          <w:u w:val="single"/>
        </w:rPr>
        <w:t xml:space="preserve">          </w:t>
      </w:r>
      <w:r>
        <w:rPr>
          <w:rFonts w:hint="eastAsia" w:ascii="宋体" w:hAnsi="宋体" w:cs="宋体"/>
          <w:color w:val="auto"/>
          <w:sz w:val="24"/>
        </w:rPr>
        <w:t>，其余由监理人主持。</w:t>
      </w:r>
    </w:p>
    <w:p>
      <w:pPr>
        <w:spacing w:line="312" w:lineRule="auto"/>
        <w:rPr>
          <w:rFonts w:ascii="宋体" w:hAnsi="宋体" w:cs="宋体"/>
          <w:b/>
          <w:bCs/>
          <w:color w:val="auto"/>
          <w:sz w:val="24"/>
        </w:rPr>
      </w:pPr>
      <w:r>
        <w:rPr>
          <w:rFonts w:hint="eastAsia" w:ascii="宋体" w:hAnsi="宋体" w:cs="宋体"/>
          <w:b/>
          <w:bCs/>
          <w:color w:val="auto"/>
          <w:sz w:val="24"/>
        </w:rPr>
        <w:t>18.3 单位工程验收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18.3.4 提前投人使用的单位工程包括：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r>
        <w:rPr>
          <w:rFonts w:hint="eastAsia" w:ascii="宋体" w:hAnsi="宋体" w:cs="宋体"/>
          <w:b/>
          <w:bCs/>
          <w:color w:val="auto"/>
          <w:sz w:val="24"/>
        </w:rPr>
        <w:t>18.5 阶段验收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18.5.1 本合同工程阶段验收类别包括：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18.6 专项验收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18.6.2 本合同工程专项验收类别包括：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18.7 竣工验收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18.7.3 本工程</w:t>
      </w:r>
      <w:r>
        <w:rPr>
          <w:rFonts w:hint="eastAsia" w:ascii="宋体" w:hAnsi="宋体" w:cs="宋体"/>
          <w:color w:val="auto"/>
          <w:sz w:val="24"/>
          <w:u w:val="single"/>
        </w:rPr>
        <w:t xml:space="preserve">      </w:t>
      </w:r>
      <w:r>
        <w:rPr>
          <w:rFonts w:hint="eastAsia" w:ascii="宋体" w:hAnsi="宋体" w:cs="宋体"/>
          <w:color w:val="auto"/>
          <w:sz w:val="24"/>
        </w:rPr>
        <w:t>（需要／不需要）竣工验收技术鉴定（蓄水安全鉴定）。</w:t>
      </w:r>
    </w:p>
    <w:bookmarkEnd w:id="348"/>
    <w:p>
      <w:pPr>
        <w:spacing w:line="312" w:lineRule="auto"/>
        <w:rPr>
          <w:rFonts w:ascii="宋体" w:hAnsi="宋体" w:cs="宋体"/>
          <w:b/>
          <w:bCs/>
          <w:color w:val="auto"/>
          <w:sz w:val="24"/>
        </w:rPr>
      </w:pPr>
      <w:bookmarkStart w:id="349" w:name="_Toc221951282"/>
      <w:r>
        <w:rPr>
          <w:rFonts w:hint="eastAsia" w:ascii="宋体" w:hAnsi="宋体" w:cs="宋体"/>
          <w:b/>
          <w:bCs/>
          <w:color w:val="auto"/>
          <w:sz w:val="24"/>
        </w:rPr>
        <w:t>18.8 施工期运行</w:t>
      </w:r>
      <w:bookmarkEnd w:id="349"/>
    </w:p>
    <w:p>
      <w:pPr>
        <w:spacing w:line="312" w:lineRule="auto"/>
        <w:ind w:firstLine="360" w:firstLineChars="150"/>
        <w:rPr>
          <w:rFonts w:ascii="宋体" w:hAnsi="宋体" w:cs="宋体"/>
          <w:color w:val="auto"/>
          <w:sz w:val="24"/>
        </w:rPr>
      </w:pPr>
      <w:bookmarkStart w:id="350" w:name="_Toc221951283"/>
      <w:r>
        <w:rPr>
          <w:rFonts w:hint="eastAsia" w:ascii="宋体" w:hAnsi="宋体" w:cs="宋体"/>
          <w:color w:val="auto"/>
          <w:sz w:val="24"/>
        </w:rPr>
        <w:t>18.8.1 需要在施工期运行的单位工程或工程设备为：</w:t>
      </w:r>
      <w:r>
        <w:rPr>
          <w:rFonts w:hint="eastAsia" w:ascii="宋体" w:hAnsi="宋体" w:cs="宋体"/>
          <w:color w:val="auto"/>
          <w:sz w:val="24"/>
          <w:u w:val="single"/>
        </w:rPr>
        <w:t xml:space="preserve">         </w:t>
      </w:r>
      <w:bookmarkEnd w:id="350"/>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351" w:name="_Toc221951285"/>
      <w:r>
        <w:rPr>
          <w:rFonts w:hint="eastAsia" w:ascii="宋体" w:hAnsi="宋体" w:cs="宋体"/>
          <w:b/>
          <w:bCs/>
          <w:color w:val="auto"/>
          <w:sz w:val="24"/>
        </w:rPr>
        <w:t>18.9 试运行</w:t>
      </w:r>
      <w:bookmarkEnd w:id="351"/>
      <w:r>
        <w:rPr>
          <w:rFonts w:hint="eastAsia" w:ascii="宋体" w:hAnsi="宋体" w:cs="宋体"/>
          <w:b/>
          <w:bCs/>
          <w:color w:val="auto"/>
          <w:sz w:val="24"/>
        </w:rPr>
        <w:t xml:space="preserve">   </w:t>
      </w:r>
    </w:p>
    <w:p>
      <w:pPr>
        <w:spacing w:line="312" w:lineRule="auto"/>
        <w:ind w:right="248" w:firstLine="600" w:firstLineChars="250"/>
        <w:rPr>
          <w:rFonts w:ascii="宋体" w:hAnsi="宋体" w:cs="宋体"/>
          <w:color w:val="auto"/>
          <w:sz w:val="24"/>
        </w:rPr>
      </w:pPr>
      <w:bookmarkStart w:id="352" w:name="_Toc221951286"/>
      <w:r>
        <w:rPr>
          <w:rFonts w:hint="eastAsia" w:ascii="宋体" w:hAnsi="宋体" w:cs="宋体"/>
          <w:color w:val="auto"/>
          <w:sz w:val="24"/>
        </w:rPr>
        <w:t xml:space="preserve">18.9.1 </w:t>
      </w:r>
      <w:bookmarkEnd w:id="352"/>
      <w:r>
        <w:rPr>
          <w:rFonts w:hint="eastAsia" w:ascii="宋体" w:hAnsi="宋体" w:cs="宋体"/>
          <w:color w:val="auto"/>
          <w:sz w:val="24"/>
        </w:rPr>
        <w:t>试运行的组织：</w:t>
      </w:r>
      <w:r>
        <w:rPr>
          <w:rFonts w:hint="eastAsia" w:ascii="宋体" w:hAnsi="宋体" w:cs="宋体"/>
          <w:color w:val="auto"/>
          <w:sz w:val="24"/>
          <w:u w:val="single"/>
        </w:rPr>
        <w:t xml:space="preserve">           </w:t>
      </w:r>
      <w:r>
        <w:rPr>
          <w:rFonts w:hint="eastAsia" w:ascii="宋体" w:hAnsi="宋体" w:cs="宋体"/>
          <w:color w:val="auto"/>
          <w:sz w:val="24"/>
        </w:rPr>
        <w:t>；费用承担：</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r>
        <w:rPr>
          <w:rFonts w:hint="eastAsia" w:ascii="宋体" w:hAnsi="宋体" w:cs="宋体"/>
          <w:b/>
          <w:color w:val="auto"/>
          <w:sz w:val="24"/>
        </w:rPr>
        <w:t>19 缺陷责任与保修责任</w:t>
      </w:r>
    </w:p>
    <w:p>
      <w:pPr>
        <w:spacing w:line="312" w:lineRule="auto"/>
        <w:rPr>
          <w:rFonts w:ascii="宋体" w:hAnsi="宋体" w:cs="宋体"/>
          <w:b/>
          <w:bCs/>
          <w:color w:val="auto"/>
          <w:sz w:val="24"/>
        </w:rPr>
      </w:pPr>
      <w:r>
        <w:rPr>
          <w:rFonts w:hint="eastAsia" w:ascii="宋体" w:hAnsi="宋体" w:cs="宋体"/>
          <w:b/>
          <w:bCs/>
          <w:color w:val="auto"/>
          <w:sz w:val="24"/>
        </w:rPr>
        <w:t>19.1 缺陷责任期（工程质量保修期）的起算时间</w:t>
      </w:r>
    </w:p>
    <w:p>
      <w:pPr>
        <w:spacing w:line="312" w:lineRule="auto"/>
        <w:ind w:right="248" w:firstLine="600" w:firstLineChars="250"/>
        <w:rPr>
          <w:rFonts w:ascii="宋体" w:hAnsi="宋体" w:cs="宋体"/>
          <w:color w:val="auto"/>
          <w:sz w:val="24"/>
        </w:rPr>
      </w:pPr>
      <w:r>
        <w:rPr>
          <w:rFonts w:hint="eastAsia" w:ascii="宋体" w:hAnsi="宋体" w:cs="宋体"/>
          <w:color w:val="auto"/>
          <w:sz w:val="24"/>
        </w:rPr>
        <w:t>本工程缺陷责任期（工程质量保修期）计算如下：</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bookmarkStart w:id="353" w:name="_Toc222032711"/>
      <w:bookmarkStart w:id="354" w:name="_Toc222031044"/>
      <w:bookmarkStart w:id="355" w:name="_Toc221951299"/>
      <w:bookmarkStart w:id="356" w:name="_Toc222029542"/>
      <w:bookmarkStart w:id="357" w:name="_Toc229305400"/>
      <w:bookmarkStart w:id="358" w:name="_Toc222033893"/>
      <w:r>
        <w:rPr>
          <w:rFonts w:hint="eastAsia" w:ascii="宋体" w:hAnsi="宋体" w:cs="宋体"/>
          <w:b/>
          <w:color w:val="auto"/>
          <w:sz w:val="24"/>
        </w:rPr>
        <w:t>20  保险</w:t>
      </w:r>
      <w:bookmarkEnd w:id="353"/>
      <w:bookmarkEnd w:id="354"/>
      <w:bookmarkEnd w:id="355"/>
      <w:bookmarkEnd w:id="356"/>
      <w:bookmarkEnd w:id="357"/>
      <w:bookmarkEnd w:id="358"/>
    </w:p>
    <w:p>
      <w:pPr>
        <w:spacing w:line="312" w:lineRule="auto"/>
        <w:rPr>
          <w:rFonts w:ascii="宋体" w:hAnsi="宋体" w:cs="宋体"/>
          <w:b/>
          <w:bCs/>
          <w:color w:val="auto"/>
          <w:sz w:val="24"/>
        </w:rPr>
      </w:pPr>
      <w:bookmarkStart w:id="359" w:name="_Toc221951321"/>
      <w:r>
        <w:rPr>
          <w:rFonts w:hint="eastAsia" w:ascii="宋体" w:hAnsi="宋体" w:cs="宋体"/>
          <w:b/>
          <w:bCs/>
          <w:color w:val="auto"/>
          <w:sz w:val="24"/>
        </w:rPr>
        <w:t>20.1  工程保险</w:t>
      </w:r>
      <w:bookmarkEnd w:id="359"/>
    </w:p>
    <w:p>
      <w:pPr>
        <w:spacing w:line="312" w:lineRule="auto"/>
        <w:ind w:right="248" w:firstLine="480"/>
        <w:rPr>
          <w:rFonts w:ascii="宋体" w:hAnsi="宋体" w:cs="宋体"/>
          <w:color w:val="auto"/>
          <w:sz w:val="24"/>
        </w:rPr>
      </w:pPr>
      <w:bookmarkStart w:id="360" w:name="_Toc221951323"/>
      <w:r>
        <w:rPr>
          <w:rFonts w:hint="eastAsia" w:ascii="宋体" w:hAnsi="宋体" w:cs="宋体"/>
          <w:color w:val="auto"/>
          <w:sz w:val="24"/>
        </w:rPr>
        <w:t>建筑工程一切险和（或）安装工程一切险投保人：</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投保内容：</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保险金额、保险费率和保险期限：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20.4  第三者责任险</w:t>
      </w:r>
      <w:bookmarkEnd w:id="360"/>
    </w:p>
    <w:p>
      <w:pPr>
        <w:spacing w:line="312" w:lineRule="auto"/>
        <w:ind w:right="248" w:firstLine="480"/>
        <w:rPr>
          <w:rFonts w:ascii="宋体" w:hAnsi="宋体" w:cs="宋体"/>
          <w:color w:val="auto"/>
          <w:sz w:val="24"/>
        </w:rPr>
      </w:pPr>
      <w:bookmarkStart w:id="361" w:name="_Toc221951325"/>
      <w:r>
        <w:rPr>
          <w:rFonts w:hint="eastAsia" w:ascii="宋体" w:hAnsi="宋体" w:cs="宋体"/>
          <w:color w:val="auto"/>
          <w:sz w:val="24"/>
        </w:rPr>
        <w:t>20.4.2 第三者责任险保险费率：</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第三者责任险保险金额：</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r>
        <w:rPr>
          <w:rFonts w:hint="eastAsia" w:ascii="宋体" w:hAnsi="宋体" w:cs="宋体"/>
          <w:b/>
          <w:bCs/>
          <w:color w:val="auto"/>
          <w:sz w:val="24"/>
        </w:rPr>
        <w:t>20.5  其他保险</w:t>
      </w:r>
      <w:bookmarkEnd w:id="361"/>
    </w:p>
    <w:p>
      <w:pPr>
        <w:spacing w:line="312" w:lineRule="auto"/>
        <w:ind w:right="248" w:firstLine="480"/>
        <w:rPr>
          <w:rFonts w:ascii="宋体" w:hAnsi="宋体" w:cs="宋体"/>
          <w:color w:val="auto"/>
          <w:sz w:val="24"/>
        </w:rPr>
      </w:pPr>
      <w:bookmarkStart w:id="362" w:name="_Toc221951327"/>
      <w:r>
        <w:rPr>
          <w:rFonts w:hint="eastAsia" w:ascii="宋体" w:hAnsi="宋体" w:cs="宋体"/>
          <w:color w:val="auto"/>
          <w:sz w:val="24"/>
        </w:rPr>
        <w:t>需要投保的其他内容：</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right="248" w:firstLine="480"/>
        <w:rPr>
          <w:rFonts w:ascii="宋体" w:hAnsi="宋体" w:cs="宋体"/>
          <w:color w:val="auto"/>
          <w:sz w:val="24"/>
        </w:rPr>
      </w:pPr>
      <w:r>
        <w:rPr>
          <w:rFonts w:hint="eastAsia" w:ascii="宋体" w:hAnsi="宋体" w:cs="宋体"/>
          <w:color w:val="auto"/>
          <w:sz w:val="24"/>
        </w:rPr>
        <w:t>保险金额、保险费率和保险期限：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20.6  对各项保险的一般要求</w:t>
      </w:r>
      <w:bookmarkEnd w:id="362"/>
    </w:p>
    <w:p>
      <w:pPr>
        <w:spacing w:line="312" w:lineRule="auto"/>
        <w:rPr>
          <w:rFonts w:ascii="宋体" w:hAnsi="宋体" w:cs="宋体"/>
          <w:color w:val="auto"/>
          <w:sz w:val="24"/>
        </w:rPr>
      </w:pPr>
      <w:bookmarkStart w:id="363" w:name="_Toc221951328"/>
      <w:r>
        <w:rPr>
          <w:rFonts w:hint="eastAsia" w:ascii="宋体" w:hAnsi="宋体" w:cs="宋体"/>
          <w:color w:val="auto"/>
          <w:sz w:val="24"/>
        </w:rPr>
        <w:t xml:space="preserve">     20.6.1  保险凭证</w:t>
      </w:r>
      <w:bookmarkEnd w:id="363"/>
    </w:p>
    <w:p>
      <w:pPr>
        <w:spacing w:line="312" w:lineRule="auto"/>
        <w:ind w:right="248" w:firstLine="480"/>
        <w:rPr>
          <w:rFonts w:ascii="宋体" w:hAnsi="宋体" w:cs="宋体"/>
          <w:color w:val="auto"/>
          <w:sz w:val="24"/>
        </w:rPr>
      </w:pPr>
      <w:bookmarkStart w:id="364" w:name="_Toc221951330"/>
      <w:r>
        <w:rPr>
          <w:rFonts w:hint="eastAsia" w:ascii="宋体" w:hAnsi="宋体" w:cs="宋体"/>
          <w:color w:val="auto"/>
          <w:sz w:val="24"/>
        </w:rPr>
        <w:t>承包人提交保险凭证的期限：</w:t>
      </w:r>
      <w:r>
        <w:rPr>
          <w:rFonts w:hint="eastAsia" w:ascii="宋体" w:hAnsi="宋体" w:cs="宋体"/>
          <w:color w:val="auto"/>
          <w:sz w:val="24"/>
          <w:u w:val="single"/>
        </w:rPr>
        <w:t xml:space="preserve">                          </w:t>
      </w:r>
      <w:bookmarkEnd w:id="364"/>
      <w:r>
        <w:rPr>
          <w:rFonts w:hint="eastAsia" w:ascii="宋体" w:hAnsi="宋体" w:cs="宋体"/>
          <w:color w:val="auto"/>
          <w:sz w:val="24"/>
        </w:rPr>
        <w:t>；</w:t>
      </w:r>
    </w:p>
    <w:p>
      <w:pPr>
        <w:spacing w:line="312" w:lineRule="auto"/>
        <w:ind w:right="248" w:firstLine="480"/>
        <w:rPr>
          <w:rFonts w:ascii="宋体" w:hAnsi="宋体" w:cs="宋体"/>
          <w:color w:val="auto"/>
          <w:sz w:val="24"/>
        </w:rPr>
      </w:pPr>
      <w:bookmarkStart w:id="365" w:name="_Toc221951329"/>
      <w:r>
        <w:rPr>
          <w:rFonts w:hint="eastAsia" w:ascii="宋体" w:hAnsi="宋体" w:cs="宋体"/>
          <w:color w:val="auto"/>
          <w:sz w:val="24"/>
        </w:rPr>
        <w:t>保险条件：</w:t>
      </w:r>
      <w:r>
        <w:rPr>
          <w:rFonts w:hint="eastAsia" w:ascii="宋体" w:hAnsi="宋体" w:cs="宋体"/>
          <w:color w:val="auto"/>
          <w:sz w:val="24"/>
          <w:u w:val="single"/>
        </w:rPr>
        <w:t xml:space="preserve">                         </w:t>
      </w:r>
      <w:bookmarkEnd w:id="365"/>
      <w:r>
        <w:rPr>
          <w:rFonts w:hint="eastAsia" w:ascii="宋体" w:hAnsi="宋体" w:cs="宋体"/>
          <w:color w:val="auto"/>
          <w:sz w:val="24"/>
        </w:rPr>
        <w:t>。</w:t>
      </w:r>
    </w:p>
    <w:p>
      <w:pPr>
        <w:spacing w:line="312" w:lineRule="auto"/>
        <w:ind w:right="248" w:firstLine="480"/>
        <w:rPr>
          <w:rFonts w:ascii="宋体" w:hAnsi="宋体" w:cs="宋体"/>
          <w:color w:val="auto"/>
          <w:sz w:val="24"/>
        </w:rPr>
      </w:pPr>
      <w:bookmarkStart w:id="366" w:name="_Toc221951331"/>
      <w:r>
        <w:rPr>
          <w:rFonts w:hint="eastAsia" w:ascii="宋体" w:hAnsi="宋体" w:cs="宋体"/>
          <w:color w:val="auto"/>
          <w:sz w:val="24"/>
        </w:rPr>
        <w:t>20.6.4  保险金不足的补偿</w:t>
      </w:r>
      <w:bookmarkEnd w:id="366"/>
    </w:p>
    <w:p>
      <w:pPr>
        <w:spacing w:line="312" w:lineRule="auto"/>
        <w:ind w:left="958" w:leftChars="228" w:right="248" w:hanging="480" w:hangingChars="200"/>
        <w:rPr>
          <w:rFonts w:ascii="宋体" w:hAnsi="宋体" w:cs="宋体"/>
          <w:color w:val="auto"/>
          <w:sz w:val="24"/>
        </w:rPr>
      </w:pPr>
      <w:bookmarkStart w:id="367" w:name="_Toc221951332"/>
      <w:r>
        <w:rPr>
          <w:rFonts w:hint="eastAsia" w:ascii="宋体" w:hAnsi="宋体" w:cs="宋体"/>
          <w:color w:val="auto"/>
          <w:sz w:val="24"/>
        </w:rPr>
        <w:t>承包人负责补偿的范围与金额：</w:t>
      </w:r>
      <w:bookmarkEnd w:id="367"/>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left="958" w:leftChars="228" w:right="248" w:hanging="480" w:hangingChars="200"/>
        <w:rPr>
          <w:rFonts w:ascii="宋体" w:hAnsi="宋体" w:cs="宋体"/>
          <w:color w:val="auto"/>
          <w:sz w:val="24"/>
          <w:u w:val="single"/>
        </w:rPr>
      </w:pPr>
      <w:r>
        <w:rPr>
          <w:rFonts w:hint="eastAsia" w:ascii="宋体" w:hAnsi="宋体" w:cs="宋体"/>
          <w:color w:val="auto"/>
          <w:sz w:val="24"/>
        </w:rPr>
        <w:t>发包人负责补偿的范围与金额：</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12" w:lineRule="auto"/>
        <w:rPr>
          <w:rFonts w:ascii="宋体" w:hAnsi="宋体" w:cs="宋体"/>
          <w:b/>
          <w:color w:val="auto"/>
          <w:sz w:val="24"/>
        </w:rPr>
      </w:pPr>
      <w:bookmarkStart w:id="368" w:name="_Toc222031045"/>
      <w:bookmarkStart w:id="369" w:name="_Toc222033894"/>
      <w:bookmarkStart w:id="370" w:name="_Toc221951334"/>
      <w:bookmarkStart w:id="371" w:name="_Toc222032712"/>
      <w:bookmarkStart w:id="372" w:name="_Toc229305401"/>
      <w:bookmarkStart w:id="373" w:name="_Toc222029543"/>
      <w:r>
        <w:rPr>
          <w:rFonts w:hint="eastAsia" w:ascii="宋体" w:hAnsi="宋体" w:cs="宋体"/>
          <w:b/>
          <w:color w:val="auto"/>
          <w:sz w:val="24"/>
        </w:rPr>
        <w:t>24. 争议的解决</w:t>
      </w:r>
      <w:bookmarkEnd w:id="368"/>
      <w:bookmarkEnd w:id="369"/>
      <w:bookmarkEnd w:id="370"/>
      <w:bookmarkEnd w:id="371"/>
      <w:bookmarkEnd w:id="372"/>
      <w:bookmarkEnd w:id="373"/>
    </w:p>
    <w:p>
      <w:pPr>
        <w:spacing w:after="120" w:line="312" w:lineRule="auto"/>
        <w:ind w:firstLine="480" w:firstLineChars="200"/>
        <w:rPr>
          <w:rFonts w:ascii="宋体" w:hAnsi="宋体" w:cs="宋体"/>
          <w:color w:val="auto"/>
          <w:sz w:val="24"/>
        </w:rPr>
      </w:pPr>
      <w:r>
        <w:rPr>
          <w:rFonts w:hint="eastAsia" w:ascii="宋体" w:hAnsi="宋体" w:cs="宋体"/>
          <w:color w:val="auto"/>
          <w:sz w:val="24"/>
        </w:rPr>
        <w:t>发包人和承包人在履行合同中发生争议的，可以友好协商解决或者提请争议评审组评审。合同当事人友好协商解决不成、不愿提请争议评审或者不接受争议评审组意见的，可按下列第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12" w:lineRule="auto"/>
        <w:ind w:firstLine="480" w:firstLineChars="200"/>
        <w:jc w:val="left"/>
        <w:rPr>
          <w:rFonts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w:t>
      </w:r>
      <w:r>
        <w:rPr>
          <w:rFonts w:hint="eastAsia" w:ascii="宋体" w:hAnsi="宋体" w:cs="宋体"/>
          <w:color w:val="auto"/>
          <w:sz w:val="24"/>
        </w:rPr>
        <w:t>仲裁委员会申请仲裁；</w:t>
      </w:r>
    </w:p>
    <w:p>
      <w:pPr>
        <w:pStyle w:val="30"/>
        <w:spacing w:before="0" w:beforeAutospacing="0" w:after="0" w:afterAutospacing="0" w:line="312" w:lineRule="auto"/>
        <w:rPr>
          <w:rFonts w:ascii="宋体" w:hAnsi="宋体" w:cs="宋体"/>
          <w:color w:val="auto"/>
          <w:szCs w:val="24"/>
        </w:rPr>
      </w:pPr>
      <w:r>
        <w:rPr>
          <w:rFonts w:hint="eastAsia" w:ascii="宋体" w:hAnsi="宋体" w:cs="宋体"/>
          <w:color w:val="auto"/>
          <w:szCs w:val="24"/>
        </w:rPr>
        <w:t xml:space="preserve">    （2）向</w:t>
      </w:r>
      <w:r>
        <w:rPr>
          <w:rFonts w:hint="eastAsia" w:ascii="宋体" w:hAnsi="宋体" w:cs="宋体"/>
          <w:color w:val="auto"/>
          <w:szCs w:val="24"/>
          <w:u w:val="single"/>
        </w:rPr>
        <w:t xml:space="preserve">                      </w:t>
      </w:r>
      <w:r>
        <w:rPr>
          <w:rFonts w:hint="eastAsia" w:ascii="宋体" w:hAnsi="宋体" w:cs="宋体"/>
          <w:color w:val="auto"/>
          <w:szCs w:val="24"/>
        </w:rPr>
        <w:t>人民法院起诉。</w:t>
      </w:r>
    </w:p>
    <w:p>
      <w:pPr>
        <w:pStyle w:val="30"/>
        <w:spacing w:line="312" w:lineRule="auto"/>
        <w:rPr>
          <w:color w:val="auto"/>
        </w:rPr>
        <w:sectPr>
          <w:headerReference r:id="rId8" w:type="default"/>
          <w:footerReference r:id="rId9" w:type="default"/>
          <w:pgSz w:w="11906" w:h="16838"/>
          <w:pgMar w:top="1531" w:right="1418" w:bottom="1531" w:left="1418" w:header="851" w:footer="992" w:gutter="0"/>
          <w:cols w:space="720" w:num="1"/>
          <w:docGrid w:type="linesAndChars" w:linePitch="312" w:charSpace="0"/>
        </w:sectPr>
      </w:pPr>
    </w:p>
    <w:p>
      <w:pPr>
        <w:spacing w:line="312" w:lineRule="auto"/>
        <w:contextualSpacing/>
        <w:rPr>
          <w:rFonts w:ascii="宋体" w:hAnsi="宋体"/>
          <w:b/>
          <w:color w:val="auto"/>
          <w:sz w:val="32"/>
          <w:szCs w:val="32"/>
        </w:rPr>
      </w:pPr>
      <w:bookmarkStart w:id="374" w:name="_Toc229305402"/>
      <w:bookmarkStart w:id="375" w:name="_Toc144974826"/>
      <w:bookmarkStart w:id="376" w:name="_Toc168476286"/>
      <w:bookmarkStart w:id="377" w:name="_Toc279701706"/>
      <w:bookmarkStart w:id="378" w:name="_Toc168475883"/>
      <w:bookmarkStart w:id="379" w:name="_Toc276296576"/>
      <w:r>
        <w:rPr>
          <w:rFonts w:hint="eastAsia" w:ascii="宋体" w:hAnsi="宋体"/>
          <w:b/>
          <w:color w:val="auto"/>
          <w:sz w:val="32"/>
          <w:szCs w:val="32"/>
        </w:rPr>
        <w:t xml:space="preserve">                   </w:t>
      </w:r>
      <w:r>
        <w:rPr>
          <w:rFonts w:ascii="宋体" w:hAnsi="宋体"/>
          <w:b/>
          <w:color w:val="auto"/>
          <w:sz w:val="32"/>
          <w:szCs w:val="32"/>
        </w:rPr>
        <w:t>第三节  合同附件格式</w:t>
      </w:r>
      <w:bookmarkEnd w:id="374"/>
      <w:bookmarkEnd w:id="375"/>
      <w:bookmarkEnd w:id="376"/>
      <w:bookmarkEnd w:id="377"/>
      <w:bookmarkEnd w:id="378"/>
      <w:bookmarkEnd w:id="379"/>
    </w:p>
    <w:p>
      <w:pPr>
        <w:spacing w:before="120" w:line="312" w:lineRule="auto"/>
        <w:rPr>
          <w:rFonts w:ascii="宋体" w:hAnsi="宋体"/>
          <w:color w:val="auto"/>
          <w:sz w:val="24"/>
        </w:rPr>
      </w:pPr>
      <w:bookmarkStart w:id="380" w:name="_Toc279701707"/>
      <w:bookmarkStart w:id="381" w:name="_Toc266885982"/>
      <w:bookmarkStart w:id="382" w:name="_Toc266859678"/>
      <w:bookmarkStart w:id="383" w:name="_Toc279698662"/>
      <w:bookmarkStart w:id="384" w:name="_Toc144974827"/>
      <w:bookmarkStart w:id="385" w:name="_Toc277250438"/>
      <w:bookmarkStart w:id="386" w:name="_Toc276296577"/>
      <w:bookmarkStart w:id="387" w:name="_Toc168476287"/>
      <w:bookmarkStart w:id="388" w:name="_Toc277253913"/>
      <w:bookmarkStart w:id="389" w:name="_Toc168475884"/>
      <w:r>
        <w:rPr>
          <w:rFonts w:ascii="宋体" w:hAnsi="宋体"/>
          <w:color w:val="auto"/>
          <w:sz w:val="24"/>
        </w:rPr>
        <w:t>附件一：</w:t>
      </w:r>
      <w:bookmarkEnd w:id="380"/>
      <w:bookmarkEnd w:id="381"/>
      <w:bookmarkEnd w:id="382"/>
      <w:bookmarkEnd w:id="383"/>
      <w:bookmarkEnd w:id="384"/>
      <w:bookmarkEnd w:id="385"/>
      <w:bookmarkEnd w:id="386"/>
      <w:bookmarkEnd w:id="387"/>
      <w:bookmarkEnd w:id="388"/>
      <w:bookmarkEnd w:id="389"/>
    </w:p>
    <w:p>
      <w:pPr>
        <w:spacing w:line="312" w:lineRule="auto"/>
        <w:jc w:val="center"/>
        <w:rPr>
          <w:rFonts w:ascii="宋体" w:hAnsi="宋体"/>
          <w:b/>
          <w:color w:val="auto"/>
          <w:sz w:val="24"/>
        </w:rPr>
      </w:pPr>
      <w:r>
        <w:rPr>
          <w:rFonts w:ascii="宋体" w:hAnsi="宋体"/>
          <w:b/>
          <w:color w:val="auto"/>
          <w:sz w:val="24"/>
        </w:rPr>
        <w:t>合同协议书</w:t>
      </w:r>
    </w:p>
    <w:p>
      <w:pPr>
        <w:spacing w:line="312" w:lineRule="auto"/>
        <w:jc w:val="center"/>
        <w:rPr>
          <w:rFonts w:ascii="宋体" w:hAnsi="宋体"/>
          <w:b/>
          <w:color w:val="auto"/>
          <w:sz w:val="24"/>
        </w:rPr>
      </w:pPr>
    </w:p>
    <w:p>
      <w:pPr>
        <w:autoSpaceDE w:val="0"/>
        <w:autoSpaceDN w:val="0"/>
        <w:adjustRightInd w:val="0"/>
        <w:spacing w:line="312" w:lineRule="auto"/>
        <w:ind w:firstLine="424" w:firstLineChars="177"/>
        <w:rPr>
          <w:rFonts w:ascii="宋体" w:hAnsi="宋体"/>
          <w:color w:val="auto"/>
          <w:sz w:val="24"/>
        </w:rPr>
      </w:pPr>
      <w:r>
        <w:rPr>
          <w:rFonts w:ascii="宋体" w:hAnsi="宋体"/>
          <w:color w:val="auto"/>
          <w:sz w:val="24"/>
          <w:u w:val="single"/>
        </w:rPr>
        <w:t xml:space="preserve">        </w:t>
      </w:r>
      <w:r>
        <w:rPr>
          <w:rFonts w:ascii="宋体" w:hAnsi="宋体"/>
          <w:color w:val="auto"/>
          <w:sz w:val="24"/>
        </w:rPr>
        <w:t>（发包人名称，以下简称“发包人”）为实施</w:t>
      </w:r>
      <w:r>
        <w:rPr>
          <w:rFonts w:ascii="宋体" w:hAnsi="宋体"/>
          <w:color w:val="auto"/>
          <w:sz w:val="24"/>
          <w:u w:val="single"/>
        </w:rPr>
        <w:t xml:space="preserve">                        </w:t>
      </w:r>
      <w:r>
        <w:rPr>
          <w:rFonts w:ascii="宋体" w:hAnsi="宋体"/>
          <w:color w:val="auto"/>
          <w:sz w:val="24"/>
        </w:rPr>
        <w:t>（项目名称），已接受</w:t>
      </w:r>
      <w:r>
        <w:rPr>
          <w:rFonts w:ascii="宋体" w:hAnsi="宋体"/>
          <w:color w:val="auto"/>
          <w:sz w:val="24"/>
          <w:u w:val="single"/>
        </w:rPr>
        <w:t xml:space="preserve">        </w:t>
      </w:r>
      <w:r>
        <w:rPr>
          <w:rFonts w:ascii="宋体" w:hAnsi="宋体"/>
          <w:color w:val="auto"/>
          <w:sz w:val="24"/>
        </w:rPr>
        <w:t>（承包人名称，以下简称“承包人”）对</w:t>
      </w:r>
      <w:r>
        <w:rPr>
          <w:rFonts w:ascii="宋体" w:hAnsi="宋体"/>
          <w:color w:val="auto"/>
          <w:sz w:val="24"/>
          <w:u w:val="single"/>
        </w:rPr>
        <w:t xml:space="preserve">      </w:t>
      </w:r>
      <w:r>
        <w:rPr>
          <w:rFonts w:ascii="宋体" w:hAnsi="宋体"/>
          <w:color w:val="auto"/>
          <w:sz w:val="24"/>
        </w:rPr>
        <w:t>（项目名称）</w:t>
      </w:r>
      <w:r>
        <w:rPr>
          <w:rFonts w:ascii="宋体" w:hAnsi="宋体"/>
          <w:color w:val="auto"/>
          <w:sz w:val="24"/>
          <w:u w:val="single"/>
        </w:rPr>
        <w:t xml:space="preserve">        </w:t>
      </w:r>
      <w:r>
        <w:rPr>
          <w:rFonts w:ascii="宋体" w:hAnsi="宋体"/>
          <w:color w:val="auto"/>
          <w:sz w:val="24"/>
        </w:rPr>
        <w:t>（标段名称）的投标，并确定其为中标人。发包人和承包人共同达成如下协议。发包人和承包人共同达成如下协议。</w:t>
      </w:r>
    </w:p>
    <w:p>
      <w:pPr>
        <w:spacing w:line="312" w:lineRule="auto"/>
        <w:ind w:firstLine="424" w:firstLineChars="177"/>
        <w:rPr>
          <w:rFonts w:ascii="宋体" w:hAnsi="宋体"/>
          <w:color w:val="auto"/>
          <w:sz w:val="24"/>
        </w:rPr>
      </w:pPr>
      <w:bookmarkStart w:id="390" w:name="_Toc168476288"/>
      <w:bookmarkStart w:id="391" w:name="_Toc168475885"/>
      <w:bookmarkStart w:id="392" w:name="_Toc144974828"/>
      <w:r>
        <w:rPr>
          <w:rFonts w:ascii="宋体" w:hAnsi="宋体"/>
          <w:color w:val="auto"/>
          <w:sz w:val="24"/>
        </w:rPr>
        <w:t>1. 本协议书与下列文件一起构成合同文件：</w:t>
      </w:r>
      <w:bookmarkEnd w:id="390"/>
      <w:bookmarkEnd w:id="391"/>
      <w:bookmarkEnd w:id="392"/>
    </w:p>
    <w:p>
      <w:pPr>
        <w:spacing w:line="312" w:lineRule="auto"/>
        <w:ind w:firstLine="424" w:firstLineChars="177"/>
        <w:rPr>
          <w:rFonts w:ascii="宋体" w:hAnsi="宋体"/>
          <w:color w:val="auto"/>
          <w:sz w:val="24"/>
        </w:rPr>
      </w:pPr>
      <w:r>
        <w:rPr>
          <w:rFonts w:ascii="宋体" w:hAnsi="宋体"/>
          <w:color w:val="auto"/>
          <w:sz w:val="24"/>
        </w:rPr>
        <w:t>（1）中标通知书；</w:t>
      </w:r>
    </w:p>
    <w:p>
      <w:pPr>
        <w:spacing w:line="312" w:lineRule="auto"/>
        <w:ind w:firstLine="424" w:firstLineChars="177"/>
        <w:rPr>
          <w:rFonts w:ascii="宋体" w:hAnsi="宋体"/>
          <w:color w:val="auto"/>
          <w:sz w:val="24"/>
        </w:rPr>
      </w:pPr>
      <w:r>
        <w:rPr>
          <w:rFonts w:ascii="宋体" w:hAnsi="宋体"/>
          <w:color w:val="auto"/>
          <w:sz w:val="24"/>
        </w:rPr>
        <w:t>（2）投标函及投标函附录；</w:t>
      </w:r>
    </w:p>
    <w:p>
      <w:pPr>
        <w:spacing w:line="312" w:lineRule="auto"/>
        <w:ind w:firstLine="424" w:firstLineChars="177"/>
        <w:rPr>
          <w:rFonts w:ascii="宋体" w:hAnsi="宋体"/>
          <w:color w:val="auto"/>
          <w:sz w:val="24"/>
        </w:rPr>
      </w:pPr>
      <w:r>
        <w:rPr>
          <w:rFonts w:ascii="宋体" w:hAnsi="宋体"/>
          <w:color w:val="auto"/>
          <w:sz w:val="24"/>
        </w:rPr>
        <w:t>（3）专用合同条款；</w:t>
      </w:r>
    </w:p>
    <w:p>
      <w:pPr>
        <w:spacing w:line="312" w:lineRule="auto"/>
        <w:ind w:firstLine="424" w:firstLineChars="177"/>
        <w:rPr>
          <w:rFonts w:ascii="宋体" w:hAnsi="宋体"/>
          <w:color w:val="auto"/>
          <w:sz w:val="24"/>
        </w:rPr>
      </w:pPr>
      <w:r>
        <w:rPr>
          <w:rFonts w:ascii="宋体" w:hAnsi="宋体"/>
          <w:color w:val="auto"/>
          <w:sz w:val="24"/>
        </w:rPr>
        <w:t>（4）通用合同条款；</w:t>
      </w:r>
    </w:p>
    <w:p>
      <w:pPr>
        <w:spacing w:line="312" w:lineRule="auto"/>
        <w:ind w:firstLine="424" w:firstLineChars="177"/>
        <w:rPr>
          <w:rFonts w:ascii="宋体" w:hAnsi="宋体"/>
          <w:color w:val="auto"/>
          <w:sz w:val="24"/>
        </w:rPr>
      </w:pPr>
      <w:r>
        <w:rPr>
          <w:rFonts w:ascii="宋体" w:hAnsi="宋体"/>
          <w:color w:val="auto"/>
          <w:sz w:val="24"/>
        </w:rPr>
        <w:t>（5）技术标准和要求；</w:t>
      </w:r>
    </w:p>
    <w:p>
      <w:pPr>
        <w:spacing w:line="312" w:lineRule="auto"/>
        <w:ind w:firstLine="424" w:firstLineChars="177"/>
        <w:rPr>
          <w:rFonts w:ascii="宋体" w:hAnsi="宋体"/>
          <w:color w:val="auto"/>
          <w:sz w:val="24"/>
        </w:rPr>
      </w:pPr>
      <w:r>
        <w:rPr>
          <w:rFonts w:ascii="宋体" w:hAnsi="宋体"/>
          <w:color w:val="auto"/>
          <w:sz w:val="24"/>
        </w:rPr>
        <w:t>（6）图纸；</w:t>
      </w:r>
    </w:p>
    <w:p>
      <w:pPr>
        <w:spacing w:line="312" w:lineRule="auto"/>
        <w:ind w:firstLine="424" w:firstLineChars="177"/>
        <w:rPr>
          <w:rFonts w:ascii="宋体" w:hAnsi="宋体"/>
          <w:color w:val="auto"/>
          <w:sz w:val="24"/>
        </w:rPr>
      </w:pPr>
      <w:r>
        <w:rPr>
          <w:rFonts w:ascii="宋体" w:hAnsi="宋体"/>
          <w:color w:val="auto"/>
          <w:sz w:val="24"/>
        </w:rPr>
        <w:t>（7）已标价工程量清单；</w:t>
      </w:r>
    </w:p>
    <w:p>
      <w:pPr>
        <w:spacing w:line="312" w:lineRule="auto"/>
        <w:ind w:firstLine="424" w:firstLineChars="177"/>
        <w:rPr>
          <w:rFonts w:ascii="宋体" w:hAnsi="宋体"/>
          <w:color w:val="auto"/>
          <w:sz w:val="24"/>
        </w:rPr>
      </w:pPr>
      <w:r>
        <w:rPr>
          <w:rFonts w:ascii="宋体" w:hAnsi="宋体"/>
          <w:color w:val="auto"/>
          <w:sz w:val="24"/>
        </w:rPr>
        <w:t>（8）其他合同文件。</w:t>
      </w:r>
    </w:p>
    <w:p>
      <w:pPr>
        <w:spacing w:line="312" w:lineRule="auto"/>
        <w:ind w:firstLine="424" w:firstLineChars="177"/>
        <w:rPr>
          <w:rFonts w:ascii="宋体" w:hAnsi="宋体"/>
          <w:color w:val="auto"/>
          <w:sz w:val="24"/>
        </w:rPr>
      </w:pPr>
      <w:bookmarkStart w:id="393" w:name="_Toc168475886"/>
      <w:bookmarkStart w:id="394" w:name="_Toc144974829"/>
      <w:bookmarkStart w:id="395" w:name="_Toc168476289"/>
      <w:r>
        <w:rPr>
          <w:rFonts w:ascii="宋体" w:hAnsi="宋体"/>
          <w:color w:val="auto"/>
          <w:sz w:val="24"/>
        </w:rPr>
        <w:t>2. 上述文</w:t>
      </w:r>
      <w:r>
        <w:rPr>
          <w:rFonts w:ascii="宋体" w:hAnsi="宋体"/>
          <w:color w:val="auto"/>
          <w:spacing w:val="-4"/>
          <w:sz w:val="24"/>
        </w:rPr>
        <w:t>件互相补充和解释，如有不明确或不一致之处，以合同约定次序在先者为准。</w:t>
      </w:r>
      <w:bookmarkEnd w:id="393"/>
      <w:bookmarkEnd w:id="394"/>
      <w:bookmarkEnd w:id="395"/>
    </w:p>
    <w:p>
      <w:pPr>
        <w:spacing w:line="312" w:lineRule="auto"/>
        <w:ind w:firstLine="424" w:firstLineChars="177"/>
        <w:rPr>
          <w:rFonts w:ascii="宋体" w:hAnsi="宋体"/>
          <w:color w:val="auto"/>
          <w:sz w:val="24"/>
        </w:rPr>
      </w:pPr>
      <w:r>
        <w:rPr>
          <w:rFonts w:ascii="宋体" w:hAnsi="宋体"/>
          <w:color w:val="auto"/>
          <w:sz w:val="24"/>
        </w:rPr>
        <w:t>3. 签约合同价：人民币（大写）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w:t>
      </w:r>
    </w:p>
    <w:p>
      <w:pPr>
        <w:spacing w:line="312" w:lineRule="auto"/>
        <w:ind w:firstLine="424" w:firstLineChars="177"/>
        <w:rPr>
          <w:rFonts w:ascii="宋体" w:hAnsi="宋体"/>
          <w:color w:val="auto"/>
          <w:sz w:val="24"/>
          <w:u w:val="single"/>
        </w:rPr>
      </w:pPr>
      <w:r>
        <w:rPr>
          <w:rFonts w:ascii="宋体" w:hAnsi="宋体"/>
          <w:color w:val="auto"/>
          <w:sz w:val="24"/>
        </w:rPr>
        <w:t>4. 承包人项目经理：</w:t>
      </w:r>
      <w:r>
        <w:rPr>
          <w:rFonts w:ascii="宋体" w:hAnsi="宋体"/>
          <w:color w:val="auto"/>
          <w:sz w:val="24"/>
          <w:u w:val="single"/>
        </w:rPr>
        <w:t xml:space="preserve">                </w:t>
      </w:r>
      <w:r>
        <w:rPr>
          <w:rFonts w:ascii="宋体" w:hAnsi="宋体"/>
          <w:color w:val="auto"/>
          <w:sz w:val="24"/>
        </w:rPr>
        <w:t>。</w:t>
      </w:r>
    </w:p>
    <w:p>
      <w:pPr>
        <w:spacing w:line="312" w:lineRule="auto"/>
        <w:ind w:firstLine="424" w:firstLineChars="177"/>
        <w:rPr>
          <w:rFonts w:ascii="宋体" w:hAnsi="宋体"/>
          <w:color w:val="auto"/>
          <w:sz w:val="24"/>
        </w:rPr>
      </w:pPr>
      <w:r>
        <w:rPr>
          <w:rFonts w:ascii="宋体" w:hAnsi="宋体"/>
          <w:color w:val="auto"/>
          <w:sz w:val="24"/>
        </w:rPr>
        <w:t>5. 工程质量符合</w:t>
      </w:r>
      <w:r>
        <w:rPr>
          <w:rFonts w:ascii="宋体" w:hAnsi="宋体"/>
          <w:color w:val="auto"/>
          <w:sz w:val="24"/>
          <w:u w:val="single"/>
        </w:rPr>
        <w:t xml:space="preserve">             </w:t>
      </w:r>
      <w:r>
        <w:rPr>
          <w:rFonts w:ascii="宋体" w:hAnsi="宋体"/>
          <w:color w:val="auto"/>
          <w:sz w:val="24"/>
        </w:rPr>
        <w:t>标准。</w:t>
      </w:r>
    </w:p>
    <w:p>
      <w:pPr>
        <w:spacing w:line="312" w:lineRule="auto"/>
        <w:ind w:firstLine="424" w:firstLineChars="177"/>
        <w:rPr>
          <w:rFonts w:ascii="宋体" w:hAnsi="宋体"/>
          <w:color w:val="auto"/>
          <w:sz w:val="24"/>
        </w:rPr>
      </w:pPr>
      <w:r>
        <w:rPr>
          <w:rFonts w:ascii="宋体" w:hAnsi="宋体"/>
          <w:color w:val="auto"/>
          <w:sz w:val="24"/>
        </w:rPr>
        <w:t>6. 承包人承诺按合同约定承担工程的实施、完成及缺陷修复。</w:t>
      </w:r>
    </w:p>
    <w:p>
      <w:pPr>
        <w:spacing w:line="312" w:lineRule="auto"/>
        <w:ind w:firstLine="424" w:firstLineChars="177"/>
        <w:rPr>
          <w:rFonts w:ascii="宋体" w:hAnsi="宋体"/>
          <w:color w:val="auto"/>
          <w:sz w:val="24"/>
        </w:rPr>
      </w:pPr>
      <w:r>
        <w:rPr>
          <w:rFonts w:ascii="宋体" w:hAnsi="宋体"/>
          <w:color w:val="auto"/>
          <w:sz w:val="24"/>
        </w:rPr>
        <w:t>7. 发包人承诺按合同约定的条件、时间和方式向承包人支付合同价款。</w:t>
      </w:r>
    </w:p>
    <w:p>
      <w:pPr>
        <w:spacing w:line="312" w:lineRule="auto"/>
        <w:ind w:firstLine="424" w:firstLineChars="177"/>
        <w:rPr>
          <w:rFonts w:ascii="宋体" w:hAnsi="宋体"/>
          <w:color w:val="auto"/>
          <w:sz w:val="24"/>
        </w:rPr>
      </w:pPr>
      <w:r>
        <w:rPr>
          <w:rFonts w:ascii="宋体" w:hAnsi="宋体"/>
          <w:color w:val="auto"/>
          <w:sz w:val="24"/>
        </w:rPr>
        <w:t>8. 承包人应按照监理人指示开工，工期为</w:t>
      </w:r>
      <w:r>
        <w:rPr>
          <w:rFonts w:ascii="宋体" w:hAnsi="宋体"/>
          <w:color w:val="auto"/>
          <w:sz w:val="24"/>
          <w:u w:val="single"/>
        </w:rPr>
        <w:t xml:space="preserve">    </w:t>
      </w:r>
      <w:r>
        <w:rPr>
          <w:rFonts w:ascii="宋体" w:hAnsi="宋体"/>
          <w:color w:val="auto"/>
          <w:sz w:val="24"/>
        </w:rPr>
        <w:t>天。</w:t>
      </w:r>
    </w:p>
    <w:p>
      <w:pPr>
        <w:spacing w:line="312" w:lineRule="auto"/>
        <w:ind w:firstLine="424" w:firstLineChars="177"/>
        <w:rPr>
          <w:rFonts w:ascii="宋体" w:hAnsi="宋体"/>
          <w:color w:val="auto"/>
          <w:sz w:val="24"/>
        </w:rPr>
      </w:pPr>
      <w:r>
        <w:rPr>
          <w:rFonts w:ascii="宋体" w:hAnsi="宋体"/>
          <w:color w:val="auto"/>
          <w:sz w:val="24"/>
        </w:rPr>
        <w:t>9. 本协议一式</w:t>
      </w:r>
      <w:r>
        <w:rPr>
          <w:rFonts w:ascii="宋体" w:hAnsi="宋体"/>
          <w:color w:val="auto"/>
          <w:sz w:val="24"/>
          <w:u w:val="single"/>
        </w:rPr>
        <w:t xml:space="preserve">     </w:t>
      </w:r>
      <w:r>
        <w:rPr>
          <w:rFonts w:ascii="宋体" w:hAnsi="宋体"/>
          <w:color w:val="auto"/>
          <w:sz w:val="24"/>
        </w:rPr>
        <w:t>份。双方各执</w:t>
      </w:r>
      <w:r>
        <w:rPr>
          <w:rFonts w:ascii="宋体" w:hAnsi="宋体"/>
          <w:color w:val="auto"/>
          <w:sz w:val="24"/>
          <w:u w:val="single"/>
        </w:rPr>
        <w:t xml:space="preserve">     </w:t>
      </w:r>
      <w:r>
        <w:rPr>
          <w:rFonts w:ascii="宋体" w:hAnsi="宋体"/>
          <w:color w:val="auto"/>
          <w:sz w:val="24"/>
        </w:rPr>
        <w:t>份。</w:t>
      </w:r>
    </w:p>
    <w:p>
      <w:pPr>
        <w:spacing w:line="312" w:lineRule="auto"/>
        <w:ind w:firstLine="424" w:firstLineChars="177"/>
        <w:rPr>
          <w:rFonts w:ascii="宋体" w:hAnsi="宋体"/>
          <w:color w:val="auto"/>
          <w:sz w:val="24"/>
        </w:rPr>
      </w:pPr>
      <w:bookmarkStart w:id="396" w:name="_Toc168475887"/>
      <w:bookmarkStart w:id="397" w:name="_Toc144974830"/>
      <w:bookmarkStart w:id="398" w:name="_Toc168476290"/>
      <w:r>
        <w:rPr>
          <w:rFonts w:ascii="宋体" w:hAnsi="宋体"/>
          <w:color w:val="auto"/>
          <w:sz w:val="24"/>
        </w:rPr>
        <w:t>10. 合同未尽事宜，双方另行签订补充协议。补充协议是合同的组成部分。</w:t>
      </w:r>
      <w:bookmarkEnd w:id="396"/>
      <w:bookmarkEnd w:id="397"/>
      <w:bookmarkEnd w:id="398"/>
    </w:p>
    <w:p>
      <w:pPr>
        <w:spacing w:line="312" w:lineRule="auto"/>
        <w:ind w:firstLine="424" w:firstLineChars="177"/>
        <w:rPr>
          <w:rFonts w:ascii="宋体" w:hAnsi="宋体"/>
          <w:color w:val="auto"/>
          <w:sz w:val="24"/>
        </w:rPr>
      </w:pPr>
    </w:p>
    <w:p>
      <w:pPr>
        <w:spacing w:line="312" w:lineRule="auto"/>
        <w:rPr>
          <w:rFonts w:ascii="宋体" w:hAnsi="宋体"/>
          <w:color w:val="auto"/>
          <w:sz w:val="24"/>
        </w:rPr>
      </w:pPr>
      <w:r>
        <w:rPr>
          <w:rFonts w:ascii="宋体" w:hAnsi="宋体"/>
          <w:color w:val="auto"/>
          <w:sz w:val="24"/>
        </w:rPr>
        <w:t>发包人：</w:t>
      </w:r>
      <w:r>
        <w:rPr>
          <w:rFonts w:ascii="宋体" w:hAnsi="宋体"/>
          <w:color w:val="auto"/>
          <w:sz w:val="24"/>
          <w:u w:val="single"/>
        </w:rPr>
        <w:t xml:space="preserve">             </w:t>
      </w:r>
      <w:r>
        <w:rPr>
          <w:rFonts w:ascii="宋体" w:hAnsi="宋体"/>
          <w:color w:val="auto"/>
          <w:sz w:val="24"/>
        </w:rPr>
        <w:t>（盖单位章）      承包人：</w:t>
      </w:r>
      <w:r>
        <w:rPr>
          <w:rFonts w:ascii="宋体" w:hAnsi="宋体"/>
          <w:color w:val="auto"/>
          <w:sz w:val="24"/>
          <w:u w:val="single"/>
        </w:rPr>
        <w:t xml:space="preserve">                  </w:t>
      </w:r>
      <w:r>
        <w:rPr>
          <w:rFonts w:ascii="宋体" w:hAnsi="宋体"/>
          <w:color w:val="auto"/>
          <w:sz w:val="24"/>
        </w:rPr>
        <w:t>（盖单位章）</w:t>
      </w:r>
    </w:p>
    <w:p>
      <w:pPr>
        <w:spacing w:line="312" w:lineRule="auto"/>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ascii="宋体" w:hAnsi="宋体"/>
          <w:color w:val="auto"/>
          <w:sz w:val="24"/>
        </w:rPr>
        <w:t>（签字）  法定代表人或其委托代理人：</w:t>
      </w:r>
      <w:r>
        <w:rPr>
          <w:rFonts w:ascii="宋体" w:hAnsi="宋体"/>
          <w:color w:val="auto"/>
          <w:sz w:val="24"/>
          <w:u w:val="single"/>
        </w:rPr>
        <w:t xml:space="preserve">    </w:t>
      </w:r>
      <w:r>
        <w:rPr>
          <w:rFonts w:ascii="宋体" w:hAnsi="宋体"/>
          <w:color w:val="auto"/>
          <w:sz w:val="24"/>
        </w:rPr>
        <w:t>（签字）</w:t>
      </w:r>
    </w:p>
    <w:p>
      <w:pPr>
        <w:spacing w:line="312" w:lineRule="auto"/>
        <w:ind w:firstLine="360" w:firstLineChars="15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 xml:space="preserve">月 </w:t>
      </w:r>
      <w:r>
        <w:rPr>
          <w:rFonts w:ascii="宋体" w:hAnsi="宋体"/>
          <w:color w:val="auto"/>
          <w:sz w:val="24"/>
          <w:u w:val="single"/>
        </w:rPr>
        <w:t xml:space="preserve">      </w:t>
      </w:r>
      <w:r>
        <w:rPr>
          <w:rFonts w:ascii="宋体" w:hAnsi="宋体"/>
          <w:color w:val="auto"/>
          <w:sz w:val="24"/>
        </w:rPr>
        <w:t xml:space="preserve"> 日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 xml:space="preserve">月 </w:t>
      </w:r>
      <w:r>
        <w:rPr>
          <w:rFonts w:ascii="宋体" w:hAnsi="宋体"/>
          <w:color w:val="auto"/>
          <w:sz w:val="24"/>
          <w:u w:val="single"/>
        </w:rPr>
        <w:t xml:space="preserve">      </w:t>
      </w:r>
      <w:r>
        <w:rPr>
          <w:rFonts w:ascii="宋体" w:hAnsi="宋体"/>
          <w:color w:val="auto"/>
          <w:sz w:val="24"/>
        </w:rPr>
        <w:t>日</w:t>
      </w:r>
      <w:bookmarkStart w:id="399" w:name="_Toc257988090"/>
      <w:bookmarkStart w:id="400" w:name="_Toc266859679"/>
      <w:bookmarkStart w:id="401" w:name="_Toc266885983"/>
    </w:p>
    <w:p>
      <w:pPr>
        <w:spacing w:before="120" w:line="312" w:lineRule="auto"/>
        <w:rPr>
          <w:rFonts w:ascii="宋体" w:hAnsi="宋体"/>
          <w:color w:val="auto"/>
          <w:szCs w:val="21"/>
        </w:rPr>
      </w:pPr>
      <w:bookmarkStart w:id="402" w:name="_Toc279698663"/>
      <w:bookmarkStart w:id="403" w:name="_Toc277250439"/>
      <w:bookmarkStart w:id="404" w:name="_Toc279701708"/>
      <w:bookmarkStart w:id="405" w:name="_Toc276296578"/>
      <w:bookmarkStart w:id="406" w:name="_Toc277253914"/>
    </w:p>
    <w:p>
      <w:pPr>
        <w:rPr>
          <w:rFonts w:ascii="宋体" w:hAnsi="宋体"/>
          <w:color w:val="auto"/>
          <w:szCs w:val="21"/>
        </w:rPr>
      </w:pPr>
      <w:r>
        <w:rPr>
          <w:rFonts w:ascii="宋体" w:hAnsi="宋体"/>
          <w:color w:val="auto"/>
          <w:szCs w:val="21"/>
        </w:rPr>
        <w:br w:type="page"/>
      </w:r>
    </w:p>
    <w:p>
      <w:pPr>
        <w:keepNext w:val="0"/>
        <w:keepLines w:val="0"/>
        <w:pageBreakBefore w:val="0"/>
        <w:widowControl w:val="0"/>
        <w:kinsoku/>
        <w:wordWrap/>
        <w:overflowPunct/>
        <w:topLinePunct w:val="0"/>
        <w:bidi w:val="0"/>
        <w:spacing w:line="240" w:lineRule="auto"/>
        <w:textAlignment w:val="auto"/>
        <w:rPr>
          <w:rFonts w:ascii="宋体" w:hAnsi="宋体"/>
          <w:color w:val="auto"/>
          <w:sz w:val="20"/>
          <w:szCs w:val="20"/>
        </w:rPr>
      </w:pPr>
      <w:r>
        <w:rPr>
          <w:rFonts w:ascii="宋体" w:hAnsi="宋体"/>
          <w:color w:val="auto"/>
          <w:szCs w:val="21"/>
        </w:rPr>
        <w:t>附件二：</w:t>
      </w:r>
      <w:bookmarkEnd w:id="399"/>
      <w:bookmarkEnd w:id="400"/>
      <w:bookmarkEnd w:id="401"/>
      <w:bookmarkEnd w:id="402"/>
      <w:bookmarkEnd w:id="403"/>
      <w:bookmarkEnd w:id="404"/>
      <w:bookmarkEnd w:id="405"/>
      <w:bookmarkEnd w:id="406"/>
    </w:p>
    <w:p>
      <w:pPr>
        <w:keepNext w:val="0"/>
        <w:keepLines w:val="0"/>
        <w:pageBreakBefore w:val="0"/>
        <w:widowControl w:val="0"/>
        <w:tabs>
          <w:tab w:val="center" w:pos="4320"/>
          <w:tab w:val="left" w:pos="7815"/>
        </w:tabs>
        <w:kinsoku/>
        <w:wordWrap/>
        <w:overflowPunct/>
        <w:topLinePunct w:val="0"/>
        <w:autoSpaceDE w:val="0"/>
        <w:autoSpaceDN w:val="0"/>
        <w:bidi w:val="0"/>
        <w:adjustRightInd w:val="0"/>
        <w:snapToGrid w:val="0"/>
        <w:spacing w:line="240" w:lineRule="auto"/>
        <w:textAlignment w:val="auto"/>
        <w:rPr>
          <w:rFonts w:ascii="宋体" w:hAnsi="宋体"/>
          <w:b/>
          <w:color w:val="auto"/>
          <w:szCs w:val="21"/>
        </w:rPr>
      </w:pPr>
      <w:r>
        <w:rPr>
          <w:rFonts w:ascii="宋体" w:hAnsi="宋体"/>
          <w:color w:val="auto"/>
          <w:sz w:val="20"/>
          <w:szCs w:val="20"/>
        </w:rPr>
        <w:tab/>
      </w:r>
      <w:r>
        <w:rPr>
          <w:rFonts w:ascii="宋体" w:hAnsi="宋体"/>
          <w:b/>
          <w:color w:val="auto"/>
          <w:sz w:val="24"/>
          <w:szCs w:val="24"/>
        </w:rPr>
        <w:t>建设项目廉政责任书</w:t>
      </w:r>
      <w:r>
        <w:rPr>
          <w:rFonts w:ascii="宋体" w:hAnsi="宋体"/>
          <w:b/>
          <w:color w:val="auto"/>
          <w:szCs w:val="21"/>
        </w:rPr>
        <w:tab/>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textAlignment w:val="auto"/>
        <w:rPr>
          <w:rFonts w:ascii="宋体" w:hAnsi="宋体"/>
          <w:color w:val="auto"/>
          <w:kern w:val="28"/>
          <w:sz w:val="24"/>
          <w:lang w:val="zh-CN"/>
        </w:rPr>
      </w:pPr>
      <w:r>
        <w:rPr>
          <w:rFonts w:ascii="宋体" w:hAnsi="宋体"/>
          <w:color w:val="auto"/>
          <w:kern w:val="28"/>
          <w:sz w:val="24"/>
          <w:lang w:val="zh-CN"/>
        </w:rPr>
        <w:t>建设单位（甲方）：</w:t>
      </w:r>
      <w:r>
        <w:rPr>
          <w:rFonts w:ascii="宋体" w:hAnsi="宋体"/>
          <w:color w:val="auto"/>
          <w:kern w:val="28"/>
          <w:sz w:val="24"/>
          <w:u w:val="single"/>
          <w:lang w:val="zh-CN"/>
        </w:rPr>
        <w:t xml:space="preserve">                                              </w:t>
      </w:r>
      <w:r>
        <w:rPr>
          <w:rFonts w:ascii="宋体" w:hAnsi="宋体"/>
          <w:color w:val="auto"/>
          <w:kern w:val="28"/>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textAlignment w:val="auto"/>
        <w:rPr>
          <w:rFonts w:ascii="宋体" w:hAnsi="宋体"/>
          <w:color w:val="auto"/>
          <w:kern w:val="28"/>
          <w:sz w:val="24"/>
          <w:lang w:val="zh-CN"/>
        </w:rPr>
      </w:pPr>
      <w:r>
        <w:rPr>
          <w:rFonts w:ascii="宋体" w:hAnsi="宋体"/>
          <w:color w:val="auto"/>
          <w:kern w:val="28"/>
          <w:sz w:val="24"/>
          <w:lang w:val="zh-CN"/>
        </w:rPr>
        <w:t>承建单位（乙方）：</w:t>
      </w:r>
      <w:r>
        <w:rPr>
          <w:rFonts w:ascii="宋体" w:hAnsi="宋体"/>
          <w:color w:val="auto"/>
          <w:kern w:val="28"/>
          <w:sz w:val="24"/>
          <w:u w:val="single"/>
          <w:lang w:val="zh-CN"/>
        </w:rPr>
        <w:t xml:space="preserve">                                              </w:t>
      </w:r>
      <w:r>
        <w:rPr>
          <w:rFonts w:ascii="宋体" w:hAnsi="宋体"/>
          <w:color w:val="auto"/>
          <w:kern w:val="28"/>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textAlignment w:val="auto"/>
        <w:rPr>
          <w:rFonts w:ascii="宋体" w:hAnsi="宋体"/>
          <w:color w:val="auto"/>
          <w:kern w:val="28"/>
          <w:sz w:val="24"/>
          <w:lang w:val="zh-CN"/>
        </w:rPr>
      </w:pPr>
      <w:r>
        <w:rPr>
          <w:rFonts w:ascii="宋体" w:hAnsi="宋体"/>
          <w:color w:val="auto"/>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宋体" w:hAnsi="宋体"/>
          <w:color w:val="auto"/>
          <w:kern w:val="28"/>
          <w:sz w:val="24"/>
          <w:lang w:val="zh-CN"/>
        </w:rPr>
      </w:pPr>
      <w:r>
        <w:rPr>
          <w:rFonts w:ascii="宋体" w:hAnsi="宋体"/>
          <w:color w:val="auto"/>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宋体" w:hAnsi="宋体"/>
          <w:color w:val="auto"/>
          <w:kern w:val="28"/>
          <w:sz w:val="24"/>
          <w:lang w:val="zh-CN"/>
        </w:rPr>
      </w:pPr>
      <w:r>
        <w:rPr>
          <w:rFonts w:ascii="宋体" w:hAnsi="宋体"/>
          <w:color w:val="auto"/>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textAlignment w:val="auto"/>
        <w:rPr>
          <w:rFonts w:ascii="宋体" w:hAnsi="宋体"/>
          <w:color w:val="auto"/>
          <w:kern w:val="28"/>
          <w:sz w:val="24"/>
          <w:lang w:val="zh-CN"/>
        </w:rPr>
      </w:pPr>
      <w:r>
        <w:rPr>
          <w:rFonts w:ascii="宋体" w:hAnsi="宋体"/>
          <w:color w:val="auto"/>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80"/>
        <w:textAlignment w:val="auto"/>
        <w:rPr>
          <w:rFonts w:ascii="宋体" w:hAnsi="宋体"/>
          <w:color w:val="auto"/>
          <w:kern w:val="28"/>
          <w:sz w:val="24"/>
          <w:lang w:val="zh-CN"/>
        </w:rPr>
      </w:pPr>
      <w:r>
        <w:rPr>
          <w:rFonts w:ascii="宋体" w:hAnsi="宋体"/>
          <w:color w:val="auto"/>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keepNext w:val="0"/>
        <w:keepLines w:val="0"/>
        <w:pageBreakBefore w:val="0"/>
        <w:widowControl w:val="0"/>
        <w:tabs>
          <w:tab w:val="left" w:pos="7260"/>
        </w:tabs>
        <w:kinsoku/>
        <w:wordWrap/>
        <w:overflowPunct/>
        <w:topLinePunct w:val="0"/>
        <w:autoSpaceDE w:val="0"/>
        <w:autoSpaceDN w:val="0"/>
        <w:bidi w:val="0"/>
        <w:adjustRightInd w:val="0"/>
        <w:snapToGrid w:val="0"/>
        <w:spacing w:line="300" w:lineRule="auto"/>
        <w:ind w:firstLine="480"/>
        <w:textAlignment w:val="auto"/>
        <w:rPr>
          <w:rFonts w:ascii="宋体" w:hAnsi="宋体"/>
          <w:color w:val="auto"/>
          <w:kern w:val="28"/>
          <w:sz w:val="24"/>
          <w:lang w:val="zh-CN"/>
        </w:rPr>
      </w:pPr>
      <w:r>
        <w:rPr>
          <w:rFonts w:ascii="宋体" w:hAnsi="宋体"/>
          <w:color w:val="auto"/>
          <w:kern w:val="28"/>
          <w:sz w:val="24"/>
          <w:lang w:val="zh-CN"/>
        </w:rPr>
        <w:t>五、本廉政责任书作为</w:t>
      </w:r>
      <w:r>
        <w:rPr>
          <w:rFonts w:ascii="宋体" w:hAnsi="宋体"/>
          <w:color w:val="auto"/>
          <w:kern w:val="28"/>
          <w:sz w:val="24"/>
          <w:u w:val="single"/>
          <w:lang w:val="zh-CN"/>
        </w:rPr>
        <w:t xml:space="preserve">              </w:t>
      </w:r>
      <w:r>
        <w:rPr>
          <w:rFonts w:ascii="宋体" w:hAnsi="宋体"/>
          <w:color w:val="auto"/>
          <w:kern w:val="28"/>
          <w:sz w:val="24"/>
          <w:lang w:val="zh-CN"/>
        </w:rPr>
        <w:t>工程建设施工合同的必备附件，经双方代表签订后生效。</w:t>
      </w:r>
    </w:p>
    <w:p>
      <w:pPr>
        <w:keepNext w:val="0"/>
        <w:keepLines w:val="0"/>
        <w:pageBreakBefore w:val="0"/>
        <w:widowControl w:val="0"/>
        <w:tabs>
          <w:tab w:val="left" w:pos="7260"/>
        </w:tabs>
        <w:kinsoku/>
        <w:wordWrap/>
        <w:overflowPunct/>
        <w:topLinePunct w:val="0"/>
        <w:autoSpaceDE w:val="0"/>
        <w:autoSpaceDN w:val="0"/>
        <w:bidi w:val="0"/>
        <w:adjustRightInd w:val="0"/>
        <w:snapToGrid w:val="0"/>
        <w:spacing w:line="300" w:lineRule="auto"/>
        <w:ind w:firstLine="560"/>
        <w:textAlignment w:val="auto"/>
        <w:rPr>
          <w:rFonts w:ascii="宋体" w:hAnsi="宋体"/>
          <w:color w:val="auto"/>
          <w:kern w:val="28"/>
          <w:sz w:val="24"/>
          <w:lang w:val="zh-CN"/>
        </w:rPr>
      </w:pPr>
      <w:r>
        <w:rPr>
          <w:rFonts w:ascii="宋体" w:hAnsi="宋体"/>
          <w:color w:val="auto"/>
          <w:kern w:val="28"/>
          <w:sz w:val="24"/>
          <w:lang w:val="zh-CN"/>
        </w:rPr>
        <w:t>本廉政责任书一式二份，甲、乙双方各执一份，复印件报双方上级纪检监察部门分别留存备案。</w:t>
      </w:r>
    </w:p>
    <w:p>
      <w:pPr>
        <w:keepNext w:val="0"/>
        <w:keepLines w:val="0"/>
        <w:pageBreakBefore w:val="0"/>
        <w:widowControl w:val="0"/>
        <w:tabs>
          <w:tab w:val="left" w:pos="4470"/>
        </w:tabs>
        <w:kinsoku/>
        <w:wordWrap/>
        <w:overflowPunct/>
        <w:topLinePunct w:val="0"/>
        <w:autoSpaceDE w:val="0"/>
        <w:autoSpaceDN w:val="0"/>
        <w:bidi w:val="0"/>
        <w:adjustRightInd w:val="0"/>
        <w:snapToGrid w:val="0"/>
        <w:spacing w:line="300" w:lineRule="auto"/>
        <w:ind w:left="960" w:hanging="960"/>
        <w:textAlignment w:val="auto"/>
        <w:rPr>
          <w:rFonts w:ascii="宋体" w:hAnsi="宋体"/>
          <w:color w:val="auto"/>
          <w:kern w:val="28"/>
          <w:sz w:val="24"/>
          <w:lang w:val="zh-CN"/>
        </w:rPr>
      </w:pPr>
      <w:r>
        <w:rPr>
          <w:rFonts w:ascii="宋体" w:hAnsi="宋体"/>
          <w:color w:val="auto"/>
          <w:kern w:val="28"/>
          <w:sz w:val="24"/>
          <w:lang w:val="zh-CN"/>
        </w:rPr>
        <w:t xml:space="preserve">              甲方：</w:t>
      </w:r>
      <w:r>
        <w:rPr>
          <w:rFonts w:ascii="宋体" w:hAnsi="宋体"/>
          <w:color w:val="auto"/>
          <w:kern w:val="28"/>
          <w:sz w:val="24"/>
          <w:lang w:val="zh-CN"/>
        </w:rPr>
        <w:tab/>
      </w:r>
      <w:r>
        <w:rPr>
          <w:rFonts w:ascii="宋体" w:hAnsi="宋体"/>
          <w:color w:val="auto"/>
          <w:kern w:val="28"/>
          <w:sz w:val="24"/>
          <w:lang w:val="zh-CN"/>
        </w:rPr>
        <w:t xml:space="preserve">           乙方：</w:t>
      </w:r>
    </w:p>
    <w:p>
      <w:pPr>
        <w:keepNext w:val="0"/>
        <w:keepLines w:val="0"/>
        <w:pageBreakBefore w:val="0"/>
        <w:widowControl w:val="0"/>
        <w:tabs>
          <w:tab w:val="left" w:pos="5190"/>
        </w:tabs>
        <w:kinsoku/>
        <w:wordWrap/>
        <w:overflowPunct/>
        <w:topLinePunct w:val="0"/>
        <w:autoSpaceDE w:val="0"/>
        <w:autoSpaceDN w:val="0"/>
        <w:bidi w:val="0"/>
        <w:adjustRightInd w:val="0"/>
        <w:snapToGrid w:val="0"/>
        <w:spacing w:line="300" w:lineRule="auto"/>
        <w:textAlignment w:val="auto"/>
        <w:rPr>
          <w:rFonts w:ascii="宋体" w:hAnsi="宋体"/>
          <w:color w:val="auto"/>
          <w:kern w:val="28"/>
          <w:sz w:val="24"/>
          <w:lang w:val="zh-CN"/>
        </w:rPr>
      </w:pPr>
      <w:r>
        <w:rPr>
          <w:rFonts w:ascii="宋体" w:hAnsi="宋体"/>
          <w:color w:val="auto"/>
          <w:kern w:val="28"/>
          <w:sz w:val="24"/>
          <w:lang w:val="zh-CN"/>
        </w:rPr>
        <w:t xml:space="preserve">              签字：</w:t>
      </w:r>
      <w:r>
        <w:rPr>
          <w:rFonts w:ascii="宋体" w:hAnsi="宋体"/>
          <w:color w:val="auto"/>
          <w:kern w:val="28"/>
          <w:sz w:val="24"/>
          <w:lang w:val="zh-CN"/>
        </w:rPr>
        <w:tab/>
      </w:r>
      <w:r>
        <w:rPr>
          <w:rFonts w:ascii="宋体" w:hAnsi="宋体"/>
          <w:color w:val="auto"/>
          <w:kern w:val="28"/>
          <w:sz w:val="24"/>
          <w:lang w:val="zh-CN"/>
        </w:rPr>
        <w:t xml:space="preserve">     签字：</w:t>
      </w:r>
    </w:p>
    <w:p>
      <w:pPr>
        <w:keepNext w:val="0"/>
        <w:keepLines w:val="0"/>
        <w:pageBreakBefore w:val="0"/>
        <w:widowControl w:val="0"/>
        <w:tabs>
          <w:tab w:val="left" w:pos="5430"/>
        </w:tabs>
        <w:kinsoku/>
        <w:wordWrap/>
        <w:overflowPunct/>
        <w:topLinePunct w:val="0"/>
        <w:autoSpaceDE w:val="0"/>
        <w:autoSpaceDN w:val="0"/>
        <w:bidi w:val="0"/>
        <w:adjustRightInd w:val="0"/>
        <w:snapToGrid w:val="0"/>
        <w:spacing w:line="300" w:lineRule="auto"/>
        <w:textAlignment w:val="auto"/>
        <w:rPr>
          <w:rFonts w:ascii="宋体" w:hAnsi="宋体"/>
          <w:color w:val="auto"/>
          <w:kern w:val="28"/>
          <w:sz w:val="24"/>
          <w:lang w:val="zh-CN"/>
        </w:rPr>
      </w:pPr>
      <w:r>
        <w:rPr>
          <w:rFonts w:ascii="宋体" w:hAnsi="宋体"/>
          <w:color w:val="auto"/>
          <w:kern w:val="28"/>
          <w:sz w:val="24"/>
          <w:lang w:val="zh-CN"/>
        </w:rPr>
        <w:t xml:space="preserve">              盖章</w:t>
      </w:r>
      <w:r>
        <w:rPr>
          <w:rFonts w:ascii="宋体" w:hAnsi="宋体"/>
          <w:color w:val="auto"/>
          <w:kern w:val="28"/>
          <w:sz w:val="24"/>
          <w:lang w:val="zh-CN"/>
        </w:rPr>
        <w:tab/>
      </w:r>
      <w:r>
        <w:rPr>
          <w:rFonts w:ascii="宋体" w:hAnsi="宋体"/>
          <w:color w:val="auto"/>
          <w:kern w:val="28"/>
          <w:sz w:val="24"/>
          <w:lang w:val="zh-CN"/>
        </w:rPr>
        <w:t xml:space="preserve">   盖章</w:t>
      </w:r>
    </w:p>
    <w:p>
      <w:pPr>
        <w:keepNext w:val="0"/>
        <w:keepLines w:val="0"/>
        <w:pageBreakBefore w:val="0"/>
        <w:widowControl w:val="0"/>
        <w:tabs>
          <w:tab w:val="left" w:pos="5810"/>
        </w:tabs>
        <w:kinsoku/>
        <w:wordWrap/>
        <w:overflowPunct/>
        <w:topLinePunct w:val="0"/>
        <w:autoSpaceDE w:val="0"/>
        <w:autoSpaceDN w:val="0"/>
        <w:bidi w:val="0"/>
        <w:adjustRightInd w:val="0"/>
        <w:snapToGrid w:val="0"/>
        <w:spacing w:line="300" w:lineRule="auto"/>
        <w:textAlignment w:val="auto"/>
        <w:rPr>
          <w:rFonts w:ascii="宋体" w:hAnsi="宋体"/>
          <w:color w:val="auto"/>
          <w:kern w:val="28"/>
          <w:sz w:val="24"/>
          <w:lang w:val="zh-CN"/>
        </w:rPr>
      </w:pPr>
      <w:r>
        <w:rPr>
          <w:rFonts w:ascii="宋体" w:hAnsi="宋体"/>
          <w:color w:val="auto"/>
          <w:kern w:val="28"/>
          <w:sz w:val="24"/>
          <w:lang w:val="zh-CN"/>
        </w:rPr>
        <w:tab/>
      </w:r>
      <w:r>
        <w:rPr>
          <w:rFonts w:ascii="宋体" w:hAnsi="宋体"/>
          <w:color w:val="auto"/>
          <w:kern w:val="28"/>
          <w:sz w:val="24"/>
          <w:lang w:val="zh-CN"/>
        </w:rPr>
        <w:t>年    月    日</w:t>
      </w:r>
    </w:p>
    <w:p>
      <w:pPr>
        <w:keepNext w:val="0"/>
        <w:keepLines w:val="0"/>
        <w:pageBreakBefore w:val="0"/>
        <w:widowControl w:val="0"/>
        <w:tabs>
          <w:tab w:val="left" w:pos="5810"/>
        </w:tabs>
        <w:kinsoku/>
        <w:wordWrap/>
        <w:overflowPunct/>
        <w:topLinePunct w:val="0"/>
        <w:autoSpaceDE w:val="0"/>
        <w:autoSpaceDN w:val="0"/>
        <w:bidi w:val="0"/>
        <w:adjustRightInd w:val="0"/>
        <w:snapToGrid w:val="0"/>
        <w:spacing w:line="300" w:lineRule="auto"/>
        <w:textAlignment w:val="auto"/>
        <w:rPr>
          <w:rFonts w:ascii="宋体" w:hAnsi="宋体"/>
          <w:color w:val="auto"/>
          <w:kern w:val="28"/>
          <w:sz w:val="24"/>
          <w:lang w:val="zh-CN"/>
        </w:rPr>
        <w:sectPr>
          <w:pgSz w:w="11906" w:h="16838"/>
          <w:pgMar w:top="1531" w:right="1418" w:bottom="1531" w:left="1418" w:header="851" w:footer="992" w:gutter="0"/>
          <w:cols w:space="720" w:num="1"/>
          <w:docGrid w:type="linesAndChars" w:linePitch="312" w:charSpace="0"/>
        </w:sectPr>
      </w:pPr>
    </w:p>
    <w:p>
      <w:pPr>
        <w:pStyle w:val="2"/>
        <w:spacing w:before="120"/>
        <w:rPr>
          <w:rFonts w:ascii="宋体" w:hAnsi="宋体" w:eastAsia="宋体"/>
          <w:color w:val="auto"/>
          <w:sz w:val="24"/>
          <w:szCs w:val="24"/>
        </w:rPr>
      </w:pPr>
      <w:bookmarkStart w:id="407" w:name="_Toc279698664"/>
      <w:bookmarkStart w:id="408" w:name="_Toc279701709"/>
      <w:bookmarkStart w:id="409" w:name="_Toc168476291"/>
      <w:bookmarkStart w:id="410" w:name="_Toc168475888"/>
      <w:bookmarkStart w:id="411" w:name="_Toc266885984"/>
      <w:bookmarkStart w:id="412" w:name="_Toc276296579"/>
      <w:bookmarkStart w:id="413" w:name="_Toc277250440"/>
      <w:bookmarkStart w:id="414" w:name="_Toc144974831"/>
      <w:bookmarkStart w:id="415" w:name="_Toc277253915"/>
      <w:bookmarkStart w:id="416" w:name="_Toc16924"/>
      <w:bookmarkStart w:id="417" w:name="_Toc517940884"/>
      <w:r>
        <w:rPr>
          <w:rFonts w:ascii="宋体" w:hAnsi="宋体" w:eastAsia="宋体"/>
          <w:color w:val="auto"/>
          <w:sz w:val="24"/>
          <w:szCs w:val="24"/>
        </w:rPr>
        <w:t>附件三：</w:t>
      </w:r>
      <w:bookmarkEnd w:id="407"/>
      <w:bookmarkEnd w:id="408"/>
      <w:bookmarkEnd w:id="409"/>
      <w:bookmarkEnd w:id="410"/>
      <w:bookmarkEnd w:id="411"/>
      <w:bookmarkEnd w:id="412"/>
      <w:bookmarkEnd w:id="413"/>
      <w:bookmarkEnd w:id="414"/>
      <w:bookmarkEnd w:id="415"/>
    </w:p>
    <w:p>
      <w:pPr>
        <w:rPr>
          <w:rFonts w:ascii="宋体" w:hAnsi="宋体"/>
          <w:color w:val="auto"/>
          <w:sz w:val="24"/>
        </w:rPr>
      </w:pPr>
    </w:p>
    <w:p>
      <w:pPr>
        <w:jc w:val="center"/>
        <w:rPr>
          <w:rFonts w:ascii="宋体" w:hAnsi="宋体"/>
          <w:b/>
          <w:color w:val="auto"/>
          <w:sz w:val="24"/>
        </w:rPr>
      </w:pPr>
      <w:r>
        <w:rPr>
          <w:rFonts w:ascii="宋体" w:hAnsi="宋体"/>
          <w:b/>
          <w:color w:val="auto"/>
          <w:sz w:val="24"/>
        </w:rPr>
        <w:t>履约担保（格式）</w:t>
      </w:r>
    </w:p>
    <w:p>
      <w:pPr>
        <w:rPr>
          <w:rFonts w:ascii="宋体" w:hAnsi="宋体"/>
          <w:color w:val="auto"/>
          <w:sz w:val="24"/>
        </w:rPr>
      </w:pPr>
    </w:p>
    <w:p>
      <w:pPr>
        <w:spacing w:line="360" w:lineRule="auto"/>
        <w:rPr>
          <w:rFonts w:ascii="宋体" w:hAnsi="宋体"/>
          <w:color w:val="auto"/>
          <w:sz w:val="24"/>
        </w:rPr>
      </w:pP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rPr>
        <w:t>（发包人名称）：</w:t>
      </w:r>
    </w:p>
    <w:p>
      <w:pPr>
        <w:spacing w:line="360" w:lineRule="auto"/>
        <w:rPr>
          <w:rFonts w:ascii="宋体" w:hAnsi="宋体"/>
          <w:color w:val="auto"/>
          <w:sz w:val="24"/>
        </w:rPr>
      </w:pPr>
    </w:p>
    <w:p>
      <w:pPr>
        <w:spacing w:line="360" w:lineRule="auto"/>
        <w:ind w:firstLine="566" w:firstLineChars="236"/>
        <w:rPr>
          <w:rFonts w:ascii="宋体" w:hAnsi="宋体"/>
          <w:color w:val="auto"/>
          <w:sz w:val="24"/>
        </w:rPr>
      </w:pPr>
      <w:r>
        <w:rPr>
          <w:rFonts w:ascii="宋体" w:hAnsi="宋体"/>
          <w:color w:val="auto"/>
          <w:sz w:val="24"/>
        </w:rPr>
        <w:t>鉴于</w:t>
      </w:r>
      <w:r>
        <w:rPr>
          <w:rFonts w:ascii="宋体" w:hAnsi="宋体"/>
          <w:color w:val="auto"/>
          <w:sz w:val="24"/>
          <w:u w:val="single"/>
        </w:rPr>
        <w:t xml:space="preserve">                </w:t>
      </w:r>
      <w:r>
        <w:rPr>
          <w:rFonts w:ascii="宋体" w:hAnsi="宋体"/>
          <w:color w:val="auto"/>
          <w:sz w:val="24"/>
        </w:rPr>
        <w:t>（发包人名称）（以下简称“发包人”）已接受</w:t>
      </w:r>
      <w:r>
        <w:rPr>
          <w:rFonts w:ascii="宋体" w:hAnsi="宋体"/>
          <w:color w:val="auto"/>
          <w:sz w:val="24"/>
          <w:u w:val="single"/>
        </w:rPr>
        <w:t xml:space="preserve">       </w:t>
      </w:r>
      <w:r>
        <w:rPr>
          <w:rFonts w:ascii="宋体" w:hAnsi="宋体"/>
          <w:color w:val="auto"/>
          <w:sz w:val="24"/>
        </w:rPr>
        <w:t>（承包人名称，以下称“承包人”）于</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日递交的</w:t>
      </w:r>
      <w:r>
        <w:rPr>
          <w:rFonts w:ascii="宋体" w:hAnsi="宋体"/>
          <w:color w:val="auto"/>
          <w:sz w:val="24"/>
          <w:u w:val="single"/>
        </w:rPr>
        <w:t xml:space="preserve">         </w:t>
      </w:r>
      <w:r>
        <w:rPr>
          <w:rFonts w:ascii="宋体" w:hAnsi="宋体"/>
          <w:color w:val="auto"/>
          <w:sz w:val="24"/>
        </w:rPr>
        <w:t>（项目名称）</w:t>
      </w:r>
      <w:r>
        <w:rPr>
          <w:rFonts w:ascii="宋体" w:hAnsi="宋体"/>
          <w:color w:val="auto"/>
          <w:sz w:val="24"/>
          <w:u w:val="single"/>
        </w:rPr>
        <w:t xml:space="preserve">          </w:t>
      </w:r>
      <w:r>
        <w:rPr>
          <w:rFonts w:ascii="宋体" w:hAnsi="宋体"/>
          <w:color w:val="auto"/>
          <w:sz w:val="24"/>
        </w:rPr>
        <w:t>（标段名称）的投标文件。我行愿意无条件地、不可撤销地就承包人履行与你方订立的合同，向你方提供担保。</w:t>
      </w:r>
    </w:p>
    <w:p>
      <w:pPr>
        <w:spacing w:line="360" w:lineRule="auto"/>
        <w:ind w:firstLine="566" w:firstLineChars="236"/>
        <w:rPr>
          <w:rFonts w:ascii="宋体" w:hAnsi="宋体"/>
          <w:color w:val="auto"/>
          <w:sz w:val="24"/>
        </w:rPr>
      </w:pPr>
      <w:r>
        <w:rPr>
          <w:rFonts w:ascii="宋体" w:hAnsi="宋体"/>
          <w:color w:val="auto"/>
          <w:sz w:val="24"/>
        </w:rPr>
        <w:t>1. 担保金额人民币（大写）</w:t>
      </w:r>
      <w:r>
        <w:rPr>
          <w:rFonts w:ascii="宋体" w:hAnsi="宋体"/>
          <w:color w:val="auto"/>
          <w:sz w:val="24"/>
          <w:u w:val="single"/>
        </w:rPr>
        <w:t xml:space="preserve">                </w:t>
      </w:r>
      <w:r>
        <w:rPr>
          <w:rFonts w:ascii="宋体" w:hAnsi="宋体"/>
          <w:color w:val="auto"/>
          <w:sz w:val="24"/>
        </w:rPr>
        <w:t xml:space="preserve"> 元（¥</w:t>
      </w:r>
      <w:r>
        <w:rPr>
          <w:rFonts w:ascii="宋体" w:hAnsi="宋体"/>
          <w:color w:val="auto"/>
          <w:sz w:val="24"/>
          <w:u w:val="single"/>
        </w:rPr>
        <w:t xml:space="preserve">             </w:t>
      </w:r>
      <w:r>
        <w:rPr>
          <w:rFonts w:ascii="宋体" w:hAnsi="宋体"/>
          <w:color w:val="auto"/>
          <w:sz w:val="24"/>
        </w:rPr>
        <w:t>）。</w:t>
      </w:r>
    </w:p>
    <w:p>
      <w:pPr>
        <w:spacing w:line="360" w:lineRule="auto"/>
        <w:ind w:firstLine="566" w:firstLineChars="236"/>
        <w:outlineLvl w:val="0"/>
        <w:rPr>
          <w:rFonts w:ascii="宋体" w:hAnsi="宋体"/>
          <w:color w:val="auto"/>
          <w:sz w:val="24"/>
        </w:rPr>
      </w:pPr>
      <w:bookmarkStart w:id="418" w:name="_Toc277253916"/>
      <w:bookmarkStart w:id="419" w:name="_Toc277250441"/>
      <w:bookmarkStart w:id="420" w:name="_Toc276296580"/>
      <w:bookmarkStart w:id="421" w:name="_Toc279701710"/>
      <w:bookmarkStart w:id="422" w:name="_Toc279698665"/>
      <w:bookmarkStart w:id="423" w:name="_Toc276293463"/>
      <w:r>
        <w:rPr>
          <w:rFonts w:ascii="宋体" w:hAnsi="宋体"/>
          <w:color w:val="auto"/>
          <w:sz w:val="24"/>
        </w:rPr>
        <w:t>2. 担保有效期自发包人与承包人签订的合同生效之日起至发包人签发工程接收证书之日止。</w:t>
      </w:r>
      <w:bookmarkEnd w:id="418"/>
      <w:bookmarkEnd w:id="419"/>
      <w:bookmarkEnd w:id="420"/>
      <w:bookmarkEnd w:id="421"/>
      <w:bookmarkEnd w:id="422"/>
      <w:bookmarkEnd w:id="423"/>
    </w:p>
    <w:p>
      <w:pPr>
        <w:spacing w:line="360" w:lineRule="auto"/>
        <w:ind w:firstLine="566" w:firstLineChars="236"/>
        <w:rPr>
          <w:rFonts w:ascii="宋体" w:hAnsi="宋体"/>
          <w:color w:val="auto"/>
          <w:sz w:val="24"/>
        </w:rPr>
      </w:pPr>
      <w:r>
        <w:rPr>
          <w:rFonts w:ascii="宋体" w:hAnsi="宋体"/>
          <w:color w:val="auto"/>
          <w:sz w:val="24"/>
        </w:rPr>
        <w:t>3. 在本保函有效期内，因承包人违反合同约定的义务给你方造成经济损失时，我行在收到你方以书面形式提出的在担保金额内的赔偿要求后，无条件地在７天内予以支付。</w:t>
      </w:r>
    </w:p>
    <w:p>
      <w:pPr>
        <w:spacing w:line="360" w:lineRule="auto"/>
        <w:ind w:firstLine="566" w:firstLineChars="236"/>
        <w:rPr>
          <w:rFonts w:ascii="宋体" w:hAnsi="宋体"/>
          <w:color w:val="auto"/>
          <w:sz w:val="24"/>
        </w:rPr>
      </w:pPr>
      <w:r>
        <w:rPr>
          <w:rFonts w:ascii="宋体" w:hAnsi="宋体"/>
          <w:color w:val="auto"/>
          <w:sz w:val="24"/>
        </w:rPr>
        <w:t>4. 发包人和承包人按《通用合同条款》第15条变更合同时，我行承担本保函规定的义务不变。</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w:t xml:space="preserve">                                      担保人：</w:t>
      </w:r>
      <w:r>
        <w:rPr>
          <w:rFonts w:ascii="宋体" w:hAnsi="宋体"/>
          <w:color w:val="auto"/>
          <w:sz w:val="24"/>
          <w:u w:val="single"/>
        </w:rPr>
        <w:t xml:space="preserve">                 </w:t>
      </w:r>
      <w:r>
        <w:rPr>
          <w:rFonts w:ascii="宋体" w:hAnsi="宋体"/>
          <w:color w:val="auto"/>
          <w:sz w:val="24"/>
        </w:rPr>
        <w:t>（盖单位章）</w:t>
      </w:r>
    </w:p>
    <w:p>
      <w:pPr>
        <w:spacing w:line="360" w:lineRule="auto"/>
        <w:rPr>
          <w:rFonts w:ascii="宋体" w:hAnsi="宋体"/>
          <w:color w:val="auto"/>
          <w:sz w:val="24"/>
        </w:rPr>
      </w:pPr>
      <w:r>
        <w:rPr>
          <w:rFonts w:ascii="宋体" w:hAnsi="宋体"/>
          <w:color w:val="auto"/>
          <w:sz w:val="24"/>
        </w:rPr>
        <w:t xml:space="preserve">                                      法定代表人或委托代理人：</w:t>
      </w:r>
      <w:r>
        <w:rPr>
          <w:rFonts w:ascii="宋体" w:hAnsi="宋体"/>
          <w:color w:val="auto"/>
          <w:sz w:val="24"/>
          <w:u w:val="single"/>
        </w:rPr>
        <w:t xml:space="preserve">       </w:t>
      </w:r>
      <w:r>
        <w:rPr>
          <w:rFonts w:ascii="宋体" w:hAnsi="宋体"/>
          <w:color w:val="auto"/>
          <w:sz w:val="24"/>
        </w:rPr>
        <w:t>（签字）</w:t>
      </w:r>
    </w:p>
    <w:p>
      <w:pPr>
        <w:spacing w:line="360" w:lineRule="auto"/>
        <w:rPr>
          <w:rFonts w:ascii="宋体" w:hAnsi="宋体"/>
          <w:color w:val="auto"/>
          <w:sz w:val="24"/>
        </w:rPr>
      </w:pPr>
      <w:r>
        <w:rPr>
          <w:rFonts w:ascii="宋体" w:hAnsi="宋体"/>
          <w:color w:val="auto"/>
          <w:sz w:val="24"/>
        </w:rPr>
        <w:t xml:space="preserve">                                      地    址：</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p>
    <w:p>
      <w:pPr>
        <w:spacing w:line="360" w:lineRule="auto"/>
        <w:rPr>
          <w:rFonts w:ascii="宋体" w:hAnsi="宋体"/>
          <w:color w:val="auto"/>
          <w:sz w:val="24"/>
        </w:rPr>
      </w:pPr>
      <w:r>
        <w:rPr>
          <w:rFonts w:ascii="宋体" w:hAnsi="宋体"/>
          <w:color w:val="auto"/>
          <w:sz w:val="24"/>
        </w:rPr>
        <w:t xml:space="preserve">                                      邮政编码：</w:t>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ab/>
      </w:r>
      <w:r>
        <w:rPr>
          <w:rFonts w:ascii="宋体" w:hAnsi="宋体"/>
          <w:color w:val="auto"/>
          <w:sz w:val="24"/>
          <w:u w:val="single"/>
        </w:rPr>
        <w:t xml:space="preserve">    </w:t>
      </w:r>
      <w:r>
        <w:rPr>
          <w:rFonts w:ascii="宋体" w:hAnsi="宋体"/>
          <w:color w:val="auto"/>
          <w:sz w:val="24"/>
          <w:u w:val="single"/>
        </w:rPr>
        <w:tab/>
      </w:r>
    </w:p>
    <w:p>
      <w:pPr>
        <w:spacing w:line="360" w:lineRule="auto"/>
        <w:rPr>
          <w:rFonts w:ascii="宋体" w:hAnsi="宋体"/>
          <w:color w:val="auto"/>
          <w:sz w:val="24"/>
        </w:rPr>
      </w:pPr>
      <w:r>
        <w:rPr>
          <w:rFonts w:ascii="宋体" w:hAnsi="宋体"/>
          <w:color w:val="auto"/>
          <w:sz w:val="24"/>
        </w:rPr>
        <w:t xml:space="preserve">                                      电    话：</w:t>
      </w:r>
      <w:r>
        <w:rPr>
          <w:rFonts w:ascii="宋体" w:hAnsi="宋体"/>
          <w:color w:val="auto"/>
          <w:sz w:val="24"/>
          <w:u w:val="single"/>
        </w:rPr>
        <w:t xml:space="preserve">                      </w:t>
      </w:r>
    </w:p>
    <w:p>
      <w:pPr>
        <w:spacing w:line="360" w:lineRule="auto"/>
        <w:rPr>
          <w:rFonts w:ascii="宋体" w:hAnsi="宋体"/>
          <w:color w:val="auto"/>
          <w:sz w:val="24"/>
        </w:rPr>
      </w:pPr>
      <w:r>
        <w:rPr>
          <w:rFonts w:ascii="宋体" w:hAnsi="宋体"/>
          <w:color w:val="auto"/>
          <w:sz w:val="24"/>
        </w:rPr>
        <w:t xml:space="preserve">                                      传    真：</w:t>
      </w:r>
      <w:r>
        <w:rPr>
          <w:rFonts w:ascii="宋体" w:hAnsi="宋体"/>
          <w:color w:val="auto"/>
          <w:sz w:val="24"/>
          <w:u w:val="single"/>
        </w:rPr>
        <w:t xml:space="preserve">                      </w:t>
      </w:r>
    </w:p>
    <w:p>
      <w:pPr>
        <w:spacing w:line="360" w:lineRule="auto"/>
        <w:rPr>
          <w:rFonts w:ascii="宋体" w:hAnsi="宋体"/>
          <w:color w:val="auto"/>
          <w:sz w:val="24"/>
        </w:rPr>
      </w:pP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w:t>注：委托代理人应附授权委托书。</w:t>
      </w:r>
    </w:p>
    <w:p>
      <w:pPr>
        <w:pStyle w:val="3"/>
        <w:jc w:val="center"/>
        <w:rPr>
          <w:bCs w:val="0"/>
          <w:color w:val="auto"/>
        </w:rPr>
      </w:pPr>
      <w:r>
        <w:rPr>
          <w:rFonts w:hint="eastAsia"/>
          <w:bCs w:val="0"/>
          <w:color w:val="auto"/>
        </w:rPr>
        <w:t>第五章  工程量清单</w:t>
      </w:r>
      <w:bookmarkEnd w:id="416"/>
      <w:bookmarkEnd w:id="417"/>
    </w:p>
    <w:p>
      <w:pPr>
        <w:spacing w:line="360" w:lineRule="auto"/>
        <w:rPr>
          <w:rFonts w:ascii="宋体" w:hAnsi="宋体"/>
          <w:color w:val="auto"/>
          <w:sz w:val="24"/>
        </w:rPr>
      </w:pPr>
      <w:bookmarkStart w:id="424" w:name="_Toc144974835"/>
      <w:bookmarkStart w:id="425" w:name="_Toc152042555"/>
      <w:bookmarkStart w:id="426" w:name="_Toc179632790"/>
      <w:bookmarkStart w:id="427" w:name="_Toc152045773"/>
      <w:r>
        <w:rPr>
          <w:rFonts w:hint="eastAsia" w:ascii="宋体" w:hAnsi="宋体"/>
          <w:color w:val="auto"/>
          <w:sz w:val="24"/>
        </w:rPr>
        <w:t>1. 工程量清单说明</w:t>
      </w:r>
      <w:bookmarkEnd w:id="424"/>
      <w:bookmarkEnd w:id="425"/>
      <w:bookmarkEnd w:id="426"/>
      <w:bookmarkEnd w:id="427"/>
    </w:p>
    <w:p>
      <w:pPr>
        <w:spacing w:line="360" w:lineRule="auto"/>
        <w:rPr>
          <w:rFonts w:ascii="宋体" w:hAnsi="宋体"/>
          <w:color w:val="auto"/>
          <w:sz w:val="24"/>
        </w:rPr>
      </w:pPr>
      <w:r>
        <w:rPr>
          <w:rFonts w:hint="eastAsia" w:ascii="宋体" w:hAnsi="宋体"/>
          <w:color w:val="auto"/>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color w:val="auto"/>
          <w:sz w:val="24"/>
        </w:rPr>
      </w:pPr>
      <w:r>
        <w:rPr>
          <w:rFonts w:hint="eastAsia" w:ascii="宋体" w:hAnsi="宋体"/>
          <w:color w:val="auto"/>
          <w:sz w:val="24"/>
        </w:rPr>
        <w:t xml:space="preserve">    1.2 本工程量清单应与招标文件中的投标人须知、通用合同条款、专用合同条款、技术标准和要求及图纸等一起阅读和理解。</w:t>
      </w:r>
    </w:p>
    <w:p>
      <w:pPr>
        <w:spacing w:line="360" w:lineRule="auto"/>
        <w:rPr>
          <w:rFonts w:ascii="宋体" w:hAnsi="宋体"/>
          <w:color w:val="auto"/>
          <w:sz w:val="24"/>
        </w:rPr>
      </w:pPr>
      <w:r>
        <w:rPr>
          <w:rFonts w:hint="eastAsia" w:ascii="宋体" w:hAnsi="宋体"/>
          <w:color w:val="auto"/>
          <w:sz w:val="24"/>
        </w:rPr>
        <w:t xml:space="preserve">    1.3 本工程量清单仅是投标报价的共同基础，实际工程计量和工程价款的支付应遵循合同条款的约定和第七章“技术标准和要求”的有关规定。</w:t>
      </w:r>
    </w:p>
    <w:p>
      <w:pPr>
        <w:spacing w:line="360" w:lineRule="auto"/>
        <w:rPr>
          <w:rFonts w:ascii="宋体" w:hAnsi="宋体"/>
          <w:color w:val="auto"/>
          <w:sz w:val="24"/>
        </w:rPr>
      </w:pPr>
      <w:bookmarkStart w:id="428" w:name="_Toc152042556"/>
      <w:bookmarkStart w:id="429" w:name="_Toc179632791"/>
      <w:bookmarkStart w:id="430" w:name="_Toc144974836"/>
      <w:bookmarkStart w:id="431" w:name="_Toc152045774"/>
      <w:r>
        <w:rPr>
          <w:rFonts w:hint="eastAsia" w:ascii="宋体" w:hAnsi="宋体"/>
          <w:color w:val="auto"/>
          <w:sz w:val="24"/>
        </w:rPr>
        <w:t>2. 投标报价说明</w:t>
      </w:r>
      <w:bookmarkEnd w:id="428"/>
      <w:bookmarkEnd w:id="429"/>
      <w:bookmarkEnd w:id="430"/>
      <w:bookmarkEnd w:id="431"/>
    </w:p>
    <w:p>
      <w:pPr>
        <w:spacing w:line="360" w:lineRule="auto"/>
        <w:rPr>
          <w:rFonts w:ascii="宋体" w:hAnsi="宋体"/>
          <w:color w:val="auto"/>
          <w:sz w:val="24"/>
        </w:rPr>
      </w:pPr>
      <w:r>
        <w:rPr>
          <w:rFonts w:hint="eastAsia" w:ascii="宋体" w:hAnsi="宋体"/>
          <w:color w:val="auto"/>
          <w:sz w:val="24"/>
        </w:rPr>
        <w:t xml:space="preserve">    2.1 工程量清单中的每一子目须填入单价或价格，且只允许有一个报价。</w:t>
      </w:r>
    </w:p>
    <w:p>
      <w:pPr>
        <w:spacing w:line="360" w:lineRule="auto"/>
        <w:rPr>
          <w:rFonts w:ascii="宋体" w:hAnsi="宋体"/>
          <w:color w:val="auto"/>
          <w:sz w:val="24"/>
        </w:rPr>
      </w:pPr>
      <w:r>
        <w:rPr>
          <w:rFonts w:hint="eastAsia" w:ascii="宋体" w:hAnsi="宋体"/>
          <w:color w:val="auto"/>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60" w:lineRule="auto"/>
        <w:rPr>
          <w:rFonts w:ascii="宋体" w:hAnsi="宋体"/>
          <w:color w:val="auto"/>
          <w:sz w:val="24"/>
        </w:rPr>
      </w:pPr>
      <w:r>
        <w:rPr>
          <w:rFonts w:hint="eastAsia" w:ascii="宋体" w:hAnsi="宋体"/>
          <w:color w:val="auto"/>
          <w:sz w:val="24"/>
        </w:rPr>
        <w:t xml:space="preserve">    2.3 工程量清单中投标人没有填入单价或价格的子目，其费用视为已分摊在工程量清单中其他相关子目的单价或价格之中。</w:t>
      </w:r>
    </w:p>
    <w:p>
      <w:pPr>
        <w:spacing w:line="360" w:lineRule="auto"/>
        <w:rPr>
          <w:rFonts w:ascii="宋体" w:hAnsi="宋体"/>
          <w:color w:val="auto"/>
          <w:sz w:val="24"/>
        </w:rPr>
      </w:pPr>
      <w:bookmarkStart w:id="432" w:name="_Toc179632792"/>
      <w:r>
        <w:rPr>
          <w:rFonts w:hint="eastAsia" w:ascii="宋体" w:hAnsi="宋体"/>
          <w:color w:val="auto"/>
          <w:sz w:val="24"/>
        </w:rPr>
        <w:t>3. 其他说明</w:t>
      </w:r>
      <w:bookmarkEnd w:id="432"/>
    </w:p>
    <w:p>
      <w:pPr>
        <w:spacing w:line="360" w:lineRule="auto"/>
        <w:rPr>
          <w:rFonts w:ascii="宋体" w:hAnsi="宋体"/>
          <w:color w:val="auto"/>
          <w:sz w:val="24"/>
        </w:rPr>
      </w:pPr>
      <w:r>
        <w:rPr>
          <w:rFonts w:hint="eastAsia" w:ascii="宋体" w:hAnsi="宋体"/>
          <w:color w:val="auto"/>
          <w:sz w:val="24"/>
        </w:rPr>
        <w:t xml:space="preserve">    3.1工程量清单中有计算或汇总中的算术错误时，应按以下原则改正：</w:t>
      </w:r>
    </w:p>
    <w:p>
      <w:pPr>
        <w:spacing w:line="360" w:lineRule="auto"/>
        <w:rPr>
          <w:rFonts w:ascii="宋体" w:hAnsi="宋体"/>
          <w:color w:val="auto"/>
          <w:sz w:val="24"/>
        </w:rPr>
      </w:pPr>
      <w:r>
        <w:rPr>
          <w:rFonts w:hint="eastAsia" w:ascii="宋体" w:hAnsi="宋体"/>
          <w:color w:val="auto"/>
          <w:sz w:val="24"/>
        </w:rPr>
        <w:t xml:space="preserve">   （1）投标文件中的大写与小写金额不一致的，以大写金额为准；</w:t>
      </w:r>
    </w:p>
    <w:p>
      <w:pPr>
        <w:spacing w:line="360" w:lineRule="auto"/>
        <w:rPr>
          <w:rFonts w:ascii="宋体" w:hAnsi="宋体"/>
          <w:color w:val="auto"/>
          <w:sz w:val="24"/>
        </w:rPr>
      </w:pPr>
      <w:r>
        <w:rPr>
          <w:rFonts w:hint="eastAsia" w:ascii="宋体" w:hAnsi="宋体"/>
          <w:color w:val="auto"/>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color w:val="auto"/>
          <w:sz w:val="24"/>
        </w:rPr>
      </w:pPr>
      <w:r>
        <w:rPr>
          <w:rFonts w:hint="eastAsia" w:ascii="宋体" w:hAnsi="宋体"/>
          <w:color w:val="auto"/>
          <w:sz w:val="24"/>
        </w:rPr>
        <w:t xml:space="preserve">    3.2进入单价的材料均应以当地实际材料预算价计入单价，不再计取材料价差，投标人的报价在合同实施期间不进行单价调整。</w:t>
      </w:r>
    </w:p>
    <w:p>
      <w:pPr>
        <w:spacing w:line="360" w:lineRule="auto"/>
        <w:rPr>
          <w:rFonts w:ascii="宋体" w:hAnsi="宋体"/>
          <w:color w:val="auto"/>
          <w:sz w:val="24"/>
        </w:rPr>
      </w:pPr>
      <w:r>
        <w:rPr>
          <w:rFonts w:hint="eastAsia" w:ascii="宋体" w:hAnsi="宋体"/>
          <w:color w:val="auto"/>
          <w:sz w:val="24"/>
        </w:rPr>
        <w:t xml:space="preserve">    3.3所列工程量的变化，丝毫不会使合同条件或条款无效或降低，也不免除承包人按要求的标准进行施工和缺陷修复的责任。</w:t>
      </w:r>
    </w:p>
    <w:p>
      <w:pPr>
        <w:spacing w:line="360" w:lineRule="auto"/>
        <w:rPr>
          <w:rFonts w:ascii="宋体" w:hAnsi="宋体"/>
          <w:color w:val="auto"/>
          <w:sz w:val="24"/>
        </w:rPr>
      </w:pPr>
      <w:r>
        <w:rPr>
          <w:rFonts w:hint="eastAsia" w:ascii="宋体" w:hAnsi="宋体"/>
          <w:color w:val="auto"/>
          <w:sz w:val="24"/>
        </w:rPr>
        <w:t xml:space="preserve">    3.4图纸中所列工程量表及数量汇总仅为提供资料，不应视为工程量报价单的扩大或延伸。</w:t>
      </w:r>
    </w:p>
    <w:p>
      <w:pPr>
        <w:numPr>
          <w:ilvl w:val="0"/>
          <w:numId w:val="4"/>
        </w:numPr>
        <w:spacing w:line="360" w:lineRule="auto"/>
        <w:rPr>
          <w:rFonts w:ascii="宋体" w:hAnsi="宋体"/>
          <w:color w:val="auto"/>
          <w:sz w:val="24"/>
        </w:rPr>
      </w:pPr>
      <w:r>
        <w:rPr>
          <w:rFonts w:hint="eastAsia" w:ascii="宋体" w:hAnsi="宋体"/>
          <w:color w:val="auto"/>
          <w:sz w:val="24"/>
        </w:rPr>
        <w:t>工程量清单</w:t>
      </w:r>
      <w:bookmarkStart w:id="433" w:name="_Toc21351"/>
      <w:r>
        <w:rPr>
          <w:rFonts w:hint="eastAsia" w:ascii="宋体" w:hAnsi="宋体"/>
          <w:color w:val="auto"/>
          <w:sz w:val="24"/>
        </w:rPr>
        <w:t>（</w:t>
      </w:r>
      <w:r>
        <w:rPr>
          <w:rFonts w:hint="eastAsia" w:ascii="宋体" w:hAnsi="宋体"/>
          <w:color w:val="auto"/>
          <w:sz w:val="24"/>
          <w:lang w:eastAsia="zh-CN"/>
        </w:rPr>
        <w:t>另附</w:t>
      </w:r>
      <w:r>
        <w:rPr>
          <w:rFonts w:hint="eastAsia" w:ascii="宋体" w:hAnsi="宋体"/>
          <w:color w:val="auto"/>
          <w:sz w:val="24"/>
        </w:rPr>
        <w:t>）</w:t>
      </w:r>
    </w:p>
    <w:p>
      <w:pPr>
        <w:pStyle w:val="32"/>
        <w:ind w:firstLine="210"/>
        <w:rPr>
          <w:color w:val="auto"/>
        </w:rPr>
      </w:pPr>
    </w:p>
    <w:p>
      <w:pPr>
        <w:pStyle w:val="3"/>
        <w:jc w:val="center"/>
        <w:rPr>
          <w:bCs w:val="0"/>
          <w:color w:val="auto"/>
        </w:rPr>
      </w:pPr>
      <w:bookmarkStart w:id="434" w:name="_Toc517940885"/>
      <w:r>
        <w:rPr>
          <w:rFonts w:hint="eastAsia"/>
          <w:bCs w:val="0"/>
          <w:color w:val="auto"/>
        </w:rPr>
        <w:t>第六章   图  纸</w:t>
      </w:r>
      <w:bookmarkEnd w:id="434"/>
    </w:p>
    <w:bookmarkEnd w:id="433"/>
    <w:p>
      <w:pPr>
        <w:spacing w:line="312" w:lineRule="auto"/>
        <w:jc w:val="center"/>
        <w:rPr>
          <w:color w:val="auto"/>
          <w:sz w:val="24"/>
        </w:rPr>
      </w:pPr>
      <w:r>
        <w:rPr>
          <w:rFonts w:hint="eastAsia" w:hAnsi="宋体" w:cs="黑体"/>
          <w:color w:val="auto"/>
          <w:sz w:val="24"/>
        </w:rPr>
        <w:t>（根据招标文件第二章投标人须知前附表第2.1项给出的网址自行下载。）</w:t>
      </w:r>
    </w:p>
    <w:p>
      <w:pPr>
        <w:spacing w:line="312" w:lineRule="auto"/>
        <w:jc w:val="center"/>
        <w:rPr>
          <w:rFonts w:ascii="宋体" w:hAnsi="宋体" w:cs="宋体"/>
          <w:color w:val="auto"/>
          <w:sz w:val="32"/>
          <w:szCs w:val="32"/>
        </w:rPr>
      </w:pPr>
    </w:p>
    <w:p>
      <w:pPr>
        <w:pStyle w:val="3"/>
        <w:jc w:val="center"/>
        <w:rPr>
          <w:color w:val="auto"/>
        </w:rPr>
      </w:pPr>
      <w:bookmarkStart w:id="435" w:name="_Toc24512"/>
      <w:bookmarkStart w:id="436" w:name="_Toc517940886"/>
      <w:bookmarkStart w:id="437" w:name="_Toc30393"/>
      <w:bookmarkStart w:id="438" w:name="_Toc23526"/>
      <w:bookmarkStart w:id="439" w:name="_Toc4592"/>
      <w:r>
        <w:rPr>
          <w:rFonts w:hint="eastAsia"/>
          <w:color w:val="auto"/>
        </w:rPr>
        <w:t>第七章  技术标准和要求</w:t>
      </w:r>
      <w:bookmarkEnd w:id="435"/>
      <w:bookmarkEnd w:id="436"/>
      <w:bookmarkEnd w:id="437"/>
      <w:bookmarkEnd w:id="438"/>
      <w:bookmarkEnd w:id="439"/>
    </w:p>
    <w:p>
      <w:pPr>
        <w:spacing w:line="312" w:lineRule="auto"/>
        <w:ind w:left="2700"/>
        <w:rPr>
          <w:rFonts w:ascii="宋体" w:hAnsi="宋体" w:cs="宋体"/>
          <w:color w:val="auto"/>
          <w:sz w:val="24"/>
        </w:rPr>
      </w:pPr>
    </w:p>
    <w:p>
      <w:pPr>
        <w:spacing w:line="500" w:lineRule="exact"/>
        <w:ind w:firstLine="480" w:firstLineChars="200"/>
        <w:jc w:val="left"/>
        <w:rPr>
          <w:rFonts w:hint="eastAsia" w:ascii="新宋体" w:hAnsi="新宋体" w:eastAsia="新宋体"/>
          <w:color w:val="auto"/>
          <w:sz w:val="24"/>
          <w:lang w:eastAsia="zh-CN"/>
        </w:rPr>
      </w:pPr>
      <w:r>
        <w:rPr>
          <w:rFonts w:hint="eastAsia" w:ascii="新宋体" w:hAnsi="新宋体" w:eastAsia="新宋体"/>
          <w:color w:val="auto"/>
          <w:sz w:val="24"/>
          <w:lang w:eastAsia="zh-CN"/>
        </w:rPr>
        <w:t>基本技术标准和要求：</w:t>
      </w:r>
    </w:p>
    <w:p>
      <w:pPr>
        <w:spacing w:line="500" w:lineRule="exact"/>
        <w:ind w:firstLine="480" w:firstLineChars="200"/>
        <w:jc w:val="left"/>
        <w:rPr>
          <w:rFonts w:hint="eastAsia" w:ascii="新宋体" w:hAnsi="新宋体" w:eastAsia="新宋体"/>
          <w:color w:val="auto"/>
          <w:sz w:val="24"/>
        </w:rPr>
      </w:pPr>
      <w:r>
        <w:rPr>
          <w:rFonts w:hint="eastAsia" w:ascii="新宋体" w:hAns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lang w:eastAsia="zh-CN"/>
        </w:rPr>
        <w:t>其他技术标准和要求：1.倒虹吸的顶管施工要采用顶管机械施工，不得人工开挖；2.特殊地质处，顶管施工需要根据地质选用合适的（比如破碎功能）机头。</w:t>
      </w:r>
    </w:p>
    <w:p>
      <w:pPr>
        <w:pStyle w:val="2"/>
        <w:ind w:firstLine="480" w:firstLineChars="200"/>
        <w:rPr>
          <w:rFonts w:hint="eastAsia"/>
          <w:color w:val="auto"/>
          <w:lang w:eastAsia="zh-CN"/>
        </w:rPr>
      </w:pPr>
      <w:r>
        <w:rPr>
          <w:rFonts w:hint="eastAsia" w:ascii="新宋体" w:hAnsi="新宋体" w:eastAsia="新宋体"/>
          <w:color w:val="auto"/>
          <w:sz w:val="24"/>
          <w:lang w:eastAsia="zh-CN"/>
        </w:rPr>
        <w:t>注：</w:t>
      </w:r>
      <w:r>
        <w:rPr>
          <w:rFonts w:hint="eastAsia" w:ascii="新宋体" w:hAnsi="新宋体" w:eastAsia="新宋体"/>
          <w:color w:val="auto"/>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afterLines="200" w:line="312" w:lineRule="auto"/>
        <w:jc w:val="center"/>
        <w:rPr>
          <w:rFonts w:ascii="宋体" w:hAnsi="宋体" w:cs="宋体"/>
          <w:color w:val="auto"/>
          <w:sz w:val="24"/>
        </w:rPr>
      </w:pPr>
      <w:r>
        <w:rPr>
          <w:rFonts w:hint="eastAsia" w:ascii="宋体" w:hAnsi="宋体" w:cs="宋体"/>
          <w:color w:val="auto"/>
          <w:sz w:val="24"/>
        </w:rPr>
        <w:t xml:space="preserve"> </w:t>
      </w:r>
    </w:p>
    <w:p>
      <w:pPr>
        <w:spacing w:afterLines="200" w:line="312" w:lineRule="auto"/>
        <w:jc w:val="center"/>
        <w:rPr>
          <w:rFonts w:ascii="宋体" w:hAnsi="宋体" w:cs="宋体"/>
          <w:color w:val="auto"/>
          <w:sz w:val="24"/>
        </w:rPr>
        <w:sectPr>
          <w:pgSz w:w="11906" w:h="16838"/>
          <w:pgMar w:top="1531" w:right="1418" w:bottom="1531" w:left="1418" w:header="851" w:footer="992" w:gutter="0"/>
          <w:cols w:space="720" w:num="1"/>
          <w:docGrid w:type="linesAndChars" w:linePitch="312" w:charSpace="0"/>
        </w:sectPr>
      </w:pPr>
    </w:p>
    <w:p>
      <w:pPr>
        <w:pStyle w:val="3"/>
        <w:jc w:val="center"/>
        <w:rPr>
          <w:rStyle w:val="41"/>
          <w:rFonts w:ascii="宋体" w:hAnsi="宋体" w:eastAsia="宋体"/>
          <w:b/>
          <w:bCs w:val="0"/>
          <w:color w:val="auto"/>
          <w:sz w:val="44"/>
          <w:szCs w:val="44"/>
        </w:rPr>
      </w:pPr>
      <w:bookmarkStart w:id="440" w:name="_Toc27217"/>
      <w:bookmarkStart w:id="441" w:name="_Toc517940887"/>
      <w:r>
        <w:rPr>
          <w:rStyle w:val="41"/>
          <w:rFonts w:hint="eastAsia" w:ascii="宋体" w:hAnsi="宋体" w:eastAsia="宋体"/>
          <w:b/>
          <w:bCs w:val="0"/>
          <w:color w:val="auto"/>
          <w:sz w:val="44"/>
          <w:szCs w:val="44"/>
        </w:rPr>
        <w:t>第八章  投标文件格式</w:t>
      </w:r>
      <w:bookmarkEnd w:id="440"/>
      <w:bookmarkEnd w:id="441"/>
    </w:p>
    <w:p>
      <w:pPr>
        <w:spacing w:beforeLines="100" w:line="312" w:lineRule="auto"/>
        <w:jc w:val="left"/>
        <w:rPr>
          <w:rFonts w:ascii="宋体" w:hAnsi="宋体" w:cs="宋体"/>
          <w:color w:val="auto"/>
          <w:sz w:val="24"/>
        </w:rPr>
      </w:pPr>
    </w:p>
    <w:p>
      <w:pPr>
        <w:spacing w:beforeLines="100" w:line="312" w:lineRule="auto"/>
        <w:jc w:val="center"/>
        <w:rPr>
          <w:rFonts w:ascii="宋体" w:hAnsi="宋体" w:cs="宋体"/>
          <w:color w:val="auto"/>
          <w:sz w:val="24"/>
          <w:u w:val="single"/>
        </w:rPr>
      </w:pPr>
    </w:p>
    <w:p>
      <w:pPr>
        <w:spacing w:beforeLines="100" w:line="312" w:lineRule="auto"/>
        <w:jc w:val="center"/>
        <w:rPr>
          <w:rFonts w:ascii="宋体" w:hAnsi="宋体" w:cs="宋体"/>
          <w:color w:val="auto"/>
          <w:sz w:val="52"/>
          <w:szCs w:val="52"/>
        </w:rPr>
      </w:pPr>
      <w:r>
        <w:rPr>
          <w:rFonts w:hint="eastAsia" w:ascii="宋体" w:hAnsi="宋体" w:cs="宋体"/>
          <w:color w:val="auto"/>
          <w:sz w:val="28"/>
          <w:szCs w:val="28"/>
          <w:u w:val="single"/>
        </w:rPr>
        <w:t xml:space="preserve">                   </w:t>
      </w:r>
      <w:r>
        <w:rPr>
          <w:rFonts w:hint="eastAsia" w:ascii="宋体" w:hAnsi="宋体" w:cs="宋体"/>
          <w:b/>
          <w:color w:val="auto"/>
          <w:sz w:val="28"/>
          <w:szCs w:val="28"/>
        </w:rPr>
        <w:t>项目名称</w:t>
      </w:r>
    </w:p>
    <w:p>
      <w:pPr>
        <w:spacing w:beforeLines="100" w:line="312" w:lineRule="auto"/>
        <w:jc w:val="center"/>
        <w:rPr>
          <w:rFonts w:ascii="宋体" w:hAnsi="宋体" w:cs="宋体"/>
          <w:b/>
          <w:color w:val="auto"/>
          <w:sz w:val="52"/>
          <w:szCs w:val="52"/>
        </w:rPr>
      </w:pPr>
    </w:p>
    <w:p>
      <w:pPr>
        <w:spacing w:beforeLines="100" w:line="312" w:lineRule="auto"/>
        <w:jc w:val="center"/>
        <w:rPr>
          <w:rFonts w:ascii="宋体" w:hAnsi="宋体" w:cs="宋体"/>
          <w:b/>
          <w:color w:val="auto"/>
          <w:sz w:val="52"/>
          <w:szCs w:val="52"/>
        </w:rPr>
      </w:pPr>
      <w:r>
        <w:rPr>
          <w:rFonts w:hint="eastAsia" w:ascii="宋体" w:hAnsi="宋体" w:cs="宋体"/>
          <w:b/>
          <w:color w:val="auto"/>
          <w:sz w:val="52"/>
          <w:szCs w:val="52"/>
        </w:rPr>
        <w:t>投 标 文 件</w:t>
      </w:r>
    </w:p>
    <w:p>
      <w:pPr>
        <w:spacing w:line="312" w:lineRule="auto"/>
        <w:jc w:val="center"/>
        <w:rPr>
          <w:rFonts w:ascii="宋体" w:hAnsi="宋体" w:cs="宋体"/>
          <w:b/>
          <w:color w:val="auto"/>
          <w:sz w:val="24"/>
        </w:rPr>
      </w:pPr>
    </w:p>
    <w:p>
      <w:pPr>
        <w:spacing w:line="312" w:lineRule="auto"/>
        <w:rPr>
          <w:rFonts w:ascii="宋体" w:hAnsi="宋体" w:cs="宋体"/>
          <w:b/>
          <w:bCs/>
          <w:color w:val="auto"/>
          <w:sz w:val="24"/>
        </w:rPr>
      </w:pPr>
      <w:r>
        <w:rPr>
          <w:rFonts w:hint="eastAsia" w:ascii="宋体" w:hAnsi="宋体" w:cs="宋体"/>
          <w:b/>
          <w:bCs/>
          <w:color w:val="auto"/>
          <w:sz w:val="24"/>
        </w:rPr>
        <w:t xml:space="preserve">                       项目编号：</w:t>
      </w:r>
    </w:p>
    <w:p>
      <w:pPr>
        <w:spacing w:line="312" w:lineRule="auto"/>
        <w:jc w:val="center"/>
        <w:rPr>
          <w:rFonts w:ascii="宋体" w:hAnsi="宋体" w:cs="宋体"/>
          <w:b/>
          <w:bCs/>
          <w:color w:val="auto"/>
          <w:sz w:val="24"/>
        </w:rPr>
      </w:pPr>
    </w:p>
    <w:p>
      <w:pPr>
        <w:spacing w:line="312" w:lineRule="auto"/>
        <w:rPr>
          <w:rFonts w:ascii="宋体" w:hAnsi="宋体" w:cs="宋体"/>
          <w:b/>
          <w:color w:val="auto"/>
          <w:sz w:val="24"/>
        </w:rPr>
      </w:pPr>
    </w:p>
    <w:p>
      <w:pPr>
        <w:spacing w:line="312" w:lineRule="auto"/>
        <w:jc w:val="center"/>
        <w:rPr>
          <w:rFonts w:ascii="宋体" w:hAnsi="宋体" w:cs="宋体"/>
          <w:b/>
          <w:color w:val="auto"/>
          <w:sz w:val="24"/>
        </w:rPr>
      </w:pPr>
    </w:p>
    <w:p>
      <w:pPr>
        <w:spacing w:line="312" w:lineRule="auto"/>
        <w:jc w:val="center"/>
        <w:rPr>
          <w:rFonts w:ascii="宋体" w:hAnsi="宋体" w:cs="宋体"/>
          <w:b/>
          <w:color w:val="auto"/>
          <w:sz w:val="24"/>
        </w:rPr>
      </w:pPr>
    </w:p>
    <w:p>
      <w:pPr>
        <w:spacing w:line="312" w:lineRule="auto"/>
        <w:ind w:firstLine="240" w:firstLineChars="100"/>
        <w:rPr>
          <w:rFonts w:ascii="宋体" w:hAnsi="宋体" w:cs="宋体"/>
          <w:b/>
          <w:color w:val="auto"/>
          <w:sz w:val="24"/>
        </w:rPr>
      </w:pPr>
    </w:p>
    <w:p>
      <w:pPr>
        <w:spacing w:line="312" w:lineRule="auto"/>
        <w:ind w:firstLine="240" w:firstLineChars="100"/>
        <w:rPr>
          <w:rFonts w:ascii="宋体" w:hAnsi="宋体" w:cs="宋体"/>
          <w:b/>
          <w:color w:val="auto"/>
          <w:sz w:val="24"/>
        </w:rPr>
      </w:pPr>
    </w:p>
    <w:p>
      <w:pPr>
        <w:spacing w:line="312" w:lineRule="auto"/>
        <w:ind w:firstLine="240" w:firstLineChars="100"/>
        <w:rPr>
          <w:rFonts w:ascii="宋体" w:hAnsi="宋体" w:cs="宋体"/>
          <w:b/>
          <w:color w:val="auto"/>
          <w:sz w:val="24"/>
        </w:rPr>
      </w:pPr>
    </w:p>
    <w:p>
      <w:pPr>
        <w:spacing w:line="312" w:lineRule="auto"/>
        <w:ind w:firstLine="480" w:firstLineChars="200"/>
        <w:rPr>
          <w:rFonts w:ascii="宋体" w:hAnsi="宋体" w:cs="宋体"/>
          <w:b/>
          <w:color w:val="auto"/>
          <w:sz w:val="24"/>
        </w:rPr>
      </w:pPr>
      <w:r>
        <w:rPr>
          <w:rFonts w:hint="eastAsia" w:ascii="宋体" w:hAnsi="宋体" w:cs="宋体"/>
          <w:b/>
          <w:color w:val="auto"/>
          <w:sz w:val="24"/>
        </w:rPr>
        <w:t xml:space="preserve">          投   标   人：</w:t>
      </w:r>
      <w:r>
        <w:rPr>
          <w:rFonts w:hint="eastAsia" w:ascii="宋体" w:hAnsi="宋体" w:cs="宋体"/>
          <w:b/>
          <w:color w:val="auto"/>
          <w:sz w:val="24"/>
          <w:u w:val="single"/>
        </w:rPr>
        <w:t xml:space="preserve">                               </w:t>
      </w:r>
      <w:r>
        <w:rPr>
          <w:rFonts w:hint="eastAsia" w:ascii="宋体" w:hAnsi="宋体" w:cs="宋体"/>
          <w:b/>
          <w:color w:val="auto"/>
          <w:sz w:val="24"/>
        </w:rPr>
        <w:t>（盖单位章）</w:t>
      </w:r>
    </w:p>
    <w:p>
      <w:pPr>
        <w:spacing w:line="312" w:lineRule="auto"/>
        <w:ind w:firstLine="480" w:firstLineChars="200"/>
        <w:rPr>
          <w:rFonts w:ascii="宋体" w:hAnsi="宋体" w:cs="宋体"/>
          <w:b/>
          <w:color w:val="auto"/>
          <w:sz w:val="24"/>
        </w:rPr>
      </w:pPr>
    </w:p>
    <w:p>
      <w:pPr>
        <w:spacing w:line="312" w:lineRule="auto"/>
        <w:jc w:val="center"/>
        <w:rPr>
          <w:rFonts w:ascii="宋体" w:hAnsi="宋体" w:cs="宋体"/>
          <w:b/>
          <w:color w:val="auto"/>
          <w:sz w:val="24"/>
        </w:rPr>
      </w:pPr>
      <w:r>
        <w:rPr>
          <w:rFonts w:hint="eastAsia" w:ascii="宋体" w:hAnsi="宋体" w:cs="宋体"/>
          <w:b/>
          <w:color w:val="auto"/>
          <w:sz w:val="24"/>
        </w:rPr>
        <w:t xml:space="preserve">     法定代表人或其委托代理人：</w:t>
      </w:r>
      <w:r>
        <w:rPr>
          <w:rFonts w:hint="eastAsia" w:ascii="宋体" w:hAnsi="宋体" w:cs="宋体"/>
          <w:b/>
          <w:color w:val="auto"/>
          <w:sz w:val="24"/>
          <w:u w:val="single"/>
        </w:rPr>
        <w:t xml:space="preserve">                 </w:t>
      </w:r>
      <w:r>
        <w:rPr>
          <w:rFonts w:hint="eastAsia" w:ascii="宋体" w:hAnsi="宋体" w:cs="宋体"/>
          <w:b/>
          <w:color w:val="auto"/>
          <w:sz w:val="24"/>
        </w:rPr>
        <w:t>（签字或盖章）</w:t>
      </w:r>
    </w:p>
    <w:p>
      <w:pPr>
        <w:spacing w:line="312" w:lineRule="auto"/>
        <w:jc w:val="center"/>
        <w:rPr>
          <w:rFonts w:ascii="宋体" w:hAnsi="宋体" w:cs="宋体"/>
          <w:b/>
          <w:color w:val="auto"/>
          <w:sz w:val="24"/>
        </w:rPr>
      </w:pPr>
    </w:p>
    <w:p>
      <w:pPr>
        <w:spacing w:line="312" w:lineRule="auto"/>
        <w:jc w:val="center"/>
        <w:rPr>
          <w:rFonts w:ascii="宋体" w:hAnsi="宋体" w:cs="宋体"/>
          <w:b/>
          <w:color w:val="auto"/>
          <w:sz w:val="24"/>
        </w:rPr>
      </w:pPr>
      <w:r>
        <w:rPr>
          <w:rFonts w:hint="eastAsia" w:ascii="宋体" w:hAnsi="宋体" w:cs="宋体"/>
          <w:b/>
          <w:color w:val="auto"/>
          <w:sz w:val="24"/>
          <w:u w:val="single"/>
        </w:rPr>
        <w:t xml:space="preserve">         </w:t>
      </w:r>
      <w:r>
        <w:rPr>
          <w:rFonts w:hint="eastAsia" w:ascii="宋体" w:hAnsi="宋体" w:cs="宋体"/>
          <w:b/>
          <w:color w:val="auto"/>
          <w:sz w:val="24"/>
        </w:rPr>
        <w:t>年</w:t>
      </w:r>
      <w:r>
        <w:rPr>
          <w:rFonts w:hint="eastAsia" w:ascii="宋体" w:hAnsi="宋体" w:cs="宋体"/>
          <w:b/>
          <w:color w:val="auto"/>
          <w:sz w:val="24"/>
          <w:u w:val="single"/>
        </w:rPr>
        <w:t xml:space="preserve">         </w:t>
      </w:r>
      <w:r>
        <w:rPr>
          <w:rFonts w:hint="eastAsia" w:ascii="宋体" w:hAnsi="宋体" w:cs="宋体"/>
          <w:b/>
          <w:color w:val="auto"/>
          <w:sz w:val="24"/>
        </w:rPr>
        <w:t>月</w:t>
      </w:r>
      <w:r>
        <w:rPr>
          <w:rFonts w:hint="eastAsia" w:ascii="宋体" w:hAnsi="宋体" w:cs="宋体"/>
          <w:b/>
          <w:color w:val="auto"/>
          <w:sz w:val="24"/>
          <w:u w:val="single"/>
        </w:rPr>
        <w:t xml:space="preserve">         </w:t>
      </w:r>
      <w:r>
        <w:rPr>
          <w:rFonts w:hint="eastAsia" w:ascii="宋体" w:hAnsi="宋体" w:cs="宋体"/>
          <w:b/>
          <w:color w:val="auto"/>
          <w:sz w:val="24"/>
        </w:rPr>
        <w:t>日</w:t>
      </w:r>
    </w:p>
    <w:p>
      <w:pPr>
        <w:autoSpaceDE w:val="0"/>
        <w:autoSpaceDN w:val="0"/>
        <w:adjustRightInd w:val="0"/>
        <w:spacing w:line="420" w:lineRule="exact"/>
        <w:ind w:firstLine="3388" w:firstLineChars="1412"/>
        <w:jc w:val="left"/>
        <w:rPr>
          <w:rFonts w:ascii="宋体" w:hAnsi="宋体"/>
          <w:b/>
          <w:color w:val="auto"/>
          <w:sz w:val="24"/>
        </w:rPr>
      </w:pPr>
      <w:r>
        <w:rPr>
          <w:rFonts w:hint="eastAsia" w:ascii="宋体" w:hAnsi="宋体" w:cs="宋体"/>
          <w:b/>
          <w:color w:val="auto"/>
          <w:sz w:val="24"/>
        </w:rPr>
        <w:br w:type="page"/>
      </w:r>
      <w:r>
        <w:rPr>
          <w:rFonts w:hint="eastAsia" w:ascii="宋体" w:hAnsi="宋体" w:cs="宋体"/>
          <w:color w:val="auto"/>
          <w:sz w:val="44"/>
          <w:szCs w:val="44"/>
        </w:rPr>
        <w:t xml:space="preserve"> </w:t>
      </w:r>
      <w:r>
        <w:rPr>
          <w:rFonts w:hint="eastAsia" w:ascii="宋体" w:hAnsi="宋体"/>
          <w:b/>
          <w:color w:val="auto"/>
          <w:sz w:val="24"/>
        </w:rPr>
        <w:t>评 审 因 素 索 引 表</w:t>
      </w:r>
    </w:p>
    <w:p>
      <w:pPr>
        <w:autoSpaceDE w:val="0"/>
        <w:autoSpaceDN w:val="0"/>
        <w:adjustRightInd w:val="0"/>
        <w:spacing w:line="420" w:lineRule="exact"/>
        <w:jc w:val="left"/>
        <w:rPr>
          <w:rFonts w:ascii="宋体" w:hAnsi="宋体"/>
          <w:b/>
          <w:color w:val="auto"/>
          <w:sz w:val="24"/>
        </w:rPr>
      </w:pPr>
    </w:p>
    <w:tbl>
      <w:tblPr>
        <w:tblStyle w:val="33"/>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096"/>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序号</w:t>
            </w:r>
          </w:p>
        </w:tc>
        <w:tc>
          <w:tcPr>
            <w:tcW w:w="6096"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评审因素</w:t>
            </w: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tcPr>
          <w:p>
            <w:pPr>
              <w:autoSpaceDE w:val="0"/>
              <w:autoSpaceDN w:val="0"/>
              <w:adjustRightInd w:val="0"/>
              <w:spacing w:line="420" w:lineRule="exact"/>
              <w:jc w:val="left"/>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center"/>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color w:val="auto"/>
                <w:sz w:val="24"/>
              </w:rPr>
            </w:pPr>
          </w:p>
        </w:tc>
        <w:tc>
          <w:tcPr>
            <w:tcW w:w="6096" w:type="dxa"/>
          </w:tcPr>
          <w:p>
            <w:pPr>
              <w:autoSpaceDE w:val="0"/>
              <w:autoSpaceDN w:val="0"/>
              <w:adjustRightInd w:val="0"/>
              <w:spacing w:line="420" w:lineRule="exact"/>
              <w:jc w:val="left"/>
              <w:rPr>
                <w:rFonts w:ascii="宋体" w:hAnsi="宋体"/>
                <w:b/>
                <w:color w:val="auto"/>
                <w:sz w:val="24"/>
              </w:rPr>
            </w:pPr>
          </w:p>
        </w:tc>
        <w:tc>
          <w:tcPr>
            <w:tcW w:w="2374" w:type="dxa"/>
            <w:vAlign w:val="center"/>
          </w:tcPr>
          <w:p>
            <w:pPr>
              <w:autoSpaceDE w:val="0"/>
              <w:autoSpaceDN w:val="0"/>
              <w:adjustRightInd w:val="0"/>
              <w:spacing w:line="420" w:lineRule="exact"/>
              <w:jc w:val="center"/>
              <w:rPr>
                <w:rFonts w:ascii="宋体" w:hAnsi="宋体"/>
                <w:b/>
                <w:color w:val="auto"/>
                <w:sz w:val="24"/>
              </w:rPr>
            </w:pPr>
            <w:r>
              <w:rPr>
                <w:rFonts w:hint="eastAsia" w:ascii="宋体" w:hAnsi="宋体"/>
                <w:b/>
                <w:color w:val="auto"/>
                <w:sz w:val="24"/>
              </w:rPr>
              <w:t xml:space="preserve">P </w:t>
            </w:r>
            <w:r>
              <w:rPr>
                <w:rFonts w:hint="eastAsia" w:ascii="宋体" w:hAnsi="宋体"/>
                <w:b/>
                <w:color w:val="auto"/>
                <w:sz w:val="24"/>
                <w:u w:val="single"/>
              </w:rPr>
              <w:t xml:space="preserve">   </w:t>
            </w:r>
            <w:r>
              <w:rPr>
                <w:rFonts w:hint="eastAsia" w:ascii="宋体" w:hAnsi="宋体"/>
                <w:b/>
                <w:color w:val="auto"/>
                <w:sz w:val="24"/>
              </w:rPr>
              <w:t>～P</w:t>
            </w:r>
            <w:r>
              <w:rPr>
                <w:rFonts w:hint="eastAsia" w:ascii="宋体" w:hAnsi="宋体"/>
                <w:b/>
                <w:color w:val="auto"/>
                <w:sz w:val="24"/>
                <w:u w:val="single"/>
              </w:rPr>
              <w:t xml:space="preserve">   </w:t>
            </w:r>
          </w:p>
        </w:tc>
      </w:tr>
    </w:tbl>
    <w:p>
      <w:pPr>
        <w:widowControl/>
        <w:spacing w:line="312" w:lineRule="auto"/>
        <w:jc w:val="left"/>
        <w:rPr>
          <w:rFonts w:ascii="宋体" w:hAnsi="宋体" w:cs="宋体"/>
          <w:color w:val="auto"/>
          <w:sz w:val="44"/>
          <w:szCs w:val="44"/>
        </w:rPr>
      </w:pPr>
      <w:r>
        <w:rPr>
          <w:rFonts w:hint="eastAsia" w:ascii="宋体" w:hAnsi="宋体" w:cs="宋体"/>
          <w:color w:val="auto"/>
          <w:sz w:val="44"/>
          <w:szCs w:val="44"/>
        </w:rPr>
        <w:t xml:space="preserve">     </w:t>
      </w:r>
    </w:p>
    <w:p>
      <w:pPr>
        <w:widowControl/>
        <w:spacing w:line="312" w:lineRule="auto"/>
        <w:ind w:firstLine="3520" w:firstLineChars="800"/>
        <w:jc w:val="left"/>
        <w:rPr>
          <w:rFonts w:ascii="宋体" w:hAnsi="宋体" w:cs="宋体"/>
          <w:b/>
          <w:color w:val="auto"/>
          <w:sz w:val="24"/>
        </w:rPr>
      </w:pPr>
      <w:r>
        <w:rPr>
          <w:rFonts w:hint="eastAsia" w:ascii="宋体" w:hAnsi="宋体" w:cs="宋体"/>
          <w:color w:val="auto"/>
          <w:sz w:val="44"/>
          <w:szCs w:val="44"/>
        </w:rPr>
        <w:t xml:space="preserve"> </w:t>
      </w:r>
      <w:r>
        <w:rPr>
          <w:rFonts w:hint="eastAsia" w:ascii="宋体" w:hAnsi="宋体" w:cs="宋体"/>
          <w:b/>
          <w:color w:val="auto"/>
          <w:sz w:val="44"/>
          <w:szCs w:val="44"/>
        </w:rPr>
        <w:t>目      录</w:t>
      </w:r>
    </w:p>
    <w:p>
      <w:pPr>
        <w:widowControl/>
        <w:spacing w:line="312" w:lineRule="auto"/>
        <w:jc w:val="left"/>
        <w:rPr>
          <w:rFonts w:ascii="宋体" w:hAnsi="宋体" w:cs="宋体"/>
          <w:b/>
          <w:color w:val="auto"/>
          <w:kern w:val="0"/>
          <w:sz w:val="24"/>
        </w:rPr>
      </w:pPr>
    </w:p>
    <w:p>
      <w:pPr>
        <w:widowControl/>
        <w:spacing w:line="312" w:lineRule="auto"/>
        <w:jc w:val="left"/>
        <w:rPr>
          <w:rFonts w:ascii="宋体" w:hAnsi="宋体" w:cs="宋体"/>
          <w:b/>
          <w:color w:val="auto"/>
          <w:kern w:val="0"/>
          <w:sz w:val="24"/>
        </w:rPr>
      </w:pPr>
    </w:p>
    <w:p>
      <w:pPr>
        <w:autoSpaceDE w:val="0"/>
        <w:autoSpaceDN w:val="0"/>
        <w:adjustRightInd w:val="0"/>
        <w:spacing w:line="312" w:lineRule="auto"/>
        <w:jc w:val="left"/>
        <w:rPr>
          <w:rFonts w:ascii="宋体" w:hAnsi="宋体" w:cs="宋体"/>
          <w:color w:val="auto"/>
          <w:kern w:val="0"/>
          <w:sz w:val="24"/>
        </w:rPr>
      </w:pPr>
      <w:r>
        <w:rPr>
          <w:rFonts w:hint="eastAsia" w:ascii="宋体" w:hAnsi="宋体" w:cs="宋体"/>
          <w:color w:val="auto"/>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（二）授权委托书</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三 投标保证金</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六 项目管理机构配备情况</w:t>
      </w:r>
    </w:p>
    <w:p>
      <w:pPr>
        <w:spacing w:line="312" w:lineRule="auto"/>
        <w:ind w:firstLine="120" w:firstLineChars="50"/>
        <w:rPr>
          <w:rFonts w:ascii="宋体" w:hAnsi="宋体" w:cs="宋体"/>
          <w:color w:val="auto"/>
          <w:kern w:val="0"/>
          <w:sz w:val="24"/>
        </w:rPr>
      </w:pPr>
      <w:r>
        <w:rPr>
          <w:rFonts w:hint="eastAsia" w:ascii="宋体" w:hAnsi="宋体" w:cs="宋体"/>
          <w:color w:val="auto"/>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十一 近年发生的诉讼及仲裁情况</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十二 承诺书</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十三 投标人须知前附表规定的其它材料</w:t>
      </w:r>
    </w:p>
    <w:p>
      <w:pPr>
        <w:autoSpaceDE w:val="0"/>
        <w:autoSpaceDN w:val="0"/>
        <w:adjustRightInd w:val="0"/>
        <w:spacing w:line="312"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w:t>
      </w:r>
    </w:p>
    <w:p>
      <w:pPr>
        <w:spacing w:line="600" w:lineRule="exact"/>
        <w:ind w:left="850"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autoSpaceDE w:val="0"/>
        <w:autoSpaceDN w:val="0"/>
        <w:adjustRightInd w:val="0"/>
        <w:spacing w:line="312" w:lineRule="auto"/>
        <w:jc w:val="left"/>
        <w:rPr>
          <w:rFonts w:ascii="宋体" w:hAnsi="宋体" w:cs="宋体"/>
          <w:color w:val="auto"/>
          <w:kern w:val="0"/>
          <w:sz w:val="24"/>
        </w:rPr>
      </w:pPr>
      <w:r>
        <w:rPr>
          <w:rFonts w:hint="eastAsia" w:ascii="新宋体" w:hAnsi="新宋体" w:eastAsia="新宋体"/>
          <w:b/>
          <w:color w:val="auto"/>
          <w:sz w:val="24"/>
        </w:rPr>
        <w:t xml:space="preserve">       如有本章未提供的格式，投标人可自行编制。</w:t>
      </w: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pPr>
    </w:p>
    <w:p>
      <w:pPr>
        <w:autoSpaceDE w:val="0"/>
        <w:autoSpaceDN w:val="0"/>
        <w:adjustRightInd w:val="0"/>
        <w:spacing w:line="312" w:lineRule="auto"/>
        <w:jc w:val="left"/>
        <w:rPr>
          <w:rFonts w:ascii="宋体" w:hAnsi="宋体" w:cs="宋体"/>
          <w:color w:val="auto"/>
          <w:kern w:val="0"/>
          <w:sz w:val="24"/>
        </w:rPr>
        <w:sectPr>
          <w:pgSz w:w="11906" w:h="16838"/>
          <w:pgMar w:top="1531" w:right="1418" w:bottom="1531" w:left="1418" w:header="851" w:footer="992" w:gutter="0"/>
          <w:cols w:space="720" w:num="1"/>
          <w:docGrid w:type="linesAndChars" w:linePitch="312" w:charSpace="0"/>
        </w:sectPr>
      </w:pPr>
    </w:p>
    <w:p>
      <w:pPr>
        <w:pStyle w:val="2"/>
        <w:jc w:val="center"/>
        <w:rPr>
          <w:rFonts w:ascii="黑体" w:hAnsi="黑体" w:cs="黑体"/>
          <w:color w:val="auto"/>
          <w:sz w:val="28"/>
          <w:szCs w:val="28"/>
        </w:rPr>
      </w:pPr>
      <w:bookmarkStart w:id="442" w:name="_Toc6618"/>
      <w:bookmarkStart w:id="443" w:name="_Toc6391"/>
      <w:bookmarkStart w:id="444" w:name="_Toc11744"/>
      <w:bookmarkStart w:id="445" w:name="_Toc9303"/>
      <w:bookmarkStart w:id="446" w:name="_Toc32211"/>
      <w:bookmarkStart w:id="447" w:name="_Toc517940888"/>
      <w:r>
        <w:rPr>
          <w:rFonts w:hint="eastAsia" w:ascii="黑体" w:hAnsi="黑体" w:cs="黑体"/>
          <w:color w:val="auto"/>
          <w:sz w:val="28"/>
          <w:szCs w:val="28"/>
        </w:rPr>
        <w:t>一、投标函</w:t>
      </w:r>
      <w:bookmarkEnd w:id="442"/>
      <w:bookmarkEnd w:id="443"/>
      <w:bookmarkEnd w:id="444"/>
      <w:bookmarkEnd w:id="445"/>
      <w:r>
        <w:rPr>
          <w:rFonts w:hint="eastAsia" w:ascii="黑体" w:hAnsi="黑体" w:cs="黑体"/>
          <w:color w:val="auto"/>
          <w:sz w:val="28"/>
          <w:szCs w:val="28"/>
        </w:rPr>
        <w:t>及投标函附录</w:t>
      </w:r>
      <w:bookmarkEnd w:id="446"/>
      <w:bookmarkEnd w:id="447"/>
    </w:p>
    <w:p>
      <w:pPr>
        <w:spacing w:line="312" w:lineRule="auto"/>
        <w:rPr>
          <w:color w:val="auto"/>
        </w:rPr>
      </w:pPr>
    </w:p>
    <w:p>
      <w:pPr>
        <w:jc w:val="center"/>
        <w:rPr>
          <w:rFonts w:ascii="宋体" w:hAnsi="宋体" w:cs="宋体"/>
          <w:b/>
          <w:color w:val="auto"/>
          <w:sz w:val="28"/>
          <w:szCs w:val="28"/>
        </w:rPr>
      </w:pPr>
      <w:bookmarkStart w:id="448" w:name="_Toc296676346"/>
      <w:bookmarkStart w:id="449" w:name="_Toc296678831"/>
      <w:bookmarkStart w:id="450" w:name="_Toc280271191"/>
      <w:bookmarkStart w:id="451" w:name="_Toc280271338"/>
      <w:bookmarkStart w:id="452" w:name="_Toc215282239"/>
      <w:bookmarkStart w:id="453" w:name="_Toc280275169"/>
      <w:r>
        <w:rPr>
          <w:rFonts w:hint="eastAsia" w:ascii="宋体" w:hAnsi="宋体" w:cs="宋体"/>
          <w:b/>
          <w:color w:val="auto"/>
          <w:sz w:val="28"/>
          <w:szCs w:val="28"/>
        </w:rPr>
        <w:t>（一）投标函</w:t>
      </w:r>
      <w:bookmarkEnd w:id="448"/>
      <w:bookmarkEnd w:id="449"/>
    </w:p>
    <w:p>
      <w:pPr>
        <w:tabs>
          <w:tab w:val="left" w:pos="360"/>
          <w:tab w:val="left" w:pos="540"/>
          <w:tab w:val="left" w:pos="900"/>
        </w:tabs>
        <w:spacing w:line="360" w:lineRule="auto"/>
        <w:rPr>
          <w:rFonts w:ascii="宋体" w:hAnsi="宋体" w:cs="宋体"/>
          <w:color w:val="auto"/>
          <w:sz w:val="24"/>
        </w:rPr>
      </w:pPr>
      <w:r>
        <w:rPr>
          <w:rFonts w:hint="eastAsia" w:ascii="宋体" w:hAnsi="宋体" w:cs="宋体"/>
          <w:color w:val="auto"/>
          <w:sz w:val="24"/>
          <w:u w:val="single"/>
        </w:rPr>
        <w:t>（招标人名称）</w:t>
      </w:r>
      <w:r>
        <w:rPr>
          <w:rFonts w:hint="eastAsia" w:ascii="宋体" w:hAnsi="宋体" w:cs="宋体"/>
          <w:color w:val="auto"/>
          <w:sz w:val="24"/>
        </w:rPr>
        <w:t>：</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color w:val="auto"/>
          <w:sz w:val="24"/>
        </w:rPr>
        <w:t>1、我方仔细研究了</w:t>
      </w:r>
      <w:r>
        <w:rPr>
          <w:rFonts w:hint="eastAsia" w:ascii="宋体" w:hAnsi="宋体" w:cs="宋体"/>
          <w:bCs/>
          <w:color w:val="auto"/>
          <w:sz w:val="24"/>
          <w:u w:val="single"/>
        </w:rPr>
        <w:t xml:space="preserve">     （工程名称、标段）    </w:t>
      </w:r>
      <w:r>
        <w:rPr>
          <w:rFonts w:hint="eastAsia" w:ascii="宋体" w:hAnsi="宋体" w:cs="宋体"/>
          <w:bCs/>
          <w:color w:val="auto"/>
          <w:sz w:val="24"/>
        </w:rPr>
        <w:t>招标文件（包括补充通知）的全部内容并勘察了现场，愿意以人民币（大写）</w:t>
      </w:r>
      <w:r>
        <w:rPr>
          <w:rFonts w:hint="eastAsia" w:ascii="宋体" w:hAnsi="宋体" w:cs="宋体"/>
          <w:bCs/>
          <w:color w:val="auto"/>
          <w:sz w:val="24"/>
          <w:u w:val="single"/>
        </w:rPr>
        <w:t xml:space="preserve">          </w:t>
      </w:r>
      <w:r>
        <w:rPr>
          <w:rFonts w:hint="eastAsia" w:ascii="宋体" w:hAnsi="宋体" w:cs="宋体"/>
          <w:bCs/>
          <w:color w:val="auto"/>
          <w:sz w:val="24"/>
        </w:rPr>
        <w:t>（￥</w:t>
      </w:r>
      <w:r>
        <w:rPr>
          <w:rFonts w:hint="eastAsia" w:ascii="宋体" w:hAnsi="宋体" w:cs="宋体"/>
          <w:bCs/>
          <w:color w:val="auto"/>
          <w:sz w:val="24"/>
          <w:u w:val="single"/>
        </w:rPr>
        <w:t xml:space="preserve">        </w:t>
      </w:r>
      <w:r>
        <w:rPr>
          <w:rFonts w:hint="eastAsia" w:ascii="宋体" w:hAnsi="宋体" w:cs="宋体"/>
          <w:bCs/>
          <w:color w:val="auto"/>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2、我方提交的投标文件（包括投标函附录、已标价工程量清单和其它投标文件）在投标截止时间后</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3、随同本投标文件附上</w:t>
      </w:r>
      <w:r>
        <w:rPr>
          <w:rFonts w:hint="eastAsia" w:ascii="宋体" w:hAnsi="宋体" w:cs="宋体"/>
          <w:bCs/>
          <w:color w:val="auto"/>
          <w:sz w:val="24"/>
          <w:u w:val="single"/>
        </w:rPr>
        <w:t xml:space="preserve">        </w:t>
      </w:r>
      <w:r>
        <w:rPr>
          <w:rFonts w:hint="eastAsia" w:ascii="宋体" w:hAnsi="宋体" w:cs="宋体"/>
          <w:bCs/>
          <w:color w:val="auto"/>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4、本次投标，我方投标工期：</w:t>
      </w:r>
      <w:r>
        <w:rPr>
          <w:rFonts w:hint="eastAsia" w:ascii="宋体" w:hAnsi="宋体" w:cs="宋体"/>
          <w:bCs/>
          <w:color w:val="auto"/>
          <w:sz w:val="24"/>
          <w:u w:val="single"/>
        </w:rPr>
        <w:t xml:space="preserve">        </w:t>
      </w:r>
      <w:r>
        <w:rPr>
          <w:rFonts w:hint="eastAsia" w:ascii="宋体" w:hAnsi="宋体" w:cs="宋体"/>
          <w:bCs/>
          <w:color w:val="auto"/>
          <w:sz w:val="24"/>
        </w:rPr>
        <w:t>日历天，质量：</w:t>
      </w:r>
      <w:r>
        <w:rPr>
          <w:rFonts w:hint="eastAsia" w:ascii="宋体" w:hAnsi="宋体" w:cs="宋体"/>
          <w:bCs/>
          <w:color w:val="auto"/>
          <w:sz w:val="24"/>
          <w:u w:val="single"/>
        </w:rPr>
        <w:t>　　　　</w:t>
      </w:r>
      <w:r>
        <w:rPr>
          <w:rFonts w:hint="eastAsia" w:ascii="宋体" w:hAnsi="宋体" w:cs="宋体"/>
          <w:bCs/>
          <w:color w:val="auto"/>
          <w:sz w:val="24"/>
        </w:rPr>
        <w:t>。</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5、若我方中标：</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7、我方承诺，若我方中标，愿意按要求交纳代理费等相关费用。</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投标人（盖章）：</w:t>
      </w:r>
    </w:p>
    <w:p>
      <w:pPr>
        <w:spacing w:line="360" w:lineRule="auto"/>
        <w:ind w:firstLine="480" w:firstLineChars="200"/>
        <w:rPr>
          <w:rFonts w:ascii="宋体" w:hAnsi="宋体" w:cs="宋体"/>
          <w:color w:val="auto"/>
          <w:sz w:val="24"/>
        </w:rPr>
      </w:pPr>
      <w:r>
        <w:rPr>
          <w:rFonts w:hint="eastAsia" w:ascii="宋体" w:hAnsi="宋体" w:cs="宋体"/>
          <w:color w:val="auto"/>
          <w:sz w:val="24"/>
        </w:rPr>
        <w:t>法人代表或委托代理人（签字或盖章）：</w:t>
      </w:r>
    </w:p>
    <w:p>
      <w:pPr>
        <w:spacing w:line="360" w:lineRule="auto"/>
        <w:ind w:firstLine="480" w:firstLineChars="2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bookmarkEnd w:id="450"/>
    <w:bookmarkEnd w:id="451"/>
    <w:bookmarkEnd w:id="452"/>
    <w:bookmarkEnd w:id="453"/>
    <w:p>
      <w:pPr>
        <w:rPr>
          <w:rFonts w:ascii="宋体" w:hAnsi="宋体" w:cs="宋体"/>
          <w:b/>
          <w:bCs/>
          <w:color w:val="auto"/>
          <w:sz w:val="32"/>
          <w:szCs w:val="32"/>
        </w:rPr>
      </w:pPr>
      <w:bookmarkStart w:id="454" w:name="_Toc26011"/>
      <w:bookmarkStart w:id="455" w:name="_Toc15432"/>
      <w:bookmarkStart w:id="456" w:name="_Toc6320"/>
      <w:bookmarkStart w:id="457" w:name="_Toc5184"/>
      <w:r>
        <w:rPr>
          <w:rFonts w:hint="eastAsia" w:ascii="宋体" w:hAnsi="宋体" w:cs="宋体"/>
          <w:color w:val="auto"/>
          <w:sz w:val="24"/>
        </w:rPr>
        <w:br w:type="page"/>
      </w:r>
      <w:r>
        <w:rPr>
          <w:rFonts w:hint="eastAsia" w:ascii="宋体" w:hAnsi="宋体" w:cs="宋体"/>
          <w:color w:val="auto"/>
          <w:sz w:val="32"/>
          <w:szCs w:val="32"/>
        </w:rPr>
        <w:t>（二）投标</w:t>
      </w:r>
      <w:bookmarkEnd w:id="454"/>
      <w:bookmarkEnd w:id="455"/>
      <w:bookmarkEnd w:id="456"/>
      <w:bookmarkEnd w:id="457"/>
      <w:r>
        <w:rPr>
          <w:rFonts w:hint="eastAsia" w:ascii="宋体" w:hAnsi="宋体" w:cs="宋体"/>
          <w:color w:val="auto"/>
          <w:sz w:val="32"/>
          <w:szCs w:val="32"/>
        </w:rPr>
        <w:t>函附录</w:t>
      </w:r>
    </w:p>
    <w:tbl>
      <w:tblPr>
        <w:tblStyle w:val="33"/>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项目名称</w:t>
            </w:r>
          </w:p>
        </w:tc>
        <w:tc>
          <w:tcPr>
            <w:tcW w:w="6676" w:type="dxa"/>
            <w:gridSpan w:val="3"/>
          </w:tcPr>
          <w:p>
            <w:pPr>
              <w:pStyle w:val="78"/>
              <w:spacing w:line="312" w:lineRule="auto"/>
              <w:textAlignment w:val="top"/>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标段名称</w:t>
            </w:r>
          </w:p>
        </w:tc>
        <w:tc>
          <w:tcPr>
            <w:tcW w:w="6676" w:type="dxa"/>
            <w:gridSpan w:val="3"/>
          </w:tcPr>
          <w:p>
            <w:pPr>
              <w:pStyle w:val="78"/>
              <w:spacing w:line="312" w:lineRule="auto"/>
              <w:textAlignment w:val="top"/>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投标单位</w:t>
            </w:r>
          </w:p>
        </w:tc>
        <w:tc>
          <w:tcPr>
            <w:tcW w:w="6676" w:type="dxa"/>
            <w:gridSpan w:val="3"/>
          </w:tcPr>
          <w:p>
            <w:pPr>
              <w:pStyle w:val="78"/>
              <w:spacing w:line="312" w:lineRule="auto"/>
              <w:textAlignment w:val="top"/>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投标报价</w:t>
            </w:r>
          </w:p>
        </w:tc>
        <w:tc>
          <w:tcPr>
            <w:tcW w:w="6676" w:type="dxa"/>
            <w:gridSpan w:val="3"/>
            <w:vAlign w:val="center"/>
          </w:tcPr>
          <w:p>
            <w:pPr>
              <w:pStyle w:val="78"/>
              <w:spacing w:line="312" w:lineRule="auto"/>
              <w:ind w:right="210"/>
              <w:jc w:val="both"/>
              <w:textAlignment w:val="top"/>
              <w:rPr>
                <w:rFonts w:ascii="宋体" w:hAnsi="宋体" w:cs="宋体"/>
                <w:color w:val="auto"/>
                <w:sz w:val="24"/>
                <w:szCs w:val="24"/>
              </w:rPr>
            </w:pPr>
            <w:r>
              <w:rPr>
                <w:rFonts w:hint="eastAsia" w:ascii="宋体" w:hAnsi="宋体" w:cs="宋体"/>
                <w:color w:val="auto"/>
                <w:sz w:val="24"/>
                <w:szCs w:val="24"/>
              </w:rPr>
              <w:t>大写：                 元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78"/>
              <w:spacing w:line="312" w:lineRule="auto"/>
              <w:jc w:val="center"/>
              <w:textAlignment w:val="top"/>
              <w:rPr>
                <w:rFonts w:ascii="宋体" w:hAnsi="宋体" w:cs="宋体"/>
                <w:color w:val="auto"/>
                <w:sz w:val="24"/>
                <w:szCs w:val="24"/>
              </w:rPr>
            </w:pPr>
            <w:r>
              <w:rPr>
                <w:rFonts w:hint="eastAsia" w:ascii="宋体" w:hAnsi="宋体" w:cs="宋体"/>
                <w:color w:val="auto"/>
                <w:sz w:val="24"/>
                <w:szCs w:val="24"/>
              </w:rPr>
              <w:t>投标工期</w:t>
            </w:r>
          </w:p>
        </w:tc>
        <w:tc>
          <w:tcPr>
            <w:tcW w:w="6676" w:type="dxa"/>
            <w:gridSpan w:val="3"/>
            <w:vAlign w:val="center"/>
          </w:tcPr>
          <w:p>
            <w:pPr>
              <w:pStyle w:val="78"/>
              <w:spacing w:line="312" w:lineRule="auto"/>
              <w:jc w:val="center"/>
              <w:textAlignment w:val="top"/>
              <w:rPr>
                <w:rFonts w:ascii="宋体" w:hAnsi="宋体" w:cs="宋体"/>
                <w:color w:val="auto"/>
                <w:sz w:val="24"/>
                <w:szCs w:val="24"/>
              </w:rPr>
            </w:pPr>
            <w:r>
              <w:rPr>
                <w:rFonts w:hint="eastAsia" w:ascii="宋体" w:hAnsi="宋体" w:cs="宋体"/>
                <w:color w:val="auto"/>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78"/>
              <w:spacing w:line="312" w:lineRule="auto"/>
              <w:jc w:val="center"/>
              <w:textAlignment w:val="top"/>
              <w:rPr>
                <w:rFonts w:ascii="宋体" w:hAnsi="宋体" w:cs="宋体"/>
                <w:color w:val="auto"/>
                <w:sz w:val="24"/>
                <w:szCs w:val="24"/>
              </w:rPr>
            </w:pPr>
            <w:r>
              <w:rPr>
                <w:rFonts w:hint="eastAsia" w:ascii="宋体" w:hAnsi="宋体" w:cs="宋体"/>
                <w:color w:val="auto"/>
                <w:sz w:val="24"/>
                <w:szCs w:val="24"/>
              </w:rPr>
              <w:t>投标有效期</w:t>
            </w:r>
          </w:p>
        </w:tc>
        <w:tc>
          <w:tcPr>
            <w:tcW w:w="6676" w:type="dxa"/>
            <w:gridSpan w:val="3"/>
            <w:vAlign w:val="center"/>
          </w:tcPr>
          <w:p>
            <w:pPr>
              <w:pStyle w:val="78"/>
              <w:spacing w:line="312" w:lineRule="auto"/>
              <w:textAlignment w:val="top"/>
              <w:rPr>
                <w:rFonts w:ascii="宋体" w:hAnsi="宋体" w:cs="宋体"/>
                <w:color w:val="auto"/>
                <w:sz w:val="24"/>
                <w:szCs w:val="24"/>
              </w:rPr>
            </w:pPr>
            <w:r>
              <w:rPr>
                <w:rFonts w:hint="eastAsia" w:ascii="宋体" w:hAnsi="宋体" w:cs="宋体"/>
                <w:color w:val="auto"/>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投标质量等级</w:t>
            </w:r>
          </w:p>
        </w:tc>
        <w:tc>
          <w:tcPr>
            <w:tcW w:w="6676" w:type="dxa"/>
            <w:gridSpan w:val="3"/>
            <w:vAlign w:val="center"/>
          </w:tcPr>
          <w:p>
            <w:pPr>
              <w:pStyle w:val="78"/>
              <w:spacing w:line="312" w:lineRule="auto"/>
              <w:jc w:val="center"/>
              <w:textAlignment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拟派项目经理</w:t>
            </w:r>
          </w:p>
        </w:tc>
        <w:tc>
          <w:tcPr>
            <w:tcW w:w="2280" w:type="dxa"/>
            <w:vAlign w:val="center"/>
          </w:tcPr>
          <w:p>
            <w:pPr>
              <w:pStyle w:val="78"/>
              <w:spacing w:line="312" w:lineRule="auto"/>
              <w:jc w:val="center"/>
              <w:textAlignment w:val="center"/>
              <w:rPr>
                <w:rFonts w:ascii="宋体" w:hAnsi="宋体" w:cs="宋体"/>
                <w:color w:val="auto"/>
                <w:sz w:val="24"/>
                <w:szCs w:val="24"/>
              </w:rPr>
            </w:pPr>
          </w:p>
        </w:tc>
        <w:tc>
          <w:tcPr>
            <w:tcW w:w="149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资格等级</w:t>
            </w:r>
          </w:p>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及编号</w:t>
            </w:r>
          </w:p>
        </w:tc>
        <w:tc>
          <w:tcPr>
            <w:tcW w:w="2906" w:type="dxa"/>
            <w:vAlign w:val="center"/>
          </w:tcPr>
          <w:p>
            <w:pPr>
              <w:pStyle w:val="78"/>
              <w:spacing w:line="312" w:lineRule="auto"/>
              <w:jc w:val="center"/>
              <w:textAlignment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拟派技术负责人</w:t>
            </w:r>
          </w:p>
        </w:tc>
        <w:tc>
          <w:tcPr>
            <w:tcW w:w="2280" w:type="dxa"/>
            <w:vAlign w:val="center"/>
          </w:tcPr>
          <w:p>
            <w:pPr>
              <w:pStyle w:val="78"/>
              <w:spacing w:line="312" w:lineRule="auto"/>
              <w:jc w:val="center"/>
              <w:textAlignment w:val="center"/>
              <w:rPr>
                <w:rFonts w:ascii="宋体" w:hAnsi="宋体" w:cs="宋体"/>
                <w:color w:val="auto"/>
                <w:sz w:val="24"/>
                <w:szCs w:val="24"/>
              </w:rPr>
            </w:pPr>
          </w:p>
        </w:tc>
        <w:tc>
          <w:tcPr>
            <w:tcW w:w="1490" w:type="dxa"/>
            <w:vAlign w:val="center"/>
          </w:tcPr>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资格等级</w:t>
            </w:r>
          </w:p>
          <w:p>
            <w:pPr>
              <w:pStyle w:val="78"/>
              <w:spacing w:line="312" w:lineRule="auto"/>
              <w:jc w:val="center"/>
              <w:textAlignment w:val="center"/>
              <w:rPr>
                <w:rFonts w:ascii="宋体" w:hAnsi="宋体" w:cs="宋体"/>
                <w:color w:val="auto"/>
                <w:sz w:val="24"/>
                <w:szCs w:val="24"/>
              </w:rPr>
            </w:pPr>
            <w:r>
              <w:rPr>
                <w:rFonts w:hint="eastAsia" w:ascii="宋体" w:hAnsi="宋体" w:cs="宋体"/>
                <w:color w:val="auto"/>
                <w:sz w:val="24"/>
                <w:szCs w:val="24"/>
              </w:rPr>
              <w:t>及编号</w:t>
            </w:r>
          </w:p>
        </w:tc>
        <w:tc>
          <w:tcPr>
            <w:tcW w:w="2906" w:type="dxa"/>
            <w:vAlign w:val="center"/>
          </w:tcPr>
          <w:p>
            <w:pPr>
              <w:pStyle w:val="78"/>
              <w:spacing w:line="312" w:lineRule="auto"/>
              <w:jc w:val="center"/>
              <w:textAlignment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r>
              <w:rPr>
                <w:rFonts w:hint="eastAsia" w:ascii="宋体" w:hAnsi="宋体" w:cs="宋体"/>
                <w:color w:val="auto"/>
                <w:sz w:val="24"/>
                <w:szCs w:val="24"/>
              </w:rPr>
              <w:t xml:space="preserve">              投标人：</w:t>
            </w: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r>
              <w:rPr>
                <w:rFonts w:hint="eastAsia" w:ascii="宋体" w:hAnsi="宋体" w:cs="宋体"/>
                <w:color w:val="auto"/>
                <w:sz w:val="24"/>
                <w:szCs w:val="24"/>
              </w:rPr>
              <w:t xml:space="preserve">              （盖章）</w:t>
            </w:r>
          </w:p>
        </w:tc>
        <w:tc>
          <w:tcPr>
            <w:tcW w:w="4396" w:type="dxa"/>
            <w:gridSpan w:val="2"/>
          </w:tcPr>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ind w:firstLine="720" w:firstLineChars="300"/>
              <w:textAlignment w:val="top"/>
              <w:rPr>
                <w:rFonts w:ascii="宋体" w:hAnsi="宋体" w:cs="宋体"/>
                <w:color w:val="auto"/>
                <w:sz w:val="24"/>
                <w:szCs w:val="24"/>
              </w:rPr>
            </w:pPr>
            <w:r>
              <w:rPr>
                <w:rFonts w:hint="eastAsia" w:ascii="宋体" w:hAnsi="宋体" w:cs="宋体"/>
                <w:color w:val="auto"/>
                <w:sz w:val="24"/>
                <w:szCs w:val="24"/>
              </w:rPr>
              <w:t>投标人法人代表或委托代理人：</w:t>
            </w: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p>
          <w:p>
            <w:pPr>
              <w:pStyle w:val="78"/>
              <w:spacing w:line="312" w:lineRule="auto"/>
              <w:textAlignment w:val="top"/>
              <w:rPr>
                <w:rFonts w:ascii="宋体" w:hAnsi="宋体" w:cs="宋体"/>
                <w:color w:val="auto"/>
                <w:sz w:val="24"/>
                <w:szCs w:val="24"/>
              </w:rPr>
            </w:pPr>
            <w:r>
              <w:rPr>
                <w:rFonts w:hint="eastAsia" w:ascii="宋体" w:hAnsi="宋体" w:cs="宋体"/>
                <w:color w:val="auto"/>
                <w:sz w:val="24"/>
                <w:szCs w:val="24"/>
              </w:rPr>
              <w:t xml:space="preserve">            （签字或盖章）</w:t>
            </w:r>
          </w:p>
        </w:tc>
      </w:tr>
    </w:tbl>
    <w:p>
      <w:pPr>
        <w:spacing w:line="312" w:lineRule="auto"/>
        <w:ind w:right="315"/>
        <w:rPr>
          <w:rFonts w:ascii="宋体" w:hAnsi="宋体" w:cs="宋体"/>
          <w:bCs/>
          <w:color w:val="auto"/>
          <w:kern w:val="0"/>
          <w:sz w:val="24"/>
        </w:rPr>
      </w:pPr>
    </w:p>
    <w:p>
      <w:pPr>
        <w:spacing w:line="312" w:lineRule="auto"/>
        <w:ind w:right="315"/>
        <w:rPr>
          <w:rFonts w:ascii="宋体" w:hAnsi="宋体" w:cs="宋体"/>
          <w:bCs/>
          <w:color w:val="auto"/>
          <w:kern w:val="0"/>
          <w:sz w:val="24"/>
        </w:rPr>
      </w:pPr>
    </w:p>
    <w:p>
      <w:pPr>
        <w:spacing w:line="312" w:lineRule="auto"/>
        <w:ind w:right="315"/>
        <w:rPr>
          <w:rFonts w:ascii="宋体" w:hAnsi="宋体" w:cs="宋体"/>
          <w:bCs/>
          <w:color w:val="auto"/>
          <w:kern w:val="0"/>
          <w:sz w:val="24"/>
        </w:rPr>
      </w:pPr>
    </w:p>
    <w:p>
      <w:pPr>
        <w:spacing w:line="312" w:lineRule="auto"/>
        <w:ind w:right="315"/>
        <w:rPr>
          <w:rFonts w:ascii="宋体" w:hAnsi="宋体" w:cs="宋体"/>
          <w:bCs/>
          <w:color w:val="auto"/>
          <w:kern w:val="0"/>
          <w:sz w:val="24"/>
        </w:rPr>
      </w:pPr>
    </w:p>
    <w:p>
      <w:pPr>
        <w:spacing w:line="312" w:lineRule="auto"/>
        <w:jc w:val="center"/>
        <w:outlineLvl w:val="1"/>
        <w:rPr>
          <w:rFonts w:ascii="黑体" w:hAnsi="黑体" w:eastAsia="黑体" w:cs="黑体"/>
          <w:color w:val="auto"/>
          <w:kern w:val="0"/>
          <w:sz w:val="28"/>
          <w:szCs w:val="28"/>
        </w:rPr>
      </w:pPr>
      <w:bookmarkStart w:id="458" w:name="_Toc27165"/>
      <w:bookmarkStart w:id="459" w:name="_Toc517940889"/>
      <w:r>
        <w:rPr>
          <w:rFonts w:hint="eastAsia" w:ascii="黑体" w:hAnsi="黑体" w:eastAsia="黑体" w:cs="黑体"/>
          <w:color w:val="auto"/>
          <w:kern w:val="0"/>
          <w:sz w:val="28"/>
          <w:szCs w:val="28"/>
        </w:rPr>
        <w:t>二、法定代表人身份证明或附有法定代表人身份证明的授权委托书</w:t>
      </w:r>
      <w:bookmarkEnd w:id="458"/>
      <w:bookmarkEnd w:id="459"/>
    </w:p>
    <w:p>
      <w:pPr>
        <w:spacing w:line="312" w:lineRule="auto"/>
        <w:rPr>
          <w:rFonts w:ascii="宋体" w:hAnsi="宋体" w:cs="宋体"/>
          <w:b/>
          <w:bCs/>
          <w:color w:val="auto"/>
          <w:sz w:val="24"/>
        </w:rPr>
      </w:pPr>
      <w:bookmarkStart w:id="460" w:name="_Toc15089"/>
      <w:bookmarkStart w:id="461" w:name="_Toc26298"/>
      <w:bookmarkStart w:id="462" w:name="_Toc26381"/>
      <w:bookmarkStart w:id="463" w:name="_Toc3047"/>
      <w:bookmarkStart w:id="464" w:name="_Toc30421"/>
    </w:p>
    <w:p>
      <w:pPr>
        <w:jc w:val="center"/>
        <w:rPr>
          <w:rFonts w:ascii="宋体" w:hAnsi="宋体" w:cs="宋体"/>
          <w:b/>
          <w:bCs/>
          <w:color w:val="auto"/>
          <w:sz w:val="24"/>
        </w:rPr>
      </w:pPr>
      <w:r>
        <w:rPr>
          <w:rFonts w:hint="eastAsia" w:ascii="宋体" w:hAnsi="宋体" w:cs="宋体"/>
          <w:b/>
          <w:bCs/>
          <w:color w:val="auto"/>
          <w:sz w:val="24"/>
        </w:rPr>
        <w:t>（一）法定代表人身份证明</w:t>
      </w:r>
      <w:bookmarkEnd w:id="460"/>
      <w:bookmarkEnd w:id="461"/>
      <w:bookmarkEnd w:id="462"/>
      <w:bookmarkEnd w:id="463"/>
      <w:bookmarkEnd w:id="464"/>
    </w:p>
    <w:p>
      <w:pPr>
        <w:spacing w:line="312" w:lineRule="auto"/>
        <w:rPr>
          <w:color w:val="auto"/>
        </w:rPr>
      </w:pPr>
    </w:p>
    <w:p>
      <w:pPr>
        <w:spacing w:line="312" w:lineRule="auto"/>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312"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12" w:lineRule="auto"/>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12" w:lineRule="auto"/>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w:t>
      </w:r>
    </w:p>
    <w:p>
      <w:pPr>
        <w:spacing w:line="312" w:lineRule="auto"/>
        <w:rPr>
          <w:rFonts w:ascii="宋体" w:hAnsi="宋体" w:cs="宋体"/>
          <w:color w:val="auto"/>
          <w:sz w:val="24"/>
        </w:rPr>
      </w:pPr>
      <w:r>
        <w:rPr>
          <w:rFonts w:hint="eastAsia" w:ascii="宋体" w:hAnsi="宋体" w:cs="宋体"/>
          <w:color w:val="auto"/>
          <w:sz w:val="24"/>
        </w:rPr>
        <w:t>特此证明。</w:t>
      </w:r>
    </w:p>
    <w:p>
      <w:pPr>
        <w:spacing w:line="312" w:lineRule="auto"/>
        <w:rPr>
          <w:rFonts w:ascii="宋体" w:hAnsi="宋体" w:cs="宋体"/>
          <w:color w:val="auto"/>
          <w:sz w:val="24"/>
        </w:rPr>
      </w:pPr>
    </w:p>
    <w:p>
      <w:pPr>
        <w:spacing w:line="312" w:lineRule="auto"/>
        <w:rPr>
          <w:rFonts w:ascii="宋体" w:hAnsi="宋体" w:cs="宋体"/>
          <w:color w:val="auto"/>
          <w:sz w:val="24"/>
        </w:rPr>
      </w:pPr>
    </w:p>
    <w:p>
      <w:pPr>
        <w:wordWrap w:val="0"/>
        <w:spacing w:line="312" w:lineRule="auto"/>
        <w:jc w:val="right"/>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wordWrap w:val="0"/>
        <w:spacing w:line="312" w:lineRule="auto"/>
        <w:jc w:val="righ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jc w:val="center"/>
        <w:rPr>
          <w:rFonts w:ascii="宋体" w:hAnsi="宋体" w:cs="宋体"/>
          <w:b/>
          <w:bCs/>
          <w:color w:val="auto"/>
          <w:sz w:val="24"/>
        </w:rPr>
      </w:pPr>
      <w:r>
        <w:rPr>
          <w:rFonts w:hint="eastAsia" w:ascii="宋体" w:hAnsi="宋体" w:cs="宋体"/>
          <w:color w:val="auto"/>
          <w:sz w:val="24"/>
        </w:rPr>
        <w:br w:type="page"/>
      </w:r>
      <w:bookmarkStart w:id="465" w:name="_Toc5932"/>
      <w:bookmarkStart w:id="466" w:name="_Toc7548"/>
      <w:bookmarkStart w:id="467" w:name="_Toc14115"/>
      <w:bookmarkStart w:id="468" w:name="_Toc28779"/>
      <w:bookmarkStart w:id="469" w:name="_Toc1682"/>
      <w:r>
        <w:rPr>
          <w:rFonts w:hint="eastAsia" w:ascii="宋体" w:hAnsi="宋体" w:cs="宋体"/>
          <w:b/>
          <w:bCs/>
          <w:color w:val="auto"/>
          <w:sz w:val="24"/>
        </w:rPr>
        <w:t>（二）授权委托书</w:t>
      </w:r>
      <w:bookmarkEnd w:id="465"/>
      <w:bookmarkEnd w:id="466"/>
      <w:bookmarkEnd w:id="467"/>
      <w:bookmarkEnd w:id="468"/>
      <w:bookmarkEnd w:id="469"/>
    </w:p>
    <w:p>
      <w:pPr>
        <w:spacing w:line="312" w:lineRule="auto"/>
        <w:rPr>
          <w:color w:val="auto"/>
        </w:rPr>
      </w:pPr>
    </w:p>
    <w:p>
      <w:pPr>
        <w:spacing w:line="312" w:lineRule="auto"/>
        <w:rPr>
          <w:rFonts w:ascii="宋体" w:hAnsi="宋体" w:cs="宋体"/>
          <w:color w:val="auto"/>
          <w:sz w:val="24"/>
        </w:rPr>
      </w:pPr>
      <w:r>
        <w:rPr>
          <w:rFonts w:hint="eastAsia" w:ascii="宋体" w:hAnsi="宋体" w:cs="宋体"/>
          <w:color w:val="auto"/>
          <w:sz w:val="24"/>
        </w:rPr>
        <w:t xml:space="preserve">     本人</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w:t>
      </w:r>
      <w:r>
        <w:rPr>
          <w:rFonts w:hint="eastAsia" w:ascii="宋体" w:hAnsi="宋体" w:cs="宋体"/>
          <w:color w:val="auto"/>
          <w:sz w:val="24"/>
          <w:u w:val="single"/>
        </w:rPr>
        <w:t xml:space="preserve">             </w:t>
      </w:r>
      <w:r>
        <w:rPr>
          <w:rFonts w:hint="eastAsia" w:ascii="宋体" w:hAnsi="宋体" w:cs="宋体"/>
          <w:color w:val="auto"/>
          <w:sz w:val="24"/>
        </w:rPr>
        <w:t>（项目名称）施工投标文件、签订合同和处理有关事宜，其法律后果由我方承担。</w:t>
      </w:r>
    </w:p>
    <w:p>
      <w:pPr>
        <w:spacing w:line="312" w:lineRule="auto"/>
        <w:rPr>
          <w:rFonts w:ascii="宋体" w:hAnsi="宋体" w:cs="宋体"/>
          <w:color w:val="auto"/>
          <w:sz w:val="24"/>
        </w:rPr>
      </w:pPr>
      <w:r>
        <w:rPr>
          <w:rFonts w:hint="eastAsia" w:ascii="宋体" w:hAnsi="宋体" w:cs="宋体"/>
          <w:color w:val="auto"/>
          <w:sz w:val="24"/>
        </w:rPr>
        <w:t xml:space="preserve">      委托期限：               </w:t>
      </w:r>
    </w:p>
    <w:p>
      <w:pPr>
        <w:spacing w:line="312" w:lineRule="auto"/>
        <w:rPr>
          <w:rFonts w:ascii="宋体" w:hAnsi="宋体" w:cs="宋体"/>
          <w:color w:val="auto"/>
          <w:sz w:val="24"/>
        </w:rPr>
      </w:pPr>
      <w:r>
        <w:rPr>
          <w:rFonts w:hint="eastAsia" w:ascii="宋体" w:hAnsi="宋体" w:cs="宋体"/>
          <w:color w:val="auto"/>
          <w:sz w:val="24"/>
        </w:rPr>
        <w:t xml:space="preserve">      代理人无转委托权。</w:t>
      </w:r>
    </w:p>
    <w:p>
      <w:pPr>
        <w:spacing w:line="312" w:lineRule="auto"/>
        <w:rPr>
          <w:rFonts w:ascii="宋体" w:hAnsi="宋体" w:cs="宋体"/>
          <w:color w:val="auto"/>
          <w:sz w:val="24"/>
        </w:rPr>
      </w:pPr>
      <w:r>
        <w:rPr>
          <w:rFonts w:hint="eastAsia" w:ascii="宋体" w:hAnsi="宋体" w:cs="宋体"/>
          <w:color w:val="auto"/>
          <w:sz w:val="24"/>
        </w:rPr>
        <w:t xml:space="preserve">      附：法定代表人身份证明</w:t>
      </w: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身份证号码：</w:t>
      </w:r>
      <w:r>
        <w:rPr>
          <w:rFonts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 xml:space="preserve">        年        月        日</w:t>
      </w:r>
    </w:p>
    <w:p>
      <w:pPr>
        <w:spacing w:line="312" w:lineRule="auto"/>
        <w:rPr>
          <w:rFonts w:ascii="宋体" w:hAnsi="宋体" w:cs="宋体"/>
          <w:color w:val="auto"/>
          <w:sz w:val="24"/>
        </w:rPr>
      </w:pPr>
    </w:p>
    <w:p>
      <w:pPr>
        <w:spacing w:line="312" w:lineRule="auto"/>
        <w:rPr>
          <w:rFonts w:ascii="宋体" w:hAnsi="宋体" w:cs="宋体"/>
          <w:color w:val="auto"/>
          <w:sz w:val="24"/>
        </w:rPr>
      </w:pPr>
    </w:p>
    <w:p>
      <w:pPr>
        <w:pStyle w:val="2"/>
        <w:jc w:val="center"/>
        <w:rPr>
          <w:rFonts w:ascii="宋体" w:hAnsi="宋体" w:cs="宋体"/>
          <w:color w:val="auto"/>
          <w:sz w:val="24"/>
        </w:rPr>
      </w:pPr>
      <w:r>
        <w:rPr>
          <w:rFonts w:hint="eastAsia" w:ascii="宋体" w:hAnsi="宋体" w:cs="宋体"/>
          <w:color w:val="auto"/>
          <w:sz w:val="24"/>
        </w:rPr>
        <w:br w:type="page"/>
      </w:r>
      <w:bookmarkStart w:id="470" w:name="_Toc517940890"/>
      <w:bookmarkStart w:id="471" w:name="_Toc12158"/>
      <w:r>
        <w:rPr>
          <w:rFonts w:hint="eastAsia" w:ascii="黑体" w:hAnsi="黑体" w:cs="黑体"/>
          <w:color w:val="auto"/>
          <w:sz w:val="28"/>
          <w:szCs w:val="28"/>
        </w:rPr>
        <w:t>三、投标保证金</w:t>
      </w:r>
      <w:bookmarkEnd w:id="470"/>
      <w:bookmarkEnd w:id="471"/>
    </w:p>
    <w:p>
      <w:pPr>
        <w:spacing w:line="312" w:lineRule="auto"/>
        <w:rPr>
          <w:rFonts w:ascii="宋体" w:hAnsi="宋体" w:cs="宋体"/>
          <w:color w:val="auto"/>
          <w:sz w:val="24"/>
        </w:rPr>
      </w:pPr>
    </w:p>
    <w:p>
      <w:pPr>
        <w:spacing w:line="312" w:lineRule="auto"/>
        <w:ind w:firstLine="480" w:firstLineChars="200"/>
        <w:rPr>
          <w:rFonts w:ascii="宋体" w:hAnsi="宋体" w:cs="宋体"/>
          <w:color w:val="auto"/>
          <w:sz w:val="24"/>
        </w:rPr>
      </w:pPr>
      <w:r>
        <w:rPr>
          <w:rFonts w:hint="eastAsia" w:ascii="宋体" w:hAnsi="宋体" w:cs="宋体"/>
          <w:color w:val="auto"/>
          <w:sz w:val="24"/>
        </w:rPr>
        <w:t>投标保证金复印件：</w:t>
      </w:r>
    </w:p>
    <w:p>
      <w:pPr>
        <w:spacing w:line="312" w:lineRule="auto"/>
        <w:ind w:firstLine="480" w:firstLineChars="20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198755</wp:posOffset>
                </wp:positionV>
                <wp:extent cx="4909185" cy="2377440"/>
                <wp:effectExtent l="4445" t="4445" r="20320" b="18415"/>
                <wp:wrapNone/>
                <wp:docPr id="1" name="Text Box 3"/>
                <wp:cNvGraphicFramePr/>
                <a:graphic xmlns:a="http://schemas.openxmlformats.org/drawingml/2006/main">
                  <a:graphicData uri="http://schemas.microsoft.com/office/word/2010/wordprocessingShape">
                    <wps:wsp>
                      <wps:cNvSpPr txBox="1"/>
                      <wps:spPr>
                        <a:xfrm>
                          <a:off x="0" y="0"/>
                          <a:ext cx="490918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wps:txbx>
                      <wps:bodyPr upright="1"/>
                    </wps:wsp>
                  </a:graphicData>
                </a:graphic>
              </wp:anchor>
            </w:drawing>
          </mc:Choice>
          <mc:Fallback>
            <w:pict>
              <v:shape id="Text Box 3" o:spid="_x0000_s1026" o:spt="202" type="#_x0000_t202" style="position:absolute;left:0pt;margin-left:24.05pt;margin-top:15.65pt;height:187.2pt;width:386.55pt;z-index:251658240;mso-width-relative:page;mso-height-relative:page;" fillcolor="#FFFFFF" filled="t" stroked="t"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scKjTYAAAA&#10;CQEAAA8AAAAAAAAAAQAgAAAAIgAAAGRycy9kb3ducmV2LnhtbFBLAQIUABQAAAAIAIdO4kAb0KmD&#10;5AEAAOgDAAAOAAAAAAAAAAEAIAAAACcBAABkcnMvZTJvRG9jLnhtbFBLBQYAAAAABgAGAFkBAAB9&#10;BQ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mc:Fallback>
        </mc:AlternateContent>
      </w: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5520" w:firstLineChars="2300"/>
        <w:rPr>
          <w:rFonts w:ascii="宋体" w:hAnsi="宋体" w:cs="宋体"/>
          <w:color w:val="auto"/>
          <w:sz w:val="24"/>
        </w:rPr>
      </w:pPr>
    </w:p>
    <w:p>
      <w:pPr>
        <w:spacing w:line="312" w:lineRule="auto"/>
        <w:ind w:firstLine="5520" w:firstLineChars="2300"/>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pStyle w:val="2"/>
        <w:jc w:val="center"/>
        <w:rPr>
          <w:rFonts w:ascii="宋体" w:hAnsi="宋体" w:cs="宋体"/>
          <w:color w:val="auto"/>
          <w:sz w:val="24"/>
        </w:rPr>
      </w:pPr>
      <w:bookmarkStart w:id="472" w:name="_Toc1165"/>
      <w:bookmarkStart w:id="473" w:name="_Toc517940891"/>
      <w:bookmarkStart w:id="474" w:name="_Toc7389"/>
      <w:bookmarkStart w:id="475" w:name="_Toc9624"/>
      <w:bookmarkStart w:id="476" w:name="_Toc7150"/>
      <w:bookmarkStart w:id="477" w:name="_Toc1827"/>
      <w:r>
        <w:rPr>
          <w:rFonts w:hint="eastAsia" w:ascii="黑体" w:hAnsi="黑体" w:cs="黑体"/>
          <w:color w:val="auto"/>
          <w:sz w:val="28"/>
          <w:szCs w:val="28"/>
        </w:rPr>
        <w:t>四、已标价工程量清单</w:t>
      </w:r>
      <w:bookmarkEnd w:id="472"/>
      <w:bookmarkEnd w:id="473"/>
    </w:p>
    <w:p>
      <w:pPr>
        <w:rPr>
          <w:rFonts w:ascii="黑体" w:hAnsi="黑体" w:eastAsia="黑体" w:cs="黑体"/>
          <w:color w:val="auto"/>
          <w:kern w:val="0"/>
          <w:sz w:val="28"/>
          <w:szCs w:val="28"/>
        </w:rPr>
      </w:pPr>
      <w:bookmarkStart w:id="478" w:name="_Toc2561"/>
    </w:p>
    <w:p>
      <w:pPr>
        <w:pStyle w:val="2"/>
        <w:jc w:val="center"/>
        <w:rPr>
          <w:rFonts w:ascii="黑体" w:hAnsi="黑体" w:cs="黑体"/>
          <w:color w:val="auto"/>
          <w:sz w:val="28"/>
          <w:szCs w:val="28"/>
        </w:rPr>
      </w:pPr>
      <w:bookmarkStart w:id="479" w:name="_Toc517940892"/>
      <w:r>
        <w:rPr>
          <w:rFonts w:hint="eastAsia" w:ascii="黑体" w:hAnsi="黑体" w:cs="黑体"/>
          <w:color w:val="auto"/>
          <w:sz w:val="28"/>
          <w:szCs w:val="28"/>
        </w:rPr>
        <w:t>五、施工组织设计</w:t>
      </w:r>
      <w:bookmarkEnd w:id="478"/>
      <w:bookmarkEnd w:id="479"/>
    </w:p>
    <w:p>
      <w:pPr>
        <w:spacing w:line="312" w:lineRule="auto"/>
        <w:ind w:firstLine="600" w:firstLineChars="250"/>
        <w:rPr>
          <w:rFonts w:ascii="宋体" w:hAnsi="宋体" w:cs="宋体"/>
          <w:color w:val="auto"/>
          <w:sz w:val="24"/>
        </w:rPr>
      </w:pPr>
      <w:r>
        <w:rPr>
          <w:rFonts w:hint="eastAsia" w:ascii="宋体" w:hAnsi="宋体" w:cs="宋体"/>
          <w:color w:val="auto"/>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color w:val="auto"/>
          <w:sz w:val="24"/>
        </w:rPr>
      </w:pPr>
      <w:r>
        <w:rPr>
          <w:rFonts w:hint="eastAsia" w:ascii="宋体" w:hAnsi="宋体" w:cs="宋体"/>
          <w:color w:val="auto"/>
          <w:sz w:val="24"/>
        </w:rPr>
        <w:t>2.施工组织设计除采用文字表述外应附相应图表,图表自拟。</w:t>
      </w:r>
    </w:p>
    <w:p>
      <w:pPr>
        <w:spacing w:line="312" w:lineRule="auto"/>
        <w:rPr>
          <w:rFonts w:ascii="宋体" w:hAnsi="宋体" w:cs="宋体"/>
          <w:color w:val="auto"/>
          <w:sz w:val="24"/>
        </w:rPr>
      </w:pPr>
    </w:p>
    <w:p>
      <w:pPr>
        <w:spacing w:line="312" w:lineRule="auto"/>
        <w:rPr>
          <w:rFonts w:ascii="宋体" w:hAnsi="宋体" w:cs="宋体"/>
          <w:color w:val="auto"/>
          <w:szCs w:val="21"/>
        </w:rPr>
      </w:pPr>
    </w:p>
    <w:p>
      <w:pPr>
        <w:spacing w:line="312" w:lineRule="auto"/>
        <w:rPr>
          <w:rFonts w:ascii="宋体" w:hAnsi="宋体" w:cs="宋体"/>
          <w:color w:val="auto"/>
          <w:szCs w:val="21"/>
        </w:rPr>
      </w:pPr>
    </w:p>
    <w:p>
      <w:pPr>
        <w:spacing w:line="312" w:lineRule="auto"/>
        <w:rPr>
          <w:color w:val="auto"/>
        </w:rPr>
      </w:pPr>
    </w:p>
    <w:p>
      <w:pPr>
        <w:spacing w:line="312" w:lineRule="auto"/>
        <w:rPr>
          <w:color w:val="auto"/>
        </w:rPr>
      </w:pPr>
    </w:p>
    <w:p>
      <w:pPr>
        <w:pStyle w:val="2"/>
        <w:jc w:val="center"/>
        <w:rPr>
          <w:rFonts w:ascii="宋体" w:hAnsi="宋体" w:cs="宋体"/>
          <w:color w:val="auto"/>
          <w:sz w:val="24"/>
        </w:rPr>
      </w:pPr>
      <w:bookmarkStart w:id="480" w:name="_Toc517940893"/>
      <w:bookmarkStart w:id="481" w:name="_Toc20269"/>
      <w:r>
        <w:rPr>
          <w:rFonts w:hint="eastAsia" w:ascii="黑体" w:hAnsi="黑体" w:cs="黑体"/>
          <w:color w:val="auto"/>
          <w:sz w:val="28"/>
          <w:szCs w:val="28"/>
        </w:rPr>
        <w:t>六、项目管理机构</w:t>
      </w:r>
      <w:bookmarkEnd w:id="474"/>
      <w:bookmarkEnd w:id="475"/>
      <w:bookmarkEnd w:id="476"/>
      <w:bookmarkEnd w:id="477"/>
      <w:bookmarkEnd w:id="480"/>
      <w:bookmarkEnd w:id="481"/>
    </w:p>
    <w:p>
      <w:pPr>
        <w:rPr>
          <w:rFonts w:ascii="宋体" w:hAnsi="宋体" w:cs="宋体"/>
          <w:b/>
          <w:bCs/>
          <w:color w:val="auto"/>
          <w:sz w:val="24"/>
        </w:rPr>
      </w:pPr>
      <w:bookmarkStart w:id="482" w:name="_Toc27720"/>
      <w:bookmarkStart w:id="483" w:name="_Toc8921"/>
      <w:bookmarkStart w:id="484" w:name="_Toc21137"/>
      <w:bookmarkStart w:id="485" w:name="_Toc25342"/>
      <w:bookmarkStart w:id="486" w:name="_Toc26208"/>
      <w:r>
        <w:rPr>
          <w:rFonts w:hint="eastAsia" w:ascii="宋体" w:hAnsi="宋体" w:cs="宋体"/>
          <w:b/>
          <w:bCs/>
          <w:color w:val="auto"/>
          <w:sz w:val="24"/>
        </w:rPr>
        <w:t>（一）项目管理机构组成表</w:t>
      </w:r>
      <w:bookmarkEnd w:id="482"/>
      <w:bookmarkEnd w:id="483"/>
      <w:bookmarkEnd w:id="484"/>
      <w:bookmarkEnd w:id="485"/>
      <w:bookmarkEnd w:id="486"/>
    </w:p>
    <w:tbl>
      <w:tblPr>
        <w:tblStyle w:val="33"/>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职务</w:t>
            </w:r>
          </w:p>
        </w:tc>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姓名</w:t>
            </w:r>
          </w:p>
        </w:tc>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职称</w:t>
            </w:r>
          </w:p>
        </w:tc>
        <w:tc>
          <w:tcPr>
            <w:tcW w:w="5892" w:type="dxa"/>
            <w:gridSpan w:val="5"/>
            <w:vAlign w:val="center"/>
          </w:tcPr>
          <w:p>
            <w:pPr>
              <w:spacing w:line="312" w:lineRule="auto"/>
              <w:jc w:val="center"/>
              <w:rPr>
                <w:rFonts w:ascii="宋体" w:hAnsi="宋体" w:cs="宋体"/>
                <w:color w:val="auto"/>
                <w:sz w:val="24"/>
              </w:rPr>
            </w:pPr>
            <w:r>
              <w:rPr>
                <w:rFonts w:hint="eastAsia" w:ascii="宋体" w:hAnsi="宋体" w:cs="宋体"/>
                <w:color w:val="auto"/>
                <w:sz w:val="24"/>
              </w:rPr>
              <w:t>执业或职业资格证明</w:t>
            </w:r>
          </w:p>
        </w:tc>
        <w:tc>
          <w:tcPr>
            <w:tcW w:w="708"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color w:val="auto"/>
                <w:sz w:val="24"/>
              </w:rPr>
            </w:pPr>
          </w:p>
        </w:tc>
        <w:tc>
          <w:tcPr>
            <w:tcW w:w="709" w:type="dxa"/>
            <w:vMerge w:val="continue"/>
            <w:vAlign w:val="center"/>
          </w:tcPr>
          <w:p>
            <w:pPr>
              <w:spacing w:line="312" w:lineRule="auto"/>
              <w:jc w:val="center"/>
              <w:rPr>
                <w:rFonts w:ascii="宋体" w:hAnsi="宋体" w:cs="宋体"/>
                <w:color w:val="auto"/>
                <w:sz w:val="24"/>
              </w:rPr>
            </w:pPr>
          </w:p>
        </w:tc>
        <w:tc>
          <w:tcPr>
            <w:tcW w:w="709" w:type="dxa"/>
            <w:vMerge w:val="continue"/>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r>
              <w:rPr>
                <w:rFonts w:hint="eastAsia" w:ascii="宋体" w:hAnsi="宋体" w:cs="宋体"/>
                <w:color w:val="auto"/>
                <w:sz w:val="24"/>
              </w:rPr>
              <w:t>证书名称</w:t>
            </w:r>
          </w:p>
        </w:tc>
        <w:tc>
          <w:tcPr>
            <w:tcW w:w="1059" w:type="dxa"/>
            <w:vAlign w:val="center"/>
          </w:tcPr>
          <w:p>
            <w:pPr>
              <w:spacing w:line="312" w:lineRule="auto"/>
              <w:jc w:val="center"/>
              <w:rPr>
                <w:rFonts w:ascii="宋体" w:hAnsi="宋体" w:cs="宋体"/>
                <w:color w:val="auto"/>
                <w:sz w:val="24"/>
              </w:rPr>
            </w:pPr>
            <w:r>
              <w:rPr>
                <w:rFonts w:hint="eastAsia" w:ascii="宋体" w:hAnsi="宋体" w:cs="宋体"/>
                <w:color w:val="auto"/>
                <w:sz w:val="24"/>
              </w:rPr>
              <w:t>级别</w:t>
            </w:r>
          </w:p>
        </w:tc>
        <w:tc>
          <w:tcPr>
            <w:tcW w:w="900" w:type="dxa"/>
            <w:vAlign w:val="center"/>
          </w:tcPr>
          <w:p>
            <w:pPr>
              <w:spacing w:line="312" w:lineRule="auto"/>
              <w:jc w:val="center"/>
              <w:rPr>
                <w:rFonts w:ascii="宋体" w:hAnsi="宋体" w:cs="宋体"/>
                <w:color w:val="auto"/>
                <w:sz w:val="24"/>
              </w:rPr>
            </w:pPr>
            <w:r>
              <w:rPr>
                <w:rFonts w:hint="eastAsia" w:ascii="宋体" w:hAnsi="宋体" w:cs="宋体"/>
                <w:color w:val="auto"/>
                <w:sz w:val="24"/>
              </w:rPr>
              <w:t>证号</w:t>
            </w:r>
          </w:p>
        </w:tc>
        <w:tc>
          <w:tcPr>
            <w:tcW w:w="900"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1677" w:type="dxa"/>
            <w:vAlign w:val="center"/>
          </w:tcPr>
          <w:p>
            <w:pPr>
              <w:spacing w:line="312" w:lineRule="auto"/>
              <w:jc w:val="center"/>
              <w:rPr>
                <w:rFonts w:ascii="宋体" w:hAnsi="宋体" w:cs="宋体"/>
                <w:color w:val="auto"/>
                <w:sz w:val="24"/>
              </w:rPr>
            </w:pPr>
            <w:r>
              <w:rPr>
                <w:rFonts w:hint="eastAsia" w:ascii="宋体" w:hAnsi="宋体" w:cs="宋体"/>
                <w:color w:val="auto"/>
                <w:sz w:val="24"/>
              </w:rPr>
              <w:t>养老保险</w:t>
            </w:r>
          </w:p>
        </w:tc>
        <w:tc>
          <w:tcPr>
            <w:tcW w:w="708" w:type="dxa"/>
            <w:vMerge w:val="continue"/>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bl>
    <w:p>
      <w:pPr>
        <w:spacing w:line="312" w:lineRule="auto"/>
        <w:rPr>
          <w:rFonts w:ascii="宋体" w:hAnsi="宋体" w:cs="宋体"/>
          <w:color w:val="auto"/>
          <w:sz w:val="24"/>
        </w:rPr>
      </w:pPr>
    </w:p>
    <w:p>
      <w:pPr>
        <w:rPr>
          <w:rFonts w:ascii="宋体" w:hAnsi="宋体" w:cs="宋体"/>
          <w:color w:val="auto"/>
          <w:sz w:val="24"/>
        </w:rPr>
      </w:pPr>
      <w:bookmarkStart w:id="487" w:name="_Toc22776"/>
      <w:bookmarkStart w:id="488" w:name="_Toc26047"/>
      <w:bookmarkStart w:id="489" w:name="_Toc27110"/>
      <w:bookmarkStart w:id="490" w:name="_Toc3522"/>
      <w:bookmarkStart w:id="491" w:name="_Toc590"/>
      <w:r>
        <w:rPr>
          <w:rFonts w:hint="eastAsia" w:ascii="宋体" w:hAnsi="宋体" w:cs="宋体"/>
          <w:b/>
          <w:bCs/>
          <w:color w:val="auto"/>
          <w:sz w:val="24"/>
        </w:rPr>
        <w:t>（二）主要人员简历表</w:t>
      </w:r>
      <w:bookmarkEnd w:id="487"/>
      <w:bookmarkEnd w:id="488"/>
      <w:bookmarkEnd w:id="489"/>
      <w:bookmarkEnd w:id="490"/>
      <w:bookmarkEnd w:id="491"/>
    </w:p>
    <w:p>
      <w:pPr>
        <w:rPr>
          <w:rFonts w:ascii="宋体" w:hAnsi="宋体" w:cs="宋体"/>
          <w:b/>
          <w:color w:val="auto"/>
          <w:sz w:val="24"/>
        </w:rPr>
      </w:pPr>
      <w:bookmarkStart w:id="492" w:name="_Toc13679"/>
      <w:bookmarkStart w:id="493" w:name="_Toc20036"/>
      <w:bookmarkStart w:id="494" w:name="_Toc9814"/>
      <w:bookmarkStart w:id="495" w:name="_Toc20732"/>
      <w:bookmarkStart w:id="496" w:name="_Toc23995"/>
      <w:r>
        <w:rPr>
          <w:rFonts w:hint="eastAsia" w:ascii="宋体" w:hAnsi="宋体" w:cs="宋体"/>
          <w:b/>
          <w:color w:val="auto"/>
          <w:sz w:val="24"/>
        </w:rPr>
        <w:t>附1：项目经理简历表</w:t>
      </w:r>
    </w:p>
    <w:p>
      <w:pPr>
        <w:spacing w:line="312" w:lineRule="auto"/>
        <w:ind w:firstLine="600" w:firstLineChars="250"/>
        <w:rPr>
          <w:rFonts w:ascii="宋体" w:hAnsi="宋体" w:cs="宋体"/>
          <w:color w:val="auto"/>
          <w:sz w:val="24"/>
        </w:rPr>
      </w:pPr>
      <w:r>
        <w:rPr>
          <w:rFonts w:hint="eastAsia" w:ascii="宋体" w:hAnsi="宋体" w:cs="宋体"/>
          <w:color w:val="auto"/>
          <w:sz w:val="24"/>
        </w:rPr>
        <w:t>项目经理应附项目经理身份证、注册建造师证书、继续教育证明（如有）、职称证、学历证、劳动合同、养老保险复印件及未担任其他在施建设工程项目经理的承诺书，管理过的类似项目业绩须附网上中标结果公示、中标通知书和合同协议书复印件。</w:t>
      </w:r>
    </w:p>
    <w:tbl>
      <w:tblPr>
        <w:tblStyle w:val="33"/>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姓  名</w:t>
            </w: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r>
              <w:rPr>
                <w:rFonts w:hint="eastAsia" w:ascii="宋体" w:hAnsi="宋体" w:cs="宋体"/>
                <w:color w:val="auto"/>
                <w:sz w:val="24"/>
              </w:rPr>
              <w:t>年  龄</w:t>
            </w: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学历</w:t>
            </w: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称</w:t>
            </w: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务</w:t>
            </w: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拟在本工程任职</w:t>
            </w:r>
          </w:p>
        </w:tc>
        <w:tc>
          <w:tcPr>
            <w:tcW w:w="235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资格等级</w:t>
            </w:r>
          </w:p>
        </w:tc>
        <w:tc>
          <w:tcPr>
            <w:tcW w:w="1409" w:type="dxa"/>
            <w:vAlign w:val="center"/>
          </w:tcPr>
          <w:p>
            <w:pPr>
              <w:spacing w:line="312" w:lineRule="auto"/>
              <w:jc w:val="center"/>
              <w:rPr>
                <w:rFonts w:ascii="宋体" w:hAnsi="宋体" w:cs="宋体"/>
                <w:color w:val="auto"/>
                <w:sz w:val="24"/>
              </w:rPr>
            </w:pPr>
            <w:r>
              <w:rPr>
                <w:rFonts w:hint="eastAsia" w:ascii="宋体" w:hAnsi="宋体" w:cs="宋体"/>
                <w:color w:val="auto"/>
                <w:sz w:val="24"/>
              </w:rPr>
              <w:t xml:space="preserve">      级</w:t>
            </w: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毕业学校</w:t>
            </w:r>
          </w:p>
        </w:tc>
        <w:tc>
          <w:tcPr>
            <w:tcW w:w="8193" w:type="dxa"/>
            <w:gridSpan w:val="5"/>
            <w:vAlign w:val="center"/>
          </w:tcPr>
          <w:p>
            <w:pPr>
              <w:spacing w:line="312" w:lineRule="auto"/>
              <w:ind w:firstLine="960" w:firstLineChars="400"/>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时  间</w:t>
            </w:r>
          </w:p>
        </w:tc>
        <w:tc>
          <w:tcPr>
            <w:tcW w:w="380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参加过的类似项目名称</w:t>
            </w: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工程概况说明</w:t>
            </w:r>
          </w:p>
        </w:tc>
        <w:tc>
          <w:tcPr>
            <w:tcW w:w="2350"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bl>
    <w:p>
      <w:pPr>
        <w:spacing w:line="312" w:lineRule="auto"/>
        <w:rPr>
          <w:rFonts w:ascii="宋体" w:hAnsi="宋体" w:cs="宋体"/>
          <w:b/>
          <w:color w:val="auto"/>
          <w:sz w:val="24"/>
        </w:rPr>
      </w:pPr>
    </w:p>
    <w:bookmarkEnd w:id="492"/>
    <w:bookmarkEnd w:id="493"/>
    <w:bookmarkEnd w:id="494"/>
    <w:bookmarkEnd w:id="495"/>
    <w:bookmarkEnd w:id="496"/>
    <w:p>
      <w:pPr>
        <w:spacing w:line="312" w:lineRule="auto"/>
        <w:rPr>
          <w:rFonts w:ascii="宋体" w:hAnsi="宋体" w:cs="宋体"/>
          <w:b/>
          <w:color w:val="auto"/>
          <w:sz w:val="24"/>
        </w:rPr>
      </w:pPr>
      <w:bookmarkStart w:id="497" w:name="_Toc5309"/>
      <w:bookmarkStart w:id="498" w:name="_Toc17717"/>
      <w:bookmarkStart w:id="499" w:name="_Toc32193"/>
      <w:bookmarkStart w:id="500" w:name="_Toc29679"/>
      <w:bookmarkStart w:id="501" w:name="_Toc23329"/>
      <w:r>
        <w:rPr>
          <w:rFonts w:hint="eastAsia" w:ascii="宋体" w:hAnsi="宋体" w:cs="宋体"/>
          <w:b/>
          <w:color w:val="auto"/>
          <w:sz w:val="24"/>
        </w:rPr>
        <w:t>附2：技术负责人简历表</w:t>
      </w:r>
    </w:p>
    <w:p>
      <w:pPr>
        <w:spacing w:line="312" w:lineRule="auto"/>
        <w:ind w:firstLine="600" w:firstLineChars="250"/>
        <w:rPr>
          <w:rFonts w:ascii="宋体" w:hAnsi="宋体" w:cs="宋体"/>
          <w:color w:val="auto"/>
          <w:sz w:val="24"/>
        </w:rPr>
      </w:pPr>
    </w:p>
    <w:tbl>
      <w:tblPr>
        <w:tblStyle w:val="33"/>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姓  名</w:t>
            </w: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r>
              <w:rPr>
                <w:rFonts w:hint="eastAsia" w:ascii="宋体" w:hAnsi="宋体" w:cs="宋体"/>
                <w:color w:val="auto"/>
                <w:sz w:val="24"/>
              </w:rPr>
              <w:t>年  龄</w:t>
            </w: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学历</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称</w:t>
            </w: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务</w:t>
            </w: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拟在本工程任职</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资格等级</w:t>
            </w:r>
          </w:p>
        </w:tc>
        <w:tc>
          <w:tcPr>
            <w:tcW w:w="1394" w:type="dxa"/>
            <w:vAlign w:val="center"/>
          </w:tcPr>
          <w:p>
            <w:pPr>
              <w:spacing w:line="312" w:lineRule="auto"/>
              <w:jc w:val="center"/>
              <w:rPr>
                <w:rFonts w:ascii="宋体" w:hAnsi="宋体" w:cs="宋体"/>
                <w:color w:val="auto"/>
                <w:sz w:val="24"/>
              </w:rPr>
            </w:pPr>
            <w:r>
              <w:rPr>
                <w:rFonts w:hint="eastAsia" w:ascii="宋体" w:hAnsi="宋体" w:cs="宋体"/>
                <w:color w:val="auto"/>
                <w:sz w:val="24"/>
              </w:rPr>
              <w:t xml:space="preserve">      级</w:t>
            </w: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毕业学校</w:t>
            </w:r>
          </w:p>
        </w:tc>
        <w:tc>
          <w:tcPr>
            <w:tcW w:w="8106" w:type="dxa"/>
            <w:gridSpan w:val="5"/>
            <w:vAlign w:val="center"/>
          </w:tcPr>
          <w:p>
            <w:pPr>
              <w:spacing w:line="312" w:lineRule="auto"/>
              <w:ind w:firstLine="960" w:firstLineChars="400"/>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时  间</w:t>
            </w:r>
          </w:p>
        </w:tc>
        <w:tc>
          <w:tcPr>
            <w:tcW w:w="376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参加过的类似项目名称</w:t>
            </w: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工程概况说明</w:t>
            </w:r>
          </w:p>
        </w:tc>
        <w:tc>
          <w:tcPr>
            <w:tcW w:w="2325"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bl>
    <w:p>
      <w:pPr>
        <w:spacing w:line="312" w:lineRule="auto"/>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2"/>
        <w:rPr>
          <w:rFonts w:ascii="宋体" w:hAnsi="宋体" w:cs="宋体"/>
          <w:color w:val="auto"/>
          <w:sz w:val="24"/>
        </w:rPr>
      </w:pPr>
      <w:bookmarkStart w:id="502" w:name="_Toc517940894"/>
      <w:r>
        <w:rPr>
          <w:rFonts w:hint="eastAsia" w:ascii="黑体" w:hAnsi="黑体" w:cs="黑体"/>
          <w:color w:val="auto"/>
          <w:sz w:val="28"/>
          <w:szCs w:val="28"/>
        </w:rPr>
        <w:t>七、资格证明文件</w:t>
      </w:r>
      <w:bookmarkEnd w:id="497"/>
      <w:bookmarkEnd w:id="498"/>
      <w:bookmarkEnd w:id="499"/>
      <w:bookmarkEnd w:id="500"/>
      <w:bookmarkEnd w:id="501"/>
      <w:bookmarkEnd w:id="502"/>
    </w:p>
    <w:p>
      <w:pPr>
        <w:rPr>
          <w:rFonts w:ascii="宋体" w:hAnsi="宋体" w:cs="宋体"/>
          <w:b/>
          <w:bCs/>
          <w:color w:val="auto"/>
          <w:sz w:val="24"/>
        </w:rPr>
      </w:pPr>
      <w:bookmarkStart w:id="503" w:name="_Toc28368"/>
      <w:bookmarkStart w:id="504" w:name="_Toc1268"/>
      <w:bookmarkStart w:id="505" w:name="_Toc15464"/>
      <w:bookmarkStart w:id="506" w:name="_Toc2951"/>
      <w:bookmarkStart w:id="507" w:name="_Toc7115"/>
      <w:r>
        <w:rPr>
          <w:rFonts w:hint="eastAsia" w:ascii="宋体" w:hAnsi="宋体" w:cs="宋体"/>
          <w:b/>
          <w:bCs/>
          <w:color w:val="auto"/>
          <w:sz w:val="24"/>
        </w:rPr>
        <w:t>（一）投标人基本情况表</w:t>
      </w:r>
      <w:bookmarkEnd w:id="503"/>
      <w:bookmarkEnd w:id="504"/>
      <w:bookmarkEnd w:id="505"/>
      <w:bookmarkEnd w:id="506"/>
      <w:bookmarkEnd w:id="507"/>
    </w:p>
    <w:tbl>
      <w:tblPr>
        <w:tblStyle w:val="33"/>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投标人名称</w:t>
            </w:r>
          </w:p>
        </w:tc>
        <w:tc>
          <w:tcPr>
            <w:tcW w:w="7020" w:type="dxa"/>
            <w:gridSpan w:val="10"/>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注册地址</w:t>
            </w:r>
          </w:p>
        </w:tc>
        <w:tc>
          <w:tcPr>
            <w:tcW w:w="3389" w:type="dxa"/>
            <w:gridSpan w:val="6"/>
            <w:vAlign w:val="center"/>
          </w:tcPr>
          <w:p>
            <w:pPr>
              <w:spacing w:line="312" w:lineRule="auto"/>
              <w:jc w:val="center"/>
              <w:rPr>
                <w:rFonts w:ascii="宋体" w:hAnsi="宋体" w:cs="宋体"/>
                <w:color w:val="auto"/>
                <w:sz w:val="24"/>
              </w:rPr>
            </w:pPr>
          </w:p>
        </w:tc>
        <w:tc>
          <w:tcPr>
            <w:tcW w:w="1246" w:type="dxa"/>
            <w:vAlign w:val="center"/>
          </w:tcPr>
          <w:p>
            <w:pPr>
              <w:spacing w:line="312" w:lineRule="auto"/>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color w:val="auto"/>
                <w:sz w:val="24"/>
              </w:rPr>
            </w:pPr>
            <w:r>
              <w:rPr>
                <w:rFonts w:hint="eastAsia" w:ascii="宋体" w:hAnsi="宋体" w:cs="宋体"/>
                <w:color w:val="auto"/>
                <w:sz w:val="24"/>
              </w:rPr>
              <w:t>联系方式</w:t>
            </w:r>
          </w:p>
        </w:tc>
        <w:tc>
          <w:tcPr>
            <w:tcW w:w="1216" w:type="dxa"/>
            <w:gridSpan w:val="2"/>
            <w:vAlign w:val="center"/>
          </w:tcPr>
          <w:p>
            <w:pPr>
              <w:spacing w:line="312" w:lineRule="auto"/>
              <w:jc w:val="center"/>
              <w:rPr>
                <w:rFonts w:ascii="宋体" w:hAnsi="宋体" w:cs="宋体"/>
                <w:color w:val="auto"/>
                <w:sz w:val="24"/>
              </w:rPr>
            </w:pPr>
            <w:r>
              <w:rPr>
                <w:rFonts w:hint="eastAsia" w:ascii="宋体" w:hAnsi="宋体" w:cs="宋体"/>
                <w:color w:val="auto"/>
                <w:sz w:val="24"/>
              </w:rPr>
              <w:t>联系人</w:t>
            </w:r>
          </w:p>
        </w:tc>
        <w:tc>
          <w:tcPr>
            <w:tcW w:w="2173" w:type="dxa"/>
            <w:gridSpan w:val="4"/>
            <w:vAlign w:val="center"/>
          </w:tcPr>
          <w:p>
            <w:pPr>
              <w:spacing w:line="312" w:lineRule="auto"/>
              <w:jc w:val="center"/>
              <w:rPr>
                <w:rFonts w:ascii="宋体" w:hAnsi="宋体" w:cs="宋体"/>
                <w:color w:val="auto"/>
                <w:sz w:val="24"/>
              </w:rPr>
            </w:pPr>
          </w:p>
        </w:tc>
        <w:tc>
          <w:tcPr>
            <w:tcW w:w="1246" w:type="dxa"/>
            <w:vAlign w:val="center"/>
          </w:tcPr>
          <w:p>
            <w:pPr>
              <w:spacing w:line="312" w:lineRule="auto"/>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color w:val="auto"/>
                <w:sz w:val="24"/>
              </w:rPr>
            </w:pPr>
          </w:p>
        </w:tc>
        <w:tc>
          <w:tcPr>
            <w:tcW w:w="1216" w:type="dxa"/>
            <w:gridSpan w:val="2"/>
            <w:vAlign w:val="center"/>
          </w:tcPr>
          <w:p>
            <w:pPr>
              <w:spacing w:line="312" w:lineRule="auto"/>
              <w:jc w:val="center"/>
              <w:rPr>
                <w:rFonts w:ascii="宋体" w:hAnsi="宋体" w:cs="宋体"/>
                <w:color w:val="auto"/>
                <w:sz w:val="24"/>
              </w:rPr>
            </w:pPr>
            <w:r>
              <w:rPr>
                <w:rFonts w:hint="eastAsia" w:ascii="宋体" w:hAnsi="宋体" w:cs="宋体"/>
                <w:color w:val="auto"/>
                <w:sz w:val="24"/>
              </w:rPr>
              <w:t>传  真</w:t>
            </w:r>
          </w:p>
        </w:tc>
        <w:tc>
          <w:tcPr>
            <w:tcW w:w="2173" w:type="dxa"/>
            <w:gridSpan w:val="4"/>
            <w:vAlign w:val="center"/>
          </w:tcPr>
          <w:p>
            <w:pPr>
              <w:spacing w:line="312" w:lineRule="auto"/>
              <w:jc w:val="center"/>
              <w:rPr>
                <w:rFonts w:ascii="宋体" w:hAnsi="宋体" w:cs="宋体"/>
                <w:color w:val="auto"/>
                <w:sz w:val="24"/>
              </w:rPr>
            </w:pPr>
          </w:p>
        </w:tc>
        <w:tc>
          <w:tcPr>
            <w:tcW w:w="1246" w:type="dxa"/>
            <w:vAlign w:val="center"/>
          </w:tcPr>
          <w:p>
            <w:pPr>
              <w:spacing w:line="312" w:lineRule="auto"/>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组织结构</w:t>
            </w:r>
          </w:p>
        </w:tc>
        <w:tc>
          <w:tcPr>
            <w:tcW w:w="7020" w:type="dxa"/>
            <w:gridSpan w:val="10"/>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法定代表人</w:t>
            </w:r>
          </w:p>
        </w:tc>
        <w:tc>
          <w:tcPr>
            <w:tcW w:w="790" w:type="dxa"/>
            <w:vAlign w:val="center"/>
          </w:tcPr>
          <w:p>
            <w:pPr>
              <w:spacing w:line="312" w:lineRule="auto"/>
              <w:jc w:val="center"/>
              <w:rPr>
                <w:rFonts w:ascii="宋体" w:hAnsi="宋体" w:cs="宋体"/>
                <w:color w:val="auto"/>
                <w:sz w:val="24"/>
              </w:rPr>
            </w:pPr>
            <w:r>
              <w:rPr>
                <w:rFonts w:hint="eastAsia" w:ascii="宋体" w:hAnsi="宋体" w:cs="宋体"/>
                <w:color w:val="auto"/>
                <w:sz w:val="24"/>
              </w:rPr>
              <w:t>姓名</w:t>
            </w:r>
          </w:p>
        </w:tc>
        <w:tc>
          <w:tcPr>
            <w:tcW w:w="1128" w:type="dxa"/>
            <w:gridSpan w:val="2"/>
            <w:vAlign w:val="center"/>
          </w:tcPr>
          <w:p>
            <w:pPr>
              <w:spacing w:line="312" w:lineRule="auto"/>
              <w:jc w:val="center"/>
              <w:rPr>
                <w:rFonts w:ascii="宋体" w:hAnsi="宋体" w:cs="宋体"/>
                <w:color w:val="auto"/>
                <w:sz w:val="24"/>
              </w:rPr>
            </w:pPr>
          </w:p>
        </w:tc>
        <w:tc>
          <w:tcPr>
            <w:tcW w:w="1276" w:type="dxa"/>
            <w:gridSpan w:val="2"/>
            <w:vAlign w:val="center"/>
          </w:tcPr>
          <w:p>
            <w:pPr>
              <w:spacing w:line="312" w:lineRule="auto"/>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技术负责人</w:t>
            </w:r>
          </w:p>
        </w:tc>
        <w:tc>
          <w:tcPr>
            <w:tcW w:w="790" w:type="dxa"/>
            <w:vAlign w:val="center"/>
          </w:tcPr>
          <w:p>
            <w:pPr>
              <w:spacing w:line="312" w:lineRule="auto"/>
              <w:jc w:val="center"/>
              <w:rPr>
                <w:rFonts w:ascii="宋体" w:hAnsi="宋体" w:cs="宋体"/>
                <w:color w:val="auto"/>
                <w:sz w:val="24"/>
              </w:rPr>
            </w:pPr>
            <w:r>
              <w:rPr>
                <w:rFonts w:hint="eastAsia" w:ascii="宋体" w:hAnsi="宋体" w:cs="宋体"/>
                <w:color w:val="auto"/>
                <w:sz w:val="24"/>
              </w:rPr>
              <w:t>姓名</w:t>
            </w:r>
          </w:p>
        </w:tc>
        <w:tc>
          <w:tcPr>
            <w:tcW w:w="1128" w:type="dxa"/>
            <w:gridSpan w:val="2"/>
            <w:vAlign w:val="center"/>
          </w:tcPr>
          <w:p>
            <w:pPr>
              <w:spacing w:line="312" w:lineRule="auto"/>
              <w:jc w:val="center"/>
              <w:rPr>
                <w:rFonts w:ascii="宋体" w:hAnsi="宋体" w:cs="宋体"/>
                <w:color w:val="auto"/>
                <w:sz w:val="24"/>
              </w:rPr>
            </w:pPr>
          </w:p>
        </w:tc>
        <w:tc>
          <w:tcPr>
            <w:tcW w:w="1276" w:type="dxa"/>
            <w:gridSpan w:val="2"/>
            <w:vAlign w:val="center"/>
          </w:tcPr>
          <w:p>
            <w:pPr>
              <w:spacing w:line="312" w:lineRule="auto"/>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成立时间</w:t>
            </w:r>
          </w:p>
        </w:tc>
        <w:tc>
          <w:tcPr>
            <w:tcW w:w="1918" w:type="dxa"/>
            <w:gridSpan w:val="3"/>
            <w:vAlign w:val="center"/>
          </w:tcPr>
          <w:p>
            <w:pPr>
              <w:spacing w:line="312" w:lineRule="auto"/>
              <w:jc w:val="center"/>
              <w:rPr>
                <w:rFonts w:ascii="宋体" w:hAnsi="宋体" w:cs="宋体"/>
                <w:color w:val="auto"/>
                <w:sz w:val="24"/>
              </w:rPr>
            </w:pPr>
          </w:p>
        </w:tc>
        <w:tc>
          <w:tcPr>
            <w:tcW w:w="5102" w:type="dxa"/>
            <w:gridSpan w:val="7"/>
            <w:vAlign w:val="center"/>
          </w:tcPr>
          <w:p>
            <w:pPr>
              <w:spacing w:line="312" w:lineRule="auto"/>
              <w:rPr>
                <w:rFonts w:ascii="宋体" w:hAnsi="宋体" w:cs="宋体"/>
                <w:color w:val="auto"/>
                <w:sz w:val="24"/>
              </w:rPr>
            </w:pPr>
            <w:r>
              <w:rPr>
                <w:rFonts w:hint="eastAsia" w:ascii="宋体"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企业资质等级</w:t>
            </w:r>
          </w:p>
        </w:tc>
        <w:tc>
          <w:tcPr>
            <w:tcW w:w="1918" w:type="dxa"/>
            <w:gridSpan w:val="3"/>
            <w:vAlign w:val="center"/>
          </w:tcPr>
          <w:p>
            <w:pPr>
              <w:spacing w:line="312" w:lineRule="auto"/>
              <w:jc w:val="center"/>
              <w:rPr>
                <w:rFonts w:ascii="宋体" w:hAnsi="宋体" w:cs="宋体"/>
                <w:color w:val="auto"/>
                <w:sz w:val="24"/>
              </w:rPr>
            </w:pPr>
          </w:p>
        </w:tc>
        <w:tc>
          <w:tcPr>
            <w:tcW w:w="993"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其中</w:t>
            </w:r>
          </w:p>
        </w:tc>
        <w:tc>
          <w:tcPr>
            <w:tcW w:w="1984" w:type="dxa"/>
            <w:gridSpan w:val="4"/>
            <w:vAlign w:val="center"/>
          </w:tcPr>
          <w:p>
            <w:pPr>
              <w:spacing w:line="312" w:lineRule="auto"/>
              <w:jc w:val="left"/>
              <w:rPr>
                <w:rFonts w:ascii="宋体" w:hAnsi="宋体" w:cs="宋体"/>
                <w:color w:val="auto"/>
                <w:sz w:val="24"/>
              </w:rPr>
            </w:pPr>
            <w:r>
              <w:rPr>
                <w:rFonts w:hint="eastAsia" w:ascii="宋体" w:hAnsi="宋体" w:cs="宋体"/>
                <w:color w:val="auto"/>
                <w:sz w:val="24"/>
              </w:rPr>
              <w:t>项目经理</w:t>
            </w:r>
          </w:p>
        </w:tc>
        <w:tc>
          <w:tcPr>
            <w:tcW w:w="2125" w:type="dxa"/>
            <w:gridSpan w:val="2"/>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营业执照号</w:t>
            </w:r>
          </w:p>
        </w:tc>
        <w:tc>
          <w:tcPr>
            <w:tcW w:w="1918" w:type="dxa"/>
            <w:gridSpan w:val="3"/>
            <w:vAlign w:val="center"/>
          </w:tcPr>
          <w:p>
            <w:pPr>
              <w:spacing w:line="312" w:lineRule="auto"/>
              <w:jc w:val="center"/>
              <w:rPr>
                <w:rFonts w:ascii="宋体" w:hAnsi="宋体" w:cs="宋体"/>
                <w:color w:val="auto"/>
                <w:sz w:val="24"/>
              </w:rPr>
            </w:pPr>
          </w:p>
        </w:tc>
        <w:tc>
          <w:tcPr>
            <w:tcW w:w="993" w:type="dxa"/>
            <w:vMerge w:val="continue"/>
            <w:vAlign w:val="center"/>
          </w:tcPr>
          <w:p>
            <w:pPr>
              <w:spacing w:line="312" w:lineRule="auto"/>
              <w:jc w:val="center"/>
              <w:rPr>
                <w:rFonts w:ascii="宋体" w:hAnsi="宋体" w:cs="宋体"/>
                <w:color w:val="auto"/>
                <w:sz w:val="24"/>
              </w:rPr>
            </w:pPr>
          </w:p>
        </w:tc>
        <w:tc>
          <w:tcPr>
            <w:tcW w:w="1984" w:type="dxa"/>
            <w:gridSpan w:val="4"/>
            <w:vAlign w:val="center"/>
          </w:tcPr>
          <w:p>
            <w:pPr>
              <w:spacing w:line="312" w:lineRule="auto"/>
              <w:jc w:val="left"/>
              <w:rPr>
                <w:rFonts w:ascii="宋体" w:hAnsi="宋体" w:cs="宋体"/>
                <w:color w:val="auto"/>
                <w:sz w:val="24"/>
              </w:rPr>
            </w:pPr>
            <w:r>
              <w:rPr>
                <w:rFonts w:hint="eastAsia" w:ascii="宋体" w:hAnsi="宋体" w:cs="宋体"/>
                <w:color w:val="auto"/>
                <w:sz w:val="24"/>
              </w:rPr>
              <w:t>高级职称人员</w:t>
            </w:r>
          </w:p>
        </w:tc>
        <w:tc>
          <w:tcPr>
            <w:tcW w:w="2125" w:type="dxa"/>
            <w:gridSpan w:val="2"/>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注册资金</w:t>
            </w:r>
          </w:p>
        </w:tc>
        <w:tc>
          <w:tcPr>
            <w:tcW w:w="1918" w:type="dxa"/>
            <w:gridSpan w:val="3"/>
            <w:vAlign w:val="center"/>
          </w:tcPr>
          <w:p>
            <w:pPr>
              <w:spacing w:line="312" w:lineRule="auto"/>
              <w:jc w:val="center"/>
              <w:rPr>
                <w:rFonts w:ascii="宋体" w:hAnsi="宋体" w:cs="宋体"/>
                <w:color w:val="auto"/>
                <w:sz w:val="24"/>
              </w:rPr>
            </w:pPr>
          </w:p>
        </w:tc>
        <w:tc>
          <w:tcPr>
            <w:tcW w:w="993" w:type="dxa"/>
            <w:vMerge w:val="continue"/>
            <w:vAlign w:val="center"/>
          </w:tcPr>
          <w:p>
            <w:pPr>
              <w:spacing w:line="312" w:lineRule="auto"/>
              <w:jc w:val="center"/>
              <w:rPr>
                <w:rFonts w:ascii="宋体" w:hAnsi="宋体" w:cs="宋体"/>
                <w:color w:val="auto"/>
                <w:sz w:val="24"/>
              </w:rPr>
            </w:pPr>
          </w:p>
        </w:tc>
        <w:tc>
          <w:tcPr>
            <w:tcW w:w="1984" w:type="dxa"/>
            <w:gridSpan w:val="4"/>
            <w:vAlign w:val="center"/>
          </w:tcPr>
          <w:p>
            <w:pPr>
              <w:spacing w:line="312" w:lineRule="auto"/>
              <w:jc w:val="left"/>
              <w:rPr>
                <w:rFonts w:ascii="宋体" w:hAnsi="宋体" w:cs="宋体"/>
                <w:color w:val="auto"/>
                <w:sz w:val="24"/>
              </w:rPr>
            </w:pPr>
            <w:r>
              <w:rPr>
                <w:rFonts w:hint="eastAsia" w:ascii="宋体" w:hAnsi="宋体" w:cs="宋体"/>
                <w:color w:val="auto"/>
                <w:sz w:val="24"/>
              </w:rPr>
              <w:t>中级职称人员</w:t>
            </w:r>
          </w:p>
        </w:tc>
        <w:tc>
          <w:tcPr>
            <w:tcW w:w="2125" w:type="dxa"/>
            <w:gridSpan w:val="2"/>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开户银行</w:t>
            </w:r>
          </w:p>
        </w:tc>
        <w:tc>
          <w:tcPr>
            <w:tcW w:w="1918" w:type="dxa"/>
            <w:gridSpan w:val="3"/>
            <w:vAlign w:val="center"/>
          </w:tcPr>
          <w:p>
            <w:pPr>
              <w:spacing w:line="312" w:lineRule="auto"/>
              <w:jc w:val="center"/>
              <w:rPr>
                <w:rFonts w:ascii="宋体" w:hAnsi="宋体" w:cs="宋体"/>
                <w:color w:val="auto"/>
                <w:sz w:val="24"/>
              </w:rPr>
            </w:pPr>
          </w:p>
        </w:tc>
        <w:tc>
          <w:tcPr>
            <w:tcW w:w="993" w:type="dxa"/>
            <w:vMerge w:val="continue"/>
            <w:vAlign w:val="center"/>
          </w:tcPr>
          <w:p>
            <w:pPr>
              <w:spacing w:line="312" w:lineRule="auto"/>
              <w:jc w:val="center"/>
              <w:rPr>
                <w:rFonts w:ascii="宋体" w:hAnsi="宋体" w:cs="宋体"/>
                <w:color w:val="auto"/>
                <w:sz w:val="24"/>
              </w:rPr>
            </w:pPr>
          </w:p>
        </w:tc>
        <w:tc>
          <w:tcPr>
            <w:tcW w:w="1984" w:type="dxa"/>
            <w:gridSpan w:val="4"/>
            <w:vAlign w:val="center"/>
          </w:tcPr>
          <w:p>
            <w:pPr>
              <w:spacing w:line="312" w:lineRule="auto"/>
              <w:jc w:val="left"/>
              <w:rPr>
                <w:rFonts w:ascii="宋体" w:hAnsi="宋体" w:cs="宋体"/>
                <w:color w:val="auto"/>
                <w:sz w:val="24"/>
              </w:rPr>
            </w:pPr>
            <w:r>
              <w:rPr>
                <w:rFonts w:hint="eastAsia" w:ascii="宋体" w:hAnsi="宋体" w:cs="宋体"/>
                <w:color w:val="auto"/>
                <w:sz w:val="24"/>
              </w:rPr>
              <w:t>初级职称人员</w:t>
            </w:r>
          </w:p>
        </w:tc>
        <w:tc>
          <w:tcPr>
            <w:tcW w:w="2125" w:type="dxa"/>
            <w:gridSpan w:val="2"/>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账号</w:t>
            </w:r>
          </w:p>
        </w:tc>
        <w:tc>
          <w:tcPr>
            <w:tcW w:w="1918" w:type="dxa"/>
            <w:gridSpan w:val="3"/>
            <w:vAlign w:val="center"/>
          </w:tcPr>
          <w:p>
            <w:pPr>
              <w:spacing w:line="312" w:lineRule="auto"/>
              <w:jc w:val="center"/>
              <w:rPr>
                <w:rFonts w:ascii="宋体" w:hAnsi="宋体" w:cs="宋体"/>
                <w:color w:val="auto"/>
                <w:sz w:val="24"/>
              </w:rPr>
            </w:pPr>
          </w:p>
        </w:tc>
        <w:tc>
          <w:tcPr>
            <w:tcW w:w="993" w:type="dxa"/>
            <w:vMerge w:val="continue"/>
            <w:vAlign w:val="center"/>
          </w:tcPr>
          <w:p>
            <w:pPr>
              <w:spacing w:line="312" w:lineRule="auto"/>
              <w:jc w:val="center"/>
              <w:rPr>
                <w:rFonts w:ascii="宋体" w:hAnsi="宋体" w:cs="宋体"/>
                <w:color w:val="auto"/>
                <w:sz w:val="24"/>
              </w:rPr>
            </w:pPr>
          </w:p>
        </w:tc>
        <w:tc>
          <w:tcPr>
            <w:tcW w:w="1984" w:type="dxa"/>
            <w:gridSpan w:val="4"/>
            <w:vAlign w:val="center"/>
          </w:tcPr>
          <w:p>
            <w:pPr>
              <w:spacing w:line="312" w:lineRule="auto"/>
              <w:jc w:val="left"/>
              <w:rPr>
                <w:rFonts w:ascii="宋体" w:hAnsi="宋体" w:cs="宋体"/>
                <w:color w:val="auto"/>
                <w:sz w:val="24"/>
              </w:rPr>
            </w:pPr>
            <w:r>
              <w:rPr>
                <w:rFonts w:hint="eastAsia" w:ascii="宋体" w:hAnsi="宋体" w:cs="宋体"/>
                <w:color w:val="auto"/>
                <w:sz w:val="24"/>
              </w:rPr>
              <w:t>技  工</w:t>
            </w:r>
          </w:p>
        </w:tc>
        <w:tc>
          <w:tcPr>
            <w:tcW w:w="2125" w:type="dxa"/>
            <w:gridSpan w:val="2"/>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经营范围</w:t>
            </w:r>
          </w:p>
        </w:tc>
        <w:tc>
          <w:tcPr>
            <w:tcW w:w="7020" w:type="dxa"/>
            <w:gridSpan w:val="10"/>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auto"/>
                <w:sz w:val="24"/>
              </w:rPr>
            </w:pPr>
            <w:r>
              <w:rPr>
                <w:rFonts w:hint="eastAsia" w:ascii="宋体" w:hAnsi="宋体" w:cs="宋体"/>
                <w:color w:val="auto"/>
                <w:sz w:val="24"/>
              </w:rPr>
              <w:t>备注</w:t>
            </w:r>
          </w:p>
        </w:tc>
        <w:tc>
          <w:tcPr>
            <w:tcW w:w="7020" w:type="dxa"/>
            <w:gridSpan w:val="10"/>
            <w:vAlign w:val="center"/>
          </w:tcPr>
          <w:p>
            <w:pPr>
              <w:spacing w:line="312" w:lineRule="auto"/>
              <w:jc w:val="center"/>
              <w:rPr>
                <w:rFonts w:ascii="宋体" w:hAnsi="宋体" w:cs="宋体"/>
                <w:color w:val="auto"/>
                <w:sz w:val="24"/>
              </w:rPr>
            </w:pPr>
          </w:p>
        </w:tc>
      </w:tr>
    </w:tbl>
    <w:p>
      <w:pPr>
        <w:spacing w:line="312" w:lineRule="auto"/>
        <w:rPr>
          <w:rFonts w:hint="eastAsia" w:ascii="宋体" w:hAnsi="宋体" w:cs="宋体"/>
          <w:color w:val="auto"/>
          <w:sz w:val="24"/>
        </w:rPr>
      </w:pPr>
      <w:bookmarkStart w:id="508" w:name="_Toc2791"/>
      <w:bookmarkStart w:id="509" w:name="_Toc25724"/>
      <w:bookmarkStart w:id="510" w:name="_Toc28785"/>
      <w:bookmarkStart w:id="511" w:name="_Toc6643"/>
      <w:bookmarkStart w:id="512" w:name="_Toc6846"/>
    </w:p>
    <w:p>
      <w:pPr>
        <w:spacing w:line="312" w:lineRule="auto"/>
        <w:rPr>
          <w:rFonts w:ascii="宋体" w:hAnsi="宋体" w:cs="宋体"/>
          <w:color w:val="auto"/>
          <w:sz w:val="24"/>
        </w:rPr>
      </w:pPr>
      <w:r>
        <w:rPr>
          <w:rFonts w:hint="eastAsia" w:ascii="宋体" w:hAnsi="宋体" w:cs="宋体"/>
          <w:color w:val="auto"/>
          <w:sz w:val="24"/>
        </w:rPr>
        <w:t>备注：本表后应附企业法人营业执照、企业资质证书副本等材料的原件扫描件。</w:t>
      </w:r>
    </w:p>
    <w:p>
      <w:pPr>
        <w:rPr>
          <w:rFonts w:ascii="宋体" w:hAnsi="宋体" w:cs="宋体"/>
          <w:color w:val="auto"/>
          <w:kern w:val="0"/>
          <w:sz w:val="24"/>
        </w:rPr>
      </w:pPr>
      <w:r>
        <w:rPr>
          <w:rFonts w:hint="eastAsia" w:ascii="宋体" w:hAnsi="宋体" w:cs="宋体"/>
          <w:color w:val="auto"/>
          <w:kern w:val="0"/>
          <w:sz w:val="24"/>
        </w:rPr>
        <w:br w:type="page"/>
      </w:r>
      <w:bookmarkEnd w:id="508"/>
      <w:bookmarkEnd w:id="509"/>
      <w:bookmarkEnd w:id="510"/>
      <w:bookmarkEnd w:id="511"/>
      <w:bookmarkEnd w:id="512"/>
      <w:r>
        <w:rPr>
          <w:rFonts w:hint="eastAsia" w:ascii="宋体" w:hAnsi="宋体" w:cs="宋体"/>
          <w:b/>
          <w:bCs/>
          <w:color w:val="auto"/>
          <w:kern w:val="0"/>
          <w:sz w:val="24"/>
        </w:rPr>
        <w:t>（二）服务承诺书</w:t>
      </w:r>
    </w:p>
    <w:p>
      <w:pPr>
        <w:autoSpaceDE w:val="0"/>
        <w:autoSpaceDN w:val="0"/>
        <w:adjustRightInd w:val="0"/>
        <w:spacing w:line="312" w:lineRule="auto"/>
        <w:jc w:val="left"/>
        <w:rPr>
          <w:rFonts w:ascii="宋体" w:hAnsi="宋体" w:cs="宋体"/>
          <w:color w:val="auto"/>
          <w:kern w:val="0"/>
          <w:sz w:val="24"/>
        </w:rPr>
      </w:pPr>
    </w:p>
    <w:tbl>
      <w:tblPr>
        <w:tblStyle w:val="33"/>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color w:val="auto"/>
                <w:sz w:val="24"/>
              </w:rPr>
            </w:pPr>
            <w:bookmarkStart w:id="513" w:name="_Toc25113"/>
            <w:bookmarkStart w:id="514" w:name="_Toc28062"/>
            <w:bookmarkStart w:id="515" w:name="_Toc1890"/>
            <w:bookmarkStart w:id="516" w:name="_Toc23283"/>
            <w:bookmarkStart w:id="517" w:name="_Toc26172"/>
            <w:r>
              <w:rPr>
                <w:rFonts w:hint="eastAsia" w:ascii="宋体" w:hAnsi="宋体" w:cs="宋体"/>
                <w:color w:val="auto"/>
                <w:sz w:val="24"/>
              </w:rPr>
              <w:t>投  标  单 位</w:t>
            </w:r>
          </w:p>
        </w:tc>
        <w:tc>
          <w:tcPr>
            <w:tcW w:w="7083" w:type="dxa"/>
            <w:vAlign w:val="center"/>
          </w:tcPr>
          <w:p>
            <w:pPr>
              <w:spacing w:line="312" w:lineRule="auto"/>
              <w:jc w:val="center"/>
              <w:rPr>
                <w:rFonts w:ascii="宋体" w:hAnsi="宋体" w:cs="宋体"/>
                <w:color w:val="auto"/>
                <w:sz w:val="24"/>
              </w:rPr>
            </w:pPr>
            <w:r>
              <w:rPr>
                <w:rFonts w:hint="eastAsia" w:ascii="宋体" w:hAnsi="宋体" w:cs="宋体"/>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color w:val="auto"/>
                <w:sz w:val="24"/>
              </w:rPr>
            </w:pPr>
            <w:r>
              <w:rPr>
                <w:rFonts w:hint="eastAsia" w:ascii="宋体" w:hAnsi="宋体" w:cs="宋体"/>
                <w:color w:val="auto"/>
                <w:sz w:val="24"/>
              </w:rPr>
              <w:t>承诺内容：</w:t>
            </w: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ind w:firstLine="2400" w:firstLineChars="1000"/>
              <w:rPr>
                <w:rFonts w:ascii="宋体" w:hAnsi="宋体" w:cs="宋体"/>
                <w:color w:val="auto"/>
                <w:sz w:val="24"/>
              </w:rPr>
            </w:pPr>
          </w:p>
          <w:p>
            <w:pPr>
              <w:spacing w:line="312" w:lineRule="auto"/>
              <w:ind w:firstLine="2400" w:firstLineChars="1000"/>
              <w:jc w:val="right"/>
              <w:rPr>
                <w:rFonts w:ascii="宋体" w:hAnsi="宋体" w:cs="宋体"/>
                <w:color w:val="auto"/>
                <w:sz w:val="24"/>
              </w:rPr>
            </w:pPr>
            <w:r>
              <w:rPr>
                <w:rFonts w:hint="eastAsia" w:ascii="宋体" w:hAnsi="宋体" w:cs="宋体"/>
                <w:color w:val="auto"/>
                <w:sz w:val="24"/>
              </w:rPr>
              <w:t>投标人法定代表人或授权委托人：（签字或盖章）</w:t>
            </w:r>
          </w:p>
          <w:p>
            <w:pPr>
              <w:spacing w:line="312" w:lineRule="auto"/>
              <w:ind w:firstLine="960" w:firstLineChars="400"/>
              <w:jc w:val="right"/>
              <w:rPr>
                <w:rFonts w:ascii="宋体" w:hAnsi="宋体" w:cs="宋体"/>
                <w:color w:val="auto"/>
                <w:sz w:val="24"/>
              </w:rPr>
            </w:pPr>
          </w:p>
          <w:p>
            <w:pPr>
              <w:tabs>
                <w:tab w:val="center" w:pos="4535"/>
              </w:tabs>
              <w:spacing w:line="312" w:lineRule="auto"/>
              <w:ind w:firstLine="3240" w:firstLineChars="1350"/>
              <w:jc w:val="right"/>
              <w:rPr>
                <w:rFonts w:ascii="宋体" w:hAnsi="宋体" w:cs="宋体"/>
                <w:color w:val="auto"/>
                <w:sz w:val="24"/>
              </w:rPr>
            </w:pPr>
            <w:r>
              <w:rPr>
                <w:rFonts w:hint="eastAsia" w:ascii="宋体" w:hAnsi="宋体" w:cs="宋体"/>
                <w:color w:val="auto"/>
                <w:sz w:val="24"/>
              </w:rPr>
              <w:t>日期：   年    月     日</w:t>
            </w:r>
            <w:r>
              <w:rPr>
                <w:rFonts w:hint="eastAsia" w:ascii="宋体" w:hAnsi="宋体" w:cs="宋体"/>
                <w:color w:val="auto"/>
                <w:sz w:val="24"/>
              </w:rPr>
              <w:tab/>
            </w:r>
          </w:p>
        </w:tc>
      </w:tr>
    </w:tbl>
    <w:p>
      <w:pPr>
        <w:spacing w:line="312" w:lineRule="auto"/>
        <w:rPr>
          <w:color w:val="auto"/>
        </w:rPr>
      </w:pPr>
    </w:p>
    <w:bookmarkEnd w:id="513"/>
    <w:bookmarkEnd w:id="514"/>
    <w:bookmarkEnd w:id="515"/>
    <w:bookmarkEnd w:id="516"/>
    <w:bookmarkEnd w:id="517"/>
    <w:p>
      <w:pPr>
        <w:spacing w:line="312" w:lineRule="auto"/>
        <w:rPr>
          <w:color w:val="auto"/>
        </w:rPr>
      </w:pPr>
      <w:bookmarkStart w:id="518" w:name="_Toc3076"/>
      <w:bookmarkStart w:id="519" w:name="_Toc17947"/>
      <w:bookmarkStart w:id="520" w:name="_Toc2992"/>
      <w:bookmarkStart w:id="521" w:name="_Toc18027"/>
      <w:bookmarkStart w:id="522" w:name="_Toc8776"/>
    </w:p>
    <w:bookmarkEnd w:id="518"/>
    <w:bookmarkEnd w:id="519"/>
    <w:bookmarkEnd w:id="520"/>
    <w:bookmarkEnd w:id="521"/>
    <w:bookmarkEnd w:id="522"/>
    <w:p>
      <w:pPr>
        <w:spacing w:line="312" w:lineRule="auto"/>
        <w:rPr>
          <w:color w:val="auto"/>
        </w:rPr>
      </w:pPr>
      <w:bookmarkStart w:id="523" w:name="_Toc10712"/>
      <w:bookmarkStart w:id="524" w:name="_Toc31783"/>
      <w:bookmarkStart w:id="525" w:name="_Toc389"/>
      <w:bookmarkStart w:id="526" w:name="_Toc30171"/>
    </w:p>
    <w:p>
      <w:pPr>
        <w:spacing w:line="312" w:lineRule="auto"/>
        <w:rPr>
          <w:color w:val="auto"/>
        </w:rPr>
      </w:pPr>
    </w:p>
    <w:p>
      <w:pPr>
        <w:pStyle w:val="2"/>
        <w:jc w:val="center"/>
        <w:rPr>
          <w:rFonts w:ascii="黑体" w:hAnsi="黑体" w:cs="黑体"/>
          <w:color w:val="auto"/>
          <w:sz w:val="28"/>
          <w:szCs w:val="28"/>
        </w:rPr>
      </w:pPr>
      <w:bookmarkStart w:id="527" w:name="_Toc965"/>
      <w:bookmarkStart w:id="528" w:name="_Toc517940895"/>
      <w:r>
        <w:rPr>
          <w:rFonts w:hint="eastAsia" w:ascii="黑体" w:hAnsi="黑体" w:cs="黑体"/>
          <w:color w:val="auto"/>
          <w:sz w:val="28"/>
          <w:szCs w:val="28"/>
        </w:rPr>
        <w:t>八、近年财务状况表</w:t>
      </w:r>
      <w:bookmarkEnd w:id="523"/>
      <w:bookmarkEnd w:id="524"/>
      <w:bookmarkEnd w:id="525"/>
      <w:bookmarkEnd w:id="526"/>
      <w:bookmarkEnd w:id="527"/>
      <w:bookmarkEnd w:id="528"/>
    </w:p>
    <w:p>
      <w:pPr>
        <w:spacing w:line="312" w:lineRule="auto"/>
        <w:ind w:left="720" w:hanging="720" w:hangingChars="300"/>
        <w:rPr>
          <w:rFonts w:ascii="宋体" w:hAnsi="宋体" w:cs="宋体"/>
          <w:color w:val="auto"/>
          <w:sz w:val="24"/>
        </w:rPr>
      </w:pPr>
      <w:r>
        <w:rPr>
          <w:rFonts w:hint="eastAsia" w:ascii="宋体" w:hAnsi="宋体" w:cs="宋体"/>
          <w:color w:val="auto"/>
          <w:sz w:val="24"/>
        </w:rPr>
        <w:t>备注：在此附经会计师事务所或审计机构审计的财务会计报表，包括资产负债表、损益表、现金流量表、利润表和财务情况说明书的原件扫描件，具体年份要求见第二章“投标人须知”的规定。</w:t>
      </w:r>
    </w:p>
    <w:p>
      <w:pPr>
        <w:pStyle w:val="2"/>
        <w:rPr>
          <w:rFonts w:ascii="宋体" w:hAnsi="宋体" w:cs="宋体"/>
          <w:color w:val="auto"/>
          <w:sz w:val="28"/>
          <w:szCs w:val="28"/>
        </w:rPr>
      </w:pPr>
      <w:r>
        <w:rPr>
          <w:rFonts w:hint="eastAsia" w:ascii="宋体" w:hAnsi="宋体" w:cs="宋体"/>
          <w:color w:val="auto"/>
          <w:sz w:val="24"/>
        </w:rPr>
        <w:br w:type="page"/>
      </w:r>
      <w:bookmarkStart w:id="529" w:name="_Toc21593"/>
      <w:bookmarkStart w:id="530" w:name="_Toc15075"/>
      <w:bookmarkStart w:id="531" w:name="_Toc18551"/>
      <w:bookmarkStart w:id="532" w:name="_Toc16611"/>
      <w:bookmarkStart w:id="533" w:name="_Toc517940896"/>
      <w:bookmarkStart w:id="534" w:name="_Toc15031"/>
      <w:r>
        <w:rPr>
          <w:rFonts w:hint="eastAsia" w:ascii="黑体" w:hAnsi="黑体" w:cs="黑体"/>
          <w:color w:val="auto"/>
          <w:sz w:val="28"/>
          <w:szCs w:val="28"/>
        </w:rPr>
        <w:t>九、近年完成的类似项目情况表</w:t>
      </w:r>
      <w:bookmarkEnd w:id="529"/>
      <w:bookmarkEnd w:id="530"/>
      <w:bookmarkEnd w:id="531"/>
      <w:bookmarkEnd w:id="532"/>
      <w:bookmarkEnd w:id="533"/>
      <w:bookmarkEnd w:id="534"/>
    </w:p>
    <w:tbl>
      <w:tblPr>
        <w:tblStyle w:val="33"/>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项目名称</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项目所在地</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发包人名称</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发包人地址</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发包人联系人及电话</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合同价格</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开工日期</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竣工日期</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承担的工作</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工程质量</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项目经理</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技术负责人</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总监理工程师及电话</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项目描述</w:t>
            </w:r>
          </w:p>
        </w:tc>
        <w:tc>
          <w:tcPr>
            <w:tcW w:w="6094"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color w:val="auto"/>
                <w:sz w:val="24"/>
              </w:rPr>
            </w:pPr>
            <w:r>
              <w:rPr>
                <w:rFonts w:hint="eastAsia" w:ascii="宋体" w:hAnsi="宋体" w:cs="宋体"/>
                <w:color w:val="auto"/>
                <w:sz w:val="24"/>
              </w:rPr>
              <w:t>备注</w:t>
            </w:r>
          </w:p>
        </w:tc>
        <w:tc>
          <w:tcPr>
            <w:tcW w:w="6094" w:type="dxa"/>
            <w:vAlign w:val="center"/>
          </w:tcPr>
          <w:p>
            <w:pPr>
              <w:spacing w:line="312" w:lineRule="auto"/>
              <w:jc w:val="center"/>
              <w:rPr>
                <w:rFonts w:ascii="宋体" w:hAnsi="宋体" w:cs="宋体"/>
                <w:color w:val="auto"/>
                <w:sz w:val="24"/>
              </w:rPr>
            </w:pPr>
          </w:p>
        </w:tc>
      </w:tr>
    </w:tbl>
    <w:p>
      <w:pPr>
        <w:spacing w:line="312" w:lineRule="auto"/>
        <w:ind w:firstLine="480" w:firstLineChars="200"/>
        <w:rPr>
          <w:rFonts w:ascii="宋体" w:hAnsi="宋体" w:cs="宋体"/>
          <w:color w:val="auto"/>
          <w:sz w:val="24"/>
        </w:rPr>
      </w:pPr>
    </w:p>
    <w:p>
      <w:pPr>
        <w:pStyle w:val="2"/>
        <w:rPr>
          <w:rFonts w:ascii="黑体" w:hAnsi="黑体" w:cs="黑体"/>
          <w:color w:val="auto"/>
          <w:sz w:val="28"/>
          <w:szCs w:val="28"/>
        </w:rPr>
      </w:pPr>
      <w:r>
        <w:rPr>
          <w:rFonts w:hint="eastAsia" w:ascii="宋体" w:hAnsi="宋体" w:cs="宋体"/>
          <w:color w:val="auto"/>
          <w:sz w:val="24"/>
        </w:rPr>
        <w:t>备注：类似项目业绩须附合同协议书和中标通知书或竣工验收备案登记表原件扫描件。</w:t>
      </w:r>
      <w:r>
        <w:rPr>
          <w:rFonts w:hint="eastAsia" w:ascii="宋体" w:hAnsi="宋体" w:cs="宋体"/>
          <w:color w:val="auto"/>
          <w:sz w:val="24"/>
        </w:rPr>
        <w:br w:type="page"/>
      </w:r>
      <w:bookmarkStart w:id="535" w:name="_Toc18092"/>
      <w:bookmarkStart w:id="536" w:name="_Toc21600"/>
      <w:bookmarkStart w:id="537" w:name="_Toc8051"/>
      <w:bookmarkStart w:id="538" w:name="_Toc7014"/>
      <w:bookmarkStart w:id="539" w:name="_Toc49"/>
      <w:bookmarkStart w:id="540" w:name="_Toc517940897"/>
      <w:r>
        <w:rPr>
          <w:rFonts w:hint="eastAsia" w:ascii="黑体" w:hAnsi="黑体" w:cs="黑体"/>
          <w:color w:val="auto"/>
          <w:sz w:val="28"/>
          <w:szCs w:val="28"/>
        </w:rPr>
        <w:t>十、正在施工的和新承接的项目情况表</w:t>
      </w:r>
      <w:bookmarkEnd w:id="535"/>
      <w:bookmarkEnd w:id="536"/>
      <w:bookmarkEnd w:id="537"/>
      <w:bookmarkEnd w:id="538"/>
      <w:bookmarkEnd w:id="539"/>
      <w:bookmarkEnd w:id="540"/>
    </w:p>
    <w:tbl>
      <w:tblPr>
        <w:tblStyle w:val="33"/>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项目名称</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项目所在地</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发包人名称</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发包人地址</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发包人电话</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签约合同价</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开工日期</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计划竣工日期</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承担的工作</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工程质量</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项目经理</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技术负责人</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总监理工程师及电话</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项目描述</w:t>
            </w:r>
          </w:p>
        </w:tc>
        <w:tc>
          <w:tcPr>
            <w:tcW w:w="609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color w:val="auto"/>
                <w:sz w:val="24"/>
              </w:rPr>
            </w:pPr>
            <w:r>
              <w:rPr>
                <w:rFonts w:hint="eastAsia" w:ascii="宋体" w:hAnsi="宋体" w:cs="宋体"/>
                <w:color w:val="auto"/>
                <w:sz w:val="24"/>
              </w:rPr>
              <w:t>备注</w:t>
            </w:r>
          </w:p>
        </w:tc>
        <w:tc>
          <w:tcPr>
            <w:tcW w:w="6095" w:type="dxa"/>
            <w:vAlign w:val="center"/>
          </w:tcPr>
          <w:p>
            <w:pPr>
              <w:spacing w:line="312" w:lineRule="auto"/>
              <w:jc w:val="center"/>
              <w:rPr>
                <w:rFonts w:ascii="宋体" w:hAnsi="宋体" w:cs="宋体"/>
                <w:color w:val="auto"/>
                <w:sz w:val="24"/>
              </w:rPr>
            </w:pPr>
          </w:p>
        </w:tc>
      </w:tr>
    </w:tbl>
    <w:p>
      <w:pPr>
        <w:spacing w:line="312" w:lineRule="auto"/>
        <w:rPr>
          <w:rFonts w:hint="eastAsia" w:ascii="宋体" w:hAnsi="宋体" w:cs="宋体"/>
          <w:color w:val="auto"/>
          <w:sz w:val="24"/>
        </w:rPr>
      </w:pPr>
    </w:p>
    <w:p>
      <w:pPr>
        <w:spacing w:line="312" w:lineRule="auto"/>
        <w:rPr>
          <w:rFonts w:hint="eastAsia" w:ascii="宋体" w:hAnsi="宋体" w:cs="宋体"/>
          <w:color w:val="auto"/>
          <w:sz w:val="24"/>
        </w:rPr>
      </w:pPr>
    </w:p>
    <w:p>
      <w:pPr>
        <w:spacing w:line="312" w:lineRule="auto"/>
        <w:ind w:firstLine="720" w:firstLineChars="300"/>
        <w:rPr>
          <w:rFonts w:ascii="宋体" w:hAnsi="宋体" w:cs="宋体"/>
          <w:color w:val="auto"/>
          <w:sz w:val="24"/>
          <w:highlight w:val="yellow"/>
        </w:rPr>
      </w:pPr>
      <w:r>
        <w:rPr>
          <w:rFonts w:hint="eastAsia" w:ascii="宋体" w:hAnsi="宋体" w:cs="宋体"/>
          <w:color w:val="auto"/>
          <w:sz w:val="24"/>
        </w:rPr>
        <w:t>备注：本表后附中标通知书和合同协议书原件扫描件。每张表格只填写一个项目，并标明序号。</w:t>
      </w:r>
    </w:p>
    <w:p>
      <w:pPr>
        <w:pStyle w:val="2"/>
        <w:rPr>
          <w:rFonts w:ascii="黑体" w:hAnsi="黑体" w:cs="黑体"/>
          <w:color w:val="auto"/>
          <w:sz w:val="28"/>
          <w:szCs w:val="28"/>
        </w:rPr>
      </w:pPr>
      <w:bookmarkStart w:id="541" w:name="_Toc25001"/>
      <w:bookmarkStart w:id="542" w:name="_Toc31962"/>
      <w:bookmarkStart w:id="543" w:name="_Toc23559"/>
      <w:bookmarkStart w:id="544" w:name="_Toc10462"/>
      <w:r>
        <w:rPr>
          <w:rFonts w:hint="eastAsia" w:ascii="宋体" w:hAnsi="宋体" w:cs="宋体"/>
          <w:color w:val="auto"/>
          <w:sz w:val="24"/>
        </w:rPr>
        <w:br w:type="page"/>
      </w:r>
      <w:bookmarkStart w:id="545" w:name="_Toc517940898"/>
      <w:bookmarkStart w:id="546" w:name="_Toc19843"/>
      <w:r>
        <w:rPr>
          <w:rFonts w:hint="eastAsia" w:ascii="黑体" w:hAnsi="黑体" w:cs="黑体"/>
          <w:color w:val="auto"/>
          <w:sz w:val="28"/>
          <w:szCs w:val="28"/>
        </w:rPr>
        <w:t>十一、近年发生的诉讼和仲裁情况</w:t>
      </w:r>
      <w:bookmarkEnd w:id="541"/>
      <w:bookmarkEnd w:id="542"/>
      <w:bookmarkEnd w:id="543"/>
      <w:bookmarkEnd w:id="544"/>
      <w:bookmarkEnd w:id="545"/>
      <w:bookmarkEnd w:id="546"/>
    </w:p>
    <w:p>
      <w:pPr>
        <w:pStyle w:val="2"/>
        <w:rPr>
          <w:rFonts w:ascii="宋体" w:hAnsi="宋体" w:eastAsia="宋体" w:cs="宋体"/>
          <w:b w:val="0"/>
          <w:bCs w:val="0"/>
          <w:color w:val="auto"/>
          <w:kern w:val="2"/>
          <w:sz w:val="24"/>
          <w:szCs w:val="24"/>
        </w:rPr>
      </w:pPr>
      <w:bookmarkStart w:id="547" w:name="_Toc517940899"/>
      <w:bookmarkStart w:id="548" w:name="_Toc517168757"/>
      <w:bookmarkStart w:id="549" w:name="_Toc29877"/>
      <w:bookmarkStart w:id="550" w:name="_Toc10922"/>
      <w:bookmarkStart w:id="551" w:name="_Toc13881"/>
      <w:bookmarkStart w:id="552" w:name="_Toc31843"/>
      <w:bookmarkStart w:id="553" w:name="_Toc24665"/>
      <w:r>
        <w:rPr>
          <w:rFonts w:hint="eastAsia" w:ascii="宋体" w:hAnsi="宋体" w:eastAsia="宋体" w:cs="宋体"/>
          <w:b w:val="0"/>
          <w:bCs w:val="0"/>
          <w:color w:val="auto"/>
          <w:kern w:val="2"/>
          <w:sz w:val="24"/>
          <w:szCs w:val="24"/>
        </w:rPr>
        <w:t>说明：近年发生的诉讼和仲裁情况仅限于投标人败诉的，且与履行施工承包合同有关的案件，不包括调解结案以及未裁决的仲裁或未终审判决的诉讼。</w:t>
      </w:r>
      <w:bookmarkEnd w:id="547"/>
      <w:bookmarkEnd w:id="548"/>
    </w:p>
    <w:p>
      <w:pPr>
        <w:pStyle w:val="2"/>
        <w:rPr>
          <w:rFonts w:ascii="宋体" w:hAnsi="宋体" w:eastAsia="宋体" w:cs="宋体"/>
          <w:b w:val="0"/>
          <w:bCs w:val="0"/>
          <w:color w:val="auto"/>
          <w:kern w:val="2"/>
          <w:sz w:val="24"/>
          <w:szCs w:val="24"/>
        </w:rPr>
      </w:pPr>
    </w:p>
    <w:p>
      <w:pPr>
        <w:pStyle w:val="2"/>
        <w:rPr>
          <w:rFonts w:ascii="宋体" w:hAnsi="宋体" w:cs="宋体"/>
          <w:color w:val="auto"/>
          <w:position w:val="-7"/>
          <w:sz w:val="24"/>
        </w:rPr>
      </w:pPr>
      <w:bookmarkStart w:id="554" w:name="_Toc517940900"/>
      <w:r>
        <w:rPr>
          <w:rFonts w:hint="eastAsia" w:ascii="黑体" w:hAnsi="黑体" w:cs="黑体"/>
          <w:color w:val="auto"/>
          <w:sz w:val="28"/>
          <w:szCs w:val="28"/>
        </w:rPr>
        <w:t>十二、承诺书</w:t>
      </w:r>
      <w:bookmarkEnd w:id="549"/>
      <w:bookmarkEnd w:id="550"/>
      <w:bookmarkEnd w:id="551"/>
      <w:bookmarkEnd w:id="552"/>
      <w:bookmarkEnd w:id="553"/>
      <w:bookmarkEnd w:id="554"/>
    </w:p>
    <w:p>
      <w:pPr>
        <w:spacing w:line="312" w:lineRule="auto"/>
        <w:jc w:val="right"/>
        <w:rPr>
          <w:rFonts w:ascii="黑体" w:hAnsi="宋体" w:eastAsia="黑体"/>
          <w:color w:val="auto"/>
          <w:sz w:val="28"/>
          <w:szCs w:val="28"/>
        </w:rPr>
      </w:pPr>
      <w:bookmarkStart w:id="555" w:name="_Toc2136"/>
      <w:bookmarkStart w:id="556" w:name="_Toc21067"/>
      <w:bookmarkStart w:id="557" w:name="_Toc14405"/>
      <w:bookmarkStart w:id="558" w:name="_Toc30480"/>
    </w:p>
    <w:p>
      <w:pPr>
        <w:spacing w:line="312" w:lineRule="auto"/>
        <w:rPr>
          <w:color w:val="auto"/>
        </w:rPr>
      </w:pPr>
    </w:p>
    <w:p>
      <w:pPr>
        <w:spacing w:line="312" w:lineRule="auto"/>
        <w:rPr>
          <w:color w:val="auto"/>
        </w:rPr>
      </w:pPr>
    </w:p>
    <w:p>
      <w:pPr>
        <w:pStyle w:val="2"/>
        <w:rPr>
          <w:rFonts w:ascii="黑体" w:hAnsi="黑体" w:cs="黑体"/>
          <w:color w:val="auto"/>
          <w:sz w:val="28"/>
          <w:szCs w:val="28"/>
        </w:rPr>
      </w:pPr>
      <w:bookmarkStart w:id="559" w:name="_Toc517940901"/>
      <w:bookmarkStart w:id="560" w:name="_Toc19527"/>
      <w:r>
        <w:rPr>
          <w:rFonts w:hint="eastAsia" w:ascii="黑体" w:hAnsi="黑体" w:cs="黑体"/>
          <w:color w:val="auto"/>
          <w:sz w:val="28"/>
          <w:szCs w:val="28"/>
        </w:rPr>
        <w:t>十三、投标人须知前附表规定的其它材料</w:t>
      </w:r>
      <w:bookmarkEnd w:id="555"/>
      <w:bookmarkEnd w:id="556"/>
      <w:bookmarkEnd w:id="557"/>
      <w:bookmarkEnd w:id="558"/>
      <w:bookmarkEnd w:id="559"/>
      <w:bookmarkEnd w:id="560"/>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pStyle w:val="32"/>
        <w:ind w:firstLine="280"/>
        <w:rPr>
          <w:rFonts w:ascii="黑体" w:hAnsi="黑体" w:eastAsia="黑体" w:cs="黑体"/>
          <w:color w:val="auto"/>
          <w:kern w:val="0"/>
          <w:sz w:val="28"/>
          <w:szCs w:val="28"/>
        </w:rPr>
      </w:pPr>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p>
      <w:pPr>
        <w:pStyle w:val="32"/>
        <w:ind w:firstLine="210"/>
        <w:rPr>
          <w:color w:val="auto"/>
        </w:rPr>
      </w:pPr>
    </w:p>
    <w:p>
      <w:pPr>
        <w:spacing w:line="312" w:lineRule="auto"/>
        <w:ind w:left="840" w:hanging="840" w:hangingChars="300"/>
        <w:jc w:val="left"/>
        <w:outlineLvl w:val="1"/>
        <w:rPr>
          <w:rFonts w:ascii="黑体" w:hAnsi="黑体" w:eastAsia="黑体" w:cs="黑体"/>
          <w:color w:val="auto"/>
          <w:kern w:val="0"/>
          <w:sz w:val="28"/>
          <w:szCs w:val="28"/>
        </w:rPr>
      </w:pPr>
      <w:r>
        <w:rPr>
          <w:rFonts w:hint="eastAsia" w:ascii="黑体" w:hAnsi="黑体" w:eastAsia="黑体" w:cs="黑体"/>
          <w:color w:val="auto"/>
          <w:kern w:val="0"/>
          <w:sz w:val="28"/>
          <w:szCs w:val="28"/>
        </w:rPr>
        <w:t>附表：             投标人主要参建人员签字备案表</w:t>
      </w:r>
    </w:p>
    <w:p>
      <w:pPr>
        <w:spacing w:line="312" w:lineRule="auto"/>
        <w:ind w:left="840" w:hanging="840" w:hangingChars="300"/>
        <w:jc w:val="left"/>
        <w:outlineLvl w:val="1"/>
        <w:rPr>
          <w:rFonts w:ascii="黑体" w:hAnsi="黑体" w:eastAsia="黑体" w:cs="黑体"/>
          <w:color w:val="auto"/>
          <w:kern w:val="0"/>
          <w:sz w:val="28"/>
          <w:szCs w:val="28"/>
        </w:rPr>
      </w:pPr>
    </w:p>
    <w:tbl>
      <w:tblPr>
        <w:tblStyle w:val="33"/>
        <w:tblW w:w="8628" w:type="dxa"/>
        <w:jc w:val="center"/>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1760" w:type="dxa"/>
            <w:vAlign w:val="center"/>
          </w:tcPr>
          <w:p>
            <w:pPr>
              <w:spacing w:line="312" w:lineRule="auto"/>
              <w:jc w:val="center"/>
              <w:outlineLvl w:val="1"/>
              <w:rPr>
                <w:rFonts w:ascii="宋体" w:hAnsi="宋体" w:cs="黑体"/>
                <w:color w:val="auto"/>
                <w:kern w:val="0"/>
                <w:sz w:val="24"/>
              </w:rPr>
            </w:pPr>
            <w:r>
              <w:rPr>
                <w:rFonts w:hint="eastAsia" w:ascii="宋体" w:hAnsi="宋体" w:cs="黑体"/>
                <w:color w:val="auto"/>
                <w:kern w:val="0"/>
                <w:sz w:val="24"/>
              </w:rPr>
              <w:t>姓名</w:t>
            </w:r>
          </w:p>
        </w:tc>
        <w:tc>
          <w:tcPr>
            <w:tcW w:w="1760" w:type="dxa"/>
            <w:vAlign w:val="center"/>
          </w:tcPr>
          <w:p>
            <w:pPr>
              <w:spacing w:line="312" w:lineRule="auto"/>
              <w:jc w:val="center"/>
              <w:outlineLvl w:val="1"/>
              <w:rPr>
                <w:rFonts w:ascii="宋体" w:hAnsi="宋体" w:cs="黑体"/>
                <w:color w:val="auto"/>
                <w:kern w:val="0"/>
                <w:sz w:val="24"/>
              </w:rPr>
            </w:pPr>
            <w:r>
              <w:rPr>
                <w:rFonts w:hint="eastAsia" w:ascii="宋体" w:hAnsi="宋体" w:cs="黑体"/>
                <w:color w:val="auto"/>
                <w:kern w:val="0"/>
                <w:sz w:val="24"/>
              </w:rPr>
              <w:t>拟任职务</w:t>
            </w:r>
          </w:p>
        </w:tc>
        <w:tc>
          <w:tcPr>
            <w:tcW w:w="1760" w:type="dxa"/>
            <w:vAlign w:val="center"/>
          </w:tcPr>
          <w:p>
            <w:pPr>
              <w:spacing w:line="312" w:lineRule="auto"/>
              <w:jc w:val="center"/>
              <w:outlineLvl w:val="1"/>
              <w:rPr>
                <w:rFonts w:ascii="宋体" w:hAnsi="宋体" w:cs="黑体"/>
                <w:color w:val="auto"/>
                <w:kern w:val="0"/>
                <w:sz w:val="24"/>
              </w:rPr>
            </w:pPr>
            <w:r>
              <w:rPr>
                <w:rFonts w:hint="eastAsia" w:ascii="宋体" w:hAnsi="宋体" w:cs="黑体"/>
                <w:color w:val="auto"/>
                <w:kern w:val="0"/>
                <w:sz w:val="24"/>
              </w:rPr>
              <w:t>身份证号</w:t>
            </w:r>
          </w:p>
        </w:tc>
        <w:tc>
          <w:tcPr>
            <w:tcW w:w="1548" w:type="dxa"/>
            <w:vAlign w:val="center"/>
          </w:tcPr>
          <w:p>
            <w:pPr>
              <w:spacing w:line="312" w:lineRule="auto"/>
              <w:jc w:val="center"/>
              <w:outlineLvl w:val="1"/>
              <w:rPr>
                <w:rFonts w:ascii="宋体" w:hAnsi="宋体" w:cs="黑体"/>
                <w:color w:val="auto"/>
                <w:kern w:val="0"/>
                <w:sz w:val="24"/>
              </w:rPr>
            </w:pPr>
            <w:r>
              <w:rPr>
                <w:rFonts w:hint="eastAsia" w:ascii="宋体" w:hAnsi="宋体" w:cs="黑体"/>
                <w:color w:val="auto"/>
                <w:kern w:val="0"/>
                <w:sz w:val="24"/>
              </w:rPr>
              <w:t>联系电话</w:t>
            </w:r>
          </w:p>
        </w:tc>
        <w:tc>
          <w:tcPr>
            <w:tcW w:w="1800" w:type="dxa"/>
            <w:vAlign w:val="center"/>
          </w:tcPr>
          <w:p>
            <w:pPr>
              <w:spacing w:line="312" w:lineRule="auto"/>
              <w:jc w:val="center"/>
              <w:outlineLvl w:val="1"/>
              <w:rPr>
                <w:rFonts w:ascii="宋体" w:hAnsi="宋体" w:cs="黑体"/>
                <w:color w:val="auto"/>
                <w:kern w:val="0"/>
                <w:sz w:val="24"/>
              </w:rPr>
            </w:pPr>
            <w:r>
              <w:rPr>
                <w:rFonts w:hint="eastAsia" w:ascii="宋体" w:hAnsi="宋体" w:cs="黑体"/>
                <w:color w:val="auto"/>
                <w:kern w:val="0"/>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760" w:type="dxa"/>
            <w:vAlign w:val="center"/>
          </w:tcPr>
          <w:p>
            <w:pPr>
              <w:spacing w:line="312" w:lineRule="auto"/>
              <w:jc w:val="center"/>
              <w:outlineLvl w:val="1"/>
              <w:rPr>
                <w:rFonts w:ascii="宋体" w:hAnsi="宋体" w:cs="黑体"/>
                <w:color w:val="auto"/>
                <w:kern w:val="0"/>
                <w:sz w:val="24"/>
              </w:rPr>
            </w:pPr>
          </w:p>
        </w:tc>
        <w:tc>
          <w:tcPr>
            <w:tcW w:w="1548" w:type="dxa"/>
            <w:vAlign w:val="center"/>
          </w:tcPr>
          <w:p>
            <w:pPr>
              <w:spacing w:line="312" w:lineRule="auto"/>
              <w:jc w:val="center"/>
              <w:outlineLvl w:val="1"/>
              <w:rPr>
                <w:rFonts w:ascii="宋体" w:hAnsi="宋体" w:cs="黑体"/>
                <w:color w:val="auto"/>
                <w:kern w:val="0"/>
                <w:sz w:val="24"/>
              </w:rPr>
            </w:pPr>
          </w:p>
        </w:tc>
        <w:tc>
          <w:tcPr>
            <w:tcW w:w="1800" w:type="dxa"/>
            <w:vAlign w:val="center"/>
          </w:tcPr>
          <w:p>
            <w:pPr>
              <w:spacing w:line="312" w:lineRule="auto"/>
              <w:jc w:val="center"/>
              <w:outlineLvl w:val="1"/>
              <w:rPr>
                <w:rFonts w:ascii="宋体" w:hAnsi="宋体" w:cs="黑体"/>
                <w:color w:val="auto"/>
                <w:kern w:val="0"/>
                <w:sz w:val="24"/>
              </w:rPr>
            </w:pPr>
          </w:p>
        </w:tc>
      </w:tr>
    </w:tbl>
    <w:p>
      <w:pPr>
        <w:spacing w:line="312" w:lineRule="auto"/>
        <w:rPr>
          <w:color w:val="auto"/>
        </w:rPr>
      </w:pPr>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p>
      <w:pPr>
        <w:rPr>
          <w:rFonts w:ascii="黑体" w:hAnsi="黑体" w:eastAsia="黑体" w:cs="黑体"/>
          <w:color w:val="auto"/>
          <w:kern w:val="0"/>
          <w:sz w:val="28"/>
          <w:szCs w:val="28"/>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p>
  <w:p>
    <w:pPr>
      <w:pStyle w:val="21"/>
      <w:ind w:right="360"/>
      <w:jc w:val="center"/>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fldChar w:fldCharType="begin"/>
    </w:r>
    <w:r>
      <w:rPr>
        <w:rStyle w:val="36"/>
      </w:rPr>
      <w:instrText xml:space="preserve">PAGE  </w:instrText>
    </w:r>
    <w:r>
      <w:fldChar w:fldCharType="separate"/>
    </w:r>
    <w:r>
      <w:rPr>
        <w:rStyle w:val="36"/>
      </w:rPr>
      <w:t>3</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p>
  <w:p>
    <w:pPr>
      <w:pStyle w:val="21"/>
      <w:ind w:right="360"/>
      <w:jc w:val="center"/>
      <w:rPr>
        <w:sz w:val="24"/>
        <w:u w:val="single"/>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ind w:right="360"/>
                            <w:jc w:val="center"/>
                          </w:pPr>
                          <w:r>
                            <w:fldChar w:fldCharType="begin"/>
                          </w:r>
                          <w:r>
                            <w:rPr>
                              <w:rStyle w:val="36"/>
                            </w:rPr>
                            <w:instrText xml:space="preserve">PAGE  </w:instrText>
                          </w:r>
                          <w:r>
                            <w:fldChar w:fldCharType="separate"/>
                          </w:r>
                          <w:r>
                            <w:rPr>
                              <w:rStyle w:val="36"/>
                            </w:rP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n7wK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iKMy8cjej07evp+8/Tjy/se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afvArcBAABVAwAADgAAAAAAAAABACAAAAAiAQAAZHJzL2Uyb0RvYy54bWxQSwUGAAAAAAYA&#10;BgBZAQAASwUAAAAA&#10;">
              <v:fill on="f" focussize="0,0"/>
              <v:stroke on="f" weight="1.25pt"/>
              <v:imagedata o:title=""/>
              <o:lock v:ext="edit" aspectratio="f"/>
              <v:textbox inset="0mm,0mm,0mm,0mm" style="mso-fit-shape-to-text:t;">
                <w:txbxContent>
                  <w:p>
                    <w:pPr>
                      <w:pStyle w:val="21"/>
                      <w:ind w:right="360"/>
                      <w:jc w:val="center"/>
                    </w:pPr>
                    <w:r>
                      <w:fldChar w:fldCharType="begin"/>
                    </w:r>
                    <w:r>
                      <w:rPr>
                        <w:rStyle w:val="36"/>
                      </w:rPr>
                      <w:instrText xml:space="preserve">PAGE  </w:instrText>
                    </w:r>
                    <w:r>
                      <w:fldChar w:fldCharType="separate"/>
                    </w:r>
                    <w:r>
                      <w:rPr>
                        <w:rStyle w:val="36"/>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9354"/>
      </w:tabs>
      <w:jc w:val="both"/>
      <w:rPr>
        <w:rFonts w:ascii="黑体" w:hAnsi="黑体" w:eastAsia="黑体"/>
      </w:rPr>
    </w:pPr>
    <w:r>
      <w:rPr>
        <w:rFonts w:hint="eastAsia" w:ascii="黑体" w:hAnsi="黑体" w:eastAsia="黑体"/>
      </w:rPr>
      <w:t>许昌市颍汝干渠综合整治工程（经济技术开发区段）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BA99"/>
    <w:multiLevelType w:val="singleLevel"/>
    <w:tmpl w:val="443ABA99"/>
    <w:lvl w:ilvl="0" w:tentative="0">
      <w:start w:val="1"/>
      <w:numFmt w:val="decimal"/>
      <w:suff w:val="nothing"/>
      <w:lvlText w:val="%1、"/>
      <w:lvlJc w:val="left"/>
    </w:lvl>
  </w:abstractNum>
  <w:abstractNum w:abstractNumId="1">
    <w:nsid w:val="5278B250"/>
    <w:multiLevelType w:val="singleLevel"/>
    <w:tmpl w:val="5278B250"/>
    <w:lvl w:ilvl="0" w:tentative="0">
      <w:start w:val="1"/>
      <w:numFmt w:val="decimal"/>
      <w:suff w:val="nothing"/>
      <w:lvlText w:val="（%1）"/>
      <w:lvlJc w:val="left"/>
    </w:lvl>
  </w:abstractNum>
  <w:abstractNum w:abstractNumId="2">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4692D"/>
    <w:multiLevelType w:val="singleLevel"/>
    <w:tmpl w:val="59E4692D"/>
    <w:lvl w:ilvl="0" w:tentative="0">
      <w:start w:val="4"/>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5"/>
    <w:rsid w:val="00004D17"/>
    <w:rsid w:val="0000733A"/>
    <w:rsid w:val="00007DC6"/>
    <w:rsid w:val="00012270"/>
    <w:rsid w:val="00014DA7"/>
    <w:rsid w:val="00023EC6"/>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2914"/>
    <w:rsid w:val="003D4E81"/>
    <w:rsid w:val="003E5ED6"/>
    <w:rsid w:val="003F0E1D"/>
    <w:rsid w:val="003F47BA"/>
    <w:rsid w:val="003F5DA6"/>
    <w:rsid w:val="003F6A13"/>
    <w:rsid w:val="00405DB2"/>
    <w:rsid w:val="0040697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8229A"/>
    <w:rsid w:val="004911B2"/>
    <w:rsid w:val="00493CCD"/>
    <w:rsid w:val="00494604"/>
    <w:rsid w:val="004A0A84"/>
    <w:rsid w:val="004A1B44"/>
    <w:rsid w:val="004A4F81"/>
    <w:rsid w:val="004A5D4A"/>
    <w:rsid w:val="004B0255"/>
    <w:rsid w:val="004B5EB6"/>
    <w:rsid w:val="004C0536"/>
    <w:rsid w:val="004C2931"/>
    <w:rsid w:val="004C6211"/>
    <w:rsid w:val="004C7A28"/>
    <w:rsid w:val="004D2757"/>
    <w:rsid w:val="004D645F"/>
    <w:rsid w:val="004E7CA3"/>
    <w:rsid w:val="004F5EAA"/>
    <w:rsid w:val="00500386"/>
    <w:rsid w:val="005046AB"/>
    <w:rsid w:val="0051182B"/>
    <w:rsid w:val="00523A00"/>
    <w:rsid w:val="00527FC5"/>
    <w:rsid w:val="0053004A"/>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BFA"/>
    <w:rsid w:val="006450CC"/>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C80"/>
    <w:rsid w:val="00767073"/>
    <w:rsid w:val="007678B1"/>
    <w:rsid w:val="00773713"/>
    <w:rsid w:val="00776360"/>
    <w:rsid w:val="00780F23"/>
    <w:rsid w:val="00787121"/>
    <w:rsid w:val="00791F0E"/>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4D7D"/>
    <w:rsid w:val="00947A00"/>
    <w:rsid w:val="00947C3D"/>
    <w:rsid w:val="00951A88"/>
    <w:rsid w:val="00956E84"/>
    <w:rsid w:val="009571FB"/>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1249"/>
    <w:rsid w:val="00A531BF"/>
    <w:rsid w:val="00A57507"/>
    <w:rsid w:val="00A600E7"/>
    <w:rsid w:val="00A65980"/>
    <w:rsid w:val="00A67FE7"/>
    <w:rsid w:val="00A72011"/>
    <w:rsid w:val="00A72074"/>
    <w:rsid w:val="00A825CB"/>
    <w:rsid w:val="00A8263B"/>
    <w:rsid w:val="00A827FA"/>
    <w:rsid w:val="00A8439D"/>
    <w:rsid w:val="00A853A2"/>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72F8E"/>
    <w:rsid w:val="00B80255"/>
    <w:rsid w:val="00B8114B"/>
    <w:rsid w:val="00B816C5"/>
    <w:rsid w:val="00B86056"/>
    <w:rsid w:val="00B9112E"/>
    <w:rsid w:val="00B933D1"/>
    <w:rsid w:val="00BA0665"/>
    <w:rsid w:val="00BA7FE3"/>
    <w:rsid w:val="00BB046A"/>
    <w:rsid w:val="00BB1262"/>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14CD4"/>
    <w:rsid w:val="00D16756"/>
    <w:rsid w:val="00D20629"/>
    <w:rsid w:val="00D24512"/>
    <w:rsid w:val="00D2739A"/>
    <w:rsid w:val="00D401C3"/>
    <w:rsid w:val="00D4168D"/>
    <w:rsid w:val="00D4252C"/>
    <w:rsid w:val="00D456ED"/>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5702"/>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0F36"/>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90389"/>
    <w:rsid w:val="00F90FF4"/>
    <w:rsid w:val="00F94155"/>
    <w:rsid w:val="00FA2165"/>
    <w:rsid w:val="00FA2EFC"/>
    <w:rsid w:val="00FB4A2C"/>
    <w:rsid w:val="00FB5661"/>
    <w:rsid w:val="00FB5CEB"/>
    <w:rsid w:val="00FB65B0"/>
    <w:rsid w:val="00FB790E"/>
    <w:rsid w:val="00FC7843"/>
    <w:rsid w:val="00FC7E09"/>
    <w:rsid w:val="00FD003B"/>
    <w:rsid w:val="00FD4409"/>
    <w:rsid w:val="00FD6724"/>
    <w:rsid w:val="00FE7A2F"/>
    <w:rsid w:val="00FF3349"/>
    <w:rsid w:val="00FF6498"/>
    <w:rsid w:val="01371CC8"/>
    <w:rsid w:val="016967F5"/>
    <w:rsid w:val="018A2335"/>
    <w:rsid w:val="01CE62CC"/>
    <w:rsid w:val="01E13027"/>
    <w:rsid w:val="02316022"/>
    <w:rsid w:val="024E111E"/>
    <w:rsid w:val="026D3D2A"/>
    <w:rsid w:val="02B938E8"/>
    <w:rsid w:val="03320FA6"/>
    <w:rsid w:val="03650B17"/>
    <w:rsid w:val="037370F3"/>
    <w:rsid w:val="037A2786"/>
    <w:rsid w:val="039E4521"/>
    <w:rsid w:val="03AA066B"/>
    <w:rsid w:val="03E15ED6"/>
    <w:rsid w:val="0404501C"/>
    <w:rsid w:val="040F0127"/>
    <w:rsid w:val="04292D20"/>
    <w:rsid w:val="04357F8B"/>
    <w:rsid w:val="043D4EFB"/>
    <w:rsid w:val="046F17D7"/>
    <w:rsid w:val="04835276"/>
    <w:rsid w:val="053E5B7B"/>
    <w:rsid w:val="056D3CA0"/>
    <w:rsid w:val="059725E9"/>
    <w:rsid w:val="05AD5A4F"/>
    <w:rsid w:val="05B61BFF"/>
    <w:rsid w:val="05D2290B"/>
    <w:rsid w:val="05F12870"/>
    <w:rsid w:val="061C614D"/>
    <w:rsid w:val="06473A34"/>
    <w:rsid w:val="06637006"/>
    <w:rsid w:val="06767901"/>
    <w:rsid w:val="06987D62"/>
    <w:rsid w:val="06D96859"/>
    <w:rsid w:val="06FB1432"/>
    <w:rsid w:val="07051A69"/>
    <w:rsid w:val="07204935"/>
    <w:rsid w:val="07251155"/>
    <w:rsid w:val="074430EA"/>
    <w:rsid w:val="0747222A"/>
    <w:rsid w:val="07473DE8"/>
    <w:rsid w:val="07690288"/>
    <w:rsid w:val="07DA1461"/>
    <w:rsid w:val="07DF0D98"/>
    <w:rsid w:val="08023855"/>
    <w:rsid w:val="081159E1"/>
    <w:rsid w:val="087E3730"/>
    <w:rsid w:val="08A56064"/>
    <w:rsid w:val="08A95BAD"/>
    <w:rsid w:val="08C14DF6"/>
    <w:rsid w:val="090D4B03"/>
    <w:rsid w:val="091A3B44"/>
    <w:rsid w:val="09297726"/>
    <w:rsid w:val="09320590"/>
    <w:rsid w:val="095D5456"/>
    <w:rsid w:val="09B36AE1"/>
    <w:rsid w:val="0A397CA0"/>
    <w:rsid w:val="0A75623F"/>
    <w:rsid w:val="0A887860"/>
    <w:rsid w:val="0AB77E21"/>
    <w:rsid w:val="0ACF0A6D"/>
    <w:rsid w:val="0B14098C"/>
    <w:rsid w:val="0B293427"/>
    <w:rsid w:val="0BA62D71"/>
    <w:rsid w:val="0BC22813"/>
    <w:rsid w:val="0BD572E5"/>
    <w:rsid w:val="0C420517"/>
    <w:rsid w:val="0C4E67D9"/>
    <w:rsid w:val="0CCD430F"/>
    <w:rsid w:val="0CDD6F25"/>
    <w:rsid w:val="0CF852D3"/>
    <w:rsid w:val="0D1D34D2"/>
    <w:rsid w:val="0D3216AE"/>
    <w:rsid w:val="0D3A4352"/>
    <w:rsid w:val="0D4D5D0A"/>
    <w:rsid w:val="0D702BA2"/>
    <w:rsid w:val="0D8926A6"/>
    <w:rsid w:val="0DB40518"/>
    <w:rsid w:val="0DB56071"/>
    <w:rsid w:val="0DF92FC2"/>
    <w:rsid w:val="0E8B6C6F"/>
    <w:rsid w:val="0E8E2B99"/>
    <w:rsid w:val="0E9D2777"/>
    <w:rsid w:val="0EB215D1"/>
    <w:rsid w:val="0EC6636A"/>
    <w:rsid w:val="0ECC668E"/>
    <w:rsid w:val="0ECE42F4"/>
    <w:rsid w:val="0EE908C7"/>
    <w:rsid w:val="0EF5282D"/>
    <w:rsid w:val="0EF66383"/>
    <w:rsid w:val="0F010B2E"/>
    <w:rsid w:val="0F4E3293"/>
    <w:rsid w:val="0FA81C28"/>
    <w:rsid w:val="0FC654F7"/>
    <w:rsid w:val="0FFC5675"/>
    <w:rsid w:val="102179B9"/>
    <w:rsid w:val="10296224"/>
    <w:rsid w:val="10C80804"/>
    <w:rsid w:val="10C9147F"/>
    <w:rsid w:val="10D54F72"/>
    <w:rsid w:val="110636B6"/>
    <w:rsid w:val="111D78AB"/>
    <w:rsid w:val="114A4A72"/>
    <w:rsid w:val="114F01C4"/>
    <w:rsid w:val="115313ED"/>
    <w:rsid w:val="116556CC"/>
    <w:rsid w:val="11D12913"/>
    <w:rsid w:val="122D0276"/>
    <w:rsid w:val="122F0FBE"/>
    <w:rsid w:val="125121F2"/>
    <w:rsid w:val="128458D5"/>
    <w:rsid w:val="1289009F"/>
    <w:rsid w:val="128D5A48"/>
    <w:rsid w:val="136D6301"/>
    <w:rsid w:val="13897D9E"/>
    <w:rsid w:val="13A65E37"/>
    <w:rsid w:val="13B8406E"/>
    <w:rsid w:val="13C55FC3"/>
    <w:rsid w:val="13D32C2C"/>
    <w:rsid w:val="13F47979"/>
    <w:rsid w:val="1420116D"/>
    <w:rsid w:val="146D19CD"/>
    <w:rsid w:val="15132E2A"/>
    <w:rsid w:val="15361F67"/>
    <w:rsid w:val="155A1E02"/>
    <w:rsid w:val="15791F29"/>
    <w:rsid w:val="15A63BE9"/>
    <w:rsid w:val="15F42E48"/>
    <w:rsid w:val="16151BF6"/>
    <w:rsid w:val="16336999"/>
    <w:rsid w:val="165A2DE8"/>
    <w:rsid w:val="16687F42"/>
    <w:rsid w:val="16F866A8"/>
    <w:rsid w:val="172A2C98"/>
    <w:rsid w:val="172B511C"/>
    <w:rsid w:val="17B263D9"/>
    <w:rsid w:val="17E23971"/>
    <w:rsid w:val="18413F0C"/>
    <w:rsid w:val="1846447E"/>
    <w:rsid w:val="18813E48"/>
    <w:rsid w:val="189C59EB"/>
    <w:rsid w:val="189F19E0"/>
    <w:rsid w:val="18BC3B34"/>
    <w:rsid w:val="18DE6217"/>
    <w:rsid w:val="18EC7F39"/>
    <w:rsid w:val="18F50684"/>
    <w:rsid w:val="19B24FD2"/>
    <w:rsid w:val="19E24532"/>
    <w:rsid w:val="1A070408"/>
    <w:rsid w:val="1A3E5372"/>
    <w:rsid w:val="1A637576"/>
    <w:rsid w:val="1A6A573A"/>
    <w:rsid w:val="1A970CAB"/>
    <w:rsid w:val="1AAF60CF"/>
    <w:rsid w:val="1AD55662"/>
    <w:rsid w:val="1AD7418D"/>
    <w:rsid w:val="1AF91C6C"/>
    <w:rsid w:val="1AFE156D"/>
    <w:rsid w:val="1B077351"/>
    <w:rsid w:val="1B296569"/>
    <w:rsid w:val="1B3200B9"/>
    <w:rsid w:val="1B79463D"/>
    <w:rsid w:val="1B911863"/>
    <w:rsid w:val="1BB25635"/>
    <w:rsid w:val="1BBD37F9"/>
    <w:rsid w:val="1BCA3229"/>
    <w:rsid w:val="1BE176D8"/>
    <w:rsid w:val="1BED4F65"/>
    <w:rsid w:val="1BED5B30"/>
    <w:rsid w:val="1C5F00B1"/>
    <w:rsid w:val="1CD6638F"/>
    <w:rsid w:val="1CD97610"/>
    <w:rsid w:val="1D021E46"/>
    <w:rsid w:val="1D2769DE"/>
    <w:rsid w:val="1D4D1FBA"/>
    <w:rsid w:val="1D4F2670"/>
    <w:rsid w:val="1DB05F7A"/>
    <w:rsid w:val="1E1922A9"/>
    <w:rsid w:val="1E47647C"/>
    <w:rsid w:val="1E47768A"/>
    <w:rsid w:val="1E7909DA"/>
    <w:rsid w:val="1E941336"/>
    <w:rsid w:val="1ED308B2"/>
    <w:rsid w:val="1F025F7A"/>
    <w:rsid w:val="1F28598C"/>
    <w:rsid w:val="1F3B6ED5"/>
    <w:rsid w:val="1FE87C75"/>
    <w:rsid w:val="1FF03B86"/>
    <w:rsid w:val="20550825"/>
    <w:rsid w:val="210F5710"/>
    <w:rsid w:val="21735D08"/>
    <w:rsid w:val="21827857"/>
    <w:rsid w:val="2234593E"/>
    <w:rsid w:val="223F74BB"/>
    <w:rsid w:val="224042B3"/>
    <w:rsid w:val="224A2C76"/>
    <w:rsid w:val="227D6EBF"/>
    <w:rsid w:val="22A16C69"/>
    <w:rsid w:val="22A2558F"/>
    <w:rsid w:val="22D65DEF"/>
    <w:rsid w:val="22D74AD1"/>
    <w:rsid w:val="22E44DEC"/>
    <w:rsid w:val="233B7B97"/>
    <w:rsid w:val="23BD52D7"/>
    <w:rsid w:val="23BF67B3"/>
    <w:rsid w:val="24933B0C"/>
    <w:rsid w:val="25252376"/>
    <w:rsid w:val="252F3DB3"/>
    <w:rsid w:val="25382795"/>
    <w:rsid w:val="25645F02"/>
    <w:rsid w:val="25970F60"/>
    <w:rsid w:val="25A265BB"/>
    <w:rsid w:val="25C84272"/>
    <w:rsid w:val="25D4246F"/>
    <w:rsid w:val="25DB3E22"/>
    <w:rsid w:val="25DC6E89"/>
    <w:rsid w:val="25E70FEC"/>
    <w:rsid w:val="25FF1A3A"/>
    <w:rsid w:val="26CD3111"/>
    <w:rsid w:val="26D12B85"/>
    <w:rsid w:val="26F956B8"/>
    <w:rsid w:val="27903874"/>
    <w:rsid w:val="27987C3A"/>
    <w:rsid w:val="27B63994"/>
    <w:rsid w:val="27BA160A"/>
    <w:rsid w:val="27BE249B"/>
    <w:rsid w:val="27C277F8"/>
    <w:rsid w:val="28114AD6"/>
    <w:rsid w:val="28182E44"/>
    <w:rsid w:val="282360F5"/>
    <w:rsid w:val="28720EF4"/>
    <w:rsid w:val="2876359E"/>
    <w:rsid w:val="28773EAD"/>
    <w:rsid w:val="28F24D48"/>
    <w:rsid w:val="292907B9"/>
    <w:rsid w:val="29346166"/>
    <w:rsid w:val="29432A4E"/>
    <w:rsid w:val="29536D5D"/>
    <w:rsid w:val="29567B78"/>
    <w:rsid w:val="29623D8E"/>
    <w:rsid w:val="29A85575"/>
    <w:rsid w:val="29B759F8"/>
    <w:rsid w:val="29D905CA"/>
    <w:rsid w:val="29E87451"/>
    <w:rsid w:val="29F46195"/>
    <w:rsid w:val="29FB1981"/>
    <w:rsid w:val="2A024001"/>
    <w:rsid w:val="2A1860CA"/>
    <w:rsid w:val="2A190C14"/>
    <w:rsid w:val="2A2C1548"/>
    <w:rsid w:val="2AD5523D"/>
    <w:rsid w:val="2B3C092A"/>
    <w:rsid w:val="2B526E2C"/>
    <w:rsid w:val="2B574BE2"/>
    <w:rsid w:val="2B945497"/>
    <w:rsid w:val="2BB6698A"/>
    <w:rsid w:val="2BC251A1"/>
    <w:rsid w:val="2BEE31EA"/>
    <w:rsid w:val="2C365F2B"/>
    <w:rsid w:val="2C442ED9"/>
    <w:rsid w:val="2C6477B2"/>
    <w:rsid w:val="2C6E425C"/>
    <w:rsid w:val="2C72242F"/>
    <w:rsid w:val="2CA933D1"/>
    <w:rsid w:val="2CC01EA3"/>
    <w:rsid w:val="2D0235B3"/>
    <w:rsid w:val="2D023A8F"/>
    <w:rsid w:val="2D0E37F7"/>
    <w:rsid w:val="2D3A4FC5"/>
    <w:rsid w:val="2DAC4B85"/>
    <w:rsid w:val="2DBE25E8"/>
    <w:rsid w:val="2DF72371"/>
    <w:rsid w:val="2EAF4B59"/>
    <w:rsid w:val="2EB616C5"/>
    <w:rsid w:val="2F675913"/>
    <w:rsid w:val="2FA161B3"/>
    <w:rsid w:val="3033476B"/>
    <w:rsid w:val="305A71EE"/>
    <w:rsid w:val="305E6207"/>
    <w:rsid w:val="30E22145"/>
    <w:rsid w:val="30E619F2"/>
    <w:rsid w:val="30E959B7"/>
    <w:rsid w:val="31066D80"/>
    <w:rsid w:val="3129077B"/>
    <w:rsid w:val="313170F1"/>
    <w:rsid w:val="314E2794"/>
    <w:rsid w:val="31525849"/>
    <w:rsid w:val="32CF0C2D"/>
    <w:rsid w:val="331F6196"/>
    <w:rsid w:val="33656307"/>
    <w:rsid w:val="337E5304"/>
    <w:rsid w:val="338B47E2"/>
    <w:rsid w:val="339318EA"/>
    <w:rsid w:val="339E5A9E"/>
    <w:rsid w:val="33BD5350"/>
    <w:rsid w:val="33D5407E"/>
    <w:rsid w:val="33D5512B"/>
    <w:rsid w:val="33DB146B"/>
    <w:rsid w:val="34072631"/>
    <w:rsid w:val="34336032"/>
    <w:rsid w:val="345E00FF"/>
    <w:rsid w:val="34A42044"/>
    <w:rsid w:val="34D920B1"/>
    <w:rsid w:val="34EA0A90"/>
    <w:rsid w:val="34F734EA"/>
    <w:rsid w:val="350178D9"/>
    <w:rsid w:val="353617A3"/>
    <w:rsid w:val="3549737B"/>
    <w:rsid w:val="3587165C"/>
    <w:rsid w:val="35880CD8"/>
    <w:rsid w:val="359B1AE1"/>
    <w:rsid w:val="35DD0764"/>
    <w:rsid w:val="35F5073F"/>
    <w:rsid w:val="361615A4"/>
    <w:rsid w:val="362260FD"/>
    <w:rsid w:val="363C38E1"/>
    <w:rsid w:val="36AC0A35"/>
    <w:rsid w:val="36F95CF8"/>
    <w:rsid w:val="37545F68"/>
    <w:rsid w:val="37652CFC"/>
    <w:rsid w:val="378243BC"/>
    <w:rsid w:val="38241BEE"/>
    <w:rsid w:val="38A61964"/>
    <w:rsid w:val="38C63777"/>
    <w:rsid w:val="38DB22E7"/>
    <w:rsid w:val="38DE2CA0"/>
    <w:rsid w:val="39085E3A"/>
    <w:rsid w:val="39200E38"/>
    <w:rsid w:val="392B58E0"/>
    <w:rsid w:val="39CB3AA2"/>
    <w:rsid w:val="3A2D49FE"/>
    <w:rsid w:val="3A3E24FA"/>
    <w:rsid w:val="3A473853"/>
    <w:rsid w:val="3A714844"/>
    <w:rsid w:val="3AAC0828"/>
    <w:rsid w:val="3AB37490"/>
    <w:rsid w:val="3ACD603B"/>
    <w:rsid w:val="3B3978AE"/>
    <w:rsid w:val="3B6A140F"/>
    <w:rsid w:val="3BD75478"/>
    <w:rsid w:val="3BEC781A"/>
    <w:rsid w:val="3BF36A1F"/>
    <w:rsid w:val="3C515CC5"/>
    <w:rsid w:val="3C5440D6"/>
    <w:rsid w:val="3C5518C3"/>
    <w:rsid w:val="3C876C46"/>
    <w:rsid w:val="3CE57BE6"/>
    <w:rsid w:val="3D82382E"/>
    <w:rsid w:val="3D900B10"/>
    <w:rsid w:val="3DDD3230"/>
    <w:rsid w:val="3DE210B3"/>
    <w:rsid w:val="3E52197D"/>
    <w:rsid w:val="3E53269F"/>
    <w:rsid w:val="3E6F1637"/>
    <w:rsid w:val="3E801305"/>
    <w:rsid w:val="3EC7634C"/>
    <w:rsid w:val="3ED51240"/>
    <w:rsid w:val="3F1D6525"/>
    <w:rsid w:val="40031083"/>
    <w:rsid w:val="401C4584"/>
    <w:rsid w:val="40542DFD"/>
    <w:rsid w:val="408D0218"/>
    <w:rsid w:val="40934741"/>
    <w:rsid w:val="40A06B42"/>
    <w:rsid w:val="40A80E58"/>
    <w:rsid w:val="40D304B9"/>
    <w:rsid w:val="410106D8"/>
    <w:rsid w:val="413C2916"/>
    <w:rsid w:val="41543018"/>
    <w:rsid w:val="417534FE"/>
    <w:rsid w:val="41B21361"/>
    <w:rsid w:val="41C719AD"/>
    <w:rsid w:val="421905EC"/>
    <w:rsid w:val="42927D20"/>
    <w:rsid w:val="42AE00AD"/>
    <w:rsid w:val="42F2036E"/>
    <w:rsid w:val="42F4756D"/>
    <w:rsid w:val="43E01913"/>
    <w:rsid w:val="43E1781C"/>
    <w:rsid w:val="43EC544D"/>
    <w:rsid w:val="44017ADD"/>
    <w:rsid w:val="4416566E"/>
    <w:rsid w:val="442E4213"/>
    <w:rsid w:val="445518D8"/>
    <w:rsid w:val="44591E8A"/>
    <w:rsid w:val="44617768"/>
    <w:rsid w:val="449514F5"/>
    <w:rsid w:val="44D72067"/>
    <w:rsid w:val="44E22E94"/>
    <w:rsid w:val="4539461C"/>
    <w:rsid w:val="457F6A75"/>
    <w:rsid w:val="459B7169"/>
    <w:rsid w:val="45B14694"/>
    <w:rsid w:val="45B26A53"/>
    <w:rsid w:val="45C43D5C"/>
    <w:rsid w:val="461038FA"/>
    <w:rsid w:val="46290789"/>
    <w:rsid w:val="46293946"/>
    <w:rsid w:val="4679395E"/>
    <w:rsid w:val="46936FBF"/>
    <w:rsid w:val="47144782"/>
    <w:rsid w:val="47590052"/>
    <w:rsid w:val="475D3AB5"/>
    <w:rsid w:val="4788503A"/>
    <w:rsid w:val="47923B57"/>
    <w:rsid w:val="47D4658F"/>
    <w:rsid w:val="48731962"/>
    <w:rsid w:val="488D0381"/>
    <w:rsid w:val="48AC2E35"/>
    <w:rsid w:val="48DC2E7D"/>
    <w:rsid w:val="4915146C"/>
    <w:rsid w:val="491A7CC4"/>
    <w:rsid w:val="494F3F54"/>
    <w:rsid w:val="49585B7D"/>
    <w:rsid w:val="496D543D"/>
    <w:rsid w:val="496F4477"/>
    <w:rsid w:val="49806658"/>
    <w:rsid w:val="49AF467F"/>
    <w:rsid w:val="49BB1A4E"/>
    <w:rsid w:val="4A360730"/>
    <w:rsid w:val="4A702E2C"/>
    <w:rsid w:val="4A880D43"/>
    <w:rsid w:val="4A9A28A7"/>
    <w:rsid w:val="4ABC0692"/>
    <w:rsid w:val="4AD5511E"/>
    <w:rsid w:val="4AEF42EF"/>
    <w:rsid w:val="4AF62F82"/>
    <w:rsid w:val="4B8B5AA7"/>
    <w:rsid w:val="4BD606C7"/>
    <w:rsid w:val="4BDB495B"/>
    <w:rsid w:val="4BF525EA"/>
    <w:rsid w:val="4C52061B"/>
    <w:rsid w:val="4C781514"/>
    <w:rsid w:val="4C964913"/>
    <w:rsid w:val="4CC50CC3"/>
    <w:rsid w:val="4D255144"/>
    <w:rsid w:val="4D643F76"/>
    <w:rsid w:val="4D920955"/>
    <w:rsid w:val="4DA63CF4"/>
    <w:rsid w:val="4E94296B"/>
    <w:rsid w:val="4EAB4136"/>
    <w:rsid w:val="4EC86E00"/>
    <w:rsid w:val="4EF210E4"/>
    <w:rsid w:val="4F101237"/>
    <w:rsid w:val="4F605168"/>
    <w:rsid w:val="4F6168D4"/>
    <w:rsid w:val="4FBB0D11"/>
    <w:rsid w:val="4FF7236F"/>
    <w:rsid w:val="4FFC525E"/>
    <w:rsid w:val="506E3608"/>
    <w:rsid w:val="50806D2A"/>
    <w:rsid w:val="510176DF"/>
    <w:rsid w:val="51034F1C"/>
    <w:rsid w:val="5106294F"/>
    <w:rsid w:val="514D260B"/>
    <w:rsid w:val="51570BEB"/>
    <w:rsid w:val="5161631A"/>
    <w:rsid w:val="516C1711"/>
    <w:rsid w:val="51773DC5"/>
    <w:rsid w:val="518F61B6"/>
    <w:rsid w:val="51D5619C"/>
    <w:rsid w:val="51EF3670"/>
    <w:rsid w:val="51FF1AF8"/>
    <w:rsid w:val="527310AA"/>
    <w:rsid w:val="527F4E7B"/>
    <w:rsid w:val="529F1D6A"/>
    <w:rsid w:val="52AA3EE5"/>
    <w:rsid w:val="52B55AFD"/>
    <w:rsid w:val="52BC2F71"/>
    <w:rsid w:val="52D43919"/>
    <w:rsid w:val="531755E8"/>
    <w:rsid w:val="53196501"/>
    <w:rsid w:val="532E0A5D"/>
    <w:rsid w:val="53371354"/>
    <w:rsid w:val="5351457E"/>
    <w:rsid w:val="53A27E9F"/>
    <w:rsid w:val="541239FE"/>
    <w:rsid w:val="542368F6"/>
    <w:rsid w:val="545408A4"/>
    <w:rsid w:val="54BC6AE8"/>
    <w:rsid w:val="54E72ED6"/>
    <w:rsid w:val="55003E42"/>
    <w:rsid w:val="5514123B"/>
    <w:rsid w:val="55146922"/>
    <w:rsid w:val="55547175"/>
    <w:rsid w:val="555507A1"/>
    <w:rsid w:val="558B21E5"/>
    <w:rsid w:val="55C96ABB"/>
    <w:rsid w:val="55D00842"/>
    <w:rsid w:val="55F552A2"/>
    <w:rsid w:val="55F84266"/>
    <w:rsid w:val="56271A0E"/>
    <w:rsid w:val="56A460FB"/>
    <w:rsid w:val="56AE7EFF"/>
    <w:rsid w:val="56C5522B"/>
    <w:rsid w:val="56FC6F8A"/>
    <w:rsid w:val="570D1AAF"/>
    <w:rsid w:val="5714312F"/>
    <w:rsid w:val="5773323E"/>
    <w:rsid w:val="57957C04"/>
    <w:rsid w:val="57BB138E"/>
    <w:rsid w:val="57E92DB1"/>
    <w:rsid w:val="580F7744"/>
    <w:rsid w:val="5812470F"/>
    <w:rsid w:val="584B0170"/>
    <w:rsid w:val="584E2CBD"/>
    <w:rsid w:val="585B4705"/>
    <w:rsid w:val="58621A2C"/>
    <w:rsid w:val="58857A8C"/>
    <w:rsid w:val="58A37441"/>
    <w:rsid w:val="58A469C7"/>
    <w:rsid w:val="58BB0D9E"/>
    <w:rsid w:val="58FA24A7"/>
    <w:rsid w:val="58FD3959"/>
    <w:rsid w:val="593B6A94"/>
    <w:rsid w:val="59511716"/>
    <w:rsid w:val="59514622"/>
    <w:rsid w:val="59825742"/>
    <w:rsid w:val="599A4E45"/>
    <w:rsid w:val="59B92833"/>
    <w:rsid w:val="59E21620"/>
    <w:rsid w:val="59E6386B"/>
    <w:rsid w:val="59EB1CFD"/>
    <w:rsid w:val="59FC3DAF"/>
    <w:rsid w:val="5A0B66F5"/>
    <w:rsid w:val="5A13666C"/>
    <w:rsid w:val="5A197152"/>
    <w:rsid w:val="5A756F99"/>
    <w:rsid w:val="5A7C3FC1"/>
    <w:rsid w:val="5AB21CED"/>
    <w:rsid w:val="5ABC73C6"/>
    <w:rsid w:val="5ADB2D80"/>
    <w:rsid w:val="5B043A6F"/>
    <w:rsid w:val="5B644B92"/>
    <w:rsid w:val="5BD27DBF"/>
    <w:rsid w:val="5BE114F0"/>
    <w:rsid w:val="5BEC2310"/>
    <w:rsid w:val="5C2C20C8"/>
    <w:rsid w:val="5D112747"/>
    <w:rsid w:val="5D3E2238"/>
    <w:rsid w:val="5DA10173"/>
    <w:rsid w:val="5DAF1502"/>
    <w:rsid w:val="5DD0573F"/>
    <w:rsid w:val="5DD80CCF"/>
    <w:rsid w:val="5DF92E2A"/>
    <w:rsid w:val="5DFB46A8"/>
    <w:rsid w:val="5DFE2CBB"/>
    <w:rsid w:val="5E09199C"/>
    <w:rsid w:val="5E23603A"/>
    <w:rsid w:val="5E3A7102"/>
    <w:rsid w:val="5E4C3EAC"/>
    <w:rsid w:val="5E5D7959"/>
    <w:rsid w:val="5E7A2420"/>
    <w:rsid w:val="5ECD0E0A"/>
    <w:rsid w:val="5F7D4C92"/>
    <w:rsid w:val="5F836D6D"/>
    <w:rsid w:val="5F8D20EA"/>
    <w:rsid w:val="5F8E33D5"/>
    <w:rsid w:val="5FA03E26"/>
    <w:rsid w:val="600A5A89"/>
    <w:rsid w:val="603C0054"/>
    <w:rsid w:val="60845253"/>
    <w:rsid w:val="60A65450"/>
    <w:rsid w:val="610539BD"/>
    <w:rsid w:val="612358D4"/>
    <w:rsid w:val="61265EB9"/>
    <w:rsid w:val="614E6E5C"/>
    <w:rsid w:val="61571C36"/>
    <w:rsid w:val="61643936"/>
    <w:rsid w:val="616C4F68"/>
    <w:rsid w:val="618E34AF"/>
    <w:rsid w:val="61BE4DF5"/>
    <w:rsid w:val="61DE4A8E"/>
    <w:rsid w:val="61E33ADF"/>
    <w:rsid w:val="62512902"/>
    <w:rsid w:val="626C3E5F"/>
    <w:rsid w:val="62766C4A"/>
    <w:rsid w:val="62845ADB"/>
    <w:rsid w:val="62B215D8"/>
    <w:rsid w:val="62B74394"/>
    <w:rsid w:val="62C52AD6"/>
    <w:rsid w:val="63005D8F"/>
    <w:rsid w:val="633D7051"/>
    <w:rsid w:val="63514422"/>
    <w:rsid w:val="637B10A3"/>
    <w:rsid w:val="63827BC2"/>
    <w:rsid w:val="63E95E12"/>
    <w:rsid w:val="64AC3FE2"/>
    <w:rsid w:val="650424FB"/>
    <w:rsid w:val="651F0212"/>
    <w:rsid w:val="652F6091"/>
    <w:rsid w:val="653051E1"/>
    <w:rsid w:val="65621876"/>
    <w:rsid w:val="65630936"/>
    <w:rsid w:val="65842251"/>
    <w:rsid w:val="65B913CC"/>
    <w:rsid w:val="65DC0725"/>
    <w:rsid w:val="660C4A84"/>
    <w:rsid w:val="661F01CD"/>
    <w:rsid w:val="662425C5"/>
    <w:rsid w:val="668B0F61"/>
    <w:rsid w:val="66D826FD"/>
    <w:rsid w:val="67426C7C"/>
    <w:rsid w:val="675E05AF"/>
    <w:rsid w:val="676B01C0"/>
    <w:rsid w:val="67820781"/>
    <w:rsid w:val="6797087B"/>
    <w:rsid w:val="67E22526"/>
    <w:rsid w:val="67FF1D95"/>
    <w:rsid w:val="681F6639"/>
    <w:rsid w:val="685E44D7"/>
    <w:rsid w:val="686440FE"/>
    <w:rsid w:val="68692DCA"/>
    <w:rsid w:val="6870243F"/>
    <w:rsid w:val="68B72EF2"/>
    <w:rsid w:val="68BC68A4"/>
    <w:rsid w:val="68BE58D5"/>
    <w:rsid w:val="68EE0A6D"/>
    <w:rsid w:val="68FB39DC"/>
    <w:rsid w:val="68FB60FD"/>
    <w:rsid w:val="690346A6"/>
    <w:rsid w:val="691913EB"/>
    <w:rsid w:val="69237384"/>
    <w:rsid w:val="69502392"/>
    <w:rsid w:val="69605BC9"/>
    <w:rsid w:val="69A36F45"/>
    <w:rsid w:val="69F37F60"/>
    <w:rsid w:val="6A1C165D"/>
    <w:rsid w:val="6A6E175B"/>
    <w:rsid w:val="6B4313A0"/>
    <w:rsid w:val="6B560CBD"/>
    <w:rsid w:val="6B9F0EC9"/>
    <w:rsid w:val="6BA173E1"/>
    <w:rsid w:val="6BCA5D6A"/>
    <w:rsid w:val="6C0A732C"/>
    <w:rsid w:val="6C4F3304"/>
    <w:rsid w:val="6C58686F"/>
    <w:rsid w:val="6C6F2E94"/>
    <w:rsid w:val="6C776D6B"/>
    <w:rsid w:val="6C811B24"/>
    <w:rsid w:val="6CB31CA3"/>
    <w:rsid w:val="6CB516E6"/>
    <w:rsid w:val="6CBC3BB6"/>
    <w:rsid w:val="6CEB7F4B"/>
    <w:rsid w:val="6D5B2B2A"/>
    <w:rsid w:val="6D674704"/>
    <w:rsid w:val="6D696FA7"/>
    <w:rsid w:val="6DBC776F"/>
    <w:rsid w:val="6DCE1B19"/>
    <w:rsid w:val="6E2B7F38"/>
    <w:rsid w:val="6E763456"/>
    <w:rsid w:val="6E774A55"/>
    <w:rsid w:val="6EAD2B10"/>
    <w:rsid w:val="6F0A3025"/>
    <w:rsid w:val="6F1440BB"/>
    <w:rsid w:val="6F200594"/>
    <w:rsid w:val="6F224A19"/>
    <w:rsid w:val="6F2730F4"/>
    <w:rsid w:val="6F343677"/>
    <w:rsid w:val="6F7F5E42"/>
    <w:rsid w:val="6F8F58C5"/>
    <w:rsid w:val="6F9A2553"/>
    <w:rsid w:val="6FCC032A"/>
    <w:rsid w:val="6FD4179C"/>
    <w:rsid w:val="705A2E75"/>
    <w:rsid w:val="705C657B"/>
    <w:rsid w:val="70A9738A"/>
    <w:rsid w:val="70C7061C"/>
    <w:rsid w:val="71146D2A"/>
    <w:rsid w:val="712719CE"/>
    <w:rsid w:val="71554BB7"/>
    <w:rsid w:val="71A2511C"/>
    <w:rsid w:val="71F76B92"/>
    <w:rsid w:val="71FC713D"/>
    <w:rsid w:val="72806024"/>
    <w:rsid w:val="729C28B0"/>
    <w:rsid w:val="72B53FCF"/>
    <w:rsid w:val="72B92733"/>
    <w:rsid w:val="72BB0B21"/>
    <w:rsid w:val="72C070DB"/>
    <w:rsid w:val="730E7C48"/>
    <w:rsid w:val="73501E28"/>
    <w:rsid w:val="73B81B55"/>
    <w:rsid w:val="73C814A2"/>
    <w:rsid w:val="73EF6EE2"/>
    <w:rsid w:val="73FC4A08"/>
    <w:rsid w:val="740A767E"/>
    <w:rsid w:val="740E0137"/>
    <w:rsid w:val="74374720"/>
    <w:rsid w:val="74995382"/>
    <w:rsid w:val="74A95B21"/>
    <w:rsid w:val="74C31CE5"/>
    <w:rsid w:val="750110F2"/>
    <w:rsid w:val="753A25C0"/>
    <w:rsid w:val="756F4D30"/>
    <w:rsid w:val="757D33E7"/>
    <w:rsid w:val="759405A2"/>
    <w:rsid w:val="75B73F04"/>
    <w:rsid w:val="761E6667"/>
    <w:rsid w:val="762B41FB"/>
    <w:rsid w:val="767969FC"/>
    <w:rsid w:val="767B511D"/>
    <w:rsid w:val="769514BF"/>
    <w:rsid w:val="76DA2493"/>
    <w:rsid w:val="76F1344C"/>
    <w:rsid w:val="770436BA"/>
    <w:rsid w:val="77360FEA"/>
    <w:rsid w:val="777C777D"/>
    <w:rsid w:val="77A5617B"/>
    <w:rsid w:val="77D96695"/>
    <w:rsid w:val="781E01C9"/>
    <w:rsid w:val="78226B98"/>
    <w:rsid w:val="785960E7"/>
    <w:rsid w:val="786B0D93"/>
    <w:rsid w:val="789708B7"/>
    <w:rsid w:val="78BE6120"/>
    <w:rsid w:val="79330079"/>
    <w:rsid w:val="7959538B"/>
    <w:rsid w:val="79C21B5C"/>
    <w:rsid w:val="79FE7BFD"/>
    <w:rsid w:val="7A271250"/>
    <w:rsid w:val="7A384EAF"/>
    <w:rsid w:val="7A416686"/>
    <w:rsid w:val="7A4E2533"/>
    <w:rsid w:val="7A6C2313"/>
    <w:rsid w:val="7A9129A1"/>
    <w:rsid w:val="7A98553E"/>
    <w:rsid w:val="7AAA58A1"/>
    <w:rsid w:val="7AD31C9D"/>
    <w:rsid w:val="7B594966"/>
    <w:rsid w:val="7B951C96"/>
    <w:rsid w:val="7BB57280"/>
    <w:rsid w:val="7BC578EB"/>
    <w:rsid w:val="7BE50599"/>
    <w:rsid w:val="7C166DFB"/>
    <w:rsid w:val="7C186FB6"/>
    <w:rsid w:val="7C256ED7"/>
    <w:rsid w:val="7C3B01FC"/>
    <w:rsid w:val="7C5C5C82"/>
    <w:rsid w:val="7C69391B"/>
    <w:rsid w:val="7C8434E8"/>
    <w:rsid w:val="7CA21CC9"/>
    <w:rsid w:val="7D896D0A"/>
    <w:rsid w:val="7D9B1A22"/>
    <w:rsid w:val="7DA53AFB"/>
    <w:rsid w:val="7DAD566D"/>
    <w:rsid w:val="7DB84CE9"/>
    <w:rsid w:val="7DC664E6"/>
    <w:rsid w:val="7E11353E"/>
    <w:rsid w:val="7E507C7D"/>
    <w:rsid w:val="7E5635A3"/>
    <w:rsid w:val="7E8B2F05"/>
    <w:rsid w:val="7E9B65D1"/>
    <w:rsid w:val="7F255D46"/>
    <w:rsid w:val="7F3E33A3"/>
    <w:rsid w:val="7F49050A"/>
    <w:rsid w:val="7F532813"/>
    <w:rsid w:val="7F53638E"/>
    <w:rsid w:val="7F6913C0"/>
    <w:rsid w:val="7F9B7677"/>
    <w:rsid w:val="7FD30504"/>
    <w:rsid w:val="7FD351F4"/>
    <w:rsid w:val="7FE10649"/>
    <w:rsid w:val="7FED7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41"/>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3" w:lineRule="auto"/>
      <w:outlineLvl w:val="2"/>
    </w:pPr>
    <w:rPr>
      <w:b/>
      <w:bCs/>
      <w:kern w:val="0"/>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qFormat/>
    <w:uiPriority w:val="0"/>
    <w:pPr>
      <w:ind w:firstLine="420" w:firstLineChars="200"/>
    </w:pPr>
  </w:style>
  <w:style w:type="paragraph" w:styleId="9">
    <w:name w:val="Document Map"/>
    <w:basedOn w:val="1"/>
    <w:link w:val="54"/>
    <w:qFormat/>
    <w:uiPriority w:val="0"/>
    <w:rPr>
      <w:rFonts w:ascii="宋体"/>
      <w:sz w:val="18"/>
      <w:szCs w:val="18"/>
    </w:rPr>
  </w:style>
  <w:style w:type="paragraph" w:styleId="10">
    <w:name w:val="annotation text"/>
    <w:basedOn w:val="1"/>
    <w:link w:val="45"/>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qFormat/>
    <w:uiPriority w:val="0"/>
    <w:pPr>
      <w:spacing w:after="120"/>
    </w:p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link w:val="97"/>
    <w:qFormat/>
    <w:uiPriority w:val="0"/>
    <w:rPr>
      <w:rFonts w:ascii="宋体" w:hAnsi="Courier New"/>
      <w:szCs w:val="21"/>
    </w:rPr>
  </w:style>
  <w:style w:type="paragraph" w:styleId="17">
    <w:name w:val="toc 8"/>
    <w:basedOn w:val="1"/>
    <w:next w:val="1"/>
    <w:qFormat/>
    <w:uiPriority w:val="0"/>
    <w:pPr>
      <w:ind w:left="2940" w:leftChars="1400"/>
    </w:p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65"/>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ind w:firstLine="420" w:firstLineChars="200"/>
    </w:pPr>
    <w:rPr>
      <w:rFonts w:ascii="宋体" w:hAnsi="宋体"/>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Normal (Web)"/>
    <w:basedOn w:val="1"/>
    <w:qFormat/>
    <w:uiPriority w:val="0"/>
    <w:pPr>
      <w:spacing w:before="100" w:beforeAutospacing="1" w:after="100" w:afterAutospacing="1"/>
      <w:jc w:val="left"/>
    </w:pPr>
    <w:rPr>
      <w:kern w:val="0"/>
      <w:sz w:val="24"/>
      <w:szCs w:val="20"/>
    </w:rPr>
  </w:style>
  <w:style w:type="paragraph" w:styleId="31">
    <w:name w:val="annotation subject"/>
    <w:basedOn w:val="10"/>
    <w:next w:val="10"/>
    <w:link w:val="44"/>
    <w:qFormat/>
    <w:uiPriority w:val="0"/>
    <w:rPr>
      <w:b/>
      <w:bCs/>
    </w:rPr>
  </w:style>
  <w:style w:type="paragraph" w:styleId="32">
    <w:name w:val="Body Text First Indent"/>
    <w:basedOn w:val="12"/>
    <w:link w:val="96"/>
    <w:qFormat/>
    <w:uiPriority w:val="0"/>
    <w:pPr>
      <w:ind w:firstLine="420" w:firstLineChars="100"/>
    </w:pPr>
  </w:style>
  <w:style w:type="table" w:styleId="34">
    <w:name w:val="Table Grid"/>
    <w:basedOn w:val="33"/>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basedOn w:val="35"/>
    <w:qFormat/>
    <w:uiPriority w:val="0"/>
    <w:rPr>
      <w:color w:val="000000"/>
      <w:u w:val="none"/>
    </w:rPr>
  </w:style>
  <w:style w:type="character" w:styleId="38">
    <w:name w:val="Emphasis"/>
    <w:basedOn w:val="35"/>
    <w:qFormat/>
    <w:uiPriority w:val="0"/>
  </w:style>
  <w:style w:type="character" w:styleId="39">
    <w:name w:val="Hyperlink"/>
    <w:basedOn w:val="35"/>
    <w:qFormat/>
    <w:uiPriority w:val="99"/>
    <w:rPr>
      <w:color w:val="000000"/>
      <w:u w:val="none"/>
    </w:rPr>
  </w:style>
  <w:style w:type="character" w:styleId="40">
    <w:name w:val="annotation reference"/>
    <w:basedOn w:val="35"/>
    <w:qFormat/>
    <w:uiPriority w:val="0"/>
    <w:rPr>
      <w:sz w:val="21"/>
      <w:szCs w:val="21"/>
    </w:rPr>
  </w:style>
  <w:style w:type="character" w:customStyle="1" w:styleId="41">
    <w:name w:val="标题 2 Char"/>
    <w:link w:val="2"/>
    <w:qFormat/>
    <w:uiPriority w:val="0"/>
    <w:rPr>
      <w:rFonts w:ascii="Arial" w:hAnsi="Arial" w:eastAsia="黑体"/>
      <w:b/>
      <w:bCs/>
      <w:sz w:val="32"/>
      <w:szCs w:val="32"/>
    </w:rPr>
  </w:style>
  <w:style w:type="character" w:customStyle="1" w:styleId="42">
    <w:name w:val="hover25"/>
    <w:basedOn w:val="35"/>
    <w:qFormat/>
    <w:uiPriority w:val="0"/>
  </w:style>
  <w:style w:type="character" w:customStyle="1" w:styleId="43">
    <w:name w:val="red1"/>
    <w:basedOn w:val="35"/>
    <w:qFormat/>
    <w:uiPriority w:val="0"/>
    <w:rPr>
      <w:color w:val="FF0000"/>
      <w:sz w:val="18"/>
      <w:szCs w:val="18"/>
    </w:rPr>
  </w:style>
  <w:style w:type="character" w:customStyle="1" w:styleId="44">
    <w:name w:val="批注主题 Char"/>
    <w:basedOn w:val="45"/>
    <w:link w:val="31"/>
    <w:qFormat/>
    <w:uiPriority w:val="0"/>
    <w:rPr>
      <w:b/>
      <w:bCs/>
    </w:rPr>
  </w:style>
  <w:style w:type="character" w:customStyle="1" w:styleId="45">
    <w:name w:val="批注文字 Char"/>
    <w:basedOn w:val="35"/>
    <w:link w:val="10"/>
    <w:qFormat/>
    <w:uiPriority w:val="0"/>
    <w:rPr>
      <w:kern w:val="2"/>
      <w:sz w:val="21"/>
      <w:szCs w:val="24"/>
    </w:rPr>
  </w:style>
  <w:style w:type="character" w:customStyle="1" w:styleId="46">
    <w:name w:val="ca-161"/>
    <w:basedOn w:val="35"/>
    <w:qFormat/>
    <w:uiPriority w:val="0"/>
    <w:rPr>
      <w:rFonts w:hint="eastAsia" w:ascii="宋体" w:hAnsi="宋体" w:eastAsia="宋体"/>
      <w:spacing w:val="0"/>
      <w:sz w:val="21"/>
      <w:szCs w:val="21"/>
    </w:rPr>
  </w:style>
  <w:style w:type="character" w:customStyle="1" w:styleId="47">
    <w:name w:val="Char Char6"/>
    <w:qFormat/>
    <w:uiPriority w:val="0"/>
    <w:rPr>
      <w:b/>
      <w:bCs/>
      <w:kern w:val="44"/>
      <w:sz w:val="44"/>
      <w:szCs w:val="44"/>
    </w:rPr>
  </w:style>
  <w:style w:type="character" w:customStyle="1" w:styleId="48">
    <w:name w:val="blue"/>
    <w:basedOn w:val="35"/>
    <w:qFormat/>
    <w:uiPriority w:val="0"/>
    <w:rPr>
      <w:color w:val="0371C6"/>
      <w:sz w:val="21"/>
      <w:szCs w:val="21"/>
    </w:rPr>
  </w:style>
  <w:style w:type="character" w:customStyle="1" w:styleId="49">
    <w:name w:val="ca-44"/>
    <w:basedOn w:val="35"/>
    <w:qFormat/>
    <w:uiPriority w:val="0"/>
    <w:rPr>
      <w:rFonts w:hint="eastAsia" w:ascii="宋体" w:hAnsi="宋体" w:eastAsia="宋体"/>
      <w:sz w:val="21"/>
      <w:szCs w:val="21"/>
    </w:rPr>
  </w:style>
  <w:style w:type="character" w:customStyle="1" w:styleId="50">
    <w:name w:val="green1"/>
    <w:basedOn w:val="35"/>
    <w:qFormat/>
    <w:uiPriority w:val="0"/>
    <w:rPr>
      <w:color w:val="66AE00"/>
      <w:sz w:val="18"/>
      <w:szCs w:val="18"/>
    </w:rPr>
  </w:style>
  <w:style w:type="character" w:customStyle="1" w:styleId="51">
    <w:name w:val="tit"/>
    <w:basedOn w:val="35"/>
    <w:qFormat/>
    <w:uiPriority w:val="0"/>
  </w:style>
  <w:style w:type="character" w:customStyle="1" w:styleId="52">
    <w:name w:val="样式 标题 2 + Times New Roman 四号 非加粗 段前: 5 磅 段后: 0 磅 行距: 固定值 20... Char"/>
    <w:link w:val="53"/>
    <w:qFormat/>
    <w:uiPriority w:val="0"/>
    <w:rPr>
      <w:rFonts w:ascii="Times New Roman" w:hAnsi="Times New Roman" w:cs="宋体"/>
      <w:b/>
      <w:bCs/>
      <w:sz w:val="28"/>
      <w:szCs w:val="20"/>
    </w:rPr>
  </w:style>
  <w:style w:type="paragraph" w:customStyle="1" w:styleId="53">
    <w:name w:val="样式 标题 2 + Times New Roman 四号 非加粗 段前: 5 磅 段后: 0 磅 行距: 固定值 20..."/>
    <w:basedOn w:val="2"/>
    <w:link w:val="52"/>
    <w:qFormat/>
    <w:uiPriority w:val="0"/>
    <w:pPr>
      <w:spacing w:before="100" w:after="0" w:line="400" w:lineRule="exact"/>
    </w:pPr>
    <w:rPr>
      <w:rFonts w:ascii="Times New Roman" w:hAnsi="Times New Roman" w:eastAsia="宋体"/>
      <w:sz w:val="28"/>
      <w:szCs w:val="20"/>
    </w:rPr>
  </w:style>
  <w:style w:type="character" w:customStyle="1" w:styleId="54">
    <w:name w:val="文档结构图 Char"/>
    <w:basedOn w:val="35"/>
    <w:link w:val="9"/>
    <w:qFormat/>
    <w:uiPriority w:val="0"/>
    <w:rPr>
      <w:rFonts w:ascii="宋体"/>
      <w:kern w:val="2"/>
      <w:sz w:val="18"/>
      <w:szCs w:val="18"/>
    </w:rPr>
  </w:style>
  <w:style w:type="character" w:customStyle="1" w:styleId="55">
    <w:name w:val="down1"/>
    <w:basedOn w:val="35"/>
    <w:qFormat/>
    <w:uiPriority w:val="0"/>
    <w:rPr>
      <w:shd w:val="clear" w:color="auto" w:fill="DAEEF9"/>
    </w:rPr>
  </w:style>
  <w:style w:type="character" w:customStyle="1" w:styleId="56">
    <w:name w:val="red"/>
    <w:basedOn w:val="35"/>
    <w:qFormat/>
    <w:uiPriority w:val="0"/>
    <w:rPr>
      <w:color w:val="FF0000"/>
      <w:sz w:val="18"/>
      <w:szCs w:val="18"/>
    </w:rPr>
  </w:style>
  <w:style w:type="character" w:customStyle="1" w:styleId="57">
    <w:name w:val="tit1"/>
    <w:basedOn w:val="35"/>
    <w:qFormat/>
    <w:uiPriority w:val="0"/>
  </w:style>
  <w:style w:type="character" w:customStyle="1" w:styleId="58">
    <w:name w:val="green"/>
    <w:basedOn w:val="35"/>
    <w:qFormat/>
    <w:uiPriority w:val="0"/>
    <w:rPr>
      <w:color w:val="66AE00"/>
      <w:sz w:val="18"/>
      <w:szCs w:val="18"/>
    </w:rPr>
  </w:style>
  <w:style w:type="character" w:customStyle="1" w:styleId="59">
    <w:name w:val="right"/>
    <w:basedOn w:val="35"/>
    <w:qFormat/>
    <w:uiPriority w:val="0"/>
    <w:rPr>
      <w:color w:val="999999"/>
      <w:sz w:val="18"/>
      <w:szCs w:val="18"/>
    </w:rPr>
  </w:style>
  <w:style w:type="character" w:customStyle="1" w:styleId="60">
    <w:name w:val="样式 标题 2 + Times New Roman 四号 非加粗 段前: 5 磅 段后: 0 磅 行距: 固定值 20...[858D7CFB-ED40-4347-BF05-701D383B685F]"/>
    <w:qFormat/>
    <w:uiPriority w:val="0"/>
    <w:rPr>
      <w:b/>
      <w:bCs/>
      <w:sz w:val="28"/>
      <w:lang w:bidi="ar-SA"/>
    </w:rPr>
  </w:style>
  <w:style w:type="character" w:customStyle="1" w:styleId="61">
    <w:name w:val="ca-141"/>
    <w:basedOn w:val="35"/>
    <w:qFormat/>
    <w:uiPriority w:val="0"/>
    <w:rPr>
      <w:rFonts w:hint="eastAsia" w:ascii="黑体" w:eastAsia="黑体"/>
      <w:sz w:val="21"/>
      <w:szCs w:val="21"/>
    </w:rPr>
  </w:style>
  <w:style w:type="character" w:customStyle="1" w:styleId="62">
    <w:name w:val="标题 3 Char"/>
    <w:link w:val="4"/>
    <w:qFormat/>
    <w:uiPriority w:val="0"/>
    <w:rPr>
      <w:b/>
      <w:bCs/>
      <w:sz w:val="32"/>
      <w:szCs w:val="32"/>
    </w:rPr>
  </w:style>
  <w:style w:type="character" w:customStyle="1" w:styleId="63">
    <w:name w:val="sl"/>
    <w:basedOn w:val="35"/>
    <w:qFormat/>
    <w:uiPriority w:val="0"/>
  </w:style>
  <w:style w:type="character" w:customStyle="1" w:styleId="64">
    <w:name w:val="ca-81"/>
    <w:basedOn w:val="35"/>
    <w:qFormat/>
    <w:uiPriority w:val="0"/>
    <w:rPr>
      <w:rFonts w:hint="eastAsia" w:ascii="宋体" w:hAnsi="宋体" w:eastAsia="宋体"/>
      <w:b/>
      <w:bCs/>
      <w:color w:val="000000"/>
      <w:spacing w:val="-20"/>
      <w:sz w:val="21"/>
      <w:szCs w:val="21"/>
    </w:rPr>
  </w:style>
  <w:style w:type="character" w:customStyle="1" w:styleId="65">
    <w:name w:val="批注框文本 Char"/>
    <w:basedOn w:val="35"/>
    <w:link w:val="20"/>
    <w:qFormat/>
    <w:uiPriority w:val="0"/>
    <w:rPr>
      <w:kern w:val="2"/>
      <w:sz w:val="18"/>
      <w:szCs w:val="18"/>
    </w:rPr>
  </w:style>
  <w:style w:type="character" w:customStyle="1" w:styleId="66">
    <w:name w:val="标题 1 Char"/>
    <w:link w:val="3"/>
    <w:qFormat/>
    <w:uiPriority w:val="0"/>
    <w:rPr>
      <w:b/>
      <w:bCs/>
      <w:kern w:val="44"/>
      <w:sz w:val="44"/>
      <w:szCs w:val="44"/>
    </w:rPr>
  </w:style>
  <w:style w:type="character" w:customStyle="1" w:styleId="67">
    <w:name w:val="red2"/>
    <w:basedOn w:val="35"/>
    <w:qFormat/>
    <w:uiPriority w:val="0"/>
    <w:rPr>
      <w:color w:val="FF0000"/>
    </w:rPr>
  </w:style>
  <w:style w:type="character" w:customStyle="1" w:styleId="68">
    <w:name w:val="lsl"/>
    <w:basedOn w:val="35"/>
    <w:qFormat/>
    <w:uiPriority w:val="0"/>
  </w:style>
  <w:style w:type="character" w:customStyle="1" w:styleId="69">
    <w:name w:val="16"/>
    <w:basedOn w:val="35"/>
    <w:qFormat/>
    <w:uiPriority w:val="0"/>
    <w:rPr>
      <w:rFonts w:hint="default" w:ascii="Times New Roman" w:hAnsi="Times New Roman" w:cs="Times New Roman"/>
      <w:color w:val="0000FF"/>
      <w:sz w:val="20"/>
      <w:szCs w:val="20"/>
      <w:u w:val="single"/>
    </w:rPr>
  </w:style>
  <w:style w:type="character" w:customStyle="1" w:styleId="70">
    <w:name w:val="sr"/>
    <w:basedOn w:val="35"/>
    <w:qFormat/>
    <w:uiPriority w:val="0"/>
  </w:style>
  <w:style w:type="character" w:customStyle="1" w:styleId="71">
    <w:name w:val="down"/>
    <w:basedOn w:val="35"/>
    <w:qFormat/>
    <w:uiPriority w:val="0"/>
    <w:rPr>
      <w:shd w:val="clear" w:color="auto" w:fill="DAEEF9"/>
    </w:rPr>
  </w:style>
  <w:style w:type="character" w:customStyle="1" w:styleId="72">
    <w:name w:val="gb-jt"/>
    <w:basedOn w:val="35"/>
    <w:qFormat/>
    <w:uiPriority w:val="0"/>
  </w:style>
  <w:style w:type="character" w:customStyle="1" w:styleId="73">
    <w:name w:val="bsharetext"/>
    <w:basedOn w:val="35"/>
    <w:qFormat/>
    <w:uiPriority w:val="0"/>
  </w:style>
  <w:style w:type="character" w:customStyle="1" w:styleId="74">
    <w:name w:val="lsr"/>
    <w:basedOn w:val="35"/>
    <w:qFormat/>
    <w:uiPriority w:val="0"/>
  </w:style>
  <w:style w:type="paragraph" w:customStyle="1" w:styleId="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6">
    <w:name w:val="Char Char Char Char"/>
    <w:basedOn w:val="1"/>
    <w:qFormat/>
    <w:uiPriority w:val="0"/>
    <w:rPr>
      <w:szCs w:val="20"/>
    </w:rPr>
  </w:style>
  <w:style w:type="paragraph" w:customStyle="1" w:styleId="77">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WPS Plain"/>
    <w:qFormat/>
    <w:uiPriority w:val="0"/>
    <w:rPr>
      <w:rFonts w:ascii="Times New Roman" w:hAnsi="Times New Roman" w:eastAsia="宋体" w:cs="Times New Roman"/>
      <w:lang w:val="en-US" w:eastAsia="zh-CN" w:bidi="ar-SA"/>
    </w:rPr>
  </w:style>
  <w:style w:type="paragraph" w:customStyle="1" w:styleId="79">
    <w:name w:val="pa-8"/>
    <w:basedOn w:val="1"/>
    <w:qFormat/>
    <w:uiPriority w:val="0"/>
    <w:pPr>
      <w:widowControl/>
      <w:spacing w:line="240" w:lineRule="atLeast"/>
    </w:pPr>
    <w:rPr>
      <w:rFonts w:ascii="宋体" w:hAnsi="宋体" w:cs="宋体"/>
      <w:kern w:val="0"/>
      <w:sz w:val="24"/>
    </w:rPr>
  </w:style>
  <w:style w:type="paragraph" w:customStyle="1" w:styleId="80">
    <w:name w:val="pa-59"/>
    <w:basedOn w:val="1"/>
    <w:qFormat/>
    <w:uiPriority w:val="0"/>
    <w:pPr>
      <w:widowControl/>
      <w:spacing w:line="240" w:lineRule="atLeast"/>
      <w:ind w:firstLine="180"/>
      <w:jc w:val="left"/>
    </w:pPr>
    <w:rPr>
      <w:rFonts w:ascii="宋体" w:hAnsi="宋体" w:cs="宋体"/>
      <w:kern w:val="0"/>
      <w:sz w:val="24"/>
    </w:rPr>
  </w:style>
  <w:style w:type="paragraph" w:customStyle="1" w:styleId="81">
    <w:name w:val="p0"/>
    <w:basedOn w:val="1"/>
    <w:qFormat/>
    <w:uiPriority w:val="0"/>
    <w:pPr>
      <w:widowControl/>
      <w:jc w:val="left"/>
    </w:pPr>
    <w:rPr>
      <w:kern w:val="0"/>
      <w:szCs w:val="21"/>
    </w:rPr>
  </w:style>
  <w:style w:type="paragraph" w:customStyle="1" w:styleId="82">
    <w:name w:val="pa-50"/>
    <w:basedOn w:val="1"/>
    <w:qFormat/>
    <w:uiPriority w:val="0"/>
    <w:pPr>
      <w:widowControl/>
      <w:spacing w:line="240" w:lineRule="atLeast"/>
      <w:ind w:firstLine="420"/>
      <w:jc w:val="left"/>
    </w:pPr>
    <w:rPr>
      <w:rFonts w:ascii="宋体" w:hAnsi="宋体" w:cs="宋体"/>
      <w:kern w:val="0"/>
      <w:sz w:val="24"/>
    </w:rPr>
  </w:style>
  <w:style w:type="paragraph" w:customStyle="1" w:styleId="83">
    <w:name w:val="pa-55"/>
    <w:basedOn w:val="1"/>
    <w:qFormat/>
    <w:uiPriority w:val="0"/>
    <w:pPr>
      <w:widowControl/>
      <w:spacing w:line="240" w:lineRule="atLeast"/>
      <w:ind w:firstLine="80"/>
    </w:pPr>
    <w:rPr>
      <w:rFonts w:ascii="宋体" w:hAnsi="宋体" w:cs="宋体"/>
      <w:kern w:val="0"/>
      <w:sz w:val="24"/>
    </w:rPr>
  </w:style>
  <w:style w:type="paragraph" w:customStyle="1" w:styleId="84">
    <w:name w:val="Char Char Char Char1"/>
    <w:basedOn w:val="1"/>
    <w:qFormat/>
    <w:uiPriority w:val="0"/>
  </w:style>
  <w:style w:type="paragraph" w:customStyle="1" w:styleId="85">
    <w:name w:val="pa-47"/>
    <w:basedOn w:val="1"/>
    <w:qFormat/>
    <w:uiPriority w:val="0"/>
    <w:pPr>
      <w:widowControl/>
      <w:spacing w:line="240" w:lineRule="atLeast"/>
      <w:ind w:firstLine="420"/>
    </w:pPr>
    <w:rPr>
      <w:rFonts w:ascii="宋体" w:hAnsi="宋体" w:cs="宋体"/>
      <w:kern w:val="0"/>
      <w:sz w:val="24"/>
    </w:rPr>
  </w:style>
  <w:style w:type="paragraph" w:customStyle="1" w:styleId="86">
    <w:name w:val="列出段落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87">
    <w:name w:val="Char1"/>
    <w:basedOn w:val="1"/>
    <w:qFormat/>
    <w:uiPriority w:val="0"/>
    <w:pPr>
      <w:adjustRightInd w:val="0"/>
      <w:spacing w:line="600" w:lineRule="exact"/>
      <w:ind w:firstLine="560" w:firstLineChars="200"/>
      <w:jc w:val="center"/>
    </w:p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pa-49"/>
    <w:basedOn w:val="1"/>
    <w:qFormat/>
    <w:uiPriority w:val="0"/>
    <w:pPr>
      <w:widowControl/>
      <w:spacing w:line="240" w:lineRule="atLeast"/>
      <w:ind w:firstLine="300"/>
    </w:pPr>
    <w:rPr>
      <w:rFonts w:ascii="宋体" w:hAnsi="宋体" w:cs="宋体"/>
      <w:kern w:val="0"/>
      <w:sz w:val="24"/>
    </w:rPr>
  </w:style>
  <w:style w:type="paragraph" w:customStyle="1" w:styleId="90">
    <w:name w:val="p20"/>
    <w:basedOn w:val="1"/>
    <w:qFormat/>
    <w:uiPriority w:val="0"/>
    <w:pPr>
      <w:widowControl/>
      <w:spacing w:line="400" w:lineRule="atLeast"/>
    </w:pPr>
    <w:rPr>
      <w:kern w:val="0"/>
      <w:sz w:val="24"/>
    </w:rPr>
  </w:style>
  <w:style w:type="paragraph" w:customStyle="1" w:styleId="91">
    <w:name w:val="Char"/>
    <w:basedOn w:val="1"/>
    <w:qFormat/>
    <w:uiPriority w:val="0"/>
    <w:rPr>
      <w:szCs w:val="20"/>
    </w:rPr>
  </w:style>
  <w:style w:type="paragraph" w:customStyle="1" w:styleId="92">
    <w:name w:val="pa-53"/>
    <w:basedOn w:val="1"/>
    <w:qFormat/>
    <w:uiPriority w:val="0"/>
    <w:pPr>
      <w:widowControl/>
      <w:spacing w:line="240" w:lineRule="atLeast"/>
      <w:ind w:firstLine="380"/>
    </w:pPr>
    <w:rPr>
      <w:rFonts w:ascii="宋体" w:hAnsi="宋体" w:cs="宋体"/>
      <w:kern w:val="0"/>
      <w:sz w:val="24"/>
    </w:rPr>
  </w:style>
  <w:style w:type="paragraph" w:customStyle="1" w:styleId="93">
    <w:name w:val="TOC 3"/>
    <w:basedOn w:val="1"/>
    <w:qFormat/>
    <w:uiPriority w:val="1"/>
    <w:pPr>
      <w:spacing w:line="272" w:lineRule="exact"/>
      <w:ind w:left="940"/>
      <w:jc w:val="left"/>
    </w:pPr>
    <w:rPr>
      <w:rFonts w:ascii="宋体" w:hAnsi="宋体" w:cs="宋体"/>
      <w:kern w:val="0"/>
      <w:szCs w:val="21"/>
      <w:lang w:eastAsia="en-US"/>
    </w:rPr>
  </w:style>
  <w:style w:type="paragraph" w:customStyle="1" w:styleId="94">
    <w:name w:val="1"/>
    <w:basedOn w:val="1"/>
    <w:next w:val="1"/>
    <w:qFormat/>
    <w:uiPriority w:val="0"/>
    <w:rPr>
      <w:rFonts w:ascii="宋体"/>
      <w:kern w:val="0"/>
      <w:sz w:val="34"/>
      <w:szCs w:val="20"/>
    </w:rPr>
  </w:style>
  <w:style w:type="paragraph" w:customStyle="1" w:styleId="95">
    <w:name w:val="Table Paragraph"/>
    <w:basedOn w:val="1"/>
    <w:qFormat/>
    <w:uiPriority w:val="1"/>
    <w:pPr>
      <w:jc w:val="left"/>
    </w:pPr>
    <w:rPr>
      <w:rFonts w:ascii="宋体" w:hAnsi="宋体" w:cs="宋体"/>
      <w:kern w:val="0"/>
      <w:sz w:val="22"/>
      <w:szCs w:val="22"/>
      <w:lang w:eastAsia="en-US"/>
    </w:rPr>
  </w:style>
  <w:style w:type="character" w:customStyle="1" w:styleId="96">
    <w:name w:val="正文首行缩进 Char"/>
    <w:basedOn w:val="35"/>
    <w:link w:val="32"/>
    <w:qFormat/>
    <w:uiPriority w:val="0"/>
    <w:rPr>
      <w:kern w:val="2"/>
      <w:sz w:val="21"/>
      <w:szCs w:val="24"/>
    </w:rPr>
  </w:style>
  <w:style w:type="character" w:customStyle="1" w:styleId="97">
    <w:name w:val="纯文本 Char"/>
    <w:link w:val="16"/>
    <w:qFormat/>
    <w:uiPriority w:val="0"/>
    <w:rPr>
      <w:rFonts w:ascii="宋体" w:hAnsi="Courier New" w:cs="Courier New"/>
      <w:kern w:val="2"/>
      <w:sz w:val="21"/>
      <w:szCs w:val="21"/>
    </w:rPr>
  </w:style>
  <w:style w:type="character" w:customStyle="1" w:styleId="98">
    <w:name w:val="hover"/>
    <w:basedOn w:val="35"/>
    <w:qFormat/>
    <w:uiPriority w:val="0"/>
  </w:style>
  <w:style w:type="character" w:customStyle="1" w:styleId="99">
    <w:name w:val="red3"/>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5886</Words>
  <Characters>33555</Characters>
  <Lines>279</Lines>
  <Paragraphs>78</Paragraphs>
  <TotalTime>5</TotalTime>
  <ScaleCrop>false</ScaleCrop>
  <LinksUpToDate>false</LinksUpToDate>
  <CharactersWithSpaces>39363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2018-06-19T01:45:00Z</dcterms:created>
  <dc:creator>user</dc:creator>
  <cp:lastModifiedBy>深圳市合创建设工程顾问有限公司:王富祯</cp:lastModifiedBy>
  <cp:lastPrinted>2019-03-12T06:46:00Z</cp:lastPrinted>
  <dcterms:modified xsi:type="dcterms:W3CDTF">2019-11-06T02:37:06Z</dcterms:modified>
  <dc:title>中华人民共和国</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