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bCs/>
          <w:sz w:val="84"/>
          <w:szCs w:val="84"/>
        </w:rPr>
      </w:pPr>
      <w:r>
        <w:rPr>
          <w:rFonts w:hint="eastAsia" w:ascii="仿宋" w:hAnsi="仿宋" w:eastAsia="仿宋"/>
          <w:bCs/>
          <w:sz w:val="84"/>
          <w:szCs w:val="84"/>
        </w:rPr>
        <w:t>建安区</w:t>
      </w:r>
      <w:r>
        <w:rPr>
          <w:rFonts w:ascii="仿宋" w:hAnsi="仿宋" w:eastAsia="仿宋"/>
          <w:bCs/>
          <w:sz w:val="84"/>
          <w:szCs w:val="84"/>
        </w:rPr>
        <w:t>建设工程</w:t>
      </w:r>
    </w:p>
    <w:p>
      <w:pPr>
        <w:rPr>
          <w:rFonts w:ascii="仿宋" w:hAnsi="仿宋" w:eastAsia="仿宋"/>
          <w:sz w:val="52"/>
          <w:szCs w:val="52"/>
        </w:rPr>
      </w:pPr>
    </w:p>
    <w:p>
      <w:pPr>
        <w:jc w:val="center"/>
        <w:rPr>
          <w:rFonts w:ascii="仿宋" w:hAnsi="仿宋" w:eastAsia="仿宋"/>
          <w:sz w:val="52"/>
          <w:szCs w:val="52"/>
        </w:rPr>
      </w:pPr>
    </w:p>
    <w:p>
      <w:pPr>
        <w:jc w:val="center"/>
        <w:rPr>
          <w:rFonts w:ascii="仿宋" w:hAnsi="仿宋" w:eastAsia="仿宋"/>
          <w:sz w:val="72"/>
          <w:szCs w:val="72"/>
        </w:rPr>
      </w:pPr>
      <w:r>
        <w:rPr>
          <w:rFonts w:ascii="仿宋" w:hAnsi="仿宋" w:eastAsia="仿宋"/>
          <w:sz w:val="72"/>
          <w:szCs w:val="72"/>
        </w:rPr>
        <w:t>招</w:t>
      </w:r>
    </w:p>
    <w:p>
      <w:pPr>
        <w:jc w:val="center"/>
        <w:rPr>
          <w:rFonts w:ascii="仿宋" w:hAnsi="仿宋" w:eastAsia="仿宋"/>
          <w:sz w:val="72"/>
          <w:szCs w:val="72"/>
        </w:rPr>
      </w:pPr>
      <w:r>
        <w:rPr>
          <w:rFonts w:ascii="仿宋" w:hAnsi="仿宋" w:eastAsia="仿宋"/>
          <w:sz w:val="72"/>
          <w:szCs w:val="72"/>
        </w:rPr>
        <w:t>标</w:t>
      </w:r>
    </w:p>
    <w:p>
      <w:pPr>
        <w:jc w:val="center"/>
        <w:rPr>
          <w:rFonts w:ascii="仿宋" w:hAnsi="仿宋" w:eastAsia="仿宋"/>
          <w:sz w:val="72"/>
          <w:szCs w:val="72"/>
        </w:rPr>
      </w:pPr>
      <w:r>
        <w:rPr>
          <w:rFonts w:ascii="仿宋" w:hAnsi="仿宋" w:eastAsia="仿宋"/>
          <w:sz w:val="72"/>
          <w:szCs w:val="72"/>
        </w:rPr>
        <w:t>文</w:t>
      </w:r>
    </w:p>
    <w:p>
      <w:pPr>
        <w:jc w:val="center"/>
        <w:rPr>
          <w:rFonts w:ascii="仿宋" w:hAnsi="仿宋" w:eastAsia="仿宋"/>
          <w:sz w:val="40"/>
          <w:szCs w:val="40"/>
        </w:rPr>
      </w:pPr>
      <w:r>
        <w:rPr>
          <w:rFonts w:ascii="仿宋" w:hAnsi="仿宋" w:eastAsia="仿宋"/>
          <w:sz w:val="72"/>
          <w:szCs w:val="72"/>
        </w:rPr>
        <w:t>件</w:t>
      </w:r>
    </w:p>
    <w:p>
      <w:pPr>
        <w:pStyle w:val="2"/>
        <w:ind w:firstLine="320"/>
        <w:rPr>
          <w:rFonts w:ascii="仿宋" w:hAnsi="仿宋" w:eastAsia="仿宋"/>
          <w:sz w:val="32"/>
          <w:szCs w:val="32"/>
        </w:rPr>
      </w:pPr>
    </w:p>
    <w:p>
      <w:pPr>
        <w:pStyle w:val="2"/>
        <w:ind w:firstLine="320"/>
        <w:rPr>
          <w:rFonts w:ascii="仿宋" w:hAnsi="仿宋" w:eastAsia="仿宋"/>
          <w:sz w:val="32"/>
          <w:szCs w:val="32"/>
        </w:rPr>
      </w:pPr>
    </w:p>
    <w:p>
      <w:pPr>
        <w:pStyle w:val="2"/>
        <w:ind w:firstLine="320"/>
        <w:rPr>
          <w:rFonts w:ascii="仿宋" w:hAnsi="仿宋" w:eastAsia="仿宋"/>
          <w:sz w:val="32"/>
          <w:szCs w:val="32"/>
        </w:rPr>
      </w:pPr>
    </w:p>
    <w:p>
      <w:pPr>
        <w:ind w:firstLine="1600" w:firstLineChars="500"/>
        <w:jc w:val="left"/>
        <w:rPr>
          <w:rFonts w:hint="eastAsia" w:ascii="仿宋" w:hAnsi="仿宋" w:eastAsia="仿宋"/>
          <w:sz w:val="32"/>
          <w:szCs w:val="32"/>
          <w:lang w:eastAsia="zh-CN"/>
        </w:rPr>
      </w:pPr>
      <w:r>
        <w:rPr>
          <w:rFonts w:ascii="仿宋" w:hAnsi="仿宋" w:eastAsia="仿宋"/>
          <w:sz w:val="32"/>
          <w:szCs w:val="32"/>
        </w:rPr>
        <w:t>项目编号：</w:t>
      </w:r>
      <w:r>
        <w:rPr>
          <w:rFonts w:hint="eastAsia" w:ascii="仿宋" w:hAnsi="仿宋" w:eastAsia="仿宋"/>
          <w:sz w:val="32"/>
          <w:szCs w:val="32"/>
          <w:lang w:eastAsia="zh-CN"/>
        </w:rPr>
        <w:t>建安建工公字〔2019〕194 号</w:t>
      </w:r>
    </w:p>
    <w:p>
      <w:pPr>
        <w:ind w:left="3196" w:leftChars="760" w:hanging="1600" w:hangingChars="500"/>
        <w:jc w:val="left"/>
        <w:rPr>
          <w:rFonts w:hint="default" w:ascii="仿宋" w:hAnsi="仿宋" w:eastAsia="仿宋"/>
          <w:sz w:val="32"/>
          <w:szCs w:val="32"/>
          <w:lang w:val="en-US"/>
        </w:rPr>
      </w:pPr>
      <w:r>
        <w:rPr>
          <w:rFonts w:ascii="仿宋" w:hAnsi="仿宋" w:eastAsia="仿宋"/>
          <w:sz w:val="32"/>
          <w:szCs w:val="32"/>
        </w:rPr>
        <w:t>项目名称</w:t>
      </w:r>
      <w:r>
        <w:rPr>
          <w:rFonts w:hint="eastAsia" w:ascii="仿宋" w:hAnsi="仿宋" w:eastAsia="仿宋"/>
          <w:sz w:val="32"/>
          <w:szCs w:val="32"/>
        </w:rPr>
        <w:t>：</w:t>
      </w:r>
      <w:r>
        <w:rPr>
          <w:rFonts w:hint="eastAsia" w:ascii="仿宋" w:hAnsi="仿宋" w:eastAsia="仿宋"/>
          <w:sz w:val="32"/>
          <w:szCs w:val="32"/>
          <w:lang w:val="en-US" w:eastAsia="zh-CN"/>
        </w:rPr>
        <w:t>建安区2019年农田建设朱集村等 4个村机井配套工程项目</w:t>
      </w:r>
    </w:p>
    <w:p>
      <w:pPr>
        <w:ind w:firstLine="1600" w:firstLineChars="500"/>
        <w:jc w:val="left"/>
        <w:rPr>
          <w:rFonts w:hint="eastAsia" w:ascii="仿宋" w:hAnsi="仿宋" w:eastAsia="仿宋"/>
          <w:sz w:val="32"/>
          <w:szCs w:val="32"/>
          <w:lang w:val="en-US" w:eastAsia="zh-CN"/>
        </w:rPr>
      </w:pPr>
      <w:r>
        <w:rPr>
          <w:rFonts w:hint="eastAsia" w:ascii="仿宋" w:hAnsi="仿宋" w:eastAsia="仿宋"/>
          <w:sz w:val="32"/>
          <w:szCs w:val="32"/>
        </w:rPr>
        <w:t>招 标 人：许昌市建安区</w:t>
      </w:r>
      <w:r>
        <w:rPr>
          <w:rFonts w:hint="eastAsia" w:ascii="仿宋" w:hAnsi="仿宋" w:eastAsia="仿宋"/>
          <w:sz w:val="32"/>
          <w:szCs w:val="32"/>
          <w:lang w:val="en-US" w:eastAsia="zh-CN"/>
        </w:rPr>
        <w:t>农业农村局</w:t>
      </w:r>
    </w:p>
    <w:p>
      <w:pPr>
        <w:ind w:firstLine="1600" w:firstLineChars="500"/>
        <w:jc w:val="left"/>
        <w:rPr>
          <w:rFonts w:ascii="仿宋" w:hAnsi="仿宋" w:eastAsia="仿宋"/>
          <w:sz w:val="32"/>
          <w:szCs w:val="32"/>
        </w:rPr>
      </w:pPr>
      <w:r>
        <w:rPr>
          <w:rFonts w:hint="eastAsia" w:ascii="仿宋" w:hAnsi="仿宋" w:eastAsia="仿宋"/>
          <w:sz w:val="32"/>
          <w:szCs w:val="32"/>
        </w:rPr>
        <w:t>代理机构：河南</w:t>
      </w:r>
      <w:r>
        <w:rPr>
          <w:rFonts w:hint="eastAsia" w:ascii="仿宋" w:hAnsi="仿宋" w:eastAsia="仿宋"/>
          <w:sz w:val="32"/>
          <w:szCs w:val="32"/>
          <w:lang w:val="en-US" w:eastAsia="zh-CN"/>
        </w:rPr>
        <w:t>天扬工程项目管理</w:t>
      </w:r>
      <w:r>
        <w:rPr>
          <w:rFonts w:hint="eastAsia" w:ascii="仿宋" w:hAnsi="仿宋" w:eastAsia="仿宋"/>
          <w:sz w:val="32"/>
          <w:szCs w:val="32"/>
        </w:rPr>
        <w:t>有限公司</w:t>
      </w:r>
    </w:p>
    <w:p>
      <w:pPr>
        <w:ind w:firstLine="1600" w:firstLineChars="500"/>
        <w:jc w:val="left"/>
        <w:rPr>
          <w:rFonts w:ascii="仿宋" w:hAnsi="仿宋" w:eastAsia="仿宋"/>
          <w:sz w:val="32"/>
          <w:szCs w:val="32"/>
        </w:rPr>
      </w:pPr>
    </w:p>
    <w:p>
      <w:pPr>
        <w:spacing w:line="480" w:lineRule="auto"/>
        <w:ind w:firstLine="3680" w:firstLineChars="1150"/>
        <w:rPr>
          <w:spacing w:val="36"/>
          <w:sz w:val="32"/>
          <w:szCs w:val="32"/>
        </w:rPr>
      </w:pPr>
      <w:r>
        <w:rPr>
          <w:rFonts w:hint="eastAsia" w:ascii="仿宋" w:hAnsi="仿宋" w:eastAsia="仿宋"/>
          <w:bCs/>
          <w:sz w:val="32"/>
          <w:szCs w:val="32"/>
        </w:rPr>
        <w:t>二〇一九年</w:t>
      </w:r>
      <w:r>
        <w:rPr>
          <w:rFonts w:hint="eastAsia" w:ascii="仿宋" w:hAnsi="仿宋" w:eastAsia="仿宋"/>
          <w:bCs/>
          <w:sz w:val="32"/>
          <w:szCs w:val="32"/>
          <w:lang w:val="en-US" w:eastAsia="zh-CN"/>
        </w:rPr>
        <w:t>十一</w:t>
      </w:r>
      <w:r>
        <w:rPr>
          <w:rFonts w:hint="eastAsia" w:ascii="仿宋" w:hAnsi="仿宋" w:eastAsia="仿宋"/>
          <w:bCs/>
          <w:sz w:val="32"/>
          <w:szCs w:val="32"/>
        </w:rPr>
        <w:t>月</w:t>
      </w:r>
    </w:p>
    <w:p>
      <w:pPr>
        <w:spacing w:line="312" w:lineRule="auto"/>
        <w:jc w:val="center"/>
        <w:rPr>
          <w:rFonts w:ascii="宋体" w:hAnsi="宋体" w:cs="宋体"/>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531" w:right="1418" w:bottom="1531" w:left="1418" w:header="851" w:footer="992" w:gutter="0"/>
          <w:pgNumType w:start="1"/>
          <w:cols w:space="720" w:num="1"/>
          <w:titlePg/>
          <w:docGrid w:type="linesAndChars" w:linePitch="312" w:charSpace="0"/>
        </w:sectPr>
      </w:pPr>
    </w:p>
    <w:p>
      <w:pPr>
        <w:jc w:val="center"/>
        <w:rPr>
          <w:rFonts w:ascii="黑体" w:hAnsi="宋体" w:eastAsia="黑体"/>
          <w:b/>
          <w:sz w:val="44"/>
        </w:rPr>
      </w:pPr>
      <w:r>
        <w:rPr>
          <w:rFonts w:hint="eastAsia" w:ascii="黑体" w:hAnsi="宋体" w:eastAsia="黑体"/>
          <w:b/>
          <w:sz w:val="44"/>
        </w:rPr>
        <w:t>目  录</w:t>
      </w:r>
    </w:p>
    <w:p>
      <w:pPr>
        <w:jc w:val="center"/>
        <w:rPr>
          <w:rFonts w:ascii="宋体" w:hAnsi="宋体"/>
          <w:b/>
          <w:sz w:val="32"/>
        </w:rPr>
      </w:pPr>
    </w:p>
    <w:p>
      <w:pPr>
        <w:tabs>
          <w:tab w:val="left" w:leader="hyphen" w:pos="7919"/>
        </w:tabs>
        <w:snapToGrid w:val="0"/>
        <w:spacing w:line="480" w:lineRule="auto"/>
        <w:ind w:firstLine="548" w:firstLineChars="196"/>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第二章  投标人须知</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32"/>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第六章  图纸</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560" w:firstLineChars="200"/>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p>
    <w:p>
      <w:pPr>
        <w:ind w:firstLine="560" w:firstLineChars="200"/>
        <w:rPr>
          <w:rFonts w:ascii="宋体" w:hAnsi="宋体" w:eastAsia="仿宋"/>
          <w:b/>
          <w:sz w:val="32"/>
        </w:rPr>
      </w:pPr>
      <w:r>
        <w:rPr>
          <w:rFonts w:hint="eastAsia" w:ascii="黑体" w:hAnsi="宋体" w:eastAsia="黑体"/>
          <w:b/>
          <w:sz w:val="28"/>
        </w:rPr>
        <w:t>第八章  投标文件格式</w:t>
      </w:r>
      <w:r>
        <w:rPr>
          <w:rFonts w:hint="eastAsia" w:ascii="仿宋" w:hAnsi="仿宋" w:eastAsia="仿宋" w:cs="仿宋"/>
          <w:bCs/>
          <w:sz w:val="28"/>
        </w:rPr>
        <w:t>--------------------------------</w:t>
      </w:r>
      <w:r>
        <w:rPr>
          <w:rFonts w:hint="eastAsia" w:ascii="仿宋" w:hAnsi="仿宋" w:eastAsia="仿宋" w:cs="仿宋"/>
          <w:bCs/>
          <w:sz w:val="28"/>
        </w:rPr>
        <w:tab/>
      </w:r>
    </w:p>
    <w:p>
      <w:pPr>
        <w:tabs>
          <w:tab w:val="left" w:leader="hyphen" w:pos="7919"/>
        </w:tabs>
        <w:snapToGrid w:val="0"/>
        <w:spacing w:line="480" w:lineRule="auto"/>
        <w:rPr>
          <w:rFonts w:ascii="黑体" w:hAnsi="宋体" w:eastAsia="黑体"/>
          <w:b/>
          <w:sz w:val="32"/>
        </w:rPr>
      </w:pPr>
    </w:p>
    <w:p>
      <w:pPr>
        <w:pStyle w:val="2"/>
        <w:ind w:firstLine="321"/>
        <w:rPr>
          <w:rFonts w:ascii="黑体" w:hAnsi="宋体" w:eastAsia="黑体"/>
          <w:b/>
          <w:sz w:val="32"/>
        </w:rPr>
      </w:pPr>
    </w:p>
    <w:p>
      <w:pPr>
        <w:pStyle w:val="2"/>
        <w:ind w:firstLine="321"/>
        <w:rPr>
          <w:rFonts w:ascii="黑体" w:hAnsi="宋体" w:eastAsia="黑体"/>
          <w:b/>
          <w:sz w:val="32"/>
        </w:rPr>
      </w:pPr>
    </w:p>
    <w:p>
      <w:pPr>
        <w:pStyle w:val="2"/>
        <w:ind w:firstLine="321"/>
        <w:rPr>
          <w:rFonts w:ascii="黑体" w:hAnsi="宋体" w:eastAsia="黑体"/>
          <w:b/>
          <w:sz w:val="32"/>
        </w:rPr>
      </w:pPr>
    </w:p>
    <w:p>
      <w:pPr>
        <w:pStyle w:val="2"/>
        <w:ind w:firstLine="321"/>
        <w:rPr>
          <w:rFonts w:ascii="黑体" w:hAnsi="宋体" w:eastAsia="黑体"/>
          <w:b/>
          <w:sz w:val="32"/>
        </w:rPr>
      </w:pPr>
    </w:p>
    <w:p>
      <w:pPr>
        <w:pStyle w:val="2"/>
        <w:ind w:firstLine="321"/>
        <w:rPr>
          <w:rFonts w:ascii="黑体" w:hAnsi="宋体" w:eastAsia="黑体"/>
          <w:b/>
          <w:sz w:val="32"/>
        </w:rPr>
      </w:pPr>
    </w:p>
    <w:p>
      <w:pPr>
        <w:pStyle w:val="2"/>
        <w:ind w:firstLine="321"/>
        <w:rPr>
          <w:rFonts w:ascii="黑体" w:hAnsi="宋体" w:eastAsia="黑体"/>
          <w:b/>
          <w:sz w:val="32"/>
        </w:rPr>
      </w:pPr>
    </w:p>
    <w:p>
      <w:pPr>
        <w:pStyle w:val="2"/>
        <w:ind w:firstLine="321"/>
        <w:rPr>
          <w:rFonts w:ascii="黑体" w:hAnsi="宋体" w:eastAsia="黑体"/>
          <w:b/>
          <w:sz w:val="32"/>
        </w:rPr>
      </w:pPr>
    </w:p>
    <w:p>
      <w:pPr>
        <w:pStyle w:val="2"/>
        <w:ind w:firstLine="321"/>
        <w:rPr>
          <w:rFonts w:ascii="黑体" w:hAnsi="宋体" w:eastAsia="黑体"/>
          <w:b/>
          <w:sz w:val="32"/>
        </w:rPr>
      </w:pPr>
    </w:p>
    <w:p>
      <w:pPr>
        <w:pStyle w:val="33"/>
        <w:widowControl/>
        <w:numPr>
          <w:ilvl w:val="0"/>
          <w:numId w:val="1"/>
        </w:numPr>
        <w:shd w:val="clear" w:color="060000" w:fill="auto"/>
        <w:spacing w:before="0" w:beforeAutospacing="0" w:after="0" w:afterAutospacing="0" w:line="288" w:lineRule="auto"/>
        <w:jc w:val="center"/>
        <w:outlineLvl w:val="0"/>
        <w:rPr>
          <w:rFonts w:ascii="宋体" w:hAnsi="宋体" w:cs="宋体"/>
          <w:b/>
          <w:sz w:val="44"/>
          <w:szCs w:val="44"/>
        </w:rPr>
      </w:pPr>
      <w:bookmarkStart w:id="0" w:name="_Toc13242"/>
      <w:bookmarkStart w:id="1" w:name="_Toc405406287"/>
      <w:bookmarkStart w:id="2" w:name="_Toc517940854"/>
      <w:r>
        <w:rPr>
          <w:rFonts w:hint="eastAsia" w:ascii="宋体" w:hAnsi="宋体" w:cs="宋体"/>
          <w:b/>
          <w:sz w:val="44"/>
          <w:szCs w:val="44"/>
          <w:lang w:val="en-US" w:eastAsia="zh-CN"/>
        </w:rPr>
        <w:t xml:space="preserve"> </w:t>
      </w:r>
      <w:r>
        <w:rPr>
          <w:rFonts w:hint="eastAsia" w:ascii="宋体" w:hAnsi="宋体" w:cs="宋体"/>
          <w:b/>
          <w:sz w:val="44"/>
          <w:szCs w:val="44"/>
        </w:rPr>
        <w:t>招标公告</w:t>
      </w:r>
      <w:bookmarkEnd w:id="0"/>
      <w:bookmarkEnd w:id="1"/>
      <w:bookmarkEnd w:id="2"/>
    </w:p>
    <w:p>
      <w:pPr>
        <w:ind w:firstLine="320" w:firstLineChars="100"/>
        <w:jc w:val="center"/>
        <w:rPr>
          <w:rFonts w:hint="eastAsia" w:hAnsi="宋体" w:eastAsia="宋体"/>
          <w:b/>
          <w:sz w:val="32"/>
          <w:szCs w:val="32"/>
          <w:lang w:eastAsia="zh-CN"/>
        </w:rPr>
      </w:pPr>
      <w:r>
        <w:rPr>
          <w:rFonts w:hint="eastAsia" w:hAnsi="宋体"/>
          <w:b/>
          <w:sz w:val="32"/>
          <w:szCs w:val="32"/>
          <w:lang w:eastAsia="zh-CN"/>
        </w:rPr>
        <w:t>建安建工公字〔2019〕194 号</w:t>
      </w:r>
    </w:p>
    <w:p>
      <w:pPr>
        <w:ind w:firstLine="320" w:firstLineChars="100"/>
        <w:jc w:val="center"/>
        <w:rPr>
          <w:rFonts w:hint="eastAsia" w:hAnsi="宋体"/>
          <w:b/>
          <w:sz w:val="32"/>
          <w:szCs w:val="32"/>
        </w:rPr>
      </w:pPr>
      <w:r>
        <w:rPr>
          <w:rFonts w:hint="eastAsia" w:hAnsi="宋体"/>
          <w:b/>
          <w:sz w:val="32"/>
          <w:szCs w:val="32"/>
        </w:rPr>
        <w:t>许昌市建安区</w:t>
      </w:r>
      <w:r>
        <w:rPr>
          <w:rFonts w:hint="eastAsia" w:hAnsi="宋体"/>
          <w:b/>
          <w:sz w:val="32"/>
          <w:szCs w:val="32"/>
          <w:lang w:val="en-US" w:eastAsia="zh-CN"/>
        </w:rPr>
        <w:t>农业农村局</w:t>
      </w:r>
    </w:p>
    <w:p>
      <w:pPr>
        <w:ind w:firstLine="320" w:firstLineChars="100"/>
        <w:jc w:val="center"/>
        <w:rPr>
          <w:rFonts w:hint="default" w:hAnsi="宋体"/>
          <w:b/>
          <w:sz w:val="32"/>
          <w:szCs w:val="32"/>
          <w:lang w:val="en-US" w:eastAsia="zh-CN"/>
        </w:rPr>
      </w:pPr>
      <w:r>
        <w:rPr>
          <w:rFonts w:hint="eastAsia" w:hAnsi="宋体"/>
          <w:b/>
          <w:sz w:val="32"/>
          <w:szCs w:val="32"/>
          <w:lang w:val="en-US" w:eastAsia="zh-CN"/>
        </w:rPr>
        <w:t>建安区2019年农田建设朱集村等 4个村机井配套工程项目</w:t>
      </w:r>
    </w:p>
    <w:p>
      <w:pPr>
        <w:ind w:firstLine="320" w:firstLineChars="100"/>
        <w:jc w:val="center"/>
        <w:rPr>
          <w:rFonts w:hAnsi="宋体"/>
          <w:b/>
          <w:sz w:val="28"/>
          <w:szCs w:val="28"/>
        </w:rPr>
      </w:pPr>
      <w:r>
        <w:rPr>
          <w:rFonts w:hint="eastAsia" w:hAnsi="宋体"/>
          <w:b/>
          <w:sz w:val="32"/>
          <w:szCs w:val="32"/>
        </w:rPr>
        <w:t>公开招标公告</w:t>
      </w:r>
    </w:p>
    <w:p>
      <w:pPr>
        <w:keepNext w:val="0"/>
        <w:keepLines w:val="0"/>
        <w:pageBreakBefore w:val="0"/>
        <w:widowControl w:val="0"/>
        <w:kinsoku/>
        <w:wordWrap/>
        <w:overflowPunct/>
        <w:topLinePunct w:val="0"/>
        <w:bidi w:val="0"/>
        <w:snapToGrid/>
        <w:spacing w:line="520" w:lineRule="exact"/>
        <w:textAlignment w:val="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一、项目概况</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1、项目编号：建安建工公字〔2019〕</w:t>
      </w:r>
      <w:r>
        <w:rPr>
          <w:rFonts w:hint="eastAsia" w:asciiTheme="minorEastAsia" w:hAnsiTheme="minorEastAsia" w:eastAsiaTheme="minorEastAsia"/>
          <w:sz w:val="24"/>
          <w:szCs w:val="24"/>
          <w:lang w:val="en-US" w:eastAsia="zh-CN"/>
        </w:rPr>
        <w:t>194</w:t>
      </w:r>
      <w:r>
        <w:rPr>
          <w:rFonts w:hint="eastAsia" w:asciiTheme="minorEastAsia" w:hAnsiTheme="minorEastAsia" w:eastAsiaTheme="minorEastAsia"/>
          <w:sz w:val="24"/>
          <w:szCs w:val="24"/>
        </w:rPr>
        <w:t>号</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default" w:asciiTheme="minorEastAsia" w:hAnsiTheme="minorEastAsia" w:eastAsiaTheme="minorEastAsia"/>
          <w:sz w:val="24"/>
          <w:szCs w:val="24"/>
          <w:lang w:val="en-US"/>
        </w:rPr>
      </w:pPr>
      <w:r>
        <w:rPr>
          <w:rFonts w:hint="eastAsia" w:asciiTheme="minorEastAsia" w:hAnsiTheme="minorEastAsia" w:eastAsiaTheme="minorEastAsia"/>
          <w:sz w:val="24"/>
          <w:szCs w:val="24"/>
        </w:rPr>
        <w:t>2、项目名称：</w:t>
      </w:r>
      <w:r>
        <w:rPr>
          <w:rFonts w:hint="eastAsia" w:asciiTheme="minorEastAsia" w:hAnsiTheme="minorEastAsia" w:eastAsiaTheme="minorEastAsia"/>
          <w:sz w:val="24"/>
          <w:szCs w:val="24"/>
          <w:lang w:val="en-US" w:eastAsia="zh-CN"/>
        </w:rPr>
        <w:t>建安区2019年农田建设朱集村等 4个村机井配套工</w:t>
      </w:r>
      <w:bookmarkStart w:id="486" w:name="_GoBack"/>
      <w:bookmarkEnd w:id="486"/>
      <w:r>
        <w:rPr>
          <w:rFonts w:hint="eastAsia" w:asciiTheme="minorEastAsia" w:hAnsiTheme="minorEastAsia" w:eastAsiaTheme="minorEastAsia"/>
          <w:sz w:val="24"/>
          <w:szCs w:val="24"/>
          <w:lang w:val="en-US" w:eastAsia="zh-CN"/>
        </w:rPr>
        <w:t>程项目</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3、招标单位：许昌市建安区</w:t>
      </w:r>
      <w:r>
        <w:rPr>
          <w:rFonts w:hint="eastAsia" w:asciiTheme="minorEastAsia" w:hAnsiTheme="minorEastAsia" w:eastAsiaTheme="minorEastAsia"/>
          <w:sz w:val="24"/>
          <w:szCs w:val="24"/>
          <w:lang w:val="en-US" w:eastAsia="zh-CN"/>
        </w:rPr>
        <w:t>农业农村局</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eastAsia="zh-CN"/>
        </w:rPr>
        <w:t>项目概况</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 xml:space="preserve">主要是机井及机井配套工程，一标段（朱集村）：新打40m机井47眼，每眼机井配套新建井台1座、绞盘式喷灌设施1套、机井标识牌1个，每眼机井配套安装机井潜水泵1套（含电缆线、镀锌管等配件）、机井首部件1套（含卡盘、压力表、阀门、管件、钢管等配件）、智能型一体化井房1套（含井房、GPRS数据传输模块、超声波流量计、接触器、断路器、通迅卡、IC卡及管理终端等配件）。 二标段（孟庄村、老官赵村）：新打50m机井21眼，新打40m机井25眼，每眼机井配套新建井台1座、绞盘式喷灌设施1套、机井标识牌1个，每眼机井配套安装机井潜水泵1套（含电缆线、镀锌管等配件）、机井首部件1套（含卡盘、压力表、阀门、管件、钢管等配件）、智能型一体化井房1套（含井房、GPRS数据传输模块、超声波流量计、接触器、断路器、通迅卡、IC卡及管理终端等配件），新建项目区简介牌1个。三标段（程庄村）：新打40m机井50眼，每眼机井配套新建井台1座、绞盘式喷灌设施1套、机井标识牌1个，每眼机井配套安装机井潜水泵1套（含电缆线、镀锌管等配件）、机井首部件1套（含卡盘、压力表、阀门、管件、钢管等配件）、智能型一体化井房1套（含井房、GPRS数据传输模块、超声波流量计、接触器、断路器、通迅卡、IC卡及管理终端等配件）。  </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5、标段划分：共分为</w:t>
      </w:r>
      <w:r>
        <w:rPr>
          <w:rFonts w:hint="eastAsia" w:asciiTheme="minorEastAsia" w:hAnsiTheme="minorEastAsia" w:eastAsiaTheme="minorEastAsia"/>
          <w:sz w:val="24"/>
          <w:szCs w:val="24"/>
          <w:lang w:eastAsia="zh-CN"/>
        </w:rPr>
        <w:t>三</w:t>
      </w:r>
      <w:r>
        <w:rPr>
          <w:rFonts w:hint="eastAsia" w:asciiTheme="minorEastAsia" w:hAnsiTheme="minorEastAsia" w:eastAsiaTheme="minorEastAsia"/>
          <w:sz w:val="24"/>
          <w:szCs w:val="24"/>
        </w:rPr>
        <w:t>个标段</w:t>
      </w:r>
      <w:r>
        <w:rPr>
          <w:rFonts w:hint="eastAsia" w:asciiTheme="minorEastAsia" w:hAnsiTheme="minorEastAsia" w:eastAsiaTheme="minorEastAsia"/>
          <w:sz w:val="24"/>
          <w:szCs w:val="24"/>
          <w:lang w:eastAsia="zh-CN"/>
        </w:rPr>
        <w:t>。</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一标段：建安区2019年农田建设</w:t>
      </w:r>
      <w:r>
        <w:rPr>
          <w:rFonts w:hint="eastAsia" w:asciiTheme="minorEastAsia" w:hAnsiTheme="minorEastAsia" w:eastAsiaTheme="minorEastAsia"/>
          <w:sz w:val="24"/>
          <w:szCs w:val="24"/>
          <w:lang w:val="en-US" w:eastAsia="zh-CN"/>
        </w:rPr>
        <w:t>朱集村</w:t>
      </w:r>
      <w:r>
        <w:rPr>
          <w:rFonts w:hint="eastAsia" w:asciiTheme="minorEastAsia" w:hAnsiTheme="minorEastAsia" w:eastAsiaTheme="minorEastAsia"/>
          <w:sz w:val="24"/>
          <w:szCs w:val="24"/>
        </w:rPr>
        <w:t>机井配套工程；</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二标段：建安区2019年农田建设</w:t>
      </w:r>
      <w:r>
        <w:rPr>
          <w:rFonts w:hint="eastAsia" w:asciiTheme="minorEastAsia" w:hAnsiTheme="minorEastAsia" w:eastAsiaTheme="minorEastAsia"/>
          <w:sz w:val="24"/>
          <w:szCs w:val="24"/>
          <w:lang w:val="en-US" w:eastAsia="zh-CN"/>
        </w:rPr>
        <w:t>孟庄村、老官赵村</w:t>
      </w:r>
      <w:r>
        <w:rPr>
          <w:rFonts w:hint="eastAsia" w:asciiTheme="minorEastAsia" w:hAnsiTheme="minorEastAsia" w:eastAsiaTheme="minorEastAsia"/>
          <w:sz w:val="24"/>
          <w:szCs w:val="24"/>
        </w:rPr>
        <w:t>机井配套工程；</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三标段：建安区2019年农田建设</w:t>
      </w:r>
      <w:r>
        <w:rPr>
          <w:rFonts w:hint="eastAsia" w:asciiTheme="minorEastAsia" w:hAnsiTheme="minorEastAsia" w:eastAsiaTheme="minorEastAsia"/>
          <w:sz w:val="24"/>
          <w:szCs w:val="24"/>
          <w:lang w:val="en-US" w:eastAsia="zh-CN"/>
        </w:rPr>
        <w:t>程庄村</w:t>
      </w:r>
      <w:r>
        <w:rPr>
          <w:rFonts w:hint="eastAsia" w:asciiTheme="minorEastAsia" w:hAnsiTheme="minorEastAsia" w:eastAsiaTheme="minorEastAsia"/>
          <w:sz w:val="24"/>
          <w:szCs w:val="24"/>
        </w:rPr>
        <w:t>机井配套工程</w:t>
      </w:r>
      <w:r>
        <w:rPr>
          <w:rFonts w:hint="eastAsia" w:asciiTheme="minorEastAsia" w:hAnsiTheme="minorEastAsia" w:eastAsiaTheme="minorEastAsia"/>
          <w:sz w:val="24"/>
          <w:szCs w:val="24"/>
          <w:lang w:eastAsia="zh-CN"/>
        </w:rPr>
        <w:t>。</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6、资金预算：</w:t>
      </w:r>
      <w:r>
        <w:rPr>
          <w:rFonts w:hint="eastAsia" w:asciiTheme="minorEastAsia" w:hAnsiTheme="minorEastAsia" w:eastAsiaTheme="minorEastAsia"/>
          <w:sz w:val="24"/>
          <w:szCs w:val="24"/>
          <w:lang w:val="en-US" w:eastAsia="zh-CN"/>
        </w:rPr>
        <w:t>6713488.00</w:t>
      </w:r>
      <w:r>
        <w:rPr>
          <w:rFonts w:hint="eastAsia" w:asciiTheme="minorEastAsia" w:hAnsiTheme="minorEastAsia" w:eastAsiaTheme="minorEastAsia"/>
          <w:sz w:val="24"/>
          <w:szCs w:val="24"/>
        </w:rPr>
        <w:t>元。</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一标段：2185208.82元；</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二标段：2200950.18元；</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三标段：2327329.00元；</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7、计划工期：90日历天。</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8、质量要求：合格（符合国家建设工程质量验收规范和标准）。</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9、招标范围：招标文件、施工图纸、工程量清单、答疑纪要和补充文件（如有）范围内的所有建设内容。</w:t>
      </w:r>
    </w:p>
    <w:p>
      <w:pPr>
        <w:keepNext w:val="0"/>
        <w:keepLines w:val="0"/>
        <w:pageBreakBefore w:val="0"/>
        <w:widowControl w:val="0"/>
        <w:kinsoku/>
        <w:wordWrap/>
        <w:overflowPunct/>
        <w:topLinePunct w:val="0"/>
        <w:bidi w:val="0"/>
        <w:snapToGrid/>
        <w:spacing w:line="520" w:lineRule="exact"/>
        <w:textAlignment w:val="auto"/>
        <w:rPr>
          <w:sz w:val="24"/>
          <w:szCs w:val="24"/>
        </w:rPr>
      </w:pPr>
      <w:bookmarkStart w:id="3" w:name="_Toc511666594"/>
      <w:r>
        <w:rPr>
          <w:rFonts w:hint="eastAsia" w:asciiTheme="minorEastAsia" w:hAnsiTheme="minorEastAsia" w:eastAsiaTheme="minorEastAsia"/>
          <w:b/>
          <w:bCs/>
          <w:sz w:val="24"/>
          <w:szCs w:val="24"/>
        </w:rPr>
        <w:t>二、投标人资格要求</w:t>
      </w:r>
      <w:bookmarkEnd w:id="3"/>
    </w:p>
    <w:p>
      <w:pPr>
        <w:keepNext w:val="0"/>
        <w:keepLines w:val="0"/>
        <w:pageBreakBefore w:val="0"/>
        <w:widowControl w:val="0"/>
        <w:kinsoku/>
        <w:wordWrap/>
        <w:overflowPunct/>
        <w:topLinePunct w:val="0"/>
        <w:bidi w:val="0"/>
        <w:snapToGrid/>
        <w:spacing w:line="52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1、投标人具有独立</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rPr>
        <w:t>法人资格。</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2、投标人须具备水利水电工程施工总承包叁级及以上资质</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且</w:t>
      </w:r>
      <w:r>
        <w:rPr>
          <w:rFonts w:hint="eastAsia" w:asciiTheme="minorEastAsia" w:hAnsiTheme="minorEastAsia" w:eastAsiaTheme="minorEastAsia"/>
          <w:sz w:val="24"/>
          <w:szCs w:val="24"/>
        </w:rPr>
        <w:t>具有有效的安全生产许可证；在人员、设备、资金等方面具有相应的施工能力。</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3、拟派项目负责人</w:t>
      </w:r>
      <w:r>
        <w:rPr>
          <w:rFonts w:hint="eastAsia" w:asciiTheme="minorEastAsia" w:hAnsiTheme="minorEastAsia" w:eastAsiaTheme="minorEastAsia"/>
          <w:sz w:val="24"/>
          <w:szCs w:val="24"/>
          <w:lang w:val="en-US" w:eastAsia="zh-CN"/>
        </w:rPr>
        <w:t>应</w:t>
      </w:r>
      <w:r>
        <w:rPr>
          <w:rFonts w:hint="eastAsia" w:asciiTheme="minorEastAsia" w:hAnsiTheme="minorEastAsia" w:eastAsiaTheme="minorEastAsia"/>
          <w:sz w:val="24"/>
          <w:szCs w:val="24"/>
        </w:rPr>
        <w:t>具备水利水电</w:t>
      </w:r>
      <w:r>
        <w:rPr>
          <w:rFonts w:hint="eastAsia" w:asciiTheme="minorEastAsia" w:hAnsiTheme="minorEastAsia" w:eastAsiaTheme="minorEastAsia"/>
          <w:sz w:val="24"/>
          <w:szCs w:val="24"/>
          <w:lang w:val="en-US" w:eastAsia="zh-CN"/>
        </w:rPr>
        <w:t>工程</w:t>
      </w:r>
      <w:r>
        <w:rPr>
          <w:rFonts w:hint="eastAsia" w:asciiTheme="minorEastAsia" w:hAnsiTheme="minorEastAsia" w:eastAsiaTheme="minorEastAsia"/>
          <w:sz w:val="24"/>
          <w:szCs w:val="24"/>
        </w:rPr>
        <w:t>专业</w:t>
      </w:r>
      <w:r>
        <w:rPr>
          <w:rFonts w:hint="eastAsia" w:asciiTheme="minorEastAsia" w:hAnsiTheme="minorEastAsia" w:eastAsiaTheme="minorEastAsia"/>
          <w:sz w:val="24"/>
          <w:szCs w:val="24"/>
          <w:lang w:val="en-US" w:eastAsia="zh-CN"/>
        </w:rPr>
        <w:t>贰</w:t>
      </w:r>
      <w:r>
        <w:rPr>
          <w:rFonts w:hint="eastAsia" w:asciiTheme="minorEastAsia" w:hAnsiTheme="minorEastAsia" w:eastAsiaTheme="minorEastAsia"/>
          <w:sz w:val="24"/>
          <w:szCs w:val="24"/>
        </w:rPr>
        <w:t>级</w:t>
      </w:r>
      <w:r>
        <w:rPr>
          <w:rFonts w:hint="eastAsia" w:asciiTheme="minorEastAsia" w:hAnsiTheme="minorEastAsia" w:eastAsiaTheme="minorEastAsia"/>
          <w:sz w:val="24"/>
          <w:szCs w:val="24"/>
          <w:lang w:val="en-US" w:eastAsia="zh-CN"/>
        </w:rPr>
        <w:t>及</w:t>
      </w:r>
      <w:r>
        <w:rPr>
          <w:rFonts w:hint="eastAsia" w:asciiTheme="minorEastAsia" w:hAnsiTheme="minorEastAsia" w:eastAsiaTheme="minorEastAsia"/>
          <w:sz w:val="24"/>
          <w:szCs w:val="24"/>
        </w:rPr>
        <w:t>以上注册建造师资格，且具有有效的安全生产考核合格证，并未承担其他在施建设工程。</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4、未</w:t>
      </w:r>
      <w:r>
        <w:rPr>
          <w:rFonts w:hint="eastAsia" w:asciiTheme="minorEastAsia" w:hAnsiTheme="minorEastAsia" w:eastAsiaTheme="minorEastAsia"/>
          <w:sz w:val="24"/>
          <w:szCs w:val="24"/>
        </w:rPr>
        <w:t>被</w:t>
      </w:r>
      <w:r>
        <w:rPr>
          <w:rFonts w:hint="eastAsia" w:asciiTheme="minorEastAsia" w:hAnsiTheme="minorEastAsia" w:eastAsiaTheme="minorEastAsia"/>
          <w:sz w:val="24"/>
          <w:szCs w:val="24"/>
          <w:lang w:val="en-US" w:eastAsia="zh-CN"/>
        </w:rPr>
        <w:t>列入</w:t>
      </w:r>
      <w:r>
        <w:rPr>
          <w:rFonts w:hint="eastAsia" w:asciiTheme="minorEastAsia" w:hAnsiTheme="minorEastAsia" w:eastAsiaTheme="minorEastAsia"/>
          <w:sz w:val="24"/>
          <w:szCs w:val="24"/>
        </w:rPr>
        <w:t>“信用中国”</w:t>
      </w:r>
      <w:r>
        <w:rPr>
          <w:rFonts w:hint="eastAsia" w:asciiTheme="minorEastAsia" w:hAnsiTheme="minorEastAsia" w:eastAsiaTheme="minorEastAsia"/>
          <w:sz w:val="24"/>
          <w:szCs w:val="24"/>
          <w:lang w:val="en-US" w:eastAsia="zh-CN"/>
        </w:rPr>
        <w:t>网站（ww.creditchina.gov.cn）失信被执行人名单、</w:t>
      </w:r>
      <w:r>
        <w:rPr>
          <w:rFonts w:hint="eastAsia" w:asciiTheme="minorEastAsia" w:hAnsiTheme="minorEastAsia" w:eastAsiaTheme="minorEastAsia"/>
          <w:sz w:val="24"/>
          <w:szCs w:val="24"/>
        </w:rPr>
        <w:t>“国家企业信用信息公示系统”</w:t>
      </w:r>
      <w:r>
        <w:rPr>
          <w:rFonts w:hint="eastAsia" w:asciiTheme="minorEastAsia" w:hAnsiTheme="minorEastAsia" w:eastAsiaTheme="minorEastAsia"/>
          <w:sz w:val="24"/>
          <w:szCs w:val="24"/>
          <w:lang w:val="en-US" w:eastAsia="zh-CN"/>
        </w:rPr>
        <w:t>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rPr>
      </w:pPr>
      <w:bookmarkStart w:id="4" w:name="_Toc511666617"/>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、不接受联合体投标。</w:t>
      </w:r>
      <w:bookmarkEnd w:id="4"/>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6、本次招标实行资格后审。</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default"/>
          <w:lang w:val="en-US" w:eastAsia="zh-CN"/>
        </w:rPr>
      </w:pPr>
      <w:r>
        <w:rPr>
          <w:rFonts w:hint="eastAsia" w:asciiTheme="minorEastAsia" w:hAnsiTheme="minorEastAsia" w:eastAsiaTheme="minorEastAsia"/>
          <w:sz w:val="24"/>
          <w:szCs w:val="24"/>
          <w:lang w:val="en-US" w:eastAsia="zh-CN"/>
        </w:rPr>
        <w:t>7、投标人符合资格要求的，可同时投多个标段，但只能按标段顺序中一个标段。</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outlineLvl w:val="0"/>
        <w:rPr>
          <w:rFonts w:ascii="宋体" w:hAnsi="宋体" w:cs="宋体"/>
          <w:b/>
          <w:bCs/>
          <w:sz w:val="24"/>
          <w:szCs w:val="24"/>
        </w:rPr>
      </w:pPr>
      <w:r>
        <w:rPr>
          <w:rFonts w:hint="eastAsia" w:ascii="宋体" w:hAnsi="宋体" w:cs="宋体"/>
          <w:b/>
          <w:bCs/>
          <w:sz w:val="24"/>
          <w:szCs w:val="24"/>
        </w:rPr>
        <w:t>三、投标报名方式</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outlineLvl w:val="0"/>
        <w:rPr>
          <w:rFonts w:ascii="宋体" w:hAnsi="宋体" w:cs="宋体"/>
          <w:sz w:val="24"/>
          <w:szCs w:val="24"/>
        </w:rPr>
      </w:pPr>
      <w:r>
        <w:rPr>
          <w:rFonts w:hint="eastAsia" w:ascii="宋体"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outlineLvl w:val="0"/>
        <w:rPr>
          <w:rFonts w:ascii="宋体" w:hAnsi="宋体" w:cs="宋体"/>
          <w:sz w:val="24"/>
          <w:szCs w:val="24"/>
        </w:rPr>
      </w:pPr>
      <w:r>
        <w:rPr>
          <w:rFonts w:hint="eastAsia" w:ascii="宋体"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Ansi="宋体"/>
          <w:b/>
          <w:sz w:val="24"/>
          <w:szCs w:val="24"/>
        </w:rPr>
      </w:pPr>
      <w:r>
        <w:rPr>
          <w:rFonts w:hint="eastAsia" w:asciiTheme="minorEastAsia" w:hAnsiTheme="minorEastAsia" w:eastAsiaTheme="minorEastAsia"/>
          <w:b/>
          <w:bCs/>
          <w:sz w:val="24"/>
          <w:szCs w:val="24"/>
        </w:rPr>
        <w:t xml:space="preserve">四、招标文件和施工图纸的获取       </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1、招标文件和施工图纸的获取：投标人投标文件递交截止时间前均可登录《全国公共资源交易平台(河南省▪许昌市)》（</w:t>
      </w:r>
      <w:r>
        <w:rPr>
          <w:sz w:val="24"/>
          <w:szCs w:val="24"/>
        </w:rPr>
        <w:fldChar w:fldCharType="begin"/>
      </w:r>
      <w:r>
        <w:rPr>
          <w:sz w:val="24"/>
          <w:szCs w:val="24"/>
        </w:rPr>
        <w:instrText xml:space="preserve"> HYPERLINK "http://www.xczbtb.com/" </w:instrText>
      </w:r>
      <w:r>
        <w:rPr>
          <w:sz w:val="24"/>
          <w:szCs w:val="24"/>
        </w:rPr>
        <w:fldChar w:fldCharType="separate"/>
      </w:r>
      <w:r>
        <w:rPr>
          <w:rFonts w:hint="eastAsia" w:asciiTheme="minorEastAsia" w:hAnsiTheme="minorEastAsia" w:eastAsiaTheme="minorEastAsia"/>
          <w:sz w:val="24"/>
          <w:szCs w:val="24"/>
        </w:rPr>
        <w:t>http://www.xcggzy.gov.cn/</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），通过“投标人/供应商登录” 入口自行下载。</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2、招标文件售价100元/套，于递交投标文件时缴纳给招标代理机构，售后不退。</w:t>
      </w:r>
    </w:p>
    <w:p>
      <w:pPr>
        <w:keepNext w:val="0"/>
        <w:keepLines w:val="0"/>
        <w:pageBreakBefore w:val="0"/>
        <w:widowControl w:val="0"/>
        <w:kinsoku/>
        <w:wordWrap/>
        <w:overflowPunct/>
        <w:topLinePunct w:val="0"/>
        <w:bidi w:val="0"/>
        <w:snapToGrid/>
        <w:spacing w:line="520" w:lineRule="exact"/>
        <w:textAlignment w:val="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五、投标文件的递交</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1、本项目为全流程电子化交易项目，须提电子投标文件和电子介质（U盘）存储的备份文件。</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2、投标文件提交的截止时间及开标时间：</w:t>
      </w:r>
      <w:r>
        <w:rPr>
          <w:rFonts w:hint="eastAsia" w:asciiTheme="minorEastAsia" w:hAnsiTheme="minorEastAsia" w:eastAsiaTheme="minorEastAsia"/>
          <w:sz w:val="24"/>
          <w:szCs w:val="24"/>
          <w:lang w:eastAsia="zh-CN"/>
        </w:rPr>
        <w:t>2019年11月27日09时30分</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电子投标文件的提交：电子投标文件应在投标文件提交截止时间（开标时间）之前成功提交至《全国公共资源交易平台(河南省▪许昌市)》公共资源交易系统，并同时提交2份使用电子介质（U盘）存储的备份文件。</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4、电子介质存储的投标文件提交地点：</w:t>
      </w:r>
      <w:r>
        <w:rPr>
          <w:rFonts w:hint="eastAsia" w:asciiTheme="minorEastAsia" w:hAnsiTheme="minorEastAsia" w:eastAsiaTheme="minorEastAsia"/>
          <w:sz w:val="24"/>
          <w:szCs w:val="24"/>
          <w:lang w:eastAsia="zh-CN"/>
        </w:rPr>
        <w:t>许昌市建安区新元大道兴业大厦4楼4167室（开标一室）</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5、逾期送达的或者未送达指定地点的电子介质存储的投标文件，招标人不予受理。</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六、发布公告的媒介</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本公告同时在《全国公共资源交易平台(河南省▪许昌市)》、《河南省电子招标投标公共服务平台》上发布。</w:t>
      </w:r>
    </w:p>
    <w:p>
      <w:pPr>
        <w:keepNext w:val="0"/>
        <w:keepLines w:val="0"/>
        <w:pageBreakBefore w:val="0"/>
        <w:widowControl w:val="0"/>
        <w:kinsoku/>
        <w:wordWrap/>
        <w:overflowPunct/>
        <w:topLinePunct w:val="0"/>
        <w:bidi w:val="0"/>
        <w:snapToGrid/>
        <w:spacing w:line="520" w:lineRule="exact"/>
        <w:textAlignment w:val="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七、联系方式</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招</w:t>
      </w:r>
      <w:r>
        <w:rPr>
          <w:rFonts w:hint="eastAsia" w:cs="宋体" w:asciiTheme="minorEastAsia" w:hAnsiTheme="minorEastAsia" w:eastAsiaTheme="minorEastAsia"/>
          <w:sz w:val="24"/>
          <w:szCs w:val="24"/>
          <w:lang w:val="en-US" w:eastAsia="zh-CN"/>
        </w:rPr>
        <w:t xml:space="preserve">  </w:t>
      </w:r>
      <w:r>
        <w:rPr>
          <w:rFonts w:hint="eastAsia" w:cs="宋体" w:asciiTheme="minorEastAsia" w:hAnsiTheme="minorEastAsia" w:eastAsiaTheme="minorEastAsia"/>
          <w:sz w:val="24"/>
          <w:szCs w:val="24"/>
        </w:rPr>
        <w:t>标</w:t>
      </w:r>
      <w:r>
        <w:rPr>
          <w:rFonts w:hint="eastAsia" w:cs="宋体" w:asciiTheme="minorEastAsia" w:hAnsiTheme="minorEastAsia" w:eastAsiaTheme="minorEastAsia"/>
          <w:sz w:val="24"/>
          <w:szCs w:val="24"/>
          <w:lang w:val="en-US" w:eastAsia="zh-CN"/>
        </w:rPr>
        <w:t xml:space="preserve">  </w:t>
      </w:r>
      <w:r>
        <w:rPr>
          <w:rFonts w:hint="eastAsia" w:cs="宋体" w:asciiTheme="minorEastAsia" w:hAnsiTheme="minorEastAsia" w:eastAsiaTheme="minorEastAsia"/>
          <w:sz w:val="24"/>
          <w:szCs w:val="24"/>
        </w:rPr>
        <w:t>人：</w:t>
      </w:r>
      <w:r>
        <w:rPr>
          <w:rFonts w:hint="eastAsia" w:ascii="宋体" w:hAnsi="宋体" w:cs="宋体" w:eastAsiaTheme="minorEastAsia"/>
          <w:kern w:val="0"/>
          <w:sz w:val="24"/>
          <w:szCs w:val="24"/>
        </w:rPr>
        <w:t>许昌市建安区</w:t>
      </w:r>
      <w:r>
        <w:rPr>
          <w:rFonts w:hint="eastAsia" w:ascii="宋体" w:hAnsi="宋体" w:cs="宋体" w:eastAsiaTheme="minorEastAsia"/>
          <w:kern w:val="0"/>
          <w:sz w:val="24"/>
          <w:szCs w:val="24"/>
          <w:lang w:val="en-US" w:eastAsia="zh-CN"/>
        </w:rPr>
        <w:t>农业农村局</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eastAsia="zh-CN"/>
        </w:rPr>
        <w:t>项目负责人</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冯先生</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 xml:space="preserve">电 </w:t>
      </w:r>
      <w:r>
        <w:rPr>
          <w:rFonts w:hint="eastAsia" w:cs="宋体" w:asciiTheme="minorEastAsia" w:hAnsiTheme="minorEastAsia" w:eastAsiaTheme="minorEastAsia"/>
          <w:sz w:val="24"/>
          <w:szCs w:val="24"/>
          <w:lang w:val="en-US" w:eastAsia="zh-CN"/>
        </w:rPr>
        <w:t xml:space="preserve">     </w:t>
      </w:r>
      <w:r>
        <w:rPr>
          <w:rFonts w:hint="eastAsia" w:cs="宋体" w:asciiTheme="minorEastAsia" w:hAnsiTheme="minorEastAsia" w:eastAsiaTheme="minorEastAsia"/>
          <w:sz w:val="24"/>
          <w:szCs w:val="24"/>
        </w:rPr>
        <w:t>话：</w:t>
      </w:r>
      <w:r>
        <w:rPr>
          <w:rFonts w:hint="eastAsia" w:cs="宋体" w:asciiTheme="minorEastAsia" w:hAnsiTheme="minorEastAsia" w:eastAsiaTheme="minorEastAsia"/>
          <w:sz w:val="24"/>
          <w:szCs w:val="24"/>
          <w:lang w:val="en-US" w:eastAsia="zh-CN"/>
        </w:rPr>
        <w:t>13938771700</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代理</w:t>
      </w:r>
      <w:r>
        <w:rPr>
          <w:rFonts w:hint="eastAsia" w:cs="宋体" w:asciiTheme="minorEastAsia" w:hAnsiTheme="minorEastAsia" w:eastAsiaTheme="minorEastAsia"/>
          <w:sz w:val="24"/>
          <w:szCs w:val="24"/>
          <w:lang w:val="en-US" w:eastAsia="zh-CN"/>
        </w:rPr>
        <w:t xml:space="preserve">  </w:t>
      </w:r>
      <w:r>
        <w:rPr>
          <w:rFonts w:hint="eastAsia" w:cs="宋体" w:asciiTheme="minorEastAsia" w:hAnsiTheme="minorEastAsia" w:eastAsiaTheme="minorEastAsia"/>
          <w:sz w:val="24"/>
          <w:szCs w:val="24"/>
        </w:rPr>
        <w:t>机构：河南</w:t>
      </w:r>
      <w:r>
        <w:rPr>
          <w:rFonts w:hint="eastAsia" w:cs="宋体" w:asciiTheme="minorEastAsia" w:hAnsiTheme="minorEastAsia" w:eastAsiaTheme="minorEastAsia"/>
          <w:sz w:val="24"/>
          <w:szCs w:val="24"/>
          <w:lang w:val="en-US" w:eastAsia="zh-CN"/>
        </w:rPr>
        <w:t>天场工程项目管理有限公司</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项目负责人：</w:t>
      </w:r>
      <w:r>
        <w:rPr>
          <w:rFonts w:hint="eastAsia" w:cs="宋体" w:asciiTheme="minorEastAsia" w:hAnsiTheme="minorEastAsia" w:eastAsiaTheme="minorEastAsia"/>
          <w:sz w:val="24"/>
          <w:szCs w:val="24"/>
          <w:lang w:val="en-US" w:eastAsia="zh-CN"/>
        </w:rPr>
        <w:t>齐女士</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电</w:t>
      </w:r>
      <w:r>
        <w:rPr>
          <w:rFonts w:hint="eastAsia" w:cs="宋体" w:asciiTheme="minorEastAsia" w:hAnsiTheme="minorEastAsia" w:eastAsiaTheme="minorEastAsia"/>
          <w:sz w:val="24"/>
          <w:szCs w:val="24"/>
          <w:lang w:val="en-US" w:eastAsia="zh-CN"/>
        </w:rPr>
        <w:t xml:space="preserve">      </w:t>
      </w:r>
      <w:r>
        <w:rPr>
          <w:rFonts w:hint="eastAsia" w:cs="宋体" w:asciiTheme="minorEastAsia" w:hAnsiTheme="minorEastAsia" w:eastAsiaTheme="minorEastAsia"/>
          <w:sz w:val="24"/>
          <w:szCs w:val="24"/>
        </w:rPr>
        <w:t>话：</w:t>
      </w:r>
      <w:r>
        <w:rPr>
          <w:rFonts w:hint="eastAsia" w:cs="宋体" w:asciiTheme="minorEastAsia" w:hAnsiTheme="minorEastAsia" w:eastAsiaTheme="minorEastAsia"/>
          <w:sz w:val="24"/>
          <w:szCs w:val="24"/>
          <w:lang w:val="en-US" w:eastAsia="zh-CN"/>
        </w:rPr>
        <w:t>13782288180</w:t>
      </w:r>
    </w:p>
    <w:p>
      <w:pPr>
        <w:pStyle w:val="2"/>
        <w:keepNext w:val="0"/>
        <w:keepLines w:val="0"/>
        <w:pageBreakBefore w:val="0"/>
        <w:widowControl w:val="0"/>
        <w:kinsoku/>
        <w:wordWrap/>
        <w:overflowPunct/>
        <w:topLinePunct w:val="0"/>
        <w:bidi w:val="0"/>
        <w:snapToGrid/>
        <w:spacing w:after="0" w:line="520" w:lineRule="exact"/>
        <w:ind w:firstLine="480" w:firstLineChars="200"/>
        <w:textAlignment w:val="auto"/>
        <w:rPr>
          <w:rFonts w:asciiTheme="minorEastAsia" w:hAnsiTheme="minorEastAsia" w:eastAsiaTheme="minorEastAsia"/>
          <w:sz w:val="24"/>
          <w:szCs w:val="24"/>
        </w:rPr>
      </w:pPr>
    </w:p>
    <w:p>
      <w:pPr>
        <w:pStyle w:val="2"/>
        <w:keepNext w:val="0"/>
        <w:keepLines w:val="0"/>
        <w:pageBreakBefore w:val="0"/>
        <w:widowControl w:val="0"/>
        <w:kinsoku/>
        <w:wordWrap/>
        <w:overflowPunct/>
        <w:topLinePunct w:val="0"/>
        <w:bidi w:val="0"/>
        <w:snapToGrid/>
        <w:spacing w:after="0" w:line="520" w:lineRule="exact"/>
        <w:ind w:firstLine="480" w:firstLineChars="200"/>
        <w:jc w:val="right"/>
        <w:textAlignment w:val="auto"/>
        <w:rPr>
          <w:rFonts w:hint="default" w:ascii="宋体" w:hAnsi="宋体" w:cs="宋体" w:eastAsiaTheme="minorEastAsia"/>
          <w:kern w:val="0"/>
          <w:sz w:val="24"/>
          <w:szCs w:val="24"/>
          <w:lang w:val="en-US" w:eastAsia="zh-CN"/>
        </w:rPr>
      </w:pPr>
      <w:r>
        <w:rPr>
          <w:rFonts w:hint="eastAsia" w:ascii="宋体" w:hAnsi="宋体" w:cs="宋体" w:eastAsiaTheme="minorEastAsia"/>
          <w:kern w:val="0"/>
          <w:sz w:val="24"/>
          <w:szCs w:val="24"/>
        </w:rPr>
        <w:t>许昌市建安区</w:t>
      </w:r>
      <w:r>
        <w:rPr>
          <w:rFonts w:hint="eastAsia" w:ascii="宋体" w:hAnsi="宋体" w:cs="宋体" w:eastAsiaTheme="minorEastAsia"/>
          <w:kern w:val="0"/>
          <w:sz w:val="24"/>
          <w:szCs w:val="24"/>
          <w:lang w:val="en-US" w:eastAsia="zh-CN"/>
        </w:rPr>
        <w:t>农业农村局</w:t>
      </w:r>
    </w:p>
    <w:p>
      <w:pPr>
        <w:pStyle w:val="2"/>
        <w:keepNext w:val="0"/>
        <w:keepLines w:val="0"/>
        <w:pageBreakBefore w:val="0"/>
        <w:widowControl w:val="0"/>
        <w:kinsoku/>
        <w:wordWrap/>
        <w:overflowPunct/>
        <w:topLinePunct w:val="0"/>
        <w:bidi w:val="0"/>
        <w:snapToGrid/>
        <w:spacing w:after="0" w:line="520" w:lineRule="exact"/>
        <w:ind w:firstLine="480" w:firstLineChars="200"/>
        <w:jc w:val="right"/>
        <w:textAlignment w:val="auto"/>
        <w:rPr>
          <w:rFonts w:asciiTheme="minorEastAsia" w:hAnsiTheme="minorEastAsia" w:eastAsiaTheme="minorEastAsia"/>
          <w:sz w:val="24"/>
        </w:rPr>
      </w:pPr>
      <w:r>
        <w:rPr>
          <w:rFonts w:hint="eastAsia" w:cs="宋体" w:asciiTheme="minorEastAsia" w:hAnsiTheme="minorEastAsia" w:eastAsiaTheme="minorEastAsia"/>
          <w:sz w:val="24"/>
          <w:szCs w:val="24"/>
        </w:rPr>
        <w:t>2019年</w:t>
      </w:r>
      <w:r>
        <w:rPr>
          <w:rFonts w:hint="eastAsia" w:cs="宋体" w:asciiTheme="minorEastAsia" w:hAnsiTheme="minorEastAsia" w:eastAsiaTheme="minorEastAsia"/>
          <w:sz w:val="24"/>
          <w:szCs w:val="24"/>
          <w:lang w:val="en-US" w:eastAsia="zh-CN"/>
        </w:rPr>
        <w:t>11</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日</w:t>
      </w:r>
    </w:p>
    <w:p>
      <w:pPr>
        <w:pStyle w:val="2"/>
        <w:ind w:firstLine="210"/>
      </w:pPr>
      <w:r>
        <w:br w:type="page"/>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05" w:leftChars="-50" w:right="-105" w:rightChars="-50" w:firstLine="480" w:firstLineChars="200"/>
        <w:rPr>
          <w:rFonts w:hAnsi="宋体" w:cs="宋体"/>
          <w:b/>
          <w:bCs/>
          <w:sz w:val="24"/>
        </w:rPr>
      </w:pPr>
      <w:r>
        <w:rPr>
          <w:rFonts w:hint="eastAsia" w:hAnsi="宋体" w:cs="宋体"/>
          <w:b/>
          <w:bCs/>
          <w:sz w:val="24"/>
        </w:rPr>
        <w:t>1.投标人应按招标文件规定下载、编制、提交电子投标文件和电子介质存储的投标文件。开、评标现场不接受投标人递交的电子投标文件和电子介质存储的投标文件以外的其他资料。</w:t>
      </w:r>
    </w:p>
    <w:p>
      <w:pPr>
        <w:snapToGrid w:val="0"/>
        <w:spacing w:line="540" w:lineRule="exact"/>
        <w:ind w:left="-105" w:leftChars="-50" w:right="-105" w:rightChars="-50" w:firstLine="480" w:firstLineChars="200"/>
        <w:rPr>
          <w:rFonts w:hAnsi="宋体" w:cs="宋体"/>
          <w:b/>
          <w:bCs/>
          <w:sz w:val="24"/>
        </w:rPr>
      </w:pPr>
      <w:r>
        <w:rPr>
          <w:rFonts w:hint="eastAsia" w:hAnsi="宋体" w:cs="宋体"/>
          <w:b/>
          <w:bCs/>
          <w:sz w:val="24"/>
        </w:rPr>
        <w:t>2.电子文件下载、制作、提交期间和开标（电子投标文件的解密）环节，投标人须使用CA数字证书。</w:t>
      </w:r>
    </w:p>
    <w:p>
      <w:pPr>
        <w:snapToGrid w:val="0"/>
        <w:spacing w:line="540" w:lineRule="exact"/>
        <w:ind w:left="-105" w:leftChars="-50" w:right="-105" w:rightChars="-50" w:firstLine="480" w:firstLineChars="200"/>
        <w:rPr>
          <w:rFonts w:hAnsi="宋体" w:cs="宋体"/>
          <w:b/>
          <w:bCs/>
          <w:sz w:val="24"/>
        </w:rPr>
      </w:pPr>
      <w:r>
        <w:rPr>
          <w:rFonts w:hint="eastAsia" w:hAnsi="宋体" w:cs="宋体"/>
          <w:b/>
          <w:bCs/>
          <w:sz w:val="24"/>
        </w:rPr>
        <w:t>3.电子投标文件的制作</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rPr>
        <w:t>）下载“许昌投标文件制作系统SEARUN V1.1”，按招标文件要求制作电子投标文件。</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电子投标文件的制作，参考《全国公共资源交易平台(河南省▪许昌市)》公共资源交易系统——组件下载——交易系统操作手册（投标人、供应商）。</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3.2 投标人须将招标文件要求的资质、业绩、荣誉及相关人员证明材料等资料原件扫描件（或图片）制作到所提交的电子投标文件中。</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05" w:leftChars="-50" w:right="-105" w:rightChars="-50" w:firstLine="480" w:firstLineChars="200"/>
        <w:rPr>
          <w:rFonts w:hAnsi="宋体" w:cs="宋体"/>
          <w:b/>
          <w:bCs/>
          <w:sz w:val="24"/>
        </w:rPr>
      </w:pPr>
      <w:r>
        <w:rPr>
          <w:rFonts w:hint="eastAsia" w:hAnsi="宋体" w:cs="宋体"/>
          <w:b/>
          <w:bCs/>
          <w:sz w:val="24"/>
        </w:rPr>
        <w:t>4.电子投标文件的提交</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rPr>
        <w:t>）。</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投标人应充分考虑并预留技术处理和上传数据所需时间。</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4.2 投标人对同一项目多个标段进行投标的，电子投标文件应按标段分别提交。</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4.3 电子投标文件成功提交后，投标人应打印“投标文件提交回执单”，供开标现场备查。</w:t>
      </w:r>
    </w:p>
    <w:p>
      <w:pPr>
        <w:snapToGrid w:val="0"/>
        <w:spacing w:line="540" w:lineRule="exact"/>
        <w:ind w:left="-105" w:leftChars="-50" w:right="-105" w:rightChars="-50" w:firstLine="480" w:firstLineChars="200"/>
        <w:rPr>
          <w:rFonts w:hAnsi="宋体" w:cs="宋体"/>
          <w:b/>
          <w:bCs/>
          <w:sz w:val="24"/>
        </w:rPr>
      </w:pPr>
      <w:r>
        <w:rPr>
          <w:rFonts w:hint="eastAsia" w:hAnsi="宋体" w:cs="宋体"/>
          <w:b/>
          <w:bCs/>
          <w:sz w:val="24"/>
        </w:rPr>
        <w:t>5.评标依据</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5.1采用全流程电子化交易评标时，评标委员会以电子投标文件为依据评标。</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5.2全流程电子化交易如因系统异常情况无法完成，将以人工方式进行。评标委员会以电子介质存储的投标文件为依据评标。</w:t>
      </w:r>
    </w:p>
    <w:p>
      <w:pPr>
        <w:pStyle w:val="2"/>
        <w:ind w:firstLine="0" w:firstLineChars="0"/>
      </w:pPr>
    </w:p>
    <w:p>
      <w:pPr>
        <w:rPr>
          <w:rFonts w:ascii="宋体" w:hAnsi="宋体" w:cs="宋体"/>
          <w:b/>
          <w:bCs/>
          <w:sz w:val="44"/>
          <w:szCs w:val="44"/>
        </w:rPr>
      </w:pPr>
      <w:bookmarkStart w:id="5" w:name="_Toc18374"/>
      <w:bookmarkStart w:id="6" w:name="_Toc15029"/>
      <w:bookmarkStart w:id="7" w:name="_Toc17593"/>
      <w:bookmarkStart w:id="8" w:name="_Toc19466"/>
      <w:r>
        <w:rPr>
          <w:rFonts w:hint="eastAsia" w:ascii="宋体" w:hAnsi="宋体" w:cs="宋体"/>
          <w:b/>
          <w:bCs/>
          <w:sz w:val="44"/>
          <w:szCs w:val="44"/>
        </w:rPr>
        <w:br w:type="page"/>
      </w:r>
    </w:p>
    <w:p>
      <w:pPr>
        <w:pStyle w:val="2"/>
        <w:ind w:firstLine="0" w:firstLineChars="0"/>
        <w:jc w:val="center"/>
        <w:rPr>
          <w:rFonts w:ascii="宋体" w:hAnsi="宋体" w:cs="宋体"/>
          <w:b/>
          <w:bCs/>
          <w:sz w:val="44"/>
          <w:szCs w:val="44"/>
        </w:rPr>
      </w:pPr>
      <w:r>
        <w:rPr>
          <w:rFonts w:hint="eastAsia" w:ascii="宋体" w:hAnsi="宋体" w:cs="宋体"/>
          <w:b/>
          <w:bCs/>
          <w:sz w:val="44"/>
          <w:szCs w:val="44"/>
        </w:rPr>
        <w:t>第二章 投标人须知</w:t>
      </w:r>
      <w:bookmarkEnd w:id="5"/>
      <w:bookmarkEnd w:id="6"/>
      <w:bookmarkEnd w:id="7"/>
      <w:bookmarkEnd w:id="8"/>
      <w:bookmarkStart w:id="9" w:name="_Toc1802"/>
    </w:p>
    <w:p>
      <w:pPr>
        <w:pStyle w:val="33"/>
        <w:widowControl/>
        <w:shd w:val="clear" w:color="060000" w:fill="auto"/>
        <w:spacing w:before="0" w:beforeAutospacing="0" w:after="0" w:afterAutospacing="0" w:line="288" w:lineRule="auto"/>
        <w:outlineLvl w:val="1"/>
        <w:rPr>
          <w:rFonts w:ascii="宋体" w:hAnsi="宋体" w:cs="宋体"/>
          <w:b/>
        </w:rPr>
      </w:pPr>
      <w:bookmarkStart w:id="10" w:name="_Toc517940855"/>
      <w:bookmarkStart w:id="11" w:name="_Toc21334"/>
      <w:r>
        <w:rPr>
          <w:rFonts w:hint="eastAsia" w:ascii="宋体" w:hAnsi="宋体" w:cs="宋体"/>
          <w:b/>
        </w:rPr>
        <w:t>投标人须知前附表</w:t>
      </w:r>
      <w:bookmarkEnd w:id="9"/>
      <w:bookmarkEnd w:id="10"/>
      <w:bookmarkEnd w:id="11"/>
    </w:p>
    <w:tbl>
      <w:tblPr>
        <w:tblStyle w:val="3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60"/>
        <w:gridCol w:w="19"/>
        <w:gridCol w:w="2281"/>
        <w:gridCol w:w="24"/>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0" w:type="dxa"/>
            <w:vAlign w:val="center"/>
          </w:tcPr>
          <w:p>
            <w:pPr>
              <w:spacing w:line="312" w:lineRule="auto"/>
              <w:jc w:val="center"/>
              <w:rPr>
                <w:rFonts w:ascii="宋体" w:hAnsi="宋体" w:cs="宋体"/>
                <w:b/>
                <w:kern w:val="0"/>
                <w:sz w:val="24"/>
              </w:rPr>
            </w:pPr>
            <w:r>
              <w:rPr>
                <w:rFonts w:hint="eastAsia" w:ascii="宋体" w:hAnsi="宋体" w:cs="宋体"/>
                <w:b/>
                <w:kern w:val="0"/>
                <w:sz w:val="24"/>
              </w:rPr>
              <w:t>条款号</w:t>
            </w:r>
          </w:p>
        </w:tc>
        <w:tc>
          <w:tcPr>
            <w:tcW w:w="2384" w:type="dxa"/>
            <w:gridSpan w:val="4"/>
            <w:vAlign w:val="center"/>
          </w:tcPr>
          <w:p>
            <w:pPr>
              <w:spacing w:line="312" w:lineRule="auto"/>
              <w:jc w:val="center"/>
              <w:rPr>
                <w:rFonts w:ascii="宋体" w:hAnsi="宋体" w:cs="宋体"/>
                <w:b/>
                <w:kern w:val="0"/>
                <w:sz w:val="24"/>
              </w:rPr>
            </w:pPr>
            <w:r>
              <w:rPr>
                <w:rFonts w:hint="eastAsia" w:ascii="宋体" w:hAnsi="宋体" w:cs="宋体"/>
                <w:b/>
                <w:kern w:val="0"/>
                <w:sz w:val="24"/>
              </w:rPr>
              <w:t>条  款  名  称</w:t>
            </w:r>
          </w:p>
        </w:tc>
        <w:tc>
          <w:tcPr>
            <w:tcW w:w="6441" w:type="dxa"/>
            <w:vAlign w:val="center"/>
          </w:tcPr>
          <w:p>
            <w:pPr>
              <w:spacing w:line="312" w:lineRule="auto"/>
              <w:jc w:val="center"/>
              <w:rPr>
                <w:rFonts w:ascii="宋体" w:hAnsi="宋体" w:cs="宋体"/>
                <w:b/>
                <w:kern w:val="0"/>
                <w:sz w:val="24"/>
              </w:rPr>
            </w:pPr>
            <w:r>
              <w:rPr>
                <w:rFonts w:hint="eastAsia" w:ascii="宋体" w:hAnsi="宋体" w:cs="宋体"/>
                <w:b/>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招标人</w:t>
            </w:r>
          </w:p>
        </w:tc>
        <w:tc>
          <w:tcPr>
            <w:tcW w:w="6441" w:type="dxa"/>
            <w:vAlign w:val="center"/>
          </w:tcPr>
          <w:p>
            <w:pPr>
              <w:pStyle w:val="2"/>
              <w:spacing w:after="0" w:line="460" w:lineRule="exact"/>
              <w:ind w:firstLine="0" w:firstLineChars="0"/>
              <w:rPr>
                <w:rFonts w:hint="default" w:ascii="宋体" w:hAnsi="宋体" w:cs="宋体" w:eastAsiaTheme="minorEastAsia"/>
                <w:lang w:val="en-US" w:eastAsia="zh-CN"/>
              </w:rPr>
            </w:pPr>
            <w:r>
              <w:rPr>
                <w:rFonts w:hint="eastAsia" w:ascii="宋体" w:hAnsi="宋体" w:eastAsia="宋体" w:cs="宋体"/>
                <w:kern w:val="0"/>
                <w:sz w:val="24"/>
                <w:szCs w:val="24"/>
                <w:lang w:val="en-US" w:eastAsia="zh-CN" w:bidi="ar-SA"/>
              </w:rPr>
              <w:t>招</w:t>
            </w:r>
            <w:r>
              <w:rPr>
                <w:rFonts w:hint="eastAsia" w:ascii="宋体" w:hAnsi="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t>标</w:t>
            </w:r>
            <w:r>
              <w:rPr>
                <w:rFonts w:hint="eastAsia" w:ascii="宋体" w:hAnsi="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t>人：</w:t>
            </w:r>
            <w:r>
              <w:rPr>
                <w:rFonts w:hint="eastAsia" w:ascii="宋体" w:hAnsi="宋体" w:cs="宋体" w:eastAsiaTheme="minorEastAsia"/>
                <w:kern w:val="0"/>
                <w:sz w:val="24"/>
              </w:rPr>
              <w:t>许昌市建安区</w:t>
            </w:r>
            <w:r>
              <w:rPr>
                <w:rFonts w:hint="eastAsia" w:ascii="宋体" w:hAnsi="宋体" w:cs="宋体" w:eastAsiaTheme="minorEastAsia"/>
                <w:kern w:val="0"/>
                <w:sz w:val="24"/>
                <w:lang w:val="en-US" w:eastAsia="zh-CN"/>
              </w:rPr>
              <w:t>农业农村局</w:t>
            </w:r>
          </w:p>
          <w:p>
            <w:pPr>
              <w:pStyle w:val="33"/>
              <w:widowControl/>
              <w:shd w:val="clear" w:color="060000" w:fill="auto"/>
              <w:spacing w:before="0" w:beforeAutospacing="0" w:after="0" w:afterAutospacing="0" w:line="400" w:lineRule="exact"/>
              <w:rPr>
                <w:rFonts w:hint="default" w:ascii="宋体" w:hAnsi="宋体" w:eastAsia="宋体" w:cs="宋体"/>
                <w:szCs w:val="24"/>
                <w:lang w:val="en-US" w:eastAsia="zh-CN"/>
              </w:rPr>
            </w:pPr>
            <w:r>
              <w:rPr>
                <w:rFonts w:hint="eastAsia" w:ascii="宋体" w:hAnsi="宋体" w:cs="宋体"/>
                <w:szCs w:val="24"/>
              </w:rPr>
              <w:t>项目负责人：</w:t>
            </w:r>
            <w:r>
              <w:rPr>
                <w:rFonts w:hint="eastAsia" w:ascii="宋体" w:hAnsi="宋体" w:cs="宋体"/>
                <w:szCs w:val="24"/>
                <w:lang w:val="en-US" w:eastAsia="zh-CN"/>
              </w:rPr>
              <w:t>冯先生</w:t>
            </w:r>
          </w:p>
          <w:p>
            <w:pPr>
              <w:pStyle w:val="83"/>
              <w:rPr>
                <w:rFonts w:hint="default" w:eastAsia="宋体" w:cs="宋体" w:asciiTheme="minorEastAsia" w:hAnsiTheme="minorEastAsia"/>
                <w:sz w:val="24"/>
                <w:szCs w:val="24"/>
                <w:lang w:val="en-US" w:eastAsia="zh-CN"/>
              </w:rPr>
            </w:pPr>
            <w:r>
              <w:rPr>
                <w:rFonts w:hint="eastAsia" w:ascii="宋体" w:hAnsi="宋体" w:cs="宋体"/>
                <w:sz w:val="24"/>
                <w:szCs w:val="24"/>
              </w:rPr>
              <w:t xml:space="preserve">电 </w:t>
            </w:r>
            <w:r>
              <w:rPr>
                <w:rFonts w:hint="eastAsia" w:ascii="宋体" w:hAnsi="宋体" w:cs="宋体"/>
                <w:sz w:val="24"/>
                <w:szCs w:val="24"/>
                <w:lang w:val="en-US" w:eastAsia="zh-CN"/>
              </w:rPr>
              <w:t xml:space="preserve">    </w:t>
            </w:r>
            <w:r>
              <w:rPr>
                <w:rFonts w:hint="eastAsia" w:ascii="宋体" w:hAnsi="宋体" w:cs="宋体"/>
                <w:sz w:val="24"/>
                <w:szCs w:val="24"/>
              </w:rPr>
              <w:t xml:space="preserve"> 话：</w:t>
            </w:r>
            <w:r>
              <w:rPr>
                <w:rFonts w:hint="eastAsia" w:cs="宋体" w:asciiTheme="minorEastAsia" w:hAnsiTheme="minorEastAsia" w:eastAsiaTheme="minorEastAsia"/>
                <w:sz w:val="24"/>
                <w:lang w:val="en-US" w:eastAsia="zh-CN"/>
              </w:rPr>
              <w:t>13938771700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代理机构</w:t>
            </w:r>
          </w:p>
        </w:tc>
        <w:tc>
          <w:tcPr>
            <w:tcW w:w="6441" w:type="dxa"/>
            <w:vAlign w:val="center"/>
          </w:tcPr>
          <w:p>
            <w:pPr>
              <w:pStyle w:val="33"/>
              <w:widowControl/>
              <w:shd w:val="clear" w:color="060000" w:fill="auto"/>
              <w:spacing w:before="0" w:beforeAutospacing="0" w:after="0" w:afterAutospacing="0" w:line="400" w:lineRule="exact"/>
              <w:rPr>
                <w:rFonts w:hint="default" w:ascii="宋体" w:hAnsi="宋体" w:cs="宋体" w:eastAsiaTheme="minorEastAsia"/>
                <w:szCs w:val="24"/>
                <w:lang w:val="en-US" w:eastAsia="zh-CN"/>
              </w:rPr>
            </w:pPr>
            <w:r>
              <w:rPr>
                <w:rFonts w:hint="eastAsia" w:ascii="宋体" w:hAnsi="宋体" w:cs="宋体"/>
                <w:szCs w:val="24"/>
              </w:rPr>
              <w:t>代理</w:t>
            </w:r>
            <w:r>
              <w:rPr>
                <w:rFonts w:hint="eastAsia" w:ascii="宋体" w:hAnsi="宋体" w:cs="宋体"/>
                <w:szCs w:val="24"/>
                <w:lang w:val="en-US" w:eastAsia="zh-CN"/>
              </w:rPr>
              <w:t xml:space="preserve">  </w:t>
            </w:r>
            <w:r>
              <w:rPr>
                <w:rFonts w:hint="eastAsia" w:ascii="宋体" w:hAnsi="宋体" w:cs="宋体"/>
                <w:szCs w:val="24"/>
              </w:rPr>
              <w:t>机构：</w:t>
            </w:r>
            <w:r>
              <w:rPr>
                <w:rFonts w:hint="eastAsia" w:cs="宋体" w:asciiTheme="minorEastAsia" w:hAnsiTheme="minorEastAsia" w:eastAsiaTheme="minorEastAsia"/>
              </w:rPr>
              <w:t>河南</w:t>
            </w:r>
            <w:r>
              <w:rPr>
                <w:rFonts w:hint="eastAsia" w:cs="宋体" w:asciiTheme="minorEastAsia" w:hAnsiTheme="minorEastAsia" w:eastAsiaTheme="minorEastAsia"/>
                <w:lang w:val="en-US" w:eastAsia="zh-CN"/>
              </w:rPr>
              <w:t>天扬工程项目管理有限公司</w:t>
            </w:r>
          </w:p>
          <w:p>
            <w:pPr>
              <w:pStyle w:val="33"/>
              <w:widowControl/>
              <w:shd w:val="clear" w:color="060000" w:fill="auto"/>
              <w:spacing w:before="0" w:beforeAutospacing="0" w:after="0" w:afterAutospacing="0" w:line="400" w:lineRule="exact"/>
              <w:rPr>
                <w:rFonts w:hint="default" w:eastAsia="宋体" w:cs="宋体"/>
                <w:szCs w:val="24"/>
                <w:lang w:val="en-US" w:eastAsia="zh-CN"/>
              </w:rPr>
            </w:pPr>
            <w:r>
              <w:rPr>
                <w:rFonts w:hint="eastAsia" w:ascii="宋体" w:hAnsi="宋体" w:cs="宋体"/>
                <w:szCs w:val="24"/>
              </w:rPr>
              <w:t>项目负责人：</w:t>
            </w:r>
            <w:r>
              <w:rPr>
                <w:rFonts w:hint="eastAsia" w:cs="宋体" w:asciiTheme="minorEastAsia" w:hAnsiTheme="minorEastAsia" w:eastAsiaTheme="minorEastAsia"/>
                <w:lang w:val="en-US" w:eastAsia="zh-CN"/>
              </w:rPr>
              <w:t>齐女士</w:t>
            </w:r>
          </w:p>
          <w:p>
            <w:pPr>
              <w:pStyle w:val="33"/>
              <w:widowControl/>
              <w:shd w:val="clear" w:color="060000" w:fill="auto"/>
              <w:spacing w:before="0" w:beforeAutospacing="0" w:after="0" w:afterAutospacing="0" w:line="400" w:lineRule="exact"/>
              <w:rPr>
                <w:rFonts w:hint="default" w:eastAsia="宋体" w:cs="宋体" w:asciiTheme="minorEastAsia" w:hAnsiTheme="minorEastAsia"/>
                <w:szCs w:val="24"/>
                <w:lang w:val="en-US" w:eastAsia="zh-CN"/>
              </w:rPr>
            </w:pPr>
            <w:r>
              <w:rPr>
                <w:rFonts w:hint="eastAsia" w:cs="宋体"/>
                <w:szCs w:val="24"/>
              </w:rPr>
              <w:t xml:space="preserve">电    </w:t>
            </w:r>
            <w:r>
              <w:rPr>
                <w:rFonts w:hint="eastAsia" w:cs="宋体"/>
                <w:szCs w:val="24"/>
                <w:lang w:val="en-US" w:eastAsia="zh-CN"/>
              </w:rPr>
              <w:t xml:space="preserve">   </w:t>
            </w:r>
            <w:r>
              <w:rPr>
                <w:rFonts w:hint="eastAsia" w:cs="宋体"/>
                <w:szCs w:val="24"/>
              </w:rPr>
              <w:t>话：</w:t>
            </w:r>
            <w:r>
              <w:rPr>
                <w:rFonts w:hint="eastAsia" w:ascii="宋体" w:hAnsi="宋体" w:cs="宋体"/>
                <w:szCs w:val="24"/>
              </w:rPr>
              <w:t xml:space="preserve"> </w:t>
            </w:r>
            <w:r>
              <w:rPr>
                <w:rFonts w:hint="eastAsia" w:ascii="宋体" w:hAnsi="宋体" w:cs="宋体"/>
                <w:szCs w:val="24"/>
                <w:lang w:val="en-US" w:eastAsia="zh-CN"/>
              </w:rPr>
              <w:t>13782288180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1.1.3</w:t>
            </w:r>
          </w:p>
        </w:tc>
        <w:tc>
          <w:tcPr>
            <w:tcW w:w="2384" w:type="dxa"/>
            <w:gridSpan w:val="4"/>
            <w:vAlign w:val="center"/>
          </w:tcPr>
          <w:p>
            <w:pPr>
              <w:spacing w:line="4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tc>
        <w:tc>
          <w:tcPr>
            <w:tcW w:w="6441" w:type="dxa"/>
            <w:vAlign w:val="center"/>
          </w:tcPr>
          <w:p>
            <w:pPr>
              <w:autoSpaceDE w:val="0"/>
              <w:autoSpaceDN w:val="0"/>
              <w:adjustRightInd w:val="0"/>
              <w:spacing w:line="400" w:lineRule="exact"/>
              <w:rPr>
                <w:rFonts w:hint="default" w:cs="宋体" w:asciiTheme="minorEastAsia" w:hAnsiTheme="minorEastAsia" w:eastAsiaTheme="minorEastAsia"/>
                <w:sz w:val="24"/>
                <w:lang w:val="en-US"/>
              </w:rPr>
            </w:pPr>
            <w:r>
              <w:rPr>
                <w:rFonts w:hint="eastAsia" w:asciiTheme="minorEastAsia" w:hAnsiTheme="minorEastAsia" w:eastAsiaTheme="minorEastAsia"/>
                <w:sz w:val="24"/>
                <w:szCs w:val="24"/>
                <w:lang w:val="en-US" w:eastAsia="zh-CN"/>
              </w:rPr>
              <w:t>建安区2019年农田建设朱集村等4个村机井配套工程项目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1.1.4</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建设地点</w:t>
            </w:r>
          </w:p>
        </w:tc>
        <w:tc>
          <w:tcPr>
            <w:tcW w:w="6441" w:type="dxa"/>
            <w:vAlign w:val="center"/>
          </w:tcPr>
          <w:p>
            <w:pPr>
              <w:autoSpaceDE w:val="0"/>
              <w:autoSpaceDN w:val="0"/>
              <w:adjustRightInd w:val="0"/>
              <w:spacing w:line="400" w:lineRule="exact"/>
              <w:jc w:val="left"/>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eastAsia="zh-CN"/>
              </w:rPr>
              <w:t>许昌市</w:t>
            </w:r>
            <w:r>
              <w:rPr>
                <w:rFonts w:hint="eastAsia" w:cs="宋体" w:asciiTheme="minorEastAsia" w:hAnsiTheme="minorEastAsia" w:eastAsiaTheme="minorEastAsia"/>
                <w:sz w:val="24"/>
              </w:rPr>
              <w:t>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资金来源及比例</w:t>
            </w:r>
          </w:p>
        </w:tc>
        <w:tc>
          <w:tcPr>
            <w:tcW w:w="6441" w:type="dxa"/>
            <w:vAlign w:val="center"/>
          </w:tcPr>
          <w:p>
            <w:pPr>
              <w:autoSpaceDE w:val="0"/>
              <w:autoSpaceDN w:val="0"/>
              <w:adjustRightInd w:val="0"/>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财政资金100%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资金落实情况</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1.2.3</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标段划分</w:t>
            </w:r>
          </w:p>
        </w:tc>
        <w:tc>
          <w:tcPr>
            <w:tcW w:w="6441" w:type="dxa"/>
            <w:vAlign w:val="center"/>
          </w:tcPr>
          <w:p>
            <w:pPr>
              <w:spacing w:line="400" w:lineRule="exact"/>
              <w:rPr>
                <w:rFonts w:hint="default" w:cs="宋体" w:asciiTheme="minorEastAsia" w:hAnsiTheme="minorEastAsia" w:eastAsiaTheme="minorEastAsia"/>
                <w:kern w:val="0"/>
                <w:sz w:val="24"/>
                <w:lang w:val="en-US" w:eastAsia="zh-CN"/>
              </w:rPr>
            </w:pPr>
            <w:r>
              <w:rPr>
                <w:rFonts w:hint="eastAsia" w:asciiTheme="minorEastAsia" w:hAnsiTheme="minorEastAsia" w:eastAsiaTheme="minorEastAsia"/>
                <w:sz w:val="24"/>
                <w:lang w:val="en-US" w:eastAsia="zh-CN"/>
              </w:rPr>
              <w:t>三个标段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招标范围</w:t>
            </w:r>
          </w:p>
        </w:tc>
        <w:tc>
          <w:tcPr>
            <w:tcW w:w="6441" w:type="dxa"/>
            <w:vAlign w:val="center"/>
          </w:tcPr>
          <w:p>
            <w:pPr>
              <w:spacing w:line="400" w:lineRule="exact"/>
              <w:rPr>
                <w:rFonts w:cs="宋体" w:asciiTheme="minorEastAsia" w:hAnsiTheme="minorEastAsia"/>
                <w:kern w:val="0"/>
                <w:sz w:val="24"/>
              </w:rPr>
            </w:pPr>
            <w:r>
              <w:rPr>
                <w:rFonts w:hint="eastAsia" w:ascii="宋体" w:hAnsi="宋体"/>
                <w:sz w:val="24"/>
              </w:rPr>
              <w:t>招标文件、工程量清单、施工图纸、设计变更（如有）及答疑纪要（如有）范围内的所有工程内容。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1.3.2</w:t>
            </w:r>
          </w:p>
        </w:tc>
        <w:tc>
          <w:tcPr>
            <w:tcW w:w="2384" w:type="dxa"/>
            <w:gridSpan w:val="4"/>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计划工期</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90</w:t>
            </w:r>
            <w:r>
              <w:rPr>
                <w:rFonts w:hint="eastAsia" w:cs="宋体" w:asciiTheme="minorEastAsia" w:hAnsiTheme="minorEastAsia" w:eastAsiaTheme="minorEastAsia"/>
                <w:kern w:val="0"/>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1.3.3</w:t>
            </w:r>
          </w:p>
        </w:tc>
        <w:tc>
          <w:tcPr>
            <w:tcW w:w="2384" w:type="dxa"/>
            <w:gridSpan w:val="4"/>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质量要求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2"/>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1.4.1</w:t>
            </w:r>
          </w:p>
        </w:tc>
        <w:tc>
          <w:tcPr>
            <w:tcW w:w="2384" w:type="dxa"/>
            <w:gridSpan w:val="4"/>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投标人资质条件</w:t>
            </w:r>
          </w:p>
        </w:tc>
        <w:tc>
          <w:tcPr>
            <w:tcW w:w="6441" w:type="dxa"/>
            <w:vAlign w:val="center"/>
          </w:tcPr>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 xml:space="preserve">1、投标人须具备独立的法人资格。 </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2、投标人须具备水利水电工程施工总承包叁级及以上资质，且具有有效的安全生产许可证；在人员、设备、资金等方面具有相应的施工能力。</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3、拟派项目负责人应具备水利水电工程专业贰级以上（含贰级）注册建造师执业资格证和项目负责人安全生产考核合格证，且未承担其它在施建设工程。</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4、未被列入“信用中国”网站(www.creditchina.gov.cn)失信被执行人名单、“国家企业信用公示系统”网站（www.gsxt.gov.cn）严重违法失信企业名单（黑名单）的投标人。</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5、不接受联合体投标。</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是否接受联合体投标</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踏勘现场</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不组织，投标人自行踏勘现场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投标预备会</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1.10.2</w:t>
            </w:r>
          </w:p>
        </w:tc>
        <w:tc>
          <w:tcPr>
            <w:tcW w:w="2384" w:type="dxa"/>
            <w:gridSpan w:val="4"/>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投标人提出问题的截止时间</w:t>
            </w:r>
          </w:p>
        </w:tc>
        <w:tc>
          <w:tcPr>
            <w:tcW w:w="6441" w:type="dxa"/>
            <w:vAlign w:val="center"/>
          </w:tcPr>
          <w:p>
            <w:pPr>
              <w:spacing w:line="400" w:lineRule="exact"/>
              <w:rPr>
                <w:rFonts w:cs="宋体" w:asciiTheme="minorEastAsia" w:hAnsiTheme="minorEastAsia" w:eastAsiaTheme="minorEastAsia"/>
                <w:kern w:val="0"/>
                <w:sz w:val="24"/>
              </w:rPr>
            </w:pPr>
            <w:r>
              <w:rPr>
                <w:rFonts w:hint="eastAsia" w:asciiTheme="minorEastAsia" w:hAnsiTheme="minorEastAsia" w:eastAsiaTheme="minorEastAsia"/>
                <w:kern w:val="2"/>
                <w:sz w:val="24"/>
                <w:szCs w:val="24"/>
              </w:rPr>
              <w:t>投标截止时间10日</w:t>
            </w:r>
            <w:r>
              <w:rPr>
                <w:rFonts w:asciiTheme="minorEastAsia" w:hAnsiTheme="minorEastAsia" w:eastAsiaTheme="minorEastAsia"/>
                <w:kern w:val="2"/>
                <w:sz w:val="24"/>
                <w:szCs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1.10.3</w:t>
            </w:r>
          </w:p>
        </w:tc>
        <w:tc>
          <w:tcPr>
            <w:tcW w:w="2384" w:type="dxa"/>
            <w:gridSpan w:val="4"/>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招标人澄清的时间</w:t>
            </w:r>
          </w:p>
        </w:tc>
        <w:tc>
          <w:tcPr>
            <w:tcW w:w="6441" w:type="dxa"/>
            <w:vAlign w:val="center"/>
          </w:tcPr>
          <w:p>
            <w:pPr>
              <w:spacing w:line="400" w:lineRule="exact"/>
              <w:rPr>
                <w:rFonts w:cs="仿宋_GB2312" w:asciiTheme="minorEastAsia" w:hAnsiTheme="minorEastAsia" w:eastAsiaTheme="minorEastAsia"/>
                <w:sz w:val="24"/>
              </w:rPr>
            </w:pPr>
            <w:r>
              <w:rPr>
                <w:rFonts w:hint="eastAsia" w:asciiTheme="minorEastAsia" w:hAnsiTheme="minorEastAsia" w:eastAsiaTheme="minorEastAsia"/>
                <w:kern w:val="2"/>
                <w:sz w:val="24"/>
                <w:szCs w:val="24"/>
              </w:rPr>
              <w:t>投标截止时间15日</w:t>
            </w:r>
            <w:r>
              <w:rPr>
                <w:rFonts w:asciiTheme="minorEastAsia" w:hAnsiTheme="minorEastAsia" w:eastAsiaTheme="minorEastAsia"/>
                <w:kern w:val="2"/>
                <w:sz w:val="24"/>
                <w:szCs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分  包</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偏  离</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w:t>
            </w:r>
          </w:p>
        </w:tc>
        <w:tc>
          <w:tcPr>
            <w:tcW w:w="2384" w:type="dxa"/>
            <w:gridSpan w:val="4"/>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构成招标文件的其他材料</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2.1.1</w:t>
            </w:r>
          </w:p>
        </w:tc>
        <w:tc>
          <w:tcPr>
            <w:tcW w:w="2384" w:type="dxa"/>
            <w:gridSpan w:val="4"/>
            <w:vAlign w:val="center"/>
          </w:tcPr>
          <w:p>
            <w:pPr>
              <w:spacing w:line="400" w:lineRule="exact"/>
              <w:jc w:val="center"/>
              <w:rPr>
                <w:rFonts w:cs="黑体" w:asciiTheme="minorEastAsia" w:hAnsiTheme="minorEastAsia" w:eastAsiaTheme="minorEastAsia"/>
                <w:sz w:val="24"/>
              </w:rPr>
            </w:pPr>
            <w:r>
              <w:rPr>
                <w:rFonts w:hint="eastAsia" w:cs="仿宋_GB2312" w:asciiTheme="minorEastAsia" w:hAnsiTheme="minorEastAsia" w:eastAsiaTheme="minorEastAsia"/>
                <w:kern w:val="2"/>
                <w:sz w:val="24"/>
                <w:szCs w:val="24"/>
              </w:rPr>
              <w:t>招标文件和工程量清单及图纸的获取</w:t>
            </w:r>
          </w:p>
        </w:tc>
        <w:tc>
          <w:tcPr>
            <w:tcW w:w="6441" w:type="dxa"/>
          </w:tcPr>
          <w:p>
            <w:pPr>
              <w:autoSpaceDE w:val="0"/>
              <w:autoSpaceDN w:val="0"/>
              <w:adjustRightInd w:val="0"/>
              <w:spacing w:line="400" w:lineRule="exact"/>
              <w:rPr>
                <w:rFonts w:asciiTheme="minorEastAsia" w:hAnsiTheme="minorEastAsia" w:eastAsiaTheme="minorEastAsia"/>
                <w:sz w:val="24"/>
              </w:rPr>
            </w:pPr>
            <w:r>
              <w:rPr>
                <w:rFonts w:hint="eastAsia" w:cs="仿宋_GB2312" w:asciiTheme="minorEastAsia" w:hAnsiTheme="minorEastAsia" w:eastAsiaTheme="minorEastAsia"/>
                <w:sz w:val="24"/>
              </w:rPr>
              <w:t>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cs="仿宋_GB2312" w:asciiTheme="minorEastAsia" w:hAnsiTheme="minorEastAsia" w:eastAsiaTheme="minorEastAsia"/>
                <w:sz w:val="24"/>
              </w:rPr>
              <w:t>http://www.xcggzy.gov.cn/</w:t>
            </w:r>
            <w:r>
              <w:rPr>
                <w:rFonts w:hint="eastAsia" w:cs="仿宋_GB2312" w:asciiTheme="minorEastAsia" w:hAnsiTheme="minorEastAsia" w:eastAsiaTheme="minorEastAsia"/>
                <w:sz w:val="24"/>
              </w:rPr>
              <w:fldChar w:fldCharType="end"/>
            </w:r>
            <w:r>
              <w:rPr>
                <w:rFonts w:hint="eastAsia" w:cs="仿宋_GB2312" w:asciiTheme="minorEastAsia" w:hAnsiTheme="minorEastAsia" w:eastAsiaTheme="minorEastAsia"/>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2.2.1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投标人要求澄清招标文件的截止时间</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90"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2.2.2</w:t>
            </w:r>
          </w:p>
        </w:tc>
        <w:tc>
          <w:tcPr>
            <w:tcW w:w="2384" w:type="dxa"/>
            <w:gridSpan w:val="4"/>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投标截止时间</w:t>
            </w:r>
          </w:p>
        </w:tc>
        <w:tc>
          <w:tcPr>
            <w:tcW w:w="6441" w:type="dxa"/>
            <w:vAlign w:val="center"/>
          </w:tcPr>
          <w:p>
            <w:pPr>
              <w:spacing w:line="400" w:lineRule="exact"/>
              <w:rPr>
                <w:rFonts w:cs="宋体" w:asciiTheme="minorEastAsia" w:hAnsiTheme="minorEastAsia" w:eastAsiaTheme="minorEastAsia"/>
                <w:sz w:val="24"/>
              </w:rPr>
            </w:pPr>
            <w:r>
              <w:rPr>
                <w:rFonts w:hint="eastAsia" w:asciiTheme="minorEastAsia" w:hAnsiTheme="minorEastAsia" w:eastAsiaTheme="minorEastAsia"/>
                <w:sz w:val="24"/>
              </w:rPr>
              <w:t>2019年</w:t>
            </w: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27</w:t>
            </w:r>
            <w:r>
              <w:rPr>
                <w:rFonts w:hint="eastAsia" w:asciiTheme="minorEastAsia" w:hAnsiTheme="minorEastAsia" w:eastAsiaTheme="minorEastAsia"/>
                <w:sz w:val="24"/>
              </w:rPr>
              <w:t>日09时30分</w:t>
            </w:r>
            <w:r>
              <w:rPr>
                <w:rFonts w:hint="eastAsia" w:cs="宋体" w:asciiTheme="minorEastAsia" w:hAnsiTheme="minorEastAsia" w:eastAsiaTheme="minorEastAsia"/>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90"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2.2.3</w:t>
            </w:r>
          </w:p>
        </w:tc>
        <w:tc>
          <w:tcPr>
            <w:tcW w:w="2384" w:type="dxa"/>
            <w:gridSpan w:val="4"/>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投标人确认收到招标文件澄清的时间</w:t>
            </w:r>
          </w:p>
        </w:tc>
        <w:tc>
          <w:tcPr>
            <w:tcW w:w="6441"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90"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2.3.2</w:t>
            </w:r>
          </w:p>
        </w:tc>
        <w:tc>
          <w:tcPr>
            <w:tcW w:w="2384" w:type="dxa"/>
            <w:gridSpan w:val="4"/>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投标人确认收到招标文件修改的时间</w:t>
            </w:r>
          </w:p>
        </w:tc>
        <w:tc>
          <w:tcPr>
            <w:tcW w:w="6441"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构成投标文件的其他材料</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投标有效期</w:t>
            </w:r>
          </w:p>
        </w:tc>
        <w:tc>
          <w:tcPr>
            <w:tcW w:w="6441" w:type="dxa"/>
            <w:vAlign w:val="center"/>
          </w:tcPr>
          <w:p>
            <w:pPr>
              <w:spacing w:line="400" w:lineRule="exact"/>
              <w:rPr>
                <w:rFonts w:cs="宋体" w:asciiTheme="minorEastAsia" w:hAnsiTheme="minorEastAsia" w:eastAsiaTheme="minorEastAsia"/>
                <w:kern w:val="0"/>
                <w:sz w:val="24"/>
              </w:rPr>
            </w:pPr>
            <w:r>
              <w:rPr>
                <w:rFonts w:hint="eastAsia" w:cs="仿宋_GB2312" w:asciiTheme="minorEastAsia" w:hAnsiTheme="minorEastAsia" w:eastAsiaTheme="minorEastAsia"/>
                <w:sz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w:t>
            </w:r>
          </w:p>
        </w:tc>
        <w:tc>
          <w:tcPr>
            <w:tcW w:w="2384" w:type="dxa"/>
            <w:gridSpan w:val="4"/>
            <w:vAlign w:val="center"/>
          </w:tcPr>
          <w:p>
            <w:pPr>
              <w:autoSpaceDE w:val="0"/>
              <w:autoSpaceDN w:val="0"/>
              <w:adjustRightInd w:val="0"/>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投标保证金</w:t>
            </w:r>
          </w:p>
        </w:tc>
        <w:tc>
          <w:tcPr>
            <w:tcW w:w="6441" w:type="dxa"/>
            <w:vAlign w:val="center"/>
          </w:tcPr>
          <w:p>
            <w:pPr>
              <w:autoSpaceDE w:val="0"/>
              <w:autoSpaceDN w:val="0"/>
              <w:adjustRightInd w:val="0"/>
              <w:spacing w:line="400" w:lineRule="exact"/>
              <w:jc w:val="left"/>
              <w:rPr>
                <w:rFonts w:asciiTheme="minorEastAsia" w:hAnsiTheme="minorEastAsia" w:eastAsiaTheme="minorEastAsia"/>
                <w:sz w:val="24"/>
              </w:rPr>
            </w:pPr>
            <w:r>
              <w:rPr>
                <w:rFonts w:hint="eastAsia" w:hAnsi="宋体" w:cs="仿宋_GB2312"/>
                <w:sz w:val="24"/>
              </w:rPr>
              <w:t>详见附</w:t>
            </w:r>
            <w:r>
              <w:rPr>
                <w:rFonts w:hint="eastAsia" w:hAnsi="宋体" w:cs="仿宋_GB2312"/>
                <w:sz w:val="24"/>
                <w:lang w:eastAsia="zh-CN"/>
              </w:rPr>
              <w:t>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近年财务状况的年份要求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2016年、2017年、2018年度（若公司成立未满三年，从成立当年算起）。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3.5.3</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近年完成的类似项目的年份要求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近年，2016年1月1日至今，以合同签订时间为准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3.5.4</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近年荣誉的年份要求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3.5.5</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近年发生的诉讼及仲裁情况的年份要求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3.6</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是否允许递交备选投标方案</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90" w:type="dxa"/>
            <w:vAlign w:val="center"/>
          </w:tcPr>
          <w:p>
            <w:pPr>
              <w:autoSpaceDE w:val="0"/>
              <w:autoSpaceDN w:val="0"/>
              <w:adjustRightInd w:val="0"/>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3.7.3</w:t>
            </w:r>
          </w:p>
        </w:tc>
        <w:tc>
          <w:tcPr>
            <w:tcW w:w="2384" w:type="dxa"/>
            <w:gridSpan w:val="4"/>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签字和（或）盖章要求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3.7.4</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投标文件份数</w:t>
            </w:r>
          </w:p>
        </w:tc>
        <w:tc>
          <w:tcPr>
            <w:tcW w:w="6441" w:type="dxa"/>
            <w:vAlign w:val="center"/>
          </w:tcPr>
          <w:p>
            <w:pPr>
              <w:autoSpaceDE w:val="0"/>
              <w:autoSpaceDN w:val="0"/>
              <w:adjustRightInd w:val="0"/>
              <w:spacing w:line="420" w:lineRule="exact"/>
              <w:rPr>
                <w:rFonts w:ascii="新宋体" w:hAnsi="新宋体" w:eastAsia="新宋体"/>
                <w:sz w:val="24"/>
              </w:rPr>
            </w:pPr>
            <w:r>
              <w:rPr>
                <w:rFonts w:hint="eastAsia" w:hAnsi="宋体" w:cs="宋体"/>
                <w:sz w:val="24"/>
                <w:szCs w:val="22"/>
                <w:lang w:val="zh-CN"/>
              </w:rPr>
              <w:t>1</w:t>
            </w: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（2）使用电子介质存储的投标文件2份文件格式为：xxx公司XXX（项目编号）.bin）、同时生成与电子投标文件内容、水印码、电子签章一致的PDF文件2份（用于监督部门、招标人及代理机构存档）。</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2、电子介质（U盘）须用标签标注投标单位名称、项目编号。</w:t>
            </w:r>
          </w:p>
          <w:p>
            <w:pPr>
              <w:spacing w:line="400" w:lineRule="exact"/>
              <w:rPr>
                <w:rFonts w:cs="宋体" w:asciiTheme="minorEastAsia" w:hAnsiTheme="minorEastAsia" w:eastAsiaTheme="minorEastAsia"/>
                <w:kern w:val="0"/>
                <w:sz w:val="24"/>
              </w:rPr>
            </w:pPr>
            <w:r>
              <w:rPr>
                <w:rFonts w:hint="eastAsia" w:ascii="新宋体" w:hAnsi="新宋体" w:eastAsia="新宋体"/>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3.7.5</w:t>
            </w:r>
          </w:p>
        </w:tc>
        <w:tc>
          <w:tcPr>
            <w:tcW w:w="2384" w:type="dxa"/>
            <w:gridSpan w:val="4"/>
            <w:vAlign w:val="center"/>
          </w:tcPr>
          <w:p>
            <w:pPr>
              <w:autoSpaceDE w:val="0"/>
              <w:autoSpaceDN w:val="0"/>
              <w:adjustRightIn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装订要求</w:t>
            </w:r>
          </w:p>
        </w:tc>
        <w:tc>
          <w:tcPr>
            <w:tcW w:w="6441" w:type="dxa"/>
            <w:vAlign w:val="center"/>
          </w:tcPr>
          <w:p>
            <w:pPr>
              <w:spacing w:line="400" w:lineRule="exact"/>
              <w:jc w:val="left"/>
              <w:rPr>
                <w:rFonts w:asciiTheme="minorEastAsia" w:hAnsiTheme="minorEastAsia" w:eastAsiaTheme="minorEastAsia"/>
                <w:sz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4.1.1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封套上写明</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招标人名称：</w:t>
            </w:r>
          </w:p>
          <w:p>
            <w:pPr>
              <w:autoSpaceDE w:val="0"/>
              <w:autoSpaceDN w:val="0"/>
              <w:adjustRightInd w:val="0"/>
              <w:spacing w:line="420" w:lineRule="exact"/>
              <w:jc w:val="left"/>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项目名称：</w:t>
            </w:r>
          </w:p>
          <w:p>
            <w:pPr>
              <w:spacing w:line="400" w:lineRule="exac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投标人名称：（盖章）</w:t>
            </w:r>
          </w:p>
          <w:p>
            <w:pPr>
              <w:spacing w:line="400" w:lineRule="exact"/>
            </w:pPr>
            <w:r>
              <w:rPr>
                <w:rFonts w:hint="eastAsia" w:cs="宋体" w:asciiTheme="minorEastAsia" w:hAnsiTheme="minorEastAsia" w:eastAsiaTheme="minorEastAsia"/>
                <w:kern w:val="0"/>
                <w:sz w:val="24"/>
              </w:rPr>
              <w:t>标段：</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投标文件在 2019年</w:t>
            </w:r>
            <w:r>
              <w:rPr>
                <w:rFonts w:hint="eastAsia" w:cs="宋体" w:asciiTheme="minorEastAsia" w:hAnsiTheme="minorEastAsia" w:eastAsiaTheme="minorEastAsia"/>
                <w:kern w:val="0"/>
                <w:sz w:val="24"/>
                <w:lang w:val="en-US" w:eastAsia="zh-CN"/>
              </w:rPr>
              <w:t>11</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kern w:val="0"/>
                <w:sz w:val="24"/>
                <w:lang w:val="en-US" w:eastAsia="zh-CN"/>
              </w:rPr>
              <w:t>27</w:t>
            </w:r>
            <w:r>
              <w:rPr>
                <w:rFonts w:hint="eastAsia" w:cs="宋体" w:asciiTheme="minorEastAsia" w:hAnsiTheme="minorEastAsia" w:eastAsiaTheme="minorEastAsia"/>
                <w:kern w:val="0"/>
                <w:sz w:val="24"/>
              </w:rPr>
              <w:t>日9时30分前不得开启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递交投标文件地点</w:t>
            </w:r>
          </w:p>
        </w:tc>
        <w:tc>
          <w:tcPr>
            <w:tcW w:w="6441" w:type="dxa"/>
            <w:vAlign w:val="center"/>
          </w:tcPr>
          <w:p>
            <w:pPr>
              <w:spacing w:line="400" w:lineRule="exact"/>
              <w:rPr>
                <w:rFonts w:hint="eastAsia" w:cs="宋体" w:asciiTheme="minorEastAsia" w:hAnsiTheme="minorEastAsia" w:eastAsiaTheme="minorEastAsia"/>
                <w:kern w:val="0"/>
                <w:sz w:val="24"/>
                <w:lang w:eastAsia="zh-CN"/>
              </w:rPr>
            </w:pPr>
            <w:r>
              <w:rPr>
                <w:rFonts w:hint="eastAsia" w:hAnsi="宋体" w:cs="宋体" w:eastAsiaTheme="minorEastAsia"/>
                <w:sz w:val="24"/>
                <w:szCs w:val="22"/>
                <w:lang w:eastAsia="zh-CN"/>
              </w:rPr>
              <w:t>许昌市建安区新元大道兴业大厦4楼4167室（开标一室）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是否退还投标文件</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开标时间和地点</w:t>
            </w:r>
          </w:p>
        </w:tc>
        <w:tc>
          <w:tcPr>
            <w:tcW w:w="6441" w:type="dxa"/>
            <w:vAlign w:val="center"/>
          </w:tcPr>
          <w:p>
            <w:pPr>
              <w:autoSpaceDE w:val="0"/>
              <w:autoSpaceDN w:val="0"/>
              <w:adjustRightInd w:val="0"/>
              <w:spacing w:line="40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开标时间：同投标截止时间</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开标程序</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评标委员会的组建</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评标委员会构成：5人。从河南省综合评标专家库中随机抽取4人和招标人代表1名</w:t>
            </w:r>
            <w:r>
              <w:rPr>
                <w:rFonts w:hint="eastAsia" w:asciiTheme="minorEastAsia" w:hAnsiTheme="minorEastAsia" w:eastAsiaTheme="minorEastAsia"/>
                <w:kern w:val="2"/>
                <w:sz w:val="24"/>
                <w:szCs w:val="24"/>
              </w:rPr>
              <w:t>组成（其中工程造价专家不应少于五分之二）。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90" w:type="dxa"/>
            <w:vAlign w:val="center"/>
          </w:tcPr>
          <w:p>
            <w:pPr>
              <w:spacing w:line="4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7.1</w:t>
            </w:r>
          </w:p>
        </w:tc>
        <w:tc>
          <w:tcPr>
            <w:tcW w:w="2384" w:type="dxa"/>
            <w:gridSpan w:val="4"/>
            <w:vAlign w:val="center"/>
          </w:tcPr>
          <w:p>
            <w:pPr>
              <w:spacing w:line="4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是否授权评标委员会</w:t>
            </w:r>
          </w:p>
          <w:p>
            <w:pPr>
              <w:spacing w:line="4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确定中标人</w:t>
            </w:r>
          </w:p>
        </w:tc>
        <w:tc>
          <w:tcPr>
            <w:tcW w:w="6441"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15" w:type="dxa"/>
            <w:gridSpan w:val="6"/>
            <w:vAlign w:val="center"/>
          </w:tcPr>
          <w:p>
            <w:pPr>
              <w:spacing w:line="40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15" w:type="dxa"/>
            <w:gridSpan w:val="6"/>
            <w:vAlign w:val="center"/>
          </w:tcPr>
          <w:p>
            <w:pPr>
              <w:spacing w:line="40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10.1.1</w:t>
            </w:r>
          </w:p>
        </w:tc>
        <w:tc>
          <w:tcPr>
            <w:tcW w:w="2281"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类似项目</w:t>
            </w:r>
          </w:p>
        </w:tc>
        <w:tc>
          <w:tcPr>
            <w:tcW w:w="6465" w:type="dxa"/>
            <w:gridSpan w:val="2"/>
            <w:vAlign w:val="center"/>
          </w:tcPr>
          <w:p>
            <w:pPr>
              <w:spacing w:line="400" w:lineRule="exact"/>
              <w:rPr>
                <w:rFonts w:asciiTheme="minorEastAsia" w:hAnsiTheme="minorEastAsia" w:eastAsiaTheme="minorEastAsia"/>
                <w:sz w:val="24"/>
              </w:rPr>
            </w:pPr>
            <w:r>
              <w:rPr>
                <w:rFonts w:hint="eastAsia" w:cs="TimesNewRomanPSMT" w:asciiTheme="minorEastAsia" w:hAnsiTheme="minorEastAsia" w:eastAsiaTheme="minorEastAsia"/>
                <w:kern w:val="2"/>
                <w:sz w:val="24"/>
                <w:szCs w:val="24"/>
              </w:rPr>
              <w:t>指2016年1月1日以来承接过的与本项目类似的工程施工项目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w:t>
            </w: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10.2.1</w:t>
            </w:r>
          </w:p>
        </w:tc>
        <w:tc>
          <w:tcPr>
            <w:tcW w:w="228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招标控制价</w:t>
            </w:r>
          </w:p>
          <w:p>
            <w:pPr>
              <w:spacing w:line="400" w:lineRule="exact"/>
              <w:rPr>
                <w:rFonts w:cs="宋体" w:asciiTheme="minorEastAsia" w:hAnsiTheme="minorEastAsia" w:eastAsiaTheme="minorEastAsia"/>
                <w:kern w:val="0"/>
                <w:sz w:val="24"/>
              </w:rPr>
            </w:pPr>
          </w:p>
        </w:tc>
        <w:tc>
          <w:tcPr>
            <w:tcW w:w="6465"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本工程设招标控制价：</w:t>
            </w:r>
            <w:r>
              <w:rPr>
                <w:rFonts w:hint="eastAsia" w:cs="宋体" w:asciiTheme="minorEastAsia" w:hAnsiTheme="minorEastAsia" w:eastAsiaTheme="minorEastAsia"/>
                <w:kern w:val="0"/>
                <w:sz w:val="24"/>
              </w:rPr>
              <w:t xml:space="preserve"> </w:t>
            </w:r>
          </w:p>
          <w:p>
            <w:pPr>
              <w:keepNext/>
              <w:spacing w:line="400" w:lineRule="exact"/>
              <w:rPr>
                <w:rFonts w:hint="default" w:cs="宋体" w:asciiTheme="minorEastAsia" w:hAnsiTheme="minorEastAsia" w:eastAsiaTheme="minorEastAsia"/>
                <w:b/>
                <w:bCs/>
                <w:kern w:val="0"/>
                <w:sz w:val="24"/>
                <w:lang w:val="en-US" w:eastAsia="zh-CN"/>
              </w:rPr>
            </w:pPr>
            <w:r>
              <w:rPr>
                <w:rFonts w:hint="eastAsia" w:cs="宋体" w:asciiTheme="minorEastAsia" w:hAnsiTheme="minorEastAsia" w:eastAsiaTheme="minorEastAsia"/>
                <w:b/>
                <w:bCs/>
                <w:kern w:val="0"/>
                <w:sz w:val="24"/>
              </w:rPr>
              <w:t>大写：</w:t>
            </w:r>
            <w:r>
              <w:rPr>
                <w:rFonts w:hint="eastAsia" w:cs="宋体" w:asciiTheme="minorEastAsia" w:hAnsiTheme="minorEastAsia" w:eastAsiaTheme="minorEastAsia"/>
                <w:b/>
                <w:bCs/>
                <w:kern w:val="0"/>
                <w:sz w:val="24"/>
                <w:lang w:val="en-US" w:eastAsia="zh-CN"/>
              </w:rPr>
              <w:t>陆佰柒拾壹万叁仟肆佰捌拾捌元</w:t>
            </w:r>
          </w:p>
          <w:p>
            <w:pPr>
              <w:keepNext/>
              <w:spacing w:line="400" w:lineRule="exact"/>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小写：</w:t>
            </w:r>
            <w:r>
              <w:rPr>
                <w:rFonts w:hint="eastAsia" w:asciiTheme="minorEastAsia" w:hAnsiTheme="minorEastAsia" w:eastAsiaTheme="minorEastAsia"/>
                <w:b/>
                <w:bCs/>
                <w:sz w:val="24"/>
                <w:szCs w:val="24"/>
                <w:lang w:val="en-US" w:eastAsia="zh-CN"/>
              </w:rPr>
              <w:t>6713488.00</w:t>
            </w:r>
            <w:r>
              <w:rPr>
                <w:rFonts w:hint="eastAsia" w:cs="宋体" w:asciiTheme="minorEastAsia" w:hAnsiTheme="minorEastAsia" w:eastAsiaTheme="minorEastAsia"/>
                <w:b/>
                <w:bCs/>
                <w:kern w:val="0"/>
                <w:sz w:val="24"/>
              </w:rPr>
              <w:t>元</w:t>
            </w:r>
          </w:p>
          <w:p>
            <w:pPr>
              <w:jc w:val="left"/>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lang w:eastAsia="zh-CN"/>
              </w:rPr>
              <w:t>其中</w:t>
            </w:r>
            <w:r>
              <w:rPr>
                <w:rFonts w:hint="eastAsia" w:cs="宋体" w:asciiTheme="minorEastAsia" w:hAnsiTheme="minorEastAsia" w:eastAsiaTheme="minorEastAsia"/>
                <w:b/>
                <w:bCs/>
                <w:kern w:val="2"/>
                <w:sz w:val="24"/>
                <w:szCs w:val="24"/>
              </w:rPr>
              <w:t>一标段：</w:t>
            </w:r>
          </w:p>
          <w:p>
            <w:pPr>
              <w:jc w:val="left"/>
              <w:rPr>
                <w:rFonts w:hint="eastAsia" w:cs="宋体" w:asciiTheme="minorEastAsia" w:hAnsiTheme="minorEastAsia" w:eastAsiaTheme="minorEastAsia"/>
                <w:b/>
                <w:bCs/>
                <w:kern w:val="2"/>
                <w:sz w:val="24"/>
                <w:szCs w:val="24"/>
                <w:lang w:eastAsia="zh-CN"/>
              </w:rPr>
            </w:pPr>
            <w:r>
              <w:rPr>
                <w:rFonts w:hint="eastAsia" w:cs="宋体" w:asciiTheme="minorEastAsia" w:hAnsiTheme="minorEastAsia" w:eastAsiaTheme="minorEastAsia"/>
                <w:b/>
                <w:bCs/>
                <w:kern w:val="2"/>
                <w:sz w:val="24"/>
                <w:szCs w:val="24"/>
              </w:rPr>
              <w:t>大写：</w:t>
            </w:r>
            <w:r>
              <w:rPr>
                <w:rFonts w:hint="eastAsia" w:cs="宋体" w:asciiTheme="minorEastAsia" w:hAnsiTheme="minorEastAsia" w:eastAsiaTheme="minorEastAsia"/>
                <w:b/>
                <w:bCs/>
                <w:kern w:val="2"/>
                <w:sz w:val="24"/>
                <w:szCs w:val="24"/>
                <w:lang w:eastAsia="zh-CN"/>
              </w:rPr>
              <w:t>贰佰壹拾捌万伍仟贰佰零捌元捌角贰分</w:t>
            </w:r>
          </w:p>
          <w:p>
            <w:pPr>
              <w:jc w:val="left"/>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小写：2185208.82元。</w:t>
            </w:r>
          </w:p>
          <w:p>
            <w:pPr>
              <w:jc w:val="left"/>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二标段：</w:t>
            </w:r>
          </w:p>
          <w:p>
            <w:pPr>
              <w:jc w:val="left"/>
              <w:rPr>
                <w:rFonts w:hint="eastAsia" w:cs="宋体" w:asciiTheme="minorEastAsia" w:hAnsiTheme="minorEastAsia" w:eastAsiaTheme="minorEastAsia"/>
                <w:b/>
                <w:bCs/>
                <w:kern w:val="2"/>
                <w:sz w:val="24"/>
                <w:szCs w:val="24"/>
                <w:lang w:eastAsia="zh-CN"/>
              </w:rPr>
            </w:pPr>
            <w:r>
              <w:rPr>
                <w:rFonts w:hint="eastAsia" w:cs="宋体" w:asciiTheme="minorEastAsia" w:hAnsiTheme="minorEastAsia" w:eastAsiaTheme="minorEastAsia"/>
                <w:b/>
                <w:bCs/>
                <w:kern w:val="2"/>
                <w:sz w:val="24"/>
                <w:szCs w:val="24"/>
              </w:rPr>
              <w:t>大写：</w:t>
            </w:r>
            <w:r>
              <w:rPr>
                <w:rFonts w:hint="eastAsia" w:cs="宋体" w:asciiTheme="minorEastAsia" w:hAnsiTheme="minorEastAsia" w:eastAsiaTheme="minorEastAsia"/>
                <w:b/>
                <w:bCs/>
                <w:kern w:val="2"/>
                <w:sz w:val="24"/>
                <w:szCs w:val="24"/>
                <w:lang w:eastAsia="zh-CN"/>
              </w:rPr>
              <w:t>贰佰贰拾万零玖佰伍拾元壹角捌分</w:t>
            </w:r>
          </w:p>
          <w:p>
            <w:pPr>
              <w:spacing w:line="440" w:lineRule="exact"/>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b/>
                <w:bCs/>
                <w:kern w:val="2"/>
                <w:sz w:val="24"/>
                <w:szCs w:val="24"/>
              </w:rPr>
              <w:t>小写：2200950.18元。</w:t>
            </w:r>
          </w:p>
          <w:p>
            <w:pPr>
              <w:jc w:val="left"/>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三标段：</w:t>
            </w:r>
          </w:p>
          <w:p>
            <w:pPr>
              <w:jc w:val="left"/>
              <w:rPr>
                <w:rFonts w:hint="eastAsia" w:cs="宋体" w:asciiTheme="minorEastAsia" w:hAnsiTheme="minorEastAsia" w:eastAsiaTheme="minorEastAsia"/>
                <w:b/>
                <w:bCs/>
                <w:kern w:val="2"/>
                <w:sz w:val="24"/>
                <w:szCs w:val="24"/>
                <w:lang w:eastAsia="zh-CN"/>
              </w:rPr>
            </w:pPr>
            <w:r>
              <w:rPr>
                <w:rFonts w:hint="eastAsia" w:cs="宋体" w:asciiTheme="minorEastAsia" w:hAnsiTheme="minorEastAsia" w:eastAsiaTheme="minorEastAsia"/>
                <w:b/>
                <w:bCs/>
                <w:kern w:val="2"/>
                <w:sz w:val="24"/>
                <w:szCs w:val="24"/>
              </w:rPr>
              <w:t>大写：</w:t>
            </w:r>
            <w:r>
              <w:rPr>
                <w:rFonts w:hint="eastAsia" w:cs="宋体" w:asciiTheme="minorEastAsia" w:hAnsiTheme="minorEastAsia" w:eastAsiaTheme="minorEastAsia"/>
                <w:b/>
                <w:bCs/>
                <w:kern w:val="2"/>
                <w:sz w:val="24"/>
                <w:szCs w:val="24"/>
                <w:lang w:eastAsia="zh-CN"/>
              </w:rPr>
              <w:t>贰佰叁拾贰万柒仟叁佰贰拾玖元整</w:t>
            </w:r>
          </w:p>
          <w:p>
            <w:pPr>
              <w:spacing w:line="440" w:lineRule="exact"/>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b/>
                <w:bCs/>
                <w:kern w:val="2"/>
                <w:sz w:val="24"/>
                <w:szCs w:val="24"/>
              </w:rPr>
              <w:t>小写：2327329.00元。</w:t>
            </w:r>
          </w:p>
          <w:p>
            <w:pPr>
              <w:spacing w:line="440" w:lineRule="exact"/>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特别说明：</w:t>
            </w:r>
          </w:p>
          <w:p>
            <w:pPr>
              <w:spacing w:line="440" w:lineRule="exact"/>
              <w:ind w:firstLine="480" w:firstLineChars="200"/>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1、凡投标人的投标报价高于招标控制价（不含等于“招标控制价”）的，该投标人的投标文件应予拒绝。</w:t>
            </w:r>
          </w:p>
          <w:p>
            <w:pPr>
              <w:spacing w:line="440" w:lineRule="exact"/>
              <w:ind w:firstLine="480" w:firstLineChars="200"/>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spacing w:line="400" w:lineRule="exact"/>
              <w:rPr>
                <w:rFonts w:cs="宋体" w:asciiTheme="minorEastAsia" w:hAnsiTheme="minorEastAsia" w:eastAsiaTheme="minorEastAsia"/>
                <w:b/>
                <w:kern w:val="0"/>
                <w:sz w:val="24"/>
              </w:rPr>
            </w:pPr>
            <w:r>
              <w:rPr>
                <w:rFonts w:hint="eastAsia" w:cs="宋体" w:asciiTheme="minorEastAsia" w:hAnsiTheme="minorEastAsia" w:eastAsiaTheme="minorEastAsia"/>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cs="宋体" w:asciiTheme="minorEastAsia" w:hAnsiTheme="minorEastAsia" w:eastAsiaTheme="minorEastAsia"/>
                <w:b/>
                <w:bCs/>
                <w:kern w:val="2"/>
                <w:sz w:val="24"/>
                <w:szCs w:val="24"/>
              </w:rPr>
              <w:t>若不提出，则视为投标人对招标人公布的工程量清单无异议，中标后因此造成的工程量的增加，由中标人承担。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ind w:firstLine="352" w:firstLineChars="147"/>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在中标通知书发出前，招标人将中标候选人的情况在《全国公共资源交易平台(河南省</w:t>
            </w:r>
            <w:r>
              <w:rPr>
                <w:rFonts w:hint="eastAsia" w:hAnsi="MS Mincho" w:eastAsia="MS Mincho" w:cs="MS Mincho" w:asciiTheme="minorEastAsia"/>
                <w:sz w:val="24"/>
              </w:rPr>
              <w:t>▪</w:t>
            </w:r>
            <w:r>
              <w:rPr>
                <w:rFonts w:hint="eastAsia" w:cs="宋体" w:asciiTheme="minorEastAsia" w:hAnsiTheme="minorEastAsia" w:eastAsiaTheme="minorEastAsia"/>
                <w:sz w:val="24"/>
              </w:rPr>
              <w:t>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50" w:type="dxa"/>
            <w:gridSpan w:val="2"/>
            <w:vAlign w:val="center"/>
          </w:tcPr>
          <w:p>
            <w:pPr>
              <w:spacing w:line="400" w:lineRule="exact"/>
              <w:rPr>
                <w:rFonts w:cs="宋体" w:asciiTheme="minorEastAsia" w:hAnsiTheme="minorEastAsia" w:eastAsiaTheme="minorEastAsia"/>
                <w:kern w:val="0"/>
                <w:sz w:val="24"/>
              </w:rPr>
            </w:pPr>
          </w:p>
        </w:tc>
        <w:tc>
          <w:tcPr>
            <w:tcW w:w="8765" w:type="dxa"/>
            <w:gridSpan w:val="4"/>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10.10投标文件的拒收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w:t>
            </w:r>
            <w:r>
              <w:rPr>
                <w:rFonts w:hint="eastAsia" w:hAnsi="宋体" w:cs="仿宋_GB2312"/>
                <w:sz w:val="24"/>
              </w:rPr>
              <w:t>电子介质存储的</w:t>
            </w:r>
            <w:r>
              <w:rPr>
                <w:rFonts w:hint="eastAsia" w:ascii="新宋体" w:hAnsi="新宋体" w:eastAsia="新宋体"/>
                <w:sz w:val="24"/>
                <w:szCs w:val="22"/>
              </w:rPr>
              <w:t>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4、开标时法人或授权委托人（持有效的授权委托书）未携带本人身份证原件到开标现场并签到的；</w:t>
            </w:r>
          </w:p>
          <w:p>
            <w:pPr>
              <w:spacing w:line="400" w:lineRule="exact"/>
              <w:rPr>
                <w:rFonts w:cs="宋体" w:asciiTheme="minorEastAsia" w:hAnsiTheme="minorEastAsia" w:eastAsiaTheme="minorEastAsia"/>
                <w:kern w:val="0"/>
                <w:sz w:val="24"/>
              </w:rPr>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10.11</w:t>
            </w:r>
            <w:r>
              <w:rPr>
                <w:rFonts w:hint="eastAsia" w:cs="宋体" w:asciiTheme="minorEastAsia" w:hAnsiTheme="minorEastAsia" w:eastAsiaTheme="minorEastAsia"/>
                <w:kern w:val="0"/>
                <w:sz w:val="24"/>
                <w:lang w:eastAsia="zh-CN"/>
              </w:rPr>
              <w:t>相关</w:t>
            </w:r>
            <w:r>
              <w:rPr>
                <w:rFonts w:hint="eastAsia" w:cs="宋体" w:asciiTheme="minorEastAsia" w:hAnsiTheme="minorEastAsia" w:eastAsiaTheme="minorEastAsia"/>
                <w:kern w:val="0"/>
                <w:sz w:val="24"/>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b/>
                <w:bCs/>
                <w:kern w:val="2"/>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815" w:type="dxa"/>
            <w:gridSpan w:val="6"/>
            <w:vAlign w:val="center"/>
          </w:tcPr>
          <w:p>
            <w:pPr>
              <w:spacing w:line="400" w:lineRule="exact"/>
              <w:rPr>
                <w:rFonts w:ascii="宋体" w:hAnsi="宋体" w:cs="宋体"/>
                <w:sz w:val="24"/>
              </w:rPr>
            </w:pPr>
            <w:r>
              <w:rPr>
                <w:rFonts w:hint="eastAsia" w:ascii="宋体" w:hAnsi="宋体" w:cs="宋体"/>
                <w:kern w:val="0"/>
                <w:sz w:val="24"/>
              </w:rPr>
              <w:t>10.12特别提示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69" w:type="dxa"/>
            <w:gridSpan w:val="3"/>
            <w:vAlign w:val="center"/>
          </w:tcPr>
          <w:p>
            <w:pPr>
              <w:spacing w:line="400" w:lineRule="exact"/>
              <w:rPr>
                <w:rFonts w:ascii="宋体" w:hAnsi="宋体" w:cs="宋体"/>
                <w:kern w:val="0"/>
                <w:sz w:val="24"/>
              </w:rPr>
            </w:pPr>
          </w:p>
        </w:tc>
        <w:tc>
          <w:tcPr>
            <w:tcW w:w="8746" w:type="dxa"/>
            <w:gridSpan w:val="3"/>
            <w:vAlign w:val="center"/>
          </w:tcPr>
          <w:p>
            <w:pPr>
              <w:autoSpaceDE w:val="0"/>
              <w:autoSpaceDN w:val="0"/>
              <w:spacing w:line="440" w:lineRule="exact"/>
              <w:jc w:val="left"/>
              <w:rPr>
                <w:rFonts w:hAnsi="宋体" w:cs="宋体"/>
                <w:sz w:val="24"/>
                <w:szCs w:val="22"/>
              </w:rPr>
            </w:pPr>
            <w:r>
              <w:rPr>
                <w:rFonts w:hint="eastAsia" w:hAnsi="宋体" w:cs="宋体"/>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440" w:lineRule="exact"/>
              <w:jc w:val="left"/>
              <w:rPr>
                <w:rFonts w:hAnsi="宋体" w:cs="宋体"/>
                <w:sz w:val="24"/>
                <w:szCs w:val="22"/>
              </w:rPr>
            </w:pPr>
            <w:r>
              <w:rPr>
                <w:rFonts w:hint="eastAsia" w:hAnsi="宋体" w:cs="宋体"/>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hAnsi="宋体" w:cs="宋体"/>
                <w:sz w:val="24"/>
                <w:szCs w:val="22"/>
              </w:rPr>
            </w:pPr>
            <w:r>
              <w:rPr>
                <w:rFonts w:hint="eastAsia" w:hAnsi="宋体" w:cs="宋体"/>
                <w:sz w:val="24"/>
                <w:szCs w:val="22"/>
              </w:rPr>
              <w:t>3、投标人在投标截止时间前应随时关注《全国公共资源交易平台（河南省·许昌市）》公共资源交易系统发出的有关本项目的答疑、修改等相关内容。所有不能显示网页截图查询日期的文件，视同未提供相应文件。</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00" w:lineRule="exact"/>
              <w:jc w:val="left"/>
              <w:outlineLvl w:val="0"/>
              <w:rPr>
                <w:rFonts w:hint="eastAsia" w:hAnsi="宋体" w:cs="宋体"/>
                <w:sz w:val="24"/>
              </w:rPr>
            </w:pPr>
            <w:r>
              <w:rPr>
                <w:rFonts w:hint="eastAsia" w:hAnsi="宋体" w:cs="宋体"/>
                <w:sz w:val="24"/>
              </w:rPr>
              <w:t>7.2 商务标投标文件制作技术咨询：0374-2961598。</w:t>
            </w:r>
          </w:p>
          <w:p>
            <w:pPr>
              <w:autoSpaceDE w:val="0"/>
              <w:autoSpaceDN w:val="0"/>
              <w:adjustRightInd w:val="0"/>
              <w:snapToGrid w:val="0"/>
              <w:spacing w:line="400" w:lineRule="exact"/>
              <w:jc w:val="left"/>
              <w:outlineLvl w:val="0"/>
              <w:rPr>
                <w:rFonts w:ascii="宋体" w:hAnsi="宋体"/>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cs="宋体" w:asciiTheme="minorEastAsia" w:hAnsiTheme="minorEastAsia" w:eastAsiaTheme="minorEastAsia"/>
          <w:b/>
          <w:sz w:val="24"/>
          <w:szCs w:val="24"/>
        </w:rPr>
      </w:pPr>
      <w:bookmarkStart w:id="12" w:name="_Toc283559947"/>
      <w:r>
        <w:rPr>
          <w:rFonts w:hint="eastAsia" w:cs="宋体" w:asciiTheme="minorEastAsia" w:hAnsiTheme="minorEastAsia" w:eastAsiaTheme="minorEastAsia"/>
          <w:b/>
          <w:sz w:val="24"/>
          <w:szCs w:val="24"/>
        </w:rPr>
        <w:t>1. 总则</w:t>
      </w:r>
    </w:p>
    <w:p>
      <w:pPr>
        <w:autoSpaceDE w:val="0"/>
        <w:autoSpaceDN w:val="0"/>
        <w:spacing w:line="44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项目概况</w:t>
      </w:r>
      <w:r>
        <w:rPr>
          <w:rFonts w:hint="eastAsia" w:cs="宋体" w:asciiTheme="minorEastAsia" w:hAnsiTheme="minorEastAsia" w:eastAsiaTheme="minorEastAsia"/>
          <w:b/>
          <w:sz w:val="24"/>
          <w:szCs w:val="24"/>
        </w:rPr>
        <w:tab/>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1.1.2 本招标项目招标人：见投标人须知前附表。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1.1.3 本招标项目名称：见投标人须知前附表。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1.1.4 本招标项目建设地点：见申请人须知前附表。</w:t>
      </w:r>
    </w:p>
    <w:p>
      <w:pPr>
        <w:autoSpaceDE w:val="0"/>
        <w:autoSpaceDN w:val="0"/>
        <w:spacing w:line="44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1.2 资金来源和落实情况</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1.2.1 本招标项目的资金来源：见投标人须知前附表。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1.2.2 本招标项目的出资比例：见投标人须知前附表。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1.2.3 本招标项目的资金落实情况：见投标人须知前附表。</w:t>
      </w:r>
    </w:p>
    <w:p>
      <w:pPr>
        <w:autoSpaceDE w:val="0"/>
        <w:autoSpaceDN w:val="0"/>
        <w:spacing w:line="44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1.3 招标范围、工期和质量要求</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1.3.1 本招标项目的招标范围：见投标人须知前附表。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1.3.2 本招标项目的工期要求：见投标人须知前附表。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1.3.3 本招标项目的质量要求：见投标人须知前附表。</w:t>
      </w:r>
    </w:p>
    <w:p>
      <w:pPr>
        <w:autoSpaceDE w:val="0"/>
        <w:autoSpaceDN w:val="0"/>
        <w:spacing w:line="44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1.4 投标人及项目经理资格要求</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1.4.1投标人、</w:t>
      </w:r>
      <w:r>
        <w:rPr>
          <w:rFonts w:hint="eastAsia" w:asciiTheme="minorEastAsia" w:hAnsiTheme="minorEastAsia" w:eastAsiaTheme="minorEastAsia"/>
          <w:sz w:val="24"/>
          <w:szCs w:val="24"/>
        </w:rPr>
        <w:t>项目经理</w:t>
      </w:r>
      <w:r>
        <w:rPr>
          <w:rFonts w:hint="eastAsia" w:cs="仿宋_GB2312" w:asciiTheme="minorEastAsia" w:hAnsiTheme="minorEastAsia" w:eastAsiaTheme="minorEastAsia"/>
          <w:sz w:val="24"/>
          <w:szCs w:val="24"/>
        </w:rPr>
        <w:t>资格要求：见投标人须知前附表。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1.4.2 投标人资格要求（详见投标人须知前附表）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1.4.3投标人不得存在下列情形之一：</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（1）为招标人不具有独立法人资格的附属机构（单位）； </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（2）为本标段前期准备提供设计或咨询服务的； </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（3）为本标段的监理人；</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（4）为本标段的代建人； </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（5）为本标段提供招标代理服务的； </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（6）与本标段的监理人或代建人或招标代理机构同为一个法定代表人的；</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（7）与本标段的监理人或代建人或招标代理机构相互控股或参股的；</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（8）与本标段的监理人或代建人或招标代理机构相互任职或工作的；</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（9）被责令停业的； </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（10）被暂停或取消投标资格的； </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（11）财产被接管或冻结的；</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（12）在最近三年内有骗取中标或严重违约或重大工程质量问题的。</w:t>
      </w:r>
    </w:p>
    <w:p>
      <w:pPr>
        <w:autoSpaceDE w:val="0"/>
        <w:autoSpaceDN w:val="0"/>
        <w:spacing w:line="440" w:lineRule="exact"/>
        <w:jc w:val="left"/>
        <w:outlineLvl w:val="0"/>
        <w:rPr>
          <w:rFonts w:cs="宋体" w:asciiTheme="minorEastAsia" w:hAnsiTheme="minorEastAsia" w:eastAsiaTheme="minorEastAsia"/>
          <w:b/>
          <w:sz w:val="24"/>
          <w:szCs w:val="24"/>
        </w:rPr>
      </w:pPr>
      <w:bookmarkStart w:id="13" w:name="_Toc152045535"/>
      <w:bookmarkStart w:id="14" w:name="_Toc144974503"/>
      <w:bookmarkStart w:id="15" w:name="_Toc152042311"/>
      <w:bookmarkStart w:id="16" w:name="_Toc179632552"/>
      <w:r>
        <w:rPr>
          <w:rFonts w:hint="eastAsia" w:cs="宋体" w:asciiTheme="minorEastAsia" w:hAnsiTheme="minorEastAsia" w:eastAsiaTheme="minorEastAsia"/>
          <w:b/>
          <w:sz w:val="24"/>
          <w:szCs w:val="24"/>
        </w:rPr>
        <w:t>1.5 费用承担</w:t>
      </w:r>
      <w:bookmarkEnd w:id="13"/>
      <w:bookmarkEnd w:id="14"/>
      <w:bookmarkEnd w:id="15"/>
      <w:bookmarkEnd w:id="16"/>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投标人准备和参加投标活动发生的费用自理。</w:t>
      </w:r>
    </w:p>
    <w:p>
      <w:pPr>
        <w:autoSpaceDE w:val="0"/>
        <w:autoSpaceDN w:val="0"/>
        <w:spacing w:line="440" w:lineRule="exact"/>
        <w:jc w:val="left"/>
        <w:outlineLvl w:val="0"/>
        <w:rPr>
          <w:rFonts w:cs="宋体" w:asciiTheme="minorEastAsia" w:hAnsiTheme="minorEastAsia" w:eastAsiaTheme="minorEastAsia"/>
          <w:b/>
          <w:sz w:val="24"/>
          <w:szCs w:val="24"/>
        </w:rPr>
      </w:pPr>
      <w:bookmarkStart w:id="17" w:name="_Toc179632553"/>
      <w:bookmarkStart w:id="18" w:name="_Toc152045536"/>
      <w:bookmarkStart w:id="19" w:name="_Toc144974504"/>
      <w:bookmarkStart w:id="20" w:name="_Toc152042312"/>
      <w:r>
        <w:rPr>
          <w:rFonts w:hint="eastAsia" w:cs="宋体" w:asciiTheme="minorEastAsia" w:hAnsiTheme="minorEastAsia" w:eastAsiaTheme="minorEastAsia"/>
          <w:b/>
          <w:sz w:val="24"/>
          <w:szCs w:val="24"/>
        </w:rPr>
        <w:t>1.6 保密</w:t>
      </w:r>
      <w:bookmarkEnd w:id="17"/>
      <w:bookmarkEnd w:id="18"/>
      <w:bookmarkEnd w:id="19"/>
      <w:bookmarkEnd w:id="20"/>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cs="宋体" w:asciiTheme="minorEastAsia" w:hAnsiTheme="minorEastAsia" w:eastAsiaTheme="minorEastAsia"/>
          <w:b/>
          <w:sz w:val="24"/>
          <w:szCs w:val="24"/>
        </w:rPr>
      </w:pPr>
      <w:bookmarkStart w:id="21" w:name="_Toc144974505"/>
      <w:bookmarkStart w:id="22" w:name="_Toc179632554"/>
      <w:bookmarkStart w:id="23" w:name="_Toc152042313"/>
      <w:bookmarkStart w:id="24" w:name="_Toc152045537"/>
      <w:r>
        <w:rPr>
          <w:rFonts w:hint="eastAsia" w:cs="宋体" w:asciiTheme="minorEastAsia" w:hAnsiTheme="minorEastAsia" w:eastAsiaTheme="minorEastAsia"/>
          <w:b/>
          <w:sz w:val="24"/>
          <w:szCs w:val="24"/>
        </w:rPr>
        <w:t>1.7 语言</w:t>
      </w:r>
      <w:bookmarkEnd w:id="21"/>
      <w:r>
        <w:rPr>
          <w:rFonts w:hint="eastAsia" w:cs="宋体" w:asciiTheme="minorEastAsia" w:hAnsiTheme="minorEastAsia" w:eastAsiaTheme="minorEastAsia"/>
          <w:b/>
          <w:sz w:val="24"/>
          <w:szCs w:val="24"/>
        </w:rPr>
        <w:t>文字</w:t>
      </w:r>
      <w:bookmarkEnd w:id="22"/>
      <w:bookmarkEnd w:id="23"/>
      <w:bookmarkEnd w:id="24"/>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除专用术语外，与招标投标有关的语言均使用中文。必要时专用术语应附有中文注释。</w:t>
      </w:r>
    </w:p>
    <w:p>
      <w:pPr>
        <w:autoSpaceDE w:val="0"/>
        <w:autoSpaceDN w:val="0"/>
        <w:spacing w:line="440" w:lineRule="exact"/>
        <w:jc w:val="left"/>
        <w:outlineLvl w:val="0"/>
        <w:rPr>
          <w:rFonts w:cs="宋体" w:asciiTheme="minorEastAsia" w:hAnsiTheme="minorEastAsia" w:eastAsiaTheme="minorEastAsia"/>
          <w:b/>
          <w:sz w:val="24"/>
          <w:szCs w:val="24"/>
        </w:rPr>
      </w:pPr>
      <w:bookmarkStart w:id="25" w:name="_Toc144974506"/>
      <w:bookmarkStart w:id="26" w:name="_Toc179632555"/>
      <w:bookmarkStart w:id="27" w:name="_Toc152045538"/>
      <w:bookmarkStart w:id="28" w:name="_Toc152042314"/>
      <w:r>
        <w:rPr>
          <w:rFonts w:hint="eastAsia" w:cs="宋体" w:asciiTheme="minorEastAsia" w:hAnsiTheme="minorEastAsia" w:eastAsiaTheme="minorEastAsia"/>
          <w:b/>
          <w:sz w:val="24"/>
          <w:szCs w:val="24"/>
        </w:rPr>
        <w:t>1.8 计量单位</w:t>
      </w:r>
      <w:bookmarkEnd w:id="25"/>
      <w:bookmarkEnd w:id="26"/>
      <w:bookmarkEnd w:id="27"/>
      <w:bookmarkEnd w:id="28"/>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所有计量均采用中华人民共和国法定计量单位。</w:t>
      </w:r>
    </w:p>
    <w:p>
      <w:pPr>
        <w:autoSpaceDE w:val="0"/>
        <w:autoSpaceDN w:val="0"/>
        <w:spacing w:line="440" w:lineRule="exact"/>
        <w:jc w:val="left"/>
        <w:outlineLvl w:val="0"/>
        <w:rPr>
          <w:rFonts w:cs="宋体" w:asciiTheme="minorEastAsia" w:hAnsiTheme="minorEastAsia" w:eastAsiaTheme="minorEastAsia"/>
          <w:b/>
          <w:sz w:val="24"/>
          <w:szCs w:val="24"/>
        </w:rPr>
      </w:pPr>
      <w:r>
        <w:rPr>
          <w:rFonts w:cs="宋体" w:asciiTheme="minorEastAsia" w:hAnsiTheme="minorEastAsia" w:eastAsiaTheme="minorEastAsia"/>
          <w:b/>
          <w:sz w:val="24"/>
          <w:szCs w:val="24"/>
        </w:rPr>
        <w:t xml:space="preserve">1.9 </w:t>
      </w:r>
      <w:r>
        <w:rPr>
          <w:rFonts w:hint="eastAsia" w:cs="宋体" w:asciiTheme="minorEastAsia" w:hAnsiTheme="minorEastAsia" w:eastAsiaTheme="minorEastAsia"/>
          <w:b/>
          <w:sz w:val="24"/>
          <w:szCs w:val="24"/>
        </w:rPr>
        <w:t>踏勘现场</w:t>
      </w:r>
      <w:bookmarkEnd w:id="12"/>
    </w:p>
    <w:p>
      <w:pPr>
        <w:autoSpaceDE w:val="0"/>
        <w:autoSpaceDN w:val="0"/>
        <w:spacing w:line="440" w:lineRule="exact"/>
        <w:ind w:firstLine="480" w:firstLineChars="200"/>
        <w:jc w:val="left"/>
        <w:outlineLvl w:val="0"/>
        <w:rPr>
          <w:rFonts w:cs="仿宋_GB2312" w:asciiTheme="minorEastAsia" w:hAnsiTheme="minorEastAsia" w:eastAsiaTheme="minorEastAsia"/>
          <w:sz w:val="24"/>
          <w:szCs w:val="24"/>
        </w:rPr>
      </w:pPr>
      <w:r>
        <w:rPr>
          <w:rFonts w:cs="宋体" w:asciiTheme="minorEastAsia" w:hAnsiTheme="minorEastAsia" w:eastAsiaTheme="minorEastAsia"/>
          <w:sz w:val="24"/>
          <w:szCs w:val="24"/>
        </w:rPr>
        <w:t xml:space="preserve">1.9.1 </w:t>
      </w:r>
      <w:r>
        <w:rPr>
          <w:rFonts w:hint="eastAsia" w:cs="宋体" w:asciiTheme="minorEastAsia" w:hAnsiTheme="minorEastAsia" w:eastAsiaTheme="minorEastAsia"/>
          <w:sz w:val="24"/>
          <w:szCs w:val="24"/>
        </w:rPr>
        <w:t>不</w:t>
      </w:r>
      <w:r>
        <w:rPr>
          <w:rFonts w:hint="eastAsia" w:cs="仿宋_GB2312" w:asciiTheme="minorEastAsia" w:hAnsiTheme="minorEastAsia" w:eastAsiaTheme="minorEastAsia"/>
          <w:sz w:val="24"/>
          <w:szCs w:val="24"/>
        </w:rPr>
        <w:t xml:space="preserve">组织。          </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1.9.2 </w:t>
      </w:r>
      <w:r>
        <w:rPr>
          <w:rFonts w:hint="eastAsia" w:cs="宋体" w:asciiTheme="minorEastAsia" w:hAnsiTheme="minorEastAsia" w:eastAsiaTheme="minorEastAsia"/>
          <w:sz w:val="24"/>
          <w:szCs w:val="24"/>
        </w:rPr>
        <w:t>投标人踏勘现场发生的费用自理。</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1.9.3 </w:t>
      </w:r>
      <w:r>
        <w:rPr>
          <w:rFonts w:hint="eastAsia" w:cs="宋体" w:asciiTheme="minorEastAsia" w:hAnsiTheme="minorEastAsia" w:eastAsiaTheme="minorEastAsia"/>
          <w:sz w:val="24"/>
          <w:szCs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1.9.4 </w:t>
      </w:r>
      <w:r>
        <w:rPr>
          <w:rFonts w:hint="eastAsia" w:cs="宋体" w:asciiTheme="minorEastAsia" w:hAnsiTheme="minorEastAsia" w:eastAsiaTheme="minorEastAsia"/>
          <w:sz w:val="24"/>
          <w:szCs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cs="宋体" w:asciiTheme="minorEastAsia" w:hAnsiTheme="minorEastAsia" w:eastAsiaTheme="minorEastAsia"/>
          <w:b/>
          <w:sz w:val="24"/>
          <w:szCs w:val="24"/>
        </w:rPr>
      </w:pPr>
      <w:bookmarkStart w:id="29" w:name="_Toc283559948"/>
      <w:r>
        <w:rPr>
          <w:rFonts w:cs="宋体" w:asciiTheme="minorEastAsia" w:hAnsiTheme="minorEastAsia" w:eastAsiaTheme="minorEastAsia"/>
          <w:b/>
          <w:sz w:val="24"/>
          <w:szCs w:val="24"/>
        </w:rPr>
        <w:t xml:space="preserve">1.10 </w:t>
      </w:r>
      <w:r>
        <w:rPr>
          <w:rFonts w:hint="eastAsia" w:cs="宋体" w:asciiTheme="minorEastAsia" w:hAnsiTheme="minorEastAsia" w:eastAsiaTheme="minorEastAsia"/>
          <w:b/>
          <w:sz w:val="24"/>
          <w:szCs w:val="24"/>
        </w:rPr>
        <w:t>投标预备会</w:t>
      </w:r>
      <w:bookmarkEnd w:id="29"/>
    </w:p>
    <w:p>
      <w:pPr>
        <w:spacing w:line="450" w:lineRule="exact"/>
        <w:ind w:firstLine="410" w:firstLineChars="171"/>
        <w:rPr>
          <w:rFonts w:asciiTheme="minorEastAsia" w:hAnsiTheme="minorEastAsia" w:eastAsiaTheme="minorEastAsia"/>
          <w:sz w:val="24"/>
          <w:szCs w:val="24"/>
        </w:rPr>
      </w:pPr>
      <w:r>
        <w:rPr>
          <w:rFonts w:cs="宋体"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10</w:t>
      </w:r>
      <w:r>
        <w:rPr>
          <w:rFonts w:asciiTheme="minorEastAsia" w:hAnsiTheme="minorEastAsia" w:eastAsiaTheme="minorEastAsia"/>
          <w:sz w:val="24"/>
          <w:szCs w:val="24"/>
        </w:rPr>
        <w:t>.</w:t>
      </w:r>
      <w:r>
        <w:rPr>
          <w:rFonts w:hint="eastAsia" w:asciiTheme="minorEastAsia" w:hAnsiTheme="minorEastAsia" w:eastAsiaTheme="minorEastAsia"/>
          <w:sz w:val="24"/>
          <w:szCs w:val="24"/>
        </w:rPr>
        <w:t>1 招标人不召开投标预备会。</w:t>
      </w:r>
    </w:p>
    <w:p>
      <w:pPr>
        <w:spacing w:line="450" w:lineRule="exact"/>
        <w:ind w:firstLine="410" w:firstLineChars="171"/>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10</w:t>
      </w:r>
      <w:r>
        <w:rPr>
          <w:rFonts w:asciiTheme="minorEastAsia" w:hAnsiTheme="minorEastAsia" w:eastAsiaTheme="minorEastAsia"/>
          <w:sz w:val="24"/>
          <w:szCs w:val="24"/>
        </w:rPr>
        <w:t>.</w:t>
      </w:r>
      <w:r>
        <w:rPr>
          <w:rFonts w:hint="eastAsia" w:asciiTheme="minorEastAsia" w:hAnsiTheme="minorEastAsia" w:eastAsiaTheme="minorEastAsia"/>
          <w:sz w:val="24"/>
          <w:szCs w:val="24"/>
        </w:rPr>
        <w:t>2 投标人应在投标人须知前附表规定的时间前，将问题在公共资源交易系统电子平台上提出。</w:t>
      </w:r>
    </w:p>
    <w:p>
      <w:pPr>
        <w:spacing w:line="450" w:lineRule="exact"/>
        <w:ind w:firstLine="410" w:firstLineChars="171"/>
        <w:rPr>
          <w:rFonts w:cs="宋体"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10</w:t>
      </w: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招标人在投标人须知前附表规定的时间内，将对投标人所提问题的澄清，在公共资源交</w:t>
      </w:r>
      <w:r>
        <w:rPr>
          <w:rFonts w:hint="eastAsia" w:cs="仿宋_GB2312" w:asciiTheme="minorEastAsia" w:hAnsiTheme="minorEastAsia" w:eastAsiaTheme="minorEastAsia"/>
          <w:sz w:val="24"/>
          <w:szCs w:val="24"/>
        </w:rPr>
        <w:t>易系统电子平台</w:t>
      </w:r>
      <w:r>
        <w:rPr>
          <w:rFonts w:hint="eastAsia" w:cs="宋体" w:asciiTheme="minorEastAsia" w:hAnsiTheme="minorEastAsia" w:eastAsiaTheme="minorEastAsia"/>
          <w:sz w:val="24"/>
          <w:szCs w:val="24"/>
        </w:rPr>
        <w:t>上予以澄清。该澄清内容为招标文件的组成部分。</w:t>
      </w:r>
    </w:p>
    <w:p>
      <w:pPr>
        <w:autoSpaceDE w:val="0"/>
        <w:autoSpaceDN w:val="0"/>
        <w:spacing w:line="450" w:lineRule="exact"/>
        <w:jc w:val="left"/>
        <w:outlineLvl w:val="0"/>
        <w:rPr>
          <w:rFonts w:cs="宋体" w:asciiTheme="minorEastAsia" w:hAnsiTheme="minorEastAsia" w:eastAsiaTheme="minorEastAsia"/>
          <w:b/>
          <w:sz w:val="24"/>
          <w:szCs w:val="24"/>
        </w:rPr>
      </w:pPr>
      <w:bookmarkStart w:id="30" w:name="_Toc283559949"/>
      <w:r>
        <w:rPr>
          <w:rFonts w:cs="宋体" w:asciiTheme="minorEastAsia" w:hAnsiTheme="minorEastAsia" w:eastAsiaTheme="minorEastAsia"/>
          <w:b/>
          <w:sz w:val="24"/>
          <w:szCs w:val="24"/>
        </w:rPr>
        <w:t xml:space="preserve">1.11 </w:t>
      </w:r>
      <w:r>
        <w:rPr>
          <w:rFonts w:hint="eastAsia" w:cs="宋体" w:asciiTheme="minorEastAsia" w:hAnsiTheme="minorEastAsia" w:eastAsiaTheme="minorEastAsia"/>
          <w:b/>
          <w:sz w:val="24"/>
          <w:szCs w:val="24"/>
        </w:rPr>
        <w:t>分包</w:t>
      </w:r>
      <w:bookmarkEnd w:id="30"/>
    </w:p>
    <w:p>
      <w:pPr>
        <w:autoSpaceDE w:val="0"/>
        <w:autoSpaceDN w:val="0"/>
        <w:spacing w:line="450" w:lineRule="exact"/>
        <w:ind w:firstLine="480" w:firstLineChars="200"/>
        <w:jc w:val="left"/>
        <w:outlineLvl w:val="0"/>
        <w:rPr>
          <w:rFonts w:cs="宋体" w:asciiTheme="minorEastAsia" w:hAnsiTheme="minorEastAsia" w:eastAsiaTheme="minorEastAsia"/>
          <w:b/>
          <w:sz w:val="24"/>
          <w:szCs w:val="24"/>
        </w:rPr>
      </w:pPr>
      <w:r>
        <w:rPr>
          <w:rFonts w:hint="eastAsia" w:cs="仿宋_GB2312" w:asciiTheme="minorEastAsia" w:hAnsiTheme="minorEastAsia" w:eastAsiaTheme="minorEastAsia"/>
          <w:sz w:val="24"/>
          <w:szCs w:val="24"/>
        </w:rPr>
        <w:t>不允许</w:t>
      </w:r>
      <w:r>
        <w:rPr>
          <w:rFonts w:hint="eastAsia" w:asciiTheme="minorEastAsia" w:hAnsiTheme="minorEastAsia" w:eastAsiaTheme="minorEastAsia"/>
          <w:sz w:val="24"/>
          <w:szCs w:val="24"/>
        </w:rPr>
        <w:t>。</w:t>
      </w:r>
    </w:p>
    <w:p>
      <w:pPr>
        <w:autoSpaceDE w:val="0"/>
        <w:autoSpaceDN w:val="0"/>
        <w:adjustRightInd w:val="0"/>
        <w:spacing w:line="450" w:lineRule="exact"/>
        <w:jc w:val="left"/>
        <w:outlineLvl w:val="0"/>
        <w:rPr>
          <w:rFonts w:cs="宋体" w:asciiTheme="minorEastAsia" w:hAnsiTheme="minorEastAsia" w:eastAsiaTheme="minorEastAsia"/>
          <w:b/>
          <w:sz w:val="24"/>
          <w:szCs w:val="24"/>
        </w:rPr>
      </w:pPr>
      <w:bookmarkStart w:id="31" w:name="_Toc283559950"/>
      <w:r>
        <w:rPr>
          <w:rFonts w:cs="宋体" w:asciiTheme="minorEastAsia" w:hAnsiTheme="minorEastAsia" w:eastAsiaTheme="minorEastAsia"/>
          <w:b/>
          <w:sz w:val="24"/>
          <w:szCs w:val="24"/>
        </w:rPr>
        <w:t xml:space="preserve">1.12 </w:t>
      </w:r>
      <w:r>
        <w:rPr>
          <w:rFonts w:hint="eastAsia" w:cs="宋体" w:asciiTheme="minorEastAsia" w:hAnsiTheme="minorEastAsia" w:eastAsiaTheme="minorEastAsia"/>
          <w:b/>
          <w:sz w:val="24"/>
          <w:szCs w:val="24"/>
        </w:rPr>
        <w:t>偏离</w:t>
      </w:r>
      <w:bookmarkEnd w:id="31"/>
    </w:p>
    <w:p>
      <w:pPr>
        <w:autoSpaceDE w:val="0"/>
        <w:autoSpaceDN w:val="0"/>
        <w:adjustRightInd w:val="0"/>
        <w:spacing w:line="450" w:lineRule="exact"/>
        <w:ind w:firstLine="480" w:firstLineChars="200"/>
        <w:jc w:val="left"/>
        <w:outlineLvl w:val="0"/>
        <w:rPr>
          <w:rFonts w:cs="宋体" w:asciiTheme="minorEastAsia" w:hAnsiTheme="minorEastAsia" w:eastAsiaTheme="minorEastAsia"/>
          <w:b/>
          <w:sz w:val="24"/>
          <w:szCs w:val="24"/>
        </w:rPr>
      </w:pPr>
      <w:r>
        <w:rPr>
          <w:rFonts w:hint="eastAsia" w:asciiTheme="minorEastAsia" w:hAnsiTheme="minorEastAsia" w:eastAsiaTheme="minorEastAsia"/>
          <w:sz w:val="24"/>
          <w:szCs w:val="24"/>
        </w:rPr>
        <w:t>投标人须知前附表允许投标文件偏离招标文件某些要求的，偏离应当符合招标文件规定的偏离范围和幅度。</w:t>
      </w:r>
    </w:p>
    <w:p>
      <w:pPr>
        <w:pStyle w:val="90"/>
        <w:spacing w:line="450" w:lineRule="exact"/>
        <w:jc w:val="both"/>
        <w:outlineLvl w:val="0"/>
        <w:rPr>
          <w:rFonts w:asciiTheme="minorEastAsia" w:hAnsiTheme="minorEastAsia" w:eastAsiaTheme="minorEastAsia"/>
          <w:b/>
          <w:color w:val="auto"/>
        </w:rPr>
      </w:pPr>
      <w:bookmarkStart w:id="32" w:name="_Toc283559951"/>
      <w:r>
        <w:rPr>
          <w:rFonts w:asciiTheme="minorEastAsia" w:hAnsiTheme="minorEastAsia" w:eastAsiaTheme="minorEastAsia"/>
          <w:b/>
          <w:color w:val="auto"/>
        </w:rPr>
        <w:t xml:space="preserve">2. </w:t>
      </w:r>
      <w:r>
        <w:rPr>
          <w:rFonts w:hint="eastAsia" w:asciiTheme="minorEastAsia" w:hAnsiTheme="minorEastAsia" w:eastAsiaTheme="minorEastAsia"/>
          <w:b/>
          <w:color w:val="auto"/>
        </w:rPr>
        <w:t>招标文件</w:t>
      </w:r>
      <w:bookmarkEnd w:id="32"/>
    </w:p>
    <w:p>
      <w:pPr>
        <w:autoSpaceDE w:val="0"/>
        <w:autoSpaceDN w:val="0"/>
        <w:spacing w:line="450" w:lineRule="exact"/>
        <w:jc w:val="left"/>
        <w:outlineLvl w:val="0"/>
        <w:rPr>
          <w:rFonts w:cs="宋体" w:asciiTheme="minorEastAsia" w:hAnsiTheme="minorEastAsia" w:eastAsiaTheme="minorEastAsia"/>
          <w:b/>
          <w:sz w:val="24"/>
          <w:szCs w:val="24"/>
        </w:rPr>
      </w:pPr>
      <w:bookmarkStart w:id="33" w:name="_Toc283559952"/>
      <w:r>
        <w:rPr>
          <w:rFonts w:cs="宋体" w:asciiTheme="minorEastAsia" w:hAnsiTheme="minorEastAsia" w:eastAsiaTheme="minorEastAsia"/>
          <w:b/>
          <w:sz w:val="24"/>
          <w:szCs w:val="24"/>
        </w:rPr>
        <w:t xml:space="preserve">2.1 </w:t>
      </w:r>
      <w:r>
        <w:rPr>
          <w:rFonts w:hint="eastAsia" w:cs="宋体" w:asciiTheme="minorEastAsia" w:hAnsiTheme="minorEastAsia" w:eastAsiaTheme="minorEastAsia"/>
          <w:b/>
          <w:sz w:val="24"/>
          <w:szCs w:val="24"/>
        </w:rPr>
        <w:t>招标文件的组成</w:t>
      </w:r>
      <w:bookmarkEnd w:id="33"/>
    </w:p>
    <w:p>
      <w:pPr>
        <w:autoSpaceDE w:val="0"/>
        <w:autoSpaceDN w:val="0"/>
        <w:spacing w:line="45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本招标文件包括：</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（1）招标公告；</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（2）投标人须知；</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（3）评标办法；</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（4）合同条款及格式；</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（5）工程量清单； </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（6）图纸； </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（7）技术标准和要求；</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（8）投标文件格式；</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（9）投标人须知前附表规定的其他材料；</w:t>
      </w:r>
    </w:p>
    <w:p>
      <w:pPr>
        <w:autoSpaceDE w:val="0"/>
        <w:autoSpaceDN w:val="0"/>
        <w:spacing w:line="45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根据本章第</w:t>
      </w:r>
      <w:r>
        <w:rPr>
          <w:rFonts w:cs="宋体" w:asciiTheme="minorEastAsia" w:hAnsiTheme="minorEastAsia" w:eastAsiaTheme="minorEastAsia"/>
          <w:sz w:val="24"/>
          <w:szCs w:val="24"/>
        </w:rPr>
        <w:t xml:space="preserve">2.2 </w:t>
      </w:r>
      <w:r>
        <w:rPr>
          <w:rFonts w:hint="eastAsia" w:cs="宋体" w:asciiTheme="minorEastAsia" w:hAnsiTheme="minorEastAsia" w:eastAsiaTheme="minorEastAsia"/>
          <w:sz w:val="24"/>
          <w:szCs w:val="24"/>
        </w:rPr>
        <w:t>款和第</w:t>
      </w:r>
      <w:r>
        <w:rPr>
          <w:rFonts w:cs="宋体" w:asciiTheme="minorEastAsia" w:hAnsiTheme="minorEastAsia" w:eastAsiaTheme="minorEastAsia"/>
          <w:sz w:val="24"/>
          <w:szCs w:val="24"/>
        </w:rPr>
        <w:t xml:space="preserve">2.3 </w:t>
      </w:r>
      <w:r>
        <w:rPr>
          <w:rFonts w:hint="eastAsia" w:cs="宋体" w:asciiTheme="minorEastAsia" w:hAnsiTheme="minorEastAsia" w:eastAsiaTheme="minorEastAsia"/>
          <w:sz w:val="24"/>
          <w:szCs w:val="24"/>
        </w:rPr>
        <w:t>款对招标文件所作的澄清、修改，构成招标文件的组成部分。</w:t>
      </w:r>
    </w:p>
    <w:p>
      <w:pPr>
        <w:autoSpaceDE w:val="0"/>
        <w:autoSpaceDN w:val="0"/>
        <w:spacing w:line="450" w:lineRule="exact"/>
        <w:jc w:val="left"/>
        <w:outlineLvl w:val="0"/>
        <w:rPr>
          <w:rFonts w:cs="宋体" w:asciiTheme="minorEastAsia" w:hAnsiTheme="minorEastAsia" w:eastAsiaTheme="minorEastAsia"/>
          <w:b/>
          <w:sz w:val="24"/>
          <w:szCs w:val="24"/>
        </w:rPr>
      </w:pPr>
      <w:bookmarkStart w:id="34" w:name="_Toc283559953"/>
      <w:r>
        <w:rPr>
          <w:rFonts w:cs="宋体" w:asciiTheme="minorEastAsia" w:hAnsiTheme="minorEastAsia" w:eastAsiaTheme="minorEastAsia"/>
          <w:b/>
          <w:sz w:val="24"/>
          <w:szCs w:val="24"/>
        </w:rPr>
        <w:t xml:space="preserve">2.2 </w:t>
      </w:r>
      <w:r>
        <w:rPr>
          <w:rFonts w:hint="eastAsia" w:cs="宋体" w:asciiTheme="minorEastAsia" w:hAnsiTheme="minorEastAsia" w:eastAsiaTheme="minorEastAsia"/>
          <w:b/>
          <w:sz w:val="24"/>
          <w:szCs w:val="24"/>
        </w:rPr>
        <w:t>招标文件的澄清</w:t>
      </w:r>
      <w:bookmarkEnd w:id="34"/>
    </w:p>
    <w:p>
      <w:pPr>
        <w:spacing w:line="450" w:lineRule="exact"/>
        <w:ind w:firstLine="410" w:firstLineChars="171"/>
        <w:rPr>
          <w:rFonts w:asciiTheme="minorEastAsia" w:hAnsiTheme="minorEastAsia" w:eastAsiaTheme="minorEastAsia"/>
          <w:sz w:val="24"/>
          <w:szCs w:val="24"/>
        </w:rPr>
      </w:pPr>
      <w:bookmarkStart w:id="35" w:name="_Toc283559954"/>
      <w:r>
        <w:rPr>
          <w:rFonts w:hint="eastAsia" w:asciiTheme="minorEastAsia" w:hAnsiTheme="minorEastAsia" w:eastAsiaTheme="minor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b/>
          <w:bCs/>
          <w:sz w:val="24"/>
          <w:szCs w:val="24"/>
        </w:rPr>
        <w:t>如未提出异议，视为全面接受。</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cs="宋体" w:asciiTheme="minorEastAsia" w:hAnsiTheme="minorEastAsia" w:eastAsiaTheme="minorEastAsia"/>
          <w:b/>
          <w:sz w:val="24"/>
          <w:szCs w:val="24"/>
        </w:rPr>
      </w:pPr>
      <w:r>
        <w:rPr>
          <w:rFonts w:cs="宋体" w:asciiTheme="minorEastAsia" w:hAnsiTheme="minorEastAsia" w:eastAsiaTheme="minorEastAsia"/>
          <w:b/>
          <w:sz w:val="24"/>
          <w:szCs w:val="24"/>
        </w:rPr>
        <w:t xml:space="preserve">2.3 </w:t>
      </w:r>
      <w:r>
        <w:rPr>
          <w:rFonts w:hint="eastAsia" w:cs="宋体" w:asciiTheme="minorEastAsia" w:hAnsiTheme="minorEastAsia" w:eastAsiaTheme="minorEastAsia"/>
          <w:b/>
          <w:sz w:val="24"/>
          <w:szCs w:val="24"/>
        </w:rPr>
        <w:t>招标文件的修改</w:t>
      </w:r>
      <w:bookmarkEnd w:id="35"/>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2.3.1 </w:t>
      </w:r>
      <w:r>
        <w:rPr>
          <w:rFonts w:hint="eastAsia" w:cs="宋体" w:asciiTheme="minorEastAsia" w:hAnsiTheme="minorEastAsia" w:eastAsiaTheme="minorEastAsia"/>
          <w:sz w:val="24"/>
          <w:szCs w:val="24"/>
        </w:rPr>
        <w:t>在投标截止时间</w:t>
      </w:r>
      <w:r>
        <w:rPr>
          <w:rFonts w:cs="宋体" w:asciiTheme="minorEastAsia" w:hAnsiTheme="minorEastAsia" w:eastAsiaTheme="minorEastAsia"/>
          <w:sz w:val="24"/>
          <w:szCs w:val="24"/>
        </w:rPr>
        <w:t>15</w:t>
      </w:r>
      <w:r>
        <w:rPr>
          <w:rFonts w:hint="eastAsia" w:cs="宋体" w:asciiTheme="minorEastAsia" w:hAnsiTheme="minorEastAsia" w:eastAsiaTheme="minorEastAsia"/>
          <w:sz w:val="24"/>
          <w:szCs w:val="24"/>
        </w:rPr>
        <w:t>天前，招标人可以通过公共资源交易系统电子平台修改招标文件，如果修改招标文件的时间距投标截止时间不足</w:t>
      </w:r>
      <w:r>
        <w:rPr>
          <w:rFonts w:cs="宋体" w:asciiTheme="minorEastAsia" w:hAnsiTheme="minorEastAsia" w:eastAsiaTheme="minorEastAsia"/>
          <w:sz w:val="24"/>
          <w:szCs w:val="24"/>
        </w:rPr>
        <w:t>15</w:t>
      </w:r>
      <w:r>
        <w:rPr>
          <w:rFonts w:hint="eastAsia" w:cs="宋体" w:asciiTheme="minorEastAsia" w:hAnsiTheme="minorEastAsia" w:eastAsiaTheme="minorEastAsia"/>
          <w:sz w:val="24"/>
          <w:szCs w:val="24"/>
        </w:rPr>
        <w:t>天，相应延长投标截止时间。</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2.3.2 </w:t>
      </w:r>
      <w:r>
        <w:rPr>
          <w:rFonts w:hint="eastAsia" w:cs="宋体" w:asciiTheme="minorEastAsia" w:hAnsiTheme="minorEastAsia" w:eastAsiaTheme="minorEastAsia"/>
          <w:sz w:val="24"/>
          <w:szCs w:val="24"/>
        </w:rPr>
        <w:t>当招标文件、补充通知、答疑纪要，内容相互矛盾时，以最后发出的通知或纪要为准。</w:t>
      </w:r>
    </w:p>
    <w:p>
      <w:pPr>
        <w:autoSpaceDE w:val="0"/>
        <w:autoSpaceDN w:val="0"/>
        <w:spacing w:line="420" w:lineRule="exact"/>
        <w:jc w:val="left"/>
        <w:outlineLvl w:val="0"/>
        <w:rPr>
          <w:rFonts w:cs="宋体" w:asciiTheme="minorEastAsia" w:hAnsiTheme="minorEastAsia" w:eastAsiaTheme="minorEastAsia"/>
          <w:b/>
          <w:sz w:val="24"/>
          <w:szCs w:val="24"/>
        </w:rPr>
      </w:pPr>
      <w:bookmarkStart w:id="36" w:name="_Toc144974514"/>
      <w:bookmarkStart w:id="37" w:name="_Toc152045546"/>
      <w:bookmarkStart w:id="38" w:name="_Toc152042322"/>
      <w:bookmarkStart w:id="39" w:name="_Toc179632564"/>
      <w:r>
        <w:rPr>
          <w:rFonts w:hint="eastAsia" w:cs="宋体" w:asciiTheme="minorEastAsia" w:hAnsiTheme="minorEastAsia" w:eastAsiaTheme="minorEastAsia"/>
          <w:b/>
          <w:sz w:val="24"/>
          <w:szCs w:val="24"/>
        </w:rPr>
        <w:t>3. 投标文件</w:t>
      </w:r>
      <w:bookmarkEnd w:id="36"/>
      <w:bookmarkEnd w:id="37"/>
      <w:bookmarkEnd w:id="38"/>
      <w:bookmarkEnd w:id="39"/>
    </w:p>
    <w:p>
      <w:pPr>
        <w:autoSpaceDE w:val="0"/>
        <w:autoSpaceDN w:val="0"/>
        <w:spacing w:line="420" w:lineRule="exact"/>
        <w:jc w:val="left"/>
        <w:outlineLvl w:val="0"/>
        <w:rPr>
          <w:rFonts w:cs="宋体" w:asciiTheme="minorEastAsia" w:hAnsiTheme="minorEastAsia" w:eastAsiaTheme="minorEastAsia"/>
          <w:b/>
          <w:sz w:val="24"/>
          <w:szCs w:val="24"/>
        </w:rPr>
      </w:pPr>
      <w:bookmarkStart w:id="40" w:name="_Toc278443453"/>
      <w:r>
        <w:rPr>
          <w:rFonts w:hint="eastAsia" w:cs="宋体" w:asciiTheme="minorEastAsia" w:hAnsiTheme="minorEastAsia" w:eastAsiaTheme="minorEastAsia"/>
          <w:b/>
          <w:sz w:val="24"/>
          <w:szCs w:val="24"/>
        </w:rPr>
        <w:t>3.1投标文件组成。</w:t>
      </w:r>
    </w:p>
    <w:p>
      <w:pPr>
        <w:pStyle w:val="2"/>
        <w:ind w:firstLine="240"/>
        <w:rPr>
          <w:rFonts w:asciiTheme="minorEastAsia" w:hAnsiTheme="minorEastAsia" w:eastAsiaTheme="minorEastAsia"/>
          <w:sz w:val="24"/>
        </w:rPr>
      </w:pPr>
      <w:r>
        <w:rPr>
          <w:rFonts w:hint="eastAsia" w:asciiTheme="minorEastAsia" w:hAnsiTheme="minorEastAsia" w:eastAsiaTheme="minorEastAsia"/>
          <w:sz w:val="24"/>
        </w:rPr>
        <w:t xml:space="preserve"> 投标文件包括但不限于以下内容：</w:t>
      </w:r>
    </w:p>
    <w:p>
      <w:pPr>
        <w:pStyle w:val="2"/>
        <w:ind w:firstLine="240"/>
        <w:rPr>
          <w:rFonts w:asciiTheme="minorEastAsia" w:hAnsiTheme="minorEastAsia" w:eastAsiaTheme="minorEastAsia"/>
          <w:sz w:val="24"/>
        </w:rPr>
      </w:pPr>
      <w:r>
        <w:rPr>
          <w:rFonts w:hint="eastAsia" w:asciiTheme="minorEastAsia" w:hAnsiTheme="minorEastAsia" w:eastAsiaTheme="minorEastAsia"/>
          <w:sz w:val="24"/>
        </w:rPr>
        <w:t>（一）投标函及投标函附录</w:t>
      </w:r>
    </w:p>
    <w:p>
      <w:pPr>
        <w:pStyle w:val="2"/>
        <w:ind w:firstLine="240"/>
        <w:rPr>
          <w:rFonts w:asciiTheme="minorEastAsia" w:hAnsiTheme="minorEastAsia" w:eastAsiaTheme="minorEastAsia"/>
          <w:sz w:val="24"/>
        </w:rPr>
      </w:pPr>
      <w:r>
        <w:rPr>
          <w:rFonts w:hint="eastAsia" w:asciiTheme="minorEastAsia" w:hAnsiTheme="minorEastAsia" w:eastAsiaTheme="minorEastAsia"/>
          <w:sz w:val="24"/>
        </w:rPr>
        <w:t>（二）法定代表人身份证明及授权委托书</w:t>
      </w:r>
    </w:p>
    <w:p>
      <w:pPr>
        <w:pStyle w:val="2"/>
        <w:ind w:firstLine="240"/>
        <w:rPr>
          <w:rFonts w:asciiTheme="minorEastAsia" w:hAnsiTheme="minorEastAsia" w:eastAsiaTheme="minorEastAsia"/>
          <w:sz w:val="24"/>
        </w:rPr>
      </w:pPr>
      <w:r>
        <w:rPr>
          <w:rFonts w:hint="eastAsia" w:asciiTheme="minorEastAsia" w:hAnsiTheme="minorEastAsia" w:eastAsiaTheme="minorEastAsia"/>
          <w:sz w:val="24"/>
        </w:rPr>
        <w:t>（三）投标保证金</w:t>
      </w:r>
    </w:p>
    <w:p>
      <w:pPr>
        <w:pStyle w:val="2"/>
        <w:ind w:firstLine="240"/>
        <w:rPr>
          <w:rFonts w:asciiTheme="minorEastAsia" w:hAnsiTheme="minorEastAsia" w:eastAsiaTheme="minorEastAsia"/>
          <w:sz w:val="24"/>
        </w:rPr>
      </w:pPr>
      <w:r>
        <w:rPr>
          <w:rFonts w:hint="eastAsia" w:asciiTheme="minorEastAsia" w:hAnsiTheme="minorEastAsia" w:eastAsiaTheme="minorEastAsia"/>
          <w:sz w:val="24"/>
        </w:rPr>
        <w:t>（四）已标价工程量清单</w:t>
      </w:r>
    </w:p>
    <w:p>
      <w:pPr>
        <w:pStyle w:val="2"/>
        <w:ind w:firstLine="240"/>
        <w:rPr>
          <w:rFonts w:asciiTheme="minorEastAsia" w:hAnsiTheme="minorEastAsia" w:eastAsiaTheme="minorEastAsia"/>
          <w:sz w:val="24"/>
        </w:rPr>
      </w:pPr>
      <w:r>
        <w:rPr>
          <w:rFonts w:hint="eastAsia" w:asciiTheme="minorEastAsia" w:hAnsiTheme="minorEastAsia" w:eastAsiaTheme="minorEastAsia"/>
          <w:sz w:val="24"/>
        </w:rPr>
        <w:t>（五）施工组织设计</w:t>
      </w:r>
    </w:p>
    <w:p>
      <w:pPr>
        <w:pStyle w:val="2"/>
        <w:ind w:firstLine="240"/>
        <w:rPr>
          <w:rFonts w:asciiTheme="minorEastAsia" w:hAnsiTheme="minorEastAsia" w:eastAsiaTheme="minorEastAsia"/>
          <w:sz w:val="24"/>
        </w:rPr>
      </w:pPr>
      <w:r>
        <w:rPr>
          <w:rFonts w:hint="eastAsia" w:asciiTheme="minorEastAsia" w:hAnsiTheme="minorEastAsia" w:eastAsiaTheme="minorEastAsia"/>
          <w:sz w:val="24"/>
        </w:rPr>
        <w:t>（六）项目管理机构</w:t>
      </w:r>
    </w:p>
    <w:p>
      <w:pPr>
        <w:pStyle w:val="2"/>
        <w:ind w:firstLine="240"/>
        <w:rPr>
          <w:rFonts w:asciiTheme="minorEastAsia" w:hAnsiTheme="minorEastAsia" w:eastAsiaTheme="minorEastAsia"/>
          <w:sz w:val="24"/>
        </w:rPr>
      </w:pPr>
      <w:r>
        <w:rPr>
          <w:rFonts w:hint="eastAsia" w:asciiTheme="minorEastAsia" w:hAnsiTheme="minorEastAsia" w:eastAsiaTheme="minorEastAsia"/>
          <w:sz w:val="24"/>
        </w:rPr>
        <w:t>（七）资格证明文件</w:t>
      </w:r>
    </w:p>
    <w:p>
      <w:pPr>
        <w:pStyle w:val="2"/>
        <w:ind w:firstLine="240"/>
        <w:rPr>
          <w:rFonts w:asciiTheme="minorEastAsia" w:hAnsiTheme="minorEastAsia" w:eastAsiaTheme="minorEastAsia"/>
          <w:sz w:val="24"/>
        </w:rPr>
      </w:pPr>
      <w:r>
        <w:rPr>
          <w:rFonts w:hint="eastAsia" w:asciiTheme="minorEastAsia" w:hAnsiTheme="minorEastAsia" w:eastAsiaTheme="minorEastAsia"/>
          <w:sz w:val="24"/>
        </w:rPr>
        <w:t>（八）近年财务状况</w:t>
      </w:r>
    </w:p>
    <w:p>
      <w:pPr>
        <w:pStyle w:val="2"/>
        <w:ind w:firstLine="240"/>
        <w:rPr>
          <w:rFonts w:asciiTheme="minorEastAsia" w:hAnsiTheme="minorEastAsia" w:eastAsiaTheme="minorEastAsia"/>
          <w:sz w:val="24"/>
        </w:rPr>
      </w:pPr>
      <w:r>
        <w:rPr>
          <w:rFonts w:hint="eastAsia" w:asciiTheme="minorEastAsia" w:hAnsiTheme="minorEastAsia" w:eastAsiaTheme="minorEastAsia"/>
          <w:sz w:val="24"/>
        </w:rPr>
        <w:t>（九）近年完成的类似项目情况表</w:t>
      </w:r>
    </w:p>
    <w:p>
      <w:pPr>
        <w:pStyle w:val="2"/>
        <w:ind w:firstLine="240"/>
        <w:rPr>
          <w:rFonts w:asciiTheme="minorEastAsia" w:hAnsiTheme="minorEastAsia" w:eastAsiaTheme="minorEastAsia"/>
          <w:sz w:val="24"/>
        </w:rPr>
      </w:pPr>
      <w:r>
        <w:rPr>
          <w:rFonts w:hint="eastAsia" w:asciiTheme="minorEastAsia" w:hAnsiTheme="minorEastAsia" w:eastAsiaTheme="minorEastAsia"/>
          <w:sz w:val="24"/>
        </w:rPr>
        <w:t>（十）正在施工的和新承接的项目情况表</w:t>
      </w:r>
    </w:p>
    <w:p>
      <w:pPr>
        <w:pStyle w:val="2"/>
        <w:ind w:firstLine="240"/>
        <w:rPr>
          <w:rFonts w:asciiTheme="minorEastAsia" w:hAnsiTheme="minorEastAsia" w:eastAsiaTheme="minorEastAsia"/>
          <w:sz w:val="24"/>
        </w:rPr>
      </w:pPr>
      <w:r>
        <w:rPr>
          <w:rFonts w:hint="eastAsia" w:asciiTheme="minorEastAsia" w:hAnsiTheme="minorEastAsia" w:eastAsiaTheme="minorEastAsia"/>
          <w:sz w:val="24"/>
        </w:rPr>
        <w:t>（十一）近年发生的诉讼和仲裁情况</w:t>
      </w:r>
    </w:p>
    <w:p>
      <w:pPr>
        <w:pStyle w:val="2"/>
        <w:ind w:firstLine="240"/>
        <w:rPr>
          <w:rFonts w:asciiTheme="minorEastAsia" w:hAnsiTheme="minorEastAsia" w:eastAsiaTheme="minorEastAsia"/>
          <w:sz w:val="24"/>
        </w:rPr>
      </w:pPr>
      <w:r>
        <w:rPr>
          <w:rFonts w:hint="eastAsia" w:asciiTheme="minorEastAsia" w:hAnsiTheme="minorEastAsia" w:eastAsiaTheme="minorEastAsia"/>
          <w:sz w:val="24"/>
        </w:rPr>
        <w:t>（十二）承诺书</w:t>
      </w:r>
    </w:p>
    <w:p>
      <w:pPr>
        <w:pStyle w:val="2"/>
        <w:ind w:firstLine="240"/>
        <w:rPr>
          <w:rFonts w:asciiTheme="minorEastAsia" w:hAnsiTheme="minorEastAsia" w:eastAsiaTheme="minorEastAsia"/>
          <w:sz w:val="24"/>
        </w:rPr>
      </w:pPr>
      <w:r>
        <w:rPr>
          <w:rFonts w:hint="eastAsia" w:asciiTheme="minorEastAsia" w:hAnsiTheme="minorEastAsia" w:eastAsiaTheme="minorEastAsia"/>
          <w:sz w:val="24"/>
        </w:rPr>
        <w:t>（十三）投标人须知前附表规定的其它材料</w:t>
      </w:r>
    </w:p>
    <w:p>
      <w:pPr>
        <w:autoSpaceDE w:val="0"/>
        <w:autoSpaceDN w:val="0"/>
        <w:spacing w:line="420" w:lineRule="exact"/>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3.2 投标报价</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bCs/>
          <w:sz w:val="24"/>
          <w:szCs w:val="24"/>
        </w:rPr>
      </w:pPr>
      <w:bookmarkStart w:id="41" w:name="OLE_LINK21"/>
      <w:r>
        <w:rPr>
          <w:rFonts w:hint="eastAsia" w:cs="宋体" w:asciiTheme="minorEastAsia" w:hAnsiTheme="minorEastAsia" w:eastAsiaTheme="minorEastAsia"/>
          <w:bCs/>
          <w:sz w:val="24"/>
          <w:szCs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3.2.2 投标人在投标截止时间前修改投标函中的投标报价总额，应同时修改“已标价工程量清单”中的相应报价，投标报价总额为各分项金额之和。此修改须符合本章第4.3款的有关要求。</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3.2.3 招标人设有招标控制价的，投标人的投标报价不得超过招标控制价，招标控制价或其计算方法在投标人须知前附表中载明。</w:t>
      </w:r>
    </w:p>
    <w:bookmarkEnd w:id="41"/>
    <w:p>
      <w:pPr>
        <w:autoSpaceDE w:val="0"/>
        <w:autoSpaceDN w:val="0"/>
        <w:spacing w:line="420" w:lineRule="exact"/>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3.3 投标有效期</w:t>
      </w:r>
      <w:bookmarkEnd w:id="40"/>
    </w:p>
    <w:p>
      <w:pPr>
        <w:tabs>
          <w:tab w:val="left" w:pos="1260"/>
        </w:tabs>
        <w:autoSpaceDE w:val="0"/>
        <w:autoSpaceDN w:val="0"/>
        <w:adjustRightInd w:val="0"/>
        <w:spacing w:line="460" w:lineRule="exact"/>
        <w:ind w:firstLine="480" w:firstLineChars="200"/>
        <w:jc w:val="lef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3.3.1</w:t>
      </w:r>
      <w:r>
        <w:rPr>
          <w:rFonts w:hint="eastAsia" w:cs="仿宋_GB2312" w:asciiTheme="minorEastAsia" w:hAnsiTheme="minorEastAsia" w:eastAsiaTheme="minorEastAsia"/>
          <w:sz w:val="24"/>
          <w:szCs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3.3.2</w:t>
      </w:r>
      <w:r>
        <w:rPr>
          <w:rFonts w:hint="eastAsia" w:cs="仿宋_GB2312" w:asciiTheme="minorEastAsia" w:hAnsiTheme="minorEastAsia" w:eastAsiaTheme="minorEastAsia"/>
          <w:sz w:val="24"/>
          <w:szCs w:val="24"/>
        </w:rPr>
        <w:t xml:space="preserve"> 出现特殊情况需要延长投标有效期的，</w:t>
      </w:r>
      <w:r>
        <w:rPr>
          <w:rFonts w:hint="eastAsia" w:asciiTheme="minorEastAsia" w:hAnsiTheme="minorEastAsia" w:eastAsiaTheme="minorEastAsia"/>
          <w:sz w:val="24"/>
          <w:szCs w:val="24"/>
        </w:rPr>
        <w:t>招标人在公共资源交易系统电子平台发出延长投标有效期的通知</w:t>
      </w:r>
      <w:r>
        <w:rPr>
          <w:rFonts w:hint="eastAsia" w:cs="仿宋_GB2312" w:asciiTheme="minorEastAsia" w:hAnsiTheme="minorEastAsia" w:eastAsiaTheme="minorEastAsia"/>
          <w:sz w:val="24"/>
          <w:szCs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3.4 投标保证金及履约保证金</w:t>
      </w:r>
    </w:p>
    <w:p>
      <w:pPr>
        <w:widowControl/>
        <w:autoSpaceDE w:val="0"/>
        <w:autoSpaceDN w:val="0"/>
        <w:adjustRightInd w:val="0"/>
        <w:spacing w:line="400" w:lineRule="exact"/>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3.4.1 投标保证金</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bookmarkStart w:id="42" w:name="_Toc283559960"/>
      <w:r>
        <w:rPr>
          <w:rFonts w:hint="eastAsia" w:cs="宋体" w:asciiTheme="minorEastAsia" w:hAnsiTheme="minorEastAsia" w:eastAsiaTheme="minorEastAsia"/>
          <w:sz w:val="24"/>
          <w:szCs w:val="24"/>
        </w:rPr>
        <w:t>3.4.1.1投标人应按投标人须知前附表后规定缴纳投标保证金。</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3.4.1.2投标保证金的相关规定</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 投标保证金的退还：</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（1）中标公告发出后，5个工作日内退还非中标候选人投标保证金及银行同期活期存款利息。</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（3）项目废标或招标人终止招标的，在此后5个工作日内退还投标保证金及银行同期活期存利息。</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（6）退还投标保证金，除另有规定外，一般以转账方式一次性退还至投标保证金的原提交账户。</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2、投标人有下列情形之一的，不予退还投标保证金：</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（一）在招标文件要求提交投标文件的截止时间后至投标文件有效期满前撤回投标的； </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（五）拒绝履行合同义务的；</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（六）相关法律、法规规定不予退还的其它情形。</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780"/>
        </w:tabs>
        <w:autoSpaceDE w:val="0"/>
        <w:autoSpaceDN w:val="0"/>
        <w:adjustRightInd w:val="0"/>
        <w:spacing w:line="460" w:lineRule="exact"/>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3.4.2</w:t>
      </w:r>
      <w:r>
        <w:rPr>
          <w:rFonts w:hint="eastAsia" w:cs="宋体" w:asciiTheme="minorEastAsia" w:hAnsiTheme="minorEastAsia" w:eastAsiaTheme="minorEastAsia"/>
          <w:b/>
          <w:sz w:val="24"/>
          <w:szCs w:val="24"/>
        </w:rPr>
        <w:tab/>
      </w:r>
      <w:r>
        <w:rPr>
          <w:rFonts w:hint="eastAsia" w:cs="宋体" w:asciiTheme="minorEastAsia" w:hAnsiTheme="minorEastAsia" w:eastAsiaTheme="minorEastAsia"/>
          <w:b/>
          <w:sz w:val="24"/>
          <w:szCs w:val="24"/>
        </w:rPr>
        <w:t>履约保证金</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3.4.2.1履约保证金提交比例和数额：履约保证金数额为不超过中标合同金额的10%。</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3.4.2.2履约保证金的退还：</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1、项目完工后，由招标人出具《履约保证金退还通知单》，中心财务凭《履约保证金退还通知单》在五个工作日内退还履约保证金及银行同期活期存款利息至中标人账户。</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2、中标人因发生质疑、投诉、举报或有关部门立案调查的，中心依据相关行政监督部门的意见暂停退还或没收其履约保证金，待行政监督部门对相关情况处置后，按照有关规定办理。</w:t>
      </w:r>
    </w:p>
    <w:p>
      <w:pPr>
        <w:tabs>
          <w:tab w:val="left" w:pos="1260"/>
        </w:tabs>
        <w:autoSpaceDE w:val="0"/>
        <w:autoSpaceDN w:val="0"/>
        <w:adjustRightInd w:val="0"/>
        <w:spacing w:line="460" w:lineRule="exact"/>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3.5 资格审查资料</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3.5.1 “投标人基本情况表”应附投标人营业执照副本、资质证书副本和安全生产许可证等</w:t>
      </w:r>
      <w:r>
        <w:rPr>
          <w:rFonts w:hint="eastAsia" w:cs="宋体" w:asciiTheme="minorEastAsia" w:hAnsiTheme="minorEastAsia" w:eastAsiaTheme="minorEastAsia"/>
          <w:sz w:val="24"/>
          <w:szCs w:val="24"/>
        </w:rPr>
        <w:t>材料的原件扫描件。</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3.5.2 “项目管理机构配备情况”应填报满足本章第 1.4 项规定的项目经理相关信息。“主要人员简历表”中项目经理应附身份证、执业资格证书、注册证书、安全考核证书和社保缴费证明原件扫描件，其他主要人员应附身份证、有关证书和社保缴费证明原件扫描件。</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3.5.3 “</w:t>
      </w:r>
      <w:r>
        <w:rPr>
          <w:rFonts w:hint="eastAsia" w:cs="宋体" w:asciiTheme="minorEastAsia" w:hAnsiTheme="minorEastAsia" w:eastAsiaTheme="minorEastAsia"/>
          <w:sz w:val="24"/>
          <w:szCs w:val="24"/>
          <w:lang w:val="zh-CN"/>
        </w:rPr>
        <w:t>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360" w:firstLineChars="15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3.5.6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（具体审查内容详见第三章评标办法）</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3.6 </w:t>
      </w:r>
      <w:bookmarkStart w:id="43" w:name="_Toc152042329"/>
      <w:bookmarkStart w:id="44" w:name="_Toc179632571"/>
      <w:bookmarkStart w:id="45" w:name="_Toc144974521"/>
      <w:bookmarkStart w:id="46" w:name="_Toc152045553"/>
      <w:r>
        <w:rPr>
          <w:rFonts w:hint="eastAsia" w:cs="宋体" w:asciiTheme="minorEastAsia" w:hAnsiTheme="minorEastAsia" w:eastAsiaTheme="minorEastAsia"/>
          <w:b/>
          <w:sz w:val="24"/>
          <w:szCs w:val="24"/>
        </w:rPr>
        <w:t>备选投标方案</w:t>
      </w:r>
    </w:p>
    <w:bookmarkEnd w:id="43"/>
    <w:bookmarkEnd w:id="44"/>
    <w:bookmarkEnd w:id="45"/>
    <w:bookmarkEnd w:id="46"/>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42"/>
    <w:p>
      <w:pPr>
        <w:autoSpaceDE w:val="0"/>
        <w:autoSpaceDN w:val="0"/>
        <w:spacing w:line="440" w:lineRule="exact"/>
        <w:jc w:val="left"/>
        <w:rPr>
          <w:rFonts w:cs="宋体" w:asciiTheme="minorEastAsia" w:hAnsiTheme="minorEastAsia" w:eastAsiaTheme="minorEastAsia"/>
          <w:b/>
          <w:sz w:val="24"/>
          <w:szCs w:val="24"/>
        </w:rPr>
      </w:pPr>
      <w:bookmarkStart w:id="47" w:name="_Toc283559961"/>
      <w:r>
        <w:rPr>
          <w:rFonts w:hint="eastAsia" w:cs="宋体" w:asciiTheme="minorEastAsia" w:hAnsiTheme="minorEastAsia" w:eastAsiaTheme="minorEastAsia"/>
          <w:b/>
          <w:sz w:val="24"/>
          <w:szCs w:val="24"/>
        </w:rPr>
        <w:t>3.7 投标文件的编制</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3.7.2 投标文件应当对招标文件有关工期、投标有效期、质量要求、招标范围作出响应。</w:t>
      </w:r>
    </w:p>
    <w:p>
      <w:pPr>
        <w:tabs>
          <w:tab w:val="left" w:pos="7095"/>
        </w:tabs>
        <w:spacing w:line="360" w:lineRule="auto"/>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3.7.</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 xml:space="preserve"> </w:t>
      </w:r>
      <w:r>
        <w:rPr>
          <w:rFonts w:hint="eastAsia" w:asciiTheme="minorEastAsia" w:hAnsiTheme="minorEastAsia" w:eastAsiaTheme="minorEastAsia"/>
          <w:sz w:val="24"/>
          <w:szCs w:val="24"/>
        </w:rPr>
        <w:t>投标人登录许昌公共资源交易系统下载“许昌投标文件制作系统SEARUN V1.1”，按招标文件要求制作电子投标文件。</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 xml:space="preserve"> 使用电子介质存储的投标文件2份（文件格式为：xxx公司XXX（项目编号）XXX标段.bin）。</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w:t>
      </w:r>
      <w:r>
        <w:rPr>
          <w:rFonts w:hint="eastAsia" w:cs="宋体" w:asciiTheme="minorEastAsia" w:hAnsiTheme="minorEastAsia" w:eastAsiaTheme="minorEastAsia"/>
          <w:sz w:val="24"/>
          <w:szCs w:val="24"/>
          <w:lang w:val="en-US" w:eastAsia="zh-CN"/>
        </w:rPr>
        <w:t xml:space="preserve">5 </w:t>
      </w:r>
      <w:r>
        <w:rPr>
          <w:rFonts w:hint="eastAsia" w:cs="宋体" w:asciiTheme="minorEastAsia" w:hAnsiTheme="minorEastAsia" w:eastAsiaTheme="minorEastAsia"/>
          <w:sz w:val="24"/>
          <w:szCs w:val="24"/>
        </w:rPr>
        <w:t>同时生成与电子投标文件内容、水印码、电子签章一致的PDF文件,用于监督部门、招标人及代理机构存档。</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 xml:space="preserve"> 投标文件制作技术咨询：0374-2961598。</w:t>
      </w:r>
    </w:p>
    <w:p>
      <w:pPr>
        <w:adjustRightInd w:val="0"/>
        <w:snapToGrid w:val="0"/>
        <w:spacing w:line="420" w:lineRule="atLeas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3.7.</w:t>
      </w:r>
      <w:r>
        <w:rPr>
          <w:rFonts w:hint="eastAsia" w:cs="宋体" w:asciiTheme="minorEastAsia" w:hAnsiTheme="minorEastAsia" w:eastAsiaTheme="minorEastAsia"/>
          <w:sz w:val="24"/>
          <w:szCs w:val="24"/>
          <w:lang w:val="en-US" w:eastAsia="zh-CN"/>
        </w:rPr>
        <w:t>7</w:t>
      </w:r>
      <w:r>
        <w:rPr>
          <w:rFonts w:hint="eastAsia" w:cs="宋体" w:asciiTheme="minorEastAsia" w:hAnsiTheme="minorEastAsia" w:eastAsiaTheme="minorEastAsia"/>
          <w:sz w:val="24"/>
          <w:szCs w:val="24"/>
        </w:rPr>
        <w:t xml:space="preserve"> 当生成的电子投标文件投标报价大小写不一致时，以大写为准。</w:t>
      </w:r>
    </w:p>
    <w:p>
      <w:pPr>
        <w:pStyle w:val="90"/>
        <w:spacing w:line="480" w:lineRule="exact"/>
        <w:jc w:val="both"/>
        <w:outlineLvl w:val="0"/>
        <w:rPr>
          <w:rFonts w:asciiTheme="minorEastAsia" w:hAnsiTheme="minorEastAsia" w:eastAsiaTheme="minorEastAsia"/>
          <w:b/>
          <w:color w:val="auto"/>
        </w:rPr>
      </w:pPr>
      <w:r>
        <w:rPr>
          <w:rFonts w:asciiTheme="minorEastAsia" w:hAnsiTheme="minorEastAsia" w:eastAsiaTheme="minorEastAsia"/>
          <w:b/>
          <w:color w:val="auto"/>
        </w:rPr>
        <w:t xml:space="preserve">4. </w:t>
      </w:r>
      <w:r>
        <w:rPr>
          <w:rFonts w:hint="eastAsia" w:asciiTheme="minorEastAsia" w:hAnsiTheme="minorEastAsia" w:eastAsiaTheme="minorEastAsia"/>
          <w:b/>
          <w:color w:val="auto"/>
        </w:rPr>
        <w:t>投标</w:t>
      </w:r>
      <w:bookmarkEnd w:id="47"/>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48" w:name="_Toc283559962"/>
      <w:r>
        <w:rPr>
          <w:rFonts w:cs="宋体" w:asciiTheme="minorEastAsia" w:hAnsiTheme="minorEastAsia" w:eastAsiaTheme="minorEastAsia"/>
          <w:b/>
          <w:sz w:val="24"/>
          <w:szCs w:val="24"/>
        </w:rPr>
        <w:t xml:space="preserve">4.1 </w:t>
      </w:r>
      <w:r>
        <w:rPr>
          <w:rFonts w:hint="eastAsia" w:cs="宋体" w:asciiTheme="minorEastAsia" w:hAnsiTheme="minorEastAsia" w:eastAsiaTheme="minorEastAsia"/>
          <w:b/>
          <w:sz w:val="24"/>
          <w:szCs w:val="24"/>
        </w:rPr>
        <w:t>投标文件的密封和标记</w:t>
      </w:r>
      <w:bookmarkEnd w:id="48"/>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bookmarkStart w:id="49" w:name="_Toc283559963"/>
      <w:r>
        <w:rPr>
          <w:rFonts w:hint="eastAsia" w:cs="宋体" w:asciiTheme="minorEastAsia" w:hAnsiTheme="minorEastAsia" w:eastAsiaTheme="minorEastAsia"/>
          <w:sz w:val="24"/>
          <w:szCs w:val="24"/>
        </w:rPr>
        <w:t>4.1.1 提交的</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份使用电子介质存储的投标文件应分开密封，封套上写明“招标人名称、投标人名称、项目名称、标段，在  年  月  日  时  分前不得开启”，并加盖单位公章及密封印章，法定代表人或委托代理人签名，在投标截止时间前递交。</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4.1.2 未按本章第4.1.1项要求密封和加写标记的投标文件，招标人不予受理。</w:t>
      </w:r>
    </w:p>
    <w:p>
      <w:pPr>
        <w:autoSpaceDE w:val="0"/>
        <w:autoSpaceDN w:val="0"/>
        <w:spacing w:line="440" w:lineRule="exact"/>
        <w:jc w:val="left"/>
        <w:outlineLvl w:val="0"/>
        <w:rPr>
          <w:rFonts w:cs="宋体" w:asciiTheme="minorEastAsia" w:hAnsiTheme="minorEastAsia" w:eastAsiaTheme="minorEastAsia"/>
          <w:b/>
          <w:sz w:val="24"/>
          <w:szCs w:val="24"/>
        </w:rPr>
      </w:pPr>
      <w:r>
        <w:rPr>
          <w:rFonts w:cs="宋体" w:asciiTheme="minorEastAsia" w:hAnsiTheme="minorEastAsia" w:eastAsiaTheme="minorEastAsia"/>
          <w:b/>
          <w:sz w:val="24"/>
          <w:szCs w:val="24"/>
        </w:rPr>
        <w:t xml:space="preserve">4.2 </w:t>
      </w:r>
      <w:r>
        <w:rPr>
          <w:rFonts w:hint="eastAsia" w:cs="宋体" w:asciiTheme="minorEastAsia" w:hAnsiTheme="minorEastAsia" w:eastAsiaTheme="minorEastAsia"/>
          <w:b/>
          <w:sz w:val="24"/>
          <w:szCs w:val="24"/>
        </w:rPr>
        <w:t>投标文件的提交</w:t>
      </w:r>
      <w:bookmarkEnd w:id="49"/>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bookmarkStart w:id="50" w:name="_Toc283559964"/>
      <w:r>
        <w:rPr>
          <w:rFonts w:hint="eastAsia" w:cs="宋体" w:asciiTheme="minorEastAsia" w:hAnsiTheme="minorEastAsia" w:eastAsiaTheme="minorEastAsia"/>
          <w:sz w:val="24"/>
          <w:szCs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4.2.2 投标人提交电子介质存储的投标文件地点：见投标人须知前附表。</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4.2.4 逾期送达的或者未送达指定地点的电子介质存储的投标文件，招标人不予受理。</w:t>
      </w:r>
    </w:p>
    <w:p>
      <w:pPr>
        <w:autoSpaceDE w:val="0"/>
        <w:autoSpaceDN w:val="0"/>
        <w:spacing w:line="440" w:lineRule="exact"/>
        <w:jc w:val="left"/>
        <w:outlineLvl w:val="0"/>
        <w:rPr>
          <w:rFonts w:cs="宋体" w:asciiTheme="minorEastAsia" w:hAnsiTheme="minorEastAsia" w:eastAsiaTheme="minorEastAsia"/>
          <w:b/>
          <w:sz w:val="24"/>
          <w:szCs w:val="24"/>
        </w:rPr>
      </w:pPr>
      <w:r>
        <w:rPr>
          <w:rFonts w:cs="宋体" w:asciiTheme="minorEastAsia" w:hAnsiTheme="minorEastAsia" w:eastAsiaTheme="minorEastAsia"/>
          <w:b/>
          <w:sz w:val="24"/>
          <w:szCs w:val="24"/>
        </w:rPr>
        <w:t xml:space="preserve">4.3 </w:t>
      </w:r>
      <w:r>
        <w:rPr>
          <w:rFonts w:hint="eastAsia" w:cs="宋体" w:asciiTheme="minorEastAsia" w:hAnsiTheme="minorEastAsia" w:eastAsiaTheme="minorEastAsia"/>
          <w:b/>
          <w:sz w:val="24"/>
          <w:szCs w:val="24"/>
        </w:rPr>
        <w:t>投标文件的修改与撤回</w:t>
      </w:r>
      <w:bookmarkEnd w:id="50"/>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4.3.1 在本章第2.2.2 项规定的投标截止时间前，投标人可以修改或撤回已提交的投标文件，电子介质存储投标文件的修改或撤回应以书面形式通知招标人。</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4.3.2 投标人修改或撤回已提交电子介质存储投标文件的书面通知应按照投标人须知前附表第3.7.3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4.3.3 修改的内容为投标文件的组成部分。修改的电子介质存储投标文件应按照本章第3条、第4条规定进行编制、密封、标记和提交，并标明“修改”字样。</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4.3.4 投标人应当在投标截止时间前完成电子投标文件的提交，可以补充、修改或撤回。投标截止时间前未完成电子投标文件提交、取得“投标文件提交回执单”的，视为撤回投标文件。</w:t>
      </w:r>
    </w:p>
    <w:p>
      <w:pPr>
        <w:pStyle w:val="90"/>
        <w:spacing w:line="440" w:lineRule="exact"/>
        <w:jc w:val="both"/>
        <w:outlineLvl w:val="0"/>
        <w:rPr>
          <w:rFonts w:asciiTheme="minorEastAsia" w:hAnsiTheme="minorEastAsia" w:eastAsiaTheme="minorEastAsia"/>
          <w:b/>
          <w:color w:val="auto"/>
        </w:rPr>
      </w:pPr>
      <w:bookmarkStart w:id="51" w:name="_Toc283559967"/>
      <w:r>
        <w:rPr>
          <w:rFonts w:asciiTheme="minorEastAsia" w:hAnsiTheme="minorEastAsia" w:eastAsiaTheme="minorEastAsia"/>
          <w:b/>
          <w:color w:val="auto"/>
        </w:rPr>
        <w:t xml:space="preserve">5. </w:t>
      </w:r>
      <w:r>
        <w:rPr>
          <w:rFonts w:hint="eastAsia" w:asciiTheme="minorEastAsia" w:hAnsiTheme="minorEastAsia" w:eastAsiaTheme="minorEastAsia"/>
          <w:b/>
          <w:color w:val="auto"/>
        </w:rPr>
        <w:t>开标</w:t>
      </w:r>
      <w:bookmarkEnd w:id="51"/>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52" w:name="_Toc283559968"/>
      <w:r>
        <w:rPr>
          <w:rFonts w:cs="宋体" w:asciiTheme="minorEastAsia" w:hAnsiTheme="minorEastAsia" w:eastAsiaTheme="minorEastAsia"/>
          <w:b/>
          <w:sz w:val="24"/>
          <w:szCs w:val="24"/>
        </w:rPr>
        <w:t xml:space="preserve">5.1 </w:t>
      </w:r>
      <w:r>
        <w:rPr>
          <w:rFonts w:hint="eastAsia" w:cs="宋体" w:asciiTheme="minorEastAsia" w:hAnsiTheme="minorEastAsia" w:eastAsiaTheme="minorEastAsia"/>
          <w:b/>
          <w:sz w:val="24"/>
          <w:szCs w:val="24"/>
        </w:rPr>
        <w:t>开标时间和地点</w:t>
      </w:r>
      <w:bookmarkEnd w:id="52"/>
    </w:p>
    <w:p>
      <w:pPr>
        <w:spacing w:line="400" w:lineRule="exact"/>
        <w:ind w:firstLine="480" w:firstLineChars="200"/>
        <w:rPr>
          <w:rFonts w:cs="宋体" w:asciiTheme="minorEastAsia" w:hAnsiTheme="minorEastAsia" w:eastAsiaTheme="minorEastAsia"/>
          <w:b/>
          <w:sz w:val="24"/>
          <w:szCs w:val="24"/>
        </w:rPr>
      </w:pPr>
      <w:r>
        <w:rPr>
          <w:rFonts w:hint="eastAsia" w:asciiTheme="minorEastAsia" w:hAnsiTheme="minorEastAsia" w:eastAsiaTheme="minorEastAsia"/>
          <w:sz w:val="24"/>
          <w:szCs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cs="宋体" w:asciiTheme="minorEastAsia" w:hAnsiTheme="minorEastAsia" w:eastAsiaTheme="minorEastAsia"/>
          <w:b/>
          <w:sz w:val="24"/>
          <w:szCs w:val="24"/>
        </w:rPr>
      </w:pPr>
      <w:bookmarkStart w:id="53" w:name="_Toc283559970"/>
      <w:r>
        <w:rPr>
          <w:rFonts w:hint="eastAsia" w:cs="宋体" w:asciiTheme="minorEastAsia" w:hAnsiTheme="minorEastAsia" w:eastAsiaTheme="minorEastAsia"/>
          <w:b/>
          <w:sz w:val="24"/>
          <w:szCs w:val="24"/>
        </w:rPr>
        <w:t>5.2 开标、解密、唱标程序</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5.2.1主持人按下列程序进行开标：</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（1）宣布投标截止时间，并公布招标人、代理机构、监督部门名称；</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（2）宣布开标纪律；</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（3）公布在投标截止时间前递交投标文件的投标人名称和投标保证金缴纳情况。</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（4）电子投标文件解密</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）宣布唱标顺序，按已定顺序唱标，唱标内容为：投标人名称、投标报价、质量目标、工期及其他内容，并记录；</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6</w:t>
      </w:r>
      <w:r>
        <w:rPr>
          <w:rFonts w:hint="eastAsia" w:cs="宋体" w:asciiTheme="minorEastAsia" w:hAnsiTheme="minorEastAsia" w:eastAsiaTheme="minorEastAsia"/>
          <w:sz w:val="24"/>
          <w:szCs w:val="24"/>
        </w:rPr>
        <w:t>）现场抽取参与计算评标基准价的K值并宣布，同时公布招标控制价；</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7</w:t>
      </w:r>
      <w:r>
        <w:rPr>
          <w:rFonts w:hint="eastAsia" w:cs="宋体" w:asciiTheme="minorEastAsia" w:hAnsiTheme="minorEastAsia" w:eastAsiaTheme="minorEastAsia"/>
          <w:sz w:val="24"/>
          <w:szCs w:val="24"/>
        </w:rPr>
        <w:t>）投标人代表、招标人代表、监标人、记录人等有关人员在开标记录上签字确认；</w:t>
      </w:r>
    </w:p>
    <w:p>
      <w:pPr>
        <w:autoSpaceDE w:val="0"/>
        <w:autoSpaceDN w:val="0"/>
        <w:spacing w:line="440" w:lineRule="exact"/>
        <w:ind w:firstLine="480" w:firstLineChars="200"/>
        <w:jc w:val="left"/>
        <w:outlineLvl w:val="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（8）开标结束。</w:t>
      </w:r>
    </w:p>
    <w:p>
      <w:pPr>
        <w:autoSpaceDE w:val="0"/>
        <w:autoSpaceDN w:val="0"/>
        <w:spacing w:line="440" w:lineRule="exact"/>
        <w:ind w:firstLine="480" w:firstLineChars="200"/>
        <w:jc w:val="left"/>
        <w:outlineLvl w:val="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5.2.2 电子投标文件的解密</w:t>
      </w:r>
    </w:p>
    <w:p>
      <w:pPr>
        <w:autoSpaceDE w:val="0"/>
        <w:autoSpaceDN w:val="0"/>
        <w:spacing w:line="440" w:lineRule="exact"/>
        <w:ind w:firstLine="480" w:firstLineChars="200"/>
        <w:jc w:val="left"/>
        <w:outlineLvl w:val="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5.2.2.1本项目为全流程电子化交易项目，电子投标文件采用双重加密。在投标截止时间到达后，分标段进行解密。</w:t>
      </w:r>
    </w:p>
    <w:p>
      <w:pPr>
        <w:autoSpaceDE w:val="0"/>
        <w:autoSpaceDN w:val="0"/>
        <w:spacing w:line="440" w:lineRule="exact"/>
        <w:ind w:firstLine="480" w:firstLineChars="200"/>
        <w:jc w:val="left"/>
        <w:outlineLvl w:val="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(1)投标人解密：投标人使用本单位CA数字证书远程或现场进行解密。需现场使用一体机进行解密的，请在代理机构引导下进行。</w:t>
      </w:r>
    </w:p>
    <w:p>
      <w:pPr>
        <w:autoSpaceDE w:val="0"/>
        <w:autoSpaceDN w:val="0"/>
        <w:spacing w:line="440" w:lineRule="exact"/>
        <w:ind w:firstLine="480" w:firstLineChars="200"/>
        <w:jc w:val="left"/>
        <w:outlineLvl w:val="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(2)代理机构解密：代理机构按电子投标文件到达交易系统的先后顺序，使用本单位CA数字证书进行再次解密。</w:t>
      </w:r>
    </w:p>
    <w:p>
      <w:pPr>
        <w:autoSpaceDE w:val="0"/>
        <w:autoSpaceDN w:val="0"/>
        <w:spacing w:line="440" w:lineRule="exact"/>
        <w:ind w:firstLine="480" w:firstLineChars="200"/>
        <w:jc w:val="left"/>
        <w:outlineLvl w:val="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5.2.2.2电子投标文件解密异常情况处理</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）因电子交易系统异常无法解密电子投标文件的，使用电子版投标文件，以人工方式进行。</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因投标人原因电子投标文件解密失败的，由系统技术人员协助投标人将备份文件（电子介质储存）导入系统。若备份文件（电子介质存储）无法导入系统或导入系统仍无法解密的，视为投标人撤销其投标文件。</w:t>
      </w:r>
    </w:p>
    <w:p>
      <w:pPr>
        <w:pStyle w:val="90"/>
        <w:spacing w:line="440" w:lineRule="exact"/>
        <w:jc w:val="both"/>
        <w:outlineLvl w:val="0"/>
        <w:rPr>
          <w:rFonts w:asciiTheme="minorEastAsia" w:hAnsiTheme="minorEastAsia" w:eastAsiaTheme="minorEastAsia"/>
          <w:b/>
          <w:color w:val="auto"/>
        </w:rPr>
      </w:pPr>
      <w:r>
        <w:rPr>
          <w:rFonts w:asciiTheme="minorEastAsia" w:hAnsiTheme="minorEastAsia" w:eastAsiaTheme="minorEastAsia"/>
          <w:b/>
          <w:color w:val="auto"/>
        </w:rPr>
        <w:t xml:space="preserve">6. </w:t>
      </w:r>
      <w:r>
        <w:rPr>
          <w:rFonts w:hint="eastAsia" w:asciiTheme="minorEastAsia" w:hAnsiTheme="minorEastAsia" w:eastAsiaTheme="minorEastAsia"/>
          <w:b/>
          <w:color w:val="auto"/>
        </w:rPr>
        <w:t>评标</w:t>
      </w:r>
      <w:bookmarkEnd w:id="53"/>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54" w:name="_Toc283559971"/>
      <w:r>
        <w:rPr>
          <w:rFonts w:cs="宋体" w:asciiTheme="minorEastAsia" w:hAnsiTheme="minorEastAsia" w:eastAsiaTheme="minorEastAsia"/>
          <w:b/>
          <w:sz w:val="24"/>
          <w:szCs w:val="24"/>
        </w:rPr>
        <w:t xml:space="preserve">6.1 </w:t>
      </w:r>
      <w:r>
        <w:rPr>
          <w:rFonts w:hint="eastAsia" w:cs="宋体" w:asciiTheme="minorEastAsia" w:hAnsiTheme="minorEastAsia" w:eastAsiaTheme="minorEastAsia"/>
          <w:b/>
          <w:sz w:val="24"/>
          <w:szCs w:val="24"/>
        </w:rPr>
        <w:t>评标委员会</w:t>
      </w:r>
      <w:bookmarkEnd w:id="54"/>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6.1.1 </w:t>
      </w:r>
      <w:r>
        <w:rPr>
          <w:rFonts w:hint="eastAsia" w:cs="宋体" w:asciiTheme="minorEastAsia" w:hAnsiTheme="minorEastAsia" w:eastAsiaTheme="minorEastAsia"/>
          <w:sz w:val="24"/>
          <w:szCs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6.1.2 </w:t>
      </w:r>
      <w:r>
        <w:rPr>
          <w:rFonts w:hint="eastAsia" w:cs="宋体" w:asciiTheme="minorEastAsia" w:hAnsiTheme="minorEastAsia" w:eastAsiaTheme="minorEastAsia"/>
          <w:sz w:val="24"/>
          <w:szCs w:val="24"/>
        </w:rPr>
        <w:t>评标委员会成员有下列情形之一的，应当回避：</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）招标人或投标人的主要负责人的近亲属；</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）项目主管部门或者行政监督部门的人员；</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）与投标人有经济利益关系，可能影响对投标公正评审的；</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）曾因在招标、评标以及其他与招标投标有关活动中从事违法行为而受过行政处罚或刑事处罚的。</w:t>
      </w:r>
    </w:p>
    <w:p>
      <w:pPr>
        <w:autoSpaceDE w:val="0"/>
        <w:autoSpaceDN w:val="0"/>
        <w:spacing w:line="440" w:lineRule="exact"/>
        <w:jc w:val="left"/>
        <w:outlineLvl w:val="0"/>
        <w:rPr>
          <w:rFonts w:cs="宋体" w:asciiTheme="minorEastAsia" w:hAnsiTheme="minorEastAsia" w:eastAsiaTheme="minorEastAsia"/>
          <w:b/>
          <w:sz w:val="24"/>
          <w:szCs w:val="24"/>
        </w:rPr>
      </w:pPr>
      <w:bookmarkStart w:id="55" w:name="_Toc283559972"/>
      <w:r>
        <w:rPr>
          <w:rFonts w:cs="宋体" w:asciiTheme="minorEastAsia" w:hAnsiTheme="minorEastAsia" w:eastAsiaTheme="minorEastAsia"/>
          <w:b/>
          <w:sz w:val="24"/>
          <w:szCs w:val="24"/>
        </w:rPr>
        <w:t xml:space="preserve">6.2 </w:t>
      </w:r>
      <w:r>
        <w:rPr>
          <w:rFonts w:hint="eastAsia" w:cs="宋体" w:asciiTheme="minorEastAsia" w:hAnsiTheme="minorEastAsia" w:eastAsiaTheme="minorEastAsia"/>
          <w:b/>
          <w:sz w:val="24"/>
          <w:szCs w:val="24"/>
        </w:rPr>
        <w:t>评标原则</w:t>
      </w:r>
      <w:bookmarkEnd w:id="55"/>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评标活动遵循公平、公正、科学和择优的原则。</w:t>
      </w:r>
    </w:p>
    <w:p>
      <w:pPr>
        <w:autoSpaceDE w:val="0"/>
        <w:autoSpaceDN w:val="0"/>
        <w:spacing w:line="440" w:lineRule="exact"/>
        <w:jc w:val="left"/>
        <w:outlineLvl w:val="0"/>
        <w:rPr>
          <w:rFonts w:cs="宋体" w:asciiTheme="minorEastAsia" w:hAnsiTheme="minorEastAsia" w:eastAsiaTheme="minorEastAsia"/>
          <w:b/>
          <w:sz w:val="24"/>
          <w:szCs w:val="24"/>
        </w:rPr>
      </w:pPr>
      <w:bookmarkStart w:id="56" w:name="_Toc283559973"/>
      <w:r>
        <w:rPr>
          <w:rFonts w:cs="宋体" w:asciiTheme="minorEastAsia" w:hAnsiTheme="minorEastAsia" w:eastAsiaTheme="minorEastAsia"/>
          <w:b/>
          <w:sz w:val="24"/>
          <w:szCs w:val="24"/>
        </w:rPr>
        <w:t xml:space="preserve">6.3 </w:t>
      </w:r>
      <w:r>
        <w:rPr>
          <w:rFonts w:hint="eastAsia" w:cs="宋体" w:asciiTheme="minorEastAsia" w:hAnsiTheme="minorEastAsia" w:eastAsiaTheme="minorEastAsia"/>
          <w:b/>
          <w:sz w:val="24"/>
          <w:szCs w:val="24"/>
        </w:rPr>
        <w:t>评标</w:t>
      </w:r>
      <w:bookmarkEnd w:id="56"/>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评标委员会按照第三章“评标办法”规定的方法、评审因素、标准和程序对投标文件进行评审。第三章“评标办法”没有规定的方法、评审因素和标准，不作为评标依据。</w:t>
      </w:r>
    </w:p>
    <w:p>
      <w:pPr>
        <w:pStyle w:val="90"/>
        <w:spacing w:line="440" w:lineRule="exact"/>
        <w:jc w:val="both"/>
        <w:outlineLvl w:val="0"/>
        <w:rPr>
          <w:rFonts w:asciiTheme="minorEastAsia" w:hAnsiTheme="minorEastAsia" w:eastAsiaTheme="minorEastAsia"/>
          <w:b/>
          <w:color w:val="auto"/>
        </w:rPr>
      </w:pPr>
      <w:bookmarkStart w:id="57" w:name="_Toc283559974"/>
      <w:r>
        <w:rPr>
          <w:rFonts w:asciiTheme="minorEastAsia" w:hAnsiTheme="minorEastAsia" w:eastAsiaTheme="minorEastAsia"/>
          <w:b/>
          <w:color w:val="auto"/>
        </w:rPr>
        <w:t xml:space="preserve">7. </w:t>
      </w:r>
      <w:r>
        <w:rPr>
          <w:rFonts w:hint="eastAsia" w:asciiTheme="minorEastAsia" w:hAnsiTheme="minorEastAsia" w:eastAsiaTheme="minorEastAsia"/>
          <w:b/>
          <w:color w:val="auto"/>
        </w:rPr>
        <w:t>合同授予</w:t>
      </w:r>
      <w:bookmarkEnd w:id="57"/>
    </w:p>
    <w:p>
      <w:pPr>
        <w:autoSpaceDE w:val="0"/>
        <w:autoSpaceDN w:val="0"/>
        <w:spacing w:line="440" w:lineRule="exact"/>
        <w:jc w:val="left"/>
        <w:outlineLvl w:val="0"/>
        <w:rPr>
          <w:rFonts w:cs="宋体" w:asciiTheme="minorEastAsia" w:hAnsiTheme="minorEastAsia" w:eastAsiaTheme="minorEastAsia"/>
          <w:b/>
          <w:sz w:val="24"/>
          <w:szCs w:val="24"/>
        </w:rPr>
      </w:pPr>
      <w:bookmarkStart w:id="58" w:name="_Toc283559975"/>
      <w:r>
        <w:rPr>
          <w:rFonts w:cs="宋体" w:asciiTheme="minorEastAsia" w:hAnsiTheme="minorEastAsia" w:eastAsiaTheme="minorEastAsia"/>
          <w:b/>
          <w:sz w:val="24"/>
          <w:szCs w:val="24"/>
        </w:rPr>
        <w:t xml:space="preserve">7.1 </w:t>
      </w:r>
      <w:r>
        <w:rPr>
          <w:rFonts w:hint="eastAsia" w:cs="宋体" w:asciiTheme="minorEastAsia" w:hAnsiTheme="minorEastAsia" w:eastAsiaTheme="minorEastAsia"/>
          <w:b/>
          <w:sz w:val="24"/>
          <w:szCs w:val="24"/>
        </w:rPr>
        <w:t>定标方式</w:t>
      </w:r>
      <w:bookmarkEnd w:id="58"/>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cs="宋体" w:asciiTheme="minorEastAsia" w:hAnsiTheme="minorEastAsia" w:eastAsiaTheme="minorEastAsia"/>
          <w:b/>
          <w:sz w:val="24"/>
          <w:szCs w:val="24"/>
        </w:rPr>
      </w:pPr>
      <w:bookmarkStart w:id="59" w:name="_Toc283559976"/>
      <w:r>
        <w:rPr>
          <w:rFonts w:cs="宋体" w:asciiTheme="minorEastAsia" w:hAnsiTheme="minorEastAsia" w:eastAsiaTheme="minorEastAsia"/>
          <w:b/>
          <w:sz w:val="24"/>
          <w:szCs w:val="24"/>
        </w:rPr>
        <w:t>7.</w:t>
      </w:r>
      <w:r>
        <w:rPr>
          <w:rFonts w:hint="eastAsia" w:cs="宋体" w:asciiTheme="minorEastAsia" w:hAnsiTheme="minorEastAsia" w:eastAsiaTheme="minorEastAsia"/>
          <w:b/>
          <w:sz w:val="24"/>
          <w:szCs w:val="24"/>
        </w:rPr>
        <w:t>2中标通知</w:t>
      </w:r>
      <w:bookmarkEnd w:id="59"/>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在本章第</w:t>
      </w:r>
      <w:r>
        <w:rPr>
          <w:rFonts w:cs="宋体" w:asciiTheme="minorEastAsia" w:hAnsiTheme="minorEastAsia" w:eastAsiaTheme="minorEastAsia"/>
          <w:sz w:val="24"/>
          <w:szCs w:val="24"/>
        </w:rPr>
        <w:t xml:space="preserve">3.3 </w:t>
      </w:r>
      <w:r>
        <w:rPr>
          <w:rFonts w:hint="eastAsia" w:cs="宋体" w:asciiTheme="minorEastAsia" w:hAnsiTheme="minorEastAsia" w:eastAsiaTheme="minorEastAsia"/>
          <w:sz w:val="24"/>
          <w:szCs w:val="24"/>
        </w:rPr>
        <w:t>款规定的投标有效期内，招标人以书面形式向中标人发出中标通知书，同时将中标结果通知未中标的投标人。</w:t>
      </w:r>
      <w:bookmarkStart w:id="60" w:name="_Toc152045569"/>
      <w:bookmarkStart w:id="61" w:name="_Toc152042345"/>
      <w:bookmarkStart w:id="62" w:name="_Toc144974537"/>
      <w:bookmarkStart w:id="63" w:name="_Toc179632587"/>
    </w:p>
    <w:bookmarkEnd w:id="60"/>
    <w:bookmarkEnd w:id="61"/>
    <w:bookmarkEnd w:id="62"/>
    <w:bookmarkEnd w:id="63"/>
    <w:p>
      <w:pPr>
        <w:autoSpaceDE w:val="0"/>
        <w:autoSpaceDN w:val="0"/>
        <w:spacing w:line="44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7.3 签订合同</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cs="宋体" w:asciiTheme="minorEastAsia" w:hAnsiTheme="minorEastAsia" w:eastAsiaTheme="minorEastAsia"/>
          <w:b/>
          <w:sz w:val="24"/>
          <w:szCs w:val="24"/>
        </w:rPr>
      </w:pPr>
      <w:bookmarkStart w:id="64" w:name="_Toc283559978"/>
      <w:r>
        <w:rPr>
          <w:rFonts w:cs="宋体" w:asciiTheme="minorEastAsia" w:hAnsiTheme="minorEastAsia" w:eastAsiaTheme="minorEastAsia"/>
          <w:b/>
          <w:sz w:val="24"/>
          <w:szCs w:val="24"/>
        </w:rPr>
        <w:t xml:space="preserve">8. </w:t>
      </w:r>
      <w:r>
        <w:rPr>
          <w:rFonts w:hint="eastAsia" w:cs="宋体" w:asciiTheme="minorEastAsia" w:hAnsiTheme="minorEastAsia" w:eastAsiaTheme="minorEastAsia"/>
          <w:b/>
          <w:sz w:val="24"/>
          <w:szCs w:val="24"/>
        </w:rPr>
        <w:t>重新招标和不再招标</w:t>
      </w:r>
      <w:bookmarkEnd w:id="64"/>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65" w:name="_Toc283559979"/>
      <w:r>
        <w:rPr>
          <w:rFonts w:cs="宋体" w:asciiTheme="minorEastAsia" w:hAnsiTheme="minorEastAsia" w:eastAsiaTheme="minorEastAsia"/>
          <w:b/>
          <w:sz w:val="24"/>
          <w:szCs w:val="24"/>
        </w:rPr>
        <w:t xml:space="preserve">8.1 </w:t>
      </w:r>
      <w:r>
        <w:rPr>
          <w:rFonts w:hint="eastAsia" w:cs="宋体" w:asciiTheme="minorEastAsia" w:hAnsiTheme="minorEastAsia" w:eastAsiaTheme="minorEastAsia"/>
          <w:b/>
          <w:sz w:val="24"/>
          <w:szCs w:val="24"/>
        </w:rPr>
        <w:t>重新招标</w:t>
      </w:r>
      <w:bookmarkEnd w:id="65"/>
    </w:p>
    <w:p>
      <w:pPr>
        <w:autoSpaceDE w:val="0"/>
        <w:autoSpaceDN w:val="0"/>
        <w:adjustRightInd w:val="0"/>
        <w:spacing w:line="440" w:lineRule="exact"/>
        <w:ind w:firstLine="420" w:firstLineChars="175"/>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有下列情形之一的，招标人将重新招标：</w:t>
      </w:r>
    </w:p>
    <w:p>
      <w:pPr>
        <w:autoSpaceDE w:val="0"/>
        <w:autoSpaceDN w:val="0"/>
        <w:adjustRightInd w:val="0"/>
        <w:spacing w:line="440" w:lineRule="exact"/>
        <w:ind w:firstLine="420" w:firstLineChars="175"/>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）投标截止时间止，投标人少于</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个的；</w:t>
      </w:r>
    </w:p>
    <w:p>
      <w:pPr>
        <w:autoSpaceDE w:val="0"/>
        <w:autoSpaceDN w:val="0"/>
        <w:adjustRightInd w:val="0"/>
        <w:spacing w:line="440" w:lineRule="exact"/>
        <w:ind w:firstLine="420" w:firstLineChars="175"/>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）经评标委员会评审后否决所有投标的。</w:t>
      </w:r>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66" w:name="_Toc283559980"/>
      <w:r>
        <w:rPr>
          <w:rFonts w:cs="宋体" w:asciiTheme="minorEastAsia" w:hAnsiTheme="minorEastAsia" w:eastAsiaTheme="minorEastAsia"/>
          <w:b/>
          <w:sz w:val="24"/>
          <w:szCs w:val="24"/>
        </w:rPr>
        <w:t xml:space="preserve">8.2 </w:t>
      </w:r>
      <w:r>
        <w:rPr>
          <w:rFonts w:hint="eastAsia" w:cs="宋体" w:asciiTheme="minorEastAsia" w:hAnsiTheme="minorEastAsia" w:eastAsiaTheme="minorEastAsia"/>
          <w:b/>
          <w:sz w:val="24"/>
          <w:szCs w:val="24"/>
        </w:rPr>
        <w:t>不再招标</w:t>
      </w:r>
      <w:bookmarkEnd w:id="66"/>
    </w:p>
    <w:p>
      <w:pPr>
        <w:autoSpaceDE w:val="0"/>
        <w:autoSpaceDN w:val="0"/>
        <w:adjustRightInd w:val="0"/>
        <w:spacing w:line="440" w:lineRule="exact"/>
        <w:ind w:firstLine="540" w:firstLineChars="225"/>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重新招标后投标人仍少于</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个，属于必须审批或核准的工程建设项目，经原审批或核准部门批准后不再进行招标。</w:t>
      </w:r>
    </w:p>
    <w:p>
      <w:pPr>
        <w:pStyle w:val="90"/>
        <w:spacing w:line="440" w:lineRule="exact"/>
        <w:jc w:val="both"/>
        <w:outlineLvl w:val="0"/>
        <w:rPr>
          <w:rFonts w:asciiTheme="minorEastAsia" w:hAnsiTheme="minorEastAsia" w:eastAsiaTheme="minorEastAsia"/>
          <w:b/>
          <w:color w:val="auto"/>
        </w:rPr>
      </w:pPr>
      <w:bookmarkStart w:id="67" w:name="_Toc283559981"/>
      <w:r>
        <w:rPr>
          <w:rFonts w:asciiTheme="minorEastAsia" w:hAnsiTheme="minorEastAsia" w:eastAsiaTheme="minorEastAsia"/>
          <w:b/>
          <w:color w:val="auto"/>
        </w:rPr>
        <w:t xml:space="preserve">9. </w:t>
      </w:r>
      <w:r>
        <w:rPr>
          <w:rFonts w:hint="eastAsia" w:asciiTheme="minorEastAsia" w:hAnsiTheme="minorEastAsia" w:eastAsiaTheme="minorEastAsia"/>
          <w:b/>
          <w:color w:val="auto"/>
        </w:rPr>
        <w:t>纪律和监督</w:t>
      </w:r>
      <w:bookmarkEnd w:id="67"/>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68" w:name="_Toc283559982"/>
      <w:r>
        <w:rPr>
          <w:rFonts w:cs="宋体" w:asciiTheme="minorEastAsia" w:hAnsiTheme="minorEastAsia" w:eastAsiaTheme="minorEastAsia"/>
          <w:b/>
          <w:sz w:val="24"/>
          <w:szCs w:val="24"/>
        </w:rPr>
        <w:t xml:space="preserve">9.1 </w:t>
      </w:r>
      <w:r>
        <w:rPr>
          <w:rFonts w:hint="eastAsia" w:cs="宋体" w:asciiTheme="minorEastAsia" w:hAnsiTheme="minorEastAsia" w:eastAsiaTheme="minorEastAsia"/>
          <w:b/>
          <w:sz w:val="24"/>
          <w:szCs w:val="24"/>
        </w:rPr>
        <w:t>对招标人的纪律要求</w:t>
      </w:r>
      <w:bookmarkEnd w:id="68"/>
    </w:p>
    <w:p>
      <w:pPr>
        <w:autoSpaceDE w:val="0"/>
        <w:autoSpaceDN w:val="0"/>
        <w:adjustRightInd w:val="0"/>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69" w:name="_Toc283559983"/>
      <w:r>
        <w:rPr>
          <w:rFonts w:cs="宋体" w:asciiTheme="minorEastAsia" w:hAnsiTheme="minorEastAsia" w:eastAsiaTheme="minorEastAsia"/>
          <w:b/>
          <w:sz w:val="24"/>
          <w:szCs w:val="24"/>
        </w:rPr>
        <w:t xml:space="preserve">9.2 </w:t>
      </w:r>
      <w:r>
        <w:rPr>
          <w:rFonts w:hint="eastAsia" w:cs="宋体" w:asciiTheme="minorEastAsia" w:hAnsiTheme="minorEastAsia" w:eastAsiaTheme="minorEastAsia"/>
          <w:b/>
          <w:sz w:val="24"/>
          <w:szCs w:val="24"/>
        </w:rPr>
        <w:t>对投标人的纪律要求</w:t>
      </w:r>
      <w:bookmarkEnd w:id="69"/>
    </w:p>
    <w:p>
      <w:pPr>
        <w:autoSpaceDE w:val="0"/>
        <w:autoSpaceDN w:val="0"/>
        <w:adjustRightInd w:val="0"/>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70" w:name="_Toc283559984"/>
      <w:r>
        <w:rPr>
          <w:rFonts w:cs="宋体" w:asciiTheme="minorEastAsia" w:hAnsiTheme="minorEastAsia" w:eastAsiaTheme="minorEastAsia"/>
          <w:b/>
          <w:sz w:val="24"/>
          <w:szCs w:val="24"/>
        </w:rPr>
        <w:t xml:space="preserve">9.3 </w:t>
      </w:r>
      <w:r>
        <w:rPr>
          <w:rFonts w:hint="eastAsia" w:cs="宋体" w:asciiTheme="minorEastAsia" w:hAnsiTheme="minorEastAsia" w:eastAsiaTheme="minorEastAsia"/>
          <w:b/>
          <w:sz w:val="24"/>
          <w:szCs w:val="24"/>
        </w:rPr>
        <w:t>对评标委员会成员的纪律要求</w:t>
      </w:r>
      <w:bookmarkEnd w:id="70"/>
    </w:p>
    <w:p>
      <w:pPr>
        <w:autoSpaceDE w:val="0"/>
        <w:autoSpaceDN w:val="0"/>
        <w:adjustRightInd w:val="0"/>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71" w:name="_Toc283559985"/>
      <w:r>
        <w:rPr>
          <w:rFonts w:cs="宋体" w:asciiTheme="minorEastAsia" w:hAnsiTheme="minorEastAsia" w:eastAsiaTheme="minorEastAsia"/>
          <w:b/>
          <w:sz w:val="24"/>
          <w:szCs w:val="24"/>
        </w:rPr>
        <w:t xml:space="preserve">9.4 </w:t>
      </w:r>
      <w:r>
        <w:rPr>
          <w:rFonts w:hint="eastAsia" w:cs="宋体" w:asciiTheme="minorEastAsia" w:hAnsiTheme="minorEastAsia" w:eastAsiaTheme="minorEastAsia"/>
          <w:b/>
          <w:sz w:val="24"/>
          <w:szCs w:val="24"/>
        </w:rPr>
        <w:t>对与评标活动有关的工作人员的纪律要求</w:t>
      </w:r>
      <w:bookmarkEnd w:id="71"/>
    </w:p>
    <w:p>
      <w:pPr>
        <w:autoSpaceDE w:val="0"/>
        <w:autoSpaceDN w:val="0"/>
        <w:adjustRightInd w:val="0"/>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72" w:name="_Toc283559986"/>
      <w:r>
        <w:rPr>
          <w:rFonts w:cs="宋体" w:asciiTheme="minorEastAsia" w:hAnsiTheme="minorEastAsia" w:eastAsiaTheme="minorEastAsia"/>
          <w:b/>
          <w:sz w:val="24"/>
          <w:szCs w:val="24"/>
        </w:rPr>
        <w:t xml:space="preserve">9.5 </w:t>
      </w:r>
      <w:r>
        <w:rPr>
          <w:rFonts w:hint="eastAsia" w:cs="宋体" w:asciiTheme="minorEastAsia" w:hAnsiTheme="minorEastAsia" w:eastAsiaTheme="minorEastAsia"/>
          <w:b/>
          <w:sz w:val="24"/>
          <w:szCs w:val="24"/>
        </w:rPr>
        <w:t>投诉</w:t>
      </w:r>
      <w:bookmarkEnd w:id="72"/>
    </w:p>
    <w:p>
      <w:pPr>
        <w:autoSpaceDE w:val="0"/>
        <w:autoSpaceDN w:val="0"/>
        <w:adjustRightInd w:val="0"/>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投标人和其他利害关系人认为本次招标活动违反法律、法规和规章规定的，有权向有关行政监督部门投诉。</w:t>
      </w:r>
    </w:p>
    <w:p>
      <w:pPr>
        <w:pStyle w:val="90"/>
        <w:spacing w:line="440" w:lineRule="exact"/>
        <w:jc w:val="both"/>
        <w:outlineLvl w:val="0"/>
        <w:rPr>
          <w:rFonts w:asciiTheme="minorEastAsia" w:hAnsiTheme="minorEastAsia" w:eastAsiaTheme="minorEastAsia"/>
          <w:b/>
          <w:color w:val="auto"/>
        </w:rPr>
      </w:pPr>
      <w:bookmarkStart w:id="73" w:name="_Toc283559987"/>
      <w:r>
        <w:rPr>
          <w:rFonts w:asciiTheme="minorEastAsia" w:hAnsiTheme="minorEastAsia" w:eastAsiaTheme="minorEastAsia"/>
          <w:b/>
          <w:color w:val="auto"/>
        </w:rPr>
        <w:t xml:space="preserve">10. </w:t>
      </w:r>
      <w:r>
        <w:rPr>
          <w:rFonts w:hint="eastAsia" w:asciiTheme="minorEastAsia" w:hAnsiTheme="minorEastAsia" w:eastAsiaTheme="minorEastAsia"/>
          <w:b/>
          <w:color w:val="auto"/>
        </w:rPr>
        <w:t>需要补充的其他内容</w:t>
      </w:r>
      <w:bookmarkEnd w:id="73"/>
    </w:p>
    <w:p>
      <w:pPr>
        <w:autoSpaceDE w:val="0"/>
        <w:autoSpaceDN w:val="0"/>
        <w:adjustRightInd w:val="0"/>
        <w:spacing w:line="440" w:lineRule="exact"/>
        <w:ind w:firstLine="480" w:firstLineChars="200"/>
        <w:jc w:val="left"/>
        <w:rPr>
          <w:rFonts w:asciiTheme="minorEastAsia" w:hAnsiTheme="minorEastAsia" w:eastAsiaTheme="minorEastAsia"/>
          <w:b/>
          <w:sz w:val="24"/>
          <w:szCs w:val="24"/>
        </w:rPr>
      </w:pPr>
      <w:r>
        <w:rPr>
          <w:rFonts w:hint="eastAsia" w:cs="宋体" w:asciiTheme="minorEastAsia" w:hAnsiTheme="minorEastAsia" w:eastAsiaTheme="minorEastAsia"/>
          <w:sz w:val="24"/>
          <w:szCs w:val="24"/>
        </w:rPr>
        <w:t>需要补充的其他内容：见投标人须知前附表。</w:t>
      </w:r>
    </w:p>
    <w:p>
      <w:pPr>
        <w:autoSpaceDE w:val="0"/>
        <w:autoSpaceDN w:val="0"/>
        <w:adjustRightInd w:val="0"/>
        <w:snapToGrid w:val="0"/>
        <w:spacing w:line="360" w:lineRule="auto"/>
        <w:ind w:firstLine="480" w:firstLineChars="200"/>
        <w:jc w:val="left"/>
        <w:rPr>
          <w:rFonts w:ascii="宋体" w:hAnsi="宋体" w:cs="宋体"/>
          <w:sz w:val="24"/>
        </w:rPr>
      </w:pPr>
    </w:p>
    <w:p>
      <w:pPr>
        <w:autoSpaceDE w:val="0"/>
        <w:autoSpaceDN w:val="0"/>
        <w:adjustRightInd w:val="0"/>
        <w:snapToGrid w:val="0"/>
        <w:spacing w:line="360" w:lineRule="auto"/>
        <w:ind w:firstLine="480" w:firstLineChars="200"/>
        <w:jc w:val="left"/>
        <w:rPr>
          <w:rFonts w:ascii="宋体" w:hAnsi="宋体" w:cs="宋体"/>
          <w:sz w:val="24"/>
        </w:rPr>
      </w:pPr>
    </w:p>
    <w:p>
      <w:pPr>
        <w:autoSpaceDE w:val="0"/>
        <w:autoSpaceDN w:val="0"/>
        <w:adjustRightInd w:val="0"/>
        <w:snapToGrid w:val="0"/>
        <w:spacing w:line="312" w:lineRule="auto"/>
        <w:ind w:firstLine="480" w:firstLineChars="200"/>
        <w:jc w:val="left"/>
        <w:rPr>
          <w:rFonts w:ascii="宋体" w:hAnsi="宋体" w:cs="宋体"/>
          <w:sz w:val="24"/>
        </w:rPr>
      </w:pPr>
    </w:p>
    <w:p>
      <w:pPr>
        <w:autoSpaceDE w:val="0"/>
        <w:autoSpaceDN w:val="0"/>
        <w:adjustRightInd w:val="0"/>
        <w:snapToGrid w:val="0"/>
        <w:spacing w:line="312" w:lineRule="auto"/>
        <w:ind w:firstLine="480" w:firstLineChars="200"/>
        <w:jc w:val="left"/>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4"/>
        <w:rPr>
          <w:rFonts w:ascii="宋体" w:hAnsi="宋体" w:cs="宋体"/>
          <w:sz w:val="24"/>
        </w:rPr>
      </w:pPr>
    </w:p>
    <w:p>
      <w:pPr>
        <w:rPr>
          <w:rFonts w:ascii="宋体" w:hAnsi="宋体" w:cs="宋体"/>
          <w:sz w:val="24"/>
        </w:rPr>
      </w:pPr>
    </w:p>
    <w:p>
      <w:pPr>
        <w:pStyle w:val="2"/>
        <w:rPr>
          <w:rFonts w:ascii="宋体" w:hAnsi="宋体" w:cs="宋体"/>
          <w:sz w:val="24"/>
        </w:rPr>
      </w:pPr>
    </w:p>
    <w:p>
      <w:pPr>
        <w:pStyle w:val="4"/>
        <w:rPr>
          <w:rFonts w:ascii="宋体" w:hAnsi="宋体" w:cs="宋体"/>
          <w:sz w:val="24"/>
        </w:rPr>
      </w:pPr>
    </w:p>
    <w:p>
      <w:pPr>
        <w:rPr>
          <w:rFonts w:ascii="宋体" w:hAnsi="宋体" w:cs="宋体"/>
          <w:sz w:val="24"/>
        </w:rPr>
      </w:pPr>
    </w:p>
    <w:p>
      <w:pPr>
        <w:pStyle w:val="2"/>
        <w:rPr>
          <w:rFonts w:ascii="宋体" w:hAnsi="宋体" w:cs="宋体"/>
          <w:sz w:val="24"/>
        </w:rPr>
      </w:pPr>
    </w:p>
    <w:p>
      <w:pPr>
        <w:pStyle w:val="4"/>
        <w:rPr>
          <w:rFonts w:ascii="宋体" w:hAnsi="宋体" w:cs="宋体"/>
          <w:sz w:val="24"/>
        </w:rPr>
      </w:pPr>
    </w:p>
    <w:p>
      <w:pPr>
        <w:rPr>
          <w:rFonts w:ascii="宋体" w:hAnsi="宋体" w:cs="宋体"/>
          <w:sz w:val="24"/>
        </w:rPr>
      </w:pPr>
    </w:p>
    <w:p>
      <w:pPr>
        <w:pStyle w:val="2"/>
        <w:rPr>
          <w:rFonts w:ascii="宋体" w:hAnsi="宋体" w:cs="宋体"/>
          <w:sz w:val="24"/>
        </w:rPr>
      </w:pPr>
    </w:p>
    <w:p>
      <w:pPr>
        <w:pStyle w:val="4"/>
        <w:rPr>
          <w:rFonts w:ascii="宋体" w:hAnsi="宋体" w:cs="宋体"/>
          <w:sz w:val="24"/>
        </w:rPr>
      </w:pPr>
    </w:p>
    <w:p>
      <w:pPr>
        <w:rPr>
          <w:rFonts w:ascii="宋体" w:hAnsi="宋体" w:cs="宋体"/>
          <w:sz w:val="24"/>
        </w:rPr>
      </w:pPr>
    </w:p>
    <w:p>
      <w:pPr>
        <w:pStyle w:val="2"/>
        <w:rPr>
          <w:rFonts w:ascii="宋体" w:hAnsi="宋体" w:cs="宋体"/>
          <w:sz w:val="24"/>
        </w:rPr>
      </w:pPr>
    </w:p>
    <w:p>
      <w:pPr>
        <w:pStyle w:val="4"/>
        <w:rPr>
          <w:rFonts w:ascii="宋体" w:hAnsi="宋体" w:cs="宋体"/>
          <w:sz w:val="24"/>
        </w:rPr>
      </w:pPr>
    </w:p>
    <w:p>
      <w:pPr>
        <w:rPr>
          <w:rFonts w:ascii="宋体" w:hAnsi="宋体" w:cs="宋体"/>
          <w:sz w:val="24"/>
        </w:rPr>
      </w:pPr>
    </w:p>
    <w:p>
      <w:pPr>
        <w:pStyle w:val="2"/>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7"/>
        <w:rPr>
          <w:rFonts w:hint="eastAsia" w:ascii="宋体" w:hAnsi="宋体" w:cs="宋体"/>
          <w:b w:val="0"/>
          <w:sz w:val="24"/>
        </w:rPr>
      </w:pPr>
      <w:bookmarkStart w:id="74" w:name="_Toc22712"/>
      <w:bookmarkStart w:id="75" w:name="_Toc26838"/>
      <w:bookmarkStart w:id="76" w:name="_Toc20265"/>
      <w:bookmarkStart w:id="77" w:name="_Toc5248"/>
      <w:bookmarkStart w:id="78" w:name="_Toc517940876"/>
    </w:p>
    <w:p>
      <w:pPr>
        <w:pStyle w:val="7"/>
        <w:rPr>
          <w:rFonts w:hint="eastAsia" w:ascii="宋体" w:hAnsi="宋体" w:cs="宋体"/>
          <w:b w:val="0"/>
          <w:sz w:val="24"/>
        </w:rPr>
      </w:pPr>
    </w:p>
    <w:p>
      <w:pPr>
        <w:pStyle w:val="7"/>
        <w:rPr>
          <w:rFonts w:ascii="宋体" w:hAnsi="宋体" w:cs="宋体"/>
          <w:b w:val="0"/>
          <w:sz w:val="24"/>
        </w:rPr>
      </w:pPr>
      <w:r>
        <w:rPr>
          <w:rFonts w:hint="eastAsia" w:ascii="宋体" w:hAnsi="宋体" w:cs="宋体"/>
          <w:b w:val="0"/>
          <w:sz w:val="24"/>
        </w:rPr>
        <w:t>附表一：</w:t>
      </w:r>
      <w:bookmarkEnd w:id="74"/>
      <w:bookmarkEnd w:id="75"/>
      <w:bookmarkEnd w:id="76"/>
      <w:bookmarkEnd w:id="77"/>
      <w:bookmarkStart w:id="79" w:name="_Toc32640"/>
      <w:r>
        <w:rPr>
          <w:rFonts w:hint="eastAsia" w:ascii="宋体" w:hAnsi="宋体" w:cs="宋体"/>
          <w:b w:val="0"/>
          <w:sz w:val="24"/>
        </w:rPr>
        <w:t>问题澄清通知</w:t>
      </w:r>
      <w:bookmarkEnd w:id="78"/>
      <w:bookmarkEnd w:id="79"/>
    </w:p>
    <w:p>
      <w:pPr>
        <w:spacing w:beforeLines="100" w:afterLines="100" w:line="312" w:lineRule="auto"/>
        <w:jc w:val="center"/>
        <w:rPr>
          <w:rFonts w:ascii="宋体" w:hAnsi="宋体" w:cs="宋体"/>
          <w:sz w:val="24"/>
        </w:rPr>
      </w:pPr>
      <w:r>
        <w:rPr>
          <w:rFonts w:hint="eastAsia" w:ascii="宋体" w:hAnsi="宋体" w:cs="宋体"/>
          <w:sz w:val="24"/>
        </w:rPr>
        <w:t>问题澄清通知</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ind w:firstLine="480" w:firstLineChars="200"/>
        <w:rPr>
          <w:rFonts w:ascii="宋体" w:hAnsi="宋体" w:cs="宋体"/>
          <w:sz w:val="24"/>
        </w:rPr>
      </w:pPr>
      <w:r>
        <w:rPr>
          <w:rFonts w:hint="eastAsia" w:ascii="宋体" w:hAnsi="宋体" w:cs="宋体"/>
          <w:sz w:val="24"/>
        </w:rPr>
        <w:t>（投标人名称）：</w:t>
      </w:r>
    </w:p>
    <w:p>
      <w:pPr>
        <w:spacing w:line="312" w:lineRule="auto"/>
        <w:ind w:firstLine="480" w:firstLineChars="200"/>
        <w:rPr>
          <w:rFonts w:ascii="宋体" w:hAnsi="宋体" w:cs="宋体"/>
          <w:sz w:val="24"/>
        </w:rPr>
      </w:pPr>
      <w:r>
        <w:rPr>
          <w:rFonts w:hint="eastAsia" w:ascii="宋体" w:hAnsi="宋体" w:cs="宋体"/>
          <w:sz w:val="24"/>
        </w:rPr>
        <w:t>（项目名称）工程招标的评标委员会，对你方的投标文件进行了仔细的审查，现需你方对本通知所附质疑问卷中的问题以书面形式予以澄清、说明或者补正。</w:t>
      </w:r>
    </w:p>
    <w:p>
      <w:pPr>
        <w:spacing w:line="312" w:lineRule="auto"/>
        <w:ind w:firstLine="480" w:firstLineChars="200"/>
        <w:rPr>
          <w:rFonts w:ascii="宋体" w:hAnsi="宋体" w:cs="宋体"/>
          <w:sz w:val="24"/>
        </w:rPr>
      </w:pPr>
      <w:r>
        <w:rPr>
          <w:rFonts w:hint="eastAsia" w:ascii="宋体" w:hAnsi="宋体" w:cs="宋体"/>
          <w:sz w:val="24"/>
        </w:rPr>
        <w:t>请将上述问题的澄清、说明或者补正于年月日时前密封递交至（详细地址）或传真至（传真号码）。采用传真方式的，应在年月日时前将原件递交至 （详细地址）。</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附件：质疑问卷</w:t>
      </w:r>
    </w:p>
    <w:p>
      <w:pPr>
        <w:spacing w:line="312" w:lineRule="auto"/>
        <w:ind w:left="3360" w:leftChars="1600" w:firstLine="360" w:firstLineChars="150"/>
        <w:rPr>
          <w:rFonts w:ascii="宋体" w:hAnsi="宋体" w:cs="宋体"/>
          <w:sz w:val="24"/>
        </w:rPr>
      </w:pPr>
      <w:bookmarkStart w:id="80" w:name="_Toc425"/>
      <w:bookmarkStart w:id="81" w:name="_Toc30339"/>
      <w:bookmarkStart w:id="82" w:name="_Toc13289"/>
      <w:bookmarkStart w:id="83" w:name="_Toc22729"/>
      <w:bookmarkStart w:id="84" w:name="_Toc18603"/>
      <w:r>
        <w:rPr>
          <w:rFonts w:hint="eastAsia" w:ascii="宋体" w:hAnsi="宋体" w:cs="宋体"/>
          <w:sz w:val="24"/>
        </w:rPr>
        <w:t>（项目名称）施工招标评标委员</w:t>
      </w:r>
    </w:p>
    <w:p>
      <w:pPr>
        <w:spacing w:line="312" w:lineRule="auto"/>
        <w:jc w:val="right"/>
        <w:rPr>
          <w:rFonts w:ascii="宋体" w:hAnsi="宋体" w:cs="宋体"/>
          <w:sz w:val="24"/>
        </w:rPr>
      </w:pPr>
      <w:r>
        <w:rPr>
          <w:rFonts w:hint="eastAsia" w:ascii="宋体" w:hAnsi="宋体" w:cs="宋体"/>
          <w:sz w:val="24"/>
        </w:rPr>
        <w:t>（经评标委员会授权的招标人代表签字或招标人加盖单位章）</w:t>
      </w:r>
      <w:bookmarkEnd w:id="80"/>
      <w:bookmarkEnd w:id="81"/>
      <w:bookmarkEnd w:id="82"/>
      <w:bookmarkEnd w:id="83"/>
      <w:bookmarkEnd w:id="84"/>
    </w:p>
    <w:p>
      <w:pPr>
        <w:spacing w:line="312" w:lineRule="auto"/>
        <w:ind w:firstLine="5280" w:firstLineChars="2200"/>
        <w:rPr>
          <w:rFonts w:ascii="宋体" w:hAnsi="宋体" w:cs="宋体"/>
          <w:sz w:val="24"/>
        </w:rPr>
      </w:pPr>
      <w:r>
        <w:rPr>
          <w:rFonts w:hint="eastAsia" w:ascii="宋体" w:hAnsi="宋体" w:cs="宋体"/>
          <w:sz w:val="24"/>
        </w:rPr>
        <w:t>年月日</w:t>
      </w: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pStyle w:val="7"/>
        <w:rPr>
          <w:rFonts w:ascii="宋体" w:hAnsi="宋体" w:cs="宋体"/>
          <w:sz w:val="24"/>
        </w:rPr>
      </w:pPr>
      <w:r>
        <w:rPr>
          <w:rFonts w:hint="eastAsia" w:ascii="宋体" w:hAnsi="宋体" w:cs="宋体"/>
          <w:sz w:val="24"/>
        </w:rPr>
        <w:br w:type="page"/>
      </w:r>
      <w:bookmarkStart w:id="85" w:name="_Toc517940877"/>
      <w:bookmarkStart w:id="86" w:name="_Toc25361"/>
      <w:r>
        <w:rPr>
          <w:rFonts w:hint="eastAsia" w:ascii="宋体" w:hAnsi="宋体" w:cs="宋体"/>
          <w:b w:val="0"/>
          <w:sz w:val="24"/>
        </w:rPr>
        <w:t>附表二：问题的澄清</w:t>
      </w:r>
      <w:bookmarkEnd w:id="85"/>
      <w:bookmarkEnd w:id="86"/>
    </w:p>
    <w:p>
      <w:pPr>
        <w:spacing w:beforeLines="100" w:afterLines="100" w:line="312" w:lineRule="auto"/>
        <w:jc w:val="center"/>
        <w:rPr>
          <w:rFonts w:ascii="宋体" w:hAnsi="宋体" w:cs="宋体"/>
          <w:sz w:val="24"/>
        </w:rPr>
      </w:pPr>
      <w:r>
        <w:rPr>
          <w:rFonts w:hint="eastAsia" w:ascii="宋体" w:hAnsi="宋体" w:cs="宋体"/>
          <w:sz w:val="24"/>
        </w:rPr>
        <w:t>问题的澄清、说明或补正</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rPr>
          <w:rFonts w:ascii="宋体" w:hAnsi="宋体" w:cs="宋体"/>
          <w:sz w:val="24"/>
        </w:rPr>
      </w:pPr>
      <w:r>
        <w:rPr>
          <w:rFonts w:hint="eastAsia" w:ascii="宋体" w:hAnsi="宋体" w:cs="宋体"/>
          <w:sz w:val="24"/>
        </w:rPr>
        <w:t>（项目名称）施工招标评标委员会：</w:t>
      </w:r>
    </w:p>
    <w:p>
      <w:pPr>
        <w:spacing w:line="312" w:lineRule="auto"/>
        <w:ind w:firstLine="480" w:firstLineChars="200"/>
        <w:rPr>
          <w:rFonts w:ascii="宋体" w:hAnsi="宋体" w:cs="宋体"/>
          <w:sz w:val="24"/>
        </w:rPr>
      </w:pPr>
      <w:r>
        <w:rPr>
          <w:rFonts w:hint="eastAsia" w:ascii="宋体" w:hAnsi="宋体" w:cs="宋体"/>
          <w:sz w:val="24"/>
        </w:rPr>
        <w:t>问题澄清通知（编号：）已收悉，现澄清、说明或者补正如下：</w:t>
      </w:r>
    </w:p>
    <w:p>
      <w:pPr>
        <w:spacing w:line="312" w:lineRule="auto"/>
        <w:ind w:firstLine="480" w:firstLineChars="200"/>
        <w:rPr>
          <w:rFonts w:ascii="宋体" w:hAnsi="宋体" w:cs="宋体"/>
          <w:sz w:val="24"/>
        </w:rPr>
      </w:pPr>
      <w:r>
        <w:rPr>
          <w:rFonts w:hint="eastAsia" w:ascii="宋体" w:hAnsi="宋体" w:cs="宋体"/>
          <w:sz w:val="24"/>
        </w:rPr>
        <w:t>1.</w:t>
      </w:r>
    </w:p>
    <w:p>
      <w:pPr>
        <w:spacing w:line="312" w:lineRule="auto"/>
        <w:ind w:firstLine="480" w:firstLineChars="200"/>
        <w:rPr>
          <w:rFonts w:ascii="宋体" w:hAnsi="宋体" w:cs="宋体"/>
          <w:sz w:val="24"/>
        </w:rPr>
      </w:pPr>
      <w:r>
        <w:rPr>
          <w:rFonts w:hint="eastAsia" w:ascii="宋体" w:hAnsi="宋体" w:cs="宋体"/>
          <w:sz w:val="24"/>
        </w:rPr>
        <w:t>2.</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r>
        <w:rPr>
          <w:rFonts w:hint="eastAsia" w:ascii="宋体" w:hAnsi="宋体" w:cs="宋体"/>
          <w:sz w:val="24"/>
        </w:rPr>
        <w:t>……</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wordWrap w:val="0"/>
        <w:spacing w:line="312" w:lineRule="auto"/>
        <w:ind w:firstLine="480" w:firstLineChars="200"/>
        <w:jc w:val="right"/>
        <w:rPr>
          <w:rFonts w:ascii="宋体" w:hAnsi="宋体" w:cs="宋体"/>
          <w:sz w:val="24"/>
        </w:rPr>
      </w:pPr>
      <w:r>
        <w:rPr>
          <w:rFonts w:hint="eastAsia" w:ascii="宋体" w:hAnsi="宋体" w:cs="宋体"/>
          <w:sz w:val="24"/>
        </w:rPr>
        <w:t xml:space="preserve"> 投标人：（盖单位章） </w:t>
      </w:r>
    </w:p>
    <w:p>
      <w:pPr>
        <w:wordWrap w:val="0"/>
        <w:spacing w:beforeLines="50" w:afterLines="50" w:line="312" w:lineRule="auto"/>
        <w:jc w:val="right"/>
        <w:rPr>
          <w:rFonts w:ascii="宋体" w:hAnsi="宋体" w:cs="宋体"/>
          <w:sz w:val="24"/>
        </w:rPr>
      </w:pPr>
      <w:r>
        <w:rPr>
          <w:rFonts w:hint="eastAsia" w:ascii="宋体" w:hAnsi="宋体" w:cs="宋体"/>
          <w:sz w:val="24"/>
        </w:rPr>
        <w:t xml:space="preserve">法定代表人或其委托代理人：（签字或盖章） </w:t>
      </w:r>
    </w:p>
    <w:p>
      <w:pPr>
        <w:spacing w:line="312" w:lineRule="auto"/>
        <w:ind w:firstLine="5760" w:firstLineChars="2400"/>
        <w:rPr>
          <w:rFonts w:ascii="宋体" w:hAnsi="宋体" w:cs="宋体"/>
          <w:sz w:val="24"/>
          <w:u w:val="single"/>
        </w:rPr>
      </w:pPr>
    </w:p>
    <w:p>
      <w:pPr>
        <w:spacing w:line="312" w:lineRule="auto"/>
        <w:ind w:firstLine="5760" w:firstLineChars="2400"/>
        <w:rPr>
          <w:rFonts w:ascii="宋体" w:hAnsi="宋体" w:cs="宋体"/>
          <w:sz w:val="24"/>
        </w:rPr>
      </w:pPr>
      <w:r>
        <w:rPr>
          <w:rFonts w:hint="eastAsia" w:ascii="宋体" w:hAnsi="宋体" w:cs="宋体"/>
          <w:sz w:val="24"/>
        </w:rPr>
        <w:t>年月日</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autoSpaceDE w:val="0"/>
        <w:autoSpaceDN w:val="0"/>
        <w:adjustRightInd w:val="0"/>
        <w:spacing w:line="312" w:lineRule="auto"/>
        <w:jc w:val="left"/>
        <w:outlineLvl w:val="2"/>
        <w:rPr>
          <w:rFonts w:ascii="宋体" w:hAnsi="宋体" w:cs="宋体"/>
          <w:b/>
          <w:sz w:val="24"/>
        </w:rPr>
      </w:pPr>
    </w:p>
    <w:p>
      <w:pPr>
        <w:autoSpaceDE w:val="0"/>
        <w:autoSpaceDN w:val="0"/>
        <w:adjustRightInd w:val="0"/>
        <w:spacing w:line="312" w:lineRule="auto"/>
        <w:jc w:val="left"/>
        <w:outlineLvl w:val="2"/>
        <w:rPr>
          <w:rFonts w:ascii="宋体" w:hAnsi="宋体" w:cs="宋体"/>
          <w:b/>
          <w:sz w:val="24"/>
        </w:rPr>
      </w:pPr>
    </w:p>
    <w:p>
      <w:pPr>
        <w:autoSpaceDE w:val="0"/>
        <w:autoSpaceDN w:val="0"/>
        <w:adjustRightInd w:val="0"/>
        <w:spacing w:line="312" w:lineRule="auto"/>
        <w:jc w:val="left"/>
        <w:outlineLvl w:val="2"/>
        <w:rPr>
          <w:rFonts w:ascii="宋体" w:hAnsi="宋体" w:cs="宋体"/>
          <w:b/>
          <w:sz w:val="24"/>
        </w:rPr>
      </w:pPr>
    </w:p>
    <w:p>
      <w:pPr>
        <w:autoSpaceDE w:val="0"/>
        <w:autoSpaceDN w:val="0"/>
        <w:adjustRightInd w:val="0"/>
        <w:spacing w:line="312" w:lineRule="auto"/>
        <w:jc w:val="left"/>
        <w:outlineLvl w:val="2"/>
        <w:rPr>
          <w:rFonts w:ascii="宋体" w:hAnsi="宋体" w:cs="宋体"/>
          <w:b/>
          <w:sz w:val="24"/>
        </w:rPr>
      </w:pPr>
    </w:p>
    <w:p>
      <w:pPr>
        <w:autoSpaceDE w:val="0"/>
        <w:autoSpaceDN w:val="0"/>
        <w:adjustRightInd w:val="0"/>
        <w:spacing w:line="312" w:lineRule="auto"/>
        <w:jc w:val="left"/>
        <w:outlineLvl w:val="2"/>
        <w:rPr>
          <w:rFonts w:ascii="宋体" w:hAnsi="宋体" w:cs="宋体"/>
          <w:b/>
          <w:sz w:val="24"/>
        </w:rPr>
      </w:pPr>
    </w:p>
    <w:p>
      <w:pPr>
        <w:autoSpaceDE w:val="0"/>
        <w:autoSpaceDN w:val="0"/>
        <w:adjustRightInd w:val="0"/>
        <w:spacing w:line="312" w:lineRule="auto"/>
        <w:jc w:val="left"/>
        <w:outlineLvl w:val="2"/>
        <w:rPr>
          <w:rFonts w:ascii="宋体" w:hAnsi="宋体" w:cs="宋体"/>
          <w:b/>
          <w:sz w:val="24"/>
        </w:rPr>
      </w:pPr>
    </w:p>
    <w:p>
      <w:pPr>
        <w:rPr>
          <w:rFonts w:ascii="华文中宋" w:hAnsi="华文中宋" w:eastAsia="华文中宋"/>
          <w:b/>
          <w:bCs/>
          <w:sz w:val="32"/>
          <w:szCs w:val="32"/>
        </w:rPr>
      </w:pPr>
      <w:bookmarkStart w:id="87" w:name="_Toc16968"/>
      <w:bookmarkStart w:id="88" w:name="_Toc29777"/>
      <w:bookmarkStart w:id="89" w:name="_Toc517940878"/>
      <w:bookmarkStart w:id="90" w:name="_Toc26924"/>
      <w:bookmarkStart w:id="91" w:name="_Toc14547"/>
      <w:r>
        <w:rPr>
          <w:rFonts w:hint="eastAsia" w:ascii="华文中宋" w:hAnsi="华文中宋" w:eastAsia="华文中宋"/>
          <w:b/>
          <w:bCs/>
          <w:sz w:val="32"/>
          <w:szCs w:val="32"/>
        </w:rPr>
        <w:br w:type="page"/>
      </w:r>
    </w:p>
    <w:p>
      <w:pPr>
        <w:spacing w:line="480" w:lineRule="exact"/>
        <w:jc w:val="left"/>
        <w:rPr>
          <w:rFonts w:ascii="华文中宋" w:hAnsi="华文中宋" w:eastAsia="华文中宋"/>
          <w:b/>
          <w:bCs/>
          <w:sz w:val="32"/>
          <w:szCs w:val="32"/>
        </w:rPr>
      </w:pPr>
      <w:r>
        <w:rPr>
          <w:rFonts w:hint="eastAsia" w:ascii="华文中宋" w:hAnsi="华文中宋" w:eastAsia="华文中宋"/>
          <w:b/>
          <w:bCs/>
          <w:sz w:val="32"/>
          <w:szCs w:val="32"/>
        </w:rPr>
        <w:t>附件</w:t>
      </w:r>
      <w:r>
        <w:rPr>
          <w:rFonts w:hint="eastAsia" w:ascii="华文中宋" w:hAnsi="华文中宋" w:eastAsia="华文中宋"/>
          <w:b/>
          <w:bCs/>
          <w:sz w:val="32"/>
          <w:szCs w:val="32"/>
          <w:lang w:eastAsia="zh-CN"/>
        </w:rPr>
        <w:t>一</w:t>
      </w:r>
      <w:r>
        <w:rPr>
          <w:rFonts w:hint="eastAsia" w:ascii="华文中宋" w:hAnsi="华文中宋" w:eastAsia="华文中宋"/>
          <w:b/>
          <w:bCs/>
          <w:sz w:val="32"/>
          <w:szCs w:val="32"/>
        </w:rPr>
        <w:t>：投标保证金</w:t>
      </w:r>
    </w:p>
    <w:p>
      <w:pPr>
        <w:jc w:val="center"/>
        <w:rPr>
          <w:rFonts w:ascii="新宋体" w:hAnsi="新宋体" w:eastAsia="新宋体"/>
          <w:b/>
          <w:sz w:val="36"/>
          <w:szCs w:val="36"/>
        </w:rPr>
      </w:pPr>
      <w:r>
        <w:rPr>
          <w:rFonts w:hint="eastAsia" w:ascii="新宋体" w:hAnsi="新宋体" w:eastAsia="新宋体"/>
          <w:b/>
          <w:sz w:val="36"/>
          <w:szCs w:val="36"/>
        </w:rPr>
        <w:t>投标保证金交纳须知</w:t>
      </w:r>
    </w:p>
    <w:tbl>
      <w:tblPr>
        <w:tblStyle w:val="35"/>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8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r>
              <w:rPr>
                <w:rFonts w:hint="eastAsia" w:cs="宋体" w:asciiTheme="minorEastAsia" w:hAnsiTheme="minorEastAsia" w:eastAsiaTheme="minorEastAsia"/>
                <w:kern w:val="2"/>
                <w:sz w:val="24"/>
                <w:szCs w:val="24"/>
              </w:rPr>
              <w:t>项目编号</w:t>
            </w:r>
          </w:p>
        </w:tc>
        <w:tc>
          <w:tcPr>
            <w:tcW w:w="821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bCs/>
                <w:sz w:val="24"/>
              </w:rPr>
            </w:pPr>
            <w:r>
              <w:rPr>
                <w:rFonts w:hint="eastAsia" w:cs="宋体" w:asciiTheme="minorEastAsia" w:hAnsiTheme="minorEastAsia" w:eastAsiaTheme="minorEastAsia"/>
                <w:kern w:val="2"/>
                <w:sz w:val="24"/>
                <w:szCs w:val="24"/>
              </w:rPr>
              <w:t>建安建工公字〔2019〕</w:t>
            </w:r>
            <w:r>
              <w:rPr>
                <w:rFonts w:hint="eastAsia" w:cs="宋体" w:asciiTheme="minorEastAsia" w:hAnsiTheme="minorEastAsia" w:eastAsiaTheme="minorEastAsia"/>
                <w:kern w:val="2"/>
                <w:sz w:val="24"/>
                <w:szCs w:val="24"/>
                <w:lang w:val="en-US" w:eastAsia="zh-CN"/>
              </w:rPr>
              <w:t>194</w:t>
            </w:r>
            <w:r>
              <w:rPr>
                <w:rFonts w:hint="eastAsia" w:cs="宋体" w:asciiTheme="minorEastAsia" w:hAnsiTheme="minorEastAsia" w:eastAsiaTheme="minorEastAsia"/>
                <w:kern w:val="2"/>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cs="宋体" w:asciiTheme="minorEastAsia" w:hAnsiTheme="minorEastAsia" w:eastAsiaTheme="minorEastAsia"/>
                <w:kern w:val="2"/>
                <w:sz w:val="24"/>
                <w:szCs w:val="24"/>
              </w:rPr>
              <w:t>项目名称</w:t>
            </w:r>
          </w:p>
        </w:tc>
        <w:tc>
          <w:tcPr>
            <w:tcW w:w="8210" w:type="dxa"/>
            <w:tcBorders>
              <w:top w:val="single" w:color="auto" w:sz="4" w:space="0"/>
              <w:left w:val="single" w:color="auto" w:sz="4" w:space="0"/>
              <w:bottom w:val="single" w:color="auto" w:sz="4" w:space="0"/>
              <w:right w:val="single" w:color="auto" w:sz="4" w:space="0"/>
            </w:tcBorders>
            <w:vAlign w:val="top"/>
          </w:tcPr>
          <w:p>
            <w:pPr>
              <w:adjustRightInd w:val="0"/>
              <w:spacing w:line="500" w:lineRule="exact"/>
              <w:jc w:val="center"/>
              <w:rPr>
                <w:rFonts w:hAnsi="宋体" w:cs="宋体"/>
                <w:sz w:val="24"/>
              </w:rPr>
            </w:pPr>
            <w:r>
              <w:rPr>
                <w:rFonts w:hint="eastAsia" w:cs="宋体" w:asciiTheme="minorEastAsia" w:hAnsiTheme="minorEastAsia" w:eastAsiaTheme="minorEastAsia"/>
                <w:kern w:val="2"/>
                <w:sz w:val="24"/>
                <w:szCs w:val="24"/>
              </w:rPr>
              <w:t>建安区2019年农田建设</w:t>
            </w:r>
            <w:r>
              <w:rPr>
                <w:rFonts w:hint="eastAsia" w:cs="宋体" w:asciiTheme="minorEastAsia" w:hAnsiTheme="minorEastAsia" w:eastAsiaTheme="minorEastAsia"/>
                <w:kern w:val="2"/>
                <w:sz w:val="24"/>
                <w:szCs w:val="24"/>
                <w:lang w:val="en-US" w:eastAsia="zh-CN"/>
              </w:rPr>
              <w:t>朱集村等4个村</w:t>
            </w:r>
            <w:r>
              <w:rPr>
                <w:rFonts w:hint="eastAsia" w:cs="宋体" w:asciiTheme="minorEastAsia" w:hAnsiTheme="minorEastAsia" w:eastAsiaTheme="minorEastAsia"/>
                <w:kern w:val="2"/>
                <w:sz w:val="24"/>
                <w:szCs w:val="24"/>
              </w:rPr>
              <w:t>机井配套工程项目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r>
              <w:rPr>
                <w:rFonts w:hint="eastAsia" w:cs="宋体" w:asciiTheme="minorEastAsia" w:hAnsiTheme="minorEastAsia" w:eastAsiaTheme="minorEastAsia"/>
                <w:kern w:val="2"/>
                <w:sz w:val="24"/>
                <w:szCs w:val="24"/>
              </w:rPr>
              <w:t>标段名称</w:t>
            </w:r>
          </w:p>
        </w:tc>
        <w:tc>
          <w:tcPr>
            <w:tcW w:w="8210" w:type="dxa"/>
            <w:tcBorders>
              <w:top w:val="single" w:color="auto" w:sz="4" w:space="0"/>
              <w:left w:val="single" w:color="auto" w:sz="4" w:space="0"/>
              <w:bottom w:val="single" w:color="auto" w:sz="4" w:space="0"/>
              <w:right w:val="single" w:color="auto" w:sz="4" w:space="0"/>
            </w:tcBorders>
            <w:vAlign w:val="top"/>
          </w:tcPr>
          <w:p>
            <w:pPr>
              <w:pStyle w:val="2"/>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一标段：建安区2019年农田建设</w:t>
            </w:r>
            <w:r>
              <w:rPr>
                <w:rFonts w:hint="eastAsia" w:cs="宋体" w:asciiTheme="minorEastAsia" w:hAnsiTheme="minorEastAsia" w:eastAsiaTheme="minorEastAsia"/>
                <w:sz w:val="24"/>
                <w:lang w:val="en-US" w:eastAsia="zh-CN"/>
              </w:rPr>
              <w:t>朱集村</w:t>
            </w:r>
            <w:r>
              <w:rPr>
                <w:rFonts w:hint="eastAsia" w:cs="宋体" w:asciiTheme="minorEastAsia" w:hAnsiTheme="minorEastAsia" w:eastAsiaTheme="minorEastAsia"/>
                <w:sz w:val="24"/>
              </w:rPr>
              <w:t>机井配套工程；</w:t>
            </w:r>
          </w:p>
          <w:p>
            <w:pPr>
              <w:pStyle w:val="2"/>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二标段：建安区2019年农田建设</w:t>
            </w:r>
            <w:r>
              <w:rPr>
                <w:rFonts w:hint="eastAsia" w:asciiTheme="minorEastAsia" w:hAnsiTheme="minorEastAsia" w:eastAsiaTheme="minorEastAsia"/>
                <w:sz w:val="24"/>
                <w:szCs w:val="24"/>
                <w:lang w:val="en-US" w:eastAsia="zh-CN"/>
              </w:rPr>
              <w:t>孟庄村、老官赵村</w:t>
            </w:r>
            <w:r>
              <w:rPr>
                <w:rFonts w:hint="eastAsia" w:cs="宋体" w:asciiTheme="minorEastAsia" w:hAnsiTheme="minorEastAsia" w:eastAsiaTheme="minorEastAsia"/>
                <w:sz w:val="24"/>
              </w:rPr>
              <w:t>机井配套工程；</w:t>
            </w:r>
          </w:p>
          <w:p>
            <w:pPr>
              <w:pStyle w:val="2"/>
              <w:ind w:firstLine="0" w:firstLineChars="0"/>
              <w:jc w:val="left"/>
              <w:rPr>
                <w:rFonts w:hint="default"/>
                <w:lang w:val="en-US" w:eastAsia="zh-CN"/>
              </w:rPr>
            </w:pPr>
            <w:r>
              <w:rPr>
                <w:rFonts w:hint="eastAsia" w:cs="宋体" w:asciiTheme="minorEastAsia" w:hAnsiTheme="minorEastAsia" w:eastAsiaTheme="minorEastAsia"/>
                <w:sz w:val="24"/>
              </w:rPr>
              <w:t>三标段：建安区2019年农田建设</w:t>
            </w:r>
            <w:r>
              <w:rPr>
                <w:rFonts w:hint="eastAsia" w:asciiTheme="minorEastAsia" w:hAnsiTheme="minorEastAsia" w:eastAsiaTheme="minorEastAsia"/>
                <w:sz w:val="24"/>
                <w:szCs w:val="24"/>
                <w:lang w:val="en-US" w:eastAsia="zh-CN"/>
              </w:rPr>
              <w:t>程庄村</w:t>
            </w:r>
            <w:r>
              <w:rPr>
                <w:rFonts w:hint="eastAsia" w:cs="宋体" w:asciiTheme="minorEastAsia" w:hAnsiTheme="minorEastAsia" w:eastAsiaTheme="minorEastAsia"/>
                <w:sz w:val="24"/>
              </w:rPr>
              <w:t>机井配套工程；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exact"/>
          <w:jc w:val="center"/>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投标保证金</w:t>
            </w:r>
          </w:p>
          <w:p>
            <w:pPr>
              <w:spacing w:line="500" w:lineRule="exact"/>
              <w:jc w:val="center"/>
              <w:rPr>
                <w:rFonts w:hAnsi="宋体" w:cs="宋体"/>
                <w:sz w:val="24"/>
              </w:rPr>
            </w:pPr>
            <w:r>
              <w:rPr>
                <w:rFonts w:hint="eastAsia" w:cs="宋体" w:asciiTheme="minorEastAsia" w:hAnsiTheme="minorEastAsia" w:eastAsiaTheme="minorEastAsia"/>
                <w:kern w:val="2"/>
                <w:sz w:val="24"/>
                <w:szCs w:val="24"/>
              </w:rPr>
              <w:t>交纳信息</w:t>
            </w:r>
          </w:p>
        </w:tc>
        <w:tc>
          <w:tcPr>
            <w:tcW w:w="8210"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金额：一标段：人民币肆万元整（40000.00元）</w:t>
            </w:r>
          </w:p>
          <w:p>
            <w:pPr>
              <w:pStyle w:val="2"/>
              <w:ind w:firstLine="720" w:firstLineChars="300"/>
              <w:jc w:val="left"/>
              <w:rPr>
                <w:rFonts w:cs="宋体" w:asciiTheme="minorEastAsia" w:hAnsiTheme="minorEastAsia" w:eastAsiaTheme="minorEastAsia"/>
                <w:sz w:val="24"/>
              </w:rPr>
            </w:pPr>
            <w:r>
              <w:rPr>
                <w:rFonts w:hint="eastAsia" w:cs="宋体" w:asciiTheme="minorEastAsia" w:hAnsiTheme="minorEastAsia" w:eastAsiaTheme="minorEastAsia"/>
                <w:sz w:val="24"/>
              </w:rPr>
              <w:t>二标段：人民币肆万元整（</w:t>
            </w:r>
            <w:r>
              <w:rPr>
                <w:rFonts w:hint="eastAsia" w:cs="宋体" w:asciiTheme="minorEastAsia" w:hAnsiTheme="minorEastAsia" w:eastAsiaTheme="minorEastAsia"/>
                <w:sz w:val="24"/>
                <w:lang w:val="en-US" w:eastAsia="zh-CN"/>
              </w:rPr>
              <w:t>40</w:t>
            </w:r>
            <w:r>
              <w:rPr>
                <w:rFonts w:hint="eastAsia" w:cs="宋体" w:asciiTheme="minorEastAsia" w:hAnsiTheme="minorEastAsia" w:eastAsiaTheme="minorEastAsia"/>
                <w:sz w:val="24"/>
              </w:rPr>
              <w:t>000.00元）</w:t>
            </w:r>
          </w:p>
          <w:p>
            <w:pPr>
              <w:pStyle w:val="2"/>
              <w:ind w:firstLine="720" w:firstLineChars="300"/>
              <w:jc w:val="left"/>
              <w:rPr>
                <w:rFonts w:hAnsi="宋体" w:cs="宋体"/>
                <w:sz w:val="24"/>
              </w:rPr>
            </w:pPr>
            <w:r>
              <w:rPr>
                <w:rFonts w:hint="eastAsia" w:cs="宋体" w:asciiTheme="minorEastAsia" w:hAnsiTheme="minorEastAsia" w:eastAsiaTheme="minorEastAsia"/>
                <w:sz w:val="24"/>
              </w:rPr>
              <w:t>三标段：人民币肆万元整（</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821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cs="宋体" w:asciiTheme="minorEastAsia" w:hAnsiTheme="minorEastAsia" w:eastAsiaTheme="minorEastAsia"/>
                <w:kern w:val="2"/>
                <w:sz w:val="24"/>
                <w:szCs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821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2、投标保证金缴纳方式：</w:t>
            </w:r>
          </w:p>
          <w:p>
            <w:pPr>
              <w:spacing w:line="36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2.1投标人网上报名后，登录</w:t>
            </w:r>
            <w:r>
              <w:fldChar w:fldCharType="begin"/>
            </w:r>
            <w:r>
              <w:instrText xml:space="preserve"> HYPERLINK "http://221.14.6.70:8088/ggzy" </w:instrText>
            </w:r>
            <w:r>
              <w:fldChar w:fldCharType="separate"/>
            </w:r>
            <w:r>
              <w:rPr>
                <w:rStyle w:val="41"/>
                <w:rFonts w:hint="eastAsia" w:cs="宋体" w:asciiTheme="minorEastAsia" w:hAnsiTheme="minorEastAsia" w:eastAsiaTheme="minorEastAsia"/>
                <w:color w:val="auto"/>
                <w:kern w:val="2"/>
                <w:sz w:val="24"/>
                <w:szCs w:val="24"/>
              </w:rPr>
              <w:t>http://221.14.6.70:8088/ggzy</w:t>
            </w:r>
            <w:r>
              <w:rPr>
                <w:rStyle w:val="41"/>
                <w:rFonts w:hint="eastAsia" w:cs="宋体" w:asciiTheme="minorEastAsia" w:hAnsiTheme="minorEastAsia" w:eastAsiaTheme="minorEastAsia"/>
                <w:color w:val="auto"/>
                <w:kern w:val="2"/>
                <w:sz w:val="24"/>
                <w:szCs w:val="24"/>
              </w:rPr>
              <w:fldChar w:fldCharType="end"/>
            </w:r>
            <w:r>
              <w:rPr>
                <w:rFonts w:hint="eastAsia" w:cs="宋体" w:asciiTheme="minorEastAsia" w:hAnsiTheme="minorEastAsia" w:eastAsiaTheme="minorEastAsia"/>
                <w:kern w:val="2"/>
                <w:sz w:val="24"/>
                <w:szCs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2.2成功缴纳后重新登录前述系统，依次点击“会员向导”→“参与投标”→“保证金绑定”→“绑定”进行投标保证金绑定。</w:t>
            </w:r>
          </w:p>
          <w:p>
            <w:pPr>
              <w:spacing w:line="36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2.4 每个投标人每个项目每个标段只有唯一缴纳账号，切勿重复缴纳或错误缴纳。</w:t>
            </w:r>
          </w:p>
          <w:p>
            <w:pPr>
              <w:spacing w:line="36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3、未按上述规定操作引起的无效投标，由投标人自行负责。</w:t>
            </w:r>
          </w:p>
          <w:p>
            <w:pPr>
              <w:spacing w:line="36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4、汇款凭证无须备注项目编号和项目名称。</w:t>
            </w:r>
          </w:p>
          <w:p>
            <w:pPr>
              <w:spacing w:line="36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5、出现以下情形造成的投标保证金无效，由投标人自行负责。</w:t>
            </w:r>
          </w:p>
          <w:p>
            <w:pPr>
              <w:spacing w:line="36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(1)投标保证金未从投标人的基本账户转出；</w:t>
            </w:r>
          </w:p>
          <w:p>
            <w:pPr>
              <w:spacing w:line="36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(2)投标保证金未按照招标文件划分的标段依次转账。</w:t>
            </w:r>
          </w:p>
          <w:p>
            <w:pPr>
              <w:spacing w:line="36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6、《保证金缴纳绑定操作指南》获取方法：</w:t>
            </w:r>
          </w:p>
          <w:p>
            <w:pPr>
              <w:spacing w:line="360" w:lineRule="exact"/>
              <w:ind w:firstLine="480" w:firstLineChars="200"/>
              <w:rPr>
                <w:rFonts w:hAnsi="宋体" w:cs="仿宋_GB2312"/>
                <w:sz w:val="24"/>
              </w:rPr>
            </w:pPr>
            <w:r>
              <w:rPr>
                <w:rFonts w:hint="eastAsia" w:cs="宋体" w:asciiTheme="minorEastAsia" w:hAnsiTheme="minorEastAsia" w:eastAsiaTheme="minorEastAsia"/>
                <w:kern w:val="2"/>
                <w:sz w:val="24"/>
                <w:szCs w:val="24"/>
              </w:rPr>
              <w:t>登录</w:t>
            </w:r>
            <w:r>
              <w:rPr>
                <w:rFonts w:hint="eastAsia" w:cs="宋体" w:asciiTheme="minorEastAsia" w:hAnsiTheme="minorEastAsia" w:eastAsiaTheme="minorEastAsia"/>
                <w:bCs/>
                <w:kern w:val="2"/>
                <w:sz w:val="24"/>
                <w:szCs w:val="24"/>
              </w:rPr>
              <w:t>全国公共资源交易平台（河南省</w:t>
            </w:r>
            <w:r>
              <w:rPr>
                <w:rFonts w:hint="eastAsia" w:eastAsia="MS Mincho" w:cs="MS Mincho" w:asciiTheme="minorEastAsia" w:hAnsiTheme="minorEastAsia"/>
                <w:bCs/>
                <w:kern w:val="2"/>
                <w:sz w:val="24"/>
                <w:szCs w:val="24"/>
              </w:rPr>
              <w:t>▪</w:t>
            </w:r>
            <w:r>
              <w:rPr>
                <w:rFonts w:hint="eastAsia" w:cs="宋体" w:asciiTheme="minorEastAsia" w:hAnsiTheme="minorEastAsia" w:eastAsiaTheme="minorEastAsia"/>
                <w:bCs/>
                <w:kern w:val="2"/>
                <w:sz w:val="24"/>
                <w:szCs w:val="24"/>
              </w:rPr>
              <w:t>许昌市）</w:t>
            </w:r>
            <w:r>
              <w:rPr>
                <w:rFonts w:hint="eastAsia" w:cs="宋体" w:asciiTheme="minorEastAsia" w:hAnsiTheme="minorEastAsia" w:eastAsiaTheme="minorEastAsia"/>
                <w:kern w:val="2"/>
                <w:sz w:val="24"/>
                <w:szCs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cs="宋体" w:asciiTheme="minorEastAsia" w:hAnsiTheme="minorEastAsia" w:eastAsiaTheme="minorEastAsia"/>
                <w:kern w:val="2"/>
                <w:sz w:val="24"/>
                <w:szCs w:val="24"/>
              </w:rPr>
              <w:t>注意事项</w:t>
            </w:r>
          </w:p>
        </w:tc>
        <w:tc>
          <w:tcPr>
            <w:tcW w:w="821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1、因投标人的原因无法及时退还投标（竞买）保证金、滞留三年以上的，投标（竞买）保证金上缴财政。</w:t>
            </w:r>
          </w:p>
          <w:p>
            <w:pPr>
              <w:adjustRightInd w:val="0"/>
              <w:spacing w:line="360" w:lineRule="exact"/>
              <w:ind w:firstLine="470" w:firstLineChars="196"/>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4、特殊情况处理</w:t>
            </w:r>
          </w:p>
          <w:p>
            <w:pPr>
              <w:adjustRightInd w:val="0"/>
              <w:spacing w:line="360" w:lineRule="exact"/>
              <w:ind w:firstLine="470" w:firstLineChars="196"/>
              <w:rPr>
                <w:rFonts w:hint="eastAsia" w:cs="宋体" w:asciiTheme="minorEastAsia" w:hAnsiTheme="minorEastAsia" w:eastAsiaTheme="minorEastAsia"/>
                <w:kern w:val="2"/>
                <w:sz w:val="24"/>
                <w:szCs w:val="24"/>
              </w:rPr>
            </w:pPr>
            <w:r>
              <w:rPr>
                <w:rFonts w:hint="eastAsia" w:cs="宋体" w:asciiTheme="minorEastAsia" w:hAnsiTheme="minorEastAsia" w:eastAsiaTheme="minorEastAsia"/>
                <w:bCs/>
                <w:kern w:val="2"/>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pStyle w:val="6"/>
        <w:jc w:val="center"/>
        <w:rPr>
          <w:rStyle w:val="61"/>
          <w:rFonts w:ascii="宋体" w:hAnsi="宋体" w:eastAsia="宋体"/>
          <w:b/>
          <w:bCs w:val="0"/>
          <w:sz w:val="44"/>
          <w:szCs w:val="44"/>
        </w:rPr>
      </w:pPr>
    </w:p>
    <w:p>
      <w:pPr>
        <w:pStyle w:val="6"/>
        <w:jc w:val="center"/>
        <w:rPr>
          <w:rStyle w:val="61"/>
          <w:rFonts w:ascii="宋体" w:hAnsi="宋体" w:eastAsia="宋体"/>
          <w:b/>
          <w:bCs w:val="0"/>
          <w:sz w:val="44"/>
          <w:szCs w:val="44"/>
        </w:rPr>
      </w:pPr>
    </w:p>
    <w:p>
      <w:pPr>
        <w:rPr>
          <w:rStyle w:val="61"/>
          <w:rFonts w:ascii="宋体" w:hAnsi="宋体" w:eastAsia="宋体"/>
          <w:bCs w:val="0"/>
          <w:sz w:val="44"/>
          <w:szCs w:val="44"/>
        </w:rPr>
      </w:pPr>
    </w:p>
    <w:p>
      <w:pPr>
        <w:pStyle w:val="2"/>
        <w:ind w:firstLine="442"/>
        <w:rPr>
          <w:rStyle w:val="61"/>
          <w:rFonts w:ascii="宋体" w:hAnsi="宋体" w:eastAsia="宋体"/>
          <w:bCs w:val="0"/>
          <w:sz w:val="44"/>
          <w:szCs w:val="44"/>
        </w:rPr>
      </w:pPr>
    </w:p>
    <w:p>
      <w:pPr>
        <w:pStyle w:val="2"/>
        <w:ind w:firstLine="442"/>
        <w:rPr>
          <w:rStyle w:val="61"/>
          <w:rFonts w:ascii="宋体" w:hAnsi="宋体" w:eastAsia="宋体"/>
          <w:bCs w:val="0"/>
          <w:sz w:val="44"/>
          <w:szCs w:val="44"/>
        </w:rPr>
      </w:pPr>
    </w:p>
    <w:p>
      <w:pPr>
        <w:pStyle w:val="2"/>
        <w:ind w:firstLine="442"/>
        <w:rPr>
          <w:rStyle w:val="61"/>
          <w:rFonts w:ascii="宋体" w:hAnsi="宋体" w:eastAsia="宋体"/>
          <w:bCs w:val="0"/>
          <w:sz w:val="44"/>
          <w:szCs w:val="44"/>
        </w:rPr>
      </w:pPr>
    </w:p>
    <w:p>
      <w:pPr>
        <w:pStyle w:val="2"/>
        <w:ind w:firstLine="442"/>
        <w:rPr>
          <w:rStyle w:val="61"/>
          <w:rFonts w:ascii="宋体" w:hAnsi="宋体" w:eastAsia="宋体"/>
          <w:bCs w:val="0"/>
          <w:sz w:val="44"/>
          <w:szCs w:val="44"/>
        </w:rPr>
      </w:pPr>
    </w:p>
    <w:p>
      <w:pPr>
        <w:pStyle w:val="2"/>
        <w:ind w:firstLine="442"/>
        <w:rPr>
          <w:rStyle w:val="61"/>
          <w:rFonts w:ascii="宋体" w:hAnsi="宋体" w:eastAsia="宋体"/>
          <w:bCs w:val="0"/>
          <w:sz w:val="44"/>
          <w:szCs w:val="44"/>
        </w:rPr>
      </w:pPr>
    </w:p>
    <w:p>
      <w:pPr>
        <w:ind w:firstLine="2880" w:firstLineChars="800"/>
        <w:rPr>
          <w:rFonts w:hAnsi="宋体"/>
          <w:sz w:val="36"/>
          <w:szCs w:val="36"/>
        </w:rPr>
      </w:pPr>
      <w:r>
        <w:rPr>
          <w:rFonts w:hint="eastAsia" w:hAnsi="宋体"/>
          <w:sz w:val="36"/>
          <w:szCs w:val="36"/>
        </w:rPr>
        <w:t>投</w:t>
      </w:r>
      <w:r>
        <w:rPr>
          <w:rFonts w:hint="eastAsia" w:hAnsi="宋体" w:cs="宋体"/>
          <w:sz w:val="36"/>
          <w:szCs w:val="36"/>
        </w:rPr>
        <w:t>标</w:t>
      </w:r>
      <w:r>
        <w:rPr>
          <w:rFonts w:hint="eastAsia" w:hAnsi="宋体"/>
          <w:sz w:val="36"/>
          <w:szCs w:val="36"/>
        </w:rPr>
        <w:t>保</w:t>
      </w:r>
      <w:r>
        <w:rPr>
          <w:rFonts w:hint="eastAsia" w:hAnsi="宋体" w:cs="宋体"/>
          <w:sz w:val="36"/>
          <w:szCs w:val="36"/>
        </w:rPr>
        <w:t>证</w:t>
      </w:r>
      <w:r>
        <w:rPr>
          <w:rFonts w:hint="eastAsia" w:hAnsi="宋体"/>
          <w:sz w:val="36"/>
          <w:szCs w:val="36"/>
        </w:rPr>
        <w:t>金退</w:t>
      </w:r>
      <w:r>
        <w:rPr>
          <w:rFonts w:hint="eastAsia" w:hAnsi="宋体" w:cs="宋体"/>
          <w:sz w:val="36"/>
          <w:szCs w:val="36"/>
        </w:rPr>
        <w:t>还</w:t>
      </w:r>
      <w:r>
        <w:rPr>
          <w:rFonts w:hint="eastAsia" w:hAnsi="宋体"/>
          <w:sz w:val="36"/>
          <w:szCs w:val="36"/>
        </w:rPr>
        <w:t>申</w:t>
      </w:r>
      <w:r>
        <w:rPr>
          <w:rFonts w:hint="eastAsia" w:hAnsi="宋体" w:cs="宋体"/>
          <w:sz w:val="36"/>
          <w:szCs w:val="36"/>
        </w:rPr>
        <w:t>请</w:t>
      </w:r>
      <w:r>
        <w:rPr>
          <w:rFonts w:hint="eastAsia" w:hAnsi="宋体"/>
          <w:sz w:val="36"/>
          <w:szCs w:val="36"/>
        </w:rPr>
        <w:t>表</w:t>
      </w:r>
    </w:p>
    <w:tbl>
      <w:tblPr>
        <w:tblStyle w:val="3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r>
              <w:rPr>
                <w:rFonts w:hint="eastAsia" w:ascii="新宋体" w:hAnsi="新宋体" w:eastAsia="新宋体"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华文中宋"/>
                <w:sz w:val="24"/>
              </w:rPr>
            </w:pPr>
            <w:r>
              <w:rPr>
                <w:rFonts w:hint="eastAsia" w:ascii="新宋体" w:hAnsi="新宋体" w:eastAsia="新宋体"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eastAsia="华文中宋"/>
                <w:sz w:val="24"/>
              </w:rPr>
            </w:pPr>
            <w:r>
              <w:rPr>
                <w:rFonts w:hint="eastAsia" w:ascii="新宋体" w:hAnsi="新宋体" w:eastAsia="新宋体"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华文中宋"/>
                <w:sz w:val="24"/>
              </w:rPr>
            </w:pPr>
            <w:r>
              <w:rPr>
                <w:rFonts w:hint="eastAsia" w:ascii="新宋体" w:hAnsi="新宋体" w:eastAsia="新宋体"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eastAsia="华文中宋"/>
                <w:sz w:val="24"/>
              </w:rPr>
            </w:pPr>
            <w:r>
              <w:rPr>
                <w:rFonts w:hint="eastAsia" w:ascii="新宋体" w:hAnsi="新宋体" w:eastAsia="新宋体"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华文中宋"/>
                <w:sz w:val="24"/>
              </w:rPr>
            </w:pPr>
            <w:r>
              <w:rPr>
                <w:rFonts w:hint="eastAsia" w:ascii="新宋体" w:hAnsi="新宋体" w:eastAsia="新宋体" w:cs="新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新宋体" w:hAnsi="新宋体" w:eastAsia="新宋体" w:cs="新宋体"/>
                <w:sz w:val="24"/>
              </w:rPr>
            </w:pPr>
          </w:p>
          <w:p>
            <w:pPr>
              <w:ind w:right="480" w:firstLine="5880" w:firstLineChars="2450"/>
              <w:rPr>
                <w:rFonts w:ascii="新宋体" w:hAnsi="新宋体" w:eastAsia="新宋体" w:cs="新宋体"/>
                <w:sz w:val="24"/>
              </w:rPr>
            </w:pPr>
          </w:p>
          <w:p>
            <w:pPr>
              <w:ind w:right="480" w:firstLine="5880" w:firstLineChars="2450"/>
              <w:rPr>
                <w:rFonts w:ascii="新宋体" w:hAnsi="新宋体" w:eastAsia="新宋体" w:cs="新宋体"/>
                <w:sz w:val="24"/>
              </w:rPr>
            </w:pPr>
          </w:p>
          <w:p>
            <w:pPr>
              <w:ind w:right="480" w:firstLine="5880" w:firstLineChars="2450"/>
              <w:rPr>
                <w:rFonts w:ascii="华文中宋" w:hAnsi="华文中宋" w:eastAsia="华文中宋"/>
                <w:sz w:val="24"/>
              </w:rPr>
            </w:pPr>
            <w:r>
              <w:rPr>
                <w:rFonts w:hint="eastAsia" w:ascii="新宋体" w:hAnsi="新宋体" w:eastAsia="新宋体"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pStyle w:val="28"/>
        <w:ind w:firstLine="880"/>
        <w:rPr>
          <w:rStyle w:val="61"/>
          <w:rFonts w:ascii="宋体" w:hAnsi="宋体" w:eastAsia="宋体"/>
          <w:b w:val="0"/>
          <w:sz w:val="44"/>
          <w:szCs w:val="44"/>
        </w:rPr>
      </w:pPr>
    </w:p>
    <w:p>
      <w:pPr>
        <w:pStyle w:val="28"/>
        <w:ind w:firstLine="880"/>
        <w:rPr>
          <w:rStyle w:val="61"/>
          <w:rFonts w:ascii="宋体" w:hAnsi="宋体" w:eastAsia="宋体"/>
          <w:b w:val="0"/>
          <w:sz w:val="44"/>
          <w:szCs w:val="44"/>
        </w:rPr>
      </w:pPr>
    </w:p>
    <w:p>
      <w:pPr>
        <w:ind w:firstLine="2880" w:firstLineChars="800"/>
        <w:rPr>
          <w:rFonts w:ascii="宋体" w:hAnsi="宋体"/>
          <w:sz w:val="36"/>
          <w:szCs w:val="36"/>
        </w:rPr>
      </w:pPr>
      <w:r>
        <w:rPr>
          <w:rFonts w:hint="eastAsia" w:ascii="宋体" w:hAnsi="宋体"/>
          <w:sz w:val="36"/>
          <w:szCs w:val="36"/>
        </w:rPr>
        <w:t>履约保证金退还通知单</w:t>
      </w:r>
    </w:p>
    <w:tbl>
      <w:tblPr>
        <w:tblStyle w:val="3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ascii="宋体" w:hAnsi="宋体"/>
                <w:sz w:val="24"/>
              </w:rPr>
            </w:pPr>
            <w:r>
              <w:rPr>
                <w:rFonts w:hint="eastAsia" w:ascii="宋体" w:hAnsi="宋体"/>
                <w:sz w:val="24"/>
              </w:rPr>
              <w:t>项目编号</w:t>
            </w:r>
          </w:p>
        </w:tc>
        <w:tc>
          <w:tcPr>
            <w:tcW w:w="4140" w:type="dxa"/>
            <w:gridSpan w:val="2"/>
            <w:vAlign w:val="center"/>
          </w:tcPr>
          <w:p>
            <w:pPr>
              <w:spacing w:line="360" w:lineRule="exact"/>
              <w:jc w:val="center"/>
              <w:rPr>
                <w:rFonts w:ascii="宋体" w:hAnsi="宋体"/>
                <w:sz w:val="24"/>
              </w:rPr>
            </w:pPr>
          </w:p>
        </w:tc>
        <w:tc>
          <w:tcPr>
            <w:tcW w:w="1440" w:type="dxa"/>
            <w:gridSpan w:val="2"/>
            <w:vAlign w:val="center"/>
          </w:tcPr>
          <w:p>
            <w:pPr>
              <w:spacing w:line="360" w:lineRule="exact"/>
              <w:jc w:val="center"/>
              <w:rPr>
                <w:rFonts w:ascii="宋体" w:hAnsi="宋体"/>
                <w:sz w:val="24"/>
              </w:rPr>
            </w:pPr>
            <w:r>
              <w:rPr>
                <w:rFonts w:hint="eastAsia" w:ascii="宋体" w:hAnsi="宋体"/>
                <w:sz w:val="24"/>
              </w:rPr>
              <w:t>是否完工</w:t>
            </w:r>
          </w:p>
        </w:tc>
        <w:tc>
          <w:tcPr>
            <w:tcW w:w="2162" w:type="dxa"/>
            <w:vAlign w:val="center"/>
          </w:tcPr>
          <w:p>
            <w:pPr>
              <w:spacing w:line="360" w:lineRule="exact"/>
              <w:ind w:firstLine="240" w:firstLineChars="100"/>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ascii="宋体" w:hAnsi="宋体"/>
                <w:sz w:val="24"/>
              </w:rPr>
            </w:pPr>
            <w:r>
              <w:rPr>
                <w:rFonts w:hint="eastAsia" w:ascii="宋体" w:hAnsi="宋体"/>
                <w:sz w:val="24"/>
              </w:rPr>
              <w:t>中标企业名称</w:t>
            </w:r>
          </w:p>
        </w:tc>
        <w:tc>
          <w:tcPr>
            <w:tcW w:w="7742" w:type="dxa"/>
            <w:gridSpan w:val="5"/>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ascii="宋体" w:hAnsi="宋体"/>
                <w:sz w:val="24"/>
              </w:rPr>
            </w:pPr>
            <w:r>
              <w:rPr>
                <w:rFonts w:hint="eastAsia" w:ascii="宋体" w:hAnsi="宋体"/>
                <w:sz w:val="24"/>
              </w:rPr>
              <w:t>开户银行</w:t>
            </w:r>
          </w:p>
        </w:tc>
        <w:tc>
          <w:tcPr>
            <w:tcW w:w="3780" w:type="dxa"/>
            <w:vAlign w:val="center"/>
          </w:tcPr>
          <w:p>
            <w:pPr>
              <w:rPr>
                <w:rFonts w:ascii="宋体" w:hAnsi="宋体"/>
                <w:sz w:val="24"/>
              </w:rPr>
            </w:pPr>
          </w:p>
        </w:tc>
        <w:tc>
          <w:tcPr>
            <w:tcW w:w="722" w:type="dxa"/>
            <w:gridSpan w:val="2"/>
            <w:vAlign w:val="center"/>
          </w:tcPr>
          <w:p>
            <w:pPr>
              <w:spacing w:line="360" w:lineRule="exact"/>
              <w:rPr>
                <w:rFonts w:ascii="宋体" w:hAnsi="宋体"/>
                <w:sz w:val="24"/>
              </w:rPr>
            </w:pPr>
            <w:r>
              <w:rPr>
                <w:rFonts w:hint="eastAsia" w:ascii="宋体" w:hAnsi="宋体"/>
                <w:sz w:val="24"/>
              </w:rPr>
              <w:t>账号</w:t>
            </w:r>
          </w:p>
        </w:tc>
        <w:tc>
          <w:tcPr>
            <w:tcW w:w="3240" w:type="dxa"/>
            <w:gridSpan w:val="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ascii="宋体" w:hAnsi="宋体"/>
                <w:sz w:val="24"/>
              </w:rPr>
            </w:pPr>
            <w:r>
              <w:rPr>
                <w:rFonts w:hint="eastAsia" w:ascii="宋体" w:hAnsi="宋体"/>
                <w:sz w:val="24"/>
              </w:rPr>
              <w:t>金额</w:t>
            </w:r>
          </w:p>
        </w:tc>
        <w:tc>
          <w:tcPr>
            <w:tcW w:w="7742" w:type="dxa"/>
            <w:gridSpan w:val="5"/>
            <w:vAlign w:val="center"/>
          </w:tcPr>
          <w:p>
            <w:pPr>
              <w:spacing w:line="360" w:lineRule="exact"/>
              <w:rPr>
                <w:rFonts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828" w:type="dxa"/>
            <w:gridSpan w:val="6"/>
          </w:tcPr>
          <w:p>
            <w:pPr>
              <w:jc w:val="center"/>
              <w:rPr>
                <w:rFonts w:ascii="宋体" w:hAnsi="宋体"/>
                <w:sz w:val="24"/>
              </w:rPr>
            </w:pPr>
          </w:p>
          <w:p>
            <w:pPr>
              <w:jc w:val="center"/>
              <w:rPr>
                <w:rFonts w:ascii="宋体" w:hAnsi="宋体"/>
                <w:sz w:val="24"/>
              </w:rPr>
            </w:pPr>
          </w:p>
          <w:p>
            <w:pPr>
              <w:ind w:firstLine="840" w:firstLineChars="350"/>
              <w:rPr>
                <w:rFonts w:ascii="宋体" w:hAnsi="宋体"/>
                <w:sz w:val="24"/>
              </w:rPr>
            </w:pPr>
            <w:r>
              <w:rPr>
                <w:rFonts w:hint="eastAsia" w:ascii="宋体" w:hAnsi="宋体"/>
                <w:sz w:val="24"/>
              </w:rPr>
              <w:t>主要负责人签字 ：                           盖  章：</w:t>
            </w:r>
          </w:p>
          <w:p>
            <w:pPr>
              <w:jc w:val="center"/>
              <w:rPr>
                <w:rFonts w:ascii="宋体" w:hAnsi="宋体"/>
                <w:sz w:val="24"/>
              </w:rPr>
            </w:pPr>
          </w:p>
          <w:p>
            <w:pPr>
              <w:ind w:right="480" w:firstLine="5880" w:firstLineChars="2450"/>
              <w:rPr>
                <w:rFonts w:ascii="宋体" w:hAnsi="宋体"/>
                <w:sz w:val="24"/>
              </w:rPr>
            </w:pPr>
            <w:r>
              <w:rPr>
                <w:rFonts w:hint="eastAsia" w:ascii="宋体" w:hAnsi="宋体"/>
                <w:sz w:val="24"/>
              </w:rPr>
              <w:t>年   月   日</w:t>
            </w:r>
          </w:p>
        </w:tc>
      </w:tr>
    </w:tbl>
    <w:p>
      <w:pPr>
        <w:rPr>
          <w:rStyle w:val="61"/>
          <w:rFonts w:ascii="宋体" w:hAnsi="宋体" w:eastAsia="宋体"/>
          <w:b w:val="0"/>
          <w:sz w:val="44"/>
          <w:szCs w:val="44"/>
        </w:rPr>
      </w:pPr>
    </w:p>
    <w:p>
      <w:pPr>
        <w:pStyle w:val="101"/>
        <w:ind w:firstLine="1760" w:firstLineChars="400"/>
        <w:rPr>
          <w:rStyle w:val="61"/>
          <w:rFonts w:ascii="宋体" w:hAnsi="宋体" w:eastAsia="宋体"/>
          <w:bCs w:val="0"/>
          <w:sz w:val="44"/>
          <w:szCs w:val="44"/>
        </w:rPr>
      </w:pPr>
      <w:r>
        <w:rPr>
          <w:rStyle w:val="61"/>
          <w:rFonts w:hint="eastAsia" w:ascii="宋体" w:hAnsi="宋体"/>
          <w:bCs w:val="0"/>
          <w:sz w:val="44"/>
          <w:szCs w:val="44"/>
        </w:rPr>
        <w:t xml:space="preserve">第三章 </w:t>
      </w:r>
      <w:r>
        <w:rPr>
          <w:rStyle w:val="61"/>
          <w:rFonts w:hint="eastAsia" w:ascii="宋体" w:hAnsi="宋体" w:eastAsia="宋体"/>
          <w:bCs w:val="0"/>
          <w:sz w:val="44"/>
          <w:szCs w:val="44"/>
        </w:rPr>
        <w:t>评标办法</w:t>
      </w:r>
      <w:bookmarkEnd w:id="87"/>
      <w:bookmarkEnd w:id="88"/>
      <w:bookmarkEnd w:id="89"/>
      <w:bookmarkEnd w:id="90"/>
      <w:bookmarkEnd w:id="91"/>
      <w:bookmarkStart w:id="92" w:name="_Toc280271283"/>
      <w:bookmarkStart w:id="93" w:name="_Toc280271136"/>
      <w:bookmarkStart w:id="94" w:name="_Toc280275114"/>
      <w:r>
        <w:rPr>
          <w:rStyle w:val="61"/>
          <w:rFonts w:hint="eastAsia" w:ascii="宋体" w:hAnsi="宋体" w:eastAsia="宋体"/>
          <w:bCs w:val="0"/>
          <w:sz w:val="44"/>
          <w:szCs w:val="44"/>
        </w:rPr>
        <w:t>（合理投标价法）</w:t>
      </w:r>
    </w:p>
    <w:bookmarkEnd w:id="92"/>
    <w:bookmarkEnd w:id="93"/>
    <w:bookmarkEnd w:id="94"/>
    <w:p>
      <w:pPr>
        <w:spacing w:beforeLines="20" w:afterLines="20" w:line="312" w:lineRule="auto"/>
        <w:rPr>
          <w:sz w:val="24"/>
        </w:rPr>
      </w:pPr>
      <w:bookmarkStart w:id="95" w:name="_Toc382164569"/>
      <w:bookmarkStart w:id="96" w:name="_Toc399834329"/>
      <w:bookmarkStart w:id="97" w:name="_Toc517940883"/>
      <w:bookmarkStart w:id="98" w:name="_Toc4299"/>
      <w:bookmarkStart w:id="99" w:name="_Toc24212"/>
      <w:bookmarkStart w:id="100" w:name="_Toc701"/>
      <w:bookmarkStart w:id="101" w:name="_Toc24218"/>
      <w:bookmarkStart w:id="102" w:name="_Toc21870"/>
      <w:r>
        <w:rPr>
          <w:rFonts w:hint="eastAsia"/>
          <w:sz w:val="24"/>
        </w:rPr>
        <w:t>评标办法前附表</w:t>
      </w:r>
      <w:bookmarkEnd w:id="95"/>
      <w:bookmarkEnd w:id="96"/>
    </w:p>
    <w:tbl>
      <w:tblPr>
        <w:tblStyle w:val="35"/>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25"/>
        <w:gridCol w:w="2618"/>
        <w:gridCol w:w="5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jc w:val="center"/>
              <w:rPr>
                <w:rFonts w:hAnsi="宋体"/>
                <w:b/>
                <w:szCs w:val="21"/>
              </w:rPr>
            </w:pPr>
            <w:bookmarkStart w:id="103" w:name="_Toc144974567"/>
            <w:bookmarkStart w:id="104" w:name="_Toc21173"/>
            <w:bookmarkStart w:id="105" w:name="_Toc152045600"/>
            <w:bookmarkStart w:id="106" w:name="_Toc152042377"/>
            <w:bookmarkStart w:id="107" w:name="_Toc179632618"/>
            <w:bookmarkStart w:id="108" w:name="_Toc144974568"/>
            <w:bookmarkStart w:id="109" w:name="_Toc179632619"/>
            <w:bookmarkStart w:id="110" w:name="_Toc247085759"/>
            <w:bookmarkStart w:id="111" w:name="_Toc152045601"/>
            <w:bookmarkStart w:id="112" w:name="_Toc152042378"/>
            <w:bookmarkStart w:id="113" w:name="_Toc296602489"/>
            <w:bookmarkStart w:id="114" w:name="_Toc246996987"/>
            <w:bookmarkStart w:id="115" w:name="_Toc246996244"/>
            <w:r>
              <w:rPr>
                <w:rFonts w:hint="eastAsia" w:ascii="Times New Roman" w:hAnsi="宋体" w:cs="宋体"/>
                <w:b/>
                <w:szCs w:val="21"/>
              </w:rPr>
              <w:t>条款号</w:t>
            </w: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jc w:val="center"/>
              <w:rPr>
                <w:rFonts w:hAnsi="宋体"/>
                <w:b/>
                <w:szCs w:val="21"/>
              </w:rPr>
            </w:pPr>
            <w:bookmarkStart w:id="116" w:name="_Toc221950446"/>
            <w:r>
              <w:rPr>
                <w:rFonts w:hint="eastAsia" w:ascii="Times New Roman" w:hAnsi="宋体" w:cs="宋体"/>
                <w:b/>
                <w:szCs w:val="21"/>
              </w:rPr>
              <w:t>评审因素</w:t>
            </w:r>
            <w:bookmarkEnd w:id="116"/>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jc w:val="center"/>
              <w:rPr>
                <w:rFonts w:hAnsi="宋体"/>
                <w:b/>
                <w:szCs w:val="21"/>
              </w:rPr>
            </w:pPr>
            <w:r>
              <w:rPr>
                <w:rFonts w:hint="eastAsia" w:ascii="Times New Roman"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jc w:val="center"/>
              <w:rPr>
                <w:rFonts w:hAnsi="宋体"/>
                <w:sz w:val="24"/>
                <w:szCs w:val="24"/>
              </w:rPr>
            </w:pPr>
            <w:bookmarkStart w:id="117" w:name="_Toc221950448"/>
            <w:r>
              <w:rPr>
                <w:rFonts w:hAnsi="宋体"/>
                <w:sz w:val="24"/>
                <w:szCs w:val="24"/>
              </w:rPr>
              <w:t>2.1.1</w:t>
            </w:r>
            <w:bookmarkEnd w:id="117"/>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jc w:val="center"/>
              <w:rPr>
                <w:rFonts w:ascii="Calibri" w:cs="Times New Roman"/>
                <w:kern w:val="2"/>
                <w:szCs w:val="24"/>
              </w:rPr>
            </w:pPr>
            <w:r>
              <w:rPr>
                <w:rFonts w:hint="eastAsia" w:ascii="Times New Roman"/>
                <w:kern w:val="2"/>
                <w:szCs w:val="24"/>
              </w:rPr>
              <w:t>形式评审</w:t>
            </w: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jc w:val="center"/>
              <w:rPr>
                <w:rFonts w:ascii="Calibri" w:cs="Times New Roman"/>
                <w:kern w:val="2"/>
                <w:szCs w:val="24"/>
              </w:rPr>
            </w:pPr>
            <w:r>
              <w:rPr>
                <w:rFonts w:hint="eastAsia" w:ascii="Times New Roman"/>
                <w:kern w:val="2"/>
                <w:szCs w:val="24"/>
              </w:rPr>
              <w:t>投标人名称</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rPr>
                <w:rFonts w:ascii="Calibri" w:cs="Times New Roman"/>
                <w:kern w:val="2"/>
                <w:szCs w:val="24"/>
              </w:rPr>
            </w:pPr>
            <w:r>
              <w:rPr>
                <w:rFonts w:hint="eastAsia" w:ascii="Times New Roman"/>
                <w:kern w:val="2"/>
                <w:szCs w:val="24"/>
              </w:rPr>
              <w:t>与营业执照、资质证书是否一致；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jc w:val="center"/>
              <w:rPr>
                <w:rFonts w:ascii="Calibri" w:cs="Times New Roman"/>
                <w:kern w:val="2"/>
                <w:szCs w:val="24"/>
              </w:rPr>
            </w:pPr>
            <w:r>
              <w:rPr>
                <w:rFonts w:hint="eastAsia" w:ascii="Times New Roman"/>
                <w:kern w:val="2"/>
                <w:szCs w:val="24"/>
              </w:rPr>
              <w:t>投标文件的盖章签字</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hAnsi="宋体"/>
                <w:sz w:val="24"/>
                <w:szCs w:val="24"/>
              </w:rPr>
            </w:pPr>
            <w:r>
              <w:rPr>
                <w:rFonts w:hint="eastAsia" w:ascii="Times New Roman" w:hAnsi="宋体" w:cs="宋体"/>
                <w:sz w:val="24"/>
                <w:szCs w:val="24"/>
              </w:rPr>
              <w:t>符合第二章投标人须知第</w:t>
            </w:r>
            <w:r>
              <w:rPr>
                <w:rFonts w:hAnsi="宋体" w:cs="宋体"/>
                <w:sz w:val="24"/>
                <w:szCs w:val="24"/>
              </w:rPr>
              <w:t>3.7.3</w:t>
            </w:r>
            <w:r>
              <w:rPr>
                <w:rFonts w:hint="eastAsia" w:ascii="Times New Roman" w:hAnsi="宋体" w:cs="宋体"/>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jc w:val="center"/>
              <w:rPr>
                <w:rFonts w:ascii="Calibri" w:cs="Times New Roman"/>
                <w:kern w:val="2"/>
                <w:szCs w:val="24"/>
              </w:rPr>
            </w:pPr>
            <w:r>
              <w:rPr>
                <w:rFonts w:hint="eastAsia" w:ascii="Times New Roman"/>
                <w:kern w:val="2"/>
                <w:szCs w:val="24"/>
              </w:rPr>
              <w:t>投标文件格式</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rPr>
                <w:rFonts w:ascii="Calibri" w:cs="Times New Roman"/>
                <w:kern w:val="2"/>
                <w:szCs w:val="24"/>
              </w:rPr>
            </w:pPr>
            <w:r>
              <w:rPr>
                <w:rFonts w:hint="eastAsia" w:ascii="Times New Roman"/>
                <w:kern w:val="2"/>
                <w:szCs w:val="24"/>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jc w:val="center"/>
              <w:rPr>
                <w:rFonts w:ascii="Calibri" w:cs="Times New Roman"/>
                <w:kern w:val="2"/>
                <w:szCs w:val="24"/>
              </w:rPr>
            </w:pPr>
            <w:r>
              <w:rPr>
                <w:rFonts w:hint="eastAsia" w:ascii="Times New Roman"/>
                <w:kern w:val="2"/>
                <w:szCs w:val="24"/>
              </w:rPr>
              <w:t>报价唯一</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rPr>
                <w:rFonts w:ascii="Calibri" w:cs="Times New Roman"/>
                <w:kern w:val="2"/>
                <w:szCs w:val="24"/>
              </w:rPr>
            </w:pPr>
            <w:r>
              <w:rPr>
                <w:rFonts w:hint="eastAsia" w:ascii="Times New Roman"/>
                <w:kern w:val="2"/>
                <w:szCs w:val="24"/>
              </w:rPr>
              <w:t>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jc w:val="center"/>
              <w:rPr>
                <w:rFonts w:hAnsi="宋体"/>
                <w:sz w:val="24"/>
                <w:szCs w:val="24"/>
              </w:rPr>
            </w:pPr>
            <w:r>
              <w:rPr>
                <w:rFonts w:hAnsi="宋体"/>
                <w:sz w:val="24"/>
                <w:szCs w:val="24"/>
              </w:rPr>
              <w:t>2.1.2</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jc w:val="center"/>
              <w:rPr>
                <w:rFonts w:ascii="Calibri" w:cs="Times New Roman"/>
                <w:kern w:val="2"/>
                <w:szCs w:val="24"/>
              </w:rPr>
            </w:pPr>
            <w:r>
              <w:rPr>
                <w:rFonts w:hint="eastAsia" w:ascii="Times New Roman"/>
                <w:kern w:val="2"/>
                <w:szCs w:val="24"/>
              </w:rPr>
              <w:t>资格评审</w:t>
            </w: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jc w:val="center"/>
              <w:rPr>
                <w:rFonts w:ascii="Calibri" w:cs="Times New Roman"/>
                <w:kern w:val="2"/>
                <w:szCs w:val="24"/>
              </w:rPr>
            </w:pPr>
            <w:r>
              <w:rPr>
                <w:rFonts w:hint="eastAsia" w:ascii="Times New Roman"/>
                <w:kern w:val="2"/>
                <w:szCs w:val="24"/>
              </w:rPr>
              <w:t>营业执照</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hAnsi="宋体"/>
                <w:b/>
                <w:sz w:val="24"/>
                <w:szCs w:val="24"/>
              </w:rPr>
            </w:pPr>
            <w:r>
              <w:rPr>
                <w:rFonts w:hint="eastAsia" w:ascii="Times New Roman" w:hAnsi="宋体" w:cs="宋体"/>
                <w:sz w:val="24"/>
                <w:szCs w:val="24"/>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jc w:val="center"/>
              <w:rPr>
                <w:rFonts w:hAnsi="宋体"/>
                <w:sz w:val="24"/>
                <w:szCs w:val="24"/>
              </w:rPr>
            </w:pPr>
            <w:r>
              <w:rPr>
                <w:rFonts w:hint="eastAsia" w:ascii="Times New Roman" w:hAnsi="宋体" w:cs="宋体"/>
                <w:sz w:val="24"/>
                <w:szCs w:val="24"/>
              </w:rPr>
              <w:t>资质要求</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hAnsi="Courier New" w:cs="Courier New"/>
                <w:b/>
                <w:sz w:val="24"/>
                <w:szCs w:val="24"/>
              </w:rPr>
            </w:pPr>
            <w:r>
              <w:rPr>
                <w:rFonts w:hint="eastAsia" w:ascii="Times New Roman" w:hAnsi="宋体" w:cs="宋体"/>
                <w:sz w:val="24"/>
                <w:szCs w:val="24"/>
              </w:rPr>
              <w:t>符合第二章投标人须知第</w:t>
            </w:r>
            <w:r>
              <w:rPr>
                <w:rFonts w:hAnsi="宋体"/>
                <w:sz w:val="24"/>
                <w:szCs w:val="24"/>
              </w:rPr>
              <w:t>1.4.1</w:t>
            </w:r>
            <w:r>
              <w:rPr>
                <w:rFonts w:hint="eastAsia" w:ascii="Times New Roman" w:hAnsi="宋体" w:cs="宋体"/>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jc w:val="center"/>
              <w:rPr>
                <w:rFonts w:ascii="Calibri" w:cs="Times New Roman"/>
                <w:kern w:val="2"/>
                <w:szCs w:val="24"/>
              </w:rPr>
            </w:pPr>
            <w:r>
              <w:rPr>
                <w:rFonts w:hint="eastAsia" w:ascii="Times New Roman"/>
                <w:kern w:val="2"/>
                <w:szCs w:val="24"/>
              </w:rPr>
              <w:t>财务状况要求</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hAnsi="宋体"/>
                <w:sz w:val="24"/>
                <w:szCs w:val="24"/>
              </w:rPr>
            </w:pPr>
            <w:r>
              <w:rPr>
                <w:rFonts w:hAnsi="宋体" w:cs="宋体"/>
                <w:sz w:val="24"/>
                <w:szCs w:val="24"/>
                <w:lang w:val="zh-CN"/>
              </w:rPr>
              <w:t>2016</w:t>
            </w:r>
            <w:r>
              <w:rPr>
                <w:rFonts w:hint="eastAsia" w:ascii="Times New Roman" w:hAnsi="宋体" w:cs="宋体"/>
                <w:sz w:val="24"/>
                <w:szCs w:val="24"/>
                <w:lang w:val="zh-CN"/>
              </w:rPr>
              <w:t>、</w:t>
            </w:r>
            <w:r>
              <w:rPr>
                <w:rFonts w:hAnsi="宋体" w:cs="宋体"/>
                <w:sz w:val="24"/>
                <w:szCs w:val="24"/>
                <w:lang w:val="zh-CN"/>
              </w:rPr>
              <w:t>2017</w:t>
            </w:r>
            <w:r>
              <w:rPr>
                <w:rFonts w:hint="eastAsia" w:ascii="Times New Roman" w:hAnsi="宋体" w:cs="宋体"/>
                <w:sz w:val="24"/>
                <w:szCs w:val="24"/>
                <w:lang w:val="zh-CN"/>
              </w:rPr>
              <w:t>、</w:t>
            </w:r>
            <w:r>
              <w:rPr>
                <w:rFonts w:hAnsi="宋体" w:cs="宋体"/>
                <w:sz w:val="24"/>
                <w:szCs w:val="24"/>
              </w:rPr>
              <w:t>2018</w:t>
            </w:r>
            <w:r>
              <w:rPr>
                <w:rFonts w:hint="eastAsia" w:ascii="Times New Roman" w:hAnsi="宋体" w:cs="宋体"/>
                <w:sz w:val="24"/>
                <w:szCs w:val="24"/>
                <w:lang w:val="zh-CN"/>
              </w:rPr>
              <w:t>年</w:t>
            </w:r>
            <w:r>
              <w:rPr>
                <w:rFonts w:hint="eastAsia" w:ascii="Times New Roman" w:hAnsi="宋体" w:cs="宋体"/>
                <w:bCs/>
                <w:sz w:val="24"/>
                <w:szCs w:val="24"/>
              </w:rPr>
              <w:t>财务良好（以财务报告为准），若公司成立未满三年，须提供成立当年至今的财务报告。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jc w:val="center"/>
              <w:rPr>
                <w:rFonts w:hAnsi="宋体" w:cs="宋体"/>
                <w:sz w:val="24"/>
                <w:szCs w:val="24"/>
                <w:lang w:val="zh-CN"/>
              </w:rPr>
            </w:pPr>
            <w:r>
              <w:rPr>
                <w:rFonts w:hint="eastAsia" w:ascii="Times New Roman" w:hAnsi="宋体" w:cs="宋体"/>
                <w:sz w:val="24"/>
                <w:szCs w:val="24"/>
                <w:lang w:val="zh-CN"/>
              </w:rPr>
              <w:t>信誉要求</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hAnsi="宋体" w:cs="宋体"/>
                <w:sz w:val="24"/>
                <w:szCs w:val="24"/>
                <w:lang w:val="zh-CN"/>
              </w:rPr>
            </w:pPr>
            <w:r>
              <w:rPr>
                <w:rFonts w:hint="eastAsia" w:ascii="Times New Roman" w:hAnsi="宋体" w:cs="宋体"/>
                <w:sz w:val="24"/>
                <w:szCs w:val="24"/>
                <w:lang w:val="zh-CN"/>
              </w:rPr>
              <w:t>核实投标人信誉及信用记录情况：仅核实投标人获奖、受罚、信用信息登记等的真实性以河南省水利建设市场信用信息平台或全国水利建设市场信用信息管理系统（</w:t>
            </w:r>
            <w:r>
              <w:rPr>
                <w:rFonts w:hAnsi="宋体" w:cs="宋体"/>
                <w:sz w:val="24"/>
                <w:szCs w:val="24"/>
              </w:rPr>
              <w:t>http</w:t>
            </w:r>
            <w:r>
              <w:rPr>
                <w:rFonts w:hint="eastAsia" w:ascii="Times New Roman" w:hAnsi="宋体" w:cs="宋体"/>
                <w:sz w:val="24"/>
                <w:szCs w:val="24"/>
                <w:lang w:val="zh-CN"/>
              </w:rPr>
              <w:t>：</w:t>
            </w:r>
            <w:r>
              <w:rPr>
                <w:rFonts w:hAnsi="宋体" w:cs="宋体"/>
                <w:sz w:val="24"/>
                <w:szCs w:val="24"/>
              </w:rPr>
              <w:t>//rccr.cwun.org</w:t>
            </w:r>
            <w:r>
              <w:rPr>
                <w:rFonts w:hint="eastAsia" w:ascii="Times New Roman" w:hAnsi="宋体" w:cs="宋体"/>
                <w:sz w:val="24"/>
                <w:szCs w:val="24"/>
                <w:lang w:val="zh-CN"/>
              </w:rPr>
              <w:t>）公示为准）。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jc w:val="center"/>
              <w:rPr>
                <w:rFonts w:ascii="Calibri" w:cs="Times New Roman"/>
                <w:kern w:val="2"/>
                <w:szCs w:val="24"/>
              </w:rPr>
            </w:pPr>
            <w:r>
              <w:rPr>
                <w:rFonts w:hint="eastAsia" w:ascii="Times New Roman"/>
                <w:kern w:val="2"/>
                <w:szCs w:val="24"/>
              </w:rPr>
              <w:t>项目经理资格要求</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hAnsi="宋体"/>
                <w:sz w:val="24"/>
                <w:szCs w:val="24"/>
              </w:rPr>
            </w:pPr>
            <w:r>
              <w:rPr>
                <w:rFonts w:hint="eastAsia" w:ascii="Times New Roman" w:hAnsi="宋体" w:cs="宋体"/>
                <w:sz w:val="24"/>
                <w:szCs w:val="24"/>
              </w:rPr>
              <w:t>符合第二章投标人须知第</w:t>
            </w:r>
            <w:r>
              <w:rPr>
                <w:rFonts w:hAnsi="宋体"/>
                <w:sz w:val="24"/>
                <w:szCs w:val="24"/>
              </w:rPr>
              <w:t>1.4.1</w:t>
            </w:r>
            <w:r>
              <w:rPr>
                <w:rFonts w:hint="eastAsia" w:ascii="Times New Roman" w:hAnsi="宋体" w:cs="宋体"/>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jc w:val="center"/>
              <w:rPr>
                <w:rFonts w:hAnsi="宋体"/>
                <w:sz w:val="24"/>
                <w:szCs w:val="24"/>
              </w:rPr>
            </w:pPr>
            <w:bookmarkStart w:id="118" w:name="_Toc221950452"/>
            <w:r>
              <w:rPr>
                <w:rFonts w:hAnsi="宋体"/>
                <w:sz w:val="24"/>
                <w:szCs w:val="24"/>
              </w:rPr>
              <w:t>2.1.3</w:t>
            </w:r>
            <w:bookmarkEnd w:id="118"/>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jc w:val="center"/>
              <w:rPr>
                <w:rFonts w:ascii="Calibri" w:cs="Times New Roman"/>
                <w:kern w:val="2"/>
                <w:szCs w:val="24"/>
              </w:rPr>
            </w:pPr>
          </w:p>
          <w:p>
            <w:pPr>
              <w:pStyle w:val="33"/>
              <w:autoSpaceDE w:val="0"/>
              <w:autoSpaceDN w:val="0"/>
              <w:spacing w:before="0" w:after="0" w:line="312" w:lineRule="auto"/>
              <w:jc w:val="center"/>
              <w:rPr>
                <w:rFonts w:ascii="Calibri" w:cs="Times New Roman"/>
                <w:kern w:val="2"/>
                <w:szCs w:val="24"/>
              </w:rPr>
            </w:pPr>
            <w:r>
              <w:rPr>
                <w:rFonts w:hint="eastAsia" w:ascii="Times New Roman"/>
                <w:kern w:val="2"/>
                <w:szCs w:val="24"/>
              </w:rPr>
              <w:t>响应性评审</w:t>
            </w: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jc w:val="center"/>
              <w:rPr>
                <w:rFonts w:ascii="Calibri" w:cs="Times New Roman"/>
                <w:kern w:val="2"/>
                <w:szCs w:val="24"/>
              </w:rPr>
            </w:pPr>
            <w:r>
              <w:rPr>
                <w:rFonts w:hint="eastAsia" w:ascii="Times New Roman"/>
                <w:kern w:val="2"/>
                <w:szCs w:val="24"/>
              </w:rPr>
              <w:t>投标范围</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hAnsi="宋体"/>
                <w:sz w:val="24"/>
                <w:szCs w:val="24"/>
              </w:rPr>
            </w:pPr>
            <w:bookmarkStart w:id="119" w:name="_Toc221950422"/>
            <w:bookmarkStart w:id="120" w:name="_Toc221950424"/>
            <w:r>
              <w:rPr>
                <w:rFonts w:hint="eastAsia" w:ascii="Times New Roman" w:hAnsi="宋体" w:cs="宋体"/>
                <w:sz w:val="24"/>
                <w:szCs w:val="24"/>
              </w:rPr>
              <w:t>符合第二章“投标人须知”第</w:t>
            </w:r>
            <w:r>
              <w:rPr>
                <w:rFonts w:hAnsi="宋体"/>
                <w:sz w:val="24"/>
                <w:szCs w:val="24"/>
              </w:rPr>
              <w:t>1.3.1</w:t>
            </w:r>
            <w:r>
              <w:rPr>
                <w:rFonts w:hint="eastAsia" w:ascii="Times New Roman" w:hAnsi="宋体" w:cs="宋体"/>
                <w:sz w:val="24"/>
                <w:szCs w:val="24"/>
              </w:rPr>
              <w:t>项规定</w:t>
            </w:r>
            <w:bookmarkEnd w:id="119"/>
            <w:r>
              <w:rPr>
                <w:rFonts w:hint="eastAsia" w:ascii="Times New Roman" w:hAnsi="宋体" w:cs="宋体"/>
                <w:sz w:val="24"/>
                <w:szCs w:val="24"/>
              </w:rPr>
              <w:t>；</w:t>
            </w:r>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jc w:val="center"/>
              <w:rPr>
                <w:rFonts w:ascii="Calibri" w:cs="Times New Roman"/>
                <w:kern w:val="2"/>
                <w:szCs w:val="24"/>
              </w:rPr>
            </w:pPr>
            <w:r>
              <w:rPr>
                <w:rFonts w:hint="eastAsia" w:ascii="Times New Roman"/>
                <w:kern w:val="2"/>
                <w:szCs w:val="24"/>
              </w:rPr>
              <w:t>计划工期</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rPr>
                <w:rFonts w:ascii="Calibri" w:cs="Times New Roman"/>
                <w:kern w:val="2"/>
                <w:szCs w:val="24"/>
              </w:rPr>
            </w:pPr>
            <w:r>
              <w:rPr>
                <w:rFonts w:hint="eastAsia" w:ascii="Times New Roman"/>
                <w:kern w:val="2"/>
                <w:szCs w:val="24"/>
              </w:rPr>
              <w:t>符合第二章“投标人须知”第</w:t>
            </w:r>
            <w:r>
              <w:rPr>
                <w:rFonts w:ascii="Calibri" w:cs="Times New Roman"/>
                <w:kern w:val="2"/>
                <w:szCs w:val="24"/>
              </w:rPr>
              <w:t>1.3.2</w:t>
            </w:r>
            <w:r>
              <w:rPr>
                <w:rFonts w:hint="eastAsia" w:ascii="Times New Roman"/>
                <w:kern w:val="2"/>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jc w:val="center"/>
              <w:rPr>
                <w:rFonts w:ascii="Calibri" w:cs="Times New Roman"/>
                <w:kern w:val="2"/>
                <w:szCs w:val="24"/>
              </w:rPr>
            </w:pPr>
            <w:r>
              <w:rPr>
                <w:rFonts w:hint="eastAsia" w:ascii="Times New Roman"/>
                <w:kern w:val="2"/>
                <w:szCs w:val="24"/>
              </w:rPr>
              <w:t>工程质量</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rPr>
                <w:rFonts w:ascii="Calibri" w:cs="Times New Roman"/>
                <w:kern w:val="2"/>
                <w:szCs w:val="24"/>
              </w:rPr>
            </w:pPr>
            <w:r>
              <w:rPr>
                <w:rFonts w:hint="eastAsia" w:ascii="Times New Roman"/>
                <w:kern w:val="2"/>
                <w:szCs w:val="24"/>
              </w:rPr>
              <w:t>符合第二章“投标人须知”第</w:t>
            </w:r>
            <w:r>
              <w:rPr>
                <w:rFonts w:ascii="Calibri" w:cs="Times New Roman"/>
                <w:kern w:val="2"/>
                <w:szCs w:val="24"/>
              </w:rPr>
              <w:t>1.3.3</w:t>
            </w:r>
            <w:r>
              <w:rPr>
                <w:rFonts w:hint="eastAsia" w:ascii="Times New Roman"/>
                <w:kern w:val="2"/>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jc w:val="center"/>
              <w:rPr>
                <w:rFonts w:ascii="Calibri" w:cs="Times New Roman"/>
                <w:kern w:val="2"/>
                <w:szCs w:val="24"/>
              </w:rPr>
            </w:pPr>
            <w:r>
              <w:rPr>
                <w:rFonts w:hint="eastAsia" w:ascii="Times New Roman"/>
                <w:kern w:val="2"/>
                <w:szCs w:val="24"/>
              </w:rPr>
              <w:t>投标有效期</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rPr>
                <w:rFonts w:ascii="Calibri" w:cs="Times New Roman"/>
                <w:kern w:val="2"/>
                <w:szCs w:val="24"/>
              </w:rPr>
            </w:pPr>
            <w:r>
              <w:rPr>
                <w:rFonts w:ascii="Calibri" w:cs="Times New Roman"/>
                <w:kern w:val="2"/>
                <w:szCs w:val="24"/>
              </w:rPr>
              <w:t>60</w:t>
            </w:r>
            <w:r>
              <w:rPr>
                <w:rFonts w:hint="eastAsia" w:ascii="Times New Roman"/>
                <w:kern w:val="2"/>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jc w:val="center"/>
              <w:rPr>
                <w:rFonts w:ascii="Calibri" w:cs="Times New Roman"/>
                <w:kern w:val="2"/>
                <w:szCs w:val="24"/>
              </w:rPr>
            </w:pPr>
            <w:r>
              <w:rPr>
                <w:rFonts w:hint="eastAsia" w:ascii="Times New Roman"/>
                <w:kern w:val="2"/>
                <w:szCs w:val="24"/>
              </w:rPr>
              <w:t>投标保证金</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rPr>
                <w:rFonts w:ascii="Calibri" w:cs="Times New Roman"/>
                <w:kern w:val="2"/>
                <w:szCs w:val="24"/>
              </w:rPr>
            </w:pPr>
            <w:r>
              <w:rPr>
                <w:rFonts w:hint="eastAsia" w:ascii="Times New Roman"/>
                <w:kern w:val="2"/>
                <w:szCs w:val="24"/>
              </w:rPr>
              <w:t>符合第二章“投标人须知”第</w:t>
            </w:r>
            <w:r>
              <w:rPr>
                <w:rFonts w:ascii="Calibri" w:cs="Times New Roman"/>
                <w:kern w:val="2"/>
                <w:szCs w:val="24"/>
              </w:rPr>
              <w:t>3.4.1</w:t>
            </w:r>
            <w:r>
              <w:rPr>
                <w:rFonts w:hint="eastAsia" w:ascii="Times New Roman"/>
                <w:kern w:val="2"/>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jc w:val="center"/>
              <w:rPr>
                <w:rFonts w:ascii="Calibri" w:cs="Times New Roman"/>
                <w:kern w:val="2"/>
                <w:szCs w:val="24"/>
              </w:rPr>
            </w:pPr>
            <w:r>
              <w:rPr>
                <w:rFonts w:hint="eastAsia" w:ascii="Times New Roman"/>
                <w:kern w:val="2"/>
                <w:szCs w:val="24"/>
              </w:rPr>
              <w:t>权利义务</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rPr>
                <w:rFonts w:ascii="Calibri" w:cs="Times New Roman"/>
                <w:kern w:val="2"/>
                <w:szCs w:val="24"/>
              </w:rPr>
            </w:pPr>
            <w:r>
              <w:rPr>
                <w:rFonts w:hint="eastAsia" w:ascii="Times New Roman"/>
                <w:kern w:val="2"/>
                <w:szCs w:val="24"/>
              </w:rPr>
              <w:t>符合第四章“合同条款及格式”规定的权利义务；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jc w:val="center"/>
              <w:rPr>
                <w:rFonts w:ascii="Calibri" w:cs="Times New Roman"/>
                <w:kern w:val="2"/>
                <w:szCs w:val="24"/>
              </w:rPr>
            </w:pPr>
            <w:r>
              <w:rPr>
                <w:rFonts w:hint="eastAsia" w:ascii="Times New Roman"/>
                <w:kern w:val="2"/>
                <w:szCs w:val="24"/>
              </w:rPr>
              <w:t>已标价工程量清单</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rPr>
                <w:rFonts w:ascii="Calibri" w:cs="Times New Roman"/>
                <w:kern w:val="2"/>
                <w:szCs w:val="24"/>
              </w:rPr>
            </w:pPr>
            <w:r>
              <w:rPr>
                <w:rFonts w:hint="eastAsia" w:ascii="Times New Roman"/>
                <w:kern w:val="2"/>
                <w:szCs w:val="24"/>
              </w:rPr>
              <w:t>符合第五章“工程量清单”填报的要求；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jc w:val="center"/>
              <w:rPr>
                <w:rFonts w:ascii="Calibri" w:cs="Times New Roman"/>
                <w:kern w:val="2"/>
                <w:szCs w:val="24"/>
              </w:rPr>
            </w:pPr>
            <w:r>
              <w:rPr>
                <w:rFonts w:hint="eastAsia" w:ascii="Times New Roman"/>
                <w:kern w:val="2"/>
                <w:szCs w:val="24"/>
              </w:rPr>
              <w:t>技术标准和要求</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rPr>
                <w:rFonts w:ascii="Calibri" w:cs="Times New Roman"/>
                <w:kern w:val="2"/>
                <w:szCs w:val="24"/>
              </w:rPr>
            </w:pPr>
            <w:r>
              <w:rPr>
                <w:rFonts w:hint="eastAsia" w:ascii="Times New Roman"/>
                <w:kern w:val="2"/>
                <w:szCs w:val="24"/>
              </w:rPr>
              <w:t>符合第七章“技术标准和要求”（合同技术条款）的规定。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jc w:val="center"/>
              <w:rPr>
                <w:rFonts w:ascii="Calibri" w:cs="Times New Roman"/>
                <w:kern w:val="2"/>
                <w:szCs w:val="24"/>
              </w:rPr>
            </w:pPr>
            <w:r>
              <w:rPr>
                <w:rFonts w:hint="eastAsia" w:ascii="Times New Roman"/>
                <w:kern w:val="2"/>
                <w:szCs w:val="24"/>
              </w:rPr>
              <w:t>投标报价</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rPr>
                <w:rFonts w:ascii="Calibri" w:cs="Times New Roman"/>
                <w:kern w:val="2"/>
                <w:szCs w:val="24"/>
              </w:rPr>
            </w:pPr>
            <w:r>
              <w:rPr>
                <w:rFonts w:hint="eastAsia" w:ascii="Times New Roman"/>
                <w:kern w:val="2"/>
                <w:szCs w:val="24"/>
              </w:rPr>
              <w:t>投标报价不得低于成本或者高于招标文件设定的最高投标限价；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jc w:val="center"/>
              <w:rPr>
                <w:rFonts w:ascii="Calibri" w:cs="Times New Roman"/>
                <w:kern w:val="2"/>
                <w:szCs w:val="24"/>
              </w:rPr>
            </w:pPr>
            <w:r>
              <w:rPr>
                <w:rFonts w:hint="eastAsia" w:ascii="Times New Roman"/>
                <w:kern w:val="2"/>
                <w:szCs w:val="24"/>
              </w:rPr>
              <w:t>其他</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312" w:lineRule="auto"/>
              <w:rPr>
                <w:rFonts w:ascii="Calibri" w:cs="Times New Roman"/>
                <w:kern w:val="2"/>
                <w:szCs w:val="24"/>
              </w:rPr>
            </w:pPr>
            <w:r>
              <w:rPr>
                <w:rFonts w:hint="eastAsia" w:ascii="Times New Roman"/>
                <w:kern w:val="2"/>
                <w:szCs w:val="24"/>
              </w:rPr>
              <w:t>投标文件应附农民工工资支付承诺书、廉政承诺书。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jc w:val="center"/>
              <w:rPr>
                <w:rFonts w:hAnsi="宋体"/>
                <w:b/>
                <w:sz w:val="24"/>
                <w:szCs w:val="24"/>
              </w:rPr>
            </w:pPr>
            <w:r>
              <w:rPr>
                <w:rFonts w:hint="eastAsia" w:ascii="Times New Roman" w:hAnsi="宋体" w:cs="宋体"/>
                <w:b/>
                <w:sz w:val="24"/>
                <w:szCs w:val="24"/>
              </w:rPr>
              <w:t>条款号</w:t>
            </w: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jc w:val="center"/>
              <w:rPr>
                <w:rFonts w:hAnsi="宋体"/>
                <w:b/>
                <w:sz w:val="24"/>
                <w:szCs w:val="24"/>
              </w:rPr>
            </w:pPr>
            <w:r>
              <w:rPr>
                <w:rFonts w:hint="eastAsia" w:ascii="Times New Roman" w:hAnsi="宋体" w:cs="宋体"/>
                <w:b/>
                <w:sz w:val="24"/>
                <w:szCs w:val="24"/>
              </w:rPr>
              <w:t>评分因素</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ind w:right="248"/>
              <w:rPr>
                <w:rFonts w:hAnsi="宋体"/>
                <w:sz w:val="24"/>
                <w:szCs w:val="24"/>
              </w:rPr>
            </w:pPr>
            <w:r>
              <w:rPr>
                <w:rFonts w:hint="eastAsia" w:ascii="Times New Roman" w:hAnsi="宋体" w:cs="宋体"/>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jc w:val="center"/>
              <w:rPr>
                <w:rFonts w:hAnsi="宋体" w:cs="宋体"/>
                <w:kern w:val="1"/>
                <w:sz w:val="24"/>
                <w:szCs w:val="24"/>
              </w:rPr>
            </w:pPr>
            <w:r>
              <w:rPr>
                <w:rFonts w:hAnsi="宋体"/>
                <w:sz w:val="24"/>
                <w:szCs w:val="24"/>
              </w:rPr>
              <w:t>2.2.2</w:t>
            </w: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spacing w:before="0" w:after="0" w:line="276" w:lineRule="auto"/>
              <w:jc w:val="center"/>
              <w:rPr>
                <w:rFonts w:ascii="Calibri"/>
                <w:kern w:val="1"/>
                <w:szCs w:val="24"/>
              </w:rPr>
            </w:pPr>
            <w:r>
              <w:rPr>
                <w:rFonts w:hint="eastAsia" w:ascii="Times New Roman"/>
                <w:kern w:val="1"/>
                <w:szCs w:val="24"/>
              </w:rPr>
              <w:t>投标人获奖</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1080"/>
              </w:tabs>
              <w:spacing w:line="276" w:lineRule="auto"/>
              <w:rPr>
                <w:rFonts w:hAnsi="宋体" w:cs="宋体"/>
                <w:kern w:val="1"/>
                <w:sz w:val="24"/>
                <w:szCs w:val="24"/>
              </w:rPr>
            </w:pPr>
            <w:r>
              <w:rPr>
                <w:rFonts w:hint="eastAsia" w:ascii="Times New Roman" w:hAnsi="宋体" w:cs="宋体"/>
                <w:kern w:val="1"/>
                <w:sz w:val="24"/>
                <w:szCs w:val="24"/>
              </w:rPr>
              <w:t>以下情形为奖励额度，累计不超过</w:t>
            </w:r>
            <w:r>
              <w:rPr>
                <w:rFonts w:ascii="Times New Roman" w:hAnsi="宋体" w:cs="宋体"/>
                <w:kern w:val="1"/>
                <w:sz w:val="24"/>
                <w:szCs w:val="24"/>
              </w:rPr>
              <w:t>3%</w:t>
            </w:r>
            <w:r>
              <w:rPr>
                <w:rFonts w:hint="eastAsia" w:ascii="Times New Roman" w:hAnsi="宋体" w:cs="宋体"/>
                <w:kern w:val="1"/>
                <w:sz w:val="24"/>
                <w:szCs w:val="24"/>
              </w:rPr>
              <w:t>：</w:t>
            </w:r>
          </w:p>
          <w:p>
            <w:pPr>
              <w:tabs>
                <w:tab w:val="left" w:pos="1080"/>
              </w:tabs>
              <w:spacing w:line="276" w:lineRule="auto"/>
              <w:rPr>
                <w:rFonts w:hAnsi="宋体" w:cs="宋体"/>
                <w:kern w:val="1"/>
                <w:sz w:val="24"/>
                <w:szCs w:val="24"/>
              </w:rPr>
            </w:pPr>
            <w:r>
              <w:rPr>
                <w:rFonts w:ascii="Times New Roman" w:hAnsi="宋体" w:cs="宋体"/>
                <w:kern w:val="1"/>
                <w:sz w:val="24"/>
                <w:szCs w:val="24"/>
              </w:rPr>
              <w:t>1.</w:t>
            </w:r>
            <w:r>
              <w:rPr>
                <w:rFonts w:hint="eastAsia" w:ascii="Times New Roman" w:hAnsi="宋体" w:cs="宋体"/>
                <w:kern w:val="1"/>
                <w:sz w:val="24"/>
                <w:szCs w:val="24"/>
              </w:rPr>
              <w:t>承建的水利工程近三年获得省级以上（含省级）行政主管部门或其精神文明指导委员会颁发的“文明工地”称号的，增加或减少投标报价的</w:t>
            </w:r>
            <w:r>
              <w:rPr>
                <w:rFonts w:ascii="Times New Roman" w:hAnsi="宋体" w:cs="宋体"/>
                <w:kern w:val="1"/>
                <w:sz w:val="24"/>
                <w:szCs w:val="24"/>
              </w:rPr>
              <w:t>0.1%</w:t>
            </w:r>
            <w:r>
              <w:rPr>
                <w:rFonts w:hint="eastAsia" w:ascii="Times New Roman" w:hAnsi="宋体" w:cs="宋体"/>
                <w:kern w:val="1"/>
                <w:sz w:val="24"/>
                <w:szCs w:val="24"/>
              </w:rPr>
              <w:t>，本项最多不超过</w:t>
            </w:r>
            <w:r>
              <w:rPr>
                <w:rFonts w:ascii="Times New Roman" w:hAnsi="宋体" w:cs="宋体"/>
                <w:kern w:val="1"/>
                <w:sz w:val="24"/>
                <w:szCs w:val="24"/>
              </w:rPr>
              <w:t>0.5%</w:t>
            </w:r>
            <w:r>
              <w:rPr>
                <w:rFonts w:hint="eastAsia" w:ascii="Times New Roman" w:hAnsi="宋体" w:cs="宋体"/>
                <w:kern w:val="1"/>
                <w:sz w:val="24"/>
                <w:szCs w:val="24"/>
              </w:rPr>
              <w:t>。</w:t>
            </w:r>
          </w:p>
          <w:p>
            <w:pPr>
              <w:tabs>
                <w:tab w:val="left" w:pos="1080"/>
              </w:tabs>
              <w:spacing w:line="276" w:lineRule="auto"/>
              <w:rPr>
                <w:rFonts w:hAnsi="宋体" w:cs="宋体"/>
                <w:kern w:val="1"/>
                <w:sz w:val="24"/>
                <w:szCs w:val="24"/>
              </w:rPr>
            </w:pPr>
            <w:r>
              <w:rPr>
                <w:rFonts w:ascii="Times New Roman" w:hAnsi="宋体" w:cs="宋体"/>
                <w:kern w:val="1"/>
                <w:sz w:val="24"/>
                <w:szCs w:val="24"/>
              </w:rPr>
              <w:t>2.</w:t>
            </w:r>
            <w:r>
              <w:rPr>
                <w:rFonts w:hint="eastAsia" w:ascii="Times New Roman" w:hAnsi="宋体" w:cs="宋体"/>
                <w:kern w:val="1"/>
                <w:sz w:val="24"/>
                <w:szCs w:val="24"/>
              </w:rPr>
              <w:t>承建的水利工程近三年获得省级行政主管部门颁发的“优质工程”或“优秀施工”的，增加或减少投标报价的</w:t>
            </w:r>
            <w:r>
              <w:rPr>
                <w:rFonts w:ascii="Times New Roman" w:hAnsi="宋体" w:cs="宋体"/>
                <w:kern w:val="1"/>
                <w:sz w:val="24"/>
                <w:szCs w:val="24"/>
              </w:rPr>
              <w:t>0.1%</w:t>
            </w:r>
            <w:r>
              <w:rPr>
                <w:rFonts w:hint="eastAsia" w:ascii="Times New Roman" w:hAnsi="宋体" w:cs="宋体"/>
                <w:kern w:val="1"/>
                <w:sz w:val="24"/>
                <w:szCs w:val="24"/>
              </w:rPr>
              <w:t>，本项最多不超过</w:t>
            </w:r>
            <w:r>
              <w:rPr>
                <w:rFonts w:ascii="Times New Roman" w:hAnsi="宋体" w:cs="宋体"/>
                <w:kern w:val="1"/>
                <w:sz w:val="24"/>
                <w:szCs w:val="24"/>
              </w:rPr>
              <w:t>0.5%</w:t>
            </w:r>
            <w:r>
              <w:rPr>
                <w:rFonts w:hint="eastAsia" w:ascii="Times New Roman" w:hAnsi="宋体" w:cs="宋体"/>
                <w:kern w:val="1"/>
                <w:sz w:val="24"/>
                <w:szCs w:val="24"/>
              </w:rPr>
              <w:t>。</w:t>
            </w:r>
          </w:p>
          <w:p>
            <w:pPr>
              <w:tabs>
                <w:tab w:val="left" w:pos="1080"/>
              </w:tabs>
              <w:spacing w:line="276" w:lineRule="auto"/>
              <w:rPr>
                <w:rFonts w:hAnsi="宋体" w:cs="宋体"/>
                <w:kern w:val="1"/>
                <w:sz w:val="24"/>
                <w:szCs w:val="24"/>
              </w:rPr>
            </w:pPr>
            <w:r>
              <w:rPr>
                <w:rFonts w:ascii="Times New Roman" w:hAnsi="宋体" w:cs="宋体"/>
                <w:kern w:val="1"/>
                <w:sz w:val="24"/>
                <w:szCs w:val="24"/>
              </w:rPr>
              <w:t>3.</w:t>
            </w:r>
            <w:r>
              <w:rPr>
                <w:rFonts w:hint="eastAsia" w:ascii="Times New Roman" w:hAnsi="宋体" w:cs="宋体"/>
                <w:kern w:val="1"/>
                <w:sz w:val="24"/>
                <w:szCs w:val="24"/>
              </w:rPr>
              <w:t>承建的水利工程近三年获得“大禹奖”或“鲁班奖”的，增加或减少投标报价的</w:t>
            </w:r>
            <w:r>
              <w:rPr>
                <w:rFonts w:ascii="Times New Roman" w:hAnsi="宋体" w:cs="宋体"/>
                <w:kern w:val="1"/>
                <w:sz w:val="24"/>
                <w:szCs w:val="24"/>
              </w:rPr>
              <w:t>1%</w:t>
            </w:r>
            <w:r>
              <w:rPr>
                <w:rFonts w:hint="eastAsia" w:ascii="Times New Roman" w:hAnsi="宋体" w:cs="宋体"/>
                <w:kern w:val="1"/>
                <w:sz w:val="24"/>
                <w:szCs w:val="24"/>
              </w:rPr>
              <w:t>，本项最多不超过</w:t>
            </w:r>
            <w:r>
              <w:rPr>
                <w:rFonts w:ascii="Times New Roman" w:hAnsi="宋体" w:cs="宋体"/>
                <w:kern w:val="1"/>
                <w:sz w:val="24"/>
                <w:szCs w:val="24"/>
              </w:rPr>
              <w:t>1%</w:t>
            </w:r>
            <w:r>
              <w:rPr>
                <w:rFonts w:hint="eastAsia" w:ascii="Times New Roman" w:hAnsi="宋体" w:cs="宋体"/>
                <w:kern w:val="1"/>
                <w:sz w:val="24"/>
                <w:szCs w:val="24"/>
              </w:rPr>
              <w:t>。</w:t>
            </w:r>
          </w:p>
          <w:p>
            <w:pPr>
              <w:tabs>
                <w:tab w:val="left" w:pos="1080"/>
              </w:tabs>
              <w:spacing w:line="276" w:lineRule="auto"/>
              <w:rPr>
                <w:rFonts w:hAnsi="宋体" w:cs="宋体"/>
                <w:kern w:val="1"/>
                <w:sz w:val="24"/>
                <w:szCs w:val="24"/>
              </w:rPr>
            </w:pPr>
            <w:r>
              <w:rPr>
                <w:rFonts w:ascii="Times New Roman" w:hAnsi="宋体" w:cs="宋体"/>
                <w:kern w:val="1"/>
                <w:sz w:val="24"/>
                <w:szCs w:val="24"/>
              </w:rPr>
              <w:t>4.</w:t>
            </w:r>
            <w:r>
              <w:rPr>
                <w:rFonts w:hint="eastAsia" w:ascii="Times New Roman" w:hAnsi="宋体" w:cs="宋体"/>
                <w:kern w:val="1"/>
                <w:sz w:val="24"/>
                <w:szCs w:val="24"/>
              </w:rPr>
              <w:t>获得“水利安全生产标准化”达标单位的，一级（水利部颁发）增加或减少投标报价</w:t>
            </w:r>
            <w:r>
              <w:rPr>
                <w:rFonts w:ascii="Times New Roman" w:hAnsi="宋体" w:cs="宋体"/>
                <w:kern w:val="1"/>
                <w:sz w:val="24"/>
                <w:szCs w:val="24"/>
              </w:rPr>
              <w:t>1.5%</w:t>
            </w:r>
            <w:r>
              <w:rPr>
                <w:rFonts w:hint="eastAsia" w:ascii="Times New Roman" w:hAnsi="宋体" w:cs="宋体"/>
                <w:kern w:val="1"/>
                <w:sz w:val="24"/>
                <w:szCs w:val="24"/>
              </w:rPr>
              <w:t>，二级（省级水行政主管部门颁发）增加或减少投标报价</w:t>
            </w:r>
            <w:r>
              <w:rPr>
                <w:rFonts w:ascii="Times New Roman" w:hAnsi="宋体" w:cs="宋体"/>
                <w:kern w:val="1"/>
                <w:sz w:val="24"/>
                <w:szCs w:val="24"/>
              </w:rPr>
              <w:t>1%</w:t>
            </w:r>
            <w:r>
              <w:rPr>
                <w:rFonts w:hint="eastAsia" w:ascii="Times New Roman" w:hAnsi="宋体" w:cs="宋体"/>
                <w:kern w:val="1"/>
                <w:sz w:val="24"/>
                <w:szCs w:val="24"/>
              </w:rPr>
              <w:t>，三级（省辖市或直管县水行政主管部门颁发）增加或减少投标报价</w:t>
            </w:r>
            <w:r>
              <w:rPr>
                <w:rFonts w:ascii="Times New Roman" w:hAnsi="宋体" w:cs="宋体"/>
                <w:kern w:val="1"/>
                <w:sz w:val="24"/>
                <w:szCs w:val="24"/>
              </w:rPr>
              <w:t>0.5%</w:t>
            </w:r>
            <w:r>
              <w:rPr>
                <w:rFonts w:hint="eastAsia" w:ascii="Times New Roman" w:hAnsi="宋体" w:cs="宋体"/>
                <w:kern w:val="1"/>
                <w:sz w:val="24"/>
                <w:szCs w:val="24"/>
              </w:rPr>
              <w:t>。</w:t>
            </w:r>
          </w:p>
          <w:p>
            <w:pPr>
              <w:tabs>
                <w:tab w:val="left" w:pos="1080"/>
              </w:tabs>
              <w:spacing w:line="276" w:lineRule="auto"/>
              <w:rPr>
                <w:rFonts w:hAnsi="宋体" w:cs="宋体"/>
                <w:kern w:val="1"/>
                <w:sz w:val="24"/>
                <w:szCs w:val="24"/>
              </w:rPr>
            </w:pPr>
            <w:r>
              <w:rPr>
                <w:rFonts w:hint="eastAsia" w:ascii="Times New Roman" w:hAnsi="宋体" w:cs="宋体"/>
                <w:kern w:val="1"/>
                <w:sz w:val="24"/>
                <w:szCs w:val="24"/>
              </w:rPr>
              <w:t>上述</w:t>
            </w:r>
            <w:r>
              <w:rPr>
                <w:rFonts w:hAnsi="宋体" w:cs="宋体"/>
                <w:kern w:val="1"/>
                <w:sz w:val="24"/>
                <w:szCs w:val="24"/>
              </w:rPr>
              <w:t>1</w:t>
            </w:r>
            <w:r>
              <w:rPr>
                <w:rFonts w:hint="eastAsia" w:ascii="Times New Roman" w:hAnsi="宋体" w:cs="宋体"/>
                <w:kern w:val="1"/>
                <w:sz w:val="24"/>
                <w:szCs w:val="24"/>
              </w:rPr>
              <w:t>、</w:t>
            </w:r>
            <w:r>
              <w:rPr>
                <w:rFonts w:hAnsi="宋体" w:cs="宋体"/>
                <w:kern w:val="1"/>
                <w:sz w:val="24"/>
                <w:szCs w:val="24"/>
              </w:rPr>
              <w:t>2</w:t>
            </w:r>
            <w:r>
              <w:rPr>
                <w:rFonts w:hint="eastAsia" w:ascii="Times New Roman" w:hAnsi="宋体" w:cs="宋体"/>
                <w:kern w:val="1"/>
                <w:sz w:val="24"/>
                <w:szCs w:val="24"/>
              </w:rPr>
              <w:t>、</w:t>
            </w:r>
            <w:r>
              <w:rPr>
                <w:rFonts w:hAnsi="宋体" w:cs="宋体"/>
                <w:kern w:val="1"/>
                <w:sz w:val="24"/>
                <w:szCs w:val="24"/>
              </w:rPr>
              <w:t>3</w:t>
            </w:r>
            <w:r>
              <w:rPr>
                <w:rFonts w:hint="eastAsia" w:ascii="Times New Roman" w:hAnsi="宋体" w:cs="宋体"/>
                <w:kern w:val="1"/>
                <w:sz w:val="24"/>
                <w:szCs w:val="24"/>
              </w:rPr>
              <w:t>项加分时，同一奖项类别的同一工程不重复计算</w:t>
            </w:r>
            <w:r>
              <w:rPr>
                <w:rFonts w:hAnsi="宋体" w:cs="宋体"/>
                <w:kern w:val="1"/>
                <w:sz w:val="24"/>
                <w:szCs w:val="24"/>
              </w:rPr>
              <w:t>,</w:t>
            </w:r>
            <w:r>
              <w:rPr>
                <w:rFonts w:hint="eastAsia" w:ascii="Times New Roman" w:hAnsi="宋体" w:cs="宋体"/>
                <w:kern w:val="1"/>
                <w:sz w:val="24"/>
                <w:szCs w:val="24"/>
              </w:rPr>
              <w:t>同一工程获得两个以上奖项按最高奖项计算一次。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kern w:val="2"/>
                <w:sz w:val="21"/>
                <w:szCs w:val="22"/>
              </w:rPr>
            </w:pP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spacing w:before="0" w:after="0" w:line="276" w:lineRule="auto"/>
              <w:jc w:val="center"/>
              <w:rPr>
                <w:rFonts w:ascii="Calibri"/>
                <w:kern w:val="1"/>
                <w:szCs w:val="24"/>
              </w:rPr>
            </w:pPr>
            <w:r>
              <w:rPr>
                <w:rFonts w:hint="eastAsia" w:ascii="Times New Roman"/>
                <w:kern w:val="1"/>
                <w:szCs w:val="24"/>
              </w:rPr>
              <w:t>投标人受罚</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1080"/>
              </w:tabs>
              <w:spacing w:line="276" w:lineRule="auto"/>
              <w:rPr>
                <w:rFonts w:hAnsi="宋体" w:cs="宋体"/>
                <w:kern w:val="1"/>
                <w:sz w:val="24"/>
                <w:szCs w:val="24"/>
              </w:rPr>
            </w:pPr>
            <w:r>
              <w:rPr>
                <w:rFonts w:hint="eastAsia" w:ascii="Times New Roman" w:hAnsi="宋体" w:cs="宋体"/>
                <w:kern w:val="1"/>
                <w:sz w:val="24"/>
                <w:szCs w:val="24"/>
              </w:rPr>
              <w:t>以下情形为惩罚额度，没有累计限制：</w:t>
            </w:r>
          </w:p>
          <w:p>
            <w:pPr>
              <w:tabs>
                <w:tab w:val="left" w:pos="1080"/>
              </w:tabs>
              <w:spacing w:line="276" w:lineRule="auto"/>
              <w:rPr>
                <w:rFonts w:hAnsi="宋体" w:cs="宋体"/>
                <w:kern w:val="1"/>
                <w:sz w:val="24"/>
                <w:szCs w:val="24"/>
              </w:rPr>
            </w:pPr>
            <w:r>
              <w:rPr>
                <w:rFonts w:ascii="Times New Roman" w:hAnsi="宋体" w:cs="宋体"/>
                <w:kern w:val="1"/>
                <w:sz w:val="24"/>
                <w:szCs w:val="24"/>
              </w:rPr>
              <w:t>1.</w:t>
            </w:r>
            <w:r>
              <w:rPr>
                <w:rFonts w:hint="eastAsia" w:ascii="Times New Roman" w:hAnsi="宋体" w:cs="宋体"/>
                <w:kern w:val="1"/>
                <w:sz w:val="24"/>
                <w:szCs w:val="24"/>
              </w:rPr>
              <w:t>近三年承建的水利工程发生过一般安全生产事故的，一次增加或减少投标报价的</w:t>
            </w:r>
            <w:r>
              <w:rPr>
                <w:rFonts w:ascii="Times New Roman" w:hAnsi="宋体" w:cs="宋体"/>
                <w:kern w:val="1"/>
                <w:sz w:val="24"/>
                <w:szCs w:val="24"/>
              </w:rPr>
              <w:t>3%</w:t>
            </w:r>
            <w:r>
              <w:rPr>
                <w:rFonts w:hint="eastAsia" w:ascii="Times New Roman" w:hAnsi="宋体" w:cs="宋体"/>
                <w:kern w:val="1"/>
                <w:sz w:val="24"/>
                <w:szCs w:val="24"/>
              </w:rPr>
              <w:t>，较大及以上的一次增加或减少投标报价的</w:t>
            </w:r>
            <w:r>
              <w:rPr>
                <w:rFonts w:ascii="Times New Roman" w:hAnsi="宋体" w:cs="宋体"/>
                <w:kern w:val="1"/>
                <w:sz w:val="24"/>
                <w:szCs w:val="24"/>
              </w:rPr>
              <w:t>5%</w:t>
            </w:r>
            <w:r>
              <w:rPr>
                <w:rFonts w:hint="eastAsia" w:ascii="Times New Roman" w:hAnsi="宋体" w:cs="宋体"/>
                <w:kern w:val="1"/>
                <w:sz w:val="24"/>
                <w:szCs w:val="24"/>
              </w:rPr>
              <w:t>。</w:t>
            </w:r>
          </w:p>
          <w:p>
            <w:pPr>
              <w:tabs>
                <w:tab w:val="left" w:pos="1080"/>
              </w:tabs>
              <w:spacing w:line="276" w:lineRule="auto"/>
              <w:rPr>
                <w:rFonts w:hAnsi="宋体" w:cs="宋体"/>
                <w:kern w:val="1"/>
                <w:sz w:val="24"/>
                <w:szCs w:val="24"/>
              </w:rPr>
            </w:pPr>
            <w:r>
              <w:rPr>
                <w:rFonts w:ascii="Times New Roman" w:hAnsi="宋体" w:cs="宋体"/>
                <w:kern w:val="1"/>
                <w:sz w:val="24"/>
                <w:szCs w:val="24"/>
              </w:rPr>
              <w:t>2.</w:t>
            </w:r>
            <w:r>
              <w:rPr>
                <w:rFonts w:hint="eastAsia" w:ascii="Times New Roman" w:hAnsi="宋体" w:cs="宋体"/>
                <w:kern w:val="1"/>
                <w:sz w:val="24"/>
                <w:szCs w:val="24"/>
              </w:rPr>
              <w:t>近三年承建的水利工程发生过一般质量事故的，一次增加或减少投标报价的</w:t>
            </w:r>
            <w:r>
              <w:rPr>
                <w:rFonts w:ascii="Times New Roman" w:hAnsi="宋体" w:cs="宋体"/>
                <w:kern w:val="1"/>
                <w:sz w:val="24"/>
                <w:szCs w:val="24"/>
              </w:rPr>
              <w:t>3%</w:t>
            </w:r>
            <w:r>
              <w:rPr>
                <w:rFonts w:hint="eastAsia" w:ascii="Times New Roman" w:hAnsi="宋体" w:cs="宋体"/>
                <w:kern w:val="1"/>
                <w:sz w:val="24"/>
                <w:szCs w:val="24"/>
              </w:rPr>
              <w:t>，较大及以上的一次增加或减少投标报价的</w:t>
            </w:r>
            <w:r>
              <w:rPr>
                <w:rFonts w:ascii="Times New Roman" w:hAnsi="宋体" w:cs="宋体"/>
                <w:kern w:val="1"/>
                <w:sz w:val="24"/>
                <w:szCs w:val="24"/>
              </w:rPr>
              <w:t>5%</w:t>
            </w:r>
            <w:r>
              <w:rPr>
                <w:rFonts w:hint="eastAsia" w:ascii="Times New Roman" w:hAnsi="宋体" w:cs="宋体"/>
                <w:kern w:val="1"/>
                <w:sz w:val="24"/>
                <w:szCs w:val="24"/>
              </w:rPr>
              <w:t>。</w:t>
            </w:r>
          </w:p>
          <w:p>
            <w:pPr>
              <w:tabs>
                <w:tab w:val="left" w:pos="1080"/>
              </w:tabs>
              <w:spacing w:line="276" w:lineRule="auto"/>
              <w:rPr>
                <w:rFonts w:hAnsi="宋体" w:cs="宋体"/>
                <w:kern w:val="1"/>
                <w:sz w:val="24"/>
                <w:szCs w:val="24"/>
              </w:rPr>
            </w:pPr>
            <w:r>
              <w:rPr>
                <w:rFonts w:hAnsi="宋体" w:cs="宋体"/>
                <w:kern w:val="1"/>
                <w:sz w:val="24"/>
                <w:szCs w:val="24"/>
              </w:rPr>
              <w:t>3.</w:t>
            </w:r>
            <w:r>
              <w:rPr>
                <w:rFonts w:hint="eastAsia" w:ascii="Times New Roman" w:hAnsi="宋体" w:cs="宋体"/>
                <w:kern w:val="1"/>
                <w:sz w:val="24"/>
                <w:szCs w:val="24"/>
              </w:rPr>
              <w:t>除以上</w:t>
            </w:r>
            <w:r>
              <w:rPr>
                <w:rFonts w:hAnsi="宋体" w:cs="宋体"/>
                <w:kern w:val="1"/>
                <w:sz w:val="24"/>
                <w:szCs w:val="24"/>
              </w:rPr>
              <w:t>1</w:t>
            </w:r>
            <w:r>
              <w:rPr>
                <w:rFonts w:hint="eastAsia" w:ascii="Times New Roman" w:hAnsi="宋体" w:cs="宋体"/>
                <w:kern w:val="1"/>
                <w:sz w:val="24"/>
                <w:szCs w:val="24"/>
              </w:rPr>
              <w:t>、</w:t>
            </w:r>
            <w:r>
              <w:rPr>
                <w:rFonts w:hAnsi="宋体" w:cs="宋体"/>
                <w:kern w:val="1"/>
                <w:sz w:val="24"/>
                <w:szCs w:val="24"/>
              </w:rPr>
              <w:t>2</w:t>
            </w:r>
            <w:r>
              <w:rPr>
                <w:rFonts w:hint="eastAsia" w:ascii="Times New Roman" w:hAnsi="宋体" w:cs="宋体"/>
                <w:kern w:val="1"/>
                <w:sz w:val="24"/>
                <w:szCs w:val="24"/>
              </w:rPr>
              <w:t>项外，不良行为记录在河南省或全国水利建设市场信用信息平台上公告且在处罚期限内的，一次增加或减少投标报价的</w:t>
            </w:r>
            <w:r>
              <w:rPr>
                <w:rFonts w:hAnsi="宋体" w:cs="宋体"/>
                <w:kern w:val="1"/>
                <w:sz w:val="24"/>
                <w:szCs w:val="24"/>
              </w:rPr>
              <w:t>3%</w:t>
            </w:r>
            <w:r>
              <w:rPr>
                <w:rFonts w:hint="eastAsia" w:ascii="Times New Roman" w:hAnsi="宋体" w:cs="宋体"/>
                <w:kern w:val="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rPr>
                <w:rFonts w:hAnsi="宋体" w:cs="宋体"/>
                <w:kern w:val="1"/>
                <w:sz w:val="24"/>
                <w:szCs w:val="24"/>
              </w:rPr>
            </w:pP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spacing w:before="0" w:after="0" w:line="276" w:lineRule="auto"/>
              <w:jc w:val="center"/>
              <w:rPr>
                <w:rFonts w:ascii="Calibri"/>
                <w:kern w:val="1"/>
                <w:szCs w:val="24"/>
              </w:rPr>
            </w:pPr>
            <w:r>
              <w:rPr>
                <w:rFonts w:hint="eastAsia" w:ascii="Times New Roman"/>
                <w:kern w:val="1"/>
                <w:szCs w:val="24"/>
              </w:rPr>
              <w:t>投标人信用等级</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1080"/>
              </w:tabs>
              <w:spacing w:line="276" w:lineRule="auto"/>
              <w:rPr>
                <w:rFonts w:hAnsi="宋体" w:cs="宋体"/>
                <w:kern w:val="1"/>
                <w:sz w:val="24"/>
                <w:szCs w:val="24"/>
              </w:rPr>
            </w:pPr>
            <w:r>
              <w:rPr>
                <w:rFonts w:hint="eastAsia" w:ascii="Times New Roman" w:hAnsi="宋体" w:cs="宋体"/>
                <w:kern w:val="1"/>
                <w:sz w:val="24"/>
                <w:szCs w:val="24"/>
              </w:rPr>
              <w:t>投标人信用等级的权重</w:t>
            </w:r>
            <w:r>
              <w:rPr>
                <w:rFonts w:ascii="Times New Roman" w:hAnsi="宋体" w:cs="宋体"/>
                <w:kern w:val="1"/>
                <w:sz w:val="24"/>
                <w:szCs w:val="24"/>
              </w:rPr>
              <w:t>:</w:t>
            </w:r>
            <w:r>
              <w:rPr>
                <w:rFonts w:hint="eastAsia" w:ascii="Times New Roman" w:hAnsi="宋体" w:cs="宋体"/>
                <w:kern w:val="1"/>
                <w:sz w:val="24"/>
                <w:szCs w:val="24"/>
              </w:rPr>
              <w:t>信用等级经水利部评定且在有效期内，并以</w:t>
            </w:r>
            <w:r>
              <w:rPr>
                <w:rFonts w:hint="eastAsia" w:ascii="Times New Roman" w:hAnsi="宋体" w:cs="宋体"/>
                <w:kern w:val="2"/>
                <w:sz w:val="24"/>
                <w:szCs w:val="24"/>
                <w:lang w:val="zh-CN"/>
              </w:rPr>
              <w:t>河南省水利建设市场信用信息平台或全国水利建设市场信用信息管理系统</w:t>
            </w:r>
            <w:r>
              <w:rPr>
                <w:rFonts w:hint="eastAsia" w:ascii="Times New Roman" w:hAnsi="宋体" w:cs="宋体"/>
                <w:kern w:val="2"/>
                <w:sz w:val="24"/>
                <w:szCs w:val="24"/>
              </w:rPr>
              <w:t>（</w:t>
            </w:r>
            <w:r>
              <w:rPr>
                <w:rFonts w:ascii="Times New Roman" w:hAnsi="宋体" w:cs="宋体"/>
                <w:kern w:val="2"/>
                <w:sz w:val="24"/>
                <w:szCs w:val="24"/>
              </w:rPr>
              <w:t>http</w:t>
            </w:r>
            <w:r>
              <w:rPr>
                <w:rFonts w:hint="eastAsia" w:ascii="Times New Roman" w:hAnsi="宋体" w:cs="宋体"/>
                <w:kern w:val="2"/>
                <w:sz w:val="24"/>
                <w:szCs w:val="24"/>
              </w:rPr>
              <w:t>：</w:t>
            </w:r>
            <w:r>
              <w:rPr>
                <w:rFonts w:ascii="Times New Roman" w:hAnsi="宋体" w:cs="宋体"/>
                <w:kern w:val="2"/>
                <w:sz w:val="24"/>
                <w:szCs w:val="24"/>
              </w:rPr>
              <w:t>//rccr.cwun.org</w:t>
            </w:r>
            <w:r>
              <w:rPr>
                <w:rFonts w:hint="eastAsia" w:ascii="Times New Roman" w:hAnsi="宋体" w:cs="宋体"/>
                <w:kern w:val="2"/>
                <w:sz w:val="24"/>
                <w:szCs w:val="24"/>
              </w:rPr>
              <w:t>）</w:t>
            </w:r>
            <w:r>
              <w:rPr>
                <w:rFonts w:hint="eastAsia" w:ascii="Times New Roman" w:hAnsi="宋体" w:cs="宋体"/>
                <w:kern w:val="1"/>
                <w:sz w:val="24"/>
                <w:szCs w:val="24"/>
              </w:rPr>
              <w:t>公开的为准。信用等级分值或权重：</w:t>
            </w:r>
            <w:r>
              <w:rPr>
                <w:rFonts w:ascii="Times New Roman" w:hAnsi="宋体" w:cs="宋体"/>
                <w:kern w:val="1"/>
                <w:sz w:val="24"/>
                <w:szCs w:val="24"/>
              </w:rPr>
              <w:t>AAA</w:t>
            </w:r>
            <w:r>
              <w:rPr>
                <w:rFonts w:hint="eastAsia" w:ascii="Times New Roman" w:hAnsi="宋体" w:cs="宋体"/>
                <w:kern w:val="1"/>
                <w:sz w:val="24"/>
                <w:szCs w:val="24"/>
              </w:rPr>
              <w:t>级为</w:t>
            </w:r>
            <w:r>
              <w:rPr>
                <w:rFonts w:ascii="Times New Roman" w:hAnsi="宋体" w:cs="宋体"/>
                <w:kern w:val="1"/>
                <w:sz w:val="24"/>
                <w:szCs w:val="24"/>
              </w:rPr>
              <w:t>5%</w:t>
            </w:r>
            <w:r>
              <w:rPr>
                <w:rFonts w:hint="eastAsia" w:ascii="Times New Roman" w:hAnsi="宋体" w:cs="宋体"/>
                <w:kern w:val="1"/>
                <w:sz w:val="24"/>
                <w:szCs w:val="24"/>
              </w:rPr>
              <w:t>，</w:t>
            </w:r>
            <w:r>
              <w:rPr>
                <w:rFonts w:ascii="Times New Roman" w:hAnsi="宋体" w:cs="宋体"/>
                <w:kern w:val="1"/>
                <w:sz w:val="24"/>
                <w:szCs w:val="24"/>
              </w:rPr>
              <w:t>AA</w:t>
            </w:r>
            <w:r>
              <w:rPr>
                <w:rFonts w:hint="eastAsia" w:ascii="Times New Roman" w:hAnsi="宋体" w:cs="宋体"/>
                <w:kern w:val="1"/>
                <w:sz w:val="24"/>
                <w:szCs w:val="24"/>
              </w:rPr>
              <w:t>级为</w:t>
            </w:r>
            <w:r>
              <w:rPr>
                <w:rFonts w:ascii="Times New Roman" w:hAnsi="宋体" w:cs="宋体"/>
                <w:kern w:val="1"/>
                <w:sz w:val="24"/>
                <w:szCs w:val="24"/>
              </w:rPr>
              <w:t>4%</w:t>
            </w:r>
            <w:r>
              <w:rPr>
                <w:rFonts w:hint="eastAsia" w:ascii="Times New Roman" w:hAnsi="宋体" w:cs="宋体"/>
                <w:kern w:val="1"/>
                <w:sz w:val="24"/>
                <w:szCs w:val="24"/>
              </w:rPr>
              <w:t>，</w:t>
            </w:r>
            <w:r>
              <w:rPr>
                <w:rFonts w:ascii="Times New Roman" w:hAnsi="宋体" w:cs="宋体"/>
                <w:kern w:val="1"/>
                <w:sz w:val="24"/>
                <w:szCs w:val="24"/>
              </w:rPr>
              <w:t>A</w:t>
            </w:r>
            <w:r>
              <w:rPr>
                <w:rFonts w:hint="eastAsia" w:ascii="Times New Roman" w:hAnsi="宋体" w:cs="宋体"/>
                <w:kern w:val="1"/>
                <w:sz w:val="24"/>
                <w:szCs w:val="24"/>
              </w:rPr>
              <w:t>级为</w:t>
            </w:r>
            <w:r>
              <w:rPr>
                <w:rFonts w:ascii="Times New Roman" w:hAnsi="宋体" w:cs="宋体"/>
                <w:kern w:val="1"/>
                <w:sz w:val="24"/>
                <w:szCs w:val="24"/>
              </w:rPr>
              <w:t>3%</w:t>
            </w:r>
            <w:r>
              <w:rPr>
                <w:rFonts w:hint="eastAsia" w:ascii="Times New Roman" w:hAnsi="宋体" w:cs="宋体"/>
                <w:kern w:val="1"/>
                <w:sz w:val="24"/>
                <w:szCs w:val="24"/>
              </w:rPr>
              <w:t>，</w:t>
            </w:r>
            <w:r>
              <w:rPr>
                <w:rFonts w:ascii="Times New Roman" w:hAnsi="宋体" w:cs="宋体"/>
                <w:kern w:val="1"/>
                <w:sz w:val="24"/>
                <w:szCs w:val="24"/>
              </w:rPr>
              <w:t>BBB</w:t>
            </w:r>
            <w:r>
              <w:rPr>
                <w:rFonts w:hint="eastAsia" w:ascii="Times New Roman" w:hAnsi="宋体" w:cs="宋体"/>
                <w:kern w:val="1"/>
                <w:sz w:val="24"/>
                <w:szCs w:val="24"/>
              </w:rPr>
              <w:t>级为</w:t>
            </w:r>
            <w:r>
              <w:rPr>
                <w:rFonts w:ascii="Times New Roman" w:hAnsi="宋体" w:cs="宋体"/>
                <w:kern w:val="1"/>
                <w:sz w:val="24"/>
                <w:szCs w:val="24"/>
              </w:rPr>
              <w:t>1%</w:t>
            </w:r>
            <w:r>
              <w:rPr>
                <w:rFonts w:hint="eastAsia" w:ascii="Times New Roman" w:hAnsi="宋体" w:cs="宋体"/>
                <w:kern w:val="1"/>
                <w:sz w:val="24"/>
                <w:szCs w:val="24"/>
              </w:rPr>
              <w:t>，</w:t>
            </w:r>
            <w:r>
              <w:rPr>
                <w:rFonts w:ascii="Times New Roman" w:hAnsi="宋体" w:cs="宋体"/>
                <w:kern w:val="1"/>
                <w:sz w:val="24"/>
                <w:szCs w:val="24"/>
              </w:rPr>
              <w:t>CCC</w:t>
            </w:r>
            <w:r>
              <w:rPr>
                <w:rFonts w:hint="eastAsia" w:ascii="Times New Roman" w:hAnsi="宋体" w:cs="宋体"/>
                <w:kern w:val="1"/>
                <w:sz w:val="24"/>
                <w:szCs w:val="24"/>
              </w:rPr>
              <w:t>级为</w:t>
            </w:r>
            <w:r>
              <w:rPr>
                <w:rFonts w:ascii="Times New Roman" w:hAnsi="宋体" w:cs="宋体"/>
                <w:kern w:val="1"/>
                <w:sz w:val="24"/>
                <w:szCs w:val="24"/>
              </w:rPr>
              <w:t>0</w:t>
            </w:r>
            <w:r>
              <w:rPr>
                <w:rFonts w:hint="eastAsia" w:ascii="Times New Roman" w:hAnsi="宋体" w:cs="宋体"/>
                <w:kern w:val="1"/>
                <w:sz w:val="24"/>
                <w:szCs w:val="24"/>
              </w:rPr>
              <w:t>。</w:t>
            </w:r>
          </w:p>
          <w:p>
            <w:pPr>
              <w:tabs>
                <w:tab w:val="left" w:pos="1080"/>
              </w:tabs>
              <w:spacing w:line="276" w:lineRule="auto"/>
              <w:rPr>
                <w:rFonts w:hAnsi="宋体" w:cs="宋体"/>
                <w:kern w:val="1"/>
                <w:sz w:val="24"/>
                <w:szCs w:val="24"/>
              </w:rPr>
            </w:pPr>
            <w:r>
              <w:rPr>
                <w:rFonts w:hint="eastAsia" w:ascii="Times New Roman" w:hAnsi="宋体" w:cs="宋体"/>
                <w:kern w:val="1"/>
                <w:sz w:val="24"/>
                <w:szCs w:val="24"/>
              </w:rPr>
              <w:t>（一）投标人在信用信息平台已建立信用档案，没有信用等级的，其信用等级视为</w:t>
            </w:r>
            <w:r>
              <w:rPr>
                <w:rFonts w:ascii="Times New Roman" w:hAnsi="宋体" w:cs="宋体"/>
                <w:kern w:val="1"/>
                <w:sz w:val="24"/>
                <w:szCs w:val="24"/>
              </w:rPr>
              <w:t>BBB</w:t>
            </w:r>
            <w:r>
              <w:rPr>
                <w:rFonts w:hint="eastAsia" w:ascii="Times New Roman" w:hAnsi="宋体" w:cs="宋体"/>
                <w:kern w:val="1"/>
                <w:sz w:val="24"/>
                <w:szCs w:val="24"/>
              </w:rPr>
              <w:t>级；未建立信用档案的视为</w:t>
            </w:r>
            <w:r>
              <w:rPr>
                <w:rFonts w:ascii="Times New Roman" w:hAnsi="宋体" w:cs="宋体"/>
                <w:kern w:val="1"/>
                <w:sz w:val="24"/>
                <w:szCs w:val="24"/>
              </w:rPr>
              <w:t>CCC</w:t>
            </w:r>
            <w:r>
              <w:rPr>
                <w:rFonts w:hint="eastAsia" w:ascii="Times New Roman" w:hAnsi="宋体" w:cs="宋体"/>
                <w:kern w:val="1"/>
                <w:sz w:val="24"/>
                <w:szCs w:val="24"/>
              </w:rPr>
              <w:t>级。</w:t>
            </w:r>
          </w:p>
          <w:p>
            <w:pPr>
              <w:tabs>
                <w:tab w:val="left" w:pos="1080"/>
              </w:tabs>
              <w:spacing w:line="276" w:lineRule="auto"/>
              <w:rPr>
                <w:rFonts w:hAnsi="宋体" w:cs="宋体"/>
                <w:kern w:val="1"/>
                <w:sz w:val="24"/>
                <w:szCs w:val="24"/>
              </w:rPr>
            </w:pPr>
            <w:r>
              <w:rPr>
                <w:rFonts w:hint="eastAsia" w:ascii="Times New Roman" w:hAnsi="宋体" w:cs="宋体"/>
                <w:kern w:val="1"/>
                <w:sz w:val="24"/>
                <w:szCs w:val="24"/>
              </w:rPr>
              <w:t>（二）投标人近两年内存在且被发现有下列严重失信行为的，信用等级视为</w:t>
            </w:r>
            <w:r>
              <w:rPr>
                <w:rFonts w:ascii="Times New Roman" w:hAnsi="宋体" w:cs="宋体"/>
                <w:kern w:val="1"/>
                <w:sz w:val="24"/>
                <w:szCs w:val="24"/>
              </w:rPr>
              <w:t>CCC</w:t>
            </w:r>
            <w:r>
              <w:rPr>
                <w:rFonts w:hint="eastAsia" w:ascii="Times New Roman" w:hAnsi="宋体" w:cs="宋体"/>
                <w:kern w:val="1"/>
                <w:sz w:val="24"/>
                <w:szCs w:val="24"/>
              </w:rPr>
              <w:t>级：</w:t>
            </w:r>
          </w:p>
          <w:p>
            <w:pPr>
              <w:tabs>
                <w:tab w:val="left" w:pos="1080"/>
              </w:tabs>
              <w:spacing w:line="276" w:lineRule="auto"/>
              <w:rPr>
                <w:rFonts w:hAnsi="宋体" w:cs="宋体"/>
                <w:kern w:val="1"/>
                <w:sz w:val="24"/>
                <w:szCs w:val="24"/>
              </w:rPr>
            </w:pPr>
            <w:r>
              <w:rPr>
                <w:rFonts w:ascii="Times New Roman" w:hAnsi="宋体" w:cs="宋体"/>
                <w:kern w:val="1"/>
                <w:sz w:val="24"/>
                <w:szCs w:val="24"/>
              </w:rPr>
              <w:t>1.</w:t>
            </w:r>
            <w:r>
              <w:rPr>
                <w:rFonts w:hint="eastAsia" w:ascii="Times New Roman" w:hAnsi="宋体" w:cs="宋体"/>
                <w:kern w:val="1"/>
                <w:sz w:val="24"/>
                <w:szCs w:val="24"/>
              </w:rPr>
              <w:t>出借、借用资质证书进行投标或承接工程的；</w:t>
            </w:r>
          </w:p>
          <w:p>
            <w:pPr>
              <w:tabs>
                <w:tab w:val="left" w:pos="1080"/>
              </w:tabs>
              <w:spacing w:line="276" w:lineRule="auto"/>
              <w:rPr>
                <w:rFonts w:hAnsi="宋体" w:cs="宋体"/>
                <w:kern w:val="1"/>
                <w:sz w:val="24"/>
                <w:szCs w:val="24"/>
              </w:rPr>
            </w:pPr>
            <w:r>
              <w:rPr>
                <w:rFonts w:ascii="Times New Roman" w:hAnsi="宋体" w:cs="宋体"/>
                <w:kern w:val="1"/>
                <w:sz w:val="24"/>
                <w:szCs w:val="24"/>
              </w:rPr>
              <w:t>2.</w:t>
            </w:r>
            <w:r>
              <w:rPr>
                <w:rFonts w:hint="eastAsia" w:ascii="Times New Roman" w:hAnsi="宋体" w:cs="宋体"/>
                <w:kern w:val="1"/>
                <w:sz w:val="24"/>
                <w:szCs w:val="24"/>
              </w:rPr>
              <w:t>围标、串标的；</w:t>
            </w:r>
          </w:p>
          <w:p>
            <w:pPr>
              <w:tabs>
                <w:tab w:val="left" w:pos="1080"/>
              </w:tabs>
              <w:spacing w:line="276" w:lineRule="auto"/>
              <w:rPr>
                <w:rFonts w:hAnsi="宋体" w:cs="宋体"/>
                <w:kern w:val="1"/>
                <w:sz w:val="24"/>
                <w:szCs w:val="24"/>
              </w:rPr>
            </w:pPr>
            <w:r>
              <w:rPr>
                <w:rFonts w:ascii="Times New Roman" w:hAnsi="宋体" w:cs="宋体"/>
                <w:kern w:val="1"/>
                <w:sz w:val="24"/>
                <w:szCs w:val="24"/>
              </w:rPr>
              <w:t>3.</w:t>
            </w:r>
            <w:r>
              <w:rPr>
                <w:rFonts w:hint="eastAsia" w:ascii="Times New Roman" w:hAnsi="宋体" w:cs="宋体"/>
                <w:kern w:val="1"/>
                <w:sz w:val="24"/>
                <w:szCs w:val="24"/>
              </w:rPr>
              <w:t>转包或违法分包所承揽工程的；</w:t>
            </w:r>
          </w:p>
          <w:p>
            <w:pPr>
              <w:tabs>
                <w:tab w:val="left" w:pos="1080"/>
              </w:tabs>
              <w:spacing w:line="276" w:lineRule="auto"/>
              <w:rPr>
                <w:rFonts w:hAnsi="宋体" w:cs="宋体"/>
                <w:kern w:val="1"/>
                <w:sz w:val="24"/>
                <w:szCs w:val="24"/>
              </w:rPr>
            </w:pPr>
            <w:r>
              <w:rPr>
                <w:rFonts w:ascii="Times New Roman" w:hAnsi="宋体" w:cs="宋体"/>
                <w:kern w:val="1"/>
                <w:sz w:val="24"/>
                <w:szCs w:val="24"/>
              </w:rPr>
              <w:t>4.</w:t>
            </w:r>
            <w:r>
              <w:rPr>
                <w:rFonts w:hint="eastAsia" w:ascii="Times New Roman" w:hAnsi="宋体" w:cs="宋体"/>
                <w:kern w:val="1"/>
                <w:sz w:val="24"/>
                <w:szCs w:val="24"/>
              </w:rPr>
              <w:t>有行贿、受贿违法记录的；</w:t>
            </w:r>
          </w:p>
          <w:p>
            <w:pPr>
              <w:tabs>
                <w:tab w:val="left" w:pos="1080"/>
              </w:tabs>
              <w:spacing w:line="276" w:lineRule="auto"/>
              <w:rPr>
                <w:rFonts w:hAnsi="宋体" w:cs="宋体"/>
                <w:kern w:val="1"/>
                <w:sz w:val="24"/>
                <w:szCs w:val="24"/>
              </w:rPr>
            </w:pPr>
            <w:r>
              <w:rPr>
                <w:rFonts w:ascii="Times New Roman" w:hAnsi="宋体" w:cs="宋体"/>
                <w:kern w:val="1"/>
                <w:sz w:val="24"/>
                <w:szCs w:val="24"/>
              </w:rPr>
              <w:t>5.</w:t>
            </w:r>
            <w:r>
              <w:rPr>
                <w:rFonts w:hint="eastAsia" w:ascii="Times New Roman" w:hAnsi="宋体" w:cs="宋体"/>
                <w:kern w:val="1"/>
                <w:sz w:val="24"/>
                <w:szCs w:val="24"/>
              </w:rPr>
              <w:t>对重</w:t>
            </w:r>
            <w:r>
              <w:rPr>
                <w:rFonts w:ascii="Times New Roman" w:hAnsi="宋体" w:cs="宋体"/>
                <w:kern w:val="1"/>
                <w:sz w:val="24"/>
                <w:szCs w:val="24"/>
              </w:rPr>
              <w:t>(</w:t>
            </w:r>
            <w:r>
              <w:rPr>
                <w:rFonts w:hint="eastAsia" w:ascii="Times New Roman" w:hAnsi="宋体" w:cs="宋体"/>
                <w:kern w:val="1"/>
                <w:sz w:val="24"/>
                <w:szCs w:val="24"/>
              </w:rPr>
              <w:t>特</w:t>
            </w:r>
            <w:r>
              <w:rPr>
                <w:rFonts w:ascii="Times New Roman" w:hAnsi="宋体" w:cs="宋体"/>
                <w:kern w:val="1"/>
                <w:sz w:val="24"/>
                <w:szCs w:val="24"/>
              </w:rPr>
              <w:t>)</w:t>
            </w:r>
            <w:r>
              <w:rPr>
                <w:rFonts w:hint="eastAsia" w:ascii="Times New Roman" w:hAnsi="宋体" w:cs="宋体"/>
                <w:kern w:val="1"/>
                <w:sz w:val="24"/>
                <w:szCs w:val="24"/>
              </w:rPr>
              <w:t>大质量事故、生产安全事故负有直接责任的；</w:t>
            </w:r>
          </w:p>
          <w:p>
            <w:pPr>
              <w:tabs>
                <w:tab w:val="left" w:pos="1080"/>
              </w:tabs>
              <w:spacing w:line="276" w:lineRule="auto"/>
              <w:rPr>
                <w:rFonts w:hAnsi="宋体" w:cs="宋体"/>
                <w:kern w:val="1"/>
                <w:sz w:val="24"/>
                <w:szCs w:val="24"/>
              </w:rPr>
            </w:pPr>
            <w:r>
              <w:rPr>
                <w:rFonts w:ascii="Times New Roman" w:hAnsi="宋体" w:cs="宋体"/>
                <w:kern w:val="1"/>
                <w:sz w:val="24"/>
                <w:szCs w:val="24"/>
              </w:rPr>
              <w:t>6.</w:t>
            </w:r>
            <w:r>
              <w:rPr>
                <w:rFonts w:hint="eastAsia" w:ascii="Times New Roman" w:hAnsi="宋体" w:cs="宋体"/>
                <w:kern w:val="1"/>
                <w:sz w:val="24"/>
                <w:szCs w:val="24"/>
              </w:rPr>
              <w:t>公开信息隐瞒真实情况、弄虚作假的</w:t>
            </w:r>
            <w:r>
              <w:rPr>
                <w:rFonts w:ascii="Times New Roman" w:hAnsi="宋体" w:cs="宋体"/>
                <w:kern w:val="1"/>
                <w:sz w:val="24"/>
                <w:szCs w:val="24"/>
              </w:rPr>
              <w:t>;</w:t>
            </w:r>
          </w:p>
          <w:p>
            <w:pPr>
              <w:tabs>
                <w:tab w:val="left" w:pos="1080"/>
              </w:tabs>
              <w:spacing w:line="276" w:lineRule="auto"/>
              <w:rPr>
                <w:rFonts w:hAnsi="宋体" w:cs="宋体"/>
                <w:kern w:val="1"/>
                <w:sz w:val="24"/>
                <w:szCs w:val="24"/>
              </w:rPr>
            </w:pPr>
            <w:r>
              <w:rPr>
                <w:rFonts w:ascii="Times New Roman" w:hAnsi="宋体" w:cs="宋体"/>
                <w:kern w:val="1"/>
                <w:sz w:val="24"/>
                <w:szCs w:val="24"/>
              </w:rPr>
              <w:t>7.</w:t>
            </w:r>
            <w:r>
              <w:rPr>
                <w:rFonts w:hint="eastAsia" w:ascii="Times New Roman" w:hAnsi="宋体" w:cs="宋体"/>
                <w:kern w:val="1"/>
                <w:sz w:val="24"/>
                <w:szCs w:val="24"/>
              </w:rPr>
              <w:t>拖欠农民工工资数额较大或造成严重不良影响的</w:t>
            </w:r>
            <w:r>
              <w:rPr>
                <w:rFonts w:ascii="Times New Roman" w:hAnsi="宋体" w:cs="宋体"/>
                <w:kern w:val="1"/>
                <w:sz w:val="24"/>
                <w:szCs w:val="24"/>
              </w:rPr>
              <w:t>;</w:t>
            </w:r>
          </w:p>
          <w:p>
            <w:pPr>
              <w:tabs>
                <w:tab w:val="left" w:pos="1080"/>
              </w:tabs>
              <w:spacing w:line="276" w:lineRule="auto"/>
              <w:rPr>
                <w:rFonts w:hAnsi="宋体" w:cs="宋体"/>
                <w:kern w:val="1"/>
                <w:sz w:val="24"/>
                <w:szCs w:val="24"/>
              </w:rPr>
            </w:pPr>
            <w:r>
              <w:rPr>
                <w:rFonts w:hAnsi="宋体" w:cs="宋体"/>
                <w:kern w:val="1"/>
                <w:sz w:val="24"/>
                <w:szCs w:val="24"/>
              </w:rPr>
              <w:t>8.</w:t>
            </w:r>
            <w:r>
              <w:rPr>
                <w:rFonts w:hint="eastAsia" w:ascii="Times New Roman" w:hAnsi="宋体" w:cs="宋体"/>
                <w:kern w:val="1"/>
                <w:sz w:val="24"/>
                <w:szCs w:val="24"/>
              </w:rPr>
              <w:t>国家和省有关法律法规规定的其他情形。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rPr>
                <w:rFonts w:hAnsi="宋体" w:cs="宋体"/>
                <w:kern w:val="1"/>
                <w:sz w:val="24"/>
                <w:szCs w:val="24"/>
              </w:rPr>
            </w:pP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spacing w:before="0" w:after="0" w:line="276" w:lineRule="auto"/>
              <w:jc w:val="center"/>
              <w:rPr>
                <w:rFonts w:ascii="Calibri"/>
                <w:kern w:val="1"/>
                <w:szCs w:val="24"/>
              </w:rPr>
            </w:pPr>
            <w:r>
              <w:rPr>
                <w:rFonts w:hint="eastAsia" w:ascii="Times New Roman"/>
                <w:kern w:val="1"/>
                <w:szCs w:val="24"/>
              </w:rPr>
              <w:t>评标价的确定</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1080"/>
              </w:tabs>
              <w:spacing w:line="276" w:lineRule="auto"/>
              <w:rPr>
                <w:rFonts w:hAnsi="宋体" w:cs="宋体"/>
                <w:kern w:val="1"/>
                <w:sz w:val="24"/>
                <w:szCs w:val="24"/>
              </w:rPr>
            </w:pPr>
            <w:r>
              <w:rPr>
                <w:rFonts w:hint="eastAsia" w:ascii="Times New Roman" w:hAnsi="宋体" w:cs="宋体"/>
                <w:kern w:val="1"/>
                <w:sz w:val="24"/>
                <w:szCs w:val="24"/>
              </w:rPr>
              <w:t>投标人权重</w:t>
            </w:r>
            <w:r>
              <w:rPr>
                <w:rFonts w:ascii="Times New Roman" w:hAnsi="宋体" w:cs="宋体"/>
                <w:kern w:val="1"/>
                <w:sz w:val="24"/>
                <w:szCs w:val="24"/>
              </w:rPr>
              <w:t>Q</w:t>
            </w:r>
            <w:r>
              <w:rPr>
                <w:rFonts w:hint="eastAsia" w:ascii="Times New Roman" w:hAnsi="宋体" w:cs="宋体"/>
                <w:kern w:val="1"/>
                <w:sz w:val="24"/>
                <w:szCs w:val="24"/>
              </w:rPr>
              <w:t>具体计算过程：</w:t>
            </w:r>
          </w:p>
          <w:p>
            <w:pPr>
              <w:tabs>
                <w:tab w:val="left" w:pos="1080"/>
              </w:tabs>
              <w:spacing w:line="276" w:lineRule="auto"/>
              <w:rPr>
                <w:rFonts w:hAnsi="宋体" w:cs="宋体"/>
                <w:kern w:val="1"/>
                <w:sz w:val="24"/>
                <w:szCs w:val="24"/>
              </w:rPr>
            </w:pPr>
            <w:r>
              <w:rPr>
                <w:rFonts w:hint="eastAsia" w:ascii="Times New Roman" w:hAnsi="宋体" w:cs="宋体"/>
                <w:kern w:val="1"/>
                <w:sz w:val="24"/>
                <w:szCs w:val="24"/>
              </w:rPr>
              <w:t>投标人权重</w:t>
            </w:r>
            <w:r>
              <w:rPr>
                <w:rFonts w:ascii="Times New Roman" w:hAnsi="宋体" w:cs="宋体"/>
                <w:kern w:val="1"/>
                <w:sz w:val="24"/>
                <w:szCs w:val="24"/>
              </w:rPr>
              <w:t>Q=</w:t>
            </w:r>
            <w:r>
              <w:rPr>
                <w:rFonts w:hint="eastAsia" w:ascii="Times New Roman" w:hAnsi="宋体" w:cs="宋体"/>
                <w:kern w:val="1"/>
                <w:sz w:val="24"/>
                <w:szCs w:val="24"/>
              </w:rPr>
              <w:t>（</w:t>
            </w:r>
            <w:r>
              <w:rPr>
                <w:rFonts w:ascii="Times New Roman" w:hAnsi="宋体" w:cs="宋体"/>
                <w:kern w:val="1"/>
                <w:sz w:val="24"/>
                <w:szCs w:val="24"/>
              </w:rPr>
              <w:t>1-|A-B|/A</w:t>
            </w:r>
            <w:r>
              <w:rPr>
                <w:rFonts w:hint="eastAsia" w:ascii="Times New Roman" w:hAnsi="宋体" w:cs="宋体"/>
                <w:kern w:val="1"/>
                <w:sz w:val="24"/>
                <w:szCs w:val="24"/>
              </w:rPr>
              <w:t>）×</w:t>
            </w:r>
            <w:r>
              <w:rPr>
                <w:rFonts w:ascii="Times New Roman" w:hAnsi="宋体" w:cs="宋体"/>
                <w:kern w:val="1"/>
                <w:sz w:val="24"/>
                <w:szCs w:val="24"/>
              </w:rPr>
              <w:t>100</w:t>
            </w:r>
            <w:r>
              <w:rPr>
                <w:rFonts w:hint="eastAsia" w:ascii="Times New Roman" w:hAnsi="宋体" w:cs="宋体"/>
                <w:kern w:val="1"/>
                <w:sz w:val="24"/>
                <w:szCs w:val="24"/>
              </w:rPr>
              <w:t>％</w:t>
            </w:r>
            <w:r>
              <w:rPr>
                <w:rFonts w:ascii="Times New Roman" w:hAnsi="宋体" w:cs="宋体"/>
                <w:kern w:val="1"/>
                <w:sz w:val="24"/>
                <w:szCs w:val="24"/>
              </w:rPr>
              <w:t>+C</w:t>
            </w:r>
          </w:p>
          <w:p>
            <w:pPr>
              <w:tabs>
                <w:tab w:val="left" w:pos="1080"/>
              </w:tabs>
              <w:spacing w:line="276" w:lineRule="auto"/>
              <w:rPr>
                <w:rFonts w:hAnsi="宋体" w:cs="宋体"/>
                <w:kern w:val="1"/>
                <w:sz w:val="24"/>
                <w:szCs w:val="24"/>
              </w:rPr>
            </w:pPr>
            <w:r>
              <w:rPr>
                <w:rFonts w:hint="eastAsia" w:ascii="Times New Roman" w:hAnsi="宋体" w:cs="宋体"/>
                <w:kern w:val="1"/>
                <w:sz w:val="24"/>
                <w:szCs w:val="24"/>
              </w:rPr>
              <w:t>投标人权重结果保留两位小数。</w:t>
            </w:r>
          </w:p>
          <w:p>
            <w:pPr>
              <w:tabs>
                <w:tab w:val="left" w:pos="1080"/>
              </w:tabs>
              <w:spacing w:line="276" w:lineRule="auto"/>
              <w:rPr>
                <w:rFonts w:hAnsi="宋体" w:cs="宋体"/>
                <w:kern w:val="1"/>
                <w:sz w:val="24"/>
                <w:szCs w:val="24"/>
              </w:rPr>
            </w:pPr>
            <w:r>
              <w:rPr>
                <w:rFonts w:ascii="Times New Roman" w:hAnsi="宋体" w:cs="宋体"/>
                <w:kern w:val="1"/>
                <w:sz w:val="24"/>
                <w:szCs w:val="24"/>
              </w:rPr>
              <w:t>A</w:t>
            </w:r>
            <w:r>
              <w:rPr>
                <w:rFonts w:hint="eastAsia" w:ascii="Times New Roman" w:hAnsi="宋体" w:cs="宋体"/>
                <w:kern w:val="1"/>
                <w:sz w:val="24"/>
                <w:szCs w:val="24"/>
              </w:rPr>
              <w:t>（合理评标价）</w:t>
            </w:r>
            <w:r>
              <w:rPr>
                <w:rFonts w:ascii="Times New Roman" w:hAnsi="宋体" w:cs="宋体"/>
                <w:kern w:val="1"/>
                <w:sz w:val="24"/>
                <w:szCs w:val="24"/>
              </w:rPr>
              <w:t>=</w:t>
            </w:r>
            <w:r>
              <w:rPr>
                <w:rFonts w:hint="eastAsia" w:ascii="Times New Roman" w:hAnsi="宋体" w:cs="宋体"/>
                <w:kern w:val="1"/>
                <w:sz w:val="24"/>
                <w:szCs w:val="24"/>
              </w:rPr>
              <w:t>最高投标限价×调整系数α</w:t>
            </w:r>
          </w:p>
          <w:p>
            <w:pPr>
              <w:tabs>
                <w:tab w:val="left" w:pos="1080"/>
              </w:tabs>
              <w:spacing w:line="276" w:lineRule="auto"/>
              <w:rPr>
                <w:rFonts w:hAnsi="宋体" w:cs="宋体"/>
                <w:kern w:val="1"/>
                <w:sz w:val="24"/>
                <w:szCs w:val="24"/>
              </w:rPr>
            </w:pPr>
            <w:r>
              <w:rPr>
                <w:rFonts w:ascii="Times New Roman" w:hAnsi="宋体" w:cs="宋体"/>
                <w:kern w:val="1"/>
                <w:sz w:val="24"/>
                <w:szCs w:val="24"/>
              </w:rPr>
              <w:t>B</w:t>
            </w:r>
            <w:r>
              <w:rPr>
                <w:rFonts w:hint="eastAsia" w:ascii="Times New Roman" w:hAnsi="宋体" w:cs="宋体"/>
                <w:kern w:val="1"/>
                <w:sz w:val="24"/>
                <w:szCs w:val="24"/>
              </w:rPr>
              <w:t>（投标人评标价）</w:t>
            </w:r>
            <w:r>
              <w:rPr>
                <w:rFonts w:ascii="Times New Roman" w:hAnsi="宋体" w:cs="宋体"/>
                <w:kern w:val="1"/>
                <w:sz w:val="24"/>
                <w:szCs w:val="24"/>
              </w:rPr>
              <w:t>=</w:t>
            </w:r>
            <w:r>
              <w:rPr>
                <w:rFonts w:hint="eastAsia" w:ascii="Times New Roman" w:hAnsi="宋体" w:cs="宋体"/>
                <w:kern w:val="1"/>
                <w:sz w:val="24"/>
                <w:szCs w:val="24"/>
              </w:rPr>
              <w:t>投标人报价±奖励惩罚额度合计</w:t>
            </w:r>
          </w:p>
          <w:p>
            <w:pPr>
              <w:tabs>
                <w:tab w:val="left" w:pos="1080"/>
              </w:tabs>
              <w:spacing w:line="276" w:lineRule="auto"/>
              <w:rPr>
                <w:rFonts w:hAnsi="宋体" w:cs="宋体"/>
                <w:kern w:val="1"/>
                <w:sz w:val="24"/>
                <w:szCs w:val="24"/>
              </w:rPr>
            </w:pPr>
            <w:r>
              <w:rPr>
                <w:rFonts w:ascii="Times New Roman" w:hAnsi="宋体" w:cs="宋体"/>
                <w:kern w:val="1"/>
                <w:sz w:val="24"/>
                <w:szCs w:val="24"/>
              </w:rPr>
              <w:t>C</w:t>
            </w:r>
            <w:r>
              <w:rPr>
                <w:rFonts w:hint="eastAsia" w:ascii="Times New Roman" w:hAnsi="宋体" w:cs="宋体"/>
                <w:kern w:val="1"/>
                <w:sz w:val="24"/>
                <w:szCs w:val="24"/>
              </w:rPr>
              <w:t>（信用权重）</w:t>
            </w:r>
            <w:r>
              <w:rPr>
                <w:rFonts w:ascii="Times New Roman" w:hAnsi="宋体" w:cs="宋体"/>
                <w:kern w:val="1"/>
                <w:sz w:val="24"/>
                <w:szCs w:val="24"/>
              </w:rPr>
              <w:t>=0</w:t>
            </w:r>
            <w:r>
              <w:rPr>
                <w:rFonts w:hint="eastAsia" w:ascii="Times New Roman" w:hAnsi="宋体" w:cs="宋体"/>
                <w:kern w:val="1"/>
                <w:sz w:val="24"/>
                <w:szCs w:val="24"/>
              </w:rPr>
              <w:t>—</w:t>
            </w:r>
            <w:r>
              <w:rPr>
                <w:rFonts w:ascii="Times New Roman" w:hAnsi="宋体" w:cs="宋体"/>
                <w:kern w:val="1"/>
                <w:sz w:val="24"/>
                <w:szCs w:val="24"/>
              </w:rPr>
              <w:t>5%</w:t>
            </w:r>
          </w:p>
          <w:p>
            <w:pPr>
              <w:spacing w:line="276" w:lineRule="auto"/>
              <w:rPr>
                <w:rFonts w:hAnsi="宋体" w:cs="宋体"/>
                <w:kern w:val="1"/>
                <w:sz w:val="24"/>
                <w:szCs w:val="24"/>
              </w:rPr>
            </w:pPr>
            <w:r>
              <w:rPr>
                <w:rFonts w:ascii="Times New Roman" w:hAnsi="宋体" w:cs="宋体"/>
                <w:kern w:val="1"/>
                <w:sz w:val="24"/>
                <w:szCs w:val="24"/>
              </w:rPr>
              <w:t xml:space="preserve"> </w:t>
            </w:r>
            <w:r>
              <w:rPr>
                <w:rFonts w:hint="eastAsia" w:ascii="Times New Roman" w:hAnsi="宋体" w:cs="宋体"/>
                <w:kern w:val="1"/>
                <w:sz w:val="24"/>
                <w:szCs w:val="24"/>
              </w:rPr>
              <w:t>（一）</w:t>
            </w:r>
            <w:r>
              <w:rPr>
                <w:rFonts w:hint="eastAsia" w:ascii="Times New Roman" w:hAnsi="宋体" w:cs="宋体"/>
                <w:b/>
                <w:kern w:val="1"/>
                <w:sz w:val="24"/>
                <w:szCs w:val="24"/>
              </w:rPr>
              <w:t>合理评标价确定：</w:t>
            </w:r>
            <w:r>
              <w:rPr>
                <w:rFonts w:hint="eastAsia" w:ascii="Times New Roman" w:hAnsi="宋体" w:cs="宋体"/>
                <w:kern w:val="1"/>
                <w:sz w:val="24"/>
                <w:szCs w:val="24"/>
              </w:rPr>
              <w:t>以招标人的最高投标限价为标准，约定</w:t>
            </w:r>
            <w:r>
              <w:rPr>
                <w:rFonts w:ascii="Times New Roman" w:hAnsi="宋体" w:cs="宋体"/>
                <w:kern w:val="1"/>
                <w:sz w:val="24"/>
                <w:szCs w:val="24"/>
              </w:rPr>
              <w:t>5</w:t>
            </w:r>
            <w:r>
              <w:rPr>
                <w:rFonts w:hint="eastAsia" w:ascii="Times New Roman" w:hAnsi="宋体" w:cs="宋体"/>
                <w:kern w:val="1"/>
                <w:sz w:val="24"/>
                <w:szCs w:val="24"/>
              </w:rPr>
              <w:t>个调整系数（≥</w:t>
            </w:r>
            <w:r>
              <w:rPr>
                <w:rFonts w:ascii="Times New Roman" w:hAnsi="宋体" w:cs="宋体"/>
                <w:kern w:val="1"/>
                <w:sz w:val="24"/>
                <w:szCs w:val="24"/>
              </w:rPr>
              <w:t>0.95</w:t>
            </w:r>
            <w:r>
              <w:rPr>
                <w:rFonts w:hint="eastAsia" w:ascii="Times New Roman" w:hAnsi="宋体" w:cs="宋体"/>
                <w:kern w:val="1"/>
                <w:sz w:val="24"/>
                <w:szCs w:val="24"/>
              </w:rPr>
              <w:t>），在开标时随机抽取</w:t>
            </w:r>
            <w:r>
              <w:rPr>
                <w:rFonts w:ascii="Times New Roman" w:hAnsi="宋体" w:cs="宋体"/>
                <w:kern w:val="1"/>
                <w:sz w:val="24"/>
                <w:szCs w:val="24"/>
              </w:rPr>
              <w:t>1</w:t>
            </w:r>
            <w:r>
              <w:rPr>
                <w:rFonts w:hint="eastAsia" w:ascii="Times New Roman" w:hAnsi="宋体" w:cs="宋体"/>
                <w:kern w:val="1"/>
                <w:sz w:val="24"/>
                <w:szCs w:val="24"/>
              </w:rPr>
              <w:t>个，将调整后的最高投标限价作为合理评标价。</w:t>
            </w:r>
          </w:p>
          <w:p>
            <w:pPr>
              <w:spacing w:line="276" w:lineRule="auto"/>
              <w:rPr>
                <w:rFonts w:hAnsi="宋体" w:cs="宋体"/>
                <w:kern w:val="1"/>
                <w:sz w:val="24"/>
                <w:szCs w:val="24"/>
              </w:rPr>
            </w:pPr>
            <w:r>
              <w:rPr>
                <w:rFonts w:hint="eastAsia" w:ascii="Times New Roman" w:hAnsi="宋体" w:cs="宋体"/>
                <w:kern w:val="1"/>
                <w:sz w:val="24"/>
                <w:szCs w:val="24"/>
              </w:rPr>
              <w:t>调整系数是唱标结束后，在监督人的监督下，由投标人代表随机从</w:t>
            </w:r>
            <w:r>
              <w:rPr>
                <w:rFonts w:ascii="Times New Roman" w:hAnsi="宋体" w:cs="宋体"/>
                <w:kern w:val="1"/>
                <w:sz w:val="24"/>
                <w:szCs w:val="24"/>
              </w:rPr>
              <w:t>0.975</w:t>
            </w:r>
            <w:r>
              <w:rPr>
                <w:rFonts w:hint="eastAsia" w:ascii="Times New Roman" w:hAnsi="宋体" w:cs="宋体"/>
                <w:kern w:val="1"/>
                <w:sz w:val="24"/>
                <w:szCs w:val="24"/>
              </w:rPr>
              <w:t>、</w:t>
            </w:r>
            <w:r>
              <w:rPr>
                <w:rFonts w:ascii="Times New Roman" w:hAnsi="宋体" w:cs="宋体"/>
                <w:kern w:val="1"/>
                <w:sz w:val="24"/>
                <w:szCs w:val="24"/>
              </w:rPr>
              <w:t>0.98</w:t>
            </w:r>
            <w:r>
              <w:rPr>
                <w:rFonts w:hint="eastAsia" w:ascii="Times New Roman" w:hAnsi="宋体" w:cs="宋体"/>
                <w:kern w:val="1"/>
                <w:sz w:val="24"/>
                <w:szCs w:val="24"/>
              </w:rPr>
              <w:t>、</w:t>
            </w:r>
            <w:r>
              <w:rPr>
                <w:rFonts w:ascii="Times New Roman" w:hAnsi="宋体" w:cs="宋体"/>
                <w:kern w:val="1"/>
                <w:sz w:val="24"/>
                <w:szCs w:val="24"/>
              </w:rPr>
              <w:t>0.985</w:t>
            </w:r>
            <w:r>
              <w:rPr>
                <w:rFonts w:hint="eastAsia" w:ascii="Times New Roman" w:hAnsi="宋体" w:cs="宋体"/>
                <w:kern w:val="1"/>
                <w:sz w:val="24"/>
                <w:szCs w:val="24"/>
              </w:rPr>
              <w:t>、</w:t>
            </w:r>
            <w:r>
              <w:rPr>
                <w:rFonts w:ascii="Times New Roman" w:hAnsi="宋体" w:cs="宋体"/>
                <w:kern w:val="1"/>
                <w:sz w:val="24"/>
                <w:szCs w:val="24"/>
              </w:rPr>
              <w:t>0.99</w:t>
            </w:r>
            <w:r>
              <w:rPr>
                <w:rFonts w:hint="eastAsia" w:ascii="Times New Roman" w:hAnsi="宋体" w:cs="宋体"/>
                <w:kern w:val="1"/>
                <w:sz w:val="24"/>
                <w:szCs w:val="24"/>
              </w:rPr>
              <w:t>、</w:t>
            </w:r>
            <w:r>
              <w:rPr>
                <w:rFonts w:ascii="Times New Roman" w:hAnsi="宋体" w:cs="宋体"/>
                <w:kern w:val="1"/>
                <w:sz w:val="24"/>
                <w:szCs w:val="24"/>
              </w:rPr>
              <w:t>0.995</w:t>
            </w:r>
            <w:r>
              <w:rPr>
                <w:rFonts w:hint="eastAsia" w:ascii="Times New Roman" w:hAnsi="宋体" w:cs="宋体"/>
                <w:kern w:val="1"/>
                <w:sz w:val="24"/>
                <w:szCs w:val="24"/>
              </w:rPr>
              <w:t>这</w:t>
            </w:r>
            <w:r>
              <w:rPr>
                <w:rFonts w:ascii="Times New Roman" w:hAnsi="宋体" w:cs="宋体"/>
                <w:kern w:val="1"/>
                <w:sz w:val="24"/>
                <w:szCs w:val="24"/>
              </w:rPr>
              <w:t>5</w:t>
            </w:r>
            <w:r>
              <w:rPr>
                <w:rFonts w:hint="eastAsia" w:ascii="Times New Roman" w:hAnsi="宋体" w:cs="宋体"/>
                <w:kern w:val="1"/>
                <w:sz w:val="24"/>
                <w:szCs w:val="24"/>
              </w:rPr>
              <w:t>个数值中抽取</w:t>
            </w:r>
            <w:r>
              <w:rPr>
                <w:rFonts w:ascii="Times New Roman" w:hAnsi="宋体" w:cs="宋体"/>
                <w:kern w:val="1"/>
                <w:sz w:val="24"/>
                <w:szCs w:val="24"/>
              </w:rPr>
              <w:t>1</w:t>
            </w:r>
            <w:r>
              <w:rPr>
                <w:rFonts w:hint="eastAsia" w:ascii="Times New Roman" w:hAnsi="宋体" w:cs="宋体"/>
                <w:kern w:val="1"/>
                <w:sz w:val="24"/>
                <w:szCs w:val="24"/>
              </w:rPr>
              <w:t>个数值。</w:t>
            </w:r>
          </w:p>
          <w:p>
            <w:pPr>
              <w:spacing w:line="276" w:lineRule="auto"/>
              <w:rPr>
                <w:rFonts w:hAnsi="宋体" w:cs="宋体"/>
                <w:kern w:val="1"/>
                <w:sz w:val="24"/>
                <w:szCs w:val="24"/>
              </w:rPr>
            </w:pPr>
            <w:r>
              <w:rPr>
                <w:rFonts w:hAnsi="宋体" w:cs="宋体"/>
                <w:kern w:val="1"/>
                <w:sz w:val="24"/>
                <w:szCs w:val="24"/>
              </w:rPr>
              <w:t xml:space="preserve"> </w:t>
            </w:r>
            <w:r>
              <w:rPr>
                <w:rFonts w:hint="eastAsia" w:ascii="Times New Roman" w:hAnsi="宋体" w:cs="宋体"/>
                <w:kern w:val="1"/>
                <w:sz w:val="24"/>
                <w:szCs w:val="24"/>
              </w:rPr>
              <w:t>（二）</w:t>
            </w:r>
            <w:r>
              <w:rPr>
                <w:rFonts w:hint="eastAsia" w:ascii="Times New Roman" w:hAnsi="宋体" w:cs="宋体"/>
                <w:b/>
                <w:kern w:val="1"/>
                <w:sz w:val="24"/>
                <w:szCs w:val="24"/>
              </w:rPr>
              <w:t>投标人评标价计算：</w:t>
            </w:r>
            <w:r>
              <w:rPr>
                <w:rFonts w:hint="eastAsia" w:ascii="Times New Roman" w:hAnsi="宋体" w:cs="宋体"/>
                <w:kern w:val="1"/>
                <w:sz w:val="24"/>
                <w:szCs w:val="24"/>
              </w:rPr>
              <w:t>奖励额度取正值、惩罚额度取负值计算奖罚额度。奖罚额度合计后，数值为正值时，按有利于投标人（靠近合理评标价）计算投标人评标价，当大于或小于合理评标价时均按合理评标价确定；数值为负值时，按照不利于投标人（远离合理评标价）计算投标人评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276" w:lineRule="auto"/>
              <w:jc w:val="center"/>
              <w:rPr>
                <w:rFonts w:ascii="Calibri" w:cs="Times New Roman"/>
                <w:kern w:val="2"/>
                <w:szCs w:val="24"/>
              </w:rPr>
            </w:pPr>
            <w:r>
              <w:rPr>
                <w:rFonts w:ascii="Calibri" w:cs="Times New Roman"/>
                <w:kern w:val="2"/>
                <w:szCs w:val="24"/>
              </w:rPr>
              <w:t>2.2.3</w:t>
            </w:r>
          </w:p>
        </w:tc>
        <w:tc>
          <w:tcPr>
            <w:tcW w:w="26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276" w:lineRule="auto"/>
              <w:jc w:val="center"/>
              <w:rPr>
                <w:rFonts w:ascii="Calibri"/>
                <w:kern w:val="2"/>
                <w:szCs w:val="24"/>
              </w:rPr>
            </w:pPr>
            <w:r>
              <w:rPr>
                <w:rFonts w:hint="eastAsia" w:ascii="Times New Roman"/>
                <w:kern w:val="2"/>
                <w:szCs w:val="24"/>
              </w:rPr>
              <w:t>推荐中标候选人</w:t>
            </w:r>
          </w:p>
        </w:tc>
        <w:tc>
          <w:tcPr>
            <w:tcW w:w="574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ind w:right="248"/>
              <w:rPr>
                <w:rFonts w:hAnsi="宋体" w:cs="宋体"/>
                <w:sz w:val="24"/>
                <w:szCs w:val="24"/>
              </w:rPr>
            </w:pPr>
            <w:r>
              <w:rPr>
                <w:rFonts w:hint="eastAsia" w:ascii="Times New Roman" w:hAnsi="宋体" w:cs="宋体"/>
                <w:kern w:val="1"/>
                <w:sz w:val="24"/>
                <w:szCs w:val="24"/>
              </w:rPr>
              <w:t>采用合理投标价法的，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33"/>
              <w:autoSpaceDE w:val="0"/>
              <w:autoSpaceDN w:val="0"/>
              <w:spacing w:before="0" w:after="0" w:line="276" w:lineRule="auto"/>
              <w:jc w:val="center"/>
              <w:rPr>
                <w:rFonts w:ascii="Calibri" w:cs="Times New Roman"/>
                <w:kern w:val="2"/>
                <w:szCs w:val="24"/>
              </w:rPr>
            </w:pPr>
            <w:r>
              <w:rPr>
                <w:rFonts w:hint="eastAsia" w:ascii="Times New Roman"/>
                <w:kern w:val="2"/>
                <w:szCs w:val="24"/>
              </w:rPr>
              <w:t>惩罚标准</w:t>
            </w:r>
          </w:p>
        </w:tc>
        <w:tc>
          <w:tcPr>
            <w:tcW w:w="83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rPr>
                <w:rFonts w:hAnsi="宋体" w:cs="宋体"/>
                <w:kern w:val="1"/>
                <w:sz w:val="24"/>
                <w:szCs w:val="24"/>
              </w:rPr>
            </w:pPr>
            <w:r>
              <w:rPr>
                <w:rFonts w:hint="eastAsia" w:ascii="Times New Roman" w:hAnsi="宋体" w:cs="宋体"/>
                <w:kern w:val="1"/>
                <w:sz w:val="24"/>
                <w:szCs w:val="24"/>
              </w:rPr>
              <w:t>投标人获奖、受罚、信用备案等信息，从河南省或全国水利建设市场信用信息平台下载打印（作为评标报告的附件）并向评标委员会提供，评标委员会应以此为依据核实投标人提供的相关证明材料（获奖文件和荣誉证书）。未在上述平台收集到奖励信息的或投标人未按要求提供证明材料的或未在投标文件正本中提供证明材料复印件或扫描件的，三项材料不一致的其获奖情况评标委员会不予认可；在上述平台收集到的受罚、信用信息备案等不利于投标人的情况，不论投标人是否提供相关材料，评标委员会均予以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988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ind w:firstLine="641"/>
              <w:rPr>
                <w:rFonts w:hAnsi="宋体" w:cs="宋体"/>
                <w:kern w:val="1"/>
                <w:sz w:val="24"/>
                <w:szCs w:val="24"/>
              </w:rPr>
            </w:pPr>
            <w:r>
              <w:rPr>
                <w:rFonts w:hint="eastAsia" w:ascii="Times New Roman" w:hAnsi="宋体" w:cs="宋体"/>
                <w:bCs/>
                <w:kern w:val="1"/>
                <w:sz w:val="24"/>
                <w:szCs w:val="24"/>
                <w:lang w:bidi="zh-CN"/>
              </w:rPr>
              <w:t>投标人有下列情形之一的，其单位及主要参建人员的资格资历、工程业绩、良好行为等不予认定：</w:t>
            </w:r>
          </w:p>
          <w:p>
            <w:pPr>
              <w:spacing w:line="276" w:lineRule="auto"/>
              <w:ind w:firstLine="641"/>
              <w:rPr>
                <w:rFonts w:hAnsi="宋体" w:cs="宋体"/>
                <w:kern w:val="1"/>
                <w:sz w:val="24"/>
                <w:szCs w:val="24"/>
              </w:rPr>
            </w:pPr>
            <w:r>
              <w:rPr>
                <w:rFonts w:hint="eastAsia" w:ascii="Times New Roman" w:hAnsi="宋体" w:cs="宋体"/>
                <w:bCs/>
                <w:kern w:val="1"/>
                <w:sz w:val="24"/>
                <w:szCs w:val="24"/>
                <w:lang w:bidi="zh-CN"/>
              </w:rPr>
              <w:t>（一）提交的材料与信用平台公开的信息不符的。</w:t>
            </w:r>
          </w:p>
          <w:p>
            <w:pPr>
              <w:spacing w:line="276" w:lineRule="auto"/>
              <w:ind w:firstLine="641"/>
              <w:rPr>
                <w:rFonts w:hAnsi="宋体" w:cs="宋体"/>
                <w:kern w:val="1"/>
                <w:sz w:val="24"/>
                <w:szCs w:val="24"/>
              </w:rPr>
            </w:pPr>
            <w:r>
              <w:rPr>
                <w:rFonts w:hint="eastAsia" w:ascii="Times New Roman" w:hAnsi="宋体" w:cs="宋体"/>
                <w:kern w:val="1"/>
                <w:sz w:val="24"/>
                <w:szCs w:val="24"/>
              </w:rPr>
              <w:t>（二）信用平台内容不包含招标人要求提供的其他信用信息的，投标人未按招标人的要求提供相关证明材料的。</w:t>
            </w:r>
          </w:p>
          <w:p>
            <w:pPr>
              <w:spacing w:line="276" w:lineRule="auto"/>
              <w:ind w:firstLine="641"/>
              <w:rPr>
                <w:rFonts w:hAnsi="宋体" w:cs="宋体"/>
                <w:kern w:val="1"/>
                <w:sz w:val="24"/>
                <w:szCs w:val="24"/>
              </w:rPr>
            </w:pPr>
            <w:r>
              <w:rPr>
                <w:rFonts w:hint="eastAsia" w:ascii="Times New Roman" w:hAnsi="宋体" w:cs="宋体"/>
                <w:kern w:val="1"/>
                <w:sz w:val="24"/>
                <w:szCs w:val="24"/>
              </w:rPr>
              <w:t>投标人公开的信用信息隐瞒真实情况、弄虚作假或提交的相关证明材料弄虚作假的，被推荐为中标候选人、确定为中标人的应取消其中标候选人、中标人资格，并按有关规定进行处理。</w:t>
            </w:r>
          </w:p>
        </w:tc>
      </w:tr>
    </w:tbl>
    <w:p>
      <w:pPr>
        <w:snapToGrid w:val="0"/>
        <w:spacing w:line="360" w:lineRule="auto"/>
        <w:rPr>
          <w:rFonts w:ascii="新宋体" w:hAnsi="新宋体" w:eastAsia="新宋体" w:cs="新宋体"/>
          <w:sz w:val="24"/>
          <w:szCs w:val="24"/>
        </w:rPr>
      </w:pPr>
      <w:r>
        <w:rPr>
          <w:rFonts w:hint="eastAsia" w:ascii="新宋体" w:hAnsi="新宋体" w:eastAsia="新宋体" w:cs="新宋体"/>
          <w:kern w:val="2"/>
          <w:sz w:val="24"/>
          <w:szCs w:val="24"/>
        </w:rPr>
        <w:t>备注：</w:t>
      </w:r>
    </w:p>
    <w:p>
      <w:pPr>
        <w:snapToGrid w:val="0"/>
        <w:spacing w:line="360" w:lineRule="auto"/>
        <w:rPr>
          <w:rFonts w:ascii="新宋体" w:hAnsi="新宋体" w:eastAsia="新宋体" w:cs="新宋体"/>
          <w:sz w:val="24"/>
          <w:szCs w:val="24"/>
        </w:rPr>
      </w:pPr>
      <w:r>
        <w:rPr>
          <w:rFonts w:hint="eastAsia" w:ascii="新宋体" w:hAnsi="新宋体" w:eastAsia="新宋体" w:cs="新宋体"/>
          <w:kern w:val="2"/>
          <w:sz w:val="24"/>
          <w:szCs w:val="24"/>
        </w:rPr>
        <w:t>（1）涉及相关证书、各类证件均不得伪造、涂改，如发现投标人有弄虚作假或伪造、涂改证件者，将取消其资格后审合格资格，并按国家有关规定处理。参与评标的资料需在投标文件中附复印件或扫描件，否则为无效投标。</w:t>
      </w:r>
    </w:p>
    <w:p>
      <w:pPr>
        <w:snapToGrid w:val="0"/>
        <w:spacing w:line="360" w:lineRule="auto"/>
        <w:rPr>
          <w:rFonts w:hAnsi="宋体" w:cs="宋体"/>
          <w:kern w:val="1"/>
          <w:sz w:val="24"/>
          <w:szCs w:val="24"/>
        </w:rPr>
      </w:pPr>
      <w:r>
        <w:rPr>
          <w:rFonts w:hint="eastAsia" w:ascii="新宋体" w:hAnsi="新宋体" w:eastAsia="新宋体" w:cs="新宋体"/>
          <w:kern w:val="2"/>
          <w:sz w:val="24"/>
          <w:szCs w:val="24"/>
        </w:rPr>
        <w:t>（2）所有证件如遇延期办理的应提供相关行政主管部门出具的证明。</w:t>
      </w:r>
    </w:p>
    <w:p>
      <w:pPr>
        <w:spacing w:line="360" w:lineRule="auto"/>
        <w:rPr>
          <w:b/>
          <w:sz w:val="24"/>
          <w:szCs w:val="24"/>
        </w:rPr>
      </w:pPr>
      <w:r>
        <w:rPr>
          <w:rFonts w:ascii="Times New Roman"/>
          <w:b/>
          <w:kern w:val="2"/>
          <w:sz w:val="24"/>
          <w:szCs w:val="24"/>
        </w:rPr>
        <w:t xml:space="preserve">1. </w:t>
      </w:r>
      <w:r>
        <w:rPr>
          <w:rFonts w:hint="eastAsia" w:ascii="Times New Roman" w:cs="宋体"/>
          <w:b/>
          <w:kern w:val="2"/>
          <w:sz w:val="24"/>
          <w:szCs w:val="24"/>
        </w:rPr>
        <w:t>评标方法</w:t>
      </w:r>
      <w:bookmarkEnd w:id="103"/>
      <w:bookmarkEnd w:id="104"/>
      <w:bookmarkEnd w:id="105"/>
      <w:bookmarkEnd w:id="106"/>
      <w:bookmarkEnd w:id="107"/>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根据河南省水利厅办公室2016年7月11日印发的河南省水利工程建设项目施工评标办法，本项目采用合理投标价法。评标委员会对满足招标文件实质性要求的投标文件，进行报价评审，确定各投标人的评标价，评标价接近合理投标价的投标人为中标候选人。若两个以上投标人的评标价相同，以投标报价低的优选排序（若投标人评标报价高于合理投标价的数额与低于合理投标价的数额相同，则以评标价低的优先排序）；投标报价也相等的，在评标现场在相关部门的监督下由评标委员会随机抽取进行排序。</w:t>
      </w:r>
    </w:p>
    <w:p>
      <w:pPr>
        <w:spacing w:line="360" w:lineRule="auto"/>
        <w:rPr>
          <w:b/>
          <w:sz w:val="24"/>
          <w:szCs w:val="24"/>
        </w:rPr>
      </w:pPr>
      <w:r>
        <w:rPr>
          <w:rFonts w:ascii="Times New Roman"/>
          <w:b/>
          <w:kern w:val="2"/>
          <w:sz w:val="24"/>
          <w:szCs w:val="24"/>
        </w:rPr>
        <w:t xml:space="preserve">2. </w:t>
      </w:r>
      <w:r>
        <w:rPr>
          <w:rFonts w:hint="eastAsia" w:ascii="Times New Roman" w:cs="宋体"/>
          <w:b/>
          <w:kern w:val="2"/>
          <w:sz w:val="24"/>
          <w:szCs w:val="24"/>
        </w:rPr>
        <w:t>评审标准</w:t>
      </w:r>
      <w:bookmarkEnd w:id="108"/>
      <w:bookmarkEnd w:id="109"/>
      <w:bookmarkEnd w:id="110"/>
      <w:bookmarkEnd w:id="111"/>
      <w:bookmarkEnd w:id="112"/>
      <w:bookmarkEnd w:id="113"/>
      <w:bookmarkEnd w:id="114"/>
      <w:bookmarkEnd w:id="115"/>
    </w:p>
    <w:p>
      <w:pPr>
        <w:spacing w:line="360" w:lineRule="auto"/>
        <w:rPr>
          <w:rFonts w:hAnsi="宋体" w:cs="宋体"/>
          <w:bCs/>
          <w:sz w:val="24"/>
          <w:szCs w:val="24"/>
        </w:rPr>
      </w:pPr>
      <w:bookmarkStart w:id="121" w:name="_Toc179632621"/>
      <w:bookmarkStart w:id="122" w:name="_Toc247085761"/>
      <w:bookmarkStart w:id="123" w:name="_Toc152045603"/>
      <w:bookmarkStart w:id="124" w:name="_Toc152042380"/>
      <w:bookmarkStart w:id="125" w:name="_Toc246996989"/>
      <w:bookmarkStart w:id="126" w:name="_Toc246996246"/>
      <w:bookmarkStart w:id="127" w:name="_Toc144974570"/>
      <w:bookmarkStart w:id="128" w:name="_Toc296602491"/>
      <w:r>
        <w:rPr>
          <w:rFonts w:ascii="Times New Roman" w:hAnsi="宋体" w:cs="宋体"/>
          <w:bCs/>
          <w:kern w:val="2"/>
          <w:sz w:val="24"/>
          <w:szCs w:val="24"/>
        </w:rPr>
        <w:t xml:space="preserve">2.1  </w:t>
      </w:r>
      <w:r>
        <w:rPr>
          <w:rFonts w:hint="eastAsia" w:ascii="Times New Roman" w:hAnsi="宋体" w:cs="宋体"/>
          <w:bCs/>
          <w:kern w:val="2"/>
          <w:sz w:val="24"/>
          <w:szCs w:val="24"/>
        </w:rPr>
        <w:t>初步评审标准</w:t>
      </w:r>
    </w:p>
    <w:p>
      <w:pPr>
        <w:spacing w:line="360" w:lineRule="auto"/>
        <w:rPr>
          <w:rFonts w:hAnsi="宋体" w:cs="宋体"/>
          <w:sz w:val="24"/>
          <w:szCs w:val="24"/>
        </w:rPr>
      </w:pPr>
      <w:r>
        <w:rPr>
          <w:rFonts w:ascii="Times New Roman" w:hAnsi="宋体" w:cs="宋体"/>
          <w:bCs/>
          <w:kern w:val="2"/>
          <w:sz w:val="24"/>
          <w:szCs w:val="24"/>
        </w:rPr>
        <w:t>2.1.1</w:t>
      </w:r>
      <w:r>
        <w:rPr>
          <w:rFonts w:hint="eastAsia" w:ascii="Times New Roman" w:hAnsi="宋体" w:cs="宋体"/>
          <w:bCs/>
          <w:kern w:val="2"/>
          <w:sz w:val="24"/>
          <w:szCs w:val="24"/>
        </w:rPr>
        <w:t>形式评审标准：</w:t>
      </w:r>
      <w:r>
        <w:rPr>
          <w:rFonts w:hint="eastAsia" w:ascii="Times New Roman" w:hAnsi="宋体" w:cs="宋体"/>
          <w:kern w:val="2"/>
          <w:sz w:val="24"/>
          <w:szCs w:val="24"/>
        </w:rPr>
        <w:t>详见评标办法前附表。</w:t>
      </w:r>
    </w:p>
    <w:p>
      <w:pPr>
        <w:spacing w:line="360" w:lineRule="auto"/>
        <w:ind w:firstLine="235" w:firstLineChars="98"/>
        <w:rPr>
          <w:rFonts w:hAnsi="宋体" w:cs="宋体"/>
          <w:sz w:val="24"/>
          <w:szCs w:val="24"/>
        </w:rPr>
      </w:pPr>
      <w:r>
        <w:rPr>
          <w:rFonts w:ascii="Times New Roman" w:hAnsi="宋体" w:cs="宋体"/>
          <w:bCs/>
          <w:kern w:val="2"/>
          <w:sz w:val="24"/>
          <w:szCs w:val="24"/>
        </w:rPr>
        <w:t xml:space="preserve"> 2.1.2</w:t>
      </w:r>
      <w:r>
        <w:rPr>
          <w:rFonts w:hint="eastAsia" w:ascii="Times New Roman" w:hAnsi="宋体" w:cs="宋体"/>
          <w:bCs/>
          <w:kern w:val="2"/>
          <w:sz w:val="24"/>
          <w:szCs w:val="24"/>
        </w:rPr>
        <w:t>资格评审标准：</w:t>
      </w:r>
      <w:r>
        <w:rPr>
          <w:rFonts w:hint="eastAsia" w:ascii="Times New Roman" w:hAnsi="宋体" w:cs="宋体"/>
          <w:kern w:val="2"/>
          <w:sz w:val="24"/>
          <w:szCs w:val="24"/>
        </w:rPr>
        <w:t>详见评标办法前附表，本项目实行资格后审，投标单位资格应符合本章评标办法前附表第</w:t>
      </w:r>
      <w:r>
        <w:rPr>
          <w:rFonts w:ascii="Times New Roman" w:hAnsi="宋体" w:cs="宋体"/>
          <w:kern w:val="2"/>
          <w:sz w:val="24"/>
          <w:szCs w:val="24"/>
        </w:rPr>
        <w:t>2.1.2</w:t>
      </w:r>
      <w:r>
        <w:rPr>
          <w:rFonts w:hint="eastAsia" w:ascii="Times New Roman" w:hAnsi="宋体" w:cs="宋体"/>
          <w:kern w:val="2"/>
          <w:sz w:val="24"/>
          <w:szCs w:val="24"/>
        </w:rPr>
        <w:t>款要求，有一项不符合要求的即视为废标。</w:t>
      </w:r>
    </w:p>
    <w:p>
      <w:pPr>
        <w:spacing w:line="360" w:lineRule="auto"/>
        <w:ind w:firstLine="235" w:firstLineChars="98"/>
        <w:rPr>
          <w:rFonts w:hAnsi="宋体" w:cs="宋体"/>
          <w:sz w:val="24"/>
          <w:szCs w:val="24"/>
        </w:rPr>
      </w:pPr>
      <w:r>
        <w:rPr>
          <w:rFonts w:ascii="Times New Roman" w:hAnsi="宋体" w:cs="宋体"/>
          <w:bCs/>
          <w:kern w:val="2"/>
          <w:sz w:val="24"/>
          <w:szCs w:val="24"/>
        </w:rPr>
        <w:t xml:space="preserve"> 2.1.3 </w:t>
      </w:r>
      <w:r>
        <w:rPr>
          <w:rFonts w:hint="eastAsia" w:ascii="Times New Roman" w:hAnsi="宋体" w:cs="宋体"/>
          <w:bCs/>
          <w:kern w:val="2"/>
          <w:sz w:val="24"/>
          <w:szCs w:val="24"/>
        </w:rPr>
        <w:t>响应性评审标准：</w:t>
      </w:r>
      <w:r>
        <w:rPr>
          <w:rFonts w:hint="eastAsia" w:ascii="Times New Roman" w:hAnsi="宋体" w:cs="宋体"/>
          <w:kern w:val="2"/>
          <w:sz w:val="24"/>
          <w:szCs w:val="24"/>
        </w:rPr>
        <w:t>详见评标办法前附表。</w:t>
      </w:r>
      <w:bookmarkEnd w:id="121"/>
      <w:bookmarkEnd w:id="122"/>
      <w:bookmarkEnd w:id="123"/>
      <w:bookmarkEnd w:id="124"/>
      <w:bookmarkEnd w:id="125"/>
      <w:bookmarkEnd w:id="126"/>
      <w:bookmarkEnd w:id="127"/>
      <w:bookmarkEnd w:id="128"/>
      <w:bookmarkStart w:id="129" w:name="_Toc152042381"/>
      <w:bookmarkStart w:id="130" w:name="_Toc179632622"/>
      <w:bookmarkStart w:id="131" w:name="_Toc296602492"/>
      <w:bookmarkStart w:id="132" w:name="_Toc247085762"/>
      <w:bookmarkStart w:id="133" w:name="_Toc246996990"/>
      <w:bookmarkStart w:id="134" w:name="_Toc246996247"/>
      <w:bookmarkStart w:id="135" w:name="_Toc144974571"/>
      <w:bookmarkStart w:id="136" w:name="_Toc152045604"/>
    </w:p>
    <w:p>
      <w:pPr>
        <w:spacing w:line="360" w:lineRule="auto"/>
        <w:rPr>
          <w:b/>
          <w:sz w:val="24"/>
          <w:szCs w:val="24"/>
        </w:rPr>
      </w:pPr>
      <w:r>
        <w:rPr>
          <w:rFonts w:ascii="Times New Roman"/>
          <w:b/>
          <w:kern w:val="2"/>
          <w:sz w:val="24"/>
          <w:szCs w:val="24"/>
        </w:rPr>
        <w:t xml:space="preserve">2.2 </w:t>
      </w:r>
      <w:r>
        <w:rPr>
          <w:rFonts w:hint="eastAsia" w:ascii="Times New Roman" w:cs="宋体"/>
          <w:b/>
          <w:kern w:val="2"/>
          <w:sz w:val="24"/>
          <w:szCs w:val="24"/>
        </w:rPr>
        <w:t>合理评标价的确定、投标人评标价与信用权重的确定</w:t>
      </w:r>
    </w:p>
    <w:p>
      <w:pPr>
        <w:spacing w:line="360" w:lineRule="auto"/>
        <w:rPr>
          <w:rFonts w:hAnsi="宋体" w:cs="宋体"/>
          <w:sz w:val="24"/>
          <w:szCs w:val="24"/>
        </w:rPr>
      </w:pPr>
      <w:r>
        <w:rPr>
          <w:rFonts w:ascii="Times New Roman" w:hAnsi="宋体" w:cs="宋体"/>
          <w:kern w:val="2"/>
          <w:sz w:val="24"/>
          <w:szCs w:val="24"/>
        </w:rPr>
        <w:t xml:space="preserve">2.2.1 </w:t>
      </w:r>
      <w:r>
        <w:rPr>
          <w:rFonts w:hint="eastAsia" w:ascii="Times New Roman" w:hAnsi="宋体" w:cs="宋体"/>
          <w:kern w:val="2"/>
          <w:sz w:val="24"/>
          <w:szCs w:val="24"/>
        </w:rPr>
        <w:t>合理投标价确定计算方法：详见评标办法前附表。</w:t>
      </w:r>
    </w:p>
    <w:p>
      <w:pPr>
        <w:spacing w:line="360" w:lineRule="auto"/>
        <w:ind w:firstLine="420"/>
        <w:rPr>
          <w:rFonts w:hAnsi="宋体" w:cs="宋体"/>
          <w:sz w:val="24"/>
          <w:szCs w:val="24"/>
        </w:rPr>
      </w:pPr>
      <w:r>
        <w:rPr>
          <w:rFonts w:ascii="Times New Roman" w:hAnsi="宋体" w:cs="宋体"/>
          <w:kern w:val="2"/>
          <w:sz w:val="24"/>
          <w:szCs w:val="24"/>
        </w:rPr>
        <w:t xml:space="preserve"> 2.2.2 </w:t>
      </w:r>
      <w:r>
        <w:rPr>
          <w:rFonts w:hint="eastAsia" w:ascii="Times New Roman" w:hAnsi="宋体" w:cs="宋体"/>
          <w:kern w:val="2"/>
          <w:sz w:val="24"/>
          <w:szCs w:val="24"/>
        </w:rPr>
        <w:t>投标人评标价的确定计算办法：详见评标办法前附表。</w:t>
      </w:r>
      <w:r>
        <w:rPr>
          <w:rFonts w:ascii="Times New Roman" w:hAnsi="宋体" w:cs="宋体"/>
          <w:kern w:val="2"/>
          <w:sz w:val="24"/>
          <w:szCs w:val="24"/>
        </w:rPr>
        <w:tab/>
      </w:r>
    </w:p>
    <w:p>
      <w:pPr>
        <w:spacing w:line="360" w:lineRule="auto"/>
        <w:ind w:firstLine="420"/>
        <w:rPr>
          <w:rFonts w:hAnsi="宋体" w:cs="宋体"/>
          <w:b/>
          <w:sz w:val="24"/>
          <w:szCs w:val="24"/>
        </w:rPr>
      </w:pPr>
      <w:r>
        <w:rPr>
          <w:rFonts w:ascii="Times New Roman" w:hAnsi="宋体" w:cs="宋体"/>
          <w:kern w:val="2"/>
          <w:sz w:val="24"/>
          <w:szCs w:val="24"/>
        </w:rPr>
        <w:t xml:space="preserve"> 2.2.3</w:t>
      </w:r>
      <w:r>
        <w:rPr>
          <w:rFonts w:hint="eastAsia" w:ascii="Times New Roman" w:hAnsi="宋体" w:cs="宋体"/>
          <w:kern w:val="2"/>
          <w:sz w:val="24"/>
          <w:szCs w:val="24"/>
        </w:rPr>
        <w:t>信用权重的确定计算方法：详见评标办法前附表。</w:t>
      </w:r>
    </w:p>
    <w:bookmarkEnd w:id="129"/>
    <w:bookmarkEnd w:id="130"/>
    <w:bookmarkEnd w:id="131"/>
    <w:bookmarkEnd w:id="132"/>
    <w:bookmarkEnd w:id="133"/>
    <w:bookmarkEnd w:id="134"/>
    <w:bookmarkEnd w:id="135"/>
    <w:bookmarkEnd w:id="136"/>
    <w:p>
      <w:pPr>
        <w:spacing w:line="360" w:lineRule="auto"/>
        <w:rPr>
          <w:b/>
          <w:sz w:val="24"/>
          <w:szCs w:val="24"/>
        </w:rPr>
      </w:pPr>
      <w:r>
        <w:rPr>
          <w:rFonts w:ascii="Times New Roman"/>
          <w:b/>
          <w:kern w:val="2"/>
          <w:sz w:val="24"/>
          <w:szCs w:val="24"/>
        </w:rPr>
        <w:t>3</w:t>
      </w:r>
      <w:r>
        <w:rPr>
          <w:rFonts w:hint="eastAsia" w:ascii="Times New Roman" w:cs="宋体"/>
          <w:b/>
          <w:kern w:val="2"/>
          <w:sz w:val="24"/>
          <w:szCs w:val="24"/>
        </w:rPr>
        <w:t>、评标程序</w:t>
      </w:r>
    </w:p>
    <w:p>
      <w:pPr>
        <w:spacing w:line="360" w:lineRule="auto"/>
        <w:rPr>
          <w:b/>
          <w:sz w:val="24"/>
          <w:szCs w:val="24"/>
        </w:rPr>
      </w:pPr>
      <w:r>
        <w:rPr>
          <w:rFonts w:ascii="Times New Roman"/>
          <w:b/>
          <w:kern w:val="2"/>
          <w:sz w:val="24"/>
          <w:szCs w:val="24"/>
        </w:rPr>
        <w:t xml:space="preserve">3.1 </w:t>
      </w:r>
      <w:r>
        <w:rPr>
          <w:rFonts w:hint="eastAsia" w:ascii="Times New Roman" w:cs="宋体"/>
          <w:b/>
          <w:kern w:val="2"/>
          <w:sz w:val="24"/>
          <w:szCs w:val="24"/>
        </w:rPr>
        <w:t>初步评审</w:t>
      </w:r>
    </w:p>
    <w:p>
      <w:pPr>
        <w:spacing w:line="360" w:lineRule="auto"/>
        <w:ind w:firstLine="480" w:firstLineChars="200"/>
        <w:rPr>
          <w:rFonts w:hAnsi="宋体" w:cs="宋体"/>
          <w:sz w:val="24"/>
          <w:szCs w:val="24"/>
        </w:rPr>
      </w:pPr>
      <w:r>
        <w:rPr>
          <w:rFonts w:ascii="Times New Roman" w:hAnsi="宋体" w:cs="宋体"/>
          <w:kern w:val="2"/>
          <w:sz w:val="24"/>
          <w:szCs w:val="24"/>
        </w:rPr>
        <w:t xml:space="preserve">3.1.1 </w:t>
      </w:r>
      <w:r>
        <w:rPr>
          <w:rFonts w:hint="eastAsia" w:ascii="Times New Roman" w:hAnsi="宋体" w:cs="宋体"/>
          <w:kern w:val="2"/>
          <w:sz w:val="24"/>
          <w:szCs w:val="24"/>
        </w:rPr>
        <w:t>评标委员会可以要求投标人提交第二章“投标人须知”中第</w:t>
      </w:r>
      <w:r>
        <w:rPr>
          <w:rFonts w:ascii="Times New Roman" w:hAnsi="宋体" w:cs="宋体"/>
          <w:kern w:val="2"/>
          <w:sz w:val="24"/>
          <w:szCs w:val="24"/>
        </w:rPr>
        <w:t xml:space="preserve">3.5.1 </w:t>
      </w:r>
      <w:r>
        <w:rPr>
          <w:rFonts w:hint="eastAsia" w:ascii="Times New Roman" w:hAnsi="宋体" w:cs="宋体"/>
          <w:kern w:val="2"/>
          <w:sz w:val="24"/>
          <w:szCs w:val="24"/>
        </w:rPr>
        <w:t>项至第</w:t>
      </w:r>
      <w:r>
        <w:rPr>
          <w:rFonts w:ascii="Times New Roman" w:hAnsi="宋体" w:cs="宋体"/>
          <w:kern w:val="2"/>
          <w:sz w:val="24"/>
          <w:szCs w:val="24"/>
        </w:rPr>
        <w:t xml:space="preserve">3.5.4 </w:t>
      </w:r>
      <w:r>
        <w:rPr>
          <w:rFonts w:hint="eastAsia" w:ascii="Times New Roman" w:hAnsi="宋体" w:cs="宋体"/>
          <w:kern w:val="2"/>
          <w:sz w:val="24"/>
          <w:szCs w:val="24"/>
        </w:rPr>
        <w:t>项规定的有关证明和证件的原件，以便核验。评标委员会依据本章第</w:t>
      </w:r>
      <w:r>
        <w:rPr>
          <w:rFonts w:ascii="Times New Roman" w:hAnsi="宋体" w:cs="宋体"/>
          <w:kern w:val="2"/>
          <w:sz w:val="24"/>
          <w:szCs w:val="24"/>
        </w:rPr>
        <w:t xml:space="preserve">2.1 </w:t>
      </w:r>
      <w:r>
        <w:rPr>
          <w:rFonts w:hint="eastAsia" w:ascii="Times New Roman" w:hAnsi="宋体" w:cs="宋体"/>
          <w:kern w:val="2"/>
          <w:sz w:val="24"/>
          <w:szCs w:val="24"/>
        </w:rPr>
        <w:t>款规定的标准对投标文件进行初步评审。</w:t>
      </w:r>
    </w:p>
    <w:p>
      <w:pPr>
        <w:pStyle w:val="4"/>
        <w:widowControl/>
        <w:ind w:left="0" w:leftChars="0" w:firstLine="480"/>
      </w:pPr>
      <w:r>
        <w:rPr>
          <w:rFonts w:hAnsi="宋体" w:cs="宋体"/>
          <w:sz w:val="24"/>
        </w:rPr>
        <w:t xml:space="preserve">3.1.1.1 </w:t>
      </w:r>
      <w:r>
        <w:rPr>
          <w:rFonts w:hint="eastAsia" w:hAnsi="宋体" w:cs="宋体"/>
          <w:sz w:val="24"/>
        </w:rPr>
        <w:t>评标专家应严格按照招标文件要求查看“硬件特征码”相关信息，并进行评审。</w:t>
      </w:r>
    </w:p>
    <w:p>
      <w:pPr>
        <w:spacing w:line="360" w:lineRule="auto"/>
        <w:ind w:firstLine="480" w:firstLineChars="200"/>
        <w:rPr>
          <w:rFonts w:hAnsi="宋体" w:cs="宋体"/>
          <w:b/>
          <w:sz w:val="24"/>
          <w:szCs w:val="24"/>
        </w:rPr>
      </w:pPr>
      <w:r>
        <w:rPr>
          <w:rFonts w:ascii="Times New Roman" w:hAnsi="宋体" w:cs="宋体"/>
          <w:b/>
          <w:kern w:val="2"/>
          <w:sz w:val="24"/>
          <w:szCs w:val="24"/>
        </w:rPr>
        <w:t xml:space="preserve">3.1.2 </w:t>
      </w:r>
      <w:r>
        <w:rPr>
          <w:rFonts w:hint="eastAsia" w:ascii="Times New Roman" w:hAnsi="宋体" w:cs="宋体"/>
          <w:b/>
          <w:kern w:val="2"/>
          <w:sz w:val="24"/>
          <w:szCs w:val="24"/>
        </w:rPr>
        <w:t>投标人有以下情形之一的，其投标做废标处理：</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（1）未按要求加盖单位公章和无法定代表人或委托代理人签字的</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（2）投标文件载明的招标项目完成期限超过招标文件规定的期限的</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（3）未按招标文件规定的格式填写，内容不全，关键字迹模糊或无法辨认的</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（4）未按招标文件要求提供投标担保或者所提供的投标担保有瑕疵的</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（5）投标人资格条件不符合国家有关规定和招标文件要求的</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（6）未提供有效的企业安全生产许可证和拟任项目负责人、技术（企业主要）负责人、专职安全生产管理人员的安全生产考核合格证</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（7）违反国家强制性标准的，或明显不符合技术规格、技术标准要求的</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（8）不按评标委员会要求对投标文件进行澄清、说明或者补充的</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（9）投标文件附有招标人不能接受的条件的</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（10）对同一标段递交内容不同的投标文件，或在一份投标文件中对同一标段报有两个（含两个）以上报价的（按招标文件规定提交备选投标方案的除外）</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（11）联合体投标未附联合体各方共同投标协议，未制定牵头人或分工不明确的、未提交所有联合体成员法定代表人签署授权书的</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（12）变更工程量清单内容的</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（13）投标报价低于成本或者高于招标文件设定的最高投标限价的</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（14）投标人有以他人名义投标、串通投标、弄虚作假、行贿等违法行为的</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15）不同投标人电子投标文件制作硬件特征码（网卡MAC地址、CPU序号、硬盘序列号等）雷同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（16）招标文件规定的其它情况。</w:t>
      </w:r>
    </w:p>
    <w:p>
      <w:pPr>
        <w:spacing w:line="360" w:lineRule="auto"/>
        <w:ind w:firstLine="480" w:firstLineChars="200"/>
        <w:rPr>
          <w:rFonts w:hAnsi="宋体" w:cs="宋体"/>
          <w:sz w:val="24"/>
          <w:szCs w:val="24"/>
        </w:rPr>
      </w:pPr>
      <w:r>
        <w:rPr>
          <w:rFonts w:ascii="Times New Roman" w:hAnsi="宋体" w:cs="宋体"/>
          <w:kern w:val="2"/>
          <w:sz w:val="24"/>
          <w:szCs w:val="24"/>
        </w:rPr>
        <w:t xml:space="preserve">3.1.3 </w:t>
      </w:r>
      <w:r>
        <w:rPr>
          <w:rFonts w:hint="eastAsia" w:ascii="Times New Roman" w:hAnsi="宋体" w:cs="宋体"/>
          <w:kern w:val="2"/>
          <w:sz w:val="24"/>
          <w:szCs w:val="24"/>
        </w:rPr>
        <w:t>投标报价有算术错误的，评标委员会按以下原则对投标报价进行修正，修正的价格经投标人书面确认后具有约束力。投标人不接受修正价格的，其投标作废标处理。</w:t>
      </w:r>
    </w:p>
    <w:p>
      <w:pPr>
        <w:spacing w:line="360" w:lineRule="auto"/>
        <w:ind w:firstLine="480" w:firstLineChars="200"/>
        <w:rPr>
          <w:rFonts w:hAnsi="宋体" w:cs="宋体"/>
          <w:sz w:val="24"/>
          <w:szCs w:val="24"/>
        </w:rPr>
      </w:pPr>
      <w:r>
        <w:rPr>
          <w:rFonts w:ascii="Times New Roman" w:hAnsi="宋体" w:cs="宋体"/>
          <w:kern w:val="2"/>
          <w:sz w:val="24"/>
          <w:szCs w:val="24"/>
        </w:rPr>
        <w:t>(1</w:t>
      </w:r>
      <w:r>
        <w:rPr>
          <w:rFonts w:hint="eastAsia" w:ascii="Times New Roman" w:hAnsi="宋体" w:cs="宋体"/>
          <w:kern w:val="2"/>
          <w:sz w:val="24"/>
          <w:szCs w:val="24"/>
        </w:rPr>
        <w:t>）投标文件中的大写金额与小写金额不一致的，以大写金额为准；</w:t>
      </w:r>
    </w:p>
    <w:p>
      <w:pPr>
        <w:spacing w:line="360" w:lineRule="auto"/>
        <w:ind w:firstLine="480" w:firstLineChars="200"/>
        <w:rPr>
          <w:rFonts w:hAnsi="宋体" w:cs="宋体"/>
          <w:sz w:val="24"/>
          <w:szCs w:val="24"/>
        </w:rPr>
      </w:pPr>
      <w:r>
        <w:rPr>
          <w:rFonts w:ascii="Times New Roman" w:hAnsi="宋体" w:cs="宋体"/>
          <w:kern w:val="2"/>
          <w:sz w:val="24"/>
          <w:szCs w:val="24"/>
        </w:rPr>
        <w:t>(2</w:t>
      </w:r>
      <w:r>
        <w:rPr>
          <w:rFonts w:hint="eastAsia" w:ascii="Times New Roman" w:hAnsi="宋体" w:cs="宋体"/>
          <w:kern w:val="2"/>
          <w:sz w:val="24"/>
          <w:szCs w:val="24"/>
        </w:rPr>
        <w:t>）总价金额与依据单价计算出的结果不一致的，以单价金额为准修正总价，但单价金额小数点有明显错误的除外。</w:t>
      </w:r>
    </w:p>
    <w:p>
      <w:pPr>
        <w:spacing w:line="360" w:lineRule="auto"/>
        <w:rPr>
          <w:rFonts w:hAnsi="宋体" w:cs="宋体"/>
          <w:sz w:val="24"/>
          <w:szCs w:val="24"/>
        </w:rPr>
      </w:pPr>
      <w:r>
        <w:rPr>
          <w:rFonts w:ascii="Times New Roman" w:hAnsi="宋体" w:cs="宋体"/>
          <w:kern w:val="2"/>
          <w:sz w:val="24"/>
          <w:szCs w:val="24"/>
        </w:rPr>
        <w:t xml:space="preserve">3.2 </w:t>
      </w:r>
      <w:r>
        <w:rPr>
          <w:rFonts w:hint="eastAsia" w:ascii="Times New Roman" w:hAnsi="宋体" w:cs="宋体"/>
          <w:kern w:val="2"/>
          <w:sz w:val="24"/>
          <w:szCs w:val="24"/>
        </w:rPr>
        <w:t>详细评审</w:t>
      </w:r>
    </w:p>
    <w:p>
      <w:pPr>
        <w:spacing w:line="360" w:lineRule="auto"/>
        <w:ind w:firstLine="480" w:firstLineChars="200"/>
        <w:rPr>
          <w:rFonts w:hAnsi="宋体" w:cs="宋体"/>
          <w:sz w:val="24"/>
          <w:szCs w:val="24"/>
        </w:rPr>
      </w:pPr>
      <w:r>
        <w:rPr>
          <w:rFonts w:ascii="Times New Roman" w:hAnsi="宋体" w:cs="宋体"/>
          <w:kern w:val="2"/>
          <w:sz w:val="24"/>
          <w:szCs w:val="24"/>
        </w:rPr>
        <w:t xml:space="preserve">3.2.1 </w:t>
      </w:r>
      <w:r>
        <w:rPr>
          <w:rFonts w:hint="eastAsia" w:ascii="Times New Roman" w:hAnsi="宋体" w:cs="宋体"/>
          <w:kern w:val="2"/>
          <w:sz w:val="24"/>
          <w:szCs w:val="24"/>
        </w:rPr>
        <w:t>评标委员会按本章第</w:t>
      </w:r>
      <w:r>
        <w:rPr>
          <w:rFonts w:ascii="Times New Roman" w:hAnsi="宋体" w:cs="宋体"/>
          <w:kern w:val="2"/>
          <w:sz w:val="24"/>
          <w:szCs w:val="24"/>
        </w:rPr>
        <w:t xml:space="preserve">2.2 </w:t>
      </w:r>
      <w:r>
        <w:rPr>
          <w:rFonts w:hint="eastAsia" w:ascii="Times New Roman" w:hAnsi="宋体" w:cs="宋体"/>
          <w:kern w:val="2"/>
          <w:sz w:val="24"/>
          <w:szCs w:val="24"/>
        </w:rPr>
        <w:t>款规定的量化因素和要求进行评审，并计算出投标人评标价。</w:t>
      </w:r>
    </w:p>
    <w:p>
      <w:pPr>
        <w:spacing w:line="360" w:lineRule="auto"/>
        <w:ind w:firstLine="480" w:firstLineChars="200"/>
        <w:rPr>
          <w:rFonts w:hAnsi="宋体" w:cs="宋体"/>
          <w:sz w:val="24"/>
          <w:szCs w:val="24"/>
        </w:rPr>
      </w:pPr>
      <w:r>
        <w:rPr>
          <w:rFonts w:ascii="Times New Roman" w:hAnsi="宋体" w:cs="宋体"/>
          <w:kern w:val="2"/>
          <w:sz w:val="24"/>
          <w:szCs w:val="24"/>
        </w:rPr>
        <w:t xml:space="preserve">3.2.2 </w:t>
      </w:r>
      <w:r>
        <w:rPr>
          <w:rFonts w:hint="eastAsia" w:ascii="Times New Roman" w:hAnsi="宋体" w:cs="宋体"/>
          <w:kern w:val="2"/>
          <w:sz w:val="24"/>
          <w:szCs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360" w:lineRule="auto"/>
        <w:ind w:firstLine="480" w:firstLineChars="200"/>
        <w:rPr>
          <w:rFonts w:hAnsi="宋体" w:cs="宋体"/>
          <w:sz w:val="24"/>
          <w:szCs w:val="24"/>
        </w:rPr>
      </w:pPr>
      <w:r>
        <w:rPr>
          <w:rFonts w:ascii="Times New Roman" w:hAnsi="宋体" w:cs="宋体"/>
          <w:kern w:val="2"/>
          <w:sz w:val="24"/>
          <w:szCs w:val="24"/>
        </w:rPr>
        <w:t>3.2.3</w:t>
      </w:r>
      <w:r>
        <w:rPr>
          <w:rFonts w:hint="eastAsia" w:ascii="Times New Roman" w:hAnsi="宋体" w:cs="宋体"/>
          <w:kern w:val="2"/>
          <w:sz w:val="24"/>
          <w:szCs w:val="24"/>
        </w:rPr>
        <w:t>投标人获奖、受罚、信用信息登记等，从“全国水利建设市场信用信息平台”（</w:t>
      </w:r>
      <w:r>
        <w:rPr>
          <w:rFonts w:ascii="Times New Roman" w:hAnsi="宋体" w:cs="宋体"/>
          <w:kern w:val="2"/>
          <w:sz w:val="24"/>
          <w:szCs w:val="24"/>
        </w:rPr>
        <w:t>http://rcpu.cwun.org/</w:t>
      </w:r>
      <w:r>
        <w:rPr>
          <w:rFonts w:hint="eastAsia" w:ascii="Times New Roman" w:hAnsi="宋体" w:cs="宋体"/>
          <w:kern w:val="2"/>
          <w:sz w:val="24"/>
          <w:szCs w:val="24"/>
        </w:rPr>
        <w:t>）及“河南省水利建设市场主体信用信息管理平台”</w:t>
      </w:r>
      <w:r>
        <w:rPr>
          <w:rFonts w:ascii="Times New Roman" w:hAnsi="宋体" w:cs="宋体"/>
          <w:kern w:val="2"/>
          <w:sz w:val="24"/>
          <w:szCs w:val="24"/>
        </w:rPr>
        <w:t>(http://xyxxgk.hnsl.gov.cn/)</w:t>
      </w:r>
      <w:r>
        <w:rPr>
          <w:rFonts w:hint="eastAsia" w:ascii="Times New Roman" w:hAnsi="宋体" w:cs="宋体"/>
          <w:kern w:val="2"/>
          <w:sz w:val="24"/>
          <w:szCs w:val="24"/>
        </w:rPr>
        <w:t>上收集并向评标委员会提供，评标委员会应以此为依据核实投标人提供的相关证明材料。</w:t>
      </w:r>
    </w:p>
    <w:p>
      <w:pPr>
        <w:spacing w:line="360" w:lineRule="auto"/>
        <w:rPr>
          <w:rFonts w:hAnsi="宋体" w:cs="宋体"/>
          <w:sz w:val="24"/>
          <w:szCs w:val="24"/>
        </w:rPr>
      </w:pPr>
      <w:r>
        <w:rPr>
          <w:rFonts w:ascii="Times New Roman" w:hAnsi="宋体" w:cs="宋体"/>
          <w:kern w:val="2"/>
          <w:sz w:val="24"/>
          <w:szCs w:val="24"/>
        </w:rPr>
        <w:t xml:space="preserve">3.3 </w:t>
      </w:r>
      <w:r>
        <w:rPr>
          <w:rFonts w:hint="eastAsia" w:ascii="Times New Roman" w:hAnsi="宋体" w:cs="宋体"/>
          <w:kern w:val="2"/>
          <w:sz w:val="24"/>
          <w:szCs w:val="24"/>
        </w:rPr>
        <w:t>投标文件的澄清和补正</w:t>
      </w:r>
    </w:p>
    <w:p>
      <w:pPr>
        <w:spacing w:line="360" w:lineRule="auto"/>
        <w:ind w:firstLine="480" w:firstLineChars="200"/>
        <w:rPr>
          <w:rFonts w:hAnsi="宋体" w:cs="宋体"/>
          <w:sz w:val="24"/>
          <w:szCs w:val="24"/>
        </w:rPr>
      </w:pPr>
      <w:r>
        <w:rPr>
          <w:rFonts w:ascii="Times New Roman" w:hAnsi="宋体" w:cs="宋体"/>
          <w:kern w:val="2"/>
          <w:sz w:val="24"/>
          <w:szCs w:val="24"/>
        </w:rPr>
        <w:t xml:space="preserve">3.3.1 </w:t>
      </w:r>
      <w:r>
        <w:rPr>
          <w:rFonts w:hint="eastAsia" w:ascii="Times New Roman" w:hAnsi="宋体" w:cs="宋体"/>
          <w:kern w:val="2"/>
          <w:sz w:val="24"/>
          <w:szCs w:val="24"/>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80" w:firstLineChars="200"/>
        <w:rPr>
          <w:rFonts w:hAnsi="宋体" w:cs="宋体"/>
          <w:sz w:val="24"/>
          <w:szCs w:val="24"/>
        </w:rPr>
      </w:pPr>
      <w:r>
        <w:rPr>
          <w:rFonts w:ascii="Times New Roman" w:hAnsi="宋体" w:cs="宋体"/>
          <w:kern w:val="2"/>
          <w:sz w:val="24"/>
          <w:szCs w:val="24"/>
        </w:rPr>
        <w:t xml:space="preserve">3.3.2 </w:t>
      </w:r>
      <w:r>
        <w:rPr>
          <w:rFonts w:hint="eastAsia" w:ascii="Times New Roman" w:hAnsi="宋体" w:cs="宋体"/>
          <w:kern w:val="2"/>
          <w:sz w:val="24"/>
          <w:szCs w:val="24"/>
        </w:rPr>
        <w:t>澄清、说明和补正不得改变投标文件的实质性内容（算术性错误修正的除外）。投标人的书面澄清、说明和补正属于投标文件的组成部分。</w:t>
      </w:r>
    </w:p>
    <w:p>
      <w:pPr>
        <w:spacing w:line="360" w:lineRule="auto"/>
        <w:ind w:firstLine="480" w:firstLineChars="200"/>
        <w:rPr>
          <w:rFonts w:hAnsi="宋体" w:cs="宋体"/>
          <w:sz w:val="24"/>
          <w:szCs w:val="24"/>
        </w:rPr>
      </w:pPr>
      <w:r>
        <w:rPr>
          <w:rFonts w:ascii="Times New Roman" w:hAnsi="宋体" w:cs="宋体"/>
          <w:kern w:val="2"/>
          <w:sz w:val="24"/>
          <w:szCs w:val="24"/>
        </w:rPr>
        <w:t xml:space="preserve">3.3.3 </w:t>
      </w:r>
      <w:r>
        <w:rPr>
          <w:rFonts w:hint="eastAsia" w:ascii="Times New Roman" w:hAnsi="宋体" w:cs="宋体"/>
          <w:kern w:val="2"/>
          <w:sz w:val="24"/>
          <w:szCs w:val="24"/>
        </w:rPr>
        <w:t>评标委员会对投标人提交的澄清、说明或补正有疑问的，可以要求投标人进一步澄清、说明或补正，直至满足评标委员会的要求。</w:t>
      </w:r>
    </w:p>
    <w:p>
      <w:pPr>
        <w:spacing w:line="360" w:lineRule="auto"/>
        <w:rPr>
          <w:rFonts w:hAnsi="宋体" w:cs="宋体"/>
          <w:sz w:val="24"/>
          <w:szCs w:val="24"/>
        </w:rPr>
      </w:pPr>
      <w:r>
        <w:rPr>
          <w:rFonts w:ascii="Times New Roman" w:hAnsi="宋体" w:cs="宋体"/>
          <w:kern w:val="2"/>
          <w:sz w:val="24"/>
          <w:szCs w:val="24"/>
        </w:rPr>
        <w:t xml:space="preserve">3.4 </w:t>
      </w:r>
      <w:r>
        <w:rPr>
          <w:rFonts w:hint="eastAsia" w:ascii="Times New Roman" w:hAnsi="宋体" w:cs="宋体"/>
          <w:kern w:val="2"/>
          <w:sz w:val="24"/>
          <w:szCs w:val="24"/>
        </w:rPr>
        <w:t>评标结果</w:t>
      </w:r>
    </w:p>
    <w:p>
      <w:pPr>
        <w:spacing w:line="360" w:lineRule="auto"/>
        <w:ind w:firstLine="480" w:firstLineChars="200"/>
        <w:rPr>
          <w:rFonts w:hAnsi="宋体" w:cs="宋体"/>
          <w:sz w:val="24"/>
          <w:szCs w:val="24"/>
        </w:rPr>
      </w:pPr>
      <w:r>
        <w:rPr>
          <w:rFonts w:ascii="Times New Roman" w:hAnsi="宋体" w:cs="宋体"/>
          <w:kern w:val="2"/>
          <w:sz w:val="24"/>
          <w:szCs w:val="24"/>
        </w:rPr>
        <w:t xml:space="preserve">3.4.1 </w:t>
      </w:r>
      <w:r>
        <w:rPr>
          <w:rFonts w:hint="eastAsia" w:ascii="Times New Roman" w:hAnsi="宋体" w:cs="宋体"/>
          <w:kern w:val="2"/>
          <w:sz w:val="24"/>
          <w:szCs w:val="24"/>
        </w:rPr>
        <w:t>评标委员会依据本章第</w:t>
      </w:r>
      <w:r>
        <w:rPr>
          <w:rFonts w:ascii="Times New Roman" w:hAnsi="宋体" w:cs="宋体"/>
          <w:kern w:val="2"/>
          <w:sz w:val="24"/>
          <w:szCs w:val="24"/>
        </w:rPr>
        <w:t>2.2</w:t>
      </w:r>
      <w:r>
        <w:rPr>
          <w:rFonts w:hint="eastAsia" w:ascii="Times New Roman" w:hAnsi="宋体" w:cs="宋体"/>
          <w:kern w:val="2"/>
          <w:sz w:val="24"/>
          <w:szCs w:val="24"/>
        </w:rPr>
        <w:t>条评分标准进行评审，</w:t>
      </w:r>
      <w:r>
        <w:rPr>
          <w:rFonts w:hint="eastAsia" w:ascii="Times New Roman" w:hAnsi="宋体" w:cs="宋体"/>
          <w:kern w:val="1"/>
          <w:sz w:val="24"/>
          <w:szCs w:val="24"/>
        </w:rPr>
        <w:t>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p>
      <w:pPr>
        <w:spacing w:line="360" w:lineRule="auto"/>
        <w:ind w:firstLine="480" w:firstLineChars="200"/>
        <w:rPr>
          <w:rFonts w:hAnsi="宋体" w:cs="宋体"/>
          <w:sz w:val="24"/>
          <w:szCs w:val="24"/>
        </w:rPr>
      </w:pPr>
      <w:r>
        <w:rPr>
          <w:rFonts w:ascii="Times New Roman" w:hAnsi="宋体" w:cs="宋体"/>
          <w:kern w:val="2"/>
          <w:sz w:val="24"/>
          <w:szCs w:val="24"/>
        </w:rPr>
        <w:t xml:space="preserve">3.4.2 </w:t>
      </w:r>
      <w:r>
        <w:rPr>
          <w:rFonts w:hint="eastAsia" w:ascii="Times New Roman" w:hAnsi="宋体" w:cs="宋体"/>
          <w:kern w:val="2"/>
          <w:sz w:val="24"/>
          <w:szCs w:val="24"/>
        </w:rPr>
        <w:t>评标委员会完成评标后，应当向招标人提交书面评标报告。</w:t>
      </w:r>
    </w:p>
    <w:p>
      <w:pPr>
        <w:spacing w:line="360" w:lineRule="auto"/>
        <w:ind w:firstLine="480" w:firstLineChars="200"/>
        <w:rPr>
          <w:rFonts w:hAnsi="宋体" w:cs="宋体"/>
          <w:sz w:val="24"/>
          <w:szCs w:val="24"/>
        </w:rPr>
      </w:pPr>
      <w:r>
        <w:rPr>
          <w:rFonts w:ascii="Times New Roman" w:hAnsi="宋体" w:cs="宋体"/>
          <w:kern w:val="2"/>
          <w:sz w:val="24"/>
          <w:szCs w:val="24"/>
        </w:rPr>
        <w:t>3.4.3</w:t>
      </w:r>
      <w:r>
        <w:rPr>
          <w:rFonts w:hint="eastAsia" w:ascii="Times New Roman" w:hAnsi="宋体" w:cs="宋体"/>
          <w:kern w:val="2"/>
          <w:sz w:val="24"/>
          <w:szCs w:val="24"/>
        </w:rPr>
        <w:t>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pPr>
        <w:snapToGrid w:val="0"/>
        <w:spacing w:line="360" w:lineRule="auto"/>
        <w:ind w:firstLine="480" w:firstLineChars="200"/>
        <w:rPr>
          <w:rFonts w:ascii="新宋体" w:hAnsi="新宋体" w:eastAsia="新宋体" w:cs="新宋体"/>
          <w:sz w:val="24"/>
          <w:szCs w:val="24"/>
        </w:rPr>
      </w:pPr>
      <w:r>
        <w:rPr>
          <w:rFonts w:hint="eastAsia" w:ascii="Times New Roman" w:hAnsi="宋体" w:cs="宋体"/>
          <w:kern w:val="2"/>
          <w:sz w:val="24"/>
          <w:szCs w:val="24"/>
        </w:rPr>
        <w:t>备注：上述增加、减少投标报价的额度精确到两位小数，</w:t>
      </w:r>
      <w:r>
        <w:rPr>
          <w:rFonts w:hint="eastAsia" w:ascii="新宋体" w:hAnsi="新宋体" w:eastAsia="新宋体" w:cs="新宋体"/>
          <w:kern w:val="2"/>
          <w:sz w:val="24"/>
          <w:szCs w:val="24"/>
        </w:rPr>
        <w:t>第三位四舍五入。</w:t>
      </w:r>
    </w:p>
    <w:p>
      <w:pPr>
        <w:snapToGrid w:val="0"/>
        <w:spacing w:line="360" w:lineRule="auto"/>
        <w:jc w:val="left"/>
        <w:rPr>
          <w:rFonts w:ascii="新宋体" w:hAnsi="新宋体" w:eastAsia="新宋体" w:cs="宋体"/>
          <w:b/>
          <w:sz w:val="24"/>
          <w:szCs w:val="24"/>
        </w:rPr>
      </w:pPr>
      <w:r>
        <w:rPr>
          <w:rFonts w:hint="eastAsia" w:ascii="新宋体" w:hAnsi="新宋体" w:eastAsia="新宋体" w:cs="宋体"/>
          <w:b/>
          <w:kern w:val="2"/>
          <w:sz w:val="24"/>
          <w:szCs w:val="24"/>
        </w:rPr>
        <w:t>4、评标报告</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评标委员会根据投标人须知前附表7.1条的规定向招标人提交评标报告，在评标报告中显示“不同投标人电子投标文件制作硬件特征码”是否雷同的分析及判定结果，评标报告应当由全体评标委员会成员签字，并于评标结束时抄送有关行政监督部门。</w:t>
      </w:r>
    </w:p>
    <w:p>
      <w:pPr>
        <w:snapToGrid w:val="0"/>
        <w:spacing w:line="360" w:lineRule="auto"/>
        <w:rPr>
          <w:rFonts w:ascii="新宋体" w:hAnsi="新宋体" w:eastAsia="新宋体" w:cs="新宋体"/>
          <w:sz w:val="24"/>
          <w:szCs w:val="22"/>
        </w:rPr>
      </w:pPr>
      <w:r>
        <w:rPr>
          <w:rFonts w:hint="eastAsia" w:ascii="新宋体" w:hAnsi="新宋体" w:eastAsia="新宋体" w:cs="宋体"/>
          <w:b/>
          <w:kern w:val="2"/>
          <w:sz w:val="24"/>
          <w:szCs w:val="24"/>
        </w:rPr>
        <w:t>5、公示</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2"/>
        </w:rPr>
        <w:t>中标人确定后，招标人应当在《全国公共资源交易平台(河南省▪许昌市)》和《河南省电子招标投标公共服务平台》上</w:t>
      </w:r>
      <w:r>
        <w:rPr>
          <w:rFonts w:hint="eastAsia" w:ascii="新宋体" w:hAnsi="新宋体" w:eastAsia="新宋体" w:cs="新宋体"/>
          <w:kern w:val="2"/>
          <w:sz w:val="24"/>
          <w:szCs w:val="24"/>
        </w:rPr>
        <w:t>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rPr>
          <w:rFonts w:ascii="新宋体" w:hAnsi="新宋体" w:eastAsia="新宋体" w:cs="新宋体"/>
          <w:b/>
          <w:sz w:val="24"/>
          <w:szCs w:val="24"/>
        </w:rPr>
      </w:pPr>
      <w:r>
        <w:rPr>
          <w:rFonts w:hint="eastAsia" w:ascii="新宋体" w:hAnsi="新宋体" w:eastAsia="新宋体" w:cs="新宋体"/>
          <w:b/>
          <w:kern w:val="2"/>
          <w:sz w:val="24"/>
          <w:szCs w:val="24"/>
        </w:rPr>
        <w:t>6、特殊情况的处置程序</w:t>
      </w:r>
    </w:p>
    <w:p>
      <w:pPr>
        <w:snapToGrid w:val="0"/>
        <w:spacing w:line="360" w:lineRule="auto"/>
        <w:ind w:firstLine="480" w:firstLineChars="200"/>
        <w:rPr>
          <w:rFonts w:ascii="新宋体" w:hAnsi="新宋体" w:eastAsia="新宋体" w:cs="新宋体"/>
          <w:b/>
          <w:sz w:val="24"/>
          <w:szCs w:val="24"/>
        </w:rPr>
      </w:pPr>
      <w:r>
        <w:rPr>
          <w:rFonts w:hint="eastAsia" w:ascii="新宋体" w:hAnsi="新宋体" w:eastAsia="新宋体" w:cs="新宋体"/>
          <w:b/>
          <w:kern w:val="2"/>
          <w:sz w:val="24"/>
          <w:szCs w:val="24"/>
        </w:rPr>
        <w:t>6.1关于澄清、说明或补正</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hAnsi="新宋体" w:eastAsia="新宋体" w:cs="新宋体"/>
          <w:b/>
          <w:sz w:val="24"/>
          <w:szCs w:val="24"/>
        </w:rPr>
      </w:pPr>
      <w:r>
        <w:rPr>
          <w:rFonts w:hint="eastAsia" w:ascii="新宋体" w:hAnsi="新宋体" w:eastAsia="新宋体" w:cs="新宋体"/>
          <w:b/>
          <w:kern w:val="2"/>
          <w:sz w:val="24"/>
          <w:szCs w:val="24"/>
        </w:rPr>
        <w:t>6.2关于评标活动暂停</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6.2.1评标委员会应当执行连续评标的原则，按评标办法中规定的程序、内容、方法、标准完成全部评标工作。只有发生不可抗力导致评标工作无法继续时，评标活动方可暂停。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6.2.2发生评标暂停情况时，评标委员会应当封存全部投标文件和评标记录，待不可抗力的影响结束且具备继续评标的条件时，由原评标委员会继续评标。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hAnsi="新宋体" w:eastAsia="新宋体" w:cs="新宋体"/>
          <w:b/>
          <w:sz w:val="24"/>
          <w:szCs w:val="24"/>
        </w:rPr>
      </w:pPr>
      <w:r>
        <w:rPr>
          <w:rFonts w:hint="eastAsia" w:ascii="新宋体" w:hAnsi="新宋体" w:eastAsia="新宋体" w:cs="新宋体"/>
          <w:b/>
          <w:kern w:val="2"/>
          <w:sz w:val="24"/>
          <w:szCs w:val="24"/>
        </w:rPr>
        <w:t>6.3关于评标中途更换评标委员会成员</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6.3.1除非发生下列情况之一，评标委员会成员不得在评标中途更换：</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（1）因不可抗拒的客观原因，不能到场或需在评标中途退出评标活动。</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（2）根据法律法规规定，某个或某几个评标委员会成员需要回避。</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6.3.2退出评标的评标委员会成员，其已完成的评标行为无效。由招标人根据本招标文件规定的评标委员会成员产生方式另行确定替代者进行评标。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hAnsi="新宋体" w:eastAsia="新宋体" w:cs="新宋体"/>
          <w:b/>
          <w:sz w:val="24"/>
          <w:szCs w:val="24"/>
        </w:rPr>
      </w:pPr>
      <w:r>
        <w:rPr>
          <w:rFonts w:hint="eastAsia" w:ascii="新宋体" w:hAnsi="新宋体" w:eastAsia="新宋体" w:cs="新宋体"/>
          <w:b/>
          <w:kern w:val="2"/>
          <w:sz w:val="24"/>
          <w:szCs w:val="24"/>
        </w:rPr>
        <w:t>6.4记名投票</w:t>
      </w:r>
    </w:p>
    <w:p>
      <w:pPr>
        <w:snapToGrid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kern w:val="2"/>
          <w:sz w:val="24"/>
          <w:szCs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szCs w:val="24"/>
        </w:rPr>
      </w:pPr>
      <w:r>
        <w:rPr>
          <w:rFonts w:ascii="Times New Roman"/>
          <w:b/>
          <w:kern w:val="2"/>
          <w:sz w:val="24"/>
          <w:szCs w:val="24"/>
        </w:rPr>
        <w:t>6.5</w:t>
      </w:r>
      <w:r>
        <w:rPr>
          <w:rFonts w:hint="eastAsia" w:ascii="Times New Roman" w:cs="宋体"/>
          <w:b/>
          <w:kern w:val="2"/>
          <w:sz w:val="24"/>
          <w:szCs w:val="24"/>
        </w:rPr>
        <w:t>评标委员会对评标结果有异议的</w:t>
      </w:r>
    </w:p>
    <w:p>
      <w:pPr>
        <w:snapToGrid w:val="0"/>
        <w:spacing w:line="360" w:lineRule="auto"/>
        <w:ind w:firstLine="468" w:firstLineChars="200"/>
        <w:rPr>
          <w:rFonts w:ascii="新宋体" w:hAnsi="新宋体" w:eastAsia="新宋体" w:cs="新宋体"/>
          <w:b/>
          <w:szCs w:val="21"/>
        </w:rPr>
      </w:pPr>
      <w:r>
        <w:rPr>
          <w:rFonts w:hint="eastAsia" w:ascii="Times New Roman" w:cs="宋体"/>
          <w:spacing w:val="-3"/>
          <w:kern w:val="2"/>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6"/>
        <w:jc w:val="center"/>
        <w:rPr>
          <w:rStyle w:val="61"/>
          <w:rFonts w:ascii="宋体" w:hAnsi="宋体" w:eastAsia="宋体"/>
          <w:b/>
          <w:bCs w:val="0"/>
          <w:sz w:val="44"/>
          <w:szCs w:val="44"/>
        </w:rPr>
      </w:pPr>
    </w:p>
    <w:p>
      <w:pPr>
        <w:rPr>
          <w:rStyle w:val="61"/>
          <w:rFonts w:ascii="宋体" w:hAnsi="宋体" w:eastAsia="宋体"/>
          <w:bCs w:val="0"/>
          <w:sz w:val="44"/>
          <w:szCs w:val="44"/>
        </w:rPr>
      </w:pPr>
    </w:p>
    <w:p>
      <w:pPr>
        <w:pStyle w:val="2"/>
        <w:ind w:firstLine="442"/>
        <w:rPr>
          <w:rStyle w:val="61"/>
          <w:rFonts w:ascii="宋体" w:hAnsi="宋体" w:eastAsia="宋体"/>
          <w:bCs w:val="0"/>
          <w:sz w:val="44"/>
          <w:szCs w:val="44"/>
        </w:rPr>
      </w:pPr>
    </w:p>
    <w:p>
      <w:pPr>
        <w:pStyle w:val="2"/>
        <w:ind w:firstLine="442"/>
        <w:rPr>
          <w:rStyle w:val="61"/>
          <w:rFonts w:ascii="宋体" w:hAnsi="宋体" w:eastAsia="宋体"/>
          <w:bCs w:val="0"/>
          <w:sz w:val="44"/>
          <w:szCs w:val="44"/>
        </w:rPr>
      </w:pPr>
    </w:p>
    <w:p>
      <w:pPr>
        <w:pStyle w:val="6"/>
        <w:rPr>
          <w:rStyle w:val="61"/>
          <w:rFonts w:hint="eastAsia" w:ascii="宋体" w:hAnsi="宋体" w:eastAsia="宋体"/>
          <w:b/>
          <w:bCs w:val="0"/>
          <w:sz w:val="44"/>
          <w:szCs w:val="44"/>
        </w:rPr>
      </w:pPr>
    </w:p>
    <w:bookmarkEnd w:id="97"/>
    <w:bookmarkEnd w:id="98"/>
    <w:bookmarkEnd w:id="99"/>
    <w:bookmarkEnd w:id="100"/>
    <w:bookmarkEnd w:id="101"/>
    <w:bookmarkEnd w:id="102"/>
    <w:p>
      <w:pPr>
        <w:snapToGrid w:val="0"/>
        <w:spacing w:line="360" w:lineRule="auto"/>
        <w:jc w:val="center"/>
        <w:rPr>
          <w:rFonts w:hint="eastAsia" w:hAnsi="宋体" w:cs="黑体"/>
          <w:b/>
          <w:sz w:val="36"/>
          <w:szCs w:val="36"/>
        </w:rPr>
      </w:pPr>
      <w:bookmarkStart w:id="137" w:name="_Toc517940885"/>
      <w:bookmarkStart w:id="138" w:name="_Toc21351"/>
    </w:p>
    <w:p>
      <w:pPr>
        <w:snapToGrid w:val="0"/>
        <w:spacing w:line="360" w:lineRule="auto"/>
        <w:jc w:val="center"/>
        <w:rPr>
          <w:rFonts w:hAnsi="宋体" w:cs="黑体"/>
          <w:b/>
          <w:sz w:val="36"/>
          <w:szCs w:val="36"/>
        </w:rPr>
      </w:pPr>
      <w:r>
        <w:rPr>
          <w:rFonts w:hint="eastAsia" w:hAnsi="宋体" w:cs="黑体"/>
          <w:b/>
          <w:sz w:val="36"/>
          <w:szCs w:val="36"/>
        </w:rPr>
        <w:t>第四章   合同条款及格式</w:t>
      </w:r>
    </w:p>
    <w:p>
      <w:pPr>
        <w:spacing w:line="312" w:lineRule="auto"/>
        <w:jc w:val="center"/>
        <w:rPr>
          <w:rFonts w:hAnsi="宋体" w:cs="宋体"/>
          <w:b/>
          <w:sz w:val="28"/>
          <w:szCs w:val="28"/>
        </w:rPr>
      </w:pPr>
      <w:r>
        <w:rPr>
          <w:rFonts w:hint="eastAsia" w:hAnsi="宋体" w:cs="宋体"/>
          <w:b/>
          <w:kern w:val="2"/>
          <w:sz w:val="28"/>
          <w:szCs w:val="28"/>
        </w:rPr>
        <w:t xml:space="preserve"> 第一节 通用合同条款(略)</w:t>
      </w:r>
    </w:p>
    <w:p>
      <w:pPr>
        <w:spacing w:line="312" w:lineRule="auto"/>
        <w:jc w:val="center"/>
        <w:rPr>
          <w:rFonts w:hAnsi="宋体" w:cs="宋体"/>
          <w:b/>
          <w:sz w:val="28"/>
          <w:szCs w:val="28"/>
        </w:rPr>
      </w:pPr>
      <w:bookmarkStart w:id="139" w:name="_Toc382164588"/>
      <w:bookmarkStart w:id="140" w:name="_Toc222031028"/>
      <w:bookmarkStart w:id="141" w:name="_Toc222029526"/>
      <w:bookmarkStart w:id="142" w:name="_Toc229305386"/>
      <w:bookmarkStart w:id="143" w:name="_Toc221948340"/>
      <w:bookmarkStart w:id="144" w:name="_Toc221951110"/>
      <w:bookmarkStart w:id="145" w:name="_Toc382164703"/>
      <w:bookmarkStart w:id="146" w:name="_Toc222033877"/>
      <w:bookmarkStart w:id="147" w:name="_Toc222032695"/>
      <w:r>
        <w:rPr>
          <w:rFonts w:hint="eastAsia" w:hAnsi="宋体" w:cs="宋体"/>
          <w:b/>
          <w:kern w:val="2"/>
          <w:sz w:val="28"/>
          <w:szCs w:val="28"/>
        </w:rPr>
        <w:t>第二节 专用合同条款</w:t>
      </w:r>
      <w:bookmarkEnd w:id="139"/>
      <w:bookmarkEnd w:id="140"/>
      <w:bookmarkEnd w:id="141"/>
      <w:bookmarkEnd w:id="142"/>
      <w:bookmarkEnd w:id="143"/>
      <w:bookmarkEnd w:id="144"/>
      <w:bookmarkEnd w:id="145"/>
      <w:bookmarkEnd w:id="146"/>
      <w:bookmarkEnd w:id="147"/>
    </w:p>
    <w:p>
      <w:pPr>
        <w:spacing w:line="312" w:lineRule="auto"/>
        <w:rPr>
          <w:rFonts w:hAnsi="宋体" w:cs="宋体"/>
          <w:b/>
          <w:sz w:val="24"/>
          <w:szCs w:val="24"/>
        </w:rPr>
      </w:pPr>
      <w:bookmarkStart w:id="148" w:name="_Toc222029527"/>
      <w:bookmarkStart w:id="149" w:name="_Toc222033878"/>
      <w:bookmarkStart w:id="150" w:name="_Toc229305387"/>
      <w:bookmarkStart w:id="151" w:name="_Toc222031029"/>
      <w:bookmarkStart w:id="152" w:name="_Toc222032696"/>
      <w:bookmarkStart w:id="153" w:name="_Toc221951111"/>
      <w:r>
        <w:rPr>
          <w:rFonts w:hint="eastAsia" w:hAnsi="宋体" w:cs="宋体"/>
          <w:b/>
          <w:kern w:val="2"/>
          <w:sz w:val="24"/>
          <w:szCs w:val="24"/>
        </w:rPr>
        <w:t>1．一般约定</w:t>
      </w:r>
      <w:bookmarkEnd w:id="148"/>
      <w:bookmarkEnd w:id="149"/>
      <w:bookmarkEnd w:id="150"/>
      <w:bookmarkEnd w:id="151"/>
      <w:bookmarkEnd w:id="152"/>
      <w:bookmarkEnd w:id="153"/>
    </w:p>
    <w:p>
      <w:pPr>
        <w:spacing w:line="312" w:lineRule="auto"/>
        <w:rPr>
          <w:rFonts w:hAnsi="宋体" w:cs="宋体"/>
          <w:b/>
          <w:sz w:val="24"/>
          <w:szCs w:val="24"/>
        </w:rPr>
      </w:pPr>
      <w:bookmarkStart w:id="154" w:name="_Toc221951112"/>
      <w:r>
        <w:rPr>
          <w:rFonts w:hint="eastAsia" w:hAnsi="宋体" w:cs="宋体"/>
          <w:b/>
          <w:kern w:val="2"/>
          <w:sz w:val="24"/>
          <w:szCs w:val="24"/>
        </w:rPr>
        <w:t>1.1  词语定义</w:t>
      </w:r>
      <w:bookmarkEnd w:id="154"/>
    </w:p>
    <w:p>
      <w:pPr>
        <w:spacing w:line="312" w:lineRule="auto"/>
        <w:rPr>
          <w:rFonts w:hAnsi="宋体" w:cs="宋体"/>
          <w:sz w:val="24"/>
          <w:szCs w:val="24"/>
        </w:rPr>
      </w:pPr>
      <w:bookmarkStart w:id="155" w:name="_Toc221951113"/>
      <w:r>
        <w:rPr>
          <w:rFonts w:hint="eastAsia" w:hAnsi="宋体" w:cs="宋体"/>
          <w:kern w:val="2"/>
          <w:sz w:val="24"/>
          <w:szCs w:val="24"/>
        </w:rPr>
        <w:t>1.1.2  合同当事人和人员</w:t>
      </w:r>
      <w:bookmarkEnd w:id="155"/>
    </w:p>
    <w:p>
      <w:pPr>
        <w:spacing w:line="312" w:lineRule="auto"/>
        <w:rPr>
          <w:rFonts w:hAnsi="宋体" w:cs="宋体"/>
          <w:sz w:val="24"/>
          <w:szCs w:val="24"/>
        </w:rPr>
      </w:pPr>
      <w:bookmarkStart w:id="156" w:name="_Toc221951114"/>
      <w:r>
        <w:rPr>
          <w:rFonts w:hint="eastAsia" w:hAnsi="宋体" w:cs="宋体"/>
          <w:kern w:val="2"/>
          <w:sz w:val="24"/>
          <w:szCs w:val="24"/>
        </w:rPr>
        <w:t>1.1.2.2  发包人：</w:t>
      </w:r>
      <w:r>
        <w:rPr>
          <w:rFonts w:hint="eastAsia" w:hAnsi="宋体" w:cs="宋体"/>
          <w:kern w:val="2"/>
          <w:sz w:val="24"/>
          <w:szCs w:val="24"/>
          <w:u w:val="single"/>
        </w:rPr>
        <w:t xml:space="preserve">             (填入发包人的名称)       </w:t>
      </w:r>
      <w:r>
        <w:rPr>
          <w:rFonts w:hint="eastAsia" w:hAnsi="宋体" w:cs="宋体"/>
          <w:kern w:val="2"/>
          <w:sz w:val="24"/>
          <w:szCs w:val="24"/>
        </w:rPr>
        <w:t>。</w:t>
      </w:r>
      <w:bookmarkEnd w:id="156"/>
    </w:p>
    <w:p>
      <w:pPr>
        <w:spacing w:line="312" w:lineRule="auto"/>
        <w:rPr>
          <w:rFonts w:hAnsi="宋体" w:cs="宋体"/>
          <w:sz w:val="24"/>
          <w:szCs w:val="24"/>
        </w:rPr>
      </w:pPr>
      <w:bookmarkStart w:id="157" w:name="_Toc221951115"/>
      <w:r>
        <w:rPr>
          <w:rFonts w:hint="eastAsia" w:hAnsi="宋体" w:cs="宋体"/>
          <w:kern w:val="2"/>
          <w:sz w:val="24"/>
          <w:szCs w:val="24"/>
        </w:rPr>
        <w:t>1.1.2.3  承包人：</w:t>
      </w:r>
      <w:r>
        <w:rPr>
          <w:rFonts w:hint="eastAsia" w:hAnsi="宋体" w:cs="宋体"/>
          <w:kern w:val="2"/>
          <w:sz w:val="24"/>
          <w:szCs w:val="24"/>
          <w:u w:val="single"/>
        </w:rPr>
        <w:t xml:space="preserve">                 (签约后填入承包人的名称)    </w:t>
      </w:r>
      <w:r>
        <w:rPr>
          <w:rFonts w:hint="eastAsia" w:hAnsi="宋体" w:cs="宋体"/>
          <w:kern w:val="2"/>
          <w:sz w:val="24"/>
          <w:szCs w:val="24"/>
        </w:rPr>
        <w:t>。</w:t>
      </w:r>
      <w:bookmarkEnd w:id="157"/>
    </w:p>
    <w:p>
      <w:pPr>
        <w:spacing w:line="312" w:lineRule="auto"/>
        <w:rPr>
          <w:rFonts w:hAnsi="宋体" w:cs="宋体"/>
          <w:sz w:val="24"/>
          <w:szCs w:val="24"/>
        </w:rPr>
      </w:pPr>
      <w:bookmarkStart w:id="158" w:name="_Toc221951116"/>
      <w:r>
        <w:rPr>
          <w:rFonts w:hint="eastAsia" w:hAnsi="宋体" w:cs="宋体"/>
          <w:kern w:val="2"/>
          <w:sz w:val="24"/>
          <w:szCs w:val="24"/>
        </w:rPr>
        <w:t>1.1.2.5  分包人：</w:t>
      </w:r>
      <w:r>
        <w:rPr>
          <w:rFonts w:hint="eastAsia" w:hAnsi="宋体" w:cs="宋体"/>
          <w:kern w:val="2"/>
          <w:sz w:val="24"/>
          <w:szCs w:val="24"/>
          <w:u w:val="single"/>
        </w:rPr>
        <w:t xml:space="preserve">                 (签约后填入分包人的名称)    </w:t>
      </w:r>
      <w:r>
        <w:rPr>
          <w:rFonts w:hint="eastAsia" w:hAnsi="宋体" w:cs="宋体"/>
          <w:kern w:val="2"/>
          <w:sz w:val="24"/>
          <w:szCs w:val="24"/>
        </w:rPr>
        <w:t>。</w:t>
      </w:r>
      <w:bookmarkEnd w:id="158"/>
    </w:p>
    <w:p>
      <w:pPr>
        <w:spacing w:line="312" w:lineRule="auto"/>
        <w:rPr>
          <w:rFonts w:hAnsi="宋体" w:cs="宋体"/>
          <w:sz w:val="24"/>
          <w:szCs w:val="24"/>
        </w:rPr>
      </w:pPr>
      <w:bookmarkStart w:id="159" w:name="_Toc221951117"/>
      <w:r>
        <w:rPr>
          <w:rFonts w:hint="eastAsia" w:hAnsi="宋体" w:cs="宋体"/>
          <w:kern w:val="2"/>
          <w:sz w:val="24"/>
          <w:szCs w:val="24"/>
        </w:rPr>
        <w:t>1.1.2.6  监理人：</w:t>
      </w:r>
      <w:r>
        <w:rPr>
          <w:rFonts w:hint="eastAsia" w:hAnsi="宋体" w:cs="宋体"/>
          <w:kern w:val="2"/>
          <w:sz w:val="24"/>
          <w:szCs w:val="24"/>
          <w:u w:val="single"/>
        </w:rPr>
        <w:t xml:space="preserve">                     (填入监理人名称)       </w:t>
      </w:r>
      <w:r>
        <w:rPr>
          <w:rFonts w:hint="eastAsia" w:hAnsi="宋体" w:cs="宋体"/>
          <w:kern w:val="2"/>
          <w:sz w:val="24"/>
          <w:szCs w:val="24"/>
        </w:rPr>
        <w:t xml:space="preserve"> 。</w:t>
      </w:r>
      <w:bookmarkEnd w:id="159"/>
    </w:p>
    <w:p>
      <w:pPr>
        <w:spacing w:line="312" w:lineRule="auto"/>
        <w:rPr>
          <w:rFonts w:hAnsi="宋体" w:cs="宋体"/>
          <w:sz w:val="24"/>
          <w:szCs w:val="24"/>
        </w:rPr>
      </w:pPr>
      <w:bookmarkStart w:id="160" w:name="_Toc221951125"/>
      <w:r>
        <w:rPr>
          <w:rFonts w:hint="eastAsia" w:hAnsi="宋体" w:cs="宋体"/>
          <w:kern w:val="2"/>
          <w:sz w:val="24"/>
          <w:szCs w:val="24"/>
        </w:rPr>
        <w:t>1.1.4  日期</w:t>
      </w:r>
      <w:bookmarkEnd w:id="160"/>
      <w:r>
        <w:rPr>
          <w:rFonts w:hint="eastAsia" w:hAnsi="宋体" w:cs="宋体"/>
          <w:kern w:val="2"/>
          <w:sz w:val="24"/>
          <w:szCs w:val="24"/>
        </w:rPr>
        <w:t>：</w:t>
      </w:r>
    </w:p>
    <w:p>
      <w:pPr>
        <w:spacing w:line="312" w:lineRule="auto"/>
        <w:rPr>
          <w:rFonts w:hAnsi="宋体" w:cs="宋体"/>
          <w:sz w:val="24"/>
          <w:szCs w:val="24"/>
        </w:rPr>
      </w:pPr>
      <w:bookmarkStart w:id="161" w:name="_Toc221951126"/>
      <w:r>
        <w:rPr>
          <w:rFonts w:hint="eastAsia" w:hAnsi="宋体" w:cs="宋体"/>
          <w:kern w:val="2"/>
          <w:sz w:val="24"/>
          <w:szCs w:val="24"/>
        </w:rPr>
        <w:t>1.1.4.5  缺陷责任期：</w:t>
      </w:r>
      <w:r>
        <w:rPr>
          <w:rFonts w:hint="eastAsia" w:hAnsi="宋体" w:cs="宋体"/>
          <w:kern w:val="2"/>
          <w:sz w:val="24"/>
          <w:szCs w:val="24"/>
          <w:u w:val="single"/>
        </w:rPr>
        <w:t xml:space="preserve">    （填写本合同工程的缺陷责任期限）    </w:t>
      </w:r>
      <w:r>
        <w:rPr>
          <w:rFonts w:hint="eastAsia" w:hAnsi="宋体" w:cs="宋体"/>
          <w:kern w:val="2"/>
          <w:sz w:val="24"/>
          <w:szCs w:val="24"/>
        </w:rPr>
        <w:t>。</w:t>
      </w:r>
      <w:bookmarkEnd w:id="161"/>
    </w:p>
    <w:p>
      <w:pPr>
        <w:spacing w:line="312" w:lineRule="auto"/>
        <w:rPr>
          <w:rFonts w:hAnsi="宋体" w:cs="宋体"/>
          <w:b/>
          <w:sz w:val="24"/>
          <w:szCs w:val="24"/>
        </w:rPr>
      </w:pPr>
      <w:bookmarkStart w:id="162" w:name="_Toc221951127"/>
      <w:r>
        <w:rPr>
          <w:rFonts w:hint="eastAsia" w:hAnsi="宋体" w:cs="宋体"/>
          <w:b/>
          <w:kern w:val="2"/>
          <w:sz w:val="24"/>
          <w:szCs w:val="24"/>
        </w:rPr>
        <w:t>1.4  合同文件的优先顺序</w:t>
      </w:r>
      <w:bookmarkEnd w:id="162"/>
      <w:bookmarkStart w:id="163" w:name="_Toc221951129"/>
    </w:p>
    <w:p>
      <w:pPr>
        <w:spacing w:line="312" w:lineRule="auto"/>
        <w:ind w:firstLine="120" w:firstLineChars="50"/>
        <w:rPr>
          <w:rFonts w:hAnsi="宋体" w:cs="宋体"/>
          <w:sz w:val="24"/>
          <w:szCs w:val="24"/>
        </w:rPr>
      </w:pPr>
      <w:r>
        <w:rPr>
          <w:rFonts w:hint="eastAsia" w:hAnsi="宋体" w:cs="宋体"/>
          <w:kern w:val="2"/>
          <w:sz w:val="24"/>
          <w:szCs w:val="24"/>
        </w:rPr>
        <w:t>进人合同文件的各项文件及其优先顺序是。</w:t>
      </w:r>
    </w:p>
    <w:p>
      <w:pPr>
        <w:spacing w:line="312" w:lineRule="auto"/>
        <w:rPr>
          <w:rFonts w:hAnsi="宋体" w:cs="宋体"/>
          <w:b/>
          <w:sz w:val="24"/>
          <w:szCs w:val="24"/>
        </w:rPr>
      </w:pPr>
      <w:r>
        <w:rPr>
          <w:rFonts w:hint="eastAsia" w:hAnsi="宋体" w:cs="宋体"/>
          <w:b/>
          <w:kern w:val="2"/>
          <w:sz w:val="24"/>
          <w:szCs w:val="24"/>
        </w:rPr>
        <w:t>1.7  联络</w:t>
      </w:r>
      <w:bookmarkEnd w:id="163"/>
    </w:p>
    <w:p>
      <w:pPr>
        <w:spacing w:line="312" w:lineRule="auto"/>
        <w:rPr>
          <w:rFonts w:hAnsi="宋体" w:cs="宋体"/>
          <w:sz w:val="24"/>
          <w:szCs w:val="24"/>
        </w:rPr>
      </w:pPr>
      <w:bookmarkStart w:id="164" w:name="_Toc221951130"/>
      <w:r>
        <w:rPr>
          <w:rFonts w:hint="eastAsia" w:hAnsi="宋体" w:cs="宋体"/>
          <w:kern w:val="2"/>
          <w:sz w:val="24"/>
          <w:szCs w:val="24"/>
        </w:rPr>
        <w:t>1.7.2来往函件均应按技术标准和要求（合同技术条款）约定的期限送达</w:t>
      </w:r>
      <w:r>
        <w:rPr>
          <w:rFonts w:hint="eastAsia" w:hAnsi="宋体" w:cs="宋体"/>
          <w:kern w:val="2"/>
          <w:sz w:val="24"/>
          <w:szCs w:val="24"/>
          <w:u w:val="single"/>
        </w:rPr>
        <w:t xml:space="preserve">  (填写文件送达地点)  </w:t>
      </w:r>
      <w:r>
        <w:rPr>
          <w:rFonts w:hint="eastAsia" w:hAnsi="宋体" w:cs="宋体"/>
          <w:kern w:val="2"/>
          <w:sz w:val="24"/>
          <w:szCs w:val="24"/>
        </w:rPr>
        <w:t>。</w:t>
      </w:r>
      <w:bookmarkEnd w:id="164"/>
    </w:p>
    <w:p>
      <w:pPr>
        <w:spacing w:line="312" w:lineRule="auto"/>
        <w:rPr>
          <w:rFonts w:hAnsi="宋体" w:cs="宋体"/>
          <w:b/>
          <w:sz w:val="24"/>
          <w:szCs w:val="24"/>
        </w:rPr>
      </w:pPr>
      <w:bookmarkStart w:id="165" w:name="_Toc229305388"/>
      <w:bookmarkStart w:id="166" w:name="_Toc222032697"/>
      <w:bookmarkStart w:id="167" w:name="_Toc222031030"/>
      <w:bookmarkStart w:id="168" w:name="_Toc221951131"/>
      <w:bookmarkStart w:id="169" w:name="_Toc222029528"/>
      <w:bookmarkStart w:id="170" w:name="_Toc222033879"/>
      <w:bookmarkStart w:id="171" w:name="_Toc221951132"/>
      <w:r>
        <w:rPr>
          <w:rFonts w:hint="eastAsia" w:hAnsi="宋体" w:cs="宋体"/>
          <w:b/>
          <w:kern w:val="2"/>
          <w:sz w:val="24"/>
          <w:szCs w:val="24"/>
        </w:rPr>
        <w:t>2  发包人义务</w:t>
      </w:r>
      <w:bookmarkEnd w:id="165"/>
      <w:bookmarkEnd w:id="166"/>
      <w:bookmarkEnd w:id="167"/>
      <w:bookmarkEnd w:id="168"/>
      <w:bookmarkEnd w:id="169"/>
      <w:bookmarkEnd w:id="170"/>
    </w:p>
    <w:p>
      <w:pPr>
        <w:spacing w:line="312" w:lineRule="auto"/>
        <w:rPr>
          <w:rFonts w:hAnsi="宋体" w:cs="宋体"/>
          <w:b/>
          <w:sz w:val="24"/>
          <w:szCs w:val="24"/>
        </w:rPr>
      </w:pPr>
      <w:r>
        <w:rPr>
          <w:rFonts w:hint="eastAsia" w:hAnsi="宋体" w:cs="宋体"/>
          <w:b/>
          <w:kern w:val="2"/>
          <w:sz w:val="24"/>
          <w:szCs w:val="24"/>
        </w:rPr>
        <w:t>2.3  提供施工场地</w:t>
      </w:r>
      <w:bookmarkEnd w:id="171"/>
    </w:p>
    <w:p>
      <w:pPr>
        <w:spacing w:line="312" w:lineRule="auto"/>
        <w:ind w:right="248" w:firstLine="480"/>
        <w:rPr>
          <w:rFonts w:hAnsi="宋体" w:cs="宋体"/>
          <w:sz w:val="24"/>
          <w:szCs w:val="24"/>
        </w:rPr>
      </w:pPr>
      <w:bookmarkStart w:id="172" w:name="_Toc221951133"/>
      <w:r>
        <w:rPr>
          <w:rFonts w:hint="eastAsia" w:hAnsi="宋体" w:cs="宋体"/>
          <w:kern w:val="2"/>
          <w:sz w:val="24"/>
          <w:szCs w:val="24"/>
        </w:rPr>
        <w:t>2.3.2</w:t>
      </w:r>
      <w:bookmarkEnd w:id="172"/>
      <w:r>
        <w:rPr>
          <w:rFonts w:hint="eastAsia" w:hAnsi="宋体" w:cs="宋体"/>
          <w:kern w:val="2"/>
          <w:sz w:val="24"/>
          <w:szCs w:val="24"/>
        </w:rPr>
        <w:t>发包人提供的施工场地范围为：。</w:t>
      </w:r>
    </w:p>
    <w:p>
      <w:pPr>
        <w:spacing w:line="312" w:lineRule="auto"/>
        <w:ind w:right="248" w:firstLine="480"/>
        <w:rPr>
          <w:rFonts w:hAnsi="宋体" w:cs="宋体"/>
          <w:sz w:val="24"/>
          <w:szCs w:val="24"/>
        </w:rPr>
      </w:pPr>
      <w:r>
        <w:rPr>
          <w:rFonts w:hint="eastAsia" w:hAnsi="宋体" w:cs="宋体"/>
          <w:kern w:val="2"/>
          <w:sz w:val="24"/>
          <w:szCs w:val="24"/>
        </w:rPr>
        <w:t>2.2.3承包人自行勘察的施工场地范围为：。</w:t>
      </w:r>
    </w:p>
    <w:p>
      <w:pPr>
        <w:spacing w:line="312" w:lineRule="auto"/>
        <w:rPr>
          <w:rFonts w:hAnsi="宋体" w:cs="宋体"/>
          <w:b/>
          <w:sz w:val="24"/>
          <w:szCs w:val="24"/>
        </w:rPr>
      </w:pPr>
      <w:bookmarkStart w:id="173" w:name="_Toc221951134"/>
      <w:r>
        <w:rPr>
          <w:rFonts w:hint="eastAsia" w:hAnsi="宋体" w:cs="宋体"/>
          <w:b/>
          <w:kern w:val="2"/>
          <w:sz w:val="24"/>
          <w:szCs w:val="24"/>
        </w:rPr>
        <w:t>2.8  其它义务</w:t>
      </w:r>
      <w:bookmarkEnd w:id="173"/>
    </w:p>
    <w:p>
      <w:pPr>
        <w:pStyle w:val="33"/>
        <w:widowControl w:val="0"/>
        <w:spacing w:before="0" w:beforeAutospacing="0" w:after="120" w:afterAutospacing="0" w:line="312" w:lineRule="auto"/>
        <w:ind w:left="420" w:leftChars="200"/>
        <w:jc w:val="both"/>
        <w:rPr>
          <w:szCs w:val="24"/>
        </w:rPr>
      </w:pPr>
      <w:bookmarkStart w:id="174" w:name="_Toc221951135"/>
      <w:r>
        <w:rPr>
          <w:rFonts w:hint="eastAsia"/>
          <w:kern w:val="2"/>
          <w:szCs w:val="24"/>
        </w:rPr>
        <w:t xml:space="preserve"> (根据发包人的合同管理要求补充)</w:t>
      </w:r>
      <w:bookmarkEnd w:id="174"/>
    </w:p>
    <w:p>
      <w:pPr>
        <w:spacing w:line="312" w:lineRule="auto"/>
        <w:ind w:right="248" w:firstLine="480"/>
        <w:rPr>
          <w:rFonts w:hAnsi="宋体" w:cs="宋体"/>
          <w:sz w:val="24"/>
          <w:szCs w:val="24"/>
        </w:rPr>
      </w:pPr>
      <w:bookmarkStart w:id="175" w:name="_Toc221951136"/>
      <w:r>
        <w:rPr>
          <w:rFonts w:hint="eastAsia" w:hAnsi="宋体" w:cs="宋体"/>
          <w:kern w:val="2"/>
          <w:sz w:val="24"/>
          <w:szCs w:val="24"/>
        </w:rPr>
        <w:t>(1) ……</w:t>
      </w:r>
      <w:bookmarkEnd w:id="175"/>
    </w:p>
    <w:p>
      <w:pPr>
        <w:spacing w:line="312" w:lineRule="auto"/>
        <w:ind w:right="248" w:firstLine="480"/>
        <w:rPr>
          <w:rFonts w:hAnsi="宋体" w:cs="宋体"/>
          <w:sz w:val="24"/>
          <w:szCs w:val="24"/>
        </w:rPr>
      </w:pPr>
      <w:bookmarkStart w:id="176" w:name="_Toc221951137"/>
      <w:r>
        <w:rPr>
          <w:rFonts w:hint="eastAsia" w:hAnsi="宋体" w:cs="宋体"/>
          <w:kern w:val="2"/>
          <w:sz w:val="24"/>
          <w:szCs w:val="24"/>
        </w:rPr>
        <w:t>(2) ……</w:t>
      </w:r>
      <w:bookmarkEnd w:id="176"/>
    </w:p>
    <w:p>
      <w:pPr>
        <w:spacing w:line="312" w:lineRule="auto"/>
        <w:rPr>
          <w:rFonts w:hAnsi="宋体" w:cs="宋体"/>
          <w:b/>
          <w:sz w:val="24"/>
          <w:szCs w:val="24"/>
        </w:rPr>
      </w:pPr>
      <w:bookmarkStart w:id="177" w:name="_Toc221951140"/>
      <w:bookmarkStart w:id="178" w:name="_Toc222032698"/>
      <w:bookmarkStart w:id="179" w:name="_Toc222029529"/>
      <w:bookmarkStart w:id="180" w:name="_Toc229305389"/>
      <w:bookmarkStart w:id="181" w:name="_Toc222033880"/>
      <w:bookmarkStart w:id="182" w:name="_Toc222031031"/>
      <w:r>
        <w:rPr>
          <w:rFonts w:hint="eastAsia" w:hAnsi="宋体" w:cs="宋体"/>
          <w:b/>
          <w:kern w:val="2"/>
          <w:sz w:val="24"/>
          <w:szCs w:val="24"/>
        </w:rPr>
        <w:t>3  监理人</w:t>
      </w:r>
      <w:bookmarkEnd w:id="177"/>
      <w:bookmarkEnd w:id="178"/>
      <w:bookmarkEnd w:id="179"/>
      <w:bookmarkEnd w:id="180"/>
      <w:bookmarkEnd w:id="181"/>
      <w:bookmarkEnd w:id="182"/>
    </w:p>
    <w:p>
      <w:pPr>
        <w:spacing w:line="312" w:lineRule="auto"/>
        <w:rPr>
          <w:rFonts w:hAnsi="宋体" w:cs="宋体"/>
          <w:b/>
          <w:sz w:val="24"/>
          <w:szCs w:val="24"/>
        </w:rPr>
      </w:pPr>
      <w:bookmarkStart w:id="183" w:name="_Toc221951141"/>
      <w:r>
        <w:rPr>
          <w:rFonts w:hint="eastAsia" w:hAnsi="宋体" w:cs="宋体"/>
          <w:b/>
          <w:kern w:val="2"/>
          <w:sz w:val="24"/>
          <w:szCs w:val="24"/>
        </w:rPr>
        <w:t>3.1  监理人的职责和权力</w:t>
      </w:r>
      <w:bookmarkEnd w:id="183"/>
    </w:p>
    <w:p>
      <w:pPr>
        <w:spacing w:line="312" w:lineRule="auto"/>
        <w:ind w:right="248" w:firstLine="480"/>
        <w:rPr>
          <w:rFonts w:hAnsi="宋体" w:cs="宋体"/>
          <w:sz w:val="24"/>
          <w:szCs w:val="24"/>
        </w:rPr>
      </w:pPr>
      <w:bookmarkStart w:id="184" w:name="_Toc221951142"/>
      <w:r>
        <w:rPr>
          <w:rFonts w:hint="eastAsia" w:hAnsi="宋体" w:cs="宋体"/>
          <w:kern w:val="2"/>
          <w:sz w:val="24"/>
          <w:szCs w:val="24"/>
        </w:rPr>
        <w:t>3.1.1</w:t>
      </w:r>
      <w:bookmarkEnd w:id="184"/>
      <w:r>
        <w:rPr>
          <w:rFonts w:hint="eastAsia" w:hAnsi="宋体" w:cs="宋体"/>
          <w:kern w:val="2"/>
          <w:sz w:val="24"/>
          <w:szCs w:val="24"/>
        </w:rPr>
        <w:t>监理人须根据发包人事先批准的权力范围行使权力，发包人批准的权力范围：（填写监理人须经发包人批准才能行使的权力，以下示例供参考）</w:t>
      </w:r>
    </w:p>
    <w:p>
      <w:pPr>
        <w:spacing w:line="312" w:lineRule="auto"/>
        <w:ind w:right="248" w:firstLine="480"/>
        <w:rPr>
          <w:rFonts w:hAnsi="宋体" w:cs="宋体"/>
          <w:sz w:val="24"/>
          <w:szCs w:val="24"/>
        </w:rPr>
      </w:pPr>
      <w:bookmarkStart w:id="185" w:name="_Toc222032699"/>
      <w:bookmarkStart w:id="186" w:name="_Toc222031032"/>
      <w:bookmarkStart w:id="187" w:name="_Toc222029530"/>
      <w:bookmarkStart w:id="188" w:name="_Toc222033881"/>
      <w:bookmarkStart w:id="189" w:name="_Toc221951150"/>
      <w:bookmarkStart w:id="190" w:name="_Toc229305390"/>
      <w:r>
        <w:rPr>
          <w:rFonts w:hint="eastAsia" w:hAnsi="宋体" w:cs="宋体"/>
          <w:kern w:val="2"/>
          <w:sz w:val="24"/>
          <w:szCs w:val="24"/>
        </w:rPr>
        <w:t>(l）按第4.3款约定，批准工程的分包；</w:t>
      </w:r>
    </w:p>
    <w:p>
      <w:pPr>
        <w:spacing w:line="312" w:lineRule="auto"/>
        <w:ind w:right="248" w:firstLine="480"/>
        <w:rPr>
          <w:rFonts w:hAnsi="宋体" w:cs="宋体"/>
          <w:sz w:val="24"/>
          <w:szCs w:val="24"/>
        </w:rPr>
      </w:pPr>
      <w:r>
        <w:rPr>
          <w:rFonts w:hint="eastAsia" w:hAnsi="宋体" w:cs="宋体"/>
          <w:kern w:val="2"/>
          <w:sz w:val="24"/>
          <w:szCs w:val="24"/>
        </w:rPr>
        <w:t>(2）按第11.3款约定，确定延长完工期限；</w:t>
      </w:r>
    </w:p>
    <w:p>
      <w:pPr>
        <w:spacing w:line="312" w:lineRule="auto"/>
        <w:ind w:right="248" w:firstLine="480"/>
        <w:rPr>
          <w:rFonts w:hAnsi="宋体" w:cs="宋体"/>
          <w:sz w:val="24"/>
          <w:szCs w:val="24"/>
        </w:rPr>
      </w:pPr>
      <w:r>
        <w:rPr>
          <w:rFonts w:hint="eastAsia" w:hAnsi="宋体" w:cs="宋体"/>
          <w:kern w:val="2"/>
          <w:sz w:val="24"/>
          <w:szCs w:val="24"/>
        </w:rPr>
        <w:t>(3）按第15.6款约定，批准暂列金额的使用；</w:t>
      </w:r>
    </w:p>
    <w:p>
      <w:pPr>
        <w:spacing w:line="312" w:lineRule="auto"/>
        <w:ind w:right="248" w:firstLine="480"/>
        <w:rPr>
          <w:rFonts w:hAnsi="宋体" w:cs="宋体"/>
          <w:sz w:val="24"/>
          <w:szCs w:val="24"/>
        </w:rPr>
      </w:pPr>
      <w:r>
        <w:rPr>
          <w:rFonts w:hint="eastAsia" w:hAnsi="宋体" w:cs="宋体"/>
          <w:kern w:val="2"/>
          <w:sz w:val="24"/>
          <w:szCs w:val="24"/>
        </w:rPr>
        <w:t xml:space="preserve">(4）… … </w:t>
      </w:r>
    </w:p>
    <w:p>
      <w:pPr>
        <w:spacing w:line="312" w:lineRule="auto"/>
        <w:rPr>
          <w:rFonts w:hAnsi="宋体" w:cs="宋体"/>
          <w:b/>
          <w:sz w:val="24"/>
          <w:szCs w:val="24"/>
        </w:rPr>
      </w:pPr>
      <w:r>
        <w:rPr>
          <w:rFonts w:hint="eastAsia" w:hAnsi="宋体" w:cs="宋体"/>
          <w:b/>
          <w:kern w:val="2"/>
          <w:sz w:val="24"/>
          <w:szCs w:val="24"/>
        </w:rPr>
        <w:t>4  承包人</w:t>
      </w:r>
      <w:bookmarkEnd w:id="185"/>
      <w:bookmarkEnd w:id="186"/>
      <w:bookmarkEnd w:id="187"/>
      <w:bookmarkEnd w:id="188"/>
      <w:bookmarkEnd w:id="189"/>
      <w:bookmarkEnd w:id="190"/>
    </w:p>
    <w:p>
      <w:pPr>
        <w:spacing w:line="312" w:lineRule="auto"/>
        <w:rPr>
          <w:rFonts w:hAnsi="宋体" w:cs="宋体"/>
          <w:b/>
          <w:sz w:val="24"/>
          <w:szCs w:val="24"/>
        </w:rPr>
      </w:pPr>
      <w:bookmarkStart w:id="191" w:name="_Toc221951151"/>
      <w:r>
        <w:rPr>
          <w:rFonts w:hint="eastAsia" w:hAnsi="宋体" w:cs="宋体"/>
          <w:b/>
          <w:kern w:val="2"/>
          <w:sz w:val="24"/>
          <w:szCs w:val="24"/>
        </w:rPr>
        <w:t>4.1  承包人的一般义务</w:t>
      </w:r>
      <w:bookmarkEnd w:id="191"/>
    </w:p>
    <w:p>
      <w:pPr>
        <w:spacing w:line="312" w:lineRule="auto"/>
        <w:ind w:right="248" w:firstLine="480"/>
        <w:rPr>
          <w:rFonts w:hAnsi="宋体" w:cs="宋体"/>
          <w:sz w:val="24"/>
          <w:szCs w:val="24"/>
        </w:rPr>
      </w:pPr>
      <w:bookmarkStart w:id="192" w:name="_Toc221951152"/>
      <w:r>
        <w:rPr>
          <w:rFonts w:hint="eastAsia" w:hAnsi="宋体" w:cs="宋体"/>
          <w:kern w:val="2"/>
          <w:sz w:val="24"/>
          <w:szCs w:val="24"/>
        </w:rPr>
        <w:t>4.1.1承包人项目班子其他成员：</w:t>
      </w:r>
    </w:p>
    <w:p>
      <w:pPr>
        <w:spacing w:line="312" w:lineRule="auto"/>
        <w:ind w:right="248" w:firstLine="480"/>
        <w:rPr>
          <w:rFonts w:hAnsi="宋体" w:cs="宋体"/>
          <w:sz w:val="24"/>
          <w:szCs w:val="24"/>
        </w:rPr>
      </w:pPr>
      <w:r>
        <w:rPr>
          <w:rFonts w:hint="eastAsia" w:hAnsi="宋体" w:cs="宋体"/>
          <w:kern w:val="2"/>
          <w:sz w:val="24"/>
          <w:szCs w:val="24"/>
        </w:rPr>
        <w:t>投标文件中确定的项目班子成员在中标后原则上不得更换，签订合同时，携带项目班子成员证件原件，在项目完工后3日内归还中标人；如确因不可抗力因素必须要更换项目班子其他成员的，必须在征得发包人同意后更换同资质同水平的人员派驻现场。项目班子其他成员每更换一次对承包人给予10000元/人的罚款。</w:t>
      </w:r>
    </w:p>
    <w:p>
      <w:pPr>
        <w:spacing w:line="312" w:lineRule="auto"/>
        <w:ind w:right="248" w:firstLine="480"/>
        <w:rPr>
          <w:rFonts w:hAnsi="宋体" w:cs="宋体"/>
          <w:sz w:val="24"/>
          <w:szCs w:val="24"/>
        </w:rPr>
      </w:pPr>
      <w:r>
        <w:rPr>
          <w:rFonts w:hint="eastAsia" w:hAnsi="宋体" w:cs="宋体"/>
          <w:kern w:val="2"/>
          <w:sz w:val="24"/>
          <w:szCs w:val="24"/>
        </w:rPr>
        <w:t>4.1.10  其他义务</w:t>
      </w:r>
      <w:bookmarkEnd w:id="192"/>
    </w:p>
    <w:p>
      <w:pPr>
        <w:spacing w:line="312" w:lineRule="auto"/>
        <w:ind w:right="248" w:firstLine="480"/>
        <w:rPr>
          <w:rFonts w:hAnsi="宋体" w:cs="宋体"/>
          <w:sz w:val="24"/>
          <w:szCs w:val="24"/>
        </w:rPr>
      </w:pPr>
      <w:r>
        <w:rPr>
          <w:rFonts w:hint="eastAsia" w:hAnsi="宋体" w:cs="宋体"/>
          <w:kern w:val="2"/>
          <w:sz w:val="24"/>
          <w:szCs w:val="24"/>
        </w:rPr>
        <w:t>　（1）… …</w:t>
      </w:r>
    </w:p>
    <w:p>
      <w:pPr>
        <w:spacing w:line="312" w:lineRule="auto"/>
        <w:ind w:right="248" w:firstLine="480"/>
        <w:rPr>
          <w:rFonts w:hAnsi="宋体" w:cs="宋体"/>
          <w:sz w:val="24"/>
          <w:szCs w:val="24"/>
        </w:rPr>
      </w:pPr>
      <w:r>
        <w:rPr>
          <w:rFonts w:hint="eastAsia" w:hAnsi="宋体" w:cs="宋体"/>
          <w:kern w:val="2"/>
          <w:sz w:val="24"/>
          <w:szCs w:val="24"/>
        </w:rPr>
        <w:t>　（2）… …</w:t>
      </w:r>
    </w:p>
    <w:p>
      <w:pPr>
        <w:spacing w:line="312" w:lineRule="auto"/>
        <w:rPr>
          <w:rFonts w:hAnsi="宋体" w:cs="宋体"/>
          <w:b/>
          <w:sz w:val="24"/>
          <w:szCs w:val="24"/>
        </w:rPr>
      </w:pPr>
      <w:bookmarkStart w:id="193" w:name="_Toc221951153"/>
      <w:r>
        <w:rPr>
          <w:rFonts w:hint="eastAsia" w:hAnsi="宋体" w:cs="宋体"/>
          <w:b/>
          <w:kern w:val="2"/>
          <w:sz w:val="24"/>
          <w:szCs w:val="24"/>
        </w:rPr>
        <w:t>4.3  分包</w:t>
      </w:r>
      <w:bookmarkEnd w:id="193"/>
    </w:p>
    <w:p>
      <w:pPr>
        <w:spacing w:line="312" w:lineRule="auto"/>
        <w:ind w:right="248" w:firstLine="360" w:firstLineChars="150"/>
        <w:rPr>
          <w:rFonts w:hAnsi="宋体" w:cs="宋体"/>
          <w:bCs/>
          <w:sz w:val="24"/>
          <w:szCs w:val="24"/>
        </w:rPr>
      </w:pPr>
      <w:bookmarkStart w:id="194" w:name="_Toc221951154"/>
      <w:r>
        <w:rPr>
          <w:rFonts w:hint="eastAsia" w:hAnsi="宋体" w:cs="宋体"/>
          <w:bCs/>
          <w:kern w:val="2"/>
          <w:sz w:val="24"/>
          <w:szCs w:val="24"/>
        </w:rPr>
        <w:t>4.3.2  允许承包人分包的工程项目、工作内容与</w:t>
      </w:r>
      <w:r>
        <w:rPr>
          <w:rFonts w:hint="eastAsia" w:hAnsi="宋体" w:cs="宋体"/>
          <w:kern w:val="2"/>
          <w:sz w:val="24"/>
          <w:szCs w:val="24"/>
          <w:lang w:val="zh-CN"/>
        </w:rPr>
        <w:t>分包金额</w:t>
      </w:r>
      <w:r>
        <w:rPr>
          <w:rFonts w:hint="eastAsia" w:hAnsi="宋体" w:cs="宋体"/>
          <w:bCs/>
          <w:kern w:val="2"/>
          <w:sz w:val="24"/>
          <w:szCs w:val="24"/>
        </w:rPr>
        <w:t>限额为：</w:t>
      </w:r>
      <w:bookmarkEnd w:id="194"/>
    </w:p>
    <w:p>
      <w:pPr>
        <w:pStyle w:val="33"/>
        <w:widowControl w:val="0"/>
        <w:spacing w:before="0" w:beforeAutospacing="0" w:after="120" w:afterAutospacing="0" w:line="312" w:lineRule="auto"/>
        <w:ind w:right="248"/>
        <w:jc w:val="both"/>
        <w:rPr>
          <w:bCs/>
          <w:szCs w:val="24"/>
        </w:rPr>
      </w:pPr>
      <w:bookmarkStart w:id="195" w:name="_Toc221951155"/>
      <w:r>
        <w:rPr>
          <w:rFonts w:hint="eastAsia"/>
          <w:kern w:val="2"/>
          <w:szCs w:val="24"/>
        </w:rPr>
        <w:t>（</w:t>
      </w:r>
      <w:r>
        <w:rPr>
          <w:rFonts w:hint="eastAsia"/>
          <w:bCs/>
          <w:kern w:val="2"/>
          <w:szCs w:val="24"/>
        </w:rPr>
        <w:t>1）工程项目：。</w:t>
      </w:r>
      <w:bookmarkEnd w:id="195"/>
    </w:p>
    <w:p>
      <w:pPr>
        <w:pStyle w:val="33"/>
        <w:widowControl w:val="0"/>
        <w:spacing w:before="0" w:beforeAutospacing="0" w:after="120" w:afterAutospacing="0" w:line="312" w:lineRule="auto"/>
        <w:ind w:right="248" w:firstLine="120" w:firstLineChars="50"/>
        <w:jc w:val="both"/>
        <w:rPr>
          <w:bCs/>
          <w:szCs w:val="24"/>
        </w:rPr>
      </w:pPr>
      <w:bookmarkStart w:id="196" w:name="_Toc221951156"/>
      <w:r>
        <w:rPr>
          <w:rFonts w:hint="eastAsia"/>
          <w:bCs/>
          <w:kern w:val="2"/>
          <w:szCs w:val="24"/>
        </w:rPr>
        <w:t>（2）工作内容：。</w:t>
      </w:r>
      <w:bookmarkEnd w:id="196"/>
    </w:p>
    <w:p>
      <w:pPr>
        <w:pStyle w:val="33"/>
        <w:widowControl w:val="0"/>
        <w:spacing w:before="0" w:beforeAutospacing="0" w:after="120" w:afterAutospacing="0" w:line="312" w:lineRule="auto"/>
        <w:ind w:right="248" w:firstLine="240" w:firstLineChars="100"/>
        <w:jc w:val="both"/>
        <w:rPr>
          <w:szCs w:val="24"/>
        </w:rPr>
      </w:pPr>
      <w:bookmarkStart w:id="197" w:name="_Toc221951157"/>
      <w:r>
        <w:rPr>
          <w:rFonts w:hint="eastAsia"/>
          <w:kern w:val="2"/>
          <w:szCs w:val="24"/>
        </w:rPr>
        <w:t>（3）分包金额限额：。</w:t>
      </w:r>
      <w:bookmarkEnd w:id="197"/>
    </w:p>
    <w:p>
      <w:pPr>
        <w:pStyle w:val="33"/>
        <w:widowControl w:val="0"/>
        <w:spacing w:before="0" w:beforeAutospacing="0" w:after="120" w:afterAutospacing="0" w:line="312" w:lineRule="auto"/>
        <w:ind w:right="248" w:firstLine="360" w:firstLineChars="150"/>
        <w:jc w:val="both"/>
        <w:rPr>
          <w:bCs/>
          <w:szCs w:val="24"/>
        </w:rPr>
      </w:pPr>
      <w:r>
        <w:rPr>
          <w:rFonts w:hint="eastAsia"/>
          <w:kern w:val="2"/>
          <w:szCs w:val="24"/>
        </w:rPr>
        <w:t xml:space="preserve">4.3.10 分包人项目管理机构的设立：。 </w:t>
      </w:r>
    </w:p>
    <w:p>
      <w:pPr>
        <w:spacing w:line="312" w:lineRule="auto"/>
        <w:rPr>
          <w:rFonts w:hAnsi="宋体" w:cs="宋体"/>
          <w:b/>
          <w:sz w:val="24"/>
          <w:szCs w:val="24"/>
        </w:rPr>
      </w:pPr>
      <w:bookmarkStart w:id="198" w:name="_Toc221951158"/>
      <w:r>
        <w:rPr>
          <w:rFonts w:hint="eastAsia" w:hAnsi="宋体" w:cs="宋体"/>
          <w:b/>
          <w:kern w:val="2"/>
          <w:sz w:val="24"/>
          <w:szCs w:val="24"/>
        </w:rPr>
        <w:t>4.11  不利物质条件</w:t>
      </w:r>
      <w:bookmarkEnd w:id="198"/>
    </w:p>
    <w:p>
      <w:pPr>
        <w:spacing w:line="312" w:lineRule="auto"/>
        <w:ind w:right="248" w:firstLine="360" w:firstLineChars="150"/>
        <w:rPr>
          <w:rFonts w:hAnsi="宋体" w:cs="宋体"/>
          <w:sz w:val="24"/>
          <w:szCs w:val="24"/>
        </w:rPr>
      </w:pPr>
      <w:bookmarkStart w:id="199" w:name="_Toc221951159"/>
      <w:r>
        <w:rPr>
          <w:rFonts w:hint="eastAsia" w:hAnsi="宋体" w:cs="宋体"/>
          <w:kern w:val="2"/>
          <w:sz w:val="24"/>
          <w:szCs w:val="24"/>
        </w:rPr>
        <w:t>4.11.1 不利物质条件的范围：。</w:t>
      </w:r>
      <w:bookmarkEnd w:id="199"/>
    </w:p>
    <w:p>
      <w:pPr>
        <w:spacing w:line="312" w:lineRule="auto"/>
        <w:rPr>
          <w:rFonts w:hAnsi="宋体" w:cs="宋体"/>
          <w:b/>
          <w:sz w:val="24"/>
          <w:szCs w:val="24"/>
        </w:rPr>
      </w:pPr>
      <w:bookmarkStart w:id="200" w:name="_Toc222033882"/>
      <w:bookmarkStart w:id="201" w:name="_Toc221951160"/>
      <w:bookmarkStart w:id="202" w:name="_Toc229305391"/>
      <w:bookmarkStart w:id="203" w:name="_Toc222031033"/>
      <w:bookmarkStart w:id="204" w:name="_Toc222029531"/>
      <w:bookmarkStart w:id="205" w:name="_Toc222032700"/>
      <w:r>
        <w:rPr>
          <w:rFonts w:hint="eastAsia" w:hAnsi="宋体" w:cs="宋体"/>
          <w:b/>
          <w:kern w:val="2"/>
          <w:sz w:val="24"/>
          <w:szCs w:val="24"/>
        </w:rPr>
        <w:t>5  材料和工程设备</w:t>
      </w:r>
      <w:bookmarkEnd w:id="200"/>
      <w:bookmarkEnd w:id="201"/>
      <w:bookmarkEnd w:id="202"/>
      <w:bookmarkEnd w:id="203"/>
      <w:bookmarkEnd w:id="204"/>
      <w:bookmarkEnd w:id="205"/>
    </w:p>
    <w:p>
      <w:pPr>
        <w:spacing w:line="312" w:lineRule="auto"/>
        <w:rPr>
          <w:rFonts w:hAnsi="宋体" w:cs="宋体"/>
          <w:b/>
          <w:sz w:val="24"/>
          <w:szCs w:val="24"/>
        </w:rPr>
      </w:pPr>
      <w:bookmarkStart w:id="206" w:name="_Toc221951161"/>
      <w:r>
        <w:rPr>
          <w:rFonts w:hint="eastAsia" w:hAnsi="宋体" w:cs="宋体"/>
          <w:b/>
          <w:kern w:val="2"/>
          <w:sz w:val="24"/>
          <w:szCs w:val="24"/>
        </w:rPr>
        <w:t xml:space="preserve">5.2  </w:t>
      </w:r>
      <w:bookmarkEnd w:id="206"/>
      <w:r>
        <w:rPr>
          <w:rFonts w:hint="eastAsia" w:hAnsi="宋体" w:cs="宋体"/>
          <w:b/>
          <w:kern w:val="2"/>
          <w:sz w:val="24"/>
          <w:szCs w:val="24"/>
        </w:rPr>
        <w:t>发包人提供的材料和工程设备</w:t>
      </w:r>
    </w:p>
    <w:p>
      <w:pPr>
        <w:spacing w:line="312" w:lineRule="auto"/>
        <w:ind w:firstLine="360" w:firstLineChars="150"/>
        <w:rPr>
          <w:rFonts w:hAnsi="宋体" w:cs="宋体"/>
          <w:sz w:val="24"/>
          <w:szCs w:val="24"/>
        </w:rPr>
      </w:pPr>
      <w:r>
        <w:rPr>
          <w:rFonts w:hint="eastAsia" w:hAnsi="宋体" w:cs="宋体"/>
          <w:kern w:val="2"/>
          <w:sz w:val="24"/>
          <w:szCs w:val="24"/>
        </w:rPr>
        <w:t>5.2.1 发包人提</w:t>
      </w:r>
      <w:r>
        <w:rPr>
          <w:rFonts w:hint="eastAsia" w:hAnsi="宋体" w:cs="宋体"/>
          <w:bCs/>
          <w:kern w:val="2"/>
          <w:sz w:val="24"/>
          <w:szCs w:val="24"/>
        </w:rPr>
        <w:t>供的材料和工程设备</w:t>
      </w:r>
      <w:r>
        <w:rPr>
          <w:rFonts w:hint="eastAsia" w:hAnsi="宋体" w:cs="宋体"/>
          <w:kern w:val="2"/>
          <w:sz w:val="24"/>
          <w:szCs w:val="24"/>
        </w:rPr>
        <w:t>见下表：</w:t>
      </w:r>
    </w:p>
    <w:p>
      <w:pPr>
        <w:spacing w:line="312" w:lineRule="auto"/>
        <w:ind w:right="248" w:firstLine="2800" w:firstLineChars="1167"/>
        <w:rPr>
          <w:rFonts w:hAnsi="宋体" w:cs="宋体"/>
          <w:sz w:val="24"/>
          <w:szCs w:val="24"/>
        </w:rPr>
      </w:pPr>
      <w:r>
        <w:rPr>
          <w:rFonts w:hint="eastAsia" w:hAnsi="宋体" w:cs="宋体"/>
          <w:b/>
          <w:kern w:val="2"/>
          <w:sz w:val="24"/>
          <w:szCs w:val="24"/>
        </w:rPr>
        <w:t>发包人提供的主要材料表(</w:t>
      </w:r>
      <w:r>
        <w:rPr>
          <w:rFonts w:hint="eastAsia" w:hAnsi="宋体" w:cs="宋体"/>
          <w:kern w:val="2"/>
          <w:sz w:val="24"/>
          <w:szCs w:val="24"/>
        </w:rPr>
        <w:t>参考格式</w:t>
      </w:r>
      <w:r>
        <w:rPr>
          <w:rFonts w:hint="eastAsia" w:hAnsi="宋体" w:cs="宋体"/>
          <w:b/>
          <w:kern w:val="2"/>
          <w:sz w:val="24"/>
          <w:szCs w:val="24"/>
        </w:rPr>
        <w:t>)</w:t>
      </w:r>
    </w:p>
    <w:tbl>
      <w:tblPr>
        <w:tblStyle w:val="35"/>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5"/>
        <w:gridCol w:w="1195"/>
        <w:gridCol w:w="762"/>
        <w:gridCol w:w="1195"/>
        <w:gridCol w:w="1195"/>
        <w:gridCol w:w="1594"/>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3"/>
              <w:jc w:val="center"/>
              <w:rPr>
                <w:rFonts w:hAnsi="宋体" w:cs="宋体"/>
                <w:sz w:val="24"/>
                <w:szCs w:val="24"/>
              </w:rPr>
            </w:pPr>
            <w:r>
              <w:rPr>
                <w:rFonts w:hint="eastAsia" w:hAnsi="宋体" w:cs="宋体"/>
                <w:kern w:val="2"/>
                <w:sz w:val="24"/>
                <w:szCs w:val="24"/>
              </w:rPr>
              <w:t>序号</w:t>
            </w: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jc w:val="center"/>
              <w:rPr>
                <w:rFonts w:hAnsi="宋体" w:cs="宋体"/>
                <w:sz w:val="24"/>
                <w:szCs w:val="24"/>
              </w:rPr>
            </w:pPr>
            <w:r>
              <w:rPr>
                <w:rFonts w:hint="eastAsia" w:hAnsi="宋体" w:cs="宋体"/>
                <w:kern w:val="2"/>
                <w:sz w:val="24"/>
                <w:szCs w:val="24"/>
              </w:rPr>
              <w:t>材料名称</w:t>
            </w: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jc w:val="center"/>
              <w:rPr>
                <w:rFonts w:hAnsi="宋体" w:cs="宋体"/>
                <w:sz w:val="24"/>
                <w:szCs w:val="24"/>
              </w:rPr>
            </w:pPr>
            <w:r>
              <w:rPr>
                <w:rFonts w:hint="eastAsia" w:hAnsi="宋体" w:cs="宋体"/>
                <w:kern w:val="2"/>
                <w:sz w:val="24"/>
                <w:szCs w:val="24"/>
              </w:rPr>
              <w:t>材料规格</w:t>
            </w:r>
          </w:p>
        </w:tc>
        <w:tc>
          <w:tcPr>
            <w:tcW w:w="763"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33"/>
              <w:jc w:val="center"/>
              <w:rPr>
                <w:rFonts w:hAnsi="宋体" w:cs="宋体"/>
                <w:sz w:val="24"/>
                <w:szCs w:val="24"/>
              </w:rPr>
            </w:pPr>
            <w:r>
              <w:rPr>
                <w:rFonts w:hint="eastAsia" w:hAnsi="宋体" w:cs="宋体"/>
                <w:kern w:val="2"/>
                <w:sz w:val="24"/>
                <w:szCs w:val="24"/>
              </w:rPr>
              <w:t>数量</w:t>
            </w: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jc w:val="center"/>
              <w:rPr>
                <w:rFonts w:hAnsi="宋体" w:cs="宋体"/>
                <w:sz w:val="24"/>
                <w:szCs w:val="24"/>
              </w:rPr>
            </w:pPr>
            <w:r>
              <w:rPr>
                <w:rFonts w:hint="eastAsia" w:hAnsi="宋体" w:cs="宋体"/>
                <w:kern w:val="2"/>
                <w:sz w:val="24"/>
                <w:szCs w:val="24"/>
              </w:rPr>
              <w:t>交货地点</w:t>
            </w: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jc w:val="center"/>
              <w:rPr>
                <w:rFonts w:hAnsi="宋体" w:cs="宋体"/>
                <w:sz w:val="24"/>
                <w:szCs w:val="24"/>
              </w:rPr>
            </w:pPr>
            <w:r>
              <w:rPr>
                <w:rFonts w:hint="eastAsia" w:hAnsi="宋体" w:cs="宋体"/>
                <w:kern w:val="2"/>
                <w:sz w:val="24"/>
                <w:szCs w:val="24"/>
              </w:rPr>
              <w:t>交货方式</w:t>
            </w:r>
          </w:p>
        </w:tc>
        <w:tc>
          <w:tcPr>
            <w:tcW w:w="15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jc w:val="center"/>
              <w:rPr>
                <w:rFonts w:hAnsi="宋体" w:cs="宋体"/>
                <w:sz w:val="24"/>
                <w:szCs w:val="24"/>
              </w:rPr>
            </w:pPr>
            <w:r>
              <w:rPr>
                <w:rFonts w:hint="eastAsia" w:hAnsi="宋体" w:cs="宋体"/>
                <w:kern w:val="2"/>
                <w:sz w:val="24"/>
                <w:szCs w:val="24"/>
              </w:rPr>
              <w:t>计划交货日期</w:t>
            </w:r>
          </w:p>
        </w:tc>
        <w:tc>
          <w:tcPr>
            <w:tcW w:w="7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jc w:val="center"/>
              <w:rPr>
                <w:rFonts w:hAnsi="宋体" w:cs="宋体"/>
                <w:sz w:val="24"/>
                <w:szCs w:val="24"/>
              </w:rPr>
            </w:pPr>
            <w:r>
              <w:rPr>
                <w:rFonts w:hint="eastAsia" w:hAnsi="宋体" w:cs="宋体"/>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7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7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7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r>
    </w:tbl>
    <w:p>
      <w:pPr>
        <w:spacing w:line="312" w:lineRule="auto"/>
        <w:ind w:right="248"/>
        <w:rPr>
          <w:rFonts w:hAnsi="宋体" w:cs="宋体"/>
          <w:b/>
          <w:sz w:val="24"/>
          <w:szCs w:val="24"/>
        </w:rPr>
      </w:pPr>
    </w:p>
    <w:p>
      <w:pPr>
        <w:pStyle w:val="2"/>
        <w:widowControl/>
        <w:ind w:firstLine="210"/>
      </w:pPr>
    </w:p>
    <w:p>
      <w:pPr>
        <w:spacing w:line="312" w:lineRule="auto"/>
        <w:ind w:right="248"/>
        <w:jc w:val="center"/>
        <w:rPr>
          <w:rFonts w:hAnsi="宋体" w:cs="宋体"/>
          <w:sz w:val="24"/>
          <w:szCs w:val="24"/>
        </w:rPr>
      </w:pPr>
      <w:r>
        <w:rPr>
          <w:rFonts w:hint="eastAsia" w:hAnsi="宋体" w:cs="宋体"/>
          <w:b/>
          <w:kern w:val="2"/>
          <w:sz w:val="24"/>
          <w:szCs w:val="24"/>
        </w:rPr>
        <w:t>发包人提供的工程设备表(</w:t>
      </w:r>
      <w:r>
        <w:rPr>
          <w:rFonts w:hint="eastAsia" w:hAnsi="宋体" w:cs="宋体"/>
          <w:kern w:val="2"/>
          <w:sz w:val="24"/>
          <w:szCs w:val="24"/>
        </w:rPr>
        <w:t>参考格式</w:t>
      </w:r>
      <w:r>
        <w:rPr>
          <w:rFonts w:hint="eastAsia" w:hAnsi="宋体" w:cs="宋体"/>
          <w:b/>
          <w:kern w:val="2"/>
          <w:sz w:val="24"/>
          <w:szCs w:val="24"/>
        </w:rPr>
        <w:t>)</w:t>
      </w:r>
    </w:p>
    <w:tbl>
      <w:tblPr>
        <w:tblStyle w:val="35"/>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595"/>
        <w:gridCol w:w="1395"/>
        <w:gridCol w:w="762"/>
        <w:gridCol w:w="1195"/>
        <w:gridCol w:w="1195"/>
        <w:gridCol w:w="154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3"/>
              <w:jc w:val="center"/>
              <w:rPr>
                <w:rFonts w:hAnsi="宋体" w:cs="宋体"/>
                <w:sz w:val="24"/>
                <w:szCs w:val="24"/>
              </w:rPr>
            </w:pPr>
            <w:r>
              <w:rPr>
                <w:rFonts w:hint="eastAsia" w:hAnsi="宋体" w:cs="宋体"/>
                <w:kern w:val="2"/>
                <w:sz w:val="24"/>
                <w:szCs w:val="24"/>
              </w:rPr>
              <w:t>序号</w:t>
            </w:r>
          </w:p>
        </w:tc>
        <w:tc>
          <w:tcPr>
            <w:tcW w:w="15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jc w:val="center"/>
              <w:rPr>
                <w:rFonts w:hAnsi="宋体" w:cs="宋体"/>
                <w:sz w:val="24"/>
                <w:szCs w:val="24"/>
              </w:rPr>
            </w:pPr>
            <w:r>
              <w:rPr>
                <w:rFonts w:hint="eastAsia" w:hAnsi="宋体" w:cs="宋体"/>
                <w:kern w:val="2"/>
                <w:sz w:val="24"/>
                <w:szCs w:val="24"/>
              </w:rPr>
              <w:t>工程设备名称</w:t>
            </w:r>
          </w:p>
        </w:tc>
        <w:tc>
          <w:tcPr>
            <w:tcW w:w="13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jc w:val="center"/>
              <w:rPr>
                <w:rFonts w:hAnsi="宋体" w:cs="宋体"/>
                <w:sz w:val="24"/>
                <w:szCs w:val="24"/>
              </w:rPr>
            </w:pPr>
            <w:r>
              <w:rPr>
                <w:rFonts w:hint="eastAsia" w:hAnsi="宋体" w:cs="宋体"/>
                <w:kern w:val="2"/>
                <w:sz w:val="24"/>
                <w:szCs w:val="24"/>
              </w:rPr>
              <w:t>型号及规格</w:t>
            </w:r>
          </w:p>
        </w:tc>
        <w:tc>
          <w:tcPr>
            <w:tcW w:w="763"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33"/>
              <w:jc w:val="center"/>
              <w:rPr>
                <w:rFonts w:hAnsi="宋体" w:cs="宋体"/>
                <w:sz w:val="24"/>
                <w:szCs w:val="24"/>
              </w:rPr>
            </w:pPr>
            <w:r>
              <w:rPr>
                <w:rFonts w:hint="eastAsia" w:hAnsi="宋体" w:cs="宋体"/>
                <w:kern w:val="2"/>
                <w:sz w:val="24"/>
                <w:szCs w:val="24"/>
              </w:rPr>
              <w:t>数量</w:t>
            </w: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jc w:val="center"/>
              <w:rPr>
                <w:rFonts w:hAnsi="宋体" w:cs="宋体"/>
                <w:sz w:val="24"/>
                <w:szCs w:val="24"/>
              </w:rPr>
            </w:pPr>
            <w:r>
              <w:rPr>
                <w:rFonts w:hint="eastAsia" w:hAnsi="宋体" w:cs="宋体"/>
                <w:kern w:val="2"/>
                <w:sz w:val="24"/>
                <w:szCs w:val="24"/>
              </w:rPr>
              <w:t>交货地点</w:t>
            </w: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jc w:val="center"/>
              <w:rPr>
                <w:rFonts w:hAnsi="宋体" w:cs="宋体"/>
                <w:sz w:val="24"/>
                <w:szCs w:val="24"/>
              </w:rPr>
            </w:pPr>
            <w:r>
              <w:rPr>
                <w:rFonts w:hint="eastAsia" w:hAnsi="宋体" w:cs="宋体"/>
                <w:kern w:val="2"/>
                <w:sz w:val="24"/>
                <w:szCs w:val="24"/>
              </w:rPr>
              <w:t>交货方式</w:t>
            </w:r>
          </w:p>
        </w:tc>
        <w:tc>
          <w:tcPr>
            <w:tcW w:w="1550"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jc w:val="center"/>
              <w:rPr>
                <w:rFonts w:hAnsi="宋体" w:cs="宋体"/>
                <w:sz w:val="24"/>
                <w:szCs w:val="24"/>
              </w:rPr>
            </w:pPr>
            <w:r>
              <w:rPr>
                <w:rFonts w:hint="eastAsia" w:hAnsi="宋体" w:cs="宋体"/>
                <w:kern w:val="2"/>
                <w:sz w:val="24"/>
                <w:szCs w:val="24"/>
              </w:rPr>
              <w:t>计划交货日期</w:t>
            </w:r>
          </w:p>
        </w:tc>
        <w:tc>
          <w:tcPr>
            <w:tcW w:w="7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jc w:val="center"/>
              <w:rPr>
                <w:rFonts w:hAnsi="宋体" w:cs="宋体"/>
                <w:sz w:val="24"/>
                <w:szCs w:val="24"/>
              </w:rPr>
            </w:pPr>
            <w:r>
              <w:rPr>
                <w:rFonts w:hint="eastAsia" w:hAnsi="宋体" w:cs="宋体"/>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3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7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3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7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3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7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r>
    </w:tbl>
    <w:p>
      <w:pPr>
        <w:spacing w:line="312" w:lineRule="auto"/>
        <w:rPr>
          <w:rFonts w:hAnsi="宋体" w:cs="宋体"/>
          <w:sz w:val="24"/>
          <w:szCs w:val="24"/>
        </w:rPr>
      </w:pPr>
    </w:p>
    <w:p>
      <w:pPr>
        <w:spacing w:line="312" w:lineRule="auto"/>
        <w:rPr>
          <w:rFonts w:hAnsi="宋体" w:cs="宋体"/>
          <w:b/>
          <w:sz w:val="24"/>
          <w:szCs w:val="24"/>
        </w:rPr>
      </w:pPr>
      <w:bookmarkStart w:id="207" w:name="_Toc229305392"/>
      <w:bookmarkStart w:id="208" w:name="_Toc222031034"/>
      <w:bookmarkStart w:id="209" w:name="_Toc221951166"/>
      <w:bookmarkStart w:id="210" w:name="_Toc222032701"/>
      <w:bookmarkStart w:id="211" w:name="_Toc222033883"/>
      <w:bookmarkStart w:id="212" w:name="_Toc222029532"/>
      <w:r>
        <w:rPr>
          <w:rFonts w:hint="eastAsia" w:hAnsi="宋体" w:cs="宋体"/>
          <w:b/>
          <w:kern w:val="2"/>
          <w:sz w:val="24"/>
          <w:szCs w:val="24"/>
        </w:rPr>
        <w:t>6  施工设备和临时设施</w:t>
      </w:r>
      <w:bookmarkEnd w:id="207"/>
      <w:bookmarkEnd w:id="208"/>
      <w:bookmarkEnd w:id="209"/>
      <w:bookmarkEnd w:id="210"/>
      <w:bookmarkEnd w:id="211"/>
      <w:bookmarkEnd w:id="212"/>
    </w:p>
    <w:p>
      <w:pPr>
        <w:spacing w:line="312" w:lineRule="auto"/>
        <w:rPr>
          <w:rFonts w:hAnsi="宋体" w:cs="宋体"/>
          <w:b/>
          <w:sz w:val="24"/>
          <w:szCs w:val="24"/>
        </w:rPr>
      </w:pPr>
      <w:bookmarkStart w:id="213" w:name="_Toc221951167"/>
      <w:r>
        <w:rPr>
          <w:rFonts w:hint="eastAsia" w:hAnsi="宋体" w:cs="宋体"/>
          <w:b/>
          <w:kern w:val="2"/>
          <w:sz w:val="24"/>
          <w:szCs w:val="24"/>
        </w:rPr>
        <w:t>6.2  发包人提供的施工设备和临时设施</w:t>
      </w:r>
      <w:bookmarkEnd w:id="213"/>
    </w:p>
    <w:p>
      <w:pPr>
        <w:spacing w:line="312" w:lineRule="auto"/>
        <w:ind w:right="248"/>
        <w:rPr>
          <w:rFonts w:hAnsi="宋体" w:cs="宋体"/>
          <w:bCs/>
          <w:sz w:val="24"/>
          <w:szCs w:val="24"/>
        </w:rPr>
      </w:pPr>
      <w:bookmarkStart w:id="214" w:name="_Toc221951169"/>
      <w:r>
        <w:rPr>
          <w:rFonts w:hint="eastAsia" w:hAnsi="宋体" w:cs="宋体"/>
          <w:bCs/>
          <w:kern w:val="2"/>
          <w:sz w:val="24"/>
          <w:szCs w:val="24"/>
        </w:rPr>
        <w:t>（1）发包人提供的的施工设备见下表</w:t>
      </w:r>
      <w:bookmarkEnd w:id="214"/>
      <w:r>
        <w:rPr>
          <w:rFonts w:hint="eastAsia" w:hAnsi="宋体" w:cs="宋体"/>
          <w:bCs/>
          <w:kern w:val="2"/>
          <w:sz w:val="24"/>
          <w:szCs w:val="24"/>
        </w:rPr>
        <w:t>：</w:t>
      </w:r>
      <w:bookmarkStart w:id="215" w:name="_Toc221951170"/>
    </w:p>
    <w:p>
      <w:pPr>
        <w:spacing w:line="312" w:lineRule="auto"/>
        <w:ind w:right="248" w:firstLine="3146" w:firstLineChars="1311"/>
        <w:rPr>
          <w:rFonts w:hAnsi="宋体" w:cs="宋体"/>
          <w:sz w:val="24"/>
          <w:szCs w:val="24"/>
        </w:rPr>
      </w:pPr>
      <w:r>
        <w:rPr>
          <w:rFonts w:hint="eastAsia" w:hAnsi="宋体" w:cs="宋体"/>
          <w:b/>
          <w:kern w:val="2"/>
          <w:sz w:val="24"/>
          <w:szCs w:val="24"/>
        </w:rPr>
        <w:t>发包人提供的施工设备表(</w:t>
      </w:r>
      <w:r>
        <w:rPr>
          <w:rFonts w:hint="eastAsia" w:hAnsi="宋体" w:cs="宋体"/>
          <w:kern w:val="2"/>
          <w:sz w:val="24"/>
          <w:szCs w:val="24"/>
        </w:rPr>
        <w:t>参考格式</w:t>
      </w:r>
      <w:r>
        <w:rPr>
          <w:rFonts w:hint="eastAsia" w:hAnsi="宋体" w:cs="宋体"/>
          <w:b/>
          <w:kern w:val="2"/>
          <w:sz w:val="24"/>
          <w:szCs w:val="24"/>
        </w:rPr>
        <w:t>)</w:t>
      </w:r>
      <w:bookmarkEnd w:id="215"/>
    </w:p>
    <w:tbl>
      <w:tblPr>
        <w:tblStyle w:val="35"/>
        <w:tblW w:w="892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2"/>
        <w:gridCol w:w="1395"/>
        <w:gridCol w:w="1195"/>
        <w:gridCol w:w="762"/>
        <w:gridCol w:w="1195"/>
        <w:gridCol w:w="1594"/>
        <w:gridCol w:w="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12" w:space="0"/>
              <w:left w:val="single" w:color="auto" w:sz="12" w:space="0"/>
              <w:bottom w:val="single" w:color="auto" w:sz="4" w:space="0"/>
              <w:right w:val="single" w:color="auto" w:sz="4" w:space="0"/>
            </w:tcBorders>
            <w:shd w:val="clear" w:color="auto" w:fill="auto"/>
          </w:tcPr>
          <w:p>
            <w:pPr>
              <w:spacing w:line="312" w:lineRule="auto"/>
              <w:ind w:right="-3"/>
              <w:jc w:val="center"/>
              <w:rPr>
                <w:rFonts w:hAnsi="宋体" w:cs="宋体"/>
                <w:sz w:val="24"/>
                <w:szCs w:val="24"/>
              </w:rPr>
            </w:pPr>
            <w:r>
              <w:rPr>
                <w:rFonts w:hint="eastAsia" w:hAnsi="宋体" w:cs="宋体"/>
                <w:kern w:val="2"/>
                <w:sz w:val="24"/>
                <w:szCs w:val="24"/>
              </w:rPr>
              <w:t>序号</w:t>
            </w:r>
          </w:p>
        </w:tc>
        <w:tc>
          <w:tcPr>
            <w:tcW w:w="1193"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312" w:lineRule="auto"/>
              <w:ind w:right="-3"/>
              <w:jc w:val="center"/>
              <w:rPr>
                <w:rFonts w:hAnsi="宋体" w:cs="宋体"/>
                <w:sz w:val="24"/>
                <w:szCs w:val="24"/>
              </w:rPr>
            </w:pPr>
            <w:bookmarkStart w:id="216" w:name="_Toc221951171"/>
            <w:r>
              <w:rPr>
                <w:rFonts w:hint="eastAsia" w:hAnsi="宋体" w:cs="宋体"/>
                <w:kern w:val="2"/>
                <w:sz w:val="24"/>
                <w:szCs w:val="24"/>
              </w:rPr>
              <w:t>设备名称</w:t>
            </w:r>
            <w:bookmarkEnd w:id="216"/>
          </w:p>
        </w:tc>
        <w:tc>
          <w:tcPr>
            <w:tcW w:w="1396"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312" w:lineRule="auto"/>
              <w:jc w:val="center"/>
              <w:rPr>
                <w:rFonts w:hAnsi="宋体" w:cs="宋体"/>
                <w:sz w:val="24"/>
                <w:szCs w:val="24"/>
              </w:rPr>
            </w:pPr>
            <w:bookmarkStart w:id="217" w:name="_Toc221951172"/>
            <w:r>
              <w:rPr>
                <w:rFonts w:hint="eastAsia" w:hAnsi="宋体" w:cs="宋体"/>
                <w:kern w:val="2"/>
                <w:sz w:val="24"/>
                <w:szCs w:val="24"/>
              </w:rPr>
              <w:t>型号及规格</w:t>
            </w:r>
            <w:bookmarkEnd w:id="217"/>
          </w:p>
        </w:tc>
        <w:tc>
          <w:tcPr>
            <w:tcW w:w="1196"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312" w:lineRule="auto"/>
              <w:jc w:val="center"/>
              <w:rPr>
                <w:rFonts w:hAnsi="宋体" w:cs="宋体"/>
                <w:sz w:val="24"/>
                <w:szCs w:val="24"/>
              </w:rPr>
            </w:pPr>
            <w:bookmarkStart w:id="218" w:name="_Toc221951173"/>
            <w:r>
              <w:rPr>
                <w:rFonts w:hint="eastAsia" w:hAnsi="宋体" w:cs="宋体"/>
                <w:kern w:val="2"/>
                <w:sz w:val="24"/>
                <w:szCs w:val="24"/>
              </w:rPr>
              <w:t>设备状况</w:t>
            </w:r>
            <w:bookmarkEnd w:id="218"/>
          </w:p>
        </w:tc>
        <w:tc>
          <w:tcPr>
            <w:tcW w:w="763"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312" w:lineRule="auto"/>
              <w:ind w:right="-33"/>
              <w:jc w:val="center"/>
              <w:rPr>
                <w:rFonts w:hAnsi="宋体" w:cs="宋体"/>
                <w:sz w:val="24"/>
                <w:szCs w:val="24"/>
              </w:rPr>
            </w:pPr>
            <w:bookmarkStart w:id="219" w:name="_Toc221951174"/>
            <w:r>
              <w:rPr>
                <w:rFonts w:hint="eastAsia" w:hAnsi="宋体" w:cs="宋体"/>
                <w:kern w:val="2"/>
                <w:sz w:val="24"/>
                <w:szCs w:val="24"/>
              </w:rPr>
              <w:t>数量</w:t>
            </w:r>
            <w:bookmarkEnd w:id="219"/>
          </w:p>
        </w:tc>
        <w:tc>
          <w:tcPr>
            <w:tcW w:w="1196"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312" w:lineRule="auto"/>
              <w:jc w:val="center"/>
              <w:rPr>
                <w:rFonts w:hAnsi="宋体" w:cs="宋体"/>
                <w:sz w:val="24"/>
                <w:szCs w:val="24"/>
              </w:rPr>
            </w:pPr>
            <w:bookmarkStart w:id="220" w:name="_Toc221951175"/>
            <w:r>
              <w:rPr>
                <w:rFonts w:hint="eastAsia" w:hAnsi="宋体" w:cs="宋体"/>
                <w:kern w:val="2"/>
                <w:sz w:val="24"/>
                <w:szCs w:val="24"/>
              </w:rPr>
              <w:t>移交地点</w:t>
            </w:r>
            <w:bookmarkEnd w:id="220"/>
          </w:p>
        </w:tc>
        <w:tc>
          <w:tcPr>
            <w:tcW w:w="1596" w:type="dxa"/>
            <w:tcBorders>
              <w:top w:val="single" w:color="auto" w:sz="12" w:space="0"/>
              <w:left w:val="single" w:color="auto" w:sz="4" w:space="0"/>
              <w:bottom w:val="single" w:color="auto" w:sz="4" w:space="0"/>
              <w:right w:val="single" w:color="auto" w:sz="4" w:space="0"/>
            </w:tcBorders>
            <w:shd w:val="clear" w:color="auto" w:fill="auto"/>
          </w:tcPr>
          <w:p>
            <w:pPr>
              <w:spacing w:line="312" w:lineRule="auto"/>
              <w:jc w:val="center"/>
              <w:rPr>
                <w:rFonts w:hAnsi="宋体" w:cs="宋体"/>
                <w:sz w:val="24"/>
                <w:szCs w:val="24"/>
              </w:rPr>
            </w:pPr>
            <w:r>
              <w:rPr>
                <w:rFonts w:hint="eastAsia" w:hAnsi="宋体" w:cs="宋体"/>
                <w:kern w:val="2"/>
                <w:sz w:val="24"/>
                <w:szCs w:val="24"/>
              </w:rPr>
              <w:t>计划移交日期</w:t>
            </w:r>
          </w:p>
        </w:tc>
        <w:tc>
          <w:tcPr>
            <w:tcW w:w="796" w:type="dxa"/>
            <w:tcBorders>
              <w:top w:val="single" w:color="auto" w:sz="12" w:space="0"/>
              <w:left w:val="single" w:color="auto" w:sz="4" w:space="0"/>
              <w:bottom w:val="single" w:color="auto" w:sz="4" w:space="0"/>
              <w:right w:val="single" w:color="auto" w:sz="12" w:space="0"/>
            </w:tcBorders>
            <w:shd w:val="clear" w:color="auto" w:fill="auto"/>
            <w:vAlign w:val="center"/>
          </w:tcPr>
          <w:p>
            <w:pPr>
              <w:spacing w:line="312" w:lineRule="auto"/>
              <w:jc w:val="center"/>
              <w:rPr>
                <w:rFonts w:hAnsi="宋体" w:cs="宋体"/>
                <w:sz w:val="24"/>
                <w:szCs w:val="24"/>
              </w:rPr>
            </w:pPr>
            <w:bookmarkStart w:id="221" w:name="_Toc221951176"/>
            <w:r>
              <w:rPr>
                <w:rFonts w:hint="eastAsia" w:hAnsi="宋体" w:cs="宋体"/>
                <w:kern w:val="2"/>
                <w:sz w:val="24"/>
                <w:szCs w:val="24"/>
              </w:rPr>
              <w:t>备注</w:t>
            </w:r>
            <w:bookmarkEnd w:id="22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12"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79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312" w:lineRule="auto"/>
              <w:ind w:right="248"/>
              <w:jc w:val="center"/>
              <w:rPr>
                <w:rFonts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12"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spacing w:line="312" w:lineRule="auto"/>
              <w:ind w:right="248"/>
              <w:jc w:val="center"/>
              <w:rPr>
                <w:rFonts w:hAnsi="宋体" w:cs="宋体"/>
                <w:sz w:val="24"/>
                <w:szCs w:val="24"/>
              </w:rPr>
            </w:pPr>
          </w:p>
        </w:tc>
        <w:tc>
          <w:tcPr>
            <w:tcW w:w="796"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312" w:lineRule="auto"/>
              <w:ind w:right="248"/>
              <w:jc w:val="center"/>
              <w:rPr>
                <w:rFonts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12" w:space="0"/>
              <w:bottom w:val="single" w:color="auto" w:sz="12" w:space="0"/>
              <w:right w:val="single" w:color="auto" w:sz="4" w:space="0"/>
            </w:tcBorders>
            <w:shd w:val="clear" w:color="auto" w:fill="auto"/>
          </w:tcPr>
          <w:p>
            <w:pPr>
              <w:spacing w:line="312" w:lineRule="auto"/>
              <w:ind w:right="248"/>
              <w:jc w:val="center"/>
              <w:rPr>
                <w:rFonts w:hAnsi="宋体" w:cs="宋体"/>
                <w:sz w:val="24"/>
                <w:szCs w:val="24"/>
              </w:rPr>
            </w:pPr>
          </w:p>
        </w:tc>
        <w:tc>
          <w:tcPr>
            <w:tcW w:w="1193"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1396"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763"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1196"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1596" w:type="dxa"/>
            <w:tcBorders>
              <w:top w:val="single" w:color="auto" w:sz="4" w:space="0"/>
              <w:left w:val="single" w:color="auto" w:sz="4" w:space="0"/>
              <w:bottom w:val="single" w:color="auto" w:sz="12" w:space="0"/>
              <w:right w:val="single" w:color="auto" w:sz="4" w:space="0"/>
            </w:tcBorders>
            <w:shd w:val="clear" w:color="auto" w:fill="auto"/>
          </w:tcPr>
          <w:p>
            <w:pPr>
              <w:spacing w:line="312" w:lineRule="auto"/>
              <w:ind w:right="248"/>
              <w:jc w:val="center"/>
              <w:rPr>
                <w:rFonts w:hAnsi="宋体" w:cs="宋体"/>
                <w:sz w:val="24"/>
                <w:szCs w:val="24"/>
              </w:rPr>
            </w:pPr>
          </w:p>
        </w:tc>
        <w:tc>
          <w:tcPr>
            <w:tcW w:w="796" w:type="dxa"/>
            <w:tcBorders>
              <w:top w:val="single" w:color="auto" w:sz="4" w:space="0"/>
              <w:left w:val="single" w:color="auto" w:sz="4" w:space="0"/>
              <w:bottom w:val="single" w:color="auto" w:sz="12" w:space="0"/>
              <w:right w:val="single" w:color="auto" w:sz="12" w:space="0"/>
            </w:tcBorders>
            <w:shd w:val="clear" w:color="auto" w:fill="auto"/>
            <w:vAlign w:val="center"/>
          </w:tcPr>
          <w:p>
            <w:pPr>
              <w:spacing w:line="312" w:lineRule="auto"/>
              <w:ind w:right="248"/>
              <w:jc w:val="center"/>
              <w:rPr>
                <w:rFonts w:hAnsi="宋体" w:cs="宋体"/>
                <w:sz w:val="24"/>
                <w:szCs w:val="24"/>
              </w:rPr>
            </w:pPr>
          </w:p>
        </w:tc>
      </w:tr>
    </w:tbl>
    <w:p>
      <w:pPr>
        <w:pStyle w:val="31"/>
        <w:widowControl/>
        <w:spacing w:line="312" w:lineRule="auto"/>
        <w:rPr>
          <w:rFonts w:ascii="宋体" w:hAnsi="宋体" w:cs="宋体"/>
          <w:sz w:val="24"/>
        </w:rPr>
      </w:pPr>
      <w:bookmarkStart w:id="222" w:name="_Toc221951177"/>
      <w:r>
        <w:rPr>
          <w:rFonts w:hint="eastAsia" w:ascii="宋体" w:hAnsi="宋体" w:cs="宋体"/>
          <w:sz w:val="24"/>
        </w:rPr>
        <w:t>注：设备状况栏内填写该设备的新旧程度、购进时间、已使用小时数和最近一次的大修时间。</w:t>
      </w:r>
      <w:bookmarkEnd w:id="222"/>
    </w:p>
    <w:p>
      <w:pPr>
        <w:spacing w:line="312" w:lineRule="auto"/>
        <w:ind w:right="248"/>
        <w:rPr>
          <w:rFonts w:hAnsi="宋体" w:cs="宋体"/>
          <w:sz w:val="24"/>
          <w:szCs w:val="24"/>
        </w:rPr>
      </w:pPr>
      <w:r>
        <w:rPr>
          <w:rFonts w:hint="eastAsia" w:hAnsi="宋体" w:cs="宋体"/>
          <w:kern w:val="2"/>
          <w:sz w:val="24"/>
          <w:szCs w:val="24"/>
        </w:rPr>
        <w:t>（2）</w:t>
      </w:r>
      <w:r>
        <w:rPr>
          <w:rFonts w:hint="eastAsia" w:hAnsi="宋体" w:cs="宋体"/>
          <w:bCs/>
          <w:kern w:val="2"/>
          <w:sz w:val="24"/>
          <w:szCs w:val="24"/>
        </w:rPr>
        <w:t>发包人提供的临时设施：</w:t>
      </w:r>
      <w:r>
        <w:rPr>
          <w:rFonts w:hint="eastAsia" w:hAnsi="宋体" w:cs="宋体"/>
          <w:kern w:val="2"/>
          <w:sz w:val="24"/>
          <w:szCs w:val="24"/>
        </w:rPr>
        <w:t>。</w:t>
      </w:r>
    </w:p>
    <w:p>
      <w:pPr>
        <w:spacing w:line="312" w:lineRule="auto"/>
        <w:rPr>
          <w:rFonts w:hAnsi="宋体" w:cs="宋体"/>
          <w:b/>
          <w:sz w:val="24"/>
          <w:szCs w:val="24"/>
        </w:rPr>
      </w:pPr>
      <w:bookmarkStart w:id="223" w:name="_Toc222033884"/>
      <w:bookmarkStart w:id="224" w:name="_Toc221951178"/>
      <w:bookmarkStart w:id="225" w:name="_Toc222029533"/>
      <w:bookmarkStart w:id="226" w:name="_Toc222031035"/>
      <w:bookmarkStart w:id="227" w:name="_Toc222032702"/>
      <w:r>
        <w:rPr>
          <w:rFonts w:hint="eastAsia" w:hAnsi="宋体" w:cs="宋体"/>
          <w:b/>
          <w:kern w:val="2"/>
          <w:sz w:val="24"/>
          <w:szCs w:val="24"/>
        </w:rPr>
        <w:t>7  交通运输</w:t>
      </w:r>
      <w:bookmarkEnd w:id="223"/>
      <w:bookmarkEnd w:id="224"/>
      <w:bookmarkEnd w:id="225"/>
      <w:bookmarkEnd w:id="226"/>
      <w:bookmarkEnd w:id="227"/>
    </w:p>
    <w:p>
      <w:pPr>
        <w:spacing w:line="312" w:lineRule="auto"/>
        <w:rPr>
          <w:rFonts w:hAnsi="宋体" w:cs="宋体"/>
          <w:b/>
          <w:sz w:val="24"/>
          <w:szCs w:val="24"/>
        </w:rPr>
      </w:pPr>
      <w:bookmarkStart w:id="228" w:name="_Toc221951179"/>
      <w:r>
        <w:rPr>
          <w:rFonts w:hint="eastAsia" w:hAnsi="宋体" w:cs="宋体"/>
          <w:b/>
          <w:kern w:val="2"/>
          <w:sz w:val="24"/>
          <w:szCs w:val="24"/>
        </w:rPr>
        <w:t>7.1  道路通行权和场外设施</w:t>
      </w:r>
      <w:bookmarkEnd w:id="228"/>
    </w:p>
    <w:p>
      <w:pPr>
        <w:spacing w:line="312" w:lineRule="auto"/>
        <w:ind w:right="248" w:firstLine="360" w:firstLineChars="150"/>
        <w:rPr>
          <w:rFonts w:hAnsi="宋体" w:cs="宋体"/>
          <w:sz w:val="24"/>
          <w:szCs w:val="24"/>
        </w:rPr>
      </w:pPr>
      <w:r>
        <w:rPr>
          <w:rFonts w:hint="eastAsia" w:hAnsi="宋体" w:cs="宋体"/>
          <w:bCs/>
          <w:kern w:val="2"/>
          <w:sz w:val="24"/>
          <w:szCs w:val="24"/>
        </w:rPr>
        <w:t>道路通行权和场外设施的约定</w:t>
      </w:r>
      <w:r>
        <w:rPr>
          <w:rFonts w:hint="eastAsia" w:hAnsi="宋体" w:cs="宋体"/>
          <w:kern w:val="2"/>
          <w:sz w:val="24"/>
          <w:szCs w:val="24"/>
        </w:rPr>
        <w:t>：。</w:t>
      </w:r>
    </w:p>
    <w:p>
      <w:pPr>
        <w:spacing w:line="312" w:lineRule="auto"/>
        <w:rPr>
          <w:rFonts w:hAnsi="宋体" w:cs="宋体"/>
          <w:b/>
          <w:sz w:val="24"/>
          <w:szCs w:val="24"/>
        </w:rPr>
      </w:pPr>
      <w:r>
        <w:rPr>
          <w:rFonts w:hint="eastAsia" w:hAnsi="宋体" w:cs="宋体"/>
          <w:b/>
          <w:kern w:val="2"/>
          <w:sz w:val="24"/>
          <w:szCs w:val="24"/>
        </w:rPr>
        <w:t xml:space="preserve">8 测量放线   </w:t>
      </w:r>
    </w:p>
    <w:p>
      <w:pPr>
        <w:spacing w:line="312" w:lineRule="auto"/>
        <w:rPr>
          <w:rFonts w:hAnsi="宋体" w:cs="宋体"/>
          <w:b/>
          <w:sz w:val="24"/>
          <w:szCs w:val="24"/>
        </w:rPr>
      </w:pPr>
      <w:r>
        <w:rPr>
          <w:rFonts w:hint="eastAsia" w:hAnsi="宋体" w:cs="宋体"/>
          <w:b/>
          <w:kern w:val="2"/>
          <w:sz w:val="24"/>
          <w:szCs w:val="24"/>
        </w:rPr>
        <w:t>8.1施工控制网</w:t>
      </w:r>
    </w:p>
    <w:p>
      <w:pPr>
        <w:spacing w:line="312" w:lineRule="auto"/>
        <w:ind w:right="248" w:firstLine="360" w:firstLineChars="150"/>
        <w:rPr>
          <w:rFonts w:hAnsi="宋体" w:cs="宋体"/>
          <w:sz w:val="24"/>
          <w:szCs w:val="24"/>
        </w:rPr>
      </w:pPr>
      <w:r>
        <w:rPr>
          <w:rFonts w:hint="eastAsia" w:hAnsi="宋体" w:cs="宋体"/>
          <w:bCs/>
          <w:kern w:val="2"/>
          <w:sz w:val="24"/>
          <w:szCs w:val="24"/>
        </w:rPr>
        <w:t>8.1.1 施工控制网的约定：</w:t>
      </w:r>
      <w:r>
        <w:rPr>
          <w:rFonts w:hint="eastAsia" w:hAnsi="宋体" w:cs="宋体"/>
          <w:kern w:val="2"/>
          <w:sz w:val="24"/>
          <w:szCs w:val="24"/>
        </w:rPr>
        <w:t xml:space="preserve"> 。</w:t>
      </w:r>
    </w:p>
    <w:p>
      <w:pPr>
        <w:spacing w:line="312" w:lineRule="auto"/>
        <w:rPr>
          <w:rFonts w:hAnsi="宋体" w:cs="宋体"/>
          <w:b/>
          <w:sz w:val="24"/>
          <w:szCs w:val="24"/>
        </w:rPr>
      </w:pPr>
      <w:r>
        <w:rPr>
          <w:rFonts w:hint="eastAsia" w:hAnsi="宋体" w:cs="宋体"/>
          <w:b/>
          <w:kern w:val="2"/>
          <w:sz w:val="24"/>
          <w:szCs w:val="24"/>
        </w:rPr>
        <w:t>9 施工安全、治安保卫和环境保护</w:t>
      </w:r>
    </w:p>
    <w:p>
      <w:pPr>
        <w:spacing w:line="312" w:lineRule="auto"/>
        <w:rPr>
          <w:rFonts w:hAnsi="宋体" w:cs="宋体"/>
          <w:b/>
          <w:sz w:val="24"/>
          <w:szCs w:val="24"/>
        </w:rPr>
      </w:pPr>
      <w:r>
        <w:rPr>
          <w:rFonts w:hint="eastAsia" w:hAnsi="宋体" w:cs="宋体"/>
          <w:b/>
          <w:kern w:val="2"/>
          <w:sz w:val="24"/>
          <w:szCs w:val="24"/>
        </w:rPr>
        <w:t>9.1 发包人的施工安全责任</w:t>
      </w:r>
    </w:p>
    <w:p>
      <w:pPr>
        <w:spacing w:line="312" w:lineRule="auto"/>
        <w:ind w:right="248" w:firstLine="360" w:firstLineChars="150"/>
        <w:rPr>
          <w:rFonts w:hAnsi="宋体" w:cs="宋体"/>
          <w:sz w:val="24"/>
          <w:szCs w:val="24"/>
          <w:u w:val="single"/>
        </w:rPr>
      </w:pPr>
      <w:r>
        <w:rPr>
          <w:rFonts w:hint="eastAsia" w:hAnsi="宋体" w:cs="宋体"/>
          <w:kern w:val="2"/>
          <w:sz w:val="24"/>
          <w:szCs w:val="24"/>
        </w:rPr>
        <w:t>9</w:t>
      </w:r>
      <w:r>
        <w:rPr>
          <w:rFonts w:hint="eastAsia" w:hAnsi="宋体" w:cs="宋体"/>
          <w:bCs/>
          <w:kern w:val="2"/>
          <w:sz w:val="24"/>
          <w:szCs w:val="24"/>
        </w:rPr>
        <w:t>.1.4 发包人提供资料，其余资料由承包人负责收集。</w:t>
      </w:r>
    </w:p>
    <w:p>
      <w:pPr>
        <w:spacing w:line="312" w:lineRule="auto"/>
        <w:rPr>
          <w:rFonts w:hAnsi="宋体" w:cs="宋体"/>
          <w:b/>
          <w:sz w:val="24"/>
          <w:szCs w:val="24"/>
        </w:rPr>
      </w:pPr>
      <w:r>
        <w:rPr>
          <w:rFonts w:hint="eastAsia" w:hAnsi="宋体" w:cs="宋体"/>
          <w:b/>
          <w:kern w:val="2"/>
          <w:sz w:val="24"/>
          <w:szCs w:val="24"/>
        </w:rPr>
        <w:t>9.2 承包人的施工安全责任</w:t>
      </w:r>
    </w:p>
    <w:p>
      <w:pPr>
        <w:spacing w:line="312" w:lineRule="auto"/>
        <w:ind w:right="248" w:firstLine="480"/>
        <w:rPr>
          <w:rFonts w:hAnsi="宋体" w:cs="宋体"/>
          <w:sz w:val="24"/>
          <w:szCs w:val="24"/>
        </w:rPr>
      </w:pPr>
      <w:r>
        <w:rPr>
          <w:rFonts w:hint="eastAsia" w:hAnsi="宋体" w:cs="宋体"/>
          <w:kern w:val="2"/>
          <w:sz w:val="24"/>
          <w:szCs w:val="24"/>
        </w:rPr>
        <w:t>9.2.12 下列工程应编制专项施工方案：。其中应组织专家论证和审查。</w:t>
      </w:r>
    </w:p>
    <w:p>
      <w:pPr>
        <w:spacing w:line="312" w:lineRule="auto"/>
        <w:rPr>
          <w:rFonts w:hAnsi="宋体" w:cs="宋体"/>
          <w:b/>
          <w:sz w:val="24"/>
          <w:szCs w:val="24"/>
        </w:rPr>
      </w:pPr>
      <w:r>
        <w:rPr>
          <w:rFonts w:hint="eastAsia" w:hAnsi="宋体" w:cs="宋体"/>
          <w:b/>
          <w:kern w:val="2"/>
          <w:sz w:val="24"/>
          <w:szCs w:val="24"/>
        </w:rPr>
        <w:t>9.7 文明工地</w:t>
      </w:r>
    </w:p>
    <w:p>
      <w:pPr>
        <w:spacing w:line="312" w:lineRule="auto"/>
        <w:ind w:right="248" w:firstLine="480"/>
        <w:rPr>
          <w:rFonts w:hAnsi="宋体" w:cs="宋体"/>
          <w:sz w:val="24"/>
          <w:szCs w:val="24"/>
        </w:rPr>
      </w:pPr>
      <w:r>
        <w:rPr>
          <w:rFonts w:hint="eastAsia" w:hAnsi="宋体" w:cs="宋体"/>
          <w:kern w:val="2"/>
          <w:sz w:val="24"/>
          <w:szCs w:val="24"/>
        </w:rPr>
        <w:t>9.7.1 本合同文明工地的约定：。</w:t>
      </w:r>
    </w:p>
    <w:p>
      <w:pPr>
        <w:spacing w:line="312" w:lineRule="auto"/>
        <w:rPr>
          <w:rFonts w:hAnsi="宋体" w:cs="宋体"/>
          <w:b/>
          <w:sz w:val="24"/>
          <w:szCs w:val="24"/>
        </w:rPr>
      </w:pPr>
      <w:bookmarkStart w:id="229" w:name="_Toc221951188"/>
      <w:bookmarkStart w:id="230" w:name="_Toc222031038"/>
      <w:bookmarkStart w:id="231" w:name="_Toc222029536"/>
      <w:bookmarkStart w:id="232" w:name="_Toc229305394"/>
      <w:bookmarkStart w:id="233" w:name="_Toc222032705"/>
      <w:bookmarkStart w:id="234" w:name="_Toc222033887"/>
      <w:r>
        <w:rPr>
          <w:rFonts w:hint="eastAsia" w:hAnsi="宋体" w:cs="宋体"/>
          <w:b/>
          <w:kern w:val="2"/>
          <w:sz w:val="24"/>
          <w:szCs w:val="24"/>
        </w:rPr>
        <w:t>11  开工和竣工</w:t>
      </w:r>
      <w:bookmarkEnd w:id="229"/>
      <w:bookmarkEnd w:id="230"/>
      <w:bookmarkEnd w:id="231"/>
      <w:bookmarkEnd w:id="232"/>
      <w:bookmarkEnd w:id="233"/>
      <w:bookmarkEnd w:id="234"/>
      <w:r>
        <w:rPr>
          <w:rFonts w:hint="eastAsia" w:hAnsi="宋体" w:cs="宋体"/>
          <w:b/>
          <w:kern w:val="2"/>
          <w:sz w:val="24"/>
          <w:szCs w:val="24"/>
        </w:rPr>
        <w:t>（完工）</w:t>
      </w:r>
    </w:p>
    <w:p>
      <w:pPr>
        <w:spacing w:line="312" w:lineRule="auto"/>
        <w:rPr>
          <w:rFonts w:hAnsi="宋体" w:cs="宋体"/>
          <w:sz w:val="24"/>
          <w:szCs w:val="24"/>
        </w:rPr>
      </w:pPr>
      <w:bookmarkStart w:id="235" w:name="_Toc221951189"/>
      <w:r>
        <w:rPr>
          <w:rFonts w:hint="eastAsia" w:hAnsi="宋体" w:cs="宋体"/>
          <w:b/>
          <w:kern w:val="2"/>
          <w:sz w:val="24"/>
          <w:szCs w:val="24"/>
        </w:rPr>
        <w:t>11</w:t>
      </w:r>
      <w:r>
        <w:rPr>
          <w:rFonts w:hint="eastAsia" w:hAnsi="宋体" w:cs="宋体"/>
          <w:kern w:val="2"/>
          <w:sz w:val="24"/>
          <w:szCs w:val="24"/>
        </w:rPr>
        <w:t>.4  异常恶劣的气候条件</w:t>
      </w:r>
      <w:bookmarkEnd w:id="235"/>
    </w:p>
    <w:p>
      <w:pPr>
        <w:spacing w:line="312" w:lineRule="auto"/>
        <w:ind w:right="248" w:firstLine="480"/>
        <w:rPr>
          <w:rFonts w:hAnsi="宋体" w:cs="宋体"/>
          <w:sz w:val="24"/>
          <w:szCs w:val="24"/>
        </w:rPr>
      </w:pPr>
      <w:bookmarkStart w:id="236" w:name="_Toc221951191"/>
      <w:r>
        <w:rPr>
          <w:rFonts w:hint="eastAsia" w:hAnsi="宋体" w:cs="宋体"/>
          <w:kern w:val="2"/>
          <w:sz w:val="24"/>
          <w:szCs w:val="24"/>
        </w:rPr>
        <w:t>11.4.3  本合同工程界定异常恶劣气候条件的范围为：</w:t>
      </w:r>
      <w:bookmarkEnd w:id="236"/>
    </w:p>
    <w:p>
      <w:pPr>
        <w:spacing w:line="312" w:lineRule="auto"/>
        <w:ind w:right="248" w:firstLine="480"/>
        <w:rPr>
          <w:rFonts w:hAnsi="宋体" w:cs="宋体"/>
          <w:sz w:val="24"/>
          <w:szCs w:val="24"/>
        </w:rPr>
      </w:pPr>
      <w:bookmarkStart w:id="237" w:name="_Toc221951192"/>
      <w:r>
        <w:rPr>
          <w:rFonts w:hint="eastAsia" w:hAnsi="宋体" w:cs="宋体"/>
          <w:kern w:val="2"/>
          <w:sz w:val="24"/>
          <w:szCs w:val="24"/>
        </w:rPr>
        <w:t>（1）日降雨量大于㎜的雨日超过天； `</w:t>
      </w:r>
      <w:bookmarkEnd w:id="237"/>
    </w:p>
    <w:p>
      <w:pPr>
        <w:spacing w:line="312" w:lineRule="auto"/>
        <w:ind w:right="248" w:firstLine="480"/>
        <w:rPr>
          <w:rFonts w:hAnsi="宋体" w:cs="宋体"/>
          <w:sz w:val="24"/>
          <w:szCs w:val="24"/>
        </w:rPr>
      </w:pPr>
      <w:bookmarkStart w:id="238" w:name="_Toc221951193"/>
      <w:r>
        <w:rPr>
          <w:rFonts w:hint="eastAsia" w:hAnsi="宋体" w:cs="宋体"/>
          <w:kern w:val="2"/>
          <w:sz w:val="24"/>
          <w:szCs w:val="24"/>
        </w:rPr>
        <w:t>（2）风速大于m/s的级以上台风灾害；</w:t>
      </w:r>
      <w:bookmarkEnd w:id="238"/>
    </w:p>
    <w:p>
      <w:pPr>
        <w:spacing w:line="312" w:lineRule="auto"/>
        <w:ind w:right="248" w:firstLine="480"/>
        <w:rPr>
          <w:rFonts w:hAnsi="宋体" w:cs="宋体"/>
          <w:sz w:val="24"/>
          <w:szCs w:val="24"/>
        </w:rPr>
      </w:pPr>
      <w:bookmarkStart w:id="239" w:name="_Toc221951194"/>
      <w:r>
        <w:rPr>
          <w:rFonts w:hint="eastAsia" w:hAnsi="宋体" w:cs="宋体"/>
          <w:kern w:val="2"/>
          <w:sz w:val="24"/>
          <w:szCs w:val="24"/>
        </w:rPr>
        <w:t>（3）</w:t>
      </w:r>
      <w:bookmarkEnd w:id="239"/>
      <w:r>
        <w:rPr>
          <w:rFonts w:hint="eastAsia" w:hAnsi="宋体" w:cs="宋体"/>
          <w:kern w:val="2"/>
          <w:sz w:val="24"/>
          <w:szCs w:val="24"/>
        </w:rPr>
        <w:t>日气温超过℃的高温大于天；</w:t>
      </w:r>
    </w:p>
    <w:p>
      <w:pPr>
        <w:spacing w:line="312" w:lineRule="auto"/>
        <w:ind w:right="248" w:firstLine="480"/>
        <w:rPr>
          <w:rFonts w:hAnsi="宋体" w:cs="宋体"/>
          <w:sz w:val="24"/>
          <w:szCs w:val="24"/>
        </w:rPr>
      </w:pPr>
      <w:bookmarkStart w:id="240" w:name="_Toc221951195"/>
      <w:r>
        <w:rPr>
          <w:rFonts w:hint="eastAsia" w:hAnsi="宋体" w:cs="宋体"/>
          <w:kern w:val="2"/>
          <w:sz w:val="24"/>
          <w:szCs w:val="24"/>
        </w:rPr>
        <w:t>（4）</w:t>
      </w:r>
      <w:bookmarkEnd w:id="240"/>
      <w:r>
        <w:rPr>
          <w:rFonts w:hint="eastAsia" w:hAnsi="宋体" w:cs="宋体"/>
          <w:kern w:val="2"/>
          <w:sz w:val="24"/>
          <w:szCs w:val="24"/>
        </w:rPr>
        <w:t>日气温低于℃的严寒大于天。</w:t>
      </w:r>
    </w:p>
    <w:p>
      <w:pPr>
        <w:spacing w:line="312" w:lineRule="auto"/>
        <w:ind w:right="248" w:firstLine="480"/>
        <w:rPr>
          <w:rFonts w:hAnsi="宋体" w:cs="宋体"/>
          <w:sz w:val="24"/>
          <w:szCs w:val="24"/>
        </w:rPr>
      </w:pPr>
      <w:bookmarkStart w:id="241" w:name="_Toc221951196"/>
      <w:r>
        <w:rPr>
          <w:rFonts w:hint="eastAsia" w:hAnsi="宋体" w:cs="宋体"/>
          <w:kern w:val="2"/>
          <w:sz w:val="24"/>
          <w:szCs w:val="24"/>
        </w:rPr>
        <w:t>（5）</w:t>
      </w:r>
      <w:bookmarkEnd w:id="241"/>
      <w:r>
        <w:rPr>
          <w:rFonts w:hint="eastAsia" w:hAnsi="宋体" w:cs="宋体"/>
          <w:kern w:val="2"/>
          <w:sz w:val="24"/>
          <w:szCs w:val="24"/>
        </w:rPr>
        <w:t>造成工程损坏的冰雹和大雪灾害：                。</w:t>
      </w:r>
    </w:p>
    <w:p>
      <w:pPr>
        <w:spacing w:line="312" w:lineRule="auto"/>
        <w:ind w:right="248" w:firstLine="480"/>
        <w:rPr>
          <w:rFonts w:hAnsi="宋体" w:cs="宋体"/>
          <w:sz w:val="24"/>
          <w:szCs w:val="24"/>
        </w:rPr>
      </w:pPr>
      <w:bookmarkStart w:id="242" w:name="_Toc221951197"/>
      <w:r>
        <w:rPr>
          <w:rFonts w:hint="eastAsia" w:hAnsi="宋体" w:cs="宋体"/>
          <w:kern w:val="2"/>
          <w:sz w:val="24"/>
          <w:szCs w:val="24"/>
        </w:rPr>
        <w:t>（6）其他异常恶劣气候灾害。</w:t>
      </w:r>
      <w:bookmarkEnd w:id="242"/>
    </w:p>
    <w:p>
      <w:pPr>
        <w:spacing w:line="312" w:lineRule="auto"/>
        <w:rPr>
          <w:rFonts w:hAnsi="宋体" w:cs="宋体"/>
          <w:sz w:val="24"/>
          <w:szCs w:val="24"/>
        </w:rPr>
      </w:pPr>
      <w:bookmarkStart w:id="243" w:name="_Toc221951198"/>
      <w:r>
        <w:rPr>
          <w:rFonts w:hint="eastAsia" w:hAnsi="宋体" w:cs="宋体"/>
          <w:b/>
          <w:kern w:val="2"/>
          <w:sz w:val="24"/>
          <w:szCs w:val="24"/>
        </w:rPr>
        <w:t>11</w:t>
      </w:r>
      <w:r>
        <w:rPr>
          <w:rFonts w:hint="eastAsia" w:hAnsi="宋体" w:cs="宋体"/>
          <w:kern w:val="2"/>
          <w:sz w:val="24"/>
          <w:szCs w:val="24"/>
        </w:rPr>
        <w:t>.5  承包人工期延误</w:t>
      </w:r>
      <w:bookmarkEnd w:id="243"/>
    </w:p>
    <w:p>
      <w:pPr>
        <w:spacing w:line="312" w:lineRule="auto"/>
        <w:ind w:right="248" w:firstLine="480" w:firstLineChars="200"/>
        <w:rPr>
          <w:rFonts w:hAnsi="宋体" w:cs="宋体"/>
          <w:bCs/>
          <w:sz w:val="24"/>
          <w:szCs w:val="24"/>
        </w:rPr>
      </w:pPr>
      <w:bookmarkStart w:id="244" w:name="_Toc221951200"/>
      <w:r>
        <w:rPr>
          <w:rFonts w:hint="eastAsia" w:hAnsi="宋体" w:cs="宋体"/>
          <w:bCs/>
          <w:kern w:val="2"/>
          <w:sz w:val="24"/>
          <w:szCs w:val="24"/>
        </w:rPr>
        <w:t>（1）逾期竣工违约金表(参考格式)</w:t>
      </w:r>
      <w:bookmarkEnd w:id="244"/>
    </w:p>
    <w:tbl>
      <w:tblPr>
        <w:tblStyle w:val="35"/>
        <w:tblW w:w="925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996"/>
        <w:gridCol w:w="2170"/>
        <w:gridCol w:w="21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18" w:type="dxa"/>
            <w:tcBorders>
              <w:top w:val="single" w:color="auto" w:sz="12" w:space="0"/>
              <w:left w:val="single" w:color="auto" w:sz="12" w:space="0"/>
              <w:bottom w:val="single" w:color="auto" w:sz="4" w:space="0"/>
              <w:right w:val="single" w:color="auto" w:sz="4" w:space="0"/>
            </w:tcBorders>
            <w:shd w:val="clear" w:color="auto" w:fill="auto"/>
            <w:vAlign w:val="center"/>
          </w:tcPr>
          <w:p>
            <w:pPr>
              <w:spacing w:line="312" w:lineRule="auto"/>
              <w:ind w:right="-3"/>
              <w:jc w:val="center"/>
              <w:rPr>
                <w:rFonts w:hAnsi="宋体" w:cs="宋体"/>
                <w:sz w:val="24"/>
                <w:szCs w:val="24"/>
              </w:rPr>
            </w:pPr>
            <w:bookmarkStart w:id="245" w:name="_Toc221951201"/>
            <w:r>
              <w:rPr>
                <w:rFonts w:hint="eastAsia" w:hAnsi="宋体" w:cs="宋体"/>
                <w:kern w:val="2"/>
                <w:sz w:val="24"/>
                <w:szCs w:val="24"/>
              </w:rPr>
              <w:t>序号</w:t>
            </w:r>
            <w:bookmarkEnd w:id="245"/>
          </w:p>
        </w:tc>
        <w:tc>
          <w:tcPr>
            <w:tcW w:w="3999"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312" w:lineRule="auto"/>
              <w:ind w:right="3"/>
              <w:jc w:val="center"/>
              <w:rPr>
                <w:rFonts w:hAnsi="宋体" w:cs="宋体"/>
                <w:sz w:val="24"/>
                <w:szCs w:val="24"/>
              </w:rPr>
            </w:pPr>
            <w:bookmarkStart w:id="246" w:name="_Toc221951202"/>
            <w:r>
              <w:rPr>
                <w:rFonts w:hint="eastAsia" w:hAnsi="宋体" w:cs="宋体"/>
                <w:kern w:val="2"/>
                <w:sz w:val="24"/>
                <w:szCs w:val="24"/>
              </w:rPr>
              <w:t>项目及其说明</w:t>
            </w:r>
            <w:bookmarkEnd w:id="246"/>
          </w:p>
        </w:tc>
        <w:tc>
          <w:tcPr>
            <w:tcW w:w="2172"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312" w:lineRule="auto"/>
              <w:ind w:right="9"/>
              <w:jc w:val="center"/>
              <w:rPr>
                <w:rFonts w:hAnsi="宋体" w:cs="宋体"/>
                <w:sz w:val="24"/>
                <w:szCs w:val="24"/>
              </w:rPr>
            </w:pPr>
            <w:bookmarkStart w:id="247" w:name="_Toc221951203"/>
            <w:r>
              <w:rPr>
                <w:rFonts w:hint="eastAsia" w:hAnsi="宋体" w:cs="宋体"/>
                <w:kern w:val="2"/>
                <w:sz w:val="24"/>
                <w:szCs w:val="24"/>
              </w:rPr>
              <w:t>要求竣工日期</w:t>
            </w:r>
            <w:bookmarkEnd w:id="247"/>
          </w:p>
        </w:tc>
        <w:tc>
          <w:tcPr>
            <w:tcW w:w="2171" w:type="dxa"/>
            <w:tcBorders>
              <w:top w:val="single" w:color="auto" w:sz="12" w:space="0"/>
              <w:left w:val="single" w:color="auto" w:sz="4" w:space="0"/>
              <w:bottom w:val="single" w:color="auto" w:sz="4" w:space="0"/>
              <w:right w:val="single" w:color="auto" w:sz="12" w:space="0"/>
            </w:tcBorders>
            <w:shd w:val="clear" w:color="auto" w:fill="auto"/>
          </w:tcPr>
          <w:p>
            <w:pPr>
              <w:spacing w:line="312" w:lineRule="auto"/>
              <w:ind w:right="9"/>
              <w:jc w:val="center"/>
              <w:rPr>
                <w:rFonts w:hAnsi="宋体" w:cs="宋体"/>
                <w:sz w:val="24"/>
                <w:szCs w:val="24"/>
              </w:rPr>
            </w:pPr>
            <w:bookmarkStart w:id="248" w:name="_Toc221951204"/>
            <w:r>
              <w:rPr>
                <w:rFonts w:hint="eastAsia" w:hAnsi="宋体" w:cs="宋体"/>
                <w:kern w:val="2"/>
                <w:sz w:val="24"/>
                <w:szCs w:val="24"/>
              </w:rPr>
              <w:t>违约金(元/天)</w:t>
            </w:r>
            <w:bookmarkEnd w:id="24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2171" w:type="dxa"/>
            <w:tcBorders>
              <w:top w:val="single" w:color="auto" w:sz="4" w:space="0"/>
              <w:left w:val="single" w:color="auto" w:sz="4" w:space="0"/>
              <w:bottom w:val="single" w:color="auto" w:sz="4" w:space="0"/>
              <w:right w:val="single" w:color="auto" w:sz="12" w:space="0"/>
            </w:tcBorders>
            <w:shd w:val="clear" w:color="auto" w:fill="auto"/>
          </w:tcPr>
          <w:p>
            <w:pPr>
              <w:spacing w:line="312" w:lineRule="auto"/>
              <w:ind w:right="248"/>
              <w:jc w:val="center"/>
              <w:rPr>
                <w:rFonts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2171" w:type="dxa"/>
            <w:tcBorders>
              <w:top w:val="single" w:color="auto" w:sz="4" w:space="0"/>
              <w:left w:val="single" w:color="auto" w:sz="4" w:space="0"/>
              <w:bottom w:val="single" w:color="auto" w:sz="4" w:space="0"/>
              <w:right w:val="single" w:color="auto" w:sz="12" w:space="0"/>
            </w:tcBorders>
            <w:shd w:val="clear" w:color="auto" w:fill="auto"/>
          </w:tcPr>
          <w:p>
            <w:pPr>
              <w:spacing w:line="312" w:lineRule="auto"/>
              <w:ind w:right="248"/>
              <w:jc w:val="center"/>
              <w:rPr>
                <w:rFonts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2171" w:type="dxa"/>
            <w:tcBorders>
              <w:top w:val="single" w:color="auto" w:sz="4" w:space="0"/>
              <w:left w:val="single" w:color="auto" w:sz="4" w:space="0"/>
              <w:bottom w:val="single" w:color="auto" w:sz="4" w:space="0"/>
              <w:right w:val="single" w:color="auto" w:sz="12" w:space="0"/>
            </w:tcBorders>
            <w:shd w:val="clear" w:color="auto" w:fill="auto"/>
          </w:tcPr>
          <w:p>
            <w:pPr>
              <w:spacing w:line="312" w:lineRule="auto"/>
              <w:ind w:right="248"/>
              <w:jc w:val="center"/>
              <w:rPr>
                <w:rFonts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18"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3999"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2172"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312" w:lineRule="auto"/>
              <w:ind w:right="248"/>
              <w:jc w:val="center"/>
              <w:rPr>
                <w:rFonts w:hAnsi="宋体" w:cs="宋体"/>
                <w:sz w:val="24"/>
                <w:szCs w:val="24"/>
              </w:rPr>
            </w:pPr>
          </w:p>
        </w:tc>
        <w:tc>
          <w:tcPr>
            <w:tcW w:w="2171" w:type="dxa"/>
            <w:tcBorders>
              <w:top w:val="single" w:color="auto" w:sz="4" w:space="0"/>
              <w:left w:val="single" w:color="auto" w:sz="4" w:space="0"/>
              <w:bottom w:val="single" w:color="auto" w:sz="12" w:space="0"/>
              <w:right w:val="single" w:color="auto" w:sz="12" w:space="0"/>
            </w:tcBorders>
            <w:shd w:val="clear" w:color="auto" w:fill="auto"/>
          </w:tcPr>
          <w:p>
            <w:pPr>
              <w:spacing w:line="312" w:lineRule="auto"/>
              <w:ind w:right="248"/>
              <w:jc w:val="center"/>
              <w:rPr>
                <w:rFonts w:hAnsi="宋体" w:cs="宋体"/>
                <w:sz w:val="24"/>
                <w:szCs w:val="24"/>
              </w:rPr>
            </w:pPr>
          </w:p>
        </w:tc>
      </w:tr>
    </w:tbl>
    <w:p>
      <w:pPr>
        <w:spacing w:line="312" w:lineRule="auto"/>
        <w:ind w:right="248" w:firstLine="480" w:firstLineChars="200"/>
        <w:rPr>
          <w:rFonts w:hAnsi="宋体" w:cs="宋体"/>
          <w:sz w:val="24"/>
          <w:szCs w:val="24"/>
        </w:rPr>
      </w:pPr>
      <w:bookmarkStart w:id="249" w:name="_Toc221951205"/>
      <w:r>
        <w:rPr>
          <w:rFonts w:hint="eastAsia" w:hAnsi="宋体" w:cs="宋体"/>
          <w:kern w:val="2"/>
          <w:sz w:val="24"/>
          <w:szCs w:val="24"/>
        </w:rPr>
        <w:t>（2）全部逾期竣工违约金的总限额为</w:t>
      </w:r>
      <w:r>
        <w:rPr>
          <w:rFonts w:hint="eastAsia" w:hAnsi="宋体" w:cs="宋体"/>
          <w:kern w:val="2"/>
          <w:sz w:val="24"/>
          <w:szCs w:val="24"/>
          <w:u w:val="single"/>
        </w:rPr>
        <w:t xml:space="preserve">  （不超过合同总价的  %） </w:t>
      </w:r>
      <w:r>
        <w:rPr>
          <w:rFonts w:hint="eastAsia" w:hAnsi="宋体" w:cs="宋体"/>
          <w:kern w:val="2"/>
          <w:sz w:val="24"/>
          <w:szCs w:val="24"/>
        </w:rPr>
        <w:t>。</w:t>
      </w:r>
      <w:bookmarkEnd w:id="249"/>
    </w:p>
    <w:p>
      <w:pPr>
        <w:spacing w:line="312" w:lineRule="auto"/>
        <w:rPr>
          <w:rFonts w:hAnsi="宋体" w:cs="宋体"/>
          <w:sz w:val="24"/>
          <w:szCs w:val="24"/>
        </w:rPr>
      </w:pPr>
      <w:r>
        <w:rPr>
          <w:rFonts w:hint="eastAsia" w:hAnsi="宋体" w:cs="宋体"/>
          <w:b/>
          <w:kern w:val="2"/>
          <w:sz w:val="24"/>
          <w:szCs w:val="24"/>
        </w:rPr>
        <w:t>11</w:t>
      </w:r>
      <w:r>
        <w:rPr>
          <w:rFonts w:hint="eastAsia" w:hAnsi="宋体" w:cs="宋体"/>
          <w:kern w:val="2"/>
          <w:sz w:val="24"/>
          <w:szCs w:val="24"/>
        </w:rPr>
        <w:t>.6 工期提前</w:t>
      </w:r>
    </w:p>
    <w:p>
      <w:pPr>
        <w:spacing w:line="312" w:lineRule="auto"/>
        <w:ind w:right="248" w:firstLine="480"/>
        <w:rPr>
          <w:rFonts w:hAnsi="宋体" w:cs="宋体"/>
          <w:sz w:val="24"/>
          <w:szCs w:val="24"/>
        </w:rPr>
      </w:pPr>
      <w:r>
        <w:rPr>
          <w:rFonts w:hint="eastAsia" w:hAnsi="宋体" w:cs="宋体"/>
          <w:kern w:val="2"/>
          <w:sz w:val="24"/>
          <w:szCs w:val="24"/>
        </w:rPr>
        <w:t>工期提前的奖金约定：。</w:t>
      </w:r>
    </w:p>
    <w:p>
      <w:pPr>
        <w:spacing w:line="312" w:lineRule="auto"/>
        <w:rPr>
          <w:rFonts w:hAnsi="宋体" w:cs="宋体"/>
          <w:b/>
          <w:sz w:val="24"/>
          <w:szCs w:val="24"/>
        </w:rPr>
      </w:pPr>
      <w:bookmarkStart w:id="250" w:name="_Toc222029537"/>
      <w:bookmarkStart w:id="251" w:name="_Toc222033888"/>
      <w:bookmarkStart w:id="252" w:name="_Toc229305395"/>
      <w:bookmarkStart w:id="253" w:name="_Toc222031039"/>
      <w:bookmarkStart w:id="254" w:name="_Toc221951206"/>
      <w:bookmarkStart w:id="255" w:name="_Toc222032706"/>
      <w:r>
        <w:rPr>
          <w:rFonts w:hint="eastAsia" w:hAnsi="宋体" w:cs="宋体"/>
          <w:b/>
          <w:kern w:val="2"/>
          <w:sz w:val="24"/>
          <w:szCs w:val="24"/>
        </w:rPr>
        <w:t>12  暂停施工</w:t>
      </w:r>
      <w:bookmarkEnd w:id="250"/>
      <w:bookmarkEnd w:id="251"/>
      <w:bookmarkEnd w:id="252"/>
      <w:bookmarkEnd w:id="253"/>
      <w:bookmarkEnd w:id="254"/>
      <w:bookmarkEnd w:id="255"/>
    </w:p>
    <w:p>
      <w:pPr>
        <w:spacing w:line="312" w:lineRule="auto"/>
        <w:rPr>
          <w:rFonts w:hAnsi="宋体" w:cs="宋体"/>
          <w:b/>
          <w:sz w:val="24"/>
          <w:szCs w:val="24"/>
        </w:rPr>
      </w:pPr>
      <w:bookmarkStart w:id="256" w:name="_Toc221951207"/>
      <w:r>
        <w:rPr>
          <w:rFonts w:hint="eastAsia" w:hAnsi="宋体" w:cs="宋体"/>
          <w:b/>
          <w:kern w:val="2"/>
          <w:sz w:val="24"/>
          <w:szCs w:val="24"/>
        </w:rPr>
        <w:t>12.1  承包人暂停施工的责任</w:t>
      </w:r>
      <w:bookmarkEnd w:id="256"/>
    </w:p>
    <w:p>
      <w:pPr>
        <w:spacing w:line="312" w:lineRule="auto"/>
        <w:ind w:right="248" w:firstLine="480"/>
        <w:rPr>
          <w:rFonts w:hAnsi="宋体" w:cs="宋体"/>
          <w:sz w:val="24"/>
          <w:szCs w:val="24"/>
        </w:rPr>
      </w:pPr>
      <w:bookmarkStart w:id="257" w:name="_Toc221951209"/>
      <w:r>
        <w:rPr>
          <w:rFonts w:hint="eastAsia" w:hAnsi="宋体" w:cs="宋体"/>
          <w:kern w:val="2"/>
          <w:sz w:val="24"/>
          <w:szCs w:val="24"/>
        </w:rPr>
        <w:t xml:space="preserve"> (5) 承包人承担的其他暂停施工责任的其它情形：。</w:t>
      </w:r>
      <w:bookmarkEnd w:id="257"/>
    </w:p>
    <w:p>
      <w:pPr>
        <w:spacing w:line="312" w:lineRule="auto"/>
        <w:rPr>
          <w:rFonts w:hAnsi="宋体" w:cs="宋体"/>
          <w:b/>
          <w:sz w:val="24"/>
          <w:szCs w:val="24"/>
        </w:rPr>
      </w:pPr>
      <w:r>
        <w:rPr>
          <w:rFonts w:hint="eastAsia" w:hAnsi="宋体" w:cs="宋体"/>
          <w:b/>
          <w:kern w:val="2"/>
          <w:sz w:val="24"/>
          <w:szCs w:val="24"/>
        </w:rPr>
        <w:t xml:space="preserve">12.2  发包人暂停施工的责任   </w:t>
      </w:r>
    </w:p>
    <w:p>
      <w:pPr>
        <w:spacing w:line="312" w:lineRule="auto"/>
        <w:rPr>
          <w:rFonts w:hAnsi="宋体" w:cs="宋体"/>
          <w:sz w:val="24"/>
          <w:szCs w:val="24"/>
        </w:rPr>
      </w:pPr>
      <w:r>
        <w:rPr>
          <w:rFonts w:hint="eastAsia" w:hAnsi="宋体" w:cs="宋体"/>
          <w:kern w:val="2"/>
          <w:sz w:val="24"/>
          <w:szCs w:val="24"/>
        </w:rPr>
        <w:t xml:space="preserve">      (3) 发包人承担的其他暂停施工责任的其它情形：。</w:t>
      </w:r>
    </w:p>
    <w:p>
      <w:pPr>
        <w:spacing w:line="312" w:lineRule="auto"/>
        <w:rPr>
          <w:rFonts w:hAnsi="宋体" w:cs="宋体"/>
          <w:b/>
          <w:sz w:val="24"/>
          <w:szCs w:val="24"/>
        </w:rPr>
      </w:pPr>
      <w:r>
        <w:rPr>
          <w:rFonts w:hint="eastAsia" w:hAnsi="宋体" w:cs="宋体"/>
          <w:b/>
          <w:kern w:val="2"/>
          <w:sz w:val="24"/>
          <w:szCs w:val="24"/>
        </w:rPr>
        <w:t>13 工程质量</w:t>
      </w:r>
    </w:p>
    <w:p>
      <w:pPr>
        <w:spacing w:line="312" w:lineRule="auto"/>
        <w:rPr>
          <w:rFonts w:hAnsi="宋体" w:cs="宋体"/>
          <w:b/>
          <w:sz w:val="24"/>
          <w:szCs w:val="24"/>
        </w:rPr>
      </w:pPr>
      <w:r>
        <w:rPr>
          <w:rFonts w:hint="eastAsia" w:hAnsi="宋体" w:cs="宋体"/>
          <w:b/>
          <w:kern w:val="2"/>
          <w:sz w:val="24"/>
          <w:szCs w:val="24"/>
        </w:rPr>
        <w:t>13.7 质量评定</w:t>
      </w:r>
    </w:p>
    <w:p>
      <w:pPr>
        <w:spacing w:line="312" w:lineRule="auto"/>
        <w:rPr>
          <w:rFonts w:hAnsi="宋体" w:cs="宋体"/>
          <w:sz w:val="24"/>
          <w:szCs w:val="24"/>
          <w:u w:val="single"/>
        </w:rPr>
      </w:pPr>
      <w:r>
        <w:rPr>
          <w:rFonts w:hint="eastAsia" w:hAnsi="宋体" w:cs="宋体"/>
          <w:kern w:val="2"/>
          <w:sz w:val="24"/>
          <w:szCs w:val="24"/>
        </w:rPr>
        <w:t>13.7.4 重要隐蔽单元工程和关键部位单元工程质量评定的约定：。</w:t>
      </w:r>
    </w:p>
    <w:p>
      <w:pPr>
        <w:spacing w:line="312" w:lineRule="auto"/>
        <w:rPr>
          <w:rFonts w:hAnsi="宋体" w:cs="宋体"/>
          <w:sz w:val="24"/>
          <w:szCs w:val="24"/>
          <w:u w:val="single"/>
        </w:rPr>
      </w:pPr>
      <w:r>
        <w:rPr>
          <w:rFonts w:hint="eastAsia" w:hAnsi="宋体" w:cs="宋体"/>
          <w:kern w:val="2"/>
          <w:sz w:val="24"/>
          <w:szCs w:val="24"/>
        </w:rPr>
        <w:t>13.7.7 工程合格标准为：；优良标准为：。达到优良的奖金为：。</w:t>
      </w:r>
    </w:p>
    <w:p>
      <w:pPr>
        <w:spacing w:line="312" w:lineRule="auto"/>
        <w:rPr>
          <w:rFonts w:hAnsi="宋体" w:cs="宋体"/>
          <w:b/>
          <w:sz w:val="24"/>
          <w:szCs w:val="24"/>
        </w:rPr>
      </w:pPr>
      <w:r>
        <w:rPr>
          <w:rFonts w:hint="eastAsia" w:hAnsi="宋体" w:cs="宋体"/>
          <w:b/>
          <w:kern w:val="2"/>
          <w:sz w:val="24"/>
          <w:szCs w:val="24"/>
        </w:rPr>
        <w:t>13.8 质量事故处理</w:t>
      </w:r>
    </w:p>
    <w:p>
      <w:pPr>
        <w:spacing w:line="312" w:lineRule="auto"/>
        <w:rPr>
          <w:rFonts w:hAnsi="宋体" w:cs="宋体"/>
          <w:sz w:val="24"/>
          <w:szCs w:val="24"/>
        </w:rPr>
      </w:pPr>
      <w:r>
        <w:rPr>
          <w:rFonts w:hint="eastAsia" w:hAnsi="宋体" w:cs="宋体"/>
          <w:kern w:val="2"/>
          <w:sz w:val="24"/>
          <w:szCs w:val="24"/>
        </w:rPr>
        <w:t>13.8.4 工程竣工验收时，向竣工验收委员会汇报并提交历次质量缺陷处理的备案资料。</w:t>
      </w:r>
    </w:p>
    <w:p>
      <w:pPr>
        <w:spacing w:line="312" w:lineRule="auto"/>
        <w:rPr>
          <w:rFonts w:hAnsi="宋体" w:cs="宋体"/>
          <w:b/>
          <w:sz w:val="24"/>
          <w:szCs w:val="24"/>
        </w:rPr>
      </w:pPr>
      <w:r>
        <w:rPr>
          <w:rFonts w:hint="eastAsia" w:hAnsi="宋体" w:cs="宋体"/>
          <w:b/>
          <w:kern w:val="2"/>
          <w:sz w:val="24"/>
          <w:szCs w:val="24"/>
        </w:rPr>
        <w:t>14. 试验和检验</w:t>
      </w:r>
    </w:p>
    <w:p>
      <w:pPr>
        <w:spacing w:line="312" w:lineRule="auto"/>
        <w:rPr>
          <w:rFonts w:hAnsi="宋体" w:cs="宋体"/>
          <w:b/>
          <w:sz w:val="24"/>
          <w:szCs w:val="24"/>
        </w:rPr>
      </w:pPr>
      <w:r>
        <w:rPr>
          <w:rFonts w:hint="eastAsia" w:hAnsi="宋体" w:cs="宋体"/>
          <w:b/>
          <w:kern w:val="2"/>
          <w:sz w:val="24"/>
          <w:szCs w:val="24"/>
        </w:rPr>
        <w:t>14.1材料、工程设备和工程的试验和检验</w:t>
      </w:r>
    </w:p>
    <w:p>
      <w:pPr>
        <w:spacing w:line="312" w:lineRule="auto"/>
        <w:rPr>
          <w:rFonts w:hAnsi="宋体" w:cs="宋体"/>
          <w:sz w:val="24"/>
          <w:szCs w:val="24"/>
          <w:u w:val="single"/>
        </w:rPr>
      </w:pPr>
      <w:r>
        <w:rPr>
          <w:rFonts w:hint="eastAsia" w:hAnsi="宋体" w:cs="宋体"/>
          <w:kern w:val="2"/>
          <w:sz w:val="24"/>
          <w:szCs w:val="24"/>
        </w:rPr>
        <w:t>14.1.5 水工金属结构、启闭机及机电产品进场后的交货检查和验收中，承包人负责。</w:t>
      </w:r>
    </w:p>
    <w:p>
      <w:pPr>
        <w:spacing w:line="312" w:lineRule="auto"/>
        <w:rPr>
          <w:rFonts w:hAnsi="宋体" w:cs="宋体"/>
          <w:sz w:val="24"/>
          <w:szCs w:val="24"/>
        </w:rPr>
      </w:pPr>
      <w:r>
        <w:rPr>
          <w:rFonts w:hint="eastAsia" w:hAnsi="宋体" w:cs="宋体"/>
          <w:kern w:val="2"/>
          <w:sz w:val="24"/>
          <w:szCs w:val="24"/>
        </w:rPr>
        <w:t>14.1.6 本工程实行见证取样的试块、试件及有关材料：。</w:t>
      </w:r>
    </w:p>
    <w:p>
      <w:pPr>
        <w:spacing w:line="312" w:lineRule="auto"/>
        <w:rPr>
          <w:rFonts w:hAnsi="宋体" w:cs="宋体"/>
          <w:b/>
          <w:sz w:val="24"/>
          <w:szCs w:val="24"/>
        </w:rPr>
      </w:pPr>
      <w:bookmarkStart w:id="258" w:name="_Toc229305396"/>
      <w:bookmarkStart w:id="259" w:name="_Toc222033890"/>
      <w:bookmarkStart w:id="260" w:name="_Toc222031041"/>
      <w:bookmarkStart w:id="261" w:name="_Toc222032708"/>
      <w:bookmarkStart w:id="262" w:name="_Toc221951213"/>
      <w:bookmarkStart w:id="263" w:name="_Toc222029539"/>
      <w:r>
        <w:rPr>
          <w:rFonts w:hint="eastAsia" w:hAnsi="宋体" w:cs="宋体"/>
          <w:b/>
          <w:kern w:val="2"/>
          <w:sz w:val="24"/>
          <w:szCs w:val="24"/>
        </w:rPr>
        <w:t>15  变更</w:t>
      </w:r>
      <w:bookmarkEnd w:id="258"/>
      <w:bookmarkEnd w:id="259"/>
      <w:bookmarkEnd w:id="260"/>
      <w:bookmarkEnd w:id="261"/>
      <w:bookmarkEnd w:id="262"/>
      <w:bookmarkEnd w:id="263"/>
    </w:p>
    <w:p>
      <w:pPr>
        <w:spacing w:line="312" w:lineRule="auto"/>
        <w:rPr>
          <w:rFonts w:hAnsi="宋体" w:cs="宋体"/>
          <w:b/>
          <w:sz w:val="24"/>
          <w:szCs w:val="24"/>
        </w:rPr>
      </w:pPr>
      <w:bookmarkStart w:id="264" w:name="_Toc221951214"/>
      <w:r>
        <w:rPr>
          <w:rFonts w:hint="eastAsia" w:hAnsi="宋体" w:cs="宋体"/>
          <w:b/>
          <w:kern w:val="2"/>
          <w:sz w:val="24"/>
          <w:szCs w:val="24"/>
        </w:rPr>
        <w:t>15.1  变更的范围和内容</w:t>
      </w:r>
      <w:bookmarkEnd w:id="264"/>
    </w:p>
    <w:p>
      <w:pPr>
        <w:spacing w:line="312" w:lineRule="auto"/>
        <w:ind w:right="248" w:firstLine="480"/>
        <w:rPr>
          <w:rFonts w:hAnsi="宋体" w:cs="宋体"/>
          <w:sz w:val="24"/>
          <w:szCs w:val="24"/>
        </w:rPr>
      </w:pPr>
      <w:bookmarkStart w:id="265" w:name="_Toc221951216"/>
      <w:r>
        <w:rPr>
          <w:rFonts w:hint="eastAsia" w:hAnsi="宋体" w:cs="宋体"/>
          <w:kern w:val="2"/>
          <w:sz w:val="24"/>
          <w:szCs w:val="24"/>
        </w:rPr>
        <w:t>（6）增加或减少合同中关键项目的工程量超过其项目工程总量的％。</w:t>
      </w:r>
      <w:bookmarkEnd w:id="265"/>
      <w:r>
        <w:rPr>
          <w:rFonts w:hint="eastAsia" w:hAnsi="宋体" w:cs="宋体"/>
          <w:kern w:val="2"/>
          <w:sz w:val="24"/>
          <w:szCs w:val="24"/>
        </w:rPr>
        <w:t>关键项目：，单价调整方式：。</w:t>
      </w:r>
    </w:p>
    <w:p>
      <w:pPr>
        <w:spacing w:line="312" w:lineRule="auto"/>
        <w:rPr>
          <w:rFonts w:hAnsi="宋体" w:cs="宋体"/>
          <w:b/>
          <w:sz w:val="24"/>
          <w:szCs w:val="24"/>
        </w:rPr>
      </w:pPr>
      <w:bookmarkStart w:id="266" w:name="_Toc221951218"/>
      <w:r>
        <w:rPr>
          <w:rFonts w:hint="eastAsia" w:hAnsi="宋体" w:cs="宋体"/>
          <w:b/>
          <w:kern w:val="2"/>
          <w:sz w:val="24"/>
          <w:szCs w:val="24"/>
        </w:rPr>
        <w:t>15.5承包人的合理化建议</w:t>
      </w:r>
    </w:p>
    <w:p>
      <w:pPr>
        <w:spacing w:line="312" w:lineRule="auto"/>
        <w:ind w:firstLine="420"/>
        <w:rPr>
          <w:rFonts w:hAnsi="宋体" w:cs="宋体"/>
          <w:sz w:val="24"/>
          <w:szCs w:val="24"/>
        </w:rPr>
      </w:pPr>
      <w:r>
        <w:rPr>
          <w:rFonts w:hint="eastAsia" w:hAnsi="宋体" w:cs="宋体"/>
          <w:kern w:val="2"/>
          <w:sz w:val="24"/>
          <w:szCs w:val="24"/>
        </w:rPr>
        <w:t xml:space="preserve">15.5.2 </w:t>
      </w:r>
      <w:bookmarkEnd w:id="266"/>
      <w:bookmarkStart w:id="267" w:name="_Toc221951219"/>
      <w:r>
        <w:rPr>
          <w:rFonts w:hint="eastAsia" w:hAnsi="宋体" w:cs="宋体"/>
          <w:kern w:val="2"/>
          <w:sz w:val="24"/>
          <w:szCs w:val="24"/>
        </w:rPr>
        <w:t>承包人实现合理化建议的奖励金额为：</w:t>
      </w:r>
      <w:r>
        <w:rPr>
          <w:rFonts w:hint="eastAsia" w:hAnsi="宋体" w:cs="宋体"/>
          <w:kern w:val="2"/>
          <w:sz w:val="24"/>
          <w:szCs w:val="24"/>
          <w:u w:val="single"/>
        </w:rPr>
        <w:t xml:space="preserve">  （填写奖励额度</w:t>
      </w:r>
      <w:bookmarkEnd w:id="267"/>
      <w:bookmarkStart w:id="268" w:name="_Toc221951220"/>
      <w:r>
        <w:rPr>
          <w:rFonts w:hint="eastAsia" w:hAnsi="宋体" w:cs="宋体"/>
          <w:kern w:val="2"/>
          <w:sz w:val="24"/>
          <w:szCs w:val="24"/>
          <w:u w:val="single"/>
        </w:rPr>
        <w:t>）</w:t>
      </w:r>
      <w:r>
        <w:rPr>
          <w:rFonts w:hint="eastAsia" w:hAnsi="宋体" w:cs="宋体"/>
          <w:kern w:val="2"/>
          <w:sz w:val="24"/>
          <w:szCs w:val="24"/>
        </w:rPr>
        <w:t>。</w:t>
      </w:r>
      <w:bookmarkEnd w:id="268"/>
    </w:p>
    <w:p>
      <w:pPr>
        <w:spacing w:line="312" w:lineRule="auto"/>
        <w:rPr>
          <w:rFonts w:hAnsi="宋体" w:cs="宋体"/>
          <w:b/>
          <w:sz w:val="24"/>
          <w:szCs w:val="24"/>
        </w:rPr>
      </w:pPr>
      <w:bookmarkStart w:id="269" w:name="_Toc221951221"/>
      <w:r>
        <w:rPr>
          <w:rFonts w:hint="eastAsia" w:hAnsi="宋体" w:cs="宋体"/>
          <w:b/>
          <w:kern w:val="2"/>
          <w:sz w:val="24"/>
          <w:szCs w:val="24"/>
        </w:rPr>
        <w:t>15.8  暂估价</w:t>
      </w:r>
      <w:bookmarkEnd w:id="269"/>
    </w:p>
    <w:p>
      <w:pPr>
        <w:spacing w:line="312" w:lineRule="auto"/>
        <w:rPr>
          <w:rFonts w:hAnsi="宋体" w:cs="宋体"/>
          <w:sz w:val="24"/>
          <w:szCs w:val="24"/>
        </w:rPr>
      </w:pPr>
      <w:r>
        <w:rPr>
          <w:rFonts w:hint="eastAsia" w:hAnsi="宋体" w:cs="宋体"/>
          <w:kern w:val="2"/>
          <w:sz w:val="24"/>
          <w:szCs w:val="24"/>
        </w:rPr>
        <w:t xml:space="preserve">    15.8.1 (l）发包人和承包人组织招标的暂估价项目：</w:t>
      </w:r>
      <w:r>
        <w:rPr>
          <w:rFonts w:hint="eastAsia" w:hAnsi="宋体" w:cs="宋体"/>
          <w:kern w:val="2"/>
          <w:sz w:val="24"/>
          <w:szCs w:val="24"/>
          <w:u w:val="single"/>
        </w:rPr>
        <w:t xml:space="preserve">    （签约后填入）  </w:t>
      </w:r>
      <w:r>
        <w:rPr>
          <w:rFonts w:hint="eastAsia" w:hAnsi="宋体" w:cs="宋体"/>
          <w:kern w:val="2"/>
          <w:sz w:val="24"/>
          <w:szCs w:val="24"/>
        </w:rPr>
        <w:t>；发包人组织招标的暂估价项目：</w:t>
      </w:r>
      <w:r>
        <w:rPr>
          <w:rFonts w:hint="eastAsia" w:hAnsi="宋体" w:cs="宋体"/>
          <w:kern w:val="2"/>
          <w:sz w:val="24"/>
          <w:szCs w:val="24"/>
          <w:u w:val="single"/>
        </w:rPr>
        <w:t xml:space="preserve">   （签约后填入）    </w:t>
      </w:r>
      <w:r>
        <w:rPr>
          <w:rFonts w:hint="eastAsia" w:hAnsi="宋体" w:cs="宋体"/>
          <w:kern w:val="2"/>
          <w:sz w:val="24"/>
          <w:szCs w:val="24"/>
        </w:rPr>
        <w:t>。</w:t>
      </w:r>
    </w:p>
    <w:p>
      <w:pPr>
        <w:spacing w:line="312" w:lineRule="auto"/>
        <w:ind w:firstLine="720" w:firstLineChars="300"/>
        <w:rPr>
          <w:rFonts w:hAnsi="宋体" w:cs="宋体"/>
          <w:sz w:val="24"/>
          <w:szCs w:val="24"/>
        </w:rPr>
      </w:pPr>
      <w:r>
        <w:rPr>
          <w:rFonts w:hint="eastAsia" w:hAnsi="宋体" w:cs="宋体"/>
          <w:kern w:val="2"/>
          <w:sz w:val="24"/>
          <w:szCs w:val="24"/>
        </w:rPr>
        <w:t xml:space="preserve">    （2）发包人和承包人以招标方式选择暂估价项目供应商或分包人时，双方的权利义务关系：。</w:t>
      </w:r>
    </w:p>
    <w:p>
      <w:pPr>
        <w:spacing w:line="312" w:lineRule="auto"/>
        <w:rPr>
          <w:rFonts w:hAnsi="宋体" w:cs="宋体"/>
          <w:b/>
          <w:sz w:val="24"/>
          <w:szCs w:val="24"/>
        </w:rPr>
      </w:pPr>
      <w:bookmarkStart w:id="270" w:name="_Toc229305397"/>
      <w:r>
        <w:rPr>
          <w:rFonts w:hint="eastAsia" w:hAnsi="宋体" w:cs="宋体"/>
          <w:b/>
          <w:kern w:val="2"/>
          <w:sz w:val="24"/>
          <w:szCs w:val="24"/>
        </w:rPr>
        <w:t>16 价格调整</w:t>
      </w:r>
      <w:bookmarkEnd w:id="270"/>
    </w:p>
    <w:p>
      <w:pPr>
        <w:spacing w:line="312" w:lineRule="auto"/>
        <w:rPr>
          <w:rFonts w:hAnsi="宋体" w:cs="宋体"/>
          <w:b/>
          <w:sz w:val="24"/>
          <w:szCs w:val="24"/>
        </w:rPr>
      </w:pPr>
      <w:r>
        <w:rPr>
          <w:rFonts w:hint="eastAsia" w:hAnsi="宋体" w:cs="宋体"/>
          <w:b/>
          <w:kern w:val="2"/>
          <w:sz w:val="24"/>
          <w:szCs w:val="24"/>
        </w:rPr>
        <w:t>16.1 物价波动引起的价格调整</w:t>
      </w:r>
    </w:p>
    <w:p>
      <w:pPr>
        <w:spacing w:line="312" w:lineRule="auto"/>
        <w:rPr>
          <w:rFonts w:hAnsi="宋体" w:cs="宋体"/>
          <w:sz w:val="24"/>
          <w:szCs w:val="24"/>
        </w:rPr>
      </w:pPr>
      <w:bookmarkStart w:id="271" w:name="_Toc221951223"/>
      <w:bookmarkStart w:id="272" w:name="_Toc222032709"/>
      <w:bookmarkStart w:id="273" w:name="_Toc222033891"/>
      <w:bookmarkStart w:id="274" w:name="_Toc229305398"/>
      <w:bookmarkStart w:id="275" w:name="_Toc222029540"/>
      <w:bookmarkStart w:id="276" w:name="_Toc222031042"/>
      <w:r>
        <w:rPr>
          <w:rFonts w:hint="eastAsia" w:hAnsi="宋体" w:cs="宋体"/>
          <w:kern w:val="2"/>
          <w:sz w:val="24"/>
          <w:szCs w:val="24"/>
        </w:rPr>
        <w:t xml:space="preserve">   16.1.1物价波动引起的价格调整方式：。</w:t>
      </w:r>
    </w:p>
    <w:p>
      <w:pPr>
        <w:spacing w:line="312" w:lineRule="auto"/>
        <w:rPr>
          <w:rFonts w:hAnsi="宋体" w:cs="宋体"/>
          <w:sz w:val="24"/>
          <w:szCs w:val="24"/>
        </w:rPr>
      </w:pPr>
      <w:r>
        <w:rPr>
          <w:rFonts w:hint="eastAsia" w:hAnsi="宋体" w:cs="宋体"/>
          <w:kern w:val="2"/>
          <w:sz w:val="24"/>
          <w:szCs w:val="24"/>
        </w:rPr>
        <w:t xml:space="preserve">   16.1.2采用造价信息调整价格差额。        </w:t>
      </w:r>
    </w:p>
    <w:p>
      <w:pPr>
        <w:spacing w:line="312" w:lineRule="auto"/>
        <w:rPr>
          <w:rFonts w:hAnsi="宋体" w:cs="宋体"/>
          <w:sz w:val="24"/>
          <w:szCs w:val="24"/>
        </w:rPr>
      </w:pPr>
      <w:r>
        <w:rPr>
          <w:rFonts w:hint="eastAsia" w:hAnsi="宋体" w:cs="宋体"/>
          <w:kern w:val="2"/>
          <w:sz w:val="24"/>
          <w:szCs w:val="24"/>
        </w:rPr>
        <w:t xml:space="preserve">         工程造价信息及其来源： 。</w:t>
      </w:r>
    </w:p>
    <w:p>
      <w:pPr>
        <w:spacing w:line="312" w:lineRule="auto"/>
        <w:rPr>
          <w:rFonts w:hAnsi="宋体" w:cs="宋体"/>
          <w:sz w:val="24"/>
          <w:szCs w:val="24"/>
        </w:rPr>
      </w:pPr>
      <w:r>
        <w:rPr>
          <w:rFonts w:hint="eastAsia" w:hAnsi="宋体" w:cs="宋体"/>
          <w:kern w:val="2"/>
          <w:sz w:val="24"/>
          <w:szCs w:val="24"/>
        </w:rPr>
        <w:t xml:space="preserve">         价格调整的项目和系数： 。</w:t>
      </w:r>
    </w:p>
    <w:p>
      <w:pPr>
        <w:spacing w:line="312" w:lineRule="auto"/>
        <w:rPr>
          <w:rFonts w:hAnsi="宋体" w:cs="宋体"/>
          <w:b/>
          <w:sz w:val="24"/>
          <w:szCs w:val="24"/>
        </w:rPr>
      </w:pPr>
      <w:r>
        <w:rPr>
          <w:rFonts w:hint="eastAsia" w:hAnsi="宋体" w:cs="宋体"/>
          <w:b/>
          <w:kern w:val="2"/>
          <w:sz w:val="24"/>
          <w:szCs w:val="24"/>
        </w:rPr>
        <w:t>17  计量与支付</w:t>
      </w:r>
      <w:bookmarkEnd w:id="271"/>
      <w:bookmarkEnd w:id="272"/>
      <w:bookmarkEnd w:id="273"/>
      <w:bookmarkEnd w:id="274"/>
      <w:bookmarkEnd w:id="275"/>
      <w:bookmarkEnd w:id="276"/>
    </w:p>
    <w:p>
      <w:pPr>
        <w:spacing w:line="312" w:lineRule="auto"/>
        <w:rPr>
          <w:rFonts w:hAnsi="宋体" w:cs="宋体"/>
          <w:b/>
          <w:sz w:val="24"/>
          <w:szCs w:val="24"/>
        </w:rPr>
      </w:pPr>
      <w:bookmarkStart w:id="277" w:name="_Toc221951260"/>
      <w:r>
        <w:rPr>
          <w:rFonts w:hint="eastAsia" w:hAnsi="宋体" w:cs="宋体"/>
          <w:b/>
          <w:kern w:val="2"/>
          <w:sz w:val="24"/>
          <w:szCs w:val="24"/>
        </w:rPr>
        <w:t>17.4  质量保证金</w:t>
      </w:r>
      <w:bookmarkEnd w:id="277"/>
    </w:p>
    <w:p>
      <w:pPr>
        <w:spacing w:line="312" w:lineRule="auto"/>
        <w:ind w:right="248" w:firstLine="480" w:firstLineChars="200"/>
        <w:rPr>
          <w:rFonts w:hAnsi="宋体" w:cs="宋体"/>
          <w:sz w:val="24"/>
          <w:szCs w:val="24"/>
        </w:rPr>
      </w:pPr>
      <w:bookmarkStart w:id="278" w:name="_Toc221951262"/>
      <w:r>
        <w:rPr>
          <w:rFonts w:hint="eastAsia" w:hAnsi="宋体" w:cs="宋体"/>
          <w:kern w:val="2"/>
          <w:sz w:val="24"/>
          <w:szCs w:val="24"/>
        </w:rPr>
        <w:t>17.4.1</w:t>
      </w:r>
      <w:bookmarkEnd w:id="278"/>
      <w:r>
        <w:rPr>
          <w:rFonts w:hint="eastAsia" w:hAnsi="宋体" w:cs="宋体"/>
          <w:kern w:val="2"/>
          <w:sz w:val="24"/>
          <w:szCs w:val="24"/>
        </w:rPr>
        <w:t xml:space="preserve"> 每个付款周期扣留的质量保证金为工程进度付款的</w:t>
      </w:r>
      <w:r>
        <w:rPr>
          <w:rFonts w:hint="eastAsia" w:hAnsi="宋体" w:cs="宋体"/>
          <w:kern w:val="2"/>
          <w:sz w:val="24"/>
          <w:szCs w:val="24"/>
          <w:u w:val="single"/>
        </w:rPr>
        <w:t xml:space="preserve"> 5 </w:t>
      </w:r>
      <w:r>
        <w:rPr>
          <w:rFonts w:hint="eastAsia" w:hAnsi="宋体" w:cs="宋体"/>
          <w:kern w:val="2"/>
          <w:sz w:val="24"/>
          <w:szCs w:val="24"/>
        </w:rPr>
        <w:t>％，扣留的质量保证金总额为签约合同价的</w:t>
      </w:r>
      <w:r>
        <w:rPr>
          <w:rFonts w:hint="eastAsia" w:hAnsi="宋体" w:cs="宋体"/>
          <w:kern w:val="2"/>
          <w:sz w:val="24"/>
          <w:szCs w:val="24"/>
          <w:u w:val="single"/>
        </w:rPr>
        <w:t xml:space="preserve"> 5 </w:t>
      </w:r>
      <w:r>
        <w:rPr>
          <w:rFonts w:hint="eastAsia" w:hAnsi="宋体" w:cs="宋体"/>
          <w:kern w:val="2"/>
          <w:sz w:val="24"/>
          <w:szCs w:val="24"/>
        </w:rPr>
        <w:t>％。</w:t>
      </w:r>
    </w:p>
    <w:p>
      <w:pPr>
        <w:spacing w:line="312" w:lineRule="auto"/>
        <w:rPr>
          <w:rFonts w:hAnsi="宋体" w:cs="宋体"/>
          <w:b/>
          <w:sz w:val="24"/>
          <w:szCs w:val="24"/>
        </w:rPr>
      </w:pPr>
      <w:bookmarkStart w:id="279" w:name="_Toc221951265"/>
      <w:r>
        <w:rPr>
          <w:rFonts w:hint="eastAsia" w:hAnsi="宋体" w:cs="宋体"/>
          <w:b/>
          <w:kern w:val="2"/>
          <w:sz w:val="24"/>
          <w:szCs w:val="24"/>
        </w:rPr>
        <w:t>17.5  竣工（完工）结算</w:t>
      </w:r>
      <w:bookmarkEnd w:id="279"/>
    </w:p>
    <w:p>
      <w:pPr>
        <w:spacing w:line="312" w:lineRule="auto"/>
        <w:ind w:right="248" w:firstLine="480"/>
        <w:rPr>
          <w:rFonts w:hAnsi="宋体" w:cs="宋体"/>
          <w:sz w:val="24"/>
          <w:szCs w:val="24"/>
        </w:rPr>
      </w:pPr>
      <w:bookmarkStart w:id="280" w:name="_Toc221951266"/>
      <w:r>
        <w:rPr>
          <w:rFonts w:hint="eastAsia" w:hAnsi="宋体" w:cs="宋体"/>
          <w:kern w:val="2"/>
          <w:sz w:val="24"/>
          <w:szCs w:val="24"/>
        </w:rPr>
        <w:t>17.5.1  竣工（完工）付款申请单</w:t>
      </w:r>
      <w:bookmarkEnd w:id="280"/>
    </w:p>
    <w:p>
      <w:pPr>
        <w:spacing w:line="312" w:lineRule="auto"/>
        <w:ind w:right="248" w:firstLine="480"/>
        <w:rPr>
          <w:rFonts w:hAnsi="宋体" w:cs="宋体"/>
          <w:sz w:val="24"/>
          <w:szCs w:val="24"/>
        </w:rPr>
      </w:pPr>
      <w:bookmarkStart w:id="281" w:name="_Toc221951267"/>
      <w:r>
        <w:rPr>
          <w:rFonts w:hint="eastAsia" w:hAnsi="宋体" w:cs="宋体"/>
          <w:kern w:val="2"/>
          <w:sz w:val="24"/>
          <w:szCs w:val="24"/>
        </w:rPr>
        <w:t>（1）承包人应提交竣工付款申请单一式份。</w:t>
      </w:r>
      <w:bookmarkEnd w:id="281"/>
    </w:p>
    <w:p>
      <w:pPr>
        <w:spacing w:line="312" w:lineRule="auto"/>
        <w:rPr>
          <w:rFonts w:hAnsi="宋体" w:cs="宋体"/>
          <w:b/>
          <w:sz w:val="24"/>
          <w:szCs w:val="24"/>
        </w:rPr>
      </w:pPr>
      <w:bookmarkStart w:id="282" w:name="_Toc221951268"/>
      <w:r>
        <w:rPr>
          <w:rFonts w:hint="eastAsia" w:hAnsi="宋体" w:cs="宋体"/>
          <w:b/>
          <w:kern w:val="2"/>
          <w:sz w:val="24"/>
          <w:szCs w:val="24"/>
        </w:rPr>
        <w:t>17.6  最终结清</w:t>
      </w:r>
      <w:bookmarkEnd w:id="282"/>
    </w:p>
    <w:p>
      <w:pPr>
        <w:spacing w:line="312" w:lineRule="auto"/>
        <w:ind w:right="248" w:firstLine="480"/>
        <w:rPr>
          <w:rFonts w:hAnsi="宋体" w:cs="宋体"/>
          <w:sz w:val="24"/>
          <w:szCs w:val="24"/>
        </w:rPr>
      </w:pPr>
      <w:bookmarkStart w:id="283" w:name="_Toc221951269"/>
      <w:r>
        <w:rPr>
          <w:rFonts w:hint="eastAsia" w:hAnsi="宋体" w:cs="宋体"/>
          <w:kern w:val="2"/>
          <w:sz w:val="24"/>
          <w:szCs w:val="24"/>
        </w:rPr>
        <w:t>17.6 1  最终结清申请单</w:t>
      </w:r>
      <w:bookmarkEnd w:id="283"/>
    </w:p>
    <w:p>
      <w:pPr>
        <w:spacing w:line="312" w:lineRule="auto"/>
        <w:ind w:right="248" w:firstLine="480"/>
        <w:rPr>
          <w:rFonts w:hAnsi="宋体" w:cs="宋体"/>
          <w:sz w:val="24"/>
          <w:szCs w:val="24"/>
        </w:rPr>
      </w:pPr>
      <w:bookmarkStart w:id="284" w:name="_Toc221951270"/>
      <w:r>
        <w:rPr>
          <w:rFonts w:hint="eastAsia" w:hAnsi="宋体" w:cs="宋体"/>
          <w:kern w:val="2"/>
          <w:sz w:val="24"/>
          <w:szCs w:val="24"/>
        </w:rPr>
        <w:t>（1）承包人应提交最终结清申请单一式份。</w:t>
      </w:r>
      <w:bookmarkEnd w:id="284"/>
    </w:p>
    <w:p>
      <w:pPr>
        <w:spacing w:line="312" w:lineRule="auto"/>
        <w:rPr>
          <w:rFonts w:hAnsi="宋体" w:cs="宋体"/>
          <w:b/>
          <w:sz w:val="24"/>
          <w:szCs w:val="24"/>
        </w:rPr>
      </w:pPr>
      <w:r>
        <w:rPr>
          <w:rFonts w:hint="eastAsia" w:hAnsi="宋体" w:cs="宋体"/>
          <w:b/>
          <w:kern w:val="2"/>
          <w:sz w:val="24"/>
          <w:szCs w:val="24"/>
        </w:rPr>
        <w:t>17.7 竣工财务决算</w:t>
      </w:r>
    </w:p>
    <w:p>
      <w:pPr>
        <w:spacing w:line="312" w:lineRule="auto"/>
        <w:ind w:right="248" w:firstLine="480"/>
        <w:rPr>
          <w:rFonts w:hAnsi="宋体" w:cs="宋体"/>
          <w:sz w:val="24"/>
          <w:szCs w:val="24"/>
        </w:rPr>
      </w:pPr>
      <w:r>
        <w:rPr>
          <w:rFonts w:hint="eastAsia" w:hAnsi="宋体" w:cs="宋体"/>
          <w:kern w:val="2"/>
          <w:sz w:val="24"/>
          <w:szCs w:val="24"/>
        </w:rPr>
        <w:t>承包人应为竣工财务决算编制提供的资料：。</w:t>
      </w:r>
    </w:p>
    <w:p>
      <w:pPr>
        <w:spacing w:line="312" w:lineRule="auto"/>
        <w:rPr>
          <w:rFonts w:hAnsi="宋体" w:cs="宋体"/>
          <w:b/>
          <w:sz w:val="24"/>
          <w:szCs w:val="24"/>
        </w:rPr>
      </w:pPr>
      <w:bookmarkStart w:id="285" w:name="_Toc222033892"/>
      <w:bookmarkStart w:id="286" w:name="_Toc221951271"/>
      <w:bookmarkStart w:id="287" w:name="_Toc229305399"/>
      <w:bookmarkStart w:id="288" w:name="_Toc222029541"/>
      <w:bookmarkStart w:id="289" w:name="_Toc222031043"/>
      <w:bookmarkStart w:id="290" w:name="_Toc222032710"/>
      <w:r>
        <w:rPr>
          <w:rFonts w:hint="eastAsia" w:hAnsi="宋体" w:cs="宋体"/>
          <w:b/>
          <w:kern w:val="2"/>
          <w:sz w:val="24"/>
          <w:szCs w:val="24"/>
        </w:rPr>
        <w:t>18  竣工验收</w:t>
      </w:r>
      <w:bookmarkEnd w:id="285"/>
      <w:bookmarkEnd w:id="286"/>
      <w:bookmarkEnd w:id="287"/>
      <w:bookmarkEnd w:id="288"/>
      <w:bookmarkEnd w:id="289"/>
      <w:bookmarkEnd w:id="290"/>
      <w:r>
        <w:rPr>
          <w:rFonts w:hint="eastAsia" w:hAnsi="宋体" w:cs="宋体"/>
          <w:b/>
          <w:kern w:val="2"/>
          <w:sz w:val="24"/>
          <w:szCs w:val="24"/>
        </w:rPr>
        <w:t>（验收）</w:t>
      </w:r>
    </w:p>
    <w:p>
      <w:pPr>
        <w:spacing w:line="312" w:lineRule="auto"/>
        <w:rPr>
          <w:rFonts w:hAnsi="宋体" w:cs="宋体"/>
          <w:b/>
          <w:sz w:val="24"/>
          <w:szCs w:val="24"/>
        </w:rPr>
      </w:pPr>
      <w:bookmarkStart w:id="291" w:name="_Toc221951272"/>
      <w:r>
        <w:rPr>
          <w:rFonts w:hint="eastAsia" w:hAnsi="宋体" w:cs="宋体"/>
          <w:b/>
          <w:kern w:val="2"/>
          <w:sz w:val="24"/>
          <w:szCs w:val="24"/>
        </w:rPr>
        <w:t xml:space="preserve">18.1 </w:t>
      </w:r>
      <w:bookmarkEnd w:id="291"/>
      <w:r>
        <w:rPr>
          <w:rFonts w:hint="eastAsia" w:hAnsi="宋体" w:cs="宋体"/>
          <w:b/>
          <w:kern w:val="2"/>
          <w:sz w:val="24"/>
          <w:szCs w:val="24"/>
        </w:rPr>
        <w:t>验收工作分类</w:t>
      </w:r>
    </w:p>
    <w:p>
      <w:pPr>
        <w:spacing w:line="312" w:lineRule="auto"/>
        <w:ind w:firstLine="360" w:firstLineChars="150"/>
        <w:rPr>
          <w:rFonts w:hAnsi="宋体" w:cs="宋体"/>
          <w:sz w:val="24"/>
          <w:szCs w:val="24"/>
        </w:rPr>
      </w:pPr>
      <w:bookmarkStart w:id="292" w:name="_Toc221951274"/>
      <w:r>
        <w:rPr>
          <w:rFonts w:hint="eastAsia" w:hAnsi="宋体" w:cs="宋体"/>
          <w:kern w:val="2"/>
          <w:sz w:val="24"/>
          <w:szCs w:val="24"/>
        </w:rPr>
        <w:t>本工程法人验收包括：；政府验收包括：。验收条件为：，验收程序为：。</w:t>
      </w:r>
    </w:p>
    <w:p>
      <w:pPr>
        <w:spacing w:line="312" w:lineRule="auto"/>
        <w:rPr>
          <w:rFonts w:hAnsi="宋体" w:cs="宋体"/>
          <w:b/>
          <w:sz w:val="24"/>
          <w:szCs w:val="24"/>
        </w:rPr>
      </w:pPr>
      <w:r>
        <w:rPr>
          <w:rFonts w:hint="eastAsia" w:hAnsi="宋体" w:cs="宋体"/>
          <w:b/>
          <w:kern w:val="2"/>
          <w:sz w:val="24"/>
          <w:szCs w:val="24"/>
        </w:rPr>
        <w:t>18.2 分部工程验收</w:t>
      </w:r>
    </w:p>
    <w:p>
      <w:pPr>
        <w:spacing w:line="312" w:lineRule="auto"/>
        <w:ind w:firstLine="360" w:firstLineChars="150"/>
        <w:rPr>
          <w:rFonts w:hAnsi="宋体" w:cs="宋体"/>
          <w:sz w:val="24"/>
          <w:szCs w:val="24"/>
        </w:rPr>
      </w:pPr>
      <w:r>
        <w:rPr>
          <w:rFonts w:hint="eastAsia" w:hAnsi="宋体" w:cs="宋体"/>
          <w:kern w:val="2"/>
          <w:sz w:val="24"/>
          <w:szCs w:val="24"/>
        </w:rPr>
        <w:t>18.2.2 本工程由发包人主持的分部工程验收为，其余由监理人主持。</w:t>
      </w:r>
    </w:p>
    <w:p>
      <w:pPr>
        <w:spacing w:line="312" w:lineRule="auto"/>
        <w:rPr>
          <w:rFonts w:hAnsi="宋体" w:cs="宋体"/>
          <w:b/>
          <w:sz w:val="24"/>
          <w:szCs w:val="24"/>
        </w:rPr>
      </w:pPr>
      <w:r>
        <w:rPr>
          <w:rFonts w:hint="eastAsia" w:hAnsi="宋体" w:cs="宋体"/>
          <w:b/>
          <w:kern w:val="2"/>
          <w:sz w:val="24"/>
          <w:szCs w:val="24"/>
        </w:rPr>
        <w:t>18.3 单位工程验收</w:t>
      </w:r>
    </w:p>
    <w:p>
      <w:pPr>
        <w:spacing w:line="312" w:lineRule="auto"/>
        <w:ind w:firstLine="360" w:firstLineChars="150"/>
        <w:rPr>
          <w:rFonts w:hAnsi="宋体" w:cs="宋体"/>
          <w:sz w:val="24"/>
          <w:szCs w:val="24"/>
        </w:rPr>
      </w:pPr>
      <w:r>
        <w:rPr>
          <w:rFonts w:hint="eastAsia" w:hAnsi="宋体" w:cs="宋体"/>
          <w:kern w:val="2"/>
          <w:sz w:val="24"/>
          <w:szCs w:val="24"/>
        </w:rPr>
        <w:t xml:space="preserve">18.3.4 提前投人使用的单位工程包括：、、。 </w:t>
      </w:r>
    </w:p>
    <w:p>
      <w:pPr>
        <w:spacing w:line="312" w:lineRule="auto"/>
        <w:rPr>
          <w:rFonts w:hAnsi="宋体" w:cs="宋体"/>
          <w:b/>
          <w:sz w:val="24"/>
          <w:szCs w:val="24"/>
        </w:rPr>
      </w:pPr>
      <w:r>
        <w:rPr>
          <w:rFonts w:hint="eastAsia" w:hAnsi="宋体" w:cs="宋体"/>
          <w:b/>
          <w:kern w:val="2"/>
          <w:sz w:val="24"/>
          <w:szCs w:val="24"/>
        </w:rPr>
        <w:t>18.5 阶段验收</w:t>
      </w:r>
    </w:p>
    <w:p>
      <w:pPr>
        <w:spacing w:line="312" w:lineRule="auto"/>
        <w:ind w:firstLine="360" w:firstLineChars="150"/>
        <w:rPr>
          <w:rFonts w:hAnsi="宋体" w:cs="宋体"/>
          <w:sz w:val="24"/>
          <w:szCs w:val="24"/>
        </w:rPr>
      </w:pPr>
      <w:r>
        <w:rPr>
          <w:rFonts w:hint="eastAsia" w:hAnsi="宋体" w:cs="宋体"/>
          <w:kern w:val="2"/>
          <w:sz w:val="24"/>
          <w:szCs w:val="24"/>
        </w:rPr>
        <w:t>18.5.1 本合同工程阶段验收类别包括：、、。</w:t>
      </w:r>
    </w:p>
    <w:p>
      <w:pPr>
        <w:spacing w:line="312" w:lineRule="auto"/>
        <w:rPr>
          <w:rFonts w:hAnsi="宋体" w:cs="宋体"/>
          <w:b/>
          <w:sz w:val="24"/>
          <w:szCs w:val="24"/>
        </w:rPr>
      </w:pPr>
      <w:r>
        <w:rPr>
          <w:rFonts w:hint="eastAsia" w:hAnsi="宋体" w:cs="宋体"/>
          <w:b/>
          <w:kern w:val="2"/>
          <w:sz w:val="24"/>
          <w:szCs w:val="24"/>
        </w:rPr>
        <w:t>18.6 专项验收</w:t>
      </w:r>
    </w:p>
    <w:p>
      <w:pPr>
        <w:spacing w:line="312" w:lineRule="auto"/>
        <w:ind w:firstLine="360" w:firstLineChars="150"/>
        <w:rPr>
          <w:rFonts w:hAnsi="宋体" w:cs="宋体"/>
          <w:sz w:val="24"/>
          <w:szCs w:val="24"/>
        </w:rPr>
      </w:pPr>
      <w:r>
        <w:rPr>
          <w:rFonts w:hint="eastAsia" w:hAnsi="宋体" w:cs="宋体"/>
          <w:kern w:val="2"/>
          <w:sz w:val="24"/>
          <w:szCs w:val="24"/>
        </w:rPr>
        <w:t>18.6.2 本合同工程专项验收类别包括：、、。</w:t>
      </w:r>
    </w:p>
    <w:p>
      <w:pPr>
        <w:spacing w:line="312" w:lineRule="auto"/>
        <w:rPr>
          <w:rFonts w:hAnsi="宋体" w:cs="宋体"/>
          <w:b/>
          <w:sz w:val="24"/>
          <w:szCs w:val="24"/>
        </w:rPr>
      </w:pPr>
      <w:r>
        <w:rPr>
          <w:rFonts w:hint="eastAsia" w:hAnsi="宋体" w:cs="宋体"/>
          <w:b/>
          <w:kern w:val="2"/>
          <w:sz w:val="24"/>
          <w:szCs w:val="24"/>
        </w:rPr>
        <w:t>18.7 竣工验收</w:t>
      </w:r>
    </w:p>
    <w:p>
      <w:pPr>
        <w:spacing w:line="312" w:lineRule="auto"/>
        <w:ind w:firstLine="360" w:firstLineChars="150"/>
        <w:rPr>
          <w:rFonts w:hAnsi="宋体" w:cs="宋体"/>
          <w:sz w:val="24"/>
          <w:szCs w:val="24"/>
        </w:rPr>
      </w:pPr>
      <w:r>
        <w:rPr>
          <w:rFonts w:hint="eastAsia" w:hAnsi="宋体" w:cs="宋体"/>
          <w:kern w:val="2"/>
          <w:sz w:val="24"/>
          <w:szCs w:val="24"/>
        </w:rPr>
        <w:t>18.7.3 本工程（需要／不需要）竣工验收技术鉴定（蓄水安全鉴定）。</w:t>
      </w:r>
    </w:p>
    <w:bookmarkEnd w:id="292"/>
    <w:p>
      <w:pPr>
        <w:spacing w:line="312" w:lineRule="auto"/>
        <w:rPr>
          <w:rFonts w:hAnsi="宋体" w:cs="宋体"/>
          <w:b/>
          <w:sz w:val="24"/>
          <w:szCs w:val="24"/>
        </w:rPr>
      </w:pPr>
      <w:bookmarkStart w:id="293" w:name="_Toc221951282"/>
      <w:r>
        <w:rPr>
          <w:rFonts w:hint="eastAsia" w:hAnsi="宋体" w:cs="宋体"/>
          <w:b/>
          <w:kern w:val="2"/>
          <w:sz w:val="24"/>
          <w:szCs w:val="24"/>
        </w:rPr>
        <w:t>18.8 施工期运行</w:t>
      </w:r>
      <w:bookmarkEnd w:id="293"/>
    </w:p>
    <w:p>
      <w:pPr>
        <w:spacing w:line="312" w:lineRule="auto"/>
        <w:ind w:firstLine="360" w:firstLineChars="150"/>
        <w:rPr>
          <w:rFonts w:hAnsi="宋体" w:cs="宋体"/>
          <w:sz w:val="24"/>
          <w:szCs w:val="24"/>
        </w:rPr>
      </w:pPr>
      <w:bookmarkStart w:id="294" w:name="_Toc221951283"/>
      <w:r>
        <w:rPr>
          <w:rFonts w:hint="eastAsia" w:hAnsi="宋体" w:cs="宋体"/>
          <w:kern w:val="2"/>
          <w:sz w:val="24"/>
          <w:szCs w:val="24"/>
        </w:rPr>
        <w:t>18.8.1 需要在施工期运行的单位工程或工程设备为：</w:t>
      </w:r>
      <w:bookmarkEnd w:id="294"/>
      <w:r>
        <w:rPr>
          <w:rFonts w:hint="eastAsia" w:hAnsi="宋体" w:cs="宋体"/>
          <w:kern w:val="2"/>
          <w:sz w:val="24"/>
          <w:szCs w:val="24"/>
        </w:rPr>
        <w:t>、、。</w:t>
      </w:r>
    </w:p>
    <w:p>
      <w:pPr>
        <w:spacing w:line="312" w:lineRule="auto"/>
        <w:rPr>
          <w:rFonts w:hAnsi="宋体" w:cs="宋体"/>
          <w:b/>
          <w:sz w:val="24"/>
          <w:szCs w:val="24"/>
        </w:rPr>
      </w:pPr>
      <w:bookmarkStart w:id="295" w:name="_Toc221951285"/>
      <w:r>
        <w:rPr>
          <w:rFonts w:hint="eastAsia" w:hAnsi="宋体" w:cs="宋体"/>
          <w:b/>
          <w:kern w:val="2"/>
          <w:sz w:val="24"/>
          <w:szCs w:val="24"/>
        </w:rPr>
        <w:t>18.9 试运行</w:t>
      </w:r>
      <w:bookmarkEnd w:id="295"/>
    </w:p>
    <w:p>
      <w:pPr>
        <w:spacing w:line="312" w:lineRule="auto"/>
        <w:ind w:right="248" w:firstLine="600" w:firstLineChars="250"/>
        <w:rPr>
          <w:rFonts w:hAnsi="宋体" w:cs="宋体"/>
          <w:sz w:val="24"/>
          <w:szCs w:val="24"/>
        </w:rPr>
      </w:pPr>
      <w:bookmarkStart w:id="296" w:name="_Toc221951286"/>
      <w:r>
        <w:rPr>
          <w:rFonts w:hint="eastAsia" w:hAnsi="宋体" w:cs="宋体"/>
          <w:kern w:val="2"/>
          <w:sz w:val="24"/>
          <w:szCs w:val="24"/>
        </w:rPr>
        <w:t xml:space="preserve">18.9.1 </w:t>
      </w:r>
      <w:bookmarkEnd w:id="296"/>
      <w:r>
        <w:rPr>
          <w:rFonts w:hint="eastAsia" w:hAnsi="宋体" w:cs="宋体"/>
          <w:kern w:val="2"/>
          <w:sz w:val="24"/>
          <w:szCs w:val="24"/>
        </w:rPr>
        <w:t>试运行的组织：；费用承担： 。</w:t>
      </w:r>
    </w:p>
    <w:p>
      <w:pPr>
        <w:spacing w:line="312" w:lineRule="auto"/>
        <w:rPr>
          <w:rFonts w:hAnsi="宋体" w:cs="宋体"/>
          <w:b/>
          <w:sz w:val="24"/>
          <w:szCs w:val="24"/>
        </w:rPr>
      </w:pPr>
      <w:r>
        <w:rPr>
          <w:rFonts w:hint="eastAsia" w:hAnsi="宋体" w:cs="宋体"/>
          <w:b/>
          <w:kern w:val="2"/>
          <w:sz w:val="24"/>
          <w:szCs w:val="24"/>
        </w:rPr>
        <w:t>19 缺陷责任与保修责任</w:t>
      </w:r>
    </w:p>
    <w:p>
      <w:pPr>
        <w:spacing w:line="312" w:lineRule="auto"/>
        <w:rPr>
          <w:rFonts w:hAnsi="宋体" w:cs="宋体"/>
          <w:b/>
          <w:sz w:val="24"/>
          <w:szCs w:val="24"/>
        </w:rPr>
      </w:pPr>
      <w:r>
        <w:rPr>
          <w:rFonts w:hint="eastAsia" w:hAnsi="宋体" w:cs="宋体"/>
          <w:b/>
          <w:kern w:val="2"/>
          <w:sz w:val="24"/>
          <w:szCs w:val="24"/>
        </w:rPr>
        <w:t>19.1 缺陷责任期（工程质量保修期）的起算时间</w:t>
      </w:r>
    </w:p>
    <w:p>
      <w:pPr>
        <w:spacing w:line="312" w:lineRule="auto"/>
        <w:ind w:right="248" w:firstLine="600" w:firstLineChars="250"/>
        <w:rPr>
          <w:rFonts w:hAnsi="宋体" w:cs="宋体"/>
          <w:sz w:val="24"/>
          <w:szCs w:val="24"/>
        </w:rPr>
      </w:pPr>
      <w:r>
        <w:rPr>
          <w:rFonts w:hint="eastAsia" w:hAnsi="宋体" w:cs="宋体"/>
          <w:kern w:val="2"/>
          <w:sz w:val="24"/>
          <w:szCs w:val="24"/>
        </w:rPr>
        <w:t>本工程缺陷责任期（工程质量保修期）计算如下： 。</w:t>
      </w:r>
    </w:p>
    <w:p>
      <w:pPr>
        <w:spacing w:line="312" w:lineRule="auto"/>
        <w:rPr>
          <w:rFonts w:hAnsi="宋体" w:cs="宋体"/>
          <w:b/>
          <w:sz w:val="24"/>
          <w:szCs w:val="24"/>
        </w:rPr>
      </w:pPr>
      <w:bookmarkStart w:id="297" w:name="_Toc229305400"/>
      <w:bookmarkStart w:id="298" w:name="_Toc222031044"/>
      <w:bookmarkStart w:id="299" w:name="_Toc222029542"/>
      <w:bookmarkStart w:id="300" w:name="_Toc221951299"/>
      <w:bookmarkStart w:id="301" w:name="_Toc222033893"/>
      <w:bookmarkStart w:id="302" w:name="_Toc222032711"/>
      <w:r>
        <w:rPr>
          <w:rFonts w:hint="eastAsia" w:hAnsi="宋体" w:cs="宋体"/>
          <w:b/>
          <w:kern w:val="2"/>
          <w:sz w:val="24"/>
          <w:szCs w:val="24"/>
        </w:rPr>
        <w:t>20  保险</w:t>
      </w:r>
      <w:bookmarkEnd w:id="297"/>
      <w:bookmarkEnd w:id="298"/>
      <w:bookmarkEnd w:id="299"/>
      <w:bookmarkEnd w:id="300"/>
      <w:bookmarkEnd w:id="301"/>
      <w:bookmarkEnd w:id="302"/>
    </w:p>
    <w:p>
      <w:pPr>
        <w:spacing w:line="312" w:lineRule="auto"/>
        <w:rPr>
          <w:rFonts w:hAnsi="宋体" w:cs="宋体"/>
          <w:b/>
          <w:sz w:val="24"/>
          <w:szCs w:val="24"/>
        </w:rPr>
      </w:pPr>
      <w:bookmarkStart w:id="303" w:name="_Toc221951321"/>
      <w:r>
        <w:rPr>
          <w:rFonts w:hint="eastAsia" w:hAnsi="宋体" w:cs="宋体"/>
          <w:b/>
          <w:kern w:val="2"/>
          <w:sz w:val="24"/>
          <w:szCs w:val="24"/>
        </w:rPr>
        <w:t>20.1  工程保险</w:t>
      </w:r>
      <w:bookmarkEnd w:id="303"/>
    </w:p>
    <w:p>
      <w:pPr>
        <w:spacing w:line="312" w:lineRule="auto"/>
        <w:ind w:right="248" w:firstLine="480"/>
        <w:rPr>
          <w:rFonts w:hAnsi="宋体" w:cs="宋体"/>
          <w:sz w:val="24"/>
          <w:szCs w:val="24"/>
        </w:rPr>
      </w:pPr>
      <w:bookmarkStart w:id="304" w:name="_Toc221951323"/>
      <w:r>
        <w:rPr>
          <w:rFonts w:hint="eastAsia" w:hAnsi="宋体" w:cs="宋体"/>
          <w:kern w:val="2"/>
          <w:sz w:val="24"/>
          <w:szCs w:val="24"/>
        </w:rPr>
        <w:t xml:space="preserve">建筑工程一切险和（或）安装工程一切险投保人：；                        </w:t>
      </w:r>
    </w:p>
    <w:p>
      <w:pPr>
        <w:spacing w:line="312" w:lineRule="auto"/>
        <w:ind w:right="248" w:firstLine="480"/>
        <w:rPr>
          <w:rFonts w:hAnsi="宋体" w:cs="宋体"/>
          <w:sz w:val="24"/>
          <w:szCs w:val="24"/>
        </w:rPr>
      </w:pPr>
      <w:r>
        <w:rPr>
          <w:rFonts w:hint="eastAsia" w:hAnsi="宋体" w:cs="宋体"/>
          <w:kern w:val="2"/>
          <w:sz w:val="24"/>
          <w:szCs w:val="24"/>
        </w:rPr>
        <w:t xml:space="preserve">投保内容：；                                                      </w:t>
      </w:r>
    </w:p>
    <w:p>
      <w:pPr>
        <w:spacing w:line="312" w:lineRule="auto"/>
        <w:ind w:right="248" w:firstLine="480"/>
        <w:rPr>
          <w:rFonts w:hAnsi="宋体" w:cs="宋体"/>
          <w:sz w:val="24"/>
          <w:szCs w:val="24"/>
        </w:rPr>
      </w:pPr>
      <w:r>
        <w:rPr>
          <w:rFonts w:hint="eastAsia" w:hAnsi="宋体" w:cs="宋体"/>
          <w:kern w:val="2"/>
          <w:sz w:val="24"/>
          <w:szCs w:val="24"/>
        </w:rPr>
        <w:t>保险金额、保险费率和保险期限：。</w:t>
      </w:r>
    </w:p>
    <w:p>
      <w:pPr>
        <w:spacing w:line="312" w:lineRule="auto"/>
        <w:rPr>
          <w:rFonts w:hAnsi="宋体" w:cs="宋体"/>
          <w:b/>
          <w:sz w:val="24"/>
          <w:szCs w:val="24"/>
        </w:rPr>
      </w:pPr>
      <w:r>
        <w:rPr>
          <w:rFonts w:hint="eastAsia" w:hAnsi="宋体" w:cs="宋体"/>
          <w:b/>
          <w:kern w:val="2"/>
          <w:sz w:val="24"/>
          <w:szCs w:val="24"/>
        </w:rPr>
        <w:t>20.4  第三者责任险</w:t>
      </w:r>
      <w:bookmarkEnd w:id="304"/>
    </w:p>
    <w:p>
      <w:pPr>
        <w:spacing w:line="312" w:lineRule="auto"/>
        <w:ind w:right="248" w:firstLine="480"/>
        <w:rPr>
          <w:rFonts w:hAnsi="宋体" w:cs="宋体"/>
          <w:sz w:val="24"/>
          <w:szCs w:val="24"/>
        </w:rPr>
      </w:pPr>
      <w:bookmarkStart w:id="305" w:name="_Toc221951325"/>
      <w:r>
        <w:rPr>
          <w:rFonts w:hint="eastAsia" w:hAnsi="宋体" w:cs="宋体"/>
          <w:kern w:val="2"/>
          <w:sz w:val="24"/>
          <w:szCs w:val="24"/>
        </w:rPr>
        <w:t xml:space="preserve">20.4.2 第三者责任险保险费率：；                                       </w:t>
      </w:r>
    </w:p>
    <w:p>
      <w:pPr>
        <w:spacing w:line="312" w:lineRule="auto"/>
        <w:ind w:right="248" w:firstLine="480"/>
        <w:rPr>
          <w:rFonts w:hAnsi="宋体" w:cs="宋体"/>
          <w:sz w:val="24"/>
          <w:szCs w:val="24"/>
        </w:rPr>
      </w:pPr>
      <w:r>
        <w:rPr>
          <w:rFonts w:hint="eastAsia" w:hAnsi="宋体" w:cs="宋体"/>
          <w:kern w:val="2"/>
          <w:sz w:val="24"/>
          <w:szCs w:val="24"/>
        </w:rPr>
        <w:t xml:space="preserve">第三者责任险保险金额：。 </w:t>
      </w:r>
    </w:p>
    <w:p>
      <w:pPr>
        <w:spacing w:line="312" w:lineRule="auto"/>
        <w:rPr>
          <w:rFonts w:hAnsi="宋体" w:cs="宋体"/>
          <w:b/>
          <w:sz w:val="24"/>
          <w:szCs w:val="24"/>
        </w:rPr>
      </w:pPr>
      <w:r>
        <w:rPr>
          <w:rFonts w:hint="eastAsia" w:hAnsi="宋体" w:cs="宋体"/>
          <w:b/>
          <w:kern w:val="2"/>
          <w:sz w:val="24"/>
          <w:szCs w:val="24"/>
        </w:rPr>
        <w:t>20.5  其他保险</w:t>
      </w:r>
      <w:bookmarkEnd w:id="305"/>
    </w:p>
    <w:p>
      <w:pPr>
        <w:spacing w:line="312" w:lineRule="auto"/>
        <w:ind w:right="248" w:firstLine="480"/>
        <w:rPr>
          <w:rFonts w:hAnsi="宋体" w:cs="宋体"/>
          <w:sz w:val="24"/>
          <w:szCs w:val="24"/>
        </w:rPr>
      </w:pPr>
      <w:bookmarkStart w:id="306" w:name="_Toc221951327"/>
      <w:r>
        <w:rPr>
          <w:rFonts w:hint="eastAsia" w:hAnsi="宋体" w:cs="宋体"/>
          <w:kern w:val="2"/>
          <w:sz w:val="24"/>
          <w:szCs w:val="24"/>
        </w:rPr>
        <w:t>需要投保的其他内容：；</w:t>
      </w:r>
    </w:p>
    <w:p>
      <w:pPr>
        <w:spacing w:line="312" w:lineRule="auto"/>
        <w:ind w:right="248" w:firstLine="480"/>
        <w:rPr>
          <w:rFonts w:hAnsi="宋体" w:cs="宋体"/>
          <w:sz w:val="24"/>
          <w:szCs w:val="24"/>
        </w:rPr>
      </w:pPr>
      <w:r>
        <w:rPr>
          <w:rFonts w:hint="eastAsia" w:hAnsi="宋体" w:cs="宋体"/>
          <w:kern w:val="2"/>
          <w:sz w:val="24"/>
          <w:szCs w:val="24"/>
        </w:rPr>
        <w:t>保险金额、保险费率和保险期限：。</w:t>
      </w:r>
    </w:p>
    <w:p>
      <w:pPr>
        <w:spacing w:line="312" w:lineRule="auto"/>
        <w:rPr>
          <w:rFonts w:hAnsi="宋体" w:cs="宋体"/>
          <w:b/>
          <w:sz w:val="24"/>
          <w:szCs w:val="24"/>
        </w:rPr>
      </w:pPr>
      <w:r>
        <w:rPr>
          <w:rFonts w:hint="eastAsia" w:hAnsi="宋体" w:cs="宋体"/>
          <w:b/>
          <w:kern w:val="2"/>
          <w:sz w:val="24"/>
          <w:szCs w:val="24"/>
        </w:rPr>
        <w:t>20.6  对各项保险的一般要求</w:t>
      </w:r>
      <w:bookmarkEnd w:id="306"/>
    </w:p>
    <w:p>
      <w:pPr>
        <w:spacing w:line="312" w:lineRule="auto"/>
        <w:rPr>
          <w:rFonts w:hAnsi="宋体" w:cs="宋体"/>
          <w:sz w:val="24"/>
          <w:szCs w:val="24"/>
        </w:rPr>
      </w:pPr>
      <w:bookmarkStart w:id="307" w:name="_Toc221951328"/>
      <w:r>
        <w:rPr>
          <w:rFonts w:hint="eastAsia" w:hAnsi="宋体" w:cs="宋体"/>
          <w:kern w:val="2"/>
          <w:sz w:val="24"/>
          <w:szCs w:val="24"/>
        </w:rPr>
        <w:t xml:space="preserve">     20.6.1  保险凭证</w:t>
      </w:r>
      <w:bookmarkEnd w:id="307"/>
    </w:p>
    <w:p>
      <w:pPr>
        <w:spacing w:line="312" w:lineRule="auto"/>
        <w:ind w:right="248" w:firstLine="480"/>
        <w:rPr>
          <w:rFonts w:hAnsi="宋体" w:cs="宋体"/>
          <w:sz w:val="24"/>
          <w:szCs w:val="24"/>
        </w:rPr>
      </w:pPr>
      <w:bookmarkStart w:id="308" w:name="_Toc221951330"/>
      <w:r>
        <w:rPr>
          <w:rFonts w:hint="eastAsia" w:hAnsi="宋体" w:cs="宋体"/>
          <w:kern w:val="2"/>
          <w:sz w:val="24"/>
          <w:szCs w:val="24"/>
        </w:rPr>
        <w:t>承包人提交保险凭证的期限：</w:t>
      </w:r>
      <w:bookmarkEnd w:id="308"/>
      <w:r>
        <w:rPr>
          <w:rFonts w:hint="eastAsia" w:hAnsi="宋体" w:cs="宋体"/>
          <w:kern w:val="2"/>
          <w:sz w:val="24"/>
          <w:szCs w:val="24"/>
        </w:rPr>
        <w:t>；</w:t>
      </w:r>
    </w:p>
    <w:p>
      <w:pPr>
        <w:spacing w:line="312" w:lineRule="auto"/>
        <w:ind w:right="248" w:firstLine="480"/>
        <w:rPr>
          <w:rFonts w:hAnsi="宋体" w:cs="宋体"/>
          <w:sz w:val="24"/>
          <w:szCs w:val="24"/>
        </w:rPr>
      </w:pPr>
      <w:bookmarkStart w:id="309" w:name="_Toc221951329"/>
      <w:r>
        <w:rPr>
          <w:rFonts w:hint="eastAsia" w:hAnsi="宋体" w:cs="宋体"/>
          <w:kern w:val="2"/>
          <w:sz w:val="24"/>
          <w:szCs w:val="24"/>
        </w:rPr>
        <w:t>保险条件：</w:t>
      </w:r>
      <w:bookmarkEnd w:id="309"/>
      <w:r>
        <w:rPr>
          <w:rFonts w:hint="eastAsia" w:hAnsi="宋体" w:cs="宋体"/>
          <w:kern w:val="2"/>
          <w:sz w:val="24"/>
          <w:szCs w:val="24"/>
        </w:rPr>
        <w:t>。</w:t>
      </w:r>
    </w:p>
    <w:p>
      <w:pPr>
        <w:spacing w:line="312" w:lineRule="auto"/>
        <w:ind w:right="248" w:firstLine="480"/>
        <w:rPr>
          <w:rFonts w:hAnsi="宋体" w:cs="宋体"/>
          <w:sz w:val="24"/>
          <w:szCs w:val="24"/>
        </w:rPr>
      </w:pPr>
      <w:bookmarkStart w:id="310" w:name="_Toc221951331"/>
      <w:r>
        <w:rPr>
          <w:rFonts w:hint="eastAsia" w:hAnsi="宋体" w:cs="宋体"/>
          <w:kern w:val="2"/>
          <w:sz w:val="24"/>
          <w:szCs w:val="24"/>
        </w:rPr>
        <w:t>20.6.4  保险金不足的补偿</w:t>
      </w:r>
      <w:bookmarkEnd w:id="310"/>
    </w:p>
    <w:p>
      <w:pPr>
        <w:spacing w:line="312" w:lineRule="auto"/>
        <w:ind w:left="956" w:leftChars="227" w:right="248" w:hanging="480" w:hangingChars="200"/>
        <w:rPr>
          <w:rFonts w:hAnsi="宋体" w:cs="宋体"/>
          <w:sz w:val="24"/>
          <w:szCs w:val="24"/>
        </w:rPr>
      </w:pPr>
      <w:bookmarkStart w:id="311" w:name="_Toc221951332"/>
      <w:r>
        <w:rPr>
          <w:rFonts w:hint="eastAsia" w:hAnsi="宋体" w:cs="宋体"/>
          <w:kern w:val="2"/>
          <w:sz w:val="24"/>
          <w:szCs w:val="24"/>
        </w:rPr>
        <w:t>承包人负责补偿的范围与金额：</w:t>
      </w:r>
      <w:bookmarkEnd w:id="311"/>
      <w:r>
        <w:rPr>
          <w:rFonts w:hint="eastAsia" w:hAnsi="宋体" w:cs="宋体"/>
          <w:kern w:val="2"/>
          <w:sz w:val="24"/>
          <w:szCs w:val="24"/>
        </w:rPr>
        <w:t>；</w:t>
      </w:r>
    </w:p>
    <w:p>
      <w:pPr>
        <w:spacing w:line="312" w:lineRule="auto"/>
        <w:ind w:left="956" w:leftChars="227" w:right="248" w:hanging="480" w:hangingChars="200"/>
        <w:rPr>
          <w:rFonts w:hAnsi="宋体" w:cs="宋体"/>
          <w:sz w:val="24"/>
          <w:szCs w:val="24"/>
          <w:u w:val="single"/>
        </w:rPr>
      </w:pPr>
      <w:r>
        <w:rPr>
          <w:rFonts w:hint="eastAsia" w:hAnsi="宋体" w:cs="宋体"/>
          <w:kern w:val="2"/>
          <w:sz w:val="24"/>
          <w:szCs w:val="24"/>
        </w:rPr>
        <w:t xml:space="preserve">发包人负责补偿的范围与金额：。                                                                                                                                                                                                                                                                                                                                                                                                                                                                                                                                                                                                                                                                                                                                                                                                                                                                                                                                                                                                                                                                                                                                                                                                                                                                                                                                                                                                                                                                                                                                                                                                                                                                                                                                                                                                                                                                                                                                                                                                                                          </w:t>
      </w:r>
    </w:p>
    <w:p>
      <w:pPr>
        <w:spacing w:line="312" w:lineRule="auto"/>
        <w:rPr>
          <w:rFonts w:hAnsi="宋体" w:cs="宋体"/>
          <w:b/>
          <w:sz w:val="24"/>
          <w:szCs w:val="24"/>
        </w:rPr>
      </w:pPr>
      <w:bookmarkStart w:id="312" w:name="_Toc221951334"/>
      <w:bookmarkStart w:id="313" w:name="_Toc222032712"/>
      <w:bookmarkStart w:id="314" w:name="_Toc222033894"/>
      <w:bookmarkStart w:id="315" w:name="_Toc229305401"/>
      <w:bookmarkStart w:id="316" w:name="_Toc222029543"/>
      <w:bookmarkStart w:id="317" w:name="_Toc222031045"/>
      <w:r>
        <w:rPr>
          <w:rFonts w:hint="eastAsia" w:hAnsi="宋体" w:cs="宋体"/>
          <w:b/>
          <w:kern w:val="2"/>
          <w:sz w:val="24"/>
          <w:szCs w:val="24"/>
        </w:rPr>
        <w:t>24. 争议的解决</w:t>
      </w:r>
      <w:bookmarkEnd w:id="312"/>
      <w:bookmarkEnd w:id="313"/>
      <w:bookmarkEnd w:id="314"/>
      <w:bookmarkEnd w:id="315"/>
      <w:bookmarkEnd w:id="316"/>
      <w:bookmarkEnd w:id="317"/>
    </w:p>
    <w:p>
      <w:pPr>
        <w:spacing w:after="120" w:line="312" w:lineRule="auto"/>
        <w:ind w:firstLine="480" w:firstLineChars="200"/>
        <w:rPr>
          <w:rFonts w:hAnsi="宋体" w:cs="宋体"/>
          <w:sz w:val="24"/>
          <w:szCs w:val="24"/>
        </w:rPr>
      </w:pPr>
      <w:r>
        <w:rPr>
          <w:rFonts w:hint="eastAsia" w:hAnsi="宋体" w:cs="宋体"/>
          <w:kern w:val="2"/>
          <w:sz w:val="24"/>
          <w:szCs w:val="24"/>
        </w:rPr>
        <w:t>发包人和承包人在履行合同中发生争议的，可以友好协商解决或者提请争议评审组评审。合同当事人友好协商解决不成、不愿提请争议评审或者不接受争议评审组意见的，可按下列第种方式解决：</w:t>
      </w:r>
    </w:p>
    <w:p>
      <w:pPr>
        <w:spacing w:line="312" w:lineRule="auto"/>
        <w:ind w:firstLine="480" w:firstLineChars="200"/>
        <w:jc w:val="left"/>
        <w:rPr>
          <w:rFonts w:hAnsi="宋体" w:cs="宋体"/>
          <w:sz w:val="24"/>
          <w:szCs w:val="24"/>
        </w:rPr>
      </w:pPr>
      <w:r>
        <w:rPr>
          <w:rFonts w:hint="eastAsia" w:hAnsi="宋体" w:cs="宋体"/>
          <w:kern w:val="2"/>
          <w:sz w:val="24"/>
          <w:szCs w:val="24"/>
        </w:rPr>
        <w:t>（1）向仲裁委员会申请仲裁；</w:t>
      </w:r>
    </w:p>
    <w:p>
      <w:pPr>
        <w:pStyle w:val="33"/>
        <w:spacing w:before="0" w:beforeAutospacing="0" w:after="0" w:afterAutospacing="0" w:line="312" w:lineRule="auto"/>
        <w:rPr>
          <w:szCs w:val="24"/>
        </w:rPr>
      </w:pPr>
      <w:r>
        <w:rPr>
          <w:rFonts w:hint="eastAsia"/>
          <w:szCs w:val="24"/>
        </w:rPr>
        <w:t xml:space="preserve">    （2）向人民法院起诉。</w:t>
      </w:r>
    </w:p>
    <w:p>
      <w:pPr>
        <w:spacing w:line="312" w:lineRule="auto"/>
        <w:rPr>
          <w:rFonts w:ascii="Times New Roman"/>
          <w:sz w:val="24"/>
        </w:rPr>
        <w:sectPr>
          <w:headerReference r:id="rId10" w:type="first"/>
          <w:footerReference r:id="rId12" w:type="first"/>
          <w:headerReference r:id="rId9" w:type="default"/>
          <w:footerReference r:id="rId11" w:type="default"/>
          <w:pgSz w:w="11906" w:h="16838"/>
          <w:pgMar w:top="1531" w:right="1418" w:bottom="1531" w:left="1418" w:header="851" w:footer="992" w:gutter="0"/>
          <w:cols w:space="720" w:num="1"/>
          <w:titlePg/>
          <w:docGrid w:type="linesAndChars" w:linePitch="312" w:charSpace="0"/>
        </w:sectPr>
      </w:pPr>
    </w:p>
    <w:p>
      <w:pPr>
        <w:pStyle w:val="33"/>
        <w:widowControl w:val="0"/>
        <w:spacing w:before="0" w:after="0" w:line="312" w:lineRule="auto"/>
        <w:rPr>
          <w:b/>
          <w:sz w:val="32"/>
          <w:szCs w:val="32"/>
        </w:rPr>
      </w:pPr>
      <w:bookmarkStart w:id="318" w:name="_Toc168475883"/>
      <w:bookmarkStart w:id="319" w:name="_Toc229305402"/>
      <w:bookmarkStart w:id="320" w:name="_Toc168476286"/>
      <w:bookmarkStart w:id="321" w:name="_Toc279701706"/>
      <w:bookmarkStart w:id="322" w:name="_Toc144974826"/>
      <w:bookmarkStart w:id="323" w:name="_Toc276296576"/>
      <w:r>
        <w:rPr>
          <w:rFonts w:hint="eastAsia"/>
          <w:b/>
          <w:sz w:val="32"/>
          <w:szCs w:val="32"/>
        </w:rPr>
        <w:t>第三节  合同附件格式</w:t>
      </w:r>
      <w:bookmarkEnd w:id="318"/>
      <w:bookmarkEnd w:id="319"/>
      <w:bookmarkEnd w:id="320"/>
      <w:bookmarkEnd w:id="321"/>
      <w:bookmarkEnd w:id="322"/>
      <w:bookmarkEnd w:id="323"/>
    </w:p>
    <w:p>
      <w:pPr>
        <w:spacing w:before="120" w:line="312" w:lineRule="auto"/>
        <w:rPr>
          <w:rFonts w:hAnsi="宋体" w:cs="宋体"/>
          <w:sz w:val="24"/>
          <w:szCs w:val="24"/>
        </w:rPr>
      </w:pPr>
      <w:bookmarkStart w:id="324" w:name="_Toc279698662"/>
      <w:bookmarkStart w:id="325" w:name="_Toc266885982"/>
      <w:bookmarkStart w:id="326" w:name="_Toc168476287"/>
      <w:bookmarkStart w:id="327" w:name="_Toc277250438"/>
      <w:bookmarkStart w:id="328" w:name="_Toc168475884"/>
      <w:bookmarkStart w:id="329" w:name="_Toc279701707"/>
      <w:bookmarkStart w:id="330" w:name="_Toc266859678"/>
      <w:bookmarkStart w:id="331" w:name="_Toc276296577"/>
      <w:bookmarkStart w:id="332" w:name="_Toc144974827"/>
      <w:bookmarkStart w:id="333" w:name="_Toc277253913"/>
      <w:r>
        <w:rPr>
          <w:rFonts w:hint="eastAsia" w:hAnsi="宋体" w:cs="宋体"/>
          <w:kern w:val="2"/>
          <w:sz w:val="24"/>
          <w:szCs w:val="24"/>
        </w:rPr>
        <w:t>附件一：</w:t>
      </w:r>
      <w:bookmarkEnd w:id="324"/>
      <w:bookmarkEnd w:id="325"/>
      <w:bookmarkEnd w:id="326"/>
      <w:bookmarkEnd w:id="327"/>
      <w:bookmarkEnd w:id="328"/>
      <w:bookmarkEnd w:id="329"/>
      <w:bookmarkEnd w:id="330"/>
      <w:bookmarkEnd w:id="331"/>
      <w:bookmarkEnd w:id="332"/>
      <w:bookmarkEnd w:id="333"/>
    </w:p>
    <w:p>
      <w:pPr>
        <w:spacing w:line="312" w:lineRule="auto"/>
        <w:jc w:val="center"/>
        <w:rPr>
          <w:rFonts w:hAnsi="宋体" w:cs="宋体"/>
          <w:b/>
          <w:sz w:val="24"/>
          <w:szCs w:val="24"/>
        </w:rPr>
      </w:pPr>
      <w:r>
        <w:rPr>
          <w:rFonts w:hint="eastAsia" w:hAnsi="宋体" w:cs="宋体"/>
          <w:b/>
          <w:kern w:val="2"/>
          <w:sz w:val="24"/>
          <w:szCs w:val="24"/>
        </w:rPr>
        <w:t>合同协议书</w:t>
      </w:r>
    </w:p>
    <w:p>
      <w:pPr>
        <w:spacing w:line="312" w:lineRule="auto"/>
        <w:jc w:val="center"/>
        <w:rPr>
          <w:rFonts w:hAnsi="宋体" w:cs="宋体"/>
          <w:b/>
          <w:sz w:val="24"/>
          <w:szCs w:val="24"/>
        </w:rPr>
      </w:pPr>
    </w:p>
    <w:p>
      <w:pPr>
        <w:autoSpaceDE w:val="0"/>
        <w:autoSpaceDN w:val="0"/>
        <w:adjustRightInd w:val="0"/>
        <w:spacing w:line="312" w:lineRule="auto"/>
        <w:ind w:firstLine="424" w:firstLineChars="177"/>
        <w:rPr>
          <w:rFonts w:hAnsi="宋体" w:cs="宋体"/>
          <w:sz w:val="24"/>
          <w:szCs w:val="24"/>
        </w:rPr>
      </w:pPr>
      <w:r>
        <w:rPr>
          <w:rFonts w:hint="eastAsia" w:hAnsi="宋体" w:cs="宋体"/>
          <w:kern w:val="2"/>
          <w:sz w:val="24"/>
          <w:szCs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pPr>
        <w:spacing w:line="312" w:lineRule="auto"/>
        <w:ind w:firstLine="424" w:firstLineChars="177"/>
        <w:rPr>
          <w:rFonts w:hAnsi="宋体" w:cs="宋体"/>
          <w:sz w:val="24"/>
          <w:szCs w:val="24"/>
        </w:rPr>
      </w:pPr>
      <w:bookmarkStart w:id="334" w:name="_Toc168476288"/>
      <w:bookmarkStart w:id="335" w:name="_Toc144974828"/>
      <w:bookmarkStart w:id="336" w:name="_Toc168475885"/>
      <w:r>
        <w:rPr>
          <w:rFonts w:hint="eastAsia" w:hAnsi="宋体" w:cs="宋体"/>
          <w:kern w:val="2"/>
          <w:sz w:val="24"/>
          <w:szCs w:val="24"/>
        </w:rPr>
        <w:t>1. 本协议书与下列文件一起构成合同文件：</w:t>
      </w:r>
      <w:bookmarkEnd w:id="334"/>
      <w:bookmarkEnd w:id="335"/>
      <w:bookmarkEnd w:id="336"/>
    </w:p>
    <w:p>
      <w:pPr>
        <w:spacing w:line="312" w:lineRule="auto"/>
        <w:ind w:firstLine="424" w:firstLineChars="177"/>
        <w:rPr>
          <w:rFonts w:hAnsi="宋体" w:cs="宋体"/>
          <w:sz w:val="24"/>
          <w:szCs w:val="24"/>
        </w:rPr>
      </w:pPr>
      <w:r>
        <w:rPr>
          <w:rFonts w:hint="eastAsia" w:hAnsi="宋体" w:cs="宋体"/>
          <w:kern w:val="2"/>
          <w:sz w:val="24"/>
          <w:szCs w:val="24"/>
        </w:rPr>
        <w:t>（1）中标通知书；</w:t>
      </w:r>
    </w:p>
    <w:p>
      <w:pPr>
        <w:spacing w:line="312" w:lineRule="auto"/>
        <w:ind w:firstLine="424" w:firstLineChars="177"/>
        <w:rPr>
          <w:rFonts w:hAnsi="宋体" w:cs="宋体"/>
          <w:sz w:val="24"/>
          <w:szCs w:val="24"/>
        </w:rPr>
      </w:pPr>
      <w:r>
        <w:rPr>
          <w:rFonts w:hint="eastAsia" w:hAnsi="宋体" w:cs="宋体"/>
          <w:kern w:val="2"/>
          <w:sz w:val="24"/>
          <w:szCs w:val="24"/>
        </w:rPr>
        <w:t>（2）投标函及投标函附录；</w:t>
      </w:r>
    </w:p>
    <w:p>
      <w:pPr>
        <w:spacing w:line="312" w:lineRule="auto"/>
        <w:ind w:firstLine="424" w:firstLineChars="177"/>
        <w:rPr>
          <w:rFonts w:hAnsi="宋体" w:cs="宋体"/>
          <w:sz w:val="24"/>
          <w:szCs w:val="24"/>
        </w:rPr>
      </w:pPr>
      <w:r>
        <w:rPr>
          <w:rFonts w:hint="eastAsia" w:hAnsi="宋体" w:cs="宋体"/>
          <w:kern w:val="2"/>
          <w:sz w:val="24"/>
          <w:szCs w:val="24"/>
        </w:rPr>
        <w:t>（3）专用合同条款；</w:t>
      </w:r>
    </w:p>
    <w:p>
      <w:pPr>
        <w:spacing w:line="312" w:lineRule="auto"/>
        <w:ind w:firstLine="424" w:firstLineChars="177"/>
        <w:rPr>
          <w:rFonts w:hAnsi="宋体" w:cs="宋体"/>
          <w:sz w:val="24"/>
          <w:szCs w:val="24"/>
        </w:rPr>
      </w:pPr>
      <w:r>
        <w:rPr>
          <w:rFonts w:hint="eastAsia" w:hAnsi="宋体" w:cs="宋体"/>
          <w:kern w:val="2"/>
          <w:sz w:val="24"/>
          <w:szCs w:val="24"/>
        </w:rPr>
        <w:t>（4）通用合同条款；</w:t>
      </w:r>
    </w:p>
    <w:p>
      <w:pPr>
        <w:spacing w:line="312" w:lineRule="auto"/>
        <w:ind w:firstLine="424" w:firstLineChars="177"/>
        <w:rPr>
          <w:rFonts w:hAnsi="宋体" w:cs="宋体"/>
          <w:sz w:val="24"/>
          <w:szCs w:val="24"/>
        </w:rPr>
      </w:pPr>
      <w:r>
        <w:rPr>
          <w:rFonts w:hint="eastAsia" w:hAnsi="宋体" w:cs="宋体"/>
          <w:kern w:val="2"/>
          <w:sz w:val="24"/>
          <w:szCs w:val="24"/>
        </w:rPr>
        <w:t>（5）技术标准和要求；</w:t>
      </w:r>
    </w:p>
    <w:p>
      <w:pPr>
        <w:spacing w:line="312" w:lineRule="auto"/>
        <w:ind w:firstLine="424" w:firstLineChars="177"/>
        <w:rPr>
          <w:rFonts w:hAnsi="宋体" w:cs="宋体"/>
          <w:sz w:val="24"/>
          <w:szCs w:val="24"/>
        </w:rPr>
      </w:pPr>
      <w:r>
        <w:rPr>
          <w:rFonts w:hint="eastAsia" w:hAnsi="宋体" w:cs="宋体"/>
          <w:kern w:val="2"/>
          <w:sz w:val="24"/>
          <w:szCs w:val="24"/>
        </w:rPr>
        <w:t>（6）图纸；</w:t>
      </w:r>
    </w:p>
    <w:p>
      <w:pPr>
        <w:spacing w:line="312" w:lineRule="auto"/>
        <w:ind w:firstLine="424" w:firstLineChars="177"/>
        <w:rPr>
          <w:rFonts w:hAnsi="宋体" w:cs="宋体"/>
          <w:sz w:val="24"/>
          <w:szCs w:val="24"/>
        </w:rPr>
      </w:pPr>
      <w:r>
        <w:rPr>
          <w:rFonts w:hint="eastAsia" w:hAnsi="宋体" w:cs="宋体"/>
          <w:kern w:val="2"/>
          <w:sz w:val="24"/>
          <w:szCs w:val="24"/>
        </w:rPr>
        <w:t>（7）已标价工程量清单；</w:t>
      </w:r>
    </w:p>
    <w:p>
      <w:pPr>
        <w:spacing w:line="312" w:lineRule="auto"/>
        <w:ind w:firstLine="424" w:firstLineChars="177"/>
        <w:rPr>
          <w:rFonts w:hAnsi="宋体" w:cs="宋体"/>
          <w:sz w:val="24"/>
          <w:szCs w:val="24"/>
        </w:rPr>
      </w:pPr>
      <w:r>
        <w:rPr>
          <w:rFonts w:hint="eastAsia" w:hAnsi="宋体" w:cs="宋体"/>
          <w:kern w:val="2"/>
          <w:sz w:val="24"/>
          <w:szCs w:val="24"/>
        </w:rPr>
        <w:t>（8）其他合同文件。</w:t>
      </w:r>
    </w:p>
    <w:p>
      <w:pPr>
        <w:spacing w:line="312" w:lineRule="auto"/>
        <w:ind w:firstLine="424" w:firstLineChars="177"/>
        <w:rPr>
          <w:rFonts w:hAnsi="宋体" w:cs="宋体"/>
          <w:sz w:val="24"/>
          <w:szCs w:val="24"/>
        </w:rPr>
      </w:pPr>
      <w:bookmarkStart w:id="337" w:name="_Toc168475886"/>
      <w:bookmarkStart w:id="338" w:name="_Toc144974829"/>
      <w:bookmarkStart w:id="339" w:name="_Toc168476289"/>
      <w:r>
        <w:rPr>
          <w:rFonts w:hint="eastAsia" w:hAnsi="宋体" w:cs="宋体"/>
          <w:kern w:val="2"/>
          <w:sz w:val="24"/>
          <w:szCs w:val="24"/>
        </w:rPr>
        <w:t>2. 上述文</w:t>
      </w:r>
      <w:r>
        <w:rPr>
          <w:rFonts w:hint="eastAsia" w:hAnsi="宋体" w:cs="宋体"/>
          <w:spacing w:val="-4"/>
          <w:kern w:val="2"/>
          <w:sz w:val="24"/>
          <w:szCs w:val="24"/>
        </w:rPr>
        <w:t>件互相补充和解释，如有不明确或不一致之处，以合同约定次序在先者为准。</w:t>
      </w:r>
      <w:bookmarkEnd w:id="337"/>
      <w:bookmarkEnd w:id="338"/>
      <w:bookmarkEnd w:id="339"/>
    </w:p>
    <w:p>
      <w:pPr>
        <w:spacing w:line="312" w:lineRule="auto"/>
        <w:ind w:firstLine="424" w:firstLineChars="177"/>
        <w:rPr>
          <w:rFonts w:hAnsi="宋体" w:cs="宋体"/>
          <w:sz w:val="24"/>
          <w:szCs w:val="24"/>
        </w:rPr>
      </w:pPr>
      <w:r>
        <w:rPr>
          <w:rFonts w:hint="eastAsia" w:hAnsi="宋体" w:cs="宋体"/>
          <w:kern w:val="2"/>
          <w:sz w:val="24"/>
          <w:szCs w:val="24"/>
        </w:rPr>
        <w:t>3. 签约合同价：人民币（大写）元（¥）。</w:t>
      </w:r>
    </w:p>
    <w:p>
      <w:pPr>
        <w:spacing w:line="312" w:lineRule="auto"/>
        <w:ind w:firstLine="424" w:firstLineChars="177"/>
        <w:rPr>
          <w:rFonts w:hAnsi="宋体" w:cs="宋体"/>
          <w:sz w:val="24"/>
          <w:szCs w:val="24"/>
          <w:u w:val="single"/>
        </w:rPr>
      </w:pPr>
      <w:r>
        <w:rPr>
          <w:rFonts w:hint="eastAsia" w:hAnsi="宋体" w:cs="宋体"/>
          <w:kern w:val="2"/>
          <w:sz w:val="24"/>
          <w:szCs w:val="24"/>
        </w:rPr>
        <w:t>4. 承包人项目经理：。</w:t>
      </w:r>
    </w:p>
    <w:p>
      <w:pPr>
        <w:spacing w:line="312" w:lineRule="auto"/>
        <w:ind w:firstLine="424" w:firstLineChars="177"/>
        <w:rPr>
          <w:rFonts w:hAnsi="宋体" w:cs="宋体"/>
          <w:sz w:val="24"/>
          <w:szCs w:val="24"/>
        </w:rPr>
      </w:pPr>
      <w:r>
        <w:rPr>
          <w:rFonts w:hint="eastAsia" w:hAnsi="宋体" w:cs="宋体"/>
          <w:kern w:val="2"/>
          <w:sz w:val="24"/>
          <w:szCs w:val="24"/>
        </w:rPr>
        <w:t>5. 工程质量符合标准。</w:t>
      </w:r>
    </w:p>
    <w:p>
      <w:pPr>
        <w:spacing w:line="312" w:lineRule="auto"/>
        <w:ind w:firstLine="424" w:firstLineChars="177"/>
        <w:rPr>
          <w:rFonts w:hAnsi="宋体" w:cs="宋体"/>
          <w:sz w:val="24"/>
          <w:szCs w:val="24"/>
        </w:rPr>
      </w:pPr>
      <w:r>
        <w:rPr>
          <w:rFonts w:hint="eastAsia" w:hAnsi="宋体" w:cs="宋体"/>
          <w:kern w:val="2"/>
          <w:sz w:val="24"/>
          <w:szCs w:val="24"/>
        </w:rPr>
        <w:t>6. 承包人承诺按合同约定承担工程的实施、完成及缺陷修复。</w:t>
      </w:r>
    </w:p>
    <w:p>
      <w:pPr>
        <w:spacing w:line="312" w:lineRule="auto"/>
        <w:ind w:firstLine="424" w:firstLineChars="177"/>
        <w:rPr>
          <w:rFonts w:hAnsi="宋体" w:cs="宋体"/>
          <w:sz w:val="24"/>
          <w:szCs w:val="24"/>
        </w:rPr>
      </w:pPr>
      <w:r>
        <w:rPr>
          <w:rFonts w:hint="eastAsia" w:hAnsi="宋体" w:cs="宋体"/>
          <w:kern w:val="2"/>
          <w:sz w:val="24"/>
          <w:szCs w:val="24"/>
        </w:rPr>
        <w:t>7. 发包人承诺按合同约定的条件、时间和方式向承包人支付合同价款。</w:t>
      </w:r>
    </w:p>
    <w:p>
      <w:pPr>
        <w:spacing w:line="312" w:lineRule="auto"/>
        <w:ind w:firstLine="424" w:firstLineChars="177"/>
        <w:rPr>
          <w:rFonts w:hAnsi="宋体" w:cs="宋体"/>
          <w:sz w:val="24"/>
          <w:szCs w:val="24"/>
        </w:rPr>
      </w:pPr>
      <w:r>
        <w:rPr>
          <w:rFonts w:hint="eastAsia" w:hAnsi="宋体" w:cs="宋体"/>
          <w:kern w:val="2"/>
          <w:sz w:val="24"/>
          <w:szCs w:val="24"/>
        </w:rPr>
        <w:t>8. 承包人应按照监理人指示开工，工期为天。</w:t>
      </w:r>
    </w:p>
    <w:p>
      <w:pPr>
        <w:spacing w:line="312" w:lineRule="auto"/>
        <w:ind w:firstLine="424" w:firstLineChars="177"/>
        <w:rPr>
          <w:rFonts w:hAnsi="宋体" w:cs="宋体"/>
          <w:sz w:val="24"/>
          <w:szCs w:val="24"/>
        </w:rPr>
      </w:pPr>
      <w:r>
        <w:rPr>
          <w:rFonts w:hint="eastAsia" w:hAnsi="宋体" w:cs="宋体"/>
          <w:kern w:val="2"/>
          <w:sz w:val="24"/>
          <w:szCs w:val="24"/>
        </w:rPr>
        <w:t>9. 本协议一式份。双方各执份。</w:t>
      </w:r>
    </w:p>
    <w:p>
      <w:pPr>
        <w:spacing w:line="312" w:lineRule="auto"/>
        <w:ind w:firstLine="424" w:firstLineChars="177"/>
        <w:rPr>
          <w:rFonts w:hAnsi="宋体" w:cs="宋体"/>
          <w:sz w:val="24"/>
          <w:szCs w:val="24"/>
        </w:rPr>
      </w:pPr>
      <w:bookmarkStart w:id="340" w:name="_Toc168476290"/>
      <w:bookmarkStart w:id="341" w:name="_Toc144974830"/>
      <w:bookmarkStart w:id="342" w:name="_Toc168475887"/>
      <w:r>
        <w:rPr>
          <w:rFonts w:hint="eastAsia" w:hAnsi="宋体" w:cs="宋体"/>
          <w:kern w:val="2"/>
          <w:sz w:val="24"/>
          <w:szCs w:val="24"/>
        </w:rPr>
        <w:t>10. 合同未尽事宜，双方另行签订补充协议。补充协议是合同的组成部分。</w:t>
      </w:r>
      <w:bookmarkEnd w:id="340"/>
      <w:bookmarkEnd w:id="341"/>
      <w:bookmarkEnd w:id="342"/>
    </w:p>
    <w:p>
      <w:pPr>
        <w:spacing w:line="312" w:lineRule="auto"/>
        <w:ind w:firstLine="424" w:firstLineChars="177"/>
        <w:rPr>
          <w:rFonts w:hAnsi="宋体" w:cs="宋体"/>
          <w:sz w:val="24"/>
          <w:szCs w:val="24"/>
        </w:rPr>
      </w:pPr>
    </w:p>
    <w:p>
      <w:pPr>
        <w:spacing w:line="312" w:lineRule="auto"/>
        <w:rPr>
          <w:rFonts w:hAnsi="宋体" w:cs="宋体"/>
          <w:sz w:val="24"/>
          <w:szCs w:val="24"/>
        </w:rPr>
      </w:pPr>
      <w:r>
        <w:rPr>
          <w:rFonts w:hint="eastAsia" w:hAnsi="宋体" w:cs="宋体"/>
          <w:kern w:val="2"/>
          <w:sz w:val="24"/>
          <w:szCs w:val="24"/>
        </w:rPr>
        <w:t>发包人：（盖单位章）      承包人：（盖单位章）</w:t>
      </w:r>
    </w:p>
    <w:p>
      <w:pPr>
        <w:spacing w:line="312" w:lineRule="auto"/>
        <w:rPr>
          <w:rFonts w:hAnsi="宋体" w:cs="宋体"/>
          <w:sz w:val="24"/>
          <w:szCs w:val="24"/>
        </w:rPr>
      </w:pPr>
      <w:r>
        <w:rPr>
          <w:rFonts w:hint="eastAsia" w:hAnsi="宋体" w:cs="宋体"/>
          <w:kern w:val="2"/>
          <w:sz w:val="24"/>
          <w:szCs w:val="24"/>
        </w:rPr>
        <w:t>法定代表人或其委托代理人：（签字）  法定代表人或其委托代理人：（签字）</w:t>
      </w:r>
    </w:p>
    <w:p>
      <w:pPr>
        <w:spacing w:line="312" w:lineRule="auto"/>
        <w:ind w:firstLine="360" w:firstLineChars="150"/>
        <w:rPr>
          <w:rFonts w:hAnsi="宋体" w:cs="宋体"/>
          <w:kern w:val="2"/>
          <w:sz w:val="24"/>
          <w:szCs w:val="24"/>
        </w:rPr>
      </w:pPr>
      <w:r>
        <w:rPr>
          <w:rFonts w:hint="eastAsia" w:hAnsi="宋体" w:cs="宋体"/>
          <w:kern w:val="2"/>
          <w:sz w:val="24"/>
          <w:szCs w:val="24"/>
        </w:rPr>
        <w:t>年月  日                  年月 日</w:t>
      </w:r>
      <w:bookmarkStart w:id="343" w:name="_Toc266859679"/>
      <w:bookmarkStart w:id="344" w:name="_Toc257988090"/>
      <w:bookmarkStart w:id="345" w:name="_Toc266885983"/>
    </w:p>
    <w:p>
      <w:pPr>
        <w:pStyle w:val="2"/>
        <w:ind w:firstLine="210"/>
      </w:pPr>
      <w:r>
        <w:br w:type="page"/>
      </w:r>
    </w:p>
    <w:p>
      <w:pPr>
        <w:spacing w:before="120" w:line="312" w:lineRule="auto"/>
        <w:rPr>
          <w:rFonts w:hAnsi="宋体" w:cs="宋体"/>
          <w:szCs w:val="21"/>
        </w:rPr>
      </w:pPr>
      <w:bookmarkStart w:id="346" w:name="_Toc277253914"/>
      <w:bookmarkStart w:id="347" w:name="_Toc277250439"/>
      <w:bookmarkStart w:id="348" w:name="_Toc279698663"/>
      <w:bookmarkStart w:id="349" w:name="_Toc279701708"/>
      <w:bookmarkStart w:id="350" w:name="_Toc276296578"/>
      <w:r>
        <w:rPr>
          <w:rFonts w:hint="eastAsia" w:hAnsi="宋体" w:cs="宋体"/>
          <w:kern w:val="2"/>
          <w:sz w:val="21"/>
          <w:szCs w:val="21"/>
        </w:rPr>
        <w:t>附件二：</w:t>
      </w:r>
      <w:bookmarkEnd w:id="343"/>
      <w:bookmarkEnd w:id="344"/>
      <w:bookmarkEnd w:id="345"/>
      <w:bookmarkEnd w:id="346"/>
      <w:bookmarkEnd w:id="347"/>
      <w:bookmarkEnd w:id="348"/>
      <w:bookmarkEnd w:id="349"/>
      <w:bookmarkEnd w:id="350"/>
    </w:p>
    <w:p>
      <w:pPr>
        <w:tabs>
          <w:tab w:val="center" w:pos="4320"/>
          <w:tab w:val="left" w:pos="7815"/>
        </w:tabs>
        <w:autoSpaceDE w:val="0"/>
        <w:autoSpaceDN w:val="0"/>
        <w:adjustRightInd w:val="0"/>
        <w:snapToGrid w:val="0"/>
        <w:spacing w:before="238" w:line="288" w:lineRule="auto"/>
        <w:rPr>
          <w:rFonts w:hAnsi="宋体" w:cs="宋体"/>
          <w:b/>
          <w:szCs w:val="21"/>
        </w:rPr>
      </w:pPr>
      <w:r>
        <w:rPr>
          <w:rFonts w:hint="eastAsia" w:hAnsi="宋体" w:cs="宋体"/>
          <w:kern w:val="2"/>
          <w:sz w:val="21"/>
          <w:szCs w:val="21"/>
        </w:rPr>
        <w:tab/>
      </w:r>
      <w:r>
        <w:rPr>
          <w:rFonts w:hint="eastAsia" w:hAnsi="宋体" w:cs="宋体"/>
          <w:b/>
          <w:kern w:val="2"/>
          <w:sz w:val="28"/>
          <w:szCs w:val="28"/>
        </w:rPr>
        <w:t>建设项目廉政责任书</w:t>
      </w:r>
      <w:r>
        <w:rPr>
          <w:rFonts w:hint="eastAsia" w:hAnsi="宋体" w:cs="宋体"/>
          <w:b/>
          <w:kern w:val="2"/>
          <w:sz w:val="21"/>
          <w:szCs w:val="21"/>
        </w:rPr>
        <w:tab/>
      </w:r>
    </w:p>
    <w:p>
      <w:pPr>
        <w:autoSpaceDE w:val="0"/>
        <w:autoSpaceDN w:val="0"/>
        <w:adjustRightInd w:val="0"/>
        <w:snapToGrid w:val="0"/>
        <w:spacing w:line="288" w:lineRule="auto"/>
        <w:ind w:firstLine="480"/>
        <w:rPr>
          <w:rFonts w:hAnsi="宋体" w:cs="宋体"/>
          <w:kern w:val="28"/>
          <w:sz w:val="24"/>
          <w:szCs w:val="24"/>
          <w:lang w:val="zh-CN"/>
        </w:rPr>
      </w:pPr>
      <w:r>
        <w:rPr>
          <w:rFonts w:hint="eastAsia" w:hAnsi="宋体" w:cs="宋体"/>
          <w:kern w:val="28"/>
          <w:sz w:val="24"/>
          <w:szCs w:val="24"/>
          <w:lang w:val="zh-CN"/>
        </w:rPr>
        <w:t>建设单位（甲方）：</w:t>
      </w:r>
    </w:p>
    <w:p>
      <w:pPr>
        <w:autoSpaceDE w:val="0"/>
        <w:autoSpaceDN w:val="0"/>
        <w:adjustRightInd w:val="0"/>
        <w:snapToGrid w:val="0"/>
        <w:spacing w:line="288" w:lineRule="auto"/>
        <w:ind w:firstLine="480"/>
        <w:rPr>
          <w:rFonts w:hAnsi="宋体" w:cs="宋体"/>
          <w:kern w:val="28"/>
          <w:sz w:val="24"/>
          <w:szCs w:val="24"/>
          <w:lang w:val="zh-CN"/>
        </w:rPr>
      </w:pPr>
      <w:r>
        <w:rPr>
          <w:rFonts w:hint="eastAsia" w:hAnsi="宋体" w:cs="宋体"/>
          <w:kern w:val="28"/>
          <w:sz w:val="24"/>
          <w:szCs w:val="24"/>
          <w:lang w:val="zh-CN"/>
        </w:rPr>
        <w:t>承建单位（乙方）：</w:t>
      </w:r>
    </w:p>
    <w:p>
      <w:pPr>
        <w:autoSpaceDE w:val="0"/>
        <w:autoSpaceDN w:val="0"/>
        <w:adjustRightInd w:val="0"/>
        <w:snapToGrid w:val="0"/>
        <w:spacing w:line="288" w:lineRule="auto"/>
        <w:ind w:firstLine="480"/>
        <w:rPr>
          <w:rFonts w:hAnsi="宋体" w:cs="宋体"/>
          <w:kern w:val="28"/>
          <w:sz w:val="24"/>
          <w:szCs w:val="24"/>
          <w:lang w:val="zh-CN"/>
        </w:rPr>
      </w:pPr>
      <w:r>
        <w:rPr>
          <w:rFonts w:hint="eastAsia" w:hAnsi="宋体" w:cs="宋体"/>
          <w:kern w:val="28"/>
          <w:sz w:val="24"/>
          <w:szCs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pPr>
        <w:autoSpaceDE w:val="0"/>
        <w:autoSpaceDN w:val="0"/>
        <w:adjustRightInd w:val="0"/>
        <w:snapToGrid w:val="0"/>
        <w:spacing w:line="288" w:lineRule="auto"/>
        <w:ind w:firstLine="560"/>
        <w:rPr>
          <w:rFonts w:hAnsi="宋体" w:cs="宋体"/>
          <w:kern w:val="28"/>
          <w:sz w:val="24"/>
          <w:szCs w:val="24"/>
          <w:lang w:val="zh-CN"/>
        </w:rPr>
      </w:pPr>
      <w:r>
        <w:rPr>
          <w:rFonts w:hint="eastAsia" w:hAnsi="宋体" w:cs="宋体"/>
          <w:kern w:val="28"/>
          <w:sz w:val="24"/>
          <w:szCs w:val="24"/>
          <w:lang w:val="zh-CN"/>
        </w:rPr>
        <w:t>一、甲、乙双方要严格遵守国家的法律法规和党风廉政建设的各项规定。乙方不得将本合同转让和违法分包，否则一旦发现甲方立即终止合同，并报请有关部门，将其列入黑名单。</w:t>
      </w:r>
    </w:p>
    <w:p>
      <w:pPr>
        <w:autoSpaceDE w:val="0"/>
        <w:autoSpaceDN w:val="0"/>
        <w:adjustRightInd w:val="0"/>
        <w:snapToGrid w:val="0"/>
        <w:spacing w:line="288" w:lineRule="auto"/>
        <w:ind w:firstLine="560"/>
        <w:rPr>
          <w:rFonts w:hAnsi="宋体" w:cs="宋体"/>
          <w:kern w:val="28"/>
          <w:sz w:val="24"/>
          <w:szCs w:val="24"/>
          <w:lang w:val="zh-CN"/>
        </w:rPr>
      </w:pPr>
      <w:r>
        <w:rPr>
          <w:rFonts w:hint="eastAsia" w:hAnsi="宋体" w:cs="宋体"/>
          <w:kern w:val="28"/>
          <w:sz w:val="24"/>
          <w:szCs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pPr>
        <w:autoSpaceDE w:val="0"/>
        <w:autoSpaceDN w:val="0"/>
        <w:adjustRightInd w:val="0"/>
        <w:snapToGrid w:val="0"/>
        <w:spacing w:line="288" w:lineRule="auto"/>
        <w:ind w:firstLine="420"/>
        <w:rPr>
          <w:rFonts w:hAnsi="宋体" w:cs="宋体"/>
          <w:kern w:val="28"/>
          <w:sz w:val="24"/>
          <w:szCs w:val="24"/>
          <w:lang w:val="zh-CN"/>
        </w:rPr>
      </w:pPr>
      <w:r>
        <w:rPr>
          <w:rFonts w:hint="eastAsia" w:hAnsi="宋体" w:cs="宋体"/>
          <w:kern w:val="28"/>
          <w:sz w:val="24"/>
          <w:szCs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pPr>
        <w:autoSpaceDE w:val="0"/>
        <w:autoSpaceDN w:val="0"/>
        <w:adjustRightInd w:val="0"/>
        <w:snapToGrid w:val="0"/>
        <w:spacing w:line="288" w:lineRule="auto"/>
        <w:ind w:firstLine="480"/>
        <w:rPr>
          <w:rFonts w:hAnsi="宋体" w:cs="宋体"/>
          <w:kern w:val="28"/>
          <w:sz w:val="24"/>
          <w:szCs w:val="24"/>
          <w:lang w:val="zh-CN"/>
        </w:rPr>
      </w:pPr>
      <w:r>
        <w:rPr>
          <w:rFonts w:hint="eastAsia" w:hAnsi="宋体" w:cs="宋体"/>
          <w:kern w:val="28"/>
          <w:sz w:val="24"/>
          <w:szCs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pPr>
        <w:tabs>
          <w:tab w:val="left" w:pos="7260"/>
        </w:tabs>
        <w:autoSpaceDE w:val="0"/>
        <w:autoSpaceDN w:val="0"/>
        <w:adjustRightInd w:val="0"/>
        <w:snapToGrid w:val="0"/>
        <w:spacing w:line="288" w:lineRule="auto"/>
        <w:ind w:firstLine="480"/>
        <w:rPr>
          <w:rFonts w:hAnsi="宋体" w:cs="宋体"/>
          <w:kern w:val="28"/>
          <w:sz w:val="24"/>
          <w:szCs w:val="24"/>
          <w:lang w:val="zh-CN"/>
        </w:rPr>
      </w:pPr>
      <w:r>
        <w:rPr>
          <w:rFonts w:hint="eastAsia" w:hAnsi="宋体" w:cs="宋体"/>
          <w:kern w:val="28"/>
          <w:sz w:val="24"/>
          <w:szCs w:val="24"/>
          <w:lang w:val="zh-CN"/>
        </w:rPr>
        <w:t>五、本廉政责任书作为工程建设施工合同的必备附件，经双方代表签订后生效。</w:t>
      </w:r>
    </w:p>
    <w:p>
      <w:pPr>
        <w:tabs>
          <w:tab w:val="left" w:pos="7260"/>
        </w:tabs>
        <w:autoSpaceDE w:val="0"/>
        <w:autoSpaceDN w:val="0"/>
        <w:adjustRightInd w:val="0"/>
        <w:snapToGrid w:val="0"/>
        <w:spacing w:line="288" w:lineRule="auto"/>
        <w:ind w:firstLine="560"/>
        <w:rPr>
          <w:rFonts w:hAnsi="宋体" w:cs="宋体"/>
          <w:kern w:val="28"/>
          <w:sz w:val="24"/>
          <w:szCs w:val="24"/>
          <w:lang w:val="zh-CN"/>
        </w:rPr>
      </w:pPr>
      <w:r>
        <w:rPr>
          <w:rFonts w:hint="eastAsia" w:hAnsi="宋体" w:cs="宋体"/>
          <w:kern w:val="28"/>
          <w:sz w:val="24"/>
          <w:szCs w:val="24"/>
          <w:lang w:val="zh-CN"/>
        </w:rPr>
        <w:t>本廉政责任书一式二份，甲、乙双方各执一份，复印件报双方上级纪检监察部门分别留存备案。</w:t>
      </w:r>
    </w:p>
    <w:p>
      <w:pPr>
        <w:tabs>
          <w:tab w:val="left" w:pos="4470"/>
        </w:tabs>
        <w:autoSpaceDE w:val="0"/>
        <w:autoSpaceDN w:val="0"/>
        <w:adjustRightInd w:val="0"/>
        <w:snapToGrid w:val="0"/>
        <w:spacing w:line="288" w:lineRule="auto"/>
        <w:ind w:left="960" w:hanging="960"/>
        <w:rPr>
          <w:rFonts w:hAnsi="宋体" w:cs="宋体"/>
          <w:kern w:val="28"/>
          <w:sz w:val="24"/>
          <w:szCs w:val="24"/>
          <w:lang w:val="zh-CN"/>
        </w:rPr>
      </w:pPr>
      <w:r>
        <w:rPr>
          <w:rFonts w:hint="eastAsia" w:hAnsi="宋体" w:cs="宋体"/>
          <w:kern w:val="28"/>
          <w:sz w:val="24"/>
          <w:szCs w:val="24"/>
          <w:lang w:val="zh-CN"/>
        </w:rPr>
        <w:t xml:space="preserve">              甲方：</w:t>
      </w:r>
      <w:r>
        <w:rPr>
          <w:rFonts w:hint="eastAsia" w:hAnsi="宋体" w:cs="宋体"/>
          <w:kern w:val="28"/>
          <w:sz w:val="24"/>
          <w:szCs w:val="24"/>
          <w:lang w:val="zh-CN"/>
        </w:rPr>
        <w:tab/>
      </w:r>
      <w:r>
        <w:rPr>
          <w:rFonts w:hint="eastAsia" w:hAnsi="宋体" w:cs="宋体"/>
          <w:kern w:val="28"/>
          <w:sz w:val="24"/>
          <w:szCs w:val="24"/>
          <w:lang w:val="zh-CN"/>
        </w:rPr>
        <w:t xml:space="preserve">           乙方：</w:t>
      </w:r>
    </w:p>
    <w:p>
      <w:pPr>
        <w:tabs>
          <w:tab w:val="left" w:pos="5190"/>
        </w:tabs>
        <w:autoSpaceDE w:val="0"/>
        <w:autoSpaceDN w:val="0"/>
        <w:adjustRightInd w:val="0"/>
        <w:snapToGrid w:val="0"/>
        <w:spacing w:line="288" w:lineRule="auto"/>
        <w:rPr>
          <w:rFonts w:hAnsi="宋体" w:cs="宋体"/>
          <w:kern w:val="28"/>
          <w:sz w:val="24"/>
          <w:szCs w:val="24"/>
          <w:lang w:val="zh-CN"/>
        </w:rPr>
      </w:pPr>
      <w:r>
        <w:rPr>
          <w:rFonts w:hint="eastAsia" w:hAnsi="宋体" w:cs="宋体"/>
          <w:kern w:val="28"/>
          <w:sz w:val="24"/>
          <w:szCs w:val="24"/>
          <w:lang w:val="zh-CN"/>
        </w:rPr>
        <w:t xml:space="preserve">              签字：</w:t>
      </w:r>
      <w:r>
        <w:rPr>
          <w:rFonts w:hint="eastAsia" w:hAnsi="宋体" w:cs="宋体"/>
          <w:kern w:val="28"/>
          <w:sz w:val="24"/>
          <w:szCs w:val="24"/>
          <w:lang w:val="zh-CN"/>
        </w:rPr>
        <w:tab/>
      </w:r>
      <w:r>
        <w:rPr>
          <w:rFonts w:hint="eastAsia" w:hAnsi="宋体" w:cs="宋体"/>
          <w:kern w:val="28"/>
          <w:sz w:val="24"/>
          <w:szCs w:val="24"/>
          <w:lang w:val="zh-CN"/>
        </w:rPr>
        <w:t xml:space="preserve">     签字：</w:t>
      </w:r>
    </w:p>
    <w:p>
      <w:pPr>
        <w:tabs>
          <w:tab w:val="left" w:pos="5430"/>
        </w:tabs>
        <w:autoSpaceDE w:val="0"/>
        <w:autoSpaceDN w:val="0"/>
        <w:adjustRightInd w:val="0"/>
        <w:snapToGrid w:val="0"/>
        <w:spacing w:line="288" w:lineRule="auto"/>
        <w:rPr>
          <w:rFonts w:hAnsi="宋体" w:cs="宋体"/>
          <w:kern w:val="28"/>
          <w:sz w:val="24"/>
          <w:szCs w:val="24"/>
          <w:lang w:val="zh-CN"/>
        </w:rPr>
      </w:pPr>
      <w:r>
        <w:rPr>
          <w:rFonts w:hint="eastAsia" w:hAnsi="宋体" w:cs="宋体"/>
          <w:kern w:val="28"/>
          <w:sz w:val="24"/>
          <w:szCs w:val="24"/>
          <w:lang w:val="zh-CN"/>
        </w:rPr>
        <w:t xml:space="preserve">              盖章</w:t>
      </w:r>
      <w:r>
        <w:rPr>
          <w:rFonts w:hint="eastAsia" w:hAnsi="宋体" w:cs="宋体"/>
          <w:kern w:val="28"/>
          <w:sz w:val="24"/>
          <w:szCs w:val="24"/>
          <w:lang w:val="zh-CN"/>
        </w:rPr>
        <w:tab/>
      </w:r>
      <w:r>
        <w:rPr>
          <w:rFonts w:hint="eastAsia" w:hAnsi="宋体" w:cs="宋体"/>
          <w:kern w:val="28"/>
          <w:sz w:val="24"/>
          <w:szCs w:val="24"/>
          <w:lang w:val="zh-CN"/>
        </w:rPr>
        <w:t xml:space="preserve">   盖章</w:t>
      </w:r>
    </w:p>
    <w:p>
      <w:pPr>
        <w:widowControl/>
        <w:jc w:val="left"/>
      </w:pPr>
      <w:r>
        <w:rPr>
          <w:rFonts w:hint="eastAsia" w:hAnsi="宋体"/>
          <w:kern w:val="28"/>
          <w:sz w:val="24"/>
          <w:szCs w:val="24"/>
          <w:lang w:val="zh-CN"/>
        </w:rPr>
        <w:tab/>
      </w:r>
      <w:r>
        <w:rPr>
          <w:rFonts w:hint="eastAsia" w:hAnsi="宋体"/>
          <w:kern w:val="28"/>
          <w:sz w:val="24"/>
          <w:szCs w:val="24"/>
          <w:lang w:val="zh-CN"/>
        </w:rPr>
        <w:t>年    月    日</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360" w:lineRule="auto"/>
        <w:rPr>
          <w:rFonts w:hAnsi="宋体" w:cs="宋体"/>
          <w:sz w:val="24"/>
          <w:szCs w:val="24"/>
        </w:rPr>
      </w:pPr>
      <w:bookmarkStart w:id="351" w:name="_Toc179632790"/>
      <w:bookmarkStart w:id="352" w:name="_Toc144974835"/>
      <w:bookmarkStart w:id="353" w:name="_Toc152042555"/>
      <w:bookmarkStart w:id="354" w:name="_Toc152045773"/>
      <w:r>
        <w:rPr>
          <w:rFonts w:hint="eastAsia" w:hAnsi="宋体" w:cs="宋体"/>
          <w:kern w:val="2"/>
          <w:sz w:val="24"/>
          <w:szCs w:val="24"/>
        </w:rPr>
        <w:t>1. 工程量清单说明</w:t>
      </w:r>
      <w:bookmarkEnd w:id="351"/>
      <w:bookmarkEnd w:id="352"/>
      <w:bookmarkEnd w:id="353"/>
      <w:bookmarkEnd w:id="354"/>
    </w:p>
    <w:p>
      <w:pPr>
        <w:spacing w:line="360" w:lineRule="auto"/>
        <w:rPr>
          <w:rFonts w:hAnsi="宋体" w:cs="宋体"/>
          <w:sz w:val="24"/>
          <w:szCs w:val="24"/>
        </w:rPr>
      </w:pPr>
      <w:r>
        <w:rPr>
          <w:rFonts w:hint="eastAsia" w:hAnsi="宋体" w:cs="宋体"/>
          <w:kern w:val="2"/>
          <w:sz w:val="24"/>
          <w:szCs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rPr>
          <w:rFonts w:hAnsi="宋体" w:cs="宋体"/>
          <w:sz w:val="24"/>
          <w:szCs w:val="24"/>
        </w:rPr>
      </w:pPr>
      <w:r>
        <w:rPr>
          <w:rFonts w:hint="eastAsia" w:hAnsi="宋体" w:cs="宋体"/>
          <w:kern w:val="2"/>
          <w:sz w:val="24"/>
          <w:szCs w:val="24"/>
        </w:rPr>
        <w:t xml:space="preserve">    1.2 本工程量清单应与招标文件中的投标人须知、通用合同条款、专用合同条款、技术标准和要求及图纸等一起阅读和理解。</w:t>
      </w:r>
    </w:p>
    <w:p>
      <w:pPr>
        <w:spacing w:line="312" w:lineRule="auto"/>
        <w:rPr>
          <w:rFonts w:hAnsi="宋体" w:cs="宋体"/>
          <w:sz w:val="24"/>
          <w:szCs w:val="24"/>
        </w:rPr>
      </w:pPr>
      <w:r>
        <w:rPr>
          <w:rFonts w:hint="eastAsia" w:hAnsi="宋体" w:cs="宋体"/>
          <w:kern w:val="2"/>
          <w:sz w:val="24"/>
          <w:szCs w:val="24"/>
        </w:rPr>
        <w:t xml:space="preserve">    1.3 本工程量清单仅是投标报价的共同基础，实际工程计量和工程价款的支付应遵循合同条款的约定和第七章“技术标准和要求”的有关规定。</w:t>
      </w:r>
    </w:p>
    <w:p>
      <w:pPr>
        <w:spacing w:line="312" w:lineRule="auto"/>
        <w:rPr>
          <w:rFonts w:hAnsi="宋体" w:cs="宋体"/>
          <w:sz w:val="24"/>
          <w:szCs w:val="24"/>
        </w:rPr>
      </w:pPr>
      <w:bookmarkStart w:id="355" w:name="_Toc152045774"/>
      <w:bookmarkStart w:id="356" w:name="_Toc179632791"/>
      <w:bookmarkStart w:id="357" w:name="_Toc144974836"/>
      <w:bookmarkStart w:id="358" w:name="_Toc152042556"/>
      <w:r>
        <w:rPr>
          <w:rFonts w:hint="eastAsia" w:hAnsi="宋体" w:cs="宋体"/>
          <w:kern w:val="2"/>
          <w:sz w:val="24"/>
          <w:szCs w:val="24"/>
        </w:rPr>
        <w:t>2. 投标报价说明</w:t>
      </w:r>
      <w:bookmarkEnd w:id="355"/>
      <w:bookmarkEnd w:id="356"/>
      <w:bookmarkEnd w:id="357"/>
      <w:bookmarkEnd w:id="358"/>
    </w:p>
    <w:p>
      <w:pPr>
        <w:spacing w:line="312" w:lineRule="auto"/>
        <w:rPr>
          <w:rFonts w:hAnsi="宋体" w:cs="宋体"/>
          <w:sz w:val="24"/>
          <w:szCs w:val="24"/>
        </w:rPr>
      </w:pPr>
      <w:r>
        <w:rPr>
          <w:rFonts w:hint="eastAsia" w:hAnsi="宋体" w:cs="宋体"/>
          <w:kern w:val="2"/>
          <w:sz w:val="24"/>
          <w:szCs w:val="24"/>
        </w:rPr>
        <w:t xml:space="preserve">    2.1 工程量清单中的每一子目须填入单价或价格，且只允许有一个报价。</w:t>
      </w:r>
    </w:p>
    <w:p>
      <w:pPr>
        <w:spacing w:line="312" w:lineRule="auto"/>
        <w:rPr>
          <w:rFonts w:hAnsi="宋体" w:cs="宋体"/>
          <w:sz w:val="24"/>
          <w:szCs w:val="24"/>
        </w:rPr>
      </w:pPr>
      <w:r>
        <w:rPr>
          <w:rFonts w:hint="eastAsia" w:hAnsi="宋体" w:cs="宋体"/>
          <w:kern w:val="2"/>
          <w:sz w:val="24"/>
          <w:szCs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pPr>
        <w:spacing w:line="312" w:lineRule="auto"/>
        <w:rPr>
          <w:rFonts w:hAnsi="宋体" w:cs="宋体"/>
          <w:sz w:val="24"/>
          <w:szCs w:val="24"/>
        </w:rPr>
      </w:pPr>
      <w:r>
        <w:rPr>
          <w:rFonts w:hint="eastAsia" w:hAnsi="宋体" w:cs="宋体"/>
          <w:kern w:val="2"/>
          <w:sz w:val="24"/>
          <w:szCs w:val="24"/>
        </w:rPr>
        <w:t xml:space="preserve">    2.3 工程量清单中投标人没有填入单价或价格的子目，其费用视为已分摊在工程量清单中其他相关子目的单价或价格之中。</w:t>
      </w:r>
    </w:p>
    <w:p>
      <w:pPr>
        <w:spacing w:line="312" w:lineRule="auto"/>
        <w:rPr>
          <w:rFonts w:hAnsi="宋体" w:cs="宋体"/>
          <w:sz w:val="24"/>
          <w:szCs w:val="24"/>
        </w:rPr>
      </w:pPr>
      <w:bookmarkStart w:id="359" w:name="_Toc179632792"/>
      <w:r>
        <w:rPr>
          <w:rFonts w:hint="eastAsia" w:hAnsi="宋体" w:cs="宋体"/>
          <w:kern w:val="2"/>
          <w:sz w:val="24"/>
          <w:szCs w:val="24"/>
        </w:rPr>
        <w:t>3. 其他说明</w:t>
      </w:r>
      <w:bookmarkEnd w:id="359"/>
    </w:p>
    <w:p>
      <w:pPr>
        <w:spacing w:line="360" w:lineRule="auto"/>
        <w:rPr>
          <w:rFonts w:hAnsi="宋体" w:cs="宋体"/>
          <w:sz w:val="24"/>
          <w:szCs w:val="24"/>
        </w:rPr>
      </w:pPr>
      <w:r>
        <w:rPr>
          <w:rFonts w:hint="eastAsia" w:hAnsi="宋体" w:cs="宋体"/>
          <w:kern w:val="2"/>
          <w:sz w:val="24"/>
          <w:szCs w:val="24"/>
        </w:rPr>
        <w:t xml:space="preserve">    3.1工程量清单中有计算或汇总中的算术错误时，应按以下原则改正：</w:t>
      </w:r>
    </w:p>
    <w:p>
      <w:pPr>
        <w:spacing w:line="360" w:lineRule="auto"/>
        <w:rPr>
          <w:rFonts w:hAnsi="宋体" w:cs="宋体"/>
          <w:sz w:val="24"/>
          <w:szCs w:val="24"/>
        </w:rPr>
      </w:pPr>
      <w:r>
        <w:rPr>
          <w:rFonts w:hint="eastAsia" w:hAnsi="宋体" w:cs="宋体"/>
          <w:kern w:val="2"/>
          <w:sz w:val="24"/>
          <w:szCs w:val="24"/>
        </w:rPr>
        <w:t xml:space="preserve">   （1）投标文件中的大写与小写金额不一致的，以大写金额为准；</w:t>
      </w:r>
    </w:p>
    <w:p>
      <w:pPr>
        <w:spacing w:line="360" w:lineRule="auto"/>
        <w:rPr>
          <w:rFonts w:hAnsi="宋体" w:cs="宋体"/>
          <w:sz w:val="24"/>
          <w:szCs w:val="24"/>
        </w:rPr>
      </w:pPr>
      <w:r>
        <w:rPr>
          <w:rFonts w:hint="eastAsia" w:hAnsi="宋体" w:cs="宋体"/>
          <w:kern w:val="2"/>
          <w:sz w:val="24"/>
          <w:szCs w:val="24"/>
        </w:rPr>
        <w:t xml:space="preserve">   （2）工程量清单中任一项目的单价乘其工程量的乘积与该项目的合价不吻合时，应以单价为准，改正合价。但经评标委员会核对后认为单价有明显的小数点错位时，则应以合价为准，改正单价。</w:t>
      </w:r>
    </w:p>
    <w:p>
      <w:pPr>
        <w:spacing w:line="360" w:lineRule="auto"/>
        <w:rPr>
          <w:rFonts w:hAnsi="宋体" w:cs="宋体"/>
          <w:sz w:val="24"/>
          <w:szCs w:val="24"/>
        </w:rPr>
      </w:pPr>
      <w:r>
        <w:rPr>
          <w:rFonts w:hint="eastAsia" w:hAnsi="宋体" w:cs="宋体"/>
          <w:kern w:val="2"/>
          <w:sz w:val="24"/>
          <w:szCs w:val="24"/>
        </w:rPr>
        <w:t xml:space="preserve">    3.2进入单价的材料均应以当地实际材料预算价计入单价，不再计取材料价差，投标人的报价在合同实施期间不进行单价调整。</w:t>
      </w:r>
    </w:p>
    <w:p>
      <w:pPr>
        <w:spacing w:line="360" w:lineRule="auto"/>
        <w:rPr>
          <w:rFonts w:hAnsi="宋体" w:cs="宋体"/>
          <w:sz w:val="24"/>
          <w:szCs w:val="24"/>
        </w:rPr>
      </w:pPr>
      <w:r>
        <w:rPr>
          <w:rFonts w:hint="eastAsia" w:hAnsi="宋体" w:cs="宋体"/>
          <w:kern w:val="2"/>
          <w:sz w:val="24"/>
          <w:szCs w:val="24"/>
        </w:rPr>
        <w:t xml:space="preserve">    3.3所列工程量的变化，丝毫不会使合同条件或条款无效或降低，也不免除承包人按要求的标准进行施工和缺陷修复的责任。</w:t>
      </w:r>
    </w:p>
    <w:p>
      <w:pPr>
        <w:spacing w:line="360" w:lineRule="auto"/>
        <w:rPr>
          <w:rFonts w:hAnsi="宋体" w:cs="宋体"/>
          <w:sz w:val="24"/>
          <w:szCs w:val="24"/>
        </w:rPr>
      </w:pPr>
      <w:r>
        <w:rPr>
          <w:rFonts w:hint="eastAsia" w:hAnsi="宋体" w:cs="宋体"/>
          <w:kern w:val="2"/>
          <w:sz w:val="24"/>
          <w:szCs w:val="24"/>
        </w:rPr>
        <w:t xml:space="preserve">    3.4图纸中所列工程量表及数量汇总仅为提供资料，不应视为工程量报价单的扩大或延伸。</w:t>
      </w:r>
    </w:p>
    <w:p>
      <w:pPr>
        <w:numPr>
          <w:ilvl w:val="0"/>
          <w:numId w:val="2"/>
        </w:numPr>
        <w:spacing w:line="360" w:lineRule="auto"/>
        <w:rPr>
          <w:rFonts w:hAnsi="宋体" w:cs="宋体"/>
          <w:b/>
          <w:sz w:val="24"/>
          <w:szCs w:val="24"/>
        </w:rPr>
      </w:pPr>
      <w:r>
        <w:rPr>
          <w:rFonts w:hint="eastAsia" w:hAnsi="宋体" w:cs="宋体"/>
          <w:b/>
          <w:kern w:val="2"/>
          <w:sz w:val="24"/>
          <w:szCs w:val="24"/>
        </w:rPr>
        <w:t>工程量清单</w:t>
      </w:r>
    </w:p>
    <w:p>
      <w:pPr>
        <w:pStyle w:val="6"/>
        <w:jc w:val="center"/>
        <w:rPr>
          <w:bCs w:val="0"/>
        </w:rPr>
      </w:pPr>
    </w:p>
    <w:p>
      <w:pPr>
        <w:pStyle w:val="6"/>
        <w:jc w:val="center"/>
        <w:rPr>
          <w:bCs w:val="0"/>
        </w:rPr>
      </w:pPr>
    </w:p>
    <w:p>
      <w:pPr>
        <w:pStyle w:val="6"/>
        <w:jc w:val="center"/>
        <w:rPr>
          <w:bCs w:val="0"/>
        </w:rPr>
      </w:pPr>
    </w:p>
    <w:p>
      <w:pPr>
        <w:pStyle w:val="6"/>
        <w:jc w:val="center"/>
        <w:rPr>
          <w:bCs w:val="0"/>
        </w:rPr>
      </w:pPr>
    </w:p>
    <w:p>
      <w:pPr>
        <w:pStyle w:val="6"/>
        <w:jc w:val="center"/>
        <w:rPr>
          <w:bCs w:val="0"/>
        </w:rPr>
      </w:pPr>
    </w:p>
    <w:p>
      <w:pPr>
        <w:pStyle w:val="6"/>
        <w:jc w:val="center"/>
        <w:rPr>
          <w:bCs w:val="0"/>
        </w:rPr>
      </w:pPr>
    </w:p>
    <w:p>
      <w:pPr>
        <w:pStyle w:val="6"/>
        <w:jc w:val="center"/>
        <w:rPr>
          <w:bCs w:val="0"/>
        </w:rPr>
      </w:pPr>
    </w:p>
    <w:p>
      <w:pPr>
        <w:pStyle w:val="6"/>
        <w:jc w:val="center"/>
        <w:rPr>
          <w:bCs w:val="0"/>
        </w:rPr>
      </w:pPr>
    </w:p>
    <w:p>
      <w:pPr>
        <w:pStyle w:val="6"/>
        <w:jc w:val="center"/>
        <w:rPr>
          <w:bCs w:val="0"/>
        </w:rPr>
      </w:pPr>
    </w:p>
    <w:p>
      <w:pPr>
        <w:pStyle w:val="6"/>
        <w:jc w:val="center"/>
        <w:rPr>
          <w:bCs w:val="0"/>
        </w:rPr>
      </w:pPr>
    </w:p>
    <w:p>
      <w:r>
        <w:rPr>
          <w:rFonts w:hint="eastAsia"/>
        </w:rPr>
        <w:br w:type="page"/>
      </w:r>
    </w:p>
    <w:p>
      <w:pPr>
        <w:pStyle w:val="6"/>
        <w:jc w:val="center"/>
        <w:rPr>
          <w:bCs w:val="0"/>
        </w:rPr>
      </w:pPr>
      <w:r>
        <w:rPr>
          <w:rFonts w:hint="eastAsia"/>
          <w:bCs w:val="0"/>
        </w:rPr>
        <w:t>第六章   图  纸</w:t>
      </w:r>
      <w:bookmarkEnd w:id="137"/>
    </w:p>
    <w:bookmarkEnd w:id="138"/>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按照招标文件中第二章投标人须知自行下载。</w:t>
      </w:r>
    </w:p>
    <w:p>
      <w:pPr>
        <w:spacing w:line="312" w:lineRule="auto"/>
        <w:jc w:val="center"/>
        <w:rPr>
          <w:rFonts w:ascii="宋体" w:hAnsi="宋体" w:cs="宋体"/>
          <w:sz w:val="32"/>
          <w:szCs w:val="32"/>
        </w:rPr>
        <w:sectPr>
          <w:headerReference r:id="rId13" w:type="default"/>
          <w:footerReference r:id="rId14" w:type="default"/>
          <w:pgSz w:w="11906" w:h="16838"/>
          <w:pgMar w:top="1531" w:right="1418" w:bottom="1531" w:left="1418" w:header="851" w:footer="992" w:gutter="0"/>
          <w:cols w:space="720" w:num="1"/>
          <w:docGrid w:type="linesAndChars" w:linePitch="312" w:charSpace="0"/>
        </w:sectPr>
      </w:pPr>
    </w:p>
    <w:p>
      <w:pPr>
        <w:pStyle w:val="6"/>
        <w:jc w:val="center"/>
      </w:pPr>
      <w:bookmarkStart w:id="360" w:name="_Toc23526"/>
      <w:bookmarkStart w:id="361" w:name="_Toc24512"/>
      <w:bookmarkStart w:id="362" w:name="_Toc517940886"/>
      <w:bookmarkStart w:id="363" w:name="_Toc30393"/>
      <w:bookmarkStart w:id="364" w:name="_Toc4592"/>
      <w:r>
        <w:rPr>
          <w:rFonts w:hint="eastAsia"/>
        </w:rPr>
        <w:t>第七章  技术标准和要求</w:t>
      </w:r>
      <w:bookmarkEnd w:id="360"/>
      <w:bookmarkEnd w:id="361"/>
      <w:bookmarkEnd w:id="362"/>
      <w:bookmarkEnd w:id="363"/>
      <w:bookmarkEnd w:id="364"/>
    </w:p>
    <w:p>
      <w:pPr>
        <w:spacing w:line="312" w:lineRule="auto"/>
        <w:ind w:left="2700"/>
        <w:rPr>
          <w:rFonts w:ascii="宋体" w:hAnsi="宋体" w:cs="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本工程技术标准和要求以本工程施工图纸和适用的国家、行业以及地方规范、标准和规程为准。</w:t>
      </w:r>
    </w:p>
    <w:p>
      <w:pPr>
        <w:tabs>
          <w:tab w:val="left" w:pos="6510"/>
        </w:tabs>
        <w:spacing w:line="500" w:lineRule="exact"/>
        <w:ind w:firstLine="470" w:firstLineChars="196"/>
        <w:jc w:val="left"/>
        <w:rPr>
          <w:rFonts w:ascii="新宋体" w:hAnsi="新宋体" w:eastAsia="新宋体"/>
          <w:sz w:val="24"/>
        </w:rPr>
      </w:pPr>
      <w:r>
        <w:rPr>
          <w:rFonts w:hint="eastAsia" w:ascii="新宋体" w:hAnsi="新宋体" w:eastAsia="新宋体"/>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afterLines="200" w:line="312" w:lineRule="auto"/>
        <w:jc w:val="center"/>
        <w:rPr>
          <w:rFonts w:ascii="宋体" w:hAnsi="宋体" w:cs="宋体"/>
          <w:sz w:val="24"/>
        </w:rPr>
      </w:pPr>
    </w:p>
    <w:p>
      <w:pPr>
        <w:spacing w:afterLines="200" w:line="312" w:lineRule="auto"/>
        <w:jc w:val="center"/>
        <w:rPr>
          <w:rFonts w:ascii="宋体" w:hAnsi="宋体" w:cs="宋体"/>
          <w:sz w:val="24"/>
        </w:rPr>
        <w:sectPr>
          <w:pgSz w:w="11906" w:h="16838"/>
          <w:pgMar w:top="1531" w:right="1418" w:bottom="1531" w:left="1418" w:header="851" w:footer="992" w:gutter="0"/>
          <w:cols w:space="720" w:num="1"/>
          <w:docGrid w:type="linesAndChars" w:linePitch="312" w:charSpace="0"/>
        </w:sectPr>
      </w:pPr>
    </w:p>
    <w:p>
      <w:pPr>
        <w:pStyle w:val="6"/>
        <w:jc w:val="center"/>
        <w:rPr>
          <w:rStyle w:val="61"/>
          <w:rFonts w:ascii="宋体" w:hAnsi="宋体" w:eastAsia="宋体"/>
          <w:b/>
          <w:bCs w:val="0"/>
          <w:sz w:val="44"/>
          <w:szCs w:val="44"/>
        </w:rPr>
      </w:pPr>
      <w:bookmarkStart w:id="365" w:name="_Toc27217"/>
      <w:bookmarkStart w:id="366" w:name="_Toc517940887"/>
      <w:r>
        <w:rPr>
          <w:rStyle w:val="61"/>
          <w:rFonts w:hint="eastAsia" w:ascii="宋体" w:hAnsi="宋体" w:eastAsia="宋体"/>
          <w:b/>
          <w:bCs w:val="0"/>
          <w:sz w:val="44"/>
          <w:szCs w:val="44"/>
        </w:rPr>
        <w:t>第八章  投标文件格式</w:t>
      </w:r>
      <w:bookmarkEnd w:id="365"/>
      <w:bookmarkEnd w:id="366"/>
    </w:p>
    <w:p>
      <w:pPr>
        <w:spacing w:beforeLines="100" w:line="312" w:lineRule="auto"/>
        <w:jc w:val="left"/>
        <w:rPr>
          <w:rFonts w:ascii="宋体" w:hAnsi="宋体" w:cs="宋体"/>
          <w:sz w:val="24"/>
        </w:rPr>
      </w:pPr>
    </w:p>
    <w:p>
      <w:pPr>
        <w:spacing w:beforeLines="100" w:line="312" w:lineRule="auto"/>
        <w:jc w:val="center"/>
        <w:rPr>
          <w:rFonts w:hAnsi="宋体" w:cs="宋体"/>
          <w:sz w:val="52"/>
          <w:szCs w:val="52"/>
        </w:rPr>
      </w:pPr>
      <w:r>
        <w:rPr>
          <w:rFonts w:hint="eastAsia" w:hAnsi="宋体" w:cs="宋体"/>
          <w:b/>
          <w:kern w:val="2"/>
          <w:sz w:val="28"/>
          <w:szCs w:val="28"/>
        </w:rPr>
        <w:t>（项目名称、标段）</w:t>
      </w:r>
    </w:p>
    <w:p>
      <w:pPr>
        <w:spacing w:beforeLines="100" w:line="312" w:lineRule="auto"/>
        <w:jc w:val="center"/>
        <w:rPr>
          <w:rFonts w:ascii="宋体" w:hAnsi="宋体" w:cs="宋体"/>
          <w:b/>
          <w:sz w:val="52"/>
          <w:szCs w:val="52"/>
        </w:rPr>
      </w:pPr>
    </w:p>
    <w:p>
      <w:pPr>
        <w:spacing w:beforeLines="100" w:line="312" w:lineRule="auto"/>
        <w:jc w:val="center"/>
        <w:rPr>
          <w:rFonts w:ascii="宋体" w:hAnsi="宋体" w:cs="宋体"/>
          <w:b/>
          <w:sz w:val="52"/>
          <w:szCs w:val="52"/>
        </w:rPr>
      </w:pPr>
      <w:r>
        <w:rPr>
          <w:rFonts w:hint="eastAsia" w:ascii="宋体" w:hAnsi="宋体" w:cs="宋体"/>
          <w:b/>
          <w:sz w:val="52"/>
          <w:szCs w:val="52"/>
        </w:rPr>
        <w:t>投标文件</w:t>
      </w:r>
    </w:p>
    <w:p>
      <w:pPr>
        <w:spacing w:line="312" w:lineRule="auto"/>
        <w:jc w:val="center"/>
        <w:rPr>
          <w:rFonts w:ascii="宋体" w:hAnsi="宋体" w:cs="宋体"/>
          <w:b/>
          <w:sz w:val="24"/>
        </w:rPr>
      </w:pPr>
    </w:p>
    <w:p>
      <w:pPr>
        <w:spacing w:line="312" w:lineRule="auto"/>
        <w:rPr>
          <w:rFonts w:hint="eastAsia" w:ascii="宋体" w:hAnsi="宋体" w:eastAsia="宋体" w:cs="宋体"/>
          <w:b/>
          <w:bCs/>
          <w:sz w:val="24"/>
          <w:lang w:eastAsia="zh-CN"/>
        </w:rPr>
      </w:pPr>
      <w:r>
        <w:rPr>
          <w:rFonts w:hint="eastAsia" w:ascii="宋体" w:hAnsi="宋体" w:cs="宋体"/>
          <w:b/>
          <w:bCs/>
          <w:sz w:val="24"/>
        </w:rPr>
        <w:t xml:space="preserve">                       项目编号：</w:t>
      </w:r>
      <w:r>
        <w:rPr>
          <w:rFonts w:hint="eastAsia" w:hAnsi="宋体" w:cs="宋体"/>
          <w:b/>
          <w:kern w:val="2"/>
          <w:sz w:val="24"/>
          <w:szCs w:val="24"/>
          <w:lang w:eastAsia="zh-CN"/>
        </w:rPr>
        <w:t>建安建工公字〔2019〕194 号</w:t>
      </w:r>
    </w:p>
    <w:p>
      <w:pPr>
        <w:spacing w:line="312" w:lineRule="auto"/>
        <w:jc w:val="center"/>
        <w:rPr>
          <w:rFonts w:ascii="宋体" w:hAnsi="宋体" w:cs="宋体"/>
          <w:b/>
          <w:bCs/>
          <w:sz w:val="24"/>
        </w:rPr>
      </w:pPr>
    </w:p>
    <w:p>
      <w:pPr>
        <w:spacing w:line="312" w:lineRule="auto"/>
        <w:rPr>
          <w:rFonts w:ascii="宋体" w:hAnsi="宋体" w:cs="宋体"/>
          <w:b/>
          <w:sz w:val="24"/>
        </w:rPr>
      </w:pPr>
    </w:p>
    <w:p>
      <w:pPr>
        <w:spacing w:line="312" w:lineRule="auto"/>
        <w:jc w:val="center"/>
        <w:rPr>
          <w:rFonts w:ascii="宋体" w:hAnsi="宋体" w:cs="宋体"/>
          <w:b/>
          <w:sz w:val="24"/>
        </w:rPr>
      </w:pPr>
    </w:p>
    <w:p>
      <w:pPr>
        <w:spacing w:line="312" w:lineRule="auto"/>
        <w:jc w:val="center"/>
        <w:rPr>
          <w:rFonts w:ascii="宋体" w:hAnsi="宋体" w:cs="宋体"/>
          <w:b/>
          <w:sz w:val="24"/>
        </w:rPr>
      </w:pPr>
    </w:p>
    <w:p>
      <w:pPr>
        <w:spacing w:line="312" w:lineRule="auto"/>
        <w:ind w:firstLine="240" w:firstLineChars="100"/>
        <w:rPr>
          <w:rFonts w:ascii="宋体" w:hAnsi="宋体" w:cs="宋体"/>
          <w:b/>
          <w:sz w:val="24"/>
        </w:rPr>
      </w:pPr>
    </w:p>
    <w:p>
      <w:pPr>
        <w:spacing w:line="312" w:lineRule="auto"/>
        <w:ind w:firstLine="240" w:firstLineChars="100"/>
        <w:rPr>
          <w:rFonts w:ascii="宋体" w:hAnsi="宋体" w:cs="宋体"/>
          <w:b/>
          <w:sz w:val="24"/>
        </w:rPr>
      </w:pPr>
    </w:p>
    <w:p>
      <w:pPr>
        <w:spacing w:line="312" w:lineRule="auto"/>
        <w:ind w:firstLine="240" w:firstLineChars="100"/>
        <w:rPr>
          <w:rFonts w:ascii="宋体" w:hAnsi="宋体" w:cs="宋体"/>
          <w:b/>
          <w:sz w:val="24"/>
        </w:rPr>
      </w:pPr>
    </w:p>
    <w:p>
      <w:pPr>
        <w:spacing w:line="312" w:lineRule="auto"/>
        <w:ind w:firstLine="480" w:firstLineChars="200"/>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 xml:space="preserve"> 投   标   人：（盖单位章）</w:t>
      </w:r>
    </w:p>
    <w:p>
      <w:pPr>
        <w:spacing w:line="312" w:lineRule="auto"/>
        <w:ind w:firstLine="480" w:firstLineChars="200"/>
        <w:rPr>
          <w:rFonts w:ascii="宋体" w:hAnsi="宋体" w:cs="宋体"/>
          <w:b/>
          <w:sz w:val="24"/>
        </w:rPr>
      </w:pPr>
    </w:p>
    <w:p>
      <w:pPr>
        <w:spacing w:line="312" w:lineRule="auto"/>
        <w:jc w:val="center"/>
        <w:rPr>
          <w:rFonts w:ascii="宋体" w:hAnsi="宋体" w:cs="宋体"/>
          <w:b/>
          <w:sz w:val="24"/>
        </w:rPr>
      </w:pPr>
      <w:r>
        <w:rPr>
          <w:rFonts w:hint="eastAsia" w:ascii="宋体" w:hAnsi="宋体" w:cs="宋体"/>
          <w:b/>
          <w:sz w:val="24"/>
        </w:rPr>
        <w:t xml:space="preserve">     法定代表人或其委托代理人：（签字或盖章）</w:t>
      </w:r>
    </w:p>
    <w:p>
      <w:pPr>
        <w:spacing w:line="312" w:lineRule="auto"/>
        <w:jc w:val="center"/>
        <w:rPr>
          <w:rFonts w:ascii="宋体" w:hAnsi="宋体" w:cs="宋体"/>
          <w:b/>
          <w:sz w:val="24"/>
        </w:rPr>
      </w:pPr>
    </w:p>
    <w:p>
      <w:pPr>
        <w:spacing w:line="312" w:lineRule="auto"/>
        <w:jc w:val="center"/>
        <w:rPr>
          <w:rFonts w:ascii="宋体" w:hAnsi="宋体" w:cs="宋体"/>
          <w:b/>
          <w:sz w:val="24"/>
        </w:rPr>
      </w:pPr>
      <w:r>
        <w:rPr>
          <w:rFonts w:hint="eastAsia" w:ascii="宋体" w:hAnsi="宋体" w:cs="宋体"/>
          <w:b/>
          <w:sz w:val="24"/>
        </w:rPr>
        <w:t>年</w:t>
      </w:r>
      <w:r>
        <w:rPr>
          <w:rFonts w:hint="eastAsia" w:ascii="宋体" w:hAnsi="宋体" w:cs="宋体"/>
          <w:b/>
          <w:sz w:val="24"/>
          <w:lang w:val="en-US" w:eastAsia="zh-CN"/>
        </w:rPr>
        <w:t xml:space="preserve">    </w:t>
      </w:r>
      <w:r>
        <w:rPr>
          <w:rFonts w:hint="eastAsia" w:ascii="宋体" w:hAnsi="宋体" w:cs="宋体"/>
          <w:b/>
          <w:sz w:val="24"/>
        </w:rPr>
        <w:t>月</w:t>
      </w:r>
      <w:r>
        <w:rPr>
          <w:rFonts w:hint="eastAsia" w:ascii="宋体" w:hAnsi="宋体" w:cs="宋体"/>
          <w:b/>
          <w:sz w:val="24"/>
          <w:lang w:val="en-US" w:eastAsia="zh-CN"/>
        </w:rPr>
        <w:t xml:space="preserve">    </w:t>
      </w:r>
      <w:r>
        <w:rPr>
          <w:rFonts w:hint="eastAsia" w:ascii="宋体" w:hAnsi="宋体" w:cs="宋体"/>
          <w:b/>
          <w:sz w:val="24"/>
        </w:rPr>
        <w:t>日</w:t>
      </w:r>
    </w:p>
    <w:p>
      <w:pPr>
        <w:autoSpaceDE w:val="0"/>
        <w:autoSpaceDN w:val="0"/>
        <w:adjustRightInd w:val="0"/>
        <w:spacing w:line="420" w:lineRule="exact"/>
        <w:ind w:firstLine="3388" w:firstLineChars="1412"/>
        <w:jc w:val="left"/>
        <w:rPr>
          <w:rFonts w:ascii="宋体" w:hAnsi="宋体"/>
          <w:b/>
          <w:sz w:val="24"/>
        </w:rPr>
      </w:pPr>
      <w:r>
        <w:rPr>
          <w:rFonts w:hint="eastAsia" w:ascii="宋体" w:hAnsi="宋体" w:cs="宋体"/>
          <w:b/>
          <w:sz w:val="24"/>
        </w:rPr>
        <w:br w:type="page"/>
      </w:r>
      <w:r>
        <w:rPr>
          <w:rFonts w:hint="eastAsia" w:ascii="宋体" w:hAnsi="宋体"/>
          <w:b/>
          <w:sz w:val="24"/>
        </w:rPr>
        <w:t>评 审 因 素 索 引 表</w:t>
      </w:r>
    </w:p>
    <w:p>
      <w:pPr>
        <w:autoSpaceDE w:val="0"/>
        <w:autoSpaceDN w:val="0"/>
        <w:adjustRightInd w:val="0"/>
        <w:spacing w:line="420" w:lineRule="exact"/>
        <w:jc w:val="left"/>
        <w:rPr>
          <w:rFonts w:ascii="宋体" w:hAnsi="宋体"/>
          <w:b/>
          <w:sz w:val="24"/>
        </w:rPr>
      </w:pPr>
    </w:p>
    <w:tbl>
      <w:tblPr>
        <w:tblStyle w:val="35"/>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096"/>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42" w:type="dxa"/>
            <w:vAlign w:val="center"/>
          </w:tcPr>
          <w:p>
            <w:pPr>
              <w:autoSpaceDE w:val="0"/>
              <w:autoSpaceDN w:val="0"/>
              <w:adjustRightInd w:val="0"/>
              <w:spacing w:line="420" w:lineRule="exact"/>
              <w:jc w:val="center"/>
              <w:rPr>
                <w:rFonts w:ascii="宋体" w:hAnsi="宋体"/>
                <w:b/>
                <w:sz w:val="24"/>
              </w:rPr>
            </w:pPr>
            <w:r>
              <w:rPr>
                <w:rFonts w:hint="eastAsia" w:ascii="宋体" w:hAnsi="宋体"/>
                <w:b/>
                <w:sz w:val="24"/>
              </w:rPr>
              <w:t>序号</w:t>
            </w:r>
          </w:p>
        </w:tc>
        <w:tc>
          <w:tcPr>
            <w:tcW w:w="6096" w:type="dxa"/>
            <w:vAlign w:val="center"/>
          </w:tcPr>
          <w:p>
            <w:pPr>
              <w:autoSpaceDE w:val="0"/>
              <w:autoSpaceDN w:val="0"/>
              <w:adjustRightInd w:val="0"/>
              <w:spacing w:line="420" w:lineRule="exact"/>
              <w:jc w:val="center"/>
              <w:rPr>
                <w:rFonts w:ascii="宋体" w:hAnsi="宋体"/>
                <w:b/>
                <w:sz w:val="24"/>
              </w:rPr>
            </w:pPr>
            <w:r>
              <w:rPr>
                <w:rFonts w:hint="eastAsia" w:ascii="宋体" w:hAnsi="宋体"/>
                <w:b/>
                <w:sz w:val="24"/>
              </w:rPr>
              <w:t>评审因素</w:t>
            </w:r>
          </w:p>
        </w:tc>
        <w:tc>
          <w:tcPr>
            <w:tcW w:w="2374" w:type="dxa"/>
            <w:vAlign w:val="center"/>
          </w:tcPr>
          <w:p>
            <w:pPr>
              <w:autoSpaceDE w:val="0"/>
              <w:autoSpaceDN w:val="0"/>
              <w:adjustRightInd w:val="0"/>
              <w:spacing w:line="420" w:lineRule="exact"/>
              <w:jc w:val="center"/>
              <w:rPr>
                <w:rFonts w:ascii="宋体" w:hAnsi="宋体"/>
                <w:b/>
                <w:sz w:val="24"/>
              </w:rPr>
            </w:pPr>
            <w:r>
              <w:rPr>
                <w:rFonts w:hint="eastAsia" w:ascii="宋体" w:hAnsi="宋体"/>
                <w:b/>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sz w:val="24"/>
              </w:rPr>
            </w:pPr>
          </w:p>
        </w:tc>
        <w:tc>
          <w:tcPr>
            <w:tcW w:w="6096" w:type="dxa"/>
          </w:tcPr>
          <w:p>
            <w:pPr>
              <w:autoSpaceDE w:val="0"/>
              <w:autoSpaceDN w:val="0"/>
              <w:adjustRightInd w:val="0"/>
              <w:spacing w:line="420" w:lineRule="exact"/>
              <w:jc w:val="left"/>
              <w:rPr>
                <w:rFonts w:ascii="宋体" w:hAnsi="宋体"/>
                <w:b/>
                <w:sz w:val="24"/>
              </w:rPr>
            </w:pPr>
          </w:p>
        </w:tc>
        <w:tc>
          <w:tcPr>
            <w:tcW w:w="2374" w:type="dxa"/>
            <w:vAlign w:val="center"/>
          </w:tcPr>
          <w:p>
            <w:pPr>
              <w:autoSpaceDE w:val="0"/>
              <w:autoSpaceDN w:val="0"/>
              <w:adjustRightInd w:val="0"/>
              <w:spacing w:line="420" w:lineRule="exact"/>
              <w:jc w:val="center"/>
              <w:rPr>
                <w:rFonts w:ascii="宋体" w:hAnsi="宋体"/>
                <w:b/>
                <w:sz w:val="24"/>
              </w:rPr>
            </w:pPr>
            <w:r>
              <w:rPr>
                <w:rFonts w:hint="eastAsia" w:ascii="宋体" w:hAnsi="宋体"/>
                <w:b/>
                <w:sz w:val="24"/>
              </w:rPr>
              <w:t>P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sz w:val="24"/>
              </w:rPr>
            </w:pPr>
          </w:p>
        </w:tc>
        <w:tc>
          <w:tcPr>
            <w:tcW w:w="6096" w:type="dxa"/>
          </w:tcPr>
          <w:p>
            <w:pPr>
              <w:autoSpaceDE w:val="0"/>
              <w:autoSpaceDN w:val="0"/>
              <w:adjustRightInd w:val="0"/>
              <w:spacing w:line="420" w:lineRule="exact"/>
              <w:jc w:val="center"/>
              <w:rPr>
                <w:rFonts w:ascii="宋体" w:hAnsi="宋体"/>
                <w:b/>
                <w:sz w:val="24"/>
              </w:rPr>
            </w:pPr>
          </w:p>
        </w:tc>
        <w:tc>
          <w:tcPr>
            <w:tcW w:w="2374" w:type="dxa"/>
            <w:vAlign w:val="center"/>
          </w:tcPr>
          <w:p>
            <w:pPr>
              <w:autoSpaceDE w:val="0"/>
              <w:autoSpaceDN w:val="0"/>
              <w:adjustRightInd w:val="0"/>
              <w:spacing w:line="420" w:lineRule="exact"/>
              <w:jc w:val="center"/>
              <w:rPr>
                <w:rFonts w:ascii="宋体" w:hAnsi="宋体"/>
                <w:b/>
                <w:sz w:val="24"/>
              </w:rPr>
            </w:pPr>
            <w:r>
              <w:rPr>
                <w:rFonts w:hint="eastAsia" w:ascii="宋体" w:hAnsi="宋体"/>
                <w:b/>
                <w:sz w:val="24"/>
              </w:rPr>
              <w:t>P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sz w:val="24"/>
              </w:rPr>
            </w:pPr>
          </w:p>
        </w:tc>
        <w:tc>
          <w:tcPr>
            <w:tcW w:w="6096" w:type="dxa"/>
          </w:tcPr>
          <w:p>
            <w:pPr>
              <w:autoSpaceDE w:val="0"/>
              <w:autoSpaceDN w:val="0"/>
              <w:adjustRightInd w:val="0"/>
              <w:spacing w:line="420" w:lineRule="exact"/>
              <w:jc w:val="left"/>
              <w:rPr>
                <w:rFonts w:ascii="宋体" w:hAnsi="宋体"/>
                <w:b/>
                <w:sz w:val="24"/>
              </w:rPr>
            </w:pPr>
          </w:p>
        </w:tc>
        <w:tc>
          <w:tcPr>
            <w:tcW w:w="2374" w:type="dxa"/>
            <w:vAlign w:val="center"/>
          </w:tcPr>
          <w:p>
            <w:pPr>
              <w:autoSpaceDE w:val="0"/>
              <w:autoSpaceDN w:val="0"/>
              <w:adjustRightInd w:val="0"/>
              <w:spacing w:line="420" w:lineRule="exact"/>
              <w:jc w:val="center"/>
              <w:rPr>
                <w:rFonts w:ascii="宋体" w:hAnsi="宋体"/>
                <w:b/>
                <w:sz w:val="24"/>
              </w:rPr>
            </w:pPr>
            <w:r>
              <w:rPr>
                <w:rFonts w:hint="eastAsia" w:ascii="宋体" w:hAnsi="宋体"/>
                <w:b/>
                <w:sz w:val="24"/>
              </w:rPr>
              <w:t>P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sz w:val="24"/>
              </w:rPr>
            </w:pPr>
          </w:p>
        </w:tc>
        <w:tc>
          <w:tcPr>
            <w:tcW w:w="6096" w:type="dxa"/>
          </w:tcPr>
          <w:p>
            <w:pPr>
              <w:autoSpaceDE w:val="0"/>
              <w:autoSpaceDN w:val="0"/>
              <w:adjustRightInd w:val="0"/>
              <w:spacing w:line="420" w:lineRule="exact"/>
              <w:jc w:val="left"/>
              <w:rPr>
                <w:rFonts w:ascii="宋体" w:hAnsi="宋体"/>
                <w:b/>
                <w:sz w:val="24"/>
              </w:rPr>
            </w:pPr>
          </w:p>
        </w:tc>
        <w:tc>
          <w:tcPr>
            <w:tcW w:w="2374" w:type="dxa"/>
            <w:vAlign w:val="center"/>
          </w:tcPr>
          <w:p>
            <w:pPr>
              <w:autoSpaceDE w:val="0"/>
              <w:autoSpaceDN w:val="0"/>
              <w:adjustRightInd w:val="0"/>
              <w:spacing w:line="420" w:lineRule="exact"/>
              <w:jc w:val="center"/>
              <w:rPr>
                <w:rFonts w:ascii="宋体" w:hAnsi="宋体"/>
                <w:b/>
                <w:sz w:val="24"/>
              </w:rPr>
            </w:pPr>
            <w:r>
              <w:rPr>
                <w:rFonts w:hint="eastAsia" w:ascii="宋体" w:hAnsi="宋体"/>
                <w:b/>
                <w:sz w:val="24"/>
              </w:rPr>
              <w:t>P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sz w:val="24"/>
              </w:rPr>
            </w:pPr>
          </w:p>
        </w:tc>
        <w:tc>
          <w:tcPr>
            <w:tcW w:w="6096" w:type="dxa"/>
          </w:tcPr>
          <w:p>
            <w:pPr>
              <w:autoSpaceDE w:val="0"/>
              <w:autoSpaceDN w:val="0"/>
              <w:adjustRightInd w:val="0"/>
              <w:spacing w:line="420" w:lineRule="exact"/>
              <w:jc w:val="left"/>
              <w:rPr>
                <w:rFonts w:ascii="宋体" w:hAnsi="宋体"/>
                <w:b/>
                <w:sz w:val="24"/>
              </w:rPr>
            </w:pPr>
          </w:p>
        </w:tc>
        <w:tc>
          <w:tcPr>
            <w:tcW w:w="2374" w:type="dxa"/>
            <w:vAlign w:val="center"/>
          </w:tcPr>
          <w:p>
            <w:pPr>
              <w:autoSpaceDE w:val="0"/>
              <w:autoSpaceDN w:val="0"/>
              <w:adjustRightInd w:val="0"/>
              <w:spacing w:line="420" w:lineRule="exact"/>
              <w:jc w:val="center"/>
              <w:rPr>
                <w:rFonts w:ascii="宋体" w:hAnsi="宋体"/>
                <w:b/>
                <w:sz w:val="24"/>
              </w:rPr>
            </w:pPr>
            <w:r>
              <w:rPr>
                <w:rFonts w:hint="eastAsia" w:ascii="宋体" w:hAnsi="宋体"/>
                <w:b/>
                <w:sz w:val="24"/>
              </w:rPr>
              <w:t>P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sz w:val="24"/>
              </w:rPr>
            </w:pPr>
          </w:p>
        </w:tc>
        <w:tc>
          <w:tcPr>
            <w:tcW w:w="6096" w:type="dxa"/>
          </w:tcPr>
          <w:p>
            <w:pPr>
              <w:autoSpaceDE w:val="0"/>
              <w:autoSpaceDN w:val="0"/>
              <w:adjustRightInd w:val="0"/>
              <w:spacing w:line="420" w:lineRule="exact"/>
              <w:jc w:val="left"/>
              <w:rPr>
                <w:rFonts w:ascii="宋体" w:hAnsi="宋体"/>
                <w:b/>
                <w:sz w:val="24"/>
              </w:rPr>
            </w:pPr>
          </w:p>
        </w:tc>
        <w:tc>
          <w:tcPr>
            <w:tcW w:w="2374" w:type="dxa"/>
            <w:vAlign w:val="center"/>
          </w:tcPr>
          <w:p>
            <w:pPr>
              <w:autoSpaceDE w:val="0"/>
              <w:autoSpaceDN w:val="0"/>
              <w:adjustRightInd w:val="0"/>
              <w:spacing w:line="420" w:lineRule="exact"/>
              <w:jc w:val="center"/>
              <w:rPr>
                <w:rFonts w:ascii="宋体" w:hAnsi="宋体"/>
                <w:b/>
                <w:sz w:val="24"/>
              </w:rPr>
            </w:pPr>
            <w:r>
              <w:rPr>
                <w:rFonts w:hint="eastAsia" w:ascii="宋体" w:hAnsi="宋体"/>
                <w:b/>
                <w:sz w:val="24"/>
              </w:rPr>
              <w:t>P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sz w:val="24"/>
              </w:rPr>
            </w:pPr>
          </w:p>
        </w:tc>
        <w:tc>
          <w:tcPr>
            <w:tcW w:w="6096" w:type="dxa"/>
          </w:tcPr>
          <w:p>
            <w:pPr>
              <w:autoSpaceDE w:val="0"/>
              <w:autoSpaceDN w:val="0"/>
              <w:adjustRightInd w:val="0"/>
              <w:spacing w:line="420" w:lineRule="exact"/>
              <w:jc w:val="left"/>
              <w:rPr>
                <w:rFonts w:ascii="宋体" w:hAnsi="宋体"/>
                <w:b/>
                <w:sz w:val="24"/>
              </w:rPr>
            </w:pPr>
          </w:p>
        </w:tc>
        <w:tc>
          <w:tcPr>
            <w:tcW w:w="2374" w:type="dxa"/>
            <w:vAlign w:val="center"/>
          </w:tcPr>
          <w:p>
            <w:pPr>
              <w:autoSpaceDE w:val="0"/>
              <w:autoSpaceDN w:val="0"/>
              <w:adjustRightInd w:val="0"/>
              <w:spacing w:line="420" w:lineRule="exact"/>
              <w:jc w:val="center"/>
              <w:rPr>
                <w:rFonts w:ascii="宋体" w:hAnsi="宋体"/>
                <w:b/>
                <w:sz w:val="24"/>
              </w:rPr>
            </w:pPr>
            <w:r>
              <w:rPr>
                <w:rFonts w:hint="eastAsia" w:ascii="宋体" w:hAnsi="宋体"/>
                <w:b/>
                <w:sz w:val="24"/>
              </w:rPr>
              <w:t>P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sz w:val="24"/>
              </w:rPr>
            </w:pPr>
          </w:p>
        </w:tc>
        <w:tc>
          <w:tcPr>
            <w:tcW w:w="6096" w:type="dxa"/>
          </w:tcPr>
          <w:p>
            <w:pPr>
              <w:autoSpaceDE w:val="0"/>
              <w:autoSpaceDN w:val="0"/>
              <w:adjustRightInd w:val="0"/>
              <w:spacing w:line="420" w:lineRule="exact"/>
              <w:jc w:val="left"/>
              <w:rPr>
                <w:rFonts w:ascii="宋体" w:hAnsi="宋体"/>
                <w:b/>
                <w:sz w:val="24"/>
              </w:rPr>
            </w:pPr>
          </w:p>
        </w:tc>
        <w:tc>
          <w:tcPr>
            <w:tcW w:w="2374" w:type="dxa"/>
            <w:vAlign w:val="center"/>
          </w:tcPr>
          <w:p>
            <w:pPr>
              <w:autoSpaceDE w:val="0"/>
              <w:autoSpaceDN w:val="0"/>
              <w:adjustRightInd w:val="0"/>
              <w:spacing w:line="420" w:lineRule="exact"/>
              <w:jc w:val="center"/>
              <w:rPr>
                <w:rFonts w:ascii="宋体" w:hAnsi="宋体"/>
                <w:b/>
                <w:sz w:val="24"/>
              </w:rPr>
            </w:pPr>
            <w:r>
              <w:rPr>
                <w:rFonts w:hint="eastAsia" w:ascii="宋体" w:hAnsi="宋体"/>
                <w:b/>
                <w:sz w:val="24"/>
              </w:rPr>
              <w:t>P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sz w:val="24"/>
              </w:rPr>
            </w:pPr>
          </w:p>
        </w:tc>
        <w:tc>
          <w:tcPr>
            <w:tcW w:w="6096" w:type="dxa"/>
          </w:tcPr>
          <w:p>
            <w:pPr>
              <w:autoSpaceDE w:val="0"/>
              <w:autoSpaceDN w:val="0"/>
              <w:adjustRightInd w:val="0"/>
              <w:spacing w:line="420" w:lineRule="exact"/>
              <w:jc w:val="left"/>
              <w:rPr>
                <w:rFonts w:ascii="宋体" w:hAnsi="宋体"/>
                <w:b/>
                <w:sz w:val="24"/>
              </w:rPr>
            </w:pPr>
          </w:p>
        </w:tc>
        <w:tc>
          <w:tcPr>
            <w:tcW w:w="2374" w:type="dxa"/>
            <w:vAlign w:val="center"/>
          </w:tcPr>
          <w:p>
            <w:pPr>
              <w:autoSpaceDE w:val="0"/>
              <w:autoSpaceDN w:val="0"/>
              <w:adjustRightInd w:val="0"/>
              <w:spacing w:line="420" w:lineRule="exact"/>
              <w:jc w:val="center"/>
              <w:rPr>
                <w:rFonts w:ascii="宋体" w:hAnsi="宋体"/>
                <w:b/>
                <w:sz w:val="24"/>
              </w:rPr>
            </w:pPr>
            <w:r>
              <w:rPr>
                <w:rFonts w:hint="eastAsia" w:ascii="宋体" w:hAnsi="宋体"/>
                <w:b/>
                <w:sz w:val="24"/>
              </w:rPr>
              <w:t>P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sz w:val="24"/>
              </w:rPr>
            </w:pPr>
          </w:p>
        </w:tc>
        <w:tc>
          <w:tcPr>
            <w:tcW w:w="6096" w:type="dxa"/>
          </w:tcPr>
          <w:p>
            <w:pPr>
              <w:autoSpaceDE w:val="0"/>
              <w:autoSpaceDN w:val="0"/>
              <w:adjustRightInd w:val="0"/>
              <w:spacing w:line="420" w:lineRule="exact"/>
              <w:jc w:val="left"/>
              <w:rPr>
                <w:rFonts w:ascii="宋体" w:hAnsi="宋体"/>
                <w:b/>
                <w:sz w:val="24"/>
              </w:rPr>
            </w:pPr>
          </w:p>
        </w:tc>
        <w:tc>
          <w:tcPr>
            <w:tcW w:w="2374" w:type="dxa"/>
            <w:vAlign w:val="center"/>
          </w:tcPr>
          <w:p>
            <w:pPr>
              <w:autoSpaceDE w:val="0"/>
              <w:autoSpaceDN w:val="0"/>
              <w:adjustRightInd w:val="0"/>
              <w:spacing w:line="420" w:lineRule="exact"/>
              <w:jc w:val="center"/>
              <w:rPr>
                <w:rFonts w:ascii="宋体" w:hAnsi="宋体"/>
                <w:b/>
                <w:sz w:val="24"/>
              </w:rPr>
            </w:pPr>
            <w:r>
              <w:rPr>
                <w:rFonts w:hint="eastAsia" w:ascii="宋体" w:hAnsi="宋体"/>
                <w:b/>
                <w:sz w:val="24"/>
              </w:rPr>
              <w:t>P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sz w:val="24"/>
              </w:rPr>
            </w:pPr>
          </w:p>
        </w:tc>
        <w:tc>
          <w:tcPr>
            <w:tcW w:w="6096" w:type="dxa"/>
          </w:tcPr>
          <w:p>
            <w:pPr>
              <w:autoSpaceDE w:val="0"/>
              <w:autoSpaceDN w:val="0"/>
              <w:adjustRightInd w:val="0"/>
              <w:spacing w:line="420" w:lineRule="exact"/>
              <w:jc w:val="left"/>
              <w:rPr>
                <w:rFonts w:ascii="宋体" w:hAnsi="宋体"/>
                <w:b/>
                <w:sz w:val="24"/>
              </w:rPr>
            </w:pPr>
          </w:p>
        </w:tc>
        <w:tc>
          <w:tcPr>
            <w:tcW w:w="2374" w:type="dxa"/>
            <w:vAlign w:val="center"/>
          </w:tcPr>
          <w:p>
            <w:pPr>
              <w:autoSpaceDE w:val="0"/>
              <w:autoSpaceDN w:val="0"/>
              <w:adjustRightInd w:val="0"/>
              <w:spacing w:line="420" w:lineRule="exact"/>
              <w:jc w:val="center"/>
              <w:rPr>
                <w:rFonts w:ascii="宋体" w:hAnsi="宋体"/>
                <w:b/>
                <w:sz w:val="24"/>
              </w:rPr>
            </w:pPr>
            <w:r>
              <w:rPr>
                <w:rFonts w:hint="eastAsia" w:ascii="宋体" w:hAnsi="宋体"/>
                <w:b/>
                <w:sz w:val="24"/>
              </w:rPr>
              <w:t>P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sz w:val="24"/>
              </w:rPr>
            </w:pPr>
          </w:p>
        </w:tc>
        <w:tc>
          <w:tcPr>
            <w:tcW w:w="6096" w:type="dxa"/>
          </w:tcPr>
          <w:p>
            <w:pPr>
              <w:autoSpaceDE w:val="0"/>
              <w:autoSpaceDN w:val="0"/>
              <w:adjustRightInd w:val="0"/>
              <w:spacing w:line="420" w:lineRule="exact"/>
              <w:jc w:val="left"/>
              <w:rPr>
                <w:rFonts w:ascii="宋体" w:hAnsi="宋体"/>
                <w:b/>
                <w:sz w:val="24"/>
              </w:rPr>
            </w:pPr>
          </w:p>
        </w:tc>
        <w:tc>
          <w:tcPr>
            <w:tcW w:w="2374" w:type="dxa"/>
            <w:vAlign w:val="center"/>
          </w:tcPr>
          <w:p>
            <w:pPr>
              <w:autoSpaceDE w:val="0"/>
              <w:autoSpaceDN w:val="0"/>
              <w:adjustRightInd w:val="0"/>
              <w:spacing w:line="420" w:lineRule="exact"/>
              <w:jc w:val="center"/>
              <w:rPr>
                <w:rFonts w:ascii="宋体" w:hAnsi="宋体"/>
                <w:b/>
                <w:sz w:val="24"/>
              </w:rPr>
            </w:pPr>
            <w:r>
              <w:rPr>
                <w:rFonts w:hint="eastAsia" w:ascii="宋体" w:hAnsi="宋体"/>
                <w:b/>
                <w:sz w:val="24"/>
              </w:rPr>
              <w:t>P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42" w:type="dxa"/>
          </w:tcPr>
          <w:p>
            <w:pPr>
              <w:autoSpaceDE w:val="0"/>
              <w:autoSpaceDN w:val="0"/>
              <w:adjustRightInd w:val="0"/>
              <w:spacing w:line="420" w:lineRule="exact"/>
              <w:jc w:val="left"/>
              <w:rPr>
                <w:rFonts w:ascii="宋体" w:hAnsi="宋体"/>
                <w:b/>
                <w:sz w:val="24"/>
              </w:rPr>
            </w:pPr>
          </w:p>
        </w:tc>
        <w:tc>
          <w:tcPr>
            <w:tcW w:w="6096" w:type="dxa"/>
          </w:tcPr>
          <w:p>
            <w:pPr>
              <w:autoSpaceDE w:val="0"/>
              <w:autoSpaceDN w:val="0"/>
              <w:adjustRightInd w:val="0"/>
              <w:spacing w:line="420" w:lineRule="exact"/>
              <w:jc w:val="left"/>
              <w:rPr>
                <w:rFonts w:ascii="宋体" w:hAnsi="宋体"/>
                <w:b/>
                <w:sz w:val="24"/>
              </w:rPr>
            </w:pPr>
          </w:p>
        </w:tc>
        <w:tc>
          <w:tcPr>
            <w:tcW w:w="2374" w:type="dxa"/>
            <w:vAlign w:val="center"/>
          </w:tcPr>
          <w:p>
            <w:pPr>
              <w:autoSpaceDE w:val="0"/>
              <w:autoSpaceDN w:val="0"/>
              <w:adjustRightInd w:val="0"/>
              <w:spacing w:line="420" w:lineRule="exact"/>
              <w:jc w:val="center"/>
              <w:rPr>
                <w:rFonts w:ascii="宋体" w:hAnsi="宋体"/>
                <w:b/>
                <w:sz w:val="24"/>
              </w:rPr>
            </w:pPr>
            <w:r>
              <w:rPr>
                <w:rFonts w:hint="eastAsia" w:ascii="宋体" w:hAnsi="宋体"/>
                <w:b/>
                <w:sz w:val="24"/>
              </w:rPr>
              <w:t>P ～P</w:t>
            </w:r>
          </w:p>
        </w:tc>
      </w:tr>
    </w:tbl>
    <w:p>
      <w:pPr>
        <w:widowControl/>
        <w:spacing w:line="312" w:lineRule="auto"/>
        <w:jc w:val="left"/>
        <w:rPr>
          <w:rFonts w:ascii="宋体" w:hAnsi="宋体" w:cs="宋体"/>
          <w:sz w:val="44"/>
          <w:szCs w:val="44"/>
        </w:rPr>
      </w:pPr>
    </w:p>
    <w:p>
      <w:pPr>
        <w:widowControl/>
        <w:spacing w:line="312" w:lineRule="auto"/>
        <w:ind w:firstLine="3520" w:firstLineChars="800"/>
        <w:jc w:val="left"/>
        <w:rPr>
          <w:rFonts w:ascii="宋体" w:hAnsi="宋体" w:cs="宋体"/>
          <w:b/>
          <w:sz w:val="24"/>
        </w:rPr>
      </w:pPr>
      <w:r>
        <w:rPr>
          <w:rFonts w:hint="eastAsia" w:ascii="宋体" w:hAnsi="宋体" w:cs="宋体"/>
          <w:b/>
          <w:sz w:val="44"/>
          <w:szCs w:val="44"/>
        </w:rPr>
        <w:t>目      录</w:t>
      </w:r>
    </w:p>
    <w:p>
      <w:pPr>
        <w:widowControl/>
        <w:spacing w:line="312" w:lineRule="auto"/>
        <w:jc w:val="left"/>
        <w:rPr>
          <w:rFonts w:ascii="宋体" w:hAnsi="宋体" w:cs="宋体"/>
          <w:b/>
          <w:kern w:val="0"/>
          <w:sz w:val="24"/>
        </w:rPr>
      </w:pPr>
    </w:p>
    <w:p>
      <w:pPr>
        <w:widowControl/>
        <w:spacing w:line="312" w:lineRule="auto"/>
        <w:jc w:val="left"/>
        <w:rPr>
          <w:rFonts w:ascii="宋体" w:hAnsi="宋体" w:cs="宋体"/>
          <w:b/>
          <w:kern w:val="0"/>
          <w:sz w:val="24"/>
        </w:rPr>
      </w:pPr>
    </w:p>
    <w:p>
      <w:pPr>
        <w:autoSpaceDE w:val="0"/>
        <w:autoSpaceDN w:val="0"/>
        <w:adjustRightInd w:val="0"/>
        <w:spacing w:line="312" w:lineRule="auto"/>
        <w:jc w:val="left"/>
        <w:rPr>
          <w:rFonts w:ascii="宋体" w:hAnsi="宋体" w:cs="宋体"/>
          <w:kern w:val="0"/>
          <w:sz w:val="24"/>
        </w:rPr>
      </w:pPr>
      <w:r>
        <w:rPr>
          <w:rFonts w:hint="eastAsia" w:ascii="宋体" w:hAnsi="宋体" w:cs="宋体"/>
          <w:kern w:val="0"/>
          <w:sz w:val="24"/>
        </w:rPr>
        <w:t xml:space="preserve">   一 投标函及投标函附录</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二 法定代表人身份证明</w:t>
      </w:r>
      <w:r>
        <w:rPr>
          <w:rFonts w:hint="eastAsia" w:ascii="宋体" w:hAnsi="宋体" w:cs="宋体"/>
          <w:kern w:val="0"/>
          <w:sz w:val="24"/>
          <w:lang w:val="en-US" w:eastAsia="zh-CN"/>
        </w:rPr>
        <w:t>及</w:t>
      </w:r>
      <w:r>
        <w:rPr>
          <w:rFonts w:hint="eastAsia" w:ascii="宋体" w:hAnsi="宋体" w:cs="宋体"/>
          <w:kern w:val="0"/>
          <w:sz w:val="24"/>
        </w:rPr>
        <w:t>授权委托书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三 投标保证金</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四 已标价工程量清单</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五 施工组织设计</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六 项目管理机构</w:t>
      </w:r>
    </w:p>
    <w:p>
      <w:pPr>
        <w:spacing w:line="312" w:lineRule="auto"/>
        <w:ind w:firstLine="120" w:firstLineChars="50"/>
        <w:rPr>
          <w:rFonts w:ascii="宋体" w:hAnsi="宋体" w:cs="宋体"/>
          <w:kern w:val="0"/>
          <w:sz w:val="24"/>
        </w:rPr>
      </w:pPr>
      <w:r>
        <w:rPr>
          <w:rFonts w:hint="eastAsia" w:ascii="宋体" w:hAnsi="宋体" w:cs="宋体"/>
          <w:kern w:val="0"/>
          <w:sz w:val="24"/>
        </w:rPr>
        <w:t xml:space="preserve">  七 资格证明文件</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八 近年财务状况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九 近年完成的类似项目情况</w:t>
      </w:r>
    </w:p>
    <w:p>
      <w:pPr>
        <w:autoSpaceDE w:val="0"/>
        <w:autoSpaceDN w:val="0"/>
        <w:adjustRightInd w:val="0"/>
        <w:spacing w:line="312" w:lineRule="auto"/>
        <w:ind w:firstLine="120" w:firstLineChars="50"/>
        <w:jc w:val="left"/>
        <w:rPr>
          <w:rFonts w:hint="eastAsia" w:ascii="宋体" w:hAnsi="宋体" w:eastAsia="宋体" w:cs="宋体"/>
          <w:kern w:val="0"/>
          <w:sz w:val="24"/>
          <w:lang w:val="en-US" w:eastAsia="zh-CN"/>
        </w:rPr>
      </w:pPr>
      <w:r>
        <w:rPr>
          <w:rFonts w:hint="eastAsia" w:ascii="宋体" w:hAnsi="宋体" w:cs="宋体"/>
          <w:kern w:val="0"/>
          <w:sz w:val="24"/>
        </w:rPr>
        <w:t xml:space="preserve">  十 正在施工的和新承接的项目情况</w:t>
      </w:r>
      <w:r>
        <w:rPr>
          <w:rFonts w:hint="eastAsia" w:ascii="宋体" w:hAnsi="宋体" w:cs="宋体"/>
          <w:kern w:val="0"/>
          <w:sz w:val="24"/>
          <w:lang w:val="en-US" w:eastAsia="zh-CN"/>
        </w:rPr>
        <w:t>表</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十一 近年发生的诉讼</w:t>
      </w:r>
      <w:r>
        <w:rPr>
          <w:rFonts w:hint="eastAsia" w:ascii="宋体" w:hAnsi="宋体" w:cs="宋体"/>
          <w:kern w:val="0"/>
          <w:sz w:val="24"/>
          <w:lang w:val="en-US" w:eastAsia="zh-CN"/>
        </w:rPr>
        <w:t>和</w:t>
      </w:r>
      <w:r>
        <w:rPr>
          <w:rFonts w:hint="eastAsia" w:ascii="宋体" w:hAnsi="宋体" w:cs="宋体"/>
          <w:kern w:val="0"/>
          <w:sz w:val="24"/>
        </w:rPr>
        <w:t>仲裁情况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十二 承诺书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十三 投标人须知前附表规定的其它材料</w:t>
      </w:r>
    </w:p>
    <w:p>
      <w:pPr>
        <w:autoSpaceDE w:val="0"/>
        <w:autoSpaceDN w:val="0"/>
        <w:adjustRightInd w:val="0"/>
        <w:spacing w:line="312" w:lineRule="auto"/>
        <w:ind w:firstLine="120" w:firstLineChars="50"/>
        <w:jc w:val="left"/>
        <w:rPr>
          <w:rFonts w:ascii="宋体" w:hAnsi="宋体" w:cs="宋体"/>
          <w:kern w:val="0"/>
          <w:sz w:val="24"/>
        </w:rPr>
      </w:pPr>
    </w:p>
    <w:p>
      <w:pPr>
        <w:spacing w:line="600" w:lineRule="exact"/>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autoSpaceDE w:val="0"/>
        <w:autoSpaceDN w:val="0"/>
        <w:adjustRightInd w:val="0"/>
        <w:spacing w:line="312" w:lineRule="auto"/>
        <w:jc w:val="left"/>
        <w:rPr>
          <w:rFonts w:ascii="宋体" w:hAnsi="宋体" w:cs="宋体"/>
          <w:kern w:val="0"/>
          <w:sz w:val="24"/>
        </w:rPr>
      </w:pPr>
      <w:r>
        <w:rPr>
          <w:rFonts w:hint="eastAsia" w:ascii="新宋体" w:hAnsi="新宋体" w:eastAsia="新宋体"/>
          <w:b/>
          <w:sz w:val="24"/>
        </w:rPr>
        <w:t xml:space="preserve">       如有本章未提供的格式，投标人可自行编制。</w:t>
      </w: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sectPr>
          <w:pgSz w:w="11906" w:h="16838"/>
          <w:pgMar w:top="1531" w:right="1418" w:bottom="1531" w:left="1418" w:header="851" w:footer="992" w:gutter="0"/>
          <w:cols w:space="720" w:num="1"/>
          <w:docGrid w:type="linesAndChars" w:linePitch="312" w:charSpace="0"/>
        </w:sectPr>
      </w:pPr>
    </w:p>
    <w:p>
      <w:pPr>
        <w:pStyle w:val="7"/>
        <w:jc w:val="center"/>
        <w:rPr>
          <w:rFonts w:ascii="黑体" w:hAnsi="黑体" w:cs="黑体"/>
          <w:sz w:val="28"/>
          <w:szCs w:val="28"/>
        </w:rPr>
      </w:pPr>
      <w:bookmarkStart w:id="367" w:name="_Toc6618"/>
      <w:bookmarkStart w:id="368" w:name="_Toc6391"/>
      <w:bookmarkStart w:id="369" w:name="_Toc9303"/>
      <w:bookmarkStart w:id="370" w:name="_Toc11744"/>
      <w:bookmarkStart w:id="371" w:name="_Toc517940888"/>
      <w:bookmarkStart w:id="372" w:name="_Toc32211"/>
      <w:r>
        <w:rPr>
          <w:rFonts w:hint="eastAsia" w:ascii="黑体" w:hAnsi="黑体" w:cs="黑体"/>
          <w:sz w:val="28"/>
          <w:szCs w:val="28"/>
        </w:rPr>
        <w:t>一、投标函</w:t>
      </w:r>
      <w:bookmarkEnd w:id="367"/>
      <w:bookmarkEnd w:id="368"/>
      <w:bookmarkEnd w:id="369"/>
      <w:bookmarkEnd w:id="370"/>
      <w:r>
        <w:rPr>
          <w:rFonts w:hint="eastAsia" w:ascii="黑体" w:hAnsi="黑体" w:cs="黑体"/>
          <w:sz w:val="28"/>
          <w:szCs w:val="28"/>
        </w:rPr>
        <w:t>及投标函附录</w:t>
      </w:r>
      <w:bookmarkEnd w:id="371"/>
      <w:bookmarkEnd w:id="372"/>
    </w:p>
    <w:p>
      <w:pPr>
        <w:spacing w:line="312" w:lineRule="auto"/>
      </w:pPr>
    </w:p>
    <w:p>
      <w:pPr>
        <w:jc w:val="center"/>
        <w:rPr>
          <w:rFonts w:ascii="宋体" w:hAnsi="宋体" w:cs="宋体"/>
          <w:b/>
          <w:sz w:val="28"/>
          <w:szCs w:val="28"/>
        </w:rPr>
      </w:pPr>
      <w:bookmarkStart w:id="373" w:name="_Toc296678831"/>
      <w:bookmarkStart w:id="374" w:name="_Toc296676346"/>
      <w:bookmarkStart w:id="375" w:name="_Toc280271191"/>
      <w:bookmarkStart w:id="376" w:name="_Toc215282239"/>
      <w:bookmarkStart w:id="377" w:name="_Toc280271338"/>
      <w:bookmarkStart w:id="378" w:name="_Toc280275169"/>
      <w:r>
        <w:rPr>
          <w:rFonts w:hint="eastAsia" w:ascii="宋体" w:hAnsi="宋体" w:cs="宋体"/>
          <w:b/>
          <w:sz w:val="28"/>
          <w:szCs w:val="28"/>
        </w:rPr>
        <w:t>（一）投标函</w:t>
      </w:r>
      <w:bookmarkEnd w:id="373"/>
      <w:bookmarkEnd w:id="374"/>
    </w:p>
    <w:p>
      <w:pPr>
        <w:tabs>
          <w:tab w:val="left" w:pos="360"/>
          <w:tab w:val="left" w:pos="540"/>
          <w:tab w:val="left" w:pos="900"/>
        </w:tabs>
        <w:spacing w:line="360" w:lineRule="auto"/>
        <w:rPr>
          <w:rFonts w:ascii="宋体" w:hAnsi="宋体" w:cs="宋体"/>
          <w:sz w:val="24"/>
        </w:rPr>
      </w:pPr>
      <w:r>
        <w:rPr>
          <w:rFonts w:hint="eastAsia" w:ascii="宋体" w:hAnsi="宋体" w:cs="宋体"/>
          <w:sz w:val="24"/>
          <w:u w:val="single"/>
        </w:rPr>
        <w:t>（招标人名称）</w:t>
      </w:r>
      <w:r>
        <w:rPr>
          <w:rFonts w:hint="eastAsia" w:ascii="宋体" w:hAnsi="宋体" w:cs="宋体"/>
          <w:sz w:val="24"/>
        </w:rPr>
        <w:t>：</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sz w:val="24"/>
        </w:rPr>
        <w:t>1、我方仔细研究了</w:t>
      </w:r>
      <w:r>
        <w:rPr>
          <w:rFonts w:hint="eastAsia" w:ascii="宋体" w:hAnsi="宋体" w:cs="宋体"/>
          <w:bCs/>
          <w:sz w:val="24"/>
          <w:u w:val="single"/>
        </w:rPr>
        <w:t xml:space="preserve">     （工程名称、标段）    </w:t>
      </w:r>
      <w:r>
        <w:rPr>
          <w:rFonts w:hint="eastAsia" w:ascii="宋体" w:hAnsi="宋体" w:cs="宋体"/>
          <w:bCs/>
          <w:sz w:val="24"/>
        </w:rPr>
        <w:t>招标文件（包括补充通知）的全部内容并勘察了现场，愿意以人民币（大写）（￥）的投标总报价，按招标文件规定的条件和要求承包合同规定的全部工作，并承担相关的责任。</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3、随同本投标文件附上元投标保证金，作为我方投标的担保。</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4、本次投标，我方投标工期：日历天，质量：</w:t>
      </w:r>
      <w:r>
        <w:rPr>
          <w:rFonts w:hint="eastAsia" w:ascii="宋体" w:hAnsi="宋体" w:cs="宋体"/>
          <w:bCs/>
          <w:sz w:val="24"/>
          <w:u w:val="single"/>
        </w:rPr>
        <w:t>　　　　</w:t>
      </w:r>
      <w:r>
        <w:rPr>
          <w:rFonts w:hint="eastAsia" w:ascii="宋体" w:hAnsi="宋体" w:cs="宋体"/>
          <w:bCs/>
          <w:sz w:val="24"/>
        </w:rPr>
        <w:t>。</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5、若我方中标：</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（1）我方保证在收到你方的中标通知书后，按招标文件规定的期限，及时派代表前去签定合同。</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（2）随同本投标文件提交的投标辅助资料中的任何部分，经你方确认后作为合同文件的组成部分。</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（3）我方保证接到开工通知后立即调遣人员和调配施工设备、材料进入工地进行施工准备，并保证在合同规定的期限内完成合同规定的全部工作。</w:t>
      </w:r>
    </w:p>
    <w:p>
      <w:pPr>
        <w:tabs>
          <w:tab w:val="left" w:pos="360"/>
          <w:tab w:val="left" w:pos="540"/>
          <w:tab w:val="left" w:pos="900"/>
        </w:tabs>
        <w:spacing w:line="360" w:lineRule="auto"/>
        <w:ind w:firstLine="480" w:firstLineChars="200"/>
      </w:pPr>
      <w:r>
        <w:rPr>
          <w:rFonts w:hint="eastAsia" w:ascii="宋体" w:hAnsi="宋体" w:cs="宋体"/>
          <w:bCs/>
          <w:sz w:val="24"/>
        </w:rPr>
        <w:t>(4)我公司承诺中标后及时、足额存入农民工工资保障金,承诺依法足额支付农民工工资，一旦其承包的工程项目中出现拖欠职工工资情况的，可由建设单位从其缴纳的农民工工资保障金中先予垫资。</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6、我方完全理解你方不保证投标报价最低的投标人中标。</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7、我方承诺，若我方中标，愿意按要求交纳代理费等相关费用。</w:t>
      </w:r>
    </w:p>
    <w:p>
      <w:pPr>
        <w:spacing w:line="360" w:lineRule="auto"/>
        <w:ind w:firstLine="480" w:firstLineChars="200"/>
        <w:rPr>
          <w:rFonts w:ascii="宋体" w:hAnsi="宋体" w:cs="宋体"/>
          <w:sz w:val="24"/>
        </w:rPr>
      </w:pPr>
      <w:r>
        <w:rPr>
          <w:rFonts w:hint="eastAsia" w:ascii="宋体" w:hAnsi="宋体" w:cs="宋体"/>
          <w:sz w:val="24"/>
        </w:rPr>
        <w:t>投标人（盖章）：</w:t>
      </w:r>
    </w:p>
    <w:p>
      <w:pPr>
        <w:spacing w:line="360" w:lineRule="auto"/>
        <w:ind w:firstLine="480" w:firstLineChars="200"/>
        <w:rPr>
          <w:rFonts w:ascii="宋体" w:hAnsi="宋体" w:cs="宋体"/>
          <w:sz w:val="24"/>
        </w:rPr>
      </w:pPr>
      <w:r>
        <w:rPr>
          <w:rFonts w:hint="eastAsia" w:ascii="宋体" w:hAnsi="宋体" w:cs="宋体"/>
          <w:sz w:val="24"/>
        </w:rPr>
        <w:t>法人代表或委托代理人（签字或盖章）：</w:t>
      </w:r>
    </w:p>
    <w:p>
      <w:pPr>
        <w:spacing w:line="360" w:lineRule="auto"/>
        <w:ind w:firstLine="480" w:firstLineChars="200"/>
        <w:rPr>
          <w:rFonts w:ascii="宋体" w:hAnsi="宋体" w:cs="宋体"/>
          <w:sz w:val="24"/>
        </w:rPr>
      </w:pPr>
      <w:r>
        <w:rPr>
          <w:rFonts w:hint="eastAsia" w:ascii="宋体" w:hAnsi="宋体" w:cs="宋体"/>
          <w:sz w:val="24"/>
        </w:rPr>
        <w:t>日期：年月日</w:t>
      </w:r>
    </w:p>
    <w:bookmarkEnd w:id="375"/>
    <w:bookmarkEnd w:id="376"/>
    <w:bookmarkEnd w:id="377"/>
    <w:bookmarkEnd w:id="378"/>
    <w:p>
      <w:pPr>
        <w:rPr>
          <w:rFonts w:ascii="宋体" w:hAnsi="宋体" w:cs="宋体"/>
          <w:b/>
          <w:bCs/>
          <w:sz w:val="32"/>
          <w:szCs w:val="32"/>
        </w:rPr>
      </w:pPr>
      <w:bookmarkStart w:id="379" w:name="_Toc26011"/>
      <w:bookmarkStart w:id="380" w:name="_Toc5184"/>
      <w:bookmarkStart w:id="381" w:name="_Toc15432"/>
      <w:bookmarkStart w:id="382" w:name="_Toc6320"/>
      <w:r>
        <w:rPr>
          <w:rFonts w:hint="eastAsia" w:ascii="宋体" w:hAnsi="宋体" w:cs="宋体"/>
          <w:sz w:val="24"/>
        </w:rPr>
        <w:br w:type="page"/>
      </w:r>
      <w:r>
        <w:rPr>
          <w:rFonts w:hint="eastAsia" w:ascii="宋体" w:hAnsi="宋体" w:cs="宋体"/>
          <w:sz w:val="32"/>
          <w:szCs w:val="32"/>
        </w:rPr>
        <w:t>（二）投标</w:t>
      </w:r>
      <w:bookmarkEnd w:id="379"/>
      <w:bookmarkEnd w:id="380"/>
      <w:bookmarkEnd w:id="381"/>
      <w:bookmarkEnd w:id="382"/>
      <w:r>
        <w:rPr>
          <w:rFonts w:hint="eastAsia" w:ascii="宋体" w:hAnsi="宋体" w:cs="宋体"/>
          <w:sz w:val="32"/>
          <w:szCs w:val="32"/>
        </w:rPr>
        <w:t>函附录</w:t>
      </w:r>
    </w:p>
    <w:tbl>
      <w:tblPr>
        <w:tblStyle w:val="35"/>
        <w:tblW w:w="91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280"/>
        <w:gridCol w:w="149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exact"/>
        </w:trPr>
        <w:tc>
          <w:tcPr>
            <w:tcW w:w="2520" w:type="dxa"/>
            <w:vAlign w:val="center"/>
          </w:tcPr>
          <w:p>
            <w:pPr>
              <w:pStyle w:val="80"/>
              <w:spacing w:line="312" w:lineRule="auto"/>
              <w:jc w:val="center"/>
              <w:textAlignment w:val="center"/>
              <w:rPr>
                <w:rFonts w:ascii="宋体" w:hAnsi="宋体" w:cs="宋体"/>
                <w:sz w:val="24"/>
                <w:szCs w:val="24"/>
              </w:rPr>
            </w:pPr>
            <w:r>
              <w:rPr>
                <w:rFonts w:hint="eastAsia" w:ascii="宋体" w:hAnsi="宋体" w:cs="宋体"/>
                <w:sz w:val="24"/>
                <w:szCs w:val="24"/>
              </w:rPr>
              <w:t>项目名称</w:t>
            </w:r>
          </w:p>
        </w:tc>
        <w:tc>
          <w:tcPr>
            <w:tcW w:w="6676" w:type="dxa"/>
            <w:gridSpan w:val="3"/>
          </w:tcPr>
          <w:p>
            <w:pPr>
              <w:pStyle w:val="80"/>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exact"/>
        </w:trPr>
        <w:tc>
          <w:tcPr>
            <w:tcW w:w="2520" w:type="dxa"/>
            <w:vAlign w:val="center"/>
          </w:tcPr>
          <w:p>
            <w:pPr>
              <w:pStyle w:val="80"/>
              <w:spacing w:line="312" w:lineRule="auto"/>
              <w:jc w:val="center"/>
              <w:textAlignment w:val="center"/>
              <w:rPr>
                <w:rFonts w:ascii="宋体" w:hAnsi="宋体" w:cs="宋体"/>
                <w:sz w:val="24"/>
                <w:szCs w:val="24"/>
              </w:rPr>
            </w:pPr>
            <w:r>
              <w:rPr>
                <w:rFonts w:hint="eastAsia" w:ascii="宋体" w:hAnsi="宋体" w:cs="宋体"/>
                <w:sz w:val="24"/>
                <w:szCs w:val="24"/>
              </w:rPr>
              <w:t>标段名称</w:t>
            </w:r>
          </w:p>
        </w:tc>
        <w:tc>
          <w:tcPr>
            <w:tcW w:w="6676" w:type="dxa"/>
            <w:gridSpan w:val="3"/>
          </w:tcPr>
          <w:p>
            <w:pPr>
              <w:pStyle w:val="80"/>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exact"/>
        </w:trPr>
        <w:tc>
          <w:tcPr>
            <w:tcW w:w="2520" w:type="dxa"/>
            <w:vAlign w:val="center"/>
          </w:tcPr>
          <w:p>
            <w:pPr>
              <w:pStyle w:val="80"/>
              <w:spacing w:line="312" w:lineRule="auto"/>
              <w:jc w:val="center"/>
              <w:textAlignment w:val="center"/>
              <w:rPr>
                <w:rFonts w:ascii="宋体" w:hAnsi="宋体" w:cs="宋体"/>
                <w:sz w:val="24"/>
                <w:szCs w:val="24"/>
              </w:rPr>
            </w:pPr>
            <w:r>
              <w:rPr>
                <w:rFonts w:hint="eastAsia" w:ascii="宋体" w:hAnsi="宋体" w:cs="宋体"/>
                <w:sz w:val="24"/>
                <w:szCs w:val="24"/>
              </w:rPr>
              <w:t>投标单位</w:t>
            </w:r>
          </w:p>
        </w:tc>
        <w:tc>
          <w:tcPr>
            <w:tcW w:w="6676" w:type="dxa"/>
            <w:gridSpan w:val="3"/>
          </w:tcPr>
          <w:p>
            <w:pPr>
              <w:pStyle w:val="80"/>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2520" w:type="dxa"/>
            <w:vAlign w:val="center"/>
          </w:tcPr>
          <w:p>
            <w:pPr>
              <w:pStyle w:val="80"/>
              <w:spacing w:line="312" w:lineRule="auto"/>
              <w:jc w:val="center"/>
              <w:textAlignment w:val="center"/>
              <w:rPr>
                <w:rFonts w:ascii="宋体" w:hAnsi="宋体" w:cs="宋体"/>
                <w:sz w:val="24"/>
                <w:szCs w:val="24"/>
              </w:rPr>
            </w:pPr>
            <w:r>
              <w:rPr>
                <w:rFonts w:hint="eastAsia" w:ascii="宋体" w:hAnsi="宋体" w:cs="宋体"/>
                <w:sz w:val="24"/>
                <w:szCs w:val="24"/>
              </w:rPr>
              <w:t>投标报价</w:t>
            </w:r>
          </w:p>
        </w:tc>
        <w:tc>
          <w:tcPr>
            <w:tcW w:w="6676" w:type="dxa"/>
            <w:gridSpan w:val="3"/>
            <w:vAlign w:val="center"/>
          </w:tcPr>
          <w:p>
            <w:pPr>
              <w:pStyle w:val="80"/>
              <w:spacing w:line="312" w:lineRule="auto"/>
              <w:ind w:right="210"/>
              <w:jc w:val="both"/>
              <w:textAlignment w:val="top"/>
              <w:rPr>
                <w:rFonts w:ascii="宋体" w:hAnsi="宋体" w:cs="宋体"/>
                <w:sz w:val="24"/>
                <w:szCs w:val="24"/>
              </w:rPr>
            </w:pPr>
            <w:r>
              <w:rPr>
                <w:rFonts w:hint="eastAsia" w:ascii="宋体" w:hAnsi="宋体" w:cs="宋体"/>
                <w:sz w:val="24"/>
                <w:szCs w:val="24"/>
              </w:rPr>
              <w:t>大写：                    小写：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exact"/>
        </w:trPr>
        <w:tc>
          <w:tcPr>
            <w:tcW w:w="2520" w:type="dxa"/>
            <w:vAlign w:val="center"/>
          </w:tcPr>
          <w:p>
            <w:pPr>
              <w:pStyle w:val="80"/>
              <w:spacing w:line="312" w:lineRule="auto"/>
              <w:jc w:val="center"/>
              <w:textAlignment w:val="top"/>
              <w:rPr>
                <w:rFonts w:ascii="宋体" w:hAnsi="宋体" w:cs="宋体"/>
                <w:sz w:val="24"/>
                <w:szCs w:val="24"/>
              </w:rPr>
            </w:pPr>
            <w:r>
              <w:rPr>
                <w:rFonts w:hint="eastAsia" w:ascii="宋体" w:hAnsi="宋体" w:cs="宋体"/>
                <w:sz w:val="24"/>
                <w:szCs w:val="24"/>
              </w:rPr>
              <w:t>投标工期</w:t>
            </w:r>
          </w:p>
        </w:tc>
        <w:tc>
          <w:tcPr>
            <w:tcW w:w="6676" w:type="dxa"/>
            <w:gridSpan w:val="3"/>
            <w:vAlign w:val="center"/>
          </w:tcPr>
          <w:p>
            <w:pPr>
              <w:pStyle w:val="80"/>
              <w:spacing w:line="312" w:lineRule="auto"/>
              <w:jc w:val="center"/>
              <w:textAlignment w:val="top"/>
              <w:rPr>
                <w:rFonts w:ascii="宋体" w:hAnsi="宋体" w:cs="宋体"/>
                <w:sz w:val="24"/>
                <w:szCs w:val="24"/>
              </w:rPr>
            </w:pPr>
            <w:r>
              <w:rPr>
                <w:rFonts w:hint="eastAsia" w:ascii="宋体" w:hAnsi="宋体" w:cs="宋体"/>
                <w:sz w:val="24"/>
                <w:szCs w:val="24"/>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exact"/>
        </w:trPr>
        <w:tc>
          <w:tcPr>
            <w:tcW w:w="2520" w:type="dxa"/>
            <w:vAlign w:val="center"/>
          </w:tcPr>
          <w:p>
            <w:pPr>
              <w:pStyle w:val="80"/>
              <w:spacing w:line="312" w:lineRule="auto"/>
              <w:jc w:val="center"/>
              <w:textAlignment w:val="top"/>
              <w:rPr>
                <w:rFonts w:ascii="宋体" w:hAnsi="宋体" w:cs="宋体"/>
                <w:sz w:val="24"/>
                <w:szCs w:val="24"/>
              </w:rPr>
            </w:pPr>
            <w:r>
              <w:rPr>
                <w:rFonts w:hint="eastAsia" w:ascii="宋体" w:hAnsi="宋体" w:cs="宋体"/>
                <w:sz w:val="24"/>
                <w:szCs w:val="24"/>
              </w:rPr>
              <w:t>投标有效期</w:t>
            </w:r>
          </w:p>
        </w:tc>
        <w:tc>
          <w:tcPr>
            <w:tcW w:w="6676" w:type="dxa"/>
            <w:gridSpan w:val="3"/>
            <w:vAlign w:val="center"/>
          </w:tcPr>
          <w:p>
            <w:pPr>
              <w:pStyle w:val="80"/>
              <w:spacing w:line="312" w:lineRule="auto"/>
              <w:textAlignment w:val="top"/>
              <w:rPr>
                <w:rFonts w:ascii="宋体" w:hAnsi="宋体" w:cs="宋体"/>
                <w:sz w:val="24"/>
                <w:szCs w:val="24"/>
              </w:rPr>
            </w:pPr>
            <w:r>
              <w:rPr>
                <w:rFonts w:hint="eastAsia" w:ascii="宋体" w:hAnsi="宋体" w:cs="宋体"/>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exact"/>
        </w:trPr>
        <w:tc>
          <w:tcPr>
            <w:tcW w:w="2520" w:type="dxa"/>
            <w:vAlign w:val="center"/>
          </w:tcPr>
          <w:p>
            <w:pPr>
              <w:pStyle w:val="80"/>
              <w:spacing w:line="312" w:lineRule="auto"/>
              <w:jc w:val="center"/>
              <w:textAlignment w:val="center"/>
              <w:rPr>
                <w:rFonts w:ascii="宋体" w:hAnsi="宋体" w:cs="宋体"/>
                <w:sz w:val="24"/>
                <w:szCs w:val="24"/>
              </w:rPr>
            </w:pPr>
            <w:r>
              <w:rPr>
                <w:rFonts w:hint="eastAsia" w:ascii="宋体" w:hAnsi="宋体" w:cs="宋体"/>
                <w:sz w:val="24"/>
                <w:szCs w:val="24"/>
              </w:rPr>
              <w:t>投标质量等级</w:t>
            </w:r>
          </w:p>
        </w:tc>
        <w:tc>
          <w:tcPr>
            <w:tcW w:w="6676" w:type="dxa"/>
            <w:gridSpan w:val="3"/>
            <w:vAlign w:val="center"/>
          </w:tcPr>
          <w:p>
            <w:pPr>
              <w:pStyle w:val="80"/>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exact"/>
        </w:trPr>
        <w:tc>
          <w:tcPr>
            <w:tcW w:w="2520" w:type="dxa"/>
            <w:vAlign w:val="center"/>
          </w:tcPr>
          <w:p>
            <w:pPr>
              <w:pStyle w:val="80"/>
              <w:spacing w:line="312" w:lineRule="auto"/>
              <w:jc w:val="center"/>
              <w:textAlignment w:val="center"/>
              <w:rPr>
                <w:rFonts w:ascii="宋体" w:hAnsi="宋体" w:cs="宋体"/>
                <w:sz w:val="24"/>
                <w:szCs w:val="24"/>
              </w:rPr>
            </w:pPr>
            <w:r>
              <w:rPr>
                <w:rFonts w:hint="eastAsia" w:ascii="宋体" w:hAnsi="宋体" w:cs="宋体"/>
                <w:sz w:val="24"/>
                <w:szCs w:val="24"/>
              </w:rPr>
              <w:t>拟派项目经理</w:t>
            </w:r>
          </w:p>
        </w:tc>
        <w:tc>
          <w:tcPr>
            <w:tcW w:w="2280" w:type="dxa"/>
            <w:vAlign w:val="center"/>
          </w:tcPr>
          <w:p>
            <w:pPr>
              <w:pStyle w:val="80"/>
              <w:spacing w:line="312" w:lineRule="auto"/>
              <w:jc w:val="center"/>
              <w:textAlignment w:val="center"/>
              <w:rPr>
                <w:rFonts w:ascii="宋体" w:hAnsi="宋体" w:cs="宋体"/>
                <w:sz w:val="24"/>
                <w:szCs w:val="24"/>
              </w:rPr>
            </w:pPr>
          </w:p>
        </w:tc>
        <w:tc>
          <w:tcPr>
            <w:tcW w:w="1490" w:type="dxa"/>
            <w:vAlign w:val="center"/>
          </w:tcPr>
          <w:p>
            <w:pPr>
              <w:pStyle w:val="80"/>
              <w:spacing w:line="312" w:lineRule="auto"/>
              <w:jc w:val="center"/>
              <w:textAlignment w:val="center"/>
              <w:rPr>
                <w:rFonts w:ascii="宋体" w:hAnsi="宋体" w:cs="宋体"/>
                <w:sz w:val="24"/>
                <w:szCs w:val="24"/>
              </w:rPr>
            </w:pPr>
            <w:r>
              <w:rPr>
                <w:rFonts w:hint="eastAsia" w:ascii="宋体" w:hAnsi="宋体" w:cs="宋体"/>
                <w:sz w:val="24"/>
                <w:szCs w:val="24"/>
              </w:rPr>
              <w:t>资格等级</w:t>
            </w:r>
          </w:p>
          <w:p>
            <w:pPr>
              <w:pStyle w:val="80"/>
              <w:spacing w:line="312" w:lineRule="auto"/>
              <w:jc w:val="center"/>
              <w:textAlignment w:val="center"/>
              <w:rPr>
                <w:rFonts w:ascii="宋体" w:hAnsi="宋体" w:cs="宋体"/>
                <w:sz w:val="24"/>
                <w:szCs w:val="24"/>
              </w:rPr>
            </w:pPr>
            <w:r>
              <w:rPr>
                <w:rFonts w:hint="eastAsia" w:ascii="宋体" w:hAnsi="宋体" w:cs="宋体"/>
                <w:sz w:val="24"/>
                <w:szCs w:val="24"/>
              </w:rPr>
              <w:t>及</w:t>
            </w:r>
            <w:r>
              <w:rPr>
                <w:rFonts w:hint="eastAsia" w:ascii="宋体" w:hAnsi="宋体" w:cs="宋体"/>
                <w:sz w:val="24"/>
                <w:szCs w:val="24"/>
                <w:lang w:val="en-US" w:eastAsia="zh-CN"/>
              </w:rPr>
              <w:t>注册</w:t>
            </w:r>
            <w:r>
              <w:rPr>
                <w:rFonts w:hint="eastAsia" w:ascii="宋体" w:hAnsi="宋体" w:cs="宋体"/>
                <w:sz w:val="24"/>
                <w:szCs w:val="24"/>
              </w:rPr>
              <w:t>编号</w:t>
            </w:r>
          </w:p>
        </w:tc>
        <w:tc>
          <w:tcPr>
            <w:tcW w:w="2906" w:type="dxa"/>
            <w:vAlign w:val="center"/>
          </w:tcPr>
          <w:p>
            <w:pPr>
              <w:pStyle w:val="80"/>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exact"/>
        </w:trPr>
        <w:tc>
          <w:tcPr>
            <w:tcW w:w="2520" w:type="dxa"/>
            <w:vAlign w:val="center"/>
          </w:tcPr>
          <w:p>
            <w:pPr>
              <w:pStyle w:val="80"/>
              <w:spacing w:line="312" w:lineRule="auto"/>
              <w:jc w:val="center"/>
              <w:textAlignment w:val="center"/>
              <w:rPr>
                <w:rFonts w:ascii="宋体" w:hAnsi="宋体" w:cs="宋体"/>
                <w:sz w:val="24"/>
                <w:szCs w:val="24"/>
              </w:rPr>
            </w:pPr>
            <w:r>
              <w:rPr>
                <w:rFonts w:hint="eastAsia" w:ascii="宋体" w:hAnsi="宋体" w:cs="宋体"/>
                <w:sz w:val="24"/>
                <w:szCs w:val="24"/>
              </w:rPr>
              <w:t>拟派技术负责人</w:t>
            </w:r>
          </w:p>
        </w:tc>
        <w:tc>
          <w:tcPr>
            <w:tcW w:w="2280" w:type="dxa"/>
            <w:vAlign w:val="center"/>
          </w:tcPr>
          <w:p>
            <w:pPr>
              <w:pStyle w:val="80"/>
              <w:spacing w:line="312" w:lineRule="auto"/>
              <w:jc w:val="center"/>
              <w:textAlignment w:val="center"/>
              <w:rPr>
                <w:rFonts w:ascii="宋体" w:hAnsi="宋体" w:cs="宋体"/>
                <w:sz w:val="24"/>
                <w:szCs w:val="24"/>
              </w:rPr>
            </w:pPr>
          </w:p>
        </w:tc>
        <w:tc>
          <w:tcPr>
            <w:tcW w:w="1490" w:type="dxa"/>
            <w:vAlign w:val="center"/>
          </w:tcPr>
          <w:p>
            <w:pPr>
              <w:pStyle w:val="80"/>
              <w:spacing w:line="312" w:lineRule="auto"/>
              <w:jc w:val="center"/>
              <w:textAlignment w:val="center"/>
              <w:rPr>
                <w:rFonts w:ascii="宋体" w:hAnsi="宋体" w:cs="宋体"/>
                <w:sz w:val="24"/>
                <w:szCs w:val="24"/>
              </w:rPr>
            </w:pPr>
            <w:r>
              <w:rPr>
                <w:rFonts w:hint="eastAsia" w:ascii="宋体" w:hAnsi="宋体" w:cs="宋体"/>
                <w:sz w:val="24"/>
                <w:szCs w:val="24"/>
              </w:rPr>
              <w:t>资格等级</w:t>
            </w:r>
          </w:p>
          <w:p>
            <w:pPr>
              <w:pStyle w:val="80"/>
              <w:spacing w:line="312" w:lineRule="auto"/>
              <w:jc w:val="center"/>
              <w:textAlignment w:val="center"/>
              <w:rPr>
                <w:rFonts w:ascii="宋体" w:hAnsi="宋体" w:cs="宋体"/>
                <w:sz w:val="24"/>
                <w:szCs w:val="24"/>
              </w:rPr>
            </w:pPr>
            <w:r>
              <w:rPr>
                <w:rFonts w:hint="eastAsia" w:ascii="宋体" w:hAnsi="宋体" w:cs="宋体"/>
                <w:sz w:val="24"/>
                <w:szCs w:val="24"/>
              </w:rPr>
              <w:t>及</w:t>
            </w:r>
            <w:r>
              <w:rPr>
                <w:rFonts w:hint="eastAsia" w:ascii="宋体" w:hAnsi="宋体" w:cs="宋体"/>
                <w:sz w:val="24"/>
                <w:szCs w:val="24"/>
                <w:lang w:val="en-US" w:eastAsia="zh-CN"/>
              </w:rPr>
              <w:t>证书</w:t>
            </w:r>
            <w:r>
              <w:rPr>
                <w:rFonts w:hint="eastAsia" w:ascii="宋体" w:hAnsi="宋体" w:cs="宋体"/>
                <w:sz w:val="24"/>
                <w:szCs w:val="24"/>
              </w:rPr>
              <w:t>编号</w:t>
            </w:r>
          </w:p>
        </w:tc>
        <w:tc>
          <w:tcPr>
            <w:tcW w:w="2906" w:type="dxa"/>
            <w:vAlign w:val="center"/>
          </w:tcPr>
          <w:p>
            <w:pPr>
              <w:pStyle w:val="80"/>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0" w:hRule="exact"/>
        </w:trPr>
        <w:tc>
          <w:tcPr>
            <w:tcW w:w="4800" w:type="dxa"/>
            <w:gridSpan w:val="2"/>
          </w:tcPr>
          <w:p>
            <w:pPr>
              <w:pStyle w:val="80"/>
              <w:spacing w:line="312" w:lineRule="auto"/>
              <w:textAlignment w:val="top"/>
              <w:rPr>
                <w:rFonts w:ascii="宋体" w:hAnsi="宋体" w:cs="宋体"/>
                <w:sz w:val="24"/>
                <w:szCs w:val="24"/>
              </w:rPr>
            </w:pPr>
          </w:p>
          <w:p>
            <w:pPr>
              <w:pStyle w:val="80"/>
              <w:spacing w:line="312" w:lineRule="auto"/>
              <w:textAlignment w:val="top"/>
              <w:rPr>
                <w:rFonts w:ascii="宋体" w:hAnsi="宋体" w:cs="宋体"/>
                <w:sz w:val="24"/>
                <w:szCs w:val="24"/>
              </w:rPr>
            </w:pPr>
          </w:p>
          <w:p>
            <w:pPr>
              <w:pStyle w:val="80"/>
              <w:spacing w:line="312" w:lineRule="auto"/>
              <w:textAlignment w:val="top"/>
              <w:rPr>
                <w:rFonts w:ascii="宋体" w:hAnsi="宋体" w:cs="宋体"/>
                <w:sz w:val="24"/>
                <w:szCs w:val="24"/>
              </w:rPr>
            </w:pPr>
            <w:r>
              <w:rPr>
                <w:rFonts w:hint="eastAsia" w:ascii="宋体" w:hAnsi="宋体" w:cs="宋体"/>
                <w:sz w:val="24"/>
                <w:szCs w:val="24"/>
              </w:rPr>
              <w:t xml:space="preserve">              投标人：</w:t>
            </w:r>
          </w:p>
          <w:p>
            <w:pPr>
              <w:pStyle w:val="80"/>
              <w:spacing w:line="312" w:lineRule="auto"/>
              <w:textAlignment w:val="top"/>
              <w:rPr>
                <w:rFonts w:ascii="宋体" w:hAnsi="宋体" w:cs="宋体"/>
                <w:sz w:val="24"/>
                <w:szCs w:val="24"/>
              </w:rPr>
            </w:pPr>
          </w:p>
          <w:p>
            <w:pPr>
              <w:pStyle w:val="80"/>
              <w:spacing w:line="312" w:lineRule="auto"/>
              <w:textAlignment w:val="top"/>
              <w:rPr>
                <w:rFonts w:ascii="宋体" w:hAnsi="宋体" w:cs="宋体"/>
                <w:sz w:val="24"/>
                <w:szCs w:val="24"/>
              </w:rPr>
            </w:pPr>
          </w:p>
          <w:p>
            <w:pPr>
              <w:pStyle w:val="80"/>
              <w:spacing w:line="312" w:lineRule="auto"/>
              <w:textAlignment w:val="top"/>
              <w:rPr>
                <w:rFonts w:ascii="宋体" w:hAnsi="宋体" w:cs="宋体"/>
                <w:sz w:val="24"/>
                <w:szCs w:val="24"/>
              </w:rPr>
            </w:pPr>
          </w:p>
          <w:p>
            <w:pPr>
              <w:pStyle w:val="80"/>
              <w:spacing w:line="312" w:lineRule="auto"/>
              <w:textAlignment w:val="top"/>
              <w:rPr>
                <w:rFonts w:ascii="宋体" w:hAnsi="宋体" w:cs="宋体"/>
                <w:sz w:val="24"/>
                <w:szCs w:val="24"/>
              </w:rPr>
            </w:pPr>
          </w:p>
          <w:p>
            <w:pPr>
              <w:pStyle w:val="80"/>
              <w:spacing w:line="312" w:lineRule="auto"/>
              <w:textAlignment w:val="top"/>
              <w:rPr>
                <w:rFonts w:ascii="宋体" w:hAnsi="宋体" w:cs="宋体"/>
                <w:sz w:val="24"/>
                <w:szCs w:val="24"/>
              </w:rPr>
            </w:pPr>
            <w:r>
              <w:rPr>
                <w:rFonts w:hint="eastAsia" w:ascii="宋体" w:hAnsi="宋体" w:cs="宋体"/>
                <w:sz w:val="24"/>
                <w:szCs w:val="24"/>
              </w:rPr>
              <w:t xml:space="preserve">              （盖章）</w:t>
            </w:r>
          </w:p>
        </w:tc>
        <w:tc>
          <w:tcPr>
            <w:tcW w:w="4396" w:type="dxa"/>
            <w:gridSpan w:val="2"/>
          </w:tcPr>
          <w:p>
            <w:pPr>
              <w:pStyle w:val="80"/>
              <w:spacing w:line="312" w:lineRule="auto"/>
              <w:textAlignment w:val="top"/>
              <w:rPr>
                <w:rFonts w:ascii="宋体" w:hAnsi="宋体" w:cs="宋体"/>
                <w:sz w:val="24"/>
                <w:szCs w:val="24"/>
              </w:rPr>
            </w:pPr>
          </w:p>
          <w:p>
            <w:pPr>
              <w:pStyle w:val="80"/>
              <w:spacing w:line="312" w:lineRule="auto"/>
              <w:textAlignment w:val="top"/>
              <w:rPr>
                <w:rFonts w:ascii="宋体" w:hAnsi="宋体" w:cs="宋体"/>
                <w:sz w:val="24"/>
                <w:szCs w:val="24"/>
              </w:rPr>
            </w:pPr>
          </w:p>
          <w:p>
            <w:pPr>
              <w:pStyle w:val="80"/>
              <w:spacing w:line="312" w:lineRule="auto"/>
              <w:ind w:firstLine="720" w:firstLineChars="300"/>
              <w:textAlignment w:val="top"/>
              <w:rPr>
                <w:rFonts w:ascii="宋体" w:hAnsi="宋体" w:cs="宋体"/>
                <w:sz w:val="24"/>
                <w:szCs w:val="24"/>
              </w:rPr>
            </w:pPr>
            <w:r>
              <w:rPr>
                <w:rFonts w:hint="eastAsia" w:ascii="宋体" w:hAnsi="宋体" w:cs="宋体"/>
                <w:sz w:val="24"/>
                <w:szCs w:val="24"/>
              </w:rPr>
              <w:t>投标人法人代表或委托代理人：</w:t>
            </w:r>
          </w:p>
          <w:p>
            <w:pPr>
              <w:pStyle w:val="80"/>
              <w:spacing w:line="312" w:lineRule="auto"/>
              <w:textAlignment w:val="top"/>
              <w:rPr>
                <w:rFonts w:ascii="宋体" w:hAnsi="宋体" w:cs="宋体"/>
                <w:sz w:val="24"/>
                <w:szCs w:val="24"/>
              </w:rPr>
            </w:pPr>
          </w:p>
          <w:p>
            <w:pPr>
              <w:pStyle w:val="80"/>
              <w:spacing w:line="312" w:lineRule="auto"/>
              <w:textAlignment w:val="top"/>
              <w:rPr>
                <w:rFonts w:ascii="宋体" w:hAnsi="宋体" w:cs="宋体"/>
                <w:sz w:val="24"/>
                <w:szCs w:val="24"/>
              </w:rPr>
            </w:pPr>
          </w:p>
          <w:p>
            <w:pPr>
              <w:pStyle w:val="80"/>
              <w:spacing w:line="312" w:lineRule="auto"/>
              <w:textAlignment w:val="top"/>
              <w:rPr>
                <w:rFonts w:ascii="宋体" w:hAnsi="宋体" w:cs="宋体"/>
                <w:sz w:val="24"/>
                <w:szCs w:val="24"/>
              </w:rPr>
            </w:pPr>
          </w:p>
          <w:p>
            <w:pPr>
              <w:pStyle w:val="80"/>
              <w:spacing w:line="312" w:lineRule="auto"/>
              <w:textAlignment w:val="top"/>
              <w:rPr>
                <w:rFonts w:ascii="宋体" w:hAnsi="宋体" w:cs="宋体"/>
                <w:sz w:val="24"/>
                <w:szCs w:val="24"/>
              </w:rPr>
            </w:pPr>
          </w:p>
          <w:p>
            <w:pPr>
              <w:pStyle w:val="80"/>
              <w:spacing w:line="312" w:lineRule="auto"/>
              <w:textAlignment w:val="top"/>
              <w:rPr>
                <w:rFonts w:ascii="宋体" w:hAnsi="宋体" w:cs="宋体"/>
                <w:sz w:val="24"/>
                <w:szCs w:val="24"/>
              </w:rPr>
            </w:pPr>
            <w:r>
              <w:rPr>
                <w:rFonts w:hint="eastAsia" w:ascii="宋体" w:hAnsi="宋体" w:cs="宋体"/>
                <w:sz w:val="24"/>
                <w:szCs w:val="24"/>
              </w:rPr>
              <w:t xml:space="preserve">            （签字或盖章）</w:t>
            </w:r>
          </w:p>
        </w:tc>
      </w:tr>
    </w:tbl>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jc w:val="center"/>
        <w:outlineLvl w:val="1"/>
        <w:rPr>
          <w:rFonts w:ascii="黑体" w:hAnsi="黑体" w:eastAsia="黑体" w:cs="黑体"/>
          <w:kern w:val="0"/>
          <w:sz w:val="28"/>
          <w:szCs w:val="28"/>
        </w:rPr>
      </w:pPr>
      <w:bookmarkStart w:id="383" w:name="_Toc517940889"/>
      <w:bookmarkStart w:id="384" w:name="_Toc27165"/>
      <w:r>
        <w:rPr>
          <w:rFonts w:hint="eastAsia" w:ascii="黑体" w:hAnsi="黑体" w:eastAsia="黑体" w:cs="黑体"/>
          <w:kern w:val="0"/>
          <w:sz w:val="28"/>
          <w:szCs w:val="28"/>
        </w:rPr>
        <w:t>二、法定代表人身份证明</w:t>
      </w:r>
      <w:r>
        <w:rPr>
          <w:rFonts w:hint="eastAsia" w:ascii="黑体" w:hAnsi="黑体" w:eastAsia="黑体" w:cs="黑体"/>
          <w:kern w:val="0"/>
          <w:sz w:val="28"/>
          <w:szCs w:val="28"/>
          <w:lang w:val="en-US" w:eastAsia="zh-CN"/>
        </w:rPr>
        <w:t>及</w:t>
      </w:r>
      <w:r>
        <w:rPr>
          <w:rFonts w:hint="eastAsia" w:ascii="黑体" w:hAnsi="黑体" w:eastAsia="黑体" w:cs="黑体"/>
          <w:kern w:val="0"/>
          <w:sz w:val="28"/>
          <w:szCs w:val="28"/>
        </w:rPr>
        <w:t>授权委托书</w:t>
      </w:r>
      <w:bookmarkEnd w:id="383"/>
      <w:bookmarkEnd w:id="384"/>
    </w:p>
    <w:p>
      <w:pPr>
        <w:spacing w:line="312" w:lineRule="auto"/>
        <w:rPr>
          <w:rFonts w:ascii="宋体" w:hAnsi="宋体" w:cs="宋体"/>
          <w:b/>
          <w:bCs/>
          <w:sz w:val="24"/>
        </w:rPr>
      </w:pPr>
      <w:bookmarkStart w:id="385" w:name="_Toc3047"/>
      <w:bookmarkStart w:id="386" w:name="_Toc26381"/>
      <w:bookmarkStart w:id="387" w:name="_Toc30421"/>
      <w:bookmarkStart w:id="388" w:name="_Toc26298"/>
      <w:bookmarkStart w:id="389" w:name="_Toc15089"/>
    </w:p>
    <w:p>
      <w:pPr>
        <w:jc w:val="center"/>
        <w:rPr>
          <w:rFonts w:ascii="宋体" w:hAnsi="宋体" w:cs="宋体"/>
          <w:b/>
          <w:bCs/>
          <w:sz w:val="24"/>
        </w:rPr>
      </w:pPr>
      <w:r>
        <w:rPr>
          <w:rFonts w:hint="eastAsia" w:ascii="宋体" w:hAnsi="宋体" w:cs="宋体"/>
          <w:b/>
          <w:bCs/>
          <w:sz w:val="24"/>
        </w:rPr>
        <w:t>（一）法定代表人身份证明</w:t>
      </w:r>
      <w:bookmarkEnd w:id="385"/>
      <w:bookmarkEnd w:id="386"/>
      <w:bookmarkEnd w:id="387"/>
      <w:bookmarkEnd w:id="388"/>
      <w:bookmarkEnd w:id="389"/>
    </w:p>
    <w:p>
      <w:pPr>
        <w:spacing w:line="312" w:lineRule="auto"/>
      </w:pPr>
    </w:p>
    <w:p>
      <w:pPr>
        <w:spacing w:line="312" w:lineRule="auto"/>
        <w:rPr>
          <w:rFonts w:ascii="宋体" w:hAnsi="宋体" w:cs="宋体"/>
          <w:sz w:val="24"/>
        </w:rPr>
      </w:pPr>
      <w:r>
        <w:rPr>
          <w:rFonts w:hint="eastAsia" w:ascii="宋体" w:hAnsi="宋体" w:cs="宋体"/>
          <w:sz w:val="24"/>
        </w:rPr>
        <w:t>投 标 人：</w:t>
      </w:r>
    </w:p>
    <w:p>
      <w:pPr>
        <w:spacing w:line="312" w:lineRule="auto"/>
        <w:rPr>
          <w:rFonts w:ascii="宋体" w:hAnsi="宋体" w:cs="宋体"/>
          <w:sz w:val="24"/>
        </w:rPr>
      </w:pPr>
      <w:r>
        <w:rPr>
          <w:rFonts w:hint="eastAsia" w:ascii="宋体" w:hAnsi="宋体" w:cs="宋体"/>
          <w:sz w:val="24"/>
        </w:rPr>
        <w:t>单位性质：</w:t>
      </w:r>
    </w:p>
    <w:p>
      <w:pPr>
        <w:spacing w:line="312" w:lineRule="auto"/>
        <w:rPr>
          <w:rFonts w:ascii="宋体" w:hAnsi="宋体" w:cs="宋体"/>
          <w:sz w:val="24"/>
          <w:u w:val="single"/>
        </w:rPr>
      </w:pPr>
      <w:r>
        <w:rPr>
          <w:rFonts w:hint="eastAsia" w:ascii="宋体" w:hAnsi="宋体" w:cs="宋体"/>
          <w:sz w:val="24"/>
        </w:rPr>
        <w:t>地    址：</w:t>
      </w:r>
    </w:p>
    <w:p>
      <w:pPr>
        <w:spacing w:line="312" w:lineRule="auto"/>
        <w:rPr>
          <w:rFonts w:ascii="宋体" w:hAnsi="宋体" w:cs="宋体"/>
          <w:sz w:val="24"/>
        </w:rPr>
      </w:pPr>
      <w:r>
        <w:rPr>
          <w:rFonts w:hint="eastAsia" w:ascii="宋体" w:hAnsi="宋体" w:cs="宋体"/>
          <w:sz w:val="24"/>
        </w:rPr>
        <w:t>成立时间：年月日</w:t>
      </w:r>
    </w:p>
    <w:p>
      <w:pPr>
        <w:spacing w:line="312" w:lineRule="auto"/>
        <w:rPr>
          <w:rFonts w:ascii="宋体" w:hAnsi="宋体" w:cs="宋体"/>
          <w:sz w:val="24"/>
        </w:rPr>
      </w:pPr>
      <w:r>
        <w:rPr>
          <w:rFonts w:hint="eastAsia" w:ascii="宋体" w:hAnsi="宋体" w:cs="宋体"/>
          <w:sz w:val="24"/>
        </w:rPr>
        <w:t>经营期限：</w:t>
      </w:r>
    </w:p>
    <w:p>
      <w:pPr>
        <w:spacing w:line="312" w:lineRule="auto"/>
        <w:rPr>
          <w:rFonts w:ascii="宋体" w:hAnsi="宋体" w:cs="宋体"/>
          <w:sz w:val="24"/>
        </w:rPr>
      </w:pPr>
      <w:r>
        <w:rPr>
          <w:rFonts w:hint="eastAsia" w:ascii="宋体" w:hAnsi="宋体" w:cs="宋体"/>
          <w:sz w:val="24"/>
        </w:rPr>
        <w:t>姓    名：性    别：</w:t>
      </w:r>
    </w:p>
    <w:p>
      <w:pPr>
        <w:spacing w:line="312" w:lineRule="auto"/>
        <w:rPr>
          <w:rFonts w:ascii="宋体" w:hAnsi="宋体" w:cs="宋体"/>
          <w:sz w:val="24"/>
        </w:rPr>
      </w:pPr>
      <w:r>
        <w:rPr>
          <w:rFonts w:hint="eastAsia" w:ascii="宋体" w:hAnsi="宋体" w:cs="宋体"/>
          <w:sz w:val="24"/>
        </w:rPr>
        <w:t>年    龄：职    务：</w:t>
      </w:r>
    </w:p>
    <w:p>
      <w:pPr>
        <w:spacing w:line="312" w:lineRule="auto"/>
        <w:rPr>
          <w:rFonts w:ascii="宋体" w:hAnsi="宋体" w:cs="宋体"/>
          <w:sz w:val="24"/>
        </w:rPr>
      </w:pPr>
      <w:r>
        <w:rPr>
          <w:rFonts w:hint="eastAsia" w:ascii="宋体" w:hAnsi="宋体" w:cs="宋体"/>
          <w:sz w:val="24"/>
        </w:rPr>
        <w:t>系（投标人名称）的法定代表人。</w:t>
      </w:r>
    </w:p>
    <w:p>
      <w:pPr>
        <w:spacing w:line="312" w:lineRule="auto"/>
        <w:rPr>
          <w:rFonts w:ascii="宋体" w:hAnsi="宋体" w:cs="宋体"/>
          <w:sz w:val="24"/>
        </w:rPr>
      </w:pPr>
      <w:r>
        <w:rPr>
          <w:rFonts w:hint="eastAsia" w:ascii="宋体" w:hAnsi="宋体" w:cs="宋体"/>
          <w:sz w:val="24"/>
        </w:rPr>
        <w:t>特此证明。</w:t>
      </w:r>
    </w:p>
    <w:p>
      <w:pPr>
        <w:spacing w:line="312" w:lineRule="auto"/>
        <w:rPr>
          <w:rFonts w:ascii="宋体" w:hAnsi="宋体" w:cs="宋体"/>
          <w:sz w:val="24"/>
        </w:rPr>
      </w:pPr>
    </w:p>
    <w:p>
      <w:pPr>
        <w:spacing w:line="312" w:lineRule="auto"/>
        <w:rPr>
          <w:rFonts w:ascii="宋体" w:hAnsi="宋体" w:cs="宋体"/>
          <w:sz w:val="24"/>
        </w:rPr>
      </w:pPr>
    </w:p>
    <w:p>
      <w:pPr>
        <w:wordWrap w:val="0"/>
        <w:spacing w:line="312" w:lineRule="auto"/>
        <w:jc w:val="right"/>
        <w:rPr>
          <w:rFonts w:ascii="宋体" w:hAnsi="宋体" w:cs="宋体"/>
          <w:sz w:val="24"/>
        </w:rPr>
      </w:pPr>
      <w:r>
        <w:rPr>
          <w:rFonts w:hint="eastAsia" w:ascii="宋体" w:hAnsi="宋体" w:cs="宋体"/>
          <w:sz w:val="24"/>
        </w:rPr>
        <w:t>投标人：（盖单位章）</w:t>
      </w:r>
    </w:p>
    <w:p>
      <w:pPr>
        <w:wordWrap w:val="0"/>
        <w:spacing w:line="312" w:lineRule="auto"/>
        <w:jc w:val="right"/>
        <w:rPr>
          <w:rFonts w:ascii="宋体" w:hAnsi="宋体" w:cs="宋体"/>
          <w:sz w:val="24"/>
        </w:rPr>
      </w:pPr>
      <w:r>
        <w:rPr>
          <w:rFonts w:hint="eastAsia" w:ascii="宋体" w:hAnsi="宋体" w:cs="宋体"/>
          <w:sz w:val="24"/>
        </w:rPr>
        <w:t xml:space="preserve">年月日          </w:t>
      </w:r>
    </w:p>
    <w:p>
      <w:pPr>
        <w:jc w:val="center"/>
        <w:rPr>
          <w:rFonts w:ascii="宋体" w:hAnsi="宋体" w:cs="宋体"/>
          <w:b/>
          <w:bCs/>
          <w:sz w:val="24"/>
        </w:rPr>
      </w:pPr>
      <w:r>
        <w:rPr>
          <w:rFonts w:hint="eastAsia" w:ascii="宋体" w:hAnsi="宋体" w:cs="宋体"/>
          <w:sz w:val="24"/>
        </w:rPr>
        <w:br w:type="page"/>
      </w:r>
      <w:bookmarkStart w:id="390" w:name="_Toc28779"/>
      <w:bookmarkStart w:id="391" w:name="_Toc7548"/>
      <w:bookmarkStart w:id="392" w:name="_Toc14115"/>
      <w:bookmarkStart w:id="393" w:name="_Toc1682"/>
      <w:bookmarkStart w:id="394" w:name="_Toc5932"/>
      <w:r>
        <w:rPr>
          <w:rFonts w:hint="eastAsia" w:ascii="宋体" w:hAnsi="宋体" w:cs="宋体"/>
          <w:b/>
          <w:bCs/>
          <w:sz w:val="24"/>
        </w:rPr>
        <w:t>（二）授权委托书</w:t>
      </w:r>
      <w:bookmarkEnd w:id="390"/>
      <w:bookmarkEnd w:id="391"/>
      <w:bookmarkEnd w:id="392"/>
      <w:bookmarkEnd w:id="393"/>
      <w:bookmarkEnd w:id="394"/>
    </w:p>
    <w:p>
      <w:pPr>
        <w:spacing w:line="312" w:lineRule="auto"/>
      </w:pPr>
    </w:p>
    <w:p>
      <w:pPr>
        <w:spacing w:line="312" w:lineRule="auto"/>
        <w:rPr>
          <w:rFonts w:ascii="宋体" w:hAnsi="宋体" w:cs="宋体"/>
          <w:sz w:val="24"/>
        </w:rPr>
      </w:pPr>
      <w:r>
        <w:rPr>
          <w:rFonts w:hint="eastAsia" w:ascii="宋体" w:hAnsi="宋体" w:cs="宋体"/>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pPr>
        <w:spacing w:line="312" w:lineRule="auto"/>
        <w:rPr>
          <w:rFonts w:ascii="宋体" w:hAnsi="宋体" w:cs="宋体"/>
          <w:sz w:val="24"/>
        </w:rPr>
      </w:pPr>
      <w:r>
        <w:rPr>
          <w:rFonts w:hint="eastAsia" w:ascii="宋体" w:hAnsi="宋体" w:cs="宋体"/>
          <w:sz w:val="24"/>
        </w:rPr>
        <w:t xml:space="preserve">      委托期限： 。</w:t>
      </w:r>
    </w:p>
    <w:p>
      <w:pPr>
        <w:spacing w:line="312" w:lineRule="auto"/>
        <w:rPr>
          <w:rFonts w:ascii="宋体" w:hAnsi="宋体" w:cs="宋体"/>
          <w:sz w:val="24"/>
        </w:rPr>
      </w:pPr>
      <w:r>
        <w:rPr>
          <w:rFonts w:hint="eastAsia" w:ascii="宋体" w:hAnsi="宋体" w:cs="宋体"/>
          <w:sz w:val="24"/>
        </w:rPr>
        <w:t xml:space="preserve">      代理人无转委托权。</w:t>
      </w:r>
    </w:p>
    <w:p>
      <w:pPr>
        <w:spacing w:line="312" w:lineRule="auto"/>
        <w:rPr>
          <w:rFonts w:ascii="宋体" w:hAnsi="宋体" w:cs="宋体"/>
          <w:sz w:val="24"/>
        </w:rPr>
      </w:pPr>
      <w:r>
        <w:rPr>
          <w:rFonts w:hint="eastAsia" w:ascii="宋体" w:hAnsi="宋体" w:cs="宋体"/>
          <w:sz w:val="24"/>
        </w:rPr>
        <w:t xml:space="preserve">      附：法定代表人身份证明</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投  标  人：（盖单位章）</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法定代表人：（签字）</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身份证号码：</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委托代理人：（签字）</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身份证号码：</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 xml:space="preserve">        年        月        日</w:t>
      </w:r>
    </w:p>
    <w:p>
      <w:pPr>
        <w:spacing w:line="312" w:lineRule="auto"/>
        <w:rPr>
          <w:rFonts w:ascii="宋体" w:hAnsi="宋体" w:cs="宋体"/>
          <w:sz w:val="24"/>
        </w:rPr>
      </w:pPr>
    </w:p>
    <w:p>
      <w:pPr>
        <w:spacing w:line="312" w:lineRule="auto"/>
        <w:rPr>
          <w:rFonts w:ascii="宋体" w:hAnsi="宋体" w:cs="宋体"/>
          <w:sz w:val="24"/>
        </w:rPr>
      </w:pPr>
    </w:p>
    <w:p>
      <w:pPr>
        <w:pStyle w:val="7"/>
        <w:jc w:val="center"/>
        <w:rPr>
          <w:rFonts w:ascii="宋体" w:hAnsi="宋体" w:cs="宋体"/>
          <w:sz w:val="24"/>
        </w:rPr>
      </w:pPr>
      <w:r>
        <w:rPr>
          <w:rFonts w:hint="eastAsia" w:ascii="宋体" w:hAnsi="宋体" w:cs="宋体"/>
          <w:sz w:val="24"/>
        </w:rPr>
        <w:br w:type="page"/>
      </w:r>
      <w:bookmarkStart w:id="395" w:name="_Toc12158"/>
      <w:bookmarkStart w:id="396" w:name="_Toc517940890"/>
      <w:r>
        <w:rPr>
          <w:rFonts w:hint="eastAsia" w:ascii="黑体" w:hAnsi="黑体" w:cs="黑体"/>
          <w:sz w:val="28"/>
          <w:szCs w:val="28"/>
        </w:rPr>
        <w:t>三、投标保证金</w:t>
      </w:r>
      <w:bookmarkEnd w:id="395"/>
      <w:bookmarkEnd w:id="396"/>
    </w:p>
    <w:p>
      <w:pPr>
        <w:spacing w:line="440" w:lineRule="exact"/>
        <w:ind w:firstLine="720" w:firstLineChars="300"/>
        <w:rPr>
          <w:rFonts w:hint="default" w:eastAsia="宋体"/>
          <w:lang w:val="en-US" w:eastAsia="zh-CN"/>
        </w:rPr>
      </w:pPr>
      <w:r>
        <w:rPr>
          <w:rFonts w:hint="eastAsia" w:hAnsi="宋体" w:cs="宋体"/>
          <w:sz w:val="24"/>
        </w:rPr>
        <w:t>附投标保证金</w:t>
      </w:r>
      <w:r>
        <w:rPr>
          <w:rFonts w:hint="eastAsia" w:hAnsi="宋体" w:cs="宋体"/>
          <w:sz w:val="24"/>
          <w:lang w:val="en-US" w:eastAsia="zh-CN"/>
        </w:rPr>
        <w:t>缴纳</w:t>
      </w:r>
      <w:r>
        <w:rPr>
          <w:rFonts w:hint="eastAsia" w:hAnsi="宋体" w:cs="宋体"/>
          <w:sz w:val="24"/>
        </w:rPr>
        <w:t>有效</w:t>
      </w:r>
      <w:r>
        <w:rPr>
          <w:rFonts w:hint="eastAsia" w:hAnsi="宋体" w:cs="宋体"/>
          <w:sz w:val="24"/>
          <w:lang w:val="en-US" w:eastAsia="zh-CN"/>
        </w:rPr>
        <w:t>证明材料</w:t>
      </w:r>
    </w:p>
    <w:p>
      <w:pPr>
        <w:spacing w:line="312" w:lineRule="auto"/>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pStyle w:val="7"/>
        <w:jc w:val="center"/>
        <w:rPr>
          <w:rFonts w:ascii="宋体" w:hAnsi="宋体" w:cs="宋体"/>
          <w:sz w:val="24"/>
        </w:rPr>
      </w:pPr>
      <w:bookmarkStart w:id="397" w:name="_Toc517940891"/>
      <w:bookmarkStart w:id="398" w:name="_Toc1165"/>
      <w:bookmarkStart w:id="399" w:name="_Toc7150"/>
      <w:bookmarkStart w:id="400" w:name="_Toc7389"/>
      <w:bookmarkStart w:id="401" w:name="_Toc1827"/>
      <w:bookmarkStart w:id="402" w:name="_Toc9624"/>
      <w:r>
        <w:rPr>
          <w:rFonts w:hint="eastAsia" w:ascii="黑体" w:hAnsi="黑体" w:cs="黑体"/>
          <w:sz w:val="28"/>
          <w:szCs w:val="28"/>
        </w:rPr>
        <w:t>四、已标价工程量清单</w:t>
      </w:r>
      <w:bookmarkEnd w:id="397"/>
      <w:bookmarkEnd w:id="398"/>
    </w:p>
    <w:p>
      <w:pPr>
        <w:rPr>
          <w:rFonts w:ascii="黑体" w:hAnsi="黑体" w:eastAsia="黑体" w:cs="黑体"/>
          <w:kern w:val="0"/>
          <w:sz w:val="28"/>
          <w:szCs w:val="28"/>
        </w:rPr>
      </w:pPr>
      <w:bookmarkStart w:id="403" w:name="_Toc2561"/>
    </w:p>
    <w:p>
      <w:pPr>
        <w:pStyle w:val="2"/>
        <w:rPr>
          <w:rFonts w:ascii="黑体" w:hAnsi="黑体" w:eastAsia="黑体" w:cs="黑体"/>
          <w:kern w:val="0"/>
          <w:sz w:val="28"/>
          <w:szCs w:val="28"/>
        </w:rPr>
      </w:pPr>
    </w:p>
    <w:p>
      <w:pPr>
        <w:pStyle w:val="4"/>
        <w:rPr>
          <w:rFonts w:ascii="黑体" w:hAnsi="黑体" w:eastAsia="黑体" w:cs="黑体"/>
          <w:kern w:val="0"/>
          <w:sz w:val="28"/>
          <w:szCs w:val="28"/>
        </w:rPr>
      </w:pPr>
    </w:p>
    <w:p/>
    <w:p>
      <w:pPr>
        <w:pStyle w:val="7"/>
        <w:jc w:val="center"/>
        <w:rPr>
          <w:rFonts w:ascii="黑体" w:hAnsi="黑体" w:cs="黑体"/>
          <w:sz w:val="28"/>
          <w:szCs w:val="28"/>
        </w:rPr>
      </w:pPr>
      <w:bookmarkStart w:id="404" w:name="_Toc517940892"/>
      <w:r>
        <w:rPr>
          <w:rFonts w:hint="eastAsia" w:ascii="黑体" w:hAnsi="黑体" w:cs="黑体"/>
          <w:sz w:val="28"/>
          <w:szCs w:val="28"/>
        </w:rPr>
        <w:t>五、施工组织设计</w:t>
      </w:r>
      <w:bookmarkEnd w:id="403"/>
      <w:bookmarkEnd w:id="404"/>
    </w:p>
    <w:p>
      <w:pPr>
        <w:spacing w:line="312" w:lineRule="auto"/>
        <w:ind w:firstLine="600" w:firstLineChars="250"/>
        <w:rPr>
          <w:rFonts w:ascii="宋体" w:hAnsi="宋体" w:cs="宋体"/>
          <w:sz w:val="24"/>
        </w:rPr>
      </w:pPr>
      <w:r>
        <w:rPr>
          <w:rFonts w:hint="eastAsia" w:ascii="宋体" w:hAnsi="宋体" w:cs="宋体"/>
          <w:sz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pPr>
        <w:tabs>
          <w:tab w:val="left" w:pos="720"/>
        </w:tabs>
        <w:spacing w:line="312" w:lineRule="auto"/>
        <w:ind w:firstLine="480" w:firstLineChars="200"/>
        <w:rPr>
          <w:rFonts w:ascii="宋体" w:hAnsi="宋体" w:cs="宋体"/>
          <w:sz w:val="24"/>
        </w:rPr>
      </w:pPr>
      <w:r>
        <w:rPr>
          <w:rFonts w:hint="eastAsia" w:ascii="宋体" w:hAnsi="宋体" w:cs="宋体"/>
          <w:sz w:val="24"/>
        </w:rPr>
        <w:t>2.施工组织设计除采用文字表述外应附相应图表,图表自拟。</w:t>
      </w:r>
    </w:p>
    <w:p>
      <w:pPr>
        <w:spacing w:line="312" w:lineRule="auto"/>
        <w:rPr>
          <w:rFonts w:ascii="宋体" w:hAnsi="宋体" w:cs="宋体"/>
          <w:sz w:val="24"/>
        </w:rPr>
      </w:pPr>
    </w:p>
    <w:p>
      <w:pPr>
        <w:spacing w:line="312" w:lineRule="auto"/>
        <w:rPr>
          <w:rFonts w:ascii="宋体" w:hAnsi="宋体" w:cs="宋体"/>
          <w:szCs w:val="21"/>
        </w:rPr>
      </w:pPr>
    </w:p>
    <w:p>
      <w:pPr>
        <w:spacing w:line="312" w:lineRule="auto"/>
        <w:rPr>
          <w:rFonts w:ascii="宋体" w:hAnsi="宋体" w:cs="宋体"/>
          <w:szCs w:val="21"/>
        </w:rPr>
      </w:pPr>
    </w:p>
    <w:p>
      <w:pPr>
        <w:spacing w:line="312" w:lineRule="auto"/>
      </w:pPr>
    </w:p>
    <w:p>
      <w:pPr>
        <w:spacing w:line="312" w:lineRule="auto"/>
      </w:pPr>
    </w:p>
    <w:p>
      <w:pPr>
        <w:pStyle w:val="7"/>
        <w:jc w:val="center"/>
        <w:rPr>
          <w:rFonts w:ascii="宋体" w:hAnsi="宋体" w:cs="宋体"/>
          <w:sz w:val="24"/>
        </w:rPr>
      </w:pPr>
      <w:bookmarkStart w:id="405" w:name="_Toc517940893"/>
      <w:bookmarkStart w:id="406" w:name="_Toc20269"/>
      <w:r>
        <w:rPr>
          <w:rFonts w:hint="eastAsia" w:ascii="黑体" w:hAnsi="黑体" w:cs="黑体"/>
          <w:sz w:val="28"/>
          <w:szCs w:val="28"/>
        </w:rPr>
        <w:t>六、项目管理机构</w:t>
      </w:r>
      <w:bookmarkEnd w:id="399"/>
      <w:bookmarkEnd w:id="400"/>
      <w:bookmarkEnd w:id="401"/>
      <w:bookmarkEnd w:id="402"/>
      <w:bookmarkEnd w:id="405"/>
      <w:bookmarkEnd w:id="406"/>
    </w:p>
    <w:p>
      <w:pPr>
        <w:rPr>
          <w:rFonts w:ascii="宋体" w:hAnsi="宋体" w:cs="宋体"/>
          <w:b/>
          <w:bCs/>
          <w:sz w:val="24"/>
        </w:rPr>
      </w:pPr>
      <w:bookmarkStart w:id="407" w:name="_Toc27720"/>
      <w:bookmarkStart w:id="408" w:name="_Toc21137"/>
      <w:bookmarkStart w:id="409" w:name="_Toc8921"/>
      <w:bookmarkStart w:id="410" w:name="_Toc25342"/>
      <w:bookmarkStart w:id="411" w:name="_Toc26208"/>
      <w:r>
        <w:rPr>
          <w:rFonts w:hint="eastAsia" w:ascii="宋体" w:hAnsi="宋体" w:cs="宋体"/>
          <w:b/>
          <w:bCs/>
          <w:sz w:val="24"/>
        </w:rPr>
        <w:t>（一）项目管理机构组成表</w:t>
      </w:r>
      <w:bookmarkEnd w:id="407"/>
      <w:bookmarkEnd w:id="408"/>
      <w:bookmarkEnd w:id="409"/>
      <w:bookmarkEnd w:id="410"/>
      <w:bookmarkEnd w:id="411"/>
    </w:p>
    <w:tbl>
      <w:tblPr>
        <w:tblStyle w:val="35"/>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356"/>
        <w:gridCol w:w="1059"/>
        <w:gridCol w:w="900"/>
        <w:gridCol w:w="900"/>
        <w:gridCol w:w="167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职务</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姓名</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职称</w:t>
            </w:r>
          </w:p>
        </w:tc>
        <w:tc>
          <w:tcPr>
            <w:tcW w:w="5892" w:type="dxa"/>
            <w:gridSpan w:val="5"/>
            <w:vAlign w:val="center"/>
          </w:tcPr>
          <w:p>
            <w:pPr>
              <w:spacing w:line="312" w:lineRule="auto"/>
              <w:jc w:val="center"/>
              <w:rPr>
                <w:rFonts w:ascii="宋体" w:hAnsi="宋体" w:cs="宋体"/>
                <w:sz w:val="24"/>
              </w:rPr>
            </w:pPr>
            <w:r>
              <w:rPr>
                <w:rFonts w:hint="eastAsia" w:ascii="宋体" w:hAnsi="宋体" w:cs="宋体"/>
                <w:sz w:val="24"/>
              </w:rPr>
              <w:t>执业或职业资格证明</w:t>
            </w:r>
          </w:p>
        </w:tc>
        <w:tc>
          <w:tcPr>
            <w:tcW w:w="708" w:type="dxa"/>
            <w:vMerge w:val="restart"/>
            <w:vAlign w:val="center"/>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r>
              <w:rPr>
                <w:rFonts w:hint="eastAsia" w:ascii="宋体" w:hAnsi="宋体" w:cs="宋体"/>
                <w:sz w:val="24"/>
              </w:rPr>
              <w:t>证书名称</w:t>
            </w:r>
          </w:p>
        </w:tc>
        <w:tc>
          <w:tcPr>
            <w:tcW w:w="1059" w:type="dxa"/>
            <w:vAlign w:val="center"/>
          </w:tcPr>
          <w:p>
            <w:pPr>
              <w:spacing w:line="312" w:lineRule="auto"/>
              <w:jc w:val="center"/>
              <w:rPr>
                <w:rFonts w:ascii="宋体" w:hAnsi="宋体" w:cs="宋体"/>
                <w:sz w:val="24"/>
              </w:rPr>
            </w:pPr>
            <w:r>
              <w:rPr>
                <w:rFonts w:hint="eastAsia" w:ascii="宋体" w:hAnsi="宋体" w:cs="宋体"/>
                <w:sz w:val="24"/>
              </w:rPr>
              <w:t>级别</w:t>
            </w:r>
          </w:p>
        </w:tc>
        <w:tc>
          <w:tcPr>
            <w:tcW w:w="900" w:type="dxa"/>
            <w:vAlign w:val="center"/>
          </w:tcPr>
          <w:p>
            <w:pPr>
              <w:spacing w:line="312" w:lineRule="auto"/>
              <w:jc w:val="center"/>
              <w:rPr>
                <w:rFonts w:ascii="宋体" w:hAnsi="宋体" w:cs="宋体"/>
                <w:sz w:val="24"/>
              </w:rPr>
            </w:pPr>
            <w:r>
              <w:rPr>
                <w:rFonts w:hint="eastAsia" w:ascii="宋体" w:hAnsi="宋体" w:cs="宋体"/>
                <w:sz w:val="24"/>
              </w:rPr>
              <w:t>证号</w:t>
            </w:r>
          </w:p>
        </w:tc>
        <w:tc>
          <w:tcPr>
            <w:tcW w:w="900"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1677" w:type="dxa"/>
            <w:vAlign w:val="center"/>
          </w:tcPr>
          <w:p>
            <w:pPr>
              <w:spacing w:line="312" w:lineRule="auto"/>
              <w:jc w:val="center"/>
              <w:rPr>
                <w:rFonts w:ascii="宋体" w:hAnsi="宋体" w:cs="宋体"/>
                <w:sz w:val="24"/>
              </w:rPr>
            </w:pPr>
            <w:r>
              <w:rPr>
                <w:rFonts w:hint="eastAsia" w:ascii="宋体" w:hAnsi="宋体" w:cs="宋体"/>
                <w:sz w:val="24"/>
              </w:rPr>
              <w:t>养老保险</w:t>
            </w:r>
          </w:p>
        </w:tc>
        <w:tc>
          <w:tcPr>
            <w:tcW w:w="708" w:type="dxa"/>
            <w:vMerge w:val="continue"/>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rPr>
          <w:rFonts w:ascii="宋体" w:hAnsi="宋体" w:cs="宋体"/>
          <w:sz w:val="24"/>
        </w:rPr>
      </w:pPr>
      <w:bookmarkStart w:id="412" w:name="_Toc590"/>
      <w:bookmarkStart w:id="413" w:name="_Toc22776"/>
      <w:bookmarkStart w:id="414" w:name="_Toc27110"/>
      <w:bookmarkStart w:id="415" w:name="_Toc3522"/>
      <w:bookmarkStart w:id="416" w:name="_Toc26047"/>
      <w:r>
        <w:rPr>
          <w:rFonts w:hint="eastAsia" w:ascii="宋体" w:hAnsi="宋体" w:cs="宋体"/>
          <w:b/>
          <w:bCs/>
          <w:sz w:val="24"/>
        </w:rPr>
        <w:t>（二）主要人员简历表</w:t>
      </w:r>
      <w:bookmarkEnd w:id="412"/>
      <w:bookmarkEnd w:id="413"/>
      <w:bookmarkEnd w:id="414"/>
      <w:bookmarkEnd w:id="415"/>
      <w:bookmarkEnd w:id="416"/>
    </w:p>
    <w:p>
      <w:pPr>
        <w:rPr>
          <w:rFonts w:ascii="宋体" w:hAnsi="宋体" w:cs="宋体"/>
          <w:b/>
          <w:sz w:val="24"/>
        </w:rPr>
      </w:pPr>
      <w:bookmarkStart w:id="417" w:name="_Toc20036"/>
      <w:bookmarkStart w:id="418" w:name="_Toc13679"/>
      <w:bookmarkStart w:id="419" w:name="_Toc20732"/>
      <w:bookmarkStart w:id="420" w:name="_Toc23995"/>
      <w:bookmarkStart w:id="421" w:name="_Toc9814"/>
      <w:r>
        <w:rPr>
          <w:rFonts w:hint="eastAsia" w:ascii="宋体" w:hAnsi="宋体" w:cs="宋体"/>
          <w:b/>
          <w:sz w:val="24"/>
        </w:rPr>
        <w:t>附1：项目经理简历表</w:t>
      </w:r>
    </w:p>
    <w:p>
      <w:pPr>
        <w:spacing w:line="312" w:lineRule="auto"/>
        <w:ind w:firstLine="600" w:firstLineChars="250"/>
        <w:rPr>
          <w:rFonts w:ascii="宋体" w:hAnsi="宋体" w:cs="宋体"/>
          <w:color w:val="FF0000"/>
          <w:sz w:val="24"/>
        </w:rPr>
      </w:pPr>
      <w:r>
        <w:rPr>
          <w:rFonts w:hint="eastAsia" w:ascii="宋体" w:hAnsi="宋体" w:cs="宋体"/>
          <w:sz w:val="24"/>
        </w:rPr>
        <w:t>项目经理应附项目经理身份证、注册建造师证书、继续教育证明（如有）、职称证（如有）、劳动合同、养老保险复印件或扫描件及未担任其他在施建设工程项目经理的承诺书，管理过的类似项目业绩须附网上中标结果公示、中标通知书和合同协议书复印件或扫描件。</w:t>
      </w:r>
    </w:p>
    <w:tbl>
      <w:tblPr>
        <w:tblStyle w:val="35"/>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44"/>
        <w:gridCol w:w="1253"/>
        <w:gridCol w:w="1409"/>
        <w:gridCol w:w="203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50" w:type="dxa"/>
            <w:vAlign w:val="center"/>
          </w:tcPr>
          <w:p>
            <w:pPr>
              <w:spacing w:line="312" w:lineRule="auto"/>
              <w:jc w:val="center"/>
              <w:rPr>
                <w:rFonts w:ascii="宋体" w:hAnsi="宋体" w:cs="宋体"/>
                <w:sz w:val="24"/>
              </w:rPr>
            </w:pPr>
            <w:r>
              <w:rPr>
                <w:rFonts w:hint="eastAsia" w:ascii="宋体" w:hAnsi="宋体" w:cs="宋体"/>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604"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409"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37"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93"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80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37"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50"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bookmarkEnd w:id="417"/>
      <w:bookmarkEnd w:id="418"/>
      <w:bookmarkEnd w:id="419"/>
      <w:bookmarkEnd w:id="420"/>
      <w:bookmarkEnd w:id="421"/>
    </w:tbl>
    <w:p>
      <w:pPr>
        <w:spacing w:line="312" w:lineRule="auto"/>
        <w:rPr>
          <w:rFonts w:ascii="宋体" w:hAnsi="宋体" w:cs="宋体"/>
          <w:b/>
          <w:sz w:val="24"/>
        </w:rPr>
      </w:pPr>
      <w:bookmarkStart w:id="422" w:name="_Toc23329"/>
      <w:bookmarkStart w:id="423" w:name="_Toc29679"/>
      <w:bookmarkStart w:id="424" w:name="_Toc5309"/>
      <w:bookmarkStart w:id="425" w:name="_Toc32193"/>
      <w:bookmarkStart w:id="426" w:name="_Toc17717"/>
      <w:r>
        <w:rPr>
          <w:rFonts w:hint="eastAsia" w:ascii="宋体" w:hAnsi="宋体" w:cs="宋体"/>
          <w:b/>
          <w:sz w:val="24"/>
        </w:rPr>
        <w:t>附2：技术负责人简历表</w:t>
      </w:r>
    </w:p>
    <w:p>
      <w:pPr>
        <w:spacing w:line="312" w:lineRule="auto"/>
        <w:ind w:firstLine="600" w:firstLineChars="250"/>
        <w:rPr>
          <w:rFonts w:ascii="宋体" w:hAnsi="宋体" w:cs="宋体"/>
          <w:sz w:val="24"/>
        </w:rPr>
      </w:pPr>
    </w:p>
    <w:tbl>
      <w:tblPr>
        <w:tblStyle w:val="35"/>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32"/>
        <w:gridCol w:w="1240"/>
        <w:gridCol w:w="1394"/>
        <w:gridCol w:w="20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566"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394"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15"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06"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76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15"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25"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bl>
    <w:p>
      <w:pPr>
        <w:spacing w:line="312" w:lineRule="auto"/>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7"/>
        <w:rPr>
          <w:rFonts w:ascii="宋体" w:hAnsi="宋体" w:cs="宋体"/>
          <w:sz w:val="24"/>
        </w:rPr>
      </w:pPr>
      <w:bookmarkStart w:id="427" w:name="_Toc517940894"/>
      <w:r>
        <w:rPr>
          <w:rFonts w:hint="eastAsia" w:ascii="黑体" w:hAnsi="黑体" w:cs="黑体"/>
          <w:sz w:val="28"/>
          <w:szCs w:val="28"/>
        </w:rPr>
        <w:t>七、资格证明文件</w:t>
      </w:r>
      <w:bookmarkEnd w:id="422"/>
      <w:bookmarkEnd w:id="423"/>
      <w:bookmarkEnd w:id="424"/>
      <w:bookmarkEnd w:id="425"/>
      <w:bookmarkEnd w:id="426"/>
      <w:bookmarkEnd w:id="427"/>
    </w:p>
    <w:p>
      <w:pPr>
        <w:rPr>
          <w:rFonts w:ascii="宋体" w:hAnsi="宋体" w:cs="宋体"/>
          <w:b/>
          <w:bCs/>
          <w:sz w:val="24"/>
        </w:rPr>
      </w:pPr>
      <w:bookmarkStart w:id="428" w:name="_Toc15464"/>
      <w:bookmarkStart w:id="429" w:name="_Toc7115"/>
      <w:bookmarkStart w:id="430" w:name="_Toc28368"/>
      <w:bookmarkStart w:id="431" w:name="_Toc2951"/>
      <w:bookmarkStart w:id="432" w:name="_Toc1268"/>
      <w:r>
        <w:rPr>
          <w:rFonts w:hint="eastAsia" w:ascii="宋体" w:hAnsi="宋体" w:cs="宋体"/>
          <w:b/>
          <w:bCs/>
          <w:sz w:val="24"/>
        </w:rPr>
        <w:t>（一）投标人基本情况表</w:t>
      </w:r>
      <w:bookmarkEnd w:id="428"/>
      <w:bookmarkEnd w:id="429"/>
      <w:bookmarkEnd w:id="430"/>
      <w:bookmarkEnd w:id="431"/>
      <w:bookmarkEnd w:id="432"/>
    </w:p>
    <w:tbl>
      <w:tblPr>
        <w:tblStyle w:val="35"/>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790"/>
        <w:gridCol w:w="426"/>
        <w:gridCol w:w="702"/>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投标人名称</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注册地址</w:t>
            </w:r>
          </w:p>
        </w:tc>
        <w:tc>
          <w:tcPr>
            <w:tcW w:w="3389" w:type="dxa"/>
            <w:gridSpan w:val="6"/>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邮政编码</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Merge w:val="restart"/>
            <w:vAlign w:val="center"/>
          </w:tcPr>
          <w:p>
            <w:pPr>
              <w:spacing w:line="312" w:lineRule="auto"/>
              <w:jc w:val="left"/>
              <w:rPr>
                <w:rFonts w:ascii="宋体" w:hAnsi="宋体" w:cs="宋体"/>
                <w:sz w:val="24"/>
              </w:rPr>
            </w:pPr>
            <w:r>
              <w:rPr>
                <w:rFonts w:hint="eastAsia" w:ascii="宋体" w:hAnsi="宋体" w:cs="宋体"/>
                <w:sz w:val="24"/>
              </w:rPr>
              <w:t>联系方式</w:t>
            </w:r>
          </w:p>
        </w:tc>
        <w:tc>
          <w:tcPr>
            <w:tcW w:w="1216" w:type="dxa"/>
            <w:gridSpan w:val="2"/>
            <w:vAlign w:val="center"/>
          </w:tcPr>
          <w:p>
            <w:pPr>
              <w:spacing w:line="312" w:lineRule="auto"/>
              <w:jc w:val="center"/>
              <w:rPr>
                <w:rFonts w:ascii="宋体" w:hAnsi="宋体" w:cs="宋体"/>
                <w:sz w:val="24"/>
              </w:rPr>
            </w:pPr>
            <w:r>
              <w:rPr>
                <w:rFonts w:hint="eastAsia" w:ascii="宋体" w:hAnsi="宋体" w:cs="宋体"/>
                <w:sz w:val="24"/>
              </w:rPr>
              <w:t>联系人</w:t>
            </w:r>
          </w:p>
        </w:tc>
        <w:tc>
          <w:tcPr>
            <w:tcW w:w="2173" w:type="dxa"/>
            <w:gridSpan w:val="4"/>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电  话</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Merge w:val="continue"/>
            <w:vAlign w:val="center"/>
          </w:tcPr>
          <w:p>
            <w:pPr>
              <w:spacing w:line="312" w:lineRule="auto"/>
              <w:jc w:val="left"/>
              <w:rPr>
                <w:rFonts w:ascii="宋体" w:hAnsi="宋体" w:cs="宋体"/>
                <w:sz w:val="24"/>
              </w:rPr>
            </w:pPr>
          </w:p>
        </w:tc>
        <w:tc>
          <w:tcPr>
            <w:tcW w:w="1216" w:type="dxa"/>
            <w:gridSpan w:val="2"/>
            <w:vAlign w:val="center"/>
          </w:tcPr>
          <w:p>
            <w:pPr>
              <w:spacing w:line="312" w:lineRule="auto"/>
              <w:jc w:val="center"/>
              <w:rPr>
                <w:rFonts w:ascii="宋体" w:hAnsi="宋体" w:cs="宋体"/>
                <w:sz w:val="24"/>
              </w:rPr>
            </w:pPr>
            <w:r>
              <w:rPr>
                <w:rFonts w:hint="eastAsia" w:ascii="宋体" w:hAnsi="宋体" w:cs="宋体"/>
                <w:sz w:val="24"/>
              </w:rPr>
              <w:t>传  真</w:t>
            </w:r>
          </w:p>
        </w:tc>
        <w:tc>
          <w:tcPr>
            <w:tcW w:w="2173" w:type="dxa"/>
            <w:gridSpan w:val="4"/>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网  址</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组织结构</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法定代表人</w:t>
            </w:r>
          </w:p>
        </w:tc>
        <w:tc>
          <w:tcPr>
            <w:tcW w:w="790" w:type="dxa"/>
            <w:vAlign w:val="center"/>
          </w:tcPr>
          <w:p>
            <w:pPr>
              <w:spacing w:line="312" w:lineRule="auto"/>
              <w:jc w:val="center"/>
              <w:rPr>
                <w:rFonts w:ascii="宋体" w:hAnsi="宋体" w:cs="宋体"/>
                <w:sz w:val="24"/>
              </w:rPr>
            </w:pPr>
            <w:r>
              <w:rPr>
                <w:rFonts w:hint="eastAsia" w:ascii="宋体" w:hAnsi="宋体" w:cs="宋体"/>
                <w:sz w:val="24"/>
              </w:rPr>
              <w:t>姓名</w:t>
            </w:r>
          </w:p>
        </w:tc>
        <w:tc>
          <w:tcPr>
            <w:tcW w:w="1128" w:type="dxa"/>
            <w:gridSpan w:val="2"/>
            <w:vAlign w:val="center"/>
          </w:tcPr>
          <w:p>
            <w:pPr>
              <w:spacing w:line="312" w:lineRule="auto"/>
              <w:jc w:val="center"/>
              <w:rPr>
                <w:rFonts w:ascii="宋体" w:hAnsi="宋体" w:cs="宋体"/>
                <w:sz w:val="24"/>
              </w:rPr>
            </w:pPr>
          </w:p>
        </w:tc>
        <w:tc>
          <w:tcPr>
            <w:tcW w:w="1276" w:type="dxa"/>
            <w:gridSpan w:val="2"/>
            <w:vAlign w:val="center"/>
          </w:tcPr>
          <w:p>
            <w:pPr>
              <w:spacing w:line="312" w:lineRule="auto"/>
              <w:jc w:val="center"/>
              <w:rPr>
                <w:rFonts w:ascii="宋体" w:hAnsi="宋体" w:cs="宋体"/>
                <w:sz w:val="24"/>
              </w:rPr>
            </w:pPr>
            <w:r>
              <w:rPr>
                <w:rFonts w:hint="eastAsia" w:ascii="宋体" w:hAnsi="宋体" w:cs="宋体"/>
                <w:sz w:val="24"/>
              </w:rPr>
              <w:t>技术职称</w:t>
            </w:r>
          </w:p>
        </w:tc>
        <w:tc>
          <w:tcPr>
            <w:tcW w:w="1701" w:type="dxa"/>
            <w:gridSpan w:val="3"/>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r>
              <w:rPr>
                <w:rFonts w:hint="eastAsia" w:ascii="宋体" w:hAnsi="宋体" w:cs="宋体"/>
                <w:sz w:val="24"/>
              </w:rPr>
              <w:t>电话</w:t>
            </w:r>
          </w:p>
        </w:tc>
        <w:tc>
          <w:tcPr>
            <w:tcW w:w="1416"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技术负责人</w:t>
            </w:r>
          </w:p>
        </w:tc>
        <w:tc>
          <w:tcPr>
            <w:tcW w:w="790" w:type="dxa"/>
            <w:vAlign w:val="center"/>
          </w:tcPr>
          <w:p>
            <w:pPr>
              <w:spacing w:line="312" w:lineRule="auto"/>
              <w:jc w:val="center"/>
              <w:rPr>
                <w:rFonts w:ascii="宋体" w:hAnsi="宋体" w:cs="宋体"/>
                <w:sz w:val="24"/>
              </w:rPr>
            </w:pPr>
            <w:r>
              <w:rPr>
                <w:rFonts w:hint="eastAsia" w:ascii="宋体" w:hAnsi="宋体" w:cs="宋体"/>
                <w:sz w:val="24"/>
              </w:rPr>
              <w:t>姓名</w:t>
            </w:r>
          </w:p>
        </w:tc>
        <w:tc>
          <w:tcPr>
            <w:tcW w:w="1128" w:type="dxa"/>
            <w:gridSpan w:val="2"/>
            <w:vAlign w:val="center"/>
          </w:tcPr>
          <w:p>
            <w:pPr>
              <w:spacing w:line="312" w:lineRule="auto"/>
              <w:jc w:val="center"/>
              <w:rPr>
                <w:rFonts w:ascii="宋体" w:hAnsi="宋体" w:cs="宋体"/>
                <w:sz w:val="24"/>
              </w:rPr>
            </w:pPr>
          </w:p>
        </w:tc>
        <w:tc>
          <w:tcPr>
            <w:tcW w:w="1276" w:type="dxa"/>
            <w:gridSpan w:val="2"/>
            <w:vAlign w:val="center"/>
          </w:tcPr>
          <w:p>
            <w:pPr>
              <w:spacing w:line="312" w:lineRule="auto"/>
              <w:jc w:val="center"/>
              <w:rPr>
                <w:rFonts w:ascii="宋体" w:hAnsi="宋体" w:cs="宋体"/>
                <w:sz w:val="24"/>
              </w:rPr>
            </w:pPr>
            <w:r>
              <w:rPr>
                <w:rFonts w:hint="eastAsia" w:ascii="宋体" w:hAnsi="宋体" w:cs="宋体"/>
                <w:sz w:val="24"/>
              </w:rPr>
              <w:t>技术职称</w:t>
            </w:r>
          </w:p>
        </w:tc>
        <w:tc>
          <w:tcPr>
            <w:tcW w:w="1701" w:type="dxa"/>
            <w:gridSpan w:val="3"/>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r>
              <w:rPr>
                <w:rFonts w:hint="eastAsia" w:ascii="宋体" w:hAnsi="宋体" w:cs="宋体"/>
                <w:sz w:val="24"/>
              </w:rPr>
              <w:t>电话</w:t>
            </w:r>
          </w:p>
        </w:tc>
        <w:tc>
          <w:tcPr>
            <w:tcW w:w="1416"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成立时间</w:t>
            </w:r>
          </w:p>
        </w:tc>
        <w:tc>
          <w:tcPr>
            <w:tcW w:w="1918" w:type="dxa"/>
            <w:gridSpan w:val="3"/>
            <w:vAlign w:val="center"/>
          </w:tcPr>
          <w:p>
            <w:pPr>
              <w:spacing w:line="312" w:lineRule="auto"/>
              <w:jc w:val="center"/>
              <w:rPr>
                <w:rFonts w:ascii="宋体" w:hAnsi="宋体" w:cs="宋体"/>
                <w:sz w:val="24"/>
              </w:rPr>
            </w:pPr>
          </w:p>
        </w:tc>
        <w:tc>
          <w:tcPr>
            <w:tcW w:w="5102" w:type="dxa"/>
            <w:gridSpan w:val="7"/>
            <w:vAlign w:val="center"/>
          </w:tcPr>
          <w:p>
            <w:pPr>
              <w:spacing w:line="312" w:lineRule="auto"/>
              <w:rPr>
                <w:rFonts w:ascii="宋体" w:hAnsi="宋体" w:cs="宋体"/>
                <w:sz w:val="24"/>
              </w:rPr>
            </w:pPr>
            <w:r>
              <w:rPr>
                <w:rFonts w:hint="eastAsia" w:ascii="宋体"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企业资质等级</w:t>
            </w:r>
          </w:p>
        </w:tc>
        <w:tc>
          <w:tcPr>
            <w:tcW w:w="1918" w:type="dxa"/>
            <w:gridSpan w:val="3"/>
            <w:vAlign w:val="center"/>
          </w:tcPr>
          <w:p>
            <w:pPr>
              <w:spacing w:line="312" w:lineRule="auto"/>
              <w:jc w:val="center"/>
              <w:rPr>
                <w:rFonts w:ascii="宋体" w:hAnsi="宋体" w:cs="宋体"/>
                <w:sz w:val="24"/>
              </w:rPr>
            </w:pPr>
          </w:p>
        </w:tc>
        <w:tc>
          <w:tcPr>
            <w:tcW w:w="993" w:type="dxa"/>
            <w:vMerge w:val="restart"/>
            <w:vAlign w:val="center"/>
          </w:tcPr>
          <w:p>
            <w:pPr>
              <w:spacing w:line="312" w:lineRule="auto"/>
              <w:jc w:val="center"/>
              <w:rPr>
                <w:rFonts w:ascii="宋体" w:hAnsi="宋体" w:cs="宋体"/>
                <w:sz w:val="24"/>
              </w:rPr>
            </w:pPr>
            <w:r>
              <w:rPr>
                <w:rFonts w:hint="eastAsia" w:ascii="宋体" w:hAnsi="宋体" w:cs="宋体"/>
                <w:sz w:val="24"/>
              </w:rPr>
              <w:t>其中</w:t>
            </w: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项目经理</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营业执照号</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高级职称人员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注册资金</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中级职称人员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开户银行</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初级职称人员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账号</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技  工</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经营范围</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备注</w:t>
            </w:r>
          </w:p>
        </w:tc>
        <w:tc>
          <w:tcPr>
            <w:tcW w:w="7020" w:type="dxa"/>
            <w:gridSpan w:val="10"/>
            <w:vAlign w:val="center"/>
          </w:tcPr>
          <w:p>
            <w:pPr>
              <w:spacing w:line="312" w:lineRule="auto"/>
              <w:jc w:val="center"/>
              <w:rPr>
                <w:rFonts w:ascii="宋体" w:hAnsi="宋体" w:cs="宋体"/>
                <w:sz w:val="24"/>
              </w:rPr>
            </w:pPr>
          </w:p>
        </w:tc>
      </w:tr>
    </w:tbl>
    <w:p>
      <w:pPr>
        <w:rPr>
          <w:rFonts w:ascii="宋体" w:hAnsi="宋体" w:cs="宋体"/>
          <w:kern w:val="0"/>
          <w:sz w:val="24"/>
        </w:rPr>
      </w:pPr>
      <w:bookmarkStart w:id="433" w:name="_Toc6643"/>
      <w:bookmarkStart w:id="434" w:name="_Toc2791"/>
      <w:bookmarkStart w:id="435" w:name="_Toc6846"/>
      <w:bookmarkStart w:id="436" w:name="_Toc25724"/>
      <w:bookmarkStart w:id="437" w:name="_Toc28785"/>
      <w:r>
        <w:rPr>
          <w:rFonts w:hint="eastAsia" w:ascii="宋体" w:hAnsi="宋体" w:cs="宋体"/>
          <w:kern w:val="0"/>
          <w:sz w:val="24"/>
        </w:rPr>
        <w:br w:type="page"/>
      </w:r>
      <w:bookmarkEnd w:id="433"/>
      <w:bookmarkEnd w:id="434"/>
      <w:bookmarkEnd w:id="435"/>
      <w:bookmarkEnd w:id="436"/>
      <w:bookmarkEnd w:id="437"/>
      <w:r>
        <w:rPr>
          <w:rFonts w:hint="eastAsia" w:ascii="宋体" w:hAnsi="宋体" w:cs="宋体"/>
          <w:b/>
          <w:bCs/>
          <w:kern w:val="0"/>
          <w:sz w:val="24"/>
        </w:rPr>
        <w:t>（二）服务承诺书</w:t>
      </w:r>
    </w:p>
    <w:p>
      <w:pPr>
        <w:autoSpaceDE w:val="0"/>
        <w:autoSpaceDN w:val="0"/>
        <w:adjustRightInd w:val="0"/>
        <w:spacing w:line="312" w:lineRule="auto"/>
        <w:jc w:val="left"/>
        <w:rPr>
          <w:rFonts w:ascii="宋体" w:hAnsi="宋体" w:cs="宋体"/>
          <w:kern w:val="0"/>
          <w:sz w:val="24"/>
        </w:rPr>
      </w:pPr>
    </w:p>
    <w:tbl>
      <w:tblPr>
        <w:tblStyle w:val="35"/>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57" w:type="dxa"/>
            <w:vAlign w:val="center"/>
          </w:tcPr>
          <w:p>
            <w:pPr>
              <w:spacing w:line="312" w:lineRule="auto"/>
              <w:rPr>
                <w:rFonts w:ascii="宋体" w:hAnsi="宋体" w:cs="宋体"/>
                <w:sz w:val="24"/>
              </w:rPr>
            </w:pPr>
            <w:bookmarkStart w:id="438" w:name="_Toc28062"/>
            <w:bookmarkStart w:id="439" w:name="_Toc1890"/>
            <w:bookmarkStart w:id="440" w:name="_Toc25113"/>
            <w:bookmarkStart w:id="441" w:name="_Toc23283"/>
            <w:bookmarkStart w:id="442" w:name="_Toc26172"/>
            <w:r>
              <w:rPr>
                <w:rFonts w:hint="eastAsia" w:ascii="宋体" w:hAnsi="宋体" w:cs="宋体"/>
                <w:sz w:val="24"/>
              </w:rPr>
              <w:t>投  标  单 位</w:t>
            </w:r>
          </w:p>
        </w:tc>
        <w:tc>
          <w:tcPr>
            <w:tcW w:w="7083" w:type="dxa"/>
            <w:vAlign w:val="center"/>
          </w:tcPr>
          <w:p>
            <w:pPr>
              <w:spacing w:line="312" w:lineRule="auto"/>
              <w:jc w:val="center"/>
              <w:rPr>
                <w:rFonts w:ascii="宋体" w:hAnsi="宋体" w:cs="宋体"/>
                <w:sz w:val="24"/>
              </w:rPr>
            </w:pPr>
            <w:r>
              <w:rPr>
                <w:rFonts w:hint="eastAsia" w:ascii="宋体" w:hAnsi="宋体" w:cs="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140" w:type="dxa"/>
            <w:gridSpan w:val="2"/>
            <w:tcBorders>
              <w:bottom w:val="single" w:color="auto" w:sz="4" w:space="0"/>
            </w:tcBorders>
          </w:tcPr>
          <w:p>
            <w:pPr>
              <w:spacing w:line="312" w:lineRule="auto"/>
              <w:rPr>
                <w:rFonts w:ascii="宋体" w:hAnsi="宋体" w:cs="宋体"/>
                <w:sz w:val="24"/>
              </w:rPr>
            </w:pPr>
            <w:r>
              <w:rPr>
                <w:rFonts w:hint="eastAsia" w:ascii="宋体" w:hAnsi="宋体" w:cs="宋体"/>
                <w:sz w:val="24"/>
              </w:rPr>
              <w:t>承诺内容：</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ind w:firstLine="2400" w:firstLineChars="1000"/>
              <w:rPr>
                <w:rFonts w:ascii="宋体" w:hAnsi="宋体" w:cs="宋体"/>
                <w:sz w:val="24"/>
              </w:rPr>
            </w:pPr>
          </w:p>
          <w:p>
            <w:pPr>
              <w:spacing w:line="312" w:lineRule="auto"/>
              <w:ind w:firstLine="2400" w:firstLineChars="1000"/>
              <w:jc w:val="right"/>
              <w:rPr>
                <w:rFonts w:ascii="宋体" w:hAnsi="宋体" w:cs="宋体"/>
                <w:sz w:val="24"/>
              </w:rPr>
            </w:pPr>
            <w:r>
              <w:rPr>
                <w:rFonts w:hint="eastAsia" w:ascii="宋体" w:hAnsi="宋体" w:cs="宋体"/>
                <w:sz w:val="24"/>
              </w:rPr>
              <w:t>投标人法定代表人或授权委托人：（签字或盖章）</w:t>
            </w:r>
          </w:p>
          <w:p>
            <w:pPr>
              <w:spacing w:line="312" w:lineRule="auto"/>
              <w:ind w:firstLine="960" w:firstLineChars="400"/>
              <w:jc w:val="right"/>
              <w:rPr>
                <w:rFonts w:ascii="宋体" w:hAnsi="宋体" w:cs="宋体"/>
                <w:sz w:val="24"/>
              </w:rPr>
            </w:pPr>
          </w:p>
          <w:p>
            <w:pPr>
              <w:tabs>
                <w:tab w:val="center" w:pos="4535"/>
              </w:tabs>
              <w:spacing w:line="312" w:lineRule="auto"/>
              <w:ind w:firstLine="3240" w:firstLineChars="1350"/>
              <w:jc w:val="right"/>
              <w:rPr>
                <w:rFonts w:ascii="宋体" w:hAnsi="宋体" w:cs="宋体"/>
                <w:sz w:val="24"/>
              </w:rPr>
            </w:pPr>
            <w:r>
              <w:rPr>
                <w:rFonts w:hint="eastAsia" w:ascii="宋体" w:hAnsi="宋体" w:cs="宋体"/>
                <w:sz w:val="24"/>
              </w:rPr>
              <w:t>日期：   年    月     日</w:t>
            </w:r>
            <w:r>
              <w:rPr>
                <w:rFonts w:hint="eastAsia" w:ascii="宋体" w:hAnsi="宋体" w:cs="宋体"/>
                <w:sz w:val="24"/>
              </w:rPr>
              <w:tab/>
            </w:r>
          </w:p>
        </w:tc>
      </w:tr>
    </w:tbl>
    <w:p>
      <w:pPr>
        <w:spacing w:line="312" w:lineRule="auto"/>
      </w:pPr>
    </w:p>
    <w:bookmarkEnd w:id="438"/>
    <w:bookmarkEnd w:id="439"/>
    <w:bookmarkEnd w:id="440"/>
    <w:bookmarkEnd w:id="441"/>
    <w:bookmarkEnd w:id="442"/>
    <w:p>
      <w:pPr>
        <w:spacing w:line="312" w:lineRule="auto"/>
      </w:pPr>
      <w:bookmarkStart w:id="443" w:name="_Toc17947"/>
      <w:bookmarkStart w:id="444" w:name="_Toc2992"/>
      <w:bookmarkStart w:id="445" w:name="_Toc18027"/>
      <w:bookmarkStart w:id="446" w:name="_Toc8776"/>
      <w:bookmarkStart w:id="447" w:name="_Toc3076"/>
    </w:p>
    <w:bookmarkEnd w:id="443"/>
    <w:bookmarkEnd w:id="444"/>
    <w:bookmarkEnd w:id="445"/>
    <w:bookmarkEnd w:id="446"/>
    <w:bookmarkEnd w:id="447"/>
    <w:p>
      <w:pPr>
        <w:spacing w:line="312" w:lineRule="auto"/>
      </w:pPr>
      <w:bookmarkStart w:id="448" w:name="_Toc31783"/>
      <w:bookmarkStart w:id="449" w:name="_Toc389"/>
      <w:bookmarkStart w:id="450" w:name="_Toc30171"/>
      <w:bookmarkStart w:id="451" w:name="_Toc10712"/>
    </w:p>
    <w:p>
      <w:pPr>
        <w:spacing w:line="312" w:lineRule="auto"/>
      </w:pPr>
    </w:p>
    <w:p>
      <w:pPr>
        <w:pStyle w:val="7"/>
        <w:jc w:val="center"/>
        <w:rPr>
          <w:rFonts w:ascii="黑体" w:hAnsi="黑体" w:cs="黑体"/>
          <w:sz w:val="28"/>
          <w:szCs w:val="28"/>
        </w:rPr>
      </w:pPr>
      <w:bookmarkStart w:id="452" w:name="_Toc965"/>
      <w:bookmarkStart w:id="453" w:name="_Toc517940895"/>
      <w:r>
        <w:rPr>
          <w:rFonts w:hint="eastAsia" w:ascii="黑体" w:hAnsi="黑体" w:cs="黑体"/>
          <w:sz w:val="28"/>
          <w:szCs w:val="28"/>
        </w:rPr>
        <w:t>八、近年财务状况</w:t>
      </w:r>
      <w:bookmarkEnd w:id="448"/>
      <w:bookmarkEnd w:id="449"/>
      <w:bookmarkEnd w:id="450"/>
      <w:bookmarkEnd w:id="451"/>
      <w:bookmarkEnd w:id="452"/>
      <w:bookmarkEnd w:id="453"/>
    </w:p>
    <w:p>
      <w:pPr>
        <w:spacing w:line="312" w:lineRule="auto"/>
        <w:ind w:left="720" w:hanging="720" w:hangingChars="300"/>
        <w:rPr>
          <w:rFonts w:ascii="宋体" w:hAnsi="宋体" w:cs="宋体"/>
          <w:sz w:val="24"/>
        </w:rPr>
      </w:pPr>
      <w:r>
        <w:rPr>
          <w:rFonts w:hint="eastAsia" w:ascii="宋体" w:hAnsi="宋体" w:cs="宋体"/>
          <w:sz w:val="24"/>
        </w:rPr>
        <w:t>备注：在此附经会计师事务所或审计机构审计的财务会计报表，包括资产负债表、损益表、现金流量表、利润表和财务情况说明书的复印件或扫描件，具体年份要求见第二章“投标人须知”的规定。</w:t>
      </w:r>
    </w:p>
    <w:p>
      <w:pPr>
        <w:pStyle w:val="7"/>
        <w:rPr>
          <w:rFonts w:ascii="宋体" w:hAnsi="宋体" w:cs="宋体"/>
          <w:sz w:val="28"/>
          <w:szCs w:val="28"/>
        </w:rPr>
      </w:pPr>
      <w:r>
        <w:rPr>
          <w:rFonts w:hint="eastAsia" w:ascii="宋体" w:hAnsi="宋体" w:cs="宋体"/>
          <w:sz w:val="24"/>
        </w:rPr>
        <w:br w:type="page"/>
      </w:r>
      <w:bookmarkStart w:id="454" w:name="_Toc15031"/>
      <w:bookmarkStart w:id="455" w:name="_Toc517940896"/>
      <w:bookmarkStart w:id="456" w:name="_Toc16611"/>
      <w:bookmarkStart w:id="457" w:name="_Toc18551"/>
      <w:bookmarkStart w:id="458" w:name="_Toc21593"/>
      <w:bookmarkStart w:id="459" w:name="_Toc15075"/>
      <w:r>
        <w:rPr>
          <w:rFonts w:hint="eastAsia" w:ascii="黑体" w:hAnsi="黑体" w:cs="黑体"/>
          <w:sz w:val="28"/>
          <w:szCs w:val="28"/>
        </w:rPr>
        <w:t>九、近年完成的类似项目情况表</w:t>
      </w:r>
      <w:bookmarkEnd w:id="454"/>
      <w:bookmarkEnd w:id="455"/>
      <w:bookmarkEnd w:id="456"/>
      <w:bookmarkEnd w:id="457"/>
      <w:bookmarkEnd w:id="458"/>
      <w:bookmarkEnd w:id="459"/>
    </w:p>
    <w:tbl>
      <w:tblPr>
        <w:tblStyle w:val="3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项目名称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项目所在地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发包人名称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发包人地址</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发包人联系人及电话</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合同价格</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开工日期</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竣工日期</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承担的工作</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工程质量</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项目经理</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技术负责人</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总监理工程师及电话</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项目描述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备注</w:t>
            </w:r>
          </w:p>
        </w:tc>
        <w:tc>
          <w:tcPr>
            <w:tcW w:w="6094" w:type="dxa"/>
            <w:vAlign w:val="center"/>
          </w:tcPr>
          <w:p>
            <w:pPr>
              <w:spacing w:line="312" w:lineRule="auto"/>
              <w:jc w:val="center"/>
              <w:rPr>
                <w:rFonts w:ascii="宋体" w:hAnsi="宋体" w:cs="宋体"/>
                <w:sz w:val="24"/>
              </w:rPr>
            </w:pPr>
          </w:p>
        </w:tc>
      </w:tr>
    </w:tbl>
    <w:p>
      <w:pPr>
        <w:pStyle w:val="7"/>
        <w:rPr>
          <w:rFonts w:ascii="黑体" w:hAnsi="黑体" w:cs="黑体"/>
          <w:sz w:val="28"/>
          <w:szCs w:val="28"/>
        </w:rPr>
      </w:pPr>
      <w:r>
        <w:rPr>
          <w:rFonts w:hint="eastAsia" w:ascii="宋体" w:hAnsi="宋体" w:cs="宋体"/>
          <w:sz w:val="24"/>
        </w:rPr>
        <w:br w:type="page"/>
      </w:r>
      <w:bookmarkStart w:id="460" w:name="_Toc8051"/>
      <w:bookmarkStart w:id="461" w:name="_Toc7014"/>
      <w:bookmarkStart w:id="462" w:name="_Toc21600"/>
      <w:bookmarkStart w:id="463" w:name="_Toc18092"/>
      <w:bookmarkStart w:id="464" w:name="_Toc49"/>
      <w:bookmarkStart w:id="465" w:name="_Toc517940897"/>
      <w:r>
        <w:rPr>
          <w:rFonts w:hint="eastAsia" w:ascii="黑体" w:hAnsi="黑体" w:cs="黑体"/>
          <w:sz w:val="28"/>
          <w:szCs w:val="28"/>
        </w:rPr>
        <w:t>十、正在施工的和新承接的项目情况表</w:t>
      </w:r>
      <w:bookmarkEnd w:id="460"/>
      <w:bookmarkEnd w:id="461"/>
      <w:bookmarkEnd w:id="462"/>
      <w:bookmarkEnd w:id="463"/>
      <w:bookmarkEnd w:id="464"/>
      <w:bookmarkEnd w:id="465"/>
    </w:p>
    <w:tbl>
      <w:tblPr>
        <w:tblStyle w:val="3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项目名称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项目所在地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发包人名称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发包人地址</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发包人电话</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签约合同价</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开工日期</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计划竣工日期</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承担的工作</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工程质量</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项目经理</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技术负责人</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总监理工程师及电话</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项目描述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备注</w:t>
            </w:r>
          </w:p>
        </w:tc>
        <w:tc>
          <w:tcPr>
            <w:tcW w:w="6095" w:type="dxa"/>
            <w:vAlign w:val="center"/>
          </w:tcPr>
          <w:p>
            <w:pPr>
              <w:spacing w:line="312" w:lineRule="auto"/>
              <w:jc w:val="center"/>
              <w:rPr>
                <w:rFonts w:ascii="宋体" w:hAnsi="宋体" w:cs="宋体"/>
                <w:sz w:val="24"/>
              </w:rPr>
            </w:pPr>
          </w:p>
        </w:tc>
      </w:tr>
    </w:tbl>
    <w:p>
      <w:pPr>
        <w:spacing w:line="312" w:lineRule="auto"/>
        <w:ind w:firstLine="240" w:firstLineChars="100"/>
        <w:rPr>
          <w:rFonts w:ascii="宋体" w:hAnsi="宋体" w:cs="宋体"/>
          <w:sz w:val="24"/>
          <w:highlight w:val="yellow"/>
        </w:rPr>
      </w:pPr>
      <w:r>
        <w:rPr>
          <w:rFonts w:hint="eastAsia" w:ascii="宋体" w:hAnsi="宋体" w:cs="宋体"/>
          <w:sz w:val="24"/>
        </w:rPr>
        <w:t>备注：每张表格只填写一个项目，并标明序号。</w:t>
      </w:r>
    </w:p>
    <w:p>
      <w:pPr>
        <w:pStyle w:val="7"/>
        <w:rPr>
          <w:rFonts w:ascii="黑体" w:hAnsi="黑体" w:cs="黑体"/>
          <w:sz w:val="28"/>
          <w:szCs w:val="28"/>
        </w:rPr>
      </w:pPr>
      <w:bookmarkStart w:id="466" w:name="_Toc23559"/>
      <w:bookmarkStart w:id="467" w:name="_Toc31962"/>
      <w:bookmarkStart w:id="468" w:name="_Toc10462"/>
      <w:bookmarkStart w:id="469" w:name="_Toc25001"/>
      <w:r>
        <w:rPr>
          <w:rFonts w:hint="eastAsia" w:ascii="宋体" w:hAnsi="宋体" w:cs="宋体"/>
          <w:sz w:val="24"/>
        </w:rPr>
        <w:br w:type="page"/>
      </w:r>
      <w:bookmarkStart w:id="470" w:name="_Toc19843"/>
      <w:bookmarkStart w:id="471" w:name="_Toc517940898"/>
      <w:r>
        <w:rPr>
          <w:rFonts w:hint="eastAsia" w:ascii="黑体" w:hAnsi="黑体" w:cs="黑体"/>
          <w:sz w:val="28"/>
          <w:szCs w:val="28"/>
        </w:rPr>
        <w:t>十一、近年发生的诉讼和仲裁情况</w:t>
      </w:r>
      <w:bookmarkEnd w:id="466"/>
      <w:bookmarkEnd w:id="467"/>
      <w:bookmarkEnd w:id="468"/>
      <w:bookmarkEnd w:id="469"/>
      <w:bookmarkEnd w:id="470"/>
      <w:bookmarkEnd w:id="471"/>
    </w:p>
    <w:p>
      <w:pPr>
        <w:pStyle w:val="7"/>
        <w:rPr>
          <w:rFonts w:ascii="宋体" w:hAnsi="宋体" w:eastAsia="宋体" w:cs="宋体"/>
          <w:b w:val="0"/>
          <w:bCs w:val="0"/>
          <w:kern w:val="2"/>
          <w:sz w:val="24"/>
          <w:szCs w:val="24"/>
        </w:rPr>
      </w:pPr>
      <w:bookmarkStart w:id="472" w:name="_Toc517940899"/>
      <w:bookmarkStart w:id="473" w:name="_Toc517168757"/>
      <w:bookmarkStart w:id="474" w:name="_Toc29877"/>
      <w:bookmarkStart w:id="475" w:name="_Toc24665"/>
      <w:bookmarkStart w:id="476" w:name="_Toc31843"/>
      <w:bookmarkStart w:id="477" w:name="_Toc13881"/>
      <w:bookmarkStart w:id="478" w:name="_Toc10922"/>
      <w:r>
        <w:rPr>
          <w:rFonts w:hint="eastAsia" w:ascii="宋体" w:hAnsi="宋体" w:eastAsia="宋体" w:cs="宋体"/>
          <w:b w:val="0"/>
          <w:bCs w:val="0"/>
          <w:kern w:val="2"/>
          <w:sz w:val="24"/>
          <w:szCs w:val="24"/>
        </w:rPr>
        <w:t>说明：近年发生的诉讼和仲裁情况仅限于投标人败诉的，且与履行施工承包合同有关的案件，不包括调解结案以及未裁决的仲裁或未终审判决的诉讼。</w:t>
      </w:r>
      <w:bookmarkEnd w:id="472"/>
      <w:bookmarkEnd w:id="473"/>
    </w:p>
    <w:p>
      <w:pPr>
        <w:pStyle w:val="7"/>
        <w:rPr>
          <w:rFonts w:ascii="宋体" w:hAnsi="宋体" w:eastAsia="宋体" w:cs="宋体"/>
          <w:b w:val="0"/>
          <w:bCs w:val="0"/>
          <w:kern w:val="2"/>
          <w:sz w:val="24"/>
          <w:szCs w:val="24"/>
        </w:rPr>
      </w:pPr>
    </w:p>
    <w:p>
      <w:pPr>
        <w:pStyle w:val="7"/>
        <w:rPr>
          <w:rFonts w:ascii="宋体" w:hAnsi="宋体" w:cs="宋体"/>
          <w:position w:val="-7"/>
          <w:sz w:val="24"/>
        </w:rPr>
      </w:pPr>
      <w:bookmarkStart w:id="479" w:name="_Toc517940900"/>
      <w:r>
        <w:rPr>
          <w:rFonts w:hint="eastAsia" w:ascii="黑体" w:hAnsi="黑体" w:cs="黑体"/>
          <w:sz w:val="28"/>
          <w:szCs w:val="28"/>
        </w:rPr>
        <w:t>十二、承诺书</w:t>
      </w:r>
      <w:bookmarkEnd w:id="474"/>
      <w:bookmarkEnd w:id="475"/>
      <w:bookmarkEnd w:id="476"/>
      <w:bookmarkEnd w:id="477"/>
      <w:bookmarkEnd w:id="478"/>
      <w:bookmarkEnd w:id="479"/>
    </w:p>
    <w:p>
      <w:pPr>
        <w:spacing w:line="312" w:lineRule="auto"/>
        <w:jc w:val="right"/>
        <w:rPr>
          <w:rFonts w:ascii="黑体" w:hAnsi="宋体" w:eastAsia="黑体"/>
          <w:sz w:val="28"/>
          <w:szCs w:val="28"/>
        </w:rPr>
      </w:pPr>
      <w:bookmarkStart w:id="480" w:name="_Toc30480"/>
      <w:bookmarkStart w:id="481" w:name="_Toc21067"/>
      <w:bookmarkStart w:id="482" w:name="_Toc14405"/>
      <w:bookmarkStart w:id="483" w:name="_Toc2136"/>
    </w:p>
    <w:p>
      <w:pPr>
        <w:spacing w:line="312" w:lineRule="auto"/>
      </w:pPr>
    </w:p>
    <w:p>
      <w:pPr>
        <w:spacing w:line="312" w:lineRule="auto"/>
      </w:pPr>
    </w:p>
    <w:p>
      <w:pPr>
        <w:pStyle w:val="7"/>
        <w:rPr>
          <w:rFonts w:ascii="黑体" w:hAnsi="黑体" w:cs="黑体"/>
          <w:sz w:val="28"/>
          <w:szCs w:val="28"/>
        </w:rPr>
      </w:pPr>
      <w:bookmarkStart w:id="484" w:name="_Toc517940901"/>
      <w:bookmarkStart w:id="485" w:name="_Toc19527"/>
      <w:r>
        <w:rPr>
          <w:rFonts w:hint="eastAsia" w:ascii="黑体" w:hAnsi="黑体" w:cs="黑体"/>
          <w:sz w:val="28"/>
          <w:szCs w:val="28"/>
        </w:rPr>
        <w:t>十三、投标人须知前附表规定的其它材料</w:t>
      </w:r>
      <w:bookmarkEnd w:id="480"/>
      <w:bookmarkEnd w:id="481"/>
      <w:bookmarkEnd w:id="482"/>
      <w:bookmarkEnd w:id="483"/>
      <w:bookmarkEnd w:id="484"/>
      <w:bookmarkEnd w:id="485"/>
    </w:p>
    <w:p>
      <w:pPr>
        <w:rPr>
          <w:rFonts w:ascii="黑体" w:hAnsi="黑体" w:eastAsia="黑体" w:cs="黑体"/>
          <w:kern w:val="0"/>
          <w:sz w:val="28"/>
          <w:szCs w:val="28"/>
        </w:rPr>
      </w:pPr>
    </w:p>
    <w:p>
      <w:pPr>
        <w:rPr>
          <w:rFonts w:ascii="黑体" w:hAnsi="黑体" w:eastAsia="黑体" w:cs="黑体"/>
          <w:kern w:val="0"/>
          <w:sz w:val="28"/>
          <w:szCs w:val="28"/>
        </w:rPr>
      </w:pPr>
    </w:p>
    <w:p>
      <w:pPr>
        <w:rPr>
          <w:rFonts w:ascii="黑体" w:hAnsi="黑体" w:eastAsia="黑体" w:cs="黑体"/>
          <w:kern w:val="0"/>
          <w:sz w:val="28"/>
          <w:szCs w:val="28"/>
        </w:rPr>
      </w:pPr>
    </w:p>
    <w:p>
      <w:pPr>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rPr>
          <w:rFonts w:ascii="黑体" w:hAnsi="黑体" w:eastAsia="黑体" w:cs="黑体"/>
          <w:kern w:val="0"/>
          <w:sz w:val="28"/>
          <w:szCs w:val="28"/>
        </w:rPr>
      </w:pPr>
    </w:p>
    <w:p>
      <w:pPr>
        <w:spacing w:line="312" w:lineRule="auto"/>
        <w:ind w:left="840" w:hanging="840" w:hangingChars="300"/>
        <w:jc w:val="left"/>
        <w:outlineLvl w:val="1"/>
        <w:rPr>
          <w:rFonts w:ascii="黑体" w:hAnsi="黑体" w:eastAsia="黑体" w:cs="黑体"/>
          <w:kern w:val="0"/>
          <w:sz w:val="28"/>
          <w:szCs w:val="28"/>
        </w:rPr>
      </w:pPr>
      <w:r>
        <w:rPr>
          <w:rFonts w:hint="eastAsia" w:ascii="黑体" w:hAnsi="黑体" w:eastAsia="黑体" w:cs="黑体"/>
          <w:kern w:val="0"/>
          <w:sz w:val="28"/>
          <w:szCs w:val="28"/>
        </w:rPr>
        <w:t>附表：             投标人主要参建人员签字备案表</w:t>
      </w:r>
    </w:p>
    <w:p>
      <w:pPr>
        <w:spacing w:line="312" w:lineRule="auto"/>
        <w:ind w:left="840" w:hanging="840" w:hangingChars="300"/>
        <w:jc w:val="left"/>
        <w:outlineLvl w:val="1"/>
        <w:rPr>
          <w:rFonts w:ascii="黑体" w:hAnsi="黑体" w:eastAsia="黑体" w:cs="黑体"/>
          <w:kern w:val="0"/>
          <w:sz w:val="28"/>
          <w:szCs w:val="28"/>
        </w:rPr>
      </w:pPr>
    </w:p>
    <w:tbl>
      <w:tblPr>
        <w:tblStyle w:val="35"/>
        <w:tblW w:w="8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0"/>
        <w:gridCol w:w="1760"/>
        <w:gridCol w:w="1760"/>
        <w:gridCol w:w="1548"/>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760"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姓名</w:t>
            </w:r>
          </w:p>
        </w:tc>
        <w:tc>
          <w:tcPr>
            <w:tcW w:w="1760"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拟任职务</w:t>
            </w:r>
          </w:p>
        </w:tc>
        <w:tc>
          <w:tcPr>
            <w:tcW w:w="1760"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身份证号</w:t>
            </w:r>
          </w:p>
        </w:tc>
        <w:tc>
          <w:tcPr>
            <w:tcW w:w="1548"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联系电话</w:t>
            </w:r>
          </w:p>
        </w:tc>
        <w:tc>
          <w:tcPr>
            <w:tcW w:w="1800"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本人亲笔签名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bl>
    <w:p>
      <w:pPr>
        <w:spacing w:line="312" w:lineRule="auto"/>
      </w:pPr>
    </w:p>
    <w:p>
      <w:pPr>
        <w:rPr>
          <w:rFonts w:ascii="黑体" w:hAnsi="黑体" w:eastAsia="黑体" w:cs="黑体"/>
          <w:kern w:val="0"/>
          <w:sz w:val="28"/>
          <w:szCs w:val="28"/>
        </w:rPr>
      </w:pPr>
    </w:p>
    <w:p>
      <w:pPr>
        <w:rPr>
          <w:rFonts w:ascii="黑体" w:hAnsi="黑体" w:eastAsia="黑体" w:cs="黑体"/>
          <w:kern w:val="0"/>
          <w:sz w:val="28"/>
          <w:szCs w:val="28"/>
        </w:rPr>
      </w:pPr>
    </w:p>
    <w:p>
      <w:pPr>
        <w:rPr>
          <w:rFonts w:ascii="黑体" w:hAnsi="黑体" w:eastAsia="黑体" w:cs="黑体"/>
          <w:kern w:val="0"/>
          <w:sz w:val="28"/>
          <w:szCs w:val="28"/>
        </w:rPr>
      </w:pPr>
    </w:p>
    <w:sectPr>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华文中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8"/>
      </w:rPr>
    </w:pPr>
  </w:p>
  <w:p>
    <w:pPr>
      <w:pStyle w:val="23"/>
      <w:ind w:right="360"/>
      <w:jc w:val="center"/>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8"/>
      </w:rPr>
    </w:pPr>
    <w:r>
      <w:fldChar w:fldCharType="begin"/>
    </w:r>
    <w:r>
      <w:rPr>
        <w:rStyle w:val="38"/>
      </w:rPr>
      <w:instrText xml:space="preserve">PAGE  </w:instrText>
    </w:r>
    <w:r>
      <w:fldChar w:fldCharType="separate"/>
    </w:r>
    <w:r>
      <w:rPr>
        <w:rStyle w:val="38"/>
      </w:rPr>
      <w:t>3</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mYMzN70BAABj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68</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lWR9T8ABAABgAwAADgAAAAAAAAABACAAAAAoAQAAZHJzL2Uyb0Rv&#10;Yy54bWxQSwUGAAAAAAYABgBZAQAAWgU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snyZib0BAABj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8"/>
      </w:rPr>
    </w:pPr>
  </w:p>
  <w:p>
    <w:pPr>
      <w:pStyle w:val="23"/>
      <w:ind w:right="360"/>
      <w:jc w:val="center"/>
      <w:rPr>
        <w:sz w:val="24"/>
        <w:u w:val="single"/>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3"/>
                            <w:ind w:right="360"/>
                            <w:jc w:val="center"/>
                          </w:pPr>
                          <w:r>
                            <w:fldChar w:fldCharType="begin"/>
                          </w:r>
                          <w:r>
                            <w:rPr>
                              <w:rStyle w:val="38"/>
                            </w:rPr>
                            <w:instrText xml:space="preserve">PAGE  </w:instrText>
                          </w:r>
                          <w:r>
                            <w:fldChar w:fldCharType="separate"/>
                          </w:r>
                          <w:r>
                            <w:rPr>
                              <w:rStyle w:val="38"/>
                            </w:rP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ZHwLwvAEAAGMDAAAOAAAAAAAAAAEAIAAAACIBAABkcnMvZTJvRG9jLnhtbFBLBQYA&#10;AAAABgAGAFkBAABQBQAAAAA=&#10;">
              <v:fill on="f" focussize="0,0"/>
              <v:stroke on="f" weight="1.25pt"/>
              <v:imagedata o:title=""/>
              <o:lock v:ext="edit" aspectratio="f"/>
              <v:textbox inset="0mm,0mm,0mm,0mm" style="mso-fit-shape-to-text:t;">
                <w:txbxContent>
                  <w:p>
                    <w:pPr>
                      <w:pStyle w:val="23"/>
                      <w:ind w:right="360"/>
                      <w:jc w:val="center"/>
                    </w:pPr>
                    <w:r>
                      <w:fldChar w:fldCharType="begin"/>
                    </w:r>
                    <w:r>
                      <w:rPr>
                        <w:rStyle w:val="38"/>
                      </w:rPr>
                      <w:instrText xml:space="preserve">PAGE  </w:instrText>
                    </w:r>
                    <w:r>
                      <w:fldChar w:fldCharType="separate"/>
                    </w:r>
                    <w:r>
                      <w:rPr>
                        <w:rStyle w:val="38"/>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tabs>
        <w:tab w:val="right" w:pos="9354"/>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ind w:right="90" w:firstLine="90" w:firstLineChars="50"/>
      <w:jc w:val="right"/>
      <w:rPr>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tabs>
        <w:tab w:val="right" w:pos="9354"/>
      </w:tabs>
      <w:jc w:val="both"/>
      <w:rPr>
        <w:rFonts w:ascii="黑体" w:hAnsi="黑体" w:eastAsia="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3AA496"/>
    <w:multiLevelType w:val="multilevel"/>
    <w:tmpl w:val="D93AA496"/>
    <w:lvl w:ilvl="0" w:tentative="0">
      <w:start w:val="4"/>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49E7598"/>
    <w:multiLevelType w:val="multilevel"/>
    <w:tmpl w:val="549E7598"/>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35"/>
    <w:rsid w:val="00004D17"/>
    <w:rsid w:val="0000733A"/>
    <w:rsid w:val="00007DC6"/>
    <w:rsid w:val="00011520"/>
    <w:rsid w:val="000116D3"/>
    <w:rsid w:val="00012270"/>
    <w:rsid w:val="00012D4B"/>
    <w:rsid w:val="00014DA7"/>
    <w:rsid w:val="00023EC6"/>
    <w:rsid w:val="000279F4"/>
    <w:rsid w:val="0003103F"/>
    <w:rsid w:val="000333B6"/>
    <w:rsid w:val="00035293"/>
    <w:rsid w:val="00040FDF"/>
    <w:rsid w:val="000502F5"/>
    <w:rsid w:val="00051374"/>
    <w:rsid w:val="000515A3"/>
    <w:rsid w:val="00053E23"/>
    <w:rsid w:val="000559D9"/>
    <w:rsid w:val="000574EE"/>
    <w:rsid w:val="0006270D"/>
    <w:rsid w:val="0009092C"/>
    <w:rsid w:val="00092913"/>
    <w:rsid w:val="000942F3"/>
    <w:rsid w:val="000A0ECB"/>
    <w:rsid w:val="000A1D62"/>
    <w:rsid w:val="000A5EB2"/>
    <w:rsid w:val="000A66D0"/>
    <w:rsid w:val="000A7377"/>
    <w:rsid w:val="000B7344"/>
    <w:rsid w:val="000C0EF2"/>
    <w:rsid w:val="000C1487"/>
    <w:rsid w:val="000C523C"/>
    <w:rsid w:val="000C605B"/>
    <w:rsid w:val="000D2590"/>
    <w:rsid w:val="000D4F8E"/>
    <w:rsid w:val="000D5911"/>
    <w:rsid w:val="000D7490"/>
    <w:rsid w:val="000D7A9D"/>
    <w:rsid w:val="000E5C0D"/>
    <w:rsid w:val="000E5EF6"/>
    <w:rsid w:val="000F00F6"/>
    <w:rsid w:val="000F0B8F"/>
    <w:rsid w:val="000F3B0B"/>
    <w:rsid w:val="000F7DBB"/>
    <w:rsid w:val="00103B8F"/>
    <w:rsid w:val="00123F03"/>
    <w:rsid w:val="001247D1"/>
    <w:rsid w:val="00124D75"/>
    <w:rsid w:val="00126717"/>
    <w:rsid w:val="0013225E"/>
    <w:rsid w:val="001323A3"/>
    <w:rsid w:val="00133BF0"/>
    <w:rsid w:val="00137B08"/>
    <w:rsid w:val="001410FE"/>
    <w:rsid w:val="00146843"/>
    <w:rsid w:val="00151D6F"/>
    <w:rsid w:val="0015488A"/>
    <w:rsid w:val="00163017"/>
    <w:rsid w:val="001654A0"/>
    <w:rsid w:val="00166A0C"/>
    <w:rsid w:val="001705C4"/>
    <w:rsid w:val="00172A27"/>
    <w:rsid w:val="00175C9D"/>
    <w:rsid w:val="00180162"/>
    <w:rsid w:val="001812A1"/>
    <w:rsid w:val="001835B8"/>
    <w:rsid w:val="00185856"/>
    <w:rsid w:val="00194523"/>
    <w:rsid w:val="00196DA4"/>
    <w:rsid w:val="001A255D"/>
    <w:rsid w:val="001A7D34"/>
    <w:rsid w:val="001A7FF0"/>
    <w:rsid w:val="001B024C"/>
    <w:rsid w:val="001B5FA4"/>
    <w:rsid w:val="001B6313"/>
    <w:rsid w:val="001B6DCB"/>
    <w:rsid w:val="001B7572"/>
    <w:rsid w:val="001C0519"/>
    <w:rsid w:val="001C12F3"/>
    <w:rsid w:val="001C1EEF"/>
    <w:rsid w:val="001C73D4"/>
    <w:rsid w:val="001D0B42"/>
    <w:rsid w:val="001D1E96"/>
    <w:rsid w:val="001D2A98"/>
    <w:rsid w:val="001D4F54"/>
    <w:rsid w:val="001D77A0"/>
    <w:rsid w:val="001D7DF6"/>
    <w:rsid w:val="001E5BA7"/>
    <w:rsid w:val="001E5F82"/>
    <w:rsid w:val="001F1535"/>
    <w:rsid w:val="001F5182"/>
    <w:rsid w:val="001F7275"/>
    <w:rsid w:val="002023A8"/>
    <w:rsid w:val="00205D3D"/>
    <w:rsid w:val="0021143E"/>
    <w:rsid w:val="00212F58"/>
    <w:rsid w:val="002160A5"/>
    <w:rsid w:val="00225659"/>
    <w:rsid w:val="00225B0F"/>
    <w:rsid w:val="00227F2F"/>
    <w:rsid w:val="0023692D"/>
    <w:rsid w:val="00236CA7"/>
    <w:rsid w:val="002405B5"/>
    <w:rsid w:val="00250E27"/>
    <w:rsid w:val="002576C5"/>
    <w:rsid w:val="002600EA"/>
    <w:rsid w:val="00264626"/>
    <w:rsid w:val="00270268"/>
    <w:rsid w:val="00270F3A"/>
    <w:rsid w:val="0027221C"/>
    <w:rsid w:val="00274486"/>
    <w:rsid w:val="002769A9"/>
    <w:rsid w:val="00276A6C"/>
    <w:rsid w:val="00280639"/>
    <w:rsid w:val="0028607B"/>
    <w:rsid w:val="00290949"/>
    <w:rsid w:val="00290B1C"/>
    <w:rsid w:val="0029172B"/>
    <w:rsid w:val="00293F4A"/>
    <w:rsid w:val="00296F8C"/>
    <w:rsid w:val="002A001A"/>
    <w:rsid w:val="002A2166"/>
    <w:rsid w:val="002A434E"/>
    <w:rsid w:val="002B0C27"/>
    <w:rsid w:val="002B4C43"/>
    <w:rsid w:val="002C038E"/>
    <w:rsid w:val="002C36AF"/>
    <w:rsid w:val="002C66E3"/>
    <w:rsid w:val="002D1173"/>
    <w:rsid w:val="002E33A3"/>
    <w:rsid w:val="002E3D4E"/>
    <w:rsid w:val="002E52B1"/>
    <w:rsid w:val="002E5B35"/>
    <w:rsid w:val="002E62DF"/>
    <w:rsid w:val="002F7431"/>
    <w:rsid w:val="00300560"/>
    <w:rsid w:val="00300D60"/>
    <w:rsid w:val="00307CDB"/>
    <w:rsid w:val="00313DA8"/>
    <w:rsid w:val="00314EBA"/>
    <w:rsid w:val="00317EF5"/>
    <w:rsid w:val="00321994"/>
    <w:rsid w:val="003230E9"/>
    <w:rsid w:val="00324DF5"/>
    <w:rsid w:val="00330B34"/>
    <w:rsid w:val="0033206F"/>
    <w:rsid w:val="003322C7"/>
    <w:rsid w:val="00333A7F"/>
    <w:rsid w:val="00342377"/>
    <w:rsid w:val="0034352A"/>
    <w:rsid w:val="003443F7"/>
    <w:rsid w:val="00345E90"/>
    <w:rsid w:val="0034631D"/>
    <w:rsid w:val="00346527"/>
    <w:rsid w:val="00347197"/>
    <w:rsid w:val="003475E2"/>
    <w:rsid w:val="00347887"/>
    <w:rsid w:val="00353CB3"/>
    <w:rsid w:val="003546E2"/>
    <w:rsid w:val="00355BD1"/>
    <w:rsid w:val="00356A09"/>
    <w:rsid w:val="00357A8D"/>
    <w:rsid w:val="003621C7"/>
    <w:rsid w:val="00365572"/>
    <w:rsid w:val="003676A8"/>
    <w:rsid w:val="00367B04"/>
    <w:rsid w:val="00373491"/>
    <w:rsid w:val="00373988"/>
    <w:rsid w:val="00377462"/>
    <w:rsid w:val="0039213D"/>
    <w:rsid w:val="003936D0"/>
    <w:rsid w:val="003A37CA"/>
    <w:rsid w:val="003A56BC"/>
    <w:rsid w:val="003A6C48"/>
    <w:rsid w:val="003B0394"/>
    <w:rsid w:val="003B091A"/>
    <w:rsid w:val="003B45C5"/>
    <w:rsid w:val="003B6365"/>
    <w:rsid w:val="003C0930"/>
    <w:rsid w:val="003C230A"/>
    <w:rsid w:val="003C30F4"/>
    <w:rsid w:val="003C37A6"/>
    <w:rsid w:val="003C49B5"/>
    <w:rsid w:val="003C4B37"/>
    <w:rsid w:val="003C598C"/>
    <w:rsid w:val="003C6EEC"/>
    <w:rsid w:val="003C706B"/>
    <w:rsid w:val="003D1416"/>
    <w:rsid w:val="003D2914"/>
    <w:rsid w:val="003D4E81"/>
    <w:rsid w:val="003E5ED6"/>
    <w:rsid w:val="003F0E1D"/>
    <w:rsid w:val="003F47BA"/>
    <w:rsid w:val="003F5DA6"/>
    <w:rsid w:val="003F6A13"/>
    <w:rsid w:val="00404FBD"/>
    <w:rsid w:val="00405DB2"/>
    <w:rsid w:val="00406975"/>
    <w:rsid w:val="00410545"/>
    <w:rsid w:val="00412A94"/>
    <w:rsid w:val="00412BC4"/>
    <w:rsid w:val="00412F6B"/>
    <w:rsid w:val="00414858"/>
    <w:rsid w:val="00422874"/>
    <w:rsid w:val="004233CB"/>
    <w:rsid w:val="004374C2"/>
    <w:rsid w:val="00437803"/>
    <w:rsid w:val="00440EEE"/>
    <w:rsid w:val="004415B0"/>
    <w:rsid w:val="0044321D"/>
    <w:rsid w:val="00447F3B"/>
    <w:rsid w:val="004579C1"/>
    <w:rsid w:val="00461F3B"/>
    <w:rsid w:val="00466F6F"/>
    <w:rsid w:val="00471D8F"/>
    <w:rsid w:val="0048229A"/>
    <w:rsid w:val="004911B2"/>
    <w:rsid w:val="00493CCD"/>
    <w:rsid w:val="00494563"/>
    <w:rsid w:val="00494604"/>
    <w:rsid w:val="004A0A84"/>
    <w:rsid w:val="004A1B44"/>
    <w:rsid w:val="004A5D4A"/>
    <w:rsid w:val="004B0255"/>
    <w:rsid w:val="004B5EB6"/>
    <w:rsid w:val="004C0536"/>
    <w:rsid w:val="004C2931"/>
    <w:rsid w:val="004C6211"/>
    <w:rsid w:val="004C7A28"/>
    <w:rsid w:val="004D2757"/>
    <w:rsid w:val="004D645F"/>
    <w:rsid w:val="004E7CA3"/>
    <w:rsid w:val="004F5EAA"/>
    <w:rsid w:val="00500386"/>
    <w:rsid w:val="00502F54"/>
    <w:rsid w:val="005046AB"/>
    <w:rsid w:val="0051182B"/>
    <w:rsid w:val="00523A00"/>
    <w:rsid w:val="00527FC5"/>
    <w:rsid w:val="0053004A"/>
    <w:rsid w:val="005337E9"/>
    <w:rsid w:val="00551B1D"/>
    <w:rsid w:val="00573E1E"/>
    <w:rsid w:val="00576CCD"/>
    <w:rsid w:val="005825AF"/>
    <w:rsid w:val="00583291"/>
    <w:rsid w:val="0058446F"/>
    <w:rsid w:val="00584F00"/>
    <w:rsid w:val="005900DD"/>
    <w:rsid w:val="00590CD8"/>
    <w:rsid w:val="00592F34"/>
    <w:rsid w:val="0059682F"/>
    <w:rsid w:val="005A123E"/>
    <w:rsid w:val="005A5D94"/>
    <w:rsid w:val="005A7003"/>
    <w:rsid w:val="005A71A7"/>
    <w:rsid w:val="005B3A65"/>
    <w:rsid w:val="005B70AF"/>
    <w:rsid w:val="005C01DC"/>
    <w:rsid w:val="005C05EE"/>
    <w:rsid w:val="005C6203"/>
    <w:rsid w:val="005C749D"/>
    <w:rsid w:val="005D25CA"/>
    <w:rsid w:val="005D62FF"/>
    <w:rsid w:val="005E4149"/>
    <w:rsid w:val="005E6601"/>
    <w:rsid w:val="005F261B"/>
    <w:rsid w:val="0060050A"/>
    <w:rsid w:val="006010A7"/>
    <w:rsid w:val="006013BE"/>
    <w:rsid w:val="006028D5"/>
    <w:rsid w:val="00602B5D"/>
    <w:rsid w:val="00602F75"/>
    <w:rsid w:val="006144D4"/>
    <w:rsid w:val="006145A0"/>
    <w:rsid w:val="00620ADF"/>
    <w:rsid w:val="006255A8"/>
    <w:rsid w:val="006322D7"/>
    <w:rsid w:val="00635FDE"/>
    <w:rsid w:val="00641BFA"/>
    <w:rsid w:val="006450CC"/>
    <w:rsid w:val="00647905"/>
    <w:rsid w:val="0065012B"/>
    <w:rsid w:val="00654BDF"/>
    <w:rsid w:val="00656137"/>
    <w:rsid w:val="0066341B"/>
    <w:rsid w:val="0066568C"/>
    <w:rsid w:val="006718F8"/>
    <w:rsid w:val="006775B2"/>
    <w:rsid w:val="00681617"/>
    <w:rsid w:val="00693B43"/>
    <w:rsid w:val="00696835"/>
    <w:rsid w:val="006A0C01"/>
    <w:rsid w:val="006A5B78"/>
    <w:rsid w:val="006A6343"/>
    <w:rsid w:val="006A6B34"/>
    <w:rsid w:val="006B3F12"/>
    <w:rsid w:val="006B6ECB"/>
    <w:rsid w:val="006C1D57"/>
    <w:rsid w:val="006C21BF"/>
    <w:rsid w:val="006C366F"/>
    <w:rsid w:val="006C66B0"/>
    <w:rsid w:val="006E42F0"/>
    <w:rsid w:val="006E6BFC"/>
    <w:rsid w:val="006E73CF"/>
    <w:rsid w:val="006E7D94"/>
    <w:rsid w:val="006F0B39"/>
    <w:rsid w:val="006F22F8"/>
    <w:rsid w:val="006F71B9"/>
    <w:rsid w:val="00703A56"/>
    <w:rsid w:val="00707E29"/>
    <w:rsid w:val="00710399"/>
    <w:rsid w:val="00724586"/>
    <w:rsid w:val="007256AC"/>
    <w:rsid w:val="00725B9F"/>
    <w:rsid w:val="00725EA1"/>
    <w:rsid w:val="00726B6A"/>
    <w:rsid w:val="00731AEF"/>
    <w:rsid w:val="00735307"/>
    <w:rsid w:val="00735ED5"/>
    <w:rsid w:val="00737632"/>
    <w:rsid w:val="0074257E"/>
    <w:rsid w:val="0074369A"/>
    <w:rsid w:val="00746151"/>
    <w:rsid w:val="0075162F"/>
    <w:rsid w:val="00753B9E"/>
    <w:rsid w:val="00755FE5"/>
    <w:rsid w:val="00761934"/>
    <w:rsid w:val="00764259"/>
    <w:rsid w:val="00764C80"/>
    <w:rsid w:val="00767073"/>
    <w:rsid w:val="007678B1"/>
    <w:rsid w:val="00773713"/>
    <w:rsid w:val="00776360"/>
    <w:rsid w:val="00780F23"/>
    <w:rsid w:val="00787121"/>
    <w:rsid w:val="00791F0E"/>
    <w:rsid w:val="0079692C"/>
    <w:rsid w:val="007A0107"/>
    <w:rsid w:val="007A3140"/>
    <w:rsid w:val="007A362A"/>
    <w:rsid w:val="007A62FF"/>
    <w:rsid w:val="007A64B4"/>
    <w:rsid w:val="007B218F"/>
    <w:rsid w:val="007C5B46"/>
    <w:rsid w:val="007D3372"/>
    <w:rsid w:val="007D40C0"/>
    <w:rsid w:val="007D4B92"/>
    <w:rsid w:val="007D59A0"/>
    <w:rsid w:val="007E54E1"/>
    <w:rsid w:val="007E758D"/>
    <w:rsid w:val="007F1C1D"/>
    <w:rsid w:val="007F3704"/>
    <w:rsid w:val="007F48C4"/>
    <w:rsid w:val="007F4C00"/>
    <w:rsid w:val="007F65B9"/>
    <w:rsid w:val="007F75A4"/>
    <w:rsid w:val="00807591"/>
    <w:rsid w:val="0081312D"/>
    <w:rsid w:val="0081555C"/>
    <w:rsid w:val="00815B4F"/>
    <w:rsid w:val="008219DB"/>
    <w:rsid w:val="00825A0A"/>
    <w:rsid w:val="00827701"/>
    <w:rsid w:val="0083283C"/>
    <w:rsid w:val="00834AAC"/>
    <w:rsid w:val="00836A38"/>
    <w:rsid w:val="0084229A"/>
    <w:rsid w:val="00843CDD"/>
    <w:rsid w:val="00844467"/>
    <w:rsid w:val="0084723F"/>
    <w:rsid w:val="00853B4F"/>
    <w:rsid w:val="00853C77"/>
    <w:rsid w:val="008540B2"/>
    <w:rsid w:val="00855861"/>
    <w:rsid w:val="0085772B"/>
    <w:rsid w:val="00861990"/>
    <w:rsid w:val="0087121E"/>
    <w:rsid w:val="0088220D"/>
    <w:rsid w:val="00890CEB"/>
    <w:rsid w:val="008922C1"/>
    <w:rsid w:val="008A2E9C"/>
    <w:rsid w:val="008A4BD4"/>
    <w:rsid w:val="008A66EC"/>
    <w:rsid w:val="008A7087"/>
    <w:rsid w:val="008A7626"/>
    <w:rsid w:val="008C0045"/>
    <w:rsid w:val="008C28DB"/>
    <w:rsid w:val="008C7F53"/>
    <w:rsid w:val="008D1069"/>
    <w:rsid w:val="008D6656"/>
    <w:rsid w:val="008D7889"/>
    <w:rsid w:val="008E0D99"/>
    <w:rsid w:val="008E7C5E"/>
    <w:rsid w:val="008F1CED"/>
    <w:rsid w:val="008F2543"/>
    <w:rsid w:val="008F4D92"/>
    <w:rsid w:val="008F70A0"/>
    <w:rsid w:val="0090519C"/>
    <w:rsid w:val="00907F4F"/>
    <w:rsid w:val="00913FA7"/>
    <w:rsid w:val="00920E75"/>
    <w:rsid w:val="00921C74"/>
    <w:rsid w:val="00925116"/>
    <w:rsid w:val="009276EC"/>
    <w:rsid w:val="009277C0"/>
    <w:rsid w:val="00933A24"/>
    <w:rsid w:val="00943981"/>
    <w:rsid w:val="00944D7D"/>
    <w:rsid w:val="00947A00"/>
    <w:rsid w:val="00947C3D"/>
    <w:rsid w:val="00951A88"/>
    <w:rsid w:val="00956E84"/>
    <w:rsid w:val="009577D2"/>
    <w:rsid w:val="009602C4"/>
    <w:rsid w:val="0096067E"/>
    <w:rsid w:val="00962400"/>
    <w:rsid w:val="00965AEA"/>
    <w:rsid w:val="00972866"/>
    <w:rsid w:val="00975CFB"/>
    <w:rsid w:val="009812CA"/>
    <w:rsid w:val="00982501"/>
    <w:rsid w:val="00982BCF"/>
    <w:rsid w:val="00982EA7"/>
    <w:rsid w:val="0098458A"/>
    <w:rsid w:val="009852A9"/>
    <w:rsid w:val="00985D63"/>
    <w:rsid w:val="00986FBE"/>
    <w:rsid w:val="00993EE4"/>
    <w:rsid w:val="009949B1"/>
    <w:rsid w:val="009952F5"/>
    <w:rsid w:val="009955B5"/>
    <w:rsid w:val="00995B1C"/>
    <w:rsid w:val="009A2F43"/>
    <w:rsid w:val="009A3296"/>
    <w:rsid w:val="009A5CF0"/>
    <w:rsid w:val="009A7F48"/>
    <w:rsid w:val="009B3E3B"/>
    <w:rsid w:val="009C6496"/>
    <w:rsid w:val="009D3D57"/>
    <w:rsid w:val="009E0BAB"/>
    <w:rsid w:val="009E1983"/>
    <w:rsid w:val="009E7F3B"/>
    <w:rsid w:val="009F0F36"/>
    <w:rsid w:val="009F3BDD"/>
    <w:rsid w:val="00A110E0"/>
    <w:rsid w:val="00A12D53"/>
    <w:rsid w:val="00A13840"/>
    <w:rsid w:val="00A14016"/>
    <w:rsid w:val="00A15D21"/>
    <w:rsid w:val="00A16771"/>
    <w:rsid w:val="00A17EC7"/>
    <w:rsid w:val="00A21895"/>
    <w:rsid w:val="00A24168"/>
    <w:rsid w:val="00A338FE"/>
    <w:rsid w:val="00A33D98"/>
    <w:rsid w:val="00A349BC"/>
    <w:rsid w:val="00A35029"/>
    <w:rsid w:val="00A37660"/>
    <w:rsid w:val="00A414DB"/>
    <w:rsid w:val="00A420CC"/>
    <w:rsid w:val="00A421DC"/>
    <w:rsid w:val="00A429FE"/>
    <w:rsid w:val="00A447C6"/>
    <w:rsid w:val="00A45D91"/>
    <w:rsid w:val="00A47A12"/>
    <w:rsid w:val="00A5010D"/>
    <w:rsid w:val="00A508F2"/>
    <w:rsid w:val="00A531BF"/>
    <w:rsid w:val="00A57507"/>
    <w:rsid w:val="00A57AE3"/>
    <w:rsid w:val="00A600E7"/>
    <w:rsid w:val="00A65980"/>
    <w:rsid w:val="00A67FE7"/>
    <w:rsid w:val="00A72011"/>
    <w:rsid w:val="00A72074"/>
    <w:rsid w:val="00A81739"/>
    <w:rsid w:val="00A825CB"/>
    <w:rsid w:val="00A8263B"/>
    <w:rsid w:val="00A827FA"/>
    <w:rsid w:val="00A8439D"/>
    <w:rsid w:val="00A853A2"/>
    <w:rsid w:val="00A86D2B"/>
    <w:rsid w:val="00A86F12"/>
    <w:rsid w:val="00A92928"/>
    <w:rsid w:val="00A94551"/>
    <w:rsid w:val="00AC44B7"/>
    <w:rsid w:val="00AC4D73"/>
    <w:rsid w:val="00AC58E4"/>
    <w:rsid w:val="00AC6144"/>
    <w:rsid w:val="00AC76A2"/>
    <w:rsid w:val="00AD3BBF"/>
    <w:rsid w:val="00AD3F8E"/>
    <w:rsid w:val="00AE75E4"/>
    <w:rsid w:val="00B01210"/>
    <w:rsid w:val="00B01EFA"/>
    <w:rsid w:val="00B037C6"/>
    <w:rsid w:val="00B075EC"/>
    <w:rsid w:val="00B1184E"/>
    <w:rsid w:val="00B1349E"/>
    <w:rsid w:val="00B17EF7"/>
    <w:rsid w:val="00B22374"/>
    <w:rsid w:val="00B237AE"/>
    <w:rsid w:val="00B25FB8"/>
    <w:rsid w:val="00B27E77"/>
    <w:rsid w:val="00B312A8"/>
    <w:rsid w:val="00B33FBC"/>
    <w:rsid w:val="00B34112"/>
    <w:rsid w:val="00B352F9"/>
    <w:rsid w:val="00B372C4"/>
    <w:rsid w:val="00B37516"/>
    <w:rsid w:val="00B37C6E"/>
    <w:rsid w:val="00B37D82"/>
    <w:rsid w:val="00B40E39"/>
    <w:rsid w:val="00B42287"/>
    <w:rsid w:val="00B43A6D"/>
    <w:rsid w:val="00B44A5B"/>
    <w:rsid w:val="00B4524E"/>
    <w:rsid w:val="00B4648D"/>
    <w:rsid w:val="00B517C1"/>
    <w:rsid w:val="00B54EC6"/>
    <w:rsid w:val="00B55F44"/>
    <w:rsid w:val="00B572FB"/>
    <w:rsid w:val="00B60B18"/>
    <w:rsid w:val="00B65356"/>
    <w:rsid w:val="00B66639"/>
    <w:rsid w:val="00B72F8E"/>
    <w:rsid w:val="00B80255"/>
    <w:rsid w:val="00B8114B"/>
    <w:rsid w:val="00B816C5"/>
    <w:rsid w:val="00B86056"/>
    <w:rsid w:val="00B9112E"/>
    <w:rsid w:val="00B933D1"/>
    <w:rsid w:val="00B9614B"/>
    <w:rsid w:val="00BA0665"/>
    <w:rsid w:val="00BA7FE3"/>
    <w:rsid w:val="00BB046A"/>
    <w:rsid w:val="00BB1262"/>
    <w:rsid w:val="00BB2FC4"/>
    <w:rsid w:val="00BC78DB"/>
    <w:rsid w:val="00BD371F"/>
    <w:rsid w:val="00BD5E5F"/>
    <w:rsid w:val="00BE0F28"/>
    <w:rsid w:val="00BE63F7"/>
    <w:rsid w:val="00BF02CB"/>
    <w:rsid w:val="00BF1010"/>
    <w:rsid w:val="00BF5369"/>
    <w:rsid w:val="00C00A98"/>
    <w:rsid w:val="00C01BB1"/>
    <w:rsid w:val="00C03027"/>
    <w:rsid w:val="00C0508C"/>
    <w:rsid w:val="00C05828"/>
    <w:rsid w:val="00C07A58"/>
    <w:rsid w:val="00C07F9F"/>
    <w:rsid w:val="00C106D4"/>
    <w:rsid w:val="00C13151"/>
    <w:rsid w:val="00C213F3"/>
    <w:rsid w:val="00C25664"/>
    <w:rsid w:val="00C31D4E"/>
    <w:rsid w:val="00C31FF7"/>
    <w:rsid w:val="00C33E22"/>
    <w:rsid w:val="00C35B96"/>
    <w:rsid w:val="00C578C9"/>
    <w:rsid w:val="00C604B6"/>
    <w:rsid w:val="00C6523B"/>
    <w:rsid w:val="00C70F69"/>
    <w:rsid w:val="00C7560F"/>
    <w:rsid w:val="00C77167"/>
    <w:rsid w:val="00C82C85"/>
    <w:rsid w:val="00C859D7"/>
    <w:rsid w:val="00C86AD1"/>
    <w:rsid w:val="00C92EA9"/>
    <w:rsid w:val="00C974C0"/>
    <w:rsid w:val="00CA7B9B"/>
    <w:rsid w:val="00CD7C17"/>
    <w:rsid w:val="00CE0A73"/>
    <w:rsid w:val="00CE0CAA"/>
    <w:rsid w:val="00CE7C8A"/>
    <w:rsid w:val="00CF5921"/>
    <w:rsid w:val="00D00755"/>
    <w:rsid w:val="00D03EC7"/>
    <w:rsid w:val="00D04A04"/>
    <w:rsid w:val="00D04D66"/>
    <w:rsid w:val="00D14CD4"/>
    <w:rsid w:val="00D16756"/>
    <w:rsid w:val="00D2000D"/>
    <w:rsid w:val="00D20629"/>
    <w:rsid w:val="00D24512"/>
    <w:rsid w:val="00D2739A"/>
    <w:rsid w:val="00D401C3"/>
    <w:rsid w:val="00D40C71"/>
    <w:rsid w:val="00D4168D"/>
    <w:rsid w:val="00D4252C"/>
    <w:rsid w:val="00D456ED"/>
    <w:rsid w:val="00D53FC6"/>
    <w:rsid w:val="00D5422D"/>
    <w:rsid w:val="00D65D2C"/>
    <w:rsid w:val="00D72768"/>
    <w:rsid w:val="00D85970"/>
    <w:rsid w:val="00D93314"/>
    <w:rsid w:val="00D93593"/>
    <w:rsid w:val="00D94E67"/>
    <w:rsid w:val="00DA1774"/>
    <w:rsid w:val="00DA30D0"/>
    <w:rsid w:val="00DA3229"/>
    <w:rsid w:val="00DA5FD8"/>
    <w:rsid w:val="00DA7BF8"/>
    <w:rsid w:val="00DB2CD7"/>
    <w:rsid w:val="00DB2FF6"/>
    <w:rsid w:val="00DC4C76"/>
    <w:rsid w:val="00DD0252"/>
    <w:rsid w:val="00DE2007"/>
    <w:rsid w:val="00DF2EAA"/>
    <w:rsid w:val="00DF32CB"/>
    <w:rsid w:val="00DF60B7"/>
    <w:rsid w:val="00DF7925"/>
    <w:rsid w:val="00E032FD"/>
    <w:rsid w:val="00E151B4"/>
    <w:rsid w:val="00E303E1"/>
    <w:rsid w:val="00E328F1"/>
    <w:rsid w:val="00E36541"/>
    <w:rsid w:val="00E36B8E"/>
    <w:rsid w:val="00E441A7"/>
    <w:rsid w:val="00E6206F"/>
    <w:rsid w:val="00E65D1D"/>
    <w:rsid w:val="00E6613C"/>
    <w:rsid w:val="00E66AFF"/>
    <w:rsid w:val="00E72ED1"/>
    <w:rsid w:val="00E739D0"/>
    <w:rsid w:val="00E739DE"/>
    <w:rsid w:val="00E74BE0"/>
    <w:rsid w:val="00E778F1"/>
    <w:rsid w:val="00E8033C"/>
    <w:rsid w:val="00E82D07"/>
    <w:rsid w:val="00E8564E"/>
    <w:rsid w:val="00EA225F"/>
    <w:rsid w:val="00EA261F"/>
    <w:rsid w:val="00EA3C2D"/>
    <w:rsid w:val="00EA4AFC"/>
    <w:rsid w:val="00EA6E33"/>
    <w:rsid w:val="00EA77D3"/>
    <w:rsid w:val="00EB193B"/>
    <w:rsid w:val="00EB288B"/>
    <w:rsid w:val="00EB3CCD"/>
    <w:rsid w:val="00EB4F0D"/>
    <w:rsid w:val="00EB642F"/>
    <w:rsid w:val="00EB7D03"/>
    <w:rsid w:val="00EC4B22"/>
    <w:rsid w:val="00EC775E"/>
    <w:rsid w:val="00ED0749"/>
    <w:rsid w:val="00ED3575"/>
    <w:rsid w:val="00ED47DA"/>
    <w:rsid w:val="00ED5021"/>
    <w:rsid w:val="00ED7AE8"/>
    <w:rsid w:val="00EE1499"/>
    <w:rsid w:val="00EE1D03"/>
    <w:rsid w:val="00EE7475"/>
    <w:rsid w:val="00EF1413"/>
    <w:rsid w:val="00EF484E"/>
    <w:rsid w:val="00F00FBB"/>
    <w:rsid w:val="00F04F4B"/>
    <w:rsid w:val="00F204B8"/>
    <w:rsid w:val="00F22F6F"/>
    <w:rsid w:val="00F2308C"/>
    <w:rsid w:val="00F23581"/>
    <w:rsid w:val="00F23B7A"/>
    <w:rsid w:val="00F33A89"/>
    <w:rsid w:val="00F35058"/>
    <w:rsid w:val="00F36CFC"/>
    <w:rsid w:val="00F44550"/>
    <w:rsid w:val="00F46E96"/>
    <w:rsid w:val="00F50A1C"/>
    <w:rsid w:val="00F513F9"/>
    <w:rsid w:val="00F53E4B"/>
    <w:rsid w:val="00F543B7"/>
    <w:rsid w:val="00F642E0"/>
    <w:rsid w:val="00F65402"/>
    <w:rsid w:val="00F7357F"/>
    <w:rsid w:val="00F74A24"/>
    <w:rsid w:val="00F74E24"/>
    <w:rsid w:val="00F766C4"/>
    <w:rsid w:val="00F82509"/>
    <w:rsid w:val="00F82DF6"/>
    <w:rsid w:val="00F85971"/>
    <w:rsid w:val="00F860EE"/>
    <w:rsid w:val="00F90389"/>
    <w:rsid w:val="00F90FF4"/>
    <w:rsid w:val="00F94155"/>
    <w:rsid w:val="00FA2165"/>
    <w:rsid w:val="00FA2EFC"/>
    <w:rsid w:val="00FB4A2C"/>
    <w:rsid w:val="00FB5661"/>
    <w:rsid w:val="00FB5CEB"/>
    <w:rsid w:val="00FB65B0"/>
    <w:rsid w:val="00FB790E"/>
    <w:rsid w:val="00FC40F6"/>
    <w:rsid w:val="00FC7843"/>
    <w:rsid w:val="00FC7E09"/>
    <w:rsid w:val="00FD003B"/>
    <w:rsid w:val="00FD4409"/>
    <w:rsid w:val="00FD6724"/>
    <w:rsid w:val="00FE7A2F"/>
    <w:rsid w:val="00FF01AA"/>
    <w:rsid w:val="00FF3349"/>
    <w:rsid w:val="00FF6498"/>
    <w:rsid w:val="00FF76B1"/>
    <w:rsid w:val="01371CC8"/>
    <w:rsid w:val="01516D02"/>
    <w:rsid w:val="016967F5"/>
    <w:rsid w:val="018A2335"/>
    <w:rsid w:val="01936667"/>
    <w:rsid w:val="01CE62CC"/>
    <w:rsid w:val="01DB5615"/>
    <w:rsid w:val="01E13027"/>
    <w:rsid w:val="01E73AEA"/>
    <w:rsid w:val="02316022"/>
    <w:rsid w:val="024E111E"/>
    <w:rsid w:val="026D3D2A"/>
    <w:rsid w:val="029A1F1D"/>
    <w:rsid w:val="02B938E8"/>
    <w:rsid w:val="02BA72AF"/>
    <w:rsid w:val="02C02749"/>
    <w:rsid w:val="02E05F0D"/>
    <w:rsid w:val="02FA07CE"/>
    <w:rsid w:val="0302557E"/>
    <w:rsid w:val="03320FA6"/>
    <w:rsid w:val="0352765D"/>
    <w:rsid w:val="03650B17"/>
    <w:rsid w:val="037370F3"/>
    <w:rsid w:val="037A2786"/>
    <w:rsid w:val="039E4521"/>
    <w:rsid w:val="03AA066B"/>
    <w:rsid w:val="03B606B2"/>
    <w:rsid w:val="03BB14E2"/>
    <w:rsid w:val="03E94923"/>
    <w:rsid w:val="0404501C"/>
    <w:rsid w:val="040F0127"/>
    <w:rsid w:val="04357F8B"/>
    <w:rsid w:val="043D4EFB"/>
    <w:rsid w:val="045E6355"/>
    <w:rsid w:val="046F17D7"/>
    <w:rsid w:val="047F75AA"/>
    <w:rsid w:val="04835276"/>
    <w:rsid w:val="0495502D"/>
    <w:rsid w:val="049C7105"/>
    <w:rsid w:val="04B55EE6"/>
    <w:rsid w:val="04C01FAC"/>
    <w:rsid w:val="053E5B7B"/>
    <w:rsid w:val="053F5802"/>
    <w:rsid w:val="055531F9"/>
    <w:rsid w:val="05604ACC"/>
    <w:rsid w:val="056D3CA0"/>
    <w:rsid w:val="05962FF6"/>
    <w:rsid w:val="059725E9"/>
    <w:rsid w:val="05AD5A4F"/>
    <w:rsid w:val="05B61BFF"/>
    <w:rsid w:val="05CB387F"/>
    <w:rsid w:val="05D2290B"/>
    <w:rsid w:val="05DE095F"/>
    <w:rsid w:val="05F12870"/>
    <w:rsid w:val="061C614D"/>
    <w:rsid w:val="06637006"/>
    <w:rsid w:val="06673E5D"/>
    <w:rsid w:val="066D3580"/>
    <w:rsid w:val="06767901"/>
    <w:rsid w:val="068E328F"/>
    <w:rsid w:val="06D96859"/>
    <w:rsid w:val="06FB1432"/>
    <w:rsid w:val="07051A69"/>
    <w:rsid w:val="07251155"/>
    <w:rsid w:val="0747222A"/>
    <w:rsid w:val="07473DE8"/>
    <w:rsid w:val="07A63D27"/>
    <w:rsid w:val="07DA1461"/>
    <w:rsid w:val="07DF0D98"/>
    <w:rsid w:val="07FD2173"/>
    <w:rsid w:val="081159E1"/>
    <w:rsid w:val="085D012F"/>
    <w:rsid w:val="087E3730"/>
    <w:rsid w:val="089F5EB8"/>
    <w:rsid w:val="08A56064"/>
    <w:rsid w:val="08A95BAD"/>
    <w:rsid w:val="08C14DF6"/>
    <w:rsid w:val="090D4B03"/>
    <w:rsid w:val="091A3B44"/>
    <w:rsid w:val="09320590"/>
    <w:rsid w:val="093A36ED"/>
    <w:rsid w:val="094043E2"/>
    <w:rsid w:val="096D63C0"/>
    <w:rsid w:val="098E4FD3"/>
    <w:rsid w:val="09B36AE1"/>
    <w:rsid w:val="09C27D94"/>
    <w:rsid w:val="0A0B11C2"/>
    <w:rsid w:val="0A397CA0"/>
    <w:rsid w:val="0A47049E"/>
    <w:rsid w:val="0A5A5FCB"/>
    <w:rsid w:val="0A75623F"/>
    <w:rsid w:val="0A887860"/>
    <w:rsid w:val="0AB77E21"/>
    <w:rsid w:val="0ABB344D"/>
    <w:rsid w:val="0ACF0A6D"/>
    <w:rsid w:val="0ADC2F8D"/>
    <w:rsid w:val="0B14098C"/>
    <w:rsid w:val="0B293427"/>
    <w:rsid w:val="0B6D112F"/>
    <w:rsid w:val="0BA62D71"/>
    <w:rsid w:val="0BC22813"/>
    <w:rsid w:val="0C420517"/>
    <w:rsid w:val="0C4E67D9"/>
    <w:rsid w:val="0C815CB3"/>
    <w:rsid w:val="0CDD6F25"/>
    <w:rsid w:val="0CF852D3"/>
    <w:rsid w:val="0D1D34D2"/>
    <w:rsid w:val="0D214D58"/>
    <w:rsid w:val="0D3A4352"/>
    <w:rsid w:val="0D702BA2"/>
    <w:rsid w:val="0D73070B"/>
    <w:rsid w:val="0D8926A6"/>
    <w:rsid w:val="0DD923CD"/>
    <w:rsid w:val="0DF92FC2"/>
    <w:rsid w:val="0E245F10"/>
    <w:rsid w:val="0E5E13B0"/>
    <w:rsid w:val="0E8E2B99"/>
    <w:rsid w:val="0E9D2777"/>
    <w:rsid w:val="0EB215D1"/>
    <w:rsid w:val="0ECC668E"/>
    <w:rsid w:val="0ECE42F4"/>
    <w:rsid w:val="0EE908C7"/>
    <w:rsid w:val="0EF5282D"/>
    <w:rsid w:val="0EF66383"/>
    <w:rsid w:val="0F392B79"/>
    <w:rsid w:val="0F4E3293"/>
    <w:rsid w:val="0F677BFA"/>
    <w:rsid w:val="0F6C415A"/>
    <w:rsid w:val="0FA81C28"/>
    <w:rsid w:val="0FC654F7"/>
    <w:rsid w:val="0FFC616F"/>
    <w:rsid w:val="102179B9"/>
    <w:rsid w:val="10256202"/>
    <w:rsid w:val="10296224"/>
    <w:rsid w:val="102B7740"/>
    <w:rsid w:val="10A70AEA"/>
    <w:rsid w:val="10C80804"/>
    <w:rsid w:val="10C9147F"/>
    <w:rsid w:val="10D54F72"/>
    <w:rsid w:val="10FE6FFF"/>
    <w:rsid w:val="110636B6"/>
    <w:rsid w:val="11154C36"/>
    <w:rsid w:val="111D78AB"/>
    <w:rsid w:val="114A4A72"/>
    <w:rsid w:val="115313ED"/>
    <w:rsid w:val="116556CC"/>
    <w:rsid w:val="11847588"/>
    <w:rsid w:val="118B4178"/>
    <w:rsid w:val="11A51545"/>
    <w:rsid w:val="11B62D8B"/>
    <w:rsid w:val="11B81893"/>
    <w:rsid w:val="11C63877"/>
    <w:rsid w:val="120B22FF"/>
    <w:rsid w:val="122D0276"/>
    <w:rsid w:val="122F0FBE"/>
    <w:rsid w:val="125121F2"/>
    <w:rsid w:val="125C681B"/>
    <w:rsid w:val="126713B5"/>
    <w:rsid w:val="127E0C28"/>
    <w:rsid w:val="12856E7F"/>
    <w:rsid w:val="1289009F"/>
    <w:rsid w:val="128D5A48"/>
    <w:rsid w:val="12B40AF3"/>
    <w:rsid w:val="12BA35E3"/>
    <w:rsid w:val="132672BA"/>
    <w:rsid w:val="136D6301"/>
    <w:rsid w:val="13897D9E"/>
    <w:rsid w:val="13A65E37"/>
    <w:rsid w:val="13AF42BC"/>
    <w:rsid w:val="13B8101F"/>
    <w:rsid w:val="13B8406E"/>
    <w:rsid w:val="13F47979"/>
    <w:rsid w:val="14125A06"/>
    <w:rsid w:val="1420116D"/>
    <w:rsid w:val="146D19CD"/>
    <w:rsid w:val="14E90491"/>
    <w:rsid w:val="15132E2A"/>
    <w:rsid w:val="15361F67"/>
    <w:rsid w:val="15516C9F"/>
    <w:rsid w:val="155A1E02"/>
    <w:rsid w:val="15791F29"/>
    <w:rsid w:val="15A63BE9"/>
    <w:rsid w:val="15AC70FC"/>
    <w:rsid w:val="15C251D2"/>
    <w:rsid w:val="15D67D90"/>
    <w:rsid w:val="15F42E48"/>
    <w:rsid w:val="16151BF6"/>
    <w:rsid w:val="16157119"/>
    <w:rsid w:val="16227A87"/>
    <w:rsid w:val="16714333"/>
    <w:rsid w:val="16800FA3"/>
    <w:rsid w:val="16E7614C"/>
    <w:rsid w:val="16F56655"/>
    <w:rsid w:val="16F866A8"/>
    <w:rsid w:val="172A2C98"/>
    <w:rsid w:val="172B511C"/>
    <w:rsid w:val="173854F1"/>
    <w:rsid w:val="175B1C13"/>
    <w:rsid w:val="17B263D9"/>
    <w:rsid w:val="17CB755D"/>
    <w:rsid w:val="17E23971"/>
    <w:rsid w:val="18017658"/>
    <w:rsid w:val="18055F36"/>
    <w:rsid w:val="18355B55"/>
    <w:rsid w:val="1846447E"/>
    <w:rsid w:val="186659B0"/>
    <w:rsid w:val="18813E48"/>
    <w:rsid w:val="189C59EB"/>
    <w:rsid w:val="189F19E0"/>
    <w:rsid w:val="18DE6217"/>
    <w:rsid w:val="18EC7F39"/>
    <w:rsid w:val="18F50684"/>
    <w:rsid w:val="18FD7CB0"/>
    <w:rsid w:val="19137C6A"/>
    <w:rsid w:val="19A01BC8"/>
    <w:rsid w:val="19AD2E4B"/>
    <w:rsid w:val="19B24FD2"/>
    <w:rsid w:val="19E24532"/>
    <w:rsid w:val="19F64960"/>
    <w:rsid w:val="1A637576"/>
    <w:rsid w:val="1A6A573A"/>
    <w:rsid w:val="1A840EF4"/>
    <w:rsid w:val="1A970CAB"/>
    <w:rsid w:val="1AAF60CF"/>
    <w:rsid w:val="1AD55662"/>
    <w:rsid w:val="1AD7418D"/>
    <w:rsid w:val="1AF91C6C"/>
    <w:rsid w:val="1AFE156D"/>
    <w:rsid w:val="1B077351"/>
    <w:rsid w:val="1B1E3D1F"/>
    <w:rsid w:val="1B2E3C71"/>
    <w:rsid w:val="1B3200B9"/>
    <w:rsid w:val="1B507AEB"/>
    <w:rsid w:val="1B79463D"/>
    <w:rsid w:val="1BB25635"/>
    <w:rsid w:val="1BB4113B"/>
    <w:rsid w:val="1BBD37F9"/>
    <w:rsid w:val="1BCA3229"/>
    <w:rsid w:val="1BED4F65"/>
    <w:rsid w:val="1BED5B30"/>
    <w:rsid w:val="1C0E50B8"/>
    <w:rsid w:val="1C310710"/>
    <w:rsid w:val="1C3B62BF"/>
    <w:rsid w:val="1CB43DE2"/>
    <w:rsid w:val="1CBB5506"/>
    <w:rsid w:val="1CC1799F"/>
    <w:rsid w:val="1CD375B8"/>
    <w:rsid w:val="1CD6638F"/>
    <w:rsid w:val="1CD97610"/>
    <w:rsid w:val="1CE00D5B"/>
    <w:rsid w:val="1CFF32E4"/>
    <w:rsid w:val="1D021E46"/>
    <w:rsid w:val="1D2769DE"/>
    <w:rsid w:val="1D295D0D"/>
    <w:rsid w:val="1D4F2670"/>
    <w:rsid w:val="1DB05F7A"/>
    <w:rsid w:val="1DE52E20"/>
    <w:rsid w:val="1E1922A9"/>
    <w:rsid w:val="1E47647C"/>
    <w:rsid w:val="1E47768A"/>
    <w:rsid w:val="1E7909DA"/>
    <w:rsid w:val="1E941336"/>
    <w:rsid w:val="1EA40776"/>
    <w:rsid w:val="1EB62ED3"/>
    <w:rsid w:val="1ED308B2"/>
    <w:rsid w:val="1EDD3A1C"/>
    <w:rsid w:val="1EE24645"/>
    <w:rsid w:val="1EF573E7"/>
    <w:rsid w:val="1EFB5A87"/>
    <w:rsid w:val="1F025F7A"/>
    <w:rsid w:val="1F3B6ED5"/>
    <w:rsid w:val="1FC44B52"/>
    <w:rsid w:val="1FCC2A84"/>
    <w:rsid w:val="1FCC7EAF"/>
    <w:rsid w:val="1FE87C75"/>
    <w:rsid w:val="1FE95216"/>
    <w:rsid w:val="1FF03B86"/>
    <w:rsid w:val="2029496A"/>
    <w:rsid w:val="20550825"/>
    <w:rsid w:val="20595477"/>
    <w:rsid w:val="20F07569"/>
    <w:rsid w:val="21047EEA"/>
    <w:rsid w:val="210F5710"/>
    <w:rsid w:val="2165346A"/>
    <w:rsid w:val="21735D08"/>
    <w:rsid w:val="21827857"/>
    <w:rsid w:val="223F74BB"/>
    <w:rsid w:val="224042B3"/>
    <w:rsid w:val="22460F43"/>
    <w:rsid w:val="224A2C76"/>
    <w:rsid w:val="226D4985"/>
    <w:rsid w:val="22A16C69"/>
    <w:rsid w:val="22A2558F"/>
    <w:rsid w:val="22D65DEF"/>
    <w:rsid w:val="22D74AD1"/>
    <w:rsid w:val="22E44DEC"/>
    <w:rsid w:val="231B6A95"/>
    <w:rsid w:val="233A4462"/>
    <w:rsid w:val="233B44BA"/>
    <w:rsid w:val="233B7B97"/>
    <w:rsid w:val="23BD52D7"/>
    <w:rsid w:val="23BF67B3"/>
    <w:rsid w:val="23E67388"/>
    <w:rsid w:val="23F32E54"/>
    <w:rsid w:val="24933B0C"/>
    <w:rsid w:val="24A80670"/>
    <w:rsid w:val="25252376"/>
    <w:rsid w:val="252F3DB3"/>
    <w:rsid w:val="2539579C"/>
    <w:rsid w:val="254F0D55"/>
    <w:rsid w:val="25645F02"/>
    <w:rsid w:val="25970F60"/>
    <w:rsid w:val="25A265BB"/>
    <w:rsid w:val="25C84272"/>
    <w:rsid w:val="25D4246F"/>
    <w:rsid w:val="25DB3E22"/>
    <w:rsid w:val="25DC6E89"/>
    <w:rsid w:val="25E70FEC"/>
    <w:rsid w:val="25FE31AC"/>
    <w:rsid w:val="25FF1A3A"/>
    <w:rsid w:val="261C693D"/>
    <w:rsid w:val="267C3B38"/>
    <w:rsid w:val="269B2E28"/>
    <w:rsid w:val="26C83F92"/>
    <w:rsid w:val="26D511BB"/>
    <w:rsid w:val="26E46FB9"/>
    <w:rsid w:val="270142A7"/>
    <w:rsid w:val="2740256C"/>
    <w:rsid w:val="274D011E"/>
    <w:rsid w:val="27903874"/>
    <w:rsid w:val="27987C3A"/>
    <w:rsid w:val="27B63994"/>
    <w:rsid w:val="27BA160A"/>
    <w:rsid w:val="27BE249B"/>
    <w:rsid w:val="27C277F8"/>
    <w:rsid w:val="28114AD6"/>
    <w:rsid w:val="28182E44"/>
    <w:rsid w:val="282360F5"/>
    <w:rsid w:val="285369E9"/>
    <w:rsid w:val="28720EF4"/>
    <w:rsid w:val="28DB502C"/>
    <w:rsid w:val="28DF02F2"/>
    <w:rsid w:val="28E23167"/>
    <w:rsid w:val="28F24D48"/>
    <w:rsid w:val="292907B9"/>
    <w:rsid w:val="29432A4E"/>
    <w:rsid w:val="29536D5D"/>
    <w:rsid w:val="29567B78"/>
    <w:rsid w:val="2957202B"/>
    <w:rsid w:val="29A85575"/>
    <w:rsid w:val="29B759F8"/>
    <w:rsid w:val="29D905CA"/>
    <w:rsid w:val="29E21AD8"/>
    <w:rsid w:val="29E87451"/>
    <w:rsid w:val="2A165171"/>
    <w:rsid w:val="2A190C14"/>
    <w:rsid w:val="2A2C1548"/>
    <w:rsid w:val="2A610FB0"/>
    <w:rsid w:val="2AD5523D"/>
    <w:rsid w:val="2AF059FE"/>
    <w:rsid w:val="2B1B2161"/>
    <w:rsid w:val="2B2222DC"/>
    <w:rsid w:val="2B38225D"/>
    <w:rsid w:val="2B3C092A"/>
    <w:rsid w:val="2B526E2C"/>
    <w:rsid w:val="2B574BE2"/>
    <w:rsid w:val="2B58381B"/>
    <w:rsid w:val="2B945497"/>
    <w:rsid w:val="2BA46159"/>
    <w:rsid w:val="2BB6698A"/>
    <w:rsid w:val="2C365F2B"/>
    <w:rsid w:val="2C432ACB"/>
    <w:rsid w:val="2C442ED9"/>
    <w:rsid w:val="2C6477B2"/>
    <w:rsid w:val="2C6E425C"/>
    <w:rsid w:val="2C887B6A"/>
    <w:rsid w:val="2CA933D1"/>
    <w:rsid w:val="2CC01EA3"/>
    <w:rsid w:val="2CDC4345"/>
    <w:rsid w:val="2D0235B3"/>
    <w:rsid w:val="2D0E37F7"/>
    <w:rsid w:val="2D3A4FC5"/>
    <w:rsid w:val="2DAC4B85"/>
    <w:rsid w:val="2DBB1AA7"/>
    <w:rsid w:val="2DBE25E8"/>
    <w:rsid w:val="2DCF5350"/>
    <w:rsid w:val="2DDF4DBC"/>
    <w:rsid w:val="2DF5018E"/>
    <w:rsid w:val="2E1443D9"/>
    <w:rsid w:val="2EAF4B59"/>
    <w:rsid w:val="2EF75D63"/>
    <w:rsid w:val="2F2E66B8"/>
    <w:rsid w:val="2F5E36B8"/>
    <w:rsid w:val="2F675913"/>
    <w:rsid w:val="2F8C637B"/>
    <w:rsid w:val="2FA161B3"/>
    <w:rsid w:val="3008316A"/>
    <w:rsid w:val="301924CC"/>
    <w:rsid w:val="3033476B"/>
    <w:rsid w:val="3053628F"/>
    <w:rsid w:val="305A71EE"/>
    <w:rsid w:val="305E6207"/>
    <w:rsid w:val="30680562"/>
    <w:rsid w:val="30E22145"/>
    <w:rsid w:val="30E619F2"/>
    <w:rsid w:val="30F83729"/>
    <w:rsid w:val="31066D80"/>
    <w:rsid w:val="3129077B"/>
    <w:rsid w:val="313170F1"/>
    <w:rsid w:val="31356D4D"/>
    <w:rsid w:val="31FE4E77"/>
    <w:rsid w:val="32CF0C2D"/>
    <w:rsid w:val="32F11576"/>
    <w:rsid w:val="331F6196"/>
    <w:rsid w:val="33656307"/>
    <w:rsid w:val="337E5304"/>
    <w:rsid w:val="33863523"/>
    <w:rsid w:val="338B47E2"/>
    <w:rsid w:val="339318EA"/>
    <w:rsid w:val="339E5A9E"/>
    <w:rsid w:val="33BD5350"/>
    <w:rsid w:val="33C85680"/>
    <w:rsid w:val="33D5407E"/>
    <w:rsid w:val="33D961EC"/>
    <w:rsid w:val="33DB146B"/>
    <w:rsid w:val="33F262EE"/>
    <w:rsid w:val="33F4765E"/>
    <w:rsid w:val="34072631"/>
    <w:rsid w:val="34190D6B"/>
    <w:rsid w:val="34336032"/>
    <w:rsid w:val="345E00FF"/>
    <w:rsid w:val="346253C7"/>
    <w:rsid w:val="34635855"/>
    <w:rsid w:val="347B5E28"/>
    <w:rsid w:val="34D920B1"/>
    <w:rsid w:val="34EA0A90"/>
    <w:rsid w:val="34F734EA"/>
    <w:rsid w:val="35001AED"/>
    <w:rsid w:val="350B1BEC"/>
    <w:rsid w:val="352A6284"/>
    <w:rsid w:val="352E2D3B"/>
    <w:rsid w:val="353617A3"/>
    <w:rsid w:val="35495D3A"/>
    <w:rsid w:val="35690E9B"/>
    <w:rsid w:val="3587165C"/>
    <w:rsid w:val="35880CD8"/>
    <w:rsid w:val="359B1AE1"/>
    <w:rsid w:val="35DD0764"/>
    <w:rsid w:val="35F5073F"/>
    <w:rsid w:val="360523FA"/>
    <w:rsid w:val="361615A4"/>
    <w:rsid w:val="36AC0A35"/>
    <w:rsid w:val="36F35801"/>
    <w:rsid w:val="36F95CF8"/>
    <w:rsid w:val="37031CC2"/>
    <w:rsid w:val="37416711"/>
    <w:rsid w:val="374271C8"/>
    <w:rsid w:val="37652CFC"/>
    <w:rsid w:val="378243BC"/>
    <w:rsid w:val="37945BE0"/>
    <w:rsid w:val="37CF5B89"/>
    <w:rsid w:val="385C3885"/>
    <w:rsid w:val="385C44F4"/>
    <w:rsid w:val="38A61964"/>
    <w:rsid w:val="38AE7F03"/>
    <w:rsid w:val="38B45140"/>
    <w:rsid w:val="38BA5435"/>
    <w:rsid w:val="38C63777"/>
    <w:rsid w:val="38D249A2"/>
    <w:rsid w:val="38DB22E7"/>
    <w:rsid w:val="38DE2CA0"/>
    <w:rsid w:val="39085E3A"/>
    <w:rsid w:val="39200E38"/>
    <w:rsid w:val="392B58E0"/>
    <w:rsid w:val="39337DBF"/>
    <w:rsid w:val="39351F7E"/>
    <w:rsid w:val="397A0069"/>
    <w:rsid w:val="39A36643"/>
    <w:rsid w:val="39A75F7E"/>
    <w:rsid w:val="39CB3AA2"/>
    <w:rsid w:val="39E762F9"/>
    <w:rsid w:val="3A032166"/>
    <w:rsid w:val="3A2D49FE"/>
    <w:rsid w:val="3A3E24FA"/>
    <w:rsid w:val="3A714844"/>
    <w:rsid w:val="3AAC0828"/>
    <w:rsid w:val="3AB00477"/>
    <w:rsid w:val="3ACD603B"/>
    <w:rsid w:val="3B3978AE"/>
    <w:rsid w:val="3B4D731B"/>
    <w:rsid w:val="3B6A140F"/>
    <w:rsid w:val="3BD75478"/>
    <w:rsid w:val="3BF36A1F"/>
    <w:rsid w:val="3C331FEB"/>
    <w:rsid w:val="3C515CC5"/>
    <w:rsid w:val="3C5440D6"/>
    <w:rsid w:val="3C5518C3"/>
    <w:rsid w:val="3C634644"/>
    <w:rsid w:val="3C827C20"/>
    <w:rsid w:val="3C9E3C6F"/>
    <w:rsid w:val="3CA92A78"/>
    <w:rsid w:val="3CC653A9"/>
    <w:rsid w:val="3CE57BE6"/>
    <w:rsid w:val="3D416D86"/>
    <w:rsid w:val="3D526CD5"/>
    <w:rsid w:val="3D70391F"/>
    <w:rsid w:val="3D900B10"/>
    <w:rsid w:val="3DDD3230"/>
    <w:rsid w:val="3E04777D"/>
    <w:rsid w:val="3E2B1CC2"/>
    <w:rsid w:val="3E3A6A93"/>
    <w:rsid w:val="3E52197D"/>
    <w:rsid w:val="3E55440C"/>
    <w:rsid w:val="3E6F1637"/>
    <w:rsid w:val="3E744A95"/>
    <w:rsid w:val="3E801305"/>
    <w:rsid w:val="3E804D72"/>
    <w:rsid w:val="3EC7634C"/>
    <w:rsid w:val="3ED51240"/>
    <w:rsid w:val="3EF20546"/>
    <w:rsid w:val="3F00083E"/>
    <w:rsid w:val="3F1D6525"/>
    <w:rsid w:val="3F601B44"/>
    <w:rsid w:val="3F947850"/>
    <w:rsid w:val="40031083"/>
    <w:rsid w:val="40542DFD"/>
    <w:rsid w:val="40776FC7"/>
    <w:rsid w:val="408D0218"/>
    <w:rsid w:val="40934741"/>
    <w:rsid w:val="40A80E58"/>
    <w:rsid w:val="40B86FB9"/>
    <w:rsid w:val="40D304B9"/>
    <w:rsid w:val="410106D8"/>
    <w:rsid w:val="41106FA6"/>
    <w:rsid w:val="411B7A95"/>
    <w:rsid w:val="413C2916"/>
    <w:rsid w:val="414F3F8E"/>
    <w:rsid w:val="41543018"/>
    <w:rsid w:val="417367FB"/>
    <w:rsid w:val="417534FE"/>
    <w:rsid w:val="41B21361"/>
    <w:rsid w:val="41C719AD"/>
    <w:rsid w:val="41CE41D6"/>
    <w:rsid w:val="41D77B12"/>
    <w:rsid w:val="421905EC"/>
    <w:rsid w:val="421D586F"/>
    <w:rsid w:val="426B19AD"/>
    <w:rsid w:val="42927D20"/>
    <w:rsid w:val="42AE00AD"/>
    <w:rsid w:val="42C01252"/>
    <w:rsid w:val="42F2036E"/>
    <w:rsid w:val="42F4756D"/>
    <w:rsid w:val="4374217E"/>
    <w:rsid w:val="43CB24D9"/>
    <w:rsid w:val="43D04A6C"/>
    <w:rsid w:val="43D139F0"/>
    <w:rsid w:val="43E01913"/>
    <w:rsid w:val="43E1781C"/>
    <w:rsid w:val="43E71664"/>
    <w:rsid w:val="43EC544D"/>
    <w:rsid w:val="43F94CB9"/>
    <w:rsid w:val="44017ADD"/>
    <w:rsid w:val="4416566E"/>
    <w:rsid w:val="442E4213"/>
    <w:rsid w:val="444115FE"/>
    <w:rsid w:val="445518D8"/>
    <w:rsid w:val="44591E8A"/>
    <w:rsid w:val="449514F5"/>
    <w:rsid w:val="44D72067"/>
    <w:rsid w:val="44E22E94"/>
    <w:rsid w:val="4539461C"/>
    <w:rsid w:val="456530E9"/>
    <w:rsid w:val="457F6A75"/>
    <w:rsid w:val="459130AC"/>
    <w:rsid w:val="45966B68"/>
    <w:rsid w:val="459B7169"/>
    <w:rsid w:val="45B14694"/>
    <w:rsid w:val="45B26A53"/>
    <w:rsid w:val="45B82675"/>
    <w:rsid w:val="45C122E0"/>
    <w:rsid w:val="45C43D5C"/>
    <w:rsid w:val="461038FA"/>
    <w:rsid w:val="46290789"/>
    <w:rsid w:val="46293946"/>
    <w:rsid w:val="4679395E"/>
    <w:rsid w:val="468E09B3"/>
    <w:rsid w:val="46936FBF"/>
    <w:rsid w:val="46B25190"/>
    <w:rsid w:val="46C42A9D"/>
    <w:rsid w:val="47144782"/>
    <w:rsid w:val="47590052"/>
    <w:rsid w:val="475D3AB5"/>
    <w:rsid w:val="4788503A"/>
    <w:rsid w:val="47981DC1"/>
    <w:rsid w:val="479B74D9"/>
    <w:rsid w:val="47B267AF"/>
    <w:rsid w:val="47C97D35"/>
    <w:rsid w:val="47D4658F"/>
    <w:rsid w:val="47D52E83"/>
    <w:rsid w:val="48224AEE"/>
    <w:rsid w:val="48474389"/>
    <w:rsid w:val="48731962"/>
    <w:rsid w:val="488D0381"/>
    <w:rsid w:val="48AC2E35"/>
    <w:rsid w:val="48DC2E7D"/>
    <w:rsid w:val="48F67E3C"/>
    <w:rsid w:val="491A7CC4"/>
    <w:rsid w:val="49381277"/>
    <w:rsid w:val="494F3F54"/>
    <w:rsid w:val="49585B7D"/>
    <w:rsid w:val="496D543D"/>
    <w:rsid w:val="496F4477"/>
    <w:rsid w:val="498015D8"/>
    <w:rsid w:val="49806658"/>
    <w:rsid w:val="49AF467F"/>
    <w:rsid w:val="49BB1A4E"/>
    <w:rsid w:val="4A0D5375"/>
    <w:rsid w:val="4A360730"/>
    <w:rsid w:val="4A702E2C"/>
    <w:rsid w:val="4A880D43"/>
    <w:rsid w:val="4AB05975"/>
    <w:rsid w:val="4AB72781"/>
    <w:rsid w:val="4ABC0692"/>
    <w:rsid w:val="4AD5511E"/>
    <w:rsid w:val="4AEF42EF"/>
    <w:rsid w:val="4AF62F82"/>
    <w:rsid w:val="4B306F35"/>
    <w:rsid w:val="4B6937CC"/>
    <w:rsid w:val="4B8B5AA7"/>
    <w:rsid w:val="4BD674F2"/>
    <w:rsid w:val="4BDB495B"/>
    <w:rsid w:val="4C52061B"/>
    <w:rsid w:val="4C6C12D7"/>
    <w:rsid w:val="4C8D61E6"/>
    <w:rsid w:val="4C964913"/>
    <w:rsid w:val="4CC1217B"/>
    <w:rsid w:val="4CC50CC3"/>
    <w:rsid w:val="4CD20FF1"/>
    <w:rsid w:val="4CE2121F"/>
    <w:rsid w:val="4D255144"/>
    <w:rsid w:val="4D643F76"/>
    <w:rsid w:val="4D7A6DA2"/>
    <w:rsid w:val="4D7F3761"/>
    <w:rsid w:val="4DB021BA"/>
    <w:rsid w:val="4DBE2929"/>
    <w:rsid w:val="4E625E3B"/>
    <w:rsid w:val="4E8D4C8E"/>
    <w:rsid w:val="4E94296B"/>
    <w:rsid w:val="4EAB4136"/>
    <w:rsid w:val="4EC86E00"/>
    <w:rsid w:val="4EC877F3"/>
    <w:rsid w:val="4EEE730C"/>
    <w:rsid w:val="4EF210E4"/>
    <w:rsid w:val="4F101237"/>
    <w:rsid w:val="4F5E45A7"/>
    <w:rsid w:val="4F605168"/>
    <w:rsid w:val="4FBB0D11"/>
    <w:rsid w:val="4FF7236F"/>
    <w:rsid w:val="4FFC525E"/>
    <w:rsid w:val="501678AF"/>
    <w:rsid w:val="503310DC"/>
    <w:rsid w:val="506E3608"/>
    <w:rsid w:val="50806D2A"/>
    <w:rsid w:val="50836614"/>
    <w:rsid w:val="50CD43B4"/>
    <w:rsid w:val="50D35DEA"/>
    <w:rsid w:val="510176DF"/>
    <w:rsid w:val="51034F1C"/>
    <w:rsid w:val="5106294F"/>
    <w:rsid w:val="510C4C60"/>
    <w:rsid w:val="51186CB1"/>
    <w:rsid w:val="51190EF6"/>
    <w:rsid w:val="514D260B"/>
    <w:rsid w:val="515649BD"/>
    <w:rsid w:val="51570BEB"/>
    <w:rsid w:val="515B2DF3"/>
    <w:rsid w:val="5161631A"/>
    <w:rsid w:val="516C1711"/>
    <w:rsid w:val="51711F7B"/>
    <w:rsid w:val="51773DC5"/>
    <w:rsid w:val="518F61B6"/>
    <w:rsid w:val="51BF57EE"/>
    <w:rsid w:val="51D5619C"/>
    <w:rsid w:val="51EB0BC8"/>
    <w:rsid w:val="51EC42FE"/>
    <w:rsid w:val="51EF3670"/>
    <w:rsid w:val="51FF1AF8"/>
    <w:rsid w:val="52925372"/>
    <w:rsid w:val="529F1D6A"/>
    <w:rsid w:val="52AA3EE5"/>
    <w:rsid w:val="52D43919"/>
    <w:rsid w:val="530978D5"/>
    <w:rsid w:val="531755E8"/>
    <w:rsid w:val="532E0A5D"/>
    <w:rsid w:val="53371354"/>
    <w:rsid w:val="533E3C79"/>
    <w:rsid w:val="53410A4D"/>
    <w:rsid w:val="53A27E9F"/>
    <w:rsid w:val="53AF7ED8"/>
    <w:rsid w:val="53D85066"/>
    <w:rsid w:val="53DA40FB"/>
    <w:rsid w:val="542368F6"/>
    <w:rsid w:val="545408A4"/>
    <w:rsid w:val="54BC6AE8"/>
    <w:rsid w:val="54E216D5"/>
    <w:rsid w:val="54E72ED6"/>
    <w:rsid w:val="55003E42"/>
    <w:rsid w:val="55146922"/>
    <w:rsid w:val="55371986"/>
    <w:rsid w:val="554F47F6"/>
    <w:rsid w:val="55547175"/>
    <w:rsid w:val="555507A1"/>
    <w:rsid w:val="558B21E5"/>
    <w:rsid w:val="55C96ABB"/>
    <w:rsid w:val="55D00842"/>
    <w:rsid w:val="55F552A2"/>
    <w:rsid w:val="55F84266"/>
    <w:rsid w:val="56271A0E"/>
    <w:rsid w:val="564A2A58"/>
    <w:rsid w:val="568410CE"/>
    <w:rsid w:val="56A460FB"/>
    <w:rsid w:val="56AE7EFF"/>
    <w:rsid w:val="56CC73D1"/>
    <w:rsid w:val="56D54C90"/>
    <w:rsid w:val="56FC6F8A"/>
    <w:rsid w:val="570D1AAF"/>
    <w:rsid w:val="5714312F"/>
    <w:rsid w:val="57197004"/>
    <w:rsid w:val="572933F0"/>
    <w:rsid w:val="5773323E"/>
    <w:rsid w:val="57957C04"/>
    <w:rsid w:val="57BB138E"/>
    <w:rsid w:val="57E92DB1"/>
    <w:rsid w:val="580F7744"/>
    <w:rsid w:val="5812470F"/>
    <w:rsid w:val="584B0170"/>
    <w:rsid w:val="584E2CBD"/>
    <w:rsid w:val="585B4705"/>
    <w:rsid w:val="58621A2C"/>
    <w:rsid w:val="58773EC4"/>
    <w:rsid w:val="58857A8C"/>
    <w:rsid w:val="58A37441"/>
    <w:rsid w:val="58A469C7"/>
    <w:rsid w:val="58BB0D9E"/>
    <w:rsid w:val="58C719EF"/>
    <w:rsid w:val="58E2774B"/>
    <w:rsid w:val="593B6A94"/>
    <w:rsid w:val="59514622"/>
    <w:rsid w:val="595846A2"/>
    <w:rsid w:val="597266B7"/>
    <w:rsid w:val="59825742"/>
    <w:rsid w:val="599A4E45"/>
    <w:rsid w:val="59B92833"/>
    <w:rsid w:val="59E6386B"/>
    <w:rsid w:val="59FA6545"/>
    <w:rsid w:val="59FC3DAF"/>
    <w:rsid w:val="5A0B66F5"/>
    <w:rsid w:val="5A197152"/>
    <w:rsid w:val="5A6D5C0D"/>
    <w:rsid w:val="5A756F99"/>
    <w:rsid w:val="5A7C3FC1"/>
    <w:rsid w:val="5AB24835"/>
    <w:rsid w:val="5ABC73C6"/>
    <w:rsid w:val="5AD362EB"/>
    <w:rsid w:val="5ADA20EA"/>
    <w:rsid w:val="5ADB2D80"/>
    <w:rsid w:val="5AE022CD"/>
    <w:rsid w:val="5B043A6F"/>
    <w:rsid w:val="5B6E53EC"/>
    <w:rsid w:val="5BD27DBF"/>
    <w:rsid w:val="5BD91608"/>
    <w:rsid w:val="5BE114F0"/>
    <w:rsid w:val="5BEC2310"/>
    <w:rsid w:val="5BF940C6"/>
    <w:rsid w:val="5C2C20C8"/>
    <w:rsid w:val="5C8D2B9F"/>
    <w:rsid w:val="5CC02B96"/>
    <w:rsid w:val="5D0B62FC"/>
    <w:rsid w:val="5D0C166D"/>
    <w:rsid w:val="5D112747"/>
    <w:rsid w:val="5D1D6021"/>
    <w:rsid w:val="5D3E2238"/>
    <w:rsid w:val="5DA10173"/>
    <w:rsid w:val="5DD04915"/>
    <w:rsid w:val="5DD0573F"/>
    <w:rsid w:val="5DD80CCF"/>
    <w:rsid w:val="5DFE2CBB"/>
    <w:rsid w:val="5E09199C"/>
    <w:rsid w:val="5E121173"/>
    <w:rsid w:val="5E23603A"/>
    <w:rsid w:val="5E266288"/>
    <w:rsid w:val="5E4F7EE9"/>
    <w:rsid w:val="5E5D7959"/>
    <w:rsid w:val="5E7A2420"/>
    <w:rsid w:val="5ECD0E0A"/>
    <w:rsid w:val="5ED3406D"/>
    <w:rsid w:val="5F230651"/>
    <w:rsid w:val="5F4B4F24"/>
    <w:rsid w:val="5F7D4C92"/>
    <w:rsid w:val="5F836D6D"/>
    <w:rsid w:val="5F8D20EA"/>
    <w:rsid w:val="5F8E33D5"/>
    <w:rsid w:val="5FA03E26"/>
    <w:rsid w:val="5FCE11CE"/>
    <w:rsid w:val="601D58E1"/>
    <w:rsid w:val="603C0054"/>
    <w:rsid w:val="60525456"/>
    <w:rsid w:val="60845253"/>
    <w:rsid w:val="60A65450"/>
    <w:rsid w:val="60B857BC"/>
    <w:rsid w:val="60BF0BF8"/>
    <w:rsid w:val="610539BD"/>
    <w:rsid w:val="612358D4"/>
    <w:rsid w:val="61265EB9"/>
    <w:rsid w:val="6127610D"/>
    <w:rsid w:val="61417FF6"/>
    <w:rsid w:val="614E6E5C"/>
    <w:rsid w:val="61643936"/>
    <w:rsid w:val="61BE4DF5"/>
    <w:rsid w:val="61BF7412"/>
    <w:rsid w:val="61DE4A8E"/>
    <w:rsid w:val="62153BB2"/>
    <w:rsid w:val="62512902"/>
    <w:rsid w:val="626C3E5F"/>
    <w:rsid w:val="62766C4A"/>
    <w:rsid w:val="62845ADB"/>
    <w:rsid w:val="62B215D8"/>
    <w:rsid w:val="62B74394"/>
    <w:rsid w:val="63005D8F"/>
    <w:rsid w:val="63031EE5"/>
    <w:rsid w:val="633D7051"/>
    <w:rsid w:val="63514422"/>
    <w:rsid w:val="636769C2"/>
    <w:rsid w:val="637B10A3"/>
    <w:rsid w:val="63827BC2"/>
    <w:rsid w:val="63854F9D"/>
    <w:rsid w:val="63A25DE7"/>
    <w:rsid w:val="63B75C9F"/>
    <w:rsid w:val="63E95E12"/>
    <w:rsid w:val="641B7DF8"/>
    <w:rsid w:val="643B4B2F"/>
    <w:rsid w:val="645D2461"/>
    <w:rsid w:val="64751038"/>
    <w:rsid w:val="64811B90"/>
    <w:rsid w:val="648D6EEA"/>
    <w:rsid w:val="64AC3FE2"/>
    <w:rsid w:val="64C0034A"/>
    <w:rsid w:val="64E01A7E"/>
    <w:rsid w:val="650424FB"/>
    <w:rsid w:val="651F0212"/>
    <w:rsid w:val="652F6091"/>
    <w:rsid w:val="653051E1"/>
    <w:rsid w:val="65490BAF"/>
    <w:rsid w:val="65842251"/>
    <w:rsid w:val="65B913CC"/>
    <w:rsid w:val="65DC0725"/>
    <w:rsid w:val="660C4A84"/>
    <w:rsid w:val="661D0EDA"/>
    <w:rsid w:val="661F01CD"/>
    <w:rsid w:val="66202794"/>
    <w:rsid w:val="6624199B"/>
    <w:rsid w:val="662425C5"/>
    <w:rsid w:val="66245B0A"/>
    <w:rsid w:val="66353FA0"/>
    <w:rsid w:val="663A0C6C"/>
    <w:rsid w:val="665F05B7"/>
    <w:rsid w:val="668B0F61"/>
    <w:rsid w:val="66FF3604"/>
    <w:rsid w:val="67426C7C"/>
    <w:rsid w:val="675E05AF"/>
    <w:rsid w:val="675F6BBE"/>
    <w:rsid w:val="67820781"/>
    <w:rsid w:val="67862D4B"/>
    <w:rsid w:val="6797087B"/>
    <w:rsid w:val="67BB4CCD"/>
    <w:rsid w:val="67C54EDF"/>
    <w:rsid w:val="67E22526"/>
    <w:rsid w:val="681F6639"/>
    <w:rsid w:val="68560F87"/>
    <w:rsid w:val="685E44D7"/>
    <w:rsid w:val="686440FE"/>
    <w:rsid w:val="6870243F"/>
    <w:rsid w:val="68B259D5"/>
    <w:rsid w:val="68B72EF2"/>
    <w:rsid w:val="68B76834"/>
    <w:rsid w:val="68BB3DF2"/>
    <w:rsid w:val="68BC68A4"/>
    <w:rsid w:val="68BE58D5"/>
    <w:rsid w:val="68CB7671"/>
    <w:rsid w:val="68EE0A6D"/>
    <w:rsid w:val="68FB39DC"/>
    <w:rsid w:val="691913EB"/>
    <w:rsid w:val="69237384"/>
    <w:rsid w:val="692F6986"/>
    <w:rsid w:val="69600362"/>
    <w:rsid w:val="69605BC9"/>
    <w:rsid w:val="69A36F45"/>
    <w:rsid w:val="69D32ED5"/>
    <w:rsid w:val="6A1C165D"/>
    <w:rsid w:val="6A2F5862"/>
    <w:rsid w:val="6A6E175B"/>
    <w:rsid w:val="6A7840E4"/>
    <w:rsid w:val="6A8B6F1A"/>
    <w:rsid w:val="6AC53F90"/>
    <w:rsid w:val="6ACE3C82"/>
    <w:rsid w:val="6B3D5748"/>
    <w:rsid w:val="6B4313A0"/>
    <w:rsid w:val="6B560CBD"/>
    <w:rsid w:val="6B785632"/>
    <w:rsid w:val="6B806DE9"/>
    <w:rsid w:val="6B9F0EC9"/>
    <w:rsid w:val="6BA173E1"/>
    <w:rsid w:val="6BA2501D"/>
    <w:rsid w:val="6BCA5D6A"/>
    <w:rsid w:val="6BD25B7C"/>
    <w:rsid w:val="6BDA4C0B"/>
    <w:rsid w:val="6C4F3304"/>
    <w:rsid w:val="6C58686F"/>
    <w:rsid w:val="6C6F2E94"/>
    <w:rsid w:val="6C776D6B"/>
    <w:rsid w:val="6C7B781D"/>
    <w:rsid w:val="6CB31CA3"/>
    <w:rsid w:val="6CB516E6"/>
    <w:rsid w:val="6CBC3BB6"/>
    <w:rsid w:val="6CDA6D35"/>
    <w:rsid w:val="6CEB7F4B"/>
    <w:rsid w:val="6D5B2B2A"/>
    <w:rsid w:val="6D5E58F2"/>
    <w:rsid w:val="6D674704"/>
    <w:rsid w:val="6D696FA7"/>
    <w:rsid w:val="6D9D763D"/>
    <w:rsid w:val="6DCE1B19"/>
    <w:rsid w:val="6DDA7E08"/>
    <w:rsid w:val="6DF53768"/>
    <w:rsid w:val="6E0727BB"/>
    <w:rsid w:val="6E2B7F38"/>
    <w:rsid w:val="6E763456"/>
    <w:rsid w:val="6E774A55"/>
    <w:rsid w:val="6EAD2B10"/>
    <w:rsid w:val="6EDC103F"/>
    <w:rsid w:val="6F1440BB"/>
    <w:rsid w:val="6F176B1C"/>
    <w:rsid w:val="6F224A19"/>
    <w:rsid w:val="6F2730F4"/>
    <w:rsid w:val="6F343677"/>
    <w:rsid w:val="6F7013C2"/>
    <w:rsid w:val="6F7F5E42"/>
    <w:rsid w:val="6F882E0C"/>
    <w:rsid w:val="6F8F58C5"/>
    <w:rsid w:val="6F917271"/>
    <w:rsid w:val="6F9A2553"/>
    <w:rsid w:val="700E7754"/>
    <w:rsid w:val="701B7E7B"/>
    <w:rsid w:val="702400CC"/>
    <w:rsid w:val="705A2E75"/>
    <w:rsid w:val="705C657B"/>
    <w:rsid w:val="7076669C"/>
    <w:rsid w:val="70A9738A"/>
    <w:rsid w:val="70C7061C"/>
    <w:rsid w:val="70CF64AD"/>
    <w:rsid w:val="70E266BC"/>
    <w:rsid w:val="71146D2A"/>
    <w:rsid w:val="71153AF9"/>
    <w:rsid w:val="712719CE"/>
    <w:rsid w:val="71280521"/>
    <w:rsid w:val="71554BB7"/>
    <w:rsid w:val="71A2511C"/>
    <w:rsid w:val="71F41DBD"/>
    <w:rsid w:val="71FC713D"/>
    <w:rsid w:val="72331D2D"/>
    <w:rsid w:val="723A796B"/>
    <w:rsid w:val="725C1AC7"/>
    <w:rsid w:val="7265067F"/>
    <w:rsid w:val="72806024"/>
    <w:rsid w:val="72B53FCF"/>
    <w:rsid w:val="72B92733"/>
    <w:rsid w:val="72BB0B21"/>
    <w:rsid w:val="72C070DB"/>
    <w:rsid w:val="72D37BDC"/>
    <w:rsid w:val="72F55806"/>
    <w:rsid w:val="72F85642"/>
    <w:rsid w:val="730E7C48"/>
    <w:rsid w:val="73B81B55"/>
    <w:rsid w:val="73BC5F2E"/>
    <w:rsid w:val="73C814A2"/>
    <w:rsid w:val="73E544BC"/>
    <w:rsid w:val="73EF6EE2"/>
    <w:rsid w:val="73FC4A08"/>
    <w:rsid w:val="740A767E"/>
    <w:rsid w:val="740E0137"/>
    <w:rsid w:val="74374720"/>
    <w:rsid w:val="74995382"/>
    <w:rsid w:val="74A70DBA"/>
    <w:rsid w:val="74A95B21"/>
    <w:rsid w:val="74C31CE5"/>
    <w:rsid w:val="750110F2"/>
    <w:rsid w:val="752134D0"/>
    <w:rsid w:val="753A25C0"/>
    <w:rsid w:val="753B7841"/>
    <w:rsid w:val="756F4D30"/>
    <w:rsid w:val="759405A2"/>
    <w:rsid w:val="75B73F04"/>
    <w:rsid w:val="761E6667"/>
    <w:rsid w:val="762B41FB"/>
    <w:rsid w:val="765B256C"/>
    <w:rsid w:val="76901D77"/>
    <w:rsid w:val="769514BF"/>
    <w:rsid w:val="76DA2493"/>
    <w:rsid w:val="76F1344C"/>
    <w:rsid w:val="77305ED6"/>
    <w:rsid w:val="77345B8A"/>
    <w:rsid w:val="77360FEA"/>
    <w:rsid w:val="77875400"/>
    <w:rsid w:val="77A5617B"/>
    <w:rsid w:val="77B46F37"/>
    <w:rsid w:val="77D96695"/>
    <w:rsid w:val="78014FD2"/>
    <w:rsid w:val="78321730"/>
    <w:rsid w:val="78356A1F"/>
    <w:rsid w:val="783838A2"/>
    <w:rsid w:val="783B2A1E"/>
    <w:rsid w:val="785960E7"/>
    <w:rsid w:val="786B0D93"/>
    <w:rsid w:val="7875013A"/>
    <w:rsid w:val="789708B7"/>
    <w:rsid w:val="78BE6120"/>
    <w:rsid w:val="79297211"/>
    <w:rsid w:val="79330079"/>
    <w:rsid w:val="79477533"/>
    <w:rsid w:val="7959538B"/>
    <w:rsid w:val="797267C7"/>
    <w:rsid w:val="799E5294"/>
    <w:rsid w:val="79A44D99"/>
    <w:rsid w:val="79B92F9C"/>
    <w:rsid w:val="79C21B5C"/>
    <w:rsid w:val="79E061E6"/>
    <w:rsid w:val="79FE7BFD"/>
    <w:rsid w:val="7A255650"/>
    <w:rsid w:val="7A271250"/>
    <w:rsid w:val="7A384EAF"/>
    <w:rsid w:val="7A4E2533"/>
    <w:rsid w:val="7A6C2313"/>
    <w:rsid w:val="7A6C7104"/>
    <w:rsid w:val="7A767EDF"/>
    <w:rsid w:val="7A9129A1"/>
    <w:rsid w:val="7A98553E"/>
    <w:rsid w:val="7AAA58A1"/>
    <w:rsid w:val="7AB34136"/>
    <w:rsid w:val="7B594966"/>
    <w:rsid w:val="7B852F06"/>
    <w:rsid w:val="7B951C96"/>
    <w:rsid w:val="7B9609A4"/>
    <w:rsid w:val="7BB57280"/>
    <w:rsid w:val="7BBE72F2"/>
    <w:rsid w:val="7BC578EB"/>
    <w:rsid w:val="7BDD6D62"/>
    <w:rsid w:val="7BF14D95"/>
    <w:rsid w:val="7C067D1E"/>
    <w:rsid w:val="7C166DFB"/>
    <w:rsid w:val="7C186FB6"/>
    <w:rsid w:val="7C256ED7"/>
    <w:rsid w:val="7C3B01FC"/>
    <w:rsid w:val="7C6537F9"/>
    <w:rsid w:val="7C69391B"/>
    <w:rsid w:val="7C8434E8"/>
    <w:rsid w:val="7CA21CC9"/>
    <w:rsid w:val="7CA7605E"/>
    <w:rsid w:val="7CCA6707"/>
    <w:rsid w:val="7D441396"/>
    <w:rsid w:val="7D6F1F8D"/>
    <w:rsid w:val="7D7067B6"/>
    <w:rsid w:val="7D896D0A"/>
    <w:rsid w:val="7DA53AFB"/>
    <w:rsid w:val="7DAD566D"/>
    <w:rsid w:val="7DB84CE9"/>
    <w:rsid w:val="7DC664E6"/>
    <w:rsid w:val="7DCC4559"/>
    <w:rsid w:val="7E0421EF"/>
    <w:rsid w:val="7E174841"/>
    <w:rsid w:val="7E507C7D"/>
    <w:rsid w:val="7E533AF5"/>
    <w:rsid w:val="7E5635A3"/>
    <w:rsid w:val="7E602D5E"/>
    <w:rsid w:val="7E7C28C5"/>
    <w:rsid w:val="7E8B2F05"/>
    <w:rsid w:val="7E9B65D1"/>
    <w:rsid w:val="7EAA393C"/>
    <w:rsid w:val="7EF96FA6"/>
    <w:rsid w:val="7F163089"/>
    <w:rsid w:val="7F47740E"/>
    <w:rsid w:val="7F49050A"/>
    <w:rsid w:val="7F532813"/>
    <w:rsid w:val="7F53638E"/>
    <w:rsid w:val="7F6913C0"/>
    <w:rsid w:val="7F7A3BFF"/>
    <w:rsid w:val="7F7B687B"/>
    <w:rsid w:val="7F8F2A24"/>
    <w:rsid w:val="7F9B7677"/>
    <w:rsid w:val="7FD30504"/>
    <w:rsid w:val="7FED7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3"/>
    <w:qFormat/>
    <w:uiPriority w:val="0"/>
    <w:pPr>
      <w:keepNext/>
      <w:keepLines/>
      <w:spacing w:before="340" w:after="330" w:line="576" w:lineRule="auto"/>
      <w:outlineLvl w:val="0"/>
    </w:pPr>
    <w:rPr>
      <w:b/>
      <w:bCs/>
      <w:kern w:val="44"/>
      <w:sz w:val="44"/>
      <w:szCs w:val="44"/>
    </w:rPr>
  </w:style>
  <w:style w:type="paragraph" w:styleId="7">
    <w:name w:val="heading 2"/>
    <w:basedOn w:val="1"/>
    <w:next w:val="1"/>
    <w:link w:val="61"/>
    <w:qFormat/>
    <w:uiPriority w:val="0"/>
    <w:pPr>
      <w:keepNext/>
      <w:keepLines/>
      <w:spacing w:before="260" w:after="260" w:line="413" w:lineRule="auto"/>
      <w:outlineLvl w:val="1"/>
    </w:pPr>
    <w:rPr>
      <w:rFonts w:ascii="Arial" w:hAnsi="Arial" w:eastAsia="黑体"/>
      <w:b/>
      <w:bCs/>
      <w:kern w:val="0"/>
      <w:sz w:val="32"/>
      <w:szCs w:val="32"/>
    </w:rPr>
  </w:style>
  <w:style w:type="paragraph" w:styleId="8">
    <w:name w:val="heading 3"/>
    <w:basedOn w:val="1"/>
    <w:next w:val="1"/>
    <w:link w:val="65"/>
    <w:qFormat/>
    <w:uiPriority w:val="0"/>
    <w:pPr>
      <w:keepNext/>
      <w:keepLines/>
      <w:spacing w:before="260" w:after="260" w:line="413" w:lineRule="auto"/>
      <w:outlineLvl w:val="2"/>
    </w:pPr>
    <w:rPr>
      <w:b/>
      <w:bCs/>
      <w:kern w:val="0"/>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qFormat/>
    <w:uiPriority w:val="0"/>
    <w:pPr>
      <w:keepNext/>
      <w:keepLines/>
      <w:spacing w:before="280" w:after="290" w:line="372" w:lineRule="auto"/>
      <w:outlineLvl w:val="4"/>
    </w:pPr>
    <w:rPr>
      <w:b/>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98"/>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next w:val="1"/>
    <w:qFormat/>
    <w:uiPriority w:val="0"/>
    <w:pPr>
      <w:ind w:firstLine="420" w:firstLineChars="200"/>
    </w:pPr>
  </w:style>
  <w:style w:type="paragraph" w:styleId="5">
    <w:name w:val="Body Text Indent"/>
    <w:basedOn w:val="1"/>
    <w:qFormat/>
    <w:uiPriority w:val="0"/>
    <w:pPr>
      <w:spacing w:after="120"/>
      <w:ind w:left="420" w:leftChars="200"/>
    </w:pPr>
  </w:style>
  <w:style w:type="paragraph" w:styleId="11">
    <w:name w:val="toc 7"/>
    <w:basedOn w:val="1"/>
    <w:next w:val="1"/>
    <w:qFormat/>
    <w:uiPriority w:val="0"/>
    <w:pPr>
      <w:ind w:left="2520" w:leftChars="1200"/>
    </w:pPr>
  </w:style>
  <w:style w:type="paragraph" w:styleId="12">
    <w:name w:val="Normal Indent"/>
    <w:basedOn w:val="1"/>
    <w:qFormat/>
    <w:uiPriority w:val="0"/>
    <w:pPr>
      <w:ind w:firstLine="420" w:firstLineChars="200"/>
    </w:pPr>
  </w:style>
  <w:style w:type="paragraph" w:styleId="13">
    <w:name w:val="Document Map"/>
    <w:basedOn w:val="1"/>
    <w:link w:val="56"/>
    <w:qFormat/>
    <w:uiPriority w:val="0"/>
    <w:rPr>
      <w:rFonts w:ascii="宋体"/>
      <w:sz w:val="18"/>
      <w:szCs w:val="18"/>
    </w:rPr>
  </w:style>
  <w:style w:type="paragraph" w:styleId="14">
    <w:name w:val="annotation text"/>
    <w:basedOn w:val="1"/>
    <w:link w:val="47"/>
    <w:qFormat/>
    <w:uiPriority w:val="0"/>
    <w:pPr>
      <w:jc w:val="left"/>
    </w:pPr>
  </w:style>
  <w:style w:type="paragraph" w:styleId="15">
    <w:name w:val="Body Text 3"/>
    <w:basedOn w:val="1"/>
    <w:qFormat/>
    <w:uiPriority w:val="0"/>
    <w:rPr>
      <w:rFonts w:ascii="宋体"/>
      <w:sz w:val="24"/>
      <w:szCs w:val="20"/>
    </w:rPr>
  </w:style>
  <w:style w:type="paragraph" w:styleId="16">
    <w:name w:val="toc 5"/>
    <w:basedOn w:val="1"/>
    <w:next w:val="1"/>
    <w:qFormat/>
    <w:uiPriority w:val="0"/>
    <w:pPr>
      <w:ind w:left="1680" w:leftChars="800"/>
    </w:pPr>
  </w:style>
  <w:style w:type="paragraph" w:styleId="17">
    <w:name w:val="toc 3"/>
    <w:basedOn w:val="1"/>
    <w:next w:val="1"/>
    <w:qFormat/>
    <w:uiPriority w:val="0"/>
    <w:pPr>
      <w:ind w:left="840" w:leftChars="400"/>
    </w:pPr>
  </w:style>
  <w:style w:type="paragraph" w:styleId="18">
    <w:name w:val="Plain Text"/>
    <w:basedOn w:val="1"/>
    <w:link w:val="99"/>
    <w:qFormat/>
    <w:uiPriority w:val="0"/>
    <w:rPr>
      <w:rFonts w:ascii="宋体" w:hAnsi="Courier New"/>
      <w:szCs w:val="21"/>
    </w:rPr>
  </w:style>
  <w:style w:type="paragraph" w:styleId="19">
    <w:name w:val="toc 8"/>
    <w:basedOn w:val="1"/>
    <w:next w:val="1"/>
    <w:qFormat/>
    <w:uiPriority w:val="0"/>
    <w:pPr>
      <w:ind w:left="2940" w:leftChars="1400"/>
    </w:p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link w:val="68"/>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qFormat/>
    <w:uiPriority w:val="0"/>
    <w:pPr>
      <w:ind w:left="1260" w:leftChars="600"/>
    </w:pPr>
  </w:style>
  <w:style w:type="paragraph" w:styleId="27">
    <w:name w:val="toc 6"/>
    <w:basedOn w:val="1"/>
    <w:next w:val="1"/>
    <w:qFormat/>
    <w:uiPriority w:val="0"/>
    <w:pPr>
      <w:ind w:left="2100" w:leftChars="1000"/>
    </w:pPr>
  </w:style>
  <w:style w:type="paragraph" w:styleId="28">
    <w:name w:val="Body Text Indent 3"/>
    <w:basedOn w:val="1"/>
    <w:qFormat/>
    <w:uiPriority w:val="0"/>
    <w:pPr>
      <w:ind w:firstLine="420" w:firstLineChars="200"/>
    </w:pPr>
    <w:rPr>
      <w:rFonts w:ascii="宋体" w:hAnsi="宋体"/>
    </w:rPr>
  </w:style>
  <w:style w:type="paragraph" w:styleId="29">
    <w:name w:val="toc 2"/>
    <w:basedOn w:val="1"/>
    <w:next w:val="1"/>
    <w:qFormat/>
    <w:uiPriority w:val="39"/>
    <w:pPr>
      <w:ind w:left="420" w:leftChars="200"/>
    </w:pPr>
  </w:style>
  <w:style w:type="paragraph" w:styleId="30">
    <w:name w:val="toc 9"/>
    <w:basedOn w:val="1"/>
    <w:next w:val="1"/>
    <w:qFormat/>
    <w:uiPriority w:val="0"/>
    <w:pPr>
      <w:ind w:left="3360" w:leftChars="1600"/>
    </w:pPr>
  </w:style>
  <w:style w:type="paragraph" w:styleId="31">
    <w:name w:val="Body Text 2"/>
    <w:basedOn w:val="1"/>
    <w:qFormat/>
    <w:uiPriority w:val="0"/>
    <w:pPr>
      <w:spacing w:after="120" w:line="480" w:lineRule="auto"/>
    </w:pPr>
  </w:style>
  <w:style w:type="paragraph" w:styleId="3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3">
    <w:name w:val="Normal (Web)"/>
    <w:basedOn w:val="1"/>
    <w:qFormat/>
    <w:uiPriority w:val="0"/>
    <w:pPr>
      <w:spacing w:before="100" w:beforeAutospacing="1" w:after="100" w:afterAutospacing="1"/>
      <w:jc w:val="left"/>
    </w:pPr>
    <w:rPr>
      <w:kern w:val="0"/>
      <w:sz w:val="24"/>
      <w:szCs w:val="20"/>
    </w:rPr>
  </w:style>
  <w:style w:type="paragraph" w:styleId="34">
    <w:name w:val="annotation subject"/>
    <w:basedOn w:val="14"/>
    <w:next w:val="14"/>
    <w:link w:val="46"/>
    <w:qFormat/>
    <w:uiPriority w:val="0"/>
    <w:rPr>
      <w:b/>
      <w:bCs/>
    </w:r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FollowedHyperlink"/>
    <w:basedOn w:val="37"/>
    <w:qFormat/>
    <w:uiPriority w:val="0"/>
    <w:rPr>
      <w:color w:val="000000"/>
      <w:u w:val="none"/>
    </w:rPr>
  </w:style>
  <w:style w:type="character" w:styleId="40">
    <w:name w:val="Emphasis"/>
    <w:basedOn w:val="37"/>
    <w:qFormat/>
    <w:uiPriority w:val="0"/>
  </w:style>
  <w:style w:type="character" w:styleId="41">
    <w:name w:val="Hyperlink"/>
    <w:basedOn w:val="37"/>
    <w:qFormat/>
    <w:uiPriority w:val="99"/>
    <w:rPr>
      <w:color w:val="000000"/>
      <w:u w:val="none"/>
    </w:rPr>
  </w:style>
  <w:style w:type="character" w:styleId="42">
    <w:name w:val="annotation reference"/>
    <w:basedOn w:val="37"/>
    <w:qFormat/>
    <w:uiPriority w:val="0"/>
    <w:rPr>
      <w:sz w:val="21"/>
      <w:szCs w:val="21"/>
    </w:rPr>
  </w:style>
  <w:style w:type="character" w:customStyle="1" w:styleId="43">
    <w:name w:val="标题 1 Char"/>
    <w:link w:val="6"/>
    <w:qFormat/>
    <w:uiPriority w:val="0"/>
    <w:rPr>
      <w:b/>
      <w:bCs/>
      <w:kern w:val="44"/>
      <w:sz w:val="44"/>
      <w:szCs w:val="44"/>
    </w:rPr>
  </w:style>
  <w:style w:type="character" w:customStyle="1" w:styleId="44">
    <w:name w:val="hover25"/>
    <w:basedOn w:val="37"/>
    <w:qFormat/>
    <w:uiPriority w:val="0"/>
  </w:style>
  <w:style w:type="character" w:customStyle="1" w:styleId="45">
    <w:name w:val="red1"/>
    <w:basedOn w:val="37"/>
    <w:qFormat/>
    <w:uiPriority w:val="0"/>
    <w:rPr>
      <w:color w:val="FF0000"/>
      <w:sz w:val="18"/>
      <w:szCs w:val="18"/>
    </w:rPr>
  </w:style>
  <w:style w:type="character" w:customStyle="1" w:styleId="46">
    <w:name w:val="批注主题 Char"/>
    <w:basedOn w:val="47"/>
    <w:link w:val="34"/>
    <w:qFormat/>
    <w:uiPriority w:val="0"/>
    <w:rPr>
      <w:b/>
      <w:bCs/>
    </w:rPr>
  </w:style>
  <w:style w:type="character" w:customStyle="1" w:styleId="47">
    <w:name w:val="批注文字 Char"/>
    <w:basedOn w:val="37"/>
    <w:link w:val="14"/>
    <w:qFormat/>
    <w:uiPriority w:val="0"/>
    <w:rPr>
      <w:kern w:val="2"/>
      <w:sz w:val="21"/>
      <w:szCs w:val="24"/>
    </w:rPr>
  </w:style>
  <w:style w:type="character" w:customStyle="1" w:styleId="48">
    <w:name w:val="ca-161"/>
    <w:basedOn w:val="37"/>
    <w:qFormat/>
    <w:uiPriority w:val="0"/>
    <w:rPr>
      <w:rFonts w:hint="eastAsia" w:ascii="宋体" w:hAnsi="宋体" w:eastAsia="宋体"/>
      <w:spacing w:val="0"/>
      <w:sz w:val="21"/>
      <w:szCs w:val="21"/>
    </w:rPr>
  </w:style>
  <w:style w:type="character" w:customStyle="1" w:styleId="49">
    <w:name w:val="Char Char6"/>
    <w:qFormat/>
    <w:uiPriority w:val="0"/>
    <w:rPr>
      <w:b/>
      <w:bCs/>
      <w:kern w:val="44"/>
      <w:sz w:val="44"/>
      <w:szCs w:val="44"/>
    </w:rPr>
  </w:style>
  <w:style w:type="character" w:customStyle="1" w:styleId="50">
    <w:name w:val="blue"/>
    <w:basedOn w:val="37"/>
    <w:qFormat/>
    <w:uiPriority w:val="0"/>
    <w:rPr>
      <w:color w:val="0371C6"/>
      <w:sz w:val="21"/>
      <w:szCs w:val="21"/>
    </w:rPr>
  </w:style>
  <w:style w:type="character" w:customStyle="1" w:styleId="51">
    <w:name w:val="ca-44"/>
    <w:basedOn w:val="37"/>
    <w:qFormat/>
    <w:uiPriority w:val="0"/>
    <w:rPr>
      <w:rFonts w:hint="eastAsia" w:ascii="宋体" w:hAnsi="宋体" w:eastAsia="宋体"/>
      <w:sz w:val="21"/>
      <w:szCs w:val="21"/>
    </w:rPr>
  </w:style>
  <w:style w:type="character" w:customStyle="1" w:styleId="52">
    <w:name w:val="green1"/>
    <w:basedOn w:val="37"/>
    <w:qFormat/>
    <w:uiPriority w:val="0"/>
    <w:rPr>
      <w:color w:val="66AE00"/>
      <w:sz w:val="18"/>
      <w:szCs w:val="18"/>
    </w:rPr>
  </w:style>
  <w:style w:type="character" w:customStyle="1" w:styleId="53">
    <w:name w:val="tit"/>
    <w:basedOn w:val="37"/>
    <w:qFormat/>
    <w:uiPriority w:val="0"/>
  </w:style>
  <w:style w:type="character" w:customStyle="1" w:styleId="54">
    <w:name w:val="样式 标题 2 + Times New Roman 四号 非加粗 段前: 5 磅 段后: 0 磅 行距: 固定值 20... Char"/>
    <w:link w:val="55"/>
    <w:qFormat/>
    <w:uiPriority w:val="0"/>
    <w:rPr>
      <w:rFonts w:ascii="Times New Roman" w:hAnsi="Times New Roman" w:cs="宋体"/>
      <w:b/>
      <w:bCs/>
      <w:sz w:val="28"/>
      <w:szCs w:val="20"/>
    </w:rPr>
  </w:style>
  <w:style w:type="paragraph" w:customStyle="1" w:styleId="55">
    <w:name w:val="样式 标题 2 + Times New Roman 四号 非加粗 段前: 5 磅 段后: 0 磅 行距: 固定值 20..."/>
    <w:basedOn w:val="7"/>
    <w:link w:val="54"/>
    <w:qFormat/>
    <w:uiPriority w:val="0"/>
    <w:pPr>
      <w:spacing w:before="100" w:after="0" w:line="400" w:lineRule="exact"/>
    </w:pPr>
    <w:rPr>
      <w:rFonts w:ascii="Times New Roman" w:hAnsi="Times New Roman" w:eastAsia="宋体"/>
      <w:sz w:val="28"/>
      <w:szCs w:val="20"/>
    </w:rPr>
  </w:style>
  <w:style w:type="character" w:customStyle="1" w:styleId="56">
    <w:name w:val="文档结构图 Char"/>
    <w:basedOn w:val="37"/>
    <w:link w:val="13"/>
    <w:qFormat/>
    <w:uiPriority w:val="0"/>
    <w:rPr>
      <w:rFonts w:ascii="宋体"/>
      <w:kern w:val="2"/>
      <w:sz w:val="18"/>
      <w:szCs w:val="18"/>
    </w:rPr>
  </w:style>
  <w:style w:type="character" w:customStyle="1" w:styleId="57">
    <w:name w:val="down1"/>
    <w:basedOn w:val="37"/>
    <w:qFormat/>
    <w:uiPriority w:val="0"/>
    <w:rPr>
      <w:shd w:val="clear" w:color="auto" w:fill="DAEEF9"/>
    </w:rPr>
  </w:style>
  <w:style w:type="character" w:customStyle="1" w:styleId="58">
    <w:name w:val="red"/>
    <w:basedOn w:val="37"/>
    <w:qFormat/>
    <w:uiPriority w:val="0"/>
    <w:rPr>
      <w:color w:val="FF0000"/>
      <w:sz w:val="18"/>
      <w:szCs w:val="18"/>
    </w:rPr>
  </w:style>
  <w:style w:type="character" w:customStyle="1" w:styleId="59">
    <w:name w:val="tit1"/>
    <w:basedOn w:val="37"/>
    <w:qFormat/>
    <w:uiPriority w:val="0"/>
  </w:style>
  <w:style w:type="character" w:customStyle="1" w:styleId="60">
    <w:name w:val="green"/>
    <w:basedOn w:val="37"/>
    <w:qFormat/>
    <w:uiPriority w:val="0"/>
    <w:rPr>
      <w:color w:val="66AE00"/>
      <w:sz w:val="18"/>
      <w:szCs w:val="18"/>
    </w:rPr>
  </w:style>
  <w:style w:type="character" w:customStyle="1" w:styleId="61">
    <w:name w:val="标题 2 Char"/>
    <w:basedOn w:val="37"/>
    <w:link w:val="7"/>
    <w:qFormat/>
    <w:uiPriority w:val="0"/>
    <w:rPr>
      <w:rFonts w:ascii="Arial" w:hAnsi="Arial" w:eastAsia="黑体"/>
      <w:b/>
      <w:bCs/>
      <w:sz w:val="32"/>
      <w:szCs w:val="32"/>
    </w:rPr>
  </w:style>
  <w:style w:type="character" w:customStyle="1" w:styleId="62">
    <w:name w:val="right"/>
    <w:basedOn w:val="37"/>
    <w:qFormat/>
    <w:uiPriority w:val="0"/>
    <w:rPr>
      <w:color w:val="999999"/>
      <w:sz w:val="18"/>
      <w:szCs w:val="18"/>
    </w:rPr>
  </w:style>
  <w:style w:type="character" w:customStyle="1" w:styleId="63">
    <w:name w:val="样式 标题 2 + Times New Roman 四号 非加粗 段前: 5 磅 段后: 0 磅 行距: 固定值 20...[858D7CFB-ED40-4347-BF05-701D383B685F]"/>
    <w:qFormat/>
    <w:uiPriority w:val="0"/>
    <w:rPr>
      <w:b/>
      <w:bCs/>
      <w:sz w:val="28"/>
      <w:lang w:bidi="ar-SA"/>
    </w:rPr>
  </w:style>
  <w:style w:type="character" w:customStyle="1" w:styleId="64">
    <w:name w:val="ca-141"/>
    <w:basedOn w:val="37"/>
    <w:qFormat/>
    <w:uiPriority w:val="0"/>
    <w:rPr>
      <w:rFonts w:hint="eastAsia" w:ascii="黑体" w:eastAsia="黑体"/>
      <w:sz w:val="21"/>
      <w:szCs w:val="21"/>
    </w:rPr>
  </w:style>
  <w:style w:type="character" w:customStyle="1" w:styleId="65">
    <w:name w:val="标题 3 Char"/>
    <w:link w:val="8"/>
    <w:qFormat/>
    <w:uiPriority w:val="0"/>
    <w:rPr>
      <w:b/>
      <w:bCs/>
      <w:sz w:val="32"/>
      <w:szCs w:val="32"/>
    </w:rPr>
  </w:style>
  <w:style w:type="character" w:customStyle="1" w:styleId="66">
    <w:name w:val="sl"/>
    <w:basedOn w:val="37"/>
    <w:qFormat/>
    <w:uiPriority w:val="0"/>
  </w:style>
  <w:style w:type="character" w:customStyle="1" w:styleId="67">
    <w:name w:val="ca-81"/>
    <w:basedOn w:val="37"/>
    <w:qFormat/>
    <w:uiPriority w:val="0"/>
    <w:rPr>
      <w:rFonts w:hint="eastAsia" w:ascii="宋体" w:hAnsi="宋体" w:eastAsia="宋体"/>
      <w:b/>
      <w:bCs/>
      <w:color w:val="000000"/>
      <w:spacing w:val="-20"/>
      <w:sz w:val="21"/>
      <w:szCs w:val="21"/>
    </w:rPr>
  </w:style>
  <w:style w:type="character" w:customStyle="1" w:styleId="68">
    <w:name w:val="批注框文本 Char"/>
    <w:basedOn w:val="37"/>
    <w:link w:val="22"/>
    <w:qFormat/>
    <w:uiPriority w:val="0"/>
    <w:rPr>
      <w:kern w:val="2"/>
      <w:sz w:val="18"/>
      <w:szCs w:val="18"/>
    </w:rPr>
  </w:style>
  <w:style w:type="character" w:customStyle="1" w:styleId="69">
    <w:name w:val="red2"/>
    <w:basedOn w:val="37"/>
    <w:qFormat/>
    <w:uiPriority w:val="0"/>
    <w:rPr>
      <w:color w:val="FF0000"/>
    </w:rPr>
  </w:style>
  <w:style w:type="character" w:customStyle="1" w:styleId="70">
    <w:name w:val="lsl"/>
    <w:basedOn w:val="37"/>
    <w:qFormat/>
    <w:uiPriority w:val="0"/>
  </w:style>
  <w:style w:type="character" w:customStyle="1" w:styleId="71">
    <w:name w:val="16"/>
    <w:basedOn w:val="37"/>
    <w:qFormat/>
    <w:uiPriority w:val="0"/>
    <w:rPr>
      <w:rFonts w:hint="default" w:ascii="Times New Roman" w:hAnsi="Times New Roman" w:cs="Times New Roman"/>
      <w:color w:val="0000FF"/>
      <w:sz w:val="20"/>
      <w:szCs w:val="20"/>
      <w:u w:val="single"/>
    </w:rPr>
  </w:style>
  <w:style w:type="character" w:customStyle="1" w:styleId="72">
    <w:name w:val="sr"/>
    <w:basedOn w:val="37"/>
    <w:qFormat/>
    <w:uiPriority w:val="0"/>
  </w:style>
  <w:style w:type="character" w:customStyle="1" w:styleId="73">
    <w:name w:val="down"/>
    <w:basedOn w:val="37"/>
    <w:qFormat/>
    <w:uiPriority w:val="0"/>
    <w:rPr>
      <w:shd w:val="clear" w:color="auto" w:fill="DAEEF9"/>
    </w:rPr>
  </w:style>
  <w:style w:type="character" w:customStyle="1" w:styleId="74">
    <w:name w:val="gb-jt"/>
    <w:basedOn w:val="37"/>
    <w:qFormat/>
    <w:uiPriority w:val="0"/>
  </w:style>
  <w:style w:type="character" w:customStyle="1" w:styleId="75">
    <w:name w:val="bsharetext"/>
    <w:basedOn w:val="37"/>
    <w:qFormat/>
    <w:uiPriority w:val="0"/>
  </w:style>
  <w:style w:type="character" w:customStyle="1" w:styleId="76">
    <w:name w:val="lsr"/>
    <w:basedOn w:val="37"/>
    <w:qFormat/>
    <w:uiPriority w:val="0"/>
  </w:style>
  <w:style w:type="paragraph" w:customStyle="1" w:styleId="77">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78">
    <w:name w:val="Char Char Char Char"/>
    <w:basedOn w:val="1"/>
    <w:qFormat/>
    <w:uiPriority w:val="0"/>
    <w:rPr>
      <w:szCs w:val="20"/>
    </w:rPr>
  </w:style>
  <w:style w:type="paragraph" w:customStyle="1" w:styleId="79">
    <w:name w:val="页眉1"/>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WPS Plain"/>
    <w:qFormat/>
    <w:uiPriority w:val="0"/>
    <w:rPr>
      <w:rFonts w:ascii="Times New Roman" w:hAnsi="Times New Roman" w:eastAsia="宋体" w:cs="Times New Roman"/>
      <w:lang w:val="en-US" w:eastAsia="zh-CN" w:bidi="ar-SA"/>
    </w:rPr>
  </w:style>
  <w:style w:type="paragraph" w:customStyle="1" w:styleId="81">
    <w:name w:val="pa-8"/>
    <w:basedOn w:val="1"/>
    <w:qFormat/>
    <w:uiPriority w:val="0"/>
    <w:pPr>
      <w:widowControl/>
      <w:spacing w:line="240" w:lineRule="atLeast"/>
    </w:pPr>
    <w:rPr>
      <w:rFonts w:ascii="宋体" w:hAnsi="宋体" w:cs="宋体"/>
      <w:kern w:val="0"/>
      <w:sz w:val="24"/>
    </w:rPr>
  </w:style>
  <w:style w:type="paragraph" w:customStyle="1" w:styleId="82">
    <w:name w:val="pa-59"/>
    <w:basedOn w:val="1"/>
    <w:qFormat/>
    <w:uiPriority w:val="0"/>
    <w:pPr>
      <w:widowControl/>
      <w:spacing w:line="240" w:lineRule="atLeast"/>
      <w:ind w:firstLine="180"/>
      <w:jc w:val="left"/>
    </w:pPr>
    <w:rPr>
      <w:rFonts w:ascii="宋体" w:hAnsi="宋体" w:cs="宋体"/>
      <w:kern w:val="0"/>
      <w:sz w:val="24"/>
    </w:rPr>
  </w:style>
  <w:style w:type="paragraph" w:customStyle="1" w:styleId="83">
    <w:name w:val="p0"/>
    <w:basedOn w:val="1"/>
    <w:qFormat/>
    <w:uiPriority w:val="0"/>
    <w:pPr>
      <w:widowControl/>
      <w:jc w:val="left"/>
    </w:pPr>
    <w:rPr>
      <w:kern w:val="0"/>
      <w:szCs w:val="21"/>
    </w:rPr>
  </w:style>
  <w:style w:type="paragraph" w:customStyle="1" w:styleId="84">
    <w:name w:val="pa-50"/>
    <w:basedOn w:val="1"/>
    <w:qFormat/>
    <w:uiPriority w:val="0"/>
    <w:pPr>
      <w:widowControl/>
      <w:spacing w:line="240" w:lineRule="atLeast"/>
      <w:ind w:firstLine="420"/>
      <w:jc w:val="left"/>
    </w:pPr>
    <w:rPr>
      <w:rFonts w:ascii="宋体" w:hAnsi="宋体" w:cs="宋体"/>
      <w:kern w:val="0"/>
      <w:sz w:val="24"/>
    </w:rPr>
  </w:style>
  <w:style w:type="paragraph" w:customStyle="1" w:styleId="85">
    <w:name w:val="pa-55"/>
    <w:basedOn w:val="1"/>
    <w:qFormat/>
    <w:uiPriority w:val="0"/>
    <w:pPr>
      <w:widowControl/>
      <w:spacing w:line="240" w:lineRule="atLeast"/>
      <w:ind w:firstLine="80"/>
    </w:pPr>
    <w:rPr>
      <w:rFonts w:ascii="宋体" w:hAnsi="宋体" w:cs="宋体"/>
      <w:kern w:val="0"/>
      <w:sz w:val="24"/>
    </w:rPr>
  </w:style>
  <w:style w:type="paragraph" w:customStyle="1" w:styleId="86">
    <w:name w:val="Char Char Char Char1"/>
    <w:basedOn w:val="1"/>
    <w:qFormat/>
    <w:uiPriority w:val="0"/>
  </w:style>
  <w:style w:type="paragraph" w:customStyle="1" w:styleId="87">
    <w:name w:val="pa-47"/>
    <w:basedOn w:val="1"/>
    <w:qFormat/>
    <w:uiPriority w:val="0"/>
    <w:pPr>
      <w:widowControl/>
      <w:spacing w:line="240" w:lineRule="atLeast"/>
      <w:ind w:firstLine="420"/>
    </w:pPr>
    <w:rPr>
      <w:rFonts w:ascii="宋体" w:hAnsi="宋体" w:cs="宋体"/>
      <w:kern w:val="0"/>
      <w:sz w:val="24"/>
    </w:rPr>
  </w:style>
  <w:style w:type="paragraph" w:customStyle="1" w:styleId="88">
    <w:name w:val="列出段落1"/>
    <w:basedOn w:val="1"/>
    <w:qFormat/>
    <w:uiPriority w:val="0"/>
    <w:pPr>
      <w:spacing w:before="100" w:beforeAutospacing="1" w:after="100" w:afterAutospacing="1" w:line="360" w:lineRule="auto"/>
      <w:ind w:left="50" w:leftChars="50" w:firstLine="420" w:firstLineChars="200"/>
    </w:pPr>
    <w:rPr>
      <w:rFonts w:ascii="Calibri" w:hAnsi="Calibri"/>
      <w:szCs w:val="22"/>
    </w:rPr>
  </w:style>
  <w:style w:type="paragraph" w:customStyle="1" w:styleId="89">
    <w:name w:val="Char1"/>
    <w:basedOn w:val="1"/>
    <w:qFormat/>
    <w:uiPriority w:val="0"/>
    <w:pPr>
      <w:adjustRightInd w:val="0"/>
      <w:spacing w:line="600" w:lineRule="exact"/>
      <w:ind w:firstLine="560" w:firstLineChars="200"/>
      <w:jc w:val="center"/>
    </w:pPr>
  </w:style>
  <w:style w:type="paragraph" w:customStyle="1" w:styleId="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1">
    <w:name w:val="pa-49"/>
    <w:basedOn w:val="1"/>
    <w:qFormat/>
    <w:uiPriority w:val="0"/>
    <w:pPr>
      <w:widowControl/>
      <w:spacing w:line="240" w:lineRule="atLeast"/>
      <w:ind w:firstLine="300"/>
    </w:pPr>
    <w:rPr>
      <w:rFonts w:ascii="宋体" w:hAnsi="宋体" w:cs="宋体"/>
      <w:kern w:val="0"/>
      <w:sz w:val="24"/>
    </w:rPr>
  </w:style>
  <w:style w:type="paragraph" w:customStyle="1" w:styleId="92">
    <w:name w:val="p20"/>
    <w:basedOn w:val="1"/>
    <w:qFormat/>
    <w:uiPriority w:val="0"/>
    <w:pPr>
      <w:widowControl/>
      <w:spacing w:line="400" w:lineRule="atLeast"/>
    </w:pPr>
    <w:rPr>
      <w:kern w:val="0"/>
      <w:sz w:val="24"/>
    </w:rPr>
  </w:style>
  <w:style w:type="paragraph" w:customStyle="1" w:styleId="93">
    <w:name w:val="Char"/>
    <w:basedOn w:val="1"/>
    <w:qFormat/>
    <w:uiPriority w:val="0"/>
    <w:rPr>
      <w:szCs w:val="20"/>
    </w:rPr>
  </w:style>
  <w:style w:type="paragraph" w:customStyle="1" w:styleId="94">
    <w:name w:val="pa-53"/>
    <w:basedOn w:val="1"/>
    <w:qFormat/>
    <w:uiPriority w:val="0"/>
    <w:pPr>
      <w:widowControl/>
      <w:spacing w:line="240" w:lineRule="atLeast"/>
      <w:ind w:firstLine="380"/>
    </w:pPr>
    <w:rPr>
      <w:rFonts w:ascii="宋体" w:hAnsi="宋体" w:cs="宋体"/>
      <w:kern w:val="0"/>
      <w:sz w:val="24"/>
    </w:rPr>
  </w:style>
  <w:style w:type="paragraph" w:customStyle="1" w:styleId="95">
    <w:name w:val="TOC 3"/>
    <w:basedOn w:val="1"/>
    <w:qFormat/>
    <w:uiPriority w:val="1"/>
    <w:pPr>
      <w:spacing w:line="272" w:lineRule="exact"/>
      <w:ind w:left="940"/>
      <w:jc w:val="left"/>
    </w:pPr>
    <w:rPr>
      <w:rFonts w:ascii="宋体" w:hAnsi="宋体" w:cs="宋体"/>
      <w:kern w:val="0"/>
      <w:szCs w:val="21"/>
      <w:lang w:eastAsia="en-US"/>
    </w:rPr>
  </w:style>
  <w:style w:type="paragraph" w:customStyle="1" w:styleId="96">
    <w:name w:val="1"/>
    <w:basedOn w:val="1"/>
    <w:next w:val="1"/>
    <w:qFormat/>
    <w:uiPriority w:val="0"/>
    <w:rPr>
      <w:rFonts w:ascii="宋体"/>
      <w:kern w:val="0"/>
      <w:sz w:val="34"/>
      <w:szCs w:val="20"/>
    </w:rPr>
  </w:style>
  <w:style w:type="paragraph" w:customStyle="1" w:styleId="97">
    <w:name w:val="Table Paragraph"/>
    <w:basedOn w:val="1"/>
    <w:qFormat/>
    <w:uiPriority w:val="1"/>
    <w:pPr>
      <w:jc w:val="left"/>
    </w:pPr>
    <w:rPr>
      <w:rFonts w:ascii="宋体" w:hAnsi="宋体" w:cs="宋体"/>
      <w:kern w:val="0"/>
      <w:sz w:val="22"/>
      <w:szCs w:val="22"/>
      <w:lang w:eastAsia="en-US"/>
    </w:rPr>
  </w:style>
  <w:style w:type="character" w:customStyle="1" w:styleId="98">
    <w:name w:val="正文首行缩进 Char"/>
    <w:basedOn w:val="37"/>
    <w:link w:val="2"/>
    <w:qFormat/>
    <w:uiPriority w:val="0"/>
    <w:rPr>
      <w:kern w:val="2"/>
      <w:sz w:val="21"/>
      <w:szCs w:val="24"/>
    </w:rPr>
  </w:style>
  <w:style w:type="character" w:customStyle="1" w:styleId="99">
    <w:name w:val="纯文本 Char"/>
    <w:link w:val="18"/>
    <w:qFormat/>
    <w:uiPriority w:val="0"/>
    <w:rPr>
      <w:rFonts w:ascii="宋体" w:hAnsi="Courier New" w:cs="Courier New"/>
      <w:kern w:val="2"/>
      <w:sz w:val="21"/>
      <w:szCs w:val="21"/>
    </w:rPr>
  </w:style>
  <w:style w:type="character" w:customStyle="1" w:styleId="100">
    <w:name w:val="hover"/>
    <w:basedOn w:val="37"/>
    <w:qFormat/>
    <w:uiPriority w:val="0"/>
  </w:style>
  <w:style w:type="paragraph" w:styleId="10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5214</Words>
  <Characters>29724</Characters>
  <Lines>247</Lines>
  <Paragraphs>69</Paragraphs>
  <TotalTime>27</TotalTime>
  <ScaleCrop>false</ScaleCrop>
  <LinksUpToDate>false</LinksUpToDate>
  <CharactersWithSpaces>34869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2018-06-19T01:45:00Z</dcterms:created>
  <dc:creator>user</dc:creator>
  <cp:lastModifiedBy>╲_/戀煋兒╰</cp:lastModifiedBy>
  <cp:lastPrinted>2019-11-01T02:14:00Z</cp:lastPrinted>
  <dcterms:modified xsi:type="dcterms:W3CDTF">2019-11-01T04:37:38Z</dcterms:modified>
  <dc:title>中华人民共和国</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