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ind w:left="1798" w:leftChars="142" w:hanging="1500" w:hangingChars="500"/>
        <w:jc w:val="both"/>
        <w:rPr>
          <w:rFonts w:hint="eastAsia" w:ascii="黑体" w:hAnsi="黑体" w:eastAsia="黑体" w:cs="黑体"/>
          <w:b/>
          <w:color w:val="000000"/>
          <w:sz w:val="44"/>
          <w:szCs w:val="44"/>
          <w:u w:val="none"/>
          <w:shd w:val="clear" w:fill="FFFFFF"/>
          <w:lang w:val="en-US" w:eastAsia="zh-CN"/>
        </w:rPr>
      </w:pPr>
      <w:r>
        <w:rPr>
          <w:rFonts w:hint="eastAsia" w:ascii="仿宋" w:hAnsi="仿宋" w:eastAsia="仿宋" w:cs="仿宋"/>
          <w:sz w:val="30"/>
          <w:lang w:val="en-US" w:eastAsia="zh-CN"/>
        </w:rPr>
        <w:t>禹州市妇幼保健院母婴转运型救护车及车上配套设备及相关网络信息平台建设项目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240" w:lineRule="auto"/>
        <w:ind w:left="1898" w:leftChars="142" w:hanging="1600" w:hangingChars="500"/>
        <w:jc w:val="both"/>
        <w:rPr>
          <w:rFonts w:hint="default" w:ascii="仿宋" w:hAnsi="仿宋" w:eastAsia="仿宋" w:cs="仿宋"/>
          <w:color w:val="000000"/>
          <w:sz w:val="32"/>
          <w:szCs w:val="32"/>
          <w:u w:val="none"/>
          <w:shd w:val="clear" w:fill="FFFFFF"/>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color w:val="000000"/>
          <w:sz w:val="32"/>
          <w:szCs w:val="32"/>
          <w:u w:val="none"/>
          <w:shd w:val="clear" w:fill="FFFFFF"/>
          <w:lang w:val="en-US" w:eastAsia="zh-CN"/>
        </w:rPr>
        <w:t>：</w:t>
      </w:r>
      <w:r>
        <w:rPr>
          <w:rFonts w:hint="eastAsia" w:ascii="仿宋" w:hAnsi="仿宋" w:eastAsia="仿宋" w:cs="仿宋"/>
          <w:sz w:val="30"/>
          <w:lang w:val="en-US" w:eastAsia="zh-CN"/>
        </w:rPr>
        <w:t>禹州市妇幼保健院母婴转运型救护车及车上配套设备及相关网络信息平台建设项目</w:t>
      </w:r>
    </w:p>
    <w:p>
      <w:pPr>
        <w:numPr>
          <w:ilvl w:val="0"/>
          <w:numId w:val="1"/>
        </w:numPr>
        <w:spacing w:line="600" w:lineRule="exact"/>
        <w:ind w:firstLine="320" w:firstLineChars="100"/>
        <w:jc w:val="both"/>
        <w:rPr>
          <w:rFonts w:hint="eastAsia" w:ascii="仿宋" w:hAnsi="仿宋" w:eastAsia="仿宋" w:cs="仿宋"/>
          <w:kern w:val="0"/>
          <w:sz w:val="32"/>
          <w:szCs w:val="32"/>
          <w:lang w:val="en-US" w:eastAsia="zh-CN" w:bidi="ar"/>
        </w:rPr>
      </w:pPr>
      <w:r>
        <w:rPr>
          <w:rFonts w:hint="eastAsia" w:ascii="仿宋" w:hAnsi="仿宋" w:eastAsia="仿宋" w:cs="仿宋"/>
          <w:color w:val="000000"/>
          <w:sz w:val="32"/>
          <w:szCs w:val="32"/>
          <w:u w:val="none"/>
          <w:shd w:val="clear" w:fill="FFFFFF"/>
        </w:rPr>
        <w:t>项目编号：</w:t>
      </w:r>
      <w:r>
        <w:rPr>
          <w:rFonts w:hint="eastAsia" w:ascii="仿宋" w:hAnsi="仿宋" w:eastAsia="仿宋" w:cs="仿宋"/>
          <w:kern w:val="0"/>
          <w:sz w:val="32"/>
          <w:szCs w:val="32"/>
          <w:lang w:val="en-US" w:eastAsia="zh-CN" w:bidi="ar"/>
        </w:rPr>
        <w:t>YZCG-G2019262</w:t>
      </w:r>
    </w:p>
    <w:p>
      <w:pPr>
        <w:numPr>
          <w:ilvl w:val="0"/>
          <w:numId w:val="1"/>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09</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31日9:00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sz w:val="30"/>
          <w:lang w:val="en-US" w:eastAsia="zh-CN"/>
        </w:rPr>
        <w:t>A包</w:t>
      </w:r>
      <w:r>
        <w:rPr>
          <w:rFonts w:hint="eastAsia" w:ascii="仿宋" w:hAnsi="仿宋" w:eastAsia="仿宋" w:cs="仿宋"/>
          <w:color w:val="000000"/>
          <w:sz w:val="32"/>
          <w:szCs w:val="32"/>
          <w:u w:val="none"/>
          <w:shd w:val="clear" w:fill="FFFFFF"/>
          <w:lang w:val="en-US" w:eastAsia="zh-CN"/>
        </w:rPr>
        <w:t>109万</w:t>
      </w:r>
      <w:r>
        <w:rPr>
          <w:rFonts w:hint="eastAsia" w:ascii="仿宋" w:hAnsi="仿宋" w:eastAsia="仿宋" w:cs="仿宋"/>
          <w:color w:val="000000"/>
          <w:sz w:val="32"/>
          <w:szCs w:val="32"/>
          <w:u w:val="none"/>
          <w:shd w:val="clear" w:fill="FFFFFF"/>
        </w:rPr>
        <w:t>元</w:t>
      </w:r>
      <w:r>
        <w:rPr>
          <w:rFonts w:hint="eastAsia" w:ascii="仿宋" w:hAnsi="仿宋" w:eastAsia="仿宋" w:cs="仿宋"/>
          <w:color w:val="000000"/>
          <w:sz w:val="32"/>
          <w:szCs w:val="32"/>
          <w:u w:val="none"/>
          <w:shd w:val="clear" w:fill="FFFFFF"/>
          <w:lang w:val="en-US" w:eastAsia="zh-CN"/>
        </w:rPr>
        <w:t xml:space="preserve">    </w:t>
      </w:r>
      <w:r>
        <w:rPr>
          <w:rFonts w:hint="eastAsia" w:ascii="仿宋" w:hAnsi="仿宋" w:eastAsia="仿宋" w:cs="仿宋"/>
          <w:sz w:val="30"/>
          <w:lang w:val="en-US" w:eastAsia="zh-CN"/>
        </w:rPr>
        <w:t>B包</w:t>
      </w:r>
      <w:r>
        <w:rPr>
          <w:rFonts w:hint="eastAsia" w:ascii="仿宋" w:hAnsi="仿宋" w:eastAsia="仿宋" w:cs="仿宋"/>
          <w:color w:val="000000"/>
          <w:sz w:val="32"/>
          <w:szCs w:val="32"/>
          <w:u w:val="none"/>
          <w:shd w:val="clear" w:fill="FFFFFF"/>
          <w:lang w:val="en-US" w:eastAsia="zh-CN"/>
        </w:rPr>
        <w:t>46万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spacing w:line="600" w:lineRule="exact"/>
        <w:ind w:firstLine="301" w:firstLineChars="100"/>
        <w:jc w:val="both"/>
        <w:rPr>
          <w:rFonts w:hint="eastAsia" w:ascii="仿宋" w:hAnsi="仿宋" w:eastAsia="仿宋" w:cs="仿宋"/>
          <w:b/>
          <w:bCs/>
          <w:color w:val="000000"/>
          <w:sz w:val="32"/>
          <w:szCs w:val="32"/>
          <w:u w:val="none"/>
          <w:shd w:val="clear" w:fill="FFFFFF"/>
          <w:lang w:val="en-US" w:eastAsia="zh-CN"/>
        </w:rPr>
      </w:pPr>
      <w:r>
        <w:rPr>
          <w:rFonts w:hint="eastAsia" w:ascii="仿宋" w:hAnsi="仿宋" w:eastAsia="仿宋" w:cs="仿宋"/>
          <w:b/>
          <w:bCs/>
          <w:sz w:val="30"/>
          <w:lang w:val="en-US" w:eastAsia="zh-CN"/>
        </w:rPr>
        <w:t>A包</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杭州德运医疗器械有限公司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1078000.00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10个工作日内</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sz w:val="24"/>
                <w:szCs w:val="21"/>
                <w:lang w:val="en-US" w:eastAsia="zh-CN"/>
              </w:rPr>
              <w:t>桐庐浩佳医疗器械有限公司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1086000.00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15 个工作日内</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江西康泰商贸有限公司</w:t>
            </w:r>
            <w:r>
              <w:rPr>
                <w:rFonts w:hint="eastAsia" w:ascii="宋体" w:hAnsi="宋体" w:eastAsia="宋体" w:cs="宋体"/>
                <w:color w:val="000000"/>
                <w:kern w:val="0"/>
                <w:sz w:val="24"/>
                <w:szCs w:val="24"/>
                <w:lang w:val="en-US" w:eastAsia="zh-CN" w:bidi="ar"/>
              </w:rPr>
              <w:t xml:space="preserve"> </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1082000.00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20 个工作日内</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5"/>
        <w:tblW w:w="8041" w:type="dxa"/>
        <w:jc w:val="center"/>
        <w:tblCellSpacing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sz w:val="24"/>
                <w:szCs w:val="24"/>
                <w:lang w:val="en-US" w:eastAsia="zh-CN"/>
              </w:rPr>
              <w:t>杭州德运医疗器械有限公司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sz w:val="24"/>
                <w:szCs w:val="21"/>
                <w:lang w:val="en-US" w:eastAsia="zh-CN"/>
              </w:rPr>
              <w:t>桐庐浩佳医疗器械有限公司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sz w:val="24"/>
                <w:szCs w:val="24"/>
                <w:lang w:val="en-US" w:eastAsia="zh-CN"/>
              </w:rPr>
              <w:t>江西康泰商贸有限公司</w:t>
            </w:r>
            <w:r>
              <w:rPr>
                <w:rFonts w:hint="eastAsia" w:ascii="宋体" w:hAnsi="宋体" w:eastAsia="宋体" w:cs="宋体"/>
                <w:color w:val="000000"/>
                <w:kern w:val="0"/>
                <w:sz w:val="24"/>
                <w:szCs w:val="24"/>
                <w:lang w:val="en-US" w:eastAsia="zh-CN" w:bidi="ar"/>
              </w:rPr>
              <w:t xml:space="preserve"> </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该三家供应商均通过资质审查和符合性审查。不同投标人电子投标文件制作硬件特征码无异常。</w:t>
      </w:r>
    </w:p>
    <w:p>
      <w:pPr>
        <w:pStyle w:val="8"/>
      </w:pPr>
      <w:r>
        <w:t>窗体底端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杭州德运医疗器械有限公司</w:t>
            </w:r>
          </w:p>
        </w:tc>
      </w:tr>
      <w:tr>
        <w:tblPrEx>
          <w:shd w:val="clear" w:color="auto" w:fill="auto"/>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sz w:val="24"/>
                <w:szCs w:val="21"/>
                <w:lang w:val="en-US" w:eastAsia="zh-CN"/>
              </w:rPr>
              <w:t>桐庐浩佳医疗器械有限公司</w:t>
            </w:r>
          </w:p>
        </w:tc>
      </w:tr>
      <w:tr>
        <w:tblPrEx>
          <w:shd w:val="clear" w:color="auto" w:fill="auto"/>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49.63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75.63</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49.63</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75.63</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75.63</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75.63</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49.63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75.63</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75.63</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lang w:val="en-US" w:eastAsia="zh-CN"/>
              </w:rPr>
              <w:t>江西康泰商贸有限公司</w:t>
            </w:r>
          </w:p>
        </w:tc>
      </w:tr>
      <w:tr>
        <w:tblPrEx>
          <w:shd w:val="clear" w:color="auto" w:fill="auto"/>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77.82</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49.82</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77.82</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77.82</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77.82</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49.82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77.82</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77.82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sz w:val="24"/>
                <w:szCs w:val="24"/>
                <w:lang w:val="en-US" w:eastAsia="zh-CN"/>
              </w:rPr>
              <w:t>杭州德运医疗器械有限公司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85</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left"/>
              <w:rPr>
                <w:rFonts w:hint="default" w:ascii="仿宋" w:hAnsi="仿宋" w:eastAsia="仿宋"/>
                <w:sz w:val="24"/>
                <w:szCs w:val="24"/>
                <w:lang w:val="en-US" w:eastAsia="zh-CN"/>
              </w:rPr>
            </w:pPr>
            <w:r>
              <w:rPr>
                <w:rFonts w:hint="eastAsia" w:ascii="宋体" w:hAnsi="宋体" w:eastAsia="宋体"/>
                <w:sz w:val="24"/>
                <w:szCs w:val="21"/>
                <w:lang w:val="en-US" w:eastAsia="zh-CN"/>
              </w:rPr>
              <w:t>江西康泰商贸有限公司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77.82</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sz w:val="24"/>
                <w:szCs w:val="21"/>
                <w:lang w:val="en-US" w:eastAsia="zh-CN"/>
              </w:rPr>
              <w:t>桐庐浩佳医疗器械有限公司</w:t>
            </w:r>
            <w:r>
              <w:rPr>
                <w:rFonts w:hint="eastAsia" w:ascii="宋体" w:hAnsi="宋体" w:eastAsia="宋体" w:cs="宋体"/>
                <w:color w:val="000000"/>
                <w:kern w:val="0"/>
                <w:sz w:val="24"/>
                <w:szCs w:val="24"/>
                <w:lang w:val="en-US" w:eastAsia="zh-CN" w:bidi="ar"/>
              </w:rPr>
              <w:t xml:space="preserve"> </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75.63</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仿宋" w:hAnsi="仿宋" w:eastAsia="仿宋" w:cs="仿宋"/>
          <w:color w:val="000000"/>
          <w:sz w:val="28"/>
          <w:szCs w:val="28"/>
          <w:u w:val="none"/>
          <w:shd w:val="clear" w:fill="FFFFFF"/>
          <w:lang w:val="en-US" w:eastAsia="zh-CN"/>
        </w:rPr>
        <w:t>第一中标候选人：</w:t>
      </w:r>
      <w:r>
        <w:rPr>
          <w:rFonts w:hint="eastAsia" w:ascii="宋体" w:hAnsi="宋体" w:eastAsia="宋体" w:cs="宋体"/>
          <w:sz w:val="24"/>
          <w:szCs w:val="24"/>
          <w:lang w:val="en-US" w:eastAsia="zh-CN"/>
        </w:rPr>
        <w:t>杭州德运医疗器械有限公司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地址：浙江省杭州市桐庐县县城金东路588号329室</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电话：0571-64289666    邮政编号：311500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中标金额：1078000.00元</w:t>
      </w:r>
    </w:p>
    <w:p>
      <w:pPr>
        <w:keepNext w:val="0"/>
        <w:keepLines w:val="0"/>
        <w:widowControl/>
        <w:suppressLineNumbers w:val="0"/>
        <w:jc w:val="left"/>
        <w:rPr>
          <w:rFonts w:hint="eastAsia" w:ascii="宋体" w:hAnsi="宋体" w:eastAsia="宋体"/>
          <w:sz w:val="24"/>
          <w:szCs w:val="21"/>
          <w:lang w:val="en-US" w:eastAsia="zh-CN"/>
        </w:rPr>
      </w:pPr>
      <w:r>
        <w:rPr>
          <w:rFonts w:hint="eastAsia" w:ascii="仿宋" w:hAnsi="仿宋" w:eastAsia="仿宋" w:cs="仿宋"/>
          <w:color w:val="000000"/>
          <w:sz w:val="28"/>
          <w:szCs w:val="28"/>
          <w:u w:val="none"/>
          <w:shd w:val="clear" w:fill="FFFFFF"/>
          <w:lang w:val="en-US" w:eastAsia="zh-CN"/>
        </w:rPr>
        <w:t>第二中标候选人：</w:t>
      </w:r>
      <w:r>
        <w:rPr>
          <w:rFonts w:hint="eastAsia" w:ascii="宋体" w:hAnsi="宋体" w:eastAsia="宋体"/>
          <w:sz w:val="24"/>
          <w:szCs w:val="21"/>
          <w:lang w:val="en-US" w:eastAsia="zh-CN"/>
        </w:rPr>
        <w:t>江西康泰商贸有限公司</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地址：江西省上饶市信州区大市场二期C栋12号电话：0571-58584562   邮政编号：334000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中标金额：1082000.00元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w:t>
      </w:r>
      <w:r>
        <w:rPr>
          <w:rFonts w:hint="eastAsia" w:ascii="宋体" w:hAnsi="宋体" w:eastAsia="宋体"/>
          <w:sz w:val="24"/>
          <w:szCs w:val="21"/>
          <w:lang w:val="en-US" w:eastAsia="zh-CN"/>
        </w:rPr>
        <w:t>桐庐浩佳医疗器械有限公司</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地址：浙江省杭州市桐庐县经济开发区东兴路608号316室</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电话：0571-58584562   邮政编号：311500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中标金额：1086000.00元</w:t>
      </w:r>
    </w:p>
    <w:p>
      <w:pPr>
        <w:keepNext w:val="0"/>
        <w:keepLines w:val="0"/>
        <w:pageBreakBefore w:val="0"/>
        <w:kinsoku/>
        <w:wordWrap/>
        <w:overflowPunct/>
        <w:topLinePunct w:val="0"/>
        <w:autoSpaceDE/>
        <w:autoSpaceDN/>
        <w:bidi w:val="0"/>
        <w:adjustRightInd/>
        <w:spacing w:line="240" w:lineRule="auto"/>
        <w:ind w:left="1804" w:leftChars="142" w:hanging="1506" w:hangingChars="500"/>
        <w:jc w:val="both"/>
        <w:rPr>
          <w:rFonts w:hint="eastAsia" w:ascii="仿宋" w:hAnsi="仿宋" w:eastAsia="仿宋" w:cs="仿宋"/>
          <w:b/>
          <w:bCs/>
          <w:sz w:val="30"/>
          <w:lang w:val="en-US" w:eastAsia="zh-CN"/>
        </w:rPr>
      </w:pPr>
    </w:p>
    <w:p>
      <w:pPr>
        <w:keepNext w:val="0"/>
        <w:keepLines w:val="0"/>
        <w:pageBreakBefore w:val="0"/>
        <w:kinsoku/>
        <w:wordWrap/>
        <w:overflowPunct/>
        <w:topLinePunct w:val="0"/>
        <w:autoSpaceDE/>
        <w:autoSpaceDN/>
        <w:bidi w:val="0"/>
        <w:adjustRightInd/>
        <w:spacing w:line="240" w:lineRule="auto"/>
        <w:ind w:left="1804" w:leftChars="142" w:hanging="1506" w:hangingChars="500"/>
        <w:jc w:val="both"/>
        <w:rPr>
          <w:rFonts w:hint="eastAsia" w:ascii="仿宋" w:hAnsi="仿宋" w:eastAsia="仿宋" w:cs="仿宋"/>
          <w:b/>
          <w:bCs/>
          <w:sz w:val="30"/>
          <w:lang w:val="en-US" w:eastAsia="zh-CN"/>
        </w:rPr>
      </w:pPr>
    </w:p>
    <w:p>
      <w:pPr>
        <w:keepNext w:val="0"/>
        <w:keepLines w:val="0"/>
        <w:pageBreakBefore w:val="0"/>
        <w:kinsoku/>
        <w:wordWrap/>
        <w:overflowPunct/>
        <w:topLinePunct w:val="0"/>
        <w:autoSpaceDE/>
        <w:autoSpaceDN/>
        <w:bidi w:val="0"/>
        <w:adjustRightInd/>
        <w:spacing w:line="240" w:lineRule="auto"/>
        <w:ind w:left="1804" w:leftChars="142" w:hanging="1506" w:hangingChars="500"/>
        <w:jc w:val="both"/>
        <w:rPr>
          <w:rFonts w:hint="eastAsia" w:ascii="仿宋" w:hAnsi="仿宋" w:eastAsia="仿宋" w:cs="仿宋"/>
          <w:b/>
          <w:bCs/>
          <w:sz w:val="30"/>
          <w:lang w:val="en-US" w:eastAsia="zh-CN"/>
        </w:rPr>
      </w:pPr>
    </w:p>
    <w:p>
      <w:pPr>
        <w:keepNext w:val="0"/>
        <w:keepLines w:val="0"/>
        <w:pageBreakBefore w:val="0"/>
        <w:kinsoku/>
        <w:wordWrap/>
        <w:overflowPunct/>
        <w:topLinePunct w:val="0"/>
        <w:autoSpaceDE/>
        <w:autoSpaceDN/>
        <w:bidi w:val="0"/>
        <w:adjustRightInd/>
        <w:spacing w:line="240" w:lineRule="auto"/>
        <w:ind w:left="1804" w:leftChars="142" w:hanging="1506" w:hangingChars="500"/>
        <w:jc w:val="both"/>
        <w:rPr>
          <w:rFonts w:hint="eastAsia" w:ascii="黑体" w:hAnsi="黑体" w:eastAsia="黑体" w:cs="黑体"/>
          <w:b/>
          <w:bCs/>
          <w:color w:val="000000"/>
          <w:sz w:val="44"/>
          <w:szCs w:val="44"/>
          <w:u w:val="none"/>
          <w:shd w:val="clear" w:fill="FFFFFF"/>
          <w:lang w:val="en-US" w:eastAsia="zh-CN"/>
        </w:rPr>
      </w:pPr>
      <w:r>
        <w:rPr>
          <w:rFonts w:hint="eastAsia" w:ascii="仿宋" w:hAnsi="仿宋" w:eastAsia="仿宋" w:cs="仿宋"/>
          <w:b/>
          <w:bCs/>
          <w:sz w:val="30"/>
          <w:lang w:val="en-US" w:eastAsia="zh-CN"/>
        </w:rPr>
        <w:t>（B包）</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西安仁浩特种车辆有限公司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441000.00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30 个工作日内</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sz w:val="24"/>
                <w:szCs w:val="21"/>
                <w:lang w:val="en-US" w:eastAsia="zh-CN"/>
              </w:rPr>
              <w:t>四川百事达商贸有限公司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459500.00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60 个工作日内</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成都延年科技有限公司</w:t>
            </w:r>
            <w:r>
              <w:rPr>
                <w:rFonts w:hint="eastAsia" w:ascii="宋体" w:hAnsi="宋体" w:eastAsia="宋体" w:cs="宋体"/>
                <w:color w:val="000000"/>
                <w:kern w:val="0"/>
                <w:sz w:val="24"/>
                <w:szCs w:val="24"/>
                <w:lang w:val="en-US" w:eastAsia="zh-CN" w:bidi="ar"/>
              </w:rPr>
              <w:t xml:space="preserve"> </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455000.00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60 个工作日内</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5"/>
        <w:tblW w:w="8041" w:type="dxa"/>
        <w:jc w:val="center"/>
        <w:tblCellSpacing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sz w:val="24"/>
                <w:szCs w:val="24"/>
                <w:lang w:val="en-US" w:eastAsia="zh-CN"/>
              </w:rPr>
              <w:t>西安仁浩特种车辆有限公司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sz w:val="24"/>
                <w:szCs w:val="21"/>
                <w:lang w:val="en-US" w:eastAsia="zh-CN"/>
              </w:rPr>
              <w:t>四川百事达商贸有限公司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sz w:val="24"/>
                <w:szCs w:val="24"/>
                <w:lang w:val="en-US" w:eastAsia="zh-CN"/>
              </w:rPr>
              <w:t>成都延年科技有限公司</w:t>
            </w:r>
            <w:r>
              <w:rPr>
                <w:rFonts w:hint="eastAsia" w:ascii="宋体" w:hAnsi="宋体" w:eastAsia="宋体" w:cs="宋体"/>
                <w:color w:val="000000"/>
                <w:kern w:val="0"/>
                <w:sz w:val="24"/>
                <w:szCs w:val="24"/>
                <w:lang w:val="en-US" w:eastAsia="zh-CN" w:bidi="ar"/>
              </w:rPr>
              <w:t xml:space="preserve">  </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该三家供应商均通过资质审查和符合性审查。不同投标人电子投标文件制作硬件特征码无异常。</w:t>
      </w:r>
    </w:p>
    <w:p>
      <w:pPr>
        <w:pStyle w:val="8"/>
      </w:pPr>
      <w:r>
        <w:t>窗体底端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西安仁浩特种车辆有限公司</w:t>
            </w:r>
          </w:p>
        </w:tc>
      </w:tr>
      <w:tr>
        <w:tblPrEx>
          <w:shd w:val="clear" w:color="auto" w:fill="auto"/>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w:t>
            </w:r>
          </w:p>
        </w:tc>
      </w:tr>
      <w:tr>
        <w:tblPrEx>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sz w:val="24"/>
                <w:szCs w:val="21"/>
                <w:lang w:val="en-US" w:eastAsia="zh-CN"/>
              </w:rPr>
              <w:t>四川百事达商贸有限公司</w:t>
            </w:r>
          </w:p>
        </w:tc>
      </w:tr>
      <w:tr>
        <w:tblPrEx>
          <w:shd w:val="clear" w:color="auto" w:fill="auto"/>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47.99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83.99</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47.99</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83.99</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47.99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83.99</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47.99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83.99</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47.99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83.99</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83.99</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lang w:val="en-US" w:eastAsia="zh-CN"/>
              </w:rPr>
              <w:t>成都延年科技有限公司</w:t>
            </w:r>
          </w:p>
        </w:tc>
      </w:tr>
      <w:tr>
        <w:tblPrEx>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48.46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84.46</w:t>
            </w:r>
          </w:p>
        </w:tc>
      </w:tr>
      <w:tr>
        <w:tblPrEx>
          <w:shd w:val="clear" w:color="auto" w:fill="auto"/>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48.46</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84.46</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48.46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84.46</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48.46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84.46</w:t>
            </w:r>
          </w:p>
        </w:tc>
      </w:tr>
      <w:tr>
        <w:tblPrEx>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48.46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84.46</w:t>
            </w:r>
          </w:p>
        </w:tc>
      </w:tr>
      <w:tr>
        <w:tblPrEx>
          <w:shd w:val="clear" w:color="auto" w:fill="auto"/>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84.46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sz w:val="24"/>
                <w:szCs w:val="24"/>
                <w:lang w:val="en-US" w:eastAsia="zh-CN"/>
              </w:rPr>
              <w:t>西安仁浩特种车辆有限公司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86</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left"/>
              <w:rPr>
                <w:rFonts w:hint="default" w:ascii="仿宋" w:hAnsi="仿宋" w:eastAsia="仿宋"/>
                <w:sz w:val="24"/>
                <w:szCs w:val="24"/>
                <w:lang w:val="en-US" w:eastAsia="zh-CN"/>
              </w:rPr>
            </w:pPr>
            <w:r>
              <w:rPr>
                <w:rFonts w:hint="eastAsia" w:ascii="宋体" w:hAnsi="宋体" w:eastAsia="宋体"/>
                <w:sz w:val="24"/>
                <w:szCs w:val="21"/>
                <w:lang w:val="en-US" w:eastAsia="zh-CN"/>
              </w:rPr>
              <w:t>成都延年科技有限公司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84.46</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left"/>
              <w:rPr>
                <w:rFonts w:hint="eastAsia" w:ascii="仿宋" w:hAnsi="仿宋" w:eastAsia="仿宋" w:cstheme="minorBidi"/>
                <w:kern w:val="2"/>
                <w:sz w:val="24"/>
                <w:szCs w:val="24"/>
                <w:lang w:val="en-US" w:eastAsia="zh-CN" w:bidi="ar-SA"/>
              </w:rPr>
            </w:pPr>
            <w:r>
              <w:rPr>
                <w:rFonts w:hint="eastAsia" w:ascii="宋体" w:hAnsi="宋体" w:eastAsia="宋体"/>
                <w:sz w:val="24"/>
                <w:szCs w:val="21"/>
                <w:lang w:val="en-US" w:eastAsia="zh-CN"/>
              </w:rPr>
              <w:t>四川百事达商贸有限公司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83.99</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仿宋" w:hAnsi="仿宋" w:eastAsia="仿宋" w:cs="仿宋"/>
          <w:color w:val="000000"/>
          <w:sz w:val="28"/>
          <w:szCs w:val="28"/>
          <w:u w:val="none"/>
          <w:shd w:val="clear" w:fill="FFFFFF"/>
          <w:lang w:val="en-US" w:eastAsia="zh-CN"/>
        </w:rPr>
        <w:t>第一中标候选人：</w:t>
      </w:r>
      <w:r>
        <w:rPr>
          <w:rFonts w:hint="eastAsia" w:ascii="宋体" w:hAnsi="宋体" w:eastAsia="宋体" w:cs="宋体"/>
          <w:sz w:val="24"/>
          <w:szCs w:val="24"/>
          <w:lang w:val="en-US" w:eastAsia="zh-CN"/>
        </w:rPr>
        <w:t>西安仁浩特种车辆有限公司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地址：西安市经济技术开发区凤城3路10号凤凰新城1号楼12B06电话：029-86219976    邮政编号：710016.</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中标金额：441000.00元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第二中标候选人：</w:t>
      </w:r>
      <w:r>
        <w:rPr>
          <w:rFonts w:hint="eastAsia" w:ascii="宋体" w:hAnsi="宋体" w:eastAsia="宋体"/>
          <w:sz w:val="24"/>
          <w:szCs w:val="21"/>
          <w:lang w:val="en-US" w:eastAsia="zh-CN"/>
        </w:rPr>
        <w:t>成都延年科技有限公司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地址：成都市青羊区青龙街27号1栋2单元9楼511号</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电话：028-67758388  邮政编号：610031</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中标金额：455000.00元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w:t>
      </w:r>
      <w:r>
        <w:rPr>
          <w:rFonts w:hint="eastAsia" w:ascii="宋体" w:hAnsi="宋体" w:eastAsia="宋体"/>
          <w:sz w:val="24"/>
          <w:szCs w:val="21"/>
          <w:lang w:val="en-US" w:eastAsia="zh-CN"/>
        </w:rPr>
        <w:t>四川百事达商贸有限公司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地址：成都市青羊区西御河沿街5号南楼1-6楼2楼</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电话：028-81477677    邮政编号：610014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中标金额：459500.00元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00" w:firstLineChars="20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有</w:t>
      </w:r>
      <w:r>
        <w:rPr>
          <w:rFonts w:hint="eastAsia" w:ascii="黑体" w:hAnsi="宋体" w:eastAsia="黑体" w:cs="黑体"/>
          <w:color w:val="000000"/>
          <w:sz w:val="30"/>
          <w:szCs w:val="30"/>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sz w:val="24"/>
          <w:szCs w:val="24"/>
        </w:rPr>
      </w:pPr>
      <w:r>
        <w:rPr>
          <w:rFonts w:hint="eastAsia" w:ascii="仿宋" w:hAnsi="仿宋" w:eastAsia="仿宋" w:cs="仿宋"/>
          <w:color w:val="000000"/>
          <w:sz w:val="24"/>
          <w:szCs w:val="24"/>
          <w:u w:val="none"/>
          <w:shd w:val="clear" w:fill="FFFFFF"/>
          <w:lang w:val="en-US" w:eastAsia="zh-CN"/>
        </w:rPr>
        <w:t>2019年11月1</w:t>
      </w:r>
      <w:bookmarkStart w:id="0" w:name="_GoBack"/>
      <w:bookmarkEnd w:id="0"/>
      <w:r>
        <w:rPr>
          <w:rFonts w:hint="eastAsia" w:ascii="仿宋" w:hAnsi="仿宋" w:eastAsia="仿宋" w:cs="仿宋"/>
          <w:color w:val="000000"/>
          <w:sz w:val="24"/>
          <w:szCs w:val="24"/>
          <w:u w:val="none"/>
          <w:shd w:val="clear" w:fill="FFFFFF"/>
          <w:lang w:val="en-US" w:eastAsia="zh-CN"/>
        </w:rPr>
        <w:t>日</w:t>
      </w:r>
    </w:p>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C70F2D"/>
    <w:rsid w:val="37EE5635"/>
    <w:rsid w:val="3B3636B8"/>
    <w:rsid w:val="3DE718EB"/>
    <w:rsid w:val="44964602"/>
    <w:rsid w:val="549F5DA5"/>
    <w:rsid w:val="72360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7">
    <w:name w:val="_Style 70"/>
    <w:basedOn w:val="1"/>
    <w:next w:val="1"/>
    <w:qFormat/>
    <w:uiPriority w:val="0"/>
    <w:pPr>
      <w:pBdr>
        <w:bottom w:val="single" w:color="auto" w:sz="6" w:space="1"/>
      </w:pBdr>
      <w:jc w:val="center"/>
    </w:pPr>
    <w:rPr>
      <w:rFonts w:ascii="Arial" w:eastAsia="宋体"/>
      <w:vanish/>
      <w:sz w:val="16"/>
    </w:rPr>
  </w:style>
  <w:style w:type="paragraph" w:customStyle="1" w:styleId="8">
    <w:name w:val="_Style 71"/>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2019-11-01T03:37:44Z</dcterms:created>
  <dc:creator>012</dc:creator>
  <cp:lastModifiedBy>song</cp:lastModifiedBy>
  <dcterms:modified xsi:type="dcterms:W3CDTF">2019-11-01T03:39:44Z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