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u w:val="single"/>
        </w:rPr>
      </w:pPr>
      <w:r>
        <w:rPr>
          <w:rFonts w:hint="eastAsia" w:ascii="黑体" w:hAnsi="黑体" w:eastAsia="黑体" w:cs="黑体"/>
          <w:b/>
          <w:color w:val="000000"/>
          <w:sz w:val="60"/>
          <w:szCs w:val="60"/>
          <w:shd w:val="clear" w:color="000000" w:fill="FFFFFF"/>
        </w:rPr>
        <w:t>长葛市颍川路中小学书法、美术、音乐教室设施设备购置项目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val="0"/>
        <w:ind w:firstLine="1081" w:firstLineChars="300"/>
        <w:rPr>
          <w:rFonts w:hint="eastAsia" w:asciiTheme="majorEastAsia" w:hAnsiTheme="majorEastAsia" w:eastAsiaTheme="majorEastAsia" w:cstheme="majorEastAsia"/>
          <w:b/>
          <w:bCs/>
          <w:color w:val="000000"/>
          <w:kern w:val="2"/>
          <w:sz w:val="36"/>
          <w:szCs w:val="36"/>
          <w:lang w:eastAsia="zh-CN"/>
        </w:rPr>
      </w:pPr>
    </w:p>
    <w:p>
      <w:pPr>
        <w:widowControl w:val="0"/>
        <w:ind w:firstLine="1081" w:firstLineChars="300"/>
        <w:rPr>
          <w:rFonts w:hint="eastAsia" w:asciiTheme="majorEastAsia" w:hAnsiTheme="majorEastAsia" w:eastAsiaTheme="majorEastAsia" w:cstheme="majorEastAsia"/>
          <w:b/>
          <w:bCs/>
          <w:color w:val="000000"/>
          <w:kern w:val="2"/>
          <w:sz w:val="36"/>
          <w:szCs w:val="36"/>
          <w:lang w:eastAsia="zh-CN"/>
        </w:rPr>
      </w:pPr>
    </w:p>
    <w:p>
      <w:pPr>
        <w:widowControl w:val="0"/>
        <w:ind w:firstLine="1081" w:firstLineChars="300"/>
        <w:rPr>
          <w:rFonts w:hint="eastAsia" w:asciiTheme="majorEastAsia" w:hAnsiTheme="majorEastAsia" w:eastAsiaTheme="majorEastAsia" w:cstheme="majorEastAsia"/>
          <w:b/>
          <w:bCs/>
          <w:color w:val="000000"/>
          <w:kern w:val="2"/>
          <w:sz w:val="36"/>
          <w:szCs w:val="36"/>
          <w:lang w:eastAsia="zh-CN"/>
        </w:rPr>
      </w:pPr>
      <w:r>
        <w:rPr>
          <w:rFonts w:hint="eastAsia" w:asciiTheme="majorEastAsia" w:hAnsiTheme="majorEastAsia" w:eastAsiaTheme="majorEastAsia" w:cstheme="majorEastAsia"/>
          <w:b/>
          <w:bCs/>
          <w:color w:val="000000"/>
          <w:kern w:val="2"/>
          <w:sz w:val="36"/>
          <w:szCs w:val="36"/>
          <w:lang w:eastAsia="zh-CN"/>
        </w:rPr>
        <w:t>项目编号：长招采公字</w:t>
      </w:r>
      <w:r>
        <w:rPr>
          <w:rFonts w:hint="eastAsia" w:eastAsia="宋体" w:asciiTheme="majorEastAsia" w:hAnsiTheme="majorEastAsia" w:cstheme="majorEastAsia"/>
          <w:b/>
          <w:bCs/>
          <w:color w:val="000000"/>
          <w:kern w:val="2"/>
          <w:sz w:val="36"/>
          <w:szCs w:val="36"/>
          <w:lang w:val="en-US" w:eastAsia="zh-CN"/>
        </w:rPr>
        <w:t>【</w:t>
      </w:r>
      <w:r>
        <w:rPr>
          <w:rFonts w:hint="eastAsia" w:asciiTheme="majorEastAsia" w:hAnsiTheme="majorEastAsia" w:eastAsiaTheme="majorEastAsia" w:cstheme="majorEastAsia"/>
          <w:b/>
          <w:bCs/>
          <w:color w:val="000000"/>
          <w:kern w:val="2"/>
          <w:sz w:val="36"/>
          <w:szCs w:val="36"/>
          <w:lang w:eastAsia="zh-CN"/>
        </w:rPr>
        <w:t>2018</w:t>
      </w:r>
      <w:r>
        <w:rPr>
          <w:rFonts w:hint="eastAsia" w:eastAsia="宋体" w:asciiTheme="majorEastAsia" w:hAnsiTheme="majorEastAsia" w:cstheme="majorEastAsia"/>
          <w:b/>
          <w:bCs/>
          <w:color w:val="000000"/>
          <w:kern w:val="2"/>
          <w:sz w:val="36"/>
          <w:szCs w:val="36"/>
          <w:lang w:val="en-US" w:eastAsia="zh-CN"/>
        </w:rPr>
        <w:t>】</w:t>
      </w:r>
      <w:r>
        <w:rPr>
          <w:rFonts w:hint="eastAsia" w:asciiTheme="majorEastAsia" w:hAnsiTheme="majorEastAsia" w:eastAsiaTheme="majorEastAsia" w:cstheme="majorEastAsia"/>
          <w:b/>
          <w:bCs/>
          <w:color w:val="000000"/>
          <w:kern w:val="2"/>
          <w:sz w:val="36"/>
          <w:szCs w:val="36"/>
          <w:lang w:eastAsia="zh-CN"/>
        </w:rPr>
        <w:t>051号</w:t>
      </w:r>
    </w:p>
    <w:p>
      <w:pPr>
        <w:widowControl w:val="0"/>
        <w:ind w:firstLine="1081" w:firstLineChars="300"/>
        <w:rPr>
          <w:rFonts w:hint="eastAsia" w:asciiTheme="majorEastAsia" w:hAnsiTheme="majorEastAsia" w:eastAsiaTheme="majorEastAsia" w:cstheme="majorEastAsia"/>
          <w:b/>
          <w:bCs/>
          <w:color w:val="000000"/>
          <w:kern w:val="2"/>
          <w:sz w:val="36"/>
          <w:szCs w:val="36"/>
          <w:lang w:eastAsia="zh-CN"/>
        </w:rPr>
      </w:pPr>
      <w:r>
        <w:rPr>
          <w:rFonts w:hint="eastAsia" w:asciiTheme="majorEastAsia" w:hAnsiTheme="majorEastAsia" w:eastAsiaTheme="majorEastAsia" w:cstheme="majorEastAsia"/>
          <w:b/>
          <w:bCs/>
          <w:color w:val="000000"/>
          <w:kern w:val="2"/>
          <w:sz w:val="36"/>
          <w:szCs w:val="36"/>
          <w:lang w:eastAsia="zh-CN"/>
        </w:rPr>
        <w:t>采购单位：长葛市教育体育局</w:t>
      </w:r>
    </w:p>
    <w:p>
      <w:pPr>
        <w:widowControl w:val="0"/>
        <w:ind w:firstLine="1081" w:firstLineChars="300"/>
        <w:rPr>
          <w:rFonts w:hint="eastAsia" w:asciiTheme="majorEastAsia" w:hAnsiTheme="majorEastAsia" w:eastAsiaTheme="majorEastAsia" w:cstheme="majorEastAsia"/>
          <w:b/>
          <w:bCs/>
          <w:color w:val="000000"/>
          <w:kern w:val="2"/>
          <w:sz w:val="36"/>
          <w:szCs w:val="36"/>
          <w:lang w:eastAsia="zh-CN"/>
        </w:rPr>
      </w:pPr>
      <w:r>
        <w:rPr>
          <w:rFonts w:hint="eastAsia" w:asciiTheme="majorEastAsia" w:hAnsiTheme="majorEastAsia" w:eastAsiaTheme="majorEastAsia" w:cstheme="majorEastAsia"/>
          <w:b/>
          <w:bCs/>
          <w:color w:val="000000"/>
          <w:kern w:val="2"/>
          <w:sz w:val="36"/>
          <w:szCs w:val="36"/>
          <w:lang w:eastAsia="zh-CN"/>
        </w:rPr>
        <w:t>代理机构：山西文昌工程咨询有限公司</w:t>
      </w:r>
    </w:p>
    <w:p>
      <w:pPr>
        <w:widowControl w:val="0"/>
        <w:ind w:firstLine="1081" w:firstLineChars="300"/>
        <w:rPr>
          <w:rFonts w:hint="eastAsia" w:asciiTheme="majorEastAsia" w:hAnsiTheme="majorEastAsia" w:eastAsiaTheme="majorEastAsia" w:cstheme="majorEastAsia"/>
          <w:b/>
          <w:bCs/>
          <w:color w:val="000000"/>
          <w:kern w:val="2"/>
          <w:sz w:val="36"/>
          <w:szCs w:val="36"/>
          <w:lang w:eastAsia="zh-CN"/>
        </w:rPr>
      </w:pPr>
      <w:r>
        <w:rPr>
          <w:rFonts w:hint="eastAsia" w:asciiTheme="majorEastAsia" w:hAnsiTheme="majorEastAsia" w:eastAsiaTheme="majorEastAsia" w:cstheme="majorEastAsia"/>
          <w:b/>
          <w:bCs/>
          <w:color w:val="000000"/>
          <w:kern w:val="2"/>
          <w:sz w:val="36"/>
          <w:szCs w:val="36"/>
          <w:lang w:eastAsia="zh-CN"/>
        </w:rPr>
        <w:t xml:space="preserve">      </w:t>
      </w:r>
    </w:p>
    <w:p>
      <w:pPr>
        <w:widowControl w:val="0"/>
        <w:ind w:firstLine="3602" w:firstLineChars="1000"/>
        <w:rPr>
          <w:rFonts w:hint="eastAsia" w:asciiTheme="majorEastAsia" w:hAnsiTheme="majorEastAsia" w:eastAsiaTheme="majorEastAsia" w:cstheme="majorEastAsia"/>
          <w:b/>
          <w:bCs/>
          <w:color w:val="000000"/>
          <w:kern w:val="2"/>
          <w:sz w:val="36"/>
          <w:szCs w:val="36"/>
          <w:lang w:eastAsia="zh-CN"/>
        </w:rPr>
      </w:pPr>
      <w:r>
        <w:rPr>
          <w:rFonts w:hint="eastAsia" w:asciiTheme="majorEastAsia" w:hAnsiTheme="majorEastAsia" w:eastAsiaTheme="majorEastAsia" w:cstheme="majorEastAsia"/>
          <w:b/>
          <w:bCs/>
          <w:color w:val="000000"/>
          <w:kern w:val="2"/>
          <w:sz w:val="36"/>
          <w:szCs w:val="36"/>
          <w:lang w:eastAsia="zh-CN"/>
        </w:rPr>
        <w:t>二零一九年十月</w:t>
      </w:r>
    </w:p>
    <w:p>
      <w:pPr>
        <w:rPr>
          <w:rFonts w:cs="宋体" w:asciiTheme="majorEastAsia" w:hAnsiTheme="majorEastAsia" w:eastAsiaTheme="majorEastAsia"/>
          <w:b/>
          <w:sz w:val="44"/>
          <w:szCs w:val="44"/>
        </w:rPr>
        <w:sectPr>
          <w:headerReference r:id="rId4" w:type="first"/>
          <w:headerReference r:id="rId3" w:type="default"/>
          <w:footerReference r:id="rId5" w:type="default"/>
          <w:pgSz w:w="11906" w:h="16838"/>
          <w:pgMar w:top="664" w:right="1474" w:bottom="1928" w:left="1588" w:header="1071" w:footer="992" w:gutter="0"/>
          <w:cols w:space="720" w:num="1"/>
          <w:titlePg/>
          <w:docGrid w:type="lines" w:linePitch="312" w:charSpace="0"/>
        </w:sectPr>
      </w:pPr>
    </w:p>
    <w:p>
      <w:pPr>
        <w:autoSpaceDE w:val="0"/>
        <w:autoSpaceDN w:val="0"/>
        <w:spacing w:line="700" w:lineRule="exact"/>
        <w:ind w:firstLine="551"/>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招标文件目录</w:t>
      </w:r>
    </w:p>
    <w:p>
      <w:pPr>
        <w:autoSpaceDE w:val="0"/>
        <w:autoSpaceDN w:val="0"/>
        <w:spacing w:line="700" w:lineRule="exact"/>
        <w:ind w:firstLine="551"/>
        <w:rPr>
          <w:rFonts w:asciiTheme="majorEastAsia" w:hAnsiTheme="majorEastAsia" w:eastAsiaTheme="majorEastAsia" w:cstheme="majorEastAsia"/>
          <w:b/>
          <w:sz w:val="32"/>
          <w:szCs w:val="32"/>
        </w:rPr>
      </w:pP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第一章 投标邀请</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第二章 项目需求</w:t>
      </w:r>
    </w:p>
    <w:p>
      <w:pPr>
        <w:autoSpaceDE w:val="0"/>
        <w:autoSpaceDN w:val="0"/>
        <w:spacing w:line="700" w:lineRule="exact"/>
        <w:ind w:firstLine="56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第三章 投标人须知前附表</w:t>
      </w:r>
    </w:p>
    <w:p>
      <w:pPr>
        <w:autoSpaceDE w:val="0"/>
        <w:autoSpaceDN w:val="0"/>
        <w:spacing w:line="700" w:lineRule="exact"/>
        <w:ind w:firstLine="56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第四章 投标人须知</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一、概念释义</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二、招标文件说明</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三、投标文件的编制</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四、投标文件的递交</w:t>
      </w:r>
    </w:p>
    <w:p>
      <w:pPr>
        <w:autoSpaceDE w:val="0"/>
        <w:autoSpaceDN w:val="0"/>
        <w:spacing w:line="700" w:lineRule="exact"/>
        <w:ind w:firstLine="56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五、开标和评标</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sz w:val="30"/>
          <w:szCs w:val="30"/>
        </w:rPr>
        <w:t>六、定标和授予合同</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第五章 政府采购政策功能</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第六章 资格审查与评标</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第七章 合同条款及格式</w:t>
      </w:r>
    </w:p>
    <w:p>
      <w:pPr>
        <w:autoSpaceDE w:val="0"/>
        <w:autoSpaceDN w:val="0"/>
        <w:spacing w:line="700" w:lineRule="exact"/>
        <w:ind w:firstLine="551"/>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第八章 投标文件有关格式</w:t>
      </w:r>
    </w:p>
    <w:p>
      <w:pPr>
        <w:autoSpaceDE w:val="0"/>
        <w:autoSpaceDN w:val="0"/>
        <w:spacing w:line="700" w:lineRule="exact"/>
        <w:ind w:firstLine="551"/>
        <w:rPr>
          <w:rFonts w:asciiTheme="majorEastAsia" w:hAnsiTheme="majorEastAsia" w:eastAsiaTheme="majorEastAsia" w:cstheme="majorEastAsia"/>
          <w:b/>
          <w:sz w:val="32"/>
          <w:szCs w:val="32"/>
        </w:rPr>
      </w:pPr>
    </w:p>
    <w:p>
      <w:pPr>
        <w:jc w:val="center"/>
        <w:rPr>
          <w:rFonts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200"/>
        <w:rPr>
          <w:rFonts w:ascii="仿宋" w:hAnsi="仿宋" w:eastAsia="仿宋" w:cs="仿宋"/>
          <w:b/>
          <w:sz w:val="28"/>
          <w:szCs w:val="28"/>
        </w:rPr>
      </w:pPr>
      <w:r>
        <w:rPr>
          <w:rFonts w:hint="eastAsia" w:ascii="仿宋" w:hAnsi="仿宋" w:eastAsia="仿宋" w:cs="仿宋"/>
          <w:b/>
          <w:sz w:val="28"/>
          <w:szCs w:val="28"/>
        </w:rPr>
        <w:t>（一）存在下列行为之一的，记录期限为6个月：</w:t>
      </w:r>
    </w:p>
    <w:p>
      <w:pPr>
        <w:ind w:firstLine="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200"/>
        <w:rPr>
          <w:rFonts w:ascii="仿宋" w:hAnsi="仿宋" w:eastAsia="仿宋" w:cs="仿宋"/>
          <w:b/>
          <w:sz w:val="28"/>
          <w:szCs w:val="28"/>
        </w:rPr>
      </w:pPr>
      <w:r>
        <w:rPr>
          <w:rFonts w:hint="eastAsia" w:ascii="仿宋" w:hAnsi="仿宋" w:eastAsia="仿宋" w:cs="仿宋"/>
          <w:b/>
          <w:sz w:val="28"/>
          <w:szCs w:val="28"/>
        </w:rPr>
        <w:t>（二）存在下列行为之一的，记录期限为12个月：</w:t>
      </w:r>
    </w:p>
    <w:p>
      <w:pPr>
        <w:ind w:firstLine="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200"/>
        <w:rPr>
          <w:rFonts w:ascii="仿宋" w:hAnsi="仿宋" w:eastAsia="仿宋" w:cs="仿宋"/>
          <w:b/>
          <w:sz w:val="28"/>
          <w:szCs w:val="28"/>
        </w:rPr>
      </w:pPr>
      <w:r>
        <w:rPr>
          <w:rFonts w:hint="eastAsia" w:ascii="仿宋" w:hAnsi="仿宋" w:eastAsia="仿宋" w:cs="仿宋"/>
          <w:b/>
          <w:sz w:val="28"/>
          <w:szCs w:val="28"/>
        </w:rPr>
        <w:t>（三）存在下列行为之一的，记录期限为18个月：</w:t>
      </w:r>
    </w:p>
    <w:p>
      <w:pPr>
        <w:ind w:firstLine="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200"/>
        <w:rPr>
          <w:rFonts w:ascii="仿宋" w:hAnsi="仿宋" w:eastAsia="仿宋" w:cs="仿宋"/>
          <w:b/>
          <w:sz w:val="28"/>
          <w:szCs w:val="28"/>
        </w:rPr>
      </w:pPr>
      <w:r>
        <w:rPr>
          <w:rFonts w:hint="eastAsia" w:ascii="仿宋" w:hAnsi="仿宋" w:eastAsia="仿宋" w:cs="仿宋"/>
          <w:b/>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sz w:val="32"/>
          <w:szCs w:val="32"/>
        </w:rPr>
      </w:pPr>
      <w:r>
        <w:rPr>
          <w:rFonts w:hint="eastAsia" w:ascii="仿宋" w:hAnsi="仿宋" w:eastAsia="仿宋" w:cs="仿宋"/>
          <w:sz w:val="28"/>
          <w:szCs w:val="28"/>
        </w:rPr>
        <w:t>7.其它违反诚信原则或公共资源交易管理规定影响恶劣的行为。</w:t>
      </w:r>
    </w:p>
    <w:p>
      <w:pPr>
        <w:autoSpaceDE w:val="0"/>
        <w:autoSpaceDN w:val="0"/>
        <w:spacing w:line="700" w:lineRule="exact"/>
        <w:ind w:firstLine="551"/>
        <w:jc w:val="center"/>
        <w:rPr>
          <w:rFonts w:cs="宋体" w:asciiTheme="majorEastAsia" w:hAnsiTheme="majorEastAsia" w:eastAsiaTheme="majorEastAsia"/>
          <w:b/>
          <w:sz w:val="44"/>
          <w:szCs w:val="44"/>
        </w:rPr>
      </w:pPr>
    </w:p>
    <w:p>
      <w:pPr>
        <w:autoSpaceDE w:val="0"/>
        <w:autoSpaceDN w:val="0"/>
        <w:spacing w:line="700" w:lineRule="exact"/>
        <w:ind w:firstLine="551"/>
        <w:jc w:val="center"/>
        <w:rPr>
          <w:rFonts w:cs="宋体" w:asciiTheme="majorEastAsia" w:hAnsiTheme="majorEastAsia" w:eastAsiaTheme="majorEastAsia"/>
          <w:b/>
          <w:sz w:val="44"/>
          <w:szCs w:val="44"/>
        </w:rPr>
      </w:pPr>
    </w:p>
    <w:p>
      <w:pPr>
        <w:autoSpaceDE w:val="0"/>
        <w:autoSpaceDN w:val="0"/>
        <w:spacing w:line="700" w:lineRule="exact"/>
        <w:ind w:firstLine="551"/>
        <w:jc w:val="center"/>
        <w:rPr>
          <w:rFonts w:cs="宋体" w:asciiTheme="majorEastAsia" w:hAnsiTheme="majorEastAsia" w:eastAsiaTheme="majorEastAsia"/>
          <w:b/>
          <w:sz w:val="44"/>
          <w:szCs w:val="44"/>
        </w:rPr>
      </w:pPr>
    </w:p>
    <w:p>
      <w:pPr>
        <w:autoSpaceDE w:val="0"/>
        <w:autoSpaceDN w:val="0"/>
        <w:spacing w:line="700" w:lineRule="exact"/>
        <w:ind w:firstLine="551"/>
        <w:jc w:val="center"/>
        <w:rPr>
          <w:rFonts w:cs="宋体" w:asciiTheme="majorEastAsia" w:hAnsiTheme="majorEastAsia" w:eastAsiaTheme="majorEastAsia"/>
          <w:b/>
          <w:sz w:val="44"/>
          <w:szCs w:val="44"/>
        </w:rPr>
      </w:pPr>
    </w:p>
    <w:p>
      <w:pPr>
        <w:jc w:val="center"/>
        <w:rPr>
          <w:rFonts w:cs="宋体" w:asciiTheme="majorEastAsia" w:hAnsiTheme="majorEastAsia" w:eastAsiaTheme="majorEastAsia"/>
          <w:b/>
          <w:sz w:val="32"/>
          <w:szCs w:val="32"/>
        </w:rPr>
      </w:pPr>
    </w:p>
    <w:p>
      <w:pPr>
        <w:jc w:val="center"/>
        <w:rPr>
          <w:rFonts w:hint="eastAsia" w:cs="宋体" w:asciiTheme="majorEastAsia" w:hAnsiTheme="majorEastAsia" w:eastAsiaTheme="majorEastAsia"/>
          <w:b/>
          <w:sz w:val="32"/>
          <w:szCs w:val="32"/>
        </w:rPr>
      </w:pPr>
    </w:p>
    <w:p>
      <w:pPr>
        <w:jc w:val="center"/>
        <w:rPr>
          <w:rFonts w:hint="eastAsia" w:cs="宋体" w:asciiTheme="majorEastAsia" w:hAnsiTheme="majorEastAsia" w:eastAsiaTheme="majorEastAsia"/>
          <w:b/>
          <w:sz w:val="32"/>
          <w:szCs w:val="32"/>
        </w:rPr>
      </w:pPr>
    </w:p>
    <w:p>
      <w:pPr>
        <w:jc w:val="center"/>
        <w:rPr>
          <w:rFonts w:hint="eastAsia" w:cs="宋体" w:asciiTheme="majorEastAsia" w:hAnsiTheme="majorEastAsia" w:eastAsiaTheme="majorEastAsia"/>
          <w:b/>
          <w:sz w:val="32"/>
          <w:szCs w:val="32"/>
        </w:rPr>
      </w:pPr>
    </w:p>
    <w:p>
      <w:pPr>
        <w:jc w:val="center"/>
        <w:rPr>
          <w:rFonts w:hint="eastAsia" w:cs="宋体" w:asciiTheme="majorEastAsia" w:hAnsiTheme="majorEastAsia" w:eastAsiaTheme="majorEastAsia"/>
          <w:b/>
          <w:sz w:val="32"/>
          <w:szCs w:val="32"/>
        </w:rPr>
      </w:pPr>
    </w:p>
    <w:p>
      <w:pPr>
        <w:jc w:val="center"/>
        <w:rPr>
          <w:rFonts w:hint="eastAsia" w:cs="宋体" w:asciiTheme="majorEastAsia" w:hAnsiTheme="majorEastAsia" w:eastAsiaTheme="majorEastAsia"/>
          <w:b/>
          <w:sz w:val="32"/>
          <w:szCs w:val="32"/>
        </w:rPr>
      </w:pPr>
    </w:p>
    <w:p>
      <w:pPr>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第一章 投标邀请</w:t>
      </w:r>
    </w:p>
    <w:p>
      <w:pPr>
        <w:pStyle w:val="21"/>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山西文昌工程咨询有限公司(以下简称代理机构) 受长葛市教育体育局的委托，对长葛市颍川路中小学书法、美术、音乐教室设施设备购置项目进行公开招标。现邀请符合本招标文件规定条件的投标人前来投标。</w:t>
      </w:r>
    </w:p>
    <w:p>
      <w:pPr>
        <w:pStyle w:val="21"/>
        <w:shd w:val="clear" w:color="000000" w:fill="FFFFFF"/>
        <w:spacing w:line="360" w:lineRule="auto"/>
        <w:contextualSpacing/>
        <w:jc w:val="left"/>
        <w:rPr>
          <w:rFonts w:cs="黑体" w:asciiTheme="minorEastAsia" w:hAnsiTheme="minorEastAsia" w:eastAsiaTheme="minorEastAsia"/>
          <w:b/>
          <w:color w:val="000000"/>
        </w:rPr>
      </w:pPr>
      <w:r>
        <w:rPr>
          <w:rFonts w:hint="eastAsia" w:ascii="黑体" w:hAnsi="黑体" w:eastAsia="黑体" w:cs="黑体"/>
          <w:color w:val="000000"/>
          <w:shd w:val="clear" w:color="000000" w:fill="FFFFFF"/>
        </w:rPr>
        <w:t xml:space="preserve">    </w:t>
      </w:r>
      <w:r>
        <w:rPr>
          <w:rFonts w:hint="eastAsia" w:cs="黑体" w:asciiTheme="minorEastAsia" w:hAnsiTheme="minorEastAsia" w:eastAsiaTheme="minorEastAsia"/>
          <w:b/>
          <w:color w:val="000000"/>
          <w:shd w:val="clear" w:color="000000" w:fill="FFFFFF"/>
        </w:rPr>
        <w:t>一、项目基本情况</w:t>
      </w:r>
    </w:p>
    <w:p>
      <w:pPr>
        <w:pStyle w:val="21"/>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（一）项目名称：长葛市颍川路中小学书法、美术、音乐教室设施设备购置项目</w:t>
      </w:r>
    </w:p>
    <w:p>
      <w:pPr>
        <w:pStyle w:val="21"/>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（二）项目编号：长招采公字</w:t>
      </w:r>
      <w:r>
        <w:rPr>
          <w:rFonts w:hint="eastAsia" w:eastAsia="宋体" w:cs="仿宋_GB2312" w:asciiTheme="minorEastAsia" w:hAnsiTheme="minorEastAsia"/>
          <w:color w:val="000000"/>
          <w:shd w:val="clear" w:color="000000" w:fill="FFFFFF"/>
          <w:lang w:eastAsia="zh-CN"/>
        </w:rPr>
        <w:t>【</w:t>
      </w:r>
      <w:r>
        <w:rPr>
          <w:rFonts w:hint="eastAsia" w:eastAsia="宋体" w:cs="仿宋_GB2312" w:asciiTheme="minorEastAsia" w:hAnsiTheme="minorEastAsia"/>
          <w:color w:val="000000"/>
          <w:shd w:val="clear" w:color="000000" w:fill="FFFFFF"/>
          <w:lang w:val="en-US" w:eastAsia="zh-CN"/>
        </w:rPr>
        <w:t>2018</w:t>
      </w:r>
      <w:r>
        <w:rPr>
          <w:rFonts w:hint="eastAsia" w:eastAsia="宋体" w:cs="仿宋_GB2312" w:asciiTheme="minorEastAsia" w:hAnsiTheme="minorEastAsia"/>
          <w:color w:val="000000"/>
          <w:shd w:val="clear" w:color="000000" w:fill="FFFFFF"/>
          <w:lang w:eastAsia="zh-CN"/>
        </w:rPr>
        <w:t>】</w:t>
      </w:r>
      <w:r>
        <w:rPr>
          <w:rFonts w:hint="eastAsia" w:cs="仿宋_GB2312" w:asciiTheme="minorEastAsia" w:hAnsiTheme="minorEastAsia" w:eastAsiaTheme="minorEastAsia"/>
          <w:color w:val="000000"/>
          <w:shd w:val="clear" w:color="000000" w:fill="FFFFFF"/>
        </w:rPr>
        <w:t xml:space="preserve">051号  </w:t>
      </w:r>
    </w:p>
    <w:p>
      <w:pPr>
        <w:pStyle w:val="21"/>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 xml:space="preserve">（三）采购方式：公开招标                                                                                                                         </w:t>
      </w:r>
    </w:p>
    <w:p>
      <w:pPr>
        <w:pStyle w:val="21"/>
        <w:shd w:val="clear" w:color="000000" w:fill="FFFFFF"/>
        <w:spacing w:line="360" w:lineRule="auto"/>
        <w:ind w:firstLine="420"/>
        <w:contextualSpacing/>
        <w:jc w:val="left"/>
        <w:rPr>
          <w:rFonts w:hint="eastAsia"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（四）项目主要内容、数量及要求：中小学书法、美术、音乐教室设施设备购置，详细参数见采购文件。</w:t>
      </w:r>
    </w:p>
    <w:p>
      <w:pPr>
        <w:pStyle w:val="21"/>
        <w:shd w:val="clear" w:color="000000" w:fill="FFFFFF"/>
        <w:spacing w:line="360" w:lineRule="auto"/>
        <w:ind w:firstLine="420"/>
        <w:contextualSpacing/>
        <w:jc w:val="left"/>
        <w:rPr>
          <w:rFonts w:hint="eastAsia"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（五）预算金额（最高限价）：1100000元。</w:t>
      </w:r>
    </w:p>
    <w:p>
      <w:pPr>
        <w:pStyle w:val="21"/>
        <w:shd w:val="clear" w:color="000000" w:fill="FFFFFF"/>
        <w:spacing w:line="360" w:lineRule="auto"/>
        <w:ind w:firstLine="420"/>
        <w:contextualSpacing/>
        <w:jc w:val="left"/>
        <w:rPr>
          <w:rFonts w:hint="eastAsia"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（六）交付（服务、完工）时间 ：</w:t>
      </w:r>
      <w:bookmarkStart w:id="0" w:name="交付日期"/>
      <w:r>
        <w:rPr>
          <w:rFonts w:hint="eastAsia" w:cs="仿宋_GB2312" w:asciiTheme="minorEastAsia" w:hAnsiTheme="minorEastAsia" w:eastAsiaTheme="minorEastAsia"/>
          <w:color w:val="000000"/>
          <w:shd w:val="clear" w:color="000000" w:fill="FFFFFF"/>
        </w:rPr>
        <w:t>合同签后30日历天内完成供货安装</w:t>
      </w:r>
      <w:bookmarkEnd w:id="0"/>
      <w:r>
        <w:rPr>
          <w:rFonts w:hint="eastAsia" w:cs="仿宋_GB2312" w:asciiTheme="minorEastAsia" w:hAnsiTheme="minorEastAsia" w:eastAsiaTheme="minorEastAsia"/>
          <w:color w:val="000000"/>
          <w:shd w:val="clear" w:color="000000" w:fill="FFFFFF"/>
        </w:rPr>
        <w:t>。</w:t>
      </w:r>
    </w:p>
    <w:p>
      <w:pPr>
        <w:pStyle w:val="21"/>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（七）交付（服务、完工）地点：长葛市颍川路中小学</w:t>
      </w:r>
    </w:p>
    <w:p>
      <w:pPr>
        <w:pStyle w:val="21"/>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（八）进口产品：不允许。</w:t>
      </w:r>
    </w:p>
    <w:p>
      <w:pPr>
        <w:pStyle w:val="21"/>
        <w:shd w:val="clear" w:color="000000" w:fill="FFFFFF"/>
        <w:spacing w:line="360" w:lineRule="auto"/>
        <w:ind w:firstLine="420"/>
        <w:contextualSpacing/>
        <w:jc w:val="left"/>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（九）分包：不允许。</w:t>
      </w:r>
    </w:p>
    <w:p>
      <w:pPr>
        <w:pStyle w:val="21"/>
        <w:shd w:val="clear" w:color="000000" w:fill="FFFFFF"/>
        <w:spacing w:line="360" w:lineRule="auto"/>
        <w:ind w:firstLine="420"/>
        <w:contextualSpacing/>
        <w:jc w:val="left"/>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二、需要落实的政府采购政策</w:t>
      </w:r>
    </w:p>
    <w:p>
      <w:pPr>
        <w:pStyle w:val="21"/>
        <w:shd w:val="clear" w:color="000000"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1"/>
        <w:shd w:val="clear" w:color="000000" w:fill="FFFFFF"/>
        <w:spacing w:line="360" w:lineRule="auto"/>
        <w:ind w:firstLine="420"/>
        <w:contextualSpacing/>
        <w:jc w:val="left"/>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三、投标人资格要求</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hint="eastAsia"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（一）符合《中华人民共和国政府采购法》第二十二条之规定；</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（二）未被列入“信用中国”网站(www.creditchina.gov.cn)失信被执行人、重大税收违法案件当事人名单；“中国政府采购网” (www.ccgp.gov.cn)政府采购严重违法失信行为记录名单；“中国社会组织公共服务平台”网站（www.chinanpo.gov.cn）严重违法失信名单的投标人；</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（三）本次招标不接受联合体投标。</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四、招标文件的获取</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shd w:val="clear" w:color="000000" w:fill="FFFFFF"/>
        </w:rPr>
        <w:t>（二）在投标截止时间前均可登录《全国公共资源交易平台（河南省·许昌市）》“投标人/供应商登录”入口（http://221.14.6.70:8088/ggzy/）自行免费下载招标文件（详见“常见问题解答-交易系统操作手册”）。</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五、投标截止时间、开标时间及地点</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hint="eastAsia" w:cs="仿宋_GB2312" w:asciiTheme="minorEastAsia" w:hAnsiTheme="minorEastAsia" w:eastAsiaTheme="minorEastAsia"/>
          <w:color w:val="000000"/>
          <w:shd w:val="clear" w:color="000000" w:fill="FFFFFF"/>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color w:val="000000"/>
          <w:shd w:val="clear" w:color="000000" w:fill="FFFFFF"/>
        </w:rPr>
        <w:t>投标截止及开标时间：2019年</w:t>
      </w:r>
      <w:r>
        <w:rPr>
          <w:rFonts w:hint="eastAsia" w:cs="仿宋_GB2312" w:asciiTheme="minorEastAsia" w:hAnsiTheme="minorEastAsia" w:eastAsiaTheme="minorEastAsia"/>
          <w:color w:val="000000"/>
          <w:shd w:val="clear" w:color="000000" w:fill="FFFFFF"/>
          <w:lang w:val="en-US" w:eastAsia="zh-CN"/>
        </w:rPr>
        <w:t>11</w:t>
      </w:r>
      <w:r>
        <w:rPr>
          <w:rFonts w:hint="eastAsia" w:cs="仿宋_GB2312" w:asciiTheme="minorEastAsia" w:hAnsiTheme="minorEastAsia" w:eastAsiaTheme="minorEastAsia"/>
          <w:color w:val="000000"/>
          <w:shd w:val="clear" w:color="000000" w:fill="FFFFFF"/>
        </w:rPr>
        <w:t xml:space="preserve">月 </w:t>
      </w:r>
      <w:r>
        <w:rPr>
          <w:rFonts w:hint="eastAsia" w:cs="仿宋_GB2312" w:asciiTheme="minorEastAsia" w:hAnsiTheme="minorEastAsia" w:eastAsiaTheme="minorEastAsia"/>
          <w:color w:val="000000"/>
          <w:shd w:val="clear" w:color="000000" w:fill="FFFFFF"/>
          <w:lang w:val="en-US" w:eastAsia="zh-CN"/>
        </w:rPr>
        <w:t>22</w:t>
      </w:r>
      <w:r>
        <w:rPr>
          <w:rFonts w:hint="eastAsia" w:cs="仿宋_GB2312" w:asciiTheme="minorEastAsia" w:hAnsiTheme="minorEastAsia" w:eastAsiaTheme="minorEastAsia"/>
          <w:color w:val="000000"/>
          <w:shd w:val="clear" w:color="000000" w:fill="FFFFFF"/>
        </w:rPr>
        <w:t xml:space="preserve">  日 </w:t>
      </w:r>
      <w:r>
        <w:rPr>
          <w:rFonts w:hint="eastAsia" w:cs="仿宋_GB2312" w:asciiTheme="minorEastAsia" w:hAnsiTheme="minorEastAsia" w:eastAsiaTheme="minorEastAsia"/>
          <w:color w:val="000000"/>
          <w:shd w:val="clear" w:color="000000" w:fill="FFFFFF"/>
          <w:lang w:val="en-US" w:eastAsia="zh-CN"/>
        </w:rPr>
        <w:t>9</w:t>
      </w:r>
      <w:r>
        <w:rPr>
          <w:rFonts w:hint="eastAsia" w:cs="仿宋_GB2312" w:asciiTheme="minorEastAsia" w:hAnsiTheme="minorEastAsia" w:eastAsiaTheme="minorEastAsia"/>
          <w:color w:val="000000"/>
          <w:shd w:val="clear" w:color="000000" w:fill="FFFFFF"/>
        </w:rPr>
        <w:t xml:space="preserve"> 时 </w:t>
      </w:r>
      <w:r>
        <w:rPr>
          <w:rFonts w:hint="eastAsia" w:cs="仿宋_GB2312" w:asciiTheme="minorEastAsia" w:hAnsiTheme="minorEastAsia" w:eastAsiaTheme="minorEastAsia"/>
          <w:color w:val="000000"/>
          <w:shd w:val="clear" w:color="000000" w:fill="FFFFFF"/>
          <w:lang w:val="en-US" w:eastAsia="zh-CN"/>
        </w:rPr>
        <w:t>00</w:t>
      </w:r>
      <w:r>
        <w:rPr>
          <w:rFonts w:hint="eastAsia" w:cs="仿宋_GB2312" w:asciiTheme="minorEastAsia" w:hAnsiTheme="minorEastAsia" w:eastAsiaTheme="minorEastAsia"/>
          <w:color w:val="000000"/>
          <w:shd w:val="clear" w:color="000000" w:fill="FFFFFF"/>
        </w:rPr>
        <w:t xml:space="preserve"> 分（北京时间），逾期提交或不符合规定的投标文件不予接受。</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仿宋_GB2312" w:asciiTheme="minorEastAsia" w:hAnsiTheme="minorEastAsia" w:eastAsiaTheme="minorEastAsia"/>
          <w:color w:val="FF0000"/>
        </w:rPr>
      </w:pPr>
      <w:r>
        <w:rPr>
          <w:rFonts w:hint="eastAsia" w:cs="仿宋_GB2312" w:asciiTheme="minorEastAsia" w:hAnsiTheme="minorEastAsia" w:eastAsiaTheme="minorEastAsia"/>
          <w:color w:val="000000"/>
          <w:shd w:val="clear" w:color="000000" w:fill="FFFFFF"/>
        </w:rPr>
        <w:t xml:space="preserve">（二）开标地点：长葛市公共资源交易中心开标 </w:t>
      </w:r>
      <w:r>
        <w:rPr>
          <w:rFonts w:hint="eastAsia" w:cs="仿宋_GB2312" w:asciiTheme="minorEastAsia" w:hAnsiTheme="minorEastAsia" w:eastAsiaTheme="minorEastAsia"/>
          <w:color w:val="000000"/>
          <w:shd w:val="clear" w:color="000000" w:fill="FFFFFF"/>
          <w:lang w:eastAsia="zh-CN"/>
        </w:rPr>
        <w:t>二</w:t>
      </w:r>
      <w:r>
        <w:rPr>
          <w:rFonts w:hint="eastAsia" w:cs="仿宋_GB2312" w:asciiTheme="minorEastAsia" w:hAnsiTheme="minorEastAsia" w:eastAsiaTheme="minorEastAsia"/>
          <w:color w:val="000000"/>
          <w:shd w:val="clear" w:color="000000" w:fill="FFFFFF"/>
        </w:rPr>
        <w:t xml:space="preserve"> 室（长葛市葛天大道东段商务区6#楼 </w:t>
      </w:r>
      <w:r>
        <w:rPr>
          <w:rFonts w:hint="eastAsia" w:cs="仿宋_GB2312" w:asciiTheme="minorEastAsia" w:hAnsiTheme="minorEastAsia" w:eastAsiaTheme="minorEastAsia"/>
          <w:color w:val="000000"/>
          <w:shd w:val="clear" w:color="000000" w:fill="FFFFFF"/>
          <w:lang w:val="en-US" w:eastAsia="zh-CN"/>
        </w:rPr>
        <w:t>4</w:t>
      </w:r>
      <w:r>
        <w:rPr>
          <w:rFonts w:hint="eastAsia" w:cs="仿宋_GB2312" w:asciiTheme="minorEastAsia" w:hAnsiTheme="minorEastAsia" w:eastAsiaTheme="minorEastAsia"/>
          <w:color w:val="000000"/>
          <w:shd w:val="clear" w:color="000000" w:fill="FFFFFF"/>
        </w:rPr>
        <w:t xml:space="preserve"> 楼</w:t>
      </w:r>
      <w:r>
        <w:rPr>
          <w:rFonts w:hint="eastAsia" w:cs="仿宋_GB2312" w:asciiTheme="minorEastAsia" w:hAnsiTheme="minorEastAsia" w:eastAsiaTheme="minorEastAsia"/>
          <w:color w:val="000000"/>
          <w:shd w:val="clear" w:color="000000" w:fill="FFFFFF"/>
          <w:lang w:val="en-US" w:eastAsia="zh-CN"/>
        </w:rPr>
        <w:t>409</w:t>
      </w:r>
      <w:r>
        <w:rPr>
          <w:rFonts w:hint="eastAsia" w:cs="仿宋_GB2312" w:asciiTheme="minorEastAsia" w:hAnsiTheme="minorEastAsia" w:eastAsiaTheme="minorEastAsia"/>
          <w:color w:val="000000"/>
          <w:shd w:val="clear" w:color="000000" w:fill="FFFFFF"/>
        </w:rPr>
        <w:t xml:space="preserve"> 室）。</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cs="仿宋_GB2312" w:asciiTheme="minorEastAsia" w:hAnsiTheme="minorEastAsia" w:eastAsiaTheme="minorEastAsia"/>
          <w:color w:val="000000"/>
        </w:rPr>
        <w:t>)》公共资源交易系统成功上传。</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仿宋_GB2312" w:asciiTheme="minorEastAsia" w:hAnsiTheme="minorEastAsia" w:eastAsiaTheme="minorEastAsia"/>
          <w:color w:val="000000"/>
          <w:shd w:val="pct10" w:color="000000"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六、本次招标公告同时在《河南省政府采购网》、《全国公共资源交易平台（河南省·许昌市）》、《长葛市人民政府门户网站》发布。</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黑体" w:asciiTheme="minorEastAsia" w:hAnsiTheme="minorEastAsia" w:eastAsiaTheme="minorEastAsia"/>
          <w:b/>
          <w:color w:val="000000"/>
          <w:shd w:val="clear" w:color="000000" w:fill="FFFFFF"/>
        </w:rPr>
      </w:pPr>
      <w:r>
        <w:rPr>
          <w:rFonts w:hint="eastAsia" w:cs="黑体" w:asciiTheme="minorEastAsia" w:hAnsiTheme="minorEastAsia" w:eastAsiaTheme="minorEastAsia"/>
          <w:b/>
          <w:color w:val="000000"/>
          <w:shd w:val="clear" w:color="000000" w:fill="FFFFFF"/>
        </w:rPr>
        <w:t>七、公告期限</w:t>
      </w:r>
    </w:p>
    <w:p>
      <w:pPr>
        <w:pStyle w:val="21"/>
        <w:keepNext w:val="0"/>
        <w:keepLines w:val="0"/>
        <w:pageBreakBefore w:val="0"/>
        <w:widowControl/>
        <w:shd w:val="clear" w:color="000000" w:fill="FFFFFF"/>
        <w:kinsoku/>
        <w:wordWrap/>
        <w:overflowPunct/>
        <w:topLinePunct w:val="0"/>
        <w:autoSpaceDE/>
        <w:autoSpaceDN/>
        <w:bidi w:val="0"/>
        <w:adjustRightInd/>
        <w:snapToGrid/>
        <w:spacing w:line="240" w:lineRule="auto"/>
        <w:ind w:firstLine="420"/>
        <w:contextualSpacing/>
        <w:jc w:val="left"/>
        <w:textAlignment w:val="auto"/>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shd w:val="clear" w:color="000000" w:fill="FFFFFF"/>
        <w:spacing w:line="360" w:lineRule="auto"/>
        <w:ind w:firstLine="420"/>
        <w:contextualSpacing/>
        <w:jc w:val="left"/>
        <w:rPr>
          <w:rFonts w:cs="黑体" w:asciiTheme="minorEastAsia" w:hAnsiTheme="minorEastAsia" w:eastAsiaTheme="minorEastAsia"/>
          <w:b/>
          <w:color w:val="000000"/>
        </w:rPr>
      </w:pPr>
      <w:r>
        <w:rPr>
          <w:rFonts w:hint="eastAsia" w:cs="黑体" w:asciiTheme="minorEastAsia" w:hAnsiTheme="minorEastAsia" w:eastAsiaTheme="minorEastAsia"/>
          <w:b/>
          <w:color w:val="000000"/>
        </w:rPr>
        <w:t>八、联系方式</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采购人：长葛市教育体育局</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联系人：石科长                      </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联系电话：03746110256  </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地址：长葛市八七路</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代理机构：山西文昌工程咨询有限公司 </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代理机构联系方式：张先生  13271279113</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代理机构地址：郑州市高新区冬青街7号B座1606</w:t>
      </w:r>
    </w:p>
    <w:p>
      <w:pPr>
        <w:spacing w:line="360" w:lineRule="exact"/>
        <w:ind w:firstLine="200"/>
        <w:rPr>
          <w:rFonts w:cs="黑体" w:asciiTheme="minorEastAsia" w:hAnsiTheme="minorEastAsia"/>
          <w:b/>
          <w:color w:val="000000"/>
          <w:sz w:val="24"/>
          <w:szCs w:val="24"/>
        </w:rPr>
      </w:pPr>
      <w:r>
        <w:rPr>
          <w:rFonts w:hint="eastAsia" w:cs="黑体" w:asciiTheme="minorEastAsia" w:hAnsiTheme="minorEastAsia"/>
          <w:b/>
          <w:color w:val="000000"/>
          <w:sz w:val="24"/>
          <w:szCs w:val="24"/>
        </w:rPr>
        <w:t>九、特别提示：</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2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2、各投标人对代理公司提供的服务不满意，或认为代理公司在服务过程中有不当行为的，可致电长葛市公共资源交易管理委员会办公室监管股（0374-6189576），经查实后将按规定作出处理。</w:t>
      </w:r>
    </w:p>
    <w:p>
      <w:pPr>
        <w:snapToGrid w:val="0"/>
        <w:spacing w:line="360" w:lineRule="auto"/>
        <w:jc w:val="left"/>
        <w:rPr>
          <w:rFonts w:ascii="宋体" w:hAnsi="宋体"/>
        </w:rPr>
      </w:pPr>
    </w:p>
    <w:p>
      <w:pPr>
        <w:spacing w:line="360" w:lineRule="auto"/>
        <w:rPr>
          <w:rFonts w:hAnsi="宋体"/>
          <w:b/>
          <w:sz w:val="28"/>
          <w:szCs w:val="28"/>
        </w:rPr>
      </w:pPr>
      <w:r>
        <w:rPr>
          <w:rFonts w:hint="eastAsia" w:hAnsi="宋体"/>
          <w:b/>
          <w:sz w:val="28"/>
          <w:szCs w:val="28"/>
        </w:rPr>
        <w:t>温馨提示：</w:t>
      </w:r>
    </w:p>
    <w:p>
      <w:pPr>
        <w:keepNext w:val="0"/>
        <w:keepLines w:val="0"/>
        <w:pageBreakBefore w:val="0"/>
        <w:widowControl/>
        <w:kinsoku/>
        <w:wordWrap/>
        <w:overflowPunct/>
        <w:topLinePunct w:val="0"/>
        <w:autoSpaceDE/>
        <w:autoSpaceDN/>
        <w:bidi w:val="0"/>
        <w:adjustRightInd/>
        <w:snapToGrid/>
        <w:spacing w:line="440" w:lineRule="exact"/>
        <w:ind w:firstLine="200"/>
        <w:textAlignment w:val="auto"/>
        <w:rPr>
          <w:rFonts w:ascii="仿宋_GB2312" w:eastAsia="仿宋_GB2312"/>
          <w:b/>
          <w:sz w:val="32"/>
          <w:szCs w:val="32"/>
        </w:rPr>
      </w:pPr>
      <w:r>
        <w:rPr>
          <w:rFonts w:hint="eastAsia" w:hAnsi="宋体"/>
          <w:b/>
          <w:sz w:val="28"/>
          <w:szCs w:val="28"/>
        </w:rPr>
        <w:t>本项目为全流程电子化交易项目，请认真阅读招标文件，并注意以下事项。</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b/>
          <w:color w:val="000000"/>
        </w:rPr>
      </w:pPr>
      <w:r>
        <w:rPr>
          <w:rFonts w:hint="eastAsia" w:asciiTheme="minorEastAsia" w:hAnsiTheme="minorEastAsia"/>
          <w:b/>
          <w:color w:val="000000"/>
        </w:rPr>
        <w:t>1.</w:t>
      </w:r>
      <w:r>
        <w:rPr>
          <w:rFonts w:hint="eastAsia" w:hAnsi="宋体"/>
          <w:b/>
          <w:color w:val="000000"/>
        </w:rPr>
        <w:t>投标人应按招标文件规定编制、提交电子投标文件和纸质投标文件。开、评标现场不接受投标人递交的备份电子投标文件和纸质投标文件以外的其他资料。</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b/>
          <w:color w:val="000000"/>
        </w:rPr>
      </w:pPr>
      <w:r>
        <w:rPr>
          <w:rFonts w:hint="eastAsia" w:asciiTheme="minorEastAsia" w:hAnsiTheme="minorEastAsia"/>
          <w:b/>
          <w:color w:val="000000"/>
        </w:rPr>
        <w:t>2</w:t>
      </w:r>
      <w:r>
        <w:rPr>
          <w:rFonts w:asciiTheme="minorEastAsia" w:hAnsiTheme="minorEastAsia"/>
          <w:b/>
          <w:color w:val="000000"/>
        </w:rPr>
        <w:t>.</w:t>
      </w:r>
      <w:r>
        <w:rPr>
          <w:rFonts w:hint="eastAsia" w:hAnsi="宋体"/>
          <w:b/>
          <w:color w:val="000000"/>
        </w:rPr>
        <w:t>电子文件下载、制作、提交期间和开标（</w:t>
      </w:r>
      <w:r>
        <w:rPr>
          <w:rFonts w:hint="eastAsia" w:hAnsi="宋体"/>
        </w:rPr>
        <w:t>电子投标文件的解密</w:t>
      </w:r>
      <w:r>
        <w:rPr>
          <w:rFonts w:hint="eastAsia" w:hAnsi="宋体"/>
          <w:b/>
          <w:color w:val="000000"/>
        </w:rPr>
        <w:t>）环节，投标人须使用</w:t>
      </w:r>
      <w:r>
        <w:rPr>
          <w:rFonts w:hAnsi="宋体"/>
          <w:b/>
          <w:color w:val="000000"/>
        </w:rPr>
        <w:t>CA数字证书</w:t>
      </w:r>
      <w:r>
        <w:rPr>
          <w:rFonts w:hint="eastAsia" w:hAnsi="宋体"/>
          <w:b/>
          <w:color w:val="000000"/>
        </w:rPr>
        <w:t>（证书须在有效期内）</w:t>
      </w:r>
      <w:r>
        <w:rPr>
          <w:rFonts w:hAnsi="宋体"/>
          <w:b/>
          <w:color w:val="000000"/>
        </w:rPr>
        <w:t>。</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b/>
          <w:color w:val="000000"/>
        </w:rPr>
      </w:pPr>
      <w:r>
        <w:rPr>
          <w:rFonts w:asciiTheme="minorEastAsia" w:hAnsiTheme="minorEastAsia"/>
          <w:b/>
          <w:color w:val="000000"/>
        </w:rPr>
        <w:t>3</w:t>
      </w:r>
      <w:r>
        <w:rPr>
          <w:rFonts w:hint="eastAsia" w:asciiTheme="minorEastAsia" w:hAnsiTheme="minorEastAsia"/>
          <w:b/>
          <w:color w:val="000000"/>
        </w:rPr>
        <w:t>.</w:t>
      </w:r>
      <w:r>
        <w:rPr>
          <w:rFonts w:hint="eastAsia" w:hAnsi="宋体"/>
          <w:b/>
          <w:color w:val="000000"/>
        </w:rPr>
        <w:t>电子投标文件的制作</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color w:val="000000"/>
        </w:rPr>
      </w:pPr>
      <w:r>
        <w:rPr>
          <w:rFonts w:asciiTheme="minorEastAsia" w:hAnsiTheme="minorEastAsia"/>
          <w:color w:val="000000"/>
        </w:rPr>
        <w:t>3</w:t>
      </w:r>
      <w:r>
        <w:rPr>
          <w:rFonts w:hint="eastAsia" w:asciiTheme="minorEastAsia" w:hAnsiTheme="minorEastAsia"/>
          <w:color w:val="000000"/>
        </w:rPr>
        <w:t>.1</w:t>
      </w:r>
      <w:r>
        <w:rPr>
          <w:rFonts w:hint="eastAsia" w:hAnsi="宋体"/>
          <w:color w:val="000000"/>
        </w:rPr>
        <w:t xml:space="preserve"> 投标人登录《全国公共资源交易平台</w:t>
      </w:r>
      <w:r>
        <w:rPr>
          <w:rFonts w:hint="eastAsia" w:asciiTheme="majorEastAsia" w:hAnsiTheme="majorEastAsia" w:eastAsiaTheme="majorEastAsia"/>
          <w:color w:val="000000"/>
        </w:rPr>
        <w:t>(</w:t>
      </w:r>
      <w:r>
        <w:rPr>
          <w:rFonts w:hint="eastAsia" w:hAnsi="宋体"/>
          <w:color w:val="000000"/>
        </w:rPr>
        <w:t>河南省</w:t>
      </w:r>
      <w:r>
        <w:rPr>
          <w:rFonts w:hint="eastAsia" w:ascii="MS Mincho" w:hAnsi="MS Mincho" w:eastAsia="MS Mincho" w:cs="MS Mincho"/>
          <w:color w:val="000000"/>
        </w:rPr>
        <w:t>▪</w:t>
      </w:r>
      <w:r>
        <w:rPr>
          <w:rFonts w:hint="eastAsia" w:ascii="宋体" w:hAnsi="宋体" w:eastAsia="宋体" w:cs="宋体"/>
          <w:color w:val="000000"/>
        </w:rPr>
        <w:t>许昌市</w:t>
      </w:r>
      <w:r>
        <w:rPr>
          <w:rFonts w:hint="eastAsia" w:asciiTheme="minorEastAsia" w:hAnsiTheme="minorEastAsia"/>
          <w:color w:val="000000"/>
        </w:rPr>
        <w:t>)</w:t>
      </w:r>
      <w:r>
        <w:rPr>
          <w:rFonts w:hint="eastAsia" w:hAnsi="宋体"/>
          <w:color w:val="000000"/>
        </w:rPr>
        <w:t>》公共资源交易系统（</w:t>
      </w:r>
      <w:r>
        <w:fldChar w:fldCharType="begin"/>
      </w:r>
      <w:r>
        <w:instrText xml:space="preserve"> HYPERLINK "http://221.14.6.70:8088/ggzy/" </w:instrText>
      </w:r>
      <w:r>
        <w:fldChar w:fldCharType="separate"/>
      </w:r>
      <w:r>
        <w:rPr>
          <w:rStyle w:val="27"/>
          <w:rFonts w:hAnsi="宋体"/>
        </w:rPr>
        <w:t>http://221.14.6.70:8088/ggzy/</w:t>
      </w:r>
      <w:r>
        <w:rPr>
          <w:rStyle w:val="27"/>
          <w:rFonts w:hAnsi="宋体"/>
        </w:rPr>
        <w:fldChar w:fldCharType="end"/>
      </w:r>
      <w:r>
        <w:rPr>
          <w:rFonts w:hint="eastAsia" w:hAnsi="宋体"/>
          <w:color w:val="000000"/>
        </w:rPr>
        <w:t>）下载“许昌投标文件制作系统SEARUN 最新版本”，按招标文件要求制作电子投标文件。</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color w:val="000000"/>
        </w:rPr>
      </w:pPr>
      <w:r>
        <w:rPr>
          <w:rFonts w:hint="eastAsia" w:hAnsi="宋体"/>
          <w:color w:val="000000"/>
        </w:rPr>
        <w:t>电子投标文件的制作，参考《全国公共资源交易平台</w:t>
      </w:r>
      <w:r>
        <w:rPr>
          <w:rFonts w:hint="eastAsia" w:asciiTheme="minorEastAsia" w:hAnsiTheme="minorEastAsia"/>
          <w:color w:val="000000"/>
        </w:rPr>
        <w:t>(</w:t>
      </w:r>
      <w:r>
        <w:rPr>
          <w:rFonts w:hint="eastAsia" w:hAnsi="宋体"/>
          <w:color w:val="000000"/>
        </w:rPr>
        <w:t>河南省</w:t>
      </w:r>
      <w:r>
        <w:rPr>
          <w:rFonts w:hint="eastAsia" w:ascii="MS Mincho" w:hAnsi="MS Mincho" w:eastAsia="MS Mincho" w:cs="MS Mincho"/>
          <w:color w:val="000000"/>
        </w:rPr>
        <w:t>▪</w:t>
      </w:r>
      <w:r>
        <w:rPr>
          <w:rFonts w:hint="eastAsia" w:ascii="宋体" w:hAnsi="宋体" w:eastAsia="宋体" w:cs="宋体"/>
          <w:color w:val="000000"/>
        </w:rPr>
        <w:t>许昌市</w:t>
      </w:r>
      <w:r>
        <w:rPr>
          <w:rFonts w:hint="eastAsia" w:asciiTheme="minorEastAsia" w:hAnsiTheme="minorEastAsia"/>
          <w:color w:val="000000"/>
        </w:rPr>
        <w:t>)</w:t>
      </w:r>
      <w:r>
        <w:rPr>
          <w:rFonts w:hint="eastAsia" w:hAnsi="宋体"/>
          <w:color w:val="000000"/>
        </w:rPr>
        <w:t>》公共资源交易系统——组件下载——交易系统操作手册（投标人、供应商）。</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color w:val="000000"/>
        </w:rPr>
      </w:pPr>
      <w:r>
        <w:rPr>
          <w:rFonts w:asciiTheme="minorEastAsia" w:hAnsiTheme="minorEastAsia"/>
          <w:color w:val="000000"/>
        </w:rPr>
        <w:t>3</w:t>
      </w:r>
      <w:r>
        <w:rPr>
          <w:rFonts w:hint="eastAsia" w:asciiTheme="minorEastAsia" w:hAnsiTheme="minorEastAsia"/>
          <w:color w:val="000000"/>
        </w:rPr>
        <w:t>.</w:t>
      </w:r>
      <w:r>
        <w:rPr>
          <w:rFonts w:asciiTheme="minorEastAsia" w:hAnsiTheme="minorEastAsia"/>
          <w:color w:val="000000"/>
        </w:rPr>
        <w:t>2</w:t>
      </w:r>
      <w:r>
        <w:rPr>
          <w:rFonts w:hint="eastAsia" w:hAnsi="宋体"/>
          <w:color w:val="000000"/>
        </w:rPr>
        <w:t xml:space="preserve"> 投标人须将招标文件要求的资质、业绩、荣誉及相关人员证明材料等资料原件扫描件（或图片）制作到所提交的电子投标文件中。</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color w:val="000000"/>
        </w:rPr>
      </w:pPr>
      <w:r>
        <w:rPr>
          <w:rFonts w:asciiTheme="minorEastAsia" w:hAnsiTheme="minorEastAsia"/>
          <w:color w:val="000000"/>
        </w:rPr>
        <w:t>3.3</w:t>
      </w:r>
      <w:r>
        <w:rPr>
          <w:rFonts w:hint="eastAsia" w:hAnsi="宋体"/>
          <w:color w:val="000000"/>
        </w:rPr>
        <w:t>投标人对同一项目多个标段进行投标的，应分别下载所投标段的招标文件，按标段制作电子投标文件，并</w:t>
      </w:r>
      <w:r>
        <w:rPr>
          <w:rFonts w:hAnsi="宋体"/>
          <w:color w:val="000000"/>
        </w:rPr>
        <w:t>按招标文件要求在相应位置加盖</w:t>
      </w:r>
      <w:r>
        <w:rPr>
          <w:rFonts w:hint="eastAsia" w:hAnsi="宋体"/>
          <w:color w:val="000000"/>
        </w:rPr>
        <w:t>投标人</w:t>
      </w:r>
      <w:r>
        <w:rPr>
          <w:rFonts w:hAnsi="宋体"/>
          <w:color w:val="000000"/>
        </w:rPr>
        <w:t>电子印章</w:t>
      </w:r>
      <w:r>
        <w:rPr>
          <w:rFonts w:hint="eastAsia" w:hAnsi="宋体"/>
          <w:color w:val="000000"/>
        </w:rPr>
        <w:t>和法人电子印章。</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left="105" w:firstLine="150"/>
        <w:contextualSpacing/>
        <w:textAlignment w:val="auto"/>
        <w:rPr>
          <w:rFonts w:hAnsi="宋体"/>
          <w:color w:val="000000"/>
        </w:rPr>
      </w:pPr>
      <w:r>
        <w:rPr>
          <w:rFonts w:hint="eastAsia" w:hAnsi="宋体"/>
          <w:color w:val="000000"/>
        </w:rPr>
        <w:t>一个标段对应生成一个文件夹（xxxx项目xx标段）, 其中包含2个文件和1个文件夹。后缀名为“</w:t>
      </w:r>
      <w:r>
        <w:rPr>
          <w:rFonts w:hAnsi="宋体"/>
          <w:color w:val="000000"/>
        </w:rPr>
        <w:t>.file</w:t>
      </w:r>
      <w:r>
        <w:rPr>
          <w:rFonts w:hint="eastAsia" w:hAnsi="宋体"/>
          <w:color w:val="000000"/>
        </w:rPr>
        <w:t>”的文件用于电子投标使用，后缀名为“.PDF”的文件用于打印纸质投标文件，名称为“备份”的文件夹使用电子介质存储，供开标现场备用。</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b/>
          <w:color w:val="000000"/>
        </w:rPr>
      </w:pPr>
      <w:r>
        <w:rPr>
          <w:rFonts w:asciiTheme="minorEastAsia" w:hAnsiTheme="minorEastAsia"/>
          <w:b/>
          <w:color w:val="000000"/>
        </w:rPr>
        <w:t>4</w:t>
      </w:r>
      <w:r>
        <w:rPr>
          <w:rFonts w:hint="eastAsia" w:asciiTheme="minorEastAsia" w:hAnsiTheme="minorEastAsia"/>
          <w:b/>
          <w:color w:val="000000"/>
        </w:rPr>
        <w:t>.加密</w:t>
      </w:r>
      <w:r>
        <w:rPr>
          <w:rFonts w:hint="eastAsia" w:hAnsi="宋体"/>
          <w:b/>
          <w:color w:val="000000"/>
        </w:rPr>
        <w:t>电子投标文件的提交</w:t>
      </w:r>
    </w:p>
    <w:p>
      <w:pPr>
        <w:keepNext w:val="0"/>
        <w:keepLines w:val="0"/>
        <w:pageBreakBefore w:val="0"/>
        <w:widowControl/>
        <w:tabs>
          <w:tab w:val="left" w:pos="7095"/>
        </w:tabs>
        <w:kinsoku/>
        <w:wordWrap/>
        <w:overflowPunct/>
        <w:topLinePunct w:val="0"/>
        <w:autoSpaceDE/>
        <w:autoSpaceDN/>
        <w:bidi w:val="0"/>
        <w:adjustRightInd/>
        <w:snapToGrid/>
        <w:spacing w:line="440" w:lineRule="exact"/>
        <w:contextualSpacing/>
        <w:textAlignment w:val="auto"/>
        <w:rPr>
          <w:rFonts w:hAnsi="宋体"/>
          <w:color w:val="000000"/>
        </w:rPr>
      </w:pPr>
      <w:r>
        <w:rPr>
          <w:rFonts w:hint="eastAsia" w:hAnsi="宋体"/>
          <w:color w:val="000000"/>
        </w:rPr>
        <w:t xml:space="preserve">    </w:t>
      </w:r>
      <w:r>
        <w:rPr>
          <w:rFonts w:asciiTheme="minorEastAsia" w:hAnsiTheme="minorEastAsia"/>
          <w:color w:val="000000"/>
        </w:rPr>
        <w:t>4</w:t>
      </w:r>
      <w:r>
        <w:rPr>
          <w:rFonts w:hint="eastAsia" w:asciiTheme="minorEastAsia" w:hAnsiTheme="minorEastAsia"/>
          <w:color w:val="000000"/>
        </w:rPr>
        <w:t>.1加密</w:t>
      </w:r>
      <w:r>
        <w:rPr>
          <w:rFonts w:hint="eastAsia" w:hAnsi="宋体"/>
          <w:color w:val="000000"/>
        </w:rPr>
        <w:t>电子投标文件应在招标文件规定的投标截止时间（开标时间）之前成功提交至《全国公共资源交易平台(河南省</w:t>
      </w:r>
      <w:r>
        <w:rPr>
          <w:rFonts w:hint="eastAsia" w:ascii="MS Mincho" w:hAnsi="MS Mincho" w:eastAsia="MS Mincho" w:cs="MS Mincho"/>
          <w:color w:val="000000"/>
        </w:rPr>
        <w:t>▪</w:t>
      </w:r>
      <w:r>
        <w:rPr>
          <w:rFonts w:hint="eastAsia" w:ascii="宋体" w:hAnsi="宋体" w:eastAsia="宋体" w:cs="宋体"/>
          <w:color w:val="000000"/>
        </w:rPr>
        <w:t>许昌市</w:t>
      </w:r>
      <w:r>
        <w:rPr>
          <w:rFonts w:hint="eastAsia" w:hAnsi="宋体"/>
          <w:color w:val="000000"/>
        </w:rPr>
        <w:t>)》公共资源交易系统（</w:t>
      </w:r>
      <w:r>
        <w:fldChar w:fldCharType="begin"/>
      </w:r>
      <w:r>
        <w:instrText xml:space="preserve"> HYPERLINK "http://221.14.6.70:8088/ggzy/" </w:instrText>
      </w:r>
      <w:r>
        <w:fldChar w:fldCharType="separate"/>
      </w:r>
      <w:r>
        <w:rPr>
          <w:rStyle w:val="27"/>
          <w:rFonts w:hAnsi="宋体"/>
        </w:rPr>
        <w:t>http://221.14.6.70:8088/ggzy/</w:t>
      </w:r>
      <w:r>
        <w:rPr>
          <w:rStyle w:val="27"/>
          <w:rFonts w:hAnsi="宋体"/>
        </w:rPr>
        <w:fldChar w:fldCharType="end"/>
      </w:r>
      <w:r>
        <w:rPr>
          <w:rFonts w:hint="eastAsia" w:hAnsi="宋体"/>
          <w:color w:val="000000"/>
        </w:rPr>
        <w:t>）。</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color w:val="000000"/>
        </w:rPr>
      </w:pPr>
      <w:r>
        <w:rPr>
          <w:rFonts w:hint="eastAsia" w:hAnsi="宋体"/>
          <w:color w:val="000000"/>
        </w:rPr>
        <w:t>投标人应充分考虑并预留技术处理和上传数据所需时间。</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color w:val="000000"/>
        </w:rPr>
      </w:pPr>
      <w:r>
        <w:rPr>
          <w:rFonts w:asciiTheme="minorEastAsia" w:hAnsiTheme="minorEastAsia"/>
          <w:color w:val="000000"/>
        </w:rPr>
        <w:t>4.</w:t>
      </w:r>
      <w:r>
        <w:rPr>
          <w:rFonts w:hint="eastAsia" w:asciiTheme="minorEastAsia" w:hAnsiTheme="minorEastAsia"/>
          <w:color w:val="000000"/>
        </w:rPr>
        <w:t xml:space="preserve">2 </w:t>
      </w:r>
      <w:r>
        <w:rPr>
          <w:rFonts w:hint="eastAsia" w:hAnsi="宋体"/>
          <w:color w:val="000000"/>
        </w:rPr>
        <w:t>投标人对同一项目多个标段进行投标的，加密电子投标文件应按标段分别提交。</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color w:val="000000"/>
        </w:rPr>
      </w:pPr>
      <w:r>
        <w:rPr>
          <w:rFonts w:asciiTheme="minorEastAsia" w:hAnsiTheme="minorEastAsia"/>
          <w:color w:val="000000"/>
        </w:rPr>
        <w:t>4</w:t>
      </w:r>
      <w:r>
        <w:rPr>
          <w:rFonts w:hint="eastAsia" w:asciiTheme="minorEastAsia" w:hAnsiTheme="minorEastAsia"/>
          <w:color w:val="000000"/>
        </w:rPr>
        <w:t>.</w:t>
      </w:r>
      <w:r>
        <w:rPr>
          <w:rFonts w:asciiTheme="minorEastAsia" w:hAnsiTheme="minorEastAsia"/>
          <w:color w:val="000000"/>
        </w:rPr>
        <w:t>3</w:t>
      </w:r>
      <w:r>
        <w:rPr>
          <w:rFonts w:hint="eastAsia" w:asciiTheme="minorEastAsia" w:hAnsiTheme="minorEastAsia"/>
          <w:color w:val="000000"/>
        </w:rPr>
        <w:t xml:space="preserve"> 加密</w:t>
      </w:r>
      <w:r>
        <w:rPr>
          <w:rFonts w:hint="eastAsia" w:hAnsi="宋体"/>
          <w:color w:val="000000"/>
        </w:rPr>
        <w:t>电子投标文件成功提交后，投标人应打印“投标文件提交回执单”供开标现场备查。</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b/>
          <w:color w:val="000000"/>
        </w:rPr>
      </w:pPr>
      <w:r>
        <w:rPr>
          <w:rFonts w:asciiTheme="minorEastAsia" w:hAnsiTheme="minorEastAsia"/>
          <w:b/>
          <w:color w:val="000000"/>
        </w:rPr>
        <w:t>5</w:t>
      </w:r>
      <w:r>
        <w:rPr>
          <w:rFonts w:hint="eastAsia" w:asciiTheme="minorEastAsia" w:hAnsiTheme="minorEastAsia"/>
          <w:b/>
          <w:color w:val="000000"/>
        </w:rPr>
        <w:t>.</w:t>
      </w:r>
      <w:r>
        <w:rPr>
          <w:rFonts w:hint="eastAsia" w:hAnsi="宋体"/>
          <w:b/>
          <w:color w:val="000000"/>
        </w:rPr>
        <w:t>评标依据</w:t>
      </w:r>
    </w:p>
    <w:p>
      <w:pPr>
        <w:keepNext w:val="0"/>
        <w:keepLines w:val="0"/>
        <w:pageBreakBefore w:val="0"/>
        <w:widowControl/>
        <w:tabs>
          <w:tab w:val="left" w:pos="7095"/>
        </w:tabs>
        <w:kinsoku/>
        <w:wordWrap/>
        <w:overflowPunct/>
        <w:topLinePunct w:val="0"/>
        <w:autoSpaceDE/>
        <w:autoSpaceDN/>
        <w:bidi w:val="0"/>
        <w:adjustRightInd/>
        <w:snapToGrid/>
        <w:spacing w:line="440" w:lineRule="exact"/>
        <w:ind w:firstLine="200"/>
        <w:contextualSpacing/>
        <w:textAlignment w:val="auto"/>
        <w:rPr>
          <w:rFonts w:hAnsi="宋体"/>
          <w:color w:val="000000"/>
        </w:rPr>
        <w:sectPr>
          <w:footerReference r:id="rId6" w:type="default"/>
          <w:pgSz w:w="11906" w:h="16838"/>
          <w:pgMar w:top="1478" w:right="1474" w:bottom="1928" w:left="1588" w:header="851" w:footer="992" w:gutter="0"/>
          <w:pgNumType w:start="1"/>
          <w:cols w:space="720" w:num="1"/>
          <w:docGrid w:type="lines" w:linePitch="312" w:charSpace="0"/>
        </w:sectPr>
      </w:pPr>
      <w:r>
        <w:rPr>
          <w:rFonts w:hint="eastAsia" w:asciiTheme="minorEastAsia" w:hAnsiTheme="minorEastAsia"/>
          <w:color w:val="000000"/>
        </w:rPr>
        <w:t>5.1</w:t>
      </w:r>
      <w:r>
        <w:rPr>
          <w:rFonts w:hint="eastAsia" w:hAnsi="宋体"/>
          <w:color w:val="000000"/>
        </w:rPr>
        <w:t>采用全流程电子化交易评标时，评标委员会以电子投标文件为依据评标。</w:t>
      </w:r>
    </w:p>
    <w:p>
      <w:pPr>
        <w:jc w:val="center"/>
        <w:rPr>
          <w:rFonts w:cs="宋体" w:asciiTheme="majorEastAsia" w:hAnsiTheme="majorEastAsia" w:eastAsiaTheme="majorEastAsia"/>
          <w:b/>
          <w:color w:val="FF0000"/>
          <w:sz w:val="32"/>
          <w:szCs w:val="32"/>
        </w:rPr>
      </w:pPr>
      <w:r>
        <w:rPr>
          <w:rFonts w:hint="eastAsia" w:cs="宋体" w:asciiTheme="majorEastAsia" w:hAnsiTheme="majorEastAsia" w:eastAsiaTheme="majorEastAsia"/>
          <w:b/>
          <w:color w:val="FF0000"/>
          <w:sz w:val="32"/>
          <w:szCs w:val="32"/>
        </w:rPr>
        <w:t>第二章  项目需求</w:t>
      </w:r>
      <w:r>
        <w:rPr>
          <w:rFonts w:hint="eastAsia" w:ascii="宋体" w:hAnsi="宋体" w:eastAsia="宋体" w:cs="宋体"/>
          <w:b/>
          <w:color w:val="FF0000"/>
          <w:sz w:val="32"/>
          <w:szCs w:val="32"/>
        </w:rPr>
        <w:t>★</w:t>
      </w:r>
    </w:p>
    <w:p>
      <w:pPr>
        <w:wordWrap w:val="0"/>
        <w:spacing w:line="360" w:lineRule="auto"/>
        <w:rPr>
          <w:rFonts w:hint="eastAsia" w:ascii="Times New Roman" w:hAnsi="Times New Roman" w:eastAsia="宋体" w:cs="Times New Roman"/>
          <w:color w:val="FF0000"/>
          <w:sz w:val="24"/>
          <w:szCs w:val="24"/>
          <w:lang w:eastAsia="zh-CN"/>
        </w:rPr>
      </w:pPr>
      <w:bookmarkStart w:id="1" w:name="_Toc98035089"/>
      <w:bookmarkStart w:id="2" w:name="_Toc175644394"/>
      <w:bookmarkStart w:id="3" w:name="_Toc101843125"/>
      <w:bookmarkStart w:id="4" w:name="_Toc101771372"/>
      <w:bookmarkStart w:id="5" w:name="_Toc98579011"/>
      <w:bookmarkStart w:id="6" w:name="_Toc42394673"/>
      <w:bookmarkStart w:id="7" w:name="_Toc46308531"/>
      <w:bookmarkStart w:id="8" w:name="_Toc101951263"/>
      <w:bookmarkStart w:id="9" w:name="_Toc98580293"/>
      <w:bookmarkStart w:id="10" w:name="_Toc50276165"/>
      <w:bookmarkStart w:id="11" w:name="_Toc50276204"/>
      <w:bookmarkStart w:id="12" w:name="_Toc41884706"/>
      <w:bookmarkStart w:id="13" w:name="_Toc42394517"/>
      <w:bookmarkStart w:id="14" w:name="_Toc46308687"/>
      <w:bookmarkStart w:id="15" w:name="_Toc41723936"/>
      <w:bookmarkStart w:id="16" w:name="_Toc42313172"/>
      <w:bookmarkStart w:id="17" w:name="_Toc98579069"/>
      <w:bookmarkStart w:id="18" w:name="_Toc272497418"/>
      <w:bookmarkStart w:id="19" w:name="_Toc101775125"/>
      <w:bookmarkStart w:id="20" w:name="_Toc98579610"/>
      <w:r>
        <w:rPr>
          <w:rFonts w:hint="eastAsia" w:ascii="Times New Roman" w:hAnsi="Times New Roman" w:cs="Times New Roman"/>
          <w:color w:val="FF0000"/>
          <w:sz w:val="24"/>
          <w:szCs w:val="24"/>
        </w:rPr>
        <w:t>核心参数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交互式数字临摹台</w:t>
      </w:r>
      <w:r>
        <w:rPr>
          <w:rFonts w:hint="eastAsia" w:ascii="Times New Roman" w:hAnsi="Times New Roman" w:eastAsia="宋体" w:cs="Times New Roman"/>
          <w:color w:val="FF0000"/>
          <w:sz w:val="24"/>
          <w:szCs w:val="24"/>
          <w:lang w:eastAsia="zh-CN"/>
        </w:rPr>
        <w:t>为核心产品。</w:t>
      </w:r>
    </w:p>
    <w:p/>
    <w:tbl>
      <w:tblPr>
        <w:tblStyle w:val="22"/>
        <w:tblW w:w="14280" w:type="dxa"/>
        <w:tblInd w:w="0" w:type="dxa"/>
        <w:tblLayout w:type="fixed"/>
        <w:tblCellMar>
          <w:top w:w="15" w:type="dxa"/>
          <w:left w:w="15" w:type="dxa"/>
          <w:bottom w:w="15" w:type="dxa"/>
          <w:right w:w="15" w:type="dxa"/>
        </w:tblCellMar>
      </w:tblPr>
      <w:tblGrid>
        <w:gridCol w:w="571"/>
        <w:gridCol w:w="782"/>
        <w:gridCol w:w="1141"/>
        <w:gridCol w:w="9890"/>
        <w:gridCol w:w="641"/>
        <w:gridCol w:w="764"/>
        <w:gridCol w:w="491"/>
      </w:tblGrid>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序号</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名称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产品规格、型号</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具体配置或材质说明</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数量</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单位</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备注</w:t>
            </w: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小学1#楼 四层书法教室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60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，80mm≥厚度≥75mm；产品显示尺寸：86英寸，采用工业级液晶屏，分辨率≧3840*2160；正面显示为三块拼接而成的纯平面黑板，无推拉式结构，一体化设计，无任何外露连接线；（提供产品彩页或官网截图证明）</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4.产品可在显示区域任意位置通过五指按压起到屏幕开/关的作用，方便老师操作，并且关闭屏幕的同时，触摸功能也自动关闭，防止误操作；（投标文件中附盖有CMA、CNAS公章的检测报告扫描件）；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5.产品采用高强度铝合金边框结构，具有第三方权威检测机构出具的落球冲击试验报告，可承受2kg钢球的撞击，玻璃不会破碎；（</w:t>
            </w:r>
            <w:r>
              <w:rPr>
                <w:rFonts w:hint="eastAsia"/>
              </w:rPr>
              <w:t>投标文件中需附相关证书的扫描件</w:t>
            </w:r>
            <w:r>
              <w:rPr>
                <w:rFonts w:hint="eastAsia" w:ascii="宋体" w:hAnsi="宋体" w:eastAsia="宋体" w:cs="宋体"/>
              </w:rPr>
              <w:t>）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6.产品可有效的阻挡液晶屏的紫外线辐射，减少紫外线对眼睛的伤害，投标文件附国家级质量监督检验中心出具的带有CNAS和CMA资质的紫外透射比大于10%检验合格的报告扫描件；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7.产品可有效的阻挡液晶屏的蓝光辐射，减少蓝光对眼睛的伤害，投标文件附国家级质量监督检验中心出具的带有CNAS和CMA资质的蓝光透射比大于50%检验合格的报告扫描件。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9.产品采用耐腐蚀技术处理的铝合金边框，独特的无风扇风道设计，散热性更好，具有CNAS资质的盐雾检测报告，测试时间≥168小时，无腐蚀和生锈；（</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 产品具有HDMI输出功能，且也同时支持4K视频信号源的输出。（提供盖有CMA、CNAS公章的检测报告）</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13.核心触控膜组通过CNAS认证的国家级检测机构出具的高低温试验合格报告，可在高温40℃和低温-20℃等不同环境的条件下，连续开机工作不小于120小时，产品的结构和触控等正常（</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70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投标文件附盖有CMA、CNAS公章的检测报告扫描件）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4.具有提醒笔功能，使演示更加清晰、明了，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投标文件附具有CMA、CNAS认证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8.支持音频、视频、flash对象的播放，并可在播放的同时进行标注；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9.录制功能可以记录完整的操作过程和声音，并保存成AVI文件；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11.搭载教学软件应用管理平台易于管理操作，同时为了避免了不同软件的兼容性问题带来产品的系统不稳定性，要求教学软件管理平台、智慧教学软件、智慧课堂软件三套软件和整机为同一品牌（提供证明文件）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24"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2.接口：USB；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3.补光：电容触摸式五颗高亮LED补光，带触摸开关控制；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4.调焦方式：定焦；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5.尺寸大小（mm）：折叠尺寸：35*29*281；展开尺寸：285*29*185；</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6.图像格式：扫描图片格式JPG、TIF、BMP、TGA、PCX、PNG、RAS ，录像格式 AVI、WMV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7.USB 5V/500MA供电，节能、低碳、环保；</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8.操作系统：Windows XP、Vista、win7；</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10.一键切换功能，可以实现展台桌面与电脑桌面的一键切换；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快速抓图功能，视频状态下的图片可以直接粘贴到WORD、PPT等办公软件里；12，电子白板功能，多种画笔可选，也能结合电子白板软件同时使用，设备软件直接嵌入白板软件，直接在白板上面进行全功能标注、闪线、擦除、文字编辑，拍照，保存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12.图像文件存储：默认为JPG格式，可修改存储路径，可按时间命名或自定义文件名，序号自增，支持OCR文字识别，方便老师将图片识别后保存为WORD文档进行再编辑；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13.软件有图像拆分重组合并功能，可根据需要将图像进行拆分，重组及合并，可支持最大5行和5列的拆分重组合并功能；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14.软件有幕布功能，老师讲课时能任意先遮盖上部分、或是下部分、或是左部分、或是右部分，更方便老师突出讲解内容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15.图像文件管理：新建、删除、改名。PDF保存，或进行多个PDF文件合并成一个PDF文件；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16.图像处理功能，如调整亮度、对比度、饱和度，进行灰度、二值化，反向，锐化，浮雕，文字编辑、标注、框选、镜像、旋转、纠偏、裁剪、合成、1:1打印等；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17.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1、2.0声道有源音箱，内置功率放大器、备有BLP环保麦克风插口、1000套同时使用不串频、近距离对频、抗干扰性强、安装调试简单、扩音清晰、性能稳定。</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2、麦克风音量、音乐音量、高低音独立调节。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4、1组莲花音频输入、1路莲花录音输出、1个3.5毫米电脑音频输入接口。</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5、1路有线广播应急切换输入、5秒钟后自动恢复教室扩声。</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6、1路6.5毫米话筒输入插口、与同品牌话筒连接不用电池具有为话筒供电功率放大器专利证书。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7、外置USB2.4G无线话筒输入扩展功能。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8、铁网烤漆防护罩、配原厂支架、壁挂式安装。</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9、使用频率：2400-2485MHz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10、输出功率：2×60W</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 xml:space="preserve">11、灵敏度：86dB±2dB </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12、频率响应：20Hz-20KHz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13、信噪比：≥80dB±2dB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1、2.4G抗干扰射频技术、同一个无线麦克风、能在不同的教室接收机上使用、近距离开机自动对频具备2.4G无线话筒近距离对频专利证书，无须专人管理。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2、LED充电显示、发射机与接收机信号锁定显示、低电量显示。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3、采用硅胶静音按键，360度旋转背夹设计，音量大小调节。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4、内/外置麦克风切换功能、手持、领夹多种使用方式。</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6、远距离电子激光教鞭功能。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7、锂电池供电环保节能、连续工作12个小时、待机时间60天。</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8、传输范围：视环境变化约20M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9、信噪比：≥83dB。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10、接收灵敏度：85dB±2dB。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11、工作频率：2400-2485MHz。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12、调制方式：QPSK</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提供原厂3年免费售后服务承诺书。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提供3C认证，产品的生产企业须通过ISO国际质量体系认证（2008标准）、环境体系认证、健康体系认证，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产品的生产企业须具备数字教学设备扩声软件著作权证书；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产品的生产企业须具有2.4G无线话筒控制软件著作权证书；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（投标文件中需附相关证书的扫描件）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7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健康照明</w:t>
            </w:r>
            <w:r>
              <w:rPr>
                <w:rStyle w:val="76"/>
                <w:rFonts w:hint="default"/>
                <w:color w:val="auto"/>
                <w:sz w:val="21"/>
                <w:szCs w:val="21"/>
              </w:rPr>
              <w:t>（投标时提供样品）</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1</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微晶面板灯功率：</w:t>
            </w:r>
            <w:r>
              <w:rPr>
                <w:rFonts w:ascii="宋体" w:hAnsi="宋体" w:eastAsia="宋体" w:cs="宋体"/>
              </w:rPr>
              <w:t>36±1.5W</w:t>
            </w:r>
            <w:r>
              <w:rPr>
                <w:rFonts w:hint="eastAsia" w:ascii="宋体" w:hAnsi="宋体" w:eastAsia="宋体" w:cs="宋体"/>
              </w:rPr>
              <w:t>，整灯尺寸：</w:t>
            </w:r>
            <w:r>
              <w:rPr>
                <w:rFonts w:ascii="宋体" w:hAnsi="宋体" w:eastAsia="宋体" w:cs="宋体"/>
              </w:rPr>
              <w:t>600</w:t>
            </w:r>
            <w:r>
              <w:rPr>
                <w:rFonts w:hint="eastAsia" w:ascii="MS Mincho" w:hAnsi="MS Mincho" w:eastAsia="MS Mincho" w:cs="MS Mincho"/>
              </w:rPr>
              <w:t>✳</w:t>
            </w:r>
            <w:r>
              <w:rPr>
                <w:rFonts w:hint="eastAsia" w:ascii="宋体" w:hAnsi="宋体" w:eastAsia="宋体" w:cs="宋体"/>
              </w:rPr>
              <w:t>600；整灯为无螺丝结构，</w:t>
            </w:r>
            <w:r>
              <w:rPr>
                <w:rFonts w:ascii="宋体" w:hAnsi="宋体" w:eastAsia="宋体" w:cs="宋体"/>
              </w:rPr>
              <w:t>LED</w:t>
            </w:r>
            <w:r>
              <w:rPr>
                <w:rFonts w:hint="eastAsia" w:ascii="宋体" w:hAnsi="宋体" w:eastAsia="宋体" w:cs="宋体"/>
              </w:rPr>
              <w:t>面板灯边框采用无缝焊接技术，提高结构强度，为增加灯具美观整体采用喷白。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2</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微晶面板为有效防止眩光，灯具许采用四棱锥形微晶光学面板，材料采用</w:t>
            </w:r>
            <w:r>
              <w:rPr>
                <w:rFonts w:ascii="宋体" w:hAnsi="宋体" w:eastAsia="宋体" w:cs="宋体"/>
              </w:rPr>
              <w:t>PMMA</w:t>
            </w:r>
            <w:r>
              <w:rPr>
                <w:rFonts w:hint="eastAsia" w:ascii="宋体" w:hAnsi="宋体" w:eastAsia="宋体" w:cs="宋体"/>
              </w:rPr>
              <w:t>，微晶尺寸：</w:t>
            </w:r>
            <w:r>
              <w:rPr>
                <w:rFonts w:ascii="宋体" w:hAnsi="宋体" w:eastAsia="宋体" w:cs="宋体"/>
              </w:rPr>
              <w:t>2*2*0.7mm</w:t>
            </w:r>
            <w:r>
              <w:rPr>
                <w:rFonts w:hint="eastAsia" w:ascii="宋体" w:hAnsi="宋体" w:eastAsia="宋体" w:cs="宋体"/>
              </w:rPr>
              <w:t>，透光板由每</w:t>
            </w:r>
            <w:r>
              <w:rPr>
                <w:rFonts w:ascii="宋体" w:hAnsi="宋体" w:eastAsia="宋体" w:cs="宋体"/>
              </w:rPr>
              <w:t>1cm2</w:t>
            </w:r>
            <w:r>
              <w:rPr>
                <w:rFonts w:hint="eastAsia" w:ascii="宋体" w:hAnsi="宋体" w:eastAsia="宋体" w:cs="宋体"/>
              </w:rPr>
              <w:t>≥</w:t>
            </w:r>
            <w:r>
              <w:rPr>
                <w:rFonts w:ascii="宋体" w:hAnsi="宋体" w:eastAsia="宋体" w:cs="宋体"/>
              </w:rPr>
              <w:t>20</w:t>
            </w:r>
            <w:r>
              <w:rPr>
                <w:rFonts w:hint="eastAsia" w:ascii="宋体" w:hAnsi="宋体" w:eastAsia="宋体" w:cs="宋体"/>
              </w:rPr>
              <w:t>个的颗粒组成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3</w:t>
            </w:r>
            <w:r>
              <w:rPr>
                <w:rFonts w:hint="eastAsia" w:ascii="宋体" w:hAnsi="宋体" w:eastAsia="宋体" w:cs="宋体"/>
              </w:rPr>
              <w:t>、</w:t>
            </w:r>
            <w:r>
              <w:rPr>
                <w:rFonts w:ascii="宋体" w:hAnsi="宋体" w:eastAsia="宋体" w:cs="宋体"/>
              </w:rPr>
              <w:t>LED</w:t>
            </w:r>
            <w:r>
              <w:rPr>
                <w:rFonts w:hint="eastAsia" w:ascii="宋体" w:hAnsi="宋体" w:eastAsia="宋体" w:cs="宋体"/>
              </w:rPr>
              <w:t>面板灯灯具安装吊杆与灯体连接须采用嵌入式螺纹螺母固定，该固定座可根据安装位子，装于灯具背面两侧任意位置，且具备滑动式模块。</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LED微晶面板采用外置驱动电源，驱动外壳采用高阻燃PC料，螺纹接线端子，不可徒手插拔；驱动两端采用圆弧形盖板，需用工具拆装确保用电安全；驱动输出和输入线采用压线夹结构防拉脱，防止意外触电，为了更好的与灯具匹配，驱动需与灯具为同一制造厂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5</w:t>
            </w:r>
            <w:r>
              <w:rPr>
                <w:rFonts w:hint="eastAsia" w:ascii="宋体" w:hAnsi="宋体" w:eastAsia="宋体" w:cs="宋体"/>
              </w:rPr>
              <w:t>、根据灯具分布光度测量的一般要求以及固态照明产品电气和光度测量方法所得光电色数据为：整灯色温</w:t>
            </w:r>
            <w:r>
              <w:rPr>
                <w:rFonts w:ascii="宋体" w:hAnsi="宋体" w:eastAsia="宋体" w:cs="宋体"/>
              </w:rPr>
              <w:t xml:space="preserve"> 5000±150K</w:t>
            </w:r>
            <w:r>
              <w:rPr>
                <w:rFonts w:hint="eastAsia" w:ascii="宋体" w:hAnsi="宋体" w:eastAsia="宋体" w:cs="宋体"/>
              </w:rPr>
              <w:t>，显色指数</w:t>
            </w:r>
            <w:r>
              <w:rPr>
                <w:rFonts w:ascii="宋体" w:hAnsi="宋体" w:eastAsia="宋体" w:cs="宋体"/>
              </w:rPr>
              <w:t>Ra</w:t>
            </w:r>
            <w:r>
              <w:rPr>
                <w:rFonts w:hint="eastAsia" w:ascii="宋体" w:hAnsi="宋体" w:eastAsia="宋体" w:cs="宋体"/>
              </w:rPr>
              <w:t>≥</w:t>
            </w:r>
            <w:r>
              <w:rPr>
                <w:rFonts w:ascii="宋体" w:hAnsi="宋体" w:eastAsia="宋体" w:cs="宋体"/>
              </w:rPr>
              <w:t>98</w:t>
            </w:r>
            <w:r>
              <w:rPr>
                <w:rFonts w:hint="eastAsia" w:ascii="宋体" w:hAnsi="宋体" w:eastAsia="宋体" w:cs="宋体"/>
              </w:rPr>
              <w:t>，</w:t>
            </w:r>
            <w:r>
              <w:rPr>
                <w:rFonts w:ascii="宋体" w:hAnsi="宋体" w:eastAsia="宋体" w:cs="宋体"/>
              </w:rPr>
              <w:t>R9</w:t>
            </w:r>
            <w:r>
              <w:rPr>
                <w:rFonts w:hint="eastAsia" w:ascii="宋体" w:hAnsi="宋体" w:eastAsia="宋体" w:cs="宋体"/>
              </w:rPr>
              <w:t>≥</w:t>
            </w:r>
            <w:r>
              <w:rPr>
                <w:rFonts w:ascii="宋体" w:hAnsi="宋体" w:eastAsia="宋体" w:cs="宋体"/>
              </w:rPr>
              <w:t>99</w:t>
            </w:r>
            <w:r>
              <w:rPr>
                <w:rFonts w:hint="eastAsia" w:ascii="宋体" w:hAnsi="宋体" w:eastAsia="宋体" w:cs="宋体"/>
              </w:rPr>
              <w:t>，</w:t>
            </w:r>
            <w:r>
              <w:rPr>
                <w:rFonts w:ascii="宋体" w:hAnsi="宋体" w:eastAsia="宋体" w:cs="宋体"/>
              </w:rPr>
              <w:t>R13</w:t>
            </w:r>
            <w:r>
              <w:rPr>
                <w:rFonts w:hint="eastAsia" w:ascii="宋体" w:hAnsi="宋体" w:eastAsia="宋体" w:cs="宋体"/>
              </w:rPr>
              <w:t>≥</w:t>
            </w:r>
            <w:r>
              <w:rPr>
                <w:rFonts w:ascii="宋体" w:hAnsi="宋体" w:eastAsia="宋体" w:cs="宋体"/>
              </w:rPr>
              <w:t>99 R15</w:t>
            </w:r>
            <w:r>
              <w:rPr>
                <w:rFonts w:hint="eastAsia" w:ascii="宋体" w:hAnsi="宋体" w:eastAsia="宋体" w:cs="宋体"/>
              </w:rPr>
              <w:t>≥</w:t>
            </w:r>
            <w:r>
              <w:rPr>
                <w:rFonts w:ascii="宋体" w:hAnsi="宋体" w:eastAsia="宋体" w:cs="宋体"/>
              </w:rPr>
              <w:t>97</w:t>
            </w:r>
            <w:r>
              <w:rPr>
                <w:rFonts w:hint="eastAsia" w:ascii="宋体" w:hAnsi="宋体" w:eastAsia="宋体" w:cs="宋体"/>
              </w:rPr>
              <w:t>，功率因数≥</w:t>
            </w:r>
            <w:r>
              <w:rPr>
                <w:rFonts w:ascii="宋体" w:hAnsi="宋体" w:eastAsia="宋体" w:cs="宋体"/>
              </w:rPr>
              <w:t>0.99</w:t>
            </w:r>
            <w:r>
              <w:rPr>
                <w:rFonts w:hint="eastAsia" w:ascii="宋体" w:hAnsi="宋体" w:eastAsia="宋体" w:cs="宋体"/>
              </w:rPr>
              <w:t>，向下光通量≥</w:t>
            </w:r>
            <w:r>
              <w:rPr>
                <w:rFonts w:ascii="宋体" w:hAnsi="宋体" w:eastAsia="宋体" w:cs="宋体"/>
              </w:rPr>
              <w:t>2800m</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6</w:t>
            </w:r>
            <w:r>
              <w:rPr>
                <w:rFonts w:hint="eastAsia" w:ascii="宋体" w:hAnsi="宋体" w:eastAsia="宋体" w:cs="宋体"/>
              </w:rPr>
              <w:t>、</w:t>
            </w:r>
            <w:r>
              <w:rPr>
                <w:rFonts w:ascii="宋体" w:hAnsi="宋体" w:eastAsia="宋体" w:cs="宋体"/>
              </w:rPr>
              <w:t>LED</w:t>
            </w:r>
            <w:r>
              <w:rPr>
                <w:rFonts w:hint="eastAsia" w:ascii="宋体" w:hAnsi="宋体" w:eastAsia="宋体" w:cs="宋体"/>
              </w:rPr>
              <w:t>面板灯根据</w:t>
            </w:r>
            <w:r>
              <w:rPr>
                <w:rFonts w:ascii="宋体" w:hAnsi="宋体" w:eastAsia="宋体" w:cs="宋体"/>
              </w:rPr>
              <w:t>LED</w:t>
            </w:r>
            <w:r>
              <w:rPr>
                <w:rFonts w:hint="eastAsia" w:ascii="宋体" w:hAnsi="宋体" w:eastAsia="宋体" w:cs="宋体"/>
              </w:rPr>
              <w:t>照明闪烁的潜在健康影响方法所得光频闪无危害或无显著影响数值要求为：免除考核光频闪危害（光输出波形频率＞</w:t>
            </w:r>
            <w:r>
              <w:rPr>
                <w:rFonts w:ascii="宋体" w:hAnsi="宋体" w:eastAsia="宋体" w:cs="宋体"/>
              </w:rPr>
              <w:t>3125Hz</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7</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微晶面板灯根据《</w:t>
            </w:r>
            <w:r>
              <w:rPr>
                <w:rFonts w:ascii="宋体" w:hAnsi="宋体" w:eastAsia="宋体" w:cs="宋体"/>
              </w:rPr>
              <w:t>IEC 62471</w:t>
            </w:r>
            <w:r>
              <w:rPr>
                <w:rFonts w:hint="eastAsia" w:ascii="宋体" w:hAnsi="宋体" w:eastAsia="宋体" w:cs="宋体"/>
              </w:rPr>
              <w:t>：</w:t>
            </w:r>
            <w:r>
              <w:rPr>
                <w:rFonts w:ascii="宋体" w:hAnsi="宋体" w:eastAsia="宋体" w:cs="宋体"/>
              </w:rPr>
              <w:t xml:space="preserve">2006 </w:t>
            </w:r>
            <w:r>
              <w:rPr>
                <w:rFonts w:hint="eastAsia" w:ascii="宋体" w:hAnsi="宋体" w:eastAsia="宋体" w:cs="宋体"/>
              </w:rPr>
              <w:t>灯和灯系统的光生物安全》出具的蓝光检测报告：蓝光危害为“无危险类”，</w:t>
            </w:r>
            <w:r>
              <w:rPr>
                <w:rFonts w:ascii="宋体" w:hAnsi="宋体" w:eastAsia="宋体" w:cs="宋体"/>
              </w:rPr>
              <w:t>B(λ)</w:t>
            </w:r>
            <w:r>
              <w:rPr>
                <w:rFonts w:hint="eastAsia" w:ascii="宋体" w:hAnsi="宋体" w:eastAsia="宋体" w:cs="宋体"/>
              </w:rPr>
              <w:t>≤</w:t>
            </w:r>
            <w:r>
              <w:rPr>
                <w:rFonts w:ascii="宋体" w:hAnsi="宋体" w:eastAsia="宋体" w:cs="宋体"/>
              </w:rPr>
              <w:t>1</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8</w:t>
            </w:r>
            <w:r>
              <w:rPr>
                <w:rFonts w:hint="eastAsia" w:ascii="宋体" w:hAnsi="宋体" w:eastAsia="宋体" w:cs="宋体"/>
              </w:rPr>
              <w:t>、为使教室课桌面达到最佳的照度均匀度与防眩效果，</w:t>
            </w:r>
            <w:r>
              <w:rPr>
                <w:rFonts w:ascii="宋体" w:hAnsi="宋体" w:eastAsia="宋体" w:cs="宋体"/>
              </w:rPr>
              <w:t>LED</w:t>
            </w:r>
            <w:r>
              <w:rPr>
                <w:rFonts w:hint="eastAsia" w:ascii="宋体" w:hAnsi="宋体" w:eastAsia="宋体" w:cs="宋体"/>
              </w:rPr>
              <w:t>面板灯在</w:t>
            </w:r>
            <w:r>
              <w:rPr>
                <w:rFonts w:ascii="宋体" w:hAnsi="宋体" w:eastAsia="宋体" w:cs="宋体"/>
              </w:rPr>
              <w:t>C0-C180</w:t>
            </w:r>
            <w:r>
              <w:rPr>
                <w:rFonts w:hint="eastAsia" w:ascii="宋体" w:hAnsi="宋体" w:eastAsia="宋体" w:cs="宋体"/>
              </w:rPr>
              <w:t>面的光束角必须满足</w:t>
            </w:r>
            <w:r>
              <w:rPr>
                <w:rFonts w:ascii="宋体" w:hAnsi="宋体" w:eastAsia="宋体" w:cs="宋体"/>
              </w:rPr>
              <w:t>90±2° C90-270</w:t>
            </w:r>
            <w:r>
              <w:rPr>
                <w:rFonts w:hint="eastAsia" w:ascii="宋体" w:hAnsi="宋体" w:eastAsia="宋体" w:cs="宋体"/>
              </w:rPr>
              <w:t>面光束角必须满足</w:t>
            </w:r>
            <w:r>
              <w:rPr>
                <w:rFonts w:ascii="宋体" w:hAnsi="宋体" w:eastAsia="宋体" w:cs="宋体"/>
              </w:rPr>
              <w:t>87±2°</w:t>
            </w:r>
            <w:r>
              <w:rPr>
                <w:rFonts w:hint="eastAsia" w:ascii="宋体" w:hAnsi="宋体" w:eastAsia="宋体" w:cs="宋体"/>
              </w:rPr>
              <w:t>，距高比满足</w:t>
            </w:r>
            <w:r>
              <w:rPr>
                <w:rFonts w:ascii="宋体" w:hAnsi="宋体" w:eastAsia="宋体" w:cs="宋体"/>
              </w:rPr>
              <w:t>1.2±0.3</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9</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微晶面板灯安装后须满足中小学校教室采光和照明卫生设计方法要求：课桌面照度≥</w:t>
            </w:r>
            <w:r>
              <w:rPr>
                <w:rFonts w:ascii="宋体" w:hAnsi="宋体" w:eastAsia="宋体" w:cs="宋体"/>
              </w:rPr>
              <w:t>340lx</w:t>
            </w:r>
            <w:r>
              <w:rPr>
                <w:rFonts w:hint="eastAsia" w:ascii="宋体" w:hAnsi="宋体" w:eastAsia="宋体" w:cs="宋体"/>
              </w:rPr>
              <w:t>，桌面照度均匀度≥</w:t>
            </w:r>
            <w:r>
              <w:rPr>
                <w:rFonts w:ascii="宋体" w:hAnsi="宋体" w:eastAsia="宋体" w:cs="宋体"/>
              </w:rPr>
              <w:t>0.85,UGR</w:t>
            </w:r>
            <w:r>
              <w:rPr>
                <w:rFonts w:hint="eastAsia" w:ascii="宋体" w:hAnsi="宋体" w:eastAsia="宋体" w:cs="宋体"/>
              </w:rPr>
              <w:t>≤</w:t>
            </w:r>
            <w:r>
              <w:rPr>
                <w:rFonts w:ascii="宋体" w:hAnsi="宋体" w:eastAsia="宋体" w:cs="宋体"/>
              </w:rPr>
              <w:t>15</w:t>
            </w:r>
            <w:r>
              <w:rPr>
                <w:rFonts w:hint="eastAsia" w:ascii="宋体" w:hAnsi="宋体" w:eastAsia="宋体" w:cs="宋体"/>
              </w:rPr>
              <w:t>，照明功率密度</w:t>
            </w:r>
            <w:r>
              <w:rPr>
                <w:rFonts w:ascii="宋体" w:hAnsi="宋体" w:eastAsia="宋体" w:cs="宋体"/>
              </w:rPr>
              <w:t xml:space="preserve"> </w:t>
            </w:r>
            <w:r>
              <w:rPr>
                <w:rFonts w:hint="eastAsia" w:ascii="宋体" w:hAnsi="宋体" w:eastAsia="宋体" w:cs="宋体"/>
              </w:rPr>
              <w:t>≤</w:t>
            </w:r>
            <w:r>
              <w:rPr>
                <w:rFonts w:ascii="宋体" w:hAnsi="宋体" w:eastAsia="宋体" w:cs="宋体"/>
              </w:rPr>
              <w:t>6 W/</w:t>
            </w:r>
            <w:r>
              <w:rPr>
                <w:rFonts w:hint="eastAsia" w:ascii="宋体" w:hAnsi="宋体" w:eastAsia="宋体" w:cs="宋体"/>
              </w:rPr>
              <w:t>㎡</w:t>
            </w:r>
            <w:r>
              <w:rPr>
                <w:rFonts w:ascii="宋体" w:hAnsi="宋体" w:eastAsia="宋体" w:cs="宋体"/>
              </w:rPr>
              <w:t xml:space="preserve"> </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10、LED面板灯根据视觉工效学原则、室内工作场所照明、LED照明产品视觉健康舒适度方法要求：须满足人眼视觉舒适度VICO＜2，能有效降低对学生视觉的危害。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11、LED微晶面板灯根据灯具分布光度测量的一般要：必须通过正常燃点光通维持率（加速测试不计）6000小时以上光通维持率测试，光通维持率≥93%；</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12、LED微晶面板灯为保护学生视力，需具备“眼舒适”、“低蓝光”、“无频闪”认证。</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盏</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76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教师讲台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1600*800*800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实木材质，坚久耐用，纹理自然美观，环保油漆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教师椅子</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官帽椅</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7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书法桌</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1200*350*750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实木材质，坚久耐用，纹理自然美观，环保油漆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24</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书法凳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rPr>
            </w:pPr>
            <w:r>
              <w:rPr>
                <w:rFonts w:ascii="Times New Roman" w:hAnsi="Times New Roman" w:eastAsia="宋体" w:cs="Times New Roman"/>
              </w:rPr>
              <w:t>380*330*450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实木材质，环保油漆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6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仿古展示柜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2940*300*1980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实木材质，环保油漆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采用</w:t>
            </w:r>
            <w:r>
              <w:rPr>
                <w:rStyle w:val="77"/>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水嘴采用全铜质表面层经耐酸漆涂处理一体化专用鹅颈单联水嘴，陶瓷阀芯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给水采用优质专用铝塑管软连接</w:t>
            </w:r>
            <w:r>
              <w:rPr>
                <w:rStyle w:val="77"/>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小学1#楼 四层书法器材准备室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器材柜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7</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0.8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450*360*300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采用</w:t>
            </w:r>
            <w:r>
              <w:rPr>
                <w:rStyle w:val="77"/>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水嘴采用全铜质表面层经耐酸漆涂处理一体化专用鹅颈单联水嘴，陶瓷阀芯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给水采用优质专用铝塑管软连接</w:t>
            </w:r>
            <w:r>
              <w:rPr>
                <w:rStyle w:val="77"/>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图书馆一层 小学美术教室1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，80mm≥厚度≥75mm；产品显示尺寸：86英寸，采用工业级液晶屏，分辨率≧3840*2160；正面显示为三块拼接而成的纯平面黑板，无推拉式结构，一体化设计，无任何外露连接线；（提供产品彩页或官网截图证明）</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w:t>
            </w:r>
            <w:r>
              <w:rPr>
                <w:rFonts w:hint="eastAsia"/>
              </w:rPr>
              <w:t>投标文件中附</w:t>
            </w:r>
            <w:r>
              <w:rPr>
                <w:rFonts w:hint="eastAsia" w:ascii="宋体" w:hAnsi="宋体" w:eastAsia="宋体" w:cs="宋体"/>
              </w:rPr>
              <w:t>盖有CMA、CNAS公章的检测报告</w:t>
            </w:r>
            <w:r>
              <w:rPr>
                <w:rFonts w:hint="eastAsia"/>
              </w:rPr>
              <w:t>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5.产品采用高强度铝合金边框结构，具有第三方权威检测机构出具的落球冲击试验报告，可承受2kg钢球的撞击，玻璃不会破碎；（</w:t>
            </w:r>
            <w:r>
              <w:rPr>
                <w:rFonts w:hint="eastAsia"/>
              </w:rPr>
              <w:t>投标文件中需附相关证书的扫描件</w:t>
            </w:r>
            <w:r>
              <w:rPr>
                <w:rFonts w:hint="eastAsia" w:ascii="宋体" w:hAnsi="宋体" w:eastAsia="宋体" w:cs="宋体"/>
              </w:rPr>
              <w:t>）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6.产品可有效的阻挡液晶屏的紫外线辐射，减少紫外线对眼睛的伤害，投标文件中</w:t>
            </w:r>
            <w:r>
              <w:rPr>
                <w:rFonts w:hint="eastAsia"/>
              </w:rPr>
              <w:t>需附</w:t>
            </w:r>
            <w:r>
              <w:rPr>
                <w:rFonts w:hint="eastAsia" w:ascii="宋体" w:hAnsi="宋体" w:eastAsia="宋体" w:cs="宋体"/>
              </w:rPr>
              <w:t>国家级质量监督检验中心出具的带有CNAS和CMA资质的紫外透射比大于10%检验合格的报告扫描件；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7.产品可有效的阻挡液晶屏的蓝光辐射，减少蓝光对眼睛的伤害，投标文件中</w:t>
            </w:r>
            <w:r>
              <w:rPr>
                <w:rFonts w:hint="eastAsia"/>
              </w:rPr>
              <w:t>需附</w:t>
            </w:r>
            <w:r>
              <w:rPr>
                <w:rFonts w:hint="eastAsia" w:ascii="宋体" w:hAnsi="宋体" w:eastAsia="宋体" w:cs="宋体"/>
              </w:rPr>
              <w:t>国家级质量监督检验中心出具的带有CNAS和CMA资质的蓝光透射比大于50%检验合格的报告扫描件。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9.产品采用耐腐蚀技术处理的铝合金边框，独特的无风扇风道设计，散热性更好，具有CNAS资质的盐雾检测报告，测试时间≥168小时，无腐蚀和生锈；（</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 产品具有HDMI输出功能，且也同时支持4K视频信号源的输出。（投标文件中附盖有CMA、CNAS公章的检测报告扫描件）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13.核心触控膜组通过CNAS认证的国家级检测机构出具的高低温试验合格报告，可在高温40℃和低温-20℃等不同环境的条件下，连续开机工作不小于120小时，产品的结构和触控等正常（</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9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投标文件中附盖有CMA、CNAS公章的检测报告扫描件）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4.具有提醒笔功能，使演示更加清晰、明了，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w:t>
            </w:r>
            <w:r>
              <w:rPr>
                <w:rFonts w:hint="eastAsia"/>
              </w:rPr>
              <w:t>投标文件中附</w:t>
            </w:r>
            <w:r>
              <w:rPr>
                <w:rFonts w:hint="eastAsia" w:ascii="宋体" w:hAnsi="宋体" w:eastAsia="宋体" w:cs="宋体"/>
              </w:rPr>
              <w:t>提供具有CMA、CNAS认证</w:t>
            </w:r>
            <w:r>
              <w:rPr>
                <w:rFonts w:hint="eastAsia"/>
              </w:rPr>
              <w:t>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8.支持音频、视频、flash对象的播放，并可在播放的同时进行标注；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9.录制功能可以记录完整的操作过程和声音，并保存成AVI文件；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11.搭载教学软件应用管理平台易于管理操作，同时为了避免了不同软件的兼容性问题带来产品的系统不稳定性，要求教学软件管理平台、智慧教学软件、智慧课堂软件三套软件和整机为同一品牌（</w:t>
            </w:r>
            <w:r>
              <w:rPr>
                <w:rFonts w:hint="eastAsia"/>
              </w:rPr>
              <w:t>投标文件中需附相关证书的扫描件</w:t>
            </w:r>
            <w:r>
              <w:rPr>
                <w:rFonts w:hint="eastAsia" w:ascii="宋体" w:hAnsi="宋体" w:eastAsia="宋体" w:cs="宋体"/>
              </w:rPr>
              <w:t>）</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2.接口：USB；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3.补光：电容触摸式五颗高亮LED补光，带触摸开关控制；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4.调焦方式：定焦；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5.尺寸大小（mm）：折叠尺寸：35*29*281；展开尺寸：285*29*185；</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6.图像格式：扫描图片格式JPG、TIF、BMP、TGA、PCX、PNG、RAS ，录像格式 AVI、WMV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7.USB 5V/500MA供电，节能、低碳、环保；</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8.操作系统：Windows XP、Vista、win7；</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10.一键切换功能，可以实现展台桌面与电脑桌面的一键切换；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快速抓图功能，视频状态下的图片可以直接粘贴到WORD、PPT等办公软件里；12，电子白板功能，多种画笔可选，也能结合电子白板软件同时使用，设备软件直接嵌入白板软件，直接在白板上面进行全功能标注、闪线、擦除、文字编辑，拍照，保存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12.图像文件存储：默认为JPG格式，可修改存储路径，可按时间命名或自定义文件名，序号自增，支持OCR文字识别，方便老师将图片识别后保存为WORD文档进行再编辑；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13.软件有图像拆分重组合并功能，可根据需要将图像进行拆分，重组及合并，可支持最大5行和5列的拆分重组合并功能；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14.软件有幕布功能，老师讲课时能任意先遮盖上部分、或是下部分、或是左部分、或是右部分，更方便老师突出讲解内容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15.图像文件管理：新建、删除、改名。PDF保存，或进行多个PDF文件合并成一个PDF文件；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16.图像处理功能，如调整亮度、对比度、饱和度，进行灰度、二值化，反向，锐化，浮雕，文字编辑、标注、框选、镜像、旋转、纠偏、裁剪、合成、1:1打印等；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17.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82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1、2.0声道有源音箱，内置功率放大器、备有BLP环保麦克风插口、1000套同时使用不串频、近距离对频、抗干扰性强、安装调试简单、扩音清晰、性能稳定。</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2、麦克风音量、音乐音量、高低音独立调节。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4、1组莲花音频输入、1路莲花录音输出、1个3.5毫米电脑音频输入接口。</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★5、1路有线广播应急切换输入、5秒钟后自动恢复教室扩声。</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6、1路6.5毫米话筒输入插口、与同品牌话筒连接不用电池具有为话筒供电功率放大器专利证书。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7、外置USB2.4G无线话筒输入扩展功能。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8、铁网烤漆防护罩、配原厂支架、壁挂式安装。</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9、使用频率：2400-2485MHz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10、输出功率：2×60W</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 xml:space="preserve">11、灵敏度：86dB±2dB </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12、频率响应：20Hz-20KHz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13、信噪比：≥80dB±2dB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1、2.4G抗干扰射频技术、同一个无线麦克风、能在不同的教室接收机上使用、近距离开机自动对频具备2.4G无线话筒近距离对频专利证书，无须专人管理。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2、LED充电显示、发射机与接收机信号锁定显示、低电量显示。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3、采用硅胶静音按键，360度旋转背夹设计，音量大小调节。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4、内/外置麦克风切换功能、手持、领夹多种使用方式。</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6、远距离电子激光教鞭功能。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7、锂电池供电环保节能、连续工作12个小时、待机时间60天。</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8、传输范围：视环境变化约20M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9、信噪比：≥83dB。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10、接收灵敏度：85dB±2dB。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11、工作频率：2400-2485MHz。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12、调制方式：QPSK</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提供原厂3年免费售后服务承诺书。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提供3C认证，产品的生产企业须通过ISO国际质量体系认证（2008标准）、环境体系认证、健康体系认证，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产品的生产企业须具备数字教学设备扩声软件著作权证书；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产品的生产企业须具有2.4G无线话筒控制软件著作权证书；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（投标文件中需附相关证书的扫描件）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6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多媒体讲台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1100*670*940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柜体用1.2mm优质冷轧钢板制作，台面为12mm木纹中密度耐磨板，扶手实木烤漆，讲台整体激光落料数控折弯成型焊接而成，讲台上所有角都为圆角，安全美观。此讲台为全封闭上下结构，上柜显示器台面采用翻盖旋转结果与笔记本相似，可以任意调节可视角度。下柜左边放电脑主机，右边放功放、音箱等，下柜前后都设计有门上面冲有通风孔，既能保证设备散热安全，又便于安装检修。</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静物台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600*600*600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可折叠</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74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健康照明</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1</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微晶面板灯功率：</w:t>
            </w:r>
            <w:r>
              <w:rPr>
                <w:rFonts w:ascii="宋体" w:hAnsi="宋体" w:eastAsia="宋体" w:cs="宋体"/>
              </w:rPr>
              <w:t>36±1.5W</w:t>
            </w:r>
            <w:r>
              <w:rPr>
                <w:rFonts w:hint="eastAsia" w:ascii="宋体" w:hAnsi="宋体" w:eastAsia="宋体" w:cs="宋体"/>
              </w:rPr>
              <w:t>，整灯尺寸：</w:t>
            </w:r>
            <w:r>
              <w:rPr>
                <w:rFonts w:ascii="宋体" w:hAnsi="宋体" w:eastAsia="宋体" w:cs="宋体"/>
              </w:rPr>
              <w:t>600</w:t>
            </w:r>
            <w:r>
              <w:rPr>
                <w:rFonts w:hint="eastAsia" w:ascii="MS Mincho" w:hAnsi="MS Mincho" w:eastAsia="MS Mincho" w:cs="MS Mincho"/>
              </w:rPr>
              <w:t>✳</w:t>
            </w:r>
            <w:r>
              <w:rPr>
                <w:rFonts w:hint="eastAsia" w:ascii="宋体" w:hAnsi="宋体" w:eastAsia="宋体" w:cs="宋体"/>
              </w:rPr>
              <w:t>600；整灯为无螺丝结构，</w:t>
            </w:r>
            <w:r>
              <w:rPr>
                <w:rFonts w:ascii="宋体" w:hAnsi="宋体" w:eastAsia="宋体" w:cs="宋体"/>
              </w:rPr>
              <w:t>LED</w:t>
            </w:r>
            <w:r>
              <w:rPr>
                <w:rFonts w:hint="eastAsia" w:ascii="宋体" w:hAnsi="宋体" w:eastAsia="宋体" w:cs="宋体"/>
              </w:rPr>
              <w:t>面板灯边框采用无缝焊接技术，提高结构强度，为增加灯具美观整体采用喷白。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2</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微晶面板为有效防止眩光，灯具许采用四棱锥形微晶光学面板，材料采用</w:t>
            </w:r>
            <w:r>
              <w:rPr>
                <w:rFonts w:ascii="宋体" w:hAnsi="宋体" w:eastAsia="宋体" w:cs="宋体"/>
              </w:rPr>
              <w:t>PMMA</w:t>
            </w:r>
            <w:r>
              <w:rPr>
                <w:rFonts w:hint="eastAsia" w:ascii="宋体" w:hAnsi="宋体" w:eastAsia="宋体" w:cs="宋体"/>
              </w:rPr>
              <w:t>，微晶尺寸：</w:t>
            </w:r>
            <w:r>
              <w:rPr>
                <w:rFonts w:ascii="宋体" w:hAnsi="宋体" w:eastAsia="宋体" w:cs="宋体"/>
              </w:rPr>
              <w:t>2*2*0.7mm</w:t>
            </w:r>
            <w:r>
              <w:rPr>
                <w:rFonts w:hint="eastAsia" w:ascii="宋体" w:hAnsi="宋体" w:eastAsia="宋体" w:cs="宋体"/>
              </w:rPr>
              <w:t>，透光板由每</w:t>
            </w:r>
            <w:r>
              <w:rPr>
                <w:rFonts w:ascii="宋体" w:hAnsi="宋体" w:eastAsia="宋体" w:cs="宋体"/>
              </w:rPr>
              <w:t>1cm2</w:t>
            </w:r>
            <w:r>
              <w:rPr>
                <w:rFonts w:hint="eastAsia" w:ascii="宋体" w:hAnsi="宋体" w:eastAsia="宋体" w:cs="宋体"/>
              </w:rPr>
              <w:t>≥</w:t>
            </w:r>
            <w:r>
              <w:rPr>
                <w:rFonts w:ascii="宋体" w:hAnsi="宋体" w:eastAsia="宋体" w:cs="宋体"/>
              </w:rPr>
              <w:t>20</w:t>
            </w:r>
            <w:r>
              <w:rPr>
                <w:rFonts w:hint="eastAsia" w:ascii="宋体" w:hAnsi="宋体" w:eastAsia="宋体" w:cs="宋体"/>
              </w:rPr>
              <w:t>个的颗粒组成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3</w:t>
            </w:r>
            <w:r>
              <w:rPr>
                <w:rFonts w:hint="eastAsia" w:ascii="宋体" w:hAnsi="宋体" w:eastAsia="宋体" w:cs="宋体"/>
              </w:rPr>
              <w:t>、</w:t>
            </w:r>
            <w:r>
              <w:rPr>
                <w:rFonts w:ascii="宋体" w:hAnsi="宋体" w:eastAsia="宋体" w:cs="宋体"/>
              </w:rPr>
              <w:t>LED</w:t>
            </w:r>
            <w:r>
              <w:rPr>
                <w:rFonts w:hint="eastAsia" w:ascii="宋体" w:hAnsi="宋体" w:eastAsia="宋体" w:cs="宋体"/>
              </w:rPr>
              <w:t>面板灯灯具安装吊杆与灯体连接须采用嵌入式螺纹螺母固定，该固定座可根据安装位子，装于灯具背面两侧任意位置，且具备滑动式模块。</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LED微晶面板采用外置驱动电源，驱动外壳采用高阻燃PC料，螺纹接线端子，不可徒手插拔；驱动两端采用圆弧形盖板，需用工具拆装确保用电安全；驱动输出和输入线采用压线夹结构防拉脱，防止意外触电，为了更好的与灯具匹配，驱动需与灯具为同一制造厂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5</w:t>
            </w:r>
            <w:r>
              <w:rPr>
                <w:rFonts w:hint="eastAsia" w:ascii="宋体" w:hAnsi="宋体" w:eastAsia="宋体" w:cs="宋体"/>
              </w:rPr>
              <w:t>、根据灯具分布光度测量的一般要求以及固态照明产品电气和光度测量方法所得光电色数据为：整灯色温</w:t>
            </w:r>
            <w:r>
              <w:rPr>
                <w:rFonts w:ascii="宋体" w:hAnsi="宋体" w:eastAsia="宋体" w:cs="宋体"/>
              </w:rPr>
              <w:t xml:space="preserve"> 5000±150K</w:t>
            </w:r>
            <w:r>
              <w:rPr>
                <w:rFonts w:hint="eastAsia" w:ascii="宋体" w:hAnsi="宋体" w:eastAsia="宋体" w:cs="宋体"/>
              </w:rPr>
              <w:t>，显色指数</w:t>
            </w:r>
            <w:r>
              <w:rPr>
                <w:rFonts w:ascii="宋体" w:hAnsi="宋体" w:eastAsia="宋体" w:cs="宋体"/>
              </w:rPr>
              <w:t>Ra</w:t>
            </w:r>
            <w:r>
              <w:rPr>
                <w:rFonts w:hint="eastAsia" w:ascii="宋体" w:hAnsi="宋体" w:eastAsia="宋体" w:cs="宋体"/>
              </w:rPr>
              <w:t>≥</w:t>
            </w:r>
            <w:r>
              <w:rPr>
                <w:rFonts w:ascii="宋体" w:hAnsi="宋体" w:eastAsia="宋体" w:cs="宋体"/>
              </w:rPr>
              <w:t>98</w:t>
            </w:r>
            <w:r>
              <w:rPr>
                <w:rFonts w:hint="eastAsia" w:ascii="宋体" w:hAnsi="宋体" w:eastAsia="宋体" w:cs="宋体"/>
              </w:rPr>
              <w:t>，</w:t>
            </w:r>
            <w:r>
              <w:rPr>
                <w:rFonts w:ascii="宋体" w:hAnsi="宋体" w:eastAsia="宋体" w:cs="宋体"/>
              </w:rPr>
              <w:t>R9</w:t>
            </w:r>
            <w:r>
              <w:rPr>
                <w:rFonts w:hint="eastAsia" w:ascii="宋体" w:hAnsi="宋体" w:eastAsia="宋体" w:cs="宋体"/>
              </w:rPr>
              <w:t>≥</w:t>
            </w:r>
            <w:r>
              <w:rPr>
                <w:rFonts w:ascii="宋体" w:hAnsi="宋体" w:eastAsia="宋体" w:cs="宋体"/>
              </w:rPr>
              <w:t>99</w:t>
            </w:r>
            <w:r>
              <w:rPr>
                <w:rFonts w:hint="eastAsia" w:ascii="宋体" w:hAnsi="宋体" w:eastAsia="宋体" w:cs="宋体"/>
              </w:rPr>
              <w:t>，</w:t>
            </w:r>
            <w:r>
              <w:rPr>
                <w:rFonts w:ascii="宋体" w:hAnsi="宋体" w:eastAsia="宋体" w:cs="宋体"/>
              </w:rPr>
              <w:t>R13</w:t>
            </w:r>
            <w:r>
              <w:rPr>
                <w:rFonts w:hint="eastAsia" w:ascii="宋体" w:hAnsi="宋体" w:eastAsia="宋体" w:cs="宋体"/>
              </w:rPr>
              <w:t>≥</w:t>
            </w:r>
            <w:r>
              <w:rPr>
                <w:rFonts w:ascii="宋体" w:hAnsi="宋体" w:eastAsia="宋体" w:cs="宋体"/>
              </w:rPr>
              <w:t>99 R15</w:t>
            </w:r>
            <w:r>
              <w:rPr>
                <w:rFonts w:hint="eastAsia" w:ascii="宋体" w:hAnsi="宋体" w:eastAsia="宋体" w:cs="宋体"/>
              </w:rPr>
              <w:t>≥</w:t>
            </w:r>
            <w:r>
              <w:rPr>
                <w:rFonts w:ascii="宋体" w:hAnsi="宋体" w:eastAsia="宋体" w:cs="宋体"/>
              </w:rPr>
              <w:t>97</w:t>
            </w:r>
            <w:r>
              <w:rPr>
                <w:rFonts w:hint="eastAsia" w:ascii="宋体" w:hAnsi="宋体" w:eastAsia="宋体" w:cs="宋体"/>
              </w:rPr>
              <w:t>，功率因数≥</w:t>
            </w:r>
            <w:r>
              <w:rPr>
                <w:rFonts w:ascii="宋体" w:hAnsi="宋体" w:eastAsia="宋体" w:cs="宋体"/>
              </w:rPr>
              <w:t>0.99</w:t>
            </w:r>
            <w:r>
              <w:rPr>
                <w:rFonts w:hint="eastAsia" w:ascii="宋体" w:hAnsi="宋体" w:eastAsia="宋体" w:cs="宋体"/>
              </w:rPr>
              <w:t>，向下光通量≥</w:t>
            </w:r>
            <w:r>
              <w:rPr>
                <w:rFonts w:ascii="宋体" w:hAnsi="宋体" w:eastAsia="宋体" w:cs="宋体"/>
              </w:rPr>
              <w:t>2800m</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6</w:t>
            </w:r>
            <w:r>
              <w:rPr>
                <w:rFonts w:hint="eastAsia" w:ascii="宋体" w:hAnsi="宋体" w:eastAsia="宋体" w:cs="宋体"/>
              </w:rPr>
              <w:t>、</w:t>
            </w:r>
            <w:r>
              <w:rPr>
                <w:rFonts w:ascii="宋体" w:hAnsi="宋体" w:eastAsia="宋体" w:cs="宋体"/>
              </w:rPr>
              <w:t>LED</w:t>
            </w:r>
            <w:r>
              <w:rPr>
                <w:rFonts w:hint="eastAsia" w:ascii="宋体" w:hAnsi="宋体" w:eastAsia="宋体" w:cs="宋体"/>
              </w:rPr>
              <w:t>面板灯根据</w:t>
            </w:r>
            <w:r>
              <w:rPr>
                <w:rFonts w:ascii="宋体" w:hAnsi="宋体" w:eastAsia="宋体" w:cs="宋体"/>
              </w:rPr>
              <w:t>LED</w:t>
            </w:r>
            <w:r>
              <w:rPr>
                <w:rFonts w:hint="eastAsia" w:ascii="宋体" w:hAnsi="宋体" w:eastAsia="宋体" w:cs="宋体"/>
              </w:rPr>
              <w:t>照明闪烁的潜在健康影响方法所得光频闪无危害或无显著影响数值要求为：免除考核光频闪危害（光输出波形频率＞</w:t>
            </w:r>
            <w:r>
              <w:rPr>
                <w:rFonts w:ascii="宋体" w:hAnsi="宋体" w:eastAsia="宋体" w:cs="宋体"/>
              </w:rPr>
              <w:t>3125Hz</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7</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微晶面板灯根据《</w:t>
            </w:r>
            <w:r>
              <w:rPr>
                <w:rFonts w:ascii="宋体" w:hAnsi="宋体" w:eastAsia="宋体" w:cs="宋体"/>
              </w:rPr>
              <w:t>IEC 62471</w:t>
            </w:r>
            <w:r>
              <w:rPr>
                <w:rFonts w:hint="eastAsia" w:ascii="宋体" w:hAnsi="宋体" w:eastAsia="宋体" w:cs="宋体"/>
              </w:rPr>
              <w:t>：</w:t>
            </w:r>
            <w:r>
              <w:rPr>
                <w:rFonts w:ascii="宋体" w:hAnsi="宋体" w:eastAsia="宋体" w:cs="宋体"/>
              </w:rPr>
              <w:t xml:space="preserve">2006 </w:t>
            </w:r>
            <w:r>
              <w:rPr>
                <w:rFonts w:hint="eastAsia" w:ascii="宋体" w:hAnsi="宋体" w:eastAsia="宋体" w:cs="宋体"/>
              </w:rPr>
              <w:t>灯和灯系统的光生物安全》出具的蓝光检测报告：蓝光危害为“无危险类”，</w:t>
            </w:r>
            <w:r>
              <w:rPr>
                <w:rFonts w:ascii="宋体" w:hAnsi="宋体" w:eastAsia="宋体" w:cs="宋体"/>
              </w:rPr>
              <w:t>B(λ)</w:t>
            </w:r>
            <w:r>
              <w:rPr>
                <w:rFonts w:hint="eastAsia" w:ascii="宋体" w:hAnsi="宋体" w:eastAsia="宋体" w:cs="宋体"/>
              </w:rPr>
              <w:t>≤</w:t>
            </w:r>
            <w:r>
              <w:rPr>
                <w:rFonts w:ascii="宋体" w:hAnsi="宋体" w:eastAsia="宋体" w:cs="宋体"/>
              </w:rPr>
              <w:t>1</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8</w:t>
            </w:r>
            <w:r>
              <w:rPr>
                <w:rFonts w:hint="eastAsia" w:ascii="宋体" w:hAnsi="宋体" w:eastAsia="宋体" w:cs="宋体"/>
              </w:rPr>
              <w:t>、为使教室课桌面达到最佳的照度均匀度与防眩效果，</w:t>
            </w:r>
            <w:r>
              <w:rPr>
                <w:rFonts w:ascii="宋体" w:hAnsi="宋体" w:eastAsia="宋体" w:cs="宋体"/>
              </w:rPr>
              <w:t>LED</w:t>
            </w:r>
            <w:r>
              <w:rPr>
                <w:rFonts w:hint="eastAsia" w:ascii="宋体" w:hAnsi="宋体" w:eastAsia="宋体" w:cs="宋体"/>
              </w:rPr>
              <w:t>面板灯在</w:t>
            </w:r>
            <w:r>
              <w:rPr>
                <w:rFonts w:ascii="宋体" w:hAnsi="宋体" w:eastAsia="宋体" w:cs="宋体"/>
              </w:rPr>
              <w:t>C0-C180</w:t>
            </w:r>
            <w:r>
              <w:rPr>
                <w:rFonts w:hint="eastAsia" w:ascii="宋体" w:hAnsi="宋体" w:eastAsia="宋体" w:cs="宋体"/>
              </w:rPr>
              <w:t>面的光束角必须满足</w:t>
            </w:r>
            <w:r>
              <w:rPr>
                <w:rFonts w:ascii="宋体" w:hAnsi="宋体" w:eastAsia="宋体" w:cs="宋体"/>
              </w:rPr>
              <w:t>90±2° C90-270</w:t>
            </w:r>
            <w:r>
              <w:rPr>
                <w:rFonts w:hint="eastAsia" w:ascii="宋体" w:hAnsi="宋体" w:eastAsia="宋体" w:cs="宋体"/>
              </w:rPr>
              <w:t>面光束角必须满足</w:t>
            </w:r>
            <w:r>
              <w:rPr>
                <w:rFonts w:ascii="宋体" w:hAnsi="宋体" w:eastAsia="宋体" w:cs="宋体"/>
              </w:rPr>
              <w:t>87±2°</w:t>
            </w:r>
            <w:r>
              <w:rPr>
                <w:rFonts w:hint="eastAsia" w:ascii="宋体" w:hAnsi="宋体" w:eastAsia="宋体" w:cs="宋体"/>
              </w:rPr>
              <w:t>，距高比满足</w:t>
            </w:r>
            <w:r>
              <w:rPr>
                <w:rFonts w:ascii="宋体" w:hAnsi="宋体" w:eastAsia="宋体" w:cs="宋体"/>
              </w:rPr>
              <w:t>1.2±0.3</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9</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微晶面板灯安装后须满足中小学校教室采光和照明卫生设计方法要求：课桌面照度≥</w:t>
            </w:r>
            <w:r>
              <w:rPr>
                <w:rFonts w:ascii="宋体" w:hAnsi="宋体" w:eastAsia="宋体" w:cs="宋体"/>
              </w:rPr>
              <w:t>340lx</w:t>
            </w:r>
            <w:r>
              <w:rPr>
                <w:rFonts w:hint="eastAsia" w:ascii="宋体" w:hAnsi="宋体" w:eastAsia="宋体" w:cs="宋体"/>
              </w:rPr>
              <w:t>，桌面照度均匀度≥</w:t>
            </w:r>
            <w:r>
              <w:rPr>
                <w:rFonts w:ascii="宋体" w:hAnsi="宋体" w:eastAsia="宋体" w:cs="宋体"/>
              </w:rPr>
              <w:t>0.85,UGR</w:t>
            </w:r>
            <w:r>
              <w:rPr>
                <w:rFonts w:hint="eastAsia" w:ascii="宋体" w:hAnsi="宋体" w:eastAsia="宋体" w:cs="宋体"/>
              </w:rPr>
              <w:t>≤</w:t>
            </w:r>
            <w:r>
              <w:rPr>
                <w:rFonts w:ascii="宋体" w:hAnsi="宋体" w:eastAsia="宋体" w:cs="宋体"/>
              </w:rPr>
              <w:t>15</w:t>
            </w:r>
            <w:r>
              <w:rPr>
                <w:rFonts w:hint="eastAsia" w:ascii="宋体" w:hAnsi="宋体" w:eastAsia="宋体" w:cs="宋体"/>
              </w:rPr>
              <w:t>，照明功率密度</w:t>
            </w:r>
            <w:r>
              <w:rPr>
                <w:rFonts w:ascii="宋体" w:hAnsi="宋体" w:eastAsia="宋体" w:cs="宋体"/>
              </w:rPr>
              <w:t xml:space="preserve"> </w:t>
            </w:r>
            <w:r>
              <w:rPr>
                <w:rFonts w:hint="eastAsia" w:ascii="宋体" w:hAnsi="宋体" w:eastAsia="宋体" w:cs="宋体"/>
              </w:rPr>
              <w:t>≤</w:t>
            </w:r>
            <w:r>
              <w:rPr>
                <w:rFonts w:ascii="宋体" w:hAnsi="宋体" w:eastAsia="宋体" w:cs="宋体"/>
              </w:rPr>
              <w:t>6 W/</w:t>
            </w:r>
            <w:r>
              <w:rPr>
                <w:rFonts w:hint="eastAsia" w:ascii="宋体" w:hAnsi="宋体" w:eastAsia="宋体" w:cs="宋体"/>
              </w:rPr>
              <w:t>㎡</w:t>
            </w:r>
            <w:r>
              <w:rPr>
                <w:rFonts w:ascii="宋体" w:hAnsi="宋体" w:eastAsia="宋体" w:cs="宋体"/>
              </w:rPr>
              <w:t xml:space="preserve"> </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10、LED面板灯根据视觉工效学原则、室内工作场所照明、LED照明产品视觉健康舒适度方法要求：须满足人眼视觉舒适度VICO＜2，能有效降低对学生视觉的危害。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11、LED微晶面板灯根据灯具分布光度测量的一般要：必须通过正常燃点光通维持率（加速测试不计）6000小时以上光通维持率测试，光通维持率≥93%；</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12、LED微晶面板灯为保护学生视力，需具备“眼舒适”、“低蓝光”、“无频闪”认证。</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盏</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4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学生桌</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1400*800*740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全橡胶木实木桌，60×60桌腿，18mm厚AA级橡胶木机拼板桌面，榫头连接、结构合理美观、牢固耐用，所有板边倒圆边，板面光滑，无毛刺；“嘉宝莉”环保聚酯木器漆（清水漆、五底三面）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6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方凳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360*260*420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全橡胶木实木凳，榫头连接、结构合理美观、牢固耐用，表面光滑，无毛刺；“嘉宝莉”环保聚酯木器漆（清水漆、五底三面）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边柜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L*550*800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6.6</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5600*450*2000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采用</w:t>
            </w:r>
            <w:r>
              <w:rPr>
                <w:rStyle w:val="77"/>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水嘴采用全铜质表面层经耐酸漆涂处理一体化专用鹅颈单联水嘴，陶瓷阀芯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给水采用优质专用铝塑管软连接</w:t>
            </w:r>
            <w:r>
              <w:rPr>
                <w:rStyle w:val="77"/>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室内地上管线对接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1.5—4平方的国标铜芯线</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 xml:space="preserve"> 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图书馆一层 小学美术器材室1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图书馆二层 小学美术教室2</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89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，80mm≥厚度≥75mm；产品显示尺寸：86英寸，采用工业级液晶屏，分辨率≧3840*2160；正面显示为三块拼接而成的纯平面黑板，无推拉式结构，一体化设计，无任何外露连接线；（提供产品彩页或官网截图证明）</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w:t>
            </w:r>
            <w:r>
              <w:rPr>
                <w:rFonts w:hint="eastAsia"/>
              </w:rPr>
              <w:t>投标文件中需附具有</w:t>
            </w:r>
            <w:r>
              <w:rPr>
                <w:rFonts w:hint="eastAsia" w:ascii="宋体" w:hAnsi="宋体" w:eastAsia="宋体" w:cs="宋体"/>
              </w:rPr>
              <w:t>CMA、CNAS公章的检测报告</w:t>
            </w:r>
            <w:r>
              <w:rPr>
                <w:rFonts w:hint="eastAsia"/>
              </w:rPr>
              <w:t>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5.产品采用高强度铝合金边框结构，具有第三方权威检测机构出具的落球冲击试验报告，可承受2kg钢球的撞击，玻璃不会破碎；（</w:t>
            </w:r>
            <w:r>
              <w:rPr>
                <w:rFonts w:hint="eastAsia"/>
              </w:rPr>
              <w:t>投标文件中需附相关证书的扫描件</w:t>
            </w:r>
            <w:r>
              <w:rPr>
                <w:rFonts w:hint="eastAsia" w:ascii="宋体" w:hAnsi="宋体" w:eastAsia="宋体" w:cs="宋体"/>
              </w:rPr>
              <w:t>）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6.产品可有效的阻挡液晶屏的紫外线辐射，减少紫外线对眼睛的伤害，投标文件中附国家级质量监督检验中心出具的带有CNAS和CMA资质的紫外透射比大于10%检验合格的报告扫描件；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7.产品可有效的阻挡液晶屏的蓝光辐射，减少蓝光对眼睛的伤害，投标文件中附国家级质量监督检验中心出具的带有CNAS和CMA资质的蓝光透射比大于50%检验合格的报告扫描件。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9.产品采用耐腐蚀技术处理的铝合金边框，独特的无风扇风道设计，散热性更好，具有CNAS资质的盐雾检测报告，测试时间≥168小时，无腐蚀和生锈；（</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 产品具有HDMI输出功能，且也同时支持4K视频信号源的输出。（投标文件中附盖有CMA、CNAS公章的检测报告扫描件）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13.核心触控膜组通过CNAS认证的国家级检测机构出具的高低温试验合格报告，可在高温40℃和低温-20℃等不同环境的条件下，连续开机工作不小于120小时，产品的结构和触控等正常（</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6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投标文件附盖有CMA、CNAS公章的检测报告扫描件）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4.具有提醒笔功能，使演示更加清晰、明了，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投标文件中附具有CMA、CNAS认证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8.支持音频、视频、flash对象的播放，并可在播放的同时进行标注；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9.录制功能可以记录完整的操作过程和声音，并保存成AVI文件；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11.搭载教学软件应用管理平台易于管理操作，同时为了避免了不同软件的兼容性问题带来产品的系统不稳定性，要求教学软件管理平台、智慧教学软件、智慧课堂软件三套软件和整机为同一品牌</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257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2.接口：USB；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3.补光：电容触摸式五颗高亮LED补光，带触摸开关控制；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4.调焦方式：定焦；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5.尺寸大小（mm）：折叠尺寸：35*29*281；展开尺寸：285*29*185；</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6.图像格式：扫描图片格式JPG、TIF、BMP、TGA、PCX、PNG、RAS ，录像格式 AVI、WMV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7.USB 5V/500MA供电，节能、低碳、环保；</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8.操作系统：Windows XP、Vista、win7；</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10.一键切换功能，可以实现展台桌面与电脑桌面的一键切换；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11.快速抓图功能，视频状态下的图片可以直接粘贴到WORD、PPT等办公软件里；</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13，电子白板功能，多种画笔可选，也能结合电子白板软件同时使用，设备软件直接嵌入白板软件，直接在白板上面进行全功能标注、闪线、擦除、文字编辑，拍照，保存等；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14.图像文件存储：默认为JPG格式，可修改存储路径，可按时间命名或自定义文件名，序号自增，支持OCR文字识别，方便老师将图片识别后保存为WORD文档进行再编辑；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15.软件有图像拆分重组合并功能，可根据需要将图像进行拆分，重组及合并，可支持最大5行和5列的拆分重组合并功能；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16.软件有幕布功能，老师讲课时能任意先遮盖上部分、或是下部分、或是左部分、或是右部分，更方便老师突出讲解内容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17.图像文件管理：新建、删除、改名。PDF保存，或进行多个PDF文件合并成一个PDF文件；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18.图像处理功能，如调整亮度、对比度、饱和度，进行灰度、二值化，反向，锐化，浮雕，文字编辑、标注、框选、镜像、旋转、纠偏、裁剪、合成、1:1打印等；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19.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89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1、2.0声道有源音箱，内置功率放大器、备有BLP环保麦克风插口、1000套同时使用不串频、近距离对频、抗干扰性强、安装调试简单、扩音清晰、性能稳定。</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2、麦克风音量、音乐音量、高低音独立调节。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4、1组莲花音频输入、1路莲花录音输出、1个3.5毫米电脑音频输入接口。</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5、1路有线广播应急切换输入、5秒钟后自动恢复教室扩声。</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6、1路6.5毫米话筒输入插口、与同品牌话筒连接不用电池具有为话筒供电功率放大器专利证书。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7、外置USB2.4G无线话筒输入扩展功能。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8、铁网烤漆防护罩、配原厂支架、壁挂式安装。</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9、使用频率：2400-2485MHz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10、输出功率：2×60W</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 xml:space="preserve">11、灵敏度：86dB±2dB </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12、频率响应：20Hz-20KHz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13、信噪比：≥80dB±2dB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1、2.4G抗干扰射频技术、同一个无线麦克风、能在不同的教室接收机上使用、近距离开机自动对频具备2.4G无线话筒近距离对频专利证书，无须专人管理。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2、LED充电显示、发射机与接收机信号锁定显示、低电量显示。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3、采用硅胶静音按键，360度旋转背夹设计，音量大小调节。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4、内/外置麦克风切换功能、手持、领夹多种使用方式。</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6、远距离电子激光教鞭功能。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7、锂电池供电环保节能、连续工作12个小时、待机时间60天。</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8、传输范围：视环境变化约20M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9、信噪比：≥83dB。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10、接收灵敏度：85dB±2dB。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11、工作频率：2400-2485MHz。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12、调制方式：QPSK</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提供原厂3年免费售后服务承诺书。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提供3C认证，产品的生产企业须通过ISO国际质量体系认证（2008标准）、环境体系认证、健康体系认证，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产品的生产企业须具备数字教学设备扩声软件著作权证书；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产品的生产企业须具有2.4G无线话筒控制软件著作权证书；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（投标文件中需附相关证书的扫描件）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多媒体讲台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1100*670*940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柜体用1.2mm优质冷轧钢板制作，台面为12mm木纹中密度耐磨板，扶手实木烤漆，讲台整体激光落料数控折弯成型焊接而成，讲台上所有角都为圆角，安全美观。此讲台为全封闭上下结构，上柜显示器台面采用翻盖旋转结果与笔记本相似，可以任意调节可视角度。下柜左边放电脑主机，右边放功放、音箱等，下柜前后都设计有门上面冲有通风孔，既能保证设备散热安全，又便于安装检修。</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静物台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600*600*600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可折叠</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71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健康照明</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1</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微晶面板灯功率：</w:t>
            </w:r>
            <w:r>
              <w:rPr>
                <w:rFonts w:ascii="宋体" w:hAnsi="宋体" w:eastAsia="宋体" w:cs="宋体"/>
              </w:rPr>
              <w:t>36±1.5W</w:t>
            </w:r>
            <w:r>
              <w:rPr>
                <w:rFonts w:hint="eastAsia" w:ascii="宋体" w:hAnsi="宋体" w:eastAsia="宋体" w:cs="宋体"/>
              </w:rPr>
              <w:t>，整灯尺寸：</w:t>
            </w:r>
            <w:r>
              <w:rPr>
                <w:rFonts w:ascii="宋体" w:hAnsi="宋体" w:eastAsia="宋体" w:cs="宋体"/>
              </w:rPr>
              <w:t>600</w:t>
            </w:r>
            <w:r>
              <w:rPr>
                <w:rFonts w:hint="eastAsia" w:ascii="MS Mincho" w:hAnsi="MS Mincho" w:eastAsia="MS Mincho" w:cs="MS Mincho"/>
              </w:rPr>
              <w:t>✳</w:t>
            </w:r>
            <w:r>
              <w:rPr>
                <w:rFonts w:hint="eastAsia" w:ascii="宋体" w:hAnsi="宋体" w:eastAsia="宋体" w:cs="宋体"/>
              </w:rPr>
              <w:t>600；整灯为无螺丝结构，</w:t>
            </w:r>
            <w:r>
              <w:rPr>
                <w:rFonts w:ascii="宋体" w:hAnsi="宋体" w:eastAsia="宋体" w:cs="宋体"/>
              </w:rPr>
              <w:t>LED</w:t>
            </w:r>
            <w:r>
              <w:rPr>
                <w:rFonts w:hint="eastAsia" w:ascii="宋体" w:hAnsi="宋体" w:eastAsia="宋体" w:cs="宋体"/>
              </w:rPr>
              <w:t>面板灯边框采用无缝焊接技术，提高结构强度，为增加灯具美观整体采用喷白。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2</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微晶面板为有效防止眩光，灯具许采用四棱锥形微晶光学面板，材料采用</w:t>
            </w:r>
            <w:r>
              <w:rPr>
                <w:rFonts w:ascii="宋体" w:hAnsi="宋体" w:eastAsia="宋体" w:cs="宋体"/>
              </w:rPr>
              <w:t>PMMA</w:t>
            </w:r>
            <w:r>
              <w:rPr>
                <w:rFonts w:hint="eastAsia" w:ascii="宋体" w:hAnsi="宋体" w:eastAsia="宋体" w:cs="宋体"/>
              </w:rPr>
              <w:t>，微晶尺寸：</w:t>
            </w:r>
            <w:r>
              <w:rPr>
                <w:rFonts w:ascii="宋体" w:hAnsi="宋体" w:eastAsia="宋体" w:cs="宋体"/>
              </w:rPr>
              <w:t>2*2*0.7mm</w:t>
            </w:r>
            <w:r>
              <w:rPr>
                <w:rFonts w:hint="eastAsia" w:ascii="宋体" w:hAnsi="宋体" w:eastAsia="宋体" w:cs="宋体"/>
              </w:rPr>
              <w:t>，透光板由每</w:t>
            </w:r>
            <w:r>
              <w:rPr>
                <w:rFonts w:ascii="宋体" w:hAnsi="宋体" w:eastAsia="宋体" w:cs="宋体"/>
              </w:rPr>
              <w:t>1cm2</w:t>
            </w:r>
            <w:r>
              <w:rPr>
                <w:rFonts w:hint="eastAsia" w:ascii="宋体" w:hAnsi="宋体" w:eastAsia="宋体" w:cs="宋体"/>
              </w:rPr>
              <w:t>≥</w:t>
            </w:r>
            <w:r>
              <w:rPr>
                <w:rFonts w:ascii="宋体" w:hAnsi="宋体" w:eastAsia="宋体" w:cs="宋体"/>
              </w:rPr>
              <w:t>20</w:t>
            </w:r>
            <w:r>
              <w:rPr>
                <w:rFonts w:hint="eastAsia" w:ascii="宋体" w:hAnsi="宋体" w:eastAsia="宋体" w:cs="宋体"/>
              </w:rPr>
              <w:t>个的颗粒组成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3</w:t>
            </w:r>
            <w:r>
              <w:rPr>
                <w:rFonts w:hint="eastAsia" w:ascii="宋体" w:hAnsi="宋体" w:eastAsia="宋体" w:cs="宋体"/>
              </w:rPr>
              <w:t>、</w:t>
            </w:r>
            <w:r>
              <w:rPr>
                <w:rFonts w:ascii="宋体" w:hAnsi="宋体" w:eastAsia="宋体" w:cs="宋体"/>
              </w:rPr>
              <w:t>LED</w:t>
            </w:r>
            <w:r>
              <w:rPr>
                <w:rFonts w:hint="eastAsia" w:ascii="宋体" w:hAnsi="宋体" w:eastAsia="宋体" w:cs="宋体"/>
              </w:rPr>
              <w:t>面板灯灯具安装吊杆与灯体连接须采用嵌入式螺纹螺母固定，该固定座可根据安装位子，装于灯具背面两侧任意位置，且具备滑动式模块。</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LED微晶面板采用外置驱动电源，驱动外壳采用高阻燃PC料，螺纹接线端子，不可徒手插拔；驱动两端采用圆弧形盖板，需用工具拆装确保用电安全；驱动输出和输入线采用压线夹结构防拉脱，防止意外触电，为了更好的与灯具匹配，驱动需与灯具为同一制造厂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5</w:t>
            </w:r>
            <w:r>
              <w:rPr>
                <w:rFonts w:hint="eastAsia" w:ascii="宋体" w:hAnsi="宋体" w:eastAsia="宋体" w:cs="宋体"/>
              </w:rPr>
              <w:t>、根据灯具分布光度测量的一般要求以及固态照明产品电气和光度测量方法所得光电色数据为：整灯色温</w:t>
            </w:r>
            <w:r>
              <w:rPr>
                <w:rFonts w:ascii="宋体" w:hAnsi="宋体" w:eastAsia="宋体" w:cs="宋体"/>
              </w:rPr>
              <w:t xml:space="preserve"> 5000±150K</w:t>
            </w:r>
            <w:r>
              <w:rPr>
                <w:rFonts w:hint="eastAsia" w:ascii="宋体" w:hAnsi="宋体" w:eastAsia="宋体" w:cs="宋体"/>
              </w:rPr>
              <w:t>，显色指数</w:t>
            </w:r>
            <w:r>
              <w:rPr>
                <w:rFonts w:ascii="宋体" w:hAnsi="宋体" w:eastAsia="宋体" w:cs="宋体"/>
              </w:rPr>
              <w:t>Ra</w:t>
            </w:r>
            <w:r>
              <w:rPr>
                <w:rFonts w:hint="eastAsia" w:ascii="宋体" w:hAnsi="宋体" w:eastAsia="宋体" w:cs="宋体"/>
              </w:rPr>
              <w:t>≥</w:t>
            </w:r>
            <w:r>
              <w:rPr>
                <w:rFonts w:ascii="宋体" w:hAnsi="宋体" w:eastAsia="宋体" w:cs="宋体"/>
              </w:rPr>
              <w:t>98</w:t>
            </w:r>
            <w:r>
              <w:rPr>
                <w:rFonts w:hint="eastAsia" w:ascii="宋体" w:hAnsi="宋体" w:eastAsia="宋体" w:cs="宋体"/>
              </w:rPr>
              <w:t>，</w:t>
            </w:r>
            <w:r>
              <w:rPr>
                <w:rFonts w:ascii="宋体" w:hAnsi="宋体" w:eastAsia="宋体" w:cs="宋体"/>
              </w:rPr>
              <w:t>R9</w:t>
            </w:r>
            <w:r>
              <w:rPr>
                <w:rFonts w:hint="eastAsia" w:ascii="宋体" w:hAnsi="宋体" w:eastAsia="宋体" w:cs="宋体"/>
              </w:rPr>
              <w:t>≥</w:t>
            </w:r>
            <w:r>
              <w:rPr>
                <w:rFonts w:ascii="宋体" w:hAnsi="宋体" w:eastAsia="宋体" w:cs="宋体"/>
              </w:rPr>
              <w:t>99</w:t>
            </w:r>
            <w:r>
              <w:rPr>
                <w:rFonts w:hint="eastAsia" w:ascii="宋体" w:hAnsi="宋体" w:eastAsia="宋体" w:cs="宋体"/>
              </w:rPr>
              <w:t>，</w:t>
            </w:r>
            <w:r>
              <w:rPr>
                <w:rFonts w:ascii="宋体" w:hAnsi="宋体" w:eastAsia="宋体" w:cs="宋体"/>
              </w:rPr>
              <w:t>R13</w:t>
            </w:r>
            <w:r>
              <w:rPr>
                <w:rFonts w:hint="eastAsia" w:ascii="宋体" w:hAnsi="宋体" w:eastAsia="宋体" w:cs="宋体"/>
              </w:rPr>
              <w:t>≥</w:t>
            </w:r>
            <w:r>
              <w:rPr>
                <w:rFonts w:ascii="宋体" w:hAnsi="宋体" w:eastAsia="宋体" w:cs="宋体"/>
              </w:rPr>
              <w:t>99 R15</w:t>
            </w:r>
            <w:r>
              <w:rPr>
                <w:rFonts w:hint="eastAsia" w:ascii="宋体" w:hAnsi="宋体" w:eastAsia="宋体" w:cs="宋体"/>
              </w:rPr>
              <w:t>≥</w:t>
            </w:r>
            <w:r>
              <w:rPr>
                <w:rFonts w:ascii="宋体" w:hAnsi="宋体" w:eastAsia="宋体" w:cs="宋体"/>
              </w:rPr>
              <w:t>97</w:t>
            </w:r>
            <w:r>
              <w:rPr>
                <w:rFonts w:hint="eastAsia" w:ascii="宋体" w:hAnsi="宋体" w:eastAsia="宋体" w:cs="宋体"/>
              </w:rPr>
              <w:t>，功率因数≥</w:t>
            </w:r>
            <w:r>
              <w:rPr>
                <w:rFonts w:ascii="宋体" w:hAnsi="宋体" w:eastAsia="宋体" w:cs="宋体"/>
              </w:rPr>
              <w:t>0.99</w:t>
            </w:r>
            <w:r>
              <w:rPr>
                <w:rFonts w:hint="eastAsia" w:ascii="宋体" w:hAnsi="宋体" w:eastAsia="宋体" w:cs="宋体"/>
              </w:rPr>
              <w:t>，向下光通量≥</w:t>
            </w:r>
            <w:r>
              <w:rPr>
                <w:rFonts w:ascii="宋体" w:hAnsi="宋体" w:eastAsia="宋体" w:cs="宋体"/>
              </w:rPr>
              <w:t>2800m</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6</w:t>
            </w:r>
            <w:r>
              <w:rPr>
                <w:rFonts w:hint="eastAsia" w:ascii="宋体" w:hAnsi="宋体" w:eastAsia="宋体" w:cs="宋体"/>
              </w:rPr>
              <w:t>、</w:t>
            </w:r>
            <w:r>
              <w:rPr>
                <w:rFonts w:ascii="宋体" w:hAnsi="宋体" w:eastAsia="宋体" w:cs="宋体"/>
              </w:rPr>
              <w:t>LED</w:t>
            </w:r>
            <w:r>
              <w:rPr>
                <w:rFonts w:hint="eastAsia" w:ascii="宋体" w:hAnsi="宋体" w:eastAsia="宋体" w:cs="宋体"/>
              </w:rPr>
              <w:t>面板灯根据</w:t>
            </w:r>
            <w:r>
              <w:rPr>
                <w:rFonts w:ascii="宋体" w:hAnsi="宋体" w:eastAsia="宋体" w:cs="宋体"/>
              </w:rPr>
              <w:t>LED</w:t>
            </w:r>
            <w:r>
              <w:rPr>
                <w:rFonts w:hint="eastAsia" w:ascii="宋体" w:hAnsi="宋体" w:eastAsia="宋体" w:cs="宋体"/>
              </w:rPr>
              <w:t>照明闪烁的潜在健康影响方法所得光频闪无危害或无显著影响数值要求为：免除考核光频闪危害（光输出波形频率＞</w:t>
            </w:r>
            <w:r>
              <w:rPr>
                <w:rFonts w:ascii="宋体" w:hAnsi="宋体" w:eastAsia="宋体" w:cs="宋体"/>
              </w:rPr>
              <w:t>3125Hz</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7</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微晶面板灯根据《</w:t>
            </w:r>
            <w:r>
              <w:rPr>
                <w:rFonts w:ascii="宋体" w:hAnsi="宋体" w:eastAsia="宋体" w:cs="宋体"/>
              </w:rPr>
              <w:t>IEC 62471</w:t>
            </w:r>
            <w:r>
              <w:rPr>
                <w:rFonts w:hint="eastAsia" w:ascii="宋体" w:hAnsi="宋体" w:eastAsia="宋体" w:cs="宋体"/>
              </w:rPr>
              <w:t>：</w:t>
            </w:r>
            <w:r>
              <w:rPr>
                <w:rFonts w:ascii="宋体" w:hAnsi="宋体" w:eastAsia="宋体" w:cs="宋体"/>
              </w:rPr>
              <w:t xml:space="preserve">2006 </w:t>
            </w:r>
            <w:r>
              <w:rPr>
                <w:rFonts w:hint="eastAsia" w:ascii="宋体" w:hAnsi="宋体" w:eastAsia="宋体" w:cs="宋体"/>
              </w:rPr>
              <w:t>灯和灯系统的光生物安全》出具的蓝光检测报告：蓝光危害为“无危险类”，</w:t>
            </w:r>
            <w:r>
              <w:rPr>
                <w:rFonts w:ascii="宋体" w:hAnsi="宋体" w:eastAsia="宋体" w:cs="宋体"/>
              </w:rPr>
              <w:t>B(λ)</w:t>
            </w:r>
            <w:r>
              <w:rPr>
                <w:rFonts w:hint="eastAsia" w:ascii="宋体" w:hAnsi="宋体" w:eastAsia="宋体" w:cs="宋体"/>
              </w:rPr>
              <w:t>≤</w:t>
            </w:r>
            <w:r>
              <w:rPr>
                <w:rFonts w:ascii="宋体" w:hAnsi="宋体" w:eastAsia="宋体" w:cs="宋体"/>
              </w:rPr>
              <w:t>1</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8</w:t>
            </w:r>
            <w:r>
              <w:rPr>
                <w:rFonts w:hint="eastAsia" w:ascii="宋体" w:hAnsi="宋体" w:eastAsia="宋体" w:cs="宋体"/>
              </w:rPr>
              <w:t>、为使教室课桌面达到最佳的照度均匀度与防眩效果，</w:t>
            </w:r>
            <w:r>
              <w:rPr>
                <w:rFonts w:ascii="宋体" w:hAnsi="宋体" w:eastAsia="宋体" w:cs="宋体"/>
              </w:rPr>
              <w:t>LED</w:t>
            </w:r>
            <w:r>
              <w:rPr>
                <w:rFonts w:hint="eastAsia" w:ascii="宋体" w:hAnsi="宋体" w:eastAsia="宋体" w:cs="宋体"/>
              </w:rPr>
              <w:t>面板灯在</w:t>
            </w:r>
            <w:r>
              <w:rPr>
                <w:rFonts w:ascii="宋体" w:hAnsi="宋体" w:eastAsia="宋体" w:cs="宋体"/>
              </w:rPr>
              <w:t>C0-C180</w:t>
            </w:r>
            <w:r>
              <w:rPr>
                <w:rFonts w:hint="eastAsia" w:ascii="宋体" w:hAnsi="宋体" w:eastAsia="宋体" w:cs="宋体"/>
              </w:rPr>
              <w:t>面的光束角必须满足</w:t>
            </w:r>
            <w:r>
              <w:rPr>
                <w:rFonts w:ascii="宋体" w:hAnsi="宋体" w:eastAsia="宋体" w:cs="宋体"/>
              </w:rPr>
              <w:t>90±2° C90-270</w:t>
            </w:r>
            <w:r>
              <w:rPr>
                <w:rFonts w:hint="eastAsia" w:ascii="宋体" w:hAnsi="宋体" w:eastAsia="宋体" w:cs="宋体"/>
              </w:rPr>
              <w:t>面光束角必须满足</w:t>
            </w:r>
            <w:r>
              <w:rPr>
                <w:rFonts w:ascii="宋体" w:hAnsi="宋体" w:eastAsia="宋体" w:cs="宋体"/>
              </w:rPr>
              <w:t>87±2°</w:t>
            </w:r>
            <w:r>
              <w:rPr>
                <w:rFonts w:hint="eastAsia" w:ascii="宋体" w:hAnsi="宋体" w:eastAsia="宋体" w:cs="宋体"/>
              </w:rPr>
              <w:t>，距高比满足</w:t>
            </w:r>
            <w:r>
              <w:rPr>
                <w:rFonts w:ascii="宋体" w:hAnsi="宋体" w:eastAsia="宋体" w:cs="宋体"/>
              </w:rPr>
              <w:t>1.2±0.3</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ascii="宋体" w:hAnsi="宋体" w:eastAsia="宋体" w:cs="宋体"/>
              </w:rPr>
              <w:t>9</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微晶面板灯安装后须满足中小学校教室采光和照明卫生设计方法要求：课桌面照度≥</w:t>
            </w:r>
            <w:r>
              <w:rPr>
                <w:rFonts w:ascii="宋体" w:hAnsi="宋体" w:eastAsia="宋体" w:cs="宋体"/>
              </w:rPr>
              <w:t>340lx</w:t>
            </w:r>
            <w:r>
              <w:rPr>
                <w:rFonts w:hint="eastAsia" w:ascii="宋体" w:hAnsi="宋体" w:eastAsia="宋体" w:cs="宋体"/>
              </w:rPr>
              <w:t>，桌面照度均匀度≥</w:t>
            </w:r>
            <w:r>
              <w:rPr>
                <w:rFonts w:ascii="宋体" w:hAnsi="宋体" w:eastAsia="宋体" w:cs="宋体"/>
              </w:rPr>
              <w:t>0.85,UGR</w:t>
            </w:r>
            <w:r>
              <w:rPr>
                <w:rFonts w:hint="eastAsia" w:ascii="宋体" w:hAnsi="宋体" w:eastAsia="宋体" w:cs="宋体"/>
              </w:rPr>
              <w:t>≤</w:t>
            </w:r>
            <w:r>
              <w:rPr>
                <w:rFonts w:ascii="宋体" w:hAnsi="宋体" w:eastAsia="宋体" w:cs="宋体"/>
              </w:rPr>
              <w:t>15</w:t>
            </w:r>
            <w:r>
              <w:rPr>
                <w:rFonts w:hint="eastAsia" w:ascii="宋体" w:hAnsi="宋体" w:eastAsia="宋体" w:cs="宋体"/>
              </w:rPr>
              <w:t>，照明功率密度</w:t>
            </w:r>
            <w:r>
              <w:rPr>
                <w:rFonts w:ascii="宋体" w:hAnsi="宋体" w:eastAsia="宋体" w:cs="宋体"/>
              </w:rPr>
              <w:t xml:space="preserve"> </w:t>
            </w:r>
            <w:r>
              <w:rPr>
                <w:rFonts w:hint="eastAsia" w:ascii="宋体" w:hAnsi="宋体" w:eastAsia="宋体" w:cs="宋体"/>
              </w:rPr>
              <w:t>≤</w:t>
            </w:r>
            <w:r>
              <w:rPr>
                <w:rFonts w:ascii="宋体" w:hAnsi="宋体" w:eastAsia="宋体" w:cs="宋体"/>
              </w:rPr>
              <w:t>6 W/</w:t>
            </w:r>
            <w:r>
              <w:rPr>
                <w:rFonts w:hint="eastAsia" w:ascii="宋体" w:hAnsi="宋体" w:eastAsia="宋体" w:cs="宋体"/>
              </w:rPr>
              <w:t>㎡</w:t>
            </w:r>
            <w:r>
              <w:rPr>
                <w:rFonts w:ascii="宋体" w:hAnsi="宋体" w:eastAsia="宋体" w:cs="宋体"/>
              </w:rPr>
              <w:t xml:space="preserve"> </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10、LED面板灯根据视觉工效学原则、室内工作场所照明、LED照明产品视觉健康舒适度方法要求：须满足人眼视觉舒适度VICO＜2，能有效降低对学生视觉的危害。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11、LED微晶面板灯根据灯具分布光度测量的一般要：必须通过正常燃点光通维持率（加速测试不计）6000小时以上光通维持率测试，光通维持率≥93%；</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12、LED微晶面板灯为保护学生视力，需具备“眼舒适”、“低蓝光”、“无频闪”认证。</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盏</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美术桌椅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600*450*760/400*350*440（高度可调）</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主管30*60椭圆管1.2厚，套管20*49椭圆管，桌面高密度板一次成型塑料包边，桌面可协调</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边柜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L*550*800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6.6</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5600*450*2000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采用</w:t>
            </w:r>
            <w:r>
              <w:rPr>
                <w:rStyle w:val="77"/>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水嘴采用全铜质表面层经耐酸漆涂处理一体化专用鹅颈单联水嘴，陶瓷阀芯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室内地上管线对接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1.5—4平方的国标铜芯线</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 xml:space="preserve"> 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给水采用优质专用铝塑管软连接</w:t>
            </w:r>
            <w:r>
              <w:rPr>
                <w:rStyle w:val="77"/>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图书馆二层 小学美术器材室2</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图书馆三层 小学音乐教室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76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音乐凳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350×300×380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橡胶木镂空框架，拉档45*25，环保聚酯木器漆</w:t>
            </w:r>
            <w:r>
              <w:rPr>
                <w:rFonts w:hint="eastAsia" w:ascii="宋体" w:hAnsi="宋体" w:eastAsia="宋体" w:cs="宋体"/>
              </w:rPr>
              <w:br w:type="textWrapping" w:clear="all"/>
            </w:r>
            <w:r>
              <w:rPr>
                <w:rFonts w:hint="eastAsia" w:ascii="宋体" w:hAnsi="宋体" w:eastAsia="宋体" w:cs="宋体"/>
              </w:rPr>
              <w:t>凳面加厚50㎜厚海绵+彩色阻燃毛麻布面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220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合唱台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 xml:space="preserve"> 1220*1150*610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折叠式合唱台 1220*1150*610±10mm 1.尺寸：三层尺寸1220*1150*610±10mm；每层台阶款宽380±10mm，高200±10mm；小舞台尺寸:1530*1220*300±10mm；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2.材质：高密度PE；</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3.工艺：吹塑制作，材质轻，耐磨抗压，抗氧化功能强，长期使用也不会产生开裂现象，硬度和强度高，吸水性小，优良的电绝缘性，耐寒；</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4.功能：合唱台台阶可翻转设计，可调整为两层合唱台也可以变为一个整体的小舞台，侧面轮子设计方便推移。</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图书馆四层 小学舞蹈教室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把杆</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钢制支架，柳安圆木，清水漆。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9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换鞋凳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1200*350*</w:t>
            </w:r>
            <w:r>
              <w:rPr>
                <w:rFonts w:hint="eastAsia" w:ascii="宋体" w:hAnsi="宋体" w:eastAsia="宋体" w:cs="宋体"/>
              </w:rPr>
              <w:br w:type="textWrapping" w:clear="all"/>
            </w:r>
            <w:r>
              <w:rPr>
                <w:rFonts w:hint="eastAsia" w:ascii="宋体" w:hAnsi="宋体" w:eastAsia="宋体" w:cs="宋体"/>
              </w:rPr>
              <w:t>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采用E1级18mm厚三聚氰胺板，上海兄奕封边条配进口热熔胶，联通三合一连接件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70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镜墙</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w:t>
            </w:r>
            <w:r>
              <w:rPr>
                <w:rStyle w:val="77"/>
                <w:rFonts w:hint="default"/>
                <w:color w:val="auto"/>
                <w:sz w:val="21"/>
                <w:szCs w:val="21"/>
              </w:rPr>
              <w:t>30*42“松木”骨架，18㎜厚“绿野”牌E1级木工板基层，刷防火涂料三遍，8厚银镜背贴防爆膜。</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镜面包边</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L*50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w:t>
            </w:r>
            <w:r>
              <w:rPr>
                <w:rStyle w:val="77"/>
                <w:rFonts w:hint="default"/>
                <w:color w:val="auto"/>
                <w:sz w:val="21"/>
                <w:szCs w:val="21"/>
              </w:rPr>
              <w:t>12㎜厚“绿野”牌E1级木工板基层，刷防火涂料三遍，20*12 304不锈钢卡边。</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五层美术教室1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静物台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600*600*600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可折叠</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777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健康照明</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MS Mincho" w:hAnsi="MS Mincho" w:eastAsia="MS Mincho" w:cs="MS Mincho"/>
              </w:rPr>
              <w:t>✳</w:t>
            </w:r>
            <w:r>
              <w:rPr>
                <w:rFonts w:ascii="宋体" w:hAnsi="宋体" w:eastAsia="宋体" w:cs="宋体"/>
              </w:rPr>
              <w:t>1</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微晶面板灯功率：</w:t>
            </w:r>
            <w:r>
              <w:rPr>
                <w:rFonts w:ascii="宋体" w:hAnsi="宋体" w:eastAsia="宋体" w:cs="宋体"/>
              </w:rPr>
              <w:t>36±1.5W</w:t>
            </w:r>
            <w:r>
              <w:rPr>
                <w:rFonts w:hint="eastAsia" w:ascii="宋体" w:hAnsi="宋体" w:eastAsia="宋体" w:cs="宋体"/>
              </w:rPr>
              <w:t>，整灯尺寸：</w:t>
            </w:r>
            <w:r>
              <w:rPr>
                <w:rFonts w:ascii="宋体" w:hAnsi="宋体" w:eastAsia="宋体" w:cs="宋体"/>
              </w:rPr>
              <w:t>600</w:t>
            </w:r>
            <w:r>
              <w:rPr>
                <w:rFonts w:hint="eastAsia" w:ascii="MS Mincho" w:hAnsi="MS Mincho" w:eastAsia="MS Mincho" w:cs="MS Mincho"/>
              </w:rPr>
              <w:t>✳</w:t>
            </w:r>
            <w:r>
              <w:rPr>
                <w:rFonts w:hint="eastAsia" w:ascii="宋体" w:hAnsi="宋体" w:eastAsia="宋体" w:cs="宋体"/>
              </w:rPr>
              <w:t>600；整灯为无螺丝结构，</w:t>
            </w:r>
            <w:r>
              <w:rPr>
                <w:rFonts w:ascii="宋体" w:hAnsi="宋体" w:eastAsia="宋体" w:cs="宋体"/>
              </w:rPr>
              <w:t>LED</w:t>
            </w:r>
            <w:r>
              <w:rPr>
                <w:rFonts w:hint="eastAsia" w:ascii="宋体" w:hAnsi="宋体" w:eastAsia="宋体" w:cs="宋体"/>
              </w:rPr>
              <w:t>面板灯边框采用无缝焊接技术，提高结构强度，为增加灯具美观整体采用喷白。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MS Mincho" w:hAnsi="MS Mincho" w:eastAsia="MS Mincho" w:cs="MS Mincho"/>
              </w:rPr>
              <w:t>✳</w:t>
            </w:r>
            <w:r>
              <w:rPr>
                <w:rFonts w:ascii="宋体" w:hAnsi="宋体" w:eastAsia="宋体" w:cs="宋体"/>
              </w:rPr>
              <w:t>2</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微晶面板为有效防止眩光，灯具许采用四棱锥形微晶光学面板，材料采用</w:t>
            </w:r>
            <w:r>
              <w:rPr>
                <w:rFonts w:ascii="宋体" w:hAnsi="宋体" w:eastAsia="宋体" w:cs="宋体"/>
              </w:rPr>
              <w:t>PMMA</w:t>
            </w:r>
            <w:r>
              <w:rPr>
                <w:rFonts w:hint="eastAsia" w:ascii="宋体" w:hAnsi="宋体" w:eastAsia="宋体" w:cs="宋体"/>
              </w:rPr>
              <w:t>，微晶尺寸：</w:t>
            </w:r>
            <w:r>
              <w:rPr>
                <w:rFonts w:ascii="宋体" w:hAnsi="宋体" w:eastAsia="宋体" w:cs="宋体"/>
              </w:rPr>
              <w:t>2*2*0.7mm</w:t>
            </w:r>
            <w:r>
              <w:rPr>
                <w:rFonts w:hint="eastAsia" w:ascii="宋体" w:hAnsi="宋体" w:eastAsia="宋体" w:cs="宋体"/>
              </w:rPr>
              <w:t>，透光板由每</w:t>
            </w:r>
            <w:r>
              <w:rPr>
                <w:rFonts w:ascii="宋体" w:hAnsi="宋体" w:eastAsia="宋体" w:cs="宋体"/>
              </w:rPr>
              <w:t>1cm2</w:t>
            </w:r>
            <w:r>
              <w:rPr>
                <w:rFonts w:hint="eastAsia" w:ascii="宋体" w:hAnsi="宋体" w:eastAsia="宋体" w:cs="宋体"/>
              </w:rPr>
              <w:t>≥</w:t>
            </w:r>
            <w:r>
              <w:rPr>
                <w:rFonts w:ascii="宋体" w:hAnsi="宋体" w:eastAsia="宋体" w:cs="宋体"/>
              </w:rPr>
              <w:t>20</w:t>
            </w:r>
            <w:r>
              <w:rPr>
                <w:rFonts w:hint="eastAsia" w:ascii="宋体" w:hAnsi="宋体" w:eastAsia="宋体" w:cs="宋体"/>
              </w:rPr>
              <w:t>个的颗粒组成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MS Mincho" w:hAnsi="MS Mincho" w:eastAsia="MS Mincho" w:cs="MS Mincho"/>
              </w:rPr>
              <w:t>✳</w:t>
            </w:r>
            <w:r>
              <w:rPr>
                <w:rFonts w:ascii="宋体" w:hAnsi="宋体" w:eastAsia="宋体" w:cs="宋体"/>
              </w:rPr>
              <w:t>3</w:t>
            </w:r>
            <w:r>
              <w:rPr>
                <w:rFonts w:hint="eastAsia" w:ascii="宋体" w:hAnsi="宋体" w:eastAsia="宋体" w:cs="宋体"/>
              </w:rPr>
              <w:t>、</w:t>
            </w:r>
            <w:r>
              <w:rPr>
                <w:rFonts w:ascii="宋体" w:hAnsi="宋体" w:eastAsia="宋体" w:cs="宋体"/>
              </w:rPr>
              <w:t>LED</w:t>
            </w:r>
            <w:r>
              <w:rPr>
                <w:rFonts w:hint="eastAsia" w:ascii="宋体" w:hAnsi="宋体" w:eastAsia="宋体" w:cs="宋体"/>
              </w:rPr>
              <w:t>面板灯灯具安装吊杆与灯体连接须采用嵌入式螺纹螺母固定，该固定座可根据安装位子，装于灯具背面两侧任意位置，且具备滑动式模块。</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LED微晶面板采用外置驱动电源，驱动外壳采用高阻燃PC料，螺纹接线端子，不可徒手插拔；驱动两端采用圆弧形盖板，需用工具拆装确保用电安全；驱动输出和输入线采用压线夹结构防拉脱，防止意外触电，为了更好的与灯具匹配，驱动需与灯具为同一制造厂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MS Mincho" w:hAnsi="MS Mincho" w:eastAsia="MS Mincho" w:cs="MS Mincho"/>
              </w:rPr>
              <w:t>✳</w:t>
            </w:r>
            <w:r>
              <w:rPr>
                <w:rFonts w:ascii="宋体" w:hAnsi="宋体" w:eastAsia="宋体" w:cs="宋体"/>
              </w:rPr>
              <w:t>5</w:t>
            </w:r>
            <w:r>
              <w:rPr>
                <w:rFonts w:hint="eastAsia" w:ascii="宋体" w:hAnsi="宋体" w:eastAsia="宋体" w:cs="宋体"/>
              </w:rPr>
              <w:t>、根据灯具分布光度测量的一般要求以及固态照明产品电气和光度测量方法所得光电色数据为：整灯色温</w:t>
            </w:r>
            <w:r>
              <w:rPr>
                <w:rFonts w:ascii="宋体" w:hAnsi="宋体" w:eastAsia="宋体" w:cs="宋体"/>
              </w:rPr>
              <w:t xml:space="preserve"> 5000±150K</w:t>
            </w:r>
            <w:r>
              <w:rPr>
                <w:rFonts w:hint="eastAsia" w:ascii="宋体" w:hAnsi="宋体" w:eastAsia="宋体" w:cs="宋体"/>
              </w:rPr>
              <w:t>，显色指数</w:t>
            </w:r>
            <w:r>
              <w:rPr>
                <w:rFonts w:ascii="宋体" w:hAnsi="宋体" w:eastAsia="宋体" w:cs="宋体"/>
              </w:rPr>
              <w:t>Ra</w:t>
            </w:r>
            <w:r>
              <w:rPr>
                <w:rFonts w:hint="eastAsia" w:ascii="宋体" w:hAnsi="宋体" w:eastAsia="宋体" w:cs="宋体"/>
              </w:rPr>
              <w:t>≥</w:t>
            </w:r>
            <w:r>
              <w:rPr>
                <w:rFonts w:ascii="宋体" w:hAnsi="宋体" w:eastAsia="宋体" w:cs="宋体"/>
              </w:rPr>
              <w:t>98</w:t>
            </w:r>
            <w:r>
              <w:rPr>
                <w:rFonts w:hint="eastAsia" w:ascii="宋体" w:hAnsi="宋体" w:eastAsia="宋体" w:cs="宋体"/>
              </w:rPr>
              <w:t>，</w:t>
            </w:r>
            <w:r>
              <w:rPr>
                <w:rFonts w:ascii="宋体" w:hAnsi="宋体" w:eastAsia="宋体" w:cs="宋体"/>
              </w:rPr>
              <w:t>R9</w:t>
            </w:r>
            <w:r>
              <w:rPr>
                <w:rFonts w:hint="eastAsia" w:ascii="宋体" w:hAnsi="宋体" w:eastAsia="宋体" w:cs="宋体"/>
              </w:rPr>
              <w:t>≥</w:t>
            </w:r>
            <w:r>
              <w:rPr>
                <w:rFonts w:ascii="宋体" w:hAnsi="宋体" w:eastAsia="宋体" w:cs="宋体"/>
              </w:rPr>
              <w:t>99</w:t>
            </w:r>
            <w:r>
              <w:rPr>
                <w:rFonts w:hint="eastAsia" w:ascii="宋体" w:hAnsi="宋体" w:eastAsia="宋体" w:cs="宋体"/>
              </w:rPr>
              <w:t>，</w:t>
            </w:r>
            <w:r>
              <w:rPr>
                <w:rFonts w:ascii="宋体" w:hAnsi="宋体" w:eastAsia="宋体" w:cs="宋体"/>
              </w:rPr>
              <w:t>R13</w:t>
            </w:r>
            <w:r>
              <w:rPr>
                <w:rFonts w:hint="eastAsia" w:ascii="宋体" w:hAnsi="宋体" w:eastAsia="宋体" w:cs="宋体"/>
              </w:rPr>
              <w:t>≥</w:t>
            </w:r>
            <w:r>
              <w:rPr>
                <w:rFonts w:ascii="宋体" w:hAnsi="宋体" w:eastAsia="宋体" w:cs="宋体"/>
              </w:rPr>
              <w:t>99 R15</w:t>
            </w:r>
            <w:r>
              <w:rPr>
                <w:rFonts w:hint="eastAsia" w:ascii="宋体" w:hAnsi="宋体" w:eastAsia="宋体" w:cs="宋体"/>
              </w:rPr>
              <w:t>≥</w:t>
            </w:r>
            <w:r>
              <w:rPr>
                <w:rFonts w:ascii="宋体" w:hAnsi="宋体" w:eastAsia="宋体" w:cs="宋体"/>
              </w:rPr>
              <w:t>97</w:t>
            </w:r>
            <w:r>
              <w:rPr>
                <w:rFonts w:hint="eastAsia" w:ascii="宋体" w:hAnsi="宋体" w:eastAsia="宋体" w:cs="宋体"/>
              </w:rPr>
              <w:t>，功率因数≥</w:t>
            </w:r>
            <w:r>
              <w:rPr>
                <w:rFonts w:ascii="宋体" w:hAnsi="宋体" w:eastAsia="宋体" w:cs="宋体"/>
              </w:rPr>
              <w:t>0.99</w:t>
            </w:r>
            <w:r>
              <w:rPr>
                <w:rFonts w:hint="eastAsia" w:ascii="宋体" w:hAnsi="宋体" w:eastAsia="宋体" w:cs="宋体"/>
              </w:rPr>
              <w:t>，向下光通量≥</w:t>
            </w:r>
            <w:r>
              <w:rPr>
                <w:rFonts w:ascii="宋体" w:hAnsi="宋体" w:eastAsia="宋体" w:cs="宋体"/>
              </w:rPr>
              <w:t>2800m</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MS Mincho" w:hAnsi="MS Mincho" w:eastAsia="MS Mincho" w:cs="MS Mincho"/>
              </w:rPr>
              <w:t>✳</w:t>
            </w:r>
            <w:r>
              <w:rPr>
                <w:rFonts w:ascii="宋体" w:hAnsi="宋体" w:eastAsia="宋体" w:cs="宋体"/>
              </w:rPr>
              <w:t>6</w:t>
            </w:r>
            <w:r>
              <w:rPr>
                <w:rFonts w:hint="eastAsia" w:ascii="宋体" w:hAnsi="宋体" w:eastAsia="宋体" w:cs="宋体"/>
              </w:rPr>
              <w:t>、</w:t>
            </w:r>
            <w:r>
              <w:rPr>
                <w:rFonts w:ascii="宋体" w:hAnsi="宋体" w:eastAsia="宋体" w:cs="宋体"/>
              </w:rPr>
              <w:t>LED</w:t>
            </w:r>
            <w:r>
              <w:rPr>
                <w:rFonts w:hint="eastAsia" w:ascii="宋体" w:hAnsi="宋体" w:eastAsia="宋体" w:cs="宋体"/>
              </w:rPr>
              <w:t>面板灯根据</w:t>
            </w:r>
            <w:r>
              <w:rPr>
                <w:rFonts w:ascii="宋体" w:hAnsi="宋体" w:eastAsia="宋体" w:cs="宋体"/>
              </w:rPr>
              <w:t>LED</w:t>
            </w:r>
            <w:r>
              <w:rPr>
                <w:rFonts w:hint="eastAsia" w:ascii="宋体" w:hAnsi="宋体" w:eastAsia="宋体" w:cs="宋体"/>
              </w:rPr>
              <w:t>照明闪烁的潜在健康影响方法所得光频闪无危害或无显著影响数值要求为：免除考核光频闪危害（光输出波形频率＞</w:t>
            </w:r>
            <w:r>
              <w:rPr>
                <w:rFonts w:ascii="宋体" w:hAnsi="宋体" w:eastAsia="宋体" w:cs="宋体"/>
              </w:rPr>
              <w:t>3125Hz</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MS Mincho" w:hAnsi="MS Mincho" w:eastAsia="MS Mincho" w:cs="MS Mincho"/>
              </w:rPr>
              <w:t>✳</w:t>
            </w:r>
            <w:r>
              <w:rPr>
                <w:rFonts w:ascii="宋体" w:hAnsi="宋体" w:eastAsia="宋体" w:cs="宋体"/>
              </w:rPr>
              <w:t>7</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微晶面板灯根据《</w:t>
            </w:r>
            <w:r>
              <w:rPr>
                <w:rFonts w:ascii="宋体" w:hAnsi="宋体" w:eastAsia="宋体" w:cs="宋体"/>
              </w:rPr>
              <w:t>IEC 62471</w:t>
            </w:r>
            <w:r>
              <w:rPr>
                <w:rFonts w:hint="eastAsia" w:ascii="宋体" w:hAnsi="宋体" w:eastAsia="宋体" w:cs="宋体"/>
              </w:rPr>
              <w:t>：</w:t>
            </w:r>
            <w:r>
              <w:rPr>
                <w:rFonts w:ascii="宋体" w:hAnsi="宋体" w:eastAsia="宋体" w:cs="宋体"/>
              </w:rPr>
              <w:t xml:space="preserve">2006 </w:t>
            </w:r>
            <w:r>
              <w:rPr>
                <w:rFonts w:hint="eastAsia" w:ascii="宋体" w:hAnsi="宋体" w:eastAsia="宋体" w:cs="宋体"/>
              </w:rPr>
              <w:t>灯和灯系统的光生物安全》出具的蓝光检测报告：蓝光危害为“无危险类”，</w:t>
            </w:r>
            <w:r>
              <w:rPr>
                <w:rFonts w:ascii="宋体" w:hAnsi="宋体" w:eastAsia="宋体" w:cs="宋体"/>
              </w:rPr>
              <w:t>B(λ)</w:t>
            </w:r>
            <w:r>
              <w:rPr>
                <w:rFonts w:hint="eastAsia" w:ascii="宋体" w:hAnsi="宋体" w:eastAsia="宋体" w:cs="宋体"/>
              </w:rPr>
              <w:t>≤</w:t>
            </w:r>
            <w:r>
              <w:rPr>
                <w:rFonts w:ascii="宋体" w:hAnsi="宋体" w:eastAsia="宋体" w:cs="宋体"/>
              </w:rPr>
              <w:t>1</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MS Mincho" w:hAnsi="MS Mincho" w:eastAsia="MS Mincho" w:cs="MS Mincho"/>
              </w:rPr>
              <w:t>✳</w:t>
            </w:r>
            <w:r>
              <w:rPr>
                <w:rFonts w:ascii="宋体" w:hAnsi="宋体" w:eastAsia="宋体" w:cs="宋体"/>
              </w:rPr>
              <w:t>8</w:t>
            </w:r>
            <w:r>
              <w:rPr>
                <w:rFonts w:hint="eastAsia" w:ascii="宋体" w:hAnsi="宋体" w:eastAsia="宋体" w:cs="宋体"/>
              </w:rPr>
              <w:t>、为使教室课桌面达到最佳的照度均匀度与防眩效果，</w:t>
            </w:r>
            <w:r>
              <w:rPr>
                <w:rFonts w:ascii="宋体" w:hAnsi="宋体" w:eastAsia="宋体" w:cs="宋体"/>
              </w:rPr>
              <w:t>LED</w:t>
            </w:r>
            <w:r>
              <w:rPr>
                <w:rFonts w:hint="eastAsia" w:ascii="宋体" w:hAnsi="宋体" w:eastAsia="宋体" w:cs="宋体"/>
              </w:rPr>
              <w:t>面板灯在</w:t>
            </w:r>
            <w:r>
              <w:rPr>
                <w:rFonts w:ascii="宋体" w:hAnsi="宋体" w:eastAsia="宋体" w:cs="宋体"/>
              </w:rPr>
              <w:t>C0-C180</w:t>
            </w:r>
            <w:r>
              <w:rPr>
                <w:rFonts w:hint="eastAsia" w:ascii="宋体" w:hAnsi="宋体" w:eastAsia="宋体" w:cs="宋体"/>
              </w:rPr>
              <w:t>面的光束角必须满足</w:t>
            </w:r>
            <w:r>
              <w:rPr>
                <w:rFonts w:ascii="宋体" w:hAnsi="宋体" w:eastAsia="宋体" w:cs="宋体"/>
              </w:rPr>
              <w:t>90±2° C90-270</w:t>
            </w:r>
            <w:r>
              <w:rPr>
                <w:rFonts w:hint="eastAsia" w:ascii="宋体" w:hAnsi="宋体" w:eastAsia="宋体" w:cs="宋体"/>
              </w:rPr>
              <w:t>面光束角必须满足</w:t>
            </w:r>
            <w:r>
              <w:rPr>
                <w:rFonts w:ascii="宋体" w:hAnsi="宋体" w:eastAsia="宋体" w:cs="宋体"/>
              </w:rPr>
              <w:t>87±2°</w:t>
            </w:r>
            <w:r>
              <w:rPr>
                <w:rFonts w:hint="eastAsia" w:ascii="宋体" w:hAnsi="宋体" w:eastAsia="宋体" w:cs="宋体"/>
              </w:rPr>
              <w:t>，距高比满足</w:t>
            </w:r>
            <w:r>
              <w:rPr>
                <w:rFonts w:ascii="宋体" w:hAnsi="宋体" w:eastAsia="宋体" w:cs="宋体"/>
              </w:rPr>
              <w:t>1.2±0.3</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MS Mincho" w:hAnsi="MS Mincho" w:eastAsia="MS Mincho" w:cs="MS Mincho"/>
              </w:rPr>
              <w:t>✳</w:t>
            </w:r>
            <w:r>
              <w:rPr>
                <w:rFonts w:ascii="宋体" w:hAnsi="宋体" w:eastAsia="宋体" w:cs="宋体"/>
              </w:rPr>
              <w:t>9</w:t>
            </w:r>
            <w:r>
              <w:rPr>
                <w:rFonts w:hint="eastAsia" w:ascii="宋体" w:hAnsi="宋体" w:eastAsia="宋体" w:cs="宋体"/>
              </w:rPr>
              <w:t>、</w:t>
            </w:r>
            <w:r>
              <w:rPr>
                <w:rFonts w:ascii="宋体" w:hAnsi="宋体" w:eastAsia="宋体" w:cs="宋体"/>
              </w:rPr>
              <w:t>LED</w:t>
            </w:r>
            <w:r>
              <w:rPr>
                <w:rFonts w:hint="eastAsia" w:ascii="宋体" w:hAnsi="宋体" w:eastAsia="宋体" w:cs="宋体"/>
              </w:rPr>
              <w:t>微晶面板灯安装后须满足中小学校教室采光和照明卫生设计方法要求：课桌面照度≥</w:t>
            </w:r>
            <w:r>
              <w:rPr>
                <w:rFonts w:ascii="宋体" w:hAnsi="宋体" w:eastAsia="宋体" w:cs="宋体"/>
              </w:rPr>
              <w:t>340lx</w:t>
            </w:r>
            <w:r>
              <w:rPr>
                <w:rFonts w:hint="eastAsia" w:ascii="宋体" w:hAnsi="宋体" w:eastAsia="宋体" w:cs="宋体"/>
              </w:rPr>
              <w:t>，桌面照度均匀度≥</w:t>
            </w:r>
            <w:r>
              <w:rPr>
                <w:rFonts w:ascii="宋体" w:hAnsi="宋体" w:eastAsia="宋体" w:cs="宋体"/>
              </w:rPr>
              <w:t>0.85,UGR</w:t>
            </w:r>
            <w:r>
              <w:rPr>
                <w:rFonts w:hint="eastAsia" w:ascii="宋体" w:hAnsi="宋体" w:eastAsia="宋体" w:cs="宋体"/>
              </w:rPr>
              <w:t>≤</w:t>
            </w:r>
            <w:r>
              <w:rPr>
                <w:rFonts w:ascii="宋体" w:hAnsi="宋体" w:eastAsia="宋体" w:cs="宋体"/>
              </w:rPr>
              <w:t>15</w:t>
            </w:r>
            <w:r>
              <w:rPr>
                <w:rFonts w:hint="eastAsia" w:ascii="宋体" w:hAnsi="宋体" w:eastAsia="宋体" w:cs="宋体"/>
              </w:rPr>
              <w:t>，照明功率密度</w:t>
            </w:r>
            <w:r>
              <w:rPr>
                <w:rFonts w:ascii="宋体" w:hAnsi="宋体" w:eastAsia="宋体" w:cs="宋体"/>
              </w:rPr>
              <w:t xml:space="preserve"> </w:t>
            </w:r>
            <w:r>
              <w:rPr>
                <w:rFonts w:hint="eastAsia" w:ascii="宋体" w:hAnsi="宋体" w:eastAsia="宋体" w:cs="宋体"/>
              </w:rPr>
              <w:t>≤</w:t>
            </w:r>
            <w:r>
              <w:rPr>
                <w:rFonts w:ascii="宋体" w:hAnsi="宋体" w:eastAsia="宋体" w:cs="宋体"/>
              </w:rPr>
              <w:t>6 W/</w:t>
            </w:r>
            <w:r>
              <w:rPr>
                <w:rFonts w:hint="eastAsia" w:ascii="宋体" w:hAnsi="宋体" w:eastAsia="宋体" w:cs="宋体"/>
              </w:rPr>
              <w:t>㎡</w:t>
            </w:r>
            <w:r>
              <w:rPr>
                <w:rFonts w:ascii="宋体" w:hAnsi="宋体" w:eastAsia="宋体" w:cs="宋体"/>
              </w:rPr>
              <w:t xml:space="preserve"> </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10、LED面板灯根据视觉工效学原则、室内工作场所照明、LED照明产品视觉健康舒适度方法要求：须满足人眼视觉舒适度VICO＜2，能有效降低对学生视觉的危害。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11、LED微晶面板灯根据灯具分布光度测量的一般要：必须通过正常燃点光通维持率（加速测试不计）6000小时以上光通维持率测试，光通维持率≥93%；</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12、LED微晶面板灯为保护学生视力，需具备“眼舒适”、“低蓝光”、“无频闪”认证。</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盏</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画架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榉木，打磨光滑，无毛刺；高度可调节</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画板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4K</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画板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2K</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25</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6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方凳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360*260*450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全橡胶木实木凳，榫头连接、结构合理美观、牢固耐用，表面光滑，无毛刺；“嘉宝莉”环保聚酯木器漆（清水漆、五底三面）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4500*450*2000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五层美术器材准备室1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五层书法教室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55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，80mm≥厚度≥75mm；产品显示尺寸：86英寸，采用工业级液晶屏，分辨率≧3840*2160；正面显示为三块拼接而成的纯平面黑板，无推拉式结构，一体化设计，无任何外露连接线；（提供产品彩页或官网截图证明）</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4.产品可在显示区域任意位置通过五指按压起到屏幕开/关的作用，方便老师操作，并且关闭屏幕的同时，触摸功能也自动关闭，防止误操作；（投标文件中附盖有CMA、CNAS公章的检测报告的扫描件）；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5.产品采用高强度铝合金边框结构，具有第三方权威检测机构出具的落球冲击试验报告，可承受2kg钢球的撞击，玻璃不会破碎；（</w:t>
            </w:r>
            <w:r>
              <w:rPr>
                <w:rFonts w:hint="eastAsia"/>
              </w:rPr>
              <w:t>投标文件中需附相关证书的扫描件</w:t>
            </w:r>
            <w:r>
              <w:rPr>
                <w:rFonts w:hint="eastAsia" w:ascii="宋体" w:hAnsi="宋体" w:eastAsia="宋体" w:cs="宋体"/>
              </w:rPr>
              <w:t>）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6.产品可有效的阻挡液晶屏的紫外线辐射，减少紫外线对眼睛的伤害，投标文件中附国家级质量监督检验中心出具的带有CNAS和CMA资质的紫外透射比大于10%检验合格的报告扫描件；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7.产品可有效的阻挡液晶屏的蓝光辐射，减少蓝光对眼睛的伤害，投标文件中附国家级质量监督检验中心出具的带有CNAS和CMA资质的蓝光透射比大于50%检验合格的报告扫描件。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9.产品采用耐腐蚀技术处理的铝合金边框，独特的无风扇风道设计，散热性更好，具有CNAS资质的盐雾检测报告，测试时间≥168小时，无腐蚀和生锈；（</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 产品具有HDMI输出功能，且也同时支持4K视频信号源的输出。（投标文件附盖有CMA、CNAS公章的检测报告扫描件）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13.核心触控膜组通过CNAS认证的国家级检测机构出具的高低温试验合格报告，可在高温40℃和低温-20℃等不同环境的条件下，连续开机工作不小于120小时，产品的结构和触控等正常（</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89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投标文件中附盖有CMA、CNAS公章的检测报告扫描件）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4.具有提醒笔功能，使演示更加清晰、明了，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投标文件附具有CMA、CNAS认证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8.支持音频、视频、flash对象的播放，并可在播放的同时进行标注；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9.录制功能可以记录完整的操作过程和声音，并保存成AVI文件；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11.搭载教学软件应用管理平台易于管理操作，同时为了避免了不同软件的兼容性问题带来产品的系统不稳定性，要求教学软件管理平台、智慧教学软件、智慧课堂软件三套软件和整机为同一品牌</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2.接口：USB；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3.补光：电容触摸式五颗高亮LED补光，带触摸开关控制；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4.调焦方式：定焦；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5.尺寸大小（mm）：折叠尺寸：35*29*281；展开尺寸：285*29*185；</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6.图像格式：扫描图片格式JPG、TIF、BMP、TGA、PCX、PNG、RAS ，录像格式 AVI、WMV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7.USB 5V/500MA供电，节能、低碳、环保；</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8.操作系统：Windows XP、Vista、win7；</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10.一键切换功能，可以实现展台桌面与电脑桌面的一键切换；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11.快速抓图功能，视频状态下的图片可以直接粘贴到WORD、PPT等办公软件里；</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13，电子白板功能，多种画笔可选，也能结合电子白板软件同时使用，设备软件直接嵌入白板软件，直接在白板上面进行全功能标注、闪线、擦除、文字编辑，拍照，保存等；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14.图像文件存储：默认为JPG格式，可修改存储路径，可按时间命名或自定义文件名，序号自增，支持OCR文字识别，方便老师将图片识别后保存为WORD文档进行再编辑；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15.软件有图像拆分重组合并功能，可根据需要将图像进行拆分，重组及合并，可支持最大5行和5列的拆分重组合并功能；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16.软件有幕布功能，老师讲课时能任意先遮盖上部分、或是下部分、或是左部分、或是右部分，更方便老师突出讲解内容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17.图像文件管理：新建、删除、改名。PDF保存，或进行多个PDF文件合并成一个PDF文件；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18.图像处理功能，如调整亮度、对比度、饱和度，进行灰度、二值化，反向，锐化，浮雕，文字编辑、标注、框选、镜像、旋转、纠偏、裁剪、合成、1:1打印等；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19.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92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1、2.0声道有源音箱，内置功率放大器、备有BLP环保麦克风插口、1000套同时使用不串频、近距离对频、抗干扰性强、安装调试简单、扩音清晰、性能稳定。</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2、麦克风音量、音乐音量、高低音独立调节。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4、1组莲花音频输入、1路莲花录音输出、1个3.5毫米电脑音频输入接口。</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5、1路有线广播应急切换输入、5秒钟后自动恢复教室扩声。</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6、1路6.5毫米话筒输入插口、与同品牌话筒连接不用电池具有为话筒供电功率放大器专利证书。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7、外置USB2.4G无线话筒输入扩展功能。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8、铁网烤漆防护罩、配原厂支架、壁挂式安装。</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9、使用频率：2400-2485MHz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10、输出功率：2×60W</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 xml:space="preserve">11、灵敏度：86dB±2dB </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12、频率响应：20Hz-20KHz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13、信噪比：≥80dB±2dB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1、2.4G抗干扰射频技术、同一个无线麦克风、能在不同的教室接收机上使用、近距离开机自动对频具备2.4G无线话筒近距离对频专利证书，无须专人管理。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2、LED充电显示、发射机与接收机信号锁定显示、低电量显示。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3、采用硅胶静音按键，360度旋转背夹设计，音量大小调节。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4、内/外置麦克风切换功能、手持、领夹多种使用方式。</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6、远距离电子激光教鞭功能。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7、锂电池供电环保节能、连续工作12个小时、待机时间60天。</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8、传输范围：视环境变化约20M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9、信噪比：≥83dB。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10、接收灵敏度：85dB±2dB。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11、工作频率：2400-2485MHz。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12、调制方式：QPSK</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★提供原3年免费售后服务承诺书。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提供3C认证，产品的生产企业须通过ISO国际质量体系认证（2008标准）、环境体系认证、健康体系认证，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★产品的生产企业须具备数字教学设备扩声软件著作权证书；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★产品的生产企业须具有2.4G无线话筒控制软件著作权证书；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（投标文件中需附相关证书的扫描件）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89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hint="eastAsia" w:ascii="宋体" w:hAnsi="宋体" w:eastAsia="宋体" w:cs="宋体"/>
                <w:color w:val="auto"/>
                <w:kern w:val="0"/>
                <w:sz w:val="21"/>
                <w:szCs w:val="21"/>
              </w:rPr>
              <w:t>交互式数字临摹台</w:t>
            </w:r>
            <w:r>
              <w:rPr>
                <w:rStyle w:val="73"/>
                <w:rFonts w:hint="default"/>
                <w:color w:val="auto"/>
                <w:sz w:val="21"/>
                <w:szCs w:val="21"/>
              </w:rPr>
              <w:t>（投标时提供样品）</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1.一体化设计，无需外接任何辅助主机系统，基于iOS或者Android系统，方便后续远程升级。高清临摹：支持学生用宣纸、毛笔传统的方式进行高清临摹（能清楚临摹长宽均不大于1厘米的电子字帖）。</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2.摹帖屏显示尺寸：＞45cm×25cm；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3.◆支持六点触控功能，用手指直接操控系统；支持分屏触控功能，支持临摹台左边一半能触控，右边一半不能触控功能；支持手指双击碑帖自动放大缩小功能；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4.高可视角度：80/80/80/80 （上下左右）；</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5.摹帖屏可承重60kg以上无裂痕；</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6.防水：临摹屏支持防水功能；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7.耐磨：临摹区面板可抗击100000次以上自然摩擦无划痕；</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8.润眼护眼：发光柔和，有效过滤蓝光，润眼护眼；</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9.支持RJ45接口，100M/1000M自适应；</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10.支持WiFi接口，802.11b/g/n；</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11.分辨率：1920×1080；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12.内置音箱；</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13.◆为增加学生使用的便利性和安全性，临摹台外置分体式接口：耳机插孔、USB接口、电源开关，并将分体式接口嵌入在临摹桌桌面前侧（学生座位一侧）；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14.支持自主学习模式下的碑帖临摹功能；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15.支持触控点签功能；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16.◆一键开机直接进入学生自主学习软件界面，通过学校、班级、账号、密码登录，直接触控操作字体练习系统、碑帖系统、课程系统、书法知识库系统软件。支持碑帖手指六点触控放大缩小功能，支持临帖电子毛毡功能，电子毛毡能触控放大缩小，位置随意摆放，支持碑帖通过年代、字体、作者搜索选择功能。支持字体排版功能，支持书体、作者、字形、笔类、笔画、偏旁、结构排版字体，支持字格数量的设置功能，支持米字格、田字格、九宫格、田回格、大方格多做背景随意变化，支持一键清空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17.支持软件方式调节音量和亮度的功能；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18.支持统一授课模式和自主模式自动切换，模式切换由老师控制；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19.统一授课模式下，所有临摹台均由老师控制；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20.支持老师对某个或某组学生自主学习控制功能；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21.现场演示打◆号，即第1、3、13、16条参数。</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22.▲</w:t>
            </w:r>
            <w:r>
              <w:rPr>
                <w:rFonts w:hint="eastAsia" w:ascii="宋体" w:hAnsi="宋体" w:eastAsia="宋体" w:cs="宋体"/>
                <w:color w:val="auto"/>
                <w:kern w:val="0"/>
                <w:sz w:val="21"/>
                <w:szCs w:val="21"/>
                <w:lang w:eastAsia="zh-CN"/>
              </w:rPr>
              <w:t>投标文件中附</w:t>
            </w:r>
            <w:r>
              <w:rPr>
                <w:rFonts w:hint="eastAsia" w:ascii="宋体" w:hAnsi="宋体" w:eastAsia="宋体" w:cs="宋体"/>
                <w:color w:val="auto"/>
                <w:kern w:val="0"/>
                <w:sz w:val="21"/>
                <w:szCs w:val="21"/>
              </w:rPr>
              <w:t>软件著作权证书和检测报告</w:t>
            </w:r>
            <w:r>
              <w:rPr>
                <w:rFonts w:hint="eastAsia" w:ascii="宋体" w:hAnsi="宋体" w:eastAsia="宋体" w:cs="宋体"/>
                <w:color w:val="auto"/>
                <w:kern w:val="0"/>
                <w:sz w:val="21"/>
                <w:szCs w:val="21"/>
                <w:lang w:eastAsia="zh-CN"/>
              </w:rPr>
              <w:t>扫描件</w:t>
            </w:r>
            <w:r>
              <w:rPr>
                <w:rFonts w:hint="eastAsia" w:ascii="宋体" w:hAnsi="宋体" w:eastAsia="宋体" w:cs="宋体"/>
                <w:color w:val="auto"/>
                <w:kern w:val="0"/>
                <w:sz w:val="21"/>
                <w:szCs w:val="21"/>
              </w:rPr>
              <w:t>。</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407" w:hRule="atLeast"/>
        </w:trPr>
        <w:tc>
          <w:tcPr>
            <w:tcW w:w="571" w:type="dxa"/>
            <w:tcBorders>
              <w:top w:val="single" w:color="000000"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6</w:t>
            </w:r>
          </w:p>
        </w:tc>
        <w:tc>
          <w:tcPr>
            <w:tcW w:w="782" w:type="dxa"/>
            <w:tcBorders>
              <w:top w:val="single" w:color="000000"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教师中控条案</w:t>
            </w:r>
          </w:p>
        </w:tc>
        <w:tc>
          <w:tcPr>
            <w:tcW w:w="1141" w:type="dxa"/>
            <w:tcBorders>
              <w:top w:val="single" w:color="000000"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1.规格：180cm×80cm×75cm，实木结构；</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2.古典书桌设计，烤漆处理；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3.全部卯榫结构；</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4.支持将本方案中的中控、教师手绘屏、直播系统集成在中控条案中；</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5.门字砚：20cm×13cm×4cm，材质：鱼子石；</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6.毛笔笔架：36cm×36cm×10cm，材质: 鸡翅木；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7.笔洗：7.9cm×20cm，材质：优质陶瓷；</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8.砚台水滴：陶瓷；</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9.镇尺：加重型黑梓木；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10.笔搁：卧式笔架，材质：实木；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11.毛毡：1×2米，材质：100%纯羊毛，可以水洗反复使用；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12.笔筒：12.5cm×9.5cm，材质: 黑檀；</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13.毛笔套装：笔头材质为纯狼毫；笔杆材质：天然黑湘妃；大号毛笔尺寸：出锋3.8cm、口径1.1cm、全长26.5cm；中号毛笔：出锋3.3cm、口径0.9cm、全长26.0cm；小号毛笔：出锋2.8cm，口径0.8cm，全长25.5cm；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14.配套实木方凳1个。</w:t>
            </w:r>
          </w:p>
        </w:tc>
        <w:tc>
          <w:tcPr>
            <w:tcW w:w="641" w:type="dxa"/>
            <w:tcBorders>
              <w:top w:val="single" w:color="000000"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台</w:t>
            </w:r>
          </w:p>
        </w:tc>
        <w:tc>
          <w:tcPr>
            <w:tcW w:w="491" w:type="dxa"/>
            <w:tcBorders>
              <w:top w:val="single" w:color="000000"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2873" w:hRule="atLeast"/>
        </w:trPr>
        <w:tc>
          <w:tcPr>
            <w:tcW w:w="571" w:type="dxa"/>
            <w:tcBorders>
              <w:top w:val="single" w:color="auto" w:sz="4" w:space="0"/>
              <w:left w:val="single" w:color="auto"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7</w:t>
            </w:r>
          </w:p>
        </w:tc>
        <w:tc>
          <w:tcPr>
            <w:tcW w:w="782" w:type="dxa"/>
            <w:tcBorders>
              <w:top w:val="single" w:color="auto"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电子点签系统</w:t>
            </w:r>
          </w:p>
        </w:tc>
        <w:tc>
          <w:tcPr>
            <w:tcW w:w="1141" w:type="dxa"/>
            <w:tcBorders>
              <w:top w:val="single" w:color="auto"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auto"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1.可按年级、班级进行自动电子排座；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2.支持自动按行、列随机或者自动排位；</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3.支持排位信息自动发布到相对应的交互式数字临摹台，并把学生姓名显示在临摹台上；</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4.学生按照临摹台上的姓名就坐，并通过手指触控的方式点击自己的姓名，实现签到功能；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5.老师自动获取学生签到信息，明确知道学生上课报道情况；</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6.支持自动统计学生考勤情况，查看历史详情；</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7.支持批量导入学生信息；</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eastAsia="zh-CN"/>
              </w:rPr>
              <w:t>投标文件附</w:t>
            </w:r>
            <w:r>
              <w:rPr>
                <w:rFonts w:hint="eastAsia" w:ascii="宋体" w:hAnsi="宋体" w:eastAsia="宋体" w:cs="宋体"/>
                <w:color w:val="auto"/>
                <w:kern w:val="0"/>
                <w:sz w:val="21"/>
                <w:szCs w:val="21"/>
              </w:rPr>
              <w:t>软件著作权证书及检测报告</w:t>
            </w:r>
            <w:r>
              <w:rPr>
                <w:rFonts w:hint="eastAsia" w:ascii="宋体" w:hAnsi="宋体" w:eastAsia="宋体" w:cs="宋体"/>
                <w:color w:val="auto"/>
                <w:kern w:val="0"/>
                <w:sz w:val="21"/>
                <w:szCs w:val="21"/>
                <w:lang w:eastAsia="zh-CN"/>
              </w:rPr>
              <w:t>扫描件</w:t>
            </w:r>
            <w:r>
              <w:rPr>
                <w:rFonts w:hint="eastAsia" w:ascii="宋体" w:hAnsi="宋体" w:eastAsia="宋体" w:cs="宋体"/>
                <w:color w:val="auto"/>
                <w:kern w:val="0"/>
                <w:sz w:val="21"/>
                <w:szCs w:val="21"/>
              </w:rPr>
              <w:t>。</w:t>
            </w:r>
          </w:p>
        </w:tc>
        <w:tc>
          <w:tcPr>
            <w:tcW w:w="641" w:type="dxa"/>
            <w:tcBorders>
              <w:top w:val="single" w:color="auto"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auto"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套</w:t>
            </w:r>
          </w:p>
        </w:tc>
        <w:tc>
          <w:tcPr>
            <w:tcW w:w="491" w:type="dxa"/>
            <w:tcBorders>
              <w:top w:val="single" w:color="auto" w:sz="4" w:space="0"/>
              <w:left w:val="single" w:color="000000" w:sz="4" w:space="0"/>
              <w:bottom w:val="single" w:color="auto"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1707" w:hRule="atLeast"/>
        </w:trPr>
        <w:tc>
          <w:tcPr>
            <w:tcW w:w="571" w:type="dxa"/>
            <w:tcBorders>
              <w:top w:val="single" w:color="auto"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8</w:t>
            </w:r>
          </w:p>
        </w:tc>
        <w:tc>
          <w:tcPr>
            <w:tcW w:w="782" w:type="dxa"/>
            <w:tcBorders>
              <w:top w:val="single" w:color="auto"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hint="eastAsia" w:ascii="宋体" w:hAnsi="宋体" w:eastAsia="宋体" w:cs="宋体"/>
                <w:color w:val="auto"/>
                <w:kern w:val="0"/>
                <w:sz w:val="21"/>
                <w:szCs w:val="21"/>
              </w:rPr>
              <w:t>双目</w:t>
            </w:r>
            <w:r>
              <w:rPr>
                <w:rFonts w:ascii="宋体" w:hAnsi="宋体" w:eastAsia="宋体" w:cs="宋体"/>
                <w:color w:val="000000"/>
              </w:rPr>
              <w:t>书画教学展示</w:t>
            </w:r>
            <w:r>
              <w:rPr>
                <w:rFonts w:ascii="宋体" w:hAnsi="宋体" w:eastAsia="宋体" w:cs="宋体"/>
                <w:color w:val="000000"/>
                <w:sz w:val="20"/>
                <w:szCs w:val="20"/>
              </w:rPr>
              <w:t>台</w:t>
            </w:r>
          </w:p>
        </w:tc>
        <w:tc>
          <w:tcPr>
            <w:tcW w:w="1141" w:type="dxa"/>
            <w:tcBorders>
              <w:top w:val="single" w:color="auto"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auto"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1.拍摄架：全金属构架,铝合金底座，支持两台摄像机360度调节以及上下调节；</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2.配置两台摄像机从不同角度拍摄；</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3.摄像机规格：≥138mm×58mm×68mm；帧速率：每秒大于30帧；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4．红外镜头2个。规格：≥48×65mm；镜头光圈：F1.2-2.8；接口：CS接口；</w:t>
            </w:r>
          </w:p>
        </w:tc>
        <w:tc>
          <w:tcPr>
            <w:tcW w:w="641" w:type="dxa"/>
            <w:tcBorders>
              <w:top w:val="single" w:color="auto"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auto"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台</w:t>
            </w:r>
          </w:p>
        </w:tc>
        <w:tc>
          <w:tcPr>
            <w:tcW w:w="491" w:type="dxa"/>
            <w:tcBorders>
              <w:top w:val="single" w:color="auto"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375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书法教学直播系统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1．系统支持连接双目书画教学展示台的两台摄像机同时拍摄直播、录像，从正上方和左侧方45度进行同时拍摄录课；</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拍摄界面有正面、侧面标示文字显示，支持单镜头画面、双镜头画面、画中画三种录播模式功能，三种显示模式都直接双击切换，支持三种模式的视频语音回放功能，支持播放文件时间显示数字走表功能；支持在软件内直接修改视频、图片文件名，支持拍摄的视频文件自带拍摄年、月、日、时、分、秒信息。</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3.支持快镜头播放、暂停功能；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4.支持慢镜头播放、暂停功能；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5.支持摄像机自动录音功能，软件调节声音大小；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6.支持在画面上任意批注功能；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7.支持一键抓图、看图功能；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eastAsia="zh-CN"/>
              </w:rPr>
              <w:t>投标文件附</w:t>
            </w:r>
            <w:r>
              <w:rPr>
                <w:rFonts w:hint="eastAsia" w:ascii="宋体" w:hAnsi="宋体" w:eastAsia="宋体" w:cs="宋体"/>
                <w:color w:val="auto"/>
                <w:kern w:val="0"/>
                <w:sz w:val="21"/>
                <w:szCs w:val="21"/>
              </w:rPr>
              <w:t>产品软件著作权证书及检测报告</w:t>
            </w:r>
            <w:r>
              <w:rPr>
                <w:rFonts w:hint="eastAsia" w:ascii="宋体" w:hAnsi="宋体" w:eastAsia="宋体" w:cs="宋体"/>
                <w:color w:val="auto"/>
                <w:kern w:val="0"/>
                <w:sz w:val="21"/>
                <w:szCs w:val="21"/>
                <w:lang w:eastAsia="zh-CN"/>
              </w:rPr>
              <w:t>扫描件</w:t>
            </w:r>
            <w:r>
              <w:rPr>
                <w:rFonts w:hint="eastAsia" w:ascii="宋体" w:hAnsi="宋体" w:eastAsia="宋体" w:cs="宋体"/>
                <w:color w:val="auto"/>
                <w:kern w:val="0"/>
                <w:sz w:val="21"/>
                <w:szCs w:val="21"/>
              </w:rPr>
              <w:t>。</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361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书法教学查询系统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1.碑帖资源查询可实现通过年代、作者、字帖名字进行智能化检索，并可任意放大缩小拖动字帖。</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2.支持通过原图模式、高光模式、荧光模式、红外模式、3D模式进行碑帖的查看欣赏以及临摹。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3.创作素材及书论查询可通过字数范围、作者、内容文本关键字搜索相应的诗词素材。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4.支持黑白反向功能，原贴是白底黑字的可以直接转换成黑底白字，原贴是黑底白字的可以直接转换成白底黑字。</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内含中国历代高清碑帖，包含教育部关于印发《中小学书法教育指导纲要》推荐的临摹范本全部碑帖，包含楷书、隶书、行书；包含教育部关于印发《中小学书法教育指导纲要》推荐的欣赏作品全部碑帖，包含篆、隶、草、楷、行五种字体。包含教育部关于印发《中小学书法教育指导纲要》推荐之外的全部碑帖，包含篆、隶、草、楷、行五种字体，不少于10000张。</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6.支持任意批注功能。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w:t>
            </w:r>
            <w:r>
              <w:rPr>
                <w:rFonts w:hint="eastAsia" w:ascii="宋体" w:hAnsi="宋体" w:eastAsia="宋体" w:cs="宋体"/>
                <w:color w:val="auto"/>
                <w:kern w:val="0"/>
                <w:sz w:val="21"/>
                <w:szCs w:val="21"/>
                <w:lang w:eastAsia="zh-CN"/>
              </w:rPr>
              <w:t>投标文件附</w:t>
            </w:r>
            <w:r>
              <w:rPr>
                <w:rFonts w:hint="eastAsia" w:ascii="宋体" w:hAnsi="宋体" w:eastAsia="宋体" w:cs="宋体"/>
                <w:color w:val="auto"/>
                <w:kern w:val="0"/>
                <w:sz w:val="21"/>
                <w:szCs w:val="21"/>
              </w:rPr>
              <w:t>产品软件著作权证书及检测报告</w:t>
            </w:r>
            <w:r>
              <w:rPr>
                <w:rFonts w:hint="eastAsia" w:ascii="宋体" w:hAnsi="宋体" w:eastAsia="宋体" w:cs="宋体"/>
                <w:color w:val="auto"/>
                <w:kern w:val="0"/>
                <w:sz w:val="21"/>
                <w:szCs w:val="21"/>
                <w:lang w:eastAsia="zh-CN"/>
              </w:rPr>
              <w:t>扫描件</w:t>
            </w:r>
            <w:r>
              <w:rPr>
                <w:rFonts w:hint="eastAsia" w:ascii="宋体" w:hAnsi="宋体" w:eastAsia="宋体" w:cs="宋体"/>
                <w:color w:val="auto"/>
                <w:kern w:val="0"/>
                <w:sz w:val="21"/>
                <w:szCs w:val="21"/>
              </w:rPr>
              <w:t>。</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326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书法教学视频资源平</w:t>
            </w:r>
            <w:r>
              <w:rPr>
                <w:rFonts w:ascii="宋体" w:hAnsi="宋体" w:eastAsia="宋体" w:cs="宋体"/>
                <w:color w:val="000000"/>
                <w:sz w:val="20"/>
                <w:szCs w:val="20"/>
              </w:rPr>
              <w:t>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1.人性化界面，方便进行控制、查询、播放及备课调整功能。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2.内置和教材同步的高清毛笔书法示范讲解视频。</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3.含各年级课时的毛笔示范视频，针对每一个字，每一个笔画都有教学视频。</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4.每个视频都配有教学音频讲解。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5.视频资源均为国内知名书法家亲自书写，每个字的视频为垂直拍摄和侧方拍摄的同步组成，方便观察运笔方式。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6.视频资源按照每一例字的结构、笔画、结体规律进行分类，可以一键式调取任一课时内的视频资料。</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7.支持老师管理密码功能。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8.支持任意批注功能。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eastAsia="zh-CN"/>
              </w:rPr>
              <w:t>投标文件附</w:t>
            </w:r>
            <w:r>
              <w:rPr>
                <w:rFonts w:hint="eastAsia" w:ascii="宋体" w:hAnsi="宋体" w:eastAsia="宋体" w:cs="宋体"/>
                <w:color w:val="auto"/>
                <w:kern w:val="0"/>
                <w:sz w:val="21"/>
                <w:szCs w:val="21"/>
              </w:rPr>
              <w:t>软件著作权证书和检测报告</w:t>
            </w:r>
            <w:r>
              <w:rPr>
                <w:rFonts w:hint="eastAsia" w:ascii="宋体" w:hAnsi="宋体" w:eastAsia="宋体" w:cs="宋体"/>
                <w:color w:val="auto"/>
                <w:kern w:val="0"/>
                <w:sz w:val="21"/>
                <w:szCs w:val="21"/>
                <w:lang w:eastAsia="zh-CN"/>
              </w:rPr>
              <w:t>扫描件</w:t>
            </w:r>
            <w:r>
              <w:rPr>
                <w:rFonts w:hint="eastAsia" w:ascii="宋体" w:hAnsi="宋体" w:eastAsia="宋体" w:cs="宋体"/>
                <w:color w:val="auto"/>
                <w:kern w:val="0"/>
                <w:sz w:val="21"/>
                <w:szCs w:val="21"/>
              </w:rPr>
              <w:t>。</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339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书法字帖排版系统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1.支持字体排版模板的设置功能，随意设置字格大小，调节字格的宽、高，支持鼠标滚轮选择模板。</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2.支持拼音搜索，可同时输入多字拼音，直接搜索多字；支持多字文本搜索；支持书写字体历史记录功能。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3.内含每个字的笔顺动画，字体分解动画，字体笔顺分解序列图。支持在软件界面直接点播现代书法家书写的颜欧柳赵中偏旁、例字的视频功能。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4.可以实时同步临摹台显示。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5.支持硬笔或毛笔字帖文件随意排版及混排。</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6.支持电子字帖全屏显示，通过调整排版规格控制每个字的大小和位置。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7.内置篆、隶、楷、行五种软笔字体字帖文件，不少于1万字以上字帖库资源。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8.支持米字格、回字格、九宫格、田字格、大方格选项。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eastAsia="zh-CN"/>
              </w:rPr>
              <w:t>投标文件附</w:t>
            </w:r>
            <w:r>
              <w:rPr>
                <w:rFonts w:hint="eastAsia" w:ascii="宋体" w:hAnsi="宋体" w:eastAsia="宋体" w:cs="宋体"/>
                <w:color w:val="auto"/>
                <w:kern w:val="0"/>
                <w:sz w:val="21"/>
                <w:szCs w:val="21"/>
              </w:rPr>
              <w:t>软件著作权证书和检测报告</w:t>
            </w:r>
            <w:r>
              <w:rPr>
                <w:rFonts w:hint="eastAsia" w:ascii="宋体" w:hAnsi="宋体" w:eastAsia="宋体" w:cs="宋体"/>
                <w:color w:val="auto"/>
                <w:kern w:val="0"/>
                <w:sz w:val="21"/>
                <w:szCs w:val="21"/>
                <w:lang w:eastAsia="zh-CN"/>
              </w:rPr>
              <w:t>扫描件</w:t>
            </w:r>
            <w:r>
              <w:rPr>
                <w:rFonts w:hint="eastAsia" w:ascii="宋体" w:hAnsi="宋体" w:eastAsia="宋体" w:cs="宋体"/>
                <w:color w:val="auto"/>
                <w:kern w:val="0"/>
                <w:sz w:val="21"/>
                <w:szCs w:val="21"/>
              </w:rPr>
              <w:t>。</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220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书法课程讲义系统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1.基本课程512课时，颜欧柳赵各128课时，是不同的软件模块。每个模块涵盖基本笔画30课程，偏旁部首62课时，300个例字及400个视频；结字规律36课时，涵盖42个结字规律、80个例字视频；涵盖硬笔书法讲解。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2．含每个字的笔顺动画演示；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3．包含系统的书法知识讲解，涵盖不低于200个知识点；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4．通过注意事项简明直白的板书让学生更容易理解；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5．配有简易动漫插图，提高学生的学习兴趣。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6．每个基本笔画、偏旁部首皆配有至少两个有代表性的例字，每个结字规律配有至少两个代表性的例字，可直接在页面播放设置好的视频；</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7．通过动画、标注及视频展示进行细致的讲解；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8．支持电子字帖临摹练习；</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eastAsia="zh-CN"/>
              </w:rPr>
              <w:t>投标文件附</w:t>
            </w:r>
            <w:r>
              <w:rPr>
                <w:rFonts w:hint="eastAsia" w:ascii="宋体" w:hAnsi="宋体" w:eastAsia="宋体" w:cs="宋体"/>
                <w:color w:val="auto"/>
                <w:kern w:val="0"/>
                <w:sz w:val="21"/>
                <w:szCs w:val="21"/>
              </w:rPr>
              <w:t>软件著作权证书和检测报告</w:t>
            </w:r>
            <w:r>
              <w:rPr>
                <w:rFonts w:hint="eastAsia" w:ascii="宋体" w:hAnsi="宋体" w:eastAsia="宋体" w:cs="宋体"/>
                <w:color w:val="auto"/>
                <w:kern w:val="0"/>
                <w:sz w:val="21"/>
                <w:szCs w:val="21"/>
                <w:lang w:eastAsia="zh-CN"/>
              </w:rPr>
              <w:t>扫描件</w:t>
            </w:r>
            <w:r>
              <w:rPr>
                <w:rFonts w:hint="eastAsia" w:ascii="宋体" w:hAnsi="宋体" w:eastAsia="宋体" w:cs="宋体"/>
                <w:color w:val="auto"/>
                <w:kern w:val="0"/>
                <w:sz w:val="21"/>
                <w:szCs w:val="21"/>
              </w:rPr>
              <w:t>。</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375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数字书法板书示范系</w:t>
            </w:r>
            <w:r>
              <w:rPr>
                <w:rFonts w:ascii="宋体" w:hAnsi="宋体" w:eastAsia="宋体" w:cs="宋体"/>
                <w:color w:val="000000"/>
                <w:sz w:val="20"/>
                <w:szCs w:val="20"/>
              </w:rPr>
              <w:t>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1.软件支持选用白板、黑板、宣纸和画布四种模式作为背景底纹；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2.软件支持米字格、田字格、田回格、九宫格、方格和无格作为写字用底格；</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3.软件排版支持从一字格到十五字格共十种不同排版方式；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4.软件支持毛笔、铅笔、钢笔、艺术笔、粉笔、刀笔和水彩笔书写功能。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5.软件支持标注和具有橡皮擦功能；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6.支持笔锋粗细、浓度、锐利可调控；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7.支持色板，颜色可自由设置，1600万色；</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8.具有全屏显示功能；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9.支持在字体排版软件界面、视频资源库软件界面、视频直播软件界面、碑帖查询软件界面、课程讲义软件界面进行批注、点评功能；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10.支持一键清屏功能。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11.▲</w:t>
            </w:r>
            <w:r>
              <w:rPr>
                <w:rFonts w:hint="eastAsia" w:ascii="宋体" w:hAnsi="宋体" w:eastAsia="宋体" w:cs="宋体"/>
                <w:color w:val="auto"/>
                <w:kern w:val="0"/>
                <w:sz w:val="21"/>
                <w:szCs w:val="21"/>
                <w:lang w:eastAsia="zh-CN"/>
              </w:rPr>
              <w:t>投标文件附</w:t>
            </w:r>
            <w:r>
              <w:rPr>
                <w:rFonts w:hint="eastAsia" w:ascii="宋体" w:hAnsi="宋体" w:eastAsia="宋体" w:cs="宋体"/>
                <w:color w:val="auto"/>
                <w:kern w:val="0"/>
                <w:sz w:val="21"/>
                <w:szCs w:val="21"/>
              </w:rPr>
              <w:t>软件著作权证书和检测报告</w:t>
            </w:r>
            <w:r>
              <w:rPr>
                <w:rFonts w:hint="eastAsia" w:ascii="宋体" w:hAnsi="宋体" w:eastAsia="宋体" w:cs="宋体"/>
                <w:color w:val="auto"/>
                <w:kern w:val="0"/>
                <w:sz w:val="21"/>
                <w:szCs w:val="21"/>
                <w:lang w:eastAsia="zh-CN"/>
              </w:rPr>
              <w:t>扫描件</w:t>
            </w:r>
            <w:r>
              <w:rPr>
                <w:rFonts w:hint="eastAsia" w:ascii="宋体" w:hAnsi="宋体" w:eastAsia="宋体" w:cs="宋体"/>
                <w:color w:val="auto"/>
                <w:kern w:val="0"/>
                <w:sz w:val="21"/>
                <w:szCs w:val="21"/>
              </w:rPr>
              <w:t>。</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高清网络传输系统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1.网络类型：RJ45、无线WiFi；</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2.通过网络将教师端软件系统同步传输到交互式数字临摹台；</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3.传输内容：教师端视频、教师端音频、教师端图片、教师端文本；</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4.网络带宽：支持100M/1000M网络；</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5.支持网络到所有终端。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550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中控系</w:t>
            </w:r>
            <w:r>
              <w:rPr>
                <w:rFonts w:ascii="宋体" w:hAnsi="宋体" w:eastAsia="宋体" w:cs="宋体"/>
                <w:color w:val="000000"/>
                <w:sz w:val="20"/>
                <w:szCs w:val="20"/>
              </w:rPr>
              <w:t>统</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1.开机界面即是数字书法教学系统平台界面，通过主机系统直接控制书法直播系统、大屏、软件等软硬件；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2.支持统一授课模式，把教师端软件直接同步到学生端交互式数字临摹台；</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3.教师在控制系统软件平台上直接可以切换到自主学习模式，学生独立使用临摹台上的学生端软件；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4.系统平台有独立的音乐背景模块软件；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5.控制系统硬件规格：</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CPU：酷睿I5；</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内存：4G；</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硬盘：1TB；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6.板书专用手写屏规格：</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显示尺寸：21.5寸（16:9）；</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解析度：1920*1080；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对比度：1000:1；</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感应方式：电磁式；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分辨率：2000Lpi；</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反应速度：200点/秒；</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压感：2048级；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压感笔1支。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台</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108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系统安装调试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FF0000"/>
              </w:rPr>
            </w:pPr>
            <w:r>
              <w:rPr>
                <w:rFonts w:hint="eastAsia" w:ascii="宋体" w:hAnsi="宋体" w:eastAsia="宋体" w:cs="宋体"/>
                <w:color w:val="auto"/>
                <w:kern w:val="0"/>
                <w:sz w:val="21"/>
                <w:szCs w:val="21"/>
              </w:rPr>
              <w:t>为了设备的配套兼容性，和售后服务的完整性，本配置必须为同一厂家的产品，并由厂家负责系统的安装、调试及培训。</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安装费含运输费、保险费、安装调试费、培训费。</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教师椅</w:t>
            </w:r>
            <w:r>
              <w:rPr>
                <w:rFonts w:ascii="宋体" w:hAnsi="宋体" w:eastAsia="宋体" w:cs="宋体"/>
                <w:color w:val="000000"/>
                <w:sz w:val="20"/>
                <w:szCs w:val="20"/>
              </w:rPr>
              <w:t>子</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rPr>
              <w:t>实木方凳</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67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书法桌</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1340*600*750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rPr>
              <w:t>1.仿古书桌设计；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rPr>
              <w:t>2.交互式数字临摹台能无缝嵌入至书法桌，嵌入后临摹台与书法桌表面水平，为一体化设计；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rPr>
              <w:t>3.★书法桌前板具有嵌入式临摹台开关，音频接口，USB接口；桌面厚度不能低于3.5厘米；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rPr>
              <w:t>4.★电动笔洗：笔洗系统启动后，笔洗漏斗内始终保持至少2cm高水位的存水量，以方便洗笔；笔洗系统的出水口不超过桌面(在笔洗漏斗的上口平面以下）、笔洗系统的漏斗具有防溢出功能；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rPr>
              <w:t>5.专业笔搁；</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24</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rPr>
            </w:pPr>
            <w:r>
              <w:rPr>
                <w:rFonts w:ascii="宋体" w:hAnsi="宋体" w:eastAsia="宋体" w:cs="宋体"/>
                <w:color w:val="000000"/>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000000"/>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书法凳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rPr>
            </w:pPr>
            <w:r>
              <w:rPr>
                <w:rFonts w:ascii="Times New Roman" w:hAnsi="Times New Roman" w:eastAsia="宋体" w:cs="Times New Roman"/>
              </w:rPr>
              <w:t>380*330*450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实木材质，环保油漆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边柜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L*550*800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9.8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6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仿古展示柜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3920*300*1980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实木材质，环保油漆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采用</w:t>
            </w:r>
            <w:r>
              <w:rPr>
                <w:rStyle w:val="77"/>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水嘴采用全铜质表面层经耐酸漆涂处理一体化专用鹅颈单联水嘴，陶瓷阀芯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给水采用优质专用铝塑管软连接</w:t>
            </w:r>
            <w:r>
              <w:rPr>
                <w:rStyle w:val="77"/>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五层书法器材准备室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13</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五层舞蹈教室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把杆</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钢制支架，柳安圆木，清水漆。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95"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换鞋凳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1200*350*</w:t>
            </w:r>
            <w:r>
              <w:rPr>
                <w:rFonts w:hint="eastAsia" w:ascii="宋体" w:hAnsi="宋体" w:eastAsia="宋体" w:cs="宋体"/>
              </w:rPr>
              <w:br w:type="textWrapping" w:clear="all"/>
            </w:r>
            <w:r>
              <w:rPr>
                <w:rFonts w:hint="eastAsia" w:ascii="宋体" w:hAnsi="宋体" w:eastAsia="宋体" w:cs="宋体"/>
              </w:rPr>
              <w:t>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采用E1级18mm厚三聚氰胺板，上海兄奕封边条配进口热熔胶，联通三合一连接件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70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镜墙</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w:t>
            </w:r>
            <w:r>
              <w:rPr>
                <w:rStyle w:val="77"/>
                <w:rFonts w:hint="default"/>
                <w:color w:val="auto"/>
                <w:sz w:val="21"/>
                <w:szCs w:val="21"/>
              </w:rPr>
              <w:t>30*42“松木”骨架，18㎜厚“绿野”牌E1级木工板基层，刷防火涂料三遍，8厚银镜背贴防爆膜。</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14</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镜面包边</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L*50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 xml:space="preserve"> </w:t>
            </w:r>
            <w:r>
              <w:rPr>
                <w:rStyle w:val="77"/>
                <w:rFonts w:hint="default"/>
                <w:color w:val="auto"/>
                <w:sz w:val="21"/>
                <w:szCs w:val="21"/>
              </w:rPr>
              <w:t>12㎜厚“绿野”牌E1级木工板基层，刷防火涂料三遍，20*12 304不锈钢卡边。</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16</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五层舞蹈器材准备室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1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更衣柜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四层美术教室2</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r>
              <w:rPr>
                <w:rFonts w:hint="eastAsia" w:ascii="宋体" w:hAnsi="宋体" w:eastAsia="宋体" w:cs="宋体"/>
              </w:rPr>
              <w:br w:type="textWrapping" w:clear="all"/>
            </w:r>
            <w:r>
              <w:rPr>
                <w:rFonts w:hint="eastAsia" w:ascii="宋体" w:hAnsi="宋体" w:eastAsia="宋体" w:cs="宋体"/>
              </w:rPr>
              <w:t>互动黑板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86英寸</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1.智能黑板外观尺寸：长度≥4200mm ，高度≥1200mm ，80mm≥厚度≥75mm；产品显示尺寸：86英寸，采用工业级液晶屏，分辨率≧3840*2160；正面显示为三块拼接而成的纯平面黑板，无推拉式结构，一体化设计，无任何外露连接线；（提供产品彩页或官网截图证明）</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2.产品整块区域均满足白板笔和粉笔书写，支持水笔、普通粉笔、无尘粉笔等多种书写方式，书写流畅，字迹清晰；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3.产品采用超薄金属包边，拒绝无包边结构，防止钢化玻璃屏体跌落，圆角结构，安全可靠，壁挂式安装，拆卸方便；</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4.产品可在显示区域任意位置通过五指按压起到屏幕开/关的作用，方便老师操作，并且关闭屏幕的同时，触摸功能也自动关闭，防止误操作；（投标文件附盖有CMA、CNAS公章的检测报告扫描件）；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5.产品采用高强度铝合金边框结构，具有第三方权威检测机构出具的落球冲击试验报告，可承受2kg钢球的撞击，玻璃不会破碎；（</w:t>
            </w:r>
            <w:r>
              <w:rPr>
                <w:rFonts w:hint="eastAsia"/>
              </w:rPr>
              <w:t>投标文件中需附相关证书的扫描件</w:t>
            </w:r>
            <w:r>
              <w:rPr>
                <w:rFonts w:hint="eastAsia" w:ascii="宋体" w:hAnsi="宋体" w:eastAsia="宋体" w:cs="宋体"/>
              </w:rPr>
              <w:t>）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6.产品可有效的阻挡液晶屏的紫外线辐射，减少紫外线对眼睛的伤害，投标文件附国家级质量监督检验中心出具的带有CNAS和CMA资质的紫外透射比大于10%检验合格的报告扫描件；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7.产品可有效的阻挡液晶屏的蓝光辐射，减少蓝光对眼睛的伤害，投标文件附国家级质量监督检验中心出具的带有CNAS和CMA资质的蓝光透射比大于50%检验合格的报告扫描件。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8..三合一按键：电视开关、电脑开关和节能待机键三者合一。此按键可同时关闭内置电脑和整机显示屏电源；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9.产品采用耐腐蚀技术处理的铝合金边框，独特的无风扇风道设计，散热性更好，具有CNAS资质的盐雾检测报告，测试时间≥168小时，无腐蚀和生锈；（</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 产品具有HDMI输出功能，且也同时支持4K视频信号源的输出。（投标文件附盖有CMA、CNAS公章的检测报告扫描件）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11.产品采用国内先进的电容触控技术，手指轻触式多点（不小于10点触控）互动体验，多点书写技术：能在 Windows 自带画图软件中实现多点书写；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12.触摸屏满足连接Windows 操作系统的电脑外部设备时正常无障碍使用；产品触控连续响应速度≤10ms，触摸有效识别≤5 毫米；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13.核心触控膜组通过CNAS认证的国家级检测机构出具的高低温试验合格报告，可在高温40℃和低温-20℃等不同环境的条件下，连续开机工作不小于120小时，产品的结构和触控等正常（</w:t>
            </w:r>
            <w:r>
              <w:rPr>
                <w:rFonts w:hint="eastAsia"/>
              </w:rPr>
              <w:t>投标文件中需附相关证书的扫描件</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14.产品主机配置：处理器≧Intel Corei5；内存≧4G ；硬盘≧128G SSD固态硬盘；内置Wi-Fi：IEEE 802.11n 标准；  保证足够的信号强度；内置网卡：10M/100M/1000M；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15.产品具备多功能输入输出接口：HDMI输出≥1，USB≥6，VGA输入输出≥1 RS232≥1；TV输入≥1，USB触控≥1；</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3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教学软件</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1.产品搭载的智慧课堂软件书写方式包括硬笔、荧光笔、纹理笔、毛笔、钢笔、排刷、激光笔等多种笔型，同时印章笔和纹理笔不仅仅要内置部分图案，老师还可以自己添加喜欢的图案，方便老师使用；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2.板书笔迹根据需要进行移动等编辑操作，并与原文件一同完整保存，5种电子板擦不仅可以擦除板书笔迹，同时也可以清除插入到页面中的图形、图像、flash等对象；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书写状态下可以通过手势动作擦除，书写与擦除不需要要切换工具按钮即可实现，完全符合老师使用黑板的习惯；不论是笔迹、图片、还是图形等任意对象都可以实现任意部分的擦除，完全仿真实物板擦，方便操作；（投标文件附盖有CMA、CNAS公章的检测报告扫描件）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4.具有提醒笔功能，使演示更加清晰、明了，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5.根据手写类设备多用于教学、科研等领域的特点，软件提供了650余个常用图形和学科图形；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产品搭载的教学软件应用管理平台具有扩展性，可以添加或删除多媒体教学、电子白板、智慧教学软件、智慧课堂软件、教学资源或其它软件；具有易用性和维护性，可以通过浏览器登录后台管理，进行应用添加、删除、编辑、查找、维护等操作。（投标文件附具有CMA、CNAS认证的检测报告扫描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7.直观、快捷的图像及音频、视频、flash动画资源预览和插入方式，以及自定义“收藏夹”功能，使资源的应用更加便捷；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8.支持音频、视频、flash对象的播放，并可在播放的同时进行标注；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9.录制功能可以记录完整的操作过程和声音，并保存成AVI文件；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10.支持EDU、DOC、RTF、TXT、PPT等文件格式的导入，支持将全部或部分演示页面导出为HTML、PDF、JPG等通用文件格式，便于用户交流；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11.搭载教学软件应用管理平台易于管理操作，同时为了避免了不同软件的兼容性问题带来产品的系统不稳定性，要求教学软件管理平台、智慧教学软件、智慧课堂软件三套软件和整机为同一品牌</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套</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05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rPr>
              <w:t>内置展台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1.摄像头：1/5英寸CMOS 500万，最高分辨率是2592*1944，图像刷新频率：30帧/秒，最大扫描幅面：A4；</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2.接口：USB；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3.补光：电容触摸式五颗高亮LED补光，带触摸开关控制；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4.调焦方式：定焦；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5.尺寸大小（mm）：折叠尺寸：35*29*281；展开尺寸：285*29*185；</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6.图像格式：扫描图片格式JPG、TIF、BMP、TGA、PCX、PNG、RAS ，录像格式 AVI、WMV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7.USB 5V/500MA供电，节能、低碳、环保；</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8.操作系统：Windows XP、Vista、win7；</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9.对比教学功能，支持2、4、6、8、10分屏对比，并可以根据需要设置对比图片任意张数，可以同时打开多个动态图像，或打开本地存储图片，可以单独对每个屏幕进行放大、缩小等操作；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10.一键切换功能，可以实现展台桌面与电脑桌面的一键切换；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11.快速抓图功能，视频状态下的图片可以直接粘贴到WORD、PPT等办公软件里；</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12，电子白板功能，多种画笔可选，也能结合电子白板软件同时使用，设备软件直接嵌入白板软件，直接在白板上面进行全功能标注、闪线、擦除、文字编辑，拍照，保存等；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13.图像文件存储：默认为JPG格式，可修改存储路径，可按时间命名或自定义文件名，序号自增，支持OCR文字识别，方便老师将图片识别后保存为WORD文档进行再编辑；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14.软件有图像拆分重组合并功能，可根据需要将图像进行拆分，重组及合并，可支持最大5行和5列的拆分重组合并功能；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15.软件有幕布功能，老师讲课时能任意先遮盖上部分、或是下部分、或是左部分、或是右部分，更方便老师突出讲解内容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16.图像文件管理：新建、删除、改名。PDF保存，或进行多个PDF文件合并成一个PDF文件；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17.图像处理功能，如调整亮度、对比度、饱和度，进行灰度、二值化，反向，锐化，浮雕，文字编辑、标注、框选、镜像、旋转、纠偏、裁剪、合成、1:1打印等；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18.实时展示功能：可选择实际大小、适合屏幕或全屏等方式，快速展示教师操作或试验过程。并可以进行输出分辨率设置，自动调整白平衡设置，自动调整曝光动态等。同时可以动态即时旋转，能在视频显示的同时进行亮度、对比度、饱和度的调整修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支持录屏录像录音功能，可轻松制作电子课件；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220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无线教学套装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1、2.0声道有源音箱，内置功率放大器、备有BLP环保麦克风插口、1000套同时使用不串频、近距离对频、抗干扰性强、安装调试简单、扩音清晰、性能稳定。</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2、麦克风音量、音乐音量、高低音独立调节。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4、1组莲花音频输入、1路莲花录音输出、1个3.5毫米电脑音频输入接口。</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5、1路有线广播应急切换输入、5秒钟后自动恢复教室扩声。</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6、1路6.5毫米话筒输入插口、与同品牌话筒连接不用电池具有为话筒供电功率放大器专利证书。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7、外置USB2.4G无线话筒输入扩展功能。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8、铁网烤漆防护罩、配原厂支架、壁挂式安装。</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9、使用频率：2400-2485MHz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10、输出功率：2×60W</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 xml:space="preserve">11、灵敏度：86dB±2dB </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12、频率响应：20Hz-20KHz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13、信噪比：≥80dB±2dB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1、2.4G抗干扰射频技术、同一个无线麦克风、能在不同的教室接收机上使用、近距离开机自动对频具备2.4G无线话筒近距离对频专利证书，无须专人管理。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2、LED充电显示、发射机与接收机信号锁定显示、低电量显示。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3、采用硅胶静音按键，360度旋转背夹设计，音量大小调节。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4、内/外置麦克风切换功能、手持、领夹多种使用方式。</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5、无音频信号输入自动降噪静音功能。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6、远距离电子激光教鞭功能。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7、锂电池供电环保节能、连续工作12个小时、待机时间60天。</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8、传输范围：视环境变化约20M</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9、信噪比：≥83dB。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10、接收灵敏度：85dB±2dB。</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11、工作频率：2400-2485MHz。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12、调制方式：QPSK</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★提供原厂3年免费售后服务承诺书。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提供3C认证，产品的生产企业须通过ISO国际质量体系认证（2008标准）、环境体系认证、健康体系认证，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★产品的生产企业须具备数字教学设备扩声软件著作权证书；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★产品的生产企业须具有2.4G无线话筒控制软件著作权证书；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★产品的生产企业须具备为话筒供电功率放大器专利证书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pPr>
            <w:r>
              <w:rPr>
                <w:rFonts w:hint="eastAsia"/>
              </w:rPr>
              <w:t>（投标文件中需附相关证书的扫描件）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6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多媒体线材及安装调试</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线材要求：VGA（3+6）、电源线（3*1.0）、音频线（（20*0.12）*2+64*0.12）、网线（超五类）、控制线（2*0.5）、线槽（4CM）、布线施工、系统集成调试</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多媒体讲台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1100*670*940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柜体用1.2mm优质冷轧钢板制作，台面为12mm木纹中密度耐磨板，扶手实木烤漆，讲台整体激光落料数控折弯成型焊接而成，讲台上所有角都为圆角，安全美观。此讲台为全封闭上下结构，上柜显示器台面采用翻盖旋转结果与笔记本相似，可以任意调节可视角度。下柜左边放电脑主机，右边放功放、音箱等，下柜前后都设计有门上面冲有通风孔，既能保证设备散热安全，又便于安装检修。</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静物台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600*600*600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可折叠</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4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7</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学生桌</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1800*900*760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全橡胶木实木桌，80×80桌腿，18mm厚AA级橡胶木机拼板桌面，榫头连接、结构合理美观、牢固耐用，所有板边倒圆边，板面光滑，无毛刺；“嘉宝莉”环保聚酯木器漆（清水漆、五底三面）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6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方凳</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360*260*450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全橡胶木实木凳，榫头连接、结构合理美观、牢固耐用，表面光滑，无毛刺；“嘉宝莉”环保聚酯木器漆（清水漆、五底三面）</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9</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边柜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L*550*800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9.8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5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展示柜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4500*450*2000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1200*550*800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米</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水槽</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800*360*300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采用</w:t>
            </w:r>
            <w:r>
              <w:rPr>
                <w:rStyle w:val="77"/>
                <w:rFonts w:hint="default"/>
                <w:color w:val="auto"/>
                <w:sz w:val="21"/>
                <w:szCs w:val="21"/>
              </w:rPr>
              <w:t>304#不锈钢1.2mm厚。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659"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单口龙头</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水嘴采用全铜质表面层经耐酸漆涂处理一体化专用鹅颈单联水嘴，陶瓷阀芯</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个</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14</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室内地上管线对接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1.5—4平方的国标铜芯线</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 xml:space="preserve"> 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58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15</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室内地上给排水管对接</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按规范到位</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给水采用优质专用铝塑管软连接</w:t>
            </w:r>
            <w:r>
              <w:rPr>
                <w:rStyle w:val="77"/>
                <w:rFonts w:hint="default"/>
                <w:color w:val="auto"/>
                <w:sz w:val="21"/>
                <w:szCs w:val="21"/>
              </w:rPr>
              <w:t>,排水采用优质PVC曲型管软连接</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室</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16</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四层美术器材准备室2</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351"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四层音乐教室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10"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音乐椅</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金属支架，表面电镀处理，椅背优质网布，背框采用尼龙加玻纤工业塑胶，强度高，耐刮、抗老化、易清洗；椅座选用优质弹性布扣定型面；铝合金支撑写字板，</w:t>
            </w:r>
            <w:r>
              <w:rPr>
                <w:rStyle w:val="77"/>
                <w:rFonts w:hint="default"/>
                <w:color w:val="auto"/>
                <w:sz w:val="21"/>
                <w:szCs w:val="21"/>
              </w:rPr>
              <w:t>PU扶手，尼龙脚。</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48</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76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合唱台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4800*1600*245/980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25mm/18mm</w:t>
            </w:r>
            <w:r>
              <w:rPr>
                <w:rStyle w:val="77"/>
                <w:rFonts w:hint="default"/>
                <w:color w:val="auto"/>
                <w:sz w:val="21"/>
                <w:szCs w:val="21"/>
              </w:rPr>
              <w:t>厚滁州“皖华”彩色E1级三聚氰胺板，中间每隔300mm增加隔板加固，联通三合一连接件</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92"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3</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文化展板</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按实结算</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以下标识系统必须统一由专业设计人员设计，并由学校确认：外部标识（铝合金）教室外部基本情况与功能的说明牌（亚克力），教室内部氛围挂图不低于四块（高品质、铝框）</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项</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初中部3#楼 四层音乐器材准备室</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873"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仪器柜</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1000*500*</w:t>
            </w:r>
            <w:r>
              <w:rPr>
                <w:rFonts w:hint="eastAsia" w:ascii="宋体" w:hAnsi="宋体" w:eastAsia="宋体" w:cs="宋体"/>
              </w:rPr>
              <w:br w:type="textWrapping" w:clear="all"/>
            </w:r>
            <w:r>
              <w:rPr>
                <w:rFonts w:hint="eastAsia" w:ascii="宋体" w:hAnsi="宋体" w:eastAsia="宋体" w:cs="宋体"/>
              </w:rPr>
              <w:t>2000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r>
              <w:rPr>
                <w:rFonts w:hint="eastAsia" w:ascii="宋体" w:hAnsi="宋体" w:eastAsia="宋体" w:cs="宋体"/>
              </w:rPr>
              <w:t>柜体采用E1级18mm厚三聚氰胺板，联通三合一连接件，铝合金一字型隐形拉手，DTC105°铰链。</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9</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张</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12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w:t>
            </w: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准备台</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2400*1200*850</w:t>
            </w: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rPr>
            </w:pPr>
            <w:r>
              <w:rPr>
                <w:rFonts w:hint="eastAsia" w:ascii="宋体" w:hAnsi="宋体" w:eastAsia="宋体" w:cs="宋体"/>
              </w:rPr>
              <w:t>台面18mm厚AA级橡胶木机拼板桌面，榫头连接、结构合理美观、牢固耐用，所有板边倒圆边，板面光滑，无毛刺；“嘉宝莉”环保聚酯木器漆（清水漆、五底三面）。柜体为18mm厚E1级环保型三聚氰胺板,联通三合一连接件,上海兄奕1.5mm厚封边条；采用DTC105°铰链，DTC三节静音滑轨；拉手采用铝合金一字型拉手。</w:t>
            </w: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rFonts w:hint="eastAsia" w:ascii="宋体" w:hAnsi="宋体" w:eastAsia="宋体" w:cs="宋体"/>
              </w:rPr>
              <w:t>组</w:t>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457"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小计：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r>
        <w:tblPrEx>
          <w:tblCellMar>
            <w:top w:w="15" w:type="dxa"/>
            <w:left w:w="15" w:type="dxa"/>
            <w:bottom w:w="15" w:type="dxa"/>
            <w:right w:w="15" w:type="dxa"/>
          </w:tblCellMar>
        </w:tblPrEx>
        <w:trPr>
          <w:trHeight w:val="978" w:hRule="atLeast"/>
        </w:trPr>
        <w:tc>
          <w:tcPr>
            <w:tcW w:w="57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78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rPr>
            </w:pPr>
            <w:r>
              <w:rPr>
                <w:rFonts w:hint="eastAsia" w:ascii="宋体" w:hAnsi="宋体" w:eastAsia="宋体" w:cs="宋体"/>
                <w:b/>
              </w:rPr>
              <w:t>合计：</w:t>
            </w:r>
          </w:p>
        </w:tc>
        <w:tc>
          <w:tcPr>
            <w:tcW w:w="11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p>
        </w:tc>
        <w:tc>
          <w:tcPr>
            <w:tcW w:w="9890"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c>
          <w:tcPr>
            <w:tcW w:w="64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sz w:val="20"/>
              </w:rPr>
              <w:drawing>
                <wp:inline distT="0" distB="0" distL="0" distR="0">
                  <wp:extent cx="106680" cy="11430"/>
                  <wp:effectExtent l="0" t="0" r="0" b="0"/>
                  <wp:docPr id="3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IMG_256"/>
                          <pic:cNvPicPr>
                            <a:picLocks noChangeAspect="1" noChangeArrowheads="1"/>
                          </pic:cNvPicPr>
                        </pic:nvPicPr>
                        <pic:blipFill>
                          <a:blip r:embed="rId8" cstate="print"/>
                          <a:stretch>
                            <a:fillRect/>
                          </a:stretch>
                        </pic:blipFill>
                        <pic:spPr>
                          <a:xfrm>
                            <a:off x="0" y="0"/>
                            <a:ext cx="107315" cy="12065"/>
                          </a:xfrm>
                          <a:prstGeom prst="rect">
                            <a:avLst/>
                          </a:prstGeom>
                          <a:noFill/>
                          <a:ln w="9525" cap="flat">
                            <a:noFill/>
                          </a:ln>
                        </pic:spPr>
                      </pic:pic>
                    </a:graphicData>
                  </a:graphic>
                </wp:inline>
              </w:drawing>
            </w:r>
            <w:r>
              <w:rPr>
                <w:sz w:val="20"/>
              </w:rPr>
              <w:drawing>
                <wp:inline distT="0" distB="0" distL="0" distR="0">
                  <wp:extent cx="640080" cy="392430"/>
                  <wp:effectExtent l="0" t="0" r="0" b="0"/>
                  <wp:docPr id="3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IMG_257"/>
                          <pic:cNvPicPr>
                            <a:picLocks noChangeAspect="1" noChangeArrowheads="1"/>
                          </pic:cNvPicPr>
                        </pic:nvPicPr>
                        <pic:blipFill>
                          <a:blip r:embed="rId9" cstate="print"/>
                          <a:stretch>
                            <a:fillRect/>
                          </a:stretch>
                        </pic:blipFill>
                        <pic:spPr>
                          <a:xfrm>
                            <a:off x="0" y="0"/>
                            <a:ext cx="640715" cy="393065"/>
                          </a:xfrm>
                          <a:prstGeom prst="rect">
                            <a:avLst/>
                          </a:prstGeom>
                          <a:noFill/>
                          <a:ln w="9525" cap="flat">
                            <a:noFill/>
                          </a:ln>
                        </pic:spPr>
                      </pic:pic>
                    </a:graphicData>
                  </a:graphic>
                </wp:inline>
              </w:drawing>
            </w:r>
          </w:p>
        </w:tc>
        <w:tc>
          <w:tcPr>
            <w:tcW w:w="764"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rPr>
            </w:pPr>
            <w:r>
              <w:rPr>
                <w:sz w:val="20"/>
              </w:rPr>
              <w:drawing>
                <wp:inline distT="0" distB="0" distL="0" distR="0">
                  <wp:extent cx="106680" cy="11430"/>
                  <wp:effectExtent l="0" t="0" r="0" b="0"/>
                  <wp:docPr id="3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IMG_258"/>
                          <pic:cNvPicPr>
                            <a:picLocks noChangeAspect="1" noChangeArrowheads="1"/>
                          </pic:cNvPicPr>
                        </pic:nvPicPr>
                        <pic:blipFill>
                          <a:blip r:embed="rId8" cstate="print"/>
                          <a:stretch>
                            <a:fillRect/>
                          </a:stretch>
                        </pic:blipFill>
                        <pic:spPr>
                          <a:xfrm>
                            <a:off x="0" y="0"/>
                            <a:ext cx="107315" cy="12065"/>
                          </a:xfrm>
                          <a:prstGeom prst="rect">
                            <a:avLst/>
                          </a:prstGeom>
                          <a:noFill/>
                          <a:ln w="9525" cap="flat">
                            <a:noFill/>
                          </a:ln>
                        </pic:spPr>
                      </pic:pic>
                    </a:graphicData>
                  </a:graphic>
                </wp:inline>
              </w:drawing>
            </w:r>
            <w:r>
              <w:rPr>
                <w:sz w:val="20"/>
              </w:rPr>
              <w:drawing>
                <wp:inline distT="0" distB="0" distL="0" distR="0">
                  <wp:extent cx="544830" cy="392430"/>
                  <wp:effectExtent l="0" t="0" r="0" b="0"/>
                  <wp:docPr id="3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descr="IMG_259"/>
                          <pic:cNvPicPr>
                            <a:picLocks noChangeAspect="1" noChangeArrowheads="1"/>
                          </pic:cNvPicPr>
                        </pic:nvPicPr>
                        <pic:blipFill>
                          <a:blip r:embed="rId10" cstate="print"/>
                          <a:stretch>
                            <a:fillRect/>
                          </a:stretch>
                        </pic:blipFill>
                        <pic:spPr>
                          <a:xfrm>
                            <a:off x="0" y="0"/>
                            <a:ext cx="545465" cy="393065"/>
                          </a:xfrm>
                          <a:prstGeom prst="rect">
                            <a:avLst/>
                          </a:prstGeom>
                          <a:noFill/>
                          <a:ln w="9525" cap="flat">
                            <a:noFill/>
                          </a:ln>
                        </pic:spPr>
                      </pic:pic>
                    </a:graphicData>
                  </a:graphic>
                </wp:inline>
              </w:drawing>
            </w:r>
          </w:p>
        </w:tc>
        <w:tc>
          <w:tcPr>
            <w:tcW w:w="491"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rPr>
            </w:pPr>
          </w:p>
        </w:tc>
      </w:tr>
    </w:tbl>
    <w:p>
      <w:pPr>
        <w:wordWrap w:val="0"/>
        <w:spacing w:line="360" w:lineRule="auto"/>
        <w:rPr>
          <w:rFonts w:ascii="宋体" w:hAnsi="宋体" w:eastAsia="宋体" w:cs="宋体"/>
          <w:sz w:val="24"/>
          <w:szCs w:val="24"/>
        </w:rPr>
      </w:pPr>
      <w:r>
        <w:rPr>
          <w:rFonts w:hint="eastAsia" w:ascii="宋体" w:hAnsi="宋体" w:eastAsia="宋体" w:cs="宋体"/>
          <w:b/>
          <w:sz w:val="24"/>
          <w:szCs w:val="24"/>
        </w:rPr>
        <w:t>其他要求</w:t>
      </w:r>
    </w:p>
    <w:p>
      <w:pPr>
        <w:numPr>
          <w:ilvl w:val="0"/>
          <w:numId w:val="4"/>
        </w:numPr>
        <w:wordWrap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本项目投标报价为总包价，包含货物采购、包装、运输、装卸、备品备件、质保、第三方验收、税金等一切费用，如有招标文件中没有明确，而本项目必须的各种材料，均应包括在本项目中，采购人不再另行进行支付有关款项。</w:t>
      </w:r>
    </w:p>
    <w:p>
      <w:pPr>
        <w:numPr>
          <w:ilvl w:val="0"/>
          <w:numId w:val="4"/>
        </w:numPr>
        <w:wordWrap w:val="0"/>
        <w:spacing w:line="360" w:lineRule="auto"/>
        <w:rPr>
          <w:rFonts w:ascii="Times New Roman" w:hAnsi="Times New Roman" w:cs="Times New Roman"/>
          <w:color w:val="FF0000"/>
          <w:sz w:val="24"/>
          <w:szCs w:val="24"/>
        </w:rPr>
      </w:pPr>
      <w:r>
        <w:rPr>
          <w:rFonts w:hint="eastAsia" w:ascii="Times New Roman" w:hAnsi="Times New Roman" w:cs="Times New Roman"/>
          <w:color w:val="FF0000"/>
          <w:sz w:val="24"/>
          <w:szCs w:val="24"/>
        </w:rPr>
        <w:t>招标文件中所列产品参数为最低要求,投标产品不得低于最低要求，否则为无效投标。</w:t>
      </w:r>
    </w:p>
    <w:p>
      <w:pPr>
        <w:wordWrap w:val="0"/>
        <w:spacing w:line="360" w:lineRule="auto"/>
        <w:rPr>
          <w:rFonts w:ascii="Times New Roman" w:hAnsi="Times New Roman" w:cs="Times New Roman"/>
          <w:color w:val="FF0000"/>
          <w:sz w:val="24"/>
          <w:szCs w:val="24"/>
        </w:rPr>
      </w:pPr>
      <w:r>
        <w:rPr>
          <w:rFonts w:hint="eastAsia" w:cs="Times New Roman"/>
          <w:color w:val="FF0000"/>
          <w:sz w:val="24"/>
          <w:szCs w:val="24"/>
        </w:rPr>
        <w:t>3、</w:t>
      </w:r>
      <w:r>
        <w:rPr>
          <w:rFonts w:hint="eastAsia" w:ascii="Times New Roman" w:hAnsi="Times New Roman" w:cs="Times New Roman"/>
          <w:color w:val="FF0000"/>
          <w:sz w:val="24"/>
          <w:szCs w:val="24"/>
        </w:rPr>
        <w:t>采购单位将从中标人所供货物中抽取一定比例的货物，交由第三方进行质量检测验收，质量检测验收费用由中标人承担，但最高费用不超过投标总价的2%，投标报价中须包含该费用。</w:t>
      </w:r>
    </w:p>
    <w:p>
      <w:pPr>
        <w:wordWrap w:val="0"/>
        <w:spacing w:line="360" w:lineRule="auto"/>
        <w:rPr>
          <w:rFonts w:ascii="Times New Roman" w:hAnsi="Times New Roman" w:cs="Times New Roman"/>
          <w:color w:val="FF0000"/>
          <w:sz w:val="24"/>
          <w:szCs w:val="24"/>
        </w:rPr>
      </w:pPr>
      <w:r>
        <w:rPr>
          <w:rFonts w:hint="eastAsia" w:cs="Times New Roman"/>
          <w:color w:val="FF0000"/>
          <w:sz w:val="24"/>
          <w:szCs w:val="24"/>
        </w:rPr>
        <w:t>4、</w:t>
      </w:r>
      <w:r>
        <w:rPr>
          <w:rFonts w:hint="eastAsia" w:ascii="Times New Roman" w:hAnsi="Times New Roman" w:cs="Times New Roman"/>
          <w:color w:val="FF0000"/>
          <w:sz w:val="24"/>
          <w:szCs w:val="24"/>
        </w:rPr>
        <w:t>经验收合格付合同总价款的90%，剩余10%满一年无质量问题一次付清。</w:t>
      </w:r>
    </w:p>
    <w:p>
      <w:pPr>
        <w:wordWrap w:val="0"/>
        <w:spacing w:line="360" w:lineRule="auto"/>
        <w:rPr>
          <w:rFonts w:cs="宋体" w:asciiTheme="majorEastAsia" w:hAnsiTheme="majorEastAsia" w:eastAsiaTheme="majorEastAsia"/>
          <w:b/>
          <w:color w:val="FF0000"/>
          <w:sz w:val="36"/>
          <w:szCs w:val="36"/>
        </w:rPr>
      </w:pPr>
      <w:r>
        <w:rPr>
          <w:rFonts w:hint="eastAsia" w:cs="Times New Roman"/>
          <w:color w:val="FF0000"/>
          <w:sz w:val="24"/>
          <w:szCs w:val="24"/>
        </w:rPr>
        <w:t>5</w:t>
      </w:r>
      <w:r>
        <w:rPr>
          <w:rFonts w:hint="eastAsia" w:ascii="Times New Roman" w:hAnsi="Times New Roman" w:cs="Times New Roman"/>
          <w:color w:val="FF0000"/>
          <w:sz w:val="24"/>
          <w:szCs w:val="24"/>
        </w:rPr>
        <w:t>、售后免费服务和保修期为三年，投标时需提供厂家售后服务承诺函。未提供的按照无效投标处理</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ordWrap w:val="0"/>
        <w:spacing w:line="360" w:lineRule="auto"/>
        <w:sectPr>
          <w:pgSz w:w="16838" w:h="11906" w:orient="landscape"/>
          <w:pgMar w:top="1587" w:right="2098" w:bottom="1474" w:left="1928" w:header="851" w:footer="992" w:gutter="0"/>
          <w:cols w:space="720" w:num="1"/>
          <w:docGrid w:type="lines" w:linePitch="315" w:charSpace="0"/>
        </w:sectPr>
      </w:pPr>
    </w:p>
    <w:p>
      <w:pPr>
        <w:autoSpaceDE w:val="0"/>
        <w:autoSpaceDN w:val="0"/>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第三章 投标人须知前附表</w:t>
      </w:r>
    </w:p>
    <w:p>
      <w:pPr>
        <w:autoSpaceDE w:val="0"/>
        <w:autoSpaceDN w:val="0"/>
        <w:spacing w:line="360" w:lineRule="auto"/>
        <w:ind w:right="-11"/>
        <w:jc w:val="left"/>
        <w:rPr>
          <w:rFonts w:cs="宋体" w:asciiTheme="minorEastAsia" w:hAnsiTheme="minorEastAsia"/>
          <w:b/>
        </w:rPr>
      </w:pPr>
      <w:r>
        <w:rPr>
          <w:rFonts w:hint="eastAsia" w:cs="微软雅黑"/>
          <w:b/>
          <w:color w:val="FF0000"/>
        </w:rPr>
        <w:t>招标文件中凡标有</w:t>
      </w:r>
      <w:r>
        <w:rPr>
          <w:rFonts w:hint="eastAsia" w:cs="微软雅黑" w:asciiTheme="minorEastAsia" w:hAnsiTheme="minorEastAsia"/>
          <w:b/>
          <w:color w:val="FF0000"/>
        </w:rPr>
        <w:t>★</w:t>
      </w:r>
      <w:r>
        <w:rPr>
          <w:rFonts w:hint="eastAsia" w:cs="微软雅黑"/>
          <w:b/>
          <w:color w:val="FF0000"/>
        </w:rPr>
        <w:t>条款均为实质性要求条款，投标文件须完全响应，未实质响应的，按照无效投标处理。</w:t>
      </w:r>
    </w:p>
    <w:tbl>
      <w:tblPr>
        <w:tblStyle w:val="22"/>
        <w:tblW w:w="9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268"/>
        <w:gridCol w:w="6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spacing w:line="276" w:lineRule="auto"/>
              <w:jc w:val="center"/>
              <w:rPr>
                <w:rFonts w:cs="仿宋_GB2312" w:asciiTheme="minorEastAsia" w:hAnsiTheme="minorEastAsia"/>
                <w:b/>
              </w:rPr>
            </w:pPr>
            <w:r>
              <w:rPr>
                <w:rFonts w:hint="eastAsia" w:cs="仿宋_GB2312" w:asciiTheme="minorEastAsia" w:hAnsiTheme="minorEastAsia"/>
                <w:b/>
              </w:rPr>
              <w:t>序号</w:t>
            </w:r>
          </w:p>
        </w:tc>
        <w:tc>
          <w:tcPr>
            <w:tcW w:w="2268" w:type="dxa"/>
            <w:vAlign w:val="center"/>
          </w:tcPr>
          <w:p>
            <w:pPr>
              <w:autoSpaceDE w:val="0"/>
              <w:autoSpaceDN w:val="0"/>
              <w:spacing w:line="276" w:lineRule="auto"/>
              <w:jc w:val="center"/>
              <w:rPr>
                <w:rFonts w:cs="仿宋_GB2312" w:asciiTheme="minorEastAsia" w:hAnsiTheme="minorEastAsia"/>
                <w:b/>
              </w:rPr>
            </w:pPr>
            <w:r>
              <w:rPr>
                <w:rFonts w:hint="eastAsia" w:cs="仿宋_GB2312" w:asciiTheme="minorEastAsia" w:hAnsiTheme="minorEastAsia"/>
                <w:b/>
              </w:rPr>
              <w:t>条款名称</w:t>
            </w:r>
          </w:p>
        </w:tc>
        <w:tc>
          <w:tcPr>
            <w:tcW w:w="6813" w:type="dxa"/>
            <w:vAlign w:val="center"/>
          </w:tcPr>
          <w:p>
            <w:pPr>
              <w:autoSpaceDE w:val="0"/>
              <w:autoSpaceDN w:val="0"/>
              <w:spacing w:line="276" w:lineRule="auto"/>
              <w:jc w:val="center"/>
              <w:rPr>
                <w:rFonts w:cs="仿宋_GB2312" w:asciiTheme="minorEastAsia" w:hAnsiTheme="minorEastAsia"/>
                <w:b/>
              </w:rPr>
            </w:pPr>
            <w:r>
              <w:rPr>
                <w:rFonts w:hint="eastAsia" w:cs="仿宋_GB2312" w:asciiTheme="minorEastAsia" w:hAnsiTheme="minorEastAsia"/>
                <w:b/>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采购项目</w:t>
            </w:r>
          </w:p>
        </w:tc>
        <w:tc>
          <w:tcPr>
            <w:tcW w:w="6813" w:type="dxa"/>
          </w:tcPr>
          <w:p>
            <w:pPr>
              <w:autoSpaceDE w:val="0"/>
              <w:autoSpaceDN w:val="0"/>
              <w:spacing w:line="360" w:lineRule="auto"/>
              <w:jc w:val="left"/>
              <w:rPr>
                <w:rFonts w:cs="仿宋_GB2312" w:asciiTheme="minorEastAsia" w:hAnsiTheme="minorEastAsia"/>
              </w:rPr>
            </w:pPr>
            <w:r>
              <w:rPr>
                <w:rFonts w:hint="eastAsia" w:cs="仿宋_GB2312" w:asciiTheme="minorEastAsia" w:hAnsiTheme="minorEastAsia"/>
              </w:rPr>
              <w:t>项目名称长葛市颍川路中小学书法、美术、音乐教室设施设备购置项目</w:t>
            </w:r>
          </w:p>
          <w:p>
            <w:pPr>
              <w:autoSpaceDE w:val="0"/>
              <w:autoSpaceDN w:val="0"/>
              <w:spacing w:line="360" w:lineRule="auto"/>
              <w:jc w:val="left"/>
              <w:rPr>
                <w:rFonts w:cs="仿宋_GB2312" w:asciiTheme="minorEastAsia" w:hAnsiTheme="minorEastAsia"/>
              </w:rPr>
            </w:pPr>
            <w:r>
              <w:rPr>
                <w:rFonts w:hint="eastAsia" w:cs="仿宋_GB2312" w:asciiTheme="minorEastAsia" w:hAnsiTheme="minorEastAsia"/>
              </w:rPr>
              <w:t>项目编号：长招采公字【2018】051号</w:t>
            </w:r>
          </w:p>
          <w:p>
            <w:pPr>
              <w:pStyle w:val="21"/>
              <w:shd w:val="clear" w:color="000000"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rPr>
              <w:t>项</w:t>
            </w:r>
            <w:r>
              <w:rPr>
                <w:rFonts w:hint="eastAsia" w:cs="仿宋_GB2312" w:asciiTheme="minorEastAsia" w:hAnsiTheme="minorEastAsia" w:eastAsiaTheme="minorEastAsia"/>
                <w:sz w:val="21"/>
                <w:szCs w:val="21"/>
              </w:rPr>
              <w:t>目内容：中小学书法、美术、音乐教室设施设备购置，详细参数见采购文件。</w:t>
            </w:r>
          </w:p>
          <w:p>
            <w:pPr>
              <w:autoSpaceDE w:val="0"/>
              <w:autoSpaceDN w:val="0"/>
              <w:spacing w:line="360" w:lineRule="auto"/>
              <w:jc w:val="left"/>
              <w:rPr>
                <w:rFonts w:cs="仿宋_GB2312" w:asciiTheme="minorEastAsia" w:hAnsiTheme="minorEastAsia"/>
              </w:rPr>
            </w:pPr>
            <w:r>
              <w:rPr>
                <w:rFonts w:hint="eastAsia" w:cs="仿宋_GB2312" w:asciiTheme="minorEastAsia" w:hAnsiTheme="minorEastAsia"/>
              </w:rPr>
              <w:t>项目地址：长葛市颍川路中小学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spacing w:line="276" w:lineRule="auto"/>
              <w:jc w:val="center"/>
              <w:rPr>
                <w:rFonts w:cs="TimesNewRomanPSMT" w:asciiTheme="minorEastAsia" w:hAnsiTheme="minorEastAsia"/>
              </w:rPr>
            </w:pPr>
            <w:r>
              <w:rPr>
                <w:rFonts w:hint="eastAsia" w:cs="TimesNewRomanPSMT" w:asciiTheme="minorEastAsia" w:hAnsiTheme="minorEastAsia"/>
              </w:rPr>
              <w:t>2</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采购人</w:t>
            </w:r>
          </w:p>
        </w:tc>
        <w:tc>
          <w:tcPr>
            <w:tcW w:w="6813" w:type="dxa"/>
            <w:vAlign w:val="center"/>
          </w:tcPr>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采购人：长葛市教育体育局</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 xml:space="preserve">联系人：石科长                      </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 xml:space="preserve">联系电话：03746110256  </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地址：长葛市八七路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3</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代理机构</w:t>
            </w:r>
          </w:p>
        </w:tc>
        <w:tc>
          <w:tcPr>
            <w:tcW w:w="6813" w:type="dxa"/>
            <w:vAlign w:val="center"/>
          </w:tcPr>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 xml:space="preserve">代理机构：山西文昌工程咨询有限公司 </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代理机构联系方式：张先生  13271279113</w:t>
            </w:r>
          </w:p>
          <w:p>
            <w:pPr>
              <w:autoSpaceDE w:val="0"/>
              <w:autoSpaceDN w:val="0"/>
              <w:spacing w:line="360" w:lineRule="auto"/>
              <w:jc w:val="left"/>
              <w:rPr>
                <w:rFonts w:cs="仿宋_GB2312" w:asciiTheme="minorEastAsia" w:hAnsiTheme="minorEastAsia"/>
                <w:color w:val="000000"/>
                <w:shd w:val="clear" w:color="000000" w:fill="FFFFFF"/>
              </w:rPr>
            </w:pPr>
            <w:r>
              <w:rPr>
                <w:rFonts w:hint="eastAsia" w:cs="仿宋_GB2312" w:asciiTheme="minorEastAsia" w:hAnsiTheme="minorEastAsia"/>
                <w:color w:val="000000"/>
                <w:shd w:val="clear" w:color="000000" w:fill="FFFFFF"/>
              </w:rPr>
              <w:t>代理机构地址：郑州市高新区冬青街7号B座1606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4</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微软雅黑" w:asciiTheme="minorEastAsia" w:hAnsiTheme="minorEastAsia"/>
                <w:b/>
                <w:color w:val="FF0000"/>
              </w:rPr>
              <w:t>★</w:t>
            </w:r>
            <w:r>
              <w:rPr>
                <w:rFonts w:hint="eastAsia" w:cs="仿宋_GB2312" w:asciiTheme="minorEastAsia" w:hAnsiTheme="minorEastAsia"/>
              </w:rPr>
              <w:t>投标人资格</w:t>
            </w:r>
          </w:p>
        </w:tc>
        <w:tc>
          <w:tcPr>
            <w:tcW w:w="6813" w:type="dxa"/>
            <w:vAlign w:val="center"/>
          </w:tcPr>
          <w:p>
            <w:pPr>
              <w:autoSpaceDE w:val="0"/>
              <w:autoSpaceDN w:val="0"/>
              <w:spacing w:line="360" w:lineRule="auto"/>
              <w:ind w:right="-11"/>
              <w:rPr>
                <w:rFonts w:cs="宋体" w:asciiTheme="minorEastAsia" w:hAnsiTheme="minorEastAsia"/>
                <w:b/>
              </w:rPr>
            </w:pPr>
            <w:r>
              <w:rPr>
                <w:rFonts w:hint="eastAsia" w:cs="宋体" w:asciiTheme="minorEastAsia" w:hAnsiTheme="minorEastAsia"/>
                <w:b/>
              </w:rPr>
              <w:t>一、</w:t>
            </w:r>
            <w:r>
              <w:rPr>
                <w:rFonts w:cs="宋体" w:asciiTheme="minorEastAsia" w:hAnsiTheme="minorEastAsia"/>
                <w:b/>
              </w:rPr>
              <w:t>法人或者其他组织的营业执照等证明文件，自然人的身份证明</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1、企业法人营业执照或营业执照。（企业投标提供）</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2、事业单位法人证书。（事业单位投标提供）</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3、执业许可证。（非企业专业服务机构投标提供）</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4、个体工商户营业执照。（个体工商户投标提供）</w:t>
            </w:r>
          </w:p>
          <w:p>
            <w:pPr>
              <w:autoSpaceDE w:val="0"/>
              <w:autoSpaceDN w:val="0"/>
              <w:spacing w:line="360" w:lineRule="auto"/>
              <w:jc w:val="left"/>
              <w:rPr>
                <w:rFonts w:cs="宋体" w:asciiTheme="minorEastAsia" w:hAnsiTheme="minorEastAsia"/>
              </w:rPr>
            </w:pPr>
            <w:r>
              <w:rPr>
                <w:rFonts w:hint="eastAsia" w:cs="宋体" w:asciiTheme="minorEastAsia" w:hAnsiTheme="minorEastAsia"/>
              </w:rPr>
              <w:t>5、自然人身份证明。（自然人投标提供）</w:t>
            </w:r>
          </w:p>
          <w:p>
            <w:pPr>
              <w:autoSpaceDE w:val="0"/>
              <w:autoSpaceDN w:val="0"/>
              <w:spacing w:line="360" w:lineRule="auto"/>
              <w:jc w:val="left"/>
              <w:rPr>
                <w:rFonts w:cs="宋体" w:asciiTheme="minorEastAsia" w:hAnsiTheme="minorEastAsia"/>
              </w:rPr>
            </w:pPr>
            <w:r>
              <w:rPr>
                <w:rFonts w:hint="eastAsia" w:cs="宋体" w:asciiTheme="minorEastAsia" w:hAnsiTheme="minorEastAsia"/>
              </w:rPr>
              <w:t>6、民办非企业单位登记证书。（民办非企业单位投标提供）</w:t>
            </w:r>
          </w:p>
          <w:p>
            <w:pPr>
              <w:autoSpaceDE w:val="0"/>
              <w:autoSpaceDN w:val="0"/>
              <w:spacing w:line="360" w:lineRule="auto"/>
              <w:jc w:val="left"/>
              <w:rPr>
                <w:rFonts w:cs="仿宋_GB2312" w:asciiTheme="minorEastAsia" w:hAnsiTheme="minorEastAsia"/>
                <w:b/>
              </w:rPr>
            </w:pPr>
            <w:r>
              <w:rPr>
                <w:rFonts w:hint="eastAsia" w:cs="仿宋_GB2312" w:asciiTheme="minorEastAsia" w:hAnsiTheme="minorEastAsia"/>
                <w:b/>
              </w:rPr>
              <w:t>二、财务状况报告相关材料</w:t>
            </w:r>
          </w:p>
          <w:p>
            <w:pPr>
              <w:spacing w:line="360" w:lineRule="auto"/>
              <w:rPr>
                <w:rFonts w:asciiTheme="minorEastAsia" w:hAnsiTheme="minorEastAsia"/>
              </w:rPr>
            </w:pPr>
            <w:r>
              <w:rPr>
                <w:rFonts w:hint="eastAsia" w:asciiTheme="minorEastAsia" w:hAnsiTheme="minorEastAsia"/>
              </w:rPr>
              <w:t>（1）投标人是法人（法人包括企业法人、机关法人、事业单位法人和社会团体法人），提供本单位：</w:t>
            </w:r>
          </w:p>
          <w:p>
            <w:pPr>
              <w:spacing w:line="360" w:lineRule="auto"/>
              <w:rPr>
                <w:rFonts w:asciiTheme="minorEastAsia" w:hAnsiTheme="minorEastAsia"/>
              </w:rPr>
            </w:pPr>
            <w:r>
              <w:rPr>
                <w:rFonts w:hint="eastAsia" w:asciiTheme="minorEastAsia" w:hAnsiTheme="minorEastAsia"/>
              </w:rPr>
              <w:t>①2016年度、2017年度、2018年度经审计的财务报告，包括资产负债表、利润表、现金流量表、所有者权益变动表及其附注；</w:t>
            </w:r>
          </w:p>
          <w:p>
            <w:pPr>
              <w:spacing w:line="360" w:lineRule="auto"/>
              <w:rPr>
                <w:rFonts w:asciiTheme="minorEastAsia" w:hAnsiTheme="minorEastAsia"/>
              </w:rPr>
            </w:pPr>
            <w:r>
              <w:rPr>
                <w:rFonts w:hint="eastAsia" w:asciiTheme="minorEastAsia" w:hAnsiTheme="minorEastAsia"/>
              </w:rPr>
              <w:t>②基本开户银行出具的资信证明；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spacing w:line="360" w:lineRule="auto"/>
              <w:rPr>
                <w:rFonts w:asciiTheme="minorEastAsia" w:hAnsiTheme="minorEastAsia"/>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rPr>
            </w:pPr>
            <w:r>
              <w:rPr>
                <w:rFonts w:hint="eastAsia" w:asciiTheme="minorEastAsia" w:hAnsiTheme="minorEastAsia"/>
              </w:rPr>
              <w:t>（2）投标人（其他组织和自然人）提供本单位：</w:t>
            </w:r>
          </w:p>
          <w:p>
            <w:pPr>
              <w:spacing w:line="360" w:lineRule="auto"/>
              <w:rPr>
                <w:rFonts w:asciiTheme="minorEastAsia" w:hAnsiTheme="minorEastAsia"/>
              </w:rPr>
            </w:pPr>
            <w:r>
              <w:rPr>
                <w:rFonts w:hint="eastAsia" w:asciiTheme="minorEastAsia" w:hAnsiTheme="minorEastAsia"/>
              </w:rPr>
              <w:t>①2016年度、2017年度、2018年度经审计的财务报告，包括资产负债表、利润表、现金流量表、所有者权益变动表及其附注；</w:t>
            </w:r>
          </w:p>
          <w:p>
            <w:pPr>
              <w:spacing w:line="360" w:lineRule="auto"/>
              <w:rPr>
                <w:rFonts w:asciiTheme="minorEastAsia" w:hAnsiTheme="minorEastAsia"/>
              </w:rPr>
            </w:pPr>
            <w:r>
              <w:rPr>
                <w:rFonts w:hint="eastAsia" w:asciiTheme="minorEastAsia" w:hAnsiTheme="minorEastAsia"/>
              </w:rPr>
              <w:t>②银行出具的资信证明；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pStyle w:val="3"/>
            </w:pPr>
            <w:r>
              <w:rPr>
                <w:rFonts w:hint="eastAsia" w:ascii="Times New Roman" w:hAnsi="Times New Roman" w:cs="宋体"/>
              </w:rPr>
              <w:t>（新注册公司从注册交纳起计算，不足的视为满足)</w:t>
            </w:r>
          </w:p>
          <w:p>
            <w:pPr>
              <w:pStyle w:val="3"/>
              <w:rPr>
                <w:rFonts w:cs="宋体" w:asciiTheme="minorEastAsia" w:hAnsiTheme="minorEastAsia"/>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①～③其中之一即可。</w:t>
            </w:r>
          </w:p>
          <w:p>
            <w:pPr>
              <w:autoSpaceDE w:val="0"/>
              <w:autoSpaceDN w:val="0"/>
              <w:spacing w:line="360" w:lineRule="auto"/>
              <w:ind w:right="-11"/>
              <w:rPr>
                <w:rFonts w:cs="宋体" w:asciiTheme="minorEastAsia" w:hAnsiTheme="minorEastAsia"/>
              </w:rPr>
            </w:pPr>
            <w:r>
              <w:rPr>
                <w:rFonts w:hint="eastAsia" w:cs="仿宋_GB2312" w:asciiTheme="minorEastAsia" w:hAnsiTheme="minorEastAsia"/>
                <w:b/>
              </w:rPr>
              <w:t>三、依法缴纳税收相关材料</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参加本次政府采购项目投标截止时间前六个月内任意一个月缴纳税收凭据。（依法免税的投标人，应提供相应文件证明依法免税）</w:t>
            </w:r>
          </w:p>
          <w:p>
            <w:pPr>
              <w:autoSpaceDE w:val="0"/>
              <w:autoSpaceDN w:val="0"/>
              <w:spacing w:line="360" w:lineRule="auto"/>
              <w:ind w:right="-11"/>
              <w:rPr>
                <w:rFonts w:cs="仿宋_GB2312" w:asciiTheme="minorEastAsia" w:hAnsiTheme="minorEastAsia"/>
                <w:b/>
              </w:rPr>
            </w:pPr>
            <w:r>
              <w:rPr>
                <w:rFonts w:hint="eastAsia" w:cs="仿宋_GB2312" w:asciiTheme="minorEastAsia" w:hAnsiTheme="minorEastAsia"/>
                <w:b/>
              </w:rPr>
              <w:t>四、依法缴纳社会保障资金的证明材料</w:t>
            </w:r>
          </w:p>
          <w:p>
            <w:pPr>
              <w:autoSpaceDE w:val="0"/>
              <w:autoSpaceDN w:val="0"/>
              <w:spacing w:line="360" w:lineRule="auto"/>
              <w:ind w:right="-11"/>
              <w:rPr>
                <w:rFonts w:cs="宋体" w:asciiTheme="minorEastAsia" w:hAnsiTheme="minorEastAsia"/>
              </w:rPr>
            </w:pPr>
            <w:r>
              <w:rPr>
                <w:rFonts w:hint="eastAsia" w:cs="宋体" w:asciiTheme="minorEastAsia" w:hAnsiTheme="minorEastAsia"/>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spacing w:line="360" w:lineRule="auto"/>
              <w:ind w:right="-11"/>
              <w:rPr>
                <w:rFonts w:cs="宋体" w:asciiTheme="minorEastAsia" w:hAnsiTheme="minorEastAsia"/>
                <w:b/>
              </w:rPr>
            </w:pPr>
            <w:r>
              <w:rPr>
                <w:rFonts w:hint="eastAsia" w:cs="宋体" w:asciiTheme="minorEastAsia" w:hAnsiTheme="minorEastAsia"/>
                <w:b/>
              </w:rPr>
              <w:t>五、履行合同所必须的设备和专业技术能力的证明材料</w:t>
            </w:r>
          </w:p>
          <w:p>
            <w:pPr>
              <w:autoSpaceDE w:val="0"/>
              <w:autoSpaceDN w:val="0"/>
              <w:spacing w:line="360" w:lineRule="auto"/>
              <w:jc w:val="left"/>
              <w:rPr>
                <w:rFonts w:cs="宋体" w:asciiTheme="minorEastAsia" w:hAnsiTheme="minorEastAsia"/>
              </w:rPr>
            </w:pPr>
            <w:r>
              <w:rPr>
                <w:rFonts w:hint="eastAsia" w:cs="宋体" w:asciiTheme="minorEastAsia" w:hAnsiTheme="minorEastAsia"/>
              </w:rPr>
              <w:t>①相关设备的购置发票、专业技术人员职称证书、用工合同等；</w:t>
            </w:r>
          </w:p>
          <w:p>
            <w:pPr>
              <w:spacing w:line="360" w:lineRule="auto"/>
              <w:rPr>
                <w:rFonts w:asciiTheme="minorEastAsia" w:hAnsiTheme="minorEastAsia"/>
              </w:rPr>
            </w:pPr>
            <w:r>
              <w:rPr>
                <w:rFonts w:hint="eastAsia" w:asciiTheme="minorEastAsia" w:hAnsiTheme="minorEastAsia"/>
              </w:rPr>
              <w:t>②投标人具备履行合同所必须的设备和专业技术能力承诺函或声明（承诺函或声明格式自拟）。</w:t>
            </w:r>
          </w:p>
          <w:p>
            <w:pPr>
              <w:autoSpaceDE w:val="0"/>
              <w:autoSpaceDN w:val="0"/>
              <w:spacing w:line="360" w:lineRule="auto"/>
              <w:ind w:right="-11"/>
              <w:rPr>
                <w:rFonts w:ascii="楷体" w:hAnsi="楷体" w:eastAsia="楷体"/>
                <w:color w:val="000000"/>
                <w:sz w:val="24"/>
                <w:szCs w:val="24"/>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①～②其中之一即可。</w:t>
            </w:r>
          </w:p>
          <w:p>
            <w:pPr>
              <w:autoSpaceDE w:val="0"/>
              <w:autoSpaceDN w:val="0"/>
              <w:spacing w:line="360" w:lineRule="auto"/>
              <w:ind w:right="-11"/>
              <w:rPr>
                <w:rFonts w:cs="宋体" w:asciiTheme="minorEastAsia" w:hAnsiTheme="minorEastAsia"/>
                <w:b/>
              </w:rPr>
            </w:pPr>
            <w:r>
              <w:rPr>
                <w:rFonts w:hint="eastAsia" w:cs="宋体" w:asciiTheme="minorEastAsia" w:hAnsiTheme="minorEastAsia"/>
                <w:b/>
              </w:rPr>
              <w:t>六、</w:t>
            </w:r>
            <w:r>
              <w:rPr>
                <w:rFonts w:cs="宋体" w:asciiTheme="minorEastAsia" w:hAnsiTheme="minorEastAsia"/>
                <w:b/>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rPr>
            </w:pPr>
            <w:r>
              <w:rPr>
                <w:rFonts w:hint="eastAsia" w:cs="宋体" w:asciiTheme="minorEastAsia" w:hAnsiTheme="minorEastAsia"/>
              </w:rPr>
              <w:t>投标人“</w:t>
            </w:r>
            <w:r>
              <w:rPr>
                <w:rFonts w:cs="宋体" w:asciiTheme="minorEastAsia" w:hAnsiTheme="minorEastAsia"/>
              </w:rPr>
              <w:t>参加政府采购活动前3年内在经营活动中没有重大违法记录的书面声明</w:t>
            </w:r>
            <w:r>
              <w:rPr>
                <w:rFonts w:hint="eastAsia" w:cs="宋体" w:asciiTheme="minorEastAsia" w:hAnsiTheme="minorEastAsia"/>
              </w:rPr>
              <w:t>”。 重大违法记录，是指投标人因违法经营受到刑事处罚或者责令停产停业、吊销许可证或者执照、较大数额罚款等行政处罚。</w:t>
            </w:r>
          </w:p>
          <w:p>
            <w:pPr>
              <w:pBdr>
                <w:top w:val="none" w:color="auto" w:sz="0" w:space="0"/>
                <w:left w:val="none" w:color="auto" w:sz="0" w:space="0"/>
                <w:bottom w:val="none" w:color="auto" w:sz="0" w:space="0"/>
                <w:right w:val="none" w:color="auto" w:sz="0" w:space="0"/>
              </w:pBdr>
              <w:wordWrap w:val="0"/>
              <w:spacing w:before="226" w:line="360" w:lineRule="auto"/>
              <w:jc w:val="left"/>
              <w:rPr>
                <w:rFonts w:cs="仿宋_GB2312" w:asciiTheme="minorEastAsia" w:hAnsiTheme="minorEastAsia"/>
                <w:b/>
                <w:color w:val="000000"/>
                <w:shd w:val="clear" w:color="000000" w:fill="FFFFFF"/>
              </w:rPr>
            </w:pPr>
            <w:r>
              <w:rPr>
                <w:rFonts w:hint="eastAsia" w:cs="仿宋_GB2312" w:asciiTheme="minorEastAsia" w:hAnsiTheme="minorEastAsia"/>
                <w:b/>
                <w:color w:val="000000"/>
                <w:shd w:val="clear" w:color="000000" w:fill="FFFFFF"/>
              </w:rPr>
              <w:t>七、</w:t>
            </w:r>
            <w:r>
              <w:rPr>
                <w:rFonts w:cs="仿宋_GB2312" w:asciiTheme="minorEastAsia" w:hAnsiTheme="minorEastAsia"/>
                <w:b/>
                <w:color w:val="000000"/>
                <w:shd w:val="clear" w:color="000000" w:fill="FFFFFF"/>
              </w:rPr>
              <w:t>未被列入“信用中国”网站(www.creditchina.gov.cn)失信被执行人、重大税收违法案件当事人名单的投标人；</w:t>
            </w:r>
            <w:r>
              <w:rPr>
                <w:rFonts w:hint="eastAsia" w:cs="仿宋_GB2312" w:asciiTheme="minorEastAsia" w:hAnsiTheme="minorEastAsia"/>
                <w:b/>
                <w:color w:val="000000"/>
                <w:shd w:val="clear" w:color="000000" w:fill="FFFFFF"/>
              </w:rPr>
              <w:t>“</w:t>
            </w:r>
            <w:r>
              <w:rPr>
                <w:rFonts w:cs="仿宋_GB2312" w:asciiTheme="minorEastAsia" w:hAnsiTheme="minorEastAsia"/>
                <w:b/>
                <w:color w:val="000000"/>
                <w:shd w:val="clear" w:color="000000" w:fill="FFFFFF"/>
              </w:rPr>
              <w:t>中国政府采购网</w:t>
            </w:r>
            <w:r>
              <w:rPr>
                <w:rFonts w:hint="eastAsia" w:cs="仿宋_GB2312" w:asciiTheme="minorEastAsia" w:hAnsiTheme="minorEastAsia"/>
                <w:b/>
                <w:color w:val="000000"/>
                <w:shd w:val="clear" w:color="000000" w:fill="FFFFFF"/>
              </w:rPr>
              <w:t>”</w:t>
            </w:r>
            <w:r>
              <w:rPr>
                <w:rFonts w:cs="仿宋_GB2312" w:asciiTheme="minorEastAsia" w:hAnsiTheme="minorEastAsia"/>
                <w:b/>
                <w:color w:val="000000"/>
                <w:shd w:val="clear" w:color="000000" w:fill="FFFFFF"/>
              </w:rPr>
              <w:t xml:space="preserve"> (www.ccgp.gov.cn)政府采购严重违法失信行为记录名单的投标人；“中国社会组织公共服务平台”网站（</w:t>
            </w:r>
            <w:r>
              <w:rPr>
                <w:rFonts w:hint="eastAsia" w:cs="仿宋_GB2312" w:asciiTheme="minorEastAsia" w:hAnsiTheme="minorEastAsia"/>
                <w:b/>
                <w:color w:val="000000"/>
                <w:shd w:val="clear" w:color="000000" w:fill="FFFFFF"/>
              </w:rPr>
              <w:t>www.chinanpo.gov.cn）严重违法失信名单的投标人。</w:t>
            </w:r>
          </w:p>
          <w:p>
            <w:pPr>
              <w:autoSpaceDE w:val="0"/>
              <w:autoSpaceDN w:val="0"/>
              <w:spacing w:line="360" w:lineRule="auto"/>
              <w:contextualSpacing/>
              <w:jc w:val="left"/>
              <w:rPr>
                <w:rFonts w:cs="宋体" w:asciiTheme="minorEastAsia" w:hAnsiTheme="minorEastAsia"/>
              </w:rPr>
            </w:pPr>
            <w:r>
              <w:rPr>
                <w:rFonts w:hint="eastAsia" w:cs="仿宋_GB2312" w:asciiTheme="minorEastAsia" w:hAnsiTheme="minorEastAsia"/>
                <w:b/>
                <w:color w:val="000000"/>
                <w:shd w:val="clear" w:color="000000" w:fill="FFFFFF"/>
              </w:rPr>
              <w:t>（</w:t>
            </w:r>
            <w:r>
              <w:rPr>
                <w:rFonts w:hint="eastAsia" w:cs="宋体" w:asciiTheme="minorEastAsia" w:hAnsiTheme="minorEastAsia"/>
              </w:rPr>
              <w:t>联合体形式投标的，联合体成员存在不良信用记录，视同联合体存在不良信用记录）。</w:t>
            </w:r>
          </w:p>
          <w:p>
            <w:pPr>
              <w:spacing w:line="360" w:lineRule="auto"/>
              <w:rPr>
                <w:rFonts w:cs="宋体" w:asciiTheme="minorEastAsia" w:hAnsiTheme="minorEastAsia"/>
              </w:rPr>
            </w:pPr>
            <w:r>
              <w:rPr>
                <w:rFonts w:hint="eastAsia" w:cs="宋体" w:asciiTheme="minorEastAsia" w:hAnsiTheme="minorEastAsia"/>
              </w:rPr>
              <w:t>1、查询渠道：</w:t>
            </w:r>
          </w:p>
          <w:p>
            <w:pPr>
              <w:spacing w:line="360" w:lineRule="auto"/>
              <w:rPr>
                <w:rFonts w:cs="宋体" w:asciiTheme="minorEastAsia" w:hAnsiTheme="minorEastAsia"/>
              </w:rPr>
            </w:pPr>
            <w:r>
              <w:rPr>
                <w:rFonts w:hint="eastAsia" w:cs="宋体" w:asciiTheme="minorEastAsia" w:hAnsiTheme="minorEastAsia"/>
              </w:rPr>
              <w:t>①“信用中国”网站（</w:t>
            </w:r>
            <w:r>
              <w:fldChar w:fldCharType="begin"/>
            </w:r>
            <w:r>
              <w:instrText xml:space="preserve"> HYPERLINK "http://www.creditchina.gov.cn" </w:instrText>
            </w:r>
            <w:r>
              <w:fldChar w:fldCharType="separate"/>
            </w:r>
            <w:r>
              <w:rPr>
                <w:rFonts w:hint="eastAsia" w:cs="宋体"/>
              </w:rPr>
              <w:t>www.creditchina.gov.cn</w:t>
            </w:r>
            <w:r>
              <w:rPr>
                <w:rFonts w:hint="eastAsia" w:cs="宋体"/>
              </w:rPr>
              <w:fldChar w:fldCharType="end"/>
            </w:r>
            <w:r>
              <w:rPr>
                <w:rFonts w:hint="eastAsia" w:cs="宋体" w:asciiTheme="minorEastAsia" w:hAnsiTheme="minorEastAsia"/>
              </w:rPr>
              <w:t>）</w:t>
            </w:r>
          </w:p>
          <w:p>
            <w:pPr>
              <w:spacing w:line="360" w:lineRule="auto"/>
              <w:rPr>
                <w:rFonts w:cs="宋体" w:asciiTheme="minorEastAsia" w:hAnsiTheme="minorEastAsia"/>
              </w:rPr>
            </w:pPr>
            <w:r>
              <w:rPr>
                <w:rFonts w:hint="eastAsia" w:cs="宋体" w:asciiTheme="minorEastAsia" w:hAnsiTheme="minorEastAsia"/>
              </w:rPr>
              <w:t>②“中国政府采购网”（www.ccgp.gov.cn）</w:t>
            </w:r>
          </w:p>
          <w:p>
            <w:pPr>
              <w:spacing w:line="360" w:lineRule="auto"/>
              <w:rPr>
                <w:rFonts w:cs="宋体" w:asciiTheme="minorEastAsia" w:hAnsiTheme="minorEastAsia"/>
              </w:rPr>
            </w:pPr>
            <w:r>
              <w:rPr>
                <w:rFonts w:cs="宋体" w:asciiTheme="minorEastAsia" w:hAnsiTheme="minorEastAsia"/>
              </w:rPr>
              <w:t>③</w:t>
            </w:r>
            <w:r>
              <w:rPr>
                <w:rFonts w:hint="eastAsia" w:cs="宋体" w:asciiTheme="minorEastAsia" w:hAnsiTheme="minorEastAsia"/>
              </w:rPr>
              <w:t>“中国社会组织公共服务平台”（www.chinanpo.gov.cn）（仅查询社会组织）。</w:t>
            </w:r>
          </w:p>
          <w:p>
            <w:pPr>
              <w:autoSpaceDE w:val="0"/>
              <w:autoSpaceDN w:val="0"/>
              <w:spacing w:line="360" w:lineRule="auto"/>
              <w:contextualSpacing/>
              <w:rPr>
                <w:rFonts w:cs="宋体" w:asciiTheme="minorEastAsia" w:hAnsiTheme="minorEastAsia"/>
              </w:rPr>
            </w:pPr>
            <w:r>
              <w:rPr>
                <w:rFonts w:hint="eastAsia" w:cs="宋体" w:asciiTheme="minorEastAsia" w:hAnsiTheme="minorEastAsia"/>
              </w:rPr>
              <w:t>2、截止时间：同投标截止时间；</w:t>
            </w:r>
          </w:p>
          <w:p>
            <w:pPr>
              <w:autoSpaceDE w:val="0"/>
              <w:autoSpaceDN w:val="0"/>
              <w:spacing w:line="360" w:lineRule="auto"/>
              <w:contextualSpacing/>
              <w:rPr>
                <w:rFonts w:cs="宋体" w:asciiTheme="minorEastAsia" w:hAnsiTheme="minorEastAsia"/>
              </w:rPr>
            </w:pPr>
            <w:r>
              <w:rPr>
                <w:rFonts w:hint="eastAsia" w:cs="宋体" w:asciiTheme="minorEastAsia" w:hAnsiTheme="minor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rPr>
            </w:pPr>
            <w:r>
              <w:rPr>
                <w:rFonts w:hint="eastAsia" w:cs="宋体" w:asciiTheme="minorEastAsia" w:hAnsiTheme="minorEastAsia"/>
              </w:rPr>
              <w:t>4、信用信息的使用原则：经采购人认定的被列入失信被执行人、重大税收违法案件当事人名单、政府采购严重违法失信行为记录名单、严重违法失信名单的投标人，将拒绝其参与本次政府采购活动。</w:t>
            </w:r>
          </w:p>
          <w:p>
            <w:pPr>
              <w:autoSpaceDE w:val="0"/>
              <w:autoSpaceDN w:val="0"/>
              <w:spacing w:line="360" w:lineRule="auto"/>
              <w:contextualSpacing/>
              <w:rPr>
                <w:rFonts w:cs="仿宋_GB2312" w:asciiTheme="minorEastAsia" w:hAnsiTheme="minorEastAsia"/>
              </w:rPr>
            </w:pPr>
            <w:r>
              <w:rPr>
                <w:rFonts w:hint="eastAsia" w:cs="宋体" w:asciiTheme="minorEastAsia" w:hAnsiTheme="minor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5</w:t>
            </w:r>
          </w:p>
        </w:tc>
        <w:tc>
          <w:tcPr>
            <w:tcW w:w="2268" w:type="dxa"/>
            <w:vAlign w:val="center"/>
          </w:tcPr>
          <w:p>
            <w:pPr>
              <w:autoSpaceDE w:val="0"/>
              <w:autoSpaceDN w:val="0"/>
              <w:spacing w:line="276" w:lineRule="auto"/>
              <w:jc w:val="center"/>
              <w:rPr>
                <w:rFonts w:cs="宋体" w:asciiTheme="minorEastAsia" w:hAnsiTheme="minorEastAsia"/>
              </w:rPr>
            </w:pPr>
            <w:r>
              <w:rPr>
                <w:rFonts w:hint="eastAsia" w:cs="微软雅黑" w:asciiTheme="minorEastAsia" w:hAnsiTheme="minorEastAsia"/>
                <w:b/>
                <w:color w:val="FF0000"/>
              </w:rPr>
              <w:t>★</w:t>
            </w:r>
            <w:r>
              <w:rPr>
                <w:rFonts w:hint="eastAsia" w:cs="宋体" w:asciiTheme="minorEastAsia" w:hAnsiTheme="minorEastAsia"/>
              </w:rPr>
              <w:t>联合体投标</w:t>
            </w:r>
          </w:p>
        </w:tc>
        <w:tc>
          <w:tcPr>
            <w:tcW w:w="6813" w:type="dxa"/>
            <w:vAlign w:val="center"/>
          </w:tcPr>
          <w:p>
            <w:pPr>
              <w:autoSpaceDE w:val="0"/>
              <w:autoSpaceDN w:val="0"/>
              <w:spacing w:line="276" w:lineRule="auto"/>
              <w:rPr>
                <w:rFonts w:cs="宋体" w:asciiTheme="minorEastAsia" w:hAnsiTheme="minorEastAsia"/>
              </w:rPr>
            </w:pPr>
            <w:r>
              <w:rPr>
                <w:rFonts w:hint="eastAsia" w:cs="宋体" w:asciiTheme="minorEastAsia" w:hAnsiTheme="minorEastAsia"/>
              </w:rPr>
              <w:t>本项目</w:t>
            </w: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不接受□接受联合体投标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6</w:t>
            </w:r>
          </w:p>
        </w:tc>
        <w:tc>
          <w:tcPr>
            <w:tcW w:w="2268" w:type="dxa"/>
            <w:vAlign w:val="center"/>
          </w:tcPr>
          <w:p>
            <w:pPr>
              <w:autoSpaceDE w:val="0"/>
              <w:autoSpaceDN w:val="0"/>
              <w:spacing w:line="276" w:lineRule="auto"/>
              <w:jc w:val="center"/>
              <w:rPr>
                <w:rFonts w:cs="宋体" w:asciiTheme="minorEastAsia" w:hAnsiTheme="minorEastAsia"/>
              </w:rPr>
            </w:pPr>
            <w:r>
              <w:rPr>
                <w:rFonts w:hint="eastAsia" w:cs="微软雅黑" w:asciiTheme="minorEastAsia" w:hAnsiTheme="minorEastAsia"/>
                <w:b/>
                <w:color w:val="FF0000"/>
              </w:rPr>
              <w:t>★</w:t>
            </w:r>
            <w:r>
              <w:rPr>
                <w:rFonts w:hint="eastAsia" w:cs="宋体" w:asciiTheme="minorEastAsia" w:hAnsiTheme="minorEastAsia"/>
              </w:rPr>
              <w:t>最高限价</w:t>
            </w:r>
          </w:p>
        </w:tc>
        <w:tc>
          <w:tcPr>
            <w:tcW w:w="6813" w:type="dxa"/>
            <w:vAlign w:val="center"/>
          </w:tcPr>
          <w:p>
            <w:pPr>
              <w:pStyle w:val="21"/>
              <w:rPr>
                <w:rFonts w:cs="宋体" w:asciiTheme="minorEastAsia" w:hAnsiTheme="minorEastAsia"/>
              </w:rPr>
            </w:pPr>
            <w:r>
              <w:rPr>
                <w:rFonts w:hint="eastAsia" w:cs="宋体" w:asciiTheme="minorEastAsia" w:hAnsiTheme="minorEastAsia" w:eastAsiaTheme="minorEastAsia"/>
                <w:sz w:val="21"/>
                <w:szCs w:val="21"/>
              </w:rPr>
              <w:t>1100000元。超出最高限价的投标无效。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7</w:t>
            </w:r>
          </w:p>
        </w:tc>
        <w:tc>
          <w:tcPr>
            <w:tcW w:w="2268" w:type="dxa"/>
            <w:vAlign w:val="center"/>
          </w:tcPr>
          <w:p>
            <w:pPr>
              <w:autoSpaceDE w:val="0"/>
              <w:autoSpaceDN w:val="0"/>
              <w:spacing w:line="276" w:lineRule="auto"/>
              <w:jc w:val="center"/>
              <w:rPr>
                <w:rFonts w:cs="宋体" w:asciiTheme="minorEastAsia" w:hAnsiTheme="minorEastAsia"/>
              </w:rPr>
            </w:pPr>
            <w:r>
              <w:rPr>
                <w:rFonts w:cs="宋体" w:asciiTheme="minorEastAsia" w:hAnsiTheme="minorEastAsia"/>
              </w:rPr>
              <w:t>现场考察</w:t>
            </w:r>
          </w:p>
        </w:tc>
        <w:tc>
          <w:tcPr>
            <w:tcW w:w="6813" w:type="dxa"/>
            <w:vAlign w:val="center"/>
          </w:tcPr>
          <w:p>
            <w:pPr>
              <w:autoSpaceDE w:val="0"/>
              <w:autoSpaceDN w:val="0"/>
              <w:spacing w:line="360" w:lineRule="auto"/>
              <w:rPr>
                <w:rFonts w:cs="宋体" w:asciiTheme="minorEastAsia" w:hAnsiTheme="minorEastAsia"/>
                <w:color w:val="000000"/>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不组织</w:t>
            </w:r>
          </w:p>
          <w:p>
            <w:pPr>
              <w:autoSpaceDE w:val="0"/>
              <w:autoSpaceDN w:val="0"/>
              <w:spacing w:line="360" w:lineRule="auto"/>
              <w:rPr>
                <w:rFonts w:cs="宋体" w:asciiTheme="minorEastAsia" w:hAnsiTheme="minorEastAsia"/>
              </w:rPr>
            </w:pPr>
            <w:r>
              <w:rPr>
                <w:rFonts w:hint="eastAsia" w:cs="宋体" w:asciiTheme="minorEastAsia" w:hAnsiTheme="minorEastAsia"/>
                <w:b/>
              </w:rPr>
              <w:t>□</w:t>
            </w:r>
            <w:r>
              <w:rPr>
                <w:rFonts w:hint="eastAsia" w:cs="宋体" w:asciiTheme="minorEastAsia" w:hAnsiTheme="minorEastAsia"/>
              </w:rPr>
              <w:t>组织，时间：      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8</w:t>
            </w:r>
          </w:p>
        </w:tc>
        <w:tc>
          <w:tcPr>
            <w:tcW w:w="2268" w:type="dxa"/>
            <w:vAlign w:val="center"/>
          </w:tcPr>
          <w:p>
            <w:pPr>
              <w:autoSpaceDE w:val="0"/>
              <w:autoSpaceDN w:val="0"/>
              <w:spacing w:line="276" w:lineRule="auto"/>
              <w:jc w:val="center"/>
              <w:rPr>
                <w:rFonts w:cs="宋体" w:asciiTheme="minorEastAsia" w:hAnsiTheme="minorEastAsia"/>
              </w:rPr>
            </w:pPr>
            <w:r>
              <w:rPr>
                <w:rFonts w:cs="宋体" w:asciiTheme="minorEastAsia" w:hAnsiTheme="minorEastAsia"/>
              </w:rPr>
              <w:t>开标前答疑会</w:t>
            </w:r>
          </w:p>
        </w:tc>
        <w:tc>
          <w:tcPr>
            <w:tcW w:w="6813" w:type="dxa"/>
            <w:vAlign w:val="center"/>
          </w:tcPr>
          <w:p>
            <w:pPr>
              <w:autoSpaceDE w:val="0"/>
              <w:autoSpaceDN w:val="0"/>
              <w:spacing w:line="360" w:lineRule="auto"/>
              <w:rPr>
                <w:rFonts w:cs="宋体" w:asciiTheme="minorEastAsia" w:hAnsiTheme="minorEastAsia"/>
                <w:color w:val="000000"/>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不召开</w:t>
            </w:r>
          </w:p>
          <w:p>
            <w:pPr>
              <w:autoSpaceDE w:val="0"/>
              <w:autoSpaceDN w:val="0"/>
              <w:spacing w:line="360" w:lineRule="auto"/>
              <w:rPr>
                <w:rFonts w:cs="宋体" w:asciiTheme="minorEastAsia" w:hAnsiTheme="minorEastAsia"/>
              </w:rPr>
            </w:pPr>
            <w:r>
              <w:rPr>
                <w:rFonts w:hint="eastAsia" w:cs="宋体" w:asciiTheme="minorEastAsia" w:hAnsiTheme="minorEastAsia"/>
              </w:rPr>
              <w:t>□召开，时间：      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9</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进口产品参与</w:t>
            </w:r>
          </w:p>
        </w:tc>
        <w:tc>
          <w:tcPr>
            <w:tcW w:w="6813" w:type="dxa"/>
            <w:vAlign w:val="center"/>
          </w:tcPr>
          <w:p>
            <w:pPr>
              <w:autoSpaceDE w:val="0"/>
              <w:autoSpaceDN w:val="0"/>
              <w:spacing w:line="276" w:lineRule="auto"/>
              <w:rPr>
                <w:rFonts w:asciiTheme="minorEastAsia" w:hAnsiTheme="minorEastAsia"/>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 xml:space="preserve">不允许    </w:t>
            </w:r>
            <w:r>
              <w:rPr>
                <w:rFonts w:hint="eastAsia" w:cs="宋体" w:asciiTheme="minorEastAsia" w:hAnsiTheme="minorEastAsia"/>
                <w:b/>
              </w:rPr>
              <w:t>□</w:t>
            </w:r>
            <w:r>
              <w:rPr>
                <w:rFonts w:hint="eastAsia" w:asciiTheme="minorEastAsia" w:hAnsiTheme="minorEastAsia"/>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10</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微软雅黑" w:asciiTheme="minorEastAsia" w:hAnsiTheme="minorEastAsia"/>
                <w:b/>
                <w:color w:val="FF0000"/>
              </w:rPr>
              <w:t>★</w:t>
            </w:r>
            <w:r>
              <w:rPr>
                <w:rFonts w:hint="eastAsia" w:cs="仿宋_GB2312" w:asciiTheme="minorEastAsia" w:hAnsiTheme="minorEastAsia"/>
              </w:rPr>
              <w:t>投标有效期</w:t>
            </w:r>
          </w:p>
        </w:tc>
        <w:tc>
          <w:tcPr>
            <w:tcW w:w="6813" w:type="dxa"/>
            <w:vAlign w:val="center"/>
          </w:tcPr>
          <w:p>
            <w:pPr>
              <w:autoSpaceDE w:val="0"/>
              <w:autoSpaceDN w:val="0"/>
              <w:spacing w:line="360" w:lineRule="auto"/>
              <w:rPr>
                <w:rFonts w:cs="仿宋_GB2312" w:asciiTheme="minorEastAsia" w:hAnsiTheme="minorEastAsia"/>
              </w:rPr>
            </w:pPr>
            <w:r>
              <w:rPr>
                <w:rFonts w:hint="eastAsia" w:cs="仿宋_GB2312" w:asciiTheme="minorEastAsia" w:hAnsiTheme="minorEastAsia"/>
              </w:rPr>
              <w:t>60天（自</w:t>
            </w:r>
            <w:r>
              <w:rPr>
                <w:rFonts w:hint="eastAsia" w:cs="宋体" w:asciiTheme="minorEastAsia" w:hAnsiTheme="minorEastAsia"/>
              </w:rPr>
              <w:t>提交投标文件的截止之日起算</w:t>
            </w:r>
            <w:r>
              <w:rPr>
                <w:rFonts w:hint="eastAsia" w:cs="仿宋_GB2312" w:asciiTheme="minorEastAsia" w:hAnsiTheme="minorEastAsia"/>
              </w:rPr>
              <w:t>）</w:t>
            </w:r>
          </w:p>
          <w:p>
            <w:pPr>
              <w:autoSpaceDE w:val="0"/>
              <w:autoSpaceDN w:val="0"/>
              <w:spacing w:line="360" w:lineRule="auto"/>
              <w:rPr>
                <w:rFonts w:cs="仿宋_GB2312" w:asciiTheme="minorEastAsia" w:hAnsiTheme="minorEastAsia"/>
              </w:rPr>
            </w:pPr>
            <w:r>
              <w:rPr>
                <w:rFonts w:cs="仿宋_GB2312" w:asciiTheme="minorEastAsia" w:hAnsiTheme="minorEastAsia"/>
              </w:rPr>
              <w:t>中标</w:t>
            </w:r>
            <w:r>
              <w:rPr>
                <w:rFonts w:hint="eastAsia" w:cs="仿宋_GB2312" w:asciiTheme="minorEastAsia" w:hAnsiTheme="minorEastAsia"/>
              </w:rPr>
              <w:t>人投标</w:t>
            </w:r>
            <w:r>
              <w:rPr>
                <w:rFonts w:cs="仿宋_GB2312" w:asciiTheme="minorEastAsia" w:hAnsiTheme="minorEastAsia"/>
              </w:rPr>
              <w:t>有效期延</w:t>
            </w:r>
            <w:r>
              <w:rPr>
                <w:rFonts w:hint="eastAsia" w:cs="仿宋_GB2312" w:asciiTheme="minorEastAsia" w:hAnsiTheme="minorEastAsia"/>
              </w:rPr>
              <w:t>至合同</w:t>
            </w:r>
            <w:r>
              <w:rPr>
                <w:rFonts w:cs="仿宋_GB2312" w:asciiTheme="minorEastAsia" w:hAnsiTheme="minorEastAsia"/>
              </w:rPr>
              <w:t>验收之日</w:t>
            </w:r>
            <w:r>
              <w:rPr>
                <w:rFonts w:hint="eastAsia" w:cs="仿宋_GB2312" w:asciiTheme="minorEastAsia" w:hAnsiTheme="minorEastAsia"/>
              </w:rPr>
              <w:t>，</w:t>
            </w:r>
            <w:r>
              <w:rPr>
                <w:rFonts w:hint="eastAsia" w:cs="宋体" w:asciiTheme="minorEastAsia" w:hAnsiTheme="minorEastAsia"/>
              </w:rPr>
              <w:t>中标人全部合同义务履行完毕为止。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11</w:t>
            </w:r>
          </w:p>
        </w:tc>
        <w:tc>
          <w:tcPr>
            <w:tcW w:w="2268" w:type="dxa"/>
            <w:vAlign w:val="center"/>
          </w:tcPr>
          <w:p>
            <w:pPr>
              <w:autoSpaceDE w:val="0"/>
              <w:autoSpaceDN w:val="0"/>
              <w:spacing w:line="360" w:lineRule="auto"/>
              <w:rPr>
                <w:rFonts w:cs="仿宋_GB2312" w:asciiTheme="minorEastAsia" w:hAnsiTheme="minorEastAsia"/>
              </w:rPr>
            </w:pPr>
            <w:r>
              <w:rPr>
                <w:rFonts w:cs="宋体" w:asciiTheme="minorEastAsia" w:hAnsiTheme="minorEastAsia"/>
              </w:rPr>
              <w:t>中标人将本项目非主体、非关键性工作分包</w:t>
            </w:r>
          </w:p>
        </w:tc>
        <w:tc>
          <w:tcPr>
            <w:tcW w:w="6813" w:type="dxa"/>
            <w:vAlign w:val="center"/>
          </w:tcPr>
          <w:p>
            <w:pPr>
              <w:autoSpaceDE w:val="0"/>
              <w:autoSpaceDN w:val="0"/>
              <w:spacing w:line="276" w:lineRule="auto"/>
              <w:rPr>
                <w:rFonts w:cs="仿宋_GB2312" w:asciiTheme="minorEastAsia" w:hAnsiTheme="minorEastAsia"/>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 xml:space="preserve">不允许   </w:t>
            </w:r>
            <w:r>
              <w:rPr>
                <w:rFonts w:hint="eastAsia" w:cs="宋体" w:asciiTheme="minorEastAsia" w:hAnsiTheme="minorEastAsia"/>
                <w:b/>
              </w:rPr>
              <w:t>□</w:t>
            </w:r>
            <w:r>
              <w:rPr>
                <w:rFonts w:hint="eastAsia" w:cs="仿宋_GB2312" w:asciiTheme="minorEastAsia" w:hAnsiTheme="minorEastAsia"/>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12</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投标截止及开标时间</w:t>
            </w:r>
          </w:p>
        </w:tc>
        <w:tc>
          <w:tcPr>
            <w:tcW w:w="6813" w:type="dxa"/>
            <w:vAlign w:val="center"/>
          </w:tcPr>
          <w:p>
            <w:pPr>
              <w:autoSpaceDE w:val="0"/>
              <w:autoSpaceDN w:val="0"/>
              <w:spacing w:line="360" w:lineRule="auto"/>
              <w:rPr>
                <w:rFonts w:hint="eastAsia"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bidi="ar-SA"/>
              </w:rPr>
              <w:t>2019年11 月22 日 9 时00 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13</w:t>
            </w:r>
          </w:p>
        </w:tc>
        <w:tc>
          <w:tcPr>
            <w:tcW w:w="2268" w:type="dxa"/>
            <w:vAlign w:val="center"/>
          </w:tcPr>
          <w:p>
            <w:pPr>
              <w:autoSpaceDE w:val="0"/>
              <w:autoSpaceDN w:val="0"/>
              <w:spacing w:line="360" w:lineRule="auto"/>
              <w:jc w:val="center"/>
              <w:rPr>
                <w:rFonts w:cs="黑体" w:asciiTheme="minorEastAsia" w:hAnsiTheme="minorEastAsia"/>
              </w:rPr>
            </w:pPr>
            <w:r>
              <w:rPr>
                <w:rFonts w:hint="eastAsia" w:cs="黑体" w:asciiTheme="minorEastAsia" w:hAnsiTheme="minorEastAsia"/>
              </w:rPr>
              <w:t>递交投标文件</w:t>
            </w:r>
          </w:p>
          <w:p>
            <w:pPr>
              <w:autoSpaceDE w:val="0"/>
              <w:autoSpaceDN w:val="0"/>
              <w:spacing w:line="360" w:lineRule="auto"/>
              <w:jc w:val="center"/>
              <w:rPr>
                <w:rFonts w:cs="黑体" w:asciiTheme="minorEastAsia" w:hAnsiTheme="minorEastAsia"/>
              </w:rPr>
            </w:pPr>
            <w:r>
              <w:rPr>
                <w:rFonts w:hint="eastAsia" w:cs="黑体" w:asciiTheme="minorEastAsia" w:hAnsiTheme="minorEastAsia"/>
              </w:rPr>
              <w:t>及开标地点</w:t>
            </w:r>
          </w:p>
        </w:tc>
        <w:tc>
          <w:tcPr>
            <w:tcW w:w="6813" w:type="dxa"/>
            <w:vAlign w:val="center"/>
          </w:tcPr>
          <w:p>
            <w:pPr>
              <w:pStyle w:val="21"/>
              <w:shd w:val="clear" w:color="000000" w:fill="FFFFFF"/>
              <w:spacing w:line="360" w:lineRule="auto"/>
              <w:contextualSpacing/>
              <w:jc w:val="left"/>
              <w:rPr>
                <w:rFonts w:hint="eastAsia"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bidi="ar-SA"/>
              </w:rPr>
              <w:t>长葛市公共资源交易中心开标二室（长葛市葛天大道东段商务区6#楼 4  楼409室）</w:t>
            </w:r>
            <w:bookmarkStart w:id="29" w:name="_GoBack"/>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14</w:t>
            </w:r>
          </w:p>
        </w:tc>
        <w:tc>
          <w:tcPr>
            <w:tcW w:w="2268" w:type="dxa"/>
            <w:vAlign w:val="center"/>
          </w:tcPr>
          <w:p>
            <w:pPr>
              <w:autoSpaceDE w:val="0"/>
              <w:autoSpaceDN w:val="0"/>
              <w:spacing w:line="276" w:lineRule="auto"/>
              <w:jc w:val="center"/>
              <w:rPr>
                <w:rFonts w:cs="宋体" w:asciiTheme="minorEastAsia" w:hAnsiTheme="minorEastAsia"/>
              </w:rPr>
            </w:pPr>
            <w:r>
              <w:rPr>
                <w:rFonts w:hint="eastAsia" w:cs="宋体" w:asciiTheme="minorEastAsia" w:hAnsiTheme="minorEastAsia"/>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rPr>
            </w:pPr>
            <w:r>
              <w:rPr>
                <w:rFonts w:hint="eastAsia" w:cs="仿宋_GB2312" w:asciiTheme="minorEastAsia" w:hAnsiTheme="minorEastAsia"/>
              </w:rPr>
              <w:t>按照河南省《关于优化政府采购营商环境有关问题的通知》（豫财购（2019）4号文）的要求，不收取保证金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15</w:t>
            </w:r>
          </w:p>
        </w:tc>
        <w:tc>
          <w:tcPr>
            <w:tcW w:w="2268" w:type="dxa"/>
            <w:vAlign w:val="center"/>
          </w:tcPr>
          <w:p>
            <w:pPr>
              <w:autoSpaceDE w:val="0"/>
              <w:autoSpaceDN w:val="0"/>
              <w:spacing w:line="276" w:lineRule="auto"/>
              <w:jc w:val="center"/>
              <w:rPr>
                <w:rFonts w:cs="仿宋_GB2312" w:asciiTheme="minorEastAsia" w:hAnsiTheme="minorEastAsia"/>
              </w:rPr>
            </w:pPr>
            <w:r>
              <w:rPr>
                <w:rFonts w:hint="eastAsia" w:cs="仿宋_GB2312" w:asciiTheme="minorEastAsia" w:hAnsiTheme="minorEastAsia"/>
              </w:rPr>
              <w:t>公告发布</w:t>
            </w:r>
          </w:p>
        </w:tc>
        <w:tc>
          <w:tcPr>
            <w:tcW w:w="6813" w:type="dxa"/>
            <w:tcBorders>
              <w:top w:val="single" w:color="auto" w:sz="4" w:space="0"/>
            </w:tcBorders>
            <w:vAlign w:val="center"/>
          </w:tcPr>
          <w:p>
            <w:pPr>
              <w:autoSpaceDE w:val="0"/>
              <w:autoSpaceDN w:val="0"/>
              <w:spacing w:line="360" w:lineRule="auto"/>
              <w:rPr>
                <w:rFonts w:cs="宋体" w:asciiTheme="minorEastAsia" w:hAnsiTheme="minorEastAsia"/>
              </w:rPr>
            </w:pPr>
            <w:r>
              <w:rPr>
                <w:rFonts w:hint="eastAsia" w:cs="宋体" w:asciiTheme="minorEastAsia" w:hAnsiTheme="minorEastAsia"/>
                <w:color w:val="000000"/>
              </w:rPr>
              <w:t>招标公告、中标公告、变更（更正）公告、现场勘察答复等相关信息同时在以下网站发布：《河南省政府采购网》、《全国公共资源交易平台（河南省·许昌市）》、《</w:t>
            </w:r>
            <w:r>
              <w:rPr>
                <w:rFonts w:hint="eastAsia" w:ascii="宋体" w:hAnsi="宋体" w:cs="宋体"/>
                <w:color w:val="000000"/>
              </w:rPr>
              <w:t>长葛市人民政府门户网站</w:t>
            </w:r>
            <w:r>
              <w:rPr>
                <w:rFonts w:hint="eastAsia" w:cs="宋体" w:asciiTheme="minorEastAsia" w:hAnsiTheme="minorEastAsia"/>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16</w:t>
            </w:r>
          </w:p>
        </w:tc>
        <w:tc>
          <w:tcPr>
            <w:tcW w:w="2268" w:type="dxa"/>
            <w:vAlign w:val="center"/>
          </w:tcPr>
          <w:p>
            <w:pPr>
              <w:autoSpaceDE w:val="0"/>
              <w:autoSpaceDN w:val="0"/>
              <w:spacing w:line="360" w:lineRule="auto"/>
              <w:jc w:val="center"/>
              <w:rPr>
                <w:rFonts w:cs="仿宋_GB2312" w:asciiTheme="minorEastAsia" w:hAnsiTheme="minorEastAsia"/>
              </w:rPr>
            </w:pPr>
            <w:r>
              <w:rPr>
                <w:rFonts w:hint="eastAsia" w:cs="仿宋_GB2312" w:asciiTheme="minorEastAsia" w:hAnsiTheme="minorEastAsia"/>
              </w:rPr>
              <w:t>采购人澄清或修改</w:t>
            </w:r>
          </w:p>
          <w:p>
            <w:pPr>
              <w:autoSpaceDE w:val="0"/>
              <w:autoSpaceDN w:val="0"/>
              <w:spacing w:line="360" w:lineRule="auto"/>
              <w:jc w:val="center"/>
              <w:rPr>
                <w:rFonts w:cs="黑体" w:asciiTheme="minorEastAsia" w:hAnsiTheme="minorEastAsia"/>
              </w:rPr>
            </w:pPr>
            <w:r>
              <w:rPr>
                <w:rFonts w:hint="eastAsia" w:cs="仿宋_GB2312" w:asciiTheme="minorEastAsia" w:hAnsiTheme="minorEastAsia"/>
              </w:rPr>
              <w:t>招标文件时间</w:t>
            </w:r>
          </w:p>
        </w:tc>
        <w:tc>
          <w:tcPr>
            <w:tcW w:w="6813"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投标截止时间15日前（</w:t>
            </w:r>
            <w:r>
              <w:rPr>
                <w:rFonts w:hint="eastAsia" w:cs="仿宋_GB2312" w:asciiTheme="minorEastAsia" w:hAnsiTheme="minorEastAsia"/>
              </w:rPr>
              <w:t>澄清内容可能影响投标文件编制的）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17</w:t>
            </w:r>
          </w:p>
        </w:tc>
        <w:tc>
          <w:tcPr>
            <w:tcW w:w="2268" w:type="dxa"/>
            <w:vAlign w:val="center"/>
          </w:tcPr>
          <w:p>
            <w:pPr>
              <w:autoSpaceDE w:val="0"/>
              <w:autoSpaceDN w:val="0"/>
              <w:spacing w:line="360" w:lineRule="auto"/>
              <w:jc w:val="center"/>
              <w:rPr>
                <w:rFonts w:cs="黑体" w:asciiTheme="minorEastAsia" w:hAnsiTheme="minorEastAsia"/>
              </w:rPr>
            </w:pPr>
            <w:r>
              <w:rPr>
                <w:rFonts w:hint="eastAsia" w:cs="黑体" w:asciiTheme="minorEastAsia" w:hAnsiTheme="minorEastAsia"/>
              </w:rPr>
              <w:t>投标人对采购文件</w:t>
            </w:r>
          </w:p>
          <w:p>
            <w:pPr>
              <w:autoSpaceDE w:val="0"/>
              <w:autoSpaceDN w:val="0"/>
              <w:spacing w:line="360" w:lineRule="auto"/>
              <w:jc w:val="center"/>
              <w:rPr>
                <w:rFonts w:cs="黑体" w:asciiTheme="minorEastAsia" w:hAnsiTheme="minorEastAsia"/>
              </w:rPr>
            </w:pPr>
            <w:r>
              <w:rPr>
                <w:rFonts w:hint="eastAsia" w:cs="黑体" w:asciiTheme="minorEastAsia" w:hAnsiTheme="minorEastAsia"/>
              </w:rPr>
              <w:t>质疑截止时间</w:t>
            </w:r>
          </w:p>
        </w:tc>
        <w:tc>
          <w:tcPr>
            <w:tcW w:w="6813"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招标公告期满之日起七个工作日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18</w:t>
            </w:r>
          </w:p>
        </w:tc>
        <w:tc>
          <w:tcPr>
            <w:tcW w:w="2268" w:type="dxa"/>
            <w:vAlign w:val="center"/>
          </w:tcPr>
          <w:p>
            <w:pPr>
              <w:autoSpaceDE w:val="0"/>
              <w:autoSpaceDN w:val="0"/>
              <w:spacing w:line="360" w:lineRule="auto"/>
              <w:jc w:val="center"/>
              <w:rPr>
                <w:rFonts w:cs="黑体" w:asciiTheme="minorEastAsia" w:hAnsiTheme="minorEastAsia"/>
              </w:rPr>
            </w:pPr>
            <w:r>
              <w:rPr>
                <w:rFonts w:hint="eastAsia" w:cs="黑体" w:asciiTheme="minorEastAsia" w:hAnsiTheme="minorEastAsia"/>
              </w:rPr>
              <w:t>投标文件份数</w:t>
            </w:r>
          </w:p>
        </w:tc>
        <w:tc>
          <w:tcPr>
            <w:tcW w:w="6813" w:type="dxa"/>
            <w:vAlign w:val="center"/>
          </w:tcPr>
          <w:p>
            <w:pPr>
              <w:autoSpaceDE w:val="0"/>
              <w:autoSpaceDN w:val="0"/>
              <w:spacing w:line="360" w:lineRule="auto"/>
              <w:rPr>
                <w:rFonts w:cs="宋体" w:asciiTheme="minorEastAsia" w:hAnsiTheme="minorEastAsia"/>
                <w:color w:val="000000"/>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ascii="新宋体" w:hAnsi="新宋体" w:eastAsia="新宋体"/>
              </w:rPr>
              <w:t>电子投标文件：成功上传至《全国公共资源交易平台（河南省·许昌市）》公共资源交易系统加密电子投标文件1份</w:t>
            </w:r>
            <w:r>
              <w:rPr>
                <w:rFonts w:hint="eastAsia" w:hAnsi="宋体" w:cs="宋体"/>
              </w:rPr>
              <w:t>（文件格式为： XXX公司XXX项目编号.file）。</w:t>
            </w:r>
            <w:r>
              <w:rPr>
                <w:rFonts w:hint="eastAsia" w:ascii="新宋体" w:hAnsi="新宋体" w:eastAsia="新宋体"/>
              </w:rPr>
              <w:t>使用电子介质存储的备份文件1份（文件格式为：名称为“备份”的文件夹）。</w:t>
            </w:r>
          </w:p>
          <w:p>
            <w:pPr>
              <w:autoSpaceDE w:val="0"/>
              <w:autoSpaceDN w:val="0"/>
              <w:spacing w:line="360" w:lineRule="auto"/>
              <w:rPr>
                <w:rFonts w:ascii="新宋体" w:hAnsi="新宋体" w:eastAsia="新宋体"/>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ascii="新宋体" w:hAnsi="新宋体" w:eastAsia="新宋体"/>
              </w:rPr>
              <w:t>纸质投标文件：</w:t>
            </w:r>
            <w:r>
              <w:rPr>
                <w:rFonts w:hint="eastAsia" w:cs="仿宋_GB2312" w:asciiTheme="minorEastAsia" w:hAnsiTheme="minorEastAsia"/>
              </w:rPr>
              <w:t>正本</w:t>
            </w:r>
            <w:r>
              <w:rPr>
                <w:rFonts w:hint="eastAsia" w:cs="仿宋_GB2312" w:asciiTheme="minorEastAsia" w:hAnsiTheme="minorEastAsia"/>
                <w:b/>
              </w:rPr>
              <w:t>一</w:t>
            </w:r>
            <w:r>
              <w:rPr>
                <w:rFonts w:hint="eastAsia" w:cs="仿宋_GB2312" w:asciiTheme="minorEastAsia" w:hAnsiTheme="minorEastAsia"/>
              </w:rPr>
              <w:t>份，副本一份。使用</w:t>
            </w:r>
            <w:r>
              <w:rPr>
                <w:rFonts w:hint="eastAsia" w:ascii="新宋体" w:hAnsi="新宋体" w:eastAsia="新宋体"/>
              </w:rPr>
              <w:t>格式为“投标文件（供打印）.PDF”的文件</w:t>
            </w:r>
          </w:p>
          <w:p>
            <w:pPr>
              <w:autoSpaceDE w:val="0"/>
              <w:autoSpaceDN w:val="0"/>
              <w:spacing w:line="360" w:lineRule="auto"/>
              <w:rPr>
                <w:rFonts w:cs="宋体" w:asciiTheme="minorEastAsia" w:hAnsiTheme="minorEastAsia"/>
                <w:highlight w:val="lightGray"/>
              </w:rPr>
            </w:pPr>
            <w:r>
              <w:rPr>
                <w:rFonts w:hint="eastAsia" w:ascii="新宋体" w:hAnsi="新宋体" w:eastAsia="新宋体"/>
              </w:rPr>
              <w:t>电子投标文件和纸质投标文件的内容、格式、水印码、签章应一致。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19</w:t>
            </w:r>
          </w:p>
        </w:tc>
        <w:tc>
          <w:tcPr>
            <w:tcW w:w="2268" w:type="dxa"/>
            <w:vAlign w:val="center"/>
          </w:tcPr>
          <w:p>
            <w:pPr>
              <w:autoSpaceDE w:val="0"/>
              <w:autoSpaceDN w:val="0"/>
              <w:spacing w:line="360" w:lineRule="auto"/>
              <w:jc w:val="center"/>
              <w:rPr>
                <w:rFonts w:cs="黑体" w:asciiTheme="minorEastAsia" w:hAnsiTheme="minorEastAsia"/>
              </w:rPr>
            </w:pPr>
            <w:r>
              <w:rPr>
                <w:rFonts w:hint="eastAsia" w:cs="黑体" w:asciiTheme="minorEastAsia" w:hAnsiTheme="minorEastAsia"/>
              </w:rPr>
              <w:t>投标文件的</w:t>
            </w:r>
          </w:p>
          <w:p>
            <w:pPr>
              <w:autoSpaceDE w:val="0"/>
              <w:autoSpaceDN w:val="0"/>
              <w:spacing w:line="360" w:lineRule="auto"/>
              <w:jc w:val="center"/>
              <w:rPr>
                <w:rFonts w:cs="黑体" w:asciiTheme="minorEastAsia" w:hAnsiTheme="minorEastAsia"/>
              </w:rPr>
            </w:pPr>
            <w:r>
              <w:rPr>
                <w:rFonts w:hint="eastAsia" w:cs="黑体" w:asciiTheme="minorEastAsia" w:hAnsiTheme="minorEastAsia"/>
              </w:rPr>
              <w:t>签署盖章</w:t>
            </w:r>
          </w:p>
        </w:tc>
        <w:tc>
          <w:tcPr>
            <w:tcW w:w="6813" w:type="dxa"/>
            <w:vAlign w:val="center"/>
          </w:tcPr>
          <w:p>
            <w:pPr>
              <w:autoSpaceDE w:val="0"/>
              <w:autoSpaceDN w:val="0"/>
              <w:spacing w:line="420" w:lineRule="exact"/>
              <w:rPr>
                <w:rFonts w:ascii="新宋体" w:hAnsi="新宋体" w:eastAsia="新宋体"/>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ascii="新宋体" w:hAnsi="新宋体" w:eastAsia="新宋体"/>
              </w:rPr>
              <w:t>电子投标文件：按招标文件要求加盖投标人电子印章和法人电子印章。</w:t>
            </w:r>
          </w:p>
          <w:p>
            <w:pPr>
              <w:autoSpaceDE w:val="0"/>
              <w:autoSpaceDN w:val="0"/>
              <w:spacing w:line="420" w:lineRule="exact"/>
              <w:rPr>
                <w:rFonts w:cs="仿宋_GB2312" w:asciiTheme="minorEastAsia" w:hAnsiTheme="minorEastAsia"/>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ascii="新宋体" w:hAnsi="新宋体" w:eastAsia="新宋体"/>
              </w:rPr>
              <w:t>纸质投标文件：投标文件封面加盖投标人公章（投标文件是指投标人电子投标文件制作完成后生成的后缀名为</w:t>
            </w:r>
            <w:r>
              <w:rPr>
                <w:rFonts w:hint="eastAsia" w:hAnsi="宋体"/>
                <w:color w:val="000000"/>
              </w:rPr>
              <w:t>“.PDF”的文件</w:t>
            </w:r>
            <w:r>
              <w:rPr>
                <w:rFonts w:hint="eastAsia" w:ascii="新宋体" w:hAnsi="新宋体" w:eastAsia="新宋体"/>
              </w:rPr>
              <w:t>打印的纸质投标文件）。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TimesNewRomanPSMT" w:asciiTheme="minorEastAsia" w:hAnsiTheme="minorEastAsia"/>
              </w:rPr>
            </w:pPr>
            <w:r>
              <w:rPr>
                <w:rFonts w:hint="eastAsia" w:cs="TimesNewRomanPSMT" w:asciiTheme="minorEastAsia" w:hAnsiTheme="minorEastAsia"/>
              </w:rPr>
              <w:t>20</w:t>
            </w:r>
          </w:p>
        </w:tc>
        <w:tc>
          <w:tcPr>
            <w:tcW w:w="2268" w:type="dxa"/>
            <w:vAlign w:val="center"/>
          </w:tcPr>
          <w:p>
            <w:pPr>
              <w:autoSpaceDE w:val="0"/>
              <w:autoSpaceDN w:val="0"/>
              <w:spacing w:line="360" w:lineRule="auto"/>
              <w:jc w:val="center"/>
              <w:rPr>
                <w:rFonts w:cs="仿宋_GB2312" w:asciiTheme="minorEastAsia" w:hAnsiTheme="minorEastAsia"/>
              </w:rPr>
            </w:pPr>
            <w:r>
              <w:rPr>
                <w:rFonts w:hint="eastAsia" w:cs="黑体" w:asciiTheme="minorEastAsia" w:hAnsiTheme="minorEastAsia"/>
              </w:rPr>
              <w:t>评标委员会组建</w:t>
            </w:r>
          </w:p>
        </w:tc>
        <w:tc>
          <w:tcPr>
            <w:tcW w:w="6813" w:type="dxa"/>
            <w:vAlign w:val="center"/>
          </w:tcPr>
          <w:p>
            <w:pPr>
              <w:autoSpaceDE w:val="0"/>
              <w:autoSpaceDN w:val="0"/>
              <w:spacing w:line="360" w:lineRule="auto"/>
              <w:rPr>
                <w:rFonts w:cs="仿宋_GB2312" w:asciiTheme="minorEastAsia" w:hAnsiTheme="minorEastAsia"/>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cs="仿宋_GB2312" w:asciiTheme="minorEastAsia" w:hAnsiTheme="minorEastAsia"/>
              </w:rPr>
              <w:t>由采购人代表1人和评审专家4人组成，其中评审专家的人数不少于评标委员会成员总数的三分之二。评审专家从政府采购评审专家库中随机抽取</w:t>
            </w:r>
            <w:r>
              <w:rPr>
                <w:rFonts w:hint="eastAsia" w:cs="仿宋_GB2312" w:asciiTheme="minorEastAsia" w:hAnsiTheme="minorEastAsia"/>
                <w:lang w:eastAsia="zh-CN"/>
              </w:rPr>
              <w:t>，</w:t>
            </w:r>
            <w:r>
              <w:rPr>
                <w:rFonts w:hint="eastAsia" w:cs="仿宋_GB2312" w:asciiTheme="minorEastAsia" w:hAnsiTheme="minorEastAsia"/>
              </w:rPr>
              <w:t>评审委员会应当推选组长，但采购人代表不得担任组长。与供应商有利害关系的人不得进入评标委员会。</w:t>
            </w:r>
          </w:p>
          <w:p>
            <w:pPr>
              <w:autoSpaceDE w:val="0"/>
              <w:autoSpaceDN w:val="0"/>
              <w:spacing w:line="360" w:lineRule="auto"/>
              <w:rPr>
                <w:rFonts w:cs="宋体" w:asciiTheme="minorEastAsia" w:hAnsiTheme="minorEastAsia"/>
              </w:rPr>
            </w:pPr>
            <w:r>
              <w:rPr>
                <w:rFonts w:hint="eastAsia" w:cs="仿宋_GB2312" w:asciiTheme="minorEastAsia" w:hAnsiTheme="minorEastAsia"/>
              </w:rPr>
              <w:t>□由评审专家组成。评审专家从政府采购评审专家库中随机抽取。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21</w:t>
            </w:r>
          </w:p>
        </w:tc>
        <w:tc>
          <w:tcPr>
            <w:tcW w:w="2268" w:type="dxa"/>
            <w:vAlign w:val="center"/>
          </w:tcPr>
          <w:p>
            <w:pPr>
              <w:autoSpaceDE w:val="0"/>
              <w:autoSpaceDN w:val="0"/>
              <w:spacing w:line="360" w:lineRule="auto"/>
              <w:jc w:val="center"/>
              <w:rPr>
                <w:rFonts w:cs="宋体" w:asciiTheme="minorEastAsia" w:hAnsiTheme="minorEastAsia"/>
              </w:rPr>
            </w:pPr>
            <w:r>
              <w:rPr>
                <w:rFonts w:hint="eastAsia" w:cs="仿宋_GB2312" w:asciiTheme="minorEastAsia" w:hAnsiTheme="minorEastAsia"/>
              </w:rPr>
              <w:t>评标方法</w:t>
            </w:r>
          </w:p>
        </w:tc>
        <w:tc>
          <w:tcPr>
            <w:tcW w:w="6813" w:type="dxa"/>
            <w:vAlign w:val="center"/>
          </w:tcPr>
          <w:p>
            <w:pPr>
              <w:autoSpaceDE w:val="0"/>
              <w:autoSpaceDN w:val="0"/>
              <w:spacing w:line="360" w:lineRule="auto"/>
              <w:rPr>
                <w:rFonts w:cs="宋体" w:asciiTheme="minorEastAsia" w:hAnsiTheme="minorEastAsia"/>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综合评分法</w:t>
            </w:r>
            <w:r>
              <w:rPr>
                <w:rFonts w:hint="eastAsia" w:cs="宋体" w:asciiTheme="minorEastAsia" w:hAnsiTheme="minorEastAsia"/>
                <w:color w:val="000000"/>
              </w:rPr>
              <w:t xml:space="preserve">  </w:t>
            </w:r>
            <w:r>
              <w:rPr>
                <w:rFonts w:hint="eastAsia" w:cs="宋体" w:asciiTheme="minorEastAsia" w:hAnsiTheme="minorEastAsia"/>
                <w:b/>
              </w:rPr>
              <w:t>□</w:t>
            </w:r>
            <w:r>
              <w:rPr>
                <w:rFonts w:hint="eastAsia" w:cs="仿宋_GB2312" w:asciiTheme="minorEastAsia" w:hAnsiTheme="minorEastAsia"/>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22</w:t>
            </w:r>
          </w:p>
        </w:tc>
        <w:tc>
          <w:tcPr>
            <w:tcW w:w="2268"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招标人代表及监督人员出席开标会议</w:t>
            </w:r>
          </w:p>
        </w:tc>
        <w:tc>
          <w:tcPr>
            <w:tcW w:w="6813"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rPr>
                <w:rFonts w:cs="宋体" w:asciiTheme="minorEastAsia" w:hAnsiTheme="minorEastAsia"/>
              </w:rPr>
            </w:pPr>
            <w:r>
              <w:rPr>
                <w:rFonts w:hint="eastAsia" w:cs="宋体" w:asciiTheme="minorEastAsia" w:hAnsiTheme="minor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23</w:t>
            </w:r>
          </w:p>
        </w:tc>
        <w:tc>
          <w:tcPr>
            <w:tcW w:w="2268"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履约担保</w:t>
            </w:r>
          </w:p>
        </w:tc>
        <w:tc>
          <w:tcPr>
            <w:tcW w:w="6813" w:type="dxa"/>
            <w:vAlign w:val="center"/>
          </w:tcPr>
          <w:p>
            <w:pPr>
              <w:autoSpaceDE w:val="0"/>
              <w:autoSpaceDN w:val="0"/>
              <w:spacing w:line="360" w:lineRule="auto"/>
            </w:pPr>
            <w:r>
              <w:rPr>
                <w:rFonts w:hint="eastAsia"/>
              </w:rPr>
              <w:t>开户行：河南长葛农村商业银行股份有限公司营业部</w:t>
            </w:r>
          </w:p>
          <w:p>
            <w:pPr>
              <w:autoSpaceDE w:val="0"/>
              <w:autoSpaceDN w:val="0"/>
              <w:spacing w:line="360" w:lineRule="auto"/>
            </w:pPr>
            <w:r>
              <w:rPr>
                <w:rFonts w:hint="eastAsia"/>
              </w:rPr>
              <w:t>户  名：长葛市公共资源交易中心</w:t>
            </w:r>
          </w:p>
          <w:p>
            <w:pPr>
              <w:autoSpaceDE w:val="0"/>
              <w:autoSpaceDN w:val="0"/>
              <w:spacing w:line="360" w:lineRule="auto"/>
            </w:pPr>
            <w:r>
              <w:rPr>
                <w:rFonts w:hint="eastAsia"/>
              </w:rPr>
              <w:t>账  号：13201001800000552</w:t>
            </w:r>
          </w:p>
          <w:p>
            <w:pPr>
              <w:autoSpaceDE w:val="0"/>
              <w:autoSpaceDN w:val="0"/>
              <w:spacing w:line="360" w:lineRule="auto"/>
            </w:pPr>
            <w:r>
              <w:rPr>
                <w:rFonts w:hint="eastAsia"/>
              </w:rPr>
              <w:t>履约担保的金额：中标金额的10%。</w:t>
            </w:r>
          </w:p>
          <w:p>
            <w:pPr>
              <w:autoSpaceDE w:val="0"/>
              <w:autoSpaceDN w:val="0"/>
              <w:spacing w:line="360" w:lineRule="auto"/>
            </w:pPr>
            <w:r>
              <w:rPr>
                <w:rFonts w:hint="eastAsia"/>
              </w:rPr>
              <w:t>供应商在汇款时备注部分说明，此为项目编号</w:t>
            </w:r>
            <w:r>
              <w:rPr>
                <w:rFonts w:hint="eastAsia"/>
                <w:u w:val="single"/>
              </w:rPr>
              <w:t xml:space="preserve">：    </w:t>
            </w:r>
            <w:r>
              <w:rPr>
                <w:rFonts w:hint="eastAsia"/>
              </w:rPr>
              <w:t>项目的履约担保。</w:t>
            </w:r>
          </w:p>
          <w:p>
            <w:pPr>
              <w:pStyle w:val="2"/>
              <w:ind w:firstLine="0"/>
            </w:pPr>
            <w:r>
              <w:rPr>
                <w:rFonts w:hint="eastAsia" w:asciiTheme="minorHAnsi" w:hAnsiTheme="minorHAnsi" w:eastAsiaTheme="minorEastAsia" w:cstheme="minorBidi"/>
                <w:sz w:val="21"/>
                <w:szCs w:val="21"/>
              </w:rPr>
              <w:t>中标供应商无正当理由不与招标人订立合同，在签订合同时向招标人提出附加条件或者不按照招标文件要求提交履约担保的，取消其中标资格。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24</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代理服务费</w:t>
            </w:r>
          </w:p>
        </w:tc>
        <w:tc>
          <w:tcPr>
            <w:tcW w:w="6813" w:type="dxa"/>
            <w:vAlign w:val="center"/>
          </w:tcPr>
          <w:p>
            <w:pPr>
              <w:autoSpaceDE w:val="0"/>
              <w:autoSpaceDN w:val="0"/>
              <w:spacing w:line="360" w:lineRule="auto"/>
              <w:contextualSpacing/>
              <w:rPr>
                <w:rFonts w:cs="宋体" w:asciiTheme="minorEastAsia" w:hAnsiTheme="minorEastAsia"/>
              </w:rPr>
            </w:pPr>
            <w:r>
              <w:rPr>
                <w:rFonts w:hint="eastAsia" w:ascii="宋体" w:hAnsi="宋体" w:eastAsia="宋体" w:cs="宋体"/>
              </w:rPr>
              <w:t>代理服务费由中标供应商支付，</w:t>
            </w:r>
            <w:r>
              <w:rPr>
                <w:rFonts w:hint="eastAsia" w:ascii="宋体" w:hAnsi="宋体" w:eastAsia="宋体" w:cs="宋体"/>
                <w:lang w:val="zh-CN"/>
              </w:rPr>
              <w:t>收取标准:招标代理费=100万× 1.5 %+（500万-100万）×</w:t>
            </w:r>
            <w:r>
              <w:rPr>
                <w:rFonts w:hint="eastAsia" w:ascii="宋体" w:hAnsi="宋体" w:eastAsia="宋体" w:cs="宋体"/>
                <w:lang w:val="en-US" w:eastAsia="zh-CN"/>
              </w:rPr>
              <w:t>1.1</w:t>
            </w:r>
            <w:r>
              <w:rPr>
                <w:rFonts w:hint="eastAsia" w:ascii="宋体" w:hAnsi="宋体" w:eastAsia="宋体" w:cs="宋体"/>
                <w:lang w:val="zh-CN"/>
              </w:rPr>
              <w:t>%。</w:t>
            </w:r>
            <w:r>
              <w:rPr>
                <w:rFonts w:hint="eastAsia" w:ascii="宋体" w:hAnsi="宋体" w:eastAsia="宋体" w:cs="宋体"/>
              </w:rPr>
              <w:t>中标通知书发出前，以现金或转账形式交纳。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25</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中标人需提交</w:t>
            </w:r>
          </w:p>
          <w:p>
            <w:pPr>
              <w:autoSpaceDE w:val="0"/>
              <w:autoSpaceDN w:val="0"/>
              <w:spacing w:line="360" w:lineRule="auto"/>
              <w:jc w:val="center"/>
              <w:rPr>
                <w:rFonts w:cs="宋体" w:asciiTheme="minorEastAsia" w:hAnsiTheme="minorEastAsia"/>
              </w:rPr>
            </w:pPr>
            <w:r>
              <w:rPr>
                <w:rFonts w:hint="eastAsia" w:cs="宋体" w:asciiTheme="minorEastAsia" w:hAnsiTheme="minorEastAsia"/>
              </w:rPr>
              <w:t>的资料</w:t>
            </w:r>
          </w:p>
        </w:tc>
        <w:tc>
          <w:tcPr>
            <w:tcW w:w="6813" w:type="dxa"/>
            <w:vAlign w:val="center"/>
          </w:tcPr>
          <w:p>
            <w:pPr>
              <w:autoSpaceDE w:val="0"/>
              <w:autoSpaceDN w:val="0"/>
              <w:spacing w:line="360" w:lineRule="auto"/>
              <w:rPr>
                <w:rFonts w:cs="宋体" w:asciiTheme="minorEastAsia" w:hAnsiTheme="minorEastAsia"/>
              </w:rPr>
            </w:pPr>
            <w:r>
              <w:rPr>
                <w:rFonts w:hint="eastAsia" w:cs="宋体" w:asciiTheme="minorEastAsia" w:hAnsiTheme="minorEastAsia"/>
              </w:rPr>
              <w:t>中标人在接到中标通知时，须</w:t>
            </w:r>
            <w:r>
              <w:rPr>
                <w:rFonts w:hint="eastAsia" w:ascii="新宋体" w:hAnsi="新宋体" w:eastAsia="新宋体"/>
              </w:rPr>
              <w:t>向代理机构发</w:t>
            </w:r>
            <w:r>
              <w:rPr>
                <w:rFonts w:hint="eastAsia" w:cs="宋体" w:asciiTheme="minorEastAsia" w:hAnsiTheme="minorEastAsia"/>
              </w:rPr>
              <w:t>送投标报价及分项报价一览表（包含主要中标标的的名称、规格型号、数量、单价、服务要求等）电子文档，并同时通知代理机构。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26</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电子化采购模式</w:t>
            </w:r>
          </w:p>
        </w:tc>
        <w:tc>
          <w:tcPr>
            <w:tcW w:w="6813" w:type="dxa"/>
            <w:vAlign w:val="center"/>
          </w:tcPr>
          <w:p>
            <w:pPr>
              <w:autoSpaceDE w:val="0"/>
              <w:autoSpaceDN w:val="0"/>
              <w:spacing w:line="360" w:lineRule="auto"/>
              <w:contextualSpacing/>
              <w:rPr>
                <w:rFonts w:hAnsi="宋体" w:cs="宋体"/>
              </w:rPr>
            </w:pPr>
            <w:r>
              <w:fldChar w:fldCharType="begin"/>
            </w:r>
            <w:r>
              <w:rPr>
                <w:rFonts w:hint="eastAsia"/>
              </w:rPr>
              <w:instrText xml:space="preserve">eq \o\ac(</w:instrText>
            </w:r>
            <w:r>
              <w:rPr>
                <w:rFonts w:hint="eastAsia" w:cs="宋体" w:asciiTheme="minorEastAsia" w:hAnsiTheme="minorEastAsia"/>
                <w:b/>
                <w:color w:val="000000"/>
              </w:rPr>
              <w:instrText xml:space="preserve">□</w:instrText>
            </w:r>
            <w:r>
              <w:rPr>
                <w:rFonts w:hint="eastAsia"/>
              </w:rPr>
              <w:instrText xml:space="preserve">,</w:instrText>
            </w:r>
            <w:r>
              <w:rPr>
                <w:rFonts w:hint="eastAsia" w:cs="宋体" w:asciiTheme="minorEastAsia" w:hAnsiTheme="minorEastAsia"/>
                <w:b/>
                <w:color w:val="000000"/>
              </w:rPr>
              <w:instrText xml:space="preserve">√</w:instrText>
            </w:r>
            <w:r>
              <w:rPr>
                <w:rFonts w:hint="eastAsia"/>
              </w:rPr>
              <w:instrText xml:space="preserve">)</w:instrText>
            </w:r>
            <w:r>
              <w:rPr>
                <w:rFonts w:cs="宋体" w:asciiTheme="minorEastAsia" w:hAnsiTheme="minorEastAsia"/>
                <w:b/>
                <w:color w:val="000000"/>
              </w:rPr>
              <w:fldChar w:fldCharType="end"/>
            </w:r>
            <w:r>
              <w:rPr>
                <w:rFonts w:hint="eastAsia" w:cs="宋体" w:asciiTheme="minorEastAsia" w:hAnsiTheme="minorEastAsia"/>
              </w:rPr>
              <w:t>是。</w:t>
            </w:r>
            <w:r>
              <w:rPr>
                <w:rFonts w:hint="eastAsia" w:hAnsi="宋体" w:cs="宋体"/>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spacing w:line="360" w:lineRule="auto"/>
              <w:contextualSpacing/>
              <w:rPr>
                <w:rFonts w:cs="宋体" w:asciiTheme="minorEastAsia" w:hAnsiTheme="minorEastAsia"/>
              </w:rPr>
            </w:pPr>
            <w:r>
              <w:rPr>
                <w:rFonts w:hint="eastAsia" w:hAnsi="宋体" w:cs="宋体"/>
              </w:rPr>
              <w:t>□否。投标人投标时须提供纸质投标文件。投标人资质、业绩、荣誉及相关人员证明材料等资料原件根据招标文件要求提供。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276" w:lineRule="auto"/>
              <w:jc w:val="center"/>
              <w:rPr>
                <w:rFonts w:cs="黑体" w:asciiTheme="minorEastAsia" w:hAnsiTheme="minorEastAsia"/>
              </w:rPr>
            </w:pPr>
            <w:r>
              <w:rPr>
                <w:rFonts w:hint="eastAsia" w:cs="黑体" w:asciiTheme="minorEastAsia" w:hAnsiTheme="minorEastAsia"/>
              </w:rPr>
              <w:t>27</w:t>
            </w:r>
          </w:p>
        </w:tc>
        <w:tc>
          <w:tcPr>
            <w:tcW w:w="2268" w:type="dxa"/>
            <w:vAlign w:val="center"/>
          </w:tcPr>
          <w:p>
            <w:pPr>
              <w:autoSpaceDE w:val="0"/>
              <w:autoSpaceDN w:val="0"/>
              <w:spacing w:line="360" w:lineRule="auto"/>
              <w:jc w:val="center"/>
              <w:rPr>
                <w:rFonts w:cs="宋体" w:asciiTheme="minorEastAsia" w:hAnsiTheme="minorEastAsia"/>
              </w:rPr>
            </w:pPr>
            <w:r>
              <w:rPr>
                <w:rFonts w:hint="eastAsia" w:cs="宋体" w:asciiTheme="minorEastAsia" w:hAnsiTheme="minorEastAsia"/>
              </w:rPr>
              <w:t>特别提示</w:t>
            </w:r>
          </w:p>
        </w:tc>
        <w:tc>
          <w:tcPr>
            <w:tcW w:w="6813" w:type="dxa"/>
            <w:vAlign w:val="center"/>
          </w:tcPr>
          <w:p>
            <w:pPr>
              <w:autoSpaceDE w:val="0"/>
              <w:autoSpaceDN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spacing w:line="360" w:lineRule="auto"/>
              <w:contextualSpacing/>
              <w:rPr>
                <w:rFonts w:ascii="ˎ̥" w:hAnsi="ˎ̥"/>
              </w:rPr>
            </w:pPr>
            <w:r>
              <w:rPr>
                <w:rFonts w:hint="eastAsia" w:ascii="ˎ̥" w:hAnsi="ˎ̥"/>
              </w:rPr>
              <w:t>不同供应商电子投标文件制作硬件特征码（网卡MAC地址、CPU序号、硬盘序列号等）均一致时，视为‘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spacing w:line="360" w:lineRule="auto"/>
              <w:contextualSpacing/>
              <w:rPr>
                <w:rFonts w:hAnsi="宋体" w:cs="宋体"/>
              </w:rPr>
            </w:pPr>
            <w:r>
              <w:rPr>
                <w:rFonts w:hint="eastAsia" w:ascii="ˎ̥" w:hAnsi="ˎ̥"/>
              </w:rPr>
              <w:t>评审专家应严格按照要求查看“硬件特征码” 相关信息并进行评审，在评审报告中显示“不同投标人电子投标文件制作硬件特征码”是否均一致的分析及判定结果。</w:t>
            </w:r>
          </w:p>
        </w:tc>
      </w:tr>
    </w:tbl>
    <w:p>
      <w:pPr>
        <w:tabs>
          <w:tab w:val="left" w:pos="1260"/>
        </w:tabs>
        <w:autoSpaceDE w:val="0"/>
        <w:autoSpaceDN w:val="0"/>
        <w:spacing w:line="360" w:lineRule="auto"/>
        <w:contextualSpacing/>
        <w:jc w:val="center"/>
        <w:rPr>
          <w:rFonts w:cs="宋体" w:asciiTheme="majorEastAsia" w:hAnsiTheme="majorEastAsia" w:eastAsiaTheme="majorEastAsia"/>
          <w:b/>
          <w:sz w:val="36"/>
          <w:szCs w:val="36"/>
        </w:rPr>
      </w:pPr>
    </w:p>
    <w:p>
      <w:pPr>
        <w:tabs>
          <w:tab w:val="left" w:pos="1260"/>
        </w:tabs>
        <w:autoSpaceDE w:val="0"/>
        <w:autoSpaceDN w:val="0"/>
        <w:spacing w:line="360" w:lineRule="auto"/>
        <w:contextualSpacing/>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第四章 投标人须知</w:t>
      </w:r>
    </w:p>
    <w:p>
      <w:pPr>
        <w:tabs>
          <w:tab w:val="left" w:pos="1260"/>
        </w:tabs>
        <w:autoSpaceDE w:val="0"/>
        <w:autoSpaceDN w:val="0"/>
        <w:spacing w:line="360" w:lineRule="auto"/>
        <w:contextualSpacing/>
        <w:jc w:val="center"/>
        <w:rPr>
          <w:rFonts w:cs="宋体" w:asciiTheme="minorEastAsia" w:hAnsiTheme="minorEastAsia"/>
          <w:b/>
          <w:sz w:val="28"/>
          <w:szCs w:val="28"/>
        </w:rPr>
      </w:pP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一、概念释义</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适用范围</w:t>
      </w:r>
    </w:p>
    <w:p>
      <w:pPr>
        <w:pStyle w:val="28"/>
        <w:numPr>
          <w:ilvl w:val="0"/>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本招标文件仅适用于本次“投标邀请”中所述采购项目。</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本招标文件解释权属于“投标邀请”所述的采购人。</w:t>
      </w:r>
    </w:p>
    <w:p>
      <w:pPr>
        <w:pStyle w:val="28"/>
        <w:autoSpaceDE w:val="0"/>
        <w:autoSpaceDN w:val="0"/>
        <w:spacing w:line="360" w:lineRule="auto"/>
        <w:ind w:left="780" w:firstLine="0"/>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定义</w:t>
      </w:r>
    </w:p>
    <w:p>
      <w:pPr>
        <w:pStyle w:val="28"/>
        <w:numPr>
          <w:ilvl w:val="0"/>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“采购项目”：“投标人须知前附表”中所述的采购项目。</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“招标人”：“投标人须知前附表”中所述的组织本次招标的代理机构和采购人。</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“采购人”：是指依法进行政府采购的国家机关、事业单位、团体组织。采购人名称、     地址、电话、联系人见“投标人须知前附表”。</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采购代理机构及其分支机构不得在所代理的采购项目中投标或者代理投标，不得为所代理的采购项目的投标人参加本项目提供投标咨询。</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“潜在投标人”指符合《中华人民共和国政府采购法》及相关法律法规和本招标文件的各项规定，且按照本项目招标公告及招标文件规定的方式获取招标文件的法人、其他组 织或者自然人。</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“进口产品”：是指通过中国海关报关验放进入中国境内且产自关境外的产品，包括已经进入中国境内的进口产品。详见《</w:t>
      </w:r>
      <w:r>
        <w:rPr>
          <w:rFonts w:cs="宋体" w:asciiTheme="minorEastAsia" w:hAnsiTheme="minorEastAsia"/>
        </w:rPr>
        <w:t>关于政府采购进口产品管理有关问题的通知</w:t>
      </w:r>
      <w:r>
        <w:rPr>
          <w:rFonts w:hint="eastAsia" w:cs="宋体" w:asciiTheme="minorEastAsia" w:hAnsiTheme="minorEastAsia"/>
        </w:rPr>
        <w:t>》(财库[2007]119号)、《关于政府采购进口产品管理有关问题的通知》（财办库［</w:t>
      </w:r>
      <w:r>
        <w:rPr>
          <w:rFonts w:cs="宋体" w:asciiTheme="minorEastAsia" w:hAnsiTheme="minorEastAsia"/>
        </w:rPr>
        <w:t>2008</w:t>
      </w:r>
      <w:r>
        <w:rPr>
          <w:rFonts w:hint="eastAsia" w:cs="宋体" w:asciiTheme="minorEastAsia" w:hAnsiTheme="minorEastAsia"/>
        </w:rPr>
        <w:t>］</w:t>
      </w:r>
      <w:r>
        <w:rPr>
          <w:rFonts w:cs="宋体" w:asciiTheme="minorEastAsia" w:hAnsiTheme="minorEastAsia"/>
        </w:rPr>
        <w:t xml:space="preserve">248 </w:t>
      </w:r>
      <w:r>
        <w:rPr>
          <w:rFonts w:hint="eastAsia" w:cs="宋体" w:asciiTheme="minorEastAsia" w:hAnsiTheme="minorEastAsia"/>
        </w:rPr>
        <w:t>号）。</w:t>
      </w:r>
    </w:p>
    <w:p>
      <w:pPr>
        <w:autoSpaceDE w:val="0"/>
        <w:autoSpaceDN w:val="0"/>
        <w:spacing w:line="360" w:lineRule="auto"/>
        <w:ind w:left="840"/>
        <w:contextualSpacing/>
        <w:rPr>
          <w:rFonts w:cs="宋体" w:asciiTheme="minorEastAsia" w:hAnsiTheme="minorEastAsia"/>
        </w:rPr>
      </w:pPr>
      <w:r>
        <w:rPr>
          <w:rFonts w:hint="eastAsia" w:cs="宋体" w:asciiTheme="minorEastAsia" w:hAnsiTheme="minorEastAsia"/>
        </w:rPr>
        <w:t xml:space="preserve">2.7.1  </w:t>
      </w:r>
      <w:r>
        <w:rPr>
          <w:rFonts w:cs="宋体" w:asciiTheme="minorEastAsia" w:hAnsiTheme="minorEastAsia"/>
        </w:rPr>
        <w:t>招标文件列明不允许或未列明允许进口产品参加投标的，均视为拒绝进口产品参加投标。</w:t>
      </w:r>
    </w:p>
    <w:p>
      <w:pPr>
        <w:autoSpaceDE w:val="0"/>
        <w:autoSpaceDN w:val="0"/>
        <w:spacing w:line="360" w:lineRule="auto"/>
        <w:ind w:left="943"/>
        <w:contextualSpacing/>
        <w:rPr>
          <w:rFonts w:cs="宋体" w:asciiTheme="minorEastAsia" w:hAnsiTheme="minorEastAsia"/>
        </w:rPr>
      </w:pPr>
      <w:r>
        <w:rPr>
          <w:rFonts w:hint="eastAsia" w:cs="宋体" w:asciiTheme="minorEastAsia" w:hAnsiTheme="minorEastAsia"/>
        </w:rPr>
        <w:t xml:space="preserve">2.7.2  </w:t>
      </w:r>
      <w:r>
        <w:rPr>
          <w:rFonts w:cs="宋体" w:asciiTheme="minorEastAsia" w:hAnsiTheme="minorEastAsia"/>
        </w:rPr>
        <w:t>如</w:t>
      </w:r>
      <w:r>
        <w:rPr>
          <w:rFonts w:hint="eastAsia" w:cs="宋体" w:asciiTheme="minorEastAsia" w:hAnsiTheme="minorEastAsia"/>
        </w:rPr>
        <w:t>招标</w:t>
      </w:r>
      <w:r>
        <w:rPr>
          <w:rFonts w:cs="宋体" w:asciiTheme="minorEastAsia" w:hAnsiTheme="minorEastAsia"/>
        </w:rPr>
        <w:t>文件中已说明，经财政部门审核同意，允许部分或全部产品采购进口产品，投标人既可提供本国产品，也可以提供进口产品。</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招标文件中凡标有“</w:t>
      </w:r>
      <w:r>
        <w:rPr>
          <w:rFonts w:hint="eastAsia" w:cs="宋体" w:asciiTheme="minorEastAsia" w:hAnsiTheme="minorEastAsia"/>
          <w:color w:val="FF0000"/>
        </w:rPr>
        <w:t>★</w:t>
      </w:r>
      <w:r>
        <w:rPr>
          <w:rFonts w:hint="eastAsia" w:cs="宋体" w:asciiTheme="minorEastAsia" w:hAnsiTheme="minorEastAsia"/>
        </w:rPr>
        <w:t>”的条款均系实质性要求条款。</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合格的投标人</w:t>
      </w:r>
    </w:p>
    <w:p>
      <w:pPr>
        <w:pStyle w:val="28"/>
        <w:numPr>
          <w:ilvl w:val="0"/>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在中华人民共和国境内注册，具有本项目生产、制造、供应或实施能力，符合、承认并承诺履行本招标文件各项规定的法人、其他组织或者自然人。</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符合本项目“投标邀请”和“投标人须知前附表”中规定的合格投标人所必须具备的条件。</w:t>
      </w:r>
    </w:p>
    <w:p>
      <w:pPr>
        <w:pStyle w:val="28"/>
        <w:autoSpaceDE w:val="0"/>
        <w:autoSpaceDN w:val="0"/>
        <w:spacing w:line="360" w:lineRule="auto"/>
        <w:ind w:firstLine="420" w:firstLineChars="200"/>
        <w:contextualSpacing/>
        <w:rPr>
          <w:rFonts w:cs="宋体" w:asciiTheme="minorEastAsia" w:hAnsiTheme="minorEastAsia"/>
        </w:rPr>
      </w:pPr>
      <w:r>
        <w:rPr>
          <w:rFonts w:hint="eastAsia" w:cs="宋体" w:asciiTheme="minorEastAsia" w:hAnsiTheme="minorEastAsia"/>
        </w:rPr>
        <w:t>3.3  政府采购活动中查询及使用投标人信用记录的具体要求为：投标人未被列入失信被执行人、重大税收违法案件当事人名单、政府采购严重违法失信行为记录名单、严重违法失信名单。（联合体形式投标的，联合体成员存在不良信用记录，视同联合体存在不良信用记录）。</w:t>
      </w:r>
    </w:p>
    <w:p>
      <w:pPr>
        <w:pStyle w:val="28"/>
        <w:autoSpaceDE w:val="0"/>
        <w:autoSpaceDN w:val="0"/>
        <w:spacing w:line="360" w:lineRule="auto"/>
        <w:ind w:firstLine="0"/>
        <w:contextualSpacing/>
        <w:rPr>
          <w:rFonts w:cs="宋体" w:asciiTheme="minorEastAsia" w:hAnsiTheme="minorEastAsia"/>
        </w:rPr>
      </w:pPr>
      <w:r>
        <w:rPr>
          <w:rFonts w:hint="eastAsia" w:cs="宋体" w:asciiTheme="minorEastAsia" w:hAnsiTheme="minorEastAsia"/>
        </w:rPr>
        <w:t xml:space="preserve">  （1）查询渠道：“信用中国”网站（www.creditchina.gov.cn）、“中国政府采购网”（www.ccgp.gov.cn）、；“中国社会组织公共服务平台”网站（www.chinanpo.gov.cn）。；</w:t>
      </w:r>
    </w:p>
    <w:p>
      <w:pPr>
        <w:pStyle w:val="28"/>
        <w:autoSpaceDE w:val="0"/>
        <w:autoSpaceDN w:val="0"/>
        <w:spacing w:line="360" w:lineRule="auto"/>
        <w:ind w:firstLine="0"/>
        <w:contextualSpacing/>
        <w:rPr>
          <w:rFonts w:cs="宋体" w:asciiTheme="minorEastAsia" w:hAnsiTheme="minorEastAsia"/>
        </w:rPr>
      </w:pPr>
      <w:r>
        <w:rPr>
          <w:rFonts w:hint="eastAsia" w:cs="宋体" w:asciiTheme="minorEastAsia" w:hAnsiTheme="minorEastAsia"/>
        </w:rPr>
        <w:t>（2）截止时间：同投标截止时间；</w:t>
      </w:r>
    </w:p>
    <w:p>
      <w:pPr>
        <w:pStyle w:val="28"/>
        <w:autoSpaceDE w:val="0"/>
        <w:autoSpaceDN w:val="0"/>
        <w:spacing w:line="360" w:lineRule="auto"/>
        <w:ind w:firstLine="0"/>
        <w:contextualSpacing/>
        <w:rPr>
          <w:rFonts w:cs="宋体" w:asciiTheme="minorEastAsia" w:hAnsiTheme="minorEastAsia"/>
        </w:rPr>
      </w:pPr>
      <w:r>
        <w:rPr>
          <w:rFonts w:hint="eastAsia" w:cs="宋体" w:asciiTheme="minorEastAsia" w:hAnsiTheme="minorEastAsia"/>
        </w:rPr>
        <w:t>（3）信用信息查询记录和证据留存具体方式：经采购人确认的查询结果网页截图作为查询记录和证据，与其他采购文件一并保存；</w:t>
      </w:r>
    </w:p>
    <w:p>
      <w:pPr>
        <w:pStyle w:val="28"/>
        <w:autoSpaceDE w:val="0"/>
        <w:autoSpaceDN w:val="0"/>
        <w:spacing w:line="360" w:lineRule="auto"/>
        <w:ind w:left="990" w:hanging="144"/>
        <w:contextualSpacing/>
        <w:rPr>
          <w:rFonts w:cs="宋体" w:asciiTheme="minorEastAsia" w:hAnsiTheme="minorEastAsia"/>
        </w:rPr>
      </w:pPr>
      <w:r>
        <w:rPr>
          <w:rFonts w:hint="eastAsia" w:cs="宋体" w:asciiTheme="minorEastAsia" w:hAnsiTheme="minorEastAsia"/>
        </w:rPr>
        <w:t>（4）信用信息的使用原则：经采购人认定的被列入失信被执行人、重大税收违法案件当事人名单、政府采购严重违法失信行为记录名单的投标人，将拒绝其参与本次政府采购活动。</w:t>
      </w:r>
    </w:p>
    <w:p>
      <w:pPr>
        <w:pStyle w:val="28"/>
        <w:autoSpaceDE w:val="0"/>
        <w:autoSpaceDN w:val="0"/>
        <w:spacing w:line="360" w:lineRule="auto"/>
        <w:ind w:left="850" w:firstLine="0"/>
        <w:contextualSpacing/>
        <w:rPr>
          <w:rFonts w:cs="宋体" w:asciiTheme="minorEastAsia" w:hAnsiTheme="minorEastAsia"/>
        </w:rPr>
      </w:pPr>
      <w:r>
        <w:rPr>
          <w:rFonts w:hint="eastAsia" w:cs="宋体" w:asciiTheme="minorEastAsia" w:hAnsiTheme="minorEastAsia"/>
        </w:rPr>
        <w:t>（5）投标人不良信用记录以采购人查询结果为准，采购人查询之后，网站信息发生的任何变更不再作为评审依据，投标人自行提供的与网站信息不一致的其他证明材料亦不作为评审依据。</w:t>
      </w:r>
    </w:p>
    <w:p>
      <w:pPr>
        <w:pStyle w:val="28"/>
        <w:numPr>
          <w:ilvl w:val="0"/>
          <w:numId w:val="0"/>
        </w:numPr>
        <w:autoSpaceDE w:val="0"/>
        <w:autoSpaceDN w:val="0"/>
        <w:spacing w:line="360" w:lineRule="auto"/>
        <w:ind w:left="420" w:leftChars="0"/>
        <w:contextualSpacing/>
        <w:rPr>
          <w:rFonts w:cs="宋体" w:asciiTheme="minorEastAsia" w:hAnsiTheme="minorEastAsia"/>
        </w:rPr>
      </w:pPr>
      <w:r>
        <w:rPr>
          <w:rFonts w:hint="eastAsia" w:eastAsia="宋体" w:cs="宋体" w:asciiTheme="minorEastAsia" w:hAnsiTheme="minorEastAsia"/>
          <w:lang w:val="en-US" w:eastAsia="zh-CN"/>
        </w:rPr>
        <w:t xml:space="preserve">3.4  </w:t>
      </w:r>
      <w:r>
        <w:rPr>
          <w:rFonts w:hint="eastAsia" w:cs="宋体" w:asciiTheme="minorEastAsia" w:hAnsiTheme="minorEastAsia"/>
        </w:rPr>
        <w:t>单位负责人为同一人或者存在直接控股、管理关系的不同供应商，不得同时参加本项目投标。违反规定的，相关投标均无效。</w:t>
      </w:r>
    </w:p>
    <w:p>
      <w:pPr>
        <w:pStyle w:val="28"/>
        <w:numPr>
          <w:ilvl w:val="0"/>
          <w:numId w:val="0"/>
        </w:numPr>
        <w:autoSpaceDE w:val="0"/>
        <w:autoSpaceDN w:val="0"/>
        <w:spacing w:line="360" w:lineRule="auto"/>
        <w:ind w:left="420" w:leftChars="0"/>
        <w:contextualSpacing/>
        <w:rPr>
          <w:rFonts w:cs="宋体" w:asciiTheme="minorEastAsia" w:hAnsiTheme="minorEastAsia"/>
        </w:rPr>
      </w:pPr>
      <w:r>
        <w:rPr>
          <w:rFonts w:hint="eastAsia" w:eastAsia="宋体" w:cs="宋体" w:asciiTheme="minorEastAsia" w:hAnsiTheme="minorEastAsia"/>
          <w:lang w:val="en-US" w:eastAsia="zh-CN"/>
        </w:rPr>
        <w:t xml:space="preserve">3.5  </w:t>
      </w:r>
      <w:r>
        <w:rPr>
          <w:rFonts w:hint="eastAsia" w:cs="宋体" w:asciiTheme="minorEastAsia" w:hAnsiTheme="minorEastAsia"/>
        </w:rPr>
        <w:t>为采购项目提供整体设计、规范编制或者项目管理、监理、检测等服务的供应商，不得再参加该采购项目的其他采购活动。</w:t>
      </w:r>
    </w:p>
    <w:p>
      <w:pPr>
        <w:pStyle w:val="28"/>
        <w:numPr>
          <w:ilvl w:val="0"/>
          <w:numId w:val="0"/>
        </w:numPr>
        <w:autoSpaceDE w:val="0"/>
        <w:autoSpaceDN w:val="0"/>
        <w:spacing w:line="360" w:lineRule="auto"/>
        <w:ind w:left="420" w:leftChars="0"/>
        <w:contextualSpacing/>
        <w:rPr>
          <w:rFonts w:cs="宋体" w:asciiTheme="minorEastAsia" w:hAnsiTheme="minorEastAsia"/>
        </w:rPr>
      </w:pPr>
      <w:r>
        <w:rPr>
          <w:rFonts w:hint="eastAsia" w:eastAsia="宋体" w:cs="宋体" w:asciiTheme="minorEastAsia" w:hAnsiTheme="minorEastAsia"/>
          <w:lang w:val="en-US" w:eastAsia="zh-CN"/>
        </w:rPr>
        <w:t xml:space="preserve">3.6  </w:t>
      </w:r>
      <w:r>
        <w:rPr>
          <w:rFonts w:hint="eastAsia" w:cs="宋体" w:asciiTheme="minorEastAsia" w:hAnsiTheme="minorEastAsia"/>
        </w:rPr>
        <w:t>“投标邀请”和“投标人须知前附表”规定接受联合体投标的，除应符合本章第</w:t>
      </w:r>
      <w:r>
        <w:rPr>
          <w:rFonts w:cs="宋体" w:asciiTheme="minorEastAsia" w:hAnsiTheme="minorEastAsia"/>
        </w:rPr>
        <w:t>3.1</w:t>
      </w:r>
      <w:r>
        <w:rPr>
          <w:rFonts w:hint="eastAsia" w:cs="宋体" w:asciiTheme="minorEastAsia" w:hAnsiTheme="minorEastAsia"/>
        </w:rPr>
        <w:t>项和3.2项要求外，还应遵守以下规定：</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（5）</w:t>
      </w:r>
      <w:r>
        <w:rPr>
          <w:rFonts w:cs="宋体" w:asciiTheme="minorEastAsia" w:hAnsiTheme="minorEastAsia"/>
        </w:rPr>
        <w:t>联合体各方应当共同与采购人签订采购合同，就采购合同约定的事项对采购人</w:t>
      </w:r>
      <w:r>
        <w:fldChar w:fldCharType="begin"/>
      </w:r>
      <w:r>
        <w:instrText xml:space="preserve"> HYPERLINK "https://baike.baidu.com/item/%E6%89%BF%E6%8B%85%E8%BF%9E%E5%B8%A6%E8%B4%A3%E4%BB%BB_blank" </w:instrText>
      </w:r>
      <w:r>
        <w:fldChar w:fldCharType="separate"/>
      </w:r>
      <w:r>
        <w:rPr>
          <w:rFonts w:cs="宋体" w:asciiTheme="minorEastAsia" w:hAnsiTheme="minorEastAsia"/>
        </w:rPr>
        <w:t>承担连带责任</w:t>
      </w:r>
      <w:r>
        <w:rPr>
          <w:rFonts w:cs="宋体" w:asciiTheme="minorEastAsia" w:hAnsiTheme="minorEastAsia"/>
        </w:rPr>
        <w:fldChar w:fldCharType="end"/>
      </w:r>
      <w:r>
        <w:rPr>
          <w:rFonts w:cs="宋体" w:asciiTheme="minorEastAsia" w:hAnsiTheme="minorEastAsia"/>
        </w:rPr>
        <w:t>。</w:t>
      </w:r>
    </w:p>
    <w:p>
      <w:pPr>
        <w:pStyle w:val="28"/>
        <w:numPr>
          <w:ilvl w:val="0"/>
          <w:numId w:val="0"/>
        </w:numPr>
        <w:autoSpaceDE w:val="0"/>
        <w:autoSpaceDN w:val="0"/>
        <w:spacing w:line="360" w:lineRule="auto"/>
        <w:ind w:left="420" w:leftChars="0"/>
        <w:contextualSpacing/>
        <w:rPr>
          <w:rFonts w:cs="宋体" w:asciiTheme="minorEastAsia" w:hAnsiTheme="minorEastAsia"/>
        </w:rPr>
      </w:pPr>
      <w:r>
        <w:rPr>
          <w:rFonts w:hint="eastAsia" w:eastAsia="宋体" w:cs="宋体" w:asciiTheme="minorEastAsia" w:hAnsiTheme="minorEastAsia"/>
          <w:lang w:val="en-US" w:eastAsia="zh-CN"/>
        </w:rPr>
        <w:t xml:space="preserve">3.7  </w:t>
      </w:r>
      <w:r>
        <w:rPr>
          <w:rFonts w:hint="eastAsia" w:cs="宋体" w:asciiTheme="minorEastAsia" w:hAnsiTheme="minorEastAsia"/>
        </w:rPr>
        <w:t>法律、行政法规规定的其他条件。</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合格的货物和服务</w:t>
      </w:r>
    </w:p>
    <w:p>
      <w:pPr>
        <w:pStyle w:val="28"/>
        <w:numPr>
          <w:ilvl w:val="0"/>
          <w:numId w:val="6"/>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投标人所提供的服务应当没有侵犯任何第三方的知识产权、技术秘密等合法权利。</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如投标人所投产品被列入</w:t>
      </w:r>
      <w:r>
        <w:rPr>
          <w:rFonts w:cs="宋体" w:asciiTheme="minorEastAsia" w:hAnsiTheme="minorEastAsia"/>
        </w:rPr>
        <w:t>《中华人民共和国实施强制性产品认证的产品目录》，</w:t>
      </w:r>
      <w:r>
        <w:rPr>
          <w:rFonts w:hint="eastAsia" w:cs="宋体" w:asciiTheme="minorEastAsia" w:hAnsiTheme="minorEastAsia"/>
        </w:rPr>
        <w:t>则该产品应</w:t>
      </w:r>
      <w:r>
        <w:rPr>
          <w:rFonts w:cs="宋体" w:asciiTheme="minorEastAsia" w:hAnsiTheme="minorEastAsia"/>
        </w:rPr>
        <w:t>具备国家认监委</w:t>
      </w:r>
      <w:r>
        <w:rPr>
          <w:rFonts w:hint="eastAsia" w:cs="宋体" w:asciiTheme="minorEastAsia" w:hAnsiTheme="minorEastAsia"/>
        </w:rPr>
        <w:t>指定强制性产品认证机构</w:t>
      </w:r>
      <w:r>
        <w:rPr>
          <w:rFonts w:cs="宋体" w:asciiTheme="minorEastAsia" w:hAnsiTheme="minorEastAsia"/>
        </w:rPr>
        <w:t>颁</w:t>
      </w:r>
      <w:r>
        <w:rPr>
          <w:rFonts w:hint="eastAsia" w:cs="宋体" w:asciiTheme="minorEastAsia" w:hAnsiTheme="minorEastAsia"/>
        </w:rPr>
        <w:t>发的</w:t>
      </w:r>
      <w:r>
        <w:rPr>
          <w:rFonts w:cs="宋体" w:asciiTheme="minorEastAsia" w:hAnsiTheme="minorEastAsia"/>
        </w:rPr>
        <w:t>《中国</w:t>
      </w:r>
      <w:r>
        <w:rPr>
          <w:rFonts w:hint="eastAsia" w:cs="宋体" w:asciiTheme="minorEastAsia" w:hAnsiTheme="minorEastAsia"/>
        </w:rPr>
        <w:t>国家</w:t>
      </w:r>
      <w:r>
        <w:rPr>
          <w:rFonts w:cs="宋体" w:asciiTheme="minorEastAsia" w:hAnsiTheme="minorEastAsia"/>
        </w:rPr>
        <w:t>强制</w:t>
      </w:r>
      <w:r>
        <w:rPr>
          <w:rFonts w:hint="eastAsia" w:cs="宋体" w:asciiTheme="minorEastAsia" w:hAnsiTheme="minorEastAsia"/>
        </w:rPr>
        <w:t>性产品</w:t>
      </w:r>
      <w:r>
        <w:rPr>
          <w:rFonts w:cs="宋体" w:asciiTheme="minorEastAsia" w:hAnsiTheme="minorEastAsia"/>
        </w:rPr>
        <w:t>认证</w:t>
      </w:r>
      <w:r>
        <w:rPr>
          <w:rFonts w:hint="eastAsia" w:cs="宋体" w:asciiTheme="minorEastAsia" w:hAnsiTheme="minorEastAsia"/>
        </w:rPr>
        <w:t>证书</w:t>
      </w:r>
      <w:r>
        <w:rPr>
          <w:rFonts w:cs="宋体" w:asciiTheme="minorEastAsia" w:hAnsiTheme="minorEastAsia"/>
        </w:rPr>
        <w:t>》（CCC 认证）。</w:t>
      </w:r>
      <w:r>
        <w:rPr>
          <w:rFonts w:hint="eastAsia" w:cs="宋体" w:asciiTheme="minorEastAsia" w:hAnsiTheme="minorEastAsia"/>
        </w:rPr>
        <w:t>投标人</w:t>
      </w:r>
      <w:r>
        <w:rPr>
          <w:rFonts w:cs="宋体" w:asciiTheme="minorEastAsia" w:hAnsiTheme="minorEastAsia"/>
        </w:rPr>
        <w:t>不能提供超出此目录范畴外的替代品</w:t>
      </w:r>
      <w:r>
        <w:rPr>
          <w:rFonts w:hint="eastAsia" w:cs="宋体" w:asciiTheme="minorEastAsia" w:hAnsiTheme="minorEastAsia"/>
        </w:rPr>
        <w:t>。</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投标人所投产品如被列入</w:t>
      </w:r>
      <w:r>
        <w:rPr>
          <w:rFonts w:cs="宋体" w:asciiTheme="minorEastAsia" w:hAnsiTheme="minorEastAsia"/>
        </w:rPr>
        <w:t>《信息安全产品强制性认证目录》，</w:t>
      </w:r>
      <w:r>
        <w:rPr>
          <w:rFonts w:hint="eastAsia" w:cs="宋体" w:asciiTheme="minorEastAsia" w:hAnsiTheme="minorEastAsia"/>
        </w:rPr>
        <w:t>则该产品应</w:t>
      </w:r>
      <w:r>
        <w:rPr>
          <w:rFonts w:cs="宋体" w:asciiTheme="minorEastAsia" w:hAnsiTheme="minorEastAsia"/>
        </w:rPr>
        <w:t>具备</w:t>
      </w:r>
      <w:r>
        <w:rPr>
          <w:rFonts w:hint="eastAsia" w:cs="宋体" w:asciiTheme="minorEastAsia" w:hAnsiTheme="minorEastAsia"/>
        </w:rPr>
        <w:t>中国信息安全认证中心</w:t>
      </w:r>
      <w:r>
        <w:rPr>
          <w:rFonts w:cs="宋体" w:asciiTheme="minorEastAsia" w:hAnsiTheme="minorEastAsia"/>
        </w:rPr>
        <w:t>颁</w:t>
      </w:r>
      <w:r>
        <w:rPr>
          <w:rFonts w:hint="eastAsia" w:cs="宋体" w:asciiTheme="minorEastAsia" w:hAnsiTheme="minorEastAsia"/>
        </w:rPr>
        <w:t>发的</w:t>
      </w:r>
      <w:r>
        <w:rPr>
          <w:rFonts w:cs="宋体" w:asciiTheme="minorEastAsia" w:hAnsiTheme="minorEastAsia"/>
        </w:rPr>
        <w:t>《</w:t>
      </w:r>
      <w:r>
        <w:fldChar w:fldCharType="begin"/>
      </w:r>
      <w:r>
        <w:instrText xml:space="preserve"> HYPERLINK "http://www.cnca.gov.cn/cnca/zwxx/ggxx/images/2010/07/19/A6C32D2A507AC2A38326896013A67542.doc_blank" </w:instrText>
      </w:r>
      <w:r>
        <w:fldChar w:fldCharType="separate"/>
      </w:r>
      <w:r>
        <w:rPr>
          <w:rFonts w:hint="eastAsia" w:cs="宋体" w:asciiTheme="minorEastAsia" w:hAnsiTheme="minorEastAsia"/>
        </w:rPr>
        <w:t>中国国家信息安全产品认证证书</w:t>
      </w:r>
      <w:r>
        <w:rPr>
          <w:rFonts w:hint="eastAsia" w:cs="宋体" w:asciiTheme="minorEastAsia" w:hAnsiTheme="minorEastAsia"/>
        </w:rPr>
        <w:fldChar w:fldCharType="end"/>
      </w:r>
      <w:r>
        <w:rPr>
          <w:rFonts w:cs="宋体" w:asciiTheme="minorEastAsia" w:hAnsiTheme="minorEastAsia"/>
        </w:rPr>
        <w:t>》。</w:t>
      </w:r>
      <w:r>
        <w:rPr>
          <w:rFonts w:hint="eastAsia" w:cs="宋体" w:asciiTheme="minorEastAsia" w:hAnsiTheme="minorEastAsia"/>
        </w:rPr>
        <w:t>投标人</w:t>
      </w:r>
      <w:r>
        <w:rPr>
          <w:rFonts w:cs="宋体" w:asciiTheme="minorEastAsia" w:hAnsiTheme="minorEastAsia"/>
        </w:rPr>
        <w:t>不能提供超出此目录范畴外的替代品</w:t>
      </w:r>
      <w:r>
        <w:rPr>
          <w:rFonts w:hint="eastAsia" w:cs="宋体" w:asciiTheme="minorEastAsia" w:hAnsiTheme="minorEastAsia"/>
        </w:rPr>
        <w:t>。</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投标费用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信息发布</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采购代理机构代理费用收取标准和方式</w:t>
      </w:r>
    </w:p>
    <w:p>
      <w:pPr>
        <w:pStyle w:val="28"/>
        <w:numPr>
          <w:ilvl w:val="0"/>
          <w:numId w:val="7"/>
        </w:numPr>
        <w:autoSpaceDE w:val="0"/>
        <w:autoSpaceDN w:val="0"/>
        <w:spacing w:line="360" w:lineRule="auto"/>
        <w:contextualSpacing/>
        <w:rPr>
          <w:rFonts w:ascii="宋体" w:hAnsi="宋体" w:cs="宋体"/>
        </w:rPr>
      </w:pPr>
      <w:r>
        <w:rPr>
          <w:rFonts w:hint="eastAsia" w:ascii="宋体" w:hAnsi="宋体" w:cs="宋体"/>
        </w:rPr>
        <w:t>收取标准：收取。详见投标人须知前附表。</w:t>
      </w:r>
    </w:p>
    <w:p>
      <w:pPr>
        <w:pStyle w:val="28"/>
        <w:numPr>
          <w:ilvl w:val="1"/>
          <w:numId w:val="5"/>
        </w:numPr>
        <w:autoSpaceDE w:val="0"/>
        <w:autoSpaceDN w:val="0"/>
        <w:spacing w:line="360" w:lineRule="auto"/>
        <w:contextualSpacing/>
        <w:rPr>
          <w:rFonts w:ascii="宋体" w:hAnsi="宋体" w:cs="宋体"/>
        </w:rPr>
      </w:pPr>
      <w:r>
        <w:rPr>
          <w:rFonts w:hint="eastAsia" w:ascii="宋体" w:hAnsi="宋体" w:cs="宋体"/>
        </w:rPr>
        <w:t>收取方式：中标通知书发出前，以现金或转账形式交纳。</w:t>
      </w:r>
    </w:p>
    <w:p>
      <w:pPr>
        <w:pStyle w:val="28"/>
        <w:autoSpaceDE w:val="0"/>
        <w:autoSpaceDN w:val="0"/>
        <w:spacing w:line="360" w:lineRule="auto"/>
        <w:ind w:left="964" w:firstLine="0"/>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其他</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rPr>
      </w:pP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二、招标文件说明</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招标文件构成</w:t>
      </w:r>
    </w:p>
    <w:p>
      <w:pPr>
        <w:pStyle w:val="28"/>
        <w:numPr>
          <w:ilvl w:val="0"/>
          <w:numId w:val="8"/>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招标文件由以下部分组成：</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（1）投标邀请（招标公告）</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（2）项目需求</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（3）投标人须知前附表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（4）投标人须知</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（5）政府采购政策功能</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（6）资格审查与评标</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（7）合同条款及格式</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（8）投标文件有关格式</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（9）本项目招标文件的澄清、答复、修改、补充内容（如有的话）</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现场考察、开标前答疑会</w:t>
      </w:r>
    </w:p>
    <w:p>
      <w:pPr>
        <w:pStyle w:val="28"/>
        <w:numPr>
          <w:ilvl w:val="0"/>
          <w:numId w:val="8"/>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招标人组织现场考察或者召开答疑会的，应当在招标文件中载明，或者在招标文件公告期满后在财政部门指定的政府采购信息发布媒体和《全国公共资源交易平台（河南省·许昌市）》发布更正公告。</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招标文件的澄清或修改</w:t>
      </w:r>
    </w:p>
    <w:p>
      <w:pPr>
        <w:pStyle w:val="28"/>
        <w:numPr>
          <w:ilvl w:val="0"/>
          <w:numId w:val="9"/>
        </w:numPr>
        <w:autoSpaceDE w:val="0"/>
        <w:autoSpaceDN w:val="0"/>
        <w:spacing w:line="360" w:lineRule="auto"/>
        <w:contextualSpacing/>
        <w:rPr>
          <w:rFonts w:cs="宋体" w:asciiTheme="minorEastAsia" w:hAnsiTheme="minorEastAsia"/>
        </w:rPr>
      </w:pPr>
      <w:r>
        <w:rPr>
          <w:rFonts w:hint="eastAsia" w:cs="宋体" w:asciiTheme="minorEastAsia" w:hAnsiTheme="minorEastAsia"/>
        </w:rPr>
        <w:t>在投标截止期前，无论出于何种原因，招标人可主动地或在解答潜在投标人提出的澄清问题时对招标文件进行修改。</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招标人可以对已发出的招标文件进行必要的澄清或者修改。澄清或者修改的内容可能影响投标文件编制的，招标人将在投标截止时间</w:t>
      </w:r>
      <w:r>
        <w:rPr>
          <w:rFonts w:cs="宋体" w:asciiTheme="minorEastAsia" w:hAnsiTheme="minorEastAsia"/>
        </w:rPr>
        <w:t>15</w:t>
      </w:r>
      <w:r>
        <w:rPr>
          <w:rFonts w:hint="eastAsia" w:cs="宋体" w:asciiTheme="minorEastAsia" w:hAnsiTheme="minorEastAsia"/>
        </w:rPr>
        <w:t>日前，在财政部门指定的政府采购信息发布媒体和《全国公共资源交易平台（河南省·许昌市）》发布更正公告。</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澄清或修改公告的内容为招标文件的组成部分，并对投标人具有约束力。当招标文件与澄清或修改公告就同一内容的表述不一致时，以最后发出的文件内容为准。</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rPr>
      </w:pP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三、投标文件的编制</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投标的语言及计量单位</w:t>
      </w:r>
    </w:p>
    <w:p>
      <w:pPr>
        <w:pStyle w:val="28"/>
        <w:numPr>
          <w:ilvl w:val="0"/>
          <w:numId w:val="10"/>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投标人提交的投标文件以及投标人与招标人就有关投标事宜的所有来往书面文件均应使用中文。除签名、盖章、专用名称等特殊情形外，以中文以外的文字表述的投标文件视同未提供。</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投标计量单位，招标文件已有明确规定的，使用招标文件规定的计量单位；招标文件没有规定的，一律采用中华人民共和国法定计量单位。</w:t>
      </w:r>
    </w:p>
    <w:p>
      <w:pPr>
        <w:pStyle w:val="28"/>
        <w:autoSpaceDE w:val="0"/>
        <w:autoSpaceDN w:val="0"/>
        <w:spacing w:line="360" w:lineRule="auto"/>
        <w:ind w:left="964" w:firstLine="0"/>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投标报价</w:t>
      </w:r>
      <w:r>
        <w:rPr>
          <w:rFonts w:cs="宋体" w:asciiTheme="minorEastAsia" w:hAnsiTheme="minorEastAsia"/>
          <w:b/>
        </w:rPr>
        <w:t xml:space="preserve"> </w:t>
      </w:r>
    </w:p>
    <w:p>
      <w:pPr>
        <w:pStyle w:val="28"/>
        <w:numPr>
          <w:ilvl w:val="0"/>
          <w:numId w:val="10"/>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本次招标项目的投标均以人民币为计算单位。</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采购人不得向投标人索要或者接受其给予的赠品、回扣或者与采购无关的其他商品、服务。</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投标人应对项目要求的全部内容进行报价，少报漏报将导致其投标为非实质性响应予以拒绝。</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本项目所涉及的运输、施工、安装、集成、调试、验收、备品和工具等费用均包含在投标报价中。</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本次招标不接受可选择或可调整的投标方案和报价，任何有选择的或可调整的投标方案和报价将被视为非实质性响应投标而作无效投标处理。</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最低报价不能作为中标的保证。</w:t>
      </w:r>
    </w:p>
    <w:p>
      <w:pPr>
        <w:autoSpaceDE w:val="0"/>
        <w:autoSpaceDN w:val="0"/>
        <w:spacing w:line="360" w:lineRule="auto"/>
        <w:ind w:left="420"/>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投标有效期</w:t>
      </w:r>
    </w:p>
    <w:p>
      <w:pPr>
        <w:pStyle w:val="28"/>
        <w:numPr>
          <w:ilvl w:val="0"/>
          <w:numId w:val="10"/>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投标有效期内投标人撤销投标文件的，投标人将承担相应责任。</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中标人的投标文件作为项目合同的附件，其有效期至中标人全部合同义务履行完毕为止。</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投标文件构成</w:t>
      </w:r>
    </w:p>
    <w:p>
      <w:pPr>
        <w:pStyle w:val="28"/>
        <w:numPr>
          <w:ilvl w:val="0"/>
          <w:numId w:val="10"/>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投标文件的构成应符合法律法规及招标文件的要求。</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投标人应当按照招标文件的要求编制投标文件。投标文件应当对招标文件提出的要求和条件作出明确响应。</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投标文件由资格证明材料、符合性证明材料、其它材料等组成。</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rPr>
        <w:t>.file</w:t>
      </w:r>
      <w:r>
        <w:rPr>
          <w:rFonts w:hint="eastAsia" w:cs="宋体" w:asciiTheme="minorEastAsia" w:hAnsiTheme="minorEastAsia"/>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电子投标文件制作技术咨询：</w:t>
      </w:r>
      <w:r>
        <w:rPr>
          <w:rFonts w:hint="eastAsia" w:cs="宋体" w:asciiTheme="minorEastAsia" w:hAnsiTheme="minorEastAsia"/>
          <w:b/>
        </w:rPr>
        <w:t>0374-2961598</w:t>
      </w:r>
      <w:r>
        <w:rPr>
          <w:rFonts w:hint="eastAsia" w:cs="宋体" w:asciiTheme="minorEastAsia" w:hAnsiTheme="minorEastAsia"/>
        </w:rPr>
        <w:t>。</w:t>
      </w:r>
    </w:p>
    <w:p>
      <w:pPr>
        <w:autoSpaceDE w:val="0"/>
        <w:autoSpaceDN w:val="0"/>
        <w:spacing w:line="360" w:lineRule="auto"/>
        <w:ind w:left="964"/>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投标文件格式</w:t>
      </w:r>
    </w:p>
    <w:p>
      <w:pPr>
        <w:pStyle w:val="28"/>
        <w:numPr>
          <w:ilvl w:val="0"/>
          <w:numId w:val="10"/>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投标保证金</w:t>
      </w:r>
    </w:p>
    <w:p>
      <w:pPr>
        <w:pStyle w:val="28"/>
        <w:autoSpaceDE w:val="0"/>
        <w:autoSpaceDN w:val="0"/>
        <w:spacing w:line="360" w:lineRule="auto"/>
        <w:ind w:firstLine="0"/>
        <w:contextualSpacing/>
        <w:rPr>
          <w:rFonts w:cs="宋体" w:asciiTheme="minorEastAsia" w:hAnsiTheme="minorEastAsia"/>
        </w:rPr>
      </w:pPr>
      <w:r>
        <w:rPr>
          <w:rFonts w:hint="eastAsia" w:cs="宋体" w:asciiTheme="minorEastAsia" w:hAnsiTheme="minorEastAsia"/>
        </w:rPr>
        <w:t>不收取</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投标文件的数量和签署盖章</w:t>
      </w:r>
    </w:p>
    <w:p>
      <w:pPr>
        <w:pStyle w:val="28"/>
        <w:numPr>
          <w:ilvl w:val="0"/>
          <w:numId w:val="0"/>
        </w:numPr>
        <w:autoSpaceDE w:val="0"/>
        <w:autoSpaceDN w:val="0"/>
        <w:spacing w:line="360" w:lineRule="auto"/>
        <w:ind w:left="420" w:leftChars="0"/>
        <w:contextualSpacing/>
        <w:rPr>
          <w:rFonts w:cs="宋体" w:asciiTheme="minorEastAsia" w:hAnsiTheme="minorEastAsia"/>
        </w:rPr>
      </w:pPr>
      <w:r>
        <w:rPr>
          <w:rFonts w:hint="eastAsia" w:eastAsia="宋体" w:cs="宋体" w:asciiTheme="minorEastAsia" w:hAnsiTheme="minorEastAsia"/>
          <w:lang w:val="en-US" w:eastAsia="zh-CN"/>
        </w:rPr>
        <w:t xml:space="preserve">18.1 </w:t>
      </w:r>
      <w:r>
        <w:rPr>
          <w:rFonts w:hint="eastAsia" w:cs="宋体" w:asciiTheme="minorEastAsia" w:hAnsiTheme="minorEastAsia"/>
        </w:rPr>
        <w:t>投标人应提交投标文件份数见“投标人须知前附表”。</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在招标文件中已明示需盖章及签名之处，电子投标文件应按招标文件要求加盖投标人电子印章和法人电子印章或授权代表电子印章。</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纸质投标文件是指投标人电子投标文件制作完成后生成的后缀名为“.PDF”的文件打印的投标文件。纸质投标文件正本和副本封面上应清楚标明</w:t>
      </w:r>
      <w:r>
        <w:rPr>
          <w:rFonts w:cs="宋体" w:asciiTheme="minorEastAsia" w:hAnsiTheme="minorEastAsia"/>
        </w:rPr>
        <w:t>“</w:t>
      </w:r>
      <w:r>
        <w:rPr>
          <w:rFonts w:hint="eastAsia" w:cs="宋体" w:asciiTheme="minorEastAsia" w:hAnsiTheme="minorEastAsia"/>
        </w:rPr>
        <w:t>正本</w:t>
      </w:r>
      <w:r>
        <w:rPr>
          <w:rFonts w:cs="宋体" w:asciiTheme="minorEastAsia" w:hAnsiTheme="minorEastAsia"/>
        </w:rPr>
        <w:t>”</w:t>
      </w:r>
      <w:r>
        <w:rPr>
          <w:rFonts w:hint="eastAsia" w:cs="宋体" w:asciiTheme="minorEastAsia" w:hAnsiTheme="minorEastAsia"/>
        </w:rPr>
        <w:t>或</w:t>
      </w:r>
      <w:r>
        <w:rPr>
          <w:rFonts w:cs="宋体" w:asciiTheme="minorEastAsia" w:hAnsiTheme="minorEastAsia"/>
        </w:rPr>
        <w:t>“</w:t>
      </w:r>
      <w:r>
        <w:rPr>
          <w:rFonts w:hint="eastAsia" w:cs="宋体" w:asciiTheme="minorEastAsia" w:hAnsiTheme="minorEastAsia"/>
        </w:rPr>
        <w:t>副本</w:t>
      </w:r>
      <w:r>
        <w:rPr>
          <w:rFonts w:cs="宋体" w:asciiTheme="minorEastAsia" w:hAnsiTheme="minorEastAsia"/>
        </w:rPr>
        <w:t>”</w:t>
      </w:r>
      <w:r>
        <w:rPr>
          <w:rFonts w:hint="eastAsia" w:cs="宋体" w:asciiTheme="minorEastAsia" w:hAnsiTheme="minorEastAsia"/>
        </w:rPr>
        <w:t>字样；一旦正本和副本内容不一致时，以正本为准。纸质投标文件的正本及所有副本的封面均须由投标人加盖投标人公章。</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rPr>
      </w:pP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四、投标文件的递交</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投标文件的密封</w:t>
      </w:r>
    </w:p>
    <w:p>
      <w:pPr>
        <w:pStyle w:val="28"/>
        <w:numPr>
          <w:ilvl w:val="0"/>
          <w:numId w:val="0"/>
        </w:numPr>
        <w:autoSpaceDE w:val="0"/>
        <w:autoSpaceDN w:val="0"/>
        <w:spacing w:line="360" w:lineRule="auto"/>
        <w:ind w:left="420" w:leftChars="0"/>
        <w:contextualSpacing/>
        <w:rPr>
          <w:rFonts w:cs="宋体" w:asciiTheme="minorEastAsia" w:hAnsiTheme="minorEastAsia"/>
        </w:rPr>
      </w:pPr>
      <w:r>
        <w:rPr>
          <w:rFonts w:hint="eastAsia" w:eastAsia="宋体" w:cs="宋体" w:asciiTheme="minorEastAsia" w:hAnsiTheme="minorEastAsia"/>
          <w:lang w:val="en-US" w:eastAsia="zh-CN"/>
        </w:rPr>
        <w:t xml:space="preserve">19.1 </w:t>
      </w:r>
      <w:r>
        <w:rPr>
          <w:rFonts w:hint="eastAsia" w:cs="宋体" w:asciiTheme="minorEastAsia" w:hAnsiTheme="minorEastAsia"/>
        </w:rPr>
        <w:t>投标人应将纸质投标文件“正本”、“ 副本”密封包装。使用电子介质存储的投标文件单独密封包装，并随纸质投标文件一并提交。</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投标文件如果未按规定密封，招标人将拒绝接收。</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投标截止时间</w:t>
      </w:r>
    </w:p>
    <w:p>
      <w:pPr>
        <w:pStyle w:val="28"/>
        <w:numPr>
          <w:ilvl w:val="0"/>
          <w:numId w:val="10"/>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投标人必须在“投标邀请”和“投标人须知前附表”中规定的投标截止时间前，将所有投标文件送达招标文件指定的开标地点。</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招标人收到投标文件后，应当如实记载投标文件的送达时间和密封情况，签收保存，并向投标人出具签收回执。任何单位和个人不得在开标前开启投标文件。</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迟交的投标文件</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投标截止时间之后送达/上传的投标文件，招标人将拒绝接收。</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投标文件的修改和撤回</w:t>
      </w:r>
    </w:p>
    <w:p>
      <w:pPr>
        <w:pStyle w:val="28"/>
        <w:numPr>
          <w:ilvl w:val="0"/>
          <w:numId w:val="11"/>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投标人应当在投标截止时间前完成电子投标文件的提交，可以补充、修改或撤回。投标截止时间前未完成电子投标文件提交、取得“投标文件提交回执单”的，视为撤回投标文件。</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投标人补充、修改的内容并作为投标文件的组成部分。补充或修改应当按招标文件要求签署、盖章、密封、递交，并应注明“修改</w:t>
      </w:r>
      <w:r>
        <w:rPr>
          <w:rFonts w:cs="宋体" w:asciiTheme="minorEastAsia" w:hAnsiTheme="minorEastAsia"/>
        </w:rPr>
        <w:t>”</w:t>
      </w:r>
      <w:r>
        <w:rPr>
          <w:rFonts w:hint="eastAsia" w:cs="宋体" w:asciiTheme="minorEastAsia" w:hAnsiTheme="minorEastAsia"/>
        </w:rPr>
        <w:t>或“补充</w:t>
      </w:r>
      <w:r>
        <w:rPr>
          <w:rFonts w:cs="宋体" w:asciiTheme="minorEastAsia" w:hAnsiTheme="minorEastAsia"/>
        </w:rPr>
        <w:t>”</w:t>
      </w:r>
      <w:r>
        <w:rPr>
          <w:rFonts w:hint="eastAsia" w:cs="宋体" w:asciiTheme="minorEastAsia" w:hAnsiTheme="minorEastAsia"/>
        </w:rPr>
        <w:t>字样。</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投标人在递交纸质投标文件后，可以撤回其投标，但投标人必须在规定的投标截止时间前以书面形式告知招标人。</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投标人不得在投标有效期内撤销投标文件，否则投标人将承担相应责任。</w:t>
      </w:r>
    </w:p>
    <w:p>
      <w:pPr>
        <w:autoSpaceDE w:val="0"/>
        <w:autoSpaceDN w:val="0"/>
        <w:spacing w:line="360" w:lineRule="auto"/>
        <w:ind w:left="420"/>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rPr>
      </w:pP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五、开标和评标</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开标</w:t>
      </w:r>
    </w:p>
    <w:p>
      <w:pPr>
        <w:pStyle w:val="28"/>
        <w:numPr>
          <w:ilvl w:val="0"/>
          <w:numId w:val="12"/>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招标人将按招标文件规定的时间和地点组织公开开标。开标由代理机构主持，邀请投标人参加。评标委员会成员不得参加开标活动。</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招标人应当对开标、评标现场活动进行全程录音录像。录音录像应当清晰可辨，音像资料作为采购文件一并存档。</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（1）电子投标文件的解密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b. 代理机构解密：代理机构</w:t>
      </w:r>
      <w:r>
        <w:rPr>
          <w:rFonts w:cs="宋体" w:asciiTheme="minorEastAsia" w:hAnsiTheme="minorEastAsia"/>
        </w:rPr>
        <w:t>按</w:t>
      </w:r>
      <w:r>
        <w:rPr>
          <w:rFonts w:hint="eastAsia" w:cs="宋体" w:asciiTheme="minorEastAsia" w:hAnsiTheme="minorEastAsia"/>
        </w:rPr>
        <w:t>电子</w:t>
      </w:r>
      <w:r>
        <w:rPr>
          <w:rFonts w:cs="宋体" w:asciiTheme="minorEastAsia" w:hAnsiTheme="minorEastAsia"/>
        </w:rPr>
        <w:t>投标</w:t>
      </w:r>
      <w:r>
        <w:rPr>
          <w:rFonts w:hint="eastAsia" w:cs="宋体" w:asciiTheme="minorEastAsia" w:hAnsiTheme="minorEastAsia"/>
        </w:rPr>
        <w:t>文件到达交易系统</w:t>
      </w:r>
      <w:r>
        <w:rPr>
          <w:rFonts w:cs="宋体" w:asciiTheme="minorEastAsia" w:hAnsiTheme="minorEastAsia"/>
        </w:rPr>
        <w:t>的先后顺序</w:t>
      </w:r>
      <w:r>
        <w:rPr>
          <w:rFonts w:hint="eastAsia" w:cs="宋体" w:asciiTheme="minorEastAsia" w:hAnsiTheme="minorEastAsia"/>
        </w:rPr>
        <w:t>，使用本单位CA数字证书进行再次解密。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电子投标文件解密异常情况处理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投标人不足3家的，不得开标。</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开标过程由采购代理机构负责记录，由参加开标的各投标人代表和相关工作人员签字确认后随采购文件一并存档。</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投标人未参加开标的，视同认可开标结果。</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资格审查</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开标结束后，采购人依法对投标人的资格进行审查。合格投标人不足3家的，不得评标。</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评标委员会的组成</w:t>
      </w:r>
    </w:p>
    <w:p>
      <w:pPr>
        <w:pStyle w:val="28"/>
        <w:numPr>
          <w:ilvl w:val="0"/>
          <w:numId w:val="13"/>
        </w:numPr>
        <w:autoSpaceDE w:val="0"/>
        <w:autoSpaceDN w:val="0"/>
        <w:spacing w:line="360" w:lineRule="auto"/>
        <w:contextualSpacing/>
        <w:rPr>
          <w:rFonts w:cs="宋体" w:asciiTheme="minorEastAsia" w:hAnsiTheme="minorEastAsia"/>
        </w:rPr>
      </w:pPr>
      <w:r>
        <w:rPr>
          <w:rFonts w:hint="eastAsia" w:cs="宋体" w:asciiTheme="minorEastAsia" w:hAnsiTheme="minorEastAsia"/>
        </w:rPr>
        <w:t>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hanging="567"/>
        <w:contextualSpacing/>
        <w:rPr>
          <w:rFonts w:cs="宋体" w:asciiTheme="minorEastAsia" w:hAnsiTheme="minorEastAsia"/>
        </w:rPr>
      </w:pPr>
      <w:r>
        <w:rPr>
          <w:rFonts w:hint="eastAsia" w:cs="宋体" w:asciiTheme="minorEastAsia" w:hAnsiTheme="minorEastAsia"/>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rPr>
      </w:pPr>
      <w:r>
        <w:rPr>
          <w:rFonts w:hint="eastAsia" w:cs="宋体" w:asciiTheme="minorEastAsia" w:hAnsiTheme="minorEastAsia"/>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（1）采购预算金额在1000万元以上；</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（2）技术复杂；</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（3）社会影响较大。</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评审专家对本单位的采购项目只能作为采购人代表参与评标。采购代理机构工作人员不得参加由本机构代理的政府采购项目的评标。</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评审专家与投标人存在下列利害关系之一的,应当回避:</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（3）与供应商有其他可能影响政府采购活动公平、公正进行的关系。</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评审专家发现本人与参加采购活动的供应商有利害关系的,应当主动提出回避。采购人或者代理机构发现评审专家与参加采购活动的供应商有利害关系的,应当要求其回避。</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采购人不得担任评标小组长。</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采购人可以在评标前说明项目背景和采购需求，说明内容不得含有歧视性、倾向性意见，不得超出招标文件所述范围。说明应当提交书面材料，并随采购文件一并存档。</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评标委员会成员名单在评标结果公告前应当保密。</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符合性审查</w:t>
      </w:r>
    </w:p>
    <w:p>
      <w:pPr>
        <w:pStyle w:val="28"/>
        <w:numPr>
          <w:ilvl w:val="0"/>
          <w:numId w:val="13"/>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评标委员会依据有关法律法规和招标文件的规定，对符合资格的投标人的投标文件进行符合性审查，以确定其是否满足招标文件的实质性要求。</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审查、评价投标文件是否符合招标文件的商务、技术等实质性要求。</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可要求投标人对投标文件有关事项作出澄清或者说明。</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投标文件的澄清</w:t>
      </w:r>
    </w:p>
    <w:p>
      <w:pPr>
        <w:pStyle w:val="28"/>
        <w:numPr>
          <w:ilvl w:val="0"/>
          <w:numId w:val="13"/>
        </w:numPr>
        <w:autoSpaceDE w:val="0"/>
        <w:autoSpaceDN w:val="0"/>
        <w:spacing w:line="360" w:lineRule="auto"/>
        <w:contextualSpacing/>
        <w:rPr>
          <w:rFonts w:cs="宋体" w:asciiTheme="minorEastAsia" w:hAnsiTheme="minorEastAsia"/>
        </w:rPr>
      </w:pPr>
      <w:r>
        <w:rPr>
          <w:rFonts w:hint="eastAsia" w:cs="宋体" w:asciiTheme="minorEastAsia" w:hAnsiTheme="minorEastAsia"/>
        </w:rPr>
        <w:t>对于投标文件中含义不明确、同类问题表述不一致或者有明显文字和计算错误的内容，评标委员会应当以书面形式要求投标人作出必要的澄清、说明或者补正。</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投标人的澄清、说明或者补正应当采用书面形式，并加盖公章，或者由法定代表人或其授权的代表签字。投标人的澄清、说明或者补正不得超出投标文件的范围或者改变投标文件的实质性内容。</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投标人的澄清文件是其投标文件的组成部分。</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投标文件报价出现前后不一致的修正</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（2）大写金额和小写金额不一致的，以大写金额为准；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投标无效情形</w:t>
      </w:r>
    </w:p>
    <w:p>
      <w:pPr>
        <w:pStyle w:val="28"/>
        <w:numPr>
          <w:ilvl w:val="0"/>
          <w:numId w:val="14"/>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投标文件属下列情况之一的，按照无效投标处理：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投标文件未按招标文件要求签署、盖章的；</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不具备招标文件中规定的资格要求的；</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报价超过招标文件中规定的预算金额或者最高限价的；</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（5） </w:t>
      </w:r>
      <w:r>
        <w:rPr>
          <w:rFonts w:cs="宋体" w:asciiTheme="minorEastAsia" w:hAnsiTheme="minorEastAsia"/>
        </w:rPr>
        <w:t>投标文件含有采购人不能接受的附加条件的</w:t>
      </w:r>
      <w:r>
        <w:rPr>
          <w:rFonts w:hint="eastAsia" w:cs="宋体" w:asciiTheme="minorEastAsia" w:hAnsiTheme="minorEastAsia"/>
        </w:rPr>
        <w:t>。</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有下列情形之一的，视为投标人串通投标，其投标无效：</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不同投标人的投标文件由同一单位或者个人编制；</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不同投标人委托同一单位或者个人办理投标事宜；</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（5） 不同投标人的投标文件相互混装；</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numPr>
          <w:ilvl w:val="1"/>
          <w:numId w:val="5"/>
        </w:numPr>
        <w:autoSpaceDE w:val="0"/>
        <w:autoSpaceDN w:val="0"/>
        <w:spacing w:line="360" w:lineRule="auto"/>
        <w:contextualSpacing/>
        <w:rPr>
          <w:rFonts w:cs="宋体" w:asciiTheme="minorEastAsia" w:hAnsiTheme="minorEastAsia"/>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28"/>
        <w:numPr>
          <w:ilvl w:val="1"/>
          <w:numId w:val="5"/>
        </w:numPr>
        <w:autoSpaceDE w:val="0"/>
        <w:autoSpaceDN w:val="0"/>
        <w:spacing w:line="360" w:lineRule="auto"/>
        <w:contextualSpacing/>
        <w:rPr>
          <w:rFonts w:cs="宋体" w:asciiTheme="minorEastAsia" w:hAnsiTheme="minorEastAsia"/>
        </w:rPr>
      </w:pPr>
      <w:r>
        <w:rPr>
          <w:rFonts w:cs="宋体" w:asciiTheme="minorEastAsia" w:hAnsiTheme="minorEastAsia"/>
        </w:rPr>
        <w:t>法律、法规和招标文件规定的其他无效情形。</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相同品牌投标人的认定</w:t>
      </w:r>
      <w:r>
        <w:rPr>
          <w:rFonts w:cs="仿宋_GB2312" w:asciiTheme="minorEastAsia" w:hAnsiTheme="minorEastAsia"/>
          <w:b/>
        </w:rPr>
        <w:t>（服务类项目不适用本条款规定）</w:t>
      </w:r>
    </w:p>
    <w:p>
      <w:pPr>
        <w:pStyle w:val="28"/>
        <w:numPr>
          <w:ilvl w:val="0"/>
          <w:numId w:val="14"/>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使用综合评分法的采购项目，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8"/>
        <w:autoSpaceDE w:val="0"/>
        <w:autoSpaceDN w:val="0"/>
        <w:spacing w:line="360" w:lineRule="auto"/>
        <w:ind w:left="964" w:firstLine="0"/>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投标文件的比较与评价</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评标委员会按照招标文件中规定的评标方法和标准，对符合性审查合格的投标文件进行商务和技术评估，综合比较与评价。</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评标方法、评标标准</w:t>
      </w:r>
    </w:p>
    <w:p>
      <w:pPr>
        <w:pStyle w:val="28"/>
        <w:numPr>
          <w:ilvl w:val="0"/>
          <w:numId w:val="15"/>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评标方法分为最低评标价法和综合评分法。</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最低评标价法</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综合评分法，是指投标文件满足招标文件全部实质性要求，且按照评审因素的量化指标评审得分最高的投标人为中标候选人的评标方法。</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价格分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投标报价得分=(评标基准价/投标报价)×100</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评标总得分=F1×A1+F2×A2+……+Fn×An</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F1、F2……Fn分别为各项评审因素的得分;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A1、A2、……An 分别为各项评审因素所占的权重(A1+A2+……+An=1)。</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评标过程中，不得去掉报价中的最高报价和最低报价。</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因落实政府采购政策进行价格调整的，以调整后的价格计算评标基准价和投标报价。</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b/>
        </w:rPr>
        <w:t>本次评标具体评标方法、评标标准见（第六章 资格审查与评标）</w:t>
      </w:r>
      <w:r>
        <w:rPr>
          <w:rFonts w:hint="eastAsia" w:cs="宋体" w:asciiTheme="minorEastAsia" w:hAnsiTheme="minorEastAsia"/>
        </w:rPr>
        <w:t>。</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推荐中标候选人</w:t>
      </w:r>
    </w:p>
    <w:p>
      <w:pPr>
        <w:pStyle w:val="28"/>
        <w:numPr>
          <w:ilvl w:val="0"/>
          <w:numId w:val="15"/>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采用最低评标价法的，评标结果按投标报价由低到高顺序排列。投标报价相同的并列。投标文件满足招标文件全部实质性要求且投标报价最低的投标人为排名第一的中标候选人。</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评审意见无效情形</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评标委员会及其成员有下列行为之一的，其评审意见无效：</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确定参与评标至评标结束前私自接触投标人；</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（4） 对需要专业判断的主观评审因素协商评分；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（5） 在评标过程中擅离职守，影响评标程序正常进行的；</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（6） 记录、复制或者带走任何评标资料；</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（7） 其他不遵守评标纪律的行为。</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保密</w:t>
      </w:r>
    </w:p>
    <w:p>
      <w:pPr>
        <w:pStyle w:val="28"/>
        <w:numPr>
          <w:ilvl w:val="0"/>
          <w:numId w:val="16"/>
        </w:numPr>
        <w:autoSpaceDE w:val="0"/>
        <w:autoSpaceDN w:val="0"/>
        <w:spacing w:line="360" w:lineRule="auto"/>
        <w:contextualSpacing/>
        <w:rPr>
          <w:rFonts w:cs="宋体" w:asciiTheme="minorEastAsia" w:hAnsiTheme="minorEastAsia"/>
        </w:rPr>
      </w:pPr>
      <w:r>
        <w:rPr>
          <w:rFonts w:hint="eastAsia" w:cs="宋体" w:asciiTheme="minorEastAsia" w:hAnsiTheme="minorEastAsia"/>
        </w:rPr>
        <w:t>评审专家应当遵守评审工作纪律，不得泄露评审文件、评审情况和评审中获悉的商业秘密。</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rPr>
      </w:pPr>
    </w:p>
    <w:p>
      <w:pPr>
        <w:tabs>
          <w:tab w:val="left" w:pos="1260"/>
        </w:tabs>
        <w:autoSpaceDE w:val="0"/>
        <w:autoSpaceDN w:val="0"/>
        <w:spacing w:line="360" w:lineRule="auto"/>
        <w:contextualSpacing/>
        <w:jc w:val="center"/>
        <w:rPr>
          <w:rFonts w:cs="宋体" w:asciiTheme="minorEastAsia" w:hAnsiTheme="minorEastAsia"/>
          <w:b/>
        </w:rPr>
      </w:pPr>
      <w:r>
        <w:rPr>
          <w:rFonts w:hint="eastAsia" w:cs="宋体" w:asciiTheme="minorEastAsia" w:hAnsiTheme="minorEastAsia"/>
          <w:b/>
        </w:rPr>
        <w:t>六、定标和授予合同</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确定中标人</w:t>
      </w:r>
    </w:p>
    <w:p>
      <w:pPr>
        <w:pStyle w:val="28"/>
        <w:numPr>
          <w:ilvl w:val="0"/>
          <w:numId w:val="1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采购人应当自收到评标报告之日起5个工作日内，在评标报告确定的中标候选人名单中按顺序确定中标人。中标候选人并列的，由采购人采取随机抽取的方式确定。</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采购人在收到评标报告5个工作日内未按评标报告推荐的中标候选人顺序确定中标人，又不能说明合法理由的，视同按评标报告推荐的顺序确定排名第一的中标候选人为中标人。</w:t>
      </w:r>
    </w:p>
    <w:p>
      <w:pPr>
        <w:pStyle w:val="28"/>
        <w:autoSpaceDE w:val="0"/>
        <w:autoSpaceDN w:val="0"/>
        <w:spacing w:line="360" w:lineRule="auto"/>
        <w:ind w:left="964" w:firstLine="0"/>
        <w:contextualSpacing/>
        <w:rPr>
          <w:rFonts w:cs="宋体" w:asciiTheme="minorEastAsia" w:hAnsiTheme="minorEastAsia"/>
        </w:rPr>
      </w:pP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中标公告、发出中标通知书</w:t>
      </w:r>
    </w:p>
    <w:p>
      <w:pPr>
        <w:pStyle w:val="28"/>
        <w:numPr>
          <w:ilvl w:val="0"/>
          <w:numId w:val="16"/>
        </w:numPr>
        <w:autoSpaceDE w:val="0"/>
        <w:autoSpaceDN w:val="0"/>
        <w:spacing w:line="360" w:lineRule="auto"/>
        <w:contextualSpacing/>
        <w:rPr>
          <w:rFonts w:cs="宋体" w:asciiTheme="minorEastAsia" w:hAnsiTheme="minorEastAsia"/>
        </w:rPr>
      </w:pPr>
      <w:r>
        <w:rPr>
          <w:rFonts w:hint="eastAsia" w:cs="宋体" w:asciiTheme="minorEastAsia" w:hAnsiTheme="minorEastAsia"/>
        </w:rPr>
        <w:t>采购人确认中标人后，招标人在公告中标结果的同时，向中标人发出中标通知书。</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中标通知书发出后，采购人不得违法改变中标结果，中标人无正当理由不得放弃中标。</w:t>
      </w:r>
    </w:p>
    <w:p>
      <w:pPr>
        <w:pStyle w:val="28"/>
        <w:numPr>
          <w:ilvl w:val="1"/>
          <w:numId w:val="5"/>
        </w:numPr>
        <w:autoSpaceDE w:val="0"/>
        <w:autoSpaceDN w:val="0"/>
        <w:spacing w:line="360" w:lineRule="auto"/>
        <w:contextualSpacing/>
        <w:rPr>
          <w:rFonts w:cs="宋体" w:asciiTheme="minorEastAsia" w:hAnsiTheme="minorEastAsia"/>
        </w:rPr>
      </w:pPr>
      <w:r>
        <w:rPr>
          <w:rFonts w:hint="eastAsia" w:cs="宋体" w:asciiTheme="minorEastAsia" w:hAnsiTheme="minorEastAsia"/>
        </w:rPr>
        <w:t>中标人在接到中标通知时，须向代理机构发送投标报价及分项报价一览表（包含主要中标标的的名称、规格型号、数量、单价、服务要求等）电子文档，并同时通知代理机构联系人。</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质疑提出与答复</w:t>
      </w:r>
    </w:p>
    <w:p>
      <w:pPr>
        <w:pStyle w:val="28"/>
        <w:numPr>
          <w:ilvl w:val="0"/>
          <w:numId w:val="16"/>
        </w:numPr>
        <w:autoSpaceDE w:val="0"/>
        <w:autoSpaceDN w:val="0"/>
        <w:spacing w:line="360" w:lineRule="auto"/>
        <w:contextualSpacing/>
        <w:rPr>
          <w:rFonts w:cs="宋体" w:asciiTheme="minorEastAsia" w:hAnsiTheme="minorEastAsia"/>
        </w:rPr>
      </w:pPr>
      <w:r>
        <w:rPr>
          <w:rFonts w:hint="eastAsia" w:cs="宋体" w:asciiTheme="minorEastAsia" w:hAnsiTheme="minorEastAsia"/>
        </w:rPr>
        <w:t>供应商认为采购文件、采购过程和中标结果使自己的权益受到损害的，可以按照《政府采购质疑和投诉办法》（财政部令第94号）提出质疑。</w:t>
      </w:r>
      <w:r>
        <w:rPr>
          <w:rFonts w:cs="宋体" w:asciiTheme="minorEastAsia" w:hAnsiTheme="minorEastAsia"/>
        </w:rPr>
        <w:t>提出质疑的供应商应当是参与</w:t>
      </w:r>
      <w:r>
        <w:rPr>
          <w:rFonts w:hint="eastAsia" w:cs="宋体" w:asciiTheme="minorEastAsia" w:hAnsiTheme="minorEastAsia"/>
        </w:rPr>
        <w:t>本</w:t>
      </w:r>
      <w:r>
        <w:rPr>
          <w:rFonts w:cs="宋体" w:asciiTheme="minorEastAsia" w:hAnsiTheme="minorEastAsia"/>
        </w:rPr>
        <w:t>项目采购活动的供应商。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（1） 对采购文件提出质疑的，</w:t>
      </w:r>
      <w:r>
        <w:rPr>
          <w:rFonts w:cs="宋体" w:asciiTheme="minorEastAsia" w:hAnsiTheme="minorEastAsia"/>
        </w:rPr>
        <w:t>潜在</w:t>
      </w:r>
      <w:r>
        <w:rPr>
          <w:rFonts w:hint="eastAsia" w:cs="宋体" w:asciiTheme="minorEastAsia" w:hAnsiTheme="minorEastAsia"/>
        </w:rPr>
        <w:t>投标人应</w:t>
      </w:r>
      <w:r>
        <w:rPr>
          <w:rFonts w:cs="宋体" w:asciiTheme="minorEastAsia" w:hAnsiTheme="minorEastAsia"/>
        </w:rPr>
        <w:t>已依法获取采购文件</w:t>
      </w:r>
      <w:r>
        <w:rPr>
          <w:rFonts w:hint="eastAsia" w:cs="宋体" w:asciiTheme="minorEastAsia" w:hAnsiTheme="minorEastAsia"/>
        </w:rPr>
        <w:t>，且应当在</w:t>
      </w:r>
      <w:r>
        <w:rPr>
          <w:rFonts w:cs="宋体" w:asciiTheme="minorEastAsia" w:hAnsiTheme="minorEastAsia"/>
        </w:rPr>
        <w:t>获取采购文件或者采购文件公告期限届满之日起7个工作日内</w:t>
      </w:r>
      <w:r>
        <w:rPr>
          <w:rFonts w:hint="eastAsia" w:cs="宋体" w:asciiTheme="minorEastAsia" w:hAnsiTheme="minorEastAsia"/>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rPr>
        <w:br w:type="textWrapping" w:clear="all"/>
      </w:r>
      <w:r>
        <w:rPr>
          <w:rFonts w:hint="eastAsia" w:cs="宋体" w:asciiTheme="minorEastAsia" w:hAnsiTheme="minorEastAsia"/>
        </w:rPr>
        <w:t>（2） 对采购过程提出质疑的，为各采购程序环节结束之日起七个工作日内，以书面形式向采购人和采购代理机构一次性提出；</w:t>
      </w:r>
      <w:r>
        <w:rPr>
          <w:rFonts w:hint="eastAsia" w:cs="宋体" w:asciiTheme="minorEastAsia" w:hAnsiTheme="minorEastAsia"/>
        </w:rPr>
        <w:br w:type="textWrapping" w:clear="all"/>
      </w:r>
      <w:r>
        <w:rPr>
          <w:rFonts w:hint="eastAsia" w:cs="宋体" w:asciiTheme="minorEastAsia" w:hAnsiTheme="minorEastAsia"/>
        </w:rPr>
        <w:t>（3） 对中标结果提出质疑的，为中标结果公告期限届满之日起七个工作日内，以书面形式向采购人和采购代理机构一次性提出。</w:t>
      </w:r>
    </w:p>
    <w:p>
      <w:pPr>
        <w:pStyle w:val="28"/>
        <w:numPr>
          <w:ilvl w:val="1"/>
          <w:numId w:val="5"/>
        </w:numPr>
        <w:autoSpaceDE w:val="0"/>
        <w:autoSpaceDN w:val="0"/>
        <w:spacing w:line="360" w:lineRule="auto"/>
        <w:contextualSpacing/>
        <w:rPr>
          <w:rFonts w:cs="宋体" w:asciiTheme="minorEastAsia" w:hAnsiTheme="minorEastAsia"/>
        </w:rPr>
      </w:pPr>
      <w:r>
        <w:rPr>
          <w:rFonts w:cs="宋体" w:asciiTheme="minorEastAsia" w:hAnsiTheme="minorEastAsia"/>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（1） </w:t>
      </w:r>
      <w:r>
        <w:rPr>
          <w:rFonts w:cs="宋体" w:asciiTheme="minorEastAsia" w:hAnsiTheme="minorEastAsia"/>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 xml:space="preserve">（2） </w:t>
      </w:r>
      <w:r>
        <w:rPr>
          <w:rFonts w:cs="宋体" w:asciiTheme="minorEastAsia" w:hAnsiTheme="minorEastAsia"/>
        </w:rPr>
        <w:t>对采购过程、中标结果提出的质疑，合格供应商符合法定数量时，可以从合格的中标</w:t>
      </w:r>
      <w:r>
        <w:rPr>
          <w:rFonts w:hint="eastAsia" w:cs="宋体" w:asciiTheme="minorEastAsia" w:hAnsiTheme="minorEastAsia"/>
        </w:rPr>
        <w:t>候选人</w:t>
      </w:r>
      <w:r>
        <w:rPr>
          <w:rFonts w:cs="宋体" w:asciiTheme="minorEastAsia" w:hAnsiTheme="minorEastAsia"/>
        </w:rPr>
        <w:t>中另行确定中标供应商的，应当依法另行确定中标供应商；否则应当重新开展采购活动。</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签订合同</w:t>
      </w:r>
    </w:p>
    <w:p>
      <w:pPr>
        <w:autoSpaceDE w:val="0"/>
        <w:autoSpaceDN w:val="0"/>
        <w:spacing w:line="360" w:lineRule="auto"/>
        <w:ind w:left="964"/>
        <w:contextualSpacing/>
        <w:rPr>
          <w:rFonts w:cs="宋体" w:asciiTheme="minorEastAsia" w:hAnsiTheme="minorEastAsia"/>
        </w:rPr>
      </w:pPr>
      <w:r>
        <w:rPr>
          <w:rFonts w:hint="eastAsia" w:cs="宋体" w:asciiTheme="minorEastAsia" w:hAnsiTheme="minorEastAsia"/>
        </w:rPr>
        <w:t>采购人应当自中标通知书发出之日起30日内，按照招标文件和中标人投标文件的规定，与中标人签订书面合同。所签订的合同不得对招标文件确定的事项和中标人投标文件作实质性修改。</w:t>
      </w:r>
    </w:p>
    <w:p>
      <w:pPr>
        <w:pStyle w:val="28"/>
        <w:numPr>
          <w:ilvl w:val="0"/>
          <w:numId w:val="5"/>
        </w:numPr>
        <w:autoSpaceDE w:val="0"/>
        <w:autoSpaceDN w:val="0"/>
        <w:spacing w:line="360" w:lineRule="auto"/>
        <w:contextualSpacing/>
        <w:rPr>
          <w:rFonts w:cs="宋体" w:asciiTheme="minorEastAsia" w:hAnsiTheme="minorEastAsia"/>
          <w:b/>
        </w:rPr>
      </w:pPr>
      <w:r>
        <w:rPr>
          <w:rFonts w:hint="eastAsia" w:cs="宋体" w:asciiTheme="minorEastAsia" w:hAnsiTheme="minorEastAsia"/>
          <w:b/>
        </w:rPr>
        <w:t>履约担保</w:t>
      </w:r>
    </w:p>
    <w:p>
      <w:pPr>
        <w:spacing w:line="400" w:lineRule="exact"/>
        <w:ind w:firstLine="400"/>
        <w:rPr>
          <w:rFonts w:ascii="宋体" w:hAnsi="宋体"/>
        </w:rPr>
      </w:pPr>
      <w:r>
        <w:rPr>
          <w:rFonts w:hint="eastAsia" w:ascii="宋体" w:hAnsi="宋体"/>
        </w:rPr>
        <w:t>在签订合同前，中标人应按供应商“ 投标人须知前附表”提交履约担保。</w:t>
      </w:r>
    </w:p>
    <w:p>
      <w:pPr>
        <w:spacing w:line="400" w:lineRule="exact"/>
      </w:pPr>
      <w:r>
        <w:rPr>
          <w:rFonts w:hint="eastAsia" w:ascii="宋体" w:hAnsi="宋体"/>
        </w:rPr>
        <w:t xml:space="preserve">        中标人不能按照“ 投标人须知前附表”提交履约担保的，视为放弃中标，给采购人造成的损失的，中标人还应当予以赔偿。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sz w:val="36"/>
          <w:szCs w:val="36"/>
        </w:rPr>
      </w:pPr>
      <w:r>
        <w:rPr>
          <w:rFonts w:hint="eastAsia" w:ascii="宋体" w:hAnsi="宋体" w:eastAsia="宋体" w:cs="宋体"/>
          <w:color w:val="333333"/>
          <w:sz w:val="24"/>
          <w:szCs w:val="24"/>
        </w:rPr>
        <w:br w:type="textWrapping" w:clear="all"/>
      </w:r>
    </w:p>
    <w:p>
      <w:pPr>
        <w:tabs>
          <w:tab w:val="left" w:pos="1260"/>
        </w:tabs>
        <w:autoSpaceDE w:val="0"/>
        <w:autoSpaceDN w:val="0"/>
        <w:spacing w:line="360" w:lineRule="auto"/>
        <w:contextualSpacing/>
        <w:jc w:val="center"/>
        <w:rPr>
          <w:rFonts w:cs="宋体" w:asciiTheme="majorEastAsia" w:hAnsiTheme="majorEastAsia" w:eastAsiaTheme="majorEastAsia"/>
          <w:b/>
          <w:sz w:val="36"/>
          <w:szCs w:val="36"/>
        </w:rPr>
      </w:pPr>
    </w:p>
    <w:p>
      <w:pPr>
        <w:tabs>
          <w:tab w:val="left" w:pos="1260"/>
        </w:tabs>
        <w:autoSpaceDE w:val="0"/>
        <w:autoSpaceDN w:val="0"/>
        <w:spacing w:line="360" w:lineRule="auto"/>
        <w:contextualSpacing/>
        <w:jc w:val="center"/>
        <w:rPr>
          <w:rFonts w:cs="宋体" w:asciiTheme="majorEastAsia" w:hAnsiTheme="majorEastAsia" w:eastAsiaTheme="majorEastAsia"/>
          <w:b/>
          <w:sz w:val="36"/>
          <w:szCs w:val="36"/>
        </w:rPr>
      </w:pPr>
    </w:p>
    <w:p>
      <w:pPr>
        <w:tabs>
          <w:tab w:val="left" w:pos="1260"/>
        </w:tabs>
        <w:autoSpaceDE w:val="0"/>
        <w:autoSpaceDN w:val="0"/>
        <w:spacing w:line="360" w:lineRule="auto"/>
        <w:contextualSpacing/>
        <w:jc w:val="center"/>
        <w:rPr>
          <w:rFonts w:cs="宋体" w:asciiTheme="majorEastAsia" w:hAnsiTheme="majorEastAsia" w:eastAsiaTheme="majorEastAsia"/>
          <w:b/>
          <w:sz w:val="36"/>
          <w:szCs w:val="36"/>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autoSpaceDE w:val="0"/>
        <w:autoSpaceDN w:val="0"/>
        <w:spacing w:line="360" w:lineRule="auto"/>
        <w:contextualSpacing/>
        <w:jc w:val="center"/>
        <w:rPr>
          <w:rFonts w:hint="eastAsia" w:ascii="宋体" w:hAnsi="宋体" w:cs="宋体"/>
          <w:b/>
          <w:sz w:val="32"/>
          <w:szCs w:val="32"/>
        </w:rPr>
      </w:pPr>
    </w:p>
    <w:p>
      <w:pPr>
        <w:autoSpaceDE w:val="0"/>
        <w:autoSpaceDN w:val="0"/>
        <w:spacing w:line="360" w:lineRule="auto"/>
        <w:contextualSpacing/>
        <w:jc w:val="center"/>
        <w:rPr>
          <w:rFonts w:hint="eastAsia" w:ascii="宋体" w:hAnsi="宋体" w:cs="宋体"/>
          <w:b/>
          <w:sz w:val="32"/>
          <w:szCs w:val="32"/>
        </w:rPr>
      </w:pPr>
    </w:p>
    <w:p>
      <w:pPr>
        <w:autoSpaceDE w:val="0"/>
        <w:autoSpaceDN w:val="0"/>
        <w:spacing w:line="360" w:lineRule="auto"/>
        <w:contextualSpacing/>
        <w:jc w:val="center"/>
        <w:rPr>
          <w:rFonts w:hint="eastAsia" w:ascii="宋体" w:hAnsi="宋体" w:cs="宋体"/>
          <w:b/>
          <w:sz w:val="32"/>
          <w:szCs w:val="32"/>
        </w:rPr>
      </w:pPr>
    </w:p>
    <w:p>
      <w:pPr>
        <w:autoSpaceDE w:val="0"/>
        <w:autoSpaceDN w:val="0"/>
        <w:spacing w:line="360" w:lineRule="auto"/>
        <w:contextualSpacing/>
        <w:jc w:val="center"/>
        <w:rPr>
          <w:rFonts w:hint="eastAsia" w:ascii="宋体" w:hAnsi="宋体" w:cs="宋体"/>
          <w:b/>
          <w:sz w:val="32"/>
          <w:szCs w:val="32"/>
        </w:rPr>
      </w:pPr>
    </w:p>
    <w:p>
      <w:pPr>
        <w:autoSpaceDE w:val="0"/>
        <w:autoSpaceDN w:val="0"/>
        <w:spacing w:line="360" w:lineRule="auto"/>
        <w:contextualSpacing/>
        <w:jc w:val="center"/>
        <w:rPr>
          <w:rFonts w:ascii="宋体" w:cs="宋体"/>
          <w:b/>
          <w:sz w:val="32"/>
          <w:szCs w:val="32"/>
        </w:rPr>
      </w:pPr>
      <w:r>
        <w:rPr>
          <w:rFonts w:hint="eastAsia" w:ascii="宋体" w:hAnsi="宋体" w:cs="宋体"/>
          <w:b/>
          <w:sz w:val="32"/>
          <w:szCs w:val="32"/>
        </w:rPr>
        <w:t>第五章</w:t>
      </w:r>
      <w:r>
        <w:rPr>
          <w:rFonts w:ascii="宋体" w:hAnsi="宋体" w:cs="宋体"/>
          <w:b/>
          <w:sz w:val="32"/>
          <w:szCs w:val="32"/>
        </w:rPr>
        <w:t xml:space="preserve"> </w:t>
      </w:r>
      <w:r>
        <w:rPr>
          <w:rFonts w:hint="eastAsia" w:ascii="宋体" w:hAnsi="宋体" w:cs="宋体"/>
          <w:b/>
          <w:sz w:val="32"/>
          <w:szCs w:val="32"/>
        </w:rPr>
        <w:t>政府采购政策功能</w:t>
      </w:r>
    </w:p>
    <w:p>
      <w:pPr>
        <w:jc w:val="center"/>
        <w:rPr>
          <w:rFonts w:ascii="宋体" w:cs="宋体"/>
          <w:b/>
          <w:sz w:val="36"/>
          <w:szCs w:val="36"/>
        </w:rPr>
      </w:pPr>
    </w:p>
    <w:p>
      <w:pPr>
        <w:pStyle w:val="14"/>
        <w:spacing w:line="360" w:lineRule="auto"/>
        <w:ind w:firstLine="200"/>
        <w:contextualSpacing/>
        <w:rPr>
          <w:rFonts w:ascii="宋体" w:cs="仿宋_GB2312"/>
          <w:sz w:val="21"/>
          <w:szCs w:val="21"/>
        </w:rPr>
      </w:pPr>
      <w:r>
        <w:rPr>
          <w:rFonts w:hint="eastAsia" w:ascii="宋体" w:hAnsi="宋体" w:cs="仿宋_GB2312"/>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200"/>
        <w:contextualSpacing/>
        <w:rPr>
          <w:rFonts w:ascii="宋体" w:cs="仿宋_GB2312"/>
          <w:b/>
          <w:sz w:val="21"/>
          <w:szCs w:val="21"/>
        </w:rPr>
      </w:pPr>
      <w:r>
        <w:rPr>
          <w:rFonts w:hint="eastAsia" w:ascii="宋体" w:hAnsi="宋体" w:cs="仿宋_GB2312"/>
          <w:b/>
          <w:sz w:val="21"/>
          <w:szCs w:val="21"/>
        </w:rPr>
        <w:t>一、节能能源、保护环境</w:t>
      </w:r>
    </w:p>
    <w:p>
      <w:pPr>
        <w:pStyle w:val="14"/>
        <w:spacing w:line="360" w:lineRule="auto"/>
        <w:ind w:firstLine="200"/>
        <w:contextualSpacing/>
        <w:rPr>
          <w:rFonts w:ascii="宋体" w:cs="仿宋_GB2312"/>
          <w:sz w:val="21"/>
          <w:szCs w:val="21"/>
        </w:rPr>
      </w:pPr>
      <w:r>
        <w:rPr>
          <w:rFonts w:hint="eastAsia" w:ascii="宋体" w:hAnsi="宋体" w:cs="仿宋_GB2312"/>
          <w:sz w:val="21"/>
          <w:szCs w:val="21"/>
        </w:rPr>
        <w:t>按照《财政部、发展改革委、生态环境部、市场监管总局关于调整优化节能产品、环境标志产品政府采购执行机制的通知》（财库〔</w:t>
      </w:r>
      <w:r>
        <w:rPr>
          <w:rFonts w:ascii="宋体" w:hAnsi="宋体" w:cs="仿宋_GB2312"/>
          <w:sz w:val="21"/>
          <w:szCs w:val="21"/>
        </w:rPr>
        <w:t>2019</w:t>
      </w:r>
      <w:r>
        <w:rPr>
          <w:rFonts w:hint="eastAsia" w:ascii="宋体" w:hAnsi="宋体" w:cs="仿宋_GB2312"/>
          <w:sz w:val="21"/>
          <w:szCs w:val="21"/>
        </w:rPr>
        <w:t>〕</w:t>
      </w:r>
      <w:r>
        <w:rPr>
          <w:rFonts w:ascii="宋体" w:hAnsi="宋体" w:cs="仿宋_GB2312"/>
          <w:sz w:val="21"/>
          <w:szCs w:val="21"/>
        </w:rPr>
        <w:t>9</w:t>
      </w:r>
      <w:r>
        <w:rPr>
          <w:rFonts w:hint="eastAsia" w:ascii="宋体" w:hAnsi="宋体" w:cs="仿宋_GB2312"/>
          <w:sz w:val="21"/>
          <w:szCs w:val="21"/>
        </w:rPr>
        <w:t>号）和财政部、生态环境部《关于印发环境标志产品政府采购品目清单的通知》（财库</w:t>
      </w:r>
      <w:r>
        <w:rPr>
          <w:rFonts w:ascii="宋体" w:hAnsi="宋体" w:cs="仿宋_GB2312"/>
          <w:sz w:val="21"/>
          <w:szCs w:val="21"/>
        </w:rPr>
        <w:t>[2019]18</w:t>
      </w:r>
      <w:r>
        <w:rPr>
          <w:rFonts w:hint="eastAsia" w:ascii="宋体" w:hAnsi="宋体" w:cs="仿宋_GB2312"/>
          <w:sz w:val="21"/>
          <w:szCs w:val="21"/>
        </w:rPr>
        <w:t>号）以及财政部、发展改革委《关于印发节能产品政府采购品目清单的通知》（财库</w:t>
      </w:r>
      <w:r>
        <w:rPr>
          <w:rFonts w:ascii="宋体" w:hAnsi="宋体" w:cs="仿宋_GB2312"/>
          <w:sz w:val="21"/>
          <w:szCs w:val="21"/>
        </w:rPr>
        <w:t>[2019]19</w:t>
      </w:r>
      <w:r>
        <w:rPr>
          <w:rFonts w:hint="eastAsia" w:ascii="宋体" w:hAnsi="宋体" w:cs="仿宋_GB2312"/>
          <w:sz w:val="21"/>
          <w:szCs w:val="21"/>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200"/>
        <w:contextualSpacing/>
        <w:rPr>
          <w:rFonts w:ascii="宋体" w:cs="仿宋_GB2312"/>
          <w:b/>
          <w:sz w:val="21"/>
          <w:szCs w:val="21"/>
        </w:rPr>
      </w:pPr>
      <w:r>
        <w:rPr>
          <w:rFonts w:hint="eastAsia" w:ascii="宋体" w:hAnsi="宋体" w:cs="仿宋_GB2312"/>
          <w:b/>
          <w:sz w:val="21"/>
          <w:szCs w:val="21"/>
        </w:rPr>
        <w:t>二、促进中小企业发展（不含民办非企业）</w:t>
      </w:r>
    </w:p>
    <w:p>
      <w:pPr>
        <w:spacing w:line="360" w:lineRule="auto"/>
        <w:ind w:firstLine="200"/>
        <w:contextualSpacing/>
        <w:rPr>
          <w:rFonts w:ascii="宋体" w:cs="仿宋_GB2312"/>
        </w:rPr>
      </w:pPr>
      <w:r>
        <w:rPr>
          <w:rFonts w:ascii="宋体" w:hAnsi="宋体" w:cs="仿宋_GB2312"/>
        </w:rPr>
        <w:t>1</w:t>
      </w:r>
      <w:r>
        <w:rPr>
          <w:rFonts w:hint="eastAsia" w:ascii="宋体" w:hAnsi="宋体" w:cs="仿宋_GB2312"/>
        </w:rPr>
        <w:t>、根据财政部、工业和信息化部发布的《政府采购促进中小企业发展暂行办法》（财库</w:t>
      </w:r>
      <w:r>
        <w:rPr>
          <w:rFonts w:ascii="宋体" w:hAnsi="宋体" w:cs="仿宋_GB2312"/>
        </w:rPr>
        <w:t>[2011]181</w:t>
      </w:r>
      <w:r>
        <w:rPr>
          <w:rFonts w:hint="eastAsia" w:ascii="宋体" w:hAnsi="宋体" w:cs="仿宋_GB2312"/>
        </w:rPr>
        <w:t>号）规定，本项目为非专门面向中小企业采购的项目，对小型和微型企业产品的价格给予</w:t>
      </w:r>
      <w:r>
        <w:rPr>
          <w:rFonts w:ascii="宋体" w:hAnsi="宋体" w:cs="仿宋_GB2312"/>
        </w:rPr>
        <w:t>6%-10%</w:t>
      </w:r>
      <w:r>
        <w:rPr>
          <w:rFonts w:hint="eastAsia" w:ascii="宋体" w:hAnsi="宋体" w:cs="仿宋_GB2312"/>
        </w:rPr>
        <w:t>的扣除，用扣除后的价格参与评审。</w:t>
      </w:r>
    </w:p>
    <w:p>
      <w:pPr>
        <w:spacing w:line="360" w:lineRule="auto"/>
        <w:ind w:firstLine="200"/>
        <w:contextualSpacing/>
        <w:rPr>
          <w:rFonts w:ascii="宋体" w:cs="仿宋_GB2312"/>
        </w:rPr>
      </w:pPr>
      <w:r>
        <w:rPr>
          <w:rFonts w:ascii="宋体" w:hAnsi="宋体" w:cs="仿宋_GB2312"/>
        </w:rPr>
        <w:t>2</w:t>
      </w:r>
      <w:r>
        <w:rPr>
          <w:rFonts w:hint="eastAsia" w:ascii="宋体" w:hAnsi="宋体" w:cs="仿宋_GB2312"/>
        </w:rPr>
        <w:t>、如果本项目为非专门面向中小企业采购且接受联合体投标，联合协议中约定小型或微型企业的协议合同金额占到联合体协议合同总金额</w:t>
      </w:r>
      <w:r>
        <w:rPr>
          <w:rFonts w:ascii="宋体" w:hAnsi="宋体" w:cs="仿宋_GB2312"/>
        </w:rPr>
        <w:t>30%</w:t>
      </w:r>
      <w:r>
        <w:rPr>
          <w:rFonts w:hint="eastAsia" w:ascii="宋体" w:hAnsi="宋体" w:cs="仿宋_GB2312"/>
        </w:rPr>
        <w:t>以上的，给予联合体</w:t>
      </w:r>
      <w:r>
        <w:rPr>
          <w:rFonts w:ascii="宋体" w:hAnsi="宋体" w:cs="仿宋_GB2312"/>
        </w:rPr>
        <w:t>2%-3%</w:t>
      </w:r>
      <w:r>
        <w:rPr>
          <w:rFonts w:hint="eastAsia" w:ascii="宋体" w:hAnsi="宋体" w:cs="仿宋_GB2312"/>
        </w:rPr>
        <w:t>的价格扣除，用扣除后的价格参与评审。</w:t>
      </w:r>
    </w:p>
    <w:p>
      <w:pPr>
        <w:spacing w:line="360" w:lineRule="auto"/>
        <w:ind w:firstLine="200"/>
        <w:contextualSpacing/>
        <w:rPr>
          <w:rFonts w:ascii="宋体" w:cs="仿宋_GB2312"/>
        </w:rPr>
      </w:pPr>
      <w:r>
        <w:rPr>
          <w:rFonts w:ascii="宋体" w:hAnsi="宋体" w:cs="仿宋_GB2312"/>
        </w:rPr>
        <w:t>3</w:t>
      </w:r>
      <w:r>
        <w:rPr>
          <w:rFonts w:hint="eastAsia" w:ascii="宋体" w:hAnsi="宋体" w:cs="仿宋_GB2312"/>
        </w:rPr>
        <w:t>、联合体各方均为小型或微型企业的，联合体视同为小型、微型企业。组成联合体的大中型企业或者其他自然人、法人或其他组织，与小型、微型企业之间不得存在投资关系。</w:t>
      </w:r>
    </w:p>
    <w:p>
      <w:pPr>
        <w:spacing w:line="360" w:lineRule="auto"/>
        <w:ind w:firstLine="200"/>
        <w:contextualSpacing/>
        <w:rPr>
          <w:rFonts w:ascii="宋体" w:cs="仿宋_GB2312"/>
        </w:rPr>
      </w:pPr>
      <w:r>
        <w:rPr>
          <w:rFonts w:ascii="宋体" w:hAnsi="宋体" w:cs="仿宋_GB2312"/>
        </w:rPr>
        <w:t>4</w:t>
      </w:r>
      <w:r>
        <w:rPr>
          <w:rFonts w:hint="eastAsia" w:ascii="宋体" w:hAnsi="宋体" w:cs="仿宋_GB2312"/>
        </w:rPr>
        <w:t>、中小企业投标应提供《中小企业声明函》，如为联合投标的，联合体各方需分别填写《中小企业声明函》。</w:t>
      </w:r>
    </w:p>
    <w:p>
      <w:pPr>
        <w:spacing w:line="360" w:lineRule="auto"/>
        <w:ind w:firstLine="200"/>
        <w:contextualSpacing/>
        <w:rPr>
          <w:rFonts w:ascii="宋体" w:cs="仿宋_GB2312"/>
          <w:b/>
        </w:rPr>
      </w:pPr>
      <w:r>
        <w:rPr>
          <w:rFonts w:hint="eastAsia" w:ascii="宋体" w:hAnsi="宋体" w:cs="仿宋_GB2312"/>
          <w:b/>
        </w:rPr>
        <w:t>三、支持监狱企业发展</w:t>
      </w:r>
    </w:p>
    <w:p>
      <w:pPr>
        <w:spacing w:line="360" w:lineRule="auto"/>
        <w:ind w:firstLine="200"/>
        <w:contextualSpacing/>
        <w:rPr>
          <w:rFonts w:ascii="宋体" w:cs="仿宋_GB2312"/>
        </w:rPr>
      </w:pPr>
      <w:r>
        <w:rPr>
          <w:rFonts w:hint="eastAsia" w:ascii="宋体" w:hAnsi="宋体" w:cs="仿宋_GB2312"/>
        </w:rPr>
        <w:t>按照财政部、司法部发布的《关于政府采购支持监狱企业发展有关问题的通知》（</w:t>
      </w:r>
      <w:bookmarkStart w:id="21" w:name="OLE_LINK6"/>
      <w:r>
        <w:rPr>
          <w:rFonts w:hint="eastAsia" w:ascii="宋体" w:hAnsi="宋体" w:cs="仿宋_GB2312"/>
        </w:rPr>
        <w:t>财库</w:t>
      </w:r>
      <w:r>
        <w:rPr>
          <w:rFonts w:ascii="宋体" w:hAnsi="宋体" w:cs="仿宋_GB2312"/>
        </w:rPr>
        <w:t>[2014]68</w:t>
      </w:r>
      <w:r>
        <w:rPr>
          <w:rFonts w:hint="eastAsia" w:ascii="宋体" w:hAnsi="宋体" w:cs="仿宋_GB2312"/>
        </w:rPr>
        <w:t>号</w:t>
      </w:r>
      <w:bookmarkEnd w:id="21"/>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spacing w:line="360" w:lineRule="auto"/>
        <w:ind w:firstLine="200"/>
        <w:contextualSpacing/>
        <w:rPr>
          <w:rFonts w:ascii="宋体" w:cs="仿宋_GB2312"/>
          <w:b/>
        </w:rPr>
      </w:pPr>
      <w:r>
        <w:rPr>
          <w:rFonts w:hint="eastAsia" w:ascii="宋体" w:hAnsi="宋体" w:cs="仿宋_GB2312"/>
          <w:b/>
        </w:rPr>
        <w:t>四、促进残疾人就业</w:t>
      </w:r>
    </w:p>
    <w:p>
      <w:pPr>
        <w:pStyle w:val="14"/>
        <w:spacing w:line="360" w:lineRule="auto"/>
        <w:ind w:firstLine="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hint="eastAsia" w:ascii="宋体" w:hAnsi="宋体" w:cs="仿宋_GB2312"/>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200"/>
        <w:contextualSpacing/>
        <w:rPr>
          <w:rFonts w:ascii="宋体" w:cs="仿宋_GB2312"/>
          <w:sz w:val="21"/>
          <w:szCs w:val="21"/>
        </w:rPr>
      </w:pPr>
      <w:r>
        <w:rPr>
          <w:rFonts w:ascii="宋体" w:hAnsi="宋体" w:cs="仿宋_GB2312"/>
          <w:sz w:val="21"/>
          <w:szCs w:val="21"/>
        </w:rPr>
        <w:t>2</w:t>
      </w:r>
      <w:r>
        <w:rPr>
          <w:rFonts w:hint="eastAsia" w:ascii="宋体" w:hAnsi="宋体" w:cs="仿宋_GB2312"/>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200"/>
        <w:contextualSpacing/>
        <w:rPr>
          <w:rFonts w:ascii="宋体" w:cs="仿宋_GB2312"/>
        </w:rPr>
      </w:pPr>
      <w:r>
        <w:rPr>
          <w:rFonts w:ascii="宋体" w:hAnsi="宋体" w:cs="仿宋_GB2312"/>
          <w:sz w:val="21"/>
          <w:szCs w:val="21"/>
        </w:rPr>
        <w:t>3</w:t>
      </w:r>
      <w:r>
        <w:rPr>
          <w:rFonts w:hint="eastAsia" w:ascii="宋体" w:hAnsi="宋体" w:cs="仿宋_GB2312"/>
          <w:sz w:val="21"/>
          <w:szCs w:val="21"/>
        </w:rPr>
        <w:t>、中标人为残疾人福利性单位的，招标人应当随中标结果同时公告其《残疾人福利性单位声明函》，接受社会监督。</w:t>
      </w:r>
    </w:p>
    <w:p>
      <w:pPr>
        <w:spacing w:line="360" w:lineRule="auto"/>
        <w:ind w:firstLine="200"/>
        <w:contextualSpacing/>
        <w:rPr>
          <w:rFonts w:ascii="宋体" w:cs="仿宋_GB2312"/>
          <w:b/>
        </w:rPr>
      </w:pPr>
      <w:r>
        <w:rPr>
          <w:rFonts w:hint="eastAsia" w:ascii="宋体" w:hAnsi="宋体" w:cs="仿宋_GB2312"/>
          <w:b/>
        </w:rPr>
        <w:t>五、支持脱贫攻坚（物业服务采购）</w:t>
      </w:r>
    </w:p>
    <w:p>
      <w:pPr>
        <w:spacing w:line="360" w:lineRule="auto"/>
        <w:ind w:firstLine="200"/>
        <w:contextualSpacing/>
        <w:rPr>
          <w:rFonts w:ascii="宋体" w:hAnsi="宋体" w:cs="仿宋_GB2312"/>
        </w:rPr>
      </w:pPr>
      <w:r>
        <w:rPr>
          <w:rFonts w:ascii="宋体" w:hAnsi="宋体" w:cs="仿宋_GB2312"/>
        </w:rPr>
        <w:t>1</w:t>
      </w:r>
      <w:r>
        <w:rPr>
          <w:rFonts w:hint="eastAsia" w:ascii="宋体" w:hAnsi="宋体" w:cs="仿宋_GB2312"/>
        </w:rPr>
        <w:t>、根据《财政部国务院扶贫办关于运用政府采购政策支持脱贫攻坚的通知》财库〔</w:t>
      </w:r>
      <w:r>
        <w:rPr>
          <w:rFonts w:ascii="宋体" w:hAnsi="宋体" w:cs="仿宋_GB2312"/>
        </w:rPr>
        <w:t>2019</w:t>
      </w:r>
      <w:r>
        <w:rPr>
          <w:rFonts w:hint="eastAsia" w:ascii="宋体" w:hAnsi="宋体" w:cs="仿宋_GB2312"/>
        </w:rPr>
        <w:t>〕</w:t>
      </w:r>
      <w:r>
        <w:rPr>
          <w:rFonts w:ascii="宋体" w:hAnsi="宋体" w:cs="仿宋_GB2312"/>
        </w:rPr>
        <w:t>27</w:t>
      </w:r>
      <w:r>
        <w:rPr>
          <w:rFonts w:hint="eastAsia" w:ascii="宋体" w:hAnsi="宋体" w:cs="仿宋_GB2312"/>
        </w:rPr>
        <w:t>号有关要求，鼓励优先采购聘用建档立卡贫困人员物业公司提供的物业服务。各级预算单位使用财政性资金采购物业服务的，有条件的应当优先采购注册地在</w:t>
      </w:r>
      <w:r>
        <w:rPr>
          <w:rFonts w:ascii="宋体" w:hAnsi="宋体" w:cs="仿宋_GB2312"/>
        </w:rPr>
        <w:t>832</w:t>
      </w:r>
      <w:r>
        <w:rPr>
          <w:rFonts w:hint="eastAsia" w:ascii="宋体" w:hAnsi="宋体" w:cs="仿宋_GB2312"/>
        </w:rPr>
        <w:t>个国家级贫困县域内，且聘用建档立卡贫困人员物业公司提供的物业服务。</w:t>
      </w:r>
    </w:p>
    <w:p>
      <w:pPr>
        <w:spacing w:line="360" w:lineRule="auto"/>
        <w:ind w:firstLine="200"/>
        <w:contextualSpacing/>
        <w:rPr>
          <w:rFonts w:ascii="宋体" w:hAnsi="宋体" w:cs="仿宋_GB2312"/>
        </w:rPr>
      </w:pPr>
      <w:r>
        <w:rPr>
          <w:rFonts w:hint="eastAsia" w:ascii="宋体" w:hAnsi="宋体" w:cs="仿宋_GB2312"/>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contextualSpacing/>
        <w:jc w:val="center"/>
        <w:rPr>
          <w:rFonts w:cs="宋体" w:asciiTheme="majorEastAsia" w:hAnsiTheme="majorEastAsia" w:eastAsiaTheme="majorEastAsia"/>
          <w:b/>
          <w:sz w:val="36"/>
          <w:szCs w:val="36"/>
        </w:rPr>
      </w:pPr>
    </w:p>
    <w:p>
      <w:pPr>
        <w:pStyle w:val="14"/>
        <w:spacing w:line="360" w:lineRule="auto"/>
        <w:contextualSpacing/>
        <w:rPr>
          <w:rFonts w:cs="宋体" w:asciiTheme="majorEastAsia" w:hAnsiTheme="majorEastAsia" w:eastAsiaTheme="majorEastAsia"/>
          <w:b/>
          <w:sz w:val="36"/>
          <w:szCs w:val="36"/>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4"/>
        <w:spacing w:line="360" w:lineRule="auto"/>
        <w:contextualSpacing/>
        <w:rPr>
          <w:rFonts w:cs="仿宋_GB2312" w:asciiTheme="minorEastAsia" w:hAnsiTheme="minorEastAsia"/>
        </w:rPr>
      </w:pPr>
    </w:p>
    <w:p>
      <w:pPr>
        <w:pStyle w:val="14"/>
        <w:spacing w:line="360" w:lineRule="auto"/>
        <w:contextualSpacing/>
        <w:rPr>
          <w:rFonts w:asciiTheme="minorEastAsia" w:hAnsiTheme="minorEastAsia" w:eastAsiaTheme="minorEastAsia"/>
          <w:sz w:val="21"/>
          <w:szCs w:val="21"/>
        </w:rPr>
      </w:pPr>
      <w:r>
        <w:rPr>
          <w:rFonts w:cs="仿宋_GB2312" w:asciiTheme="minorEastAsia" w:hAnsiTheme="minorEastAsia" w:eastAsiaTheme="minorEastAsia"/>
          <w:b/>
          <w:sz w:val="21"/>
          <w:szCs w:val="21"/>
        </w:rPr>
        <w:t>一、资格审查</w:t>
      </w:r>
    </w:p>
    <w:p>
      <w:pPr>
        <w:spacing w:line="360" w:lineRule="auto"/>
        <w:ind w:right="420" w:firstLine="200"/>
        <w:contextualSpacing/>
        <w:rPr>
          <w:rFonts w:asciiTheme="minorEastAsia" w:hAnsiTheme="minorEastAsia"/>
        </w:rPr>
      </w:pPr>
      <w:r>
        <w:rPr>
          <w:rFonts w:hint="eastAsia" w:asciiTheme="minorEastAsia" w:hAnsiTheme="minorEastAsia"/>
        </w:rPr>
        <w:t>（一）</w:t>
      </w:r>
      <w:r>
        <w:rPr>
          <w:rFonts w:asciiTheme="minorEastAsia" w:hAnsiTheme="minorEastAsia"/>
        </w:rPr>
        <w:t>开标结束后，</w:t>
      </w:r>
      <w:r>
        <w:rPr>
          <w:rFonts w:hint="eastAsia" w:asciiTheme="minorEastAsia" w:hAnsiTheme="minorEastAsia"/>
        </w:rPr>
        <w:t>由采购人代表1人（需出具委托书）依法对投标人资格进行审查</w:t>
      </w:r>
      <w:r>
        <w:rPr>
          <w:rFonts w:asciiTheme="minorEastAsia" w:hAnsiTheme="minorEastAsia"/>
        </w:rPr>
        <w:t>。</w:t>
      </w:r>
      <w:r>
        <w:rPr>
          <w:rFonts w:hint="eastAsia" w:asciiTheme="minorEastAsia" w:hAnsiTheme="minorEastAsia"/>
        </w:rPr>
        <w:t>确定符合资格的投标人不少于3家的，将组织评标委员会进行评标。</w:t>
      </w:r>
    </w:p>
    <w:p>
      <w:pPr>
        <w:spacing w:line="360" w:lineRule="auto"/>
        <w:ind w:right="420" w:firstLine="200"/>
        <w:contextualSpacing/>
        <w:rPr>
          <w:rFonts w:cs="仿宋_GB2312" w:asciiTheme="minorEastAsia" w:hAnsiTheme="minorEastAsia"/>
        </w:rPr>
      </w:pPr>
      <w:r>
        <w:rPr>
          <w:rFonts w:hint="eastAsia" w:cs="仿宋_GB2312" w:asciiTheme="minorEastAsia" w:hAnsiTheme="minorEastAsia"/>
        </w:rPr>
        <w:t>（二）资格证明材料（本栏所列内容为本项目的资格审查条件，如有一项不符合要求，则不能进入下一步评审）。</w:t>
      </w:r>
    </w:p>
    <w:p>
      <w:pPr>
        <w:spacing w:line="360" w:lineRule="auto"/>
        <w:ind w:right="420" w:firstLine="200"/>
        <w:contextualSpacing/>
        <w:rPr>
          <w:rFonts w:cs="仿宋_GB2312" w:asciiTheme="minorEastAsia" w:hAnsiTheme="minorEastAsia"/>
        </w:rPr>
      </w:pPr>
      <w:r>
        <w:rPr>
          <w:rFonts w:hint="eastAsia" w:cs="仿宋_GB2312" w:asciiTheme="minorEastAsia" w:hAnsiTheme="minorEastAsia"/>
        </w:rPr>
        <w:t>（三）资格审查中所涉及到的证书及材料，均须在电子投标文件中提供原件扫描件（或图片）。</w:t>
      </w:r>
    </w:p>
    <w:tbl>
      <w:tblPr>
        <w:tblStyle w:val="22"/>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410"/>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rPr>
            </w:pPr>
            <w:r>
              <w:rPr>
                <w:rFonts w:hint="eastAsia" w:asciiTheme="minorEastAsia" w:hAnsiTheme="minorEastAsia"/>
                <w:b/>
              </w:rPr>
              <w:t>序号</w:t>
            </w:r>
          </w:p>
        </w:tc>
        <w:tc>
          <w:tcPr>
            <w:tcW w:w="2410" w:type="dxa"/>
            <w:vAlign w:val="center"/>
          </w:tcPr>
          <w:p>
            <w:pPr>
              <w:spacing w:line="360" w:lineRule="auto"/>
              <w:jc w:val="center"/>
              <w:rPr>
                <w:rFonts w:asciiTheme="minorEastAsia" w:hAnsiTheme="minorEastAsia"/>
                <w:b/>
              </w:rPr>
            </w:pPr>
            <w:r>
              <w:rPr>
                <w:rFonts w:hint="eastAsia" w:asciiTheme="minorEastAsia" w:hAnsiTheme="minorEastAsia"/>
                <w:b/>
              </w:rPr>
              <w:t>资格审查</w:t>
            </w:r>
            <w:r>
              <w:rPr>
                <w:rFonts w:asciiTheme="minorEastAsia" w:hAnsiTheme="minorEastAsia"/>
                <w:b/>
              </w:rPr>
              <w:t>因素</w:t>
            </w:r>
          </w:p>
        </w:tc>
        <w:tc>
          <w:tcPr>
            <w:tcW w:w="5954" w:type="dxa"/>
            <w:vAlign w:val="center"/>
          </w:tcPr>
          <w:p>
            <w:pPr>
              <w:spacing w:line="360" w:lineRule="auto"/>
              <w:jc w:val="center"/>
              <w:rPr>
                <w:rFonts w:asciiTheme="minorEastAsia" w:hAnsiTheme="minorEastAsia"/>
                <w:b/>
              </w:rPr>
            </w:pPr>
            <w:r>
              <w:rPr>
                <w:rFonts w:hint="eastAsia" w:asciiTheme="minorEastAsia" w:hAnsiTheme="minorEastAsia"/>
                <w:b/>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rPr>
            </w:pPr>
            <w:r>
              <w:rPr>
                <w:rFonts w:hint="eastAsia" w:asciiTheme="minorEastAsia" w:hAnsiTheme="minorEastAsia"/>
                <w:b/>
              </w:rPr>
              <w:t>1</w:t>
            </w:r>
          </w:p>
        </w:tc>
        <w:tc>
          <w:tcPr>
            <w:tcW w:w="2410" w:type="dxa"/>
            <w:vAlign w:val="center"/>
          </w:tcPr>
          <w:p>
            <w:pPr>
              <w:spacing w:line="360" w:lineRule="auto"/>
              <w:jc w:val="center"/>
              <w:rPr>
                <w:rFonts w:asciiTheme="minorEastAsia" w:hAnsiTheme="minorEastAsia"/>
                <w:b/>
              </w:rPr>
            </w:pPr>
            <w:r>
              <w:rPr>
                <w:rFonts w:hint="eastAsia" w:asciiTheme="minorEastAsia" w:hAnsiTheme="minorEastAsia"/>
                <w:b/>
              </w:rPr>
              <w:t>投标函</w:t>
            </w:r>
          </w:p>
        </w:tc>
        <w:tc>
          <w:tcPr>
            <w:tcW w:w="5954" w:type="dxa"/>
            <w:vAlign w:val="center"/>
          </w:tcPr>
          <w:p>
            <w:pPr>
              <w:spacing w:line="360" w:lineRule="auto"/>
              <w:rPr>
                <w:rFonts w:asciiTheme="minorEastAsia" w:hAnsiTheme="minorEastAsia"/>
                <w:b/>
              </w:rPr>
            </w:pPr>
            <w:r>
              <w:rPr>
                <w:rFonts w:hint="eastAsia" w:ascii="宋体" w:hAnsi="宋体" w:cs="微软雅黑"/>
              </w:rPr>
              <w:t>参考招标文件第八章3.1格式填写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2</w:t>
            </w:r>
          </w:p>
        </w:tc>
        <w:tc>
          <w:tcPr>
            <w:tcW w:w="2410" w:type="dxa"/>
            <w:vAlign w:val="center"/>
          </w:tcPr>
          <w:p>
            <w:pPr>
              <w:spacing w:line="360" w:lineRule="auto"/>
              <w:rPr>
                <w:rFonts w:asciiTheme="minorEastAsia" w:hAnsiTheme="minorEastAsia"/>
                <w:b/>
              </w:rPr>
            </w:pPr>
            <w:r>
              <w:rPr>
                <w:rFonts w:hint="eastAsia" w:asciiTheme="minorEastAsia" w:hAnsiTheme="minorEastAsia"/>
                <w:b/>
              </w:rPr>
              <w:t>法人或者其他组织的营业执照等证明文件，自然人的身份证明</w:t>
            </w:r>
          </w:p>
        </w:tc>
        <w:tc>
          <w:tcPr>
            <w:tcW w:w="5954" w:type="dxa"/>
            <w:vAlign w:val="center"/>
          </w:tcPr>
          <w:p>
            <w:pPr>
              <w:spacing w:line="360" w:lineRule="auto"/>
              <w:jc w:val="left"/>
              <w:rPr>
                <w:rFonts w:asciiTheme="minorEastAsia" w:hAnsiTheme="minorEastAsia"/>
              </w:rPr>
            </w:pPr>
            <w:r>
              <w:rPr>
                <w:rFonts w:hint="eastAsia" w:asciiTheme="minorEastAsia" w:hAnsiTheme="minorEastAsia"/>
              </w:rPr>
              <w:t>（1）企业法人营业执照或营业执照。（企业投标提供）</w:t>
            </w:r>
          </w:p>
          <w:p>
            <w:pPr>
              <w:spacing w:line="360" w:lineRule="auto"/>
              <w:jc w:val="left"/>
              <w:rPr>
                <w:rFonts w:asciiTheme="minorEastAsia" w:hAnsiTheme="minorEastAsia"/>
              </w:rPr>
            </w:pPr>
            <w:r>
              <w:rPr>
                <w:rFonts w:hint="eastAsia" w:asciiTheme="minorEastAsia" w:hAnsiTheme="minorEastAsia"/>
              </w:rPr>
              <w:t>（2）事业单位法人证书。（事业单位投标提供）</w:t>
            </w:r>
          </w:p>
          <w:p>
            <w:pPr>
              <w:spacing w:line="360" w:lineRule="auto"/>
              <w:jc w:val="left"/>
              <w:rPr>
                <w:rFonts w:asciiTheme="minorEastAsia" w:hAnsiTheme="minorEastAsia"/>
              </w:rPr>
            </w:pPr>
            <w:r>
              <w:rPr>
                <w:rFonts w:hint="eastAsia" w:asciiTheme="minorEastAsia" w:hAnsiTheme="minorEastAsia"/>
              </w:rPr>
              <w:t>（3）执业许可证。（非企业专业服务机构投标提供）</w:t>
            </w:r>
          </w:p>
          <w:p>
            <w:pPr>
              <w:spacing w:line="360" w:lineRule="auto"/>
              <w:jc w:val="left"/>
              <w:rPr>
                <w:rFonts w:asciiTheme="minorEastAsia" w:hAnsiTheme="minorEastAsia"/>
              </w:rPr>
            </w:pPr>
            <w:r>
              <w:rPr>
                <w:rFonts w:hint="eastAsia" w:asciiTheme="minorEastAsia" w:hAnsiTheme="minorEastAsia"/>
              </w:rPr>
              <w:t>（4）个体工商户营业执照。（个体工商户投标提供）</w:t>
            </w:r>
          </w:p>
          <w:p>
            <w:pPr>
              <w:spacing w:line="360" w:lineRule="auto"/>
              <w:jc w:val="left"/>
              <w:rPr>
                <w:rFonts w:asciiTheme="minorEastAsia" w:hAnsiTheme="minorEastAsia"/>
              </w:rPr>
            </w:pPr>
            <w:r>
              <w:rPr>
                <w:rFonts w:hint="eastAsia" w:asciiTheme="minorEastAsia" w:hAnsiTheme="minorEastAsia"/>
              </w:rPr>
              <w:t>（5）自然人身份证明。（自然人投标提供）</w:t>
            </w:r>
          </w:p>
          <w:p>
            <w:pPr>
              <w:spacing w:line="360" w:lineRule="auto"/>
              <w:jc w:val="left"/>
              <w:rPr>
                <w:rFonts w:asciiTheme="minorEastAsia" w:hAnsiTheme="minorEastAsia"/>
                <w:b/>
              </w:rPr>
            </w:pPr>
            <w:r>
              <w:rPr>
                <w:rFonts w:hint="eastAsia" w:asciiTheme="minorEastAsia" w:hAnsiTheme="minorEastAsia"/>
              </w:rPr>
              <w:t>（6）民办非企业单位登记证书。（民办非企业单位投标提供）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3</w:t>
            </w:r>
          </w:p>
        </w:tc>
        <w:tc>
          <w:tcPr>
            <w:tcW w:w="2410" w:type="dxa"/>
            <w:vAlign w:val="center"/>
          </w:tcPr>
          <w:p>
            <w:pPr>
              <w:spacing w:line="360" w:lineRule="auto"/>
              <w:rPr>
                <w:rFonts w:asciiTheme="minorEastAsia" w:hAnsiTheme="minorEastAsia"/>
                <w:b/>
              </w:rPr>
            </w:pPr>
            <w:r>
              <w:rPr>
                <w:rFonts w:hint="eastAsia" w:asciiTheme="minorEastAsia" w:hAnsiTheme="minorEastAsia"/>
                <w:b/>
              </w:rPr>
              <w:t>财务状况报告相关材料</w:t>
            </w:r>
          </w:p>
        </w:tc>
        <w:tc>
          <w:tcPr>
            <w:tcW w:w="5954" w:type="dxa"/>
          </w:tcPr>
          <w:p>
            <w:pPr>
              <w:spacing w:line="360" w:lineRule="auto"/>
              <w:rPr>
                <w:rFonts w:asciiTheme="minorEastAsia" w:hAnsiTheme="minorEastAsia"/>
              </w:rPr>
            </w:pPr>
            <w:r>
              <w:rPr>
                <w:rFonts w:hint="eastAsia" w:asciiTheme="minorEastAsia" w:hAnsiTheme="minorEastAsia"/>
              </w:rPr>
              <w:t>（1）投标人是法人（法人包括企业法人、机关法人、事业单位法人和社会团体法人），提供本单位：</w:t>
            </w:r>
          </w:p>
          <w:p>
            <w:pPr>
              <w:spacing w:line="360" w:lineRule="auto"/>
              <w:rPr>
                <w:rFonts w:asciiTheme="minorEastAsia" w:hAnsiTheme="minorEastAsia"/>
              </w:rPr>
            </w:pPr>
            <w:r>
              <w:rPr>
                <w:rFonts w:hint="eastAsia" w:asciiTheme="minorEastAsia" w:hAnsiTheme="minorEastAsia"/>
              </w:rPr>
              <w:t>①2016年度、2017年度、2018年度经审计的财务报告，包括资产负债表、利润表、现金流量表、所有者权益变动表及其附注；</w:t>
            </w:r>
          </w:p>
          <w:p>
            <w:pPr>
              <w:spacing w:line="360" w:lineRule="auto"/>
              <w:rPr>
                <w:rFonts w:asciiTheme="minorEastAsia" w:hAnsiTheme="minorEastAsia"/>
              </w:rPr>
            </w:pPr>
            <w:r>
              <w:rPr>
                <w:rFonts w:hint="eastAsia" w:asciiTheme="minorEastAsia" w:hAnsiTheme="minorEastAsia"/>
              </w:rPr>
              <w:t>②基本开户银行出具的资信证明；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spacing w:line="360" w:lineRule="auto"/>
              <w:rPr>
                <w:rFonts w:asciiTheme="minorEastAsia" w:hAnsiTheme="minorEastAsia"/>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rPr>
            </w:pPr>
            <w:r>
              <w:rPr>
                <w:rFonts w:hint="eastAsia" w:asciiTheme="minorEastAsia" w:hAnsiTheme="minorEastAsia"/>
              </w:rPr>
              <w:t>（2）投标人（其他组织和自然人）提供本单位：</w:t>
            </w:r>
          </w:p>
          <w:p>
            <w:pPr>
              <w:spacing w:line="360" w:lineRule="auto"/>
              <w:rPr>
                <w:rFonts w:asciiTheme="minorEastAsia" w:hAnsiTheme="minorEastAsia"/>
              </w:rPr>
            </w:pPr>
            <w:r>
              <w:rPr>
                <w:rFonts w:hint="eastAsia" w:asciiTheme="minorEastAsia" w:hAnsiTheme="minorEastAsia"/>
              </w:rPr>
              <w:t>①2016年度、2017年度、2018年度经审计的财务报告，包括资产负债表、利润表、现金流量表、所有者权益变动表及其附注；</w:t>
            </w:r>
          </w:p>
          <w:p>
            <w:pPr>
              <w:spacing w:line="360" w:lineRule="auto"/>
              <w:rPr>
                <w:rFonts w:asciiTheme="minorEastAsia" w:hAnsiTheme="minorEastAsia"/>
              </w:rPr>
            </w:pPr>
            <w:r>
              <w:rPr>
                <w:rFonts w:hint="eastAsia" w:asciiTheme="minorEastAsia" w:hAnsiTheme="minorEastAsia"/>
              </w:rPr>
              <w:t>②银行出具的资信证明；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spacing w:line="360" w:lineRule="auto"/>
              <w:rPr>
                <w:rFonts w:asciiTheme="minorEastAsia" w:hAnsiTheme="minorEastAsia"/>
              </w:rPr>
            </w:pPr>
            <w:r>
              <w:rPr>
                <w:rFonts w:hint="eastAsia" w:ascii="Times New Roman" w:hAnsi="Times New Roman" w:cs="宋体"/>
              </w:rPr>
              <w:t>（新注册公司从注册交纳起计算，不足的视为满足）</w:t>
            </w:r>
          </w:p>
          <w:p>
            <w:pPr>
              <w:spacing w:line="360" w:lineRule="auto"/>
              <w:rPr>
                <w:rFonts w:asciiTheme="minorEastAsia" w:hAnsiTheme="minorEastAsia"/>
                <w:b/>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①～③其中之一即可。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4</w:t>
            </w:r>
          </w:p>
        </w:tc>
        <w:tc>
          <w:tcPr>
            <w:tcW w:w="2410" w:type="dxa"/>
            <w:vAlign w:val="center"/>
          </w:tcPr>
          <w:p>
            <w:pPr>
              <w:spacing w:line="360" w:lineRule="auto"/>
              <w:rPr>
                <w:rFonts w:asciiTheme="minorEastAsia" w:hAnsiTheme="minorEastAsia"/>
                <w:b/>
              </w:rPr>
            </w:pPr>
            <w:r>
              <w:rPr>
                <w:rFonts w:hint="eastAsia" w:asciiTheme="minorEastAsia" w:hAnsiTheme="minorEastAsia"/>
                <w:b/>
              </w:rPr>
              <w:t>依法缴纳税收相关材料</w:t>
            </w:r>
          </w:p>
        </w:tc>
        <w:tc>
          <w:tcPr>
            <w:tcW w:w="5954" w:type="dxa"/>
          </w:tcPr>
          <w:p>
            <w:pPr>
              <w:spacing w:line="360" w:lineRule="auto"/>
              <w:rPr>
                <w:rFonts w:asciiTheme="minorEastAsia" w:hAnsiTheme="minorEastAsia"/>
                <w:b/>
              </w:rPr>
            </w:pPr>
            <w:r>
              <w:rPr>
                <w:rFonts w:hint="eastAsia" w:ascii="宋体" w:hAnsi="宋体" w:cs="微软雅黑"/>
              </w:rPr>
              <w:t>投标人提供参加本次政府采购项目</w:t>
            </w:r>
            <w:r>
              <w:rPr>
                <w:rFonts w:hint="eastAsia" w:asciiTheme="minorEastAsia" w:hAnsiTheme="minorEastAsia"/>
              </w:rPr>
              <w:t>投标截止时间前六个月内任意一个月缴纳税收凭据。（依法免税的投标人，应提供相应文件证明依法免税）</w:t>
            </w:r>
            <w:r>
              <w:rPr>
                <w:rFonts w:hint="eastAsia" w:ascii="Times New Roman" w:hAnsi="Times New Roman" w:cs="宋体"/>
              </w:rPr>
              <w:t>（新注册公司从注册交纳起计算，不足的视为满足）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5</w:t>
            </w:r>
          </w:p>
        </w:tc>
        <w:tc>
          <w:tcPr>
            <w:tcW w:w="2410" w:type="dxa"/>
            <w:vAlign w:val="center"/>
          </w:tcPr>
          <w:p>
            <w:pPr>
              <w:spacing w:line="360" w:lineRule="auto"/>
              <w:rPr>
                <w:rFonts w:asciiTheme="minorEastAsia" w:hAnsiTheme="minorEastAsia"/>
              </w:rPr>
            </w:pPr>
            <w:r>
              <w:rPr>
                <w:rFonts w:hint="eastAsia" w:asciiTheme="minorEastAsia" w:hAnsiTheme="minorEastAsia"/>
                <w:b/>
              </w:rPr>
              <w:t>依法缴纳社会保障资金的证明材料</w:t>
            </w:r>
          </w:p>
        </w:tc>
        <w:tc>
          <w:tcPr>
            <w:tcW w:w="5954" w:type="dxa"/>
          </w:tcPr>
          <w:p>
            <w:pPr>
              <w:spacing w:line="360" w:lineRule="auto"/>
              <w:rPr>
                <w:rFonts w:asciiTheme="minorEastAsia" w:hAnsiTheme="minorEastAsia"/>
                <w:b/>
              </w:rPr>
            </w:pPr>
            <w:r>
              <w:rPr>
                <w:rFonts w:hint="eastAsia" w:ascii="宋体" w:hAnsi="宋体" w:cs="微软雅黑"/>
              </w:rPr>
              <w:t>投标人提供参加本次政府采购项目</w:t>
            </w:r>
            <w:r>
              <w:rPr>
                <w:rFonts w:hint="eastAsia" w:asciiTheme="minorEastAsia" w:hAnsiTheme="minorEastAsia"/>
              </w:rPr>
              <w:t>投标截止时间前六个月内任意一个月缴纳社会保险凭据。（依法不需要缴纳社会保障资金的投标人，应提供相应文件证明依法不需要缴纳社会保障资金）</w:t>
            </w:r>
            <w:r>
              <w:rPr>
                <w:rFonts w:hint="eastAsia" w:ascii="Times New Roman" w:hAnsi="Times New Roman" w:cs="宋体"/>
              </w:rPr>
              <w:t>（新注册公司从注册交纳起计算，不足的视为满足）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6</w:t>
            </w:r>
          </w:p>
        </w:tc>
        <w:tc>
          <w:tcPr>
            <w:tcW w:w="2410" w:type="dxa"/>
            <w:vAlign w:val="center"/>
          </w:tcPr>
          <w:p>
            <w:pPr>
              <w:spacing w:line="360" w:lineRule="auto"/>
              <w:rPr>
                <w:rFonts w:asciiTheme="minorEastAsia" w:hAnsiTheme="minorEastAsia"/>
                <w:b/>
              </w:rPr>
            </w:pPr>
            <w:r>
              <w:rPr>
                <w:rFonts w:hint="eastAsia" w:asciiTheme="minorEastAsia" w:hAnsiTheme="minorEastAsia"/>
                <w:b/>
              </w:rPr>
              <w:t>履行合同所必须的设备和专业技术能力的证明材料</w:t>
            </w:r>
          </w:p>
        </w:tc>
        <w:tc>
          <w:tcPr>
            <w:tcW w:w="5954" w:type="dxa"/>
          </w:tcPr>
          <w:p>
            <w:pPr>
              <w:spacing w:line="360" w:lineRule="auto"/>
              <w:rPr>
                <w:rFonts w:asciiTheme="minorEastAsia" w:hAnsiTheme="minorEastAsia"/>
              </w:rPr>
            </w:pPr>
            <w:r>
              <w:rPr>
                <w:rFonts w:hint="eastAsia" w:asciiTheme="minorEastAsia" w:hAnsiTheme="minorEastAsia"/>
              </w:rPr>
              <w:t>①与本项目投标相关设备的购置发票、专业技术人员职称证书、用工合同等；</w:t>
            </w:r>
          </w:p>
          <w:p>
            <w:pPr>
              <w:spacing w:line="360" w:lineRule="auto"/>
              <w:rPr>
                <w:rFonts w:asciiTheme="minorEastAsia" w:hAnsiTheme="minorEastAsia"/>
              </w:rPr>
            </w:pPr>
            <w:r>
              <w:rPr>
                <w:rFonts w:hint="eastAsia" w:asciiTheme="minorEastAsia" w:hAnsiTheme="minorEastAsia"/>
              </w:rPr>
              <w:t>②投标人具备履行合同所必须的设备和专业技术能力承诺函或声明（承诺函或声明格式自拟）。</w:t>
            </w:r>
          </w:p>
          <w:p>
            <w:pPr>
              <w:spacing w:line="360" w:lineRule="auto"/>
              <w:rPr>
                <w:rFonts w:asciiTheme="minorEastAsia" w:hAnsiTheme="minorEastAsia"/>
                <w:b/>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①～②其中之一即可。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7</w:t>
            </w:r>
          </w:p>
        </w:tc>
        <w:tc>
          <w:tcPr>
            <w:tcW w:w="2410" w:type="dxa"/>
            <w:vAlign w:val="center"/>
          </w:tcPr>
          <w:p>
            <w:pPr>
              <w:spacing w:line="360" w:lineRule="auto"/>
              <w:rPr>
                <w:rFonts w:asciiTheme="minorEastAsia" w:hAnsiTheme="minorEastAsia"/>
              </w:rPr>
            </w:pPr>
            <w:r>
              <w:rPr>
                <w:rFonts w:hint="eastAsia" w:asciiTheme="minorEastAsia" w:hAnsiTheme="minorEastAsia"/>
                <w:b/>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rPr>
            </w:pPr>
            <w:r>
              <w:rPr>
                <w:rFonts w:hint="eastAsia" w:ascii="宋体" w:hAnsi="宋体" w:cs="微软雅黑"/>
              </w:rPr>
              <w:t>按照招标文件提供格式填写。</w:t>
            </w:r>
            <w:r>
              <w:rPr>
                <w:rFonts w:hint="eastAsia" w:asciiTheme="minorEastAsia" w:hAnsiTheme="minorEastAsia"/>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rPr>
            </w:pPr>
            <w:r>
              <w:rPr>
                <w:rFonts w:hint="eastAsia" w:asciiTheme="minorEastAsia" w:hAnsiTheme="minorEastAsia"/>
                <w:b/>
              </w:rPr>
              <w:t>8</w:t>
            </w:r>
          </w:p>
        </w:tc>
        <w:tc>
          <w:tcPr>
            <w:tcW w:w="2410" w:type="dxa"/>
            <w:vAlign w:val="center"/>
          </w:tcPr>
          <w:p>
            <w:pPr>
              <w:spacing w:line="360" w:lineRule="auto"/>
              <w:rPr>
                <w:rFonts w:asciiTheme="minorEastAsia" w:hAnsiTheme="minorEastAsia"/>
              </w:rPr>
            </w:pPr>
            <w:r>
              <w:rPr>
                <w:rFonts w:hint="eastAsia" w:asciiTheme="minorEastAsia" w:hAnsiTheme="minorEastAsia"/>
                <w:b/>
              </w:rPr>
              <w:t>信用记录查询及使用</w:t>
            </w:r>
          </w:p>
        </w:tc>
        <w:tc>
          <w:tcPr>
            <w:tcW w:w="5954" w:type="dxa"/>
          </w:tcPr>
          <w:p>
            <w:pPr>
              <w:spacing w:line="360" w:lineRule="auto"/>
              <w:rPr>
                <w:rFonts w:asciiTheme="minorEastAsia" w:hAnsiTheme="minorEastAsia"/>
              </w:rPr>
            </w:pPr>
            <w:r>
              <w:rPr>
                <w:rFonts w:hint="eastAsia" w:asciiTheme="minorEastAsia" w:hAnsiTheme="minorEastAsia"/>
              </w:rPr>
              <w:t>政府采购活动中查询及使用投标人信用记录的具体要求为：投标人未被列入</w:t>
            </w:r>
            <w:r>
              <w:rPr>
                <w:rFonts w:asciiTheme="minorEastAsia" w:hAnsiTheme="minorEastAsia"/>
              </w:rPr>
              <w:t>“信用中国”网站</w:t>
            </w:r>
            <w:r>
              <w:rPr>
                <w:rFonts w:hint="eastAsia" w:asciiTheme="minorEastAsia" w:hAnsiTheme="minorEastAsia"/>
              </w:rPr>
              <w:t>失信被执行人、重大税收违法案件当事人名单、“</w:t>
            </w:r>
            <w:r>
              <w:rPr>
                <w:rFonts w:asciiTheme="minorEastAsia" w:hAnsiTheme="minorEastAsia"/>
              </w:rPr>
              <w:t>中国政府采购网</w:t>
            </w:r>
            <w:r>
              <w:rPr>
                <w:rFonts w:hint="eastAsia" w:asciiTheme="minorEastAsia" w:hAnsiTheme="minorEastAsia"/>
              </w:rPr>
              <w:t>”政府采购严重违法失信行为记录名单“中国社会组织公共服务平台”网站（</w:t>
            </w:r>
            <w:r>
              <w:rPr>
                <w:rFonts w:asciiTheme="minorEastAsia" w:hAnsiTheme="minorEastAsia"/>
              </w:rPr>
              <w:t>www.chinanpo.gov.cn</w:t>
            </w:r>
            <w:r>
              <w:rPr>
                <w:rFonts w:hint="eastAsia" w:asciiTheme="minorEastAsia" w:hAnsiTheme="minorEastAsia"/>
              </w:rPr>
              <w:t>）严重违法失信社会组织名单的投标</w:t>
            </w:r>
            <w:r>
              <w:rPr>
                <w:rFonts w:hint="eastAsia" w:cs="仿宋_GB2312" w:asciiTheme="minorEastAsia" w:hAnsiTheme="minorEastAsia"/>
              </w:rPr>
              <w:t>人</w:t>
            </w:r>
            <w:r>
              <w:rPr>
                <w:rFonts w:hint="eastAsia" w:cs="仿宋_GB2312" w:asciiTheme="minorEastAsia" w:hAnsiTheme="minorEastAsia"/>
                <w:b/>
              </w:rPr>
              <w:t>；</w:t>
            </w:r>
            <w:r>
              <w:rPr>
                <w:rFonts w:hint="eastAsia" w:asciiTheme="minorEastAsia" w:hAnsiTheme="minorEastAsia"/>
              </w:rPr>
              <w:t>（联合体形式投标的，联合体成员存在不良信用记录，视同联合体存在不良信用记录）。</w:t>
            </w:r>
          </w:p>
          <w:p>
            <w:pPr>
              <w:spacing w:line="360" w:lineRule="auto"/>
              <w:rPr>
                <w:rFonts w:asciiTheme="minorEastAsia" w:hAnsiTheme="minorEastAsia"/>
              </w:rPr>
            </w:pPr>
            <w:r>
              <w:rPr>
                <w:rFonts w:hint="eastAsia" w:asciiTheme="minorEastAsia" w:hAnsiTheme="minorEastAsia"/>
              </w:rPr>
              <w:t>（1）查询渠道：</w:t>
            </w:r>
          </w:p>
          <w:p>
            <w:pPr>
              <w:spacing w:line="360" w:lineRule="auto"/>
              <w:rPr>
                <w:rFonts w:asciiTheme="minorEastAsia" w:hAnsiTheme="minorEastAsia"/>
              </w:rPr>
            </w:pPr>
            <w:r>
              <w:rPr>
                <w:rFonts w:hint="eastAsia" w:asciiTheme="minorEastAsia" w:hAnsiTheme="minorEastAsia"/>
              </w:rPr>
              <w:t>①“信用中国”网站（</w:t>
            </w:r>
            <w:r>
              <w:fldChar w:fldCharType="begin"/>
            </w:r>
            <w:r>
              <w:instrText xml:space="preserve"> HYPERLINK "http://www.creditchina.gov.cn" </w:instrText>
            </w:r>
            <w:r>
              <w:fldChar w:fldCharType="separate"/>
            </w:r>
            <w:r>
              <w:rPr>
                <w:rStyle w:val="27"/>
                <w:rFonts w:hint="eastAsia" w:asciiTheme="minorEastAsia" w:hAnsiTheme="minorEastAsia"/>
              </w:rPr>
              <w:t>www.creditchina.gov.cn</w:t>
            </w:r>
            <w:r>
              <w:rPr>
                <w:rStyle w:val="27"/>
                <w:rFonts w:hint="eastAsia" w:asciiTheme="minorEastAsia" w:hAnsiTheme="minorEastAsia"/>
              </w:rPr>
              <w:fldChar w:fldCharType="end"/>
            </w:r>
            <w:r>
              <w:rPr>
                <w:rFonts w:hint="eastAsia" w:asciiTheme="minorEastAsia" w:hAnsiTheme="minorEastAsia"/>
              </w:rPr>
              <w:t>）</w:t>
            </w:r>
          </w:p>
          <w:p>
            <w:pPr>
              <w:spacing w:line="360" w:lineRule="auto"/>
              <w:rPr>
                <w:rFonts w:asciiTheme="minorEastAsia" w:hAnsiTheme="minorEastAsia"/>
              </w:rPr>
            </w:pPr>
            <w:r>
              <w:rPr>
                <w:rFonts w:hint="eastAsia" w:asciiTheme="minorEastAsia" w:hAnsiTheme="minorEastAsia"/>
              </w:rPr>
              <w:t>②“中国政府采购网”（www.ccgp.gov.cn）</w:t>
            </w:r>
          </w:p>
          <w:p>
            <w:pPr>
              <w:spacing w:line="360" w:lineRule="auto"/>
            </w:pPr>
            <w:r>
              <w:rPr>
                <w:rFonts w:hint="eastAsia" w:asciiTheme="minorEastAsia" w:hAnsiTheme="minorEastAsia"/>
              </w:rPr>
              <w:t>③</w:t>
            </w:r>
            <w:r>
              <w:rPr>
                <w:rFonts w:hint="eastAsia" w:cs="仿宋_GB2312" w:asciiTheme="minorEastAsia" w:hAnsiTheme="minorEastAsia"/>
              </w:rPr>
              <w:t>“中国社会组织公共服务平台”网站（</w:t>
            </w:r>
            <w:r>
              <w:rPr>
                <w:rFonts w:cs="仿宋_GB2312" w:asciiTheme="minorEastAsia" w:hAnsiTheme="minorEastAsia"/>
              </w:rPr>
              <w:t>www.chinanpo.gov.cn</w:t>
            </w:r>
            <w:r>
              <w:rPr>
                <w:rFonts w:hint="eastAsia" w:cs="仿宋_GB2312" w:asciiTheme="minorEastAsia" w:hAnsiTheme="minorEastAsia"/>
              </w:rPr>
              <w:t>）（仅查询社会组织）</w:t>
            </w:r>
            <w:r>
              <w:rPr>
                <w:rFonts w:hint="eastAsia" w:asciiTheme="minorEastAsia" w:hAnsiTheme="minorEastAsia"/>
              </w:rPr>
              <w:t>；</w:t>
            </w:r>
          </w:p>
          <w:p>
            <w:pPr>
              <w:spacing w:line="360" w:lineRule="auto"/>
              <w:rPr>
                <w:rFonts w:asciiTheme="minorEastAsia" w:hAnsiTheme="minorEastAsia"/>
              </w:rPr>
            </w:pPr>
            <w:r>
              <w:rPr>
                <w:rFonts w:hint="eastAsia" w:asciiTheme="minorEastAsia" w:hAnsiTheme="minorEastAsia"/>
              </w:rPr>
              <w:t>（2）截止时间：同投标截止时间；</w:t>
            </w:r>
          </w:p>
          <w:p>
            <w:pPr>
              <w:spacing w:line="360" w:lineRule="auto"/>
              <w:rPr>
                <w:rFonts w:asciiTheme="minorEastAsia" w:hAnsiTheme="minorEastAsia"/>
              </w:rPr>
            </w:pPr>
            <w:r>
              <w:rPr>
                <w:rFonts w:hint="eastAsia" w:asciiTheme="minorEastAsia" w:hAnsiTheme="minorEastAsia"/>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rPr>
            </w:pPr>
            <w:r>
              <w:rPr>
                <w:rFonts w:hint="eastAsia" w:asciiTheme="minorEastAsia" w:hAnsiTheme="minorEastAsia"/>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rPr>
              <w:t>严重违法失信社会组织</w:t>
            </w:r>
            <w:r>
              <w:rPr>
                <w:rFonts w:hint="eastAsia" w:asciiTheme="minorEastAsia" w:hAnsiTheme="minorEastAsia"/>
              </w:rPr>
              <w:t>的投标人，将拒绝其参与本次政府采购活动。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rPr>
            </w:pPr>
            <w:r>
              <w:rPr>
                <w:rFonts w:hint="eastAsia" w:asciiTheme="minorEastAsia" w:hAnsiTheme="minorEastAsia"/>
                <w:b/>
              </w:rPr>
              <w:t>9</w:t>
            </w:r>
          </w:p>
        </w:tc>
        <w:tc>
          <w:tcPr>
            <w:tcW w:w="2410" w:type="dxa"/>
            <w:vAlign w:val="center"/>
          </w:tcPr>
          <w:p>
            <w:pPr>
              <w:spacing w:line="360" w:lineRule="auto"/>
              <w:rPr>
                <w:rFonts w:asciiTheme="minorEastAsia" w:hAnsiTheme="minorEastAsia"/>
                <w:b/>
              </w:rPr>
            </w:pPr>
            <w:r>
              <w:rPr>
                <w:rFonts w:hint="eastAsia" w:asciiTheme="minorEastAsia" w:hAnsiTheme="minorEastAsia"/>
                <w:b/>
              </w:rPr>
              <w:t>投标人须具备的特殊</w:t>
            </w:r>
          </w:p>
          <w:p>
            <w:pPr>
              <w:spacing w:line="360" w:lineRule="auto"/>
              <w:rPr>
                <w:rFonts w:asciiTheme="minorEastAsia" w:hAnsiTheme="minorEastAsia"/>
                <w:b/>
              </w:rPr>
            </w:pPr>
            <w:r>
              <w:rPr>
                <w:rFonts w:hint="eastAsia" w:asciiTheme="minorEastAsia" w:hAnsiTheme="minorEastAsia"/>
                <w:b/>
              </w:rPr>
              <w:t>资质证书</w:t>
            </w:r>
          </w:p>
        </w:tc>
        <w:tc>
          <w:tcPr>
            <w:tcW w:w="5954" w:type="dxa"/>
            <w:vAlign w:val="center"/>
          </w:tcPr>
          <w:p>
            <w:pPr>
              <w:spacing w:line="360" w:lineRule="auto"/>
              <w:rPr>
                <w:rFonts w:asciiTheme="minorEastAsia" w:hAnsiTheme="minorEastAsia"/>
                <w:b/>
              </w:rPr>
            </w:pPr>
            <w:r>
              <w:rPr>
                <w:rFonts w:hint="eastAsia" w:asciiTheme="minorEastAsia" w:hAnsiTheme="minorEastAsia"/>
                <w:b/>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b/>
              </w:rPr>
            </w:pPr>
            <w:r>
              <w:rPr>
                <w:rFonts w:hint="eastAsia" w:asciiTheme="minorEastAsia" w:hAnsiTheme="minorEastAsia"/>
                <w:b/>
                <w:bCs/>
                <w:szCs w:val="21"/>
              </w:rPr>
              <w:t>10</w:t>
            </w:r>
          </w:p>
        </w:tc>
        <w:tc>
          <w:tcPr>
            <w:tcW w:w="2410" w:type="dxa"/>
            <w:vAlign w:val="center"/>
          </w:tcPr>
          <w:p>
            <w:pPr>
              <w:spacing w:line="360" w:lineRule="auto"/>
              <w:rPr>
                <w:rFonts w:hint="eastAsia" w:ascii="宋体" w:hAnsi="宋体"/>
                <w:b/>
                <w:sz w:val="24"/>
                <w:szCs w:val="24"/>
              </w:rPr>
            </w:pPr>
            <w:r>
              <w:rPr>
                <w:rFonts w:hint="eastAsia" w:asciiTheme="minorEastAsia" w:hAnsiTheme="minorEastAsia"/>
                <w:b/>
                <w:szCs w:val="21"/>
              </w:rPr>
              <w:t>投标保证金</w:t>
            </w:r>
          </w:p>
        </w:tc>
        <w:tc>
          <w:tcPr>
            <w:tcW w:w="5954" w:type="dxa"/>
            <w:vAlign w:val="center"/>
          </w:tcPr>
          <w:p>
            <w:pPr>
              <w:spacing w:line="360" w:lineRule="auto"/>
              <w:rPr>
                <w:rFonts w:hint="eastAsia" w:ascii="宋体" w:hAnsi="宋体"/>
                <w:sz w:val="24"/>
                <w:szCs w:val="24"/>
              </w:rPr>
            </w:pPr>
            <w:r>
              <w:rPr>
                <w:rFonts w:hint="eastAsia" w:cs="仿宋_GB2312" w:asciiTheme="minorEastAsia" w:hAnsiTheme="minorEastAsia"/>
                <w:szCs w:val="21"/>
                <w:lang w:val="zh-CN"/>
              </w:rPr>
              <w:t>按照河南省《关于优化政府采购营商环境有关问题的通知》（豫财购（2019）4号文）的要求，不收取投标保证金。</w:t>
            </w:r>
            <w:r>
              <w:rPr>
                <w:rFonts w:hint="eastAsia" w:cs="仿宋_GB2312" w:asciiTheme="minorEastAsia" w:hAnsiTheme="minorEastAsia"/>
                <w:szCs w:val="21"/>
                <w:lang w:val="zh-CN" w:eastAsia="zh-CN"/>
              </w:rPr>
              <w:t>由投标人参照</w:t>
            </w:r>
            <w:r>
              <w:rPr>
                <w:rFonts w:hint="eastAsia" w:cs="仿宋_GB2312" w:asciiTheme="minorEastAsia" w:hAnsiTheme="minorEastAsia"/>
                <w:szCs w:val="21"/>
                <w:lang w:val="zh-CN"/>
              </w:rPr>
              <w:t>采购文件第八章格式</w:t>
            </w:r>
            <w:r>
              <w:rPr>
                <w:rFonts w:hint="eastAsia" w:cs="仿宋_GB2312" w:asciiTheme="minorEastAsia" w:hAnsiTheme="minorEastAsia"/>
                <w:szCs w:val="21"/>
                <w:lang w:val="zh-CN" w:eastAsia="zh-CN"/>
              </w:rPr>
              <w:t>出具投标承诺函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eastAsia="宋体" w:asciiTheme="minorEastAsia" w:hAnsiTheme="minorEastAsia"/>
                <w:b/>
                <w:lang w:eastAsia="zh-CN"/>
              </w:rPr>
            </w:pPr>
            <w:r>
              <w:rPr>
                <w:rFonts w:hint="eastAsia" w:asciiTheme="minorEastAsia" w:hAnsiTheme="minorEastAsia"/>
                <w:b/>
              </w:rPr>
              <w:t>1</w:t>
            </w:r>
            <w:r>
              <w:rPr>
                <w:rFonts w:hint="eastAsia" w:eastAsia="宋体" w:asciiTheme="minorEastAsia" w:hAnsiTheme="minorEastAsia"/>
                <w:b/>
                <w:lang w:val="en-US" w:eastAsia="zh-CN"/>
              </w:rPr>
              <w:t>1</w:t>
            </w:r>
          </w:p>
        </w:tc>
        <w:tc>
          <w:tcPr>
            <w:tcW w:w="2410" w:type="dxa"/>
            <w:vAlign w:val="center"/>
          </w:tcPr>
          <w:p>
            <w:pPr>
              <w:spacing w:line="360" w:lineRule="auto"/>
              <w:rPr>
                <w:rFonts w:asciiTheme="minorEastAsia" w:hAnsiTheme="minorEastAsia"/>
                <w:b/>
              </w:rPr>
            </w:pPr>
            <w:r>
              <w:rPr>
                <w:rFonts w:hint="eastAsia" w:asciiTheme="minorEastAsia" w:hAnsiTheme="minorEastAsia"/>
                <w:b/>
              </w:rPr>
              <w:t>投标</w:t>
            </w:r>
            <w:r>
              <w:rPr>
                <w:rFonts w:hint="eastAsia" w:cs="仿宋_GB2312" w:asciiTheme="minorEastAsia" w:hAnsiTheme="minorEastAsia"/>
                <w:b/>
              </w:rPr>
              <w:t>报价</w:t>
            </w:r>
          </w:p>
        </w:tc>
        <w:tc>
          <w:tcPr>
            <w:tcW w:w="5954" w:type="dxa"/>
          </w:tcPr>
          <w:p>
            <w:pPr>
              <w:spacing w:line="360" w:lineRule="auto"/>
              <w:rPr>
                <w:rFonts w:asciiTheme="minorEastAsia" w:hAnsiTheme="minorEastAsia"/>
                <w:b/>
              </w:rPr>
            </w:pPr>
            <w:r>
              <w:rPr>
                <w:rFonts w:hint="eastAsia" w:cs="仿宋_GB2312" w:asciiTheme="minorEastAsia" w:hAnsiTheme="minorEastAsia"/>
              </w:rPr>
              <w:t>投标报价是否超出招标文件中规定的预算金额，超出预算金额的投标无效。如投标人须知前附表规定最高限价，则</w:t>
            </w:r>
            <w:r>
              <w:rPr>
                <w:rFonts w:hint="eastAsia" w:cs="宋体" w:asciiTheme="minorEastAsia" w:hAnsiTheme="minorEastAsia"/>
              </w:rPr>
              <w:t>超出预算金额和最高限价的投标无效。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eastAsia="宋体" w:asciiTheme="minorEastAsia" w:hAnsiTheme="minorEastAsia"/>
                <w:b/>
                <w:lang w:eastAsia="zh-CN"/>
              </w:rPr>
            </w:pPr>
            <w:r>
              <w:rPr>
                <w:rFonts w:hint="eastAsia" w:asciiTheme="minorEastAsia" w:hAnsiTheme="minorEastAsia"/>
                <w:b/>
              </w:rPr>
              <w:t>1</w:t>
            </w:r>
            <w:r>
              <w:rPr>
                <w:rFonts w:hint="eastAsia" w:eastAsia="宋体" w:asciiTheme="minorEastAsia" w:hAnsiTheme="minorEastAsia"/>
                <w:b/>
                <w:lang w:val="en-US" w:eastAsia="zh-CN"/>
              </w:rPr>
              <w:t>2</w:t>
            </w:r>
          </w:p>
        </w:tc>
        <w:tc>
          <w:tcPr>
            <w:tcW w:w="2410" w:type="dxa"/>
            <w:vAlign w:val="center"/>
          </w:tcPr>
          <w:p>
            <w:pPr>
              <w:spacing w:line="360" w:lineRule="auto"/>
              <w:rPr>
                <w:rFonts w:asciiTheme="minorEastAsia" w:hAnsiTheme="minorEastAsia"/>
                <w:b/>
              </w:rPr>
            </w:pPr>
            <w:r>
              <w:rPr>
                <w:rFonts w:hint="eastAsia" w:asciiTheme="minorEastAsia" w:hAnsiTheme="minorEastAsia"/>
                <w:b/>
              </w:rPr>
              <w:t>联合体协议</w:t>
            </w:r>
          </w:p>
        </w:tc>
        <w:tc>
          <w:tcPr>
            <w:tcW w:w="5954" w:type="dxa"/>
          </w:tcPr>
          <w:p>
            <w:pPr>
              <w:spacing w:line="360" w:lineRule="auto"/>
              <w:rPr>
                <w:rFonts w:asciiTheme="minorEastAsia" w:hAnsiTheme="minorEastAsia"/>
                <w:b/>
              </w:rPr>
            </w:pPr>
            <w:r>
              <w:rPr>
                <w:rFonts w:hint="eastAsia" w:asciiTheme="minorEastAsia" w:hAnsiTheme="minorEastAsia"/>
              </w:rPr>
              <w:t>招标文件接受联合体投标且投标人为联合体的，投标人应提供本协议；否则无须提供。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eastAsia="宋体" w:asciiTheme="minorEastAsia" w:hAnsiTheme="minorEastAsia"/>
                <w:b/>
                <w:lang w:eastAsia="zh-CN"/>
              </w:rPr>
            </w:pPr>
            <w:r>
              <w:rPr>
                <w:rFonts w:hint="eastAsia" w:asciiTheme="minorEastAsia" w:hAnsiTheme="minorEastAsia"/>
                <w:b/>
              </w:rPr>
              <w:t>1</w:t>
            </w:r>
            <w:r>
              <w:rPr>
                <w:rFonts w:hint="eastAsia" w:eastAsia="宋体" w:asciiTheme="minorEastAsia" w:hAnsiTheme="minorEastAsia"/>
                <w:b/>
                <w:lang w:val="en-US" w:eastAsia="zh-CN"/>
              </w:rPr>
              <w:t>3</w:t>
            </w:r>
          </w:p>
        </w:tc>
        <w:tc>
          <w:tcPr>
            <w:tcW w:w="2410" w:type="dxa"/>
            <w:vAlign w:val="center"/>
          </w:tcPr>
          <w:p>
            <w:pPr>
              <w:spacing w:line="360" w:lineRule="auto"/>
              <w:contextualSpacing/>
              <w:rPr>
                <w:rFonts w:asciiTheme="minorEastAsia" w:hAnsiTheme="minorEastAsia"/>
                <w:b/>
              </w:rPr>
            </w:pPr>
            <w:r>
              <w:rPr>
                <w:rFonts w:hint="eastAsia" w:asciiTheme="minorEastAsia" w:hAnsiTheme="minorEastAsia"/>
                <w:b/>
              </w:rPr>
              <w:t>投标人身份证明及授权</w:t>
            </w:r>
          </w:p>
        </w:tc>
        <w:tc>
          <w:tcPr>
            <w:tcW w:w="5954" w:type="dxa"/>
          </w:tcPr>
          <w:p>
            <w:pPr>
              <w:spacing w:line="360" w:lineRule="auto"/>
              <w:rPr>
                <w:rFonts w:cs="仿宋_GB2312" w:asciiTheme="minorEastAsia" w:hAnsiTheme="minorEastAsia"/>
              </w:rPr>
            </w:pPr>
            <w:r>
              <w:rPr>
                <w:rFonts w:hint="eastAsia" w:cs="仿宋_GB2312" w:asciiTheme="minorEastAsia" w:hAnsiTheme="minorEastAsia"/>
              </w:rPr>
              <w:t>（1）法定代表人身份证明或提供法定代表人授权委托书及被授权人身份证明。（法人投标提供）</w:t>
            </w:r>
          </w:p>
          <w:p>
            <w:pPr>
              <w:spacing w:line="360" w:lineRule="auto"/>
              <w:rPr>
                <w:rFonts w:cs="仿宋_GB2312" w:asciiTheme="minorEastAsia" w:hAnsiTheme="minorEastAsia"/>
              </w:rPr>
            </w:pPr>
            <w:r>
              <w:rPr>
                <w:rFonts w:hint="eastAsia" w:cs="仿宋_GB2312" w:asciiTheme="minorEastAsia" w:hAnsiTheme="minorEastAsia"/>
              </w:rPr>
              <w:t>（2）单位负责人身份证明或提供单位负责人授权委托书及被授权人身份证明。（非法人投标提供）</w:t>
            </w:r>
          </w:p>
          <w:p>
            <w:pPr>
              <w:spacing w:line="360" w:lineRule="auto"/>
              <w:rPr>
                <w:rFonts w:ascii="楷体" w:hAnsi="楷体" w:eastAsia="楷体" w:cs="仿宋_GB2312"/>
                <w:b/>
                <w:sz w:val="24"/>
                <w:szCs w:val="24"/>
              </w:rPr>
            </w:pPr>
            <w:r>
              <w:rPr>
                <w:rFonts w:hint="eastAsia" w:ascii="楷体" w:hAnsi="楷体" w:eastAsia="楷体" w:cs="仿宋_GB2312"/>
                <w:b/>
                <w:sz w:val="24"/>
                <w:szCs w:val="24"/>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rPr>
            </w:pPr>
            <w:r>
              <w:rPr>
                <w:rFonts w:hint="eastAsia" w:ascii="楷体" w:hAnsi="楷体" w:eastAsia="楷体"/>
                <w:color w:val="000000"/>
                <w:sz w:val="24"/>
                <w:szCs w:val="24"/>
              </w:rPr>
              <w:t>③投标人为自然人的，无需填写法定代表人授权书。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eastAsia="宋体" w:asciiTheme="minorEastAsia" w:hAnsiTheme="minorEastAsia"/>
                <w:b/>
                <w:lang w:eastAsia="zh-CN"/>
              </w:rPr>
            </w:pPr>
            <w:r>
              <w:rPr>
                <w:rFonts w:hint="eastAsia" w:asciiTheme="minorEastAsia" w:hAnsiTheme="minorEastAsia"/>
                <w:b/>
              </w:rPr>
              <w:t>1</w:t>
            </w:r>
            <w:r>
              <w:rPr>
                <w:rFonts w:hint="eastAsia" w:eastAsia="宋体" w:asciiTheme="minorEastAsia" w:hAnsiTheme="minorEastAsia"/>
                <w:b/>
                <w:lang w:val="en-US" w:eastAsia="zh-CN"/>
              </w:rPr>
              <w:t>4</w:t>
            </w:r>
          </w:p>
        </w:tc>
        <w:tc>
          <w:tcPr>
            <w:tcW w:w="2410" w:type="dxa"/>
            <w:vAlign w:val="center"/>
          </w:tcPr>
          <w:p>
            <w:pPr>
              <w:spacing w:line="360" w:lineRule="auto"/>
              <w:rPr>
                <w:rFonts w:asciiTheme="minorEastAsia" w:hAnsiTheme="minorEastAsia"/>
                <w:b/>
              </w:rPr>
            </w:pPr>
            <w:r>
              <w:rPr>
                <w:rFonts w:hint="eastAsia" w:asciiTheme="minorEastAsia" w:hAnsiTheme="minorEastAsia"/>
                <w:b/>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rPr>
            </w:pPr>
            <w:r>
              <w:rPr>
                <w:rFonts w:hint="eastAsia" w:cs="仿宋_GB2312" w:asciiTheme="minorEastAsia" w:hAnsiTheme="minorEastAsia"/>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eastAsia="宋体" w:asciiTheme="minorEastAsia" w:hAnsiTheme="minorEastAsia"/>
                <w:b/>
                <w:lang w:eastAsia="zh-CN"/>
              </w:rPr>
            </w:pPr>
            <w:r>
              <w:rPr>
                <w:rFonts w:hint="eastAsia" w:asciiTheme="minorEastAsia" w:hAnsiTheme="minorEastAsia"/>
                <w:b/>
              </w:rPr>
              <w:t>1</w:t>
            </w:r>
            <w:r>
              <w:rPr>
                <w:rFonts w:hint="eastAsia" w:eastAsia="宋体" w:asciiTheme="minorEastAsia" w:hAnsiTheme="minorEastAsia"/>
                <w:b/>
                <w:lang w:val="en-US" w:eastAsia="zh-CN"/>
              </w:rPr>
              <w:t>5</w:t>
            </w:r>
          </w:p>
        </w:tc>
        <w:tc>
          <w:tcPr>
            <w:tcW w:w="2410" w:type="dxa"/>
            <w:vAlign w:val="center"/>
          </w:tcPr>
          <w:p>
            <w:pPr>
              <w:spacing w:line="360" w:lineRule="auto"/>
              <w:rPr>
                <w:rFonts w:asciiTheme="minorEastAsia" w:hAnsiTheme="minorEastAsia"/>
                <w:b/>
              </w:rPr>
            </w:pPr>
            <w:r>
              <w:rPr>
                <w:rFonts w:hint="eastAsia" w:asciiTheme="minorEastAsia" w:hAnsiTheme="minorEastAsia"/>
                <w:b/>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rPr>
            </w:pPr>
            <w:r>
              <w:rPr>
                <w:rFonts w:hint="eastAsia" w:cs="仿宋_GB2312" w:asciiTheme="minorEastAsia" w:hAnsiTheme="minorEastAsia"/>
              </w:rPr>
              <w:t>投标人</w:t>
            </w:r>
            <w:bookmarkStart w:id="22" w:name="baidusnap2"/>
            <w:bookmarkEnd w:id="22"/>
            <w:r>
              <w:rPr>
                <w:rFonts w:hint="eastAsia" w:cs="仿宋_GB2312" w:asciiTheme="minorEastAsia" w:hAnsiTheme="minorEastAsia"/>
              </w:rPr>
              <w:t>提供未为本项目提供整体设计、</w:t>
            </w:r>
            <w:bookmarkStart w:id="23" w:name="baidusnap9"/>
            <w:bookmarkEnd w:id="23"/>
            <w:r>
              <w:rPr>
                <w:rFonts w:hint="eastAsia" w:cs="仿宋_GB2312" w:asciiTheme="minorEastAsia" w:hAnsiTheme="minorEastAsia"/>
              </w:rPr>
              <w:t>规范编制或者项目管理、监理、检测等服务承诺函（承诺函格式自拟）。</w:t>
            </w:r>
          </w:p>
          <w:p>
            <w:pPr>
              <w:spacing w:line="360" w:lineRule="auto"/>
              <w:rPr>
                <w:rFonts w:asciiTheme="minorEastAsia" w:hAnsiTheme="minorEastAsia"/>
              </w:rPr>
            </w:pPr>
          </w:p>
        </w:tc>
      </w:tr>
    </w:tbl>
    <w:p>
      <w:pPr>
        <w:pStyle w:val="14"/>
        <w:spacing w:line="360" w:lineRule="auto"/>
        <w:ind w:firstLine="200"/>
        <w:contextualSpacing/>
        <w:rPr>
          <w:rFonts w:cs="仿宋_GB2312" w:asciiTheme="minorEastAsia" w:hAnsiTheme="minorEastAsia" w:eastAsiaTheme="minorEastAsia"/>
          <w:b/>
        </w:rPr>
      </w:pPr>
    </w:p>
    <w:p>
      <w:pPr>
        <w:pStyle w:val="14"/>
        <w:spacing w:line="360" w:lineRule="auto"/>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二、评标</w:t>
      </w:r>
    </w:p>
    <w:p>
      <w:pPr>
        <w:pStyle w:val="14"/>
        <w:spacing w:line="360" w:lineRule="auto"/>
        <w:ind w:firstLine="20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（一）评标方法</w:t>
      </w:r>
    </w:p>
    <w:p>
      <w:pPr>
        <w:pStyle w:val="14"/>
        <w:spacing w:line="360" w:lineRule="auto"/>
        <w:ind w:firstLine="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本项目采用综合评分法。总分为100分。</w:t>
      </w:r>
    </w:p>
    <w:p>
      <w:pPr>
        <w:pStyle w:val="14"/>
        <w:spacing w:line="360" w:lineRule="auto"/>
        <w:ind w:firstLine="20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（二）</w:t>
      </w:r>
      <w:r>
        <w:rPr>
          <w:rFonts w:cs="仿宋_GB2312" w:asciiTheme="minorEastAsia" w:hAnsiTheme="minorEastAsia" w:eastAsiaTheme="minorEastAsia"/>
          <w:b/>
          <w:sz w:val="21"/>
          <w:szCs w:val="21"/>
        </w:rPr>
        <w:t>评标委员会负责具体评标事务，并独立履行下列职责</w:t>
      </w:r>
    </w:p>
    <w:p>
      <w:pPr>
        <w:pStyle w:val="14"/>
        <w:spacing w:line="360" w:lineRule="auto"/>
        <w:ind w:firstLine="200"/>
        <w:contextualSpacing/>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w:t>
      </w:r>
      <w:r>
        <w:rPr>
          <w:rFonts w:cs="仿宋_GB2312" w:asciiTheme="minorEastAsia" w:hAnsiTheme="minorEastAsia" w:eastAsiaTheme="minorEastAsia"/>
          <w:b/>
          <w:sz w:val="21"/>
          <w:szCs w:val="21"/>
        </w:rPr>
        <w:t>审查、评价投标文件是否符合招标文件的商务、技术等实质性要求；</w:t>
      </w:r>
    </w:p>
    <w:p>
      <w:pPr>
        <w:pStyle w:val="14"/>
        <w:spacing w:line="360" w:lineRule="auto"/>
        <w:ind w:firstLine="20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评标委员会对符合资格的投标人的投标文件进行符合性审查，以确定其是否满足招标文件的商务、技术等实质性要求。</w:t>
      </w:r>
    </w:p>
    <w:p>
      <w:pPr>
        <w:pStyle w:val="14"/>
        <w:spacing w:line="360" w:lineRule="auto"/>
        <w:ind w:firstLine="200"/>
        <w:contextualSpacing/>
        <w:jc w:val="left"/>
        <w:rPr>
          <w:rFonts w:cs="仿宋_GB2312" w:asciiTheme="minorEastAsia" w:hAnsiTheme="minorEastAsia"/>
          <w:sz w:val="21"/>
          <w:szCs w:val="21"/>
        </w:rPr>
      </w:pPr>
      <w:r>
        <w:rPr>
          <w:rFonts w:hint="eastAsia" w:cs="仿宋_GB2312" w:asciiTheme="minorEastAsia" w:hAnsiTheme="minorEastAsia"/>
          <w:sz w:val="21"/>
          <w:szCs w:val="21"/>
        </w:rPr>
        <w:t>注：符合性审查中所涉及到的证书及材料，均应在电子投标文件中提供原件扫描件（或图片）。</w:t>
      </w:r>
    </w:p>
    <w:p>
      <w:pPr>
        <w:pStyle w:val="14"/>
        <w:spacing w:line="360" w:lineRule="auto"/>
        <w:ind w:firstLine="20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w:t>
      </w:r>
      <w:r>
        <w:rPr>
          <w:rFonts w:cs="仿宋_GB2312" w:asciiTheme="minorEastAsia" w:hAnsiTheme="minorEastAsia" w:eastAsiaTheme="minorEastAsia"/>
          <w:b/>
          <w:sz w:val="21"/>
          <w:szCs w:val="21"/>
        </w:rPr>
        <w:t>要求投标人对投标文件有关事项作出澄清或者说明；</w:t>
      </w:r>
    </w:p>
    <w:p>
      <w:pPr>
        <w:pStyle w:val="14"/>
        <w:spacing w:line="360" w:lineRule="auto"/>
        <w:ind w:firstLine="200"/>
        <w:contextualSpacing/>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200"/>
        <w:contextualSpacing/>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3、</w:t>
      </w:r>
      <w:r>
        <w:rPr>
          <w:rFonts w:cs="仿宋_GB2312" w:asciiTheme="minorEastAsia" w:hAnsiTheme="minorEastAsia" w:eastAsiaTheme="minorEastAsia"/>
          <w:b/>
          <w:sz w:val="21"/>
          <w:szCs w:val="21"/>
        </w:rPr>
        <w:t>对投标文件进行比较和评价；</w:t>
      </w:r>
    </w:p>
    <w:p>
      <w:pPr>
        <w:pStyle w:val="14"/>
        <w:spacing w:line="360" w:lineRule="auto"/>
        <w:ind w:firstLine="200"/>
        <w:contextualSpacing/>
        <w:rPr>
          <w:rFonts w:cs="仿宋_GB2312" w:asciiTheme="minorEastAsia" w:hAnsiTheme="minorEastAsia"/>
          <w:sz w:val="21"/>
          <w:szCs w:val="21"/>
        </w:rPr>
      </w:pPr>
      <w:r>
        <w:rPr>
          <w:rFonts w:hint="eastAsia" w:cs="仿宋_GB2312" w:asciiTheme="minorEastAsia" w:hAnsiTheme="minorEastAsia" w:eastAsiaTheme="minor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rPr>
        <w:t>评标过程中，不得去掉报价中的最高报价和最低报价。</w:t>
      </w:r>
    </w:p>
    <w:p>
      <w:pPr>
        <w:pStyle w:val="14"/>
        <w:spacing w:line="360" w:lineRule="auto"/>
        <w:ind w:firstLine="200"/>
        <w:contextualSpacing/>
        <w:rPr>
          <w:rFonts w:cs="仿宋_GB2312" w:asciiTheme="minorEastAsia" w:hAnsiTheme="minorEastAsia"/>
          <w:sz w:val="21"/>
          <w:szCs w:val="21"/>
        </w:rPr>
      </w:pPr>
      <w:r>
        <w:rPr>
          <w:rFonts w:hint="eastAsia" w:cs="仿宋_GB2312" w:asciiTheme="minorEastAsia" w:hAnsiTheme="minorEastAsia"/>
          <w:sz w:val="21"/>
          <w:szCs w:val="21"/>
        </w:rPr>
        <w:t>注：评标标准中所涉及到的证书及材料，均应在电子投标文件中提供原件扫描件（或图片）。</w:t>
      </w:r>
    </w:p>
    <w:p>
      <w:pPr>
        <w:pStyle w:val="14"/>
        <w:spacing w:line="360" w:lineRule="auto"/>
        <w:ind w:firstLine="20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（1）价格分计算</w:t>
      </w:r>
    </w:p>
    <w:p>
      <w:pPr>
        <w:pStyle w:val="14"/>
        <w:spacing w:line="360" w:lineRule="auto"/>
        <w:ind w:firstLine="200"/>
        <w:contextualSpacing/>
        <w:rPr>
          <w:rFonts w:cs="仿宋_GB2312" w:asciiTheme="minorEastAsia" w:hAnsiTheme="minorEastAsia" w:eastAsiaTheme="minorEastAsia"/>
          <w:sz w:val="21"/>
          <w:szCs w:val="21"/>
        </w:rPr>
      </w:pPr>
    </w:p>
    <w:p>
      <w:pPr>
        <w:pStyle w:val="14"/>
        <w:spacing w:line="360" w:lineRule="auto"/>
        <w:ind w:firstLine="200"/>
        <w:contextualSpacing/>
        <w:rPr>
          <w:rFonts w:cs="仿宋_GB2312" w:asciiTheme="minorEastAsia" w:hAnsiTheme="minorEastAsia" w:eastAsiaTheme="minorEastAsia"/>
          <w:sz w:val="21"/>
          <w:szCs w:val="21"/>
        </w:rPr>
      </w:pPr>
    </w:p>
    <w:p>
      <w:pPr>
        <w:pStyle w:val="14"/>
        <w:spacing w:line="360" w:lineRule="auto"/>
        <w:ind w:firstLine="200"/>
        <w:contextualSpacing/>
        <w:rPr>
          <w:rFonts w:cs="仿宋_GB2312" w:asciiTheme="minorEastAsia" w:hAnsiTheme="minorEastAsia" w:eastAsiaTheme="minorEastAsia"/>
          <w:sz w:val="21"/>
          <w:szCs w:val="21"/>
        </w:rPr>
      </w:pPr>
    </w:p>
    <w:p>
      <w:pPr>
        <w:pStyle w:val="14"/>
        <w:spacing w:line="360" w:lineRule="auto"/>
        <w:ind w:firstLine="200"/>
        <w:contextualSpacing/>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200"/>
        <w:contextualSpacing/>
        <w:rPr>
          <w:rFonts w:cs="仿宋_GB2312" w:asciiTheme="minorEastAsia" w:hAnsiTheme="minorEastAsia"/>
        </w:rPr>
      </w:pPr>
      <w:r>
        <w:rPr>
          <w:rFonts w:hint="eastAsia" w:cs="仿宋_GB2312" w:asciiTheme="minorEastAsia" w:hAnsiTheme="minorEastAsia"/>
        </w:rPr>
        <w:t>小型和微型企业不包含民办非企业单位。</w:t>
      </w:r>
    </w:p>
    <w:p>
      <w:pPr>
        <w:spacing w:line="360" w:lineRule="auto"/>
        <w:ind w:firstLine="200"/>
        <w:contextualSpacing/>
        <w:rPr>
          <w:rFonts w:cs="仿宋_GB2312" w:asciiTheme="minorEastAsia" w:hAnsiTheme="minorEastAsia"/>
        </w:rPr>
      </w:pPr>
      <w:r>
        <w:rPr>
          <w:rFonts w:hint="eastAsia" w:cs="仿宋_GB2312" w:asciiTheme="minorEastAsia" w:hAnsiTheme="minorEastAsia"/>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200"/>
        <w:contextualSpacing/>
        <w:rPr>
          <w:rFonts w:cs="仿宋_GB2312" w:asciiTheme="minorEastAsia" w:hAnsiTheme="minorEastAsia" w:eastAsiaTheme="minorEastAsia"/>
          <w:b/>
          <w:sz w:val="21"/>
          <w:szCs w:val="21"/>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rPr>
        <w:t>关于相同品牌产品（服务类项目不适用本条款规定）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rPr>
        <w:t>采取随机抽取</w:t>
      </w:r>
      <w:r>
        <w:rPr>
          <w:rFonts w:cs="仿宋_GB2312" w:asciiTheme="minorEastAsia" w:hAnsiTheme="minorEastAsia" w:eastAsiaTheme="minorEastAsia"/>
          <w:sz w:val="21"/>
          <w:szCs w:val="21"/>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采用综合评分法的，提供相同品牌产品</w:t>
      </w:r>
      <w:r>
        <w:rPr>
          <w:rFonts w:hint="eastAsia" w:cs="仿宋_GB2312" w:asciiTheme="minorEastAsia" w:hAnsiTheme="minorEastAsia" w:eastAsiaTheme="minorEastAsia"/>
          <w:sz w:val="21"/>
          <w:szCs w:val="21"/>
        </w:rPr>
        <w:t>（</w:t>
      </w:r>
      <w:r>
        <w:rPr>
          <w:rFonts w:cs="仿宋_GB2312" w:asciiTheme="minorEastAsia" w:hAnsiTheme="minorEastAsia" w:eastAsiaTheme="minorEastAsia"/>
          <w:sz w:val="21"/>
          <w:szCs w:val="21"/>
        </w:rPr>
        <w:t>非单一产品采购项目，多家投标人提供的核心产品品牌相同</w:t>
      </w:r>
      <w:r>
        <w:rPr>
          <w:rFonts w:hint="eastAsia" w:cs="仿宋_GB2312" w:asciiTheme="minorEastAsia" w:hAnsiTheme="minorEastAsia" w:eastAsiaTheme="minorEastAsia"/>
          <w:sz w:val="21"/>
          <w:szCs w:val="21"/>
        </w:rPr>
        <w:t>）</w:t>
      </w:r>
      <w:r>
        <w:rPr>
          <w:rFonts w:cs="仿宋_GB2312" w:asciiTheme="minorEastAsia" w:hAnsiTheme="minorEastAsia" w:eastAsiaTheme="minorEastAsia"/>
          <w:sz w:val="21"/>
          <w:szCs w:val="21"/>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rPr>
        <w:t>由采购人或者采购人委托评标委员会</w:t>
      </w:r>
      <w:r>
        <w:rPr>
          <w:rFonts w:cs="仿宋_GB2312" w:asciiTheme="minorEastAsia" w:hAnsiTheme="minorEastAsia" w:eastAsiaTheme="minorEastAsia"/>
          <w:sz w:val="21"/>
          <w:szCs w:val="21"/>
        </w:rPr>
        <w:t>采取随机抽取方式确定</w:t>
      </w:r>
      <w:r>
        <w:rPr>
          <w:rFonts w:hint="eastAsia" w:cs="仿宋_GB2312" w:asciiTheme="minorEastAsia" w:hAnsiTheme="minorEastAsia" w:eastAsiaTheme="minorEastAsia"/>
          <w:sz w:val="21"/>
          <w:szCs w:val="21"/>
        </w:rPr>
        <w:t>一个投标人获得中标人推荐资格</w:t>
      </w:r>
      <w:r>
        <w:rPr>
          <w:rFonts w:cs="仿宋_GB2312" w:asciiTheme="minorEastAsia" w:hAnsiTheme="minorEastAsia" w:eastAsiaTheme="minorEastAsia"/>
          <w:sz w:val="21"/>
          <w:szCs w:val="21"/>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（3）关于强制性产品认证</w:t>
      </w:r>
    </w:p>
    <w:p>
      <w:pPr>
        <w:spacing w:line="360" w:lineRule="auto"/>
        <w:ind w:firstLine="200"/>
        <w:contextualSpacing/>
        <w:rPr>
          <w:rFonts w:cs="宋体" w:asciiTheme="minorEastAsia" w:hAnsiTheme="minorEastAsia"/>
        </w:rPr>
      </w:pPr>
      <w:r>
        <w:rPr>
          <w:rFonts w:hint="eastAsia" w:cs="仿宋_GB2312" w:asciiTheme="minorEastAsia" w:hAnsiTheme="minorEastAsia"/>
        </w:rPr>
        <w:t>1）如投标人所投产品属于“中国强制性产品认证”（3C认证）范围内,则必须承诺采用</w:t>
      </w:r>
      <w:r>
        <w:rPr>
          <w:rFonts w:cs="仿宋_GB2312" w:asciiTheme="minorEastAsia" w:hAnsiTheme="minorEastAsia"/>
        </w:rPr>
        <w:t>《中华人民共和国实施强制性产品认证的产品目录》</w:t>
      </w:r>
      <w:r>
        <w:rPr>
          <w:rFonts w:hint="eastAsia" w:cs="仿宋_GB2312" w:asciiTheme="minorEastAsia" w:hAnsiTheme="minorEastAsia"/>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200"/>
        <w:contextualSpacing/>
        <w:rPr>
          <w:rFonts w:cs="仿宋_GB2312" w:asciiTheme="minorEastAsia" w:hAnsiTheme="minorEastAsia"/>
        </w:rPr>
      </w:pPr>
      <w:r>
        <w:rPr>
          <w:rFonts w:hint="eastAsia" w:cs="宋体" w:asciiTheme="minorEastAsia" w:hAnsiTheme="minorEastAsia"/>
        </w:rPr>
        <w:t>2)投标人所投产品如被列入</w:t>
      </w:r>
      <w:r>
        <w:rPr>
          <w:rFonts w:cs="宋体" w:asciiTheme="minorEastAsia" w:hAnsiTheme="minorEastAsia"/>
        </w:rPr>
        <w:t>《信息安全产品强制性认证目录》，</w:t>
      </w:r>
      <w:r>
        <w:rPr>
          <w:rFonts w:hint="eastAsia" w:cs="仿宋_GB2312" w:asciiTheme="minorEastAsia" w:hAnsiTheme="minorEastAsia"/>
        </w:rPr>
        <w:t>则投标文件中应根据本项目招标文件“第二章 项目需求”</w:t>
      </w:r>
      <w:r>
        <w:rPr>
          <w:rFonts w:cs="仿宋_GB2312" w:asciiTheme="minorEastAsia" w:hAnsiTheme="minorEastAsia"/>
        </w:rPr>
        <w:t>提供</w:t>
      </w:r>
      <w:r>
        <w:rPr>
          <w:rFonts w:hint="eastAsia" w:cs="仿宋_GB2312" w:asciiTheme="minorEastAsia" w:hAnsiTheme="minorEastAsia"/>
        </w:rPr>
        <w:t>：</w:t>
      </w:r>
    </w:p>
    <w:p>
      <w:pPr>
        <w:wordWrap w:val="0"/>
        <w:autoSpaceDE w:val="0"/>
        <w:autoSpaceDN w:val="0"/>
        <w:spacing w:line="360" w:lineRule="auto"/>
        <w:ind w:firstLine="200"/>
        <w:contextualSpacing/>
        <w:rPr>
          <w:rFonts w:cs="宋体" w:asciiTheme="minorEastAsia" w:hAnsiTheme="minorEastAsia"/>
        </w:rPr>
      </w:pPr>
      <w:r>
        <w:rPr>
          <w:rFonts w:hint="eastAsia" w:cs="宋体" w:asciiTheme="minorEastAsia" w:hAnsiTheme="minorEastAsia"/>
        </w:rPr>
        <w:t>①中国信息安全认证中心官网（</w:t>
      </w:r>
      <w:r>
        <w:rPr>
          <w:rFonts w:cs="宋体" w:asciiTheme="minorEastAsia" w:hAnsiTheme="minorEastAsia"/>
        </w:rPr>
        <w:t>http://www.isccc.gov.cn/index.shtml</w:t>
      </w:r>
      <w:r>
        <w:rPr>
          <w:rFonts w:hint="eastAsia" w:cs="宋体" w:asciiTheme="minorEastAsia" w:hAnsiTheme="minorEastAsia"/>
        </w:rPr>
        <w:t>）产品查询结果截图并加盖投标人公章；</w:t>
      </w:r>
    </w:p>
    <w:p>
      <w:pPr>
        <w:wordWrap w:val="0"/>
        <w:autoSpaceDE w:val="0"/>
        <w:autoSpaceDN w:val="0"/>
        <w:spacing w:line="360" w:lineRule="auto"/>
        <w:ind w:firstLine="200"/>
        <w:contextualSpacing/>
        <w:rPr>
          <w:rFonts w:cs="仿宋_GB2312" w:asciiTheme="minorEastAsia" w:hAnsiTheme="minorEastAsia"/>
        </w:rPr>
      </w:pPr>
      <w:r>
        <w:rPr>
          <w:rFonts w:hint="eastAsia" w:cs="宋体" w:asciiTheme="minorEastAsia" w:hAnsiTheme="minorEastAsia"/>
        </w:rPr>
        <w:t>②中国信息安全认证中心</w:t>
      </w:r>
      <w:r>
        <w:rPr>
          <w:rFonts w:hint="eastAsia" w:cs="仿宋_GB2312" w:asciiTheme="minorEastAsia" w:hAnsiTheme="minorEastAsia"/>
        </w:rPr>
        <w:t>颁发的《中国国家信息安全产品认证证书》加盖投标人公章的原件扫描件（或图片）。</w:t>
      </w:r>
    </w:p>
    <w:p>
      <w:pPr>
        <w:spacing w:line="360" w:lineRule="auto"/>
        <w:ind w:firstLine="200"/>
        <w:contextualSpacing/>
        <w:rPr>
          <w:rFonts w:ascii="楷体" w:hAnsi="楷体" w:eastAsia="楷体"/>
          <w:color w:val="000000"/>
          <w:sz w:val="24"/>
          <w:szCs w:val="24"/>
        </w:rPr>
      </w:pPr>
      <w:r>
        <w:rPr>
          <w:rFonts w:hint="eastAsia" w:ascii="楷体" w:hAnsi="楷体" w:eastAsia="楷体" w:cs="仿宋_GB2312"/>
          <w:sz w:val="24"/>
          <w:szCs w:val="24"/>
        </w:rPr>
        <w:t>注：仅需提供序号</w:t>
      </w:r>
      <w:r>
        <w:rPr>
          <w:rFonts w:hint="eastAsia" w:ascii="楷体" w:hAnsi="楷体" w:eastAsia="楷体"/>
          <w:color w:val="000000"/>
          <w:sz w:val="24"/>
          <w:szCs w:val="24"/>
        </w:rPr>
        <w:t>①～②其中之一即可。</w:t>
      </w:r>
    </w:p>
    <w:p>
      <w:pPr>
        <w:spacing w:line="360" w:lineRule="auto"/>
        <w:ind w:firstLine="200"/>
        <w:contextualSpacing/>
        <w:rPr>
          <w:rFonts w:ascii="宋体" w:cs="仿宋_GB2312"/>
          <w:b/>
        </w:rPr>
      </w:pPr>
      <w:r>
        <w:rPr>
          <w:rFonts w:hint="eastAsia" w:ascii="宋体" w:hAnsi="宋体" w:cs="仿宋_GB2312"/>
          <w:b/>
        </w:rPr>
        <w:t>（4）支持脱贫攻坚（物业服务采购）</w:t>
      </w:r>
    </w:p>
    <w:p>
      <w:pPr>
        <w:tabs>
          <w:tab w:val="left" w:pos="1260"/>
        </w:tabs>
        <w:autoSpaceDE w:val="0"/>
        <w:autoSpaceDN w:val="0"/>
        <w:spacing w:line="360" w:lineRule="auto"/>
        <w:ind w:firstLine="200"/>
        <w:contextualSpacing/>
        <w:rPr>
          <w:rFonts w:ascii="宋体" w:hAnsi="宋体" w:cs="仿宋_GB2312"/>
        </w:rPr>
      </w:pPr>
      <w:r>
        <w:rPr>
          <w:rFonts w:hint="eastAsia" w:ascii="宋体" w:hAnsi="宋体" w:cs="仿宋_GB2312"/>
        </w:rPr>
        <w:t>在物业项目中，对注册地在</w:t>
      </w:r>
      <w:r>
        <w:rPr>
          <w:rFonts w:ascii="宋体" w:hAnsi="宋体" w:cs="仿宋_GB2312"/>
        </w:rPr>
        <w:t>832</w:t>
      </w:r>
      <w:r>
        <w:rPr>
          <w:rFonts w:hint="eastAsia" w:ascii="宋体" w:hAnsi="宋体" w:cs="仿宋_GB2312"/>
        </w:rPr>
        <w:t>个国家级贫困县域内且聘用建档立卡贫困人员的物业公司，提供注册地证明材料、贫困县扶贫部门出具的聘用建档立卡贫困人员身份证明及社保材料（开标前</w:t>
      </w:r>
      <w:r>
        <w:rPr>
          <w:rFonts w:ascii="宋体" w:hAnsi="宋体" w:cs="仿宋_GB2312"/>
        </w:rPr>
        <w:t>12</w:t>
      </w:r>
      <w:r>
        <w:rPr>
          <w:rFonts w:hint="eastAsia" w:ascii="宋体" w:hAnsi="宋体" w:cs="仿宋_GB2312"/>
        </w:rPr>
        <w:t>个月内至少连续</w:t>
      </w:r>
      <w:r>
        <w:rPr>
          <w:rFonts w:ascii="宋体" w:hAnsi="宋体" w:cs="仿宋_GB2312"/>
        </w:rPr>
        <w:t>3</w:t>
      </w:r>
      <w:r>
        <w:rPr>
          <w:rFonts w:hint="eastAsia" w:ascii="宋体" w:hAnsi="宋体" w:cs="仿宋_GB2312"/>
        </w:rPr>
        <w:t>个月）的有效证明后，评标委员会根据本项目评标标准予以判定并赋分.</w:t>
      </w:r>
    </w:p>
    <w:p>
      <w:pPr>
        <w:tabs>
          <w:tab w:val="left" w:pos="1260"/>
        </w:tabs>
        <w:autoSpaceDE w:val="0"/>
        <w:autoSpaceDN w:val="0"/>
        <w:spacing w:line="360" w:lineRule="auto"/>
        <w:ind w:firstLine="200"/>
        <w:contextualSpacing/>
        <w:rPr>
          <w:rFonts w:cs="仿宋_GB2312" w:asciiTheme="minorEastAsia" w:hAnsiTheme="minorEastAsia"/>
          <w:b/>
        </w:rPr>
      </w:pPr>
      <w:r>
        <w:rPr>
          <w:rFonts w:hint="eastAsia" w:cs="仿宋_GB2312" w:asciiTheme="minorEastAsia" w:hAnsiTheme="minorEastAsia"/>
          <w:b/>
        </w:rPr>
        <w:t>（5）投标无效情形</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2）符合性审查资料未按招标文件要求签署、盖章的；</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3）有下列情形之一的，视为投标人串通投标，其投标无效：</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a.不同投标人的投标文件由同一单位或者个人编制；</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b.不同投标人委托同一单位或者个人办理投标事宜；</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c.不同投标人的投标文件载明的项目管理成员或者联系人员为同一人；</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d.不同投标人的投标文件异常一致或者投标报价呈规律性差异；</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e.不同投标人的投标文件相互混装；</w:t>
      </w:r>
    </w:p>
    <w:p>
      <w:pPr>
        <w:spacing w:line="360" w:lineRule="auto"/>
        <w:ind w:firstLine="200"/>
        <w:contextualSpacing/>
        <w:rPr>
          <w:rFonts w:cs="仿宋_GB2312" w:asciiTheme="minorEastAsia" w:hAnsiTheme="minorEastAsia"/>
        </w:rPr>
      </w:pPr>
      <w:r>
        <w:rPr>
          <w:rFonts w:hint="eastAsia" w:cs="仿宋_GB2312" w:asciiTheme="minorEastAsia" w:hAnsiTheme="minorEastAsi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200"/>
        <w:contextualSpacing/>
        <w:rPr>
          <w:rFonts w:cs="仿宋_GB2312" w:asciiTheme="minorEastAsia" w:hAnsiTheme="minorEastAsia"/>
        </w:rPr>
      </w:pPr>
      <w:r>
        <w:rPr>
          <w:rFonts w:hint="eastAsia" w:cs="仿宋_GB2312" w:asciiTheme="minorEastAsia" w:hAnsiTheme="minorEastAsia"/>
        </w:rPr>
        <w:t>5）</w:t>
      </w:r>
      <w:r>
        <w:rPr>
          <w:rFonts w:cs="仿宋_GB2312" w:asciiTheme="minorEastAsia" w:hAnsiTheme="minorEastAsia"/>
        </w:rPr>
        <w:t>法律、法规和招标文件规定的其他无效情形。</w:t>
      </w:r>
    </w:p>
    <w:p>
      <w:pPr>
        <w:pStyle w:val="14"/>
        <w:spacing w:line="360" w:lineRule="auto"/>
        <w:ind w:firstLine="200"/>
        <w:contextualSpacing/>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（6）评标标准</w:t>
      </w:r>
    </w:p>
    <w:tbl>
      <w:tblPr>
        <w:tblStyle w:val="22"/>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9"/>
        <w:gridCol w:w="1578"/>
        <w:gridCol w:w="6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2977" w:type="dxa"/>
            <w:gridSpan w:val="2"/>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Theme="minorEastAsia" w:hAnsiTheme="minorEastAsia"/>
              </w:rPr>
            </w:pPr>
            <w:r>
              <w:rPr>
                <w:rFonts w:hint="eastAsia" w:asciiTheme="minorEastAsia" w:hAnsiTheme="minorEastAsia"/>
              </w:rPr>
              <w:t>分值构成</w:t>
            </w:r>
          </w:p>
          <w:p>
            <w:pPr>
              <w:keepNext w:val="0"/>
              <w:keepLines w:val="0"/>
              <w:pageBreakBefore w:val="0"/>
              <w:widowControl/>
              <w:kinsoku/>
              <w:wordWrap/>
              <w:overflowPunct/>
              <w:topLinePunct w:val="0"/>
              <w:autoSpaceDE/>
              <w:autoSpaceDN/>
              <w:bidi w:val="0"/>
              <w:adjustRightInd/>
              <w:snapToGrid w:val="0"/>
              <w:spacing w:before="120" w:line="400" w:lineRule="exact"/>
              <w:jc w:val="center"/>
              <w:textAlignment w:val="auto"/>
            </w:pPr>
            <w:r>
              <w:rPr>
                <w:rFonts w:hint="eastAsia" w:asciiTheme="minorEastAsia" w:hAnsiTheme="minorEastAsia"/>
              </w:rPr>
              <w:t>(总分100分)</w:t>
            </w:r>
          </w:p>
        </w:tc>
        <w:tc>
          <w:tcPr>
            <w:tcW w:w="6163" w:type="dxa"/>
            <w:vAlign w:val="center"/>
          </w:tcPr>
          <w:p>
            <w:pPr>
              <w:keepNext w:val="0"/>
              <w:keepLines w:val="0"/>
              <w:pageBreakBefore w:val="0"/>
              <w:widowControl/>
              <w:kinsoku/>
              <w:wordWrap/>
              <w:overflowPunct/>
              <w:topLinePunct w:val="0"/>
              <w:autoSpaceDE/>
              <w:autoSpaceDN/>
              <w:bidi w:val="0"/>
              <w:adjustRightInd/>
              <w:spacing w:line="400" w:lineRule="exact"/>
              <w:ind w:firstLine="200"/>
              <w:textAlignment w:val="auto"/>
              <w:rPr>
                <w:rFonts w:asciiTheme="minorEastAsia" w:hAnsiTheme="minorEastAsia"/>
              </w:rPr>
            </w:pPr>
            <w:r>
              <w:rPr>
                <w:rFonts w:hint="eastAsia" w:asciiTheme="minorEastAsia" w:hAnsiTheme="minorEastAsia"/>
              </w:rPr>
              <w:t>价格分值：</w:t>
            </w:r>
            <w:r>
              <w:rPr>
                <w:rFonts w:hint="eastAsia" w:asciiTheme="minorEastAsia" w:hAnsiTheme="minorEastAsia"/>
                <w:u w:val="single"/>
              </w:rPr>
              <w:t>40</w:t>
            </w:r>
            <w:r>
              <w:rPr>
                <w:rFonts w:hint="eastAsia" w:asciiTheme="minorEastAsia" w:hAnsiTheme="minorEastAsia"/>
              </w:rPr>
              <w:t>分</w:t>
            </w:r>
          </w:p>
          <w:p>
            <w:pPr>
              <w:keepNext w:val="0"/>
              <w:keepLines w:val="0"/>
              <w:pageBreakBefore w:val="0"/>
              <w:widowControl/>
              <w:kinsoku/>
              <w:wordWrap/>
              <w:overflowPunct/>
              <w:topLinePunct w:val="0"/>
              <w:autoSpaceDE/>
              <w:autoSpaceDN/>
              <w:bidi w:val="0"/>
              <w:adjustRightInd/>
              <w:spacing w:line="400" w:lineRule="exact"/>
              <w:ind w:firstLine="200"/>
              <w:textAlignment w:val="auto"/>
              <w:rPr>
                <w:rFonts w:asciiTheme="minorEastAsia" w:hAnsiTheme="minorEastAsia"/>
              </w:rPr>
            </w:pPr>
            <w:r>
              <w:rPr>
                <w:rFonts w:hint="eastAsia" w:asciiTheme="minorEastAsia" w:hAnsiTheme="minorEastAsia"/>
              </w:rPr>
              <w:t>商务部分：</w:t>
            </w:r>
            <w:r>
              <w:rPr>
                <w:rFonts w:hint="eastAsia" w:asciiTheme="minorEastAsia" w:hAnsiTheme="minorEastAsia"/>
                <w:u w:val="single"/>
              </w:rPr>
              <w:t>3</w:t>
            </w:r>
            <w:r>
              <w:rPr>
                <w:rFonts w:hint="eastAsia" w:eastAsia="宋体" w:asciiTheme="minorEastAsia" w:hAnsiTheme="minorEastAsia"/>
                <w:u w:val="single"/>
                <w:lang w:val="en-US" w:eastAsia="zh-CN"/>
              </w:rPr>
              <w:t>5</w:t>
            </w:r>
            <w:r>
              <w:rPr>
                <w:rFonts w:hint="eastAsia" w:asciiTheme="minorEastAsia" w:hAnsiTheme="minorEastAsia"/>
              </w:rPr>
              <w:t>分</w:t>
            </w:r>
          </w:p>
          <w:p>
            <w:pPr>
              <w:keepNext w:val="0"/>
              <w:keepLines w:val="0"/>
              <w:pageBreakBefore w:val="0"/>
              <w:widowControl/>
              <w:kinsoku/>
              <w:wordWrap/>
              <w:overflowPunct/>
              <w:topLinePunct w:val="0"/>
              <w:autoSpaceDE/>
              <w:autoSpaceDN/>
              <w:bidi w:val="0"/>
              <w:adjustRightInd/>
              <w:spacing w:before="120" w:line="400" w:lineRule="exact"/>
              <w:ind w:firstLine="200"/>
              <w:textAlignment w:val="auto"/>
            </w:pPr>
            <w:r>
              <w:rPr>
                <w:rFonts w:hint="eastAsia" w:asciiTheme="minorEastAsia" w:hAnsiTheme="minorEastAsia"/>
              </w:rPr>
              <w:t>技术部分：</w:t>
            </w:r>
            <w:r>
              <w:rPr>
                <w:rFonts w:hint="eastAsia" w:eastAsia="宋体" w:asciiTheme="minorEastAsia" w:hAnsiTheme="minorEastAsia"/>
                <w:u w:val="single"/>
                <w:lang w:val="en-US" w:eastAsia="zh-CN"/>
              </w:rPr>
              <w:t>25</w:t>
            </w:r>
            <w:r>
              <w:rPr>
                <w:rFonts w:hint="eastAsia" w:asciiTheme="minorEastAsia" w:hAnsiTheme="minor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399" w:type="dxa"/>
            <w:vAlign w:val="center"/>
          </w:tcPr>
          <w:p>
            <w:pPr>
              <w:keepNext w:val="0"/>
              <w:keepLines w:val="0"/>
              <w:pageBreakBefore w:val="0"/>
              <w:widowControl/>
              <w:kinsoku/>
              <w:wordWrap/>
              <w:overflowPunct/>
              <w:topLinePunct w:val="0"/>
              <w:autoSpaceDE/>
              <w:autoSpaceDN/>
              <w:bidi w:val="0"/>
              <w:adjustRightInd/>
              <w:snapToGrid w:val="0"/>
              <w:spacing w:before="120" w:line="400" w:lineRule="exact"/>
              <w:jc w:val="center"/>
              <w:textAlignment w:val="auto"/>
              <w:rPr>
                <w:rFonts w:ascii="宋体" w:hAnsi="宋体" w:eastAsia="宋体" w:cs="宋体"/>
                <w:b/>
              </w:rPr>
            </w:pPr>
            <w:r>
              <w:rPr>
                <w:rFonts w:hint="eastAsia" w:ascii="宋体" w:hAnsi="宋体" w:eastAsia="宋体" w:cs="宋体"/>
                <w:b/>
              </w:rPr>
              <w:t>评审项</w:t>
            </w:r>
          </w:p>
        </w:tc>
        <w:tc>
          <w:tcPr>
            <w:tcW w:w="1578" w:type="dxa"/>
            <w:vAlign w:val="center"/>
          </w:tcPr>
          <w:p>
            <w:pPr>
              <w:keepNext w:val="0"/>
              <w:keepLines w:val="0"/>
              <w:pageBreakBefore w:val="0"/>
              <w:widowControl/>
              <w:kinsoku/>
              <w:wordWrap/>
              <w:overflowPunct/>
              <w:topLinePunct w:val="0"/>
              <w:autoSpaceDE/>
              <w:autoSpaceDN/>
              <w:bidi w:val="0"/>
              <w:adjustRightInd/>
              <w:snapToGrid w:val="0"/>
              <w:spacing w:before="120" w:line="400" w:lineRule="exact"/>
              <w:jc w:val="center"/>
              <w:textAlignment w:val="auto"/>
              <w:rPr>
                <w:rFonts w:ascii="宋体" w:hAnsi="宋体" w:eastAsia="宋体" w:cs="宋体"/>
                <w:b/>
              </w:rPr>
            </w:pPr>
            <w:r>
              <w:rPr>
                <w:rFonts w:hint="eastAsia" w:ascii="宋体" w:hAnsi="宋体" w:eastAsia="宋体" w:cs="宋体"/>
                <w:b/>
              </w:rPr>
              <w:t>评分因素</w:t>
            </w:r>
          </w:p>
        </w:tc>
        <w:tc>
          <w:tcPr>
            <w:tcW w:w="6163" w:type="dxa"/>
            <w:vAlign w:val="center"/>
          </w:tcPr>
          <w:p>
            <w:pPr>
              <w:keepNext w:val="0"/>
              <w:keepLines w:val="0"/>
              <w:pageBreakBefore w:val="0"/>
              <w:widowControl/>
              <w:kinsoku/>
              <w:wordWrap/>
              <w:overflowPunct/>
              <w:topLinePunct w:val="0"/>
              <w:autoSpaceDE/>
              <w:autoSpaceDN/>
              <w:bidi w:val="0"/>
              <w:adjustRightInd/>
              <w:snapToGrid w:val="0"/>
              <w:spacing w:before="120" w:line="400" w:lineRule="exact"/>
              <w:jc w:val="center"/>
              <w:textAlignment w:val="auto"/>
              <w:rPr>
                <w:rFonts w:ascii="宋体" w:hAnsi="宋体" w:eastAsia="宋体" w:cs="宋体"/>
                <w:b/>
              </w:rPr>
            </w:pPr>
            <w:r>
              <w:rPr>
                <w:rFonts w:hint="eastAsia" w:ascii="宋体" w:hAnsi="宋体" w:eastAsia="宋体" w:cs="宋体"/>
                <w:b/>
              </w:rPr>
              <w:t>评</w:t>
            </w:r>
            <w:r>
              <w:rPr>
                <w:rFonts w:hint="eastAsia" w:ascii="宋体" w:hAnsi="宋体" w:cs="宋体"/>
                <w:b/>
              </w:rPr>
              <w:t>标</w:t>
            </w:r>
            <w:r>
              <w:rPr>
                <w:rFonts w:hint="eastAsia" w:ascii="宋体" w:hAnsi="宋体" w:eastAsia="宋体" w:cs="宋体"/>
                <w:b/>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5" w:hRule="atLeast"/>
        </w:trPr>
        <w:tc>
          <w:tcPr>
            <w:tcW w:w="1399" w:type="dxa"/>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ind w:hanging="4"/>
              <w:jc w:val="center"/>
              <w:textAlignment w:val="auto"/>
            </w:pPr>
            <w:r>
              <w:rPr>
                <w:rFonts w:hint="eastAsia" w:ascii="宋体" w:hAnsi="宋体" w:eastAsia="宋体" w:cs="宋体"/>
              </w:rPr>
              <w:t>报价部分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ind w:hanging="4"/>
              <w:jc w:val="center"/>
              <w:textAlignment w:val="auto"/>
            </w:pPr>
            <w:r>
              <w:rPr>
                <w:rFonts w:hint="eastAsia" w:ascii="宋体" w:hAnsi="宋体" w:eastAsia="宋体" w:cs="宋体"/>
              </w:rPr>
              <w:t>（</w:t>
            </w:r>
            <w:r>
              <w:rPr>
                <w:rFonts w:hint="eastAsia" w:ascii="宋体" w:hAnsi="宋体" w:eastAsia="宋体" w:cs="宋体"/>
                <w:u w:val="single"/>
              </w:rPr>
              <w:t> </w:t>
            </w:r>
            <w:r>
              <w:rPr>
                <w:rFonts w:hint="eastAsia" w:ascii="宋体" w:hAnsi="宋体" w:cs="宋体"/>
                <w:u w:val="single"/>
              </w:rPr>
              <w:t>40</w:t>
            </w:r>
            <w:r>
              <w:rPr>
                <w:rFonts w:hint="eastAsia" w:ascii="宋体" w:hAnsi="宋体" w:eastAsia="宋体" w:cs="宋体"/>
                <w:u w:val="single"/>
              </w:rPr>
              <w:t> </w:t>
            </w:r>
            <w:r>
              <w:rPr>
                <w:rFonts w:hint="eastAsia" w:ascii="宋体" w:hAnsi="宋体" w:eastAsia="宋体" w:cs="宋体"/>
              </w:rPr>
              <w:t>分）</w:t>
            </w:r>
          </w:p>
        </w:tc>
        <w:tc>
          <w:tcPr>
            <w:tcW w:w="1578" w:type="dxa"/>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jc w:val="center"/>
              <w:textAlignment w:val="auto"/>
            </w:pPr>
            <w:r>
              <w:rPr>
                <w:rFonts w:hint="eastAsia" w:ascii="宋体" w:hAnsi="宋体" w:eastAsia="宋体" w:cs="宋体"/>
              </w:rPr>
              <w:t>报价</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jc w:val="center"/>
              <w:textAlignment w:val="auto"/>
            </w:pPr>
            <w:r>
              <w:rPr>
                <w:rFonts w:hint="eastAsia" w:ascii="宋体" w:hAnsi="宋体" w:eastAsia="宋体" w:cs="宋体"/>
              </w:rPr>
              <w:t>（</w:t>
            </w:r>
            <w:r>
              <w:rPr>
                <w:rFonts w:hint="eastAsia" w:ascii="宋体" w:hAnsi="宋体" w:eastAsia="宋体" w:cs="宋体"/>
                <w:u w:val="single"/>
              </w:rPr>
              <w:t> </w:t>
            </w:r>
            <w:r>
              <w:rPr>
                <w:rFonts w:hint="eastAsia" w:ascii="宋体" w:hAnsi="宋体" w:cs="宋体"/>
                <w:u w:val="single"/>
              </w:rPr>
              <w:t>40</w:t>
            </w:r>
            <w:r>
              <w:rPr>
                <w:rFonts w:hint="eastAsia" w:ascii="宋体" w:hAnsi="宋体" w:eastAsia="宋体" w:cs="宋体"/>
                <w:u w:val="single"/>
              </w:rPr>
              <w:t> </w:t>
            </w:r>
            <w:r>
              <w:rPr>
                <w:rFonts w:hint="eastAsia" w:ascii="宋体" w:hAnsi="宋体" w:eastAsia="宋体" w:cs="宋体"/>
              </w:rPr>
              <w:t>分）</w:t>
            </w:r>
          </w:p>
        </w:tc>
        <w:tc>
          <w:tcPr>
            <w:tcW w:w="6163" w:type="dxa"/>
            <w:vAlign w:val="center"/>
          </w:tcPr>
          <w:p>
            <w:pPr>
              <w:pStyle w:val="71"/>
              <w:keepNext w:val="0"/>
              <w:keepLines w:val="0"/>
              <w:pageBreakBefore w:val="0"/>
              <w:widowControl/>
              <w:kinsoku/>
              <w:wordWrap/>
              <w:overflowPunct/>
              <w:topLinePunct w:val="0"/>
              <w:autoSpaceDE/>
              <w:autoSpaceDN/>
              <w:bidi w:val="0"/>
              <w:adjustRightInd/>
              <w:spacing w:line="400" w:lineRule="exact"/>
              <w:textAlignment w:val="auto"/>
              <w:rPr>
                <w:rFonts w:ascii="宋体" w:hAnsi="宋体"/>
              </w:rPr>
            </w:pPr>
            <w:r>
              <w:rPr>
                <w:rFonts w:hint="eastAsia" w:ascii="宋体" w:hAnsi="宋体"/>
              </w:rPr>
              <w:t>有效供应商中投标价格最低的投标报价为评标基准价，其价格分为满分。</w:t>
            </w:r>
          </w:p>
          <w:p>
            <w:pPr>
              <w:pStyle w:val="71"/>
              <w:keepNext w:val="0"/>
              <w:keepLines w:val="0"/>
              <w:pageBreakBefore w:val="0"/>
              <w:widowControl/>
              <w:kinsoku/>
              <w:wordWrap/>
              <w:overflowPunct/>
              <w:topLinePunct w:val="0"/>
              <w:autoSpaceDE/>
              <w:autoSpaceDN/>
              <w:bidi w:val="0"/>
              <w:adjustRightInd/>
              <w:spacing w:line="400" w:lineRule="exact"/>
              <w:textAlignment w:val="auto"/>
              <w:rPr>
                <w:rFonts w:ascii="宋体" w:hAnsi="宋体"/>
              </w:rPr>
            </w:pPr>
            <w:r>
              <w:rPr>
                <w:rFonts w:hint="eastAsia" w:ascii="宋体" w:hAnsi="宋体"/>
              </w:rPr>
              <w:t>其他供应商的价格分统一按照下列公式计算：</w:t>
            </w:r>
          </w:p>
          <w:p>
            <w:pPr>
              <w:pStyle w:val="71"/>
              <w:keepNext w:val="0"/>
              <w:keepLines w:val="0"/>
              <w:pageBreakBefore w:val="0"/>
              <w:widowControl/>
              <w:kinsoku/>
              <w:wordWrap/>
              <w:overflowPunct/>
              <w:topLinePunct w:val="0"/>
              <w:autoSpaceDE/>
              <w:autoSpaceDN/>
              <w:bidi w:val="0"/>
              <w:adjustRightInd/>
              <w:spacing w:line="400" w:lineRule="exact"/>
              <w:textAlignment w:val="auto"/>
              <w:rPr>
                <w:rFonts w:ascii="宋体" w:hAnsi="宋体"/>
              </w:rPr>
            </w:pPr>
            <w:r>
              <w:rPr>
                <w:rFonts w:hint="eastAsia" w:ascii="宋体" w:hAnsi="宋体"/>
              </w:rPr>
              <w:t>投标报价得分=(评标基准价／投标报价)×40%×100。</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pPr>
            <w:r>
              <w:rPr>
                <w:rFonts w:hint="eastAsia" w:ascii="宋体" w:hAnsi="宋体"/>
              </w:rPr>
              <w:t>注：分值计算保留小数点后两位，小数点后第三位“四舍五入”。</w:t>
            </w:r>
            <w:r>
              <w:rPr>
                <w:rFonts w:hint="eastAsia" w:ascii="宋体" w:hAnsi="宋体"/>
              </w:rPr>
              <w:br w:type="textWrapping" w:clear="all"/>
            </w:r>
            <w:r>
              <w:rPr>
                <w:rFonts w:hint="eastAsia" w:ascii="宋体" w:hAnsi="宋体"/>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399"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ind w:hanging="4"/>
              <w:jc w:val="center"/>
              <w:textAlignment w:val="auto"/>
            </w:pPr>
            <w:r>
              <w:rPr>
                <w:rFonts w:hint="eastAsia" w:ascii="宋体" w:hAnsi="宋体" w:eastAsia="宋体" w:cs="宋体"/>
              </w:rPr>
              <w:t>商务及服务部分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ind w:hanging="4"/>
              <w:jc w:val="center"/>
              <w:textAlignment w:val="auto"/>
            </w:pPr>
            <w:r>
              <w:rPr>
                <w:rFonts w:hint="eastAsia" w:ascii="宋体" w:hAnsi="宋体" w:eastAsia="宋体" w:cs="宋体"/>
              </w:rPr>
              <w:t>（</w:t>
            </w:r>
            <w:r>
              <w:rPr>
                <w:rFonts w:hint="eastAsia" w:ascii="宋体" w:hAnsi="宋体" w:eastAsia="宋体" w:cs="宋体"/>
                <w:u w:val="single"/>
              </w:rPr>
              <w:t> </w:t>
            </w:r>
            <w:r>
              <w:rPr>
                <w:rFonts w:hint="eastAsia" w:ascii="宋体" w:hAnsi="宋体" w:cs="宋体"/>
                <w:u w:val="single"/>
              </w:rPr>
              <w:t>3</w:t>
            </w:r>
            <w:r>
              <w:rPr>
                <w:rFonts w:hint="eastAsia" w:ascii="宋体" w:hAnsi="宋体" w:eastAsia="宋体" w:cs="宋体"/>
                <w:u w:val="single"/>
                <w:lang w:val="en-US" w:eastAsia="zh-CN"/>
              </w:rPr>
              <w:t>5</w:t>
            </w:r>
            <w:r>
              <w:rPr>
                <w:rFonts w:hint="eastAsia" w:ascii="宋体" w:hAnsi="宋体" w:eastAsia="宋体" w:cs="宋体"/>
              </w:rPr>
              <w:t>分）</w:t>
            </w:r>
          </w:p>
        </w:tc>
        <w:tc>
          <w:tcPr>
            <w:tcW w:w="1578" w:type="dxa"/>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jc w:val="center"/>
              <w:textAlignment w:val="auto"/>
            </w:pPr>
            <w:r>
              <w:rPr>
                <w:rFonts w:hint="eastAsia" w:ascii="宋体" w:hAnsi="宋体" w:eastAsia="宋体" w:cs="Times New Roman"/>
              </w:rPr>
              <w:t>商务部分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jc w:val="center"/>
              <w:textAlignment w:val="auto"/>
            </w:pPr>
            <w:r>
              <w:rPr>
                <w:rFonts w:hint="eastAsia" w:ascii="宋体" w:hAnsi="宋体" w:eastAsia="宋体" w:cs="Times New Roman"/>
              </w:rPr>
              <w:t>（</w:t>
            </w:r>
            <w:r>
              <w:rPr>
                <w:rFonts w:hint="eastAsia" w:ascii="宋体" w:hAnsi="宋体" w:eastAsia="宋体" w:cs="宋体"/>
                <w:u w:val="single"/>
                <w:lang w:val="en-US" w:eastAsia="zh-CN"/>
              </w:rPr>
              <w:t>30</w:t>
            </w:r>
            <w:r>
              <w:rPr>
                <w:rFonts w:hint="eastAsia" w:ascii="宋体" w:hAnsi="宋体" w:eastAsia="宋体" w:cs="Times New Roman"/>
              </w:rPr>
              <w:t>分）</w:t>
            </w:r>
          </w:p>
        </w:tc>
        <w:tc>
          <w:tcPr>
            <w:tcW w:w="6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eastAsia="宋体"/>
                <w:lang w:val="en-US" w:eastAsia="zh-CN"/>
              </w:rPr>
            </w:pPr>
            <w:r>
              <w:rPr>
                <w:rFonts w:hint="eastAsia" w:ascii="宋体" w:hAnsi="宋体"/>
                <w:lang w:val="en-US" w:eastAsia="zh-CN"/>
              </w:rPr>
              <w:t>1、</w:t>
            </w:r>
            <w:r>
              <w:rPr>
                <w:rFonts w:hint="eastAsia" w:eastAsia="宋体"/>
                <w:lang w:eastAsia="zh-CN"/>
              </w:rPr>
              <w:t>2016年</w:t>
            </w:r>
            <w:r>
              <w:rPr>
                <w:rFonts w:hint="eastAsia" w:eastAsia="宋体"/>
                <w:lang w:val="en-US" w:eastAsia="zh-CN"/>
              </w:rPr>
              <w:t>1月</w:t>
            </w:r>
            <w:r>
              <w:rPr>
                <w:rFonts w:hint="eastAsia" w:eastAsia="宋体"/>
                <w:lang w:eastAsia="zh-CN"/>
              </w:rPr>
              <w:t>以来承担的同类项目证明:单项合同额不低于本次采购金额，合同要素齐全者得2分；（提供项目中标公示截图、中标通知书及合同原件扫描件。）</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lang w:eastAsia="zh-CN"/>
              </w:rPr>
            </w:pPr>
            <w:r>
              <w:rPr>
                <w:rFonts w:hint="eastAsia" w:eastAsia="宋体"/>
                <w:lang w:val="en-US" w:eastAsia="zh-CN"/>
              </w:rPr>
              <w:t>2</w:t>
            </w:r>
            <w:r>
              <w:rPr>
                <w:rFonts w:hint="eastAsia"/>
              </w:rPr>
              <w:t>、智慧黑板品牌厂商自201</w:t>
            </w:r>
            <w:r>
              <w:rPr>
                <w:rFonts w:hint="eastAsia"/>
                <w:lang w:val="en-US" w:eastAsia="zh-CN"/>
              </w:rPr>
              <w:t>6</w:t>
            </w:r>
            <w:r>
              <w:rPr>
                <w:rFonts w:hint="eastAsia"/>
              </w:rPr>
              <w:t>年以来</w:t>
            </w:r>
            <w:r>
              <w:rPr>
                <w:rFonts w:hint="eastAsia" w:eastAsia="宋体"/>
                <w:lang w:eastAsia="zh-CN"/>
              </w:rPr>
              <w:t>，每年获得</w:t>
            </w:r>
            <w:r>
              <w:rPr>
                <w:rFonts w:hint="eastAsia"/>
              </w:rPr>
              <w:t>中国电子信息百强企业名</w:t>
            </w:r>
            <w:r>
              <w:rPr>
                <w:rFonts w:hint="eastAsia" w:eastAsia="宋体"/>
                <w:lang w:eastAsia="zh-CN"/>
              </w:rPr>
              <w:t>单的</w:t>
            </w:r>
            <w:r>
              <w:rPr>
                <w:rFonts w:hint="eastAsia"/>
              </w:rPr>
              <w:t>得</w:t>
            </w:r>
            <w:r>
              <w:rPr>
                <w:rFonts w:hint="eastAsia"/>
                <w:lang w:val="en-US" w:eastAsia="zh-CN"/>
              </w:rPr>
              <w:t>1</w:t>
            </w:r>
            <w:r>
              <w:rPr>
                <w:rFonts w:hint="eastAsia"/>
              </w:rPr>
              <w:t>分</w:t>
            </w:r>
            <w:r>
              <w:rPr>
                <w:rFonts w:hint="eastAsia" w:eastAsia="宋体"/>
                <w:lang w:eastAsia="zh-CN"/>
              </w:rPr>
              <w:t>，最高得</w:t>
            </w:r>
            <w:r>
              <w:rPr>
                <w:rFonts w:hint="eastAsia" w:eastAsia="宋体"/>
                <w:lang w:val="en-US" w:eastAsia="zh-CN"/>
              </w:rPr>
              <w:t>4分</w:t>
            </w:r>
            <w:r>
              <w:rPr>
                <w:rFonts w:hint="eastAsia"/>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lang w:eastAsia="zh-CN"/>
              </w:rPr>
            </w:pPr>
            <w:r>
              <w:rPr>
                <w:rFonts w:hint="eastAsia"/>
                <w:lang w:val="en-US" w:eastAsia="zh-CN"/>
              </w:rPr>
              <w:t>3</w:t>
            </w:r>
            <w:r>
              <w:rPr>
                <w:rFonts w:hint="eastAsia"/>
              </w:rPr>
              <w:t>、智慧黑板品牌厂商提供中国合格评定国家认可委员认可的依据中华预防医学会证明出具的可减轻视觉疲劳,有效保护人体视力的专项检测报告得</w:t>
            </w:r>
            <w:r>
              <w:rPr>
                <w:rFonts w:hint="eastAsia"/>
                <w:lang w:val="en-US" w:eastAsia="zh-CN"/>
              </w:rPr>
              <w:t>3</w:t>
            </w:r>
            <w:r>
              <w:rPr>
                <w:rFonts w:hint="eastAsia"/>
              </w:rPr>
              <w:t>分</w:t>
            </w:r>
            <w:r>
              <w:rPr>
                <w:rFonts w:hint="eastAsia"/>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lang w:eastAsia="zh-CN"/>
              </w:rPr>
            </w:pPr>
            <w:r>
              <w:rPr>
                <w:rFonts w:hint="eastAsia"/>
                <w:lang w:val="en-US" w:eastAsia="zh-CN"/>
              </w:rPr>
              <w:t>4</w:t>
            </w:r>
            <w:r>
              <w:rPr>
                <w:rFonts w:hint="eastAsia"/>
              </w:rPr>
              <w:t>、智慧黑板品牌厂商为全国音频、视频及多媒体系统与设备标准化技术委员会交互式电子白板起草规范成员单位得</w:t>
            </w:r>
            <w:r>
              <w:rPr>
                <w:rFonts w:hint="eastAsia"/>
                <w:lang w:val="en-US" w:eastAsia="zh-CN"/>
              </w:rPr>
              <w:t>2</w:t>
            </w:r>
            <w:r>
              <w:rPr>
                <w:rFonts w:hint="eastAsia"/>
              </w:rPr>
              <w:t>分</w:t>
            </w:r>
            <w:r>
              <w:rPr>
                <w:rFonts w:hint="eastAsia"/>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rPr>
            </w:pPr>
            <w:r>
              <w:rPr>
                <w:rFonts w:hint="eastAsia"/>
                <w:lang w:val="en-US" w:eastAsia="zh-CN"/>
              </w:rPr>
              <w:t>5</w:t>
            </w:r>
            <w:r>
              <w:rPr>
                <w:rFonts w:hint="eastAsia"/>
              </w:rPr>
              <w:t>、智慧黑板品牌厂商提供包括计算机存储装置及触摸屏的商标注册证得3分</w:t>
            </w:r>
            <w:r>
              <w:rPr>
                <w:rFonts w:hint="eastAsia"/>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lang w:eastAsia="zh-CN"/>
              </w:rPr>
            </w:pPr>
            <w:r>
              <w:rPr>
                <w:rFonts w:hint="eastAsia"/>
                <w:lang w:val="en-US" w:eastAsia="zh-CN"/>
              </w:rPr>
              <w:t>6</w:t>
            </w:r>
            <w:r>
              <w:rPr>
                <w:rFonts w:hint="eastAsia"/>
              </w:rPr>
              <w:t>、智慧黑板品牌厂商提供人机交互的科技成果登记证书得</w:t>
            </w:r>
            <w:r>
              <w:rPr>
                <w:rFonts w:hint="eastAsia"/>
                <w:lang w:val="en-US" w:eastAsia="zh-CN"/>
              </w:rPr>
              <w:t>3</w:t>
            </w:r>
            <w:r>
              <w:rPr>
                <w:rFonts w:hint="eastAsia"/>
              </w:rPr>
              <w:t>分</w:t>
            </w:r>
            <w:r>
              <w:rPr>
                <w:rFonts w:hint="eastAsia"/>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lang w:eastAsia="zh-CN"/>
              </w:rPr>
            </w:pPr>
            <w:r>
              <w:rPr>
                <w:rFonts w:hint="eastAsia"/>
                <w:lang w:val="en-US" w:eastAsia="zh-CN"/>
              </w:rPr>
              <w:t>7</w:t>
            </w:r>
            <w:r>
              <w:rPr>
                <w:rFonts w:hint="eastAsia"/>
              </w:rPr>
              <w:t>、数字书法教学系统厂商提供满足交互式数字临摹台中“抗压、防水、耐磨、可视角度”参数指标要求的检查报告</w:t>
            </w:r>
            <w:r>
              <w:rPr>
                <w:rFonts w:hint="eastAsia"/>
                <w:lang w:eastAsia="zh-CN"/>
              </w:rPr>
              <w:t>的</w:t>
            </w:r>
            <w:r>
              <w:rPr>
                <w:rFonts w:hint="eastAsia"/>
              </w:rPr>
              <w:t>得</w:t>
            </w:r>
            <w:r>
              <w:rPr>
                <w:rFonts w:hint="eastAsia"/>
                <w:lang w:val="en-US" w:eastAsia="zh-CN"/>
              </w:rPr>
              <w:t>3</w:t>
            </w:r>
            <w:r>
              <w:rPr>
                <w:rFonts w:hint="eastAsia"/>
              </w:rPr>
              <w:t>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rPr>
            </w:pPr>
            <w:r>
              <w:rPr>
                <w:rFonts w:hint="eastAsia"/>
                <w:lang w:val="en-US" w:eastAsia="zh-CN"/>
              </w:rPr>
              <w:t>8</w:t>
            </w:r>
            <w:r>
              <w:rPr>
                <w:rFonts w:hint="eastAsia"/>
              </w:rPr>
              <w:t>、数字书法教学系统厂商</w:t>
            </w:r>
            <w:r>
              <w:rPr>
                <w:rFonts w:hint="eastAsia" w:eastAsia="宋体"/>
                <w:lang w:eastAsia="zh-CN"/>
              </w:rPr>
              <w:t>具有</w:t>
            </w:r>
            <w:r>
              <w:rPr>
                <w:rFonts w:hint="eastAsia"/>
              </w:rPr>
              <w:t>ISO9001质量管理体系认证证书、OHSAS 18001：2007健康职业管理体系认证证书、ISO14001环境管理体系认证证书，</w:t>
            </w:r>
            <w:r>
              <w:rPr>
                <w:rFonts w:hint="eastAsia"/>
                <w:lang w:eastAsia="zh-CN"/>
              </w:rPr>
              <w:t>每</w:t>
            </w:r>
            <w:r>
              <w:rPr>
                <w:rFonts w:hint="eastAsia"/>
              </w:rPr>
              <w:t>提供</w:t>
            </w:r>
            <w:r>
              <w:rPr>
                <w:rFonts w:hint="eastAsia"/>
                <w:lang w:eastAsia="zh-CN"/>
              </w:rPr>
              <w:t>一份</w:t>
            </w:r>
            <w:r>
              <w:rPr>
                <w:rFonts w:hint="eastAsia"/>
              </w:rPr>
              <w:t>的得</w:t>
            </w:r>
            <w:r>
              <w:rPr>
                <w:rFonts w:hint="eastAsia"/>
                <w:lang w:val="en-US" w:eastAsia="zh-CN"/>
              </w:rPr>
              <w:t>1</w:t>
            </w:r>
            <w:r>
              <w:rPr>
                <w:rFonts w:hint="eastAsia"/>
              </w:rPr>
              <w:t>分</w:t>
            </w:r>
            <w:r>
              <w:rPr>
                <w:rFonts w:hint="eastAsia"/>
                <w:lang w:eastAsia="zh-CN"/>
              </w:rPr>
              <w:t>，总分</w:t>
            </w:r>
            <w:r>
              <w:rPr>
                <w:rFonts w:hint="eastAsia"/>
                <w:lang w:val="en-US" w:eastAsia="zh-CN"/>
              </w:rPr>
              <w:t>3分</w:t>
            </w:r>
            <w:r>
              <w:rPr>
                <w:rFonts w:hint="eastAsia"/>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rPr>
            </w:pPr>
            <w:r>
              <w:rPr>
                <w:rFonts w:hint="eastAsia"/>
                <w:lang w:val="en-US" w:eastAsia="zh-CN"/>
              </w:rPr>
              <w:t>9</w:t>
            </w:r>
            <w:r>
              <w:rPr>
                <w:rFonts w:hint="eastAsia"/>
              </w:rPr>
              <w:t>、数字书法教学系统厂商</w:t>
            </w:r>
            <w:r>
              <w:rPr>
                <w:rFonts w:hint="eastAsia" w:eastAsia="宋体"/>
                <w:lang w:eastAsia="zh-CN"/>
              </w:rPr>
              <w:t>获得</w:t>
            </w:r>
            <w:r>
              <w:rPr>
                <w:rFonts w:hint="eastAsia"/>
              </w:rPr>
              <w:t>中国教育装备行业协会书法教学系统推荐产品证书的得</w:t>
            </w:r>
            <w:r>
              <w:rPr>
                <w:rFonts w:hint="eastAsia" w:eastAsia="宋体"/>
                <w:lang w:val="en-US" w:eastAsia="zh-CN"/>
              </w:rPr>
              <w:t>3</w:t>
            </w:r>
            <w:r>
              <w:rPr>
                <w:rFonts w:hint="eastAsia"/>
              </w:rPr>
              <w:t>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lang w:val="en-US" w:eastAsia="zh-CN"/>
              </w:rPr>
            </w:pPr>
            <w:r>
              <w:rPr>
                <w:rFonts w:hint="eastAsia"/>
              </w:rPr>
              <w:t>1</w:t>
            </w:r>
            <w:r>
              <w:rPr>
                <w:rFonts w:hint="eastAsia"/>
                <w:lang w:val="en-US" w:eastAsia="zh-CN"/>
              </w:rPr>
              <w:t>0</w:t>
            </w:r>
            <w:r>
              <w:rPr>
                <w:rFonts w:hint="eastAsia"/>
              </w:rPr>
              <w:t>、数字书法教学系统提供厂商</w:t>
            </w:r>
            <w:r>
              <w:rPr>
                <w:rFonts w:hint="eastAsia" w:eastAsia="宋体"/>
                <w:lang w:eastAsia="zh-CN"/>
              </w:rPr>
              <w:t>具有</w:t>
            </w:r>
            <w:r>
              <w:rPr>
                <w:rFonts w:hint="eastAsia"/>
              </w:rPr>
              <w:t>全国质量检验稳定合格产品证书、全国教育装备行业质量领先品牌证书</w:t>
            </w:r>
            <w:r>
              <w:rPr>
                <w:rFonts w:hint="eastAsia" w:eastAsia="宋体"/>
                <w:lang w:eastAsia="zh-CN"/>
              </w:rPr>
              <w:t>的</w:t>
            </w:r>
            <w:r>
              <w:rPr>
                <w:rFonts w:hint="eastAsia"/>
              </w:rPr>
              <w:t>、</w:t>
            </w:r>
            <w:r>
              <w:rPr>
                <w:rFonts w:hint="eastAsia"/>
                <w:lang w:eastAsia="zh-CN"/>
              </w:rPr>
              <w:t>每有一份的</w:t>
            </w:r>
            <w:r>
              <w:rPr>
                <w:rFonts w:hint="eastAsia"/>
              </w:rPr>
              <w:t>得</w:t>
            </w:r>
            <w:r>
              <w:rPr>
                <w:rFonts w:hint="eastAsia"/>
                <w:lang w:val="en-US" w:eastAsia="zh-CN"/>
              </w:rPr>
              <w:t>1</w:t>
            </w:r>
            <w:r>
              <w:rPr>
                <w:rFonts w:hint="eastAsia"/>
              </w:rPr>
              <w:t>分</w:t>
            </w:r>
            <w:r>
              <w:rPr>
                <w:rFonts w:hint="eastAsia"/>
                <w:lang w:eastAsia="zh-CN"/>
              </w:rPr>
              <w:t>，总分</w:t>
            </w:r>
            <w:r>
              <w:rPr>
                <w:rFonts w:hint="eastAsia"/>
                <w:lang w:val="en-US" w:eastAsia="zh-CN"/>
              </w:rPr>
              <w:t>2分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rPr>
                <w:rFonts w:hint="eastAsia"/>
              </w:rPr>
            </w:pPr>
            <w:r>
              <w:rPr>
                <w:rFonts w:hint="eastAsia" w:eastAsia="宋体"/>
                <w:lang w:val="en-US" w:eastAsia="zh-CN"/>
              </w:rPr>
              <w:t>11、所投产品具有</w:t>
            </w:r>
            <w:r>
              <w:rPr>
                <w:rFonts w:hint="eastAsia"/>
              </w:rPr>
              <w:t>专利证书的得</w:t>
            </w:r>
            <w:r>
              <w:rPr>
                <w:rFonts w:hint="eastAsia"/>
                <w:lang w:val="en-US" w:eastAsia="zh-CN"/>
              </w:rPr>
              <w:t>2</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1399" w:type="dxa"/>
            <w:vMerge w:val="continue"/>
            <w:vAlign w:val="center"/>
          </w:tcPr>
          <w:p>
            <w:pPr>
              <w:keepNext w:val="0"/>
              <w:keepLines w:val="0"/>
              <w:pageBreakBefore w:val="0"/>
              <w:widowControl/>
              <w:kinsoku/>
              <w:wordWrap/>
              <w:overflowPunct/>
              <w:topLinePunct w:val="0"/>
              <w:autoSpaceDE/>
              <w:autoSpaceDN/>
              <w:bidi w:val="0"/>
              <w:adjustRightInd/>
              <w:spacing w:line="400" w:lineRule="exact"/>
              <w:textAlignment w:val="auto"/>
            </w:pPr>
          </w:p>
        </w:tc>
        <w:tc>
          <w:tcPr>
            <w:tcW w:w="1578" w:type="dxa"/>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jc w:val="center"/>
              <w:textAlignment w:val="auto"/>
              <w:rPr>
                <w:rFonts w:ascii="宋体" w:hAnsi="宋体" w:eastAsia="宋体" w:cs="Times New Roman"/>
                <w:color w:val="auto"/>
              </w:rPr>
            </w:pPr>
            <w:r>
              <w:rPr>
                <w:rFonts w:hint="eastAsia"/>
                <w:color w:val="auto"/>
              </w:rPr>
              <w:t>培训方案及售后服务</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jc w:val="center"/>
              <w:textAlignment w:val="auto"/>
              <w:rPr>
                <w:color w:val="auto"/>
              </w:rPr>
            </w:pPr>
            <w:r>
              <w:rPr>
                <w:rFonts w:hint="eastAsia" w:ascii="宋体" w:hAnsi="宋体" w:eastAsia="宋体" w:cs="Times New Roman"/>
                <w:color w:val="auto"/>
              </w:rPr>
              <w:t>（</w:t>
            </w:r>
            <w:r>
              <w:rPr>
                <w:rFonts w:hint="eastAsia" w:ascii="宋体" w:hAnsi="宋体" w:eastAsia="宋体" w:cs="Times New Roman"/>
                <w:color w:val="auto"/>
                <w:u w:val="single"/>
              </w:rPr>
              <w:t xml:space="preserve"> 5分</w:t>
            </w:r>
            <w:r>
              <w:rPr>
                <w:rFonts w:hint="eastAsia" w:ascii="宋体" w:hAnsi="宋体" w:eastAsia="宋体" w:cs="Times New Roman"/>
                <w:color w:val="auto"/>
              </w:rPr>
              <w:t>）</w:t>
            </w:r>
          </w:p>
        </w:tc>
        <w:tc>
          <w:tcPr>
            <w:tcW w:w="6163" w:type="dxa"/>
            <w:vAlign w:val="center"/>
          </w:tcPr>
          <w:p>
            <w:pPr>
              <w:pStyle w:val="80"/>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Theme="minorEastAsia" w:cstheme="minorBidi"/>
                <w:color w:val="auto"/>
                <w:sz w:val="21"/>
                <w:szCs w:val="21"/>
                <w:lang w:val="en-US" w:eastAsia="zh-CN" w:bidi="ar-SA"/>
              </w:rPr>
            </w:pPr>
            <w:r>
              <w:rPr>
                <w:rFonts w:hint="eastAsia" w:ascii="宋体" w:hAnsi="宋体" w:eastAsiaTheme="minorEastAsia" w:cstheme="minorBidi"/>
                <w:color w:val="auto"/>
                <w:sz w:val="21"/>
                <w:szCs w:val="21"/>
                <w:lang w:val="en-US" w:eastAsia="zh-CN" w:bidi="ar-SA"/>
              </w:rPr>
              <w:t>1、对投标人的培训方案（包括培训计划、培训内容和课程安排）售后服务措施及方案进行评价，</w:t>
            </w:r>
            <w:r>
              <w:rPr>
                <w:rFonts w:hint="eastAsia" w:ascii="宋体" w:hAnsi="宋体" w:cs="宋体" w:eastAsiaTheme="minorEastAsia"/>
                <w:color w:val="auto"/>
                <w:kern w:val="2"/>
                <w:sz w:val="21"/>
                <w:szCs w:val="21"/>
                <w:lang w:val="en-US" w:eastAsia="zh-CN" w:bidi="ar-SA"/>
              </w:rPr>
              <w:t>（分为三档，一档3分，二档2分，三档1分打分）。</w:t>
            </w:r>
          </w:p>
          <w:p>
            <w:pPr>
              <w:pStyle w:val="80"/>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Theme="minorEastAsia" w:cstheme="minorBidi"/>
                <w:color w:val="auto"/>
                <w:sz w:val="21"/>
                <w:szCs w:val="21"/>
                <w:lang w:val="en-US" w:eastAsia="zh-CN" w:bidi="ar-SA"/>
              </w:rPr>
            </w:pPr>
            <w:r>
              <w:rPr>
                <w:rFonts w:hint="eastAsia" w:ascii="宋体" w:hAnsi="宋体" w:eastAsiaTheme="minorEastAsia" w:cstheme="minorBidi"/>
                <w:color w:val="auto"/>
                <w:sz w:val="21"/>
                <w:szCs w:val="21"/>
                <w:lang w:val="en-US" w:eastAsia="zh-CN" w:bidi="ar-SA"/>
              </w:rPr>
              <w:t>2、智慧黑板品牌获得五星级服务质量奖</w:t>
            </w:r>
            <w:r>
              <w:rPr>
                <w:rFonts w:hint="eastAsia" w:eastAsiaTheme="minorEastAsia" w:cstheme="minorBidi"/>
                <w:color w:val="auto"/>
                <w:sz w:val="21"/>
                <w:szCs w:val="21"/>
                <w:lang w:val="en-US" w:eastAsia="zh-CN" w:bidi="ar-SA"/>
              </w:rPr>
              <w:t>的得2</w:t>
            </w:r>
            <w:r>
              <w:rPr>
                <w:rFonts w:hint="eastAsia" w:ascii="宋体" w:hAnsi="宋体" w:eastAsiaTheme="minorEastAsia" w:cstheme="minorBidi"/>
                <w:color w:val="auto"/>
                <w:sz w:val="21"/>
                <w:szCs w:val="21"/>
                <w:lang w:val="en-US" w:eastAsia="zh-CN" w:bidi="ar-SA"/>
              </w:rPr>
              <w:t>分</w:t>
            </w:r>
            <w:r>
              <w:rPr>
                <w:rFonts w:hint="eastAsia" w:eastAsiaTheme="minorEastAsia" w:cstheme="minorBidi"/>
                <w:color w:val="auto"/>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3" w:hRule="atLeast"/>
        </w:trPr>
        <w:tc>
          <w:tcPr>
            <w:tcW w:w="1399" w:type="dxa"/>
            <w:tcBorders>
              <w:right w:val="single" w:color="auto" w:sz="4"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jc w:val="center"/>
              <w:textAlignment w:val="auto"/>
            </w:pPr>
            <w:r>
              <w:rPr>
                <w:rFonts w:hint="eastAsia" w:ascii="宋体" w:hAnsi="宋体" w:eastAsia="宋体" w:cs="宋体"/>
              </w:rPr>
              <w:t>技术部分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20" w:line="400" w:lineRule="exact"/>
              <w:jc w:val="center"/>
              <w:textAlignment w:val="auto"/>
              <w:rPr>
                <w:rFonts w:ascii="宋体" w:hAnsi="宋体" w:eastAsia="宋体" w:cs="宋体"/>
              </w:rPr>
            </w:pPr>
            <w:r>
              <w:rPr>
                <w:rFonts w:hint="eastAsia"/>
              </w:rPr>
              <w:t>（</w:t>
            </w:r>
            <w:r>
              <w:rPr>
                <w:rFonts w:hint="eastAsia" w:eastAsia="宋体"/>
                <w:u w:val="single"/>
                <w:lang w:val="en-US" w:eastAsia="zh-CN"/>
              </w:rPr>
              <w:t>25</w:t>
            </w:r>
            <w:r>
              <w:rPr>
                <w:rFonts w:hint="eastAsia"/>
              </w:rPr>
              <w:t>分）</w:t>
            </w:r>
          </w:p>
        </w:tc>
        <w:tc>
          <w:tcPr>
            <w:tcW w:w="7741" w:type="dxa"/>
            <w:gridSpan w:val="2"/>
            <w:tcBorders>
              <w:right w:val="single" w:color="auto" w:sz="4" w:space="0"/>
            </w:tcBorders>
            <w:vAlign w:val="center"/>
          </w:tcPr>
          <w:p>
            <w:pPr>
              <w:pStyle w:val="71"/>
              <w:spacing w:after="0"/>
              <w:rPr>
                <w:rFonts w:hint="eastAsia"/>
                <w:color w:val="auto"/>
                <w:lang w:val="en-US" w:eastAsia="zh-CN"/>
              </w:rPr>
            </w:pPr>
            <w:r>
              <w:rPr>
                <w:rFonts w:hint="eastAsia"/>
                <w:color w:val="auto"/>
                <w:lang w:val="en-US" w:eastAsia="zh-CN"/>
              </w:rPr>
              <w:t>1、</w:t>
            </w:r>
            <w:r>
              <w:rPr>
                <w:rFonts w:hint="eastAsia"/>
                <w:color w:val="auto"/>
              </w:rPr>
              <w:t>评委根据投标文件内容及所投产品打分。</w:t>
            </w:r>
            <w:r>
              <w:rPr>
                <w:rFonts w:hint="eastAsia"/>
                <w:color w:val="auto"/>
                <w:lang w:eastAsia="zh-CN"/>
              </w:rPr>
              <w:t>供应商所投产品</w:t>
            </w:r>
            <w:r>
              <w:rPr>
                <w:rFonts w:hint="eastAsia"/>
                <w:color w:val="auto"/>
              </w:rPr>
              <w:t>参数及功能要求</w:t>
            </w:r>
            <w:r>
              <w:rPr>
                <w:rFonts w:hint="eastAsia"/>
                <w:color w:val="auto"/>
                <w:lang w:eastAsia="zh-CN"/>
              </w:rPr>
              <w:t>不得低于</w:t>
            </w:r>
            <w:r>
              <w:rPr>
                <w:rFonts w:hint="eastAsia"/>
                <w:color w:val="auto"/>
              </w:rPr>
              <w:t>招标文件技术参数及功能要求</w:t>
            </w:r>
            <w:r>
              <w:rPr>
                <w:rFonts w:hint="eastAsia"/>
                <w:color w:val="auto"/>
                <w:lang w:val="en-US" w:eastAsia="zh-CN"/>
              </w:rPr>
              <w:t>，</w:t>
            </w:r>
            <w:r>
              <w:rPr>
                <w:rFonts w:hint="eastAsia"/>
                <w:color w:val="auto"/>
                <w:lang w:eastAsia="zh-CN"/>
              </w:rPr>
              <w:t>低于</w:t>
            </w:r>
            <w:r>
              <w:rPr>
                <w:rFonts w:hint="eastAsia"/>
                <w:color w:val="auto"/>
              </w:rPr>
              <w:t>招标文要求</w:t>
            </w:r>
            <w:r>
              <w:rPr>
                <w:rFonts w:hint="eastAsia"/>
                <w:color w:val="auto"/>
                <w:lang w:eastAsia="zh-CN"/>
              </w:rPr>
              <w:t>的按废标处理</w:t>
            </w:r>
            <w:r>
              <w:rPr>
                <w:rFonts w:hint="eastAsia"/>
                <w:color w:val="auto"/>
                <w:lang w:val="en-US" w:eastAsia="zh-CN"/>
              </w:rPr>
              <w:t>。</w:t>
            </w:r>
          </w:p>
          <w:p>
            <w:pPr>
              <w:pStyle w:val="71"/>
              <w:spacing w:after="0"/>
              <w:rPr>
                <w:rFonts w:hint="eastAsia"/>
                <w:color w:val="auto"/>
              </w:rPr>
            </w:pPr>
            <w:r>
              <w:rPr>
                <w:rFonts w:hint="eastAsia"/>
                <w:color w:val="auto"/>
                <w:lang w:val="en-US" w:eastAsia="zh-CN"/>
              </w:rPr>
              <w:t>2、</w:t>
            </w:r>
            <w:r>
              <w:rPr>
                <w:rFonts w:hint="eastAsia"/>
                <w:color w:val="auto"/>
                <w:lang w:eastAsia="zh-CN"/>
              </w:rPr>
              <w:t>供应商所投产品优于</w:t>
            </w:r>
            <w:r>
              <w:rPr>
                <w:rFonts w:hint="eastAsia"/>
                <w:color w:val="auto"/>
              </w:rPr>
              <w:t>招标文</w:t>
            </w:r>
            <w:r>
              <w:rPr>
                <w:rFonts w:hint="eastAsia"/>
                <w:color w:val="auto"/>
                <w:lang w:eastAsia="zh-CN"/>
              </w:rPr>
              <w:t>件</w:t>
            </w:r>
            <w:r>
              <w:rPr>
                <w:rFonts w:hint="eastAsia"/>
                <w:color w:val="auto"/>
              </w:rPr>
              <w:t>要求</w:t>
            </w:r>
            <w:r>
              <w:rPr>
                <w:rFonts w:hint="eastAsia"/>
                <w:color w:val="auto"/>
                <w:lang w:eastAsia="zh-CN"/>
              </w:rPr>
              <w:t>的</w:t>
            </w:r>
            <w:r>
              <w:rPr>
                <w:rFonts w:hint="eastAsia"/>
                <w:color w:val="auto"/>
              </w:rPr>
              <w:t>一项加</w:t>
            </w:r>
            <w:r>
              <w:rPr>
                <w:rFonts w:hint="eastAsia"/>
                <w:color w:val="auto"/>
                <w:lang w:val="en-US" w:eastAsia="zh-CN"/>
              </w:rPr>
              <w:t>1</w:t>
            </w:r>
            <w:r>
              <w:rPr>
                <w:rFonts w:hint="eastAsia"/>
                <w:color w:val="auto"/>
              </w:rPr>
              <w:t>分，</w:t>
            </w:r>
            <w:r>
              <w:rPr>
                <w:rFonts w:hint="eastAsia"/>
                <w:color w:val="auto"/>
                <w:lang w:eastAsia="zh-CN"/>
              </w:rPr>
              <w:t>最高加</w:t>
            </w:r>
            <w:r>
              <w:rPr>
                <w:rFonts w:hint="eastAsia"/>
                <w:color w:val="auto"/>
                <w:lang w:val="en-US" w:eastAsia="zh-CN"/>
              </w:rPr>
              <w:t>10分</w:t>
            </w:r>
            <w:r>
              <w:rPr>
                <w:rFonts w:hint="eastAsia"/>
                <w:color w:val="auto"/>
              </w:rPr>
              <w:t>。</w:t>
            </w:r>
          </w:p>
          <w:p>
            <w:pPr>
              <w:pStyle w:val="80"/>
              <w:keepNext w:val="0"/>
              <w:keepLines w:val="0"/>
              <w:pageBreakBefore w:val="0"/>
              <w:widowControl/>
              <w:kinsoku/>
              <w:wordWrap/>
              <w:overflowPunct/>
              <w:topLinePunct w:val="0"/>
              <w:autoSpaceDE/>
              <w:autoSpaceDN/>
              <w:bidi w:val="0"/>
              <w:adjustRightInd/>
              <w:spacing w:line="400" w:lineRule="exact"/>
              <w:textAlignment w:val="auto"/>
              <w:rPr>
                <w:rFonts w:cs="Times New Roman"/>
                <w:color w:val="auto"/>
                <w:sz w:val="21"/>
                <w:szCs w:val="21"/>
              </w:rPr>
            </w:pPr>
            <w:r>
              <w:rPr>
                <w:rFonts w:hint="eastAsia"/>
                <w:color w:val="auto"/>
                <w:lang w:val="en-US" w:eastAsia="zh-CN"/>
              </w:rPr>
              <w:t>3、</w:t>
            </w:r>
            <w:r>
              <w:rPr>
                <w:rFonts w:hint="eastAsia"/>
                <w:color w:val="auto"/>
              </w:rPr>
              <w:t>由评委综合比较各投标人投标</w:t>
            </w:r>
            <w:r>
              <w:rPr>
                <w:rFonts w:hint="eastAsia"/>
                <w:color w:val="auto"/>
                <w:lang w:eastAsia="zh-CN"/>
              </w:rPr>
              <w:t>样</w:t>
            </w:r>
            <w:r>
              <w:rPr>
                <w:rFonts w:hint="eastAsia"/>
                <w:color w:val="auto"/>
              </w:rPr>
              <w:t>品的设计水平、制造工艺、稳定性、</w:t>
            </w:r>
            <w:r>
              <w:rPr>
                <w:rFonts w:hint="eastAsia"/>
                <w:color w:val="auto"/>
                <w:lang w:eastAsia="zh-CN"/>
              </w:rPr>
              <w:t>先进性、</w:t>
            </w:r>
            <w:r>
              <w:rPr>
                <w:rFonts w:hint="eastAsia"/>
                <w:color w:val="auto"/>
              </w:rPr>
              <w:t>质量等进行综合评议分析比较内分</w:t>
            </w:r>
            <w:r>
              <w:rPr>
                <w:rFonts w:hint="eastAsia"/>
                <w:color w:val="auto"/>
                <w:lang w:eastAsia="zh-CN"/>
              </w:rPr>
              <w:t>为三</w:t>
            </w:r>
            <w:r>
              <w:rPr>
                <w:rFonts w:hint="eastAsia"/>
                <w:color w:val="auto"/>
              </w:rPr>
              <w:t>类</w:t>
            </w:r>
            <w:r>
              <w:rPr>
                <w:rFonts w:hint="eastAsia"/>
                <w:color w:val="auto"/>
                <w:lang w:eastAsia="zh-CN"/>
              </w:rPr>
              <w:t>进行</w:t>
            </w:r>
            <w:r>
              <w:rPr>
                <w:rFonts w:hint="eastAsia"/>
                <w:color w:val="auto"/>
              </w:rPr>
              <w:t>打分。</w:t>
            </w:r>
            <w:r>
              <w:rPr>
                <w:rFonts w:hint="eastAsia"/>
                <w:color w:val="auto"/>
                <w:lang w:eastAsia="zh-CN"/>
              </w:rPr>
              <w:t>第一类</w:t>
            </w:r>
            <w:r>
              <w:rPr>
                <w:rFonts w:hint="eastAsia"/>
                <w:color w:val="auto"/>
                <w:lang w:val="en-US" w:eastAsia="zh-CN"/>
              </w:rPr>
              <w:t>15分，第二类9分，第三类3分。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9140" w:type="dxa"/>
            <w:gridSpan w:val="3"/>
            <w:tcBorders>
              <w:right w:val="single" w:color="auto" w:sz="4"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400" w:lineRule="exact"/>
              <w:jc w:val="left"/>
              <w:textAlignment w:val="auto"/>
            </w:pPr>
            <w:r>
              <w:rPr>
                <w:rFonts w:hint="eastAsia" w:ascii="宋体" w:hAnsi="宋体" w:cs="仿宋_GB2312"/>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rPr>
      </w:pPr>
    </w:p>
    <w:p>
      <w:pPr>
        <w:spacing w:line="360" w:lineRule="auto"/>
        <w:ind w:firstLine="200"/>
        <w:rPr>
          <w:rFonts w:cs="仿宋_GB2312" w:asciiTheme="minorEastAsia" w:hAnsiTheme="minorEastAsia"/>
          <w:b/>
        </w:rPr>
      </w:pPr>
      <w:r>
        <w:rPr>
          <w:rFonts w:hint="eastAsia" w:cs="仿宋_GB2312" w:asciiTheme="minorEastAsia" w:hAnsiTheme="minorEastAsia"/>
          <w:b/>
        </w:rPr>
        <w:t>其中：价格分计算（落实政府采购政策价格调整部分）</w:t>
      </w:r>
    </w:p>
    <w:tbl>
      <w:tblPr>
        <w:tblStyle w:val="22"/>
        <w:tblW w:w="93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2946"/>
        <w:gridCol w:w="3257"/>
        <w:gridCol w:w="2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52"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b/>
                <w:color w:val="000000"/>
              </w:rPr>
              <w:t>序号</w:t>
            </w:r>
          </w:p>
        </w:tc>
        <w:tc>
          <w:tcPr>
            <w:tcW w:w="2946"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b/>
                <w:color w:val="000000"/>
              </w:rPr>
              <w:t>情形</w:t>
            </w:r>
          </w:p>
        </w:tc>
        <w:tc>
          <w:tcPr>
            <w:tcW w:w="3257"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b/>
                <w:color w:val="000000"/>
              </w:rPr>
              <w:t>价格扣除比例</w:t>
            </w:r>
          </w:p>
        </w:tc>
        <w:tc>
          <w:tcPr>
            <w:tcW w:w="2365"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b/>
                <w:color w:val="000000"/>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752"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b/>
                <w:color w:val="000000"/>
              </w:rPr>
              <w:t>1</w:t>
            </w:r>
          </w:p>
        </w:tc>
        <w:tc>
          <w:tcPr>
            <w:tcW w:w="2946"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color w:val="000000"/>
              </w:rPr>
              <w:t>非联合体投标人</w:t>
            </w:r>
          </w:p>
        </w:tc>
        <w:tc>
          <w:tcPr>
            <w:tcW w:w="3257"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tc>
        <w:tc>
          <w:tcPr>
            <w:tcW w:w="2365" w:type="dxa"/>
            <w:vMerge w:val="restart"/>
            <w:shd w:val="clear" w:color="000000" w:fill="auto"/>
            <w:vAlign w:val="center"/>
          </w:tcPr>
          <w:p>
            <w:pPr>
              <w:keepNext w:val="0"/>
              <w:keepLines w:val="0"/>
              <w:pageBreakBefore w:val="0"/>
              <w:widowControl/>
              <w:kinsoku/>
              <w:overflowPunct/>
              <w:topLinePunct w:val="0"/>
              <w:bidi w:val="0"/>
              <w:adjustRightInd/>
              <w:snapToGrid/>
              <w:spacing w:line="240" w:lineRule="auto"/>
              <w:jc w:val="center"/>
              <w:textAlignment w:val="auto"/>
              <w:rPr>
                <w:color w:val="000000"/>
              </w:rPr>
            </w:pPr>
            <w:r>
              <w:rPr>
                <w:rFonts w:hint="eastAsia"/>
                <w:color w:val="000000"/>
              </w:rPr>
              <w:t>评标价格＝投标报价—小型和微型企业产品的价格</w:t>
            </w:r>
            <w:r>
              <w:rPr>
                <w:rFonts w:hint="eastAsia" w:ascii="宋体" w:hAnsi="宋体"/>
                <w:color w:val="000000"/>
              </w:rPr>
              <w:t>×</w:t>
            </w:r>
            <w:r>
              <w:rPr>
                <w:rFonts w:hint="eastAsia"/>
                <w:color w:val="000000"/>
              </w:rPr>
              <w:t>6%</w:t>
            </w:r>
          </w:p>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752"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b/>
                <w:color w:val="000000"/>
              </w:rPr>
              <w:t>2</w:t>
            </w:r>
          </w:p>
        </w:tc>
        <w:tc>
          <w:tcPr>
            <w:tcW w:w="2946"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color w:val="000000"/>
              </w:rPr>
              <w:t>联合体各方均为小型、微型企业</w:t>
            </w:r>
          </w:p>
        </w:tc>
        <w:tc>
          <w:tcPr>
            <w:tcW w:w="3257"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p>
            <w:pPr>
              <w:keepNext w:val="0"/>
              <w:keepLines w:val="0"/>
              <w:pageBreakBefore w:val="0"/>
              <w:widowControl/>
              <w:kinsoku/>
              <w:overflowPunct/>
              <w:topLinePunct w:val="0"/>
              <w:bidi w:val="0"/>
              <w:adjustRightInd/>
              <w:snapToGrid/>
              <w:spacing w:line="240" w:lineRule="auto"/>
              <w:jc w:val="center"/>
              <w:textAlignment w:val="auto"/>
              <w:rPr>
                <w:rFonts w:ascii="宋体" w:hAnsi="宋体"/>
                <w:b/>
              </w:rPr>
            </w:pPr>
            <w:r>
              <w:rPr>
                <w:rFonts w:hint="eastAsia" w:ascii="宋体" w:hAnsi="宋体"/>
              </w:rPr>
              <w:t>（不再享受序号3的价格折扣）</w:t>
            </w:r>
          </w:p>
        </w:tc>
        <w:tc>
          <w:tcPr>
            <w:tcW w:w="2365" w:type="dxa"/>
            <w:vMerge w:val="continue"/>
            <w:shd w:val="clear" w:color="000000" w:fill="auto"/>
            <w:vAlign w:val="center"/>
          </w:tcPr>
          <w:p>
            <w:pPr>
              <w:keepNext w:val="0"/>
              <w:keepLines w:val="0"/>
              <w:pageBreakBefore w:val="0"/>
              <w:widowControl/>
              <w:kinsoku/>
              <w:overflowPunct/>
              <w:topLinePunct w:val="0"/>
              <w:bidi w:val="0"/>
              <w:adjustRightInd/>
              <w:snapToGrid/>
              <w:spacing w:line="240" w:lineRule="auto"/>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trPr>
        <w:tc>
          <w:tcPr>
            <w:tcW w:w="752"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b/>
                <w:color w:val="000000"/>
              </w:rPr>
              <w:t>3</w:t>
            </w:r>
          </w:p>
        </w:tc>
        <w:tc>
          <w:tcPr>
            <w:tcW w:w="2946"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color w:val="000000"/>
              </w:rPr>
              <w:t>联合体一方为小型、微型企业且小型、微型企业协议合同金额占联合体协议合同总金额30%以上的</w:t>
            </w:r>
          </w:p>
        </w:tc>
        <w:tc>
          <w:tcPr>
            <w:tcW w:w="3257"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color w:val="000000"/>
              </w:rPr>
            </w:pPr>
            <w:r>
              <w:rPr>
                <w:rFonts w:hint="eastAsia" w:ascii="宋体" w:hAnsi="宋体"/>
                <w:color w:val="000000"/>
              </w:rPr>
              <w:t>对联合体总金额扣除</w:t>
            </w:r>
          </w:p>
          <w:p>
            <w:pPr>
              <w:keepNext w:val="0"/>
              <w:keepLines w:val="0"/>
              <w:pageBreakBefore w:val="0"/>
              <w:widowControl/>
              <w:kinsoku/>
              <w:overflowPunct/>
              <w:topLinePunct w:val="0"/>
              <w:bidi w:val="0"/>
              <w:adjustRightInd/>
              <w:snapToGrid/>
              <w:spacing w:line="240" w:lineRule="auto"/>
              <w:jc w:val="center"/>
              <w:textAlignment w:val="auto"/>
              <w:rPr>
                <w:rFonts w:ascii="宋体" w:hAnsi="宋体"/>
                <w:b/>
              </w:rPr>
            </w:pPr>
            <w:r>
              <w:rPr>
                <w:rFonts w:hint="eastAsia" w:ascii="宋体" w:hAnsi="宋体"/>
                <w:u w:val="single"/>
              </w:rPr>
              <w:t xml:space="preserve"> </w:t>
            </w:r>
            <w:r>
              <w:rPr>
                <w:rFonts w:ascii="宋体" w:hAnsi="宋体"/>
                <w:u w:val="single"/>
              </w:rPr>
              <w:t>2</w:t>
            </w:r>
            <w:r>
              <w:rPr>
                <w:rFonts w:hint="eastAsia" w:ascii="宋体" w:hAnsi="宋体"/>
                <w:u w:val="single"/>
              </w:rPr>
              <w:t xml:space="preserve"> </w:t>
            </w:r>
            <w:r>
              <w:rPr>
                <w:rFonts w:hint="eastAsia" w:ascii="宋体" w:hAnsi="宋体"/>
              </w:rPr>
              <w:t>%</w:t>
            </w:r>
          </w:p>
        </w:tc>
        <w:tc>
          <w:tcPr>
            <w:tcW w:w="2365" w:type="dxa"/>
            <w:shd w:val="clear" w:color="000000" w:fill="auto"/>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color w:val="FF0000"/>
                <w:u w:val="single"/>
              </w:rPr>
            </w:pPr>
            <w:r>
              <w:rPr>
                <w:rFonts w:hint="eastAsia" w:ascii="宋体" w:hAnsi="宋体"/>
                <w:color w:val="000000"/>
              </w:rPr>
              <w:t>评标价格＝投标报价×</w:t>
            </w:r>
            <w:r>
              <w:rPr>
                <w:rFonts w:hint="eastAsia" w:ascii="宋体" w:hAnsi="宋体"/>
                <w:color w:val="000000" w:themeColor="text1"/>
                <w14:textFill>
                  <w14:solidFill>
                    <w14:schemeClr w14:val="tx1"/>
                  </w14:solidFill>
                </w14:textFill>
              </w:rPr>
              <w:t>(1-</w:t>
            </w:r>
            <w:r>
              <w:rPr>
                <w:rFonts w:ascii="宋体" w:hAnsi="宋体"/>
                <w:color w:val="000000" w:themeColor="text1"/>
                <w:u w:val="single"/>
                <w14:textFill>
                  <w14:solidFill>
                    <w14:schemeClr w14:val="tx1"/>
                  </w14:solidFill>
                </w14:textFill>
              </w:rPr>
              <w:t>2</w:t>
            </w:r>
            <w:r>
              <w:rPr>
                <w:rFonts w:hint="eastAsia" w:ascii="宋体" w:hAnsi="宋体"/>
                <w:color w:val="000000" w:themeColor="text1"/>
                <w:u w:val="single"/>
                <w14:textFill>
                  <w14:solidFill>
                    <w14:schemeClr w14:val="tx1"/>
                  </w14:solidFill>
                </w14:textFill>
              </w:rPr>
              <w:t>%)</w:t>
            </w:r>
          </w:p>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trPr>
        <w:tc>
          <w:tcPr>
            <w:tcW w:w="752"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b/>
                <w:color w:val="000000"/>
              </w:rPr>
              <w:t>4</w:t>
            </w:r>
          </w:p>
        </w:tc>
        <w:tc>
          <w:tcPr>
            <w:tcW w:w="2946"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color w:val="000000"/>
              </w:rPr>
            </w:pPr>
            <w:r>
              <w:rPr>
                <w:rFonts w:hint="eastAsia" w:ascii="宋体" w:hAnsi="宋体"/>
                <w:color w:val="000000"/>
              </w:rPr>
              <w:t>监狱企业</w:t>
            </w:r>
          </w:p>
        </w:tc>
        <w:tc>
          <w:tcPr>
            <w:tcW w:w="3257"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color w:val="000000"/>
              </w:rPr>
            </w:pPr>
            <w:r>
              <w:rPr>
                <w:rFonts w:hint="eastAsia" w:ascii="宋体" w:hAnsi="宋体"/>
                <w:color w:val="000000"/>
              </w:rPr>
              <w:t>视同小型、微型企业</w:t>
            </w:r>
          </w:p>
          <w:p>
            <w:pPr>
              <w:keepNext w:val="0"/>
              <w:keepLines w:val="0"/>
              <w:pageBreakBefore w:val="0"/>
              <w:widowControl/>
              <w:kinsoku/>
              <w:overflowPunct/>
              <w:topLinePunct w:val="0"/>
              <w:bidi w:val="0"/>
              <w:adjustRightInd/>
              <w:snapToGrid/>
              <w:spacing w:line="240" w:lineRule="auto"/>
              <w:jc w:val="center"/>
              <w:textAlignment w:val="auto"/>
              <w:rPr>
                <w:rFonts w:ascii="宋体" w:hAnsi="宋体"/>
                <w:color w:val="000000"/>
              </w:rPr>
            </w:pPr>
            <w:r>
              <w:rPr>
                <w:rFonts w:hint="eastAsia" w:ascii="宋体" w:hAnsi="宋体"/>
                <w:color w:val="000000"/>
              </w:rPr>
              <w:t>对监狱企业产品价格扣除</w:t>
            </w:r>
            <w:r>
              <w:rPr>
                <w:rFonts w:ascii="宋体" w:hAnsi="宋体"/>
                <w:u w:val="single"/>
              </w:rPr>
              <w:t>6</w:t>
            </w:r>
            <w:r>
              <w:rPr>
                <w:rFonts w:hint="eastAsia" w:ascii="宋体" w:hAnsi="宋体"/>
              </w:rPr>
              <w:t>%</w:t>
            </w:r>
          </w:p>
        </w:tc>
        <w:tc>
          <w:tcPr>
            <w:tcW w:w="2365" w:type="dxa"/>
            <w:shd w:val="clear" w:color="000000" w:fill="auto"/>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color w:val="000000"/>
              </w:rPr>
            </w:pPr>
            <w:r>
              <w:rPr>
                <w:rFonts w:hint="eastAsia"/>
                <w:color w:val="000000"/>
              </w:rPr>
              <w:t>评标价格＝投标报价—监狱企业产品的价格</w:t>
            </w:r>
            <w:r>
              <w:rPr>
                <w:rFonts w:hint="eastAsia" w:ascii="宋体" w:hAnsi="宋体"/>
                <w:color w:val="000000"/>
              </w:rPr>
              <w:t>×</w:t>
            </w:r>
            <w:r>
              <w:rPr>
                <w:rFonts w:hint="eastAsia"/>
                <w:color w:val="00000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trPr>
        <w:tc>
          <w:tcPr>
            <w:tcW w:w="752"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b/>
                <w:color w:val="000000"/>
              </w:rPr>
            </w:pPr>
            <w:r>
              <w:rPr>
                <w:rFonts w:hint="eastAsia" w:ascii="宋体" w:hAnsi="宋体"/>
                <w:b/>
                <w:color w:val="000000"/>
              </w:rPr>
              <w:t>5</w:t>
            </w:r>
          </w:p>
        </w:tc>
        <w:tc>
          <w:tcPr>
            <w:tcW w:w="2946"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color w:val="000000"/>
              </w:rPr>
            </w:pPr>
            <w:r>
              <w:rPr>
                <w:rFonts w:hint="eastAsia" w:ascii="宋体" w:hAnsi="宋体"/>
                <w:color w:val="000000"/>
              </w:rPr>
              <w:t>残疾人福利性单位</w:t>
            </w:r>
          </w:p>
        </w:tc>
        <w:tc>
          <w:tcPr>
            <w:tcW w:w="3257" w:type="dxa"/>
            <w:vAlign w:val="center"/>
          </w:tcPr>
          <w:p>
            <w:pPr>
              <w:keepNext w:val="0"/>
              <w:keepLines w:val="0"/>
              <w:pageBreakBefore w:val="0"/>
              <w:widowControl/>
              <w:kinsoku/>
              <w:overflowPunct/>
              <w:topLinePunct w:val="0"/>
              <w:bidi w:val="0"/>
              <w:adjustRightInd/>
              <w:snapToGrid/>
              <w:spacing w:line="240" w:lineRule="auto"/>
              <w:jc w:val="center"/>
              <w:textAlignment w:val="auto"/>
              <w:rPr>
                <w:rFonts w:ascii="宋体" w:hAnsi="宋体"/>
                <w:color w:val="000000"/>
              </w:rPr>
            </w:pPr>
            <w:r>
              <w:rPr>
                <w:rFonts w:hint="eastAsia" w:ascii="宋体" w:hAnsi="宋体"/>
                <w:color w:val="000000"/>
              </w:rPr>
              <w:t>视同小型、微型企业</w:t>
            </w:r>
          </w:p>
          <w:p>
            <w:pPr>
              <w:keepNext w:val="0"/>
              <w:keepLines w:val="0"/>
              <w:pageBreakBefore w:val="0"/>
              <w:widowControl/>
              <w:kinsoku/>
              <w:overflowPunct/>
              <w:topLinePunct w:val="0"/>
              <w:bidi w:val="0"/>
              <w:adjustRightInd/>
              <w:snapToGrid/>
              <w:spacing w:line="240" w:lineRule="auto"/>
              <w:jc w:val="center"/>
              <w:textAlignment w:val="auto"/>
              <w:rPr>
                <w:rFonts w:ascii="宋体" w:hAnsi="宋体"/>
                <w:color w:val="000000"/>
              </w:rPr>
            </w:pPr>
            <w:r>
              <w:rPr>
                <w:rFonts w:hint="eastAsia" w:ascii="宋体" w:hAnsi="宋体"/>
                <w:color w:val="000000"/>
              </w:rPr>
              <w:t>对残疾人福利性单位产品价格扣除</w:t>
            </w:r>
            <w:r>
              <w:rPr>
                <w:rFonts w:ascii="宋体" w:hAnsi="宋体"/>
                <w:u w:val="single"/>
              </w:rPr>
              <w:t>6</w:t>
            </w:r>
            <w:r>
              <w:rPr>
                <w:rFonts w:hint="eastAsia" w:ascii="宋体" w:hAnsi="宋体"/>
              </w:rPr>
              <w:t>%</w:t>
            </w:r>
          </w:p>
        </w:tc>
        <w:tc>
          <w:tcPr>
            <w:tcW w:w="2365" w:type="dxa"/>
            <w:shd w:val="clear" w:color="000000" w:fill="auto"/>
            <w:vAlign w:val="center"/>
          </w:tcPr>
          <w:p>
            <w:pPr>
              <w:keepNext w:val="0"/>
              <w:keepLines w:val="0"/>
              <w:pageBreakBefore w:val="0"/>
              <w:widowControl/>
              <w:kinsoku/>
              <w:overflowPunct/>
              <w:topLinePunct w:val="0"/>
              <w:bidi w:val="0"/>
              <w:adjustRightInd/>
              <w:snapToGrid/>
              <w:spacing w:line="240" w:lineRule="auto"/>
              <w:jc w:val="center"/>
              <w:textAlignment w:val="auto"/>
              <w:rPr>
                <w:color w:val="000000"/>
              </w:rPr>
            </w:pPr>
            <w:r>
              <w:rPr>
                <w:rFonts w:hint="eastAsia"/>
                <w:color w:val="000000"/>
              </w:rPr>
              <w:t>评标价格＝投标报价—残疾人福利性单位产品的价格</w:t>
            </w:r>
            <w:r>
              <w:rPr>
                <w:rFonts w:hint="eastAsia" w:ascii="宋体" w:hAnsi="宋体"/>
                <w:color w:val="000000"/>
              </w:rPr>
              <w:t>×</w:t>
            </w:r>
            <w:r>
              <w:rPr>
                <w:rFonts w:hint="eastAsia"/>
                <w:color w:val="00000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4" w:hRule="atLeast"/>
        </w:trPr>
        <w:tc>
          <w:tcPr>
            <w:tcW w:w="9320" w:type="dxa"/>
            <w:gridSpan w:val="4"/>
            <w:vAlign w:val="center"/>
          </w:tcPr>
          <w:p>
            <w:pPr>
              <w:keepNext w:val="0"/>
              <w:keepLines w:val="0"/>
              <w:pageBreakBefore w:val="0"/>
              <w:widowControl/>
              <w:kinsoku/>
              <w:overflowPunct/>
              <w:topLinePunct w:val="0"/>
              <w:bidi w:val="0"/>
              <w:adjustRightInd/>
              <w:snapToGrid/>
              <w:spacing w:line="240" w:lineRule="auto"/>
              <w:ind w:left="-2" w:firstLine="200"/>
              <w:jc w:val="left"/>
              <w:textAlignment w:val="auto"/>
              <w:rPr>
                <w:rFonts w:cs="仿宋_GB2312" w:asciiTheme="minorEastAsia" w:hAnsiTheme="minorEastAsia"/>
              </w:rPr>
            </w:pPr>
            <w:r>
              <w:rPr>
                <w:rFonts w:hint="eastAsia" w:cs="仿宋_GB2312" w:asciiTheme="minorEastAsia" w:hAnsiTheme="minorEastAsia"/>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pageBreakBefore w:val="0"/>
              <w:widowControl/>
              <w:kinsoku/>
              <w:overflowPunct/>
              <w:topLinePunct w:val="0"/>
              <w:bidi w:val="0"/>
              <w:adjustRightInd/>
              <w:snapToGrid/>
              <w:spacing w:line="240" w:lineRule="auto"/>
              <w:ind w:left="-2" w:firstLine="200"/>
              <w:jc w:val="left"/>
              <w:textAlignment w:val="auto"/>
              <w:rPr>
                <w:rFonts w:cs="仿宋_GB2312" w:asciiTheme="minorEastAsia" w:hAnsiTheme="minorEastAsia"/>
              </w:rPr>
            </w:pPr>
            <w:r>
              <w:rPr>
                <w:rFonts w:hint="eastAsia" w:cs="仿宋_GB2312" w:asciiTheme="minorEastAsia" w:hAnsiTheme="minorEastAsia"/>
              </w:rPr>
              <w:t>2、</w:t>
            </w:r>
            <w:r>
              <w:rPr>
                <w:rFonts w:cs="仿宋_GB2312" w:asciiTheme="minorEastAsia" w:hAnsiTheme="minorEastAsia"/>
              </w:rPr>
              <w:t>经评标委员会</w:t>
            </w:r>
            <w:r>
              <w:rPr>
                <w:rFonts w:hint="eastAsia" w:cs="仿宋_GB2312" w:asciiTheme="minorEastAsia" w:hAnsiTheme="minorEastAsia"/>
              </w:rPr>
              <w:t>审查、评价</w:t>
            </w:r>
            <w:r>
              <w:rPr>
                <w:rFonts w:cs="仿宋_GB2312" w:asciiTheme="minorEastAsia" w:hAnsiTheme="minorEastAsia"/>
              </w:rPr>
              <w:t>，</w:t>
            </w:r>
            <w:r>
              <w:rPr>
                <w:rFonts w:hint="eastAsia" w:cs="仿宋_GB2312" w:asciiTheme="minorEastAsia" w:hAnsiTheme="minorEastAsia"/>
              </w:rPr>
              <w:t>投标文件符合</w:t>
            </w:r>
            <w:r>
              <w:rPr>
                <w:rFonts w:cs="仿宋_GB2312" w:asciiTheme="minorEastAsia" w:hAnsiTheme="minorEastAsia"/>
              </w:rPr>
              <w:t>招标文件</w:t>
            </w:r>
            <w:r>
              <w:rPr>
                <w:rFonts w:hint="eastAsia" w:cs="仿宋_GB2312" w:asciiTheme="minorEastAsia" w:hAnsiTheme="minorEastAsia"/>
              </w:rPr>
              <w:t>实质性</w:t>
            </w:r>
            <w:r>
              <w:rPr>
                <w:rFonts w:cs="仿宋_GB2312" w:asciiTheme="minorEastAsia" w:hAnsiTheme="minorEastAsia"/>
              </w:rPr>
              <w:t>要求且</w:t>
            </w:r>
            <w:r>
              <w:rPr>
                <w:rFonts w:hint="eastAsia" w:cs="仿宋_GB2312" w:asciiTheme="minorEastAsia" w:hAnsiTheme="minorEastAsia"/>
              </w:rPr>
              <w:t>进行了政策性价格扣除后，</w:t>
            </w:r>
            <w:r>
              <w:rPr>
                <w:rFonts w:cs="仿宋_GB2312" w:asciiTheme="minorEastAsia" w:hAnsiTheme="minorEastAsia"/>
              </w:rPr>
              <w:t>以</w:t>
            </w:r>
            <w:r>
              <w:rPr>
                <w:rFonts w:hint="eastAsia" w:cs="仿宋_GB2312" w:asciiTheme="minorEastAsia" w:hAnsiTheme="minorEastAsia"/>
              </w:rPr>
              <w:t>评标价格的</w:t>
            </w:r>
            <w:r>
              <w:rPr>
                <w:rFonts w:cs="仿宋_GB2312" w:asciiTheme="minorEastAsia" w:hAnsiTheme="minorEastAsia"/>
              </w:rPr>
              <w:t>最低价者定为评标基准价，其价格分为满分。其他投标人的价格分统一按下列公式</w:t>
            </w:r>
            <w:r>
              <w:rPr>
                <w:rFonts w:hint="eastAsia" w:cs="仿宋_GB2312" w:asciiTheme="minorEastAsia" w:hAnsiTheme="minorEastAsia"/>
              </w:rPr>
              <w:t>计算</w:t>
            </w:r>
            <w:r>
              <w:rPr>
                <w:rFonts w:cs="仿宋_GB2312" w:asciiTheme="minorEastAsia" w:hAnsiTheme="minorEastAsia"/>
              </w:rPr>
              <w:t>。即：</w:t>
            </w:r>
          </w:p>
          <w:p>
            <w:pPr>
              <w:keepNext w:val="0"/>
              <w:keepLines w:val="0"/>
              <w:pageBreakBefore w:val="0"/>
              <w:widowControl/>
              <w:kinsoku/>
              <w:overflowPunct/>
              <w:topLinePunct w:val="0"/>
              <w:bidi w:val="0"/>
              <w:adjustRightInd/>
              <w:snapToGrid/>
              <w:spacing w:line="240" w:lineRule="auto"/>
              <w:ind w:left="-88" w:firstLine="214"/>
              <w:jc w:val="left"/>
              <w:textAlignment w:val="auto"/>
              <w:rPr>
                <w:rFonts w:cs="仿宋_GB2312" w:asciiTheme="minorEastAsia" w:hAnsiTheme="minorEastAsia"/>
              </w:rPr>
            </w:pPr>
            <w:r>
              <w:rPr>
                <w:rFonts w:cs="仿宋_GB2312" w:asciiTheme="minorEastAsia" w:hAnsiTheme="minorEastAsia"/>
              </w:rPr>
              <w:t>评标基准价</w:t>
            </w:r>
            <w:r>
              <w:rPr>
                <w:rFonts w:hint="eastAsia" w:cs="仿宋_GB2312" w:asciiTheme="minorEastAsia" w:hAnsiTheme="minorEastAsia"/>
              </w:rPr>
              <w:t>=评标价格的最低价</w:t>
            </w:r>
          </w:p>
          <w:p>
            <w:pPr>
              <w:keepNext w:val="0"/>
              <w:keepLines w:val="0"/>
              <w:pageBreakBefore w:val="0"/>
              <w:widowControl/>
              <w:kinsoku/>
              <w:overflowPunct/>
              <w:topLinePunct w:val="0"/>
              <w:bidi w:val="0"/>
              <w:adjustRightInd/>
              <w:snapToGrid/>
              <w:spacing w:line="240" w:lineRule="auto"/>
              <w:ind w:left="-88" w:firstLine="214"/>
              <w:jc w:val="left"/>
              <w:textAlignment w:val="auto"/>
              <w:rPr>
                <w:rFonts w:cs="仿宋_GB2312" w:asciiTheme="minorEastAsia" w:hAnsiTheme="minorEastAsia"/>
              </w:rPr>
            </w:pPr>
            <w:r>
              <w:rPr>
                <w:rFonts w:cs="仿宋_GB2312" w:asciiTheme="minorEastAsia" w:hAnsiTheme="minorEastAsia"/>
              </w:rPr>
              <w:t>其他投标报价得分</w:t>
            </w:r>
            <w:r>
              <w:rPr>
                <w:rFonts w:hint="eastAsia" w:cs="仿宋_GB2312" w:asciiTheme="minorEastAsia" w:hAnsiTheme="minorEastAsia"/>
              </w:rPr>
              <w:t>=（</w:t>
            </w:r>
            <w:r>
              <w:rPr>
                <w:rFonts w:cs="仿宋_GB2312" w:asciiTheme="minorEastAsia" w:hAnsiTheme="minorEastAsia"/>
              </w:rPr>
              <w:t>评标基准价</w:t>
            </w:r>
            <w:r>
              <w:rPr>
                <w:rFonts w:hint="eastAsia" w:cs="仿宋_GB2312" w:asciiTheme="minorEastAsia" w:hAnsiTheme="minorEastAsia"/>
              </w:rPr>
              <w:t>/评标价格）</w:t>
            </w:r>
            <w:r>
              <w:rPr>
                <w:rFonts w:cs="仿宋_GB2312" w:asciiTheme="minorEastAsia" w:hAnsiTheme="minorEastAsia"/>
              </w:rPr>
              <w:t>×</w:t>
            </w:r>
            <w:r>
              <w:rPr>
                <w:rFonts w:hint="eastAsia" w:cs="仿宋_GB2312" w:asciiTheme="minorEastAsia" w:hAnsiTheme="minorEastAsia"/>
              </w:rPr>
              <w:t>评标标准中价格分值</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备注：</w:t>
      </w:r>
    </w:p>
    <w:p>
      <w:pPr>
        <w:keepNext w:val="0"/>
        <w:keepLines w:val="0"/>
        <w:pageBreakBefore w:val="0"/>
        <w:widowControl/>
        <w:kinsoku/>
        <w:wordWrap/>
        <w:overflowPunct/>
        <w:topLinePunct w:val="0"/>
        <w:autoSpaceDE/>
        <w:autoSpaceDN/>
        <w:bidi w:val="0"/>
        <w:adjustRightInd/>
        <w:snapToGrid/>
        <w:spacing w:line="400" w:lineRule="exact"/>
        <w:ind w:firstLine="200"/>
        <w:textAlignment w:val="auto"/>
        <w:rPr>
          <w:rFonts w:ascii="宋体" w:hAnsi="宋体"/>
        </w:rPr>
      </w:pPr>
      <w:r>
        <w:rPr>
          <w:rFonts w:hint="eastAsia" w:ascii="宋体" w:hAnsi="宋体"/>
        </w:rPr>
        <w:t>a、不接受联合体投标的项目，本表中第2项、第3项情形不适用。</w:t>
      </w:r>
    </w:p>
    <w:p>
      <w:pPr>
        <w:keepNext w:val="0"/>
        <w:keepLines w:val="0"/>
        <w:pageBreakBefore w:val="0"/>
        <w:widowControl/>
        <w:kinsoku/>
        <w:wordWrap/>
        <w:overflowPunct/>
        <w:topLinePunct w:val="0"/>
        <w:autoSpaceDE/>
        <w:autoSpaceDN/>
        <w:bidi w:val="0"/>
        <w:adjustRightInd/>
        <w:snapToGrid/>
        <w:spacing w:line="400" w:lineRule="exact"/>
        <w:ind w:firstLine="200"/>
        <w:textAlignment w:val="auto"/>
        <w:rPr>
          <w:rFonts w:ascii="宋体" w:hAnsi="宋体"/>
        </w:rPr>
      </w:pPr>
      <w:r>
        <w:rPr>
          <w:rFonts w:hint="eastAsia" w:ascii="宋体" w:hAnsi="宋体"/>
        </w:rPr>
        <w:t>b、小型和微型企业产品包括货物及其提供的服务与工程。</w:t>
      </w:r>
    </w:p>
    <w:p>
      <w:pPr>
        <w:keepNext w:val="0"/>
        <w:keepLines w:val="0"/>
        <w:pageBreakBefore w:val="0"/>
        <w:widowControl/>
        <w:kinsoku/>
        <w:wordWrap/>
        <w:overflowPunct/>
        <w:topLinePunct w:val="0"/>
        <w:autoSpaceDE/>
        <w:autoSpaceDN/>
        <w:bidi w:val="0"/>
        <w:adjustRightInd/>
        <w:snapToGrid/>
        <w:spacing w:line="400" w:lineRule="exact"/>
        <w:ind w:firstLine="200"/>
        <w:textAlignment w:val="auto"/>
        <w:rPr>
          <w:rFonts w:ascii="宋体" w:hAnsi="宋体"/>
        </w:rPr>
      </w:pPr>
      <w:r>
        <w:rPr>
          <w:rFonts w:hint="eastAsia" w:ascii="宋体" w:hAnsi="宋体"/>
        </w:rPr>
        <w:t>c、中小企业、残疾人福利性单位提供其他企业制造的货物的，则该货物的制造商也必须为上述企业，否则不能享受价格优惠。</w:t>
      </w:r>
    </w:p>
    <w:p>
      <w:pPr>
        <w:keepNext w:val="0"/>
        <w:keepLines w:val="0"/>
        <w:pageBreakBefore w:val="0"/>
        <w:widowControl/>
        <w:kinsoku/>
        <w:wordWrap/>
        <w:overflowPunct/>
        <w:topLinePunct w:val="0"/>
        <w:autoSpaceDE/>
        <w:autoSpaceDN/>
        <w:bidi w:val="0"/>
        <w:adjustRightInd/>
        <w:snapToGrid/>
        <w:spacing w:line="400" w:lineRule="exact"/>
        <w:ind w:firstLine="200"/>
        <w:textAlignment w:val="auto"/>
        <w:rPr>
          <w:rFonts w:ascii="宋体" w:hAnsi="宋体"/>
        </w:rPr>
      </w:pPr>
      <w:r>
        <w:rPr>
          <w:rFonts w:hint="eastAsia" w:ascii="宋体" w:hAnsi="宋体"/>
        </w:rPr>
        <w:t>d、残疾人福利性单位属于小型、微型企业的，不重复享受政策。</w:t>
      </w:r>
    </w:p>
    <w:p>
      <w:pPr>
        <w:keepNext w:val="0"/>
        <w:keepLines w:val="0"/>
        <w:pageBreakBefore w:val="0"/>
        <w:widowControl/>
        <w:kinsoku/>
        <w:wordWrap/>
        <w:overflowPunct/>
        <w:topLinePunct w:val="0"/>
        <w:autoSpaceDE/>
        <w:autoSpaceDN/>
        <w:bidi w:val="0"/>
        <w:adjustRightInd/>
        <w:snapToGrid/>
        <w:spacing w:line="400" w:lineRule="exact"/>
        <w:ind w:firstLine="200"/>
        <w:textAlignment w:val="auto"/>
        <w:rPr>
          <w:rFonts w:ascii="宋体" w:hAnsi="宋体"/>
        </w:rPr>
      </w:pPr>
      <w:r>
        <w:rPr>
          <w:rFonts w:ascii="宋体" w:hAnsi="宋体"/>
        </w:rPr>
        <w:t>E</w:t>
      </w:r>
      <w:r>
        <w:rPr>
          <w:rFonts w:hint="eastAsia" w:ascii="宋体" w:hAnsi="宋体"/>
        </w:rPr>
        <w:t>、小型和微型企业不包括民办非企业单位。</w:t>
      </w:r>
    </w:p>
    <w:p>
      <w:pPr>
        <w:pStyle w:val="14"/>
        <w:keepNext w:val="0"/>
        <w:keepLines w:val="0"/>
        <w:pageBreakBefore w:val="0"/>
        <w:widowControl/>
        <w:kinsoku/>
        <w:overflowPunct/>
        <w:topLinePunct w:val="0"/>
        <w:bidi w:val="0"/>
        <w:adjustRightInd/>
        <w:snapToGrid/>
        <w:spacing w:line="240" w:lineRule="auto"/>
        <w:ind w:firstLine="200"/>
        <w:contextualSpacing/>
        <w:textAlignment w:val="auto"/>
        <w:rPr>
          <w:rFonts w:cs="仿宋_GB2312" w:asciiTheme="minorEastAsia" w:hAnsiTheme="minorEastAsia" w:eastAsiaTheme="minorEastAsia"/>
          <w:sz w:val="21"/>
          <w:szCs w:val="21"/>
        </w:rPr>
      </w:pPr>
      <w:r>
        <w:rPr>
          <w:rFonts w:hint="eastAsia" w:cs="仿宋_GB2312" w:asciiTheme="minorEastAsia" w:hAnsiTheme="minorEastAsia" w:eastAsiaTheme="minorEastAsia"/>
          <w:b/>
          <w:sz w:val="21"/>
          <w:szCs w:val="21"/>
        </w:rPr>
        <w:t>（7）</w:t>
      </w:r>
      <w:r>
        <w:rPr>
          <w:rFonts w:cs="仿宋_GB2312" w:asciiTheme="minorEastAsia" w:hAnsiTheme="minorEastAsia" w:eastAsiaTheme="minorEastAsia"/>
          <w:b/>
          <w:sz w:val="21"/>
          <w:szCs w:val="21"/>
        </w:rPr>
        <w:t>评标结果汇总完成后，除下列情形外，任何人不得修改评标结果：</w:t>
      </w:r>
    </w:p>
    <w:p>
      <w:pPr>
        <w:keepNext w:val="0"/>
        <w:keepLines w:val="0"/>
        <w:pageBreakBefore w:val="0"/>
        <w:widowControl/>
        <w:tabs>
          <w:tab w:val="left" w:pos="1260"/>
        </w:tabs>
        <w:kinsoku/>
        <w:overflowPunct/>
        <w:topLinePunct w:val="0"/>
        <w:autoSpaceDE w:val="0"/>
        <w:autoSpaceDN w:val="0"/>
        <w:bidi w:val="0"/>
        <w:adjustRightInd/>
        <w:snapToGrid/>
        <w:spacing w:line="240" w:lineRule="auto"/>
        <w:ind w:firstLine="200"/>
        <w:contextualSpacing/>
        <w:textAlignment w:val="auto"/>
        <w:rPr>
          <w:rFonts w:cs="仿宋_GB2312" w:asciiTheme="minorEastAsia" w:hAnsiTheme="minorEastAsia"/>
        </w:rPr>
      </w:pPr>
      <w:r>
        <w:rPr>
          <w:rFonts w:hint="eastAsia" w:cs="仿宋_GB2312" w:asciiTheme="minorEastAsia" w:hAnsiTheme="minorEastAsia"/>
        </w:rPr>
        <w:t xml:space="preserve">1） </w:t>
      </w:r>
      <w:r>
        <w:rPr>
          <w:rFonts w:cs="仿宋_GB2312" w:asciiTheme="minorEastAsia" w:hAnsiTheme="minorEastAsia"/>
        </w:rPr>
        <w:t>分值汇总计算错误的；</w:t>
      </w:r>
    </w:p>
    <w:p>
      <w:pPr>
        <w:keepNext w:val="0"/>
        <w:keepLines w:val="0"/>
        <w:pageBreakBefore w:val="0"/>
        <w:widowControl/>
        <w:tabs>
          <w:tab w:val="left" w:pos="1260"/>
        </w:tabs>
        <w:kinsoku/>
        <w:overflowPunct/>
        <w:topLinePunct w:val="0"/>
        <w:autoSpaceDE w:val="0"/>
        <w:autoSpaceDN w:val="0"/>
        <w:bidi w:val="0"/>
        <w:adjustRightInd/>
        <w:snapToGrid/>
        <w:spacing w:line="240" w:lineRule="auto"/>
        <w:ind w:firstLine="200"/>
        <w:contextualSpacing/>
        <w:textAlignment w:val="auto"/>
        <w:rPr>
          <w:rFonts w:cs="仿宋_GB2312" w:asciiTheme="minorEastAsia" w:hAnsiTheme="minorEastAsia"/>
        </w:rPr>
      </w:pPr>
      <w:r>
        <w:rPr>
          <w:rFonts w:hint="eastAsia" w:cs="仿宋_GB2312" w:asciiTheme="minorEastAsia" w:hAnsiTheme="minorEastAsia"/>
        </w:rPr>
        <w:t xml:space="preserve">2） </w:t>
      </w:r>
      <w:r>
        <w:rPr>
          <w:rFonts w:cs="仿宋_GB2312" w:asciiTheme="minorEastAsia" w:hAnsiTheme="minorEastAsia"/>
        </w:rPr>
        <w:t>分项评分超出评分标准范围的；</w:t>
      </w:r>
    </w:p>
    <w:p>
      <w:pPr>
        <w:keepNext w:val="0"/>
        <w:keepLines w:val="0"/>
        <w:pageBreakBefore w:val="0"/>
        <w:widowControl/>
        <w:tabs>
          <w:tab w:val="left" w:pos="1260"/>
        </w:tabs>
        <w:kinsoku/>
        <w:overflowPunct/>
        <w:topLinePunct w:val="0"/>
        <w:autoSpaceDE w:val="0"/>
        <w:autoSpaceDN w:val="0"/>
        <w:bidi w:val="0"/>
        <w:adjustRightInd/>
        <w:snapToGrid/>
        <w:spacing w:line="240" w:lineRule="auto"/>
        <w:ind w:firstLine="200"/>
        <w:contextualSpacing/>
        <w:textAlignment w:val="auto"/>
        <w:rPr>
          <w:rFonts w:cs="仿宋_GB2312" w:asciiTheme="minorEastAsia" w:hAnsiTheme="minorEastAsia"/>
        </w:rPr>
      </w:pPr>
      <w:r>
        <w:rPr>
          <w:rFonts w:hint="eastAsia" w:cs="仿宋_GB2312" w:asciiTheme="minorEastAsia" w:hAnsiTheme="minorEastAsia"/>
        </w:rPr>
        <w:t xml:space="preserve">3） </w:t>
      </w:r>
      <w:r>
        <w:rPr>
          <w:rFonts w:cs="仿宋_GB2312" w:asciiTheme="minorEastAsia" w:hAnsiTheme="minorEastAsia"/>
        </w:rPr>
        <w:t>评标委员会成员对客观评审因素评分不一致的；</w:t>
      </w:r>
    </w:p>
    <w:p>
      <w:pPr>
        <w:keepNext w:val="0"/>
        <w:keepLines w:val="0"/>
        <w:pageBreakBefore w:val="0"/>
        <w:widowControl/>
        <w:tabs>
          <w:tab w:val="left" w:pos="1260"/>
        </w:tabs>
        <w:kinsoku/>
        <w:overflowPunct/>
        <w:topLinePunct w:val="0"/>
        <w:autoSpaceDE w:val="0"/>
        <w:autoSpaceDN w:val="0"/>
        <w:bidi w:val="0"/>
        <w:adjustRightInd/>
        <w:snapToGrid/>
        <w:spacing w:line="240" w:lineRule="auto"/>
        <w:ind w:firstLine="200"/>
        <w:contextualSpacing/>
        <w:textAlignment w:val="auto"/>
        <w:rPr>
          <w:rFonts w:cs="仿宋_GB2312" w:asciiTheme="minorEastAsia" w:hAnsiTheme="minorEastAsia"/>
        </w:rPr>
      </w:pPr>
      <w:r>
        <w:rPr>
          <w:rFonts w:hint="eastAsia" w:cs="仿宋_GB2312" w:asciiTheme="minorEastAsia" w:hAnsiTheme="minorEastAsia"/>
        </w:rPr>
        <w:t xml:space="preserve">4） </w:t>
      </w:r>
      <w:r>
        <w:rPr>
          <w:rFonts w:cs="仿宋_GB2312" w:asciiTheme="minorEastAsia" w:hAnsiTheme="minorEastAsia"/>
        </w:rPr>
        <w:t>经评标委员会认定评分畸高、畸低的。</w:t>
      </w:r>
    </w:p>
    <w:p>
      <w:pPr>
        <w:keepNext w:val="0"/>
        <w:keepLines w:val="0"/>
        <w:pageBreakBefore w:val="0"/>
        <w:widowControl/>
        <w:tabs>
          <w:tab w:val="left" w:pos="1260"/>
        </w:tabs>
        <w:kinsoku/>
        <w:overflowPunct/>
        <w:topLinePunct w:val="0"/>
        <w:autoSpaceDE w:val="0"/>
        <w:autoSpaceDN w:val="0"/>
        <w:bidi w:val="0"/>
        <w:adjustRightInd/>
        <w:snapToGrid/>
        <w:spacing w:line="240" w:lineRule="auto"/>
        <w:ind w:firstLine="200"/>
        <w:contextualSpacing/>
        <w:textAlignment w:val="auto"/>
        <w:rPr>
          <w:rFonts w:cs="仿宋_GB2312" w:asciiTheme="minorEastAsia" w:hAnsiTheme="minorEastAsia"/>
        </w:rPr>
      </w:pPr>
      <w:r>
        <w:rPr>
          <w:rFonts w:cs="仿宋_GB2312" w:asciiTheme="minorEastAsia" w:hAnsiTheme="minor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tabs>
          <w:tab w:val="left" w:pos="1260"/>
        </w:tabs>
        <w:kinsoku/>
        <w:overflowPunct/>
        <w:topLinePunct w:val="0"/>
        <w:autoSpaceDE w:val="0"/>
        <w:autoSpaceDN w:val="0"/>
        <w:bidi w:val="0"/>
        <w:adjustRightInd/>
        <w:snapToGrid/>
        <w:spacing w:line="240" w:lineRule="auto"/>
        <w:ind w:firstLine="200"/>
        <w:contextualSpacing/>
        <w:textAlignment w:val="auto"/>
        <w:rPr>
          <w:rFonts w:cs="仿宋_GB2312" w:asciiTheme="minorEastAsia" w:hAnsiTheme="minorEastAsia"/>
        </w:rPr>
      </w:pPr>
      <w:r>
        <w:rPr>
          <w:rFonts w:cs="仿宋_GB2312" w:asciiTheme="minorEastAsia" w:hAnsiTheme="minorEastAsia"/>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tabs>
          <w:tab w:val="left" w:pos="1260"/>
        </w:tabs>
        <w:kinsoku/>
        <w:overflowPunct/>
        <w:topLinePunct w:val="0"/>
        <w:autoSpaceDE w:val="0"/>
        <w:autoSpaceDN w:val="0"/>
        <w:bidi w:val="0"/>
        <w:adjustRightInd/>
        <w:snapToGrid/>
        <w:spacing w:line="240" w:lineRule="auto"/>
        <w:ind w:firstLine="200"/>
        <w:contextualSpacing/>
        <w:textAlignment w:val="auto"/>
        <w:rPr>
          <w:rFonts w:cs="仿宋_GB2312" w:asciiTheme="minorEastAsia" w:hAnsiTheme="minorEastAsia"/>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keepNext w:val="0"/>
        <w:keepLines w:val="0"/>
        <w:pageBreakBefore w:val="0"/>
        <w:widowControl/>
        <w:kinsoku/>
        <w:wordWrap w:val="0"/>
        <w:overflowPunct/>
        <w:topLinePunct w:val="0"/>
        <w:bidi w:val="0"/>
        <w:adjustRightInd/>
        <w:snapToGrid/>
        <w:spacing w:line="240" w:lineRule="auto"/>
        <w:ind w:firstLine="200"/>
        <w:contextualSpacing/>
        <w:textAlignment w:val="auto"/>
        <w:rPr>
          <w:rFonts w:cs="仿宋_GB2312" w:asciiTheme="minorEastAsia" w:hAnsiTheme="minorEastAsia"/>
        </w:rPr>
      </w:pPr>
      <w:r>
        <w:rPr>
          <w:rFonts w:hint="eastAsia" w:cs="仿宋_GB2312" w:asciiTheme="minorEastAsia" w:hAnsiTheme="minorEastAsia"/>
          <w:b/>
        </w:rPr>
        <w:t>（8）按照《关于推进全流程电子化交易和在线监管工作有关问题的通知》（许公管办[2019]3号）规定：</w:t>
      </w:r>
      <w:r>
        <w:rPr>
          <w:rFonts w:hint="eastAsia" w:cs="仿宋_GB2312" w:asciiTheme="minorEastAsia" w:hAnsiTheme="minorEastAsia"/>
        </w:rPr>
        <w:t>评标专家应严格按照要求查看“硬件特征码”相关信息并进行评审，在评审报告中显示“不同投标人电子投标文件制作硬件特征码”是否均一致的分析及判定结果。</w:t>
      </w:r>
    </w:p>
    <w:p>
      <w:pPr>
        <w:keepNext w:val="0"/>
        <w:keepLines w:val="0"/>
        <w:pageBreakBefore w:val="0"/>
        <w:widowControl/>
        <w:tabs>
          <w:tab w:val="left" w:pos="1260"/>
        </w:tabs>
        <w:kinsoku/>
        <w:overflowPunct/>
        <w:topLinePunct w:val="0"/>
        <w:autoSpaceDE w:val="0"/>
        <w:autoSpaceDN w:val="0"/>
        <w:bidi w:val="0"/>
        <w:adjustRightInd/>
        <w:snapToGrid/>
        <w:spacing w:line="240" w:lineRule="auto"/>
        <w:ind w:firstLine="200"/>
        <w:contextualSpacing/>
        <w:textAlignment w:val="auto"/>
        <w:rPr>
          <w:rFonts w:cs="仿宋_GB2312" w:asciiTheme="minorEastAsia" w:hAnsiTheme="minorEastAsia"/>
          <w:b/>
        </w:rPr>
      </w:pPr>
      <w:r>
        <w:rPr>
          <w:rFonts w:hint="eastAsia" w:cs="仿宋_GB2312" w:asciiTheme="minorEastAsia" w:hAnsiTheme="minorEastAsia"/>
          <w:b/>
        </w:rPr>
        <w:t>（9）</w:t>
      </w:r>
      <w:r>
        <w:rPr>
          <w:rFonts w:cs="仿宋_GB2312" w:asciiTheme="minorEastAsia" w:hAnsiTheme="minorEastAsia"/>
          <w:b/>
        </w:rPr>
        <w:t>评标委员会</w:t>
      </w:r>
      <w:r>
        <w:rPr>
          <w:rFonts w:hint="eastAsia" w:cs="仿宋_GB2312" w:asciiTheme="minorEastAsia" w:hAnsiTheme="minorEastAsia"/>
          <w:b/>
        </w:rPr>
        <w:t>争议处理</w:t>
      </w:r>
    </w:p>
    <w:p>
      <w:pPr>
        <w:keepNext w:val="0"/>
        <w:keepLines w:val="0"/>
        <w:pageBreakBefore w:val="0"/>
        <w:widowControl/>
        <w:tabs>
          <w:tab w:val="left" w:pos="1260"/>
        </w:tabs>
        <w:kinsoku/>
        <w:overflowPunct/>
        <w:topLinePunct w:val="0"/>
        <w:autoSpaceDE w:val="0"/>
        <w:autoSpaceDN w:val="0"/>
        <w:bidi w:val="0"/>
        <w:adjustRightInd/>
        <w:snapToGrid/>
        <w:spacing w:line="240" w:lineRule="auto"/>
        <w:ind w:firstLine="200"/>
        <w:contextualSpacing/>
        <w:textAlignment w:val="auto"/>
        <w:rPr>
          <w:rFonts w:cs="仿宋_GB2312" w:asciiTheme="minorEastAsia" w:hAnsiTheme="minorEastAsia"/>
        </w:rPr>
      </w:pPr>
      <w:r>
        <w:rPr>
          <w:rFonts w:cs="仿宋_GB2312" w:asciiTheme="minorEastAsia" w:hAnsiTheme="minorEastAsia"/>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kinsoku/>
        <w:overflowPunct/>
        <w:topLinePunct w:val="0"/>
        <w:bidi w:val="0"/>
        <w:adjustRightInd/>
        <w:snapToGrid/>
        <w:spacing w:line="240" w:lineRule="auto"/>
        <w:ind w:firstLine="200"/>
        <w:contextualSpacing/>
        <w:textAlignment w:val="auto"/>
        <w:rPr>
          <w:rFonts w:cs="仿宋_GB2312" w:asciiTheme="minorEastAsia" w:hAnsiTheme="minorEastAsia"/>
          <w:b/>
        </w:rPr>
      </w:pPr>
      <w:r>
        <w:rPr>
          <w:rFonts w:hint="eastAsia" w:cs="仿宋_GB2312" w:asciiTheme="minorEastAsia" w:hAnsiTheme="minorEastAsia"/>
          <w:b/>
        </w:rPr>
        <w:t>4、</w:t>
      </w:r>
      <w:r>
        <w:rPr>
          <w:rFonts w:cs="仿宋_GB2312" w:asciiTheme="minorEastAsia" w:hAnsiTheme="minorEastAsia"/>
          <w:b/>
        </w:rPr>
        <w:t>确定中标候选人名单，以及根据采购人委托直接确定中标人</w:t>
      </w:r>
      <w:r>
        <w:rPr>
          <w:rFonts w:hint="eastAsia" w:cs="仿宋_GB2312" w:asciiTheme="minorEastAsia" w:hAnsiTheme="minorEastAsia"/>
          <w:b/>
        </w:rPr>
        <w:t>。</w:t>
      </w:r>
    </w:p>
    <w:p>
      <w:pPr>
        <w:snapToGrid w:val="0"/>
        <w:spacing w:line="360" w:lineRule="auto"/>
        <w:ind w:firstLine="200"/>
        <w:rPr>
          <w:rFonts w:ascii="宋体" w:hAnsi="宋体" w:cs="Courier New"/>
        </w:rPr>
      </w:pPr>
    </w:p>
    <w:p>
      <w:pPr>
        <w:snapToGrid w:val="0"/>
        <w:spacing w:line="360" w:lineRule="auto"/>
        <w:ind w:firstLine="200"/>
        <w:rPr>
          <w:rFonts w:ascii="宋体" w:hAnsi="宋体" w:cs="Courier New"/>
        </w:rPr>
      </w:pPr>
    </w:p>
    <w:p>
      <w:pPr>
        <w:snapToGrid w:val="0"/>
        <w:spacing w:line="360" w:lineRule="auto"/>
        <w:ind w:firstLine="200"/>
        <w:rPr>
          <w:rFonts w:ascii="宋体" w:hAnsi="宋体" w:cs="Courier New"/>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第七章 合同条款及格式</w:t>
      </w:r>
    </w:p>
    <w:p>
      <w:pPr>
        <w:pStyle w:val="14"/>
        <w:spacing w:line="360" w:lineRule="auto"/>
        <w:contextualSpacing/>
        <w:jc w:val="center"/>
        <w:rPr>
          <w:rFonts w:cs="宋体" w:asciiTheme="majorEastAsia" w:hAnsiTheme="majorEastAsia" w:eastAsiaTheme="majorEastAsia"/>
          <w:b/>
          <w:sz w:val="36"/>
          <w:szCs w:val="36"/>
        </w:rPr>
      </w:pPr>
    </w:p>
    <w:p>
      <w:pPr>
        <w:spacing w:line="360" w:lineRule="auto"/>
        <w:jc w:val="center"/>
        <w:rPr>
          <w:rFonts w:ascii="宋体" w:hAnsi="宋体" w:cs="微软雅黑"/>
          <w:b/>
        </w:rPr>
      </w:pPr>
      <w:r>
        <w:rPr>
          <w:rFonts w:hint="eastAsia" w:ascii="宋体" w:hAnsi="宋体" w:cs="微软雅黑"/>
          <w:b/>
        </w:rPr>
        <w:t>（此合同仅供参考。以最终采购人与中标人签定的合同条款为准进行公示，</w:t>
      </w:r>
    </w:p>
    <w:p>
      <w:pPr>
        <w:spacing w:line="360" w:lineRule="auto"/>
        <w:jc w:val="center"/>
        <w:rPr>
          <w:rFonts w:ascii="宋体" w:hAnsi="宋体" w:cs="微软雅黑"/>
          <w:b/>
        </w:rPr>
      </w:pPr>
      <w:r>
        <w:rPr>
          <w:rFonts w:hint="eastAsia" w:ascii="宋体" w:hAnsi="宋体" w:cs="微软雅黑"/>
          <w:b/>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cs="宋体" w:asciiTheme="majorEastAsia" w:hAnsiTheme="majorEastAsia" w:eastAsiaTheme="majorEastAsia"/>
          <w:b/>
          <w:sz w:val="36"/>
          <w:szCs w:val="36"/>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hint="eastAsia" w:cs="宋体" w:asciiTheme="majorEastAsia" w:hAnsiTheme="majorEastAsia" w:eastAsiaTheme="majorEastAsia"/>
          <w:b/>
          <w:sz w:val="32"/>
          <w:szCs w:val="32"/>
        </w:rPr>
      </w:pPr>
    </w:p>
    <w:p>
      <w:pPr>
        <w:tabs>
          <w:tab w:val="left" w:pos="1260"/>
        </w:tabs>
        <w:autoSpaceDE w:val="0"/>
        <w:autoSpaceDN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投标文件有关格式</w:t>
      </w:r>
    </w:p>
    <w:p>
      <w:pPr>
        <w:autoSpaceDE w:val="0"/>
        <w:autoSpaceDN w:val="0"/>
        <w:spacing w:line="700" w:lineRule="exact"/>
        <w:ind w:firstLine="551"/>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（如涉及本项目的提供）</w:t>
      </w: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autoSpaceDE w:val="0"/>
        <w:autoSpaceDN w:val="0"/>
        <w:spacing w:line="700" w:lineRule="exact"/>
        <w:ind w:firstLine="551"/>
        <w:jc w:val="center"/>
        <w:rPr>
          <w:rFonts w:cs="黑体" w:asciiTheme="minorEastAsia" w:hAnsiTheme="minorEastAsia"/>
          <w:b/>
          <w:sz w:val="44"/>
          <w:szCs w:val="44"/>
        </w:rPr>
      </w:pPr>
    </w:p>
    <w:p>
      <w:pPr>
        <w:pStyle w:val="4"/>
        <w:numPr>
          <w:ilvl w:val="0"/>
          <w:numId w:val="0"/>
        </w:numPr>
      </w:pPr>
    </w:p>
    <w:p/>
    <w:p>
      <w:pPr>
        <w:pStyle w:val="3"/>
        <w:rPr>
          <w:rFonts w:cs="黑体" w:asciiTheme="minorEastAsia" w:hAnsiTheme="minorEastAsia"/>
          <w:b/>
          <w:sz w:val="44"/>
          <w:szCs w:val="44"/>
        </w:rPr>
      </w:pPr>
    </w:p>
    <w:p>
      <w:pPr>
        <w:pStyle w:val="51"/>
        <w:numPr>
          <w:ilvl w:val="0"/>
          <w:numId w:val="0"/>
        </w:numPr>
        <w:tabs>
          <w:tab w:val="left" w:pos="660"/>
        </w:tabs>
        <w:snapToGrid w:val="0"/>
        <w:spacing w:before="0" w:line="400" w:lineRule="exact"/>
        <w:rPr>
          <w:rFonts w:cs="黑体"/>
          <w:color w:val="auto"/>
          <w:sz w:val="28"/>
          <w:szCs w:val="28"/>
        </w:rPr>
      </w:pPr>
      <w:r>
        <w:rPr>
          <w:rFonts w:hint="eastAsia" w:cs="黑体"/>
          <w:color w:val="auto"/>
          <w:sz w:val="28"/>
          <w:szCs w:val="28"/>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gridSpan w:val="4"/>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w:t>
            </w:r>
          </w:p>
        </w:tc>
        <w:tc>
          <w:tcPr>
            <w:tcW w:w="3751" w:type="dxa"/>
            <w:gridSpan w:val="4"/>
            <w:vAlign w:val="center"/>
          </w:tcPr>
          <w:p>
            <w:pPr>
              <w:pStyle w:val="14"/>
              <w:kinsoku w:val="0"/>
              <w:overflowPunct w:val="0"/>
              <w:autoSpaceDE w:val="0"/>
              <w:autoSpaceDN w:val="0"/>
              <w:spacing w:line="320" w:lineRule="exact"/>
              <w:rPr>
                <w:rFonts w:hAnsi="宋体" w:cs="微软雅黑"/>
                <w:sz w:val="21"/>
                <w:szCs w:val="21"/>
              </w:rPr>
            </w:pPr>
            <w:r>
              <w:rPr>
                <w:rFonts w:hint="eastAsia" w:hAnsi="宋体" w:cs="Courier New"/>
                <w:sz w:val="21"/>
                <w:szCs w:val="21"/>
              </w:rPr>
              <w:t>供应商应答索引表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报价一览表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3</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4</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宋体"/>
                <w:sz w:val="21"/>
                <w:szCs w:val="21"/>
              </w:rPr>
              <w:t>法定代表人（单位负责人）</w:t>
            </w:r>
            <w:r>
              <w:rPr>
                <w:rFonts w:hAnsi="宋体" w:cs="宋体"/>
                <w:sz w:val="21"/>
                <w:szCs w:val="21"/>
              </w:rPr>
              <w:t>资</w:t>
            </w:r>
            <w:r>
              <w:rPr>
                <w:rFonts w:hint="eastAsia" w:hAnsi="宋体" w:cs="宋体"/>
                <w:sz w:val="21"/>
                <w:szCs w:val="21"/>
              </w:rPr>
              <w:t>格</w:t>
            </w:r>
            <w:r>
              <w:rPr>
                <w:rFonts w:hAnsi="宋体" w:cs="宋体"/>
                <w:sz w:val="21"/>
                <w:szCs w:val="21"/>
              </w:rPr>
              <w:t>证</w:t>
            </w:r>
            <w:r>
              <w:rPr>
                <w:rFonts w:hint="eastAsia" w:hAnsi="宋体" w:cs="宋体"/>
                <w:sz w:val="21"/>
                <w:szCs w:val="21"/>
              </w:rPr>
              <w:t>明</w:t>
            </w:r>
            <w:r>
              <w:rPr>
                <w:rFonts w:hAnsi="宋体" w:cs="宋体"/>
                <w:sz w:val="21"/>
                <w:szCs w:val="21"/>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5</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6</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营业执照等证明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7</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Courier New"/>
                <w:sz w:val="21"/>
                <w:szCs w:val="21"/>
              </w:rPr>
              <w:t>依法纳税凭据复印件</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rPr>
            </w:pPr>
            <w:r>
              <w:rPr>
                <w:rFonts w:hint="eastAsia" w:ascii="宋体" w:hAnsi="宋体" w:cs="微软雅黑"/>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rPr>
            </w:pPr>
            <w:r>
              <w:rPr>
                <w:rFonts w:hint="eastAsia" w:ascii="宋体" w:hAnsi="宋体" w:cs="微软雅黑"/>
              </w:rPr>
              <w:t>经审计财务报告</w:t>
            </w: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资产负债表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利润表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现金流量表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所有者权益变动表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附注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基本开户银行资信证明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银行资信证明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政府采购投标担保函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9</w:t>
            </w:r>
          </w:p>
        </w:tc>
        <w:tc>
          <w:tcPr>
            <w:tcW w:w="3751" w:type="dxa"/>
            <w:gridSpan w:val="4"/>
            <w:vAlign w:val="center"/>
          </w:tcPr>
          <w:p>
            <w:pPr>
              <w:snapToGrid w:val="0"/>
              <w:spacing w:line="400" w:lineRule="exact"/>
              <w:rPr>
                <w:rFonts w:ascii="宋体" w:hAnsi="宋体" w:cs="微软雅黑"/>
              </w:rPr>
            </w:pPr>
            <w:r>
              <w:rPr>
                <w:rFonts w:hint="eastAsia" w:ascii="宋体" w:hAnsi="宋体"/>
              </w:rPr>
              <w:t>依法缴纳社会保险凭据复印件</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rPr>
            </w:pPr>
            <w:r>
              <w:rPr>
                <w:rFonts w:hint="eastAsia" w:ascii="宋体" w:hAnsi="宋体" w:cs="微软雅黑"/>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rPr>
            </w:pPr>
            <w:r>
              <w:rPr>
                <w:rFonts w:hint="eastAsia" w:ascii="宋体" w:hAnsi="宋体" w:cs="微软雅黑"/>
              </w:rPr>
              <w:t>证明材料</w:t>
            </w: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709" w:type="dxa"/>
            <w:vMerge w:val="continue"/>
            <w:tcBorders>
              <w:left w:val="single" w:color="auto" w:sz="6" w:space="0"/>
              <w:right w:val="single" w:color="auto" w:sz="6" w:space="0"/>
            </w:tcBorders>
            <w:vAlign w:val="center"/>
          </w:tcPr>
          <w:p/>
        </w:tc>
        <w:tc>
          <w:tcPr>
            <w:tcW w:w="2268"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sz w:val="21"/>
                <w:szCs w:val="21"/>
              </w:rPr>
            </w:pPr>
            <w:r>
              <w:rPr>
                <w:rFonts w:hint="eastAsia" w:hAnsi="宋体" w:cs="微软雅黑"/>
                <w:sz w:val="21"/>
                <w:szCs w:val="21"/>
              </w:rPr>
              <w:t>技术人员职称证书</w:t>
            </w:r>
          </w:p>
        </w:tc>
        <w:tc>
          <w:tcPr>
            <w:tcW w:w="1559" w:type="dxa"/>
            <w:vAlign w:val="center"/>
          </w:tcPr>
          <w:p>
            <w:pPr>
              <w:pStyle w:val="14"/>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pStyle w:val="14"/>
              <w:kinsoku w:val="0"/>
              <w:overflowPunct w:val="0"/>
              <w:autoSpaceDE w:val="0"/>
              <w:autoSpaceDN w:val="0"/>
              <w:spacing w:line="320" w:lineRule="exact"/>
              <w:rPr>
                <w:rFonts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709" w:type="dxa"/>
            <w:vMerge w:val="continue"/>
            <w:tcBorders>
              <w:left w:val="single" w:color="auto" w:sz="6" w:space="0"/>
              <w:right w:val="single" w:color="auto" w:sz="6" w:space="0"/>
            </w:tcBorders>
            <w:vAlign w:val="center"/>
          </w:tcPr>
          <w:p/>
        </w:tc>
        <w:tc>
          <w:tcPr>
            <w:tcW w:w="2268"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sz w:val="21"/>
                <w:szCs w:val="21"/>
              </w:rPr>
            </w:pPr>
            <w:r>
              <w:rPr>
                <w:rFonts w:hint="eastAsia" w:hAnsi="宋体" w:cs="微软雅黑"/>
                <w:sz w:val="21"/>
                <w:szCs w:val="21"/>
              </w:rPr>
              <w:t>用工合同</w:t>
            </w:r>
          </w:p>
        </w:tc>
        <w:tc>
          <w:tcPr>
            <w:tcW w:w="1559" w:type="dxa"/>
            <w:vAlign w:val="center"/>
          </w:tcPr>
          <w:p>
            <w:pPr>
              <w:pStyle w:val="14"/>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pStyle w:val="14"/>
              <w:kinsoku w:val="0"/>
              <w:overflowPunct w:val="0"/>
              <w:autoSpaceDE w:val="0"/>
              <w:autoSpaceDN w:val="0"/>
              <w:spacing w:line="320" w:lineRule="exact"/>
              <w:rPr>
                <w:rFonts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sz w:val="21"/>
                <w:szCs w:val="21"/>
              </w:rPr>
            </w:pPr>
            <w:r>
              <w:rPr>
                <w:rFonts w:hint="eastAsia" w:hAnsi="宋体" w:cs="Courier New"/>
                <w:sz w:val="21"/>
                <w:szCs w:val="21"/>
              </w:rPr>
              <w:t>供应商相关承诺函或声明</w:t>
            </w:r>
          </w:p>
        </w:tc>
        <w:tc>
          <w:tcPr>
            <w:tcW w:w="1559" w:type="dxa"/>
            <w:vAlign w:val="center"/>
          </w:tcPr>
          <w:p>
            <w:pPr>
              <w:pStyle w:val="14"/>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11</w:t>
            </w:r>
          </w:p>
        </w:tc>
        <w:tc>
          <w:tcPr>
            <w:tcW w:w="3751" w:type="dxa"/>
            <w:gridSpan w:val="4"/>
            <w:vAlign w:val="center"/>
          </w:tcPr>
          <w:p>
            <w:pPr>
              <w:pStyle w:val="14"/>
              <w:kinsoku w:val="0"/>
              <w:overflowPunct w:val="0"/>
              <w:autoSpaceDE w:val="0"/>
              <w:autoSpaceDN w:val="0"/>
              <w:spacing w:line="320" w:lineRule="exact"/>
              <w:rPr>
                <w:rFonts w:hAnsi="宋体" w:cs="微软雅黑"/>
                <w:sz w:val="21"/>
                <w:szCs w:val="21"/>
              </w:rPr>
            </w:pPr>
            <w:r>
              <w:rPr>
                <w:rFonts w:hint="eastAsia" w:hAnsi="宋体" w:cs="Courier New"/>
                <w:sz w:val="21"/>
                <w:szCs w:val="21"/>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12</w:t>
            </w:r>
          </w:p>
        </w:tc>
        <w:tc>
          <w:tcPr>
            <w:tcW w:w="3751" w:type="dxa"/>
            <w:gridSpan w:val="4"/>
            <w:vAlign w:val="center"/>
          </w:tcPr>
          <w:p>
            <w:pPr>
              <w:pStyle w:val="14"/>
              <w:kinsoku w:val="0"/>
              <w:overflowPunct w:val="0"/>
              <w:autoSpaceDE w:val="0"/>
              <w:autoSpaceDN w:val="0"/>
              <w:spacing w:line="320" w:lineRule="exact"/>
              <w:rPr>
                <w:rFonts w:hAnsi="宋体" w:cs="Courier New"/>
                <w:sz w:val="21"/>
                <w:szCs w:val="21"/>
              </w:rPr>
            </w:pPr>
            <w:r>
              <w:rPr>
                <w:rFonts w:hint="eastAsia" w:hAnsi="宋体" w:cs="微软雅黑"/>
                <w:sz w:val="21"/>
                <w:szCs w:val="21"/>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13</w:t>
            </w:r>
          </w:p>
        </w:tc>
        <w:tc>
          <w:tcPr>
            <w:tcW w:w="3751" w:type="dxa"/>
            <w:gridSpan w:val="4"/>
            <w:vAlign w:val="center"/>
          </w:tcPr>
          <w:p>
            <w:pPr>
              <w:pStyle w:val="14"/>
              <w:kinsoku w:val="0"/>
              <w:overflowPunct w:val="0"/>
              <w:autoSpaceDE w:val="0"/>
              <w:autoSpaceDN w:val="0"/>
              <w:spacing w:line="320" w:lineRule="exact"/>
              <w:rPr>
                <w:rFonts w:hAnsi="宋体" w:cs="微软雅黑"/>
                <w:sz w:val="21"/>
                <w:szCs w:val="21"/>
              </w:rPr>
            </w:pPr>
            <w:r>
              <w:rPr>
                <w:rFonts w:hint="eastAsia" w:hAnsi="宋体" w:cs="宋体"/>
                <w:sz w:val="21"/>
                <w:szCs w:val="21"/>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14</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15</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供应商与参加本项目投标的其他供应商之间，单位负责人不为同一人并且不存在直接控股、管理关系承诺函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16</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供应商未为本项目提供整体设计、规范编制或者项目管理、监理、检测等服务承诺函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snapToGrid w:val="0"/>
              <w:spacing w:line="400" w:lineRule="exact"/>
              <w:jc w:val="center"/>
              <w:rPr>
                <w:rFonts w:ascii="宋体" w:hAnsi="宋体" w:cs="微软雅黑"/>
              </w:rPr>
            </w:pPr>
            <w:r>
              <w:rPr>
                <w:rFonts w:hint="eastAsia" w:ascii="宋体" w:hAnsi="宋体" w:cs="微软雅黑"/>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18</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19</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技术方案（演出方案）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20</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21</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22</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23</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24</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25</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26</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27</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28</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CCC强制性产品认证</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29</w:t>
            </w:r>
          </w:p>
        </w:tc>
        <w:tc>
          <w:tcPr>
            <w:tcW w:w="1767" w:type="dxa"/>
            <w:gridSpan w:val="3"/>
            <w:vMerge w:val="restart"/>
            <w:vAlign w:val="center"/>
          </w:tcPr>
          <w:p>
            <w:r>
              <w:rPr>
                <w:rFonts w:ascii="宋体" w:hAnsi="宋体" w:cs="宋体"/>
              </w:rPr>
              <w:t>信息安全产品强制性认证</w:t>
            </w:r>
          </w:p>
        </w:tc>
        <w:tc>
          <w:tcPr>
            <w:tcW w:w="1984" w:type="dxa"/>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认证机构颁发的认证证书</w:t>
            </w:r>
          </w:p>
        </w:tc>
        <w:tc>
          <w:tcPr>
            <w:tcW w:w="1559" w:type="dxa"/>
            <w:vMerge w:val="restart"/>
            <w:vAlign w:val="center"/>
          </w:tcPr>
          <w:p>
            <w:pPr>
              <w:jc w:val="center"/>
            </w:pPr>
          </w:p>
        </w:tc>
        <w:tc>
          <w:tcPr>
            <w:tcW w:w="1560" w:type="dxa"/>
            <w:vMerge w:val="restart"/>
            <w:tcBorders>
              <w:top w:val="single" w:color="auto" w:sz="4" w:space="0"/>
            </w:tcBorders>
            <w:vAlign w:val="center"/>
          </w:tcPr>
          <w:p>
            <w:pPr>
              <w:snapToGrid w:val="0"/>
              <w:spacing w:line="400" w:lineRule="exact"/>
              <w:rPr>
                <w:rFonts w:ascii="宋体" w:hAnsi="宋体" w:cs="微软雅黑"/>
              </w:rPr>
            </w:pPr>
          </w:p>
        </w:tc>
        <w:tc>
          <w:tcPr>
            <w:tcW w:w="2018" w:type="dxa"/>
            <w:vMerge w:val="restart"/>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tc>
        <w:tc>
          <w:tcPr>
            <w:tcW w:w="1767" w:type="dxa"/>
            <w:gridSpan w:val="3"/>
            <w:vMerge w:val="continue"/>
            <w:vAlign w:val="center"/>
          </w:tcPr>
          <w:p/>
        </w:tc>
        <w:tc>
          <w:tcPr>
            <w:tcW w:w="1984" w:type="dxa"/>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中国信息安全认证中心官网产品查询结果截图</w:t>
            </w:r>
          </w:p>
        </w:tc>
        <w:tc>
          <w:tcPr>
            <w:tcW w:w="1559" w:type="dxa"/>
            <w:vMerge w:val="continue"/>
            <w:vAlign w:val="center"/>
          </w:tcPr>
          <w:p/>
        </w:tc>
        <w:tc>
          <w:tcPr>
            <w:tcW w:w="1560" w:type="dxa"/>
            <w:vMerge w:val="continue"/>
            <w:tcBorders>
              <w:top w:val="single" w:color="auto" w:sz="4" w:space="0"/>
            </w:tcBorders>
            <w:vAlign w:val="center"/>
          </w:tcPr>
          <w:p/>
        </w:tc>
        <w:tc>
          <w:tcPr>
            <w:tcW w:w="2018" w:type="dxa"/>
            <w:vMerge w:val="continue"/>
            <w:tcBorders>
              <w:top w:val="single" w:color="auto" w:sz="4" w:space="0"/>
            </w:tcBorders>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30</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国家级贫困县域注册地证明材料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31</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扶贫部门出具的聘用建档立卡贫困人员身份证明</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32</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建档立卡贫困人员社保材料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33</w:t>
            </w:r>
          </w:p>
        </w:tc>
        <w:tc>
          <w:tcPr>
            <w:tcW w:w="3751" w:type="dxa"/>
            <w:gridSpan w:val="4"/>
            <w:vAlign w:val="center"/>
          </w:tcPr>
          <w:p>
            <w:pPr>
              <w:pStyle w:val="14"/>
              <w:kinsoku w:val="0"/>
              <w:overflowPunct w:val="0"/>
              <w:autoSpaceDE w:val="0"/>
              <w:autoSpaceDN w:val="0"/>
              <w:spacing w:line="320" w:lineRule="exact"/>
              <w:rPr>
                <w:rFonts w:hAnsi="宋体" w:cs="宋体"/>
                <w:sz w:val="21"/>
                <w:szCs w:val="21"/>
              </w:rPr>
            </w:pPr>
            <w:r>
              <w:rPr>
                <w:rFonts w:hint="eastAsia" w:hAnsi="宋体" w:cs="宋体"/>
                <w:sz w:val="21"/>
                <w:szCs w:val="21"/>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tabs>
          <w:tab w:val="left" w:pos="1260"/>
        </w:tabs>
        <w:autoSpaceDE w:val="0"/>
        <w:autoSpaceDN w:val="0"/>
        <w:spacing w:line="360" w:lineRule="auto"/>
        <w:ind w:left="420" w:hanging="422"/>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①本表序号8请按照本采购文件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hint="eastAsia" w:ascii="楷体" w:hAnsi="楷体" w:eastAsia="楷体"/>
          <w:sz w:val="24"/>
          <w:szCs w:val="24"/>
        </w:rPr>
        <w:t>②本表序号10请按照本采购文件 “第六章资格审查与评标”资格审查表中序号6要求提供，根据所提供证明材料或承诺函（声明）情况填写其中一项即可。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pStyle w:val="14"/>
        <w:spacing w:line="360" w:lineRule="auto"/>
        <w:rPr>
          <w:rFonts w:asciiTheme="majorEastAsia" w:hAnsiTheme="majorEastAsia" w:eastAsiaTheme="majorEastAsia"/>
          <w:b/>
          <w:sz w:val="28"/>
          <w:szCs w:val="28"/>
        </w:rPr>
      </w:pPr>
    </w:p>
    <w:p>
      <w:pPr>
        <w:pStyle w:val="14"/>
        <w:spacing w:line="360" w:lineRule="auto"/>
        <w:jc w:val="center"/>
        <w:rPr>
          <w:rFonts w:hint="eastAsia" w:asciiTheme="majorEastAsia" w:hAnsiTheme="majorEastAsia" w:eastAsiaTheme="majorEastAsia"/>
          <w:b/>
          <w:sz w:val="28"/>
          <w:szCs w:val="28"/>
        </w:rPr>
      </w:pPr>
    </w:p>
    <w:p>
      <w:pPr>
        <w:pStyle w:val="14"/>
        <w:spacing w:line="360" w:lineRule="auto"/>
        <w:jc w:val="center"/>
        <w:rPr>
          <w:rFonts w:hint="eastAsia"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rPr>
        <w:t>开标一览表</w:t>
      </w:r>
    </w:p>
    <w:p>
      <w:pPr>
        <w:pStyle w:val="14"/>
        <w:spacing w:line="360" w:lineRule="auto"/>
        <w:jc w:val="center"/>
        <w:rPr>
          <w:rFonts w:asciiTheme="majorEastAsia" w:hAnsiTheme="majorEastAsia" w:eastAsiaTheme="majorEastAsia"/>
          <w:b/>
        </w:rPr>
      </w:pPr>
    </w:p>
    <w:p>
      <w:pPr>
        <w:pStyle w:val="14"/>
        <w:spacing w:line="360" w:lineRule="auto"/>
        <w:jc w:val="center"/>
        <w:rPr>
          <w:rFonts w:asciiTheme="majorEastAsia" w:hAnsiTheme="majorEastAsia" w:eastAsiaTheme="majorEastAsia"/>
          <w:b/>
          <w:sz w:val="28"/>
          <w:szCs w:val="28"/>
        </w:rPr>
      </w:pPr>
    </w:p>
    <w:p>
      <w:pPr>
        <w:pStyle w:val="14"/>
        <w:spacing w:line="360" w:lineRule="auto"/>
        <w:jc w:val="center"/>
        <w:rPr>
          <w:rFonts w:asciiTheme="majorEastAsia" w:hAnsiTheme="majorEastAsia" w:eastAsiaTheme="majorEastAsia"/>
          <w:b/>
          <w:sz w:val="28"/>
          <w:szCs w:val="28"/>
        </w:rPr>
      </w:pPr>
    </w:p>
    <w:p>
      <w:pPr>
        <w:spacing w:before="50" w:after="120" w:line="360" w:lineRule="auto"/>
        <w:contextualSpacing/>
        <w:jc w:val="left"/>
        <w:rPr>
          <w:rFonts w:asciiTheme="minorEastAsia" w:hAnsiTheme="minorEastAsia"/>
          <w:color w:val="000000"/>
        </w:rPr>
      </w:pPr>
      <w:r>
        <w:rPr>
          <w:rFonts w:hint="eastAsia" w:asciiTheme="minorEastAsia" w:hAnsiTheme="minorEastAsia"/>
          <w:color w:val="000000"/>
        </w:rPr>
        <w:t>项目编号：</w:t>
      </w:r>
    </w:p>
    <w:p>
      <w:pPr>
        <w:spacing w:line="360" w:lineRule="auto"/>
        <w:contextualSpacing/>
        <w:rPr>
          <w:rFonts w:asciiTheme="minorEastAsia" w:hAnsiTheme="minorEastAsia"/>
          <w:color w:val="000000"/>
        </w:rPr>
      </w:pPr>
      <w:r>
        <w:rPr>
          <w:rFonts w:hint="eastAsia" w:asciiTheme="minorEastAsia" w:hAnsiTheme="minorEastAsia"/>
          <w:color w:val="000000"/>
        </w:rPr>
        <w:t xml:space="preserve">项目名称：                                                      </w:t>
      </w:r>
      <w:r>
        <w:rPr>
          <w:rFonts w:hint="eastAsia" w:cs="Arial" w:asciiTheme="minorEastAsia" w:hAnsiTheme="minorEastAsia"/>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标包</w:t>
            </w:r>
          </w:p>
        </w:tc>
        <w:tc>
          <w:tcPr>
            <w:tcW w:w="1843"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项目名称</w:t>
            </w:r>
          </w:p>
        </w:tc>
        <w:tc>
          <w:tcPr>
            <w:tcW w:w="3685"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投标报价</w:t>
            </w:r>
          </w:p>
        </w:tc>
        <w:tc>
          <w:tcPr>
            <w:tcW w:w="1843"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交付日期</w:t>
            </w:r>
          </w:p>
        </w:tc>
        <w:tc>
          <w:tcPr>
            <w:tcW w:w="85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480" w:lineRule="exact"/>
              <w:jc w:val="center"/>
              <w:rPr>
                <w:rFonts w:cs="宋体" w:asciiTheme="minorEastAsia" w:hAnsiTheme="minorEastAsia"/>
                <w:b/>
              </w:rPr>
            </w:pPr>
            <w:r>
              <w:rPr>
                <w:rFonts w:hint="eastAsia" w:cs="宋体" w:asciiTheme="minorEastAsia" w:hAnsiTheme="minorEastAsia"/>
                <w:b/>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asciiTheme="minorEastAsia" w:hAnsiTheme="minorEastAsia"/>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asciiTheme="minorEastAsia" w:hAnsiTheme="minorEastAsia"/>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rPr>
                <w:rFonts w:cs="宋体" w:asciiTheme="minorEastAsia" w:hAnsiTheme="minorEastAsia"/>
              </w:rPr>
            </w:pPr>
            <w:r>
              <w:rPr>
                <w:rFonts w:hint="eastAsia" w:cs="宋体" w:asciiTheme="minorEastAsia" w:hAnsiTheme="minorEastAsi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cs="宋体" w:asciiTheme="minorEastAsia" w:hAnsiTheme="minorEastAsia"/>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cs="宋体" w:asciiTheme="minorEastAsia" w:hAnsiTheme="minorEastAsia"/>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asciiTheme="minorEastAsia" w:hAnsiTheme="minorEastAsia"/>
              </w:rPr>
            </w:pPr>
            <w:r>
              <w:rPr>
                <w:rFonts w:cs="Arial" w:asciiTheme="minorEastAsia" w:hAnsiTheme="minorEastAsia"/>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asciiTheme="minorEastAsia" w:hAnsiTheme="minorEastAsia"/>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rPr>
                <w:rFonts w:cs="宋体" w:asciiTheme="minorEastAsia" w:hAnsiTheme="minorEastAsia"/>
              </w:rPr>
            </w:pPr>
            <w:r>
              <w:rPr>
                <w:rFonts w:hint="eastAsia" w:cs="宋体" w:asciiTheme="minorEastAsia" w:hAnsiTheme="minorEastAsi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cs="宋体" w:asciiTheme="minorEastAsia" w:hAnsiTheme="minorEastAsia"/>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ind w:firstLine="240"/>
              <w:rPr>
                <w:rFonts w:cs="宋体" w:asciiTheme="minorEastAsia" w:hAnsiTheme="minorEastAsia"/>
              </w:rPr>
            </w:pPr>
          </w:p>
        </w:tc>
      </w:tr>
    </w:tbl>
    <w:p>
      <w:pPr>
        <w:autoSpaceDE w:val="0"/>
        <w:autoSpaceDN w:val="0"/>
        <w:spacing w:line="480" w:lineRule="auto"/>
        <w:rPr>
          <w:rFonts w:cs="宋体" w:asciiTheme="minorEastAsia" w:hAnsiTheme="minorEastAsia"/>
        </w:rPr>
      </w:pPr>
      <w:r>
        <w:rPr>
          <w:rFonts w:hint="eastAsia" w:cs="宋体" w:asciiTheme="minorEastAsia" w:hAnsiTheme="minorEastAsia"/>
        </w:rPr>
        <w:t>投标人名称：</w:t>
      </w:r>
      <w:r>
        <w:rPr>
          <w:rFonts w:hint="eastAsia" w:cs="宋体" w:asciiTheme="minorEastAsia" w:hAnsiTheme="minorEastAsia"/>
          <w:u w:val="single"/>
        </w:rPr>
        <w:t xml:space="preserve">     （全称）   </w:t>
      </w:r>
      <w:r>
        <w:rPr>
          <w:rFonts w:hint="eastAsia" w:cs="宋体" w:asciiTheme="minorEastAsia" w:hAnsiTheme="minorEastAsia"/>
        </w:rPr>
        <w:t>（公章）：</w:t>
      </w:r>
    </w:p>
    <w:p>
      <w:pPr>
        <w:autoSpaceDE w:val="0"/>
        <w:autoSpaceDN w:val="0"/>
        <w:spacing w:line="480" w:lineRule="auto"/>
        <w:rPr>
          <w:rFonts w:cs="宋体" w:asciiTheme="minorEastAsia" w:hAnsiTheme="minorEastAsia"/>
        </w:rPr>
      </w:pPr>
      <w:r>
        <w:rPr>
          <w:rFonts w:hint="eastAsia" w:cs="宋体" w:asciiTheme="minorEastAsia" w:hAnsiTheme="minorEastAsia"/>
        </w:rPr>
        <w:t>投标人法定代表人（单位负责人）或授权代表签字：</w:t>
      </w:r>
    </w:p>
    <w:p>
      <w:pPr>
        <w:autoSpaceDE w:val="0"/>
        <w:autoSpaceDN w:val="0"/>
        <w:spacing w:line="480" w:lineRule="auto"/>
        <w:rPr>
          <w:rFonts w:cs="宋体" w:asciiTheme="minorEastAsia" w:hAnsiTheme="minorEastAsia"/>
        </w:rPr>
      </w:pPr>
      <w:r>
        <w:rPr>
          <w:rFonts w:hint="eastAsia" w:cs="宋体" w:asciiTheme="minorEastAsia" w:hAnsiTheme="minorEastAsia"/>
        </w:rPr>
        <w:t>日期：</w:t>
      </w:r>
      <w:r>
        <w:rPr>
          <w:rFonts w:cs="宋体" w:asciiTheme="minorEastAsia" w:hAnsiTheme="minorEastAsia"/>
        </w:rPr>
        <w:t xml:space="preserve">    </w:t>
      </w:r>
      <w:r>
        <w:rPr>
          <w:rFonts w:hint="eastAsia" w:cs="宋体" w:asciiTheme="minorEastAsia" w:hAnsiTheme="minorEastAsia"/>
        </w:rPr>
        <w:t>年</w:t>
      </w:r>
      <w:r>
        <w:rPr>
          <w:rFonts w:cs="宋体" w:asciiTheme="minorEastAsia" w:hAnsiTheme="minorEastAsia"/>
        </w:rPr>
        <w:t xml:space="preserve">    </w:t>
      </w:r>
      <w:r>
        <w:rPr>
          <w:rFonts w:hint="eastAsia" w:cs="宋体" w:asciiTheme="minorEastAsia" w:hAnsiTheme="minorEastAsia"/>
        </w:rPr>
        <w:t>月</w:t>
      </w:r>
      <w:r>
        <w:rPr>
          <w:rFonts w:cs="宋体" w:asciiTheme="minorEastAsia" w:hAnsiTheme="minorEastAsia"/>
        </w:rPr>
        <w:t xml:space="preserve">    </w:t>
      </w:r>
      <w:r>
        <w:rPr>
          <w:rFonts w:hint="eastAsia" w:cs="宋体" w:asciiTheme="minorEastAsia" w:hAnsiTheme="minorEastAsia"/>
        </w:rPr>
        <w:t>日</w:t>
      </w:r>
    </w:p>
    <w:p>
      <w:pPr>
        <w:autoSpaceDE w:val="0"/>
        <w:autoSpaceDN w:val="0"/>
        <w:spacing w:line="480" w:lineRule="auto"/>
        <w:rPr>
          <w:rFonts w:cs="宋体" w:asciiTheme="minorEastAsia" w:hAnsiTheme="minorEastAsia"/>
        </w:rPr>
      </w:pPr>
      <w:r>
        <w:rPr>
          <w:rFonts w:hint="eastAsia" w:cs="宋体" w:asciiTheme="minorEastAsia" w:hAnsiTheme="minorEastAsia"/>
        </w:rPr>
        <w:t>注：1、交付日期指完成该项目的最终时间（日历天）。</w:t>
      </w:r>
    </w:p>
    <w:p>
      <w:pPr>
        <w:snapToGrid w:val="0"/>
        <w:spacing w:line="360" w:lineRule="auto"/>
        <w:rPr>
          <w:rFonts w:cs="宋体" w:asciiTheme="minorEastAsia" w:hAnsiTheme="minorEastAsia"/>
        </w:rPr>
      </w:pPr>
      <w:r>
        <w:rPr>
          <w:rFonts w:hint="eastAsia" w:cs="宋体" w:asciiTheme="minorEastAsia" w:hAnsiTheme="minorEastAsia"/>
        </w:rPr>
        <w:t>2、如招标公告明确项目交付日期以年为单位，本表应填写完成该项目的年限。</w:t>
      </w:r>
    </w:p>
    <w:p>
      <w:pPr>
        <w:autoSpaceDE w:val="0"/>
        <w:autoSpaceDN w:val="0"/>
        <w:spacing w:line="360" w:lineRule="auto"/>
        <w:rPr>
          <w:rFonts w:ascii="宋体" w:cs="宋体"/>
          <w:sz w:val="24"/>
          <w:szCs w:val="24"/>
        </w:rPr>
      </w:pPr>
    </w:p>
    <w:p>
      <w:pPr>
        <w:autoSpaceDE w:val="0"/>
        <w:autoSpaceDN w:val="0"/>
        <w:spacing w:line="360" w:lineRule="auto"/>
        <w:rPr>
          <w:rFonts w:ascii="宋体" w:cs="宋体"/>
          <w:sz w:val="24"/>
          <w:szCs w:val="24"/>
        </w:rPr>
      </w:pPr>
    </w:p>
    <w:p>
      <w:pPr>
        <w:autoSpaceDE w:val="0"/>
        <w:autoSpaceDN w:val="0"/>
        <w:spacing w:line="360" w:lineRule="auto"/>
        <w:rPr>
          <w:rFonts w:ascii="宋体" w:cs="宋体"/>
          <w:sz w:val="24"/>
          <w:szCs w:val="24"/>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r>
        <w:rPr>
          <w:rFonts w:hint="eastAsia" w:cs="黑体" w:asciiTheme="minorEastAsia" w:hAnsiTheme="minorEastAsia"/>
          <w:b/>
          <w:sz w:val="28"/>
          <w:szCs w:val="28"/>
        </w:rPr>
        <w:t>三、资格审查证明材料</w:t>
      </w: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p>
    <w:p>
      <w:pPr>
        <w:spacing w:line="360" w:lineRule="auto"/>
        <w:contextualSpacing/>
        <w:rPr>
          <w:rFonts w:asciiTheme="majorEastAsia" w:hAnsiTheme="majorEastAsia" w:eastAsiaTheme="majorEastAsia"/>
          <w:b/>
        </w:rPr>
      </w:pPr>
      <w:r>
        <w:rPr>
          <w:rFonts w:hint="eastAsia" w:asciiTheme="majorEastAsia" w:hAnsiTheme="majorEastAsia" w:eastAsiaTheme="majorEastAsia"/>
          <w:b/>
        </w:rPr>
        <w:t>3.1                                 投 标 函</w:t>
      </w:r>
    </w:p>
    <w:p>
      <w:pPr>
        <w:spacing w:line="360" w:lineRule="auto"/>
        <w:contextualSpacing/>
        <w:rPr>
          <w:rFonts w:asciiTheme="minorEastAsia" w:hAnsiTheme="minorEastAsia"/>
          <w:b/>
        </w:rPr>
      </w:pPr>
      <w:r>
        <w:rPr>
          <w:rFonts w:hint="eastAsia" w:asciiTheme="majorEastAsia" w:hAnsiTheme="majorEastAsia" w:eastAsiaTheme="majorEastAsia"/>
          <w:b/>
        </w:rPr>
        <w:t xml:space="preserve"> </w:t>
      </w:r>
      <w:r>
        <w:rPr>
          <w:rFonts w:hint="eastAsia" w:asciiTheme="minorEastAsia" w:hAnsiTheme="minorEastAsia"/>
        </w:rPr>
        <w:t>致：</w:t>
      </w:r>
      <w:r>
        <w:rPr>
          <w:rFonts w:hint="eastAsia" w:asciiTheme="minorEastAsia" w:hAnsiTheme="minorEastAsia"/>
          <w:b/>
        </w:rPr>
        <w:t>（采购人）</w:t>
      </w:r>
    </w:p>
    <w:p>
      <w:pPr>
        <w:spacing w:line="360" w:lineRule="auto"/>
        <w:ind w:firstLine="200"/>
        <w:contextualSpacing/>
        <w:rPr>
          <w:rFonts w:asciiTheme="minorEastAsia" w:hAnsiTheme="minorEastAsia"/>
        </w:rPr>
      </w:pPr>
      <w:r>
        <w:rPr>
          <w:rFonts w:hint="eastAsia" w:asciiTheme="minorEastAsia" w:hAnsiTheme="minorEastAsia"/>
        </w:rPr>
        <w:t>根据贵方</w:t>
      </w:r>
      <w:r>
        <w:rPr>
          <w:rFonts w:hint="eastAsia" w:eastAsia="宋体" w:asciiTheme="minorEastAsia" w:hAnsiTheme="minorEastAsia"/>
          <w:u w:val="single"/>
          <w:lang w:val="en-US" w:eastAsia="zh-CN"/>
        </w:rPr>
        <w:t xml:space="preserve">     </w:t>
      </w:r>
      <w:r>
        <w:rPr>
          <w:rFonts w:hint="eastAsia" w:asciiTheme="minorEastAsia" w:hAnsiTheme="minorEastAsia"/>
        </w:rPr>
        <w:t>（项目名称、招标编号）采购的招标公告及投标邀请，_______（姓名和职务）被正式授权并代表投标人</w:t>
      </w:r>
      <w:r>
        <w:rPr>
          <w:rFonts w:hint="eastAsia" w:asciiTheme="minorEastAsia" w:hAnsiTheme="minorEastAsia"/>
          <w:u w:val="single"/>
        </w:rPr>
        <w:t xml:space="preserve">         </w:t>
      </w:r>
      <w:r>
        <w:rPr>
          <w:rFonts w:hint="eastAsia" w:asciiTheme="minorEastAsia" w:hAnsiTheme="minorEastAsia"/>
        </w:rPr>
        <w:t>（投标人名称、地址）提交。</w:t>
      </w:r>
    </w:p>
    <w:p>
      <w:pPr>
        <w:pStyle w:val="14"/>
        <w:spacing w:line="360" w:lineRule="auto"/>
        <w:ind w:firstLine="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我方确认收到贵方提供的</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（项目名称、招标编号）招标文件的全部内容。</w:t>
      </w:r>
    </w:p>
    <w:p>
      <w:pPr>
        <w:pStyle w:val="14"/>
        <w:spacing w:line="360" w:lineRule="auto"/>
        <w:ind w:firstLine="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spacing w:line="360" w:lineRule="auto"/>
        <w:ind w:firstLine="200"/>
        <w:contextualSpacing/>
        <w:rPr>
          <w:rFonts w:asciiTheme="minorEastAsia" w:hAnsiTheme="minorEastAsia"/>
        </w:rPr>
      </w:pPr>
      <w:r>
        <w:rPr>
          <w:rFonts w:hint="eastAsia" w:asciiTheme="minorEastAsia" w:hAnsiTheme="minorEastAsia"/>
          <w:u w:val="single"/>
        </w:rPr>
        <w:t xml:space="preserve">      (投标人名称)     </w:t>
      </w:r>
      <w:r>
        <w:rPr>
          <w:rFonts w:hint="eastAsia" w:asciiTheme="minorEastAsia" w:hAnsiTheme="minorEastAsia"/>
        </w:rPr>
        <w:t>作为投标人正式授权</w:t>
      </w:r>
      <w:r>
        <w:rPr>
          <w:rFonts w:hint="eastAsia" w:asciiTheme="minorEastAsia" w:hAnsiTheme="minorEastAsia"/>
          <w:u w:val="single"/>
        </w:rPr>
        <w:t xml:space="preserve">     (授权代表全名, 职务)  </w:t>
      </w:r>
      <w:r>
        <w:rPr>
          <w:rFonts w:hint="eastAsia" w:asciiTheme="minorEastAsia" w:hAnsiTheme="minorEastAsia"/>
          <w:i/>
          <w:u w:val="single"/>
        </w:rPr>
        <w:t xml:space="preserve">     </w:t>
      </w:r>
      <w:r>
        <w:rPr>
          <w:rFonts w:hint="eastAsia" w:asciiTheme="minorEastAsia" w:hAnsiTheme="minorEastAsia"/>
        </w:rPr>
        <w:t>代表我方全权处理有关本投标的一切事宜。</w:t>
      </w:r>
    </w:p>
    <w:p>
      <w:pPr>
        <w:spacing w:line="360" w:lineRule="auto"/>
        <w:ind w:firstLine="200"/>
        <w:contextualSpacing/>
        <w:rPr>
          <w:rFonts w:asciiTheme="minorEastAsia" w:hAnsiTheme="minorEastAsia"/>
        </w:rPr>
      </w:pPr>
      <w:r>
        <w:rPr>
          <w:rFonts w:hint="eastAsia" w:asciiTheme="minorEastAsia" w:hAnsiTheme="minorEastAsia"/>
        </w:rPr>
        <w:t>在此提交的投标文件，正本一份</w:t>
      </w:r>
      <w:r>
        <w:rPr>
          <w:rFonts w:hint="eastAsia" w:cs="Courier New" w:asciiTheme="minorEastAsia" w:hAnsiTheme="minorEastAsia"/>
        </w:rPr>
        <w:t>，副本一份。</w:t>
      </w:r>
    </w:p>
    <w:p>
      <w:pPr>
        <w:spacing w:line="360" w:lineRule="auto"/>
        <w:ind w:firstLine="200"/>
        <w:contextualSpacing/>
        <w:rPr>
          <w:rFonts w:cs="Courier New" w:asciiTheme="minorEastAsia" w:hAnsiTheme="minorEastAsia"/>
        </w:rPr>
      </w:pPr>
      <w:r>
        <w:rPr>
          <w:rFonts w:hint="eastAsia" w:cs="Courier New" w:asciiTheme="minorEastAsia" w:hAnsiTheme="minorEastAsia"/>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我方对在本函及投标文件中所作的所有承诺承担法律责任。</w:t>
      </w:r>
    </w:p>
    <w:p>
      <w:pPr>
        <w:pStyle w:val="14"/>
        <w:snapToGrid w:val="0"/>
        <w:spacing w:line="360" w:lineRule="auto"/>
        <w:rPr>
          <w:rFonts w:asciiTheme="minorEastAsia" w:hAnsiTheme="minorEastAsia" w:eastAsiaTheme="minorEastAsia"/>
          <w:sz w:val="21"/>
          <w:szCs w:val="21"/>
        </w:rPr>
      </w:pPr>
    </w:p>
    <w:p>
      <w:pPr>
        <w:pStyle w:val="14"/>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snapToGrid w:val="0"/>
        <w:spacing w:line="360" w:lineRule="auto"/>
        <w:rPr>
          <w:rFonts w:cs="宋体" w:asciiTheme="minorEastAsia" w:hAnsiTheme="minorEastAsia"/>
        </w:rPr>
      </w:pPr>
      <w:r>
        <w:rPr>
          <w:rFonts w:hint="eastAsia" w:cs="宋体" w:asciiTheme="minorEastAsia" w:hAnsiTheme="minorEastAsia"/>
        </w:rPr>
        <w:t>地    址：</w:t>
      </w:r>
      <w:r>
        <w:rPr>
          <w:rFonts w:hint="eastAsia" w:cs="宋体" w:asciiTheme="minorEastAsia" w:hAnsiTheme="minorEastAsia"/>
          <w:u w:val="single"/>
        </w:rPr>
        <w:t xml:space="preserve">                     </w:t>
      </w:r>
      <w:r>
        <w:rPr>
          <w:rFonts w:hint="eastAsia" w:cs="宋体" w:asciiTheme="minorEastAsia" w:hAnsiTheme="minorEastAsia"/>
        </w:rPr>
        <w:t>.  邮政编码：</w:t>
      </w:r>
      <w:r>
        <w:rPr>
          <w:rFonts w:hint="eastAsia" w:cs="宋体" w:asciiTheme="minorEastAsia" w:hAnsiTheme="minorEastAsia"/>
          <w:u w:val="single"/>
        </w:rPr>
        <w:t xml:space="preserve">                 </w:t>
      </w:r>
      <w:r>
        <w:rPr>
          <w:rFonts w:hint="eastAsia" w:cs="宋体" w:asciiTheme="minorEastAsia" w:hAnsiTheme="minorEastAsia"/>
        </w:rPr>
        <w:t>.</w:t>
      </w:r>
    </w:p>
    <w:p>
      <w:pPr>
        <w:snapToGrid w:val="0"/>
        <w:spacing w:line="360" w:lineRule="auto"/>
        <w:rPr>
          <w:rFonts w:cs="宋体" w:asciiTheme="minorEastAsia" w:hAnsiTheme="minorEastAsia"/>
        </w:rPr>
      </w:pPr>
      <w:r>
        <w:rPr>
          <w:rFonts w:hint="eastAsia" w:cs="宋体" w:asciiTheme="minorEastAsia" w:hAnsiTheme="minorEastAsia"/>
        </w:rPr>
        <w:t>电    话：</w:t>
      </w:r>
      <w:r>
        <w:rPr>
          <w:rFonts w:hint="eastAsia" w:cs="宋体" w:asciiTheme="minorEastAsia" w:hAnsiTheme="minorEastAsia"/>
          <w:u w:val="single"/>
        </w:rPr>
        <w:t xml:space="preserve">                     </w:t>
      </w:r>
      <w:r>
        <w:rPr>
          <w:rFonts w:hint="eastAsia" w:cs="宋体" w:asciiTheme="minorEastAsia" w:hAnsiTheme="minorEastAsia"/>
        </w:rPr>
        <w:t>.  传    真：</w:t>
      </w:r>
      <w:r>
        <w:rPr>
          <w:rFonts w:hint="eastAsia" w:cs="宋体" w:asciiTheme="minorEastAsia" w:hAnsiTheme="minorEastAsia"/>
          <w:u w:val="single"/>
        </w:rPr>
        <w:t xml:space="preserve">                 </w:t>
      </w:r>
      <w:r>
        <w:rPr>
          <w:rFonts w:hint="eastAsia" w:cs="宋体" w:asciiTheme="minorEastAsia" w:hAnsiTheme="minorEastAsia"/>
        </w:rPr>
        <w:t>.</w:t>
      </w:r>
    </w:p>
    <w:p>
      <w:pPr>
        <w:snapToGrid w:val="0"/>
        <w:spacing w:line="360" w:lineRule="auto"/>
        <w:rPr>
          <w:rFonts w:cs="宋体" w:asciiTheme="minorEastAsia" w:hAnsiTheme="minorEastAsia"/>
          <w:u w:val="single"/>
        </w:rPr>
      </w:pPr>
      <w:r>
        <w:rPr>
          <w:rFonts w:hint="eastAsia" w:cs="宋体" w:asciiTheme="minorEastAsia" w:hAnsiTheme="minorEastAsia"/>
        </w:rPr>
        <w:t>投标人代表姓名：</w:t>
      </w:r>
      <w:r>
        <w:rPr>
          <w:rFonts w:hint="eastAsia" w:cs="宋体" w:asciiTheme="minorEastAsia" w:hAnsiTheme="minorEastAsia"/>
          <w:u w:val="single"/>
        </w:rPr>
        <w:t xml:space="preserve">               </w:t>
      </w:r>
      <w:r>
        <w:rPr>
          <w:rFonts w:hint="eastAsia" w:cs="宋体" w:asciiTheme="minorEastAsia" w:hAnsiTheme="minorEastAsia"/>
        </w:rPr>
        <w:t>.  职    务：</w:t>
      </w:r>
      <w:r>
        <w:rPr>
          <w:rFonts w:hint="eastAsia" w:cs="宋体" w:asciiTheme="minorEastAsia" w:hAnsiTheme="minorEastAsia"/>
          <w:u w:val="single"/>
        </w:rPr>
        <w:t xml:space="preserve">                 </w:t>
      </w:r>
      <w:r>
        <w:rPr>
          <w:rFonts w:hint="eastAsia" w:cs="宋体" w:asciiTheme="minorEastAsia" w:hAnsiTheme="minorEastAsia"/>
        </w:rPr>
        <w:t>.</w:t>
      </w:r>
    </w:p>
    <w:p>
      <w:pPr>
        <w:snapToGrid w:val="0"/>
        <w:spacing w:line="360" w:lineRule="auto"/>
        <w:rPr>
          <w:rFonts w:cs="宋体" w:asciiTheme="minorEastAsia" w:hAnsiTheme="minorEastAsia"/>
          <w:u w:val="single"/>
        </w:rPr>
      </w:pPr>
    </w:p>
    <w:p>
      <w:pPr>
        <w:snapToGrid w:val="0"/>
        <w:spacing w:line="360" w:lineRule="auto"/>
        <w:rPr>
          <w:rFonts w:cs="宋体" w:asciiTheme="minorEastAsia" w:hAnsiTheme="minorEastAsia"/>
          <w:u w:val="single"/>
        </w:rPr>
      </w:pPr>
    </w:p>
    <w:p>
      <w:pPr>
        <w:snapToGrid w:val="0"/>
        <w:spacing w:line="360" w:lineRule="auto"/>
        <w:rPr>
          <w:rFonts w:cs="宋体" w:asciiTheme="minorEastAsia" w:hAnsiTheme="minorEastAsia"/>
        </w:rPr>
      </w:pPr>
      <w:r>
        <w:rPr>
          <w:rFonts w:hint="eastAsia" w:cs="宋体" w:asciiTheme="minorEastAsia" w:hAnsiTheme="minorEastAsia"/>
        </w:rPr>
        <w:t>投标人法定代表人（单位负责人）或法定代表人（单位负责人）授权代表签字或盖章：</w:t>
      </w:r>
      <w:r>
        <w:rPr>
          <w:rFonts w:hint="eastAsia" w:cs="宋体" w:asciiTheme="minorEastAsia" w:hAnsiTheme="minorEastAsia"/>
          <w:u w:val="single"/>
        </w:rPr>
        <w:t xml:space="preserve">         </w:t>
      </w:r>
    </w:p>
    <w:p>
      <w:pPr>
        <w:snapToGrid w:val="0"/>
        <w:spacing w:line="360" w:lineRule="auto"/>
        <w:rPr>
          <w:rFonts w:cs="宋体" w:asciiTheme="minorEastAsia" w:hAnsiTheme="minorEastAsia"/>
        </w:rPr>
      </w:pPr>
      <w:r>
        <w:rPr>
          <w:rFonts w:hint="eastAsia" w:cs="宋体" w:asciiTheme="minorEastAsia" w:hAnsiTheme="minorEastAsia"/>
        </w:rPr>
        <w:t>投标人名称（盖章）：</w:t>
      </w:r>
      <w:r>
        <w:rPr>
          <w:rFonts w:hint="eastAsia" w:cs="宋体" w:asciiTheme="minorEastAsia" w:hAnsiTheme="minorEastAsia"/>
          <w:u w:val="single"/>
        </w:rPr>
        <w:t xml:space="preserve">                   </w:t>
      </w:r>
    </w:p>
    <w:p>
      <w:pPr>
        <w:snapToGrid w:val="0"/>
        <w:spacing w:line="360" w:lineRule="auto"/>
        <w:rPr>
          <w:rFonts w:cs="宋体" w:asciiTheme="minorEastAsia" w:hAnsiTheme="minorEastAsia"/>
        </w:rPr>
      </w:pPr>
    </w:p>
    <w:p>
      <w:pPr>
        <w:snapToGrid w:val="0"/>
        <w:spacing w:line="360" w:lineRule="auto"/>
        <w:ind w:firstLine="2050"/>
        <w:rPr>
          <w:rFonts w:asciiTheme="majorEastAsia" w:hAnsiTheme="majorEastAsia" w:eastAsiaTheme="majorEastAsia"/>
          <w:b/>
          <w:color w:val="000000"/>
          <w:sz w:val="24"/>
          <w:szCs w:val="24"/>
        </w:rPr>
      </w:pPr>
      <w:r>
        <w:rPr>
          <w:rFonts w:hint="eastAsia" w:cs="宋体" w:asciiTheme="minorEastAsia" w:hAnsiTheme="minorEastAsia"/>
        </w:rPr>
        <w:t>日期：    年    月    日</w:t>
      </w:r>
    </w:p>
    <w:p>
      <w:pPr>
        <w:spacing w:line="480" w:lineRule="exact"/>
        <w:jc w:val="center"/>
        <w:rPr>
          <w:rFonts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hint="eastAsia" w:asciiTheme="majorEastAsia" w:hAnsiTheme="majorEastAsia" w:eastAsiaTheme="majorEastAsia"/>
          <w:b/>
          <w:color w:val="000000"/>
          <w:sz w:val="24"/>
          <w:szCs w:val="24"/>
        </w:rPr>
      </w:pPr>
    </w:p>
    <w:p>
      <w:pPr>
        <w:spacing w:line="480" w:lineRule="exact"/>
        <w:jc w:val="center"/>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3.2 法定代表人（单位负责人）</w:t>
      </w:r>
      <w:r>
        <w:rPr>
          <w:rFonts w:asciiTheme="majorEastAsia" w:hAnsiTheme="majorEastAsia" w:eastAsiaTheme="majorEastAsia"/>
          <w:b/>
          <w:color w:val="000000"/>
          <w:sz w:val="24"/>
          <w:szCs w:val="24"/>
        </w:rPr>
        <w:t>资</w:t>
      </w:r>
      <w:r>
        <w:rPr>
          <w:rFonts w:hint="eastAsia" w:asciiTheme="majorEastAsia" w:hAnsiTheme="majorEastAsia" w:eastAsiaTheme="majorEastAsia"/>
          <w:b/>
          <w:color w:val="000000"/>
          <w:sz w:val="24"/>
          <w:szCs w:val="24"/>
        </w:rPr>
        <w:t>格</w:t>
      </w:r>
      <w:r>
        <w:rPr>
          <w:rFonts w:asciiTheme="majorEastAsia" w:hAnsiTheme="majorEastAsia" w:eastAsiaTheme="majorEastAsia"/>
          <w:b/>
          <w:color w:val="000000"/>
          <w:sz w:val="24"/>
          <w:szCs w:val="24"/>
        </w:rPr>
        <w:t>证</w:t>
      </w:r>
      <w:r>
        <w:rPr>
          <w:rFonts w:hint="eastAsia" w:asciiTheme="majorEastAsia" w:hAnsiTheme="majorEastAsia" w:eastAsiaTheme="majorEastAsia"/>
          <w:b/>
          <w:color w:val="000000"/>
          <w:sz w:val="24"/>
          <w:szCs w:val="24"/>
        </w:rPr>
        <w:t>明</w:t>
      </w:r>
      <w:r>
        <w:rPr>
          <w:rFonts w:asciiTheme="majorEastAsia" w:hAnsiTheme="majorEastAsia" w:eastAsiaTheme="majorEastAsia"/>
          <w:b/>
          <w:color w:val="000000"/>
          <w:sz w:val="24"/>
          <w:szCs w:val="24"/>
        </w:rPr>
        <w:t>书</w:t>
      </w:r>
    </w:p>
    <w:p>
      <w:pPr>
        <w:autoSpaceDE w:val="0"/>
        <w:autoSpaceDN w:val="0"/>
        <w:spacing w:line="480" w:lineRule="auto"/>
        <w:ind w:firstLine="257"/>
        <w:rPr>
          <w:rFonts w:ascii="宋体" w:hAnsi="宋体"/>
          <w:color w:val="000000"/>
          <w:sz w:val="24"/>
          <w:szCs w:val="24"/>
        </w:rPr>
      </w:pPr>
    </w:p>
    <w:p>
      <w:pPr>
        <w:pStyle w:val="42"/>
        <w:spacing w:line="480" w:lineRule="auto"/>
        <w:ind w:firstLine="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z w:val="21"/>
          <w:szCs w:val="21"/>
          <w:u w:val="single"/>
        </w:rPr>
        <w:t>投</w:t>
      </w:r>
      <w:r>
        <w:rPr>
          <w:rFonts w:asciiTheme="minorEastAsia" w:hAnsiTheme="minorEastAsia"/>
          <w:i/>
          <w:sz w:val="21"/>
          <w:szCs w:val="21"/>
          <w:u w:val="single"/>
        </w:rPr>
        <w:t>标</w:t>
      </w:r>
      <w:r>
        <w:rPr>
          <w:rFonts w:hint="eastAsia" w:asciiTheme="minorEastAsia" w:hAnsiTheme="minorEastAsia"/>
          <w:i/>
          <w:sz w:val="21"/>
          <w:szCs w:val="21"/>
          <w:u w:val="single"/>
        </w:rPr>
        <w:t>人名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225"/>
        <w:jc w:val="left"/>
        <w:rPr>
          <w:rFonts w:asciiTheme="minorEastAsia" w:hAnsiTheme="minorEastAsia"/>
          <w:color w:val="000000"/>
          <w:sz w:val="21"/>
          <w:szCs w:val="21"/>
        </w:rPr>
      </w:pPr>
    </w:p>
    <w:p>
      <w:pPr>
        <w:pStyle w:val="42"/>
        <w:spacing w:line="480" w:lineRule="auto"/>
        <w:ind w:firstLine="225"/>
        <w:jc w:val="left"/>
        <w:rPr>
          <w:rFonts w:asciiTheme="minorEastAsia" w:hAnsiTheme="minorEastAsia"/>
          <w:color w:val="000000"/>
          <w:sz w:val="21"/>
          <w:szCs w:val="21"/>
        </w:rPr>
      </w:pPr>
    </w:p>
    <w:p>
      <w:pPr>
        <w:pStyle w:val="42"/>
        <w:spacing w:line="480" w:lineRule="auto"/>
        <w:ind w:left="-538" w:firstLine="257"/>
        <w:jc w:val="center"/>
        <w:rPr>
          <w:rFonts w:asciiTheme="minorEastAsia" w:hAnsiTheme="minorEastAsia"/>
          <w:color w:val="000000"/>
          <w:sz w:val="21"/>
          <w:szCs w:val="21"/>
        </w:rPr>
      </w:pPr>
      <w:r>
        <w:rPr>
          <w:rFonts w:hint="eastAsia" w:asciiTheme="minorEastAsia" w:hAnsiTheme="minorEastAsia"/>
          <w:color w:val="000000"/>
          <w:sz w:val="21"/>
          <w:szCs w:val="21"/>
        </w:rPr>
        <w:t>【此</w:t>
      </w:r>
      <w:r>
        <w:rPr>
          <w:rFonts w:asciiTheme="minorEastAsia" w:hAnsiTheme="minorEastAsia"/>
          <w:color w:val="000000"/>
          <w:sz w:val="21"/>
          <w:szCs w:val="21"/>
        </w:rPr>
        <w:t>处请</w:t>
      </w:r>
      <w:r>
        <w:rPr>
          <w:rFonts w:hint="eastAsia" w:asciiTheme="minorEastAsia" w:hAnsiTheme="minorEastAsia"/>
          <w:color w:val="000000"/>
          <w:sz w:val="21"/>
          <w:szCs w:val="21"/>
        </w:rPr>
        <w:t>粘</w:t>
      </w:r>
      <w:r>
        <w:rPr>
          <w:rFonts w:asciiTheme="minorEastAsia" w:hAnsiTheme="minorEastAsia"/>
          <w:color w:val="000000"/>
          <w:sz w:val="21"/>
          <w:szCs w:val="21"/>
        </w:rPr>
        <w:t>贴</w:t>
      </w:r>
      <w:r>
        <w:rPr>
          <w:rFonts w:hint="eastAsia" w:asciiTheme="minorEastAsia" w:hAnsiTheme="minorEastAsia"/>
          <w:color w:val="000000"/>
          <w:sz w:val="21"/>
          <w:szCs w:val="21"/>
        </w:rPr>
        <w:t>法定代表人（单位负责人）身份</w:t>
      </w:r>
      <w:r>
        <w:rPr>
          <w:rFonts w:asciiTheme="minorEastAsia" w:hAnsiTheme="minorEastAsia"/>
          <w:color w:val="000000"/>
          <w:sz w:val="21"/>
          <w:szCs w:val="21"/>
        </w:rPr>
        <w:t>证复</w:t>
      </w:r>
      <w:r>
        <w:rPr>
          <w:rFonts w:hint="eastAsia" w:asciiTheme="minorEastAsia" w:hAnsiTheme="minorEastAsia"/>
          <w:color w:val="000000"/>
          <w:sz w:val="21"/>
          <w:szCs w:val="21"/>
        </w:rPr>
        <w:t>印件，需清晰反映身份证有效期限】</w:t>
      </w:r>
    </w:p>
    <w:p>
      <w:pPr>
        <w:pStyle w:val="42"/>
        <w:spacing w:line="480" w:lineRule="auto"/>
        <w:ind w:left="-538" w:firstLine="257"/>
        <w:jc w:val="center"/>
        <w:rPr>
          <w:rFonts w:asciiTheme="minorEastAsia" w:hAnsiTheme="minorEastAsia"/>
          <w:color w:val="000000"/>
          <w:sz w:val="21"/>
          <w:szCs w:val="21"/>
        </w:rPr>
      </w:pPr>
    </w:p>
    <w:p>
      <w:pPr>
        <w:autoSpaceDE w:val="0"/>
        <w:autoSpaceDN w:val="0"/>
        <w:spacing w:line="360" w:lineRule="auto"/>
        <w:ind w:right="-11"/>
        <w:rPr>
          <w:rFonts w:cs="宋体" w:asciiTheme="minorEastAsia" w:hAnsiTheme="minorEastAsia"/>
        </w:rPr>
      </w:pPr>
    </w:p>
    <w:p>
      <w:pPr>
        <w:autoSpaceDE w:val="0"/>
        <w:autoSpaceDN w:val="0"/>
        <w:spacing w:line="360" w:lineRule="auto"/>
        <w:ind w:right="-11"/>
        <w:rPr>
          <w:rFonts w:cs="宋体" w:asciiTheme="minorEastAsia" w:hAnsiTheme="minorEastAsia"/>
        </w:rPr>
      </w:pPr>
    </w:p>
    <w:p>
      <w:pPr>
        <w:autoSpaceDE w:val="0"/>
        <w:autoSpaceDN w:val="0"/>
        <w:spacing w:line="360" w:lineRule="auto"/>
        <w:ind w:right="-11"/>
        <w:rPr>
          <w:rFonts w:cs="宋体" w:asciiTheme="minorEastAsia" w:hAnsiTheme="minorEastAsia"/>
        </w:rPr>
      </w:pPr>
    </w:p>
    <w:p>
      <w:pPr>
        <w:spacing w:line="480" w:lineRule="auto"/>
        <w:ind w:firstLine="1875"/>
        <w:rPr>
          <w:rFonts w:cs="Arial" w:asciiTheme="minorEastAsia" w:hAnsiTheme="minorEastAsia"/>
          <w:color w:val="000000"/>
          <w:u w:val="single"/>
        </w:rPr>
      </w:pPr>
      <w:r>
        <w:rPr>
          <w:rFonts w:hint="eastAsia" w:cs="Arial" w:asciiTheme="minorEastAsia" w:hAnsiTheme="minorEastAsia"/>
          <w:color w:val="000000"/>
        </w:rPr>
        <w:t>投标人名称（并加盖公章）：</w:t>
      </w:r>
    </w:p>
    <w:p>
      <w:pPr>
        <w:pStyle w:val="45"/>
        <w:spacing w:before="60" w:line="480" w:lineRule="auto"/>
        <w:ind w:firstLine="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
      <w:pPr>
        <w:spacing w:line="320" w:lineRule="exact"/>
        <w:ind w:firstLine="200"/>
        <w:rPr>
          <w:rFonts w:asciiTheme="minorEastAsia" w:hAnsiTheme="minorEastAsia"/>
          <w:color w:val="000000"/>
        </w:rPr>
      </w:pPr>
      <w:r>
        <w:rPr>
          <w:rFonts w:hint="eastAsia" w:asciiTheme="minorEastAsia" w:hAnsiTheme="minorEastAsia"/>
          <w:color w:val="000000"/>
        </w:rPr>
        <w:t>说明：法定代表人（单位负责人）</w:t>
      </w:r>
      <w:r>
        <w:rPr>
          <w:rFonts w:asciiTheme="minorEastAsia" w:hAnsiTheme="minorEastAsia"/>
          <w:color w:val="000000"/>
        </w:rPr>
        <w:t>参</w:t>
      </w:r>
      <w:r>
        <w:rPr>
          <w:rFonts w:hint="eastAsia" w:asciiTheme="minorEastAsia" w:hAnsiTheme="minorEastAsia"/>
          <w:color w:val="000000"/>
        </w:rPr>
        <w:t>加本招</w:t>
      </w:r>
      <w:r>
        <w:rPr>
          <w:rFonts w:asciiTheme="minorEastAsia" w:hAnsiTheme="minorEastAsia"/>
          <w:color w:val="000000"/>
        </w:rPr>
        <w:t>标项目</w:t>
      </w:r>
      <w:r>
        <w:rPr>
          <w:rFonts w:hint="eastAsia" w:asciiTheme="minorEastAsia" w:hAnsiTheme="minorEastAsia"/>
          <w:color w:val="000000"/>
        </w:rPr>
        <w:t>投</w:t>
      </w:r>
      <w:r>
        <w:rPr>
          <w:rFonts w:asciiTheme="minorEastAsia" w:hAnsiTheme="minorEastAsia"/>
          <w:color w:val="000000"/>
        </w:rPr>
        <w:t>标</w:t>
      </w:r>
      <w:r>
        <w:rPr>
          <w:rFonts w:hint="eastAsia" w:asciiTheme="minorEastAsia" w:hAnsiTheme="minorEastAsia"/>
          <w:color w:val="000000"/>
        </w:rPr>
        <w:t>的，</w:t>
      </w:r>
      <w:r>
        <w:rPr>
          <w:rFonts w:asciiTheme="minorEastAsia" w:hAnsiTheme="minorEastAsia"/>
          <w:color w:val="000000"/>
        </w:rPr>
        <w:t>仅须</w:t>
      </w:r>
      <w:r>
        <w:rPr>
          <w:rFonts w:hint="eastAsia" w:asciiTheme="minorEastAsia" w:hAnsiTheme="minorEastAsia"/>
          <w:color w:val="000000"/>
        </w:rPr>
        <w:t>出具此</w:t>
      </w:r>
      <w:r>
        <w:rPr>
          <w:rFonts w:asciiTheme="minorEastAsia" w:hAnsiTheme="minorEastAsia"/>
          <w:color w:val="000000"/>
        </w:rPr>
        <w:t>证</w:t>
      </w:r>
      <w:r>
        <w:rPr>
          <w:rFonts w:hint="eastAsia" w:asciiTheme="minorEastAsia" w:hAnsiTheme="minorEastAsia"/>
          <w:color w:val="000000"/>
        </w:rPr>
        <w:t>明</w:t>
      </w:r>
      <w:r>
        <w:rPr>
          <w:rFonts w:asciiTheme="minorEastAsia" w:hAnsiTheme="minorEastAsia"/>
          <w:color w:val="000000"/>
        </w:rPr>
        <w:t>书</w:t>
      </w:r>
      <w:r>
        <w:rPr>
          <w:rFonts w:hint="eastAsia" w:asciiTheme="minorEastAsia" w:hAnsiTheme="minorEastAsia"/>
          <w:color w:val="000000"/>
        </w:rPr>
        <w:t>。</w:t>
      </w:r>
    </w:p>
    <w:p>
      <w:pPr>
        <w:spacing w:line="480" w:lineRule="exact"/>
        <w:jc w:val="center"/>
        <w:rPr>
          <w:rFonts w:ascii="宋体" w:hAnsi="宋体"/>
          <w:b/>
          <w:color w:val="000000"/>
          <w:sz w:val="36"/>
          <w:szCs w:val="36"/>
        </w:rPr>
      </w:pPr>
    </w:p>
    <w:p>
      <w:pPr>
        <w:spacing w:line="480" w:lineRule="exact"/>
        <w:jc w:val="center"/>
        <w:rPr>
          <w:rFonts w:ascii="宋体" w:hAnsi="宋体"/>
          <w:b/>
          <w:color w:val="000000"/>
          <w:sz w:val="24"/>
          <w:szCs w:val="24"/>
        </w:rPr>
      </w:pPr>
      <w:r>
        <w:rPr>
          <w:rFonts w:hint="eastAsia" w:ascii="宋体" w:hAnsi="宋体"/>
          <w:b/>
          <w:color w:val="000000"/>
          <w:sz w:val="24"/>
          <w:szCs w:val="24"/>
        </w:rPr>
        <w:t>3.3 法定代表人（单位负责人）授权书</w:t>
      </w:r>
    </w:p>
    <w:p>
      <w:pPr>
        <w:spacing w:line="480" w:lineRule="exact"/>
        <w:jc w:val="center"/>
        <w:rPr>
          <w:rFonts w:ascii="宋体" w:hAnsi="宋体"/>
          <w:b/>
          <w:color w:val="000000"/>
          <w:sz w:val="36"/>
          <w:szCs w:val="36"/>
        </w:rPr>
      </w:pPr>
    </w:p>
    <w:p>
      <w:pPr>
        <w:spacing w:line="360" w:lineRule="auto"/>
        <w:ind w:firstLine="210"/>
        <w:contextualSpacing/>
        <w:rPr>
          <w:rFonts w:cs="Arial" w:asciiTheme="minorEastAsia" w:hAnsiTheme="minorEastAsia"/>
        </w:rPr>
      </w:pPr>
      <w:r>
        <w:rPr>
          <w:rFonts w:hint="eastAsia" w:asciiTheme="minorEastAsia" w:hAnsiTheme="minorEastAsia"/>
        </w:rPr>
        <w:t xml:space="preserve"> </w:t>
      </w:r>
      <w:r>
        <w:rPr>
          <w:rFonts w:hint="eastAsia" w:cs="Arial" w:asciiTheme="minorEastAsia" w:hAnsiTheme="minorEastAsia"/>
        </w:rPr>
        <w:t>本人</w:t>
      </w:r>
      <w:r>
        <w:rPr>
          <w:rFonts w:hint="eastAsia" w:cs="Arial" w:asciiTheme="minorEastAsia" w:hAnsiTheme="minorEastAsia"/>
          <w:u w:val="single"/>
        </w:rPr>
        <w:t xml:space="preserve">　 </w:t>
      </w:r>
      <w:r>
        <w:rPr>
          <w:rFonts w:hint="eastAsia" w:asciiTheme="minorEastAsia" w:hAnsiTheme="minorEastAsia"/>
          <w:i/>
          <w:u w:val="single"/>
        </w:rPr>
        <w:t>法人姓名</w:t>
      </w:r>
      <w:r>
        <w:rPr>
          <w:rFonts w:hint="eastAsia" w:cs="Arial" w:asciiTheme="minorEastAsia" w:hAnsiTheme="minorEastAsia"/>
          <w:u w:val="single"/>
        </w:rPr>
        <w:t xml:space="preserve">  </w:t>
      </w:r>
      <w:r>
        <w:rPr>
          <w:rFonts w:hint="eastAsia" w:cs="Arial" w:asciiTheme="minorEastAsia" w:hAnsiTheme="minorEastAsia"/>
        </w:rPr>
        <w:t>系</w:t>
      </w:r>
      <w:r>
        <w:rPr>
          <w:rFonts w:hint="eastAsia" w:cs="Arial" w:asciiTheme="minorEastAsia" w:hAnsiTheme="minorEastAsia"/>
          <w:u w:val="single"/>
        </w:rPr>
        <w:t>　</w:t>
      </w:r>
      <w:r>
        <w:rPr>
          <w:rFonts w:hint="eastAsia" w:asciiTheme="minorEastAsia" w:hAnsiTheme="minorEastAsia"/>
          <w:i/>
          <w:u w:val="single"/>
        </w:rPr>
        <w:t xml:space="preserve">投标人名称  </w:t>
      </w:r>
      <w:r>
        <w:rPr>
          <w:rFonts w:hint="eastAsia" w:cs="Arial" w:asciiTheme="minorEastAsia" w:hAnsiTheme="minorEastAsia"/>
          <w:u w:val="single"/>
        </w:rPr>
        <w:t xml:space="preserve"> </w:t>
      </w:r>
      <w:r>
        <w:rPr>
          <w:rFonts w:hint="eastAsia" w:cs="Arial" w:asciiTheme="minorEastAsia" w:hAnsiTheme="minorEastAsia"/>
        </w:rPr>
        <w:t>的法定代表人（单位负责人），现委托</w:t>
      </w:r>
      <w:r>
        <w:rPr>
          <w:rFonts w:hint="eastAsia" w:cs="Arial" w:asciiTheme="minorEastAsia" w:hAnsiTheme="minorEastAsia"/>
          <w:u w:val="single"/>
        </w:rPr>
        <w:t xml:space="preserve">　 </w:t>
      </w:r>
      <w:r>
        <w:rPr>
          <w:rFonts w:hint="eastAsia" w:asciiTheme="minorEastAsia" w:hAnsiTheme="minorEastAsia"/>
          <w:i/>
          <w:u w:val="single"/>
        </w:rPr>
        <w:t>姓名，职务</w:t>
      </w:r>
      <w:r>
        <w:rPr>
          <w:rFonts w:hint="eastAsia" w:cs="Arial" w:asciiTheme="minorEastAsia" w:hAnsiTheme="minorEastAsia"/>
          <w:u w:val="single"/>
        </w:rPr>
        <w:t xml:space="preserve">    </w:t>
      </w:r>
      <w:r>
        <w:rPr>
          <w:rFonts w:hint="eastAsia" w:cs="Arial" w:asciiTheme="minorEastAsia" w:hAnsiTheme="minorEastAsia"/>
        </w:rPr>
        <w:t>以我方的名义参加贵方______________________项目的投标活动，并代表我方全权办理针对上述项目的投标、开标、投标文件澄清、签约等一切具体事务和签署相关文件。</w:t>
      </w:r>
    </w:p>
    <w:p>
      <w:pPr>
        <w:spacing w:line="360" w:lineRule="auto"/>
        <w:ind w:firstLine="210"/>
        <w:contextualSpacing/>
        <w:rPr>
          <w:rFonts w:cs="Arial" w:asciiTheme="minorEastAsia" w:hAnsiTheme="minorEastAsia"/>
        </w:rPr>
      </w:pPr>
      <w:r>
        <w:rPr>
          <w:rFonts w:hint="eastAsia" w:cs="Arial" w:asciiTheme="minorEastAsia" w:hAnsiTheme="minorEastAsia"/>
        </w:rPr>
        <w:t>我方对被授权人的签名事项负全部责任。</w:t>
      </w:r>
    </w:p>
    <w:p>
      <w:pPr>
        <w:spacing w:line="360" w:lineRule="auto"/>
        <w:ind w:firstLine="210"/>
        <w:contextualSpacing/>
        <w:rPr>
          <w:rFonts w:cs="Arial" w:asciiTheme="minorEastAsia" w:hAnsiTheme="minorEastAsia"/>
        </w:rPr>
      </w:pPr>
      <w:r>
        <w:rPr>
          <w:rFonts w:hint="eastAsia" w:cs="Arial" w:asciiTheme="minorEastAsia" w:hAnsiTheme="minor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pacing w:line="360" w:lineRule="auto"/>
        <w:ind w:firstLine="210"/>
        <w:contextualSpacing/>
        <w:rPr>
          <w:rFonts w:cs="Arial" w:asciiTheme="minorEastAsia" w:hAnsiTheme="minorEastAsia"/>
        </w:rPr>
      </w:pPr>
      <w:r>
        <w:rPr>
          <w:rFonts w:hint="eastAsia" w:cs="Arial" w:asciiTheme="minorEastAsia" w:hAnsiTheme="minorEastAsia"/>
        </w:rPr>
        <w:t>被授权人无转委托权，特此委托。</w:t>
      </w:r>
    </w:p>
    <w:p>
      <w:pPr>
        <w:spacing w:line="480" w:lineRule="auto"/>
        <w:ind w:firstLine="200"/>
        <w:rPr>
          <w:rFonts w:asciiTheme="minorEastAsia" w:hAnsiTheme="minorEastAsia"/>
        </w:rPr>
      </w:pPr>
      <w:r>
        <w:rPr>
          <w:rFonts w:hint="eastAsia" w:asciiTheme="minorEastAsia" w:hAnsiTheme="minorEastAsia"/>
        </w:rPr>
        <w:t xml:space="preserve">投标人名称： </w:t>
      </w:r>
      <w:r>
        <w:rPr>
          <w:rFonts w:hint="eastAsia" w:asciiTheme="minorEastAsia" w:hAnsiTheme="minorEastAsia"/>
          <w:u w:val="single"/>
        </w:rPr>
        <w:t xml:space="preserve">       （全称）       </w:t>
      </w:r>
      <w:r>
        <w:rPr>
          <w:rFonts w:hint="eastAsia" w:asciiTheme="minorEastAsia" w:hAnsiTheme="minorEastAsia"/>
        </w:rPr>
        <w:t xml:space="preserve"> （盖单位公章）</w:t>
      </w:r>
    </w:p>
    <w:p>
      <w:pPr>
        <w:spacing w:line="480" w:lineRule="auto"/>
        <w:ind w:firstLine="200"/>
        <w:rPr>
          <w:rFonts w:asciiTheme="minorEastAsia" w:hAnsiTheme="minorEastAsia"/>
        </w:rPr>
      </w:pPr>
      <w:r>
        <w:rPr>
          <w:rFonts w:hint="eastAsia" w:asciiTheme="minorEastAsia" w:hAnsiTheme="minorEastAsia"/>
        </w:rPr>
        <w:t xml:space="preserve">法定代表人（单位负责人）： </w:t>
      </w:r>
      <w:r>
        <w:rPr>
          <w:rFonts w:hint="eastAsia" w:asciiTheme="minorEastAsia" w:hAnsiTheme="minorEastAsia"/>
          <w:u w:val="single"/>
        </w:rPr>
        <w:t xml:space="preserve">            </w:t>
      </w:r>
      <w:r>
        <w:rPr>
          <w:rFonts w:hint="eastAsia" w:asciiTheme="minorEastAsia" w:hAnsiTheme="minorEastAsia"/>
        </w:rPr>
        <w:t xml:space="preserve"> （签字或加盖名章）</w:t>
      </w:r>
    </w:p>
    <w:p>
      <w:pPr>
        <w:spacing w:line="480" w:lineRule="auto"/>
        <w:ind w:firstLine="200"/>
        <w:rPr>
          <w:rFonts w:asciiTheme="minorEastAsia" w:hAnsiTheme="minorEastAsia"/>
        </w:rPr>
      </w:pPr>
      <w:r>
        <w:rPr>
          <w:rFonts w:hint="eastAsia" w:asciiTheme="minorEastAsia" w:hAnsiTheme="minorEastAsia"/>
        </w:rPr>
        <w:t xml:space="preserve">法定代表人（单位负责人）授权代表： </w:t>
      </w:r>
      <w:r>
        <w:rPr>
          <w:rFonts w:hint="eastAsia" w:asciiTheme="minorEastAsia" w:hAnsiTheme="minorEastAsia"/>
          <w:u w:val="single"/>
        </w:rPr>
        <w:t xml:space="preserve">         </w:t>
      </w:r>
      <w:r>
        <w:rPr>
          <w:rFonts w:hint="eastAsia" w:asciiTheme="minorEastAsia" w:hAnsiTheme="minorEastAsia"/>
        </w:rPr>
        <w:t xml:space="preserve"> （签字或加盖名章）</w:t>
      </w:r>
    </w:p>
    <w:tbl>
      <w:tblPr>
        <w:tblStyle w:val="22"/>
        <w:tblW w:w="89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rPr>
            </w:pPr>
            <w:r>
              <w:rPr>
                <w:rFonts w:hint="eastAsia" w:asciiTheme="minorEastAsia" w:hAnsiTheme="minorEastAsia"/>
              </w:rPr>
              <w:t>法定代表人（单位负责人）身份证（正面）</w:t>
            </w:r>
          </w:p>
        </w:tc>
        <w:tc>
          <w:tcPr>
            <w:tcW w:w="4485" w:type="dxa"/>
            <w:gridSpan w:val="2"/>
            <w:vAlign w:val="center"/>
          </w:tcPr>
          <w:p>
            <w:pPr>
              <w:jc w:val="center"/>
              <w:rPr>
                <w:rFonts w:asciiTheme="minorEastAsia" w:hAnsiTheme="minorEastAsia"/>
              </w:rPr>
            </w:pPr>
            <w:r>
              <w:rPr>
                <w:rFonts w:hint="eastAsia" w:asciiTheme="minorEastAsia" w:hAnsiTheme="minorEastAsia"/>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rPr>
            </w:pPr>
            <w:bookmarkStart w:id="24" w:name="_资格证明文件"/>
            <w:bookmarkEnd w:id="24"/>
            <w:bookmarkStart w:id="25" w:name="_Toc364329026"/>
            <w:r>
              <w:rPr>
                <w:rFonts w:hint="eastAsia" w:asciiTheme="minorEastAsia" w:hAnsiTheme="minorEastAsia"/>
              </w:rPr>
              <w:t>法定代表人（单位负责人）授权代表身份证</w:t>
            </w:r>
          </w:p>
          <w:p>
            <w:pPr>
              <w:jc w:val="center"/>
              <w:rPr>
                <w:rFonts w:asciiTheme="minorEastAsia" w:hAnsiTheme="minorEastAsia"/>
              </w:rPr>
            </w:pPr>
            <w:r>
              <w:rPr>
                <w:rFonts w:hint="eastAsia" w:asciiTheme="minorEastAsia" w:hAnsiTheme="minorEastAsia"/>
              </w:rPr>
              <w:t>（正面）</w:t>
            </w:r>
            <w:bookmarkEnd w:id="25"/>
          </w:p>
        </w:tc>
        <w:tc>
          <w:tcPr>
            <w:tcW w:w="4492" w:type="dxa"/>
            <w:gridSpan w:val="2"/>
            <w:vAlign w:val="center"/>
          </w:tcPr>
          <w:p>
            <w:pPr>
              <w:jc w:val="center"/>
              <w:rPr>
                <w:rFonts w:asciiTheme="minorEastAsia" w:hAnsiTheme="minorEastAsia"/>
              </w:rPr>
            </w:pPr>
            <w:bookmarkStart w:id="26" w:name="_Toc364329027"/>
            <w:r>
              <w:rPr>
                <w:rFonts w:hint="eastAsia" w:asciiTheme="minorEastAsia" w:hAnsiTheme="minorEastAsia"/>
              </w:rPr>
              <w:t>法定代表人（单位负责人）授权代表身份证</w:t>
            </w:r>
          </w:p>
          <w:p>
            <w:pPr>
              <w:jc w:val="center"/>
              <w:rPr>
                <w:rFonts w:asciiTheme="minorEastAsia" w:hAnsiTheme="minorEastAsia"/>
              </w:rPr>
            </w:pPr>
            <w:r>
              <w:rPr>
                <w:rFonts w:hint="eastAsia" w:asciiTheme="minorEastAsia" w:hAnsiTheme="minorEastAsia"/>
              </w:rPr>
              <w:t>（反面）</w:t>
            </w:r>
            <w:bookmarkEnd w:id="26"/>
          </w:p>
        </w:tc>
      </w:tr>
    </w:tbl>
    <w:p>
      <w:pPr>
        <w:spacing w:line="320" w:lineRule="exact"/>
        <w:ind w:left="2" w:firstLine="149"/>
        <w:rPr>
          <w:rFonts w:cs="Courier New" w:asciiTheme="minorEastAsia" w:hAnsiTheme="minorEastAsia"/>
          <w:sz w:val="24"/>
          <w:szCs w:val="24"/>
        </w:rPr>
      </w:pPr>
    </w:p>
    <w:p>
      <w:pPr>
        <w:spacing w:before="100" w:beforeAutospacing="1" w:after="100" w:afterAutospacing="1" w:line="360" w:lineRule="auto"/>
        <w:jc w:val="center"/>
        <w:rPr>
          <w:rFonts w:ascii="宋体" w:hAnsi="宋体"/>
          <w:b/>
          <w:color w:val="000000"/>
          <w:sz w:val="24"/>
          <w:szCs w:val="24"/>
        </w:rPr>
      </w:pPr>
      <w:r>
        <w:rPr>
          <w:rFonts w:hint="eastAsia" w:ascii="宋体" w:hAnsi="宋体"/>
          <w:b/>
          <w:color w:val="000000"/>
          <w:sz w:val="24"/>
          <w:szCs w:val="24"/>
        </w:rPr>
        <w:t>3.4 没有重大违法记录的声明</w:t>
      </w:r>
    </w:p>
    <w:p>
      <w:pPr>
        <w:spacing w:before="120" w:after="120"/>
        <w:jc w:val="center"/>
        <w:rPr>
          <w:rFonts w:ascii="宋体" w:hAnsi="宋体" w:cs="Arial"/>
          <w:color w:val="000000"/>
          <w:sz w:val="28"/>
          <w:szCs w:val="28"/>
        </w:rPr>
      </w:pPr>
      <w:r>
        <w:rPr>
          <w:rFonts w:hint="eastAsia" w:ascii="宋体" w:hAnsi="宋体" w:cs="Arial"/>
          <w:color w:val="000000"/>
          <w:sz w:val="28"/>
          <w:szCs w:val="28"/>
        </w:rPr>
        <w:t>声　   明</w:t>
      </w:r>
    </w:p>
    <w:p>
      <w:pPr>
        <w:spacing w:before="120" w:after="120" w:line="360" w:lineRule="auto"/>
        <w:ind w:firstLine="200"/>
        <w:rPr>
          <w:rFonts w:cs="宋体" w:asciiTheme="minorEastAsia" w:hAnsiTheme="minorEastAsia"/>
        </w:rPr>
      </w:pPr>
      <w:r>
        <w:rPr>
          <w:rFonts w:hint="eastAsia" w:cs="宋体" w:asciiTheme="minorEastAsia" w:hAnsiTheme="minorEastAsia"/>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after="120" w:line="360" w:lineRule="auto"/>
        <w:ind w:firstLine="200"/>
        <w:rPr>
          <w:rFonts w:cs="宋体" w:asciiTheme="minorEastAsia" w:hAnsiTheme="minorEastAsia"/>
        </w:rPr>
      </w:pPr>
      <w:r>
        <w:rPr>
          <w:rFonts w:hint="eastAsia" w:cs="宋体" w:asciiTheme="minorEastAsia" w:hAnsiTheme="minorEastAsia"/>
        </w:rPr>
        <w:t>特此声明。</w:t>
      </w:r>
    </w:p>
    <w:p>
      <w:pPr>
        <w:spacing w:before="120" w:after="120" w:line="360" w:lineRule="auto"/>
        <w:ind w:firstLine="200"/>
        <w:rPr>
          <w:rFonts w:cs="宋体" w:asciiTheme="minorEastAsia" w:hAnsiTheme="minorEastAsia"/>
        </w:rPr>
      </w:pPr>
      <w:r>
        <w:rPr>
          <w:rFonts w:hint="eastAsia" w:cs="宋体" w:asciiTheme="minorEastAsia" w:hAnsiTheme="minorEastAsia"/>
        </w:rPr>
        <w:t>本公司对上述声明的真实性负责。如有虚假，将依法承担相应责任。</w:t>
      </w:r>
    </w:p>
    <w:p>
      <w:pPr>
        <w:spacing w:before="120" w:after="120" w:line="360" w:lineRule="auto"/>
        <w:ind w:firstLine="236"/>
        <w:rPr>
          <w:rFonts w:cs="宋体" w:asciiTheme="minorEastAsia" w:hAnsiTheme="minorEastAsia"/>
        </w:rPr>
      </w:pPr>
    </w:p>
    <w:p>
      <w:pPr>
        <w:spacing w:before="120" w:after="120" w:line="360" w:lineRule="auto"/>
        <w:ind w:right="420" w:firstLine="2286"/>
        <w:rPr>
          <w:rFonts w:cs="宋体" w:asciiTheme="minorEastAsia" w:hAnsiTheme="minorEastAsia"/>
        </w:rPr>
      </w:pPr>
      <w:r>
        <w:rPr>
          <w:rFonts w:hint="eastAsia" w:cs="宋体" w:asciiTheme="minorEastAsia" w:hAnsiTheme="minorEastAsia"/>
        </w:rPr>
        <w:t>单位名称（盖章）：</w:t>
      </w:r>
    </w:p>
    <w:p>
      <w:pPr>
        <w:spacing w:before="120" w:after="120" w:line="360" w:lineRule="auto"/>
        <w:ind w:right="420" w:firstLine="2286"/>
        <w:rPr>
          <w:rFonts w:cs="宋体" w:asciiTheme="minorEastAsia" w:hAnsiTheme="minorEastAsia"/>
        </w:rPr>
      </w:pPr>
      <w:r>
        <w:rPr>
          <w:rFonts w:hint="eastAsia" w:cs="宋体" w:asciiTheme="minorEastAsia" w:hAnsiTheme="minorEastAsia"/>
        </w:rPr>
        <w:t>日    期：     年    月    日</w:t>
      </w:r>
    </w:p>
    <w:p>
      <w:pPr>
        <w:spacing w:before="120" w:after="120" w:line="360" w:lineRule="auto"/>
        <w:ind w:right="420" w:firstLine="2286"/>
        <w:rPr>
          <w:rFonts w:cs="宋体" w:asciiTheme="minorEastAsia" w:hAnsiTheme="minorEastAsia"/>
          <w:sz w:val="24"/>
          <w:szCs w:val="24"/>
        </w:rPr>
      </w:pPr>
    </w:p>
    <w:p>
      <w:pPr>
        <w:spacing w:before="120" w:after="120" w:line="360" w:lineRule="auto"/>
        <w:ind w:right="420" w:firstLine="2286"/>
        <w:rPr>
          <w:rFonts w:cs="宋体" w:asciiTheme="minorEastAsia" w:hAnsiTheme="minorEastAsia"/>
          <w:sz w:val="24"/>
          <w:szCs w:val="24"/>
        </w:rPr>
      </w:pPr>
    </w:p>
    <w:p>
      <w:pPr>
        <w:spacing w:before="120" w:after="120" w:line="360" w:lineRule="auto"/>
        <w:ind w:right="420" w:firstLine="2286"/>
        <w:rPr>
          <w:rFonts w:cs="宋体" w:asciiTheme="minorEastAsia" w:hAnsiTheme="minorEastAsia"/>
          <w:sz w:val="24"/>
          <w:szCs w:val="24"/>
        </w:rPr>
      </w:pPr>
    </w:p>
    <w:p>
      <w:pPr>
        <w:spacing w:before="100" w:beforeAutospacing="1" w:after="100" w:afterAutospacing="1" w:line="360" w:lineRule="auto"/>
        <w:jc w:val="center"/>
        <w:rPr>
          <w:rFonts w:ascii="宋体" w:hAnsi="宋体"/>
          <w:b/>
          <w:color w:val="000000"/>
          <w:sz w:val="24"/>
          <w:szCs w:val="24"/>
        </w:rPr>
      </w:pPr>
    </w:p>
    <w:p>
      <w:pPr>
        <w:spacing w:before="100" w:beforeAutospacing="1" w:after="100" w:afterAutospacing="1" w:line="360" w:lineRule="auto"/>
        <w:jc w:val="center"/>
        <w:rPr>
          <w:rFonts w:ascii="宋体" w:hAnsi="宋体"/>
          <w:b/>
          <w:color w:val="000000"/>
          <w:sz w:val="24"/>
          <w:szCs w:val="24"/>
        </w:rPr>
      </w:pPr>
    </w:p>
    <w:p>
      <w:pPr>
        <w:spacing w:before="100" w:beforeAutospacing="1" w:after="100" w:afterAutospacing="1" w:line="360" w:lineRule="auto"/>
        <w:jc w:val="center"/>
        <w:rPr>
          <w:rFonts w:ascii="宋体" w:hAnsi="宋体"/>
          <w:b/>
          <w:color w:val="000000"/>
          <w:sz w:val="24"/>
          <w:szCs w:val="24"/>
        </w:rPr>
      </w:pPr>
    </w:p>
    <w:p>
      <w:pPr>
        <w:pStyle w:val="2"/>
        <w:rPr>
          <w:rFonts w:hAnsi="宋体"/>
          <w:b/>
          <w:color w:val="000000"/>
          <w:sz w:val="24"/>
          <w:szCs w:val="24"/>
        </w:rPr>
      </w:pPr>
    </w:p>
    <w:p>
      <w:pPr>
        <w:pStyle w:val="2"/>
        <w:rPr>
          <w:rFonts w:hAnsi="宋体"/>
          <w:b/>
          <w:color w:val="000000"/>
          <w:sz w:val="24"/>
          <w:szCs w:val="24"/>
        </w:rPr>
      </w:pPr>
    </w:p>
    <w:p>
      <w:pPr>
        <w:pStyle w:val="2"/>
        <w:rPr>
          <w:rFonts w:hAnsi="宋体"/>
          <w:b/>
          <w:color w:val="000000"/>
          <w:sz w:val="24"/>
          <w:szCs w:val="24"/>
        </w:rPr>
      </w:pPr>
    </w:p>
    <w:p>
      <w:pPr>
        <w:autoSpaceDE w:val="0"/>
        <w:autoSpaceDN w:val="0"/>
        <w:spacing w:line="360" w:lineRule="auto"/>
        <w:jc w:val="center"/>
        <w:rPr>
          <w:rFonts w:ascii="宋体" w:hAnsi="宋体"/>
          <w:b/>
          <w:sz w:val="24"/>
          <w:szCs w:val="24"/>
        </w:rPr>
      </w:pPr>
      <w:r>
        <w:rPr>
          <w:rFonts w:hint="eastAsia" w:ascii="宋体" w:hAnsi="宋体"/>
          <w:b/>
          <w:sz w:val="24"/>
          <w:szCs w:val="24"/>
        </w:rPr>
        <w:t>3.5 投标承诺函</w:t>
      </w:r>
    </w:p>
    <w:p>
      <w:pPr>
        <w:spacing w:line="360" w:lineRule="auto"/>
        <w:rPr>
          <w:rFonts w:ascii="宋体" w:hAnsi="宋体"/>
          <w:sz w:val="24"/>
          <w:szCs w:val="24"/>
        </w:rPr>
      </w:pPr>
      <w:r>
        <w:rPr>
          <w:rFonts w:hint="eastAsia" w:ascii="宋体" w:hAnsi="宋体"/>
          <w:sz w:val="24"/>
          <w:szCs w:val="24"/>
        </w:rPr>
        <w:t>本企业郑重承诺：</w:t>
      </w:r>
    </w:p>
    <w:p>
      <w:pPr>
        <w:spacing w:line="360" w:lineRule="auto"/>
        <w:ind w:firstLine="200"/>
        <w:rPr>
          <w:rFonts w:ascii="宋体" w:hAnsi="宋体"/>
          <w:sz w:val="24"/>
          <w:szCs w:val="24"/>
        </w:rPr>
      </w:pPr>
      <w:r>
        <w:rPr>
          <w:rFonts w:hint="eastAsia" w:ascii="宋体" w:hAnsi="宋体"/>
          <w:sz w:val="24"/>
          <w:szCs w:val="24"/>
        </w:rPr>
        <w:t>一、将遵循公开、公平、公正和诚实信用的原则参加</w:t>
      </w:r>
      <w:r>
        <w:rPr>
          <w:rFonts w:ascii="宋体" w:hAnsi="宋体"/>
          <w:sz w:val="24"/>
          <w:szCs w:val="24"/>
          <w:u w:val="single"/>
        </w:rPr>
        <w:t>(</w:t>
      </w:r>
      <w:r>
        <w:rPr>
          <w:rFonts w:hint="eastAsia" w:ascii="宋体" w:hAnsi="宋体"/>
          <w:sz w:val="24"/>
          <w:szCs w:val="24"/>
          <w:u w:val="single"/>
        </w:rPr>
        <w:t>具体政府采购项目名称）</w:t>
      </w:r>
      <w:r>
        <w:rPr>
          <w:rFonts w:hint="eastAsia" w:ascii="宋体" w:hAnsi="宋体"/>
          <w:sz w:val="24"/>
          <w:szCs w:val="24"/>
        </w:rPr>
        <w:t>的投标；</w:t>
      </w:r>
    </w:p>
    <w:p>
      <w:pPr>
        <w:spacing w:line="360" w:lineRule="auto"/>
        <w:ind w:firstLine="200"/>
        <w:rPr>
          <w:rFonts w:ascii="宋体" w:hAnsi="宋体"/>
          <w:sz w:val="24"/>
          <w:szCs w:val="24"/>
        </w:rPr>
      </w:pPr>
      <w:r>
        <w:rPr>
          <w:rFonts w:hint="eastAsia" w:ascii="宋体" w:hAnsi="宋体"/>
          <w:sz w:val="24"/>
          <w:szCs w:val="24"/>
        </w:rPr>
        <w:t>二、本次投标所提供的一切材料都是真实、有效、合法的；</w:t>
      </w:r>
    </w:p>
    <w:p>
      <w:pPr>
        <w:spacing w:line="360" w:lineRule="auto"/>
        <w:ind w:firstLine="200"/>
        <w:rPr>
          <w:rFonts w:ascii="宋体" w:hAnsi="宋体"/>
          <w:sz w:val="24"/>
          <w:szCs w:val="24"/>
        </w:rPr>
      </w:pPr>
      <w:r>
        <w:rPr>
          <w:rFonts w:hint="eastAsia" w:ascii="宋体" w:hAnsi="宋体"/>
          <w:sz w:val="24"/>
          <w:szCs w:val="24"/>
        </w:rPr>
        <w:t>三、不与其他投标人相互串通投标报价，不排挤其他投标人的公平竞争，不损害采购人或其他投标人的合法权益；</w:t>
      </w:r>
    </w:p>
    <w:p>
      <w:pPr>
        <w:spacing w:line="360" w:lineRule="auto"/>
        <w:ind w:firstLine="200"/>
        <w:rPr>
          <w:rFonts w:ascii="宋体" w:hAnsi="宋体"/>
          <w:sz w:val="24"/>
          <w:szCs w:val="24"/>
        </w:rPr>
      </w:pPr>
      <w:r>
        <w:rPr>
          <w:rFonts w:hint="eastAsia" w:ascii="宋体" w:hAnsi="宋体"/>
          <w:sz w:val="24"/>
          <w:szCs w:val="24"/>
        </w:rPr>
        <w:t>四、不与采购人或集中采购机构串通投标，不损害国家利益、社会公共利益或者他人的合法权益；</w:t>
      </w:r>
    </w:p>
    <w:p>
      <w:pPr>
        <w:spacing w:line="360" w:lineRule="auto"/>
        <w:ind w:firstLine="200"/>
        <w:rPr>
          <w:rFonts w:ascii="宋体" w:hAnsi="宋体"/>
          <w:sz w:val="24"/>
          <w:szCs w:val="24"/>
        </w:rPr>
      </w:pPr>
      <w:r>
        <w:rPr>
          <w:rFonts w:hint="eastAsia" w:ascii="宋体" w:hAnsi="宋体"/>
          <w:sz w:val="24"/>
          <w:szCs w:val="24"/>
        </w:rPr>
        <w:t>五、不向采购人或者评标委员会成员行贿以牟取中标；</w:t>
      </w:r>
    </w:p>
    <w:p>
      <w:pPr>
        <w:spacing w:line="360" w:lineRule="auto"/>
        <w:ind w:firstLine="200"/>
        <w:rPr>
          <w:rFonts w:ascii="宋体" w:hAnsi="宋体"/>
          <w:sz w:val="24"/>
          <w:szCs w:val="24"/>
        </w:rPr>
      </w:pPr>
      <w:r>
        <w:rPr>
          <w:rFonts w:hint="eastAsia" w:ascii="宋体" w:hAnsi="宋体"/>
          <w:sz w:val="24"/>
          <w:szCs w:val="24"/>
        </w:rPr>
        <w:t>六、不以他人名义投标或者以其他方式弄虚作假，骗取中标；</w:t>
      </w:r>
    </w:p>
    <w:p>
      <w:pPr>
        <w:spacing w:line="360" w:lineRule="auto"/>
        <w:ind w:firstLine="200"/>
        <w:rPr>
          <w:rFonts w:ascii="宋体" w:hAnsi="宋体"/>
          <w:sz w:val="24"/>
          <w:szCs w:val="24"/>
        </w:rPr>
      </w:pPr>
      <w:r>
        <w:rPr>
          <w:rFonts w:hint="eastAsia" w:ascii="宋体" w:hAnsi="宋体"/>
          <w:sz w:val="24"/>
          <w:szCs w:val="24"/>
        </w:rPr>
        <w:t>七、不扰乱长葛市政府采购市场秩序；</w:t>
      </w:r>
    </w:p>
    <w:p>
      <w:pPr>
        <w:spacing w:line="360" w:lineRule="auto"/>
        <w:ind w:firstLine="200"/>
        <w:rPr>
          <w:rFonts w:ascii="宋体" w:hAnsi="宋体"/>
          <w:sz w:val="24"/>
          <w:szCs w:val="24"/>
        </w:rPr>
      </w:pPr>
      <w:r>
        <w:rPr>
          <w:rFonts w:hint="eastAsia" w:ascii="宋体" w:hAnsi="宋体"/>
          <w:sz w:val="24"/>
          <w:szCs w:val="24"/>
        </w:rPr>
        <w:t>八、不在开标后进行虚假恶意投诉；</w:t>
      </w:r>
    </w:p>
    <w:p>
      <w:pPr>
        <w:spacing w:line="360" w:lineRule="auto"/>
        <w:ind w:firstLine="200"/>
        <w:rPr>
          <w:rFonts w:ascii="宋体" w:hAnsi="宋体"/>
          <w:sz w:val="24"/>
          <w:szCs w:val="24"/>
        </w:rPr>
      </w:pPr>
      <w:r>
        <w:rPr>
          <w:rFonts w:hint="eastAsia" w:ascii="宋体" w:hAnsi="宋体"/>
          <w:sz w:val="24"/>
          <w:szCs w:val="24"/>
        </w:rPr>
        <w:t>九、中标后不得将招标文件规定不予转包、分包的项目转包、分包于他人。</w:t>
      </w:r>
    </w:p>
    <w:p>
      <w:pPr>
        <w:spacing w:line="360" w:lineRule="auto"/>
        <w:ind w:firstLine="200"/>
        <w:rPr>
          <w:rFonts w:ascii="宋体" w:hAnsi="宋体" w:cs="宋体"/>
          <w:sz w:val="24"/>
          <w:szCs w:val="24"/>
        </w:rPr>
      </w:pPr>
      <w:r>
        <w:rPr>
          <w:rFonts w:hint="eastAsia" w:ascii="宋体" w:hAnsi="宋体" w:cs="宋体"/>
          <w:sz w:val="24"/>
          <w:szCs w:val="24"/>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20" w:after="120" w:line="360" w:lineRule="auto"/>
        <w:ind w:firstLine="1400"/>
        <w:rPr>
          <w:rFonts w:ascii="宋体" w:hAnsi="宋体" w:cs="宋体"/>
          <w:sz w:val="24"/>
          <w:szCs w:val="24"/>
        </w:rPr>
      </w:pPr>
      <w:r>
        <w:rPr>
          <w:rFonts w:hint="eastAsia" w:ascii="宋体" w:hAnsi="宋体" w:cs="宋体"/>
          <w:sz w:val="24"/>
          <w:szCs w:val="24"/>
        </w:rPr>
        <w:t>法定代表人或者被委托人（签字</w:t>
      </w:r>
      <w:r>
        <w:rPr>
          <w:rFonts w:ascii="宋体" w:hAnsi="宋体" w:cs="宋体"/>
          <w:sz w:val="24"/>
          <w:szCs w:val="24"/>
        </w:rPr>
        <w:t>)</w:t>
      </w:r>
      <w:r>
        <w:rPr>
          <w:rFonts w:hint="eastAsia" w:ascii="宋体" w:hAnsi="宋体" w:cs="宋体"/>
          <w:sz w:val="24"/>
          <w:szCs w:val="24"/>
        </w:rPr>
        <w:t>：</w:t>
      </w:r>
    </w:p>
    <w:p>
      <w:pPr>
        <w:spacing w:before="120" w:after="120" w:line="360" w:lineRule="auto"/>
        <w:ind w:firstLine="1400"/>
        <w:rPr>
          <w:rFonts w:ascii="宋体" w:hAnsi="宋体" w:cs="宋体"/>
          <w:sz w:val="24"/>
          <w:szCs w:val="24"/>
        </w:rPr>
      </w:pPr>
      <w:r>
        <w:rPr>
          <w:rFonts w:hint="eastAsia" w:ascii="宋体" w:hAnsi="宋体" w:cs="宋体"/>
          <w:sz w:val="24"/>
          <w:szCs w:val="24"/>
        </w:rPr>
        <w:t>投标人名称</w:t>
      </w:r>
      <w:r>
        <w:rPr>
          <w:rFonts w:ascii="宋体" w:hAnsi="宋体" w:cs="宋体"/>
          <w:sz w:val="24"/>
          <w:szCs w:val="24"/>
        </w:rPr>
        <w:t>(</w:t>
      </w:r>
      <w:r>
        <w:rPr>
          <w:rFonts w:hint="eastAsia" w:ascii="宋体" w:hAnsi="宋体" w:cs="宋体"/>
          <w:sz w:val="24"/>
          <w:szCs w:val="24"/>
        </w:rPr>
        <w:t>盖章</w:t>
      </w:r>
      <w:r>
        <w:rPr>
          <w:rFonts w:ascii="宋体" w:hAnsi="宋体" w:cs="宋体"/>
          <w:sz w:val="24"/>
          <w:szCs w:val="24"/>
        </w:rPr>
        <w:t>)</w:t>
      </w:r>
      <w:r>
        <w:rPr>
          <w:rFonts w:hint="eastAsia" w:ascii="宋体" w:hAnsi="宋体" w:cs="宋体"/>
          <w:sz w:val="24"/>
          <w:szCs w:val="24"/>
        </w:rPr>
        <w:t>：</w:t>
      </w:r>
    </w:p>
    <w:p>
      <w:pPr>
        <w:spacing w:before="120" w:after="120" w:line="360" w:lineRule="auto"/>
        <w:ind w:firstLine="1400"/>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autoSpaceDE w:val="0"/>
        <w:autoSpaceDN w:val="0"/>
        <w:spacing w:line="360" w:lineRule="auto"/>
        <w:ind w:right="-11"/>
        <w:rPr>
          <w:rFonts w:ascii="宋体" w:cs="宋体"/>
        </w:rPr>
      </w:pPr>
    </w:p>
    <w:p>
      <w:pPr>
        <w:autoSpaceDE w:val="0"/>
        <w:autoSpaceDN w:val="0"/>
        <w:spacing w:line="360" w:lineRule="auto"/>
        <w:rPr>
          <w:rFonts w:ascii="宋体" w:cs="宋体"/>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 xml:space="preserve">3.6 其他资格证书或材料 </w:t>
      </w:r>
    </w:p>
    <w:p>
      <w:pPr>
        <w:autoSpaceDE w:val="0"/>
        <w:autoSpaceDN w:val="0"/>
        <w:spacing w:line="360" w:lineRule="auto"/>
        <w:jc w:val="center"/>
        <w:rPr>
          <w:rFonts w:hAnsi="宋体" w:eastAsia="宋体"/>
          <w:b/>
          <w:sz w:val="36"/>
          <w:szCs w:val="36"/>
        </w:rPr>
      </w:pPr>
    </w:p>
    <w:p>
      <w:pPr>
        <w:autoSpaceDE w:val="0"/>
        <w:autoSpaceDN w:val="0"/>
        <w:spacing w:line="360" w:lineRule="auto"/>
        <w:jc w:val="center"/>
        <w:rPr>
          <w:rFonts w:cs="黑体" w:asciiTheme="minorEastAsia" w:hAnsiTheme="minorEastAsia"/>
          <w:b/>
          <w:sz w:val="44"/>
          <w:szCs w:val="44"/>
        </w:rPr>
      </w:pPr>
    </w:p>
    <w:p>
      <w:pPr>
        <w:autoSpaceDE w:val="0"/>
        <w:autoSpaceDN w:val="0"/>
        <w:spacing w:line="360" w:lineRule="auto"/>
        <w:jc w:val="center"/>
        <w:rPr>
          <w:rFonts w:cs="黑体" w:asciiTheme="minorEastAsia" w:hAnsiTheme="minorEastAsia"/>
          <w:b/>
          <w:sz w:val="44"/>
          <w:szCs w:val="44"/>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hint="eastAsia" w:cs="黑体" w:asciiTheme="minorEastAsia" w:hAnsiTheme="minorEastAsia"/>
          <w:b/>
          <w:sz w:val="28"/>
          <w:szCs w:val="28"/>
        </w:rPr>
      </w:pPr>
    </w:p>
    <w:p>
      <w:pPr>
        <w:autoSpaceDE w:val="0"/>
        <w:autoSpaceDN w:val="0"/>
        <w:spacing w:line="360" w:lineRule="auto"/>
        <w:jc w:val="center"/>
        <w:rPr>
          <w:rFonts w:cs="黑体" w:asciiTheme="minorEastAsia" w:hAnsiTheme="minorEastAsia"/>
          <w:b/>
          <w:sz w:val="28"/>
          <w:szCs w:val="28"/>
        </w:rPr>
      </w:pPr>
      <w:r>
        <w:rPr>
          <w:rFonts w:hint="eastAsia" w:cs="黑体" w:asciiTheme="minorEastAsia" w:hAnsiTheme="minorEastAsia"/>
          <w:b/>
          <w:sz w:val="28"/>
          <w:szCs w:val="28"/>
        </w:rPr>
        <w:t>四、符合性审查证明材料</w:t>
      </w:r>
    </w:p>
    <w:p>
      <w:pPr>
        <w:autoSpaceDE w:val="0"/>
        <w:autoSpaceDN w:val="0"/>
        <w:spacing w:line="360" w:lineRule="auto"/>
        <w:jc w:val="center"/>
        <w:rPr>
          <w:rFonts w:hAnsi="宋体" w:eastAsia="宋体"/>
          <w:b/>
          <w:sz w:val="36"/>
          <w:szCs w:val="36"/>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hint="eastAsia"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4.1 投标分项报价表（货物类项目）</w:t>
      </w:r>
    </w:p>
    <w:p>
      <w:pPr>
        <w:autoSpaceDE w:val="0"/>
        <w:autoSpaceDN w:val="0"/>
        <w:spacing w:line="360" w:lineRule="auto"/>
        <w:jc w:val="center"/>
        <w:rPr>
          <w:rFonts w:ascii="宋体" w:hAnsi="宋体"/>
          <w:b/>
          <w:color w:val="000000"/>
          <w:sz w:val="24"/>
          <w:szCs w:val="24"/>
        </w:rPr>
      </w:pPr>
    </w:p>
    <w:p>
      <w:pPr>
        <w:spacing w:before="50" w:after="120" w:line="360" w:lineRule="auto"/>
        <w:contextualSpacing/>
        <w:jc w:val="left"/>
        <w:rPr>
          <w:rFonts w:asciiTheme="minorEastAsia" w:hAnsiTheme="minorEastAsia"/>
          <w:color w:val="000000"/>
        </w:rPr>
      </w:pPr>
      <w:r>
        <w:rPr>
          <w:rFonts w:hint="eastAsia" w:asciiTheme="minorEastAsia" w:hAnsiTheme="minorEastAsia"/>
          <w:color w:val="000000"/>
        </w:rPr>
        <w:t>项目编号：</w:t>
      </w:r>
    </w:p>
    <w:p>
      <w:pPr>
        <w:autoSpaceDE w:val="0"/>
        <w:autoSpaceDN w:val="0"/>
        <w:spacing w:line="360" w:lineRule="auto"/>
        <w:rPr>
          <w:rFonts w:hAnsi="宋体" w:eastAsia="宋体"/>
          <w:b/>
        </w:rPr>
      </w:pPr>
      <w:r>
        <w:rPr>
          <w:rFonts w:hint="eastAsia" w:asciiTheme="minorEastAsia" w:hAnsiTheme="minorEastAsia"/>
          <w:color w:val="000000"/>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280" w:lineRule="exact"/>
              <w:jc w:val="center"/>
              <w:rPr>
                <w:rFonts w:cs="宋体" w:asciiTheme="minorEastAsia" w:hAnsiTheme="minorEastAsia"/>
                <w:b/>
              </w:rPr>
            </w:pPr>
            <w:r>
              <w:rPr>
                <w:rFonts w:hint="eastAsia" w:cs="宋体" w:asciiTheme="minorEastAsia" w:hAnsiTheme="minorEastAsia"/>
                <w:b/>
              </w:rPr>
              <w:t>序号</w:t>
            </w:r>
          </w:p>
        </w:tc>
        <w:tc>
          <w:tcPr>
            <w:tcW w:w="1134"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名</w:t>
            </w:r>
            <w:r>
              <w:rPr>
                <w:rFonts w:cs="宋体" w:asciiTheme="minorEastAsia" w:hAnsiTheme="minorEastAsia"/>
                <w:b/>
              </w:rPr>
              <w:t xml:space="preserve"> </w:t>
            </w:r>
            <w:r>
              <w:rPr>
                <w:rFonts w:hint="eastAsia" w:cs="宋体" w:asciiTheme="minorEastAsia" w:hAnsiTheme="minorEastAsia"/>
                <w:b/>
              </w:rPr>
              <w:t>称</w:t>
            </w:r>
          </w:p>
        </w:tc>
        <w:tc>
          <w:tcPr>
            <w:tcW w:w="150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ind w:firstLine="120"/>
              <w:rPr>
                <w:rFonts w:cs="宋体" w:asciiTheme="minorEastAsia" w:hAnsiTheme="minorEastAsia"/>
                <w:b/>
              </w:rPr>
            </w:pPr>
            <w:r>
              <w:rPr>
                <w:rFonts w:hint="eastAsia" w:cs="宋体" w:asciiTheme="minorEastAsia" w:hAnsiTheme="minorEastAsia"/>
                <w:b/>
              </w:rPr>
              <w:t>规格型号</w:t>
            </w:r>
          </w:p>
        </w:tc>
        <w:tc>
          <w:tcPr>
            <w:tcW w:w="126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技术</w:t>
            </w:r>
          </w:p>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参数</w:t>
            </w:r>
          </w:p>
        </w:tc>
        <w:tc>
          <w:tcPr>
            <w:tcW w:w="642"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单</w:t>
            </w:r>
            <w:r>
              <w:rPr>
                <w:rFonts w:cs="宋体" w:asciiTheme="minorEastAsia" w:hAnsiTheme="minorEastAsia"/>
                <w:b/>
              </w:rPr>
              <w:t xml:space="preserve"> </w:t>
            </w:r>
            <w:r>
              <w:rPr>
                <w:rFonts w:hint="eastAsia" w:cs="宋体" w:asciiTheme="minorEastAsia" w:hAnsiTheme="minorEastAsia"/>
                <w:b/>
              </w:rPr>
              <w:t>位</w:t>
            </w:r>
          </w:p>
        </w:tc>
        <w:tc>
          <w:tcPr>
            <w:tcW w:w="992"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数</w:t>
            </w:r>
            <w:r>
              <w:rPr>
                <w:rFonts w:cs="宋体" w:asciiTheme="minorEastAsia" w:hAnsiTheme="minorEastAsia"/>
                <w:b/>
              </w:rPr>
              <w:t xml:space="preserve"> </w:t>
            </w:r>
            <w:r>
              <w:rPr>
                <w:rFonts w:hint="eastAsia" w:cs="宋体" w:asciiTheme="minorEastAsia" w:hAnsiTheme="minorEastAsia"/>
                <w:b/>
              </w:rPr>
              <w:t>量</w:t>
            </w:r>
          </w:p>
        </w:tc>
        <w:tc>
          <w:tcPr>
            <w:tcW w:w="1066"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jc w:val="center"/>
              <w:rPr>
                <w:rFonts w:cs="宋体" w:asciiTheme="minorEastAsia" w:hAnsiTheme="minorEastAsia"/>
                <w:b/>
              </w:rPr>
            </w:pPr>
            <w:r>
              <w:rPr>
                <w:rFonts w:hint="eastAsia" w:cs="宋体" w:asciiTheme="minorEastAsia" w:hAnsiTheme="minorEastAsia"/>
                <w:b/>
              </w:rPr>
              <w:t>单价</w:t>
            </w:r>
          </w:p>
        </w:tc>
        <w:tc>
          <w:tcPr>
            <w:tcW w:w="108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ind w:firstLine="120"/>
              <w:rPr>
                <w:rFonts w:cs="宋体" w:asciiTheme="minorEastAsia" w:hAnsiTheme="minorEastAsia"/>
                <w:b/>
              </w:rPr>
            </w:pPr>
            <w:r>
              <w:rPr>
                <w:rFonts w:hint="eastAsia" w:cs="宋体" w:asciiTheme="minorEastAsia" w:hAnsiTheme="minorEastAsia"/>
                <w:b/>
              </w:rPr>
              <w:t>总价</w:t>
            </w:r>
          </w:p>
        </w:tc>
        <w:tc>
          <w:tcPr>
            <w:tcW w:w="1192"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autoSpaceDE w:val="0"/>
              <w:autoSpaceDN w:val="0"/>
              <w:spacing w:line="360" w:lineRule="auto"/>
              <w:ind w:left="120" w:hanging="120"/>
              <w:jc w:val="center"/>
              <w:rPr>
                <w:rFonts w:cs="宋体" w:asciiTheme="minorEastAsia" w:hAnsiTheme="minorEastAsia"/>
                <w:b/>
              </w:rPr>
            </w:pPr>
            <w:r>
              <w:rPr>
                <w:rFonts w:hint="eastAsia" w:cs="宋体" w:asciiTheme="minorEastAsia" w:hAnsiTheme="minorEastAsia"/>
                <w:b/>
              </w:rPr>
              <w:t>产地及</w:t>
            </w:r>
          </w:p>
          <w:p>
            <w:pPr>
              <w:autoSpaceDE w:val="0"/>
              <w:autoSpaceDN w:val="0"/>
              <w:spacing w:line="360" w:lineRule="auto"/>
              <w:ind w:left="120" w:hanging="120"/>
              <w:jc w:val="center"/>
              <w:rPr>
                <w:rFonts w:cs="宋体" w:asciiTheme="minorEastAsia" w:hAnsiTheme="minorEastAsia"/>
                <w:b/>
              </w:rPr>
            </w:pPr>
            <w:r>
              <w:rPr>
                <w:rFonts w:hint="eastAsia" w:cs="宋体" w:asciiTheme="minorEastAsia" w:hAnsiTheme="minorEastAsia"/>
                <w:b/>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rPr>
            </w:pPr>
            <w:r>
              <w:rPr>
                <w:rFonts w:hint="eastAsia" w:asciiTheme="minorEastAsia" w:hAnsiTheme="minorEastAsia"/>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rPr>
            </w:pPr>
            <w:r>
              <w:rPr>
                <w:rFonts w:hint="eastAsia" w:asciiTheme="minorEastAsia" w:hAnsiTheme="minorEastAsia"/>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heme="minorEastAsia" w:hAnsiTheme="minorEastAsia"/>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heme="minorEastAsia" w:hAnsiTheme="minorEastAsia"/>
              </w:rPr>
            </w:pPr>
            <w:r>
              <w:rPr>
                <w:rFonts w:hint="eastAsia" w:cs="宋体" w:asciiTheme="minorEastAsia" w:hAnsiTheme="minorEastAsia"/>
              </w:rPr>
              <w:t>合</w:t>
            </w:r>
            <w:r>
              <w:rPr>
                <w:rFonts w:asciiTheme="minorEastAsia" w:hAnsiTheme="minorEastAsia"/>
              </w:rPr>
              <w:t xml:space="preserve">  </w:t>
            </w:r>
            <w:r>
              <w:rPr>
                <w:rFonts w:hint="eastAsia" w:cs="宋体" w:asciiTheme="minorEastAsia" w:hAnsiTheme="minorEastAsia"/>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ind w:firstLine="50"/>
              <w:rPr>
                <w:rFonts w:cs="宋体" w:asciiTheme="minorEastAsia" w:hAnsiTheme="minorEastAsia"/>
              </w:rPr>
            </w:pPr>
            <w:r>
              <w:rPr>
                <w:rFonts w:hint="eastAsia" w:cs="宋体" w:asciiTheme="minorEastAsia" w:hAnsiTheme="minorEastAsia"/>
              </w:rPr>
              <w:t>大写：　　　　　　</w:t>
            </w:r>
            <w:r>
              <w:rPr>
                <w:rFonts w:asciiTheme="minorEastAsia" w:hAnsiTheme="minorEastAsia"/>
              </w:rPr>
              <w:t xml:space="preserve">              </w:t>
            </w:r>
            <w:r>
              <w:rPr>
                <w:rFonts w:hint="eastAsia" w:cs="宋体" w:asciiTheme="minorEastAsia" w:hAnsiTheme="minorEastAsia"/>
              </w:rPr>
              <w:t>小写：</w:t>
            </w:r>
          </w:p>
        </w:tc>
      </w:tr>
    </w:tbl>
    <w:p>
      <w:pPr>
        <w:autoSpaceDE w:val="0"/>
        <w:autoSpaceDN w:val="0"/>
        <w:spacing w:line="480" w:lineRule="auto"/>
        <w:rPr>
          <w:rFonts w:cs="宋体" w:asciiTheme="minorEastAsia" w:hAnsiTheme="minorEastAsia"/>
        </w:rPr>
      </w:pPr>
      <w:r>
        <w:rPr>
          <w:rFonts w:hint="eastAsia" w:cs="宋体" w:asciiTheme="minorEastAsia" w:hAnsiTheme="minorEastAsia"/>
        </w:rPr>
        <w:t>投标人（公章）：</w:t>
      </w:r>
    </w:p>
    <w:p>
      <w:pPr>
        <w:autoSpaceDE w:val="0"/>
        <w:autoSpaceDN w:val="0"/>
        <w:spacing w:line="480" w:lineRule="auto"/>
        <w:rPr>
          <w:rFonts w:cs="宋体" w:asciiTheme="minorEastAsia" w:hAnsiTheme="minorEastAsia"/>
        </w:rPr>
      </w:pPr>
      <w:r>
        <w:rPr>
          <w:rFonts w:hint="eastAsia" w:cs="宋体" w:asciiTheme="minorEastAsia" w:hAnsiTheme="minorEastAsia"/>
        </w:rPr>
        <w:t>投标人法定代表人（单位负责人）或授权代表签字：</w:t>
      </w:r>
    </w:p>
    <w:p/>
    <w:p>
      <w:pPr>
        <w:pStyle w:val="2"/>
      </w:pPr>
    </w:p>
    <w:p/>
    <w:p>
      <w:pPr>
        <w:pStyle w:val="2"/>
      </w:pPr>
    </w:p>
    <w:p/>
    <w:p>
      <w:pPr>
        <w:pStyle w:val="2"/>
      </w:pPr>
    </w:p>
    <w:p/>
    <w:p>
      <w:pPr>
        <w:pStyle w:val="2"/>
      </w:pPr>
    </w:p>
    <w:p/>
    <w:p>
      <w:pPr>
        <w:pStyle w:val="2"/>
      </w:pPr>
    </w:p>
    <w:p/>
    <w:p>
      <w:pPr>
        <w:spacing w:line="300" w:lineRule="exact"/>
        <w:rPr>
          <w:rFonts w:asciiTheme="minorEastAsia" w:hAnsiTheme="minorEastAsia"/>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4.2 技术规格偏离表（货物类项目）</w:t>
      </w:r>
    </w:p>
    <w:p>
      <w:pPr>
        <w:spacing w:before="50" w:after="120" w:line="360" w:lineRule="auto"/>
        <w:contextualSpacing/>
        <w:jc w:val="left"/>
        <w:rPr>
          <w:rFonts w:asciiTheme="minorEastAsia" w:hAnsiTheme="minorEastAsia"/>
          <w:color w:val="000000"/>
        </w:rPr>
      </w:pPr>
      <w:r>
        <w:rPr>
          <w:rFonts w:hint="eastAsia" w:asciiTheme="minorEastAsia" w:hAnsiTheme="minorEastAsia"/>
          <w:color w:val="000000"/>
        </w:rPr>
        <w:t>项目编号：</w:t>
      </w:r>
    </w:p>
    <w:p>
      <w:pPr>
        <w:autoSpaceDE w:val="0"/>
        <w:autoSpaceDN w:val="0"/>
        <w:spacing w:line="360" w:lineRule="auto"/>
        <w:rPr>
          <w:rFonts w:hAnsi="宋体" w:eastAsia="宋体"/>
          <w:b/>
        </w:rPr>
      </w:pPr>
      <w:r>
        <w:rPr>
          <w:rFonts w:hint="eastAsia" w:asciiTheme="minorEastAsia" w:hAnsiTheme="minorEastAsia"/>
          <w:color w:val="000000"/>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货物服务</w:t>
            </w:r>
          </w:p>
          <w:p>
            <w:pPr>
              <w:pStyle w:val="9"/>
              <w:jc w:val="center"/>
              <w:rPr>
                <w:rFonts w:ascii="宋体" w:hAnsi="宋体" w:eastAsia="宋体" w:cs="宋体"/>
                <w:b/>
                <w:sz w:val="21"/>
                <w:szCs w:val="21"/>
              </w:rPr>
            </w:pPr>
            <w:r>
              <w:rPr>
                <w:rFonts w:hint="eastAsia" w:ascii="宋体" w:hAnsi="宋体" w:eastAsia="宋体" w:cs="宋体"/>
                <w:b/>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招标文件</w:t>
            </w:r>
          </w:p>
          <w:p>
            <w:pPr>
              <w:pStyle w:val="9"/>
              <w:jc w:val="center"/>
              <w:rPr>
                <w:rFonts w:ascii="宋体" w:hAnsi="宋体" w:eastAsia="宋体" w:cs="宋体"/>
                <w:b/>
                <w:sz w:val="21"/>
                <w:szCs w:val="21"/>
              </w:rPr>
            </w:pPr>
            <w:r>
              <w:rPr>
                <w:rFonts w:hint="eastAsia" w:ascii="宋体" w:hAnsi="宋体" w:eastAsia="宋体" w:cs="宋体"/>
                <w:b/>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投标技术</w:t>
            </w:r>
          </w:p>
          <w:p>
            <w:pPr>
              <w:pStyle w:val="9"/>
              <w:jc w:val="center"/>
              <w:rPr>
                <w:rFonts w:ascii="宋体" w:hAnsi="宋体" w:eastAsia="宋体" w:cs="宋体"/>
                <w:b/>
                <w:sz w:val="21"/>
                <w:szCs w:val="21"/>
              </w:rPr>
            </w:pPr>
            <w:r>
              <w:rPr>
                <w:rFonts w:hint="eastAsia" w:ascii="宋体" w:hAnsi="宋体" w:eastAsia="宋体" w:cs="宋体"/>
                <w:b/>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偏离</w:t>
            </w:r>
          </w:p>
          <w:p>
            <w:pPr>
              <w:jc w:val="center"/>
              <w:rPr>
                <w:rFonts w:ascii="宋体" w:hAnsi="宋体" w:eastAsia="宋体" w:cs="宋体"/>
                <w:b/>
              </w:rPr>
            </w:pPr>
            <w:r>
              <w:rPr>
                <w:rFonts w:hint="eastAsia" w:ascii="宋体" w:hAnsi="宋体" w:eastAsia="宋体" w:cs="宋体"/>
                <w:b/>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000000" w:fill="F1F1F1" w:themeFill="background1" w:themeFillShade="F2"/>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偏离内容</w:t>
            </w:r>
          </w:p>
          <w:p>
            <w:pPr>
              <w:pStyle w:val="9"/>
              <w:jc w:val="center"/>
              <w:rPr>
                <w:rFonts w:ascii="宋体" w:hAnsi="宋体" w:eastAsia="宋体" w:cs="宋体"/>
                <w:b/>
                <w:sz w:val="21"/>
                <w:szCs w:val="21"/>
              </w:rPr>
            </w:pPr>
            <w:r>
              <w:rPr>
                <w:rFonts w:hint="eastAsia" w:ascii="宋体" w:hAnsi="宋体" w:eastAsia="宋体" w:cs="宋体"/>
                <w:b/>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rPr>
            </w:pPr>
            <w:r>
              <w:rPr>
                <w:rFonts w:hint="eastAsia" w:asciiTheme="minorEastAsia" w:hAnsiTheme="minorEastAsia"/>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b/>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rPr>
            </w:pPr>
            <w:r>
              <w:rPr>
                <w:rFonts w:hint="eastAsia" w:asciiTheme="minorEastAsia" w:hAnsiTheme="minorEastAsia"/>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rPr>
                <w:rFonts w:asciiTheme="minorEastAsia" w:hAnsiTheme="minorEastAsia"/>
                <w:b/>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Theme="minorEastAsia" w:hAnsiTheme="minorEastAsia"/>
                <w:b/>
              </w:rPr>
            </w:pPr>
          </w:p>
        </w:tc>
      </w:tr>
    </w:tbl>
    <w:p>
      <w:pPr>
        <w:autoSpaceDE w:val="0"/>
        <w:autoSpaceDN w:val="0"/>
        <w:spacing w:line="480" w:lineRule="auto"/>
        <w:rPr>
          <w:rFonts w:cs="宋体" w:asciiTheme="minorEastAsia" w:hAnsiTheme="minorEastAsia"/>
        </w:rPr>
      </w:pPr>
      <w:r>
        <w:rPr>
          <w:rFonts w:hint="eastAsia" w:cs="宋体" w:asciiTheme="minorEastAsia" w:hAnsiTheme="minorEastAsia"/>
        </w:rPr>
        <w:t>投标人（公章）：</w:t>
      </w:r>
    </w:p>
    <w:p>
      <w:pPr>
        <w:autoSpaceDE w:val="0"/>
        <w:autoSpaceDN w:val="0"/>
        <w:spacing w:line="480" w:lineRule="auto"/>
        <w:rPr>
          <w:rFonts w:cs="宋体" w:asciiTheme="minorEastAsia" w:hAnsiTheme="minorEastAsia"/>
        </w:rPr>
      </w:pPr>
      <w:r>
        <w:rPr>
          <w:rFonts w:hint="eastAsia" w:cs="宋体" w:asciiTheme="minorEastAsia" w:hAnsiTheme="minorEastAsia"/>
        </w:rPr>
        <w:t>投标人法定代表人（单位负责人）或授权代表签字：</w:t>
      </w:r>
      <w:r>
        <w:rPr>
          <w:rFonts w:cs="宋体" w:asciiTheme="minorEastAsia" w:hAnsiTheme="minorEastAsia"/>
        </w:rPr>
        <w:t xml:space="preserve"> </w:t>
      </w:r>
    </w:p>
    <w:p>
      <w:pPr>
        <w:autoSpaceDE w:val="0"/>
        <w:autoSpaceDN w:val="0"/>
        <w:spacing w:line="480" w:lineRule="auto"/>
        <w:rPr>
          <w:rFonts w:cs="宋体" w:asciiTheme="minorEastAsia" w:hAnsiTheme="minorEastAsia"/>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4.3 技术方案（实施方案）</w:t>
      </w:r>
    </w:p>
    <w:p>
      <w:pPr>
        <w:snapToGrid w:val="0"/>
        <w:spacing w:line="360" w:lineRule="auto"/>
        <w:jc w:val="center"/>
        <w:rPr>
          <w:rFonts w:hAnsi="宋体" w:eastAsia="宋体"/>
          <w:b/>
          <w:sz w:val="36"/>
          <w:szCs w:val="36"/>
        </w:rPr>
      </w:pPr>
    </w:p>
    <w:p>
      <w:pPr>
        <w:autoSpaceDE w:val="0"/>
        <w:autoSpaceDN w:val="0"/>
        <w:spacing w:line="360" w:lineRule="auto"/>
        <w:jc w:val="center"/>
        <w:rPr>
          <w:rFonts w:cs="宋体" w:asciiTheme="minorEastAsia" w:hAnsiTheme="minorEastAsia"/>
        </w:rPr>
      </w:pPr>
      <w:r>
        <w:rPr>
          <w:rFonts w:hint="eastAsia" w:cs="宋体" w:asciiTheme="minorEastAsia" w:hAnsiTheme="minorEastAsia"/>
        </w:rPr>
        <w:t>（投标人根据招标文件要求自行编制）</w:t>
      </w:r>
    </w:p>
    <w:p>
      <w:pPr>
        <w:snapToGrid w:val="0"/>
        <w:spacing w:line="360" w:lineRule="auto"/>
        <w:jc w:val="center"/>
        <w:rPr>
          <w:rFonts w:hAnsi="宋体" w:eastAsia="宋体"/>
          <w:b/>
          <w:sz w:val="36"/>
          <w:szCs w:val="36"/>
        </w:rPr>
      </w:pPr>
    </w:p>
    <w:p>
      <w:pPr>
        <w:snapToGrid w:val="0"/>
        <w:spacing w:line="360" w:lineRule="auto"/>
        <w:jc w:val="center"/>
        <w:rPr>
          <w:rFonts w:hAnsi="宋体" w:eastAsia="宋体"/>
          <w:b/>
          <w:sz w:val="36"/>
          <w:szCs w:val="36"/>
        </w:rPr>
      </w:pPr>
    </w:p>
    <w:p>
      <w:pPr>
        <w:snapToGrid w:val="0"/>
        <w:spacing w:line="360" w:lineRule="auto"/>
        <w:jc w:val="center"/>
        <w:rPr>
          <w:rFonts w:hAnsi="宋体" w:eastAsia="宋体"/>
          <w:b/>
          <w:sz w:val="36"/>
          <w:szCs w:val="36"/>
        </w:rPr>
      </w:pPr>
    </w:p>
    <w:p>
      <w:pPr>
        <w:pStyle w:val="2"/>
      </w:pPr>
    </w:p>
    <w:p>
      <w:pPr>
        <w:snapToGrid w:val="0"/>
        <w:spacing w:line="360" w:lineRule="auto"/>
        <w:jc w:val="center"/>
        <w:rPr>
          <w:rFonts w:hAnsi="宋体" w:eastAsia="宋体"/>
          <w:b/>
          <w:sz w:val="36"/>
          <w:szCs w:val="36"/>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4.4 业绩情况表</w:t>
      </w:r>
    </w:p>
    <w:p>
      <w:pPr>
        <w:autoSpaceDE w:val="0"/>
        <w:autoSpaceDN w:val="0"/>
        <w:spacing w:line="360" w:lineRule="auto"/>
        <w:jc w:val="center"/>
        <w:rPr>
          <w:rFonts w:ascii="宋体" w:hAnsi="宋体"/>
          <w:b/>
          <w:color w:val="000000"/>
          <w:sz w:val="28"/>
          <w:szCs w:val="28"/>
        </w:rPr>
      </w:pPr>
    </w:p>
    <w:p>
      <w:pPr>
        <w:spacing w:before="50" w:after="120" w:line="360" w:lineRule="auto"/>
        <w:contextualSpacing/>
        <w:jc w:val="left"/>
        <w:rPr>
          <w:rFonts w:asciiTheme="minorEastAsia" w:hAnsiTheme="minorEastAsia"/>
          <w:color w:val="000000"/>
        </w:rPr>
      </w:pPr>
      <w:r>
        <w:rPr>
          <w:rFonts w:hint="eastAsia" w:asciiTheme="minorEastAsia" w:hAnsiTheme="minorEastAsia"/>
          <w:color w:val="000000"/>
        </w:rPr>
        <w:t>项目编号：</w:t>
      </w:r>
    </w:p>
    <w:p>
      <w:pPr>
        <w:snapToGrid w:val="0"/>
        <w:spacing w:line="360" w:lineRule="auto"/>
        <w:rPr>
          <w:rFonts w:hAnsi="宋体" w:eastAsia="宋体"/>
          <w:b/>
        </w:rPr>
      </w:pPr>
      <w:r>
        <w:rPr>
          <w:rFonts w:hint="eastAsia" w:asciiTheme="minorEastAsia" w:hAnsiTheme="minorEastAsia"/>
          <w:color w:val="000000"/>
        </w:rPr>
        <w:t xml:space="preserve">项目名称：   </w:t>
      </w:r>
    </w:p>
    <w:tbl>
      <w:tblPr>
        <w:tblStyle w:val="22"/>
        <w:tblW w:w="92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712" w:type="dxa"/>
            <w:shd w:val="clear" w:color="000000" w:fill="F3F3F3"/>
            <w:vAlign w:val="center"/>
          </w:tcPr>
          <w:p>
            <w:pPr>
              <w:pStyle w:val="9"/>
              <w:jc w:val="center"/>
              <w:rPr>
                <w:rFonts w:ascii="宋体" w:hAnsi="宋体" w:eastAsia="宋体" w:cs="Times New Roman"/>
                <w:b/>
                <w:sz w:val="21"/>
                <w:szCs w:val="21"/>
              </w:rPr>
            </w:pPr>
            <w:r>
              <w:rPr>
                <w:rFonts w:hint="eastAsia" w:ascii="宋体" w:hAnsi="宋体" w:eastAsia="宋体" w:cs="宋体"/>
                <w:b/>
                <w:sz w:val="21"/>
                <w:szCs w:val="21"/>
              </w:rPr>
              <w:t>序号</w:t>
            </w:r>
          </w:p>
        </w:tc>
        <w:tc>
          <w:tcPr>
            <w:tcW w:w="1808" w:type="dxa"/>
            <w:shd w:val="clear" w:color="000000" w:fill="F3F3F3"/>
            <w:vAlign w:val="center"/>
          </w:tcPr>
          <w:p>
            <w:pPr>
              <w:pStyle w:val="9"/>
              <w:jc w:val="center"/>
              <w:rPr>
                <w:rFonts w:ascii="宋体" w:hAnsi="宋体" w:eastAsia="宋体" w:cs="Times New Roman"/>
                <w:b/>
                <w:sz w:val="21"/>
                <w:szCs w:val="21"/>
              </w:rPr>
            </w:pPr>
            <w:r>
              <w:rPr>
                <w:rFonts w:hint="eastAsia" w:ascii="宋体" w:hAnsi="宋体" w:eastAsia="宋体" w:cs="宋体"/>
                <w:b/>
                <w:sz w:val="21"/>
                <w:szCs w:val="21"/>
              </w:rPr>
              <w:t>客户单位名称</w:t>
            </w:r>
          </w:p>
        </w:tc>
        <w:tc>
          <w:tcPr>
            <w:tcW w:w="3579" w:type="dxa"/>
            <w:shd w:val="clear" w:color="000000" w:fill="F3F3F3"/>
            <w:vAlign w:val="center"/>
          </w:tcPr>
          <w:p>
            <w:pPr>
              <w:pStyle w:val="9"/>
              <w:jc w:val="center"/>
              <w:rPr>
                <w:rFonts w:ascii="宋体" w:hAnsi="宋体" w:eastAsia="宋体" w:cs="Times New Roman"/>
                <w:b/>
                <w:sz w:val="21"/>
                <w:szCs w:val="21"/>
              </w:rPr>
            </w:pPr>
            <w:r>
              <w:rPr>
                <w:rFonts w:hint="eastAsia" w:ascii="宋体" w:hAnsi="宋体" w:eastAsia="宋体" w:cs="宋体"/>
                <w:b/>
                <w:sz w:val="21"/>
                <w:szCs w:val="21"/>
              </w:rPr>
              <w:t>项目名称及主要内容</w:t>
            </w:r>
          </w:p>
        </w:tc>
        <w:tc>
          <w:tcPr>
            <w:tcW w:w="1440" w:type="dxa"/>
            <w:shd w:val="clear" w:color="000000" w:fill="F3F3F3"/>
            <w:vAlign w:val="center"/>
          </w:tcPr>
          <w:p>
            <w:pPr>
              <w:pStyle w:val="9"/>
              <w:jc w:val="center"/>
              <w:rPr>
                <w:rFonts w:ascii="宋体" w:hAnsi="宋体" w:eastAsia="宋体" w:cs="宋体"/>
                <w:b/>
                <w:sz w:val="21"/>
                <w:szCs w:val="21"/>
              </w:rPr>
            </w:pPr>
            <w:r>
              <w:rPr>
                <w:rFonts w:hint="eastAsia" w:ascii="宋体" w:hAnsi="宋体" w:eastAsia="宋体" w:cs="宋体"/>
                <w:b/>
                <w:sz w:val="21"/>
                <w:szCs w:val="21"/>
              </w:rPr>
              <w:t>合同金额</w:t>
            </w:r>
          </w:p>
          <w:p>
            <w:pPr>
              <w:pStyle w:val="9"/>
              <w:jc w:val="center"/>
              <w:rPr>
                <w:rFonts w:ascii="宋体" w:hAnsi="宋体" w:eastAsia="宋体" w:cs="Times New Roman"/>
                <w:b/>
                <w:sz w:val="21"/>
                <w:szCs w:val="21"/>
              </w:rPr>
            </w:pPr>
            <w:r>
              <w:rPr>
                <w:rFonts w:hint="eastAsia" w:ascii="宋体" w:hAnsi="宋体" w:eastAsia="宋体" w:cs="宋体"/>
                <w:b/>
                <w:sz w:val="21"/>
                <w:szCs w:val="21"/>
              </w:rPr>
              <w:t>（万元）</w:t>
            </w:r>
          </w:p>
        </w:tc>
        <w:tc>
          <w:tcPr>
            <w:tcW w:w="1706" w:type="dxa"/>
            <w:shd w:val="clear" w:color="000000" w:fill="F3F3F3"/>
            <w:vAlign w:val="center"/>
          </w:tcPr>
          <w:p>
            <w:pPr>
              <w:pStyle w:val="9"/>
              <w:jc w:val="center"/>
              <w:rPr>
                <w:rFonts w:ascii="宋体" w:hAnsi="宋体" w:eastAsia="宋体" w:cs="Times New Roman"/>
                <w:b/>
                <w:sz w:val="21"/>
                <w:szCs w:val="21"/>
              </w:rPr>
            </w:pPr>
            <w:r>
              <w:rPr>
                <w:rFonts w:hint="eastAsia" w:ascii="宋体" w:hAnsi="宋体" w:eastAsia="宋体" w:cs="宋体"/>
                <w:b/>
                <w:sz w:val="21"/>
                <w:szCs w:val="21"/>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spacing w:line="480" w:lineRule="auto"/>
        <w:rPr>
          <w:rFonts w:cs="宋体" w:asciiTheme="minorEastAsia" w:hAnsiTheme="minorEastAsia"/>
        </w:rPr>
      </w:pPr>
      <w:r>
        <w:rPr>
          <w:rFonts w:hint="eastAsia" w:cs="宋体" w:asciiTheme="minorEastAsia" w:hAnsiTheme="minorEastAsia"/>
        </w:rPr>
        <w:t>投标人（公章）：</w:t>
      </w:r>
    </w:p>
    <w:p>
      <w:pPr>
        <w:autoSpaceDE w:val="0"/>
        <w:autoSpaceDN w:val="0"/>
        <w:spacing w:line="480" w:lineRule="auto"/>
        <w:rPr>
          <w:rFonts w:cs="宋体" w:asciiTheme="minorEastAsia" w:hAnsiTheme="minorEastAsia"/>
        </w:rPr>
      </w:pPr>
      <w:r>
        <w:rPr>
          <w:rFonts w:hint="eastAsia" w:cs="宋体" w:asciiTheme="minorEastAsia" w:hAnsiTheme="minorEastAsia"/>
        </w:rPr>
        <w:t>投标人法定代表人（单位负责人）或授权代表签字：</w:t>
      </w:r>
      <w:r>
        <w:rPr>
          <w:rFonts w:cs="宋体" w:asciiTheme="minorEastAsia" w:hAnsiTheme="minorEastAsia"/>
        </w:rPr>
        <w:t xml:space="preserve"> </w:t>
      </w:r>
    </w:p>
    <w:p>
      <w:pPr>
        <w:autoSpaceDE w:val="0"/>
        <w:autoSpaceDN w:val="0"/>
        <w:spacing w:line="480" w:lineRule="auto"/>
        <w:rPr>
          <w:rFonts w:cs="宋体" w:asciiTheme="minorEastAsia" w:hAnsiTheme="minorEastAsia"/>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4.5 售后服务方案</w:t>
      </w:r>
    </w:p>
    <w:p>
      <w:pPr>
        <w:autoSpaceDE w:val="0"/>
        <w:autoSpaceDN w:val="0"/>
        <w:spacing w:line="360" w:lineRule="auto"/>
        <w:jc w:val="center"/>
        <w:rPr>
          <w:rFonts w:ascii="宋体" w:hAnsi="宋体"/>
          <w:b/>
          <w:color w:val="000000"/>
          <w:sz w:val="36"/>
          <w:szCs w:val="36"/>
        </w:rPr>
      </w:pPr>
    </w:p>
    <w:p>
      <w:pPr>
        <w:autoSpaceDE w:val="0"/>
        <w:autoSpaceDN w:val="0"/>
        <w:spacing w:line="360" w:lineRule="auto"/>
        <w:jc w:val="center"/>
        <w:rPr>
          <w:rFonts w:cs="宋体" w:asciiTheme="minorEastAsia" w:hAnsiTheme="minorEastAsia"/>
        </w:rPr>
      </w:pPr>
      <w:r>
        <w:rPr>
          <w:rFonts w:hint="eastAsia" w:cs="宋体" w:asciiTheme="minorEastAsia" w:hAnsiTheme="minorEastAsia"/>
        </w:rPr>
        <w:t>（投标人根据招标文件要求自行编制）</w:t>
      </w:r>
    </w:p>
    <w:p>
      <w:pPr>
        <w:autoSpaceDE w:val="0"/>
        <w:autoSpaceDN w:val="0"/>
        <w:spacing w:line="360" w:lineRule="auto"/>
        <w:jc w:val="center"/>
        <w:rPr>
          <w:rFonts w:ascii="宋体" w:hAnsi="宋体"/>
          <w:b/>
          <w:color w:val="000000"/>
          <w:sz w:val="36"/>
          <w:szCs w:val="36"/>
        </w:rPr>
      </w:pPr>
    </w:p>
    <w:p>
      <w:pPr>
        <w:autoSpaceDE w:val="0"/>
        <w:autoSpaceDN w:val="0"/>
        <w:spacing w:line="360" w:lineRule="auto"/>
        <w:jc w:val="center"/>
        <w:rPr>
          <w:rFonts w:ascii="宋体" w:hAnsi="宋体"/>
          <w:b/>
          <w:color w:val="000000"/>
          <w:sz w:val="36"/>
          <w:szCs w:val="36"/>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4.6 中小企业声明函</w:t>
      </w:r>
    </w:p>
    <w:p>
      <w:pPr>
        <w:spacing w:line="360" w:lineRule="auto"/>
        <w:jc w:val="center"/>
        <w:rPr>
          <w:rFonts w:ascii="宋体" w:hAnsi="宋体"/>
          <w:b/>
          <w:color w:val="000000"/>
        </w:rPr>
      </w:pPr>
    </w:p>
    <w:p>
      <w:pPr>
        <w:spacing w:before="100" w:beforeAutospacing="1" w:after="100" w:afterAutospacing="1" w:line="360" w:lineRule="auto"/>
        <w:ind w:firstLine="420"/>
        <w:contextualSpacing/>
        <w:jc w:val="left"/>
        <w:rPr>
          <w:rFonts w:ascii="宋体" w:hAnsi="宋体" w:cs="Arial"/>
          <w:color w:val="000000"/>
        </w:rPr>
      </w:pPr>
      <w:r>
        <w:rPr>
          <w:rFonts w:hint="eastAsia" w:ascii="宋体" w:hAnsi="宋体" w:cs="Arial"/>
          <w:color w:val="000000"/>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rPr>
        <w:br w:type="textWrapping" w:clear="all"/>
      </w:r>
      <w:r>
        <w:rPr>
          <w:rFonts w:hint="eastAsia" w:ascii="宋体" w:hAnsi="宋体" w:cs="Arial"/>
          <w:color w:val="000000"/>
        </w:rPr>
        <w:t>　　根据《工业和信息化部、国家统计局、国家发展和改革委员会、财政部关于印发中小企业划型标准规定的通知》（工信部联企业[2011]300号）规定的划分标准，</w:t>
      </w:r>
      <w:r>
        <w:rPr>
          <w:rFonts w:hint="eastAsia"/>
          <w:color w:val="000000"/>
        </w:rPr>
        <w:t>按照《国家统计局关于印发统计上大中小微型企业划分办法的通知》（国统字</w:t>
      </w:r>
      <w:r>
        <w:rPr>
          <w:color w:val="000000"/>
        </w:rPr>
        <w:t>[2011] 75</w:t>
      </w:r>
      <w:r>
        <w:rPr>
          <w:rFonts w:hint="eastAsia"/>
          <w:color w:val="000000"/>
        </w:rPr>
        <w:t>号）规定，本公司所属行业为</w:t>
      </w:r>
      <w:r>
        <w:rPr>
          <w:color w:val="000000"/>
        </w:rPr>
        <w:t>______</w:t>
      </w:r>
      <w:r>
        <w:rPr>
          <w:rFonts w:hint="eastAsia"/>
          <w:color w:val="000000"/>
        </w:rPr>
        <w:t>，截至上一财年末，公司资产总额</w:t>
      </w:r>
      <w:r>
        <w:rPr>
          <w:color w:val="000000"/>
        </w:rPr>
        <w:t>______</w:t>
      </w:r>
      <w:r>
        <w:rPr>
          <w:rFonts w:hint="eastAsia"/>
          <w:color w:val="000000"/>
        </w:rPr>
        <w:t>万元，营业收入</w:t>
      </w:r>
      <w:r>
        <w:rPr>
          <w:color w:val="000000"/>
        </w:rPr>
        <w:t>______</w:t>
      </w:r>
      <w:r>
        <w:rPr>
          <w:rFonts w:hint="eastAsia"/>
          <w:color w:val="000000"/>
        </w:rPr>
        <w:t>万元，从业人员</w:t>
      </w:r>
      <w:r>
        <w:rPr>
          <w:color w:val="000000"/>
        </w:rPr>
        <w:t>______</w:t>
      </w:r>
      <w:r>
        <w:rPr>
          <w:rFonts w:hint="eastAsia"/>
          <w:color w:val="000000"/>
        </w:rPr>
        <w:t>人，</w:t>
      </w:r>
      <w:r>
        <w:rPr>
          <w:rFonts w:hint="eastAsia" w:ascii="宋体" w:hAnsi="宋体" w:cs="Arial"/>
          <w:color w:val="000000"/>
        </w:rPr>
        <w:t>本公司为______（请填写：中型、小型、微型）企业。　　</w:t>
      </w:r>
    </w:p>
    <w:p>
      <w:pPr>
        <w:spacing w:before="100" w:beforeAutospacing="1" w:after="100" w:afterAutospacing="1" w:line="360" w:lineRule="auto"/>
        <w:ind w:firstLine="420"/>
        <w:contextualSpacing/>
        <w:jc w:val="left"/>
        <w:rPr>
          <w:rFonts w:ascii="宋体" w:hAnsi="宋体" w:cs="Arial"/>
          <w:color w:val="000000"/>
        </w:rPr>
      </w:pPr>
      <w:r>
        <w:rPr>
          <w:rFonts w:hint="eastAsia" w:ascii="宋体" w:hAnsi="宋体" w:cs="Arial"/>
          <w:color w:val="000000"/>
        </w:rPr>
        <w:t>本公司对上述声明的真实性负责。如有虚假，将依法承担相应责任。</w:t>
      </w:r>
    </w:p>
    <w:p>
      <w:pPr>
        <w:spacing w:before="100" w:beforeAutospacing="1" w:after="100" w:afterAutospacing="1" w:line="360" w:lineRule="auto"/>
        <w:ind w:left="3885"/>
        <w:jc w:val="left"/>
        <w:rPr>
          <w:rFonts w:ascii="宋体" w:hAnsi="宋体" w:cs="Arial"/>
          <w:color w:val="000000"/>
        </w:rPr>
      </w:pPr>
    </w:p>
    <w:p>
      <w:pPr>
        <w:spacing w:before="100" w:beforeAutospacing="1" w:after="100" w:afterAutospacing="1" w:line="360" w:lineRule="auto"/>
        <w:ind w:left="3885"/>
        <w:jc w:val="left"/>
        <w:rPr>
          <w:rFonts w:ascii="宋体" w:hAnsi="宋体" w:cs="Arial"/>
          <w:color w:val="000000"/>
        </w:rPr>
      </w:pPr>
    </w:p>
    <w:p>
      <w:pPr>
        <w:spacing w:before="100" w:beforeAutospacing="1" w:after="100" w:afterAutospacing="1" w:line="360" w:lineRule="auto"/>
        <w:ind w:left="3885"/>
        <w:jc w:val="left"/>
        <w:rPr>
          <w:rFonts w:ascii="宋体" w:hAnsi="宋体" w:cs="Arial"/>
          <w:color w:val="000000"/>
        </w:rPr>
      </w:pPr>
      <w:r>
        <w:rPr>
          <w:rFonts w:hint="eastAsia" w:ascii="宋体" w:hAnsi="宋体" w:cs="Arial"/>
          <w:color w:val="000000"/>
        </w:rPr>
        <w:t>企业名称（盖章）：　　　　　　　　　</w:t>
      </w:r>
      <w:r>
        <w:rPr>
          <w:rFonts w:hint="eastAsia" w:ascii="宋体" w:hAnsi="宋体" w:cs="Arial"/>
          <w:color w:val="000000"/>
        </w:rPr>
        <w:br w:type="textWrapping" w:clear="all"/>
      </w:r>
      <w:r>
        <w:rPr>
          <w:rFonts w:hint="eastAsia" w:ascii="宋体" w:hAnsi="宋体" w:cs="Arial"/>
          <w:color w:val="000000"/>
        </w:rPr>
        <w:t xml:space="preserve">日　  期：      </w:t>
      </w:r>
      <w:r>
        <w:rPr>
          <w:rFonts w:hint="eastAsia" w:cs="宋体" w:asciiTheme="minorEastAsia" w:hAnsiTheme="minorEastAsia"/>
        </w:rPr>
        <w:t>年    月    日</w:t>
      </w:r>
    </w:p>
    <w:p>
      <w:pPr>
        <w:spacing w:before="100" w:beforeAutospacing="1" w:after="100" w:afterAutospacing="1" w:line="360" w:lineRule="auto"/>
        <w:contextualSpacing/>
        <w:jc w:val="left"/>
        <w:rPr>
          <w:rFonts w:ascii="宋体" w:hAnsi="宋体"/>
          <w:color w:val="000000"/>
        </w:rPr>
      </w:pPr>
      <w:r>
        <w:rPr>
          <w:rFonts w:hint="eastAsia" w:ascii="宋体" w:hAnsi="宋体"/>
          <w:color w:val="000000"/>
        </w:rPr>
        <w:t>说明：</w:t>
      </w:r>
    </w:p>
    <w:p>
      <w:pPr>
        <w:spacing w:before="100" w:beforeAutospacing="1" w:after="100" w:afterAutospacing="1" w:line="360" w:lineRule="auto"/>
        <w:contextualSpacing/>
        <w:jc w:val="left"/>
        <w:rPr>
          <w:rFonts w:ascii="宋体" w:hAnsi="宋体" w:cs="Arial"/>
          <w:color w:val="000000"/>
        </w:rPr>
      </w:pPr>
      <w:r>
        <w:rPr>
          <w:rFonts w:hint="eastAsia" w:ascii="宋体" w:hAnsi="宋体" w:cs="Arial"/>
          <w:color w:val="000000"/>
        </w:rPr>
        <w:t>1、不属于中小企业划型标准确定的中小企业，不得按《关于印发中小企业划型标准规定的通知》规定声明为中小微企业，也不适用《政府采购促进中小企业发展暂行办法》。</w:t>
      </w:r>
    </w:p>
    <w:p>
      <w:pPr>
        <w:spacing w:before="100" w:beforeAutospacing="1" w:after="100" w:afterAutospacing="1" w:line="360" w:lineRule="auto"/>
        <w:contextualSpacing/>
        <w:jc w:val="left"/>
        <w:rPr>
          <w:rFonts w:ascii="宋体" w:hAnsi="宋体" w:cs="Arial"/>
          <w:color w:val="000000"/>
        </w:rPr>
      </w:pPr>
      <w:r>
        <w:rPr>
          <w:rFonts w:hint="eastAsia" w:ascii="宋体" w:hAnsi="宋体" w:cs="Arial"/>
          <w:color w:val="000000"/>
        </w:rPr>
        <w:t>2、如投标人为联合投标的，联合投标人需分别填写上述《中小企业声明函》。</w:t>
      </w:r>
    </w:p>
    <w:p>
      <w:pPr>
        <w:spacing w:before="100" w:beforeAutospacing="1" w:after="100" w:afterAutospacing="1" w:line="360" w:lineRule="auto"/>
        <w:contextualSpacing/>
        <w:jc w:val="left"/>
        <w:rPr>
          <w:rFonts w:ascii="宋体" w:hAnsi="宋体" w:cs="Arial"/>
          <w:color w:val="000000"/>
        </w:rPr>
      </w:pPr>
      <w:r>
        <w:rPr>
          <w:rFonts w:hint="eastAsia" w:ascii="宋体" w:hAnsi="宋体" w:cs="Arial"/>
          <w:color w:val="000000"/>
        </w:rPr>
        <w:t>3、小型和微型企业不包括民办非企业。</w:t>
      </w:r>
    </w:p>
    <w:p>
      <w:pPr>
        <w:autoSpaceDE w:val="0"/>
        <w:autoSpaceDN w:val="0"/>
        <w:spacing w:line="360" w:lineRule="auto"/>
        <w:jc w:val="center"/>
        <w:rPr>
          <w:rFonts w:ascii="宋体" w:hAnsi="宋体"/>
          <w:b/>
          <w:color w:val="000000"/>
          <w:sz w:val="24"/>
          <w:szCs w:val="24"/>
        </w:rPr>
      </w:pPr>
      <w:bookmarkStart w:id="27" w:name="OLE_LINK14"/>
      <w:bookmarkStart w:id="28" w:name="OLE_LINK13"/>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4.7 残疾人福利性单位声明函</w:t>
      </w:r>
      <w:bookmarkEnd w:id="27"/>
      <w:bookmarkEnd w:id="28"/>
    </w:p>
    <w:p>
      <w:pPr>
        <w:spacing w:line="360" w:lineRule="auto"/>
        <w:rPr>
          <w:rFonts w:ascii="宋体" w:hAnsi="宋体"/>
        </w:rPr>
      </w:pPr>
    </w:p>
    <w:p>
      <w:pPr>
        <w:spacing w:line="360" w:lineRule="auto"/>
        <w:ind w:firstLine="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u w:val="single"/>
        </w:rPr>
        <w:t xml:space="preserve">        </w:t>
      </w:r>
      <w:r>
        <w:rPr>
          <w:rFonts w:hint="eastAsia" w:ascii="宋体" w:hAnsi="宋体"/>
        </w:rPr>
        <w:t>单位的</w:t>
      </w:r>
      <w:r>
        <w:rPr>
          <w:rFonts w:hint="eastAsia" w:ascii="宋体" w:hAnsi="宋体"/>
          <w:u w:val="single"/>
        </w:rPr>
        <w:t xml:space="preserve">           </w:t>
      </w:r>
      <w:r>
        <w:rPr>
          <w:rFonts w:hint="eastAsia" w:ascii="宋体" w:hAnsi="宋体"/>
        </w:rPr>
        <w:t>项目采购活动提供本单位制造的货物（由本单位承担工程/提供服务），或者提供其他残疾人福利性单位制造的货物（不包括使用非残疾人福利性单位注册商标的货物）。</w:t>
      </w:r>
    </w:p>
    <w:p>
      <w:pPr>
        <w:spacing w:line="360" w:lineRule="auto"/>
        <w:ind w:firstLine="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 xml:space="preserve">                                    单位名称（盖章）：</w:t>
      </w:r>
    </w:p>
    <w:p>
      <w:pPr>
        <w:spacing w:line="360" w:lineRule="auto"/>
        <w:rPr>
          <w:rFonts w:ascii="宋体" w:hAnsi="宋体"/>
        </w:rPr>
      </w:pPr>
      <w:r>
        <w:rPr>
          <w:rFonts w:hint="eastAsia" w:ascii="宋体" w:hAnsi="宋体"/>
        </w:rPr>
        <w:t xml:space="preserve">                                    日    期：      </w:t>
      </w:r>
      <w:r>
        <w:rPr>
          <w:rFonts w:hint="eastAsia" w:cs="宋体" w:asciiTheme="minorEastAsia" w:hAnsiTheme="minorEastAsia"/>
        </w:rPr>
        <w:t>年    月    日</w:t>
      </w:r>
    </w:p>
    <w:p/>
    <w:p/>
    <w:p>
      <w:pPr>
        <w:autoSpaceDE w:val="0"/>
        <w:autoSpaceDN w:val="0"/>
        <w:spacing w:line="360" w:lineRule="auto"/>
        <w:jc w:val="center"/>
        <w:rPr>
          <w:rFonts w:ascii="宋体" w:hAnsi="宋体"/>
          <w:b/>
          <w:color w:val="000000"/>
          <w:sz w:val="24"/>
          <w:szCs w:val="24"/>
        </w:rPr>
      </w:pPr>
    </w:p>
    <w:p>
      <w:pPr>
        <w:autoSpaceDE w:val="0"/>
        <w:autoSpaceDN w:val="0"/>
        <w:spacing w:line="360" w:lineRule="auto"/>
        <w:jc w:val="center"/>
        <w:rPr>
          <w:rFonts w:ascii="宋体" w:hAnsi="宋体"/>
          <w:b/>
          <w:color w:val="000000"/>
          <w:sz w:val="24"/>
          <w:szCs w:val="24"/>
        </w:rPr>
      </w:pPr>
      <w:r>
        <w:rPr>
          <w:rFonts w:hint="eastAsia" w:ascii="宋体" w:hAnsi="宋体"/>
          <w:b/>
          <w:color w:val="000000"/>
          <w:sz w:val="24"/>
          <w:szCs w:val="24"/>
        </w:rPr>
        <w:t xml:space="preserve">4.8 所投产品符合国家强制性要求承诺函 </w:t>
      </w:r>
    </w:p>
    <w:p>
      <w:pPr>
        <w:autoSpaceDE w:val="0"/>
        <w:autoSpaceDN w:val="0"/>
        <w:spacing w:line="360" w:lineRule="auto"/>
        <w:jc w:val="center"/>
        <w:rPr>
          <w:rFonts w:ascii="宋体" w:hAnsi="宋体"/>
          <w:b/>
          <w:color w:val="000000"/>
          <w:sz w:val="28"/>
          <w:szCs w:val="28"/>
        </w:rPr>
      </w:pPr>
    </w:p>
    <w:p>
      <w:pPr>
        <w:spacing w:line="360" w:lineRule="auto"/>
        <w:jc w:val="center"/>
        <w:rPr>
          <w:rFonts w:ascii="宋体" w:hAnsi="宋体" w:cs="Arial"/>
          <w:color w:val="000000"/>
        </w:rPr>
      </w:pPr>
      <w:r>
        <w:rPr>
          <w:rFonts w:hint="eastAsia" w:ascii="宋体" w:hAnsi="宋体" w:cs="Arial"/>
          <w:color w:val="000000"/>
        </w:rPr>
        <w:t>投标人所投产品涉及国家有属强制性规定的，须承诺其所投产品符合国家强制性要求（如CCC认证，格式自拟）</w:t>
      </w:r>
    </w:p>
    <w:p>
      <w:pPr>
        <w:spacing w:before="100" w:beforeAutospacing="1" w:after="100" w:afterAutospacing="1" w:line="360" w:lineRule="auto"/>
        <w:jc w:val="center"/>
        <w:rPr>
          <w:rFonts w:ascii="宋体" w:hAnsi="宋体"/>
          <w:b/>
          <w:color w:val="000000"/>
          <w:sz w:val="36"/>
          <w:szCs w:val="36"/>
        </w:rPr>
      </w:pPr>
    </w:p>
    <w:p>
      <w:pPr>
        <w:spacing w:before="100" w:beforeAutospacing="1" w:after="100" w:afterAutospacing="1" w:line="360" w:lineRule="auto"/>
        <w:jc w:val="center"/>
        <w:rPr>
          <w:rFonts w:ascii="宋体" w:hAnsi="宋体"/>
          <w:b/>
          <w:color w:val="000000"/>
          <w:sz w:val="36"/>
          <w:szCs w:val="36"/>
        </w:rPr>
      </w:pPr>
    </w:p>
    <w:p/>
    <w:p/>
    <w:p>
      <w:pPr>
        <w:autoSpaceDE w:val="0"/>
        <w:autoSpaceDN w:val="0"/>
        <w:spacing w:line="360" w:lineRule="auto"/>
        <w:jc w:val="center"/>
        <w:rPr>
          <w:rFonts w:cs="黑体" w:asciiTheme="minorEastAsia" w:hAnsiTheme="minorEastAsia"/>
          <w:b/>
          <w:sz w:val="28"/>
          <w:szCs w:val="28"/>
        </w:rPr>
      </w:pPr>
      <w:r>
        <w:rPr>
          <w:rFonts w:hint="eastAsia" w:cs="黑体" w:asciiTheme="minorEastAsia" w:hAnsiTheme="minorEastAsia"/>
          <w:b/>
          <w:sz w:val="28"/>
          <w:szCs w:val="28"/>
        </w:rPr>
        <w:t>五、</w:t>
      </w:r>
      <w:r>
        <w:rPr>
          <w:rFonts w:cs="黑体" w:asciiTheme="minorEastAsia" w:hAnsiTheme="minorEastAsia"/>
          <w:b/>
          <w:sz w:val="28"/>
          <w:szCs w:val="28"/>
        </w:rPr>
        <w:t>其他资料（若有）</w:t>
      </w:r>
    </w:p>
    <w:p/>
    <w:p/>
    <w:p/>
    <w:p>
      <w:pPr>
        <w:spacing w:line="360" w:lineRule="auto"/>
        <w:jc w:val="center"/>
        <w:rPr>
          <w:rFonts w:ascii="宋体" w:hAnsi="宋体"/>
          <w:b/>
          <w:color w:val="000000"/>
          <w:sz w:val="28"/>
          <w:szCs w:val="28"/>
        </w:rPr>
      </w:pPr>
      <w:r>
        <w:rPr>
          <w:rFonts w:ascii="宋体" w:hAnsi="宋体"/>
          <w:b/>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color w:val="000000"/>
          <w:sz w:val="28"/>
          <w:szCs w:val="28"/>
        </w:rPr>
      </w:pPr>
      <w:r>
        <w:rPr>
          <w:rFonts w:ascii="宋体" w:hAnsi="宋体"/>
          <w:b/>
          <w:color w:val="000000"/>
          <w:sz w:val="28"/>
          <w:szCs w:val="28"/>
        </w:rPr>
        <w:t> </w:t>
      </w:r>
    </w:p>
    <w:p/>
    <w:p/>
    <w:p/>
    <w:p/>
    <w:p/>
    <w:p/>
    <w:p/>
    <w:p/>
    <w:p/>
    <w:p/>
    <w:p/>
    <w:p/>
    <w:sectPr>
      <w:pgSz w:w="11906" w:h="16838"/>
      <w:pgMar w:top="1478" w:right="1474" w:bottom="1928"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微软简隶书">
    <w:altName w:val="宋体"/>
    <w:panose1 w:val="00000000000000000000"/>
    <w:charset w:val="30"/>
    <w:family w:val="auto"/>
    <w:pitch w:val="default"/>
    <w:sig w:usb0="00000000" w:usb1="00000000" w:usb2="00000010" w:usb3="00000000" w:csb0="00040000" w:csb1="00000000"/>
  </w:font>
  <w:font w:name="方正小标宋简体">
    <w:altName w:val="黑体"/>
    <w:panose1 w:val="00000000000000000000"/>
    <w:charset w:val="3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30"/>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黑体">
    <w:panose1 w:val="02010609060101010101"/>
    <w:charset w:val="30"/>
    <w:family w:val="script"/>
    <w:pitch w:val="default"/>
    <w:sig w:usb0="800002BF" w:usb1="38CF7CFA" w:usb2="00000016" w:usb3="00000000" w:csb0="00040001" w:csb1="00000000"/>
  </w:font>
  <w:font w:name="仿宋">
    <w:panose1 w:val="02010609060101010101"/>
    <w:charset w:val="30"/>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27635" cy="139700"/>
                      </a:xfrm>
                      <a:prstGeom prst="rect">
                        <a:avLst/>
                      </a:prstGeom>
                      <a:noFill/>
                      <a:ln cap="flat">
                        <a:noFill/>
                      </a:ln>
                    </wps:spPr>
                    <wps:txbx>
                      <w:txbxContent>
                        <w:p>
                          <w:pPr>
                            <w:pStyle w:val="17"/>
                          </w:pPr>
                        </w:p>
                      </w:txbxContent>
                    </wps:txbx>
                    <wps:bodyPr rot="0" spcFirstLastPara="0" vertOverflow="overflow" horzOverflow="overflow" vert="horz" wrap="none" lIns="0" tIns="0" rIns="0" bIns="0" numCol="1" spcCol="0" rtlCol="0" fromWordArt="0" anchor="ctr" anchorCtr="0" forceAA="0" upright="1"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25472;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0DfN9EAAAAFAQAADwAAAAAA&#10;AAABACAAAAAiAAAAZHJzL2Rvd25yZXYueG1sUEsBAhQAFAAAAAgAh07iQPMdDNQaAgAAFQQAAA4A&#10;AAAAAAAAAQAgAAAAIAEAAGRycy9lMm9Eb2MueG1sUEsFBgAAAAAGAAYAWQEAAKwFA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cap="flat">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PAGE  \* MERGEFORMAT</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25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Ea/IehoCAAASBAAADgAA&#10;AAAAAAABACAAAAAfAQAAZHJzL2Uyb0RvYy54bWxQSwUGAAAAAAYABgBZAQAAq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PAGE  \* MERGEFORMAT</w:instrText>
                    </w:r>
                    <w:r>
                      <w:rPr>
                        <w:rFonts w:hint="eastAsia"/>
                      </w:rPr>
                      <w:fldChar w:fldCharType="separate"/>
                    </w:r>
                    <w:r>
                      <w:t>42</w:t>
                    </w:r>
                    <w:r>
                      <w:rPr>
                        <w:rFonts w:hint="eastAsia"/>
                      </w:rPr>
                      <w:fldChar w:fldCharType="end"/>
                    </w:r>
                  </w:p>
                </w:txbxContent>
              </v:textbox>
            </v:shape>
          </w:pict>
        </mc:Fallback>
      </mc:AlternateContent>
    </w: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27635" cy="139700"/>
                      </a:xfrm>
                      <a:prstGeom prst="rect">
                        <a:avLst/>
                      </a:prstGeom>
                      <a:noFill/>
                      <a:ln cap="flat">
                        <a:noFill/>
                      </a:ln>
                    </wps:spPr>
                    <wps:txbx>
                      <w:txbxContent>
                        <w:p>
                          <w:pPr>
                            <w:pStyle w:val="17"/>
                          </w:pPr>
                        </w:p>
                      </w:txbxContent>
                    </wps:txbx>
                    <wps:bodyPr rot="0" spcFirstLastPara="0" vertOverflow="overflow" horzOverflow="overflow" vert="horz" wrap="none" lIns="0" tIns="0" rIns="0" bIns="0" numCol="1" spcCol="0" rtlCol="0" fromWordArt="0" anchor="ctr" anchorCtr="0" forceAA="0" upright="1"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25472;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A3zfRAAAABQEAAA8AAAAA&#10;AAAAAQAgAAAAIgAAAGRycy9kb3ducmV2LnhtbFBLAQIUABQAAAAIAIdO4kBaabX0GwIAABYEAAAO&#10;AAAAAAAAAAEAIAAAACABAABkcnMvZTJvRG9jLnhtbFBLBQYAAAAABgAGAFkBAACtBQ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center"/>
      <w:rPr>
        <w:sz w:val="21"/>
        <w:szCs w:val="21"/>
      </w:rPr>
    </w:pPr>
    <w:r>
      <w:rPr>
        <w:rFonts w:hint="eastAsia"/>
        <w:sz w:val="21"/>
        <w:szCs w:val="21"/>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1"/>
      </w:rPr>
    </w:lvl>
    <w:lvl w:ilvl="2" w:tentative="0">
      <w:start w:val="1"/>
      <w:numFmt w:val="chineseCountingThousand"/>
      <w:suff w:val="nothing"/>
      <w:lvlText w:val="(%3)"/>
      <w:lvlJc w:val="left"/>
      <w:pPr>
        <w:ind w:firstLine="0"/>
      </w:pPr>
      <w:rPr>
        <w:rFonts w:hint="default" w:ascii="Times New Roman" w:hAnsi="Times New Roman" w:eastAsia="宋体"/>
        <w:b/>
        <w:i w:val="0"/>
        <w:spacing w:val="0"/>
        <w:position w:val="0"/>
        <w:sz w:val="21"/>
        <w:szCs w:val="21"/>
      </w:rPr>
    </w:lvl>
    <w:lvl w:ilvl="3" w:tentative="0">
      <w:start w:val="1"/>
      <w:numFmt w:val="decimal"/>
      <w:pStyle w:val="7"/>
      <w:suff w:val="nothing"/>
      <w:lvlText w:val="%4、"/>
      <w:lvlJc w:val="left"/>
      <w:pPr>
        <w:ind w:firstLine="0"/>
      </w:pPr>
      <w:rPr>
        <w:rFonts w:hint="eastAsia"/>
      </w:rPr>
    </w:lvl>
    <w:lvl w:ilvl="4" w:tentative="0">
      <w:start w:val="1"/>
      <w:numFmt w:val="upperLetter"/>
      <w:suff w:val="nothing"/>
      <w:lvlText w:val="%5、"/>
      <w:lvlJc w:val="left"/>
      <w:pPr>
        <w:ind w:firstLine="0"/>
      </w:pPr>
      <w:rPr>
        <w:rFonts w:hint="eastAsia"/>
      </w:rPr>
    </w:lvl>
    <w:lvl w:ilvl="5" w:tentative="0">
      <w:start w:val="1"/>
      <w:numFmt w:val="bullet"/>
      <w:suff w:val="nothing"/>
      <w:lvlText w:val=""/>
      <w:lvlJc w:val="left"/>
      <w:pPr>
        <w:ind w:firstLine="0"/>
      </w:pPr>
      <w:rPr>
        <w:rFonts w:hint="eastAsia"/>
      </w:rPr>
    </w:lvl>
    <w:lvl w:ilvl="6" w:tentative="0">
      <w:start w:val="1"/>
      <w:numFmt w:val="bullet"/>
      <w:suff w:val="nothing"/>
      <w:lvlText w:val=""/>
      <w:lvlJc w:val="left"/>
      <w:pPr>
        <w:ind w:firstLine="0"/>
      </w:pPr>
      <w:rPr>
        <w:rFonts w:hint="eastAsia"/>
      </w:rPr>
    </w:lvl>
    <w:lvl w:ilvl="7" w:tentative="0">
      <w:start w:val="1"/>
      <w:numFmt w:val="bullet"/>
      <w:suff w:val="nothing"/>
      <w:lvlText w:val=""/>
      <w:lvlJc w:val="left"/>
      <w:pPr>
        <w:ind w:firstLine="0"/>
      </w:pPr>
      <w:rPr>
        <w:rFonts w:hint="eastAsia"/>
      </w:rPr>
    </w:lvl>
    <w:lvl w:ilvl="8" w:tentative="0">
      <w:start w:val="1"/>
      <w:numFmt w:val="bullet"/>
      <w:suff w:val="nothing"/>
      <w:lvlText w:val=""/>
      <w:lvlJc w:val="left"/>
      <w:pPr>
        <w:ind w:firstLine="0"/>
      </w:pPr>
      <w:rPr>
        <w:rFonts w:hint="eastAsia"/>
      </w:rPr>
    </w:lvl>
  </w:abstractNum>
  <w:abstractNum w:abstractNumId="1">
    <w:nsid w:val="2F000001"/>
    <w:multiLevelType w:val="multilevel"/>
    <w:tmpl w:val="2F000001"/>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F000003"/>
    <w:multiLevelType w:val="multilevel"/>
    <w:tmpl w:val="2F000003"/>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000004"/>
    <w:multiLevelType w:val="multilevel"/>
    <w:tmpl w:val="2F000004"/>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000005"/>
    <w:multiLevelType w:val="multilevel"/>
    <w:tmpl w:val="2F00000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000006"/>
    <w:multiLevelType w:val="multilevel"/>
    <w:tmpl w:val="2F000006"/>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000007"/>
    <w:multiLevelType w:val="multilevel"/>
    <w:tmpl w:val="2F000007"/>
    <w:lvl w:ilvl="0" w:tentative="0">
      <w:start w:val="1"/>
      <w:numFmt w:val="decimal"/>
      <w:lvlText w:val="%1."/>
      <w:lvlJc w:val="left"/>
      <w:pPr>
        <w:ind w:left="420" w:hanging="420"/>
      </w:pPr>
      <w:rPr>
        <w:rFonts w:hint="eastAsia"/>
      </w:rPr>
    </w:lvl>
    <w:lvl w:ilvl="1" w:tentative="0">
      <w:start w:val="2"/>
      <w:numFmt w:val="decimal"/>
      <w:lvlText w:val="%1.%2"/>
      <w:lvlJc w:val="left"/>
      <w:pPr>
        <w:ind w:left="964" w:hanging="544"/>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7">
    <w:nsid w:val="2F000008"/>
    <w:multiLevelType w:val="multilevel"/>
    <w:tmpl w:val="2F000008"/>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000009"/>
    <w:multiLevelType w:val="multilevel"/>
    <w:tmpl w:val="2F000009"/>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00000A"/>
    <w:multiLevelType w:val="multilevel"/>
    <w:tmpl w:val="2F00000A"/>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00000B"/>
    <w:multiLevelType w:val="multilevel"/>
    <w:tmpl w:val="2F00000B"/>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11">
    <w:nsid w:val="2F00000C"/>
    <w:multiLevelType w:val="multilevel"/>
    <w:tmpl w:val="2F00000C"/>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00000D"/>
    <w:multiLevelType w:val="multilevel"/>
    <w:tmpl w:val="2F00000D"/>
    <w:lvl w:ilvl="0" w:tentative="0">
      <w:start w:val="1"/>
      <w:numFmt w:val="chineseCounting"/>
      <w:pStyle w:val="51"/>
      <w:suff w:val="nothing"/>
      <w:lvlText w:val="%1、"/>
      <w:lvlJc w:val="left"/>
    </w:lvl>
    <w:lvl w:ilvl="1" w:tentative="0">
      <w:start w:val="1"/>
      <w:numFmt w:val="chineseCounting"/>
      <w:suff w:val="nothing"/>
      <w:lvlText w:val="%1、"/>
      <w:lvlJc w:val="left"/>
    </w:lvl>
    <w:lvl w:ilvl="2" w:tentative="0">
      <w:start w:val="1"/>
      <w:numFmt w:val="chineseCounting"/>
      <w:suff w:val="nothing"/>
      <w:lvlText w:val="%1、"/>
      <w:lvlJc w:val="left"/>
    </w:lvl>
    <w:lvl w:ilvl="3" w:tentative="0">
      <w:start w:val="1"/>
      <w:numFmt w:val="chineseCounting"/>
      <w:suff w:val="nothing"/>
      <w:lvlText w:val="%1、"/>
      <w:lvlJc w:val="left"/>
    </w:lvl>
    <w:lvl w:ilvl="4" w:tentative="0">
      <w:start w:val="1"/>
      <w:numFmt w:val="chineseCounting"/>
      <w:suff w:val="nothing"/>
      <w:lvlText w:val="%1、"/>
      <w:lvlJc w:val="left"/>
    </w:lvl>
    <w:lvl w:ilvl="5" w:tentative="0">
      <w:start w:val="1"/>
      <w:numFmt w:val="chineseCounting"/>
      <w:suff w:val="nothing"/>
      <w:lvlText w:val="%1、"/>
      <w:lvlJc w:val="left"/>
    </w:lvl>
    <w:lvl w:ilvl="6" w:tentative="0">
      <w:start w:val="1"/>
      <w:numFmt w:val="chineseCounting"/>
      <w:suff w:val="nothing"/>
      <w:lvlText w:val="%1、"/>
      <w:lvlJc w:val="left"/>
    </w:lvl>
    <w:lvl w:ilvl="7" w:tentative="0">
      <w:start w:val="1"/>
      <w:numFmt w:val="chineseCounting"/>
      <w:suff w:val="nothing"/>
      <w:lvlText w:val="%1、"/>
      <w:lvlJc w:val="left"/>
    </w:lvl>
    <w:lvl w:ilvl="8" w:tentative="0">
      <w:start w:val="1"/>
      <w:numFmt w:val="chineseCounting"/>
      <w:suff w:val="nothing"/>
      <w:lvlText w:val="%1、"/>
      <w:lvlJc w:val="left"/>
    </w:lvl>
  </w:abstractNum>
  <w:abstractNum w:abstractNumId="13">
    <w:nsid w:val="2F00000E"/>
    <w:multiLevelType w:val="multilevel"/>
    <w:tmpl w:val="2F00000E"/>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F00000F"/>
    <w:multiLevelType w:val="multilevel"/>
    <w:tmpl w:val="2F00000F"/>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F000010"/>
    <w:multiLevelType w:val="multilevel"/>
    <w:tmpl w:val="2F000010"/>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0"/>
  </w:num>
  <w:num w:numId="5">
    <w:abstractNumId w:val="6"/>
  </w:num>
  <w:num w:numId="6">
    <w:abstractNumId w:val="13"/>
  </w:num>
  <w:num w:numId="7">
    <w:abstractNumId w:val="7"/>
  </w:num>
  <w:num w:numId="8">
    <w:abstractNumId w:val="3"/>
  </w:num>
  <w:num w:numId="9">
    <w:abstractNumId w:val="4"/>
  </w:num>
  <w:num w:numId="10">
    <w:abstractNumId w:val="15"/>
  </w:num>
  <w:num w:numId="11">
    <w:abstractNumId w:val="9"/>
  </w:num>
  <w:num w:numId="12">
    <w:abstractNumId w:val="14"/>
  </w:num>
  <w:num w:numId="13">
    <w:abstractNumId w:val="2"/>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hideSpellingErrors/>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67"/>
    <w:rsid w:val="0004381F"/>
    <w:rsid w:val="00116AC5"/>
    <w:rsid w:val="001C07C3"/>
    <w:rsid w:val="003C7330"/>
    <w:rsid w:val="00402468"/>
    <w:rsid w:val="00456F50"/>
    <w:rsid w:val="005F7E5B"/>
    <w:rsid w:val="007F7A67"/>
    <w:rsid w:val="00D94D1B"/>
    <w:rsid w:val="0F976622"/>
    <w:rsid w:val="1F5D48D1"/>
    <w:rsid w:val="3F0031C6"/>
    <w:rsid w:val="4E267264"/>
    <w:rsid w:val="5490526F"/>
    <w:rsid w:val="684C3B4C"/>
    <w:rsid w:val="6D8829C1"/>
    <w:rsid w:val="741D5DB2"/>
    <w:rsid w:val="77CA0FA0"/>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28" w:semiHidden="0" w:name="toc 1"/>
    <w:lsdException w:uiPriority="39" w:name="toc 2"/>
    <w:lsdException w:qFormat="1" w:unhideWhenUsed="0" w:uiPriority="30" w:semiHidden="0" w:name="toc 3"/>
    <w:lsdException w:uiPriority="39" w:name="toc 4"/>
    <w:lsdException w:qFormat="1" w:unhideWhenUsed="0" w:uiPriority="32"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0" w:name="FollowedHyperlink"/>
    <w:lsdException w:qFormat="1" w:unhideWhenUsed="0" w:uiPriority="20" w:semiHidden="0" w:name="Strong"/>
    <w:lsdException w:qFormat="1" w:unhideWhenUsed="0" w:uiPriority="18"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qFormat="1" w:unhideWhenUsed="0" w:uiPriority="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heme="minorHAnsi" w:hAnsiTheme="minorHAnsi" w:eastAsiaTheme="minorEastAsia" w:cstheme="minorBidi"/>
      <w:sz w:val="21"/>
      <w:szCs w:val="21"/>
      <w:lang w:val="en-US" w:eastAsia="zh-CN" w:bidi="ar-SA"/>
    </w:rPr>
  </w:style>
  <w:style w:type="paragraph" w:styleId="4">
    <w:name w:val="heading 1"/>
    <w:basedOn w:val="1"/>
    <w:next w:val="1"/>
    <w:qFormat/>
    <w:uiPriority w:val="7"/>
    <w:pPr>
      <w:numPr>
        <w:ilvl w:val="0"/>
        <w:numId w:val="1"/>
      </w:numPr>
      <w:spacing w:before="340" w:after="330" w:line="578" w:lineRule="atLeast"/>
      <w:ind w:firstLine="0"/>
      <w:jc w:val="left"/>
      <w:outlineLvl w:val="0"/>
    </w:pPr>
    <w:rPr>
      <w:rFonts w:ascii="Calibri" w:hAnsi="Calibri" w:eastAsia="宋体" w:cs="Times New Roman"/>
      <w:b/>
      <w:sz w:val="44"/>
      <w:szCs w:val="44"/>
    </w:rPr>
  </w:style>
  <w:style w:type="paragraph" w:styleId="5">
    <w:name w:val="heading 2"/>
    <w:basedOn w:val="1"/>
    <w:next w:val="1"/>
    <w:qFormat/>
    <w:uiPriority w:val="8"/>
    <w:pPr>
      <w:numPr>
        <w:ilvl w:val="1"/>
        <w:numId w:val="1"/>
      </w:numPr>
      <w:spacing w:before="260" w:after="260" w:line="416" w:lineRule="atLeast"/>
      <w:jc w:val="left"/>
      <w:outlineLvl w:val="1"/>
    </w:pPr>
    <w:rPr>
      <w:rFonts w:ascii="Arial" w:hAnsi="Arial" w:eastAsia="黑体" w:cs="Times New Roman"/>
      <w:b/>
      <w:sz w:val="32"/>
      <w:szCs w:val="32"/>
    </w:rPr>
  </w:style>
  <w:style w:type="paragraph" w:styleId="6">
    <w:name w:val="heading 3"/>
    <w:basedOn w:val="1"/>
    <w:next w:val="1"/>
    <w:qFormat/>
    <w:uiPriority w:val="9"/>
    <w:pPr>
      <w:autoSpaceDE w:val="0"/>
      <w:autoSpaceDN w:val="0"/>
      <w:spacing w:after="120" w:line="360" w:lineRule="auto"/>
      <w:ind w:left="-4"/>
      <w:jc w:val="center"/>
      <w:outlineLvl w:val="2"/>
    </w:pPr>
    <w:rPr>
      <w:rFonts w:ascii="宋体" w:hAnsi="宋体" w:eastAsia="宋体" w:cs="Times New Roman"/>
      <w:b/>
      <w:color w:val="000000"/>
      <w:sz w:val="24"/>
      <w:szCs w:val="24"/>
    </w:rPr>
  </w:style>
  <w:style w:type="paragraph" w:styleId="7">
    <w:name w:val="heading 4"/>
    <w:basedOn w:val="1"/>
    <w:next w:val="1"/>
    <w:qFormat/>
    <w:uiPriority w:val="10"/>
    <w:pPr>
      <w:numPr>
        <w:ilvl w:val="3"/>
        <w:numId w:val="1"/>
      </w:numPr>
      <w:spacing w:before="280" w:after="290" w:line="376" w:lineRule="atLeast"/>
      <w:jc w:val="left"/>
      <w:outlineLvl w:val="3"/>
    </w:pPr>
    <w:rPr>
      <w:rFonts w:ascii="Arial" w:hAnsi="Arial" w:eastAsia="黑体" w:cs="Times New Roman"/>
      <w:b/>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100"/>
    </w:pPr>
    <w:rPr>
      <w:rFonts w:ascii="宋体" w:hAnsi="Times New Roman" w:eastAsia="宋体" w:cs="Times New Roman"/>
      <w:sz w:val="34"/>
      <w:szCs w:val="34"/>
    </w:rPr>
  </w:style>
  <w:style w:type="paragraph" w:styleId="3">
    <w:name w:val="Body Text"/>
    <w:basedOn w:val="1"/>
    <w:semiHidden/>
    <w:unhideWhenUsed/>
    <w:qFormat/>
    <w:uiPriority w:val="0"/>
    <w:pPr>
      <w:spacing w:after="120"/>
    </w:pPr>
  </w:style>
  <w:style w:type="paragraph" w:styleId="8">
    <w:name w:val="Normal Indent"/>
    <w:basedOn w:val="1"/>
    <w:qFormat/>
    <w:uiPriority w:val="0"/>
    <w:pPr>
      <w:ind w:firstLine="425"/>
    </w:pPr>
    <w:rPr>
      <w:rFonts w:ascii="Times New Roman" w:hAnsi="Times New Roman" w:eastAsia="宋体" w:cs="Times New Roman"/>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after="120" w:line="360" w:lineRule="atLeast"/>
      <w:ind w:left="420"/>
      <w:jc w:val="left"/>
    </w:pPr>
    <w:rPr>
      <w:sz w:val="24"/>
      <w:szCs w:val="24"/>
    </w:rPr>
  </w:style>
  <w:style w:type="paragraph" w:styleId="12">
    <w:name w:val="toc 5"/>
    <w:basedOn w:val="1"/>
    <w:next w:val="1"/>
    <w:qFormat/>
    <w:uiPriority w:val="32"/>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0"/>
    <w:pPr>
      <w:ind w:left="480"/>
      <w:jc w:val="left"/>
    </w:pPr>
    <w:rPr>
      <w:rFonts w:ascii="Times New Roman" w:hAnsi="Times New Roman" w:eastAsia="宋体" w:cs="Times New Roman"/>
      <w:i/>
      <w:color w:val="0000FF"/>
      <w:sz w:val="20"/>
      <w:szCs w:val="20"/>
    </w:rPr>
  </w:style>
  <w:style w:type="paragraph" w:styleId="14">
    <w:name w:val="Plain Text"/>
    <w:basedOn w:val="1"/>
    <w:qFormat/>
    <w:uiPriority w:val="0"/>
    <w:rPr>
      <w:rFonts w:eastAsia="宋体"/>
      <w:sz w:val="24"/>
      <w:szCs w:val="24"/>
    </w:rPr>
  </w:style>
  <w:style w:type="paragraph" w:styleId="15">
    <w:name w:val="Date"/>
    <w:basedOn w:val="1"/>
    <w:next w:val="1"/>
    <w:unhideWhenUsed/>
    <w:qFormat/>
    <w:uiPriority w:val="0"/>
    <w:pPr>
      <w:ind w:left="100"/>
    </w:pPr>
  </w:style>
  <w:style w:type="paragraph" w:styleId="16">
    <w:name w:val="Balloon Text"/>
    <w:basedOn w:val="1"/>
    <w:semiHidden/>
    <w:unhideWhenUsed/>
    <w:qFormat/>
    <w:uiPriority w:val="0"/>
    <w:rPr>
      <w:sz w:val="18"/>
      <w:szCs w:val="18"/>
    </w:rPr>
  </w:style>
  <w:style w:type="paragraph" w:styleId="17">
    <w:name w:val="footer"/>
    <w:basedOn w:val="1"/>
    <w:unhideWhenUsed/>
    <w:qFormat/>
    <w:uiPriority w:val="0"/>
    <w:pPr>
      <w:tabs>
        <w:tab w:val="center" w:pos="4153"/>
        <w:tab w:val="right" w:pos="8306"/>
      </w:tabs>
      <w:snapToGrid w:val="0"/>
      <w:jc w:val="left"/>
    </w:pPr>
    <w:rPr>
      <w:sz w:val="18"/>
      <w:szCs w:val="18"/>
    </w:rPr>
  </w:style>
  <w:style w:type="paragraph" w:styleId="18">
    <w:name w:val="header"/>
    <w:basedOn w:val="1"/>
    <w:unhideWhenUsed/>
    <w:qFormat/>
    <w:uiPriority w:val="0"/>
    <w:pPr>
      <w:pBdr>
        <w:bottom w:val="single" w:color="000000" w:sz="6" w:space="1"/>
      </w:pBdr>
      <w:tabs>
        <w:tab w:val="center" w:pos="4153"/>
        <w:tab w:val="right" w:pos="8306"/>
      </w:tabs>
      <w:snapToGrid w:val="0"/>
      <w:jc w:val="center"/>
    </w:pPr>
    <w:rPr>
      <w:sz w:val="18"/>
      <w:szCs w:val="18"/>
    </w:rPr>
  </w:style>
  <w:style w:type="paragraph" w:styleId="19">
    <w:name w:val="toc 1"/>
    <w:basedOn w:val="1"/>
    <w:next w:val="1"/>
    <w:qFormat/>
    <w:uiPriority w:val="28"/>
    <w:pPr>
      <w:spacing w:before="120" w:after="120"/>
      <w:jc w:val="left"/>
    </w:pPr>
    <w:rPr>
      <w:rFonts w:ascii="Times New Roman" w:hAnsi="Times New Roman" w:eastAsia="宋体" w:cs="Times New Roman"/>
      <w:b/>
      <w:caps/>
      <w:color w:val="0000FF"/>
      <w:sz w:val="20"/>
      <w:szCs w:val="20"/>
    </w:rPr>
  </w:style>
  <w:style w:type="paragraph" w:styleId="20">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styleId="21">
    <w:name w:val="Normal (Web)"/>
    <w:basedOn w:val="1"/>
    <w:qFormat/>
    <w:uiPriority w:val="0"/>
    <w:rPr>
      <w:rFonts w:ascii="Calibri" w:hAnsi="Calibri" w:eastAsia="宋体" w:cs="Times New Roman"/>
      <w:sz w:val="24"/>
      <w:szCs w:val="24"/>
    </w:rPr>
  </w:style>
  <w:style w:type="character" w:styleId="24">
    <w:name w:val="Strong"/>
    <w:basedOn w:val="23"/>
    <w:qFormat/>
    <w:uiPriority w:val="20"/>
    <w:rPr>
      <w:b/>
    </w:rPr>
  </w:style>
  <w:style w:type="character" w:styleId="25">
    <w:name w:val="FollowedHyperlink"/>
    <w:basedOn w:val="23"/>
    <w:semiHidden/>
    <w:unhideWhenUsed/>
    <w:qFormat/>
    <w:uiPriority w:val="0"/>
    <w:rPr>
      <w:color w:val="800080" w:themeColor="followedHyperlink"/>
      <w:u w:val="single"/>
      <w14:textFill>
        <w14:solidFill>
          <w14:schemeClr w14:val="folHlink"/>
        </w14:solidFill>
      </w14:textFill>
    </w:rPr>
  </w:style>
  <w:style w:type="character" w:styleId="26">
    <w:name w:val="Emphasis"/>
    <w:basedOn w:val="23"/>
    <w:qFormat/>
    <w:uiPriority w:val="18"/>
  </w:style>
  <w:style w:type="character" w:styleId="27">
    <w:name w:val="Hyperlink"/>
    <w:basedOn w:val="23"/>
    <w:unhideWhenUsed/>
    <w:qFormat/>
    <w:uiPriority w:val="0"/>
    <w:rPr>
      <w:color w:val="000000"/>
      <w:u w:val="none"/>
    </w:rPr>
  </w:style>
  <w:style w:type="paragraph" w:styleId="28">
    <w:name w:val="List Paragraph"/>
    <w:basedOn w:val="1"/>
    <w:unhideWhenUsed/>
    <w:qFormat/>
    <w:uiPriority w:val="26"/>
    <w:pPr>
      <w:ind w:firstLine="200"/>
    </w:pPr>
  </w:style>
  <w:style w:type="paragraph" w:customStyle="1" w:styleId="29">
    <w:name w:val="段"/>
    <w:next w:val="1"/>
    <w:qFormat/>
    <w:uiPriority w:val="0"/>
    <w:pPr>
      <w:autoSpaceDE w:val="0"/>
      <w:autoSpaceDN w:val="0"/>
      <w:snapToGrid w:val="0"/>
      <w:spacing w:line="360" w:lineRule="auto"/>
      <w:ind w:firstLine="200"/>
      <w:jc w:val="both"/>
    </w:pPr>
    <w:rPr>
      <w:rFonts w:ascii="宋体" w:hAnsi="Calibri" w:eastAsia="宋体" w:cs="Times New Roman"/>
      <w:sz w:val="24"/>
      <w:szCs w:val="24"/>
      <w:lang w:val="en-US" w:eastAsia="zh-CN" w:bidi="ar-SA"/>
    </w:rPr>
  </w:style>
  <w:style w:type="character" w:customStyle="1" w:styleId="30">
    <w:name w:val="标题 1 Char"/>
    <w:basedOn w:val="23"/>
    <w:qFormat/>
    <w:uiPriority w:val="0"/>
    <w:rPr>
      <w:rFonts w:ascii="Calibri" w:hAnsi="Calibri" w:eastAsia="宋体" w:cs="Times New Roman"/>
      <w:b/>
      <w:sz w:val="44"/>
      <w:szCs w:val="44"/>
    </w:rPr>
  </w:style>
  <w:style w:type="character" w:customStyle="1" w:styleId="31">
    <w:name w:val="标题 2 Char"/>
    <w:basedOn w:val="23"/>
    <w:qFormat/>
    <w:uiPriority w:val="0"/>
    <w:rPr>
      <w:rFonts w:ascii="Arial" w:hAnsi="Arial" w:eastAsia="黑体" w:cs="Times New Roman"/>
      <w:b/>
      <w:sz w:val="32"/>
      <w:szCs w:val="32"/>
    </w:rPr>
  </w:style>
  <w:style w:type="character" w:customStyle="1" w:styleId="32">
    <w:name w:val="标题 3 Char"/>
    <w:basedOn w:val="23"/>
    <w:qFormat/>
    <w:uiPriority w:val="0"/>
    <w:rPr>
      <w:rFonts w:ascii="宋体" w:hAnsi="宋体" w:eastAsia="宋体" w:cs="Times New Roman"/>
      <w:b/>
      <w:color w:val="000000"/>
      <w:sz w:val="24"/>
      <w:szCs w:val="24"/>
    </w:rPr>
  </w:style>
  <w:style w:type="character" w:customStyle="1" w:styleId="33">
    <w:name w:val="标题 4 Char"/>
    <w:basedOn w:val="23"/>
    <w:qFormat/>
    <w:uiPriority w:val="0"/>
    <w:rPr>
      <w:rFonts w:ascii="Arial" w:hAnsi="Arial" w:eastAsia="黑体" w:cs="Times New Roman"/>
      <w:b/>
      <w:sz w:val="28"/>
      <w:szCs w:val="28"/>
    </w:rPr>
  </w:style>
  <w:style w:type="character" w:customStyle="1" w:styleId="34">
    <w:name w:val="纯文本 Char"/>
    <w:basedOn w:val="23"/>
    <w:qFormat/>
    <w:uiPriority w:val="0"/>
    <w:rPr>
      <w:rFonts w:eastAsia="宋体"/>
      <w:sz w:val="24"/>
      <w:szCs w:val="24"/>
    </w:rPr>
  </w:style>
  <w:style w:type="character" w:customStyle="1" w:styleId="35">
    <w:name w:val="日期 Char"/>
    <w:basedOn w:val="23"/>
    <w:qFormat/>
    <w:uiPriority w:val="0"/>
  </w:style>
  <w:style w:type="character" w:customStyle="1" w:styleId="36">
    <w:name w:val="页脚 Char"/>
    <w:basedOn w:val="23"/>
    <w:qFormat/>
    <w:uiPriority w:val="0"/>
    <w:rPr>
      <w:sz w:val="18"/>
      <w:szCs w:val="18"/>
    </w:rPr>
  </w:style>
  <w:style w:type="character" w:customStyle="1" w:styleId="37">
    <w:name w:val="页眉 Char"/>
    <w:basedOn w:val="23"/>
    <w:qFormat/>
    <w:uiPriority w:val="0"/>
    <w:rPr>
      <w:sz w:val="18"/>
      <w:szCs w:val="18"/>
    </w:rPr>
  </w:style>
  <w:style w:type="character" w:customStyle="1" w:styleId="38">
    <w:name w:val="纯文本 Char1"/>
    <w:qFormat/>
    <w:uiPriority w:val="0"/>
    <w:rPr>
      <w:rFonts w:eastAsia="宋体"/>
      <w:sz w:val="24"/>
      <w:szCs w:val="24"/>
    </w:rPr>
  </w:style>
  <w:style w:type="paragraph" w:customStyle="1" w:styleId="39">
    <w:name w:val="Default"/>
    <w:qFormat/>
    <w:uiPriority w:val="0"/>
    <w:pPr>
      <w:autoSpaceDE w:val="0"/>
      <w:autoSpaceDN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0"/>
    <w:pPr>
      <w:ind w:firstLine="200"/>
    </w:pPr>
  </w:style>
  <w:style w:type="character" w:customStyle="1" w:styleId="41">
    <w:name w:val="正文文本缩进 Char Char"/>
    <w:qFormat/>
    <w:uiPriority w:val="0"/>
    <w:rPr>
      <w:rFonts w:ascii="宋体"/>
      <w:sz w:val="24"/>
      <w:szCs w:val="24"/>
    </w:rPr>
  </w:style>
  <w:style w:type="paragraph" w:customStyle="1" w:styleId="42">
    <w:name w:val="正文文本缩进1"/>
    <w:basedOn w:val="1"/>
    <w:qFormat/>
    <w:uiPriority w:val="0"/>
    <w:pPr>
      <w:spacing w:line="360" w:lineRule="auto"/>
      <w:ind w:firstLine="200"/>
    </w:pPr>
    <w:rPr>
      <w:rFonts w:ascii="宋体"/>
      <w:sz w:val="24"/>
      <w:szCs w:val="24"/>
    </w:rPr>
  </w:style>
  <w:style w:type="character" w:customStyle="1" w:styleId="43">
    <w:name w:val="日期 Char Char"/>
    <w:qFormat/>
    <w:uiPriority w:val="0"/>
    <w:rPr>
      <w:sz w:val="24"/>
      <w:szCs w:val="24"/>
    </w:rPr>
  </w:style>
  <w:style w:type="paragraph" w:customStyle="1" w:styleId="44">
    <w:name w:val="日期1"/>
    <w:basedOn w:val="1"/>
    <w:next w:val="1"/>
    <w:qFormat/>
    <w:uiPriority w:val="0"/>
    <w:rPr>
      <w:sz w:val="24"/>
      <w:szCs w:val="24"/>
    </w:rPr>
  </w:style>
  <w:style w:type="paragraph" w:customStyle="1" w:styleId="45">
    <w:name w:val="正文缩进1"/>
    <w:basedOn w:val="1"/>
    <w:qFormat/>
    <w:uiPriority w:val="0"/>
    <w:pPr>
      <w:spacing w:line="360" w:lineRule="atLeast"/>
      <w:ind w:firstLine="200"/>
      <w:jc w:val="left"/>
    </w:pPr>
    <w:rPr>
      <w:rFonts w:ascii="Times New Roman" w:hAnsi="Times New Roman" w:eastAsia="宋体" w:cs="Times New Roman"/>
      <w:sz w:val="24"/>
      <w:szCs w:val="24"/>
    </w:rPr>
  </w:style>
  <w:style w:type="paragraph" w:customStyle="1" w:styleId="46">
    <w:name w:val="样式1"/>
    <w:basedOn w:val="1"/>
    <w:qFormat/>
    <w:uiPriority w:val="0"/>
    <w:pPr>
      <w:numPr>
        <w:ilvl w:val="0"/>
        <w:numId w:val="2"/>
      </w:numPr>
    </w:pPr>
    <w:rPr>
      <w:rFonts w:ascii="宋体" w:hAnsi="宋体" w:eastAsia="宋体" w:cs="Times New Roman"/>
    </w:rPr>
  </w:style>
  <w:style w:type="paragraph" w:customStyle="1" w:styleId="47">
    <w:name w:val="图"/>
    <w:basedOn w:val="1"/>
    <w:qFormat/>
    <w:uiPriority w:val="0"/>
    <w:pPr>
      <w:spacing w:before="60" w:after="60" w:line="300" w:lineRule="auto"/>
      <w:jc w:val="center"/>
    </w:pPr>
    <w:rPr>
      <w:rFonts w:ascii="Times New Roman" w:hAnsi="Times New Roman" w:eastAsia="宋体" w:cs="Times New Roman"/>
      <w:color w:val="0000FF"/>
      <w:spacing w:val="20"/>
      <w:sz w:val="24"/>
      <w:szCs w:val="24"/>
    </w:rPr>
  </w:style>
  <w:style w:type="character" w:customStyle="1" w:styleId="48">
    <w:name w:val="正文文本 3 Char"/>
    <w:basedOn w:val="23"/>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4"/>
    <w:qFormat/>
    <w:uiPriority w:val="0"/>
    <w:pPr>
      <w:spacing w:before="240" w:after="240" w:line="240" w:lineRule="auto"/>
      <w:jc w:val="center"/>
    </w:pPr>
    <w:rPr>
      <w:rFonts w:cs="宋体"/>
      <w:sz w:val="28"/>
      <w:szCs w:val="28"/>
    </w:rPr>
  </w:style>
  <w:style w:type="paragraph" w:customStyle="1" w:styleId="51">
    <w:name w:val="样式 样式 样式 样式 标题 2 + 宋体 五号 非加粗 黑色 + 段前: 6 磅 段后: 0 磅 行距: 单倍行距 + 段前:..."/>
    <w:basedOn w:val="1"/>
    <w:qFormat/>
    <w:uiPriority w:val="0"/>
    <w:pPr>
      <w:numPr>
        <w:ilvl w:val="0"/>
        <w:numId w:val="3"/>
      </w:numPr>
      <w:spacing w:before="240"/>
      <w:jc w:val="left"/>
    </w:pPr>
    <w:rPr>
      <w:rFonts w:ascii="宋体" w:hAnsi="宋体" w:eastAsia="宋体" w:cs="宋体"/>
      <w:b/>
      <w:color w:val="000000"/>
    </w:rPr>
  </w:style>
  <w:style w:type="character" w:customStyle="1" w:styleId="52">
    <w:name w:val="正文文本 Char"/>
    <w:basedOn w:val="23"/>
    <w:semiHidden/>
    <w:qFormat/>
    <w:uiPriority w:val="0"/>
  </w:style>
  <w:style w:type="character" w:customStyle="1" w:styleId="53">
    <w:name w:val="正文首行缩进 Char"/>
    <w:basedOn w:val="52"/>
    <w:qFormat/>
    <w:uiPriority w:val="0"/>
    <w:rPr>
      <w:rFonts w:ascii="宋体" w:hAnsi="Times New Roman" w:eastAsia="宋体" w:cs="Times New Roman"/>
      <w:sz w:val="34"/>
      <w:szCs w:val="34"/>
    </w:rPr>
  </w:style>
  <w:style w:type="character" w:customStyle="1" w:styleId="54">
    <w:name w:val="HTML 预设格式 Char"/>
    <w:basedOn w:val="23"/>
    <w:semiHidden/>
    <w:qFormat/>
    <w:uiPriority w:val="0"/>
    <w:rPr>
      <w:rFonts w:ascii="宋体" w:hAnsi="宋体" w:eastAsia="宋体" w:cs="宋体"/>
      <w:sz w:val="24"/>
      <w:szCs w:val="24"/>
    </w:rPr>
  </w:style>
  <w:style w:type="character" w:customStyle="1" w:styleId="55">
    <w:name w:val="正文文本缩进 Char"/>
    <w:qFormat/>
    <w:uiPriority w:val="0"/>
    <w:rPr>
      <w:sz w:val="24"/>
      <w:szCs w:val="24"/>
    </w:rPr>
  </w:style>
  <w:style w:type="character" w:customStyle="1" w:styleId="56">
    <w:name w:val="正文文本缩进 Char1"/>
    <w:basedOn w:val="23"/>
    <w:semiHidden/>
    <w:qFormat/>
    <w:uiPriority w:val="0"/>
  </w:style>
  <w:style w:type="character" w:styleId="57">
    <w:name w:val="Placeholder Text"/>
    <w:basedOn w:val="23"/>
    <w:semiHidden/>
    <w:qFormat/>
    <w:uiPriority w:val="0"/>
    <w:rPr>
      <w:color w:val="808080"/>
    </w:rPr>
  </w:style>
  <w:style w:type="character" w:customStyle="1" w:styleId="58">
    <w:name w:val="批注框文本 Char"/>
    <w:basedOn w:val="23"/>
    <w:semiHidden/>
    <w:qFormat/>
    <w:uiPriority w:val="0"/>
    <w:rPr>
      <w:sz w:val="18"/>
      <w:szCs w:val="18"/>
    </w:rPr>
  </w:style>
  <w:style w:type="character" w:customStyle="1" w:styleId="59">
    <w:name w:val="blue"/>
    <w:basedOn w:val="23"/>
    <w:qFormat/>
    <w:uiPriority w:val="0"/>
    <w:rPr>
      <w:color w:val="0371C6"/>
      <w:sz w:val="21"/>
      <w:szCs w:val="21"/>
    </w:rPr>
  </w:style>
  <w:style w:type="character" w:customStyle="1" w:styleId="60">
    <w:name w:val="green"/>
    <w:basedOn w:val="23"/>
    <w:qFormat/>
    <w:uiPriority w:val="0"/>
    <w:rPr>
      <w:color w:val="66AE00"/>
      <w:sz w:val="18"/>
      <w:szCs w:val="18"/>
    </w:rPr>
  </w:style>
  <w:style w:type="character" w:customStyle="1" w:styleId="61">
    <w:name w:val="green1"/>
    <w:basedOn w:val="23"/>
    <w:qFormat/>
    <w:uiPriority w:val="0"/>
    <w:rPr>
      <w:color w:val="66AE00"/>
      <w:sz w:val="18"/>
      <w:szCs w:val="18"/>
    </w:rPr>
  </w:style>
  <w:style w:type="character" w:customStyle="1" w:styleId="62">
    <w:name w:val="red"/>
    <w:basedOn w:val="23"/>
    <w:qFormat/>
    <w:uiPriority w:val="0"/>
    <w:rPr>
      <w:color w:val="FF0000"/>
      <w:sz w:val="18"/>
      <w:szCs w:val="18"/>
    </w:rPr>
  </w:style>
  <w:style w:type="character" w:customStyle="1" w:styleId="63">
    <w:name w:val="red1"/>
    <w:basedOn w:val="23"/>
    <w:qFormat/>
    <w:uiPriority w:val="0"/>
    <w:rPr>
      <w:color w:val="FF0000"/>
      <w:sz w:val="18"/>
      <w:szCs w:val="18"/>
    </w:rPr>
  </w:style>
  <w:style w:type="character" w:customStyle="1" w:styleId="64">
    <w:name w:val="red2"/>
    <w:basedOn w:val="23"/>
    <w:qFormat/>
    <w:uiPriority w:val="0"/>
    <w:rPr>
      <w:color w:val="CC0000"/>
    </w:rPr>
  </w:style>
  <w:style w:type="character" w:customStyle="1" w:styleId="65">
    <w:name w:val="red3"/>
    <w:basedOn w:val="23"/>
    <w:qFormat/>
    <w:uiPriority w:val="0"/>
    <w:rPr>
      <w:color w:val="FF0000"/>
    </w:rPr>
  </w:style>
  <w:style w:type="character" w:customStyle="1" w:styleId="66">
    <w:name w:val="hover25"/>
    <w:basedOn w:val="23"/>
    <w:qFormat/>
    <w:uiPriority w:val="0"/>
  </w:style>
  <w:style w:type="character" w:customStyle="1" w:styleId="67">
    <w:name w:val="gb-jt"/>
    <w:basedOn w:val="23"/>
    <w:qFormat/>
    <w:uiPriority w:val="0"/>
  </w:style>
  <w:style w:type="character" w:customStyle="1" w:styleId="68">
    <w:name w:val="right"/>
    <w:basedOn w:val="23"/>
    <w:qFormat/>
    <w:uiPriority w:val="0"/>
    <w:rPr>
      <w:color w:val="999999"/>
      <w:sz w:val="18"/>
      <w:szCs w:val="18"/>
    </w:rPr>
  </w:style>
  <w:style w:type="paragraph" w:customStyle="1" w:styleId="69">
    <w:name w:val="Table Paragraph"/>
    <w:basedOn w:val="1"/>
    <w:qFormat/>
    <w:uiPriority w:val="0"/>
  </w:style>
  <w:style w:type="character" w:customStyle="1" w:styleId="70">
    <w:name w:val="font22"/>
    <w:basedOn w:val="23"/>
    <w:qFormat/>
    <w:uiPriority w:val="0"/>
    <w:rPr>
      <w:rFonts w:hint="eastAsia" w:ascii="宋体" w:hAnsi="宋体" w:eastAsia="宋体" w:cs="宋体"/>
      <w:color w:val="000000"/>
      <w:sz w:val="22"/>
      <w:szCs w:val="22"/>
      <w:u w:val="none"/>
    </w:rPr>
  </w:style>
  <w:style w:type="paragraph" w:customStyle="1" w:styleId="71">
    <w:name w:val="p0"/>
    <w:basedOn w:val="1"/>
    <w:qFormat/>
    <w:uiPriority w:val="0"/>
    <w:rPr>
      <w:rFonts w:ascii="Times New Roman" w:hAnsi="Times New Roman" w:eastAsia="宋体" w:cs="Times New Roman"/>
    </w:rPr>
  </w:style>
  <w:style w:type="character" w:customStyle="1" w:styleId="72">
    <w:name w:val="font71"/>
    <w:basedOn w:val="23"/>
    <w:qFormat/>
    <w:uiPriority w:val="0"/>
    <w:rPr>
      <w:rFonts w:hint="eastAsia" w:ascii="宋体" w:hAnsi="宋体" w:eastAsia="宋体" w:cs="宋体"/>
      <w:color w:val="FF0000"/>
      <w:sz w:val="24"/>
      <w:szCs w:val="24"/>
      <w:u w:val="none"/>
    </w:rPr>
  </w:style>
  <w:style w:type="character" w:customStyle="1" w:styleId="73">
    <w:name w:val="font01"/>
    <w:basedOn w:val="23"/>
    <w:qFormat/>
    <w:uiPriority w:val="0"/>
    <w:rPr>
      <w:rFonts w:hint="eastAsia" w:ascii="宋体" w:hAnsi="宋体" w:eastAsia="宋体" w:cs="宋体"/>
      <w:b/>
      <w:color w:val="000000"/>
      <w:sz w:val="24"/>
      <w:szCs w:val="24"/>
      <w:u w:val="none"/>
    </w:rPr>
  </w:style>
  <w:style w:type="character" w:customStyle="1" w:styleId="74">
    <w:name w:val="hover"/>
    <w:basedOn w:val="23"/>
    <w:qFormat/>
    <w:uiPriority w:val="0"/>
  </w:style>
  <w:style w:type="character" w:customStyle="1" w:styleId="75">
    <w:name w:val="hover24"/>
    <w:basedOn w:val="23"/>
    <w:qFormat/>
    <w:uiPriority w:val="0"/>
  </w:style>
  <w:style w:type="character" w:customStyle="1" w:styleId="76">
    <w:name w:val="font21"/>
    <w:basedOn w:val="23"/>
    <w:qFormat/>
    <w:uiPriority w:val="0"/>
    <w:rPr>
      <w:rFonts w:hint="eastAsia" w:ascii="宋体" w:hAnsi="宋体" w:eastAsia="宋体" w:cs="宋体"/>
      <w:color w:val="000000"/>
      <w:sz w:val="18"/>
      <w:szCs w:val="18"/>
      <w:u w:val="none"/>
    </w:rPr>
  </w:style>
  <w:style w:type="character" w:customStyle="1" w:styleId="77">
    <w:name w:val="font11"/>
    <w:basedOn w:val="23"/>
    <w:qFormat/>
    <w:uiPriority w:val="0"/>
    <w:rPr>
      <w:rFonts w:hint="eastAsia" w:ascii="宋体" w:hAnsi="宋体" w:eastAsia="宋体" w:cs="宋体"/>
      <w:b/>
      <w:color w:val="000000"/>
      <w:sz w:val="18"/>
      <w:szCs w:val="18"/>
      <w:u w:val="none"/>
    </w:rPr>
  </w:style>
  <w:style w:type="character" w:customStyle="1" w:styleId="78">
    <w:name w:val="font51"/>
    <w:basedOn w:val="23"/>
    <w:qFormat/>
    <w:uiPriority w:val="0"/>
    <w:rPr>
      <w:rFonts w:hint="default" w:ascii="Times New Roman" w:hAnsi="Times New Roman" w:cs="Times New Roman"/>
      <w:color w:val="000000"/>
      <w:sz w:val="22"/>
      <w:szCs w:val="22"/>
      <w:u w:val="none"/>
    </w:rPr>
  </w:style>
  <w:style w:type="character" w:customStyle="1" w:styleId="79">
    <w:name w:val="font31"/>
    <w:basedOn w:val="23"/>
    <w:qFormat/>
    <w:uiPriority w:val="0"/>
    <w:rPr>
      <w:rFonts w:hint="eastAsia" w:ascii="宋体" w:hAnsi="宋体" w:eastAsia="宋体" w:cs="宋体"/>
      <w:b/>
      <w:color w:val="000000"/>
      <w:sz w:val="22"/>
      <w:szCs w:val="22"/>
      <w:u w:val="none"/>
    </w:rPr>
  </w:style>
  <w:style w:type="paragraph" w:customStyle="1" w:styleId="80">
    <w:name w:val="无间隔1"/>
    <w:qFormat/>
    <w:uiPriority w:val="0"/>
    <w:pPr>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147</Pages>
  <Words>11684</Words>
  <Characters>66605</Characters>
  <Lines>555</Lines>
  <Paragraphs>156</Paragraphs>
  <TotalTime>6</TotalTime>
  <ScaleCrop>false</ScaleCrop>
  <LinksUpToDate>false</LinksUpToDate>
  <CharactersWithSpaces>78133</CharactersWithSpaces>
  <Application>WPS Office_11.1.0.9186_F1E327BC-269C-435d-A152-05C5408002CA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2019-10-13T06:15:00Z</dcterms:created>
  <dc:creator>许昌市公共资源交易中心:孟莉</dc:creator>
  <cp:lastModifiedBy>A_于小妞儿</cp:lastModifiedBy>
  <cp:lastPrinted>2019-10-24T02:53:00Z</cp:lastPrinted>
  <dcterms:modified xsi:type="dcterms:W3CDTF">2019-10-25T03:22:21Z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