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胡坡镇石桥刘村修建村内道路一事一议项目</w:t>
      </w:r>
    </w:p>
    <w:p>
      <w:pPr>
        <w:spacing w:line="500" w:lineRule="exact"/>
        <w:jc w:val="center"/>
        <w:rPr>
          <w:rFonts w:hint="eastAsia" w:ascii="宋体" w:hAnsi="宋体" w:eastAsia="宋体" w:cs="宋体"/>
          <w:b/>
          <w:color w:val="000000" w:themeColor="text1"/>
          <w:w w:val="95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w w:val="95"/>
          <w:sz w:val="32"/>
          <w:szCs w:val="32"/>
          <w14:textFill>
            <w14:solidFill>
              <w14:schemeClr w14:val="tx1"/>
            </w14:solidFill>
          </w14:textFill>
        </w:rPr>
        <w:t>招标控制价审核报告</w:t>
      </w:r>
    </w:p>
    <w:p>
      <w:pPr>
        <w:spacing w:line="500" w:lineRule="exact"/>
        <w:jc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河南惠德[201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]工程造价审字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]</w:t>
      </w:r>
    </w:p>
    <w:p>
      <w:pPr>
        <w:spacing w:line="360" w:lineRule="auto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长葛市财政投资评审中心：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我公司受贵单位的委托，立即组织专业技术人员，结合本工程的特点，本着独立、客观、科学的工作原则和遵循公平、公正、公开的职业准则，按照工程造价咨询业务操作规程和行业规定要求，依据河南省许昌市有关工程造价方面的法规、规则、规定对委托项目实施了包括清单的选用、现行定额的套取、清单工程量、信息价、市场询价、取费等，我们认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为必要的评审程序。对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胡坡镇石桥刘村修建村内道路一事一议项目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的招标控制价进行了审核，审核工作已完成，现将审核结果和审核情况报告如下：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一、工程概况：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胡坡镇石桥刘村修建村内道路一事一议项目工程；包括</w:t>
      </w:r>
      <w:r>
        <w:rPr>
          <w:rFonts w:ascii="宋体" w:hAnsi="宋体" w:eastAsia="宋体" w:cs="宋体"/>
          <w:sz w:val="24"/>
          <w:szCs w:val="24"/>
        </w:rPr>
        <w:t>新修15cm厚C25混凝土路面</w:t>
      </w:r>
      <w:r>
        <w:rPr>
          <w:rFonts w:hint="eastAsia" w:ascii="宋体" w:hAnsi="宋体" w:eastAsia="宋体" w:cs="宋体"/>
          <w:sz w:val="24"/>
          <w:szCs w:val="24"/>
        </w:rPr>
        <w:t>建设内容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二、审核依据：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建设单位送审的图纸及答疑文件；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计价依据《建设工程工程量清单计价规范》（GB50500-2013）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480" w:firstLineChars="200"/>
        <w:textAlignment w:val="auto"/>
        <w:outlineLvl w:val="9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《河南省市政工程预算定额》（2016版）；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材料价格依据《许昌市工程造价信息》2019年第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期信息价格，未包含的材料价格参考市场价；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outlineLvl w:val="9"/>
        <w:rPr>
          <w:rStyle w:val="8"/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5.税金</w:t>
      </w:r>
      <w:r>
        <w:rPr>
          <w:rStyle w:val="8"/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按9</w:t>
      </w:r>
      <w:r>
        <w:rPr>
          <w:rStyle w:val="8"/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%计入；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人工费价格指数按豫建标定【2019】26号文执行；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相应的补充规定和现行的有关文件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三、审核内容及范围：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根据本工程具体情况，我们采用了全面评审的方法进行评审，评审主要包括以下内容：清单列项、项目特征、工程量、定额套用、材料价格及取费的评审。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四、审核原则：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客观、公平、公正、实事求是。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/>
        <w:textAlignment w:val="auto"/>
        <w:outlineLvl w:val="9"/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五、审核结果：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480" w:firstLineChars="2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胡坡镇石桥刘村修建村内道路一事一议项目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原报送金额为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418993.71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审定金额为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416703.95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审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减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金额为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2289.76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元。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outlineLvl w:val="9"/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宋体" w:hAnsi="宋体" w:eastAsia="宋体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工程审核情况说明：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因平整场地清单、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定额子目调整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此项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审减约</w:t>
      </w:r>
      <w:r>
        <w:rPr>
          <w:rFonts w:hint="eastAsia" w:asciiTheme="minorEastAsia" w:hAnsiTheme="minorEastAsia" w:cstheme="minorEastAsia"/>
          <w:b w:val="0"/>
          <w:bCs/>
          <w:color w:val="000000"/>
          <w:sz w:val="24"/>
          <w:szCs w:val="24"/>
          <w:lang w:val="en-US" w:eastAsia="zh-CN"/>
        </w:rPr>
        <w:t>2200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  <w:lang w:val="en-US" w:eastAsia="zh-CN"/>
        </w:rPr>
        <w:t>元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8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80"/>
        <w:textAlignment w:val="auto"/>
        <w:outlineLvl w:val="9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河南惠德工程咨询有限公司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注册造价工程师：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960" w:firstLineChars="4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960" w:firstLineChars="4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>中国   郑州                              注册造价工程师：</w:t>
      </w:r>
    </w:p>
    <w:p>
      <w:pPr>
        <w:pStyle w:val="2"/>
        <w:keepNext w:val="0"/>
        <w:keepLines w:val="0"/>
        <w:pageBreakBefore w:val="0"/>
        <w:tabs>
          <w:tab w:val="left" w:pos="16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pStyle w:val="2"/>
        <w:keepNext w:val="0"/>
        <w:keepLines w:val="0"/>
        <w:pageBreakBefore w:val="0"/>
        <w:tabs>
          <w:tab w:val="left" w:pos="16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</w:t>
      </w:r>
    </w:p>
    <w:p>
      <w:pPr>
        <w:pStyle w:val="2"/>
        <w:keepNext w:val="0"/>
        <w:keepLines w:val="0"/>
        <w:pageBreakBefore w:val="0"/>
        <w:tabs>
          <w:tab w:val="left" w:pos="16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/>
        <w:jc w:val="both"/>
        <w:textAlignment w:val="auto"/>
        <w:outlineLvl w:val="9"/>
        <w:rPr>
          <w:rFonts w:hint="default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0" w:lef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>09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5550F"/>
    <w:rsid w:val="01E41FAB"/>
    <w:rsid w:val="02497AED"/>
    <w:rsid w:val="028C3F81"/>
    <w:rsid w:val="02D81769"/>
    <w:rsid w:val="03140635"/>
    <w:rsid w:val="03BF18E4"/>
    <w:rsid w:val="03E9198B"/>
    <w:rsid w:val="05447ED2"/>
    <w:rsid w:val="05FE2238"/>
    <w:rsid w:val="063B2F37"/>
    <w:rsid w:val="065D7A53"/>
    <w:rsid w:val="06B606E7"/>
    <w:rsid w:val="06BF0BD5"/>
    <w:rsid w:val="06C64A1F"/>
    <w:rsid w:val="07607BED"/>
    <w:rsid w:val="076D6479"/>
    <w:rsid w:val="08544B4B"/>
    <w:rsid w:val="0982094C"/>
    <w:rsid w:val="0997758B"/>
    <w:rsid w:val="0AD23174"/>
    <w:rsid w:val="0C8A53C8"/>
    <w:rsid w:val="1146761D"/>
    <w:rsid w:val="11651271"/>
    <w:rsid w:val="11AA277B"/>
    <w:rsid w:val="11C473F6"/>
    <w:rsid w:val="163C78E2"/>
    <w:rsid w:val="171B72A3"/>
    <w:rsid w:val="17730B5E"/>
    <w:rsid w:val="19794F75"/>
    <w:rsid w:val="19E357D3"/>
    <w:rsid w:val="1A3942E6"/>
    <w:rsid w:val="1BFC15E3"/>
    <w:rsid w:val="1BFD0C08"/>
    <w:rsid w:val="1D987AEF"/>
    <w:rsid w:val="1EB70AA2"/>
    <w:rsid w:val="1FFC47BC"/>
    <w:rsid w:val="238B74EB"/>
    <w:rsid w:val="27E94C1E"/>
    <w:rsid w:val="28205D8B"/>
    <w:rsid w:val="29883832"/>
    <w:rsid w:val="2CA21EC5"/>
    <w:rsid w:val="2D496A17"/>
    <w:rsid w:val="2D7D267A"/>
    <w:rsid w:val="2E086F32"/>
    <w:rsid w:val="2E2524B2"/>
    <w:rsid w:val="2E5802EC"/>
    <w:rsid w:val="30183D9C"/>
    <w:rsid w:val="3025550F"/>
    <w:rsid w:val="30DA75AF"/>
    <w:rsid w:val="31431031"/>
    <w:rsid w:val="33617532"/>
    <w:rsid w:val="33DD374D"/>
    <w:rsid w:val="34231E3D"/>
    <w:rsid w:val="353D0F45"/>
    <w:rsid w:val="3636405B"/>
    <w:rsid w:val="38126821"/>
    <w:rsid w:val="38E05234"/>
    <w:rsid w:val="3AFA01E8"/>
    <w:rsid w:val="3C7A1530"/>
    <w:rsid w:val="3CDF13E4"/>
    <w:rsid w:val="3DEE1240"/>
    <w:rsid w:val="3E48769F"/>
    <w:rsid w:val="3E722202"/>
    <w:rsid w:val="3EE83DA8"/>
    <w:rsid w:val="3F7B60F5"/>
    <w:rsid w:val="412F20CC"/>
    <w:rsid w:val="41976F80"/>
    <w:rsid w:val="42402A51"/>
    <w:rsid w:val="42A952AC"/>
    <w:rsid w:val="42DE4B3F"/>
    <w:rsid w:val="45CF2759"/>
    <w:rsid w:val="4B190586"/>
    <w:rsid w:val="4BCB1C1E"/>
    <w:rsid w:val="4D6055E6"/>
    <w:rsid w:val="4D912AF1"/>
    <w:rsid w:val="4DB72C48"/>
    <w:rsid w:val="4FB63278"/>
    <w:rsid w:val="4FEC6E8C"/>
    <w:rsid w:val="51876A93"/>
    <w:rsid w:val="52CB1ECA"/>
    <w:rsid w:val="52D958D7"/>
    <w:rsid w:val="52F20073"/>
    <w:rsid w:val="53E046CD"/>
    <w:rsid w:val="53FE6D9B"/>
    <w:rsid w:val="550863FB"/>
    <w:rsid w:val="576008D7"/>
    <w:rsid w:val="57876684"/>
    <w:rsid w:val="590617AD"/>
    <w:rsid w:val="59B959D7"/>
    <w:rsid w:val="5A7D214B"/>
    <w:rsid w:val="5AD2717D"/>
    <w:rsid w:val="5D3E3E6F"/>
    <w:rsid w:val="5D4E22D6"/>
    <w:rsid w:val="5FD71694"/>
    <w:rsid w:val="602E40CD"/>
    <w:rsid w:val="616A2DC3"/>
    <w:rsid w:val="62573EBF"/>
    <w:rsid w:val="63BE3604"/>
    <w:rsid w:val="63CC5228"/>
    <w:rsid w:val="657561DC"/>
    <w:rsid w:val="65C62464"/>
    <w:rsid w:val="66676D61"/>
    <w:rsid w:val="671B6B12"/>
    <w:rsid w:val="6739457B"/>
    <w:rsid w:val="6AD47DAA"/>
    <w:rsid w:val="6C500026"/>
    <w:rsid w:val="6C5D7E27"/>
    <w:rsid w:val="6CDC13BF"/>
    <w:rsid w:val="712B2A98"/>
    <w:rsid w:val="7135092C"/>
    <w:rsid w:val="72C25C29"/>
    <w:rsid w:val="73851C34"/>
    <w:rsid w:val="739E0783"/>
    <w:rsid w:val="73F047CD"/>
    <w:rsid w:val="740B5EF2"/>
    <w:rsid w:val="74F1228B"/>
    <w:rsid w:val="759A3292"/>
    <w:rsid w:val="772C7FA5"/>
    <w:rsid w:val="779B2CE4"/>
    <w:rsid w:val="78976ABD"/>
    <w:rsid w:val="7AD03128"/>
    <w:rsid w:val="7AF33216"/>
    <w:rsid w:val="7C961298"/>
    <w:rsid w:val="7E422CEE"/>
    <w:rsid w:val="7E857779"/>
    <w:rsid w:val="7F273EF5"/>
    <w:rsid w:val="7F51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spacing w:after="120"/>
      <w:ind w:left="420" w:leftChars="200"/>
    </w:pPr>
    <w:rPr>
      <w:rFonts w:ascii="Times New Roman" w:hAnsi="Times New Roman"/>
      <w:kern w:val="0"/>
      <w:sz w:val="20"/>
      <w:szCs w:val="24"/>
    </w:rPr>
  </w:style>
  <w:style w:type="paragraph" w:styleId="3">
    <w:name w:val="Block Text"/>
    <w:basedOn w:val="1"/>
    <w:qFormat/>
    <w:uiPriority w:val="0"/>
    <w:pPr>
      <w:spacing w:line="360" w:lineRule="auto"/>
      <w:ind w:left="993" w:right="-284" w:firstLine="357"/>
    </w:pPr>
    <w:rPr>
      <w:rFonts w:eastAsia="楷体_GB2312"/>
      <w:sz w:val="32"/>
      <w:szCs w:val="20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正文+宋体"/>
    <w:basedOn w:val="1"/>
    <w:qFormat/>
    <w:uiPriority w:val="0"/>
    <w:rPr>
      <w:rFonts w:ascii="Times New Roman" w:hAnsi="Times New Roman"/>
    </w:rPr>
  </w:style>
  <w:style w:type="character" w:customStyle="1" w:styleId="8">
    <w:name w:val="fontstyle01"/>
    <w:basedOn w:val="6"/>
    <w:qFormat/>
    <w:uiPriority w:val="0"/>
    <w:rPr>
      <w:rFonts w:hint="eastAsia" w:ascii="宋体" w:hAnsi="宋体" w:eastAsia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2019-01-16T00:23:00Z</dcterms:created>
  <dc:creator>徐永飞</dc:creator>
  <cp:lastModifiedBy>奋斗，东</cp:lastModifiedBy>
  <dcterms:modified xsi:type="dcterms:W3CDTF">2019-09-17T03:08:05Z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