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cs="宋体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34"/>
          <w:szCs w:val="34"/>
          <w:lang w:val="en-US" w:eastAsia="zh-CN"/>
        </w:rPr>
        <w:t>禹州市浅井镇彭花公路浅井段平交路口道路硬化工程（二次）</w:t>
      </w:r>
    </w:p>
    <w:p>
      <w:pPr>
        <w:spacing w:line="480" w:lineRule="auto"/>
        <w:jc w:val="center"/>
        <w:rPr>
          <w:rFonts w:hint="eastAsia" w:ascii="宋体" w:eastAsia="宋体" w:cs="Times New Roman"/>
          <w:b/>
          <w:bCs/>
          <w:sz w:val="34"/>
          <w:szCs w:val="34"/>
          <w:lang w:eastAsia="zh-CN"/>
        </w:rPr>
      </w:pPr>
      <w:r>
        <w:rPr>
          <w:rFonts w:hint="eastAsia" w:ascii="Times New Roman" w:hAnsi="Times New Roman" w:cs="宋体"/>
          <w:b/>
          <w:bCs/>
          <w:sz w:val="34"/>
          <w:szCs w:val="34"/>
        </w:rPr>
        <w:t>评标</w:t>
      </w:r>
      <w:r>
        <w:rPr>
          <w:rFonts w:hint="eastAsia" w:ascii="Times New Roman" w:hAnsi="Times New Roman" w:cs="宋体"/>
          <w:b/>
          <w:bCs/>
          <w:sz w:val="34"/>
          <w:szCs w:val="34"/>
          <w:lang w:eastAsia="zh-CN"/>
        </w:rPr>
        <w:t>公示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（一）项目概况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1、项目名称：禹州市浅井镇彭花公路浅井段平交路口道路硬化工程（二次）</w:t>
      </w:r>
    </w:p>
    <w:p>
      <w:pPr>
        <w:spacing w:line="360" w:lineRule="auto"/>
        <w:ind w:firstLine="210" w:firstLineChars="100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2、项目编号：JSGC-J-2019168-1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3、招标控制价：1126188.00元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4、质量要求： 合格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5、计划工期：30日历天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6、评标办法：技术评分最低标价法 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7、资格审查方式：资格后审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（二）招标过程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本工程招标采用公开招标方式进行，按照法定公开招标程序和要求，于2019年9月19日至2019年10月16日在全国公共资源交易平台（河南省·许昌市）、《河南省电子招标投标公共服务平台》上公开发布招标信息，于投标截止时间前递交投标文件及投标保证金的投标单位有  4  家。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（三）项目开标数据表</w:t>
      </w:r>
    </w:p>
    <w:tbl>
      <w:tblPr>
        <w:tblStyle w:val="8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829"/>
        <w:gridCol w:w="1259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招标人名称</w:t>
            </w:r>
          </w:p>
        </w:tc>
        <w:tc>
          <w:tcPr>
            <w:tcW w:w="772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禹州市浅井镇人民政府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招标代理机构名称</w:t>
            </w:r>
          </w:p>
        </w:tc>
        <w:tc>
          <w:tcPr>
            <w:tcW w:w="772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河南建标工程管理有限公司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项目名称</w:t>
            </w:r>
          </w:p>
        </w:tc>
        <w:tc>
          <w:tcPr>
            <w:tcW w:w="772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禹州市浅井镇彭花公路浅井段平交路口道路硬化工程（二次）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开标时间</w:t>
            </w:r>
          </w:p>
        </w:tc>
        <w:tc>
          <w:tcPr>
            <w:tcW w:w="2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2019年10月16日8：30分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开标地点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评标时间</w:t>
            </w:r>
          </w:p>
        </w:tc>
        <w:tc>
          <w:tcPr>
            <w:tcW w:w="2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2019年10月16日11：00分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评标地点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禹州市公共资源交易中心评标一室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 </w:t>
      </w:r>
    </w:p>
    <w:tbl>
      <w:tblPr>
        <w:tblStyle w:val="8"/>
        <w:tblW w:w="94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971"/>
        <w:gridCol w:w="1338"/>
        <w:gridCol w:w="1238"/>
        <w:gridCol w:w="1083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34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投标单位</w:t>
            </w:r>
          </w:p>
        </w:tc>
        <w:tc>
          <w:tcPr>
            <w:tcW w:w="1971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投标保证金递交情况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exact"/>
              <w:ind w:right="-313" w:rightChars="-149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工期（日历天）</w:t>
            </w:r>
          </w:p>
        </w:tc>
        <w:tc>
          <w:tcPr>
            <w:tcW w:w="1238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质量要求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ind w:right="-313" w:rightChars="-149"/>
              <w:jc w:val="left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密封情况</w:t>
            </w:r>
          </w:p>
        </w:tc>
        <w:tc>
          <w:tcPr>
            <w:tcW w:w="1116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河南远诚建设工程有限公司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已递交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新乡市万宏建筑有限公司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已递交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河南皇瑞建筑工程有限公司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已递交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河南乾力建设工程有限公司 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已递交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完好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705" w:type="dxa"/>
            <w:gridSpan w:val="2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工期：30日历天</w:t>
            </w:r>
          </w:p>
        </w:tc>
        <w:tc>
          <w:tcPr>
            <w:tcW w:w="47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质量要求：合格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8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评标办法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     评标委员会对满足招标文件实质要求的投标文件，根据评标办法规定的评分标准标准进行打分，并按得分由高到低顺序推荐中标候选人。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四、第一信封评审情况：</w:t>
      </w:r>
    </w:p>
    <w:tbl>
      <w:tblPr>
        <w:tblStyle w:val="8"/>
        <w:tblW w:w="94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83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通过第一信封评审的投标人名称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河南远诚建设工程有限公司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新乡市万宏建筑有限公司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河南皇瑞建筑工程有限公司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河南乾力建设工程有限公司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未通过第一信封评审的投标人名称名称及原因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</w:tbl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五、第二信封开标记录</w:t>
      </w:r>
    </w:p>
    <w:tbl>
      <w:tblPr>
        <w:tblStyle w:val="8"/>
        <w:tblW w:w="94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347"/>
        <w:gridCol w:w="2063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投标人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投标报价（元）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密封情况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河南远诚建设工程有限公司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1125277.00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完好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新乡市万宏建筑有限公司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1124325.00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完好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河南皇瑞建筑工程有限公司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1123381.00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完好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招标控制价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1126188.00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投标报价修正情况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第二信封评审情况：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根据招标文件的规定，评标委员会按最低标价法由低到高排序如下：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第一名：</w:t>
      </w:r>
      <w:r>
        <w:rPr>
          <w:rFonts w:hint="eastAsia" w:ascii="宋体" w:hAnsi="宋体"/>
          <w:bCs/>
          <w:szCs w:val="21"/>
          <w:lang w:val="en-US" w:eastAsia="zh-CN"/>
        </w:rPr>
        <w:t>河南皇瑞建筑工程有限公司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第二名：</w:t>
      </w:r>
      <w:r>
        <w:rPr>
          <w:rFonts w:hint="eastAsia" w:cs="宋体"/>
          <w:lang w:val="en-US" w:eastAsia="zh-CN"/>
        </w:rPr>
        <w:t>新乡市万宏建筑有限公司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第三名：</w:t>
      </w:r>
      <w:r>
        <w:rPr>
          <w:rFonts w:hint="eastAsia" w:cs="宋体"/>
          <w:lang w:val="en-US" w:eastAsia="zh-CN"/>
        </w:rPr>
        <w:t>河南远诚建设工程有限公司</w:t>
      </w:r>
    </w:p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推荐的中标候选人</w:t>
      </w:r>
      <w:r>
        <w:rPr>
          <w:rFonts w:hint="eastAsia" w:cs="宋体"/>
          <w:b/>
          <w:bCs/>
          <w:sz w:val="24"/>
          <w:szCs w:val="24"/>
          <w:lang w:eastAsia="zh-CN"/>
        </w:rPr>
        <w:t>评审得分</w:t>
      </w:r>
      <w:r>
        <w:rPr>
          <w:rFonts w:hint="eastAsia" w:cs="宋体"/>
          <w:b/>
          <w:bCs/>
          <w:sz w:val="24"/>
          <w:szCs w:val="24"/>
        </w:rPr>
        <w:t>：</w:t>
      </w:r>
    </w:p>
    <w:tbl>
      <w:tblPr>
        <w:tblStyle w:val="8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第一中标候选人</w:t>
            </w:r>
          </w:p>
        </w:tc>
        <w:tc>
          <w:tcPr>
            <w:tcW w:w="6094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河南皇瑞建筑工程有限公司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24.9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30.4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33.2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32.5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76.9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84.4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88.2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85.5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84.2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tbl>
      <w:tblPr>
        <w:tblStyle w:val="8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第二中标候选人</w:t>
            </w:r>
          </w:p>
        </w:tc>
        <w:tc>
          <w:tcPr>
            <w:tcW w:w="6094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新乡市万宏建筑有限公司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24.5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33.5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32.7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78.5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89.5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87.7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86.4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Calibri" w:eastAsia="宋体" w:cs="Times New Roman"/>
          <w:color w:val="000000"/>
          <w:kern w:val="0"/>
          <w:sz w:val="18"/>
          <w:szCs w:val="18"/>
          <w:lang w:val="en-US" w:eastAsia="zh-CN" w:bidi="ar-SA"/>
        </w:rPr>
      </w:pPr>
    </w:p>
    <w:tbl>
      <w:tblPr>
        <w:tblStyle w:val="8"/>
        <w:tblW w:w="95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177"/>
        <w:gridCol w:w="1290"/>
        <w:gridCol w:w="1215"/>
        <w:gridCol w:w="1155"/>
        <w:gridCol w:w="125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1" w:hRule="atLeast"/>
        </w:trPr>
        <w:tc>
          <w:tcPr>
            <w:tcW w:w="34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第三中标候选人</w:t>
            </w:r>
          </w:p>
        </w:tc>
        <w:tc>
          <w:tcPr>
            <w:tcW w:w="6094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河南远诚建设工程有限公司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评审内容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评委4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施工组织设计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24.8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30.7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33.6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32.1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主要人员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技术能力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履约信誉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78.8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86.7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90.6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87.1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最终平均得分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86.2</w:t>
            </w: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cs="Times New Roman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推荐的中标候选人情况</w:t>
      </w:r>
      <w:r>
        <w:rPr>
          <w:rFonts w:hint="eastAsia" w:cs="Times New Roman"/>
          <w:b/>
          <w:bCs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482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第一中标候选人：</w:t>
      </w:r>
      <w:r>
        <w:rPr>
          <w:rFonts w:hint="eastAsia" w:cs="宋体"/>
          <w:sz w:val="24"/>
          <w:szCs w:val="24"/>
          <w:lang w:val="en-US" w:eastAsia="zh-CN"/>
        </w:rPr>
        <w:t>河南皇瑞建筑工程有限公司</w:t>
      </w:r>
    </w:p>
    <w:p>
      <w:pPr>
        <w:spacing w:line="360" w:lineRule="auto"/>
        <w:ind w:firstLine="480" w:firstLineChars="200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投标报价：</w:t>
      </w:r>
      <w:r>
        <w:rPr>
          <w:rFonts w:hint="eastAsia" w:cs="宋体"/>
          <w:sz w:val="24"/>
          <w:szCs w:val="24"/>
          <w:lang w:val="en-US" w:eastAsia="zh-CN"/>
        </w:rPr>
        <w:t xml:space="preserve">1123381.00元   </w:t>
      </w:r>
      <w:r>
        <w:rPr>
          <w:rFonts w:hint="eastAsia" w:cs="宋体"/>
          <w:sz w:val="24"/>
          <w:szCs w:val="24"/>
        </w:rPr>
        <w:t xml:space="preserve">      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</w:rPr>
        <w:t>大写：</w:t>
      </w:r>
      <w:r>
        <w:rPr>
          <w:rFonts w:hint="eastAsia" w:cs="宋体"/>
          <w:sz w:val="24"/>
          <w:szCs w:val="24"/>
          <w:lang w:val="en-US" w:eastAsia="zh-CN"/>
        </w:rPr>
        <w:t>壹佰壹拾贰万叁仟叁佰捌拾壹元整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工期：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0日历天                   质量标准：合格</w:t>
      </w:r>
    </w:p>
    <w:p>
      <w:pPr>
        <w:spacing w:line="360" w:lineRule="auto"/>
        <w:ind w:firstLine="480" w:firstLineChars="200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 xml:space="preserve">项目经理: </w:t>
      </w:r>
      <w:r>
        <w:rPr>
          <w:rFonts w:hint="eastAsia" w:cs="宋体"/>
          <w:sz w:val="24"/>
          <w:szCs w:val="24"/>
          <w:lang w:val="en-US" w:eastAsia="zh-CN"/>
        </w:rPr>
        <w:t>王阳</w:t>
      </w:r>
      <w:r>
        <w:rPr>
          <w:rFonts w:hint="eastAsia" w:cs="宋体"/>
          <w:sz w:val="24"/>
          <w:szCs w:val="24"/>
        </w:rPr>
        <w:t xml:space="preserve">                     证书名称：</w:t>
      </w:r>
      <w:r>
        <w:rPr>
          <w:rFonts w:hint="eastAsia" w:cs="宋体"/>
          <w:sz w:val="24"/>
          <w:szCs w:val="24"/>
          <w:lang w:val="en-US" w:eastAsia="zh-CN"/>
        </w:rPr>
        <w:t>二级注册建造师</w:t>
      </w:r>
    </w:p>
    <w:p>
      <w:pPr>
        <w:spacing w:line="360" w:lineRule="auto"/>
        <w:ind w:firstLine="480" w:firstLineChars="200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eastAsia="zh-CN"/>
        </w:rPr>
        <w:t>建造师编号：</w:t>
      </w:r>
      <w:r>
        <w:rPr>
          <w:rFonts w:hint="eastAsia" w:cs="宋体"/>
          <w:sz w:val="24"/>
          <w:szCs w:val="24"/>
          <w:lang w:val="en-US" w:eastAsia="zh-CN"/>
        </w:rPr>
        <w:t>豫241171715132</w:t>
      </w:r>
    </w:p>
    <w:p>
      <w:pPr>
        <w:spacing w:line="360" w:lineRule="auto"/>
        <w:ind w:firstLine="482" w:firstLineChars="200"/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  <w:r>
        <w:rPr>
          <w:rFonts w:hint="eastAsia" w:cs="宋体"/>
          <w:sz w:val="24"/>
          <w:szCs w:val="24"/>
          <w:lang w:val="en-US" w:eastAsia="zh-CN"/>
        </w:rPr>
        <w:t>1、苌庄镇党沟村村内道路硬化工程；2、禹州市鸠山镇张家庄村道路工程。</w:t>
      </w:r>
    </w:p>
    <w:p>
      <w:pPr>
        <w:spacing w:line="360" w:lineRule="auto"/>
        <w:ind w:firstLine="482" w:firstLineChars="200"/>
        <w:rPr>
          <w:rFonts w:hint="default" w:eastAsia="宋体" w:cs="Times New Roman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投标文件中填报的单位项目业绩名称：</w:t>
      </w:r>
      <w:r>
        <w:rPr>
          <w:rFonts w:hint="eastAsia" w:cs="宋体"/>
          <w:sz w:val="24"/>
          <w:szCs w:val="24"/>
          <w:lang w:val="en-US" w:eastAsia="zh-CN"/>
        </w:rPr>
        <w:t>1、禹州市磨街乡马垌村道路硬化工程；2、禹州市磨街乡陈庄村道路硬化工程。</w:t>
      </w:r>
    </w:p>
    <w:p>
      <w:pPr>
        <w:pStyle w:val="7"/>
        <w:widowControl/>
        <w:shd w:val="clear" w:color="auto" w:fill="FFFFFF"/>
        <w:spacing w:beforeAutospacing="0" w:afterAutospacing="0" w:line="432" w:lineRule="auto"/>
        <w:ind w:firstLine="482" w:firstLineChars="200"/>
        <w:rPr>
          <w:rFonts w:hint="eastAsia" w:ascii="宋体" w:eastAsia="宋体" w:cs="Times New Roman"/>
          <w:b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第二中标候选人：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 xml:space="preserve">新乡市万宏建筑有限公司 </w:t>
      </w:r>
    </w:p>
    <w:p>
      <w:pPr>
        <w:spacing w:line="360" w:lineRule="auto"/>
        <w:ind w:firstLine="480" w:firstLineChars="2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1124325.00元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大写：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壹佰壹拾贰万肆仟叁佰贰拾伍元整 </w:t>
      </w:r>
    </w:p>
    <w:p>
      <w:pPr>
        <w:spacing w:line="360" w:lineRule="auto"/>
        <w:ind w:firstLine="480" w:firstLineChars="2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日历天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质量标准：合格</w:t>
      </w:r>
    </w:p>
    <w:p>
      <w:pPr>
        <w:spacing w:line="360" w:lineRule="auto"/>
        <w:ind w:firstLine="480" w:firstLineChars="2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项目经理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范宏伟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      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证书名称：</w:t>
      </w:r>
      <w:r>
        <w:rPr>
          <w:rFonts w:hint="eastAsia" w:cs="宋体"/>
          <w:sz w:val="24"/>
          <w:szCs w:val="24"/>
          <w:lang w:val="en-US" w:eastAsia="zh-CN"/>
        </w:rPr>
        <w:t>二级注册建造师</w:t>
      </w:r>
    </w:p>
    <w:p>
      <w:pPr>
        <w:spacing w:line="360" w:lineRule="auto"/>
        <w:ind w:firstLine="480" w:firstLineChars="2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注册建造师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豫241171710822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482" w:firstLineChars="200"/>
        <w:rPr>
          <w:rFonts w:hint="eastAsia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1、新乡县大召营镇 2018 年一事一议文营村道路及大召营村排水工程二标段 （三次） ；2、濮阳市光明化工有限公司园区库房建设项目。</w:t>
      </w:r>
    </w:p>
    <w:p>
      <w:pPr>
        <w:spacing w:line="360" w:lineRule="auto"/>
        <w:ind w:firstLine="482" w:firstLineChars="200"/>
        <w:rPr>
          <w:rFonts w:hint="eastAsia" w:eastAsia="宋体" w:cs="Times New Roman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投标文件中填报的单位项目业绩名称：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1、新乡平原新区滨湖小镇景观道路工程 ；2、封丘县 2018 年统筹整合财政涉农资金道路、文化广场建设项目施工及监理 （第二批）。 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sz w:val="24"/>
          <w:szCs w:val="24"/>
        </w:rPr>
        <w:t>第三中标候选人：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河南远诚建设工程有限公司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投标报价：1125277.00元           大写：壹佰壹拾贰万伍仟贰佰柒拾柒元整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工期：30日历天                   质量标准：合格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项目经理:王善甫               证书名称：二级注册建造师</w:t>
      </w:r>
    </w:p>
    <w:p>
      <w:pPr>
        <w:spacing w:line="360" w:lineRule="auto"/>
        <w:ind w:firstLine="480" w:firstLineChars="200"/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注册建造师编号：豫 241151578158</w:t>
      </w:r>
    </w:p>
    <w:p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投标文件中填报的项目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业绩名称：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1、禹州市无梁镇 2017 年一事一议刘庄村沥青道路铺设项目；2、禹州市无梁镇 2017 年一事一议卢庄村水泥路硬化项目。</w:t>
      </w:r>
    </w:p>
    <w:p>
      <w:pPr>
        <w:spacing w:line="360" w:lineRule="auto"/>
        <w:ind w:firstLine="482" w:firstLineChars="200"/>
        <w:rPr>
          <w:rFonts w:hint="eastAsia" w:eastAsia="宋体" w:cs="Times New Roman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投标文件中填报的单位项目业绩名称：</w:t>
      </w:r>
      <w:r>
        <w:rPr>
          <w:rFonts w:hint="eastAsia" w:cs="宋体"/>
          <w:sz w:val="24"/>
          <w:szCs w:val="24"/>
          <w:lang w:val="en-US" w:eastAsia="zh-CN"/>
        </w:rPr>
        <w:t>1、禹州市无梁镇 2017 年一事一议大木厂文化广场建设项目；2、禹州市无梁镇 2017 年一事一议曹楼村沥青道路铺设项目。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八、澄清、说明、补正事项纪要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无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 w:eastAsia="zh-CN"/>
        </w:rPr>
        <w:t>九</w:t>
      </w:r>
      <w:r>
        <w:rPr>
          <w:rFonts w:hint="eastAsia" w:cs="宋体"/>
          <w:b/>
          <w:bCs/>
          <w:sz w:val="24"/>
          <w:szCs w:val="24"/>
          <w:lang w:val="zh-CN"/>
        </w:rPr>
        <w:t>、公示期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2019</w:t>
      </w:r>
      <w:r>
        <w:rPr>
          <w:rFonts w:hint="eastAsia" w:cs="宋体"/>
          <w:sz w:val="24"/>
          <w:szCs w:val="24"/>
          <w:lang w:val="zh-CN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10</w:t>
      </w:r>
      <w:r>
        <w:rPr>
          <w:rFonts w:hint="eastAsia" w:cs="宋体"/>
          <w:sz w:val="24"/>
          <w:szCs w:val="24"/>
          <w:lang w:val="zh-CN" w:eastAsia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18</w:t>
      </w:r>
      <w:r>
        <w:rPr>
          <w:rFonts w:hint="eastAsia" w:cs="宋体"/>
          <w:sz w:val="24"/>
          <w:szCs w:val="24"/>
          <w:lang w:val="zh-CN" w:eastAsia="zh-CN"/>
        </w:rPr>
        <w:t>日</w:t>
      </w:r>
      <w:r>
        <w:rPr>
          <w:rFonts w:hint="default" w:cs="宋体"/>
          <w:sz w:val="24"/>
          <w:szCs w:val="24"/>
          <w:lang w:val="zh-CN" w:eastAsia="zh-CN"/>
        </w:rPr>
        <w:t>—</w:t>
      </w:r>
      <w:r>
        <w:rPr>
          <w:rFonts w:hint="eastAsia" w:cs="宋体"/>
          <w:sz w:val="24"/>
          <w:szCs w:val="24"/>
          <w:lang w:val="en-US" w:eastAsia="zh-CN"/>
        </w:rPr>
        <w:t>2019</w:t>
      </w:r>
      <w:r>
        <w:rPr>
          <w:rFonts w:hint="eastAsia" w:cs="宋体"/>
          <w:sz w:val="24"/>
          <w:szCs w:val="24"/>
          <w:lang w:val="zh-CN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10</w:t>
      </w:r>
      <w:r>
        <w:rPr>
          <w:rFonts w:hint="eastAsia" w:cs="宋体"/>
          <w:sz w:val="24"/>
          <w:szCs w:val="24"/>
          <w:lang w:val="zh-CN" w:eastAsia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  <w:lang w:val="zh-CN" w:eastAsia="zh-CN"/>
        </w:rPr>
        <w:t>日</w:t>
      </w:r>
    </w:p>
    <w:p>
      <w:pPr>
        <w:spacing w:line="360" w:lineRule="auto"/>
        <w:rPr>
          <w:rFonts w:hint="default" w:ascii="Calibri" w:hAnsi="Calibri" w:eastAsia="宋体" w:cs="宋体"/>
          <w:b/>
          <w:bCs/>
          <w:kern w:val="2"/>
          <w:sz w:val="24"/>
          <w:szCs w:val="24"/>
          <w:lang w:val="zh-CN" w:eastAsia="zh-CN" w:bidi="ar-SA"/>
        </w:rPr>
      </w:pP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zh-CN" w:eastAsia="zh-CN" w:bidi="ar-SA"/>
        </w:rPr>
        <w:t>十、联系方式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 w:eastAsia="zh-CN"/>
        </w:rPr>
      </w:pPr>
      <w:r>
        <w:rPr>
          <w:rFonts w:hint="eastAsia" w:cs="宋体"/>
          <w:sz w:val="24"/>
          <w:szCs w:val="24"/>
          <w:lang w:val="zh-CN" w:eastAsia="zh-CN"/>
        </w:rPr>
        <w:t>招 标 人：</w:t>
      </w:r>
      <w:r>
        <w:rPr>
          <w:rFonts w:hint="eastAsia" w:cs="宋体"/>
          <w:sz w:val="24"/>
          <w:szCs w:val="24"/>
          <w:lang w:val="en-US" w:eastAsia="zh-CN"/>
        </w:rPr>
        <w:t>禹州市浅井镇人民政府</w:t>
      </w:r>
      <w:r>
        <w:rPr>
          <w:rFonts w:hint="eastAsia" w:cs="宋体"/>
          <w:sz w:val="24"/>
          <w:szCs w:val="24"/>
          <w:lang w:val="zh-CN" w:eastAsia="zh-CN"/>
        </w:rPr>
        <w:t xml:space="preserve">            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 w:eastAsia="zh-CN"/>
        </w:rPr>
      </w:pPr>
      <w:r>
        <w:rPr>
          <w:rFonts w:hint="eastAsia" w:cs="宋体"/>
          <w:sz w:val="24"/>
          <w:szCs w:val="24"/>
          <w:lang w:val="zh-CN" w:eastAsia="zh-CN"/>
        </w:rPr>
        <w:t>联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zh-CN" w:eastAsia="zh-CN"/>
        </w:rPr>
        <w:t>系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zh-CN" w:eastAsia="zh-CN"/>
        </w:rPr>
        <w:t>人：时</w:t>
      </w:r>
      <w:r>
        <w:rPr>
          <w:rFonts w:hint="eastAsia" w:cs="宋体"/>
          <w:sz w:val="24"/>
          <w:szCs w:val="24"/>
          <w:lang w:val="en-US" w:eastAsia="zh-CN"/>
        </w:rPr>
        <w:t>先生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 w:eastAsia="zh-CN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0374-8751005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 w:eastAsia="zh-CN"/>
        </w:rPr>
      </w:pPr>
      <w:r>
        <w:rPr>
          <w:rFonts w:hint="eastAsia" w:cs="宋体"/>
          <w:sz w:val="24"/>
          <w:szCs w:val="24"/>
          <w:lang w:val="zh-CN" w:eastAsia="zh-CN"/>
        </w:rPr>
        <w:t>代理机构：河南建标工程管理有限公司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zh-CN" w:eastAsia="zh-CN"/>
        </w:rPr>
        <w:t>联系人：</w:t>
      </w:r>
      <w:r>
        <w:rPr>
          <w:rFonts w:hint="eastAsia" w:cs="宋体"/>
          <w:sz w:val="24"/>
          <w:szCs w:val="24"/>
          <w:lang w:val="en-US" w:eastAsia="zh-CN"/>
        </w:rPr>
        <w:t>李先生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 w:eastAsia="zh-CN"/>
        </w:rPr>
        <w:t>联系电话：0374-</w:t>
      </w:r>
      <w:r>
        <w:rPr>
          <w:rFonts w:hint="eastAsia" w:cs="宋体"/>
          <w:sz w:val="24"/>
          <w:szCs w:val="24"/>
          <w:lang w:val="en-US" w:eastAsia="zh-CN"/>
        </w:rPr>
        <w:t>7397667</w:t>
      </w:r>
    </w:p>
    <w:p>
      <w:pPr>
        <w:pStyle w:val="2"/>
        <w:rPr>
          <w:rFonts w:hint="eastAsia" w:cs="宋体"/>
          <w:sz w:val="24"/>
          <w:szCs w:val="24"/>
          <w:lang w:val="zh-CN"/>
        </w:rPr>
      </w:pPr>
    </w:p>
    <w:p>
      <w:pPr>
        <w:pStyle w:val="2"/>
        <w:rPr>
          <w:rFonts w:hint="eastAsia" w:cs="宋体"/>
          <w:sz w:val="24"/>
          <w:szCs w:val="24"/>
          <w:lang w:val="zh-CN"/>
        </w:rPr>
      </w:pPr>
    </w:p>
    <w:p>
      <w:pPr>
        <w:pStyle w:val="2"/>
        <w:rPr>
          <w:rFonts w:hint="eastAsia" w:cs="宋体"/>
          <w:sz w:val="24"/>
          <w:szCs w:val="24"/>
          <w:lang w:val="zh-CN"/>
        </w:rPr>
      </w:pPr>
    </w:p>
    <w:p>
      <w:pPr>
        <w:pStyle w:val="2"/>
        <w:rPr>
          <w:rFonts w:hint="eastAsia" w:cs="宋体"/>
          <w:sz w:val="24"/>
          <w:szCs w:val="24"/>
          <w:lang w:val="zh-CN"/>
        </w:rPr>
      </w:pPr>
    </w:p>
    <w:p>
      <w:pPr>
        <w:pStyle w:val="2"/>
        <w:ind w:left="0" w:leftChars="0" w:firstLine="0" w:firstLineChars="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DEB5"/>
    <w:multiLevelType w:val="singleLevel"/>
    <w:tmpl w:val="67E3DEB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45F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60468"/>
    <w:rsid w:val="0056341D"/>
    <w:rsid w:val="0058077B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3483B"/>
    <w:rsid w:val="006406E3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  <w:rsid w:val="0301134C"/>
    <w:rsid w:val="048272C9"/>
    <w:rsid w:val="05D9682F"/>
    <w:rsid w:val="06617E69"/>
    <w:rsid w:val="08697BDB"/>
    <w:rsid w:val="0D876DE7"/>
    <w:rsid w:val="0E527380"/>
    <w:rsid w:val="0EF34782"/>
    <w:rsid w:val="0F805124"/>
    <w:rsid w:val="100F3881"/>
    <w:rsid w:val="157D18D1"/>
    <w:rsid w:val="16A07F2B"/>
    <w:rsid w:val="16F348BF"/>
    <w:rsid w:val="17D864D8"/>
    <w:rsid w:val="1D5E755D"/>
    <w:rsid w:val="21393672"/>
    <w:rsid w:val="23377D39"/>
    <w:rsid w:val="237D4F98"/>
    <w:rsid w:val="24AD5819"/>
    <w:rsid w:val="24F92EC1"/>
    <w:rsid w:val="25A06421"/>
    <w:rsid w:val="27A75247"/>
    <w:rsid w:val="29912953"/>
    <w:rsid w:val="29E828C3"/>
    <w:rsid w:val="2BE676DC"/>
    <w:rsid w:val="2CCA6233"/>
    <w:rsid w:val="2DEE1A0C"/>
    <w:rsid w:val="2F942410"/>
    <w:rsid w:val="308232C6"/>
    <w:rsid w:val="32680B27"/>
    <w:rsid w:val="34685A9D"/>
    <w:rsid w:val="36ED3F70"/>
    <w:rsid w:val="374352C8"/>
    <w:rsid w:val="38F15AE2"/>
    <w:rsid w:val="395636D4"/>
    <w:rsid w:val="40A71ADE"/>
    <w:rsid w:val="40E40073"/>
    <w:rsid w:val="42405143"/>
    <w:rsid w:val="48215F57"/>
    <w:rsid w:val="495A53D6"/>
    <w:rsid w:val="49BE37B8"/>
    <w:rsid w:val="4B76277A"/>
    <w:rsid w:val="4DBC2CFE"/>
    <w:rsid w:val="4E05253F"/>
    <w:rsid w:val="56F034C1"/>
    <w:rsid w:val="58BD4ACC"/>
    <w:rsid w:val="5C4948A8"/>
    <w:rsid w:val="5D953592"/>
    <w:rsid w:val="62AB41EA"/>
    <w:rsid w:val="62B02867"/>
    <w:rsid w:val="63F36B8A"/>
    <w:rsid w:val="67117CA6"/>
    <w:rsid w:val="67157DA1"/>
    <w:rsid w:val="673246D1"/>
    <w:rsid w:val="68636A75"/>
    <w:rsid w:val="69472C4F"/>
    <w:rsid w:val="69B0367A"/>
    <w:rsid w:val="69C861C3"/>
    <w:rsid w:val="6B253B6A"/>
    <w:rsid w:val="6D777C9A"/>
    <w:rsid w:val="700C13E6"/>
    <w:rsid w:val="72D7684C"/>
    <w:rsid w:val="792F066D"/>
    <w:rsid w:val="79A67137"/>
    <w:rsid w:val="7A3907AC"/>
    <w:rsid w:val="7F413AB5"/>
    <w:rsid w:val="7FC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link w:val="14"/>
    <w:semiHidden/>
    <w:qFormat/>
    <w:uiPriority w:val="99"/>
    <w:pPr>
      <w:spacing w:after="120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b/>
      <w:bCs/>
    </w:rPr>
  </w:style>
  <w:style w:type="character" w:customStyle="1" w:styleId="12">
    <w:name w:val="页眉 Char"/>
    <w:basedOn w:val="10"/>
    <w:link w:val="6"/>
    <w:qFormat/>
    <w:locked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正文文本 Char"/>
    <w:basedOn w:val="10"/>
    <w:link w:val="3"/>
    <w:semiHidden/>
    <w:qFormat/>
    <w:locked/>
    <w:uiPriority w:val="99"/>
  </w:style>
  <w:style w:type="character" w:customStyle="1" w:styleId="15">
    <w:name w:val="正文首行缩进 Char"/>
    <w:basedOn w:val="14"/>
    <w:link w:val="2"/>
    <w:qFormat/>
    <w:locked/>
    <w:uiPriority w:val="99"/>
    <w:rPr>
      <w:rFonts w:ascii="Calibri" w:hAnsi="Calibri" w:eastAsia="宋体" w:cs="Calibri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E6C23-DA3E-4E07-85DC-0B6B5EBCC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416</Words>
  <Characters>2377</Characters>
  <Lines>19</Lines>
  <Paragraphs>5</Paragraphs>
  <TotalTime>17</TotalTime>
  <ScaleCrop>false</ScaleCrop>
  <LinksUpToDate>false</LinksUpToDate>
  <CharactersWithSpaces>2788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2017-11-02T02:14:00Z</dcterms:created>
  <dc:creator>DHZB004</dc:creator>
  <cp:lastModifiedBy>河南建标工程管理有限公司:李松岳</cp:lastModifiedBy>
  <cp:lastPrinted>2019-10-16T05:33:00Z</cp:lastPrinted>
  <dcterms:modified xsi:type="dcterms:W3CDTF">2019-10-18T01:41:40Z</dcterms:modified>
  <cp:revision>488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