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36"/>
          <w:szCs w:val="44"/>
          <w:u w:val="none"/>
          <w:shd w:val="clear" w:fill="FFFFFF"/>
          <w:lang w:val="en-US" w:eastAsia="zh-CN"/>
        </w:rPr>
      </w:pPr>
      <w:r>
        <w:rPr>
          <w:rFonts w:hint="eastAsia" w:ascii="黑体" w:hAnsi="黑体" w:eastAsia="黑体" w:cs="黑体"/>
          <w:b/>
          <w:color w:val="000000"/>
          <w:sz w:val="36"/>
          <w:szCs w:val="44"/>
          <w:u w:val="none"/>
          <w:shd w:val="clear" w:fill="FFFFFF"/>
          <w:lang w:val="en-US" w:eastAsia="zh-CN"/>
        </w:rPr>
        <w:t xml:space="preserve">禹州市小吕乡镇村生活污水处理设施运营项目 </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36"/>
          <w:szCs w:val="44"/>
          <w:u w:val="none"/>
          <w:shd w:val="clear" w:fill="FFFFFF"/>
          <w:lang w:val="en-US" w:eastAsia="zh-CN"/>
        </w:rPr>
      </w:pPr>
      <w:r>
        <w:rPr>
          <w:rFonts w:hint="eastAsia" w:ascii="黑体" w:hAnsi="黑体" w:eastAsia="黑体" w:cs="黑体"/>
          <w:b/>
          <w:color w:val="000000"/>
          <w:sz w:val="36"/>
          <w:szCs w:val="44"/>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ind w:firstLine="320" w:firstLineChars="100"/>
        <w:jc w:val="left"/>
        <w:rPr>
          <w:rFonts w:hint="default" w:ascii="仿宋" w:hAnsi="仿宋" w:eastAsia="仿宋" w:cs="仿宋"/>
          <w:color w:val="000000"/>
          <w:w w:val="90"/>
          <w:sz w:val="32"/>
          <w:szCs w:val="32"/>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w:t>
      </w:r>
      <w:r>
        <w:rPr>
          <w:rFonts w:hint="eastAsia" w:ascii="仿宋" w:hAnsi="仿宋" w:eastAsia="仿宋" w:cs="仿宋"/>
          <w:color w:val="000000"/>
          <w:w w:val="90"/>
          <w:sz w:val="32"/>
          <w:szCs w:val="32"/>
          <w:u w:val="none"/>
          <w:shd w:val="clear" w:fill="FFFFFF"/>
          <w:lang w:val="en-US" w:eastAsia="zh-CN"/>
        </w:rPr>
        <w:t xml:space="preserve">禹州市小吕乡镇村生活污水处理设施运营项目 </w:t>
      </w:r>
    </w:p>
    <w:p>
      <w:pPr>
        <w:numPr>
          <w:ilvl w:val="0"/>
          <w:numId w:val="1"/>
        </w:numPr>
        <w:spacing w:line="600" w:lineRule="exact"/>
        <w:ind w:firstLine="320" w:firstLineChars="100"/>
        <w:jc w:val="both"/>
        <w:rPr>
          <w:rFonts w:hint="eastAsia" w:ascii="仿宋" w:hAnsi="仿宋" w:eastAsia="仿宋" w:cs="仿宋"/>
          <w:kern w:val="0"/>
          <w:sz w:val="32"/>
          <w:szCs w:val="32"/>
          <w:lang w:val="en-US" w:eastAsia="zh-CN" w:bidi="ar"/>
        </w:rPr>
      </w:pPr>
      <w:r>
        <w:rPr>
          <w:rFonts w:hint="eastAsia" w:ascii="仿宋" w:hAnsi="仿宋" w:eastAsia="仿宋" w:cs="仿宋"/>
          <w:color w:val="000000"/>
          <w:sz w:val="32"/>
          <w:szCs w:val="32"/>
          <w:u w:val="none"/>
          <w:shd w:val="clear" w:fill="FFFFFF"/>
        </w:rPr>
        <w:t>项目编号：</w:t>
      </w:r>
      <w:r>
        <w:rPr>
          <w:rFonts w:hint="eastAsia" w:ascii="仿宋" w:hAnsi="仿宋" w:eastAsia="仿宋" w:cs="仿宋"/>
          <w:kern w:val="0"/>
          <w:sz w:val="32"/>
          <w:szCs w:val="32"/>
          <w:lang w:val="en-US" w:eastAsia="zh-CN" w:bidi="ar"/>
        </w:rPr>
        <w:t>YZCG-G2019219</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16</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16日9:00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34.05万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jc w:val="center"/>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jc w:val="center"/>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jc w:val="center"/>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河南久丰建设工程有限公司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339,931.77</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cstheme="minorBidi"/>
                <w:kern w:val="0"/>
                <w:sz w:val="24"/>
                <w:szCs w:val="24"/>
                <w:lang w:val="en-US" w:eastAsia="zh-CN" w:bidi="ar"/>
              </w:rPr>
            </w:pPr>
            <w:r>
              <w:rPr>
                <w:rFonts w:hint="eastAsia"/>
                <w:lang w:val="en-US" w:eastAsia="zh-CN"/>
              </w:rPr>
              <w:t>以</w:t>
            </w:r>
            <w:r>
              <w:rPr>
                <w:rFonts w:hint="eastAsia"/>
              </w:rPr>
              <w:t>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jc w:val="center"/>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河南卓阳建筑工程有限公司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339,920.80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HAnsi" w:hAnsiTheme="minorHAnsi" w:eastAsiaTheme="minorEastAsia" w:cstheme="minorBidi"/>
                <w:kern w:val="0"/>
                <w:sz w:val="24"/>
                <w:szCs w:val="24"/>
                <w:lang w:val="en-US" w:eastAsia="zh-CN" w:bidi="ar"/>
              </w:rPr>
            </w:pPr>
            <w:r>
              <w:rPr>
                <w:rFonts w:hint="eastAsia"/>
                <w:lang w:val="en-US" w:eastAsia="zh-CN"/>
              </w:rPr>
              <w:t>以</w:t>
            </w:r>
            <w:r>
              <w:rPr>
                <w:rFonts w:hint="eastAsia"/>
              </w:rPr>
              <w:t>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jc w:val="center"/>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浙江迈图环保科技有限公司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339,524.36</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rPr>
              <w:t>以签订合同为准</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河南久丰建设工程有限公司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 xml:space="preserve">浙江迈图环保科技有限公司 </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72"/>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jc w:val="center"/>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jc w:val="center"/>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color w:val="000000"/>
                <w:kern w:val="0"/>
                <w:sz w:val="24"/>
                <w:szCs w:val="24"/>
                <w:lang w:val="en-US" w:eastAsia="zh-CN" w:bidi="ar"/>
              </w:rPr>
              <w:t>河南久丰建设工程有限公司</w:t>
            </w:r>
          </w:p>
        </w:tc>
      </w:tr>
      <w:tr>
        <w:tblPrEx>
          <w:tblLayout w:type="fixed"/>
          <w:tblCellMar>
            <w:top w:w="0" w:type="dxa"/>
            <w:left w:w="0" w:type="dxa"/>
            <w:bottom w:w="0" w:type="dxa"/>
            <w:right w:w="0" w:type="dxa"/>
          </w:tblCellMar>
        </w:tblPrEx>
        <w:trPr>
          <w:trHeight w:val="1011" w:hRule="atLeast"/>
          <w:jc w:val="center"/>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29.96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54.96</w:t>
            </w:r>
          </w:p>
        </w:tc>
      </w:tr>
      <w:tr>
        <w:tblPrEx>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29.96</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52.96</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29.96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53.96</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29.96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52.96</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29.96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52.96</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53.56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jc w:val="center"/>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jc w:val="center"/>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color w:val="000000"/>
                <w:kern w:val="0"/>
                <w:sz w:val="24"/>
                <w:szCs w:val="24"/>
                <w:lang w:val="en-US" w:eastAsia="zh-CN" w:bidi="ar"/>
              </w:rPr>
              <w:t>河南卓阳建筑工程有限公司</w:t>
            </w:r>
          </w:p>
        </w:tc>
      </w:tr>
      <w:tr>
        <w:tblPrEx>
          <w:tblLayout w:type="fixed"/>
          <w:tblCellMar>
            <w:top w:w="0" w:type="dxa"/>
            <w:left w:w="0" w:type="dxa"/>
            <w:bottom w:w="0" w:type="dxa"/>
            <w:right w:w="0" w:type="dxa"/>
          </w:tblCellMar>
        </w:tblPrEx>
        <w:trPr>
          <w:trHeight w:val="1515" w:hRule="atLeast"/>
          <w:jc w:val="center"/>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29.97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50.97</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29.97</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53.97</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29.97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51.97</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29.97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59.97</w:t>
            </w:r>
          </w:p>
        </w:tc>
      </w:tr>
      <w:tr>
        <w:tblPrEx>
          <w:shd w:val="clear" w:color="auto" w:fill="auto"/>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29.97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51.97</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53.77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jc w:val="center"/>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jc w:val="center"/>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color w:val="000000"/>
                <w:kern w:val="0"/>
                <w:sz w:val="24"/>
                <w:szCs w:val="24"/>
                <w:lang w:val="en-US" w:eastAsia="zh-CN" w:bidi="ar"/>
              </w:rPr>
              <w:t xml:space="preserve">浙江迈图环保科技有限公司 </w:t>
            </w:r>
          </w:p>
        </w:tc>
      </w:tr>
      <w:tr>
        <w:tblPrEx>
          <w:tblLayout w:type="fixed"/>
          <w:tblCellMar>
            <w:top w:w="0" w:type="dxa"/>
            <w:left w:w="0" w:type="dxa"/>
            <w:bottom w:w="0" w:type="dxa"/>
            <w:right w:w="0" w:type="dxa"/>
          </w:tblCellMar>
        </w:tblPrEx>
        <w:trPr>
          <w:trHeight w:val="1430" w:hRule="atLeast"/>
          <w:jc w:val="center"/>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80</w:t>
            </w:r>
          </w:p>
        </w:tc>
      </w:tr>
      <w:tr>
        <w:tblPrEx>
          <w:tblLayout w:type="fixed"/>
          <w:tblCellMar>
            <w:top w:w="0" w:type="dxa"/>
            <w:left w:w="0" w:type="dxa"/>
            <w:bottom w:w="0" w:type="dxa"/>
            <w:right w:w="0" w:type="dxa"/>
          </w:tblCellMar>
        </w:tblPrEx>
        <w:trPr>
          <w:trHeight w:val="510" w:hRule="atLeast"/>
          <w:jc w:val="center"/>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82</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81</w:t>
            </w:r>
          </w:p>
        </w:tc>
      </w:tr>
      <w:tr>
        <w:tblPrEx>
          <w:tblLayout w:type="fixed"/>
          <w:tblCellMar>
            <w:top w:w="0" w:type="dxa"/>
            <w:left w:w="0" w:type="dxa"/>
            <w:bottom w:w="0" w:type="dxa"/>
            <w:right w:w="0" w:type="dxa"/>
          </w:tblCellMar>
        </w:tblPrEx>
        <w:trPr>
          <w:trHeight w:val="510" w:hRule="atLeast"/>
          <w:jc w:val="center"/>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80.2</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河南久丰建设工程有限公司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53.56</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河南卓阳建筑工程有限公司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53.77</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 xml:space="preserve">浙江迈图环保科技有限公司 </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80.2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第一中标候选人：浙江迈图环保科技有限公司</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地址：浙江省绍兴市斗门镇海塘路 70 号车间四 215 室</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电话：15972896389     邮政编号：312000 .</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中标金额：339,524.36元</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第二中标候选人：河南卓阳建筑工程有限公司</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地址：安阳县住建局院内</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电话：0372--2076788      邮政编号：455100 </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中标金额：339,920.80元</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第三中标候选人：河南久丰建设工程有限公司</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地址：周口市庆丰街玖号院 2 号楼</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电话：15138323775   邮政编号：466000.</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中标金额：339,931.77元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24"/>
          <w:szCs w:val="24"/>
          <w:u w:val="none"/>
          <w:shd w:val="clear" w:fill="FFFFFF"/>
          <w:lang w:val="en-US" w:eastAsia="zh-CN"/>
        </w:rPr>
      </w:pPr>
      <w:r>
        <w:rPr>
          <w:rFonts w:hint="eastAsia" w:ascii="仿宋" w:hAnsi="仿宋" w:eastAsia="仿宋" w:cs="仿宋"/>
          <w:color w:val="000000"/>
          <w:sz w:val="24"/>
          <w:szCs w:val="24"/>
          <w:u w:val="none"/>
          <w:shd w:val="clear" w:fill="FFFFFF"/>
          <w:lang w:val="en-US" w:eastAsia="zh-CN"/>
        </w:rPr>
        <w:t xml:space="preserve">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2019年10月17</w:t>
      </w:r>
      <w:bookmarkStart w:id="0" w:name="_GoBack"/>
      <w:bookmarkEnd w:id="0"/>
      <w:r>
        <w:rPr>
          <w:rFonts w:hint="eastAsia" w:ascii="仿宋" w:hAnsi="仿宋" w:eastAsia="仿宋" w:cs="仿宋"/>
          <w:color w:val="000000"/>
          <w:sz w:val="24"/>
          <w:szCs w:val="24"/>
          <w:u w:val="none"/>
          <w:shd w:val="clear" w:fill="FFFFFF"/>
          <w:lang w:val="en-US" w:eastAsia="zh-CN"/>
        </w:rPr>
        <w:t>日</w:t>
      </w:r>
    </w:p>
    <w:sectPr>
      <w:headerReference r:id="rId3" w:type="default"/>
      <w:footerReference r:id="rId4" w:type="default"/>
      <w:pgSz w:w="11906" w:h="16838"/>
      <w:pgMar w:top="1327" w:right="1519" w:bottom="1440" w:left="1519"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4F75"/>
    <w:rsid w:val="03EE0E08"/>
    <w:rsid w:val="050E61B3"/>
    <w:rsid w:val="0568416F"/>
    <w:rsid w:val="08D75275"/>
    <w:rsid w:val="091D1846"/>
    <w:rsid w:val="09F03305"/>
    <w:rsid w:val="0D21183A"/>
    <w:rsid w:val="0E3D02A4"/>
    <w:rsid w:val="0F6B7734"/>
    <w:rsid w:val="0F947968"/>
    <w:rsid w:val="109A17DA"/>
    <w:rsid w:val="12BB5366"/>
    <w:rsid w:val="13A7762A"/>
    <w:rsid w:val="143425F3"/>
    <w:rsid w:val="144A3A3E"/>
    <w:rsid w:val="15033594"/>
    <w:rsid w:val="157129DD"/>
    <w:rsid w:val="15FC2A9B"/>
    <w:rsid w:val="17D926FA"/>
    <w:rsid w:val="18327544"/>
    <w:rsid w:val="1A5042D6"/>
    <w:rsid w:val="1BD00BD8"/>
    <w:rsid w:val="1D03587C"/>
    <w:rsid w:val="1D2F1724"/>
    <w:rsid w:val="1D863BDB"/>
    <w:rsid w:val="1E196947"/>
    <w:rsid w:val="219845BA"/>
    <w:rsid w:val="22034C9F"/>
    <w:rsid w:val="220719F2"/>
    <w:rsid w:val="22BF2B0F"/>
    <w:rsid w:val="23D527F8"/>
    <w:rsid w:val="24347A56"/>
    <w:rsid w:val="250F79CA"/>
    <w:rsid w:val="28B2034C"/>
    <w:rsid w:val="28F13684"/>
    <w:rsid w:val="29B06DA3"/>
    <w:rsid w:val="2AEB4FF8"/>
    <w:rsid w:val="2C7A62AD"/>
    <w:rsid w:val="2D080062"/>
    <w:rsid w:val="2D723D7C"/>
    <w:rsid w:val="2ED67925"/>
    <w:rsid w:val="2F4C455E"/>
    <w:rsid w:val="313C2C12"/>
    <w:rsid w:val="31534C8B"/>
    <w:rsid w:val="321D771D"/>
    <w:rsid w:val="363A185F"/>
    <w:rsid w:val="386B5961"/>
    <w:rsid w:val="387E3CE9"/>
    <w:rsid w:val="3A745AA5"/>
    <w:rsid w:val="3A7C53DA"/>
    <w:rsid w:val="3B1C631F"/>
    <w:rsid w:val="3BDA5757"/>
    <w:rsid w:val="3C2C4265"/>
    <w:rsid w:val="3CC736A9"/>
    <w:rsid w:val="3D375DAF"/>
    <w:rsid w:val="3DBE0FF1"/>
    <w:rsid w:val="3DD7020A"/>
    <w:rsid w:val="3E504CFE"/>
    <w:rsid w:val="3F9525A4"/>
    <w:rsid w:val="42A40D64"/>
    <w:rsid w:val="42A668D7"/>
    <w:rsid w:val="44EB3951"/>
    <w:rsid w:val="45B82664"/>
    <w:rsid w:val="463B1FB6"/>
    <w:rsid w:val="493123CC"/>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3048D0"/>
    <w:rsid w:val="5E943DC4"/>
    <w:rsid w:val="5E944783"/>
    <w:rsid w:val="604133F7"/>
    <w:rsid w:val="61676F9F"/>
    <w:rsid w:val="61B4681C"/>
    <w:rsid w:val="62094375"/>
    <w:rsid w:val="62DF2949"/>
    <w:rsid w:val="63B02821"/>
    <w:rsid w:val="64207847"/>
    <w:rsid w:val="64776005"/>
    <w:rsid w:val="66B44428"/>
    <w:rsid w:val="66C75080"/>
    <w:rsid w:val="681C0391"/>
    <w:rsid w:val="68962478"/>
    <w:rsid w:val="6AF90F2B"/>
    <w:rsid w:val="6C6726DC"/>
    <w:rsid w:val="6EC648B5"/>
    <w:rsid w:val="6F7613B8"/>
    <w:rsid w:val="6FC82958"/>
    <w:rsid w:val="71336BEC"/>
    <w:rsid w:val="73BF2DC6"/>
    <w:rsid w:val="74B27047"/>
    <w:rsid w:val="75B75AFB"/>
    <w:rsid w:val="75ED24AD"/>
    <w:rsid w:val="763860D4"/>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qFormat/>
    <w:uiPriority w:val="0"/>
  </w:style>
  <w:style w:type="character" w:customStyle="1" w:styleId="41">
    <w:name w:val="l_1"/>
    <w:basedOn w:val="7"/>
    <w:qFormat/>
    <w:uiPriority w:val="0"/>
  </w:style>
  <w:style w:type="character" w:customStyle="1" w:styleId="42">
    <w:name w:val="l_11"/>
    <w:basedOn w:val="7"/>
    <w:qFormat/>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2019-10-16T05:40:00Z</cp:lastPrinted>
  <dcterms:modified xsi:type="dcterms:W3CDTF">2019-10-17T08:45:37Z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