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仿宋" w:hAnsi="仿宋" w:eastAsia="仿宋"/>
          <w:b/>
          <w:sz w:val="44"/>
          <w:lang w:val="en-US" w:eastAsia="zh-CN"/>
        </w:rPr>
      </w:pPr>
      <w:r>
        <w:rPr>
          <w:rFonts w:hint="eastAsia" w:ascii="仿宋" w:hAnsi="仿宋" w:eastAsia="仿宋"/>
          <w:sz w:val="30"/>
          <w:lang w:val="en-US" w:eastAsia="zh-CN"/>
        </w:rPr>
        <w:t>禹州市顺店镇中心卫生院全自动血液分析仪采购项目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center"/>
        <w:textAlignment w:val="auto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评 标 报 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spacing w:line="600" w:lineRule="exact"/>
        <w:ind w:firstLine="562" w:firstLineChars="200"/>
        <w:rPr>
          <w:rFonts w:hint="default" w:ascii="宋体" w:hAnsi="宋体" w:eastAsia="宋体" w:cs="宋体"/>
          <w:b/>
          <w:bCs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sz w:val="30"/>
          <w:lang w:val="en-US" w:eastAsia="zh-CN"/>
        </w:rPr>
        <w:t>禹州市顺店镇中心卫生院全自动血液分析仪采购项目</w:t>
      </w:r>
      <w:r>
        <w:rPr>
          <w:rFonts w:hint="eastAsia"/>
          <w:b/>
          <w:sz w:val="44"/>
        </w:rPr>
        <w:t xml:space="preserve"> </w:t>
      </w:r>
    </w:p>
    <w:p>
      <w:pPr>
        <w:spacing w:line="600" w:lineRule="exact"/>
        <w:ind w:firstLine="562" w:firstLineChars="200"/>
        <w:jc w:val="both"/>
        <w:rPr>
          <w:rFonts w:hint="default" w:ascii="仿宋" w:hAnsi="仿宋" w:eastAsia="仿宋"/>
          <w:sz w:val="30"/>
          <w:lang w:val="en-US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sz w:val="30"/>
        </w:rPr>
        <w:t>YZCG-</w:t>
      </w:r>
      <w:r>
        <w:rPr>
          <w:rFonts w:hint="eastAsia" w:ascii="仿宋" w:hAnsi="仿宋" w:eastAsia="仿宋"/>
          <w:sz w:val="30"/>
          <w:lang w:val="en-US" w:eastAsia="zh-CN"/>
        </w:rPr>
        <w:t>X2019239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：2019年9月20</w:t>
      </w:r>
      <w:bookmarkStart w:id="0" w:name="_GoBack"/>
      <w:bookmarkEnd w:id="0"/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：2019年10月16日11时10分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 询价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 11.6万元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：资格后审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：中国政府采购网、河南省政府采购网、许昌市政府采购网、全国公共资源交易平台（河南省·许昌市）。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</w:t>
      </w:r>
    </w:p>
    <w:tbl>
      <w:tblPr>
        <w:tblStyle w:val="5"/>
        <w:tblpPr w:leftFromText="180" w:rightFromText="180" w:vertAnchor="text" w:horzAnchor="page" w:tblpX="1866" w:tblpY="156"/>
        <w:tblOverlap w:val="never"/>
        <w:tblW w:w="8496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sz w:val="30"/>
                <w:lang w:val="en-US" w:eastAsia="zh-CN"/>
              </w:rPr>
              <w:t>河南省民聚医疗器械有限公司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sz w:val="30"/>
                <w:lang w:val="en-US" w:eastAsia="zh-CN"/>
              </w:rPr>
              <w:t>许昌佳琦医疗器械有限公司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lang w:val="en-US" w:eastAsia="zh-CN"/>
              </w:rPr>
              <w:t>河南省德科特医疗器械有限公司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right="0" w:rightChars="0" w:firstLine="280" w:firstLineChars="1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符合性审查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leftChars="100" w:right="0" w:rightChars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   通过资质审查的三家供应商均通过复合性审查。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right="0" w:rightChars="0" w:firstLine="280" w:firstLineChars="10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</w:t>
      </w:r>
    </w:p>
    <w:tbl>
      <w:tblPr>
        <w:tblStyle w:val="6"/>
        <w:tblW w:w="89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8"/>
        <w:gridCol w:w="2795"/>
        <w:gridCol w:w="26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3488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6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投标商名称</w:t>
            </w:r>
          </w:p>
        </w:tc>
        <w:tc>
          <w:tcPr>
            <w:tcW w:w="279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6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  <w:t>第一次报价</w:t>
            </w:r>
          </w:p>
        </w:tc>
        <w:tc>
          <w:tcPr>
            <w:tcW w:w="261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6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  <w:t>最终报价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3488" w:type="dxa"/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</w:rPr>
            </w:pPr>
            <w:r>
              <w:rPr>
                <w:rFonts w:hint="eastAsia" w:ascii="仿宋" w:hAnsi="仿宋" w:eastAsia="仿宋"/>
                <w:sz w:val="30"/>
                <w:lang w:val="en-US" w:eastAsia="zh-CN"/>
              </w:rPr>
              <w:t>河南省民聚医疗器械有限公司</w:t>
            </w:r>
          </w:p>
        </w:tc>
        <w:tc>
          <w:tcPr>
            <w:tcW w:w="279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60" w:lineRule="auto"/>
              <w:ind w:right="0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  <w:t>115600.00</w:t>
            </w:r>
          </w:p>
        </w:tc>
        <w:tc>
          <w:tcPr>
            <w:tcW w:w="261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6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  <w:t>115600.00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3488" w:type="dxa"/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</w:rPr>
            </w:pPr>
            <w:r>
              <w:rPr>
                <w:rFonts w:hint="eastAsia" w:ascii="仿宋" w:hAnsi="仿宋" w:eastAsia="仿宋"/>
                <w:sz w:val="30"/>
                <w:lang w:val="en-US" w:eastAsia="zh-CN"/>
              </w:rPr>
              <w:t>许昌佳琦医疗器械有限公司</w:t>
            </w:r>
          </w:p>
        </w:tc>
        <w:tc>
          <w:tcPr>
            <w:tcW w:w="279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60" w:lineRule="auto"/>
              <w:ind w:right="0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  <w:t>115700.00</w:t>
            </w:r>
          </w:p>
        </w:tc>
        <w:tc>
          <w:tcPr>
            <w:tcW w:w="261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60" w:lineRule="auto"/>
              <w:ind w:right="0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  <w:t>115700.00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3488" w:type="dxa"/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</w:rPr>
            </w:pPr>
            <w:r>
              <w:rPr>
                <w:rFonts w:hint="eastAsia" w:ascii="仿宋" w:hAnsi="仿宋" w:eastAsia="仿宋"/>
                <w:sz w:val="30"/>
                <w:lang w:val="en-US" w:eastAsia="zh-CN"/>
              </w:rPr>
              <w:t>河南省德科特医疗器械有限公司</w:t>
            </w:r>
          </w:p>
        </w:tc>
        <w:tc>
          <w:tcPr>
            <w:tcW w:w="279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60" w:lineRule="auto"/>
              <w:ind w:right="0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  <w:t>115900.00</w:t>
            </w:r>
          </w:p>
        </w:tc>
        <w:tc>
          <w:tcPr>
            <w:tcW w:w="261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60" w:lineRule="auto"/>
              <w:ind w:right="0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  <w:t>115900.00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第一中标候选人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</w:t>
      </w: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t>选人（中标人）名称：</w:t>
      </w:r>
      <w:r>
        <w:rPr>
          <w:rFonts w:hint="eastAsia" w:ascii="仿宋" w:hAnsi="仿宋" w:eastAsia="仿宋"/>
          <w:sz w:val="30"/>
          <w:lang w:val="en-US" w:eastAsia="zh-CN"/>
        </w:rPr>
        <w:t>河南省民聚医疗器械有限公司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2560" w:leftChars="305" w:right="0" w:rightChars="0" w:hanging="1920" w:hangingChars="60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许昌市魏都区文峰办事处毓秀路19号1幢1至6层南侧部分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张景儒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18737136698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  <w:rPr>
          <w:rFonts w:hint="eastAsia" w:eastAsia="仿宋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壹拾壹万伍仟陆佰元整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vertAlign w:val="baseline"/>
          <w:lang w:val="en-US" w:eastAsia="zh-CN"/>
        </w:rPr>
        <w:t>115600.00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）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第二中标候选人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t>中标候选人（中标人）名称</w:t>
      </w: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  <w:lang w:eastAsia="zh-CN"/>
        </w:rPr>
        <w:t>：</w:t>
      </w:r>
      <w:r>
        <w:rPr>
          <w:rFonts w:hint="eastAsia" w:ascii="仿宋" w:hAnsi="仿宋" w:eastAsia="仿宋"/>
          <w:sz w:val="30"/>
          <w:lang w:val="en-US" w:eastAsia="zh-CN"/>
        </w:rPr>
        <w:t>许昌佳琦医疗器械有限公司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许昌市体育运动学校院内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贾艳秋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13849882337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  <w:rPr>
          <w:rFonts w:hint="eastAsia" w:eastAsia="仿宋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壹拾壹万伍仟柒佰元整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vertAlign w:val="baseline"/>
          <w:lang w:val="en-US" w:eastAsia="zh-CN"/>
        </w:rPr>
        <w:t>115700.00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）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第三中标候选人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t>中标候选人（中标人）名称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：</w:t>
      </w:r>
      <w:r>
        <w:rPr>
          <w:rFonts w:hint="eastAsia" w:ascii="仿宋" w:hAnsi="仿宋" w:eastAsia="仿宋"/>
          <w:sz w:val="30"/>
          <w:lang w:val="en-US" w:eastAsia="zh-CN"/>
        </w:rPr>
        <w:t>河南省德科特医疗器械有限公司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default" w:eastAsia="仿宋"/>
          <w:spacing w:val="-20"/>
          <w:lang w:val="en-US" w:eastAsia="zh-CN"/>
        </w:rPr>
      </w:pP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  <w:lang w:val="en-US" w:eastAsia="zh-CN"/>
        </w:rPr>
        <w:t>许昌市东城区陈庄街陈庄社区1号楼1楼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宋朝刚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13083745556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壹拾壹万伍仟玖佰元整（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vertAlign w:val="baseline"/>
          <w:lang w:val="en-US" w:eastAsia="zh-CN"/>
        </w:rPr>
        <w:t>115900.00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无。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六、是否存在谈判小组成员更换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否。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40" w:firstLineChars="23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40" w:firstLineChars="23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40" w:firstLineChars="23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2019年10月17日</w:t>
      </w:r>
    </w:p>
    <w:sectPr>
      <w:footerReference r:id="rId3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DC523CC"/>
    <w:multiLevelType w:val="singleLevel"/>
    <w:tmpl w:val="BDC523C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CDBC53CB"/>
    <w:multiLevelType w:val="singleLevel"/>
    <w:tmpl w:val="CDBC53CB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F9463A37"/>
    <w:multiLevelType w:val="singleLevel"/>
    <w:tmpl w:val="F9463A3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2C4EE6C9"/>
    <w:multiLevelType w:val="singleLevel"/>
    <w:tmpl w:val="2C4EE6C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D4A4B"/>
    <w:rsid w:val="00FC5942"/>
    <w:rsid w:val="01922D54"/>
    <w:rsid w:val="08C90D30"/>
    <w:rsid w:val="0A5D6E52"/>
    <w:rsid w:val="0BA93A0C"/>
    <w:rsid w:val="0CA9560F"/>
    <w:rsid w:val="0CE85A73"/>
    <w:rsid w:val="0D6E4409"/>
    <w:rsid w:val="0D726A2D"/>
    <w:rsid w:val="0F891EC3"/>
    <w:rsid w:val="100C6550"/>
    <w:rsid w:val="10D748B9"/>
    <w:rsid w:val="13C516E0"/>
    <w:rsid w:val="13E67329"/>
    <w:rsid w:val="16F3650C"/>
    <w:rsid w:val="179F732E"/>
    <w:rsid w:val="1800132B"/>
    <w:rsid w:val="18BF1EFD"/>
    <w:rsid w:val="1A6D3F70"/>
    <w:rsid w:val="1B580BAB"/>
    <w:rsid w:val="1BEB3B58"/>
    <w:rsid w:val="1DE50B36"/>
    <w:rsid w:val="1F4C48F5"/>
    <w:rsid w:val="1FB05310"/>
    <w:rsid w:val="20FF035D"/>
    <w:rsid w:val="21BF58AC"/>
    <w:rsid w:val="24821DCF"/>
    <w:rsid w:val="269641F3"/>
    <w:rsid w:val="276E3253"/>
    <w:rsid w:val="27B5685D"/>
    <w:rsid w:val="281305DD"/>
    <w:rsid w:val="294E3F10"/>
    <w:rsid w:val="2B8F7509"/>
    <w:rsid w:val="2CF75FAD"/>
    <w:rsid w:val="2D025898"/>
    <w:rsid w:val="2DD258D0"/>
    <w:rsid w:val="2DF8188F"/>
    <w:rsid w:val="2F1E094E"/>
    <w:rsid w:val="30F110BA"/>
    <w:rsid w:val="312C7E46"/>
    <w:rsid w:val="3640561C"/>
    <w:rsid w:val="378D1AE3"/>
    <w:rsid w:val="38AA3975"/>
    <w:rsid w:val="3C9B1C1E"/>
    <w:rsid w:val="3D0922B5"/>
    <w:rsid w:val="3F014BD7"/>
    <w:rsid w:val="3FF20CE4"/>
    <w:rsid w:val="4227708B"/>
    <w:rsid w:val="4556628A"/>
    <w:rsid w:val="47410E15"/>
    <w:rsid w:val="47E40D79"/>
    <w:rsid w:val="48881D94"/>
    <w:rsid w:val="48CC0AB7"/>
    <w:rsid w:val="49996A42"/>
    <w:rsid w:val="4B2C1C43"/>
    <w:rsid w:val="4CB7279A"/>
    <w:rsid w:val="4CF35729"/>
    <w:rsid w:val="4D3C2317"/>
    <w:rsid w:val="4DB41399"/>
    <w:rsid w:val="4DD80B56"/>
    <w:rsid w:val="4E5A792C"/>
    <w:rsid w:val="4FF97F4A"/>
    <w:rsid w:val="535E02D6"/>
    <w:rsid w:val="578B2CFC"/>
    <w:rsid w:val="57E437E4"/>
    <w:rsid w:val="57FE7887"/>
    <w:rsid w:val="5ADF2845"/>
    <w:rsid w:val="5D284BBF"/>
    <w:rsid w:val="5DF33F88"/>
    <w:rsid w:val="5FA94EBD"/>
    <w:rsid w:val="60047B65"/>
    <w:rsid w:val="61522E5D"/>
    <w:rsid w:val="61FC32E6"/>
    <w:rsid w:val="65E41C24"/>
    <w:rsid w:val="668E1DA4"/>
    <w:rsid w:val="69584ABE"/>
    <w:rsid w:val="6A665125"/>
    <w:rsid w:val="6E116668"/>
    <w:rsid w:val="6E55256B"/>
    <w:rsid w:val="6EC70015"/>
    <w:rsid w:val="6F5778FE"/>
    <w:rsid w:val="6F6801BA"/>
    <w:rsid w:val="70415DA2"/>
    <w:rsid w:val="71612A8F"/>
    <w:rsid w:val="71E95DF4"/>
    <w:rsid w:val="72782A3A"/>
    <w:rsid w:val="737D77CA"/>
    <w:rsid w:val="75CC352E"/>
    <w:rsid w:val="75F052C0"/>
    <w:rsid w:val="76310489"/>
    <w:rsid w:val="79754803"/>
    <w:rsid w:val="7CF419EA"/>
    <w:rsid w:val="7D32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m-text"/>
    <w:basedOn w:val="7"/>
    <w:qFormat/>
    <w:uiPriority w:val="0"/>
  </w:style>
  <w:style w:type="character" w:customStyle="1" w:styleId="23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24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25">
    <w:name w:val="focus2"/>
    <w:basedOn w:val="7"/>
    <w:qFormat/>
    <w:uiPriority w:val="0"/>
    <w:rPr>
      <w:b/>
      <w:color w:val="000000"/>
    </w:rPr>
  </w:style>
  <w:style w:type="character" w:customStyle="1" w:styleId="26">
    <w:name w:val="swapimg4"/>
    <w:basedOn w:val="7"/>
    <w:qFormat/>
    <w:uiPriority w:val="0"/>
  </w:style>
  <w:style w:type="character" w:customStyle="1" w:styleId="27">
    <w:name w:val="swapimg5"/>
    <w:basedOn w:val="7"/>
    <w:qFormat/>
    <w:uiPriority w:val="0"/>
  </w:style>
  <w:style w:type="character" w:customStyle="1" w:styleId="28">
    <w:name w:val="close6"/>
    <w:basedOn w:val="7"/>
    <w:qFormat/>
    <w:uiPriority w:val="0"/>
  </w:style>
  <w:style w:type="character" w:customStyle="1" w:styleId="29">
    <w:name w:val="l_1"/>
    <w:basedOn w:val="7"/>
    <w:qFormat/>
    <w:uiPriority w:val="0"/>
  </w:style>
  <w:style w:type="character" w:customStyle="1" w:styleId="30">
    <w:name w:val="icon_dljg"/>
    <w:basedOn w:val="7"/>
    <w:qFormat/>
    <w:uiPriority w:val="0"/>
  </w:style>
  <w:style w:type="character" w:customStyle="1" w:styleId="31">
    <w:name w:val="icon_cxktbr"/>
    <w:basedOn w:val="7"/>
    <w:qFormat/>
    <w:uiPriority w:val="0"/>
  </w:style>
  <w:style w:type="character" w:customStyle="1" w:styleId="32">
    <w:name w:val="icon_cxkcyry"/>
    <w:basedOn w:val="7"/>
    <w:qFormat/>
    <w:uiPriority w:val="0"/>
  </w:style>
  <w:style w:type="character" w:customStyle="1" w:styleId="33">
    <w:name w:val="searchclose"/>
    <w:basedOn w:val="7"/>
    <w:qFormat/>
    <w:uiPriority w:val="0"/>
  </w:style>
  <w:style w:type="character" w:customStyle="1" w:styleId="34">
    <w:name w:val="searchopen"/>
    <w:basedOn w:val="7"/>
    <w:qFormat/>
    <w:uiPriority w:val="0"/>
  </w:style>
  <w:style w:type="character" w:customStyle="1" w:styleId="35">
    <w:name w:val="icon_gzkj"/>
    <w:basedOn w:val="7"/>
    <w:qFormat/>
    <w:uiPriority w:val="0"/>
  </w:style>
  <w:style w:type="character" w:customStyle="1" w:styleId="36">
    <w:name w:val="icon_lzrz"/>
    <w:basedOn w:val="7"/>
    <w:qFormat/>
    <w:uiPriority w:val="0"/>
  </w:style>
  <w:style w:type="character" w:customStyle="1" w:styleId="37">
    <w:name w:val="icon_xzry"/>
    <w:basedOn w:val="7"/>
    <w:qFormat/>
    <w:uiPriority w:val="0"/>
  </w:style>
  <w:style w:type="character" w:customStyle="1" w:styleId="38">
    <w:name w:val="icon_xglc"/>
    <w:basedOn w:val="7"/>
    <w:qFormat/>
    <w:uiPriority w:val="0"/>
  </w:style>
  <w:style w:type="character" w:customStyle="1" w:styleId="39">
    <w:name w:val="l_10"/>
    <w:basedOn w:val="7"/>
    <w:qFormat/>
    <w:uiPriority w:val="0"/>
  </w:style>
  <w:style w:type="character" w:customStyle="1" w:styleId="40">
    <w:name w:val="l_101"/>
    <w:basedOn w:val="7"/>
    <w:qFormat/>
    <w:uiPriority w:val="0"/>
  </w:style>
  <w:style w:type="character" w:customStyle="1" w:styleId="41">
    <w:name w:val="l_0"/>
    <w:basedOn w:val="7"/>
    <w:qFormat/>
    <w:uiPriority w:val="0"/>
  </w:style>
  <w:style w:type="character" w:customStyle="1" w:styleId="42">
    <w:name w:val="l_01"/>
    <w:basedOn w:val="7"/>
    <w:qFormat/>
    <w:uiPriority w:val="0"/>
  </w:style>
  <w:style w:type="character" w:customStyle="1" w:styleId="43">
    <w:name w:val="l_2"/>
    <w:basedOn w:val="7"/>
    <w:qFormat/>
    <w:uiPriority w:val="0"/>
  </w:style>
  <w:style w:type="character" w:customStyle="1" w:styleId="44">
    <w:name w:val="l_21"/>
    <w:basedOn w:val="7"/>
    <w:qFormat/>
    <w:uiPriority w:val="0"/>
  </w:style>
  <w:style w:type="character" w:customStyle="1" w:styleId="45">
    <w:name w:val="l_3"/>
    <w:basedOn w:val="7"/>
    <w:qFormat/>
    <w:uiPriority w:val="0"/>
  </w:style>
  <w:style w:type="character" w:customStyle="1" w:styleId="46">
    <w:name w:val="l_31"/>
    <w:basedOn w:val="7"/>
    <w:qFormat/>
    <w:uiPriority w:val="0"/>
  </w:style>
  <w:style w:type="character" w:customStyle="1" w:styleId="47">
    <w:name w:val="l_4"/>
    <w:basedOn w:val="7"/>
    <w:qFormat/>
    <w:uiPriority w:val="0"/>
  </w:style>
  <w:style w:type="character" w:customStyle="1" w:styleId="48">
    <w:name w:val="l_41"/>
    <w:basedOn w:val="7"/>
    <w:qFormat/>
    <w:uiPriority w:val="0"/>
  </w:style>
  <w:style w:type="character" w:customStyle="1" w:styleId="49">
    <w:name w:val="l_7"/>
    <w:basedOn w:val="7"/>
    <w:qFormat/>
    <w:uiPriority w:val="0"/>
  </w:style>
  <w:style w:type="character" w:customStyle="1" w:styleId="50">
    <w:name w:val="l_71"/>
    <w:basedOn w:val="7"/>
    <w:qFormat/>
    <w:uiPriority w:val="0"/>
  </w:style>
  <w:style w:type="character" w:customStyle="1" w:styleId="51">
    <w:name w:val="l_5"/>
    <w:basedOn w:val="7"/>
    <w:qFormat/>
    <w:uiPriority w:val="0"/>
  </w:style>
  <w:style w:type="character" w:customStyle="1" w:styleId="52">
    <w:name w:val="l_51"/>
    <w:basedOn w:val="7"/>
    <w:qFormat/>
    <w:uiPriority w:val="0"/>
  </w:style>
  <w:style w:type="character" w:customStyle="1" w:styleId="53">
    <w:name w:val="l_6"/>
    <w:basedOn w:val="7"/>
    <w:qFormat/>
    <w:uiPriority w:val="0"/>
  </w:style>
  <w:style w:type="character" w:customStyle="1" w:styleId="54">
    <w:name w:val="l_61"/>
    <w:basedOn w:val="7"/>
    <w:qFormat/>
    <w:uiPriority w:val="0"/>
  </w:style>
  <w:style w:type="character" w:customStyle="1" w:styleId="55">
    <w:name w:val="l_8"/>
    <w:basedOn w:val="7"/>
    <w:qFormat/>
    <w:uiPriority w:val="0"/>
  </w:style>
  <w:style w:type="character" w:customStyle="1" w:styleId="56">
    <w:name w:val="l_81"/>
    <w:basedOn w:val="7"/>
    <w:qFormat/>
    <w:uiPriority w:val="0"/>
  </w:style>
  <w:style w:type="character" w:customStyle="1" w:styleId="57">
    <w:name w:val="l_9"/>
    <w:basedOn w:val="7"/>
    <w:qFormat/>
    <w:uiPriority w:val="0"/>
  </w:style>
  <w:style w:type="character" w:customStyle="1" w:styleId="58">
    <w:name w:val="l_91"/>
    <w:basedOn w:val="7"/>
    <w:qFormat/>
    <w:uiPriority w:val="0"/>
  </w:style>
  <w:style w:type="character" w:customStyle="1" w:styleId="59">
    <w:name w:val="l_11"/>
    <w:basedOn w:val="7"/>
    <w:qFormat/>
    <w:uiPriority w:val="0"/>
  </w:style>
  <w:style w:type="character" w:customStyle="1" w:styleId="60">
    <w:name w:val="l_111"/>
    <w:basedOn w:val="7"/>
    <w:qFormat/>
    <w:uiPriority w:val="0"/>
  </w:style>
  <w:style w:type="character" w:customStyle="1" w:styleId="61">
    <w:name w:val="l_12"/>
    <w:basedOn w:val="7"/>
    <w:qFormat/>
    <w:uiPriority w:val="0"/>
  </w:style>
  <w:style w:type="character" w:customStyle="1" w:styleId="62">
    <w:name w:val="l_121"/>
    <w:basedOn w:val="7"/>
    <w:qFormat/>
    <w:uiPriority w:val="0"/>
  </w:style>
  <w:style w:type="character" w:customStyle="1" w:styleId="63">
    <w:name w:val="l_13"/>
    <w:basedOn w:val="7"/>
    <w:qFormat/>
    <w:uiPriority w:val="0"/>
  </w:style>
  <w:style w:type="character" w:customStyle="1" w:styleId="64">
    <w:name w:val="l_131"/>
    <w:basedOn w:val="7"/>
    <w:qFormat/>
    <w:uiPriority w:val="0"/>
  </w:style>
  <w:style w:type="character" w:customStyle="1" w:styleId="65">
    <w:name w:val="l_14"/>
    <w:basedOn w:val="7"/>
    <w:qFormat/>
    <w:uiPriority w:val="0"/>
  </w:style>
  <w:style w:type="character" w:customStyle="1" w:styleId="66">
    <w:name w:val="l_141"/>
    <w:basedOn w:val="7"/>
    <w:qFormat/>
    <w:uiPriority w:val="0"/>
  </w:style>
  <w:style w:type="character" w:customStyle="1" w:styleId="67">
    <w:name w:val="l_15"/>
    <w:basedOn w:val="7"/>
    <w:qFormat/>
    <w:uiPriority w:val="0"/>
  </w:style>
  <w:style w:type="character" w:customStyle="1" w:styleId="68">
    <w:name w:val="l_151"/>
    <w:basedOn w:val="7"/>
    <w:qFormat/>
    <w:uiPriority w:val="0"/>
  </w:style>
  <w:style w:type="character" w:customStyle="1" w:styleId="69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70">
    <w:name w:val="close"/>
    <w:basedOn w:val="7"/>
    <w:qFormat/>
    <w:uiPriority w:val="0"/>
  </w:style>
  <w:style w:type="character" w:customStyle="1" w:styleId="71">
    <w:name w:val="l_112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禹州市公共资源交易中心:侯怡雯</cp:lastModifiedBy>
  <cp:lastPrinted>2019-10-12T05:02:00Z</cp:lastPrinted>
  <dcterms:modified xsi:type="dcterms:W3CDTF">2019-10-17T08:13:32Z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