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line="360" w:lineRule="auto"/>
        <w:ind w:firstLine="420"/>
        <w:contextualSpacing/>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项目编号：</w:t>
      </w:r>
      <w:r>
        <w:rPr>
          <w:rFonts w:hint="eastAsia" w:ascii="楷体" w:hAnsi="楷体" w:eastAsia="楷体" w:cs="楷体"/>
          <w:color w:val="000000"/>
          <w:kern w:val="2"/>
          <w:sz w:val="24"/>
          <w:szCs w:val="24"/>
          <w:lang w:val="en-US" w:eastAsia="zh-CN" w:bidi="ar-SA"/>
        </w:rPr>
        <w:t>长招采竞字【2019】067号</w:t>
      </w:r>
    </w:p>
    <w:p>
      <w:pPr>
        <w:pStyle w:val="3"/>
        <w:widowControl/>
        <w:shd w:val="clear" w:color="auto" w:fill="FFFFFF"/>
        <w:spacing w:line="360" w:lineRule="auto"/>
        <w:ind w:firstLine="420"/>
        <w:contextualSpacing/>
        <w:jc w:val="left"/>
        <w:rPr>
          <w:rFonts w:hint="eastAsia" w:ascii="楷体" w:hAnsi="楷体" w:eastAsia="楷体" w:cs="楷体"/>
          <w:color w:val="000000"/>
          <w:szCs w:val="21"/>
        </w:rPr>
      </w:pPr>
      <w:r>
        <w:rPr>
          <w:rFonts w:hint="eastAsia" w:ascii="楷体" w:hAnsi="楷体" w:eastAsia="楷体" w:cs="楷体"/>
          <w:color w:val="000000"/>
          <w:sz w:val="24"/>
          <w:szCs w:val="24"/>
        </w:rPr>
        <w:t>项</w:t>
      </w:r>
      <w:bookmarkStart w:id="0" w:name="_GoBack"/>
      <w:bookmarkEnd w:id="0"/>
      <w:r>
        <w:rPr>
          <w:rFonts w:hint="eastAsia" w:ascii="楷体" w:hAnsi="楷体" w:eastAsia="楷体" w:cs="楷体"/>
          <w:color w:val="000000"/>
          <w:sz w:val="24"/>
          <w:szCs w:val="24"/>
        </w:rPr>
        <w:t>目名称：</w:t>
      </w:r>
      <w:r>
        <w:rPr>
          <w:rFonts w:hint="eastAsia" w:ascii="楷体" w:hAnsi="楷体" w:eastAsia="楷体" w:cs="楷体"/>
          <w:color w:val="000000"/>
          <w:kern w:val="2"/>
          <w:sz w:val="24"/>
          <w:szCs w:val="24"/>
          <w:lang w:val="en-US" w:eastAsia="zh-CN" w:bidi="ar-SA"/>
        </w:rPr>
        <w:t>长葛市第二高级中学多媒体一体机采购项目（三次）</w:t>
      </w:r>
    </w:p>
    <w:tbl>
      <w:tblPr>
        <w:tblStyle w:val="4"/>
        <w:tblpPr w:leftFromText="180" w:rightFromText="180" w:vertAnchor="text" w:horzAnchor="page" w:tblpX="1509" w:tblpY="1401"/>
        <w:tblOverlap w:val="never"/>
        <w:tblW w:w="9062" w:type="dxa"/>
        <w:tblInd w:w="0" w:type="dxa"/>
        <w:tblLayout w:type="fixed"/>
        <w:tblCellMar>
          <w:top w:w="0" w:type="dxa"/>
          <w:left w:w="108" w:type="dxa"/>
          <w:bottom w:w="0" w:type="dxa"/>
          <w:right w:w="108" w:type="dxa"/>
        </w:tblCellMar>
      </w:tblPr>
      <w:tblGrid>
        <w:gridCol w:w="537"/>
        <w:gridCol w:w="788"/>
        <w:gridCol w:w="1200"/>
        <w:gridCol w:w="4275"/>
        <w:gridCol w:w="601"/>
        <w:gridCol w:w="760"/>
        <w:gridCol w:w="901"/>
      </w:tblGrid>
      <w:tr>
        <w:tblPrEx>
          <w:tblLayout w:type="fixed"/>
          <w:tblCellMar>
            <w:top w:w="0" w:type="dxa"/>
            <w:left w:w="108" w:type="dxa"/>
            <w:bottom w:w="0" w:type="dxa"/>
            <w:right w:w="108" w:type="dxa"/>
          </w:tblCellMar>
        </w:tblPrEx>
        <w:trPr>
          <w:trHeight w:val="851" w:hRule="atLeast"/>
        </w:trPr>
        <w:tc>
          <w:tcPr>
            <w:tcW w:w="53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序号</w:t>
            </w:r>
          </w:p>
        </w:tc>
        <w:tc>
          <w:tcPr>
            <w:tcW w:w="78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名 称</w:t>
            </w:r>
          </w:p>
        </w:tc>
        <w:tc>
          <w:tcPr>
            <w:tcW w:w="120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eastAsia" w:ascii="楷体" w:hAnsi="楷体" w:eastAsia="楷体" w:cs="楷体"/>
                <w:b/>
                <w:sz w:val="24"/>
                <w:szCs w:val="24"/>
                <w:lang w:val="zh-CN"/>
              </w:rPr>
            </w:pPr>
            <w:r>
              <w:rPr>
                <w:rFonts w:hint="eastAsia" w:ascii="楷体" w:hAnsi="楷体" w:eastAsia="楷体" w:cs="楷体"/>
                <w:b/>
                <w:sz w:val="24"/>
                <w:szCs w:val="24"/>
                <w:lang w:val="zh-CN"/>
              </w:rPr>
              <w:t>规格型号</w:t>
            </w:r>
          </w:p>
        </w:tc>
        <w:tc>
          <w:tcPr>
            <w:tcW w:w="42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参数</w:t>
            </w:r>
          </w:p>
        </w:tc>
        <w:tc>
          <w:tcPr>
            <w:tcW w:w="60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单 位</w:t>
            </w:r>
          </w:p>
        </w:tc>
        <w:tc>
          <w:tcPr>
            <w:tcW w:w="7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b/>
                <w:sz w:val="24"/>
                <w:szCs w:val="24"/>
                <w:lang w:val="zh-CN"/>
              </w:rPr>
            </w:pPr>
            <w:r>
              <w:rPr>
                <w:rFonts w:hint="eastAsia" w:ascii="楷体" w:hAnsi="楷体" w:eastAsia="楷体" w:cs="楷体"/>
                <w:b/>
                <w:sz w:val="24"/>
                <w:szCs w:val="24"/>
                <w:lang w:val="zh-CN"/>
              </w:rPr>
              <w:t>数 量</w:t>
            </w:r>
          </w:p>
        </w:tc>
        <w:tc>
          <w:tcPr>
            <w:tcW w:w="90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楷体" w:hAnsi="楷体" w:eastAsia="楷体" w:cs="楷体"/>
                <w:b/>
                <w:sz w:val="24"/>
                <w:szCs w:val="24"/>
                <w:lang w:val="zh-CN"/>
              </w:rPr>
            </w:pPr>
            <w:r>
              <w:rPr>
                <w:rFonts w:hint="eastAsia" w:ascii="楷体" w:hAnsi="楷体" w:eastAsia="楷体" w:cs="楷体"/>
                <w:b/>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eastAsia" w:ascii="楷体" w:hAnsi="楷体" w:eastAsia="楷体" w:cs="楷体"/>
                <w:b/>
                <w:sz w:val="24"/>
                <w:szCs w:val="24"/>
                <w:lang w:val="zh-CN"/>
              </w:rPr>
            </w:pPr>
            <w:r>
              <w:rPr>
                <w:rFonts w:hint="eastAsia" w:ascii="楷体" w:hAnsi="楷体" w:eastAsia="楷体" w:cs="楷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eastAsia" w:ascii="楷体" w:hAnsi="楷体" w:eastAsia="楷体" w:cs="楷体"/>
                <w:sz w:val="24"/>
                <w:szCs w:val="24"/>
              </w:rPr>
            </w:pPr>
            <w:r>
              <w:rPr>
                <w:rFonts w:hint="eastAsia" w:ascii="楷体" w:hAnsi="楷体" w:eastAsia="楷体" w:cs="楷体"/>
                <w:sz w:val="24"/>
                <w:szCs w:val="24"/>
              </w:rPr>
              <w:t>1</w:t>
            </w:r>
          </w:p>
        </w:tc>
        <w:tc>
          <w:tcPr>
            <w:tcW w:w="7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sz w:val="24"/>
                <w:szCs w:val="24"/>
              </w:rPr>
              <w:t>交互智能平板</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F65EA</w:t>
            </w:r>
          </w:p>
        </w:tc>
        <w:tc>
          <w:tcPr>
            <w:tcW w:w="427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suppressLineNumbers w:val="0"/>
              <w:spacing w:before="0" w:beforeAutospacing="0" w:after="0" w:afterAutospacing="0" w:line="360" w:lineRule="auto"/>
              <w:ind w:left="0" w:right="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一、硬件功能</w:t>
            </w:r>
          </w:p>
          <w:p>
            <w:pPr>
              <w:pStyle w:val="8"/>
              <w:keepNext w:val="0"/>
              <w:keepLines w:val="0"/>
              <w:numPr>
                <w:ilvl w:val="0"/>
                <w:numId w:val="1"/>
              </w:numPr>
              <w:suppressLineNumbers w:val="0"/>
              <w:spacing w:before="0" w:beforeAutospacing="0" w:after="0" w:afterAutospacing="0" w:line="276" w:lineRule="auto"/>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整机屏幕采用65英寸 UHD超高清LED 液晶屏，显示比例16:9，具备防眩光效果。；</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屏幕图像分辨率达3840*2160。（提供国家广播电视产品质量监督检验中心所出具的权威检测报告复印件并加盖厂家公章，复印件加盖制造商公章）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整机电视开关、电脑开关和节能待机键三合一，确保用户操作便捷。</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采用红外触控技术，支持在Windows系统中进行20点或以上触控。支持在Android系统中进行10点或以上触控。（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★整机具有减滤蓝光功能，可通过前置物理功能按键，一键启用减滤蓝光模式。（提供国家广播电视产品质量监督检验中心所出具的权威检测报告复印件并加盖厂家公章，复印件加盖制造商公章）。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设备支持通过前置物理按键，一键启动录屏功能，可将屏幕中显示的课件、音频内容与老师人声同时录制。（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支持机身前置物理按键，一键切换画面显示比例（4：3与16:9），可对不同页面比例的PPT课件实现全屏展示。（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★整机内置非独立外扩展的摄像头，支持二维码扫码识别，可拍摄不低于500万像素的照片。（提供国家广播电视产品质量监督检验中心所出具的权威检测报告复印件并加盖厂家公章，复印件加盖制造商公章）。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★整机内置非独立外扩展的麦克风，可用于一键录屏对音频进行采集。（提供国家广播电视产品质量监督检验中心所出具的权威检测报告复印件并加盖厂家公章，复印件加盖制造商公章）。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整机内置无线网络模块，无任何外接、转接天线及网卡可实现正常网络连接。（提供国家广播电视产品质量监督检验中心所出具的权威检测报告复印件并加盖厂家公章，复印件加盖制造商公章）。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同一物理按键完成Android系统和Windows系统的节能熄屏操作，通过轻按按键实现节能熄屏/唤醒，长按按键实现关机。（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具备不少于3路前置双系统USB3.0接口,双系统USB3.0接口，双系统USB3.0接口支持Android系统、Windows系统读取外接移动存储设备，即插即用无需区分接口对应系统。（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支持锁定屏幕触摸和整机前置按键，可通过遥控器、软件菜单（调试菜单）实现该功能，也可通过前置的实体按键以组合按键的形式进行锁定/解锁。（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具备智能手势识别功能，系统在任意信号源通道下可智能识别上、下、左、右方向的手势滑动并调用响应功能，支持将手势滑动方向自定义设置为快速返回、截图、冻结屏幕。（提供国家广播电视产品质量监督检验中心所出具的权威检测报告复印件并加盖厂家公章，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主板采用H310芯片组，搭载Intel 8代酷睿系列 I3 CPU，内存：4GB DDR4笔记本内存或以上配置，硬盘：128GB或以上SSD固态硬盘</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采用抽拉内置式模块化电脑，抽拉内置式，PC模块可插入整机，可实现无单独接线的插拔。采用120pin或以上接口。（提供国家广播电视产品质量监督检验中心所出具的权威检测报告，复印件加盖制造商公章）。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★模块化电脑采用按压式卡扣方式，无需工具即可快速拆卸电脑模块。（提供国家广播电视产品质量监督检验中心所出具的权威检测报告）。</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★模块化电脑</w:t>
            </w:r>
            <w:r>
              <w:rPr>
                <w:rStyle w:val="6"/>
                <w:rFonts w:hint="eastAsia" w:ascii="楷体" w:hAnsi="楷体" w:eastAsia="楷体" w:cs="楷体"/>
                <w:color w:val="000000" w:themeColor="text1"/>
                <w:sz w:val="24"/>
                <w:szCs w:val="24"/>
                <w14:textFill>
                  <w14:solidFill>
                    <w14:schemeClr w14:val="tx1"/>
                  </w14:solidFill>
                </w14:textFill>
              </w:rPr>
              <w:t>具有独立非外扩展的电脑USB接口：电脑上具备4个USB3.0 TypeA接口，1个USB TypeC接口（支持TypeC接口的U盘插入使用）</w:t>
            </w:r>
            <w:r>
              <w:rPr>
                <w:rFonts w:hint="eastAsia" w:ascii="楷体" w:hAnsi="楷体" w:eastAsia="楷体" w:cs="楷体"/>
                <w:color w:val="000000" w:themeColor="text1"/>
                <w:sz w:val="24"/>
                <w:szCs w:val="24"/>
                <w14:textFill>
                  <w14:solidFill>
                    <w14:schemeClr w14:val="tx1"/>
                  </w14:solidFill>
                </w14:textFill>
              </w:rPr>
              <w:t>。</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模块化电脑预安装正版Windows 10 Professional 专业版和Microsoft Office 2016 正版软件，提供微软出具的授权教育合作伙伴资质证明（AEP），复印件加盖制造商公章。</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可在平板屏幕上直接查询教室环境的温湿度、CO2含量、PM2.5含量、噪音、照度等监测数据，学校管理者可登录管理平台，搜索对应班级查询实时的环境监测情况与历史数据，当监测数据超过安全范围时，可在智能平板上自动提醒教师。</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整机端内置蓝牙：在Windows系统下，整机可通过蓝牙模块与蓝牙音箱连接，通过蓝牙音箱播放整机音频。</w:t>
            </w:r>
          </w:p>
          <w:p>
            <w:pPr>
              <w:pStyle w:val="8"/>
              <w:keepNext w:val="0"/>
              <w:keepLines w:val="0"/>
              <w:numPr>
                <w:ilvl w:val="0"/>
                <w:numId w:val="1"/>
              </w:numPr>
              <w:suppressLineNumbers w:val="0"/>
              <w:spacing w:before="0" w:beforeAutospacing="0" w:after="0" w:afterAutospacing="0"/>
              <w:ind w:right="0" w:firstLineChars="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★配套智能笔，笔型设计，具有三个遥控按键（上下翻页和功能键），可用于远程操控。2.4G无线连接技术，无线接收距离最大可达15米。无线接收器采用微型nano设计，并能收纳在笔上。</w:t>
            </w:r>
          </w:p>
          <w:p>
            <w:pPr>
              <w:pStyle w:val="8"/>
              <w:keepNext w:val="0"/>
              <w:keepLines w:val="0"/>
              <w:numPr>
                <w:ilvl w:val="0"/>
                <w:numId w:val="2"/>
              </w:numPr>
              <w:suppressLineNumbers w:val="0"/>
              <w:spacing w:before="0" w:beforeAutospacing="0" w:after="0" w:afterAutospacing="0"/>
              <w:ind w:left="0" w:right="0" w:firstLine="31680"/>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白板教学软件部分</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为教师提供可扩展，易于学校管理，安全可靠的云存储空间，根据每名教师使用时长与教学资料制作频率提供可扩展升级至不小于200G的个人云空间。</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须为使用方全体教师配备个人账号，形成一体的信息化教学账号体系；根据教师账号信息将教师云空间匹配至对应学校、学科校本资源库。支持通过数字账号、微信二维码、硬件密钥方式登录教师个人账号。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互动教学课件支持定向精准分享：分享者可将互动课件、课件组精准推送至指定接收方账号云空间，接收方可在云空间接收并打开分享课件；</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互动教学课件支持开放式云分享：分享者可将互动课件、课件组以公开或加密的web链接和二维码形式进行分享，分享链接可设置访问有效期。</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互动教学课件支持分享至学校校本资源库，学段学科根据教师个人信息自动匹配，分享后课件全校教师可见，并可直接下载使用。校本资源库支持按学科、学段进行快速查找，同时支持关键词精准检索。</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接收方通过web链接或二维码的课件分享入口可预览互动课件内容并可触控课件互动元素，并能将互动课件转存至个人云空间，登陆云空间即可接收并打开互动课件。</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备授课平台对接教学数据管理平台，可将教学平台的教案关联至教师课件，支持课件同时关联多份教案，关联后教师可在备课界面调用查看教案，便于教研工作开展</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采用备授课一体化框架设计，教师可根据教学场景自由切换类PPT界面的备课模式与触控交互教学模式，适用于教室、办公室等不同教学环境，便于教师教学使用。</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互动课件内容的编辑修改无需人为保存即可自动同步至云空间，可根据教师需要调整云空间自动同步的时间间隔，避免教学资源的损坏、遗失。</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编辑多份互动课件时，教师可一键将所有处于编辑状态的课件同步到互动课件云空间。</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支持PPT的原生解析，教师可将pptx课件转化为互动教学课件，保留pptx原文件中的文字、图片、表格等对象及动画的可编辑性，并可为课件增加互动教学元素。</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可自由调节课件画面的显示比例，支持16:9、4：3画面显示比，可适配各类显示设备。</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具备云端静默推送下载功能，无需用户手动下载即可实现应用的在线升级，升级具有信息验证机制，确保教学秩序不受干扰。</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备课模式下所有备课工具均为软件原生工具，不接受以Flash动画等形式插入的外置第三方工具。</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b/>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具备图形自由创作工具，教师可自由绘制复杂的任意多边图形及曲边图形；教师自主创作的图形可直接在备课界面下存储至个人云空间，无需导出转存，便于后续使用。</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支持对任意课件元素自定义路径动画，可自由绘制动画移动轨迹使课件元素沿轨迹路径进行移动。</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b/>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支持对音频、视频文件进行关键帧标记，可在音、视频进度条任意位置自由设置关键帧播放节点，便于快速定位讲解关键教学内容。</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kern w:val="0"/>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numPr>
                <w:ilvl w:val="0"/>
                <w:numId w:val="3"/>
              </w:numPr>
              <w:suppressLineNumbers w:val="0"/>
              <w:spacing w:before="0" w:beforeAutospacing="0" w:after="0" w:afterAutospacing="0"/>
              <w:ind w:right="0"/>
              <w:jc w:val="left"/>
              <w:textAlignment w:val="center"/>
              <w:rPr>
                <w:rStyle w:val="10"/>
                <w:rFonts w:hint="eastAsia" w:ascii="楷体" w:hAnsi="楷体" w:eastAsia="楷体" w:cs="楷体"/>
                <w:color w:val="000000" w:themeColor="text1"/>
                <w:sz w:val="24"/>
                <w:szCs w:val="24"/>
                <w14:textFill>
                  <w14:solidFill>
                    <w14:schemeClr w14:val="tx1"/>
                  </w14:solidFill>
                </w14:textFill>
              </w:rPr>
            </w:pPr>
            <w:r>
              <w:rPr>
                <w:rStyle w:val="9"/>
                <w:rFonts w:hint="eastAsia" w:ascii="楷体" w:hAnsi="楷体" w:eastAsia="楷体" w:cs="楷体"/>
                <w:color w:val="000000" w:themeColor="text1"/>
                <w:sz w:val="24"/>
                <w:szCs w:val="24"/>
                <w14:textFill>
                  <w14:solidFill>
                    <w14:schemeClr w14:val="tx1"/>
                  </w14:solidFill>
                </w14:textFill>
              </w:rPr>
              <w:t>提供柱状图、扇形图、折线图等互动图表，每类图表预置不少于5种样式，支持图表文字、背景、透明度设置；柱状图、折线图可</w:t>
            </w:r>
            <w:r>
              <w:rPr>
                <w:rStyle w:val="10"/>
                <w:rFonts w:hint="eastAsia" w:ascii="楷体" w:hAnsi="楷体" w:eastAsia="楷体" w:cs="楷体"/>
                <w:color w:val="000000" w:themeColor="text1"/>
                <w:sz w:val="24"/>
                <w:szCs w:val="24"/>
                <w14:textFill>
                  <w14:solidFill>
                    <w14:schemeClr w14:val="tx1"/>
                  </w14:solidFill>
                </w14:textFill>
              </w:rPr>
              <w:t>一键转置互换坐标轴类别；图表支持三维模式旋转展示，生动形象。</w:t>
            </w:r>
          </w:p>
          <w:p>
            <w:pPr>
              <w:keepNext w:val="0"/>
              <w:keepLines w:val="0"/>
              <w:widowControl/>
              <w:numPr>
                <w:ilvl w:val="0"/>
                <w:numId w:val="3"/>
              </w:numPr>
              <w:suppressLineNumbers w:val="0"/>
              <w:spacing w:before="0" w:beforeAutospacing="0" w:after="0" w:afterAutospacing="0"/>
              <w:ind w:right="0"/>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kern w:val="0"/>
                <w:sz w:val="24"/>
                <w:szCs w:val="24"/>
                <w14:textFill>
                  <w14:solidFill>
                    <w14:schemeClr w14:val="tx1"/>
                  </w14:solidFill>
                </w14:textFill>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pStyle w:val="8"/>
              <w:keepNext w:val="0"/>
              <w:keepLines w:val="0"/>
              <w:suppressLineNumbers w:val="0"/>
              <w:spacing w:before="0" w:beforeAutospacing="0" w:after="0" w:afterAutospacing="0"/>
              <w:ind w:left="420" w:leftChars="200" w:right="0" w:firstLine="0" w:firstLineChars="0"/>
              <w:rPr>
                <w:rFonts w:hint="eastAsia" w:ascii="楷体" w:hAnsi="楷体" w:eastAsia="楷体" w:cs="楷体"/>
                <w:color w:val="000000" w:themeColor="text1"/>
                <w:sz w:val="24"/>
                <w:szCs w:val="24"/>
                <w14:textFill>
                  <w14:solidFill>
                    <w14:schemeClr w14:val="tx1"/>
                  </w14:solidFill>
                </w14:textFill>
              </w:rPr>
            </w:pPr>
          </w:p>
          <w:p>
            <w:pPr>
              <w:pStyle w:val="8"/>
              <w:keepNext w:val="0"/>
              <w:keepLines w:val="0"/>
              <w:suppressLineNumbers w:val="0"/>
              <w:spacing w:before="0" w:beforeAutospacing="0" w:after="0" w:afterAutospacing="0"/>
              <w:ind w:left="0" w:right="0" w:firstLine="0" w:firstLineChars="0"/>
              <w:rPr>
                <w:rFonts w:hint="eastAsia" w:ascii="楷体" w:hAnsi="楷体" w:eastAsia="楷体" w:cs="楷体"/>
                <w:color w:val="000000" w:themeColor="text1"/>
                <w:sz w:val="24"/>
                <w:szCs w:val="24"/>
                <w14:textFill>
                  <w14:solidFill>
                    <w14:schemeClr w14:val="tx1"/>
                  </w14:solidFill>
                </w14:textFill>
              </w:rPr>
            </w:pPr>
          </w:p>
        </w:tc>
        <w:tc>
          <w:tcPr>
            <w:tcW w:w="6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台</w:t>
            </w:r>
          </w:p>
        </w:tc>
        <w:tc>
          <w:tcPr>
            <w:tcW w:w="7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9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广州、广州视睿电子科技有限公司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BE81"/>
    <w:multiLevelType w:val="singleLevel"/>
    <w:tmpl w:val="9942BE81"/>
    <w:lvl w:ilvl="0" w:tentative="0">
      <w:start w:val="2"/>
      <w:numFmt w:val="chineseCounting"/>
      <w:suff w:val="nothing"/>
      <w:lvlText w:val="%1、"/>
      <w:lvlJc w:val="left"/>
      <w:rPr>
        <w:rFonts w:hint="eastAsia" w:cs="Times New Roman"/>
      </w:rPr>
    </w:lvl>
  </w:abstractNum>
  <w:abstractNum w:abstractNumId="1">
    <w:nsid w:val="F897E12E"/>
    <w:multiLevelType w:val="singleLevel"/>
    <w:tmpl w:val="F897E12E"/>
    <w:lvl w:ilvl="0" w:tentative="0">
      <w:start w:val="1"/>
      <w:numFmt w:val="decimal"/>
      <w:lvlText w:val="%1."/>
      <w:lvlJc w:val="left"/>
      <w:pPr>
        <w:ind w:left="425" w:hanging="425"/>
      </w:pPr>
      <w:rPr>
        <w:rFonts w:hint="default" w:cs="Times New Roman"/>
        <w:b w:val="0"/>
      </w:rPr>
    </w:lvl>
  </w:abstractNum>
  <w:abstractNum w:abstractNumId="2">
    <w:nsid w:val="57BB66CA"/>
    <w:multiLevelType w:val="multilevel"/>
    <w:tmpl w:val="57BB66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73835"/>
    <w:rsid w:val="7307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3">
    <w:name w:val="Normal (Web)"/>
    <w:basedOn w:val="1"/>
    <w:qFormat/>
    <w:uiPriority w:val="99"/>
    <w:rPr>
      <w:rFonts w:ascii="Calibri" w:hAnsi="Calibri" w:eastAsia="宋体" w:cs="Times New Roman"/>
      <w:sz w:val="24"/>
      <w:szCs w:val="24"/>
    </w:rPr>
  </w:style>
  <w:style w:type="character" w:styleId="6">
    <w:name w:val="annotation reference"/>
    <w:basedOn w:val="5"/>
    <w:qFormat/>
    <w:uiPriority w:val="99"/>
    <w:rPr>
      <w:rFonts w:cs="Times New Roman"/>
      <w:sz w:val="21"/>
      <w:szCs w:val="21"/>
    </w:rPr>
  </w:style>
  <w:style w:type="paragraph" w:customStyle="1" w:styleId="7">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paragraph" w:styleId="8">
    <w:name w:val="List Paragraph"/>
    <w:basedOn w:val="1"/>
    <w:unhideWhenUsed/>
    <w:qFormat/>
    <w:uiPriority w:val="99"/>
    <w:pPr>
      <w:ind w:firstLine="420" w:firstLineChars="200"/>
    </w:pPr>
  </w:style>
  <w:style w:type="character" w:customStyle="1" w:styleId="9">
    <w:name w:val="font41"/>
    <w:basedOn w:val="5"/>
    <w:qFormat/>
    <w:uiPriority w:val="99"/>
    <w:rPr>
      <w:rFonts w:ascii="???????" w:hAnsi="???????" w:cs="???????"/>
      <w:color w:val="000000"/>
      <w:sz w:val="21"/>
      <w:szCs w:val="21"/>
      <w:u w:val="none"/>
    </w:rPr>
  </w:style>
  <w:style w:type="character" w:customStyle="1" w:styleId="10">
    <w:name w:val="font131"/>
    <w:basedOn w:val="5"/>
    <w:qFormat/>
    <w:uiPriority w:val="99"/>
    <w:rPr>
      <w:rFonts w:ascii="???????" w:hAnsi="???????" w: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2019-10-12T07:18:00Z</dcterms:created>
  <dc:creator>衣拉罐</dc:creator>
  <cp:lastModifiedBy>衣拉罐</cp:lastModifiedBy>
  <dcterms:modified xsi:type="dcterms:W3CDTF">2019-10-12T07:20:14Z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