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02"/>
        <w:rPr>
          <w:rFonts w:hAnsi="宋体"/>
          <w:b/>
          <w:bCs/>
          <w:sz w:val="60"/>
          <w:szCs w:val="60"/>
        </w:rPr>
      </w:pPr>
    </w:p>
    <w:p>
      <w:pPr>
        <w:pStyle w:val="2"/>
        <w:ind w:firstLine="1200" w:firstLineChars="200"/>
        <w:rPr>
          <w:rFonts w:hAnsi="宋体"/>
        </w:rPr>
      </w:pPr>
      <w:r>
        <w:rPr>
          <w:rFonts w:hint="eastAsia" w:hAnsi="宋体"/>
          <w:b/>
          <w:bCs/>
          <w:sz w:val="60"/>
          <w:szCs w:val="60"/>
        </w:rPr>
        <w:t xml:space="preserve">襄城县融媒体中心建设项目     </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pStyle w:val="2"/>
        <w:ind w:firstLine="461"/>
        <w:rPr>
          <w:rFonts w:hAnsi="宋体" w:cs="宋体"/>
          <w:b/>
          <w:spacing w:val="60"/>
          <w:szCs w:val="21"/>
        </w:rPr>
      </w:pPr>
    </w:p>
    <w:p>
      <w:pPr>
        <w:pStyle w:val="4"/>
        <w:ind w:left="420" w:firstLine="420"/>
        <w:rPr>
          <w:rFonts w:hint="default"/>
          <w:lang w:eastAsia="zh-CN"/>
        </w:rPr>
      </w:pPr>
    </w:p>
    <w:p>
      <w:pPr>
        <w:pStyle w:val="4"/>
        <w:ind w:left="420" w:firstLine="420"/>
        <w:rPr>
          <w:rFonts w:hint="default"/>
          <w:lang w:eastAsia="zh-CN"/>
        </w:rPr>
      </w:pPr>
    </w:p>
    <w:p>
      <w:pPr>
        <w:autoSpaceDE w:val="0"/>
        <w:autoSpaceDN w:val="0"/>
        <w:adjustRightInd w:val="0"/>
        <w:jc w:val="center"/>
        <w:rPr>
          <w:rFonts w:hAnsi="宋体" w:cs="宋体"/>
          <w:b/>
          <w:sz w:val="96"/>
          <w:szCs w:val="52"/>
        </w:rPr>
      </w:pPr>
      <w:r>
        <w:rPr>
          <w:rFonts w:hint="eastAsia" w:hAnsi="宋体" w:cs="宋体"/>
          <w:b/>
          <w:sz w:val="96"/>
          <w:szCs w:val="52"/>
        </w:rPr>
        <w:t>施工招标文件</w:t>
      </w:r>
    </w:p>
    <w:p>
      <w:pPr>
        <w:autoSpaceDE w:val="0"/>
        <w:autoSpaceDN w:val="0"/>
        <w:adjustRightInd w:val="0"/>
        <w:jc w:val="center"/>
        <w:rPr>
          <w:rFonts w:hAnsi="宋体" w:cs="宋体"/>
          <w:b/>
          <w:sz w:val="36"/>
          <w:szCs w:val="36"/>
        </w:rPr>
      </w:pPr>
      <w:r>
        <w:rPr>
          <w:rFonts w:hint="eastAsia" w:hAnsi="宋体" w:cs="宋体"/>
          <w:b/>
          <w:sz w:val="36"/>
          <w:szCs w:val="36"/>
        </w:rPr>
        <w:t>项目编号：XZ【2019】118号</w:t>
      </w:r>
    </w:p>
    <w:p>
      <w:pPr>
        <w:autoSpaceDE w:val="0"/>
        <w:autoSpaceDN w:val="0"/>
        <w:adjustRightInd w:val="0"/>
        <w:rPr>
          <w:rFonts w:hAnsi="宋体" w:cs="宋体"/>
          <w:b/>
          <w:sz w:val="32"/>
          <w:szCs w:val="32"/>
        </w:rPr>
      </w:pPr>
    </w:p>
    <w:p>
      <w:pPr>
        <w:pStyle w:val="18"/>
        <w:tabs>
          <w:tab w:val="left" w:pos="1980"/>
        </w:tabs>
        <w:spacing w:line="1000" w:lineRule="exact"/>
        <w:rPr>
          <w:rFonts w:hAnsi="宋体"/>
          <w:b/>
          <w:color w:val="auto"/>
          <w:sz w:val="32"/>
          <w:szCs w:val="32"/>
        </w:rPr>
      </w:pPr>
    </w:p>
    <w:p>
      <w:pPr>
        <w:pStyle w:val="18"/>
        <w:tabs>
          <w:tab w:val="left" w:pos="1980"/>
        </w:tabs>
        <w:spacing w:line="1000" w:lineRule="exact"/>
        <w:rPr>
          <w:rFonts w:hAnsi="宋体"/>
          <w:b/>
          <w:color w:val="auto"/>
          <w:sz w:val="32"/>
          <w:szCs w:val="32"/>
        </w:rPr>
      </w:pPr>
    </w:p>
    <w:p>
      <w:pPr>
        <w:pStyle w:val="18"/>
        <w:tabs>
          <w:tab w:val="left" w:pos="1980"/>
        </w:tabs>
        <w:spacing w:line="1000" w:lineRule="exact"/>
        <w:rPr>
          <w:rFonts w:hAnsi="宋体"/>
          <w:b/>
          <w:color w:val="auto"/>
          <w:sz w:val="32"/>
          <w:szCs w:val="32"/>
        </w:rPr>
      </w:pPr>
    </w:p>
    <w:p>
      <w:pPr>
        <w:pStyle w:val="18"/>
        <w:tabs>
          <w:tab w:val="left" w:pos="1980"/>
        </w:tabs>
        <w:spacing w:line="1000" w:lineRule="exact"/>
        <w:rPr>
          <w:rFonts w:hAnsi="宋体"/>
          <w:b/>
          <w:color w:val="auto"/>
          <w:sz w:val="32"/>
          <w:szCs w:val="32"/>
        </w:rPr>
      </w:pPr>
    </w:p>
    <w:p>
      <w:pPr>
        <w:pStyle w:val="18"/>
        <w:tabs>
          <w:tab w:val="left" w:pos="1980"/>
        </w:tabs>
        <w:spacing w:line="360" w:lineRule="auto"/>
        <w:ind w:firstLine="848" w:firstLineChars="265"/>
        <w:jc w:val="both"/>
        <w:rPr>
          <w:rFonts w:hAnsi="宋体"/>
          <w:b/>
          <w:color w:val="auto"/>
          <w:sz w:val="32"/>
          <w:szCs w:val="32"/>
        </w:rPr>
      </w:pPr>
      <w:r>
        <w:rPr>
          <w:rFonts w:hint="eastAsia" w:hAnsi="宋体"/>
          <w:b/>
          <w:color w:val="auto"/>
          <w:sz w:val="32"/>
          <w:szCs w:val="32"/>
        </w:rPr>
        <w:t>招   标   人：襄城县灵武城市开发建设有限公司</w:t>
      </w:r>
    </w:p>
    <w:p>
      <w:pPr>
        <w:pStyle w:val="18"/>
        <w:tabs>
          <w:tab w:val="left" w:pos="1980"/>
        </w:tabs>
        <w:spacing w:line="360" w:lineRule="auto"/>
        <w:ind w:firstLine="848" w:firstLineChars="265"/>
        <w:jc w:val="both"/>
        <w:rPr>
          <w:rFonts w:hAnsi="宋体"/>
          <w:b/>
          <w:color w:val="auto"/>
          <w:sz w:val="32"/>
          <w:szCs w:val="32"/>
        </w:rPr>
      </w:pPr>
      <w:r>
        <w:rPr>
          <w:rFonts w:hint="eastAsia" w:hAnsi="宋体"/>
          <w:b/>
          <w:color w:val="auto"/>
          <w:sz w:val="32"/>
          <w:szCs w:val="32"/>
        </w:rPr>
        <w:t xml:space="preserve">代 理  机 构：许昌建设工程项目管理有限公司 </w:t>
      </w:r>
    </w:p>
    <w:p>
      <w:pPr>
        <w:spacing w:line="360" w:lineRule="auto"/>
        <w:jc w:val="center"/>
        <w:rPr>
          <w:rFonts w:hAnsi="宋体" w:cs="宋体"/>
          <w:b/>
          <w:sz w:val="32"/>
          <w:szCs w:val="32"/>
        </w:rPr>
      </w:pPr>
      <w:r>
        <w:rPr>
          <w:rFonts w:hint="eastAsia" w:hAnsi="宋体" w:cs="宋体"/>
          <w:b/>
          <w:sz w:val="32"/>
          <w:szCs w:val="32"/>
        </w:rPr>
        <w:t>二〇一九年</w:t>
      </w:r>
      <w:r>
        <w:rPr>
          <w:rFonts w:hint="eastAsia" w:hAnsi="宋体"/>
          <w:b/>
          <w:bCs/>
          <w:sz w:val="32"/>
          <w:szCs w:val="32"/>
        </w:rPr>
        <w:t>十</w:t>
      </w:r>
      <w:r>
        <w:rPr>
          <w:rFonts w:hint="eastAsia" w:hAnsi="宋体" w:cs="宋体"/>
          <w:b/>
          <w:sz w:val="32"/>
          <w:szCs w:val="32"/>
        </w:rPr>
        <w:t>月</w:t>
      </w:r>
    </w:p>
    <w:p>
      <w:pPr>
        <w:sectPr>
          <w:headerReference r:id="rId3" w:type="default"/>
          <w:footerReference r:id="rId5" w:type="default"/>
          <w:headerReference r:id="rId4" w:type="even"/>
          <w:footerReference r:id="rId6" w:type="even"/>
          <w:pgSz w:w="11906" w:h="16838"/>
          <w:pgMar w:top="1304" w:right="1134" w:bottom="1304" w:left="1134" w:header="851" w:footer="992" w:gutter="0"/>
          <w:pgNumType w:start="1"/>
          <w:cols w:space="720" w:num="1"/>
          <w:titlePg/>
          <w:docGrid w:type="linesAndChars" w:linePitch="312" w:charSpace="0"/>
        </w:sectPr>
      </w:pPr>
    </w:p>
    <w:p>
      <w:pPr>
        <w:pStyle w:val="2"/>
        <w:ind w:firstLine="340"/>
      </w:pPr>
    </w:p>
    <w:p>
      <w:pPr>
        <w:jc w:val="center"/>
        <w:rPr>
          <w:rFonts w:hAnsi="宋体" w:cs="宋体"/>
          <w:b/>
          <w:sz w:val="44"/>
        </w:rPr>
      </w:pPr>
      <w:r>
        <w:rPr>
          <w:rFonts w:hint="eastAsia" w:hAnsi="宋体" w:cs="宋体"/>
          <w:b/>
          <w:sz w:val="44"/>
        </w:rPr>
        <w:t>目  录</w:t>
      </w:r>
    </w:p>
    <w:p>
      <w:pPr>
        <w:pStyle w:val="2"/>
        <w:ind w:firstLine="340"/>
      </w:pPr>
    </w:p>
    <w:p>
      <w:pPr>
        <w:jc w:val="center"/>
        <w:rPr>
          <w:rFonts w:hAnsi="宋体" w:cs="宋体"/>
          <w:b/>
          <w:sz w:val="32"/>
        </w:rPr>
      </w:pPr>
    </w:p>
    <w:p>
      <w:pPr>
        <w:jc w:val="center"/>
        <w:rPr>
          <w:rFonts w:hAnsi="宋体" w:cs="宋体"/>
        </w:rPr>
      </w:pPr>
    </w:p>
    <w:p>
      <w:pPr>
        <w:pStyle w:val="12"/>
        <w:tabs>
          <w:tab w:val="right" w:leader="dot" w:pos="9638"/>
        </w:tabs>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r>
        <w:fldChar w:fldCharType="begin"/>
      </w:r>
      <w:r>
        <w:instrText xml:space="preserve"> HYPERLINK \l "_Toc11428" </w:instrText>
      </w:r>
      <w:r>
        <w:fldChar w:fldCharType="separate"/>
      </w:r>
      <w:r>
        <w:rPr>
          <w:rFonts w:hint="eastAsia" w:ascii="宋体" w:hAnsi="宋体" w:cs="宋体"/>
          <w:b/>
          <w:bCs/>
          <w:sz w:val="28"/>
          <w:szCs w:val="28"/>
        </w:rPr>
        <w:t>第一章  招标公告</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_Toc11428 </w:instrText>
      </w:r>
      <w:r>
        <w:rPr>
          <w:rFonts w:hint="eastAsia" w:ascii="宋体" w:hAnsi="宋体" w:cs="宋体"/>
          <w:b/>
          <w:bCs/>
          <w:sz w:val="28"/>
          <w:szCs w:val="28"/>
        </w:rPr>
        <w:fldChar w:fldCharType="separate"/>
      </w:r>
      <w:r>
        <w:rPr>
          <w:rFonts w:hint="eastAsia" w:ascii="宋体" w:hAnsi="宋体" w:cs="宋体"/>
          <w:b/>
          <w:bCs/>
          <w:sz w:val="28"/>
          <w:szCs w:val="28"/>
        </w:rPr>
        <w:t>2</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2"/>
        <w:tabs>
          <w:tab w:val="right" w:leader="dot" w:pos="9638"/>
        </w:tabs>
        <w:rPr>
          <w:rFonts w:ascii="宋体" w:hAnsi="宋体" w:cs="宋体"/>
          <w:b/>
          <w:bCs/>
          <w:sz w:val="28"/>
          <w:szCs w:val="28"/>
        </w:rPr>
      </w:pPr>
      <w:r>
        <w:fldChar w:fldCharType="begin"/>
      </w:r>
      <w:r>
        <w:instrText xml:space="preserve"> HYPERLINK \l "_Toc15375" </w:instrText>
      </w:r>
      <w:r>
        <w:fldChar w:fldCharType="separate"/>
      </w:r>
      <w:r>
        <w:rPr>
          <w:rFonts w:hint="eastAsia" w:ascii="宋体" w:hAnsi="宋体" w:cs="宋体"/>
          <w:b/>
          <w:bCs/>
          <w:sz w:val="28"/>
          <w:szCs w:val="28"/>
        </w:rPr>
        <w:t>第二章  投标人须知</w:t>
      </w:r>
      <w:r>
        <w:rPr>
          <w:rFonts w:hint="eastAsia" w:ascii="宋体" w:hAnsi="宋体" w:cs="宋体"/>
          <w:b/>
          <w:bCs/>
          <w:sz w:val="28"/>
          <w:szCs w:val="28"/>
        </w:rPr>
        <w:tab/>
      </w:r>
      <w:r>
        <w:rPr>
          <w:rFonts w:hint="eastAsia" w:ascii="宋体" w:hAnsi="宋体" w:cs="宋体"/>
          <w:b/>
          <w:bCs/>
          <w:sz w:val="28"/>
          <w:szCs w:val="28"/>
        </w:rPr>
        <w:t>7</w:t>
      </w:r>
      <w:r>
        <w:rPr>
          <w:rFonts w:hint="eastAsia" w:ascii="宋体" w:hAnsi="宋体" w:cs="宋体"/>
          <w:b/>
          <w:bCs/>
          <w:sz w:val="28"/>
          <w:szCs w:val="28"/>
        </w:rPr>
        <w:fldChar w:fldCharType="end"/>
      </w:r>
    </w:p>
    <w:p>
      <w:pPr>
        <w:pStyle w:val="12"/>
        <w:tabs>
          <w:tab w:val="right" w:leader="dot" w:pos="9638"/>
        </w:tabs>
        <w:rPr>
          <w:rFonts w:ascii="宋体" w:hAnsi="宋体" w:cs="宋体"/>
          <w:b/>
          <w:bCs/>
          <w:sz w:val="28"/>
          <w:szCs w:val="28"/>
        </w:rPr>
      </w:pPr>
      <w:r>
        <w:fldChar w:fldCharType="begin"/>
      </w:r>
      <w:r>
        <w:instrText xml:space="preserve"> HYPERLINK \l "_Toc20990" </w:instrText>
      </w:r>
      <w:r>
        <w:fldChar w:fldCharType="separate"/>
      </w:r>
      <w:r>
        <w:rPr>
          <w:rFonts w:hint="eastAsia" w:ascii="宋体" w:hAnsi="宋体" w:cs="宋体"/>
          <w:b/>
          <w:bCs/>
          <w:sz w:val="28"/>
          <w:szCs w:val="28"/>
        </w:rPr>
        <w:t>第三章  评标办法（综合评标法）</w:t>
      </w:r>
      <w:r>
        <w:rPr>
          <w:rFonts w:hint="eastAsia" w:ascii="宋体" w:hAnsi="宋体" w:cs="宋体"/>
          <w:b/>
          <w:bCs/>
          <w:sz w:val="28"/>
          <w:szCs w:val="28"/>
        </w:rPr>
        <w:tab/>
      </w:r>
      <w:r>
        <w:rPr>
          <w:rFonts w:hint="eastAsia" w:ascii="宋体" w:hAnsi="宋体" w:cs="宋体"/>
          <w:b/>
          <w:bCs/>
          <w:sz w:val="28"/>
          <w:szCs w:val="28"/>
        </w:rPr>
        <w:t>2</w:t>
      </w:r>
      <w:r>
        <w:rPr>
          <w:rFonts w:hint="eastAsia" w:ascii="宋体" w:hAnsi="宋体" w:cs="宋体"/>
          <w:b/>
          <w:bCs/>
          <w:sz w:val="28"/>
          <w:szCs w:val="28"/>
        </w:rPr>
        <w:fldChar w:fldCharType="end"/>
      </w:r>
      <w:r>
        <w:rPr>
          <w:rFonts w:hint="eastAsia" w:ascii="宋体" w:hAnsi="宋体" w:cs="宋体"/>
          <w:b/>
          <w:bCs/>
          <w:sz w:val="28"/>
          <w:szCs w:val="28"/>
        </w:rPr>
        <w:t>9</w:t>
      </w:r>
    </w:p>
    <w:p>
      <w:pPr>
        <w:pStyle w:val="12"/>
        <w:tabs>
          <w:tab w:val="right" w:leader="dot" w:pos="9638"/>
        </w:tabs>
        <w:rPr>
          <w:rFonts w:ascii="宋体" w:hAnsi="宋体" w:cs="宋体"/>
          <w:b/>
          <w:bCs/>
          <w:sz w:val="28"/>
          <w:szCs w:val="28"/>
        </w:rPr>
      </w:pPr>
      <w:r>
        <w:fldChar w:fldCharType="begin"/>
      </w:r>
      <w:r>
        <w:instrText xml:space="preserve"> HYPERLINK \l "_Toc11681" </w:instrText>
      </w:r>
      <w:r>
        <w:fldChar w:fldCharType="separate"/>
      </w:r>
      <w:r>
        <w:rPr>
          <w:rFonts w:hint="eastAsia" w:ascii="宋体" w:hAnsi="宋体" w:cs="宋体"/>
          <w:b/>
          <w:bCs/>
          <w:kern w:val="44"/>
          <w:sz w:val="28"/>
          <w:szCs w:val="28"/>
        </w:rPr>
        <w:t>第四章  合同条款及格式</w:t>
      </w:r>
      <w:r>
        <w:rPr>
          <w:rFonts w:hint="eastAsia" w:ascii="宋体" w:hAnsi="宋体" w:cs="宋体"/>
          <w:b/>
          <w:bCs/>
          <w:sz w:val="28"/>
          <w:szCs w:val="28"/>
        </w:rPr>
        <w:tab/>
      </w:r>
      <w:r>
        <w:rPr>
          <w:rFonts w:hint="eastAsia" w:ascii="宋体" w:hAnsi="宋体" w:cs="宋体"/>
          <w:b/>
          <w:bCs/>
          <w:sz w:val="28"/>
          <w:szCs w:val="28"/>
        </w:rPr>
        <w:t>3</w:t>
      </w:r>
      <w:r>
        <w:rPr>
          <w:rFonts w:hint="eastAsia" w:ascii="宋体" w:hAnsi="宋体" w:cs="宋体"/>
          <w:b/>
          <w:bCs/>
          <w:sz w:val="28"/>
          <w:szCs w:val="28"/>
        </w:rPr>
        <w:fldChar w:fldCharType="end"/>
      </w:r>
      <w:r>
        <w:rPr>
          <w:rFonts w:hint="eastAsia" w:ascii="宋体" w:hAnsi="宋体" w:cs="宋体"/>
          <w:b/>
          <w:bCs/>
          <w:sz w:val="28"/>
          <w:szCs w:val="28"/>
        </w:rPr>
        <w:t>9</w:t>
      </w:r>
    </w:p>
    <w:p>
      <w:pPr>
        <w:pStyle w:val="12"/>
        <w:tabs>
          <w:tab w:val="right" w:leader="dot" w:pos="9638"/>
        </w:tabs>
        <w:rPr>
          <w:rFonts w:ascii="宋体" w:hAnsi="宋体" w:cs="宋体"/>
          <w:b/>
          <w:bCs/>
          <w:sz w:val="28"/>
          <w:szCs w:val="28"/>
        </w:rPr>
      </w:pPr>
      <w:r>
        <w:fldChar w:fldCharType="begin"/>
      </w:r>
      <w:r>
        <w:instrText xml:space="preserve"> HYPERLINK \l "_Toc15573" </w:instrText>
      </w:r>
      <w:r>
        <w:fldChar w:fldCharType="separate"/>
      </w:r>
      <w:r>
        <w:rPr>
          <w:rFonts w:hint="eastAsia" w:ascii="宋体" w:hAnsi="宋体" w:cs="宋体"/>
          <w:b/>
          <w:bCs/>
          <w:kern w:val="44"/>
          <w:sz w:val="28"/>
          <w:szCs w:val="28"/>
        </w:rPr>
        <w:t>第五章  工程量清单</w:t>
      </w:r>
      <w:r>
        <w:rPr>
          <w:rFonts w:hint="eastAsia" w:ascii="宋体" w:hAnsi="宋体" w:cs="宋体"/>
          <w:b/>
          <w:bCs/>
          <w:sz w:val="28"/>
          <w:szCs w:val="28"/>
        </w:rPr>
        <w:tab/>
      </w:r>
      <w:r>
        <w:rPr>
          <w:rFonts w:hint="eastAsia" w:ascii="宋体" w:hAnsi="宋体" w:cs="宋体"/>
          <w:b/>
          <w:bCs/>
          <w:sz w:val="28"/>
          <w:szCs w:val="28"/>
        </w:rPr>
        <w:t>4</w:t>
      </w:r>
      <w:r>
        <w:rPr>
          <w:rFonts w:hint="eastAsia" w:ascii="宋体" w:hAnsi="宋体" w:cs="宋体"/>
          <w:b/>
          <w:bCs/>
          <w:sz w:val="28"/>
          <w:szCs w:val="28"/>
        </w:rPr>
        <w:fldChar w:fldCharType="end"/>
      </w:r>
      <w:r>
        <w:rPr>
          <w:rFonts w:hint="eastAsia" w:ascii="宋体" w:hAnsi="宋体" w:cs="宋体"/>
          <w:b/>
          <w:bCs/>
          <w:sz w:val="28"/>
          <w:szCs w:val="28"/>
        </w:rPr>
        <w:t>0</w:t>
      </w:r>
    </w:p>
    <w:p>
      <w:pPr>
        <w:pStyle w:val="12"/>
        <w:tabs>
          <w:tab w:val="right" w:leader="dot" w:pos="9638"/>
        </w:tabs>
        <w:rPr>
          <w:rFonts w:ascii="宋体" w:hAnsi="宋体" w:cs="宋体"/>
          <w:b/>
          <w:bCs/>
          <w:sz w:val="28"/>
          <w:szCs w:val="28"/>
        </w:rPr>
      </w:pPr>
      <w:r>
        <w:fldChar w:fldCharType="begin"/>
      </w:r>
      <w:r>
        <w:instrText xml:space="preserve"> HYPERLINK \l "_Toc9650" </w:instrText>
      </w:r>
      <w:r>
        <w:fldChar w:fldCharType="separate"/>
      </w:r>
      <w:r>
        <w:rPr>
          <w:rFonts w:hint="eastAsia" w:ascii="宋体" w:hAnsi="宋体" w:cs="宋体"/>
          <w:b/>
          <w:bCs/>
          <w:sz w:val="28"/>
          <w:szCs w:val="28"/>
        </w:rPr>
        <w:t>第六章  图 纸</w:t>
      </w:r>
      <w:r>
        <w:rPr>
          <w:rFonts w:hint="eastAsia" w:ascii="宋体" w:hAnsi="宋体" w:cs="宋体"/>
          <w:b/>
          <w:bCs/>
          <w:sz w:val="28"/>
          <w:szCs w:val="28"/>
        </w:rPr>
        <w:tab/>
      </w:r>
      <w:r>
        <w:rPr>
          <w:rFonts w:hint="eastAsia" w:ascii="宋体" w:hAnsi="宋体" w:cs="宋体"/>
          <w:b/>
          <w:bCs/>
          <w:sz w:val="28"/>
          <w:szCs w:val="28"/>
        </w:rPr>
        <w:t>4</w:t>
      </w:r>
      <w:r>
        <w:rPr>
          <w:rFonts w:hint="eastAsia" w:ascii="宋体" w:hAnsi="宋体" w:cs="宋体"/>
          <w:b/>
          <w:bCs/>
          <w:sz w:val="28"/>
          <w:szCs w:val="28"/>
        </w:rPr>
        <w:fldChar w:fldCharType="end"/>
      </w:r>
      <w:r>
        <w:rPr>
          <w:rFonts w:hint="eastAsia" w:ascii="宋体" w:hAnsi="宋体" w:cs="宋体"/>
          <w:b/>
          <w:bCs/>
          <w:sz w:val="28"/>
          <w:szCs w:val="28"/>
        </w:rPr>
        <w:t>6</w:t>
      </w:r>
    </w:p>
    <w:p>
      <w:pPr>
        <w:pStyle w:val="12"/>
        <w:tabs>
          <w:tab w:val="right" w:leader="dot" w:pos="9638"/>
        </w:tabs>
        <w:rPr>
          <w:rFonts w:ascii="宋体" w:hAnsi="宋体" w:cs="宋体"/>
          <w:b/>
          <w:bCs/>
          <w:sz w:val="28"/>
          <w:szCs w:val="28"/>
        </w:rPr>
      </w:pPr>
      <w:r>
        <w:fldChar w:fldCharType="begin"/>
      </w:r>
      <w:r>
        <w:instrText xml:space="preserve"> HYPERLINK \l "_Toc2791" </w:instrText>
      </w:r>
      <w:r>
        <w:fldChar w:fldCharType="separate"/>
      </w:r>
      <w:r>
        <w:rPr>
          <w:rFonts w:hint="eastAsia" w:ascii="宋体" w:hAnsi="宋体" w:cs="宋体"/>
          <w:b/>
          <w:bCs/>
          <w:sz w:val="28"/>
          <w:szCs w:val="28"/>
        </w:rPr>
        <w:t>第七章  技术标准和要求</w:t>
      </w:r>
      <w:r>
        <w:rPr>
          <w:rFonts w:hint="eastAsia" w:ascii="宋体" w:hAnsi="宋体" w:cs="宋体"/>
          <w:b/>
          <w:bCs/>
          <w:sz w:val="28"/>
          <w:szCs w:val="28"/>
        </w:rPr>
        <w:tab/>
      </w:r>
      <w:r>
        <w:rPr>
          <w:rFonts w:hint="eastAsia" w:ascii="宋体" w:hAnsi="宋体" w:cs="宋体"/>
          <w:b/>
          <w:bCs/>
          <w:sz w:val="28"/>
          <w:szCs w:val="28"/>
        </w:rPr>
        <w:t>4</w:t>
      </w:r>
      <w:r>
        <w:rPr>
          <w:rFonts w:hint="eastAsia" w:ascii="宋体" w:hAnsi="宋体" w:cs="宋体"/>
          <w:b/>
          <w:bCs/>
          <w:sz w:val="28"/>
          <w:szCs w:val="28"/>
        </w:rPr>
        <w:fldChar w:fldCharType="end"/>
      </w:r>
      <w:r>
        <w:rPr>
          <w:rFonts w:hint="eastAsia" w:ascii="宋体" w:hAnsi="宋体" w:cs="宋体"/>
          <w:b/>
          <w:bCs/>
          <w:sz w:val="28"/>
          <w:szCs w:val="28"/>
        </w:rPr>
        <w:t>7</w:t>
      </w:r>
    </w:p>
    <w:p>
      <w:pPr>
        <w:pStyle w:val="12"/>
        <w:tabs>
          <w:tab w:val="right" w:leader="dot" w:pos="9638"/>
        </w:tabs>
        <w:rPr>
          <w:rFonts w:ascii="宋体" w:hAnsi="宋体" w:cs="宋体"/>
          <w:b/>
          <w:bCs/>
          <w:sz w:val="28"/>
          <w:szCs w:val="28"/>
        </w:rPr>
      </w:pPr>
      <w:r>
        <w:fldChar w:fldCharType="begin"/>
      </w:r>
      <w:r>
        <w:instrText xml:space="preserve"> HYPERLINK \l "_Toc18525" </w:instrText>
      </w:r>
      <w:r>
        <w:fldChar w:fldCharType="separate"/>
      </w:r>
      <w:r>
        <w:rPr>
          <w:rFonts w:hint="eastAsia" w:ascii="宋体" w:hAnsi="宋体" w:cs="宋体"/>
          <w:b/>
          <w:bCs/>
          <w:sz w:val="28"/>
          <w:szCs w:val="28"/>
        </w:rPr>
        <w:t>第八章  投标文件格式</w:t>
      </w:r>
      <w:r>
        <w:rPr>
          <w:rFonts w:hint="eastAsia" w:ascii="宋体" w:hAnsi="宋体" w:cs="宋体"/>
          <w:b/>
          <w:bCs/>
          <w:sz w:val="28"/>
          <w:szCs w:val="28"/>
        </w:rPr>
        <w:tab/>
      </w:r>
      <w:r>
        <w:rPr>
          <w:rFonts w:hint="eastAsia" w:ascii="宋体" w:hAnsi="宋体" w:cs="宋体"/>
          <w:b/>
          <w:bCs/>
          <w:sz w:val="28"/>
          <w:szCs w:val="28"/>
        </w:rPr>
        <w:t>4</w:t>
      </w:r>
      <w:r>
        <w:rPr>
          <w:rFonts w:hint="eastAsia" w:ascii="宋体" w:hAnsi="宋体" w:cs="宋体"/>
          <w:b/>
          <w:bCs/>
          <w:sz w:val="28"/>
          <w:szCs w:val="28"/>
        </w:rPr>
        <w:fldChar w:fldCharType="end"/>
      </w:r>
      <w:r>
        <w:rPr>
          <w:rFonts w:hint="eastAsia" w:ascii="宋体" w:hAnsi="宋体" w:cs="宋体"/>
          <w:b/>
          <w:bCs/>
          <w:sz w:val="28"/>
          <w:szCs w:val="28"/>
        </w:rPr>
        <w:t>8</w:t>
      </w:r>
    </w:p>
    <w:p>
      <w:pPr>
        <w:ind w:firstLine="3032" w:firstLineChars="1083"/>
        <w:rPr>
          <w:rFonts w:hAnsi="宋体" w:cs="黑体"/>
          <w:b/>
          <w:sz w:val="32"/>
          <w:szCs w:val="32"/>
        </w:rPr>
      </w:pPr>
      <w:r>
        <w:rPr>
          <w:rFonts w:hint="eastAsia" w:ascii="宋体" w:hAnsi="宋体" w:cs="宋体"/>
          <w:b/>
          <w:bCs/>
          <w:sz w:val="28"/>
          <w:szCs w:val="28"/>
        </w:rPr>
        <w:fldChar w:fldCharType="end"/>
      </w:r>
    </w:p>
    <w:p>
      <w:pPr>
        <w:tabs>
          <w:tab w:val="left" w:pos="3185"/>
          <w:tab w:val="center" w:pos="5452"/>
        </w:tabs>
        <w:snapToGrid w:val="0"/>
        <w:spacing w:beforeLines="50"/>
        <w:ind w:firstLine="720" w:firstLineChars="20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headerReference r:id="rId7" w:type="first"/>
          <w:footerReference r:id="rId9" w:type="first"/>
          <w:footerReference r:id="rId8" w:type="default"/>
          <w:pgSz w:w="11906" w:h="16838"/>
          <w:pgMar w:top="1304" w:right="1134" w:bottom="1304" w:left="1134" w:header="851" w:footer="992" w:gutter="0"/>
          <w:pgNumType w:start="1"/>
          <w:cols w:space="720" w:num="1"/>
          <w:titlePg/>
          <w:docGrid w:type="linesAndChars" w:linePitch="312" w:charSpace="0"/>
        </w:sectPr>
      </w:pPr>
    </w:p>
    <w:p>
      <w:pPr>
        <w:pStyle w:val="6"/>
        <w:spacing w:line="240" w:lineRule="auto"/>
      </w:pPr>
      <w:bookmarkStart w:id="1" w:name="_Toc18564"/>
      <w:bookmarkStart w:id="2" w:name="_Toc11428"/>
      <w:r>
        <w:rPr>
          <w:rFonts w:hint="eastAsia"/>
        </w:rPr>
        <w:t>第一章  招标公告</w:t>
      </w:r>
      <w:bookmarkEnd w:id="1"/>
      <w:bookmarkEnd w:id="2"/>
    </w:p>
    <w:p>
      <w:pPr>
        <w:widowControl/>
        <w:spacing w:line="312" w:lineRule="auto"/>
        <w:jc w:val="center"/>
        <w:rPr>
          <w:b/>
          <w:sz w:val="32"/>
          <w:szCs w:val="32"/>
        </w:rPr>
      </w:pPr>
      <w:r>
        <w:rPr>
          <w:rFonts w:hint="eastAsia"/>
          <w:b/>
          <w:sz w:val="32"/>
          <w:szCs w:val="32"/>
        </w:rPr>
        <w:t>襄城县融媒体中心建设项目</w:t>
      </w:r>
    </w:p>
    <w:p>
      <w:pPr>
        <w:widowControl/>
        <w:spacing w:line="360" w:lineRule="auto"/>
        <w:jc w:val="center"/>
        <w:rPr>
          <w:b/>
          <w:sz w:val="32"/>
          <w:szCs w:val="32"/>
        </w:rPr>
      </w:pPr>
      <w:r>
        <w:rPr>
          <w:rFonts w:hint="eastAsia"/>
          <w:b/>
          <w:sz w:val="32"/>
          <w:szCs w:val="32"/>
        </w:rPr>
        <w:t>招标公告</w:t>
      </w:r>
    </w:p>
    <w:p>
      <w:pPr>
        <w:widowControl/>
        <w:spacing w:line="460" w:lineRule="exact"/>
        <w:ind w:firstLine="480" w:firstLineChars="200"/>
        <w:rPr>
          <w:rFonts w:hAnsi="宋体"/>
          <w:b/>
          <w:sz w:val="24"/>
        </w:rPr>
      </w:pPr>
      <w:r>
        <w:rPr>
          <w:rFonts w:hint="eastAsia" w:hAnsi="宋体"/>
          <w:b/>
          <w:sz w:val="24"/>
        </w:rPr>
        <w:t>1、招标条件</w:t>
      </w:r>
    </w:p>
    <w:p>
      <w:pPr>
        <w:widowControl/>
        <w:spacing w:line="460" w:lineRule="exact"/>
        <w:ind w:firstLine="480" w:firstLineChars="200"/>
        <w:jc w:val="left"/>
        <w:rPr>
          <w:rFonts w:hAnsi="宋体"/>
          <w:sz w:val="24"/>
        </w:rPr>
      </w:pPr>
      <w:r>
        <w:rPr>
          <w:rFonts w:hint="eastAsia" w:hAnsi="宋体"/>
          <w:sz w:val="24"/>
        </w:rPr>
        <w:t>襄城县融媒体中心建设项目，已由相关部门批准建设，招标人为襄城县灵武城市开发建设有限公司，建设资金为自筹资金，</w:t>
      </w:r>
      <w:r>
        <w:rPr>
          <w:rFonts w:hint="eastAsia" w:hAnsi="宋体"/>
          <w:sz w:val="24"/>
          <w:szCs w:val="24"/>
        </w:rPr>
        <w:t>项目出资比例为100%。项目已具备招标条件，现对该项目施工进行国内公开招标。</w:t>
      </w:r>
    </w:p>
    <w:p>
      <w:pPr>
        <w:widowControl/>
        <w:spacing w:line="460" w:lineRule="exact"/>
        <w:ind w:firstLine="480" w:firstLineChars="200"/>
        <w:rPr>
          <w:rFonts w:hAnsi="宋体"/>
          <w:b/>
          <w:sz w:val="24"/>
        </w:rPr>
      </w:pPr>
      <w:r>
        <w:rPr>
          <w:rFonts w:hint="eastAsia" w:hAnsi="宋体"/>
          <w:b/>
          <w:sz w:val="24"/>
        </w:rPr>
        <w:t>2、项目概况与招标内容</w:t>
      </w:r>
    </w:p>
    <w:p>
      <w:pPr>
        <w:widowControl/>
        <w:spacing w:line="460" w:lineRule="exact"/>
        <w:ind w:firstLine="480" w:firstLineChars="200"/>
        <w:jc w:val="left"/>
        <w:rPr>
          <w:rFonts w:hAnsi="宋体"/>
          <w:sz w:val="24"/>
          <w:u w:val="single"/>
        </w:rPr>
      </w:pPr>
      <w:r>
        <w:rPr>
          <w:rFonts w:hint="eastAsia" w:hAnsi="宋体"/>
          <w:sz w:val="24"/>
        </w:rPr>
        <w:t>2.1</w:t>
      </w:r>
      <w:r>
        <w:rPr>
          <w:rFonts w:hint="eastAsia" w:ascii="宋体" w:hAnsi="宋体" w:cs="宋体"/>
          <w:sz w:val="24"/>
        </w:rPr>
        <w:t>项目编号：XZ【2019】118 号</w:t>
      </w:r>
    </w:p>
    <w:p>
      <w:pPr>
        <w:spacing w:line="460" w:lineRule="exact"/>
        <w:ind w:firstLine="480" w:firstLineChars="200"/>
        <w:jc w:val="left"/>
        <w:rPr>
          <w:rFonts w:hAnsi="宋体"/>
          <w:sz w:val="24"/>
        </w:rPr>
      </w:pPr>
      <w:r>
        <w:rPr>
          <w:rFonts w:hint="eastAsia" w:hAnsi="宋体"/>
          <w:sz w:val="24"/>
        </w:rPr>
        <w:t>2.2项目概况：主要施工内容包括襄城县融媒体中心三层、四层装饰及安装等（具体实施内容详见工程量清单）</w:t>
      </w:r>
    </w:p>
    <w:p>
      <w:pPr>
        <w:spacing w:line="460" w:lineRule="exact"/>
        <w:ind w:firstLine="480" w:firstLineChars="200"/>
        <w:jc w:val="left"/>
        <w:rPr>
          <w:rFonts w:hAnsi="宋体"/>
          <w:sz w:val="24"/>
          <w:szCs w:val="28"/>
        </w:rPr>
      </w:pPr>
      <w:r>
        <w:rPr>
          <w:rFonts w:hint="eastAsia" w:hAnsi="宋体"/>
          <w:sz w:val="24"/>
          <w:szCs w:val="28"/>
        </w:rPr>
        <w:t>2.3招标控制价：2647066.36元(各单位工程的分部分项工程费总额、措施项目费总额、其他项目费总额、规费总额和税金总额详见附件）；</w:t>
      </w:r>
    </w:p>
    <w:p>
      <w:pPr>
        <w:spacing w:line="360" w:lineRule="auto"/>
        <w:ind w:firstLine="480" w:firstLineChars="200"/>
        <w:jc w:val="left"/>
        <w:rPr>
          <w:rFonts w:hAnsi="宋体"/>
          <w:sz w:val="24"/>
          <w:szCs w:val="28"/>
        </w:rPr>
      </w:pPr>
      <w:r>
        <w:rPr>
          <w:rFonts w:hint="eastAsia" w:hAnsi="宋体"/>
          <w:sz w:val="24"/>
          <w:szCs w:val="28"/>
        </w:rPr>
        <w:t>2.4招标范围：招标文件、施工图纸、工程量清单、答疑纪要和补充文件（如有）范围内的所有建设内容。</w:t>
      </w:r>
    </w:p>
    <w:p>
      <w:pPr>
        <w:spacing w:line="360" w:lineRule="auto"/>
        <w:ind w:firstLine="480" w:firstLineChars="200"/>
        <w:jc w:val="left"/>
        <w:rPr>
          <w:bCs/>
          <w:sz w:val="24"/>
          <w:szCs w:val="24"/>
        </w:rPr>
      </w:pPr>
      <w:r>
        <w:rPr>
          <w:rFonts w:hint="eastAsia" w:hAnsi="宋体"/>
          <w:sz w:val="24"/>
          <w:szCs w:val="28"/>
        </w:rPr>
        <w:t>2.5标段划分：</w:t>
      </w:r>
      <w:r>
        <w:rPr>
          <w:rFonts w:hint="eastAsia"/>
          <w:bCs/>
          <w:sz w:val="24"/>
          <w:szCs w:val="24"/>
        </w:rPr>
        <w:t>本次招标共划分为一个标段。</w:t>
      </w:r>
    </w:p>
    <w:p>
      <w:pPr>
        <w:spacing w:line="460" w:lineRule="exact"/>
        <w:ind w:firstLine="480" w:firstLineChars="200"/>
        <w:jc w:val="left"/>
        <w:rPr>
          <w:rFonts w:hAnsi="宋体"/>
          <w:sz w:val="24"/>
          <w:szCs w:val="28"/>
        </w:rPr>
      </w:pPr>
      <w:r>
        <w:rPr>
          <w:rFonts w:hint="eastAsia" w:hAnsi="宋体"/>
          <w:sz w:val="24"/>
          <w:szCs w:val="28"/>
        </w:rPr>
        <w:t>2.6计划工期：90日历天；</w:t>
      </w:r>
    </w:p>
    <w:p>
      <w:pPr>
        <w:widowControl/>
        <w:spacing w:line="460" w:lineRule="exact"/>
        <w:ind w:firstLine="480" w:firstLineChars="200"/>
        <w:jc w:val="left"/>
        <w:rPr>
          <w:rFonts w:hAnsi="宋体"/>
          <w:sz w:val="24"/>
        </w:rPr>
      </w:pPr>
      <w:r>
        <w:rPr>
          <w:rFonts w:hint="eastAsia" w:hAnsi="宋体"/>
          <w:sz w:val="24"/>
        </w:rPr>
        <w:t>2.7质量要求：合格（符合国家现行的验收规范和标准）。</w:t>
      </w:r>
    </w:p>
    <w:p>
      <w:pPr>
        <w:adjustRightInd w:val="0"/>
        <w:snapToGrid w:val="0"/>
        <w:spacing w:line="460" w:lineRule="exact"/>
        <w:ind w:firstLine="480" w:firstLineChars="200"/>
        <w:rPr>
          <w:rFonts w:hAnsi="宋体"/>
          <w:b/>
          <w:sz w:val="24"/>
        </w:rPr>
      </w:pPr>
      <w:r>
        <w:rPr>
          <w:rFonts w:hint="eastAsia" w:hAnsi="宋体"/>
          <w:b/>
          <w:sz w:val="24"/>
        </w:rPr>
        <w:t>3、投标人资格要求</w:t>
      </w:r>
    </w:p>
    <w:p>
      <w:pPr>
        <w:widowControl/>
        <w:spacing w:line="460" w:lineRule="exact"/>
        <w:ind w:firstLine="480" w:firstLineChars="200"/>
        <w:rPr>
          <w:rFonts w:hAnsi="宋体"/>
          <w:bCs/>
          <w:sz w:val="24"/>
          <w:szCs w:val="24"/>
        </w:rPr>
      </w:pPr>
      <w:r>
        <w:rPr>
          <w:rFonts w:hint="eastAsia" w:hAnsi="宋体"/>
          <w:bCs/>
          <w:sz w:val="24"/>
          <w:szCs w:val="24"/>
        </w:rPr>
        <w:t>3.1 投标人须具备建筑装饰装修工程专业总承包二级及以上资质，且具有有效的安全生产许可证，并在人员、设备、资金等方面具有相应的施工能力。</w:t>
      </w:r>
    </w:p>
    <w:p>
      <w:pPr>
        <w:widowControl/>
        <w:spacing w:line="460" w:lineRule="exact"/>
        <w:ind w:firstLine="480" w:firstLineChars="200"/>
        <w:rPr>
          <w:rFonts w:hAnsi="宋体"/>
          <w:bCs/>
          <w:sz w:val="24"/>
          <w:szCs w:val="24"/>
        </w:rPr>
      </w:pPr>
      <w:r>
        <w:rPr>
          <w:rFonts w:hint="eastAsia" w:hAnsi="宋体"/>
          <w:bCs/>
          <w:sz w:val="24"/>
          <w:szCs w:val="24"/>
        </w:rPr>
        <w:t>3.2投标人拟派项目负责人须在本单位注册且具备建筑工程专业一级注册建造师资格（不含临时），且未担任其它在施建设工程并具有有效的安全生产考核合格证。</w:t>
      </w:r>
    </w:p>
    <w:p>
      <w:pPr>
        <w:widowControl/>
        <w:spacing w:line="460" w:lineRule="exact"/>
        <w:ind w:firstLine="480" w:firstLineChars="200"/>
        <w:rPr>
          <w:rFonts w:hAnsi="宋体"/>
          <w:bCs/>
          <w:sz w:val="24"/>
          <w:szCs w:val="24"/>
        </w:rPr>
      </w:pPr>
      <w:r>
        <w:rPr>
          <w:rFonts w:hint="eastAsia" w:hAnsi="宋体"/>
          <w:bCs/>
          <w:sz w:val="24"/>
          <w:szCs w:val="24"/>
        </w:rPr>
        <w:t>3.3 投标人未被列入“信用中国”网站信用记录失信被执行人、重大税收违法案件当事人名单、严重违法失信行为记录名单（查询网站：“信用中国”https://www.creditchina.gov.cn，并提供报名时间内网站截图）；未被列入“国家企业信用信息公示系统”经营异常名录、严重违法失信企业名单（查询网站：国家企业信用信息公示系统http://www.gsxt.gov.cn，并提供报名时间内网页截图）；投标人未被列入信用河南信用信息栏黑名单（河南省投标企业提供，查询网站：信用河南http://www.credithn.gov.cn/，并提供报名时间内网页截图）。</w:t>
      </w:r>
    </w:p>
    <w:p>
      <w:pPr>
        <w:widowControl/>
        <w:spacing w:line="460" w:lineRule="exact"/>
        <w:ind w:firstLine="480" w:firstLineChars="200"/>
        <w:rPr>
          <w:rFonts w:hAnsi="宋体"/>
          <w:bCs/>
          <w:sz w:val="24"/>
          <w:szCs w:val="24"/>
        </w:rPr>
      </w:pPr>
      <w:r>
        <w:rPr>
          <w:rFonts w:hint="eastAsia" w:hAnsi="宋体"/>
          <w:bCs/>
          <w:sz w:val="24"/>
          <w:szCs w:val="24"/>
        </w:rPr>
        <w:t>3.4 投标人须提供许昌市公共资源交易信用管理平台投标单位诚信承诺书网页截图。</w:t>
      </w:r>
    </w:p>
    <w:p>
      <w:pPr>
        <w:widowControl/>
        <w:spacing w:line="460" w:lineRule="exact"/>
        <w:ind w:firstLine="480" w:firstLineChars="200"/>
        <w:rPr>
          <w:rFonts w:hAnsi="宋体"/>
          <w:bCs/>
          <w:sz w:val="24"/>
          <w:szCs w:val="24"/>
        </w:rPr>
      </w:pPr>
      <w:r>
        <w:rPr>
          <w:rFonts w:hint="eastAsia" w:hAnsi="宋体"/>
          <w:bCs/>
          <w:sz w:val="24"/>
          <w:szCs w:val="24"/>
        </w:rPr>
        <w:t>3.5 本次招标不接受联合体投标。</w:t>
      </w:r>
    </w:p>
    <w:p>
      <w:pPr>
        <w:widowControl/>
        <w:spacing w:line="460" w:lineRule="exact"/>
        <w:ind w:firstLine="480" w:firstLineChars="200"/>
        <w:rPr>
          <w:rFonts w:hAnsi="宋体"/>
          <w:bCs/>
          <w:sz w:val="24"/>
          <w:szCs w:val="24"/>
        </w:rPr>
      </w:pPr>
      <w:r>
        <w:rPr>
          <w:rFonts w:hint="eastAsia" w:hAnsi="宋体"/>
          <w:bCs/>
          <w:sz w:val="24"/>
          <w:szCs w:val="24"/>
        </w:rPr>
        <w:t>3.6 本次招标实行资格后审。</w:t>
      </w:r>
    </w:p>
    <w:p>
      <w:pPr>
        <w:widowControl/>
        <w:spacing w:line="460" w:lineRule="exact"/>
        <w:ind w:firstLine="480" w:firstLineChars="200"/>
        <w:rPr>
          <w:rFonts w:hAnsi="宋体"/>
          <w:b/>
          <w:sz w:val="24"/>
        </w:rPr>
      </w:pPr>
      <w:r>
        <w:rPr>
          <w:rFonts w:hint="eastAsia" w:hAnsi="宋体"/>
          <w:b/>
          <w:bCs/>
          <w:sz w:val="24"/>
        </w:rPr>
        <w:t>4、网上下载招标文件</w:t>
      </w:r>
    </w:p>
    <w:p>
      <w:pPr>
        <w:pStyle w:val="15"/>
        <w:wordWrap w:val="0"/>
        <w:spacing w:before="0" w:beforeAutospacing="0" w:after="0" w:afterAutospacing="0" w:line="46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4.1投标人持CA数字认证证书，登录《全国公共资源交易平台（河南省·许昌市）》“系统用户注册”入口（http://ggzy.xuchang.gov.cn）进行免费注册登记（详见“常见问题解答-诚信库网上注册相关资料下载”）；</w:t>
      </w:r>
    </w:p>
    <w:p>
      <w:pPr>
        <w:pStyle w:val="15"/>
        <w:spacing w:before="0" w:beforeAutospacing="0" w:after="0" w:afterAutospacing="0" w:line="46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w:t>
      </w:r>
      <w:r>
        <w:rPr>
          <w:rFonts w:hint="eastAsia" w:ascii="Times New Roman" w:cs="Times New Roman"/>
          <w:kern w:val="2"/>
          <w:szCs w:val="24"/>
        </w:rPr>
        <w:t>ggzy.xuchang.gov.cn</w:t>
      </w:r>
      <w:r>
        <w:rPr>
          <w:rFonts w:hint="eastAsia" w:cs="Times New Roman"/>
          <w:szCs w:val="24"/>
        </w:rPr>
        <w:t>）自行下载招标文件（详见“常见问题解答-交易系统操作手册”）。</w:t>
      </w:r>
    </w:p>
    <w:p>
      <w:pPr>
        <w:spacing w:line="460" w:lineRule="exact"/>
        <w:ind w:firstLine="480" w:firstLineChars="200"/>
        <w:rPr>
          <w:rFonts w:hAnsi="宋体"/>
          <w:b/>
          <w:sz w:val="24"/>
          <w:szCs w:val="24"/>
        </w:rPr>
      </w:pPr>
      <w:r>
        <w:rPr>
          <w:rFonts w:hint="eastAsia" w:hAnsi="宋体"/>
          <w:b/>
          <w:sz w:val="24"/>
          <w:szCs w:val="24"/>
        </w:rPr>
        <w:t>5、招标文件和施工图纸的获取</w:t>
      </w:r>
    </w:p>
    <w:p>
      <w:pPr>
        <w:tabs>
          <w:tab w:val="left" w:pos="7095"/>
        </w:tabs>
        <w:spacing w:line="460" w:lineRule="exact"/>
        <w:ind w:firstLine="480" w:firstLineChars="200"/>
        <w:rPr>
          <w:rFonts w:hAnsi="宋体"/>
          <w:sz w:val="24"/>
          <w:szCs w:val="24"/>
        </w:rPr>
      </w:pPr>
      <w:r>
        <w:rPr>
          <w:rFonts w:hint="eastAsia" w:hAnsi="宋体"/>
          <w:sz w:val="24"/>
          <w:szCs w:val="24"/>
        </w:rPr>
        <w:t xml:space="preserve"> 5.1招标文件和工程量清单的获取：投标人于投标文件递交截止时间前均可登录</w:t>
      </w:r>
      <w:r>
        <w:rPr>
          <w:rFonts w:hint="eastAsia"/>
          <w:szCs w:val="24"/>
        </w:rPr>
        <w:t>《</w:t>
      </w:r>
      <w:r>
        <w:rPr>
          <w:rFonts w:hint="eastAsia" w:hAnsi="宋体"/>
          <w:sz w:val="24"/>
          <w:szCs w:val="24"/>
        </w:rPr>
        <w:t>全国公共资源交易平台(河南省▪许昌市)</w:t>
      </w:r>
      <w:r>
        <w:rPr>
          <w:rFonts w:hint="eastAsia"/>
          <w:szCs w:val="24"/>
        </w:rPr>
        <w:t>》</w:t>
      </w:r>
      <w:r>
        <w:rPr>
          <w:rFonts w:hint="eastAsia" w:hAnsi="宋体"/>
          <w:sz w:val="24"/>
          <w:szCs w:val="24"/>
        </w:rPr>
        <w:t>（http://ggzy.xuchang.gov.cn），通过“投标人/供应商登录” 入口自行下载。</w:t>
      </w:r>
    </w:p>
    <w:p>
      <w:pPr>
        <w:tabs>
          <w:tab w:val="left" w:pos="7095"/>
        </w:tabs>
        <w:spacing w:line="460" w:lineRule="exact"/>
        <w:ind w:firstLine="480" w:firstLineChars="200"/>
        <w:rPr>
          <w:rFonts w:hAnsi="宋体"/>
          <w:sz w:val="24"/>
          <w:szCs w:val="24"/>
        </w:rPr>
      </w:pPr>
      <w:r>
        <w:rPr>
          <w:rFonts w:hint="eastAsia" w:hAnsi="宋体"/>
          <w:sz w:val="24"/>
          <w:szCs w:val="24"/>
        </w:rPr>
        <w:t>5.2施工图纸下载：按照招标文件中第二章投标人须知前附表第2.1项所给的网址自行下载。</w:t>
      </w:r>
    </w:p>
    <w:p>
      <w:pPr>
        <w:autoSpaceDE w:val="0"/>
        <w:autoSpaceDN w:val="0"/>
        <w:adjustRightInd w:val="0"/>
        <w:spacing w:line="460" w:lineRule="exact"/>
        <w:ind w:firstLine="480" w:firstLineChars="200"/>
        <w:jc w:val="left"/>
        <w:rPr>
          <w:rFonts w:hAnsi="宋体" w:cs="宋体"/>
          <w:b/>
          <w:bCs/>
          <w:sz w:val="24"/>
        </w:rPr>
      </w:pPr>
      <w:r>
        <w:rPr>
          <w:rFonts w:hint="eastAsia" w:hAnsi="宋体"/>
          <w:sz w:val="24"/>
          <w:szCs w:val="24"/>
        </w:rPr>
        <w:t>5.3招标文件每套售价</w:t>
      </w:r>
      <w:r>
        <w:rPr>
          <w:rFonts w:hint="eastAsia" w:hAnsi="宋体"/>
          <w:sz w:val="24"/>
          <w:szCs w:val="24"/>
          <w:u w:val="single"/>
        </w:rPr>
        <w:t>300</w:t>
      </w:r>
      <w:r>
        <w:rPr>
          <w:rFonts w:hint="eastAsia" w:hAnsi="宋体"/>
          <w:sz w:val="24"/>
          <w:szCs w:val="24"/>
        </w:rPr>
        <w:t>元，于提交电子投标文件时缴纳给招标代理机构，售后不退</w:t>
      </w:r>
      <w:r>
        <w:rPr>
          <w:rFonts w:hint="eastAsia" w:hAnsi="宋体" w:cs="宋体"/>
          <w:sz w:val="24"/>
        </w:rPr>
        <w:t>。</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6、投标文件的提交</w:t>
      </w:r>
    </w:p>
    <w:p>
      <w:pPr>
        <w:pStyle w:val="15"/>
        <w:spacing w:before="74" w:beforeAutospacing="0" w:after="0" w:afterAutospacing="0" w:line="460" w:lineRule="exact"/>
        <w:ind w:right="328" w:firstLine="480"/>
      </w:pPr>
      <w:r>
        <w:rPr>
          <w:rFonts w:hint="eastAsia"/>
        </w:rPr>
        <w:t>6.1全流程电子化交易项目，须提交电子介质存储的备份文件2份并分开单独密封。</w:t>
      </w:r>
    </w:p>
    <w:p>
      <w:pPr>
        <w:spacing w:line="460" w:lineRule="exact"/>
        <w:ind w:firstLine="480" w:firstLineChars="200"/>
        <w:rPr>
          <w:rFonts w:ascii="宋体" w:hAnsi="宋体" w:cs="宋体"/>
          <w:sz w:val="24"/>
          <w:szCs w:val="24"/>
          <w:highlight w:val="red"/>
        </w:rPr>
      </w:pPr>
      <w:r>
        <w:rPr>
          <w:rFonts w:hint="eastAsia" w:ascii="宋体" w:hAnsi="宋体" w:cs="宋体"/>
          <w:sz w:val="24"/>
          <w:szCs w:val="24"/>
        </w:rPr>
        <w:t>6.2电子投标文件的提交：电子投标文件应在投标文件提交截止时间（开标时间）之前成功提交至</w:t>
      </w:r>
      <w:r>
        <w:rPr>
          <w:rFonts w:hint="eastAsia" w:ascii="宋体" w:hAnsi="宋体" w:cs="宋体"/>
          <w:sz w:val="24"/>
        </w:rPr>
        <w:t>《全国公共资源交易平台(河南省▪许昌市)》</w:t>
      </w:r>
      <w:r>
        <w:rPr>
          <w:rFonts w:hint="eastAsia" w:ascii="宋体" w:hAnsi="宋体" w:cs="宋体"/>
          <w:sz w:val="24"/>
          <w:szCs w:val="24"/>
        </w:rPr>
        <w:t>公共资源交易系统，同时提交2份</w:t>
      </w:r>
      <w:r>
        <w:rPr>
          <w:rFonts w:hint="eastAsia" w:ascii="宋体" w:hAnsi="宋体" w:cs="宋体"/>
          <w:sz w:val="24"/>
        </w:rPr>
        <w:t>使用电子介质存储的备份文件。</w:t>
      </w:r>
    </w:p>
    <w:p>
      <w:pPr>
        <w:spacing w:line="460" w:lineRule="exact"/>
        <w:ind w:firstLine="480" w:firstLineChars="200"/>
        <w:rPr>
          <w:rFonts w:ascii="宋体" w:hAnsi="宋体" w:cs="宋体"/>
          <w:sz w:val="24"/>
          <w:szCs w:val="24"/>
        </w:rPr>
      </w:pPr>
      <w:r>
        <w:rPr>
          <w:rFonts w:hint="eastAsia" w:ascii="宋体" w:hAnsi="宋体" w:cs="宋体"/>
          <w:sz w:val="24"/>
          <w:szCs w:val="24"/>
        </w:rPr>
        <w:t>6.3投标文件提交的截止时间及开标时间</w:t>
      </w:r>
      <w:r>
        <w:rPr>
          <w:rFonts w:hint="eastAsia" w:ascii="宋体" w:hAnsi="宋体" w:cs="宋体"/>
          <w:sz w:val="24"/>
          <w:szCs w:val="24"/>
          <w:highlight w:val="none"/>
        </w:rPr>
        <w:t>：2019年</w:t>
      </w:r>
      <w:r>
        <w:rPr>
          <w:rFonts w:hint="eastAsia" w:ascii="宋体" w:hAnsi="宋体" w:cs="宋体"/>
          <w:sz w:val="24"/>
          <w:szCs w:val="24"/>
          <w:highlight w:val="none"/>
          <w:lang w:val="en-US" w:eastAsia="zh-CN"/>
        </w:rPr>
        <w:t>11</w:t>
      </w:r>
      <w:r>
        <w:rPr>
          <w:rFonts w:hint="eastAsia" w:ascii="宋体" w:hAnsi="宋体" w:cs="宋体"/>
          <w:sz w:val="24"/>
          <w:szCs w:val="24"/>
          <w:highlight w:val="none"/>
        </w:rPr>
        <w:t>月</w:t>
      </w:r>
      <w:r>
        <w:rPr>
          <w:rFonts w:hint="eastAsia" w:ascii="宋体" w:hAnsi="宋体" w:cs="宋体"/>
          <w:sz w:val="24"/>
          <w:szCs w:val="24"/>
          <w:highlight w:val="none"/>
          <w:lang w:val="en-US" w:eastAsia="zh-CN"/>
        </w:rPr>
        <w:t>4</w:t>
      </w:r>
      <w:r>
        <w:rPr>
          <w:rFonts w:hint="eastAsia" w:ascii="宋体" w:hAnsi="宋体" w:cs="宋体"/>
          <w:sz w:val="24"/>
          <w:szCs w:val="24"/>
          <w:highlight w:val="none"/>
        </w:rPr>
        <w:t>日09时00分。</w:t>
      </w:r>
      <w:r>
        <w:rPr>
          <w:rFonts w:hint="eastAsia" w:ascii="宋体" w:hAnsi="宋体" w:cs="宋体"/>
          <w:sz w:val="24"/>
          <w:szCs w:val="24"/>
        </w:rPr>
        <w:t>（北京时间）</w:t>
      </w:r>
    </w:p>
    <w:p>
      <w:pPr>
        <w:spacing w:line="460" w:lineRule="exact"/>
        <w:ind w:firstLine="480" w:firstLineChars="200"/>
        <w:rPr>
          <w:rFonts w:ascii="宋体" w:hAnsi="宋体" w:cs="宋体"/>
          <w:sz w:val="24"/>
        </w:rPr>
      </w:pPr>
      <w:r>
        <w:rPr>
          <w:rFonts w:hint="eastAsia" w:ascii="宋体" w:hAnsi="宋体" w:cs="宋体"/>
          <w:sz w:val="24"/>
        </w:rPr>
        <w:t>6.4</w:t>
      </w:r>
      <w:r>
        <w:rPr>
          <w:rFonts w:hint="eastAsia" w:ascii="宋体" w:hAnsi="宋体" w:cs="宋体"/>
          <w:sz w:val="24"/>
          <w:szCs w:val="24"/>
        </w:rPr>
        <w:t>电子投标文件提交</w:t>
      </w:r>
      <w:r>
        <w:rPr>
          <w:rFonts w:hint="eastAsia" w:ascii="宋体" w:hAnsi="宋体" w:cs="宋体"/>
          <w:sz w:val="24"/>
        </w:rPr>
        <w:t>地点：</w:t>
      </w:r>
      <w:r>
        <w:rPr>
          <w:rFonts w:hint="eastAsia" w:ascii="宋体" w:hAnsi="宋体" w:cs="宋体"/>
          <w:bCs/>
          <w:sz w:val="24"/>
        </w:rPr>
        <w:t>襄城县公共资源交易中心（襄城县八七路东电子产业园12楼开标二室）；</w:t>
      </w:r>
    </w:p>
    <w:p>
      <w:pPr>
        <w:spacing w:line="460" w:lineRule="exact"/>
        <w:ind w:firstLine="480" w:firstLineChars="200"/>
        <w:rPr>
          <w:rFonts w:ascii="宋体" w:hAnsi="宋体" w:cs="宋体"/>
          <w:sz w:val="24"/>
        </w:rPr>
      </w:pPr>
      <w:r>
        <w:rPr>
          <w:rFonts w:hint="eastAsia" w:ascii="宋体" w:hAnsi="宋体" w:cs="宋体"/>
          <w:sz w:val="24"/>
        </w:rPr>
        <w:t>6.5逾期送达的或者未送达指定地点的电子介质存储的备份文件，招标人不予受理。</w:t>
      </w:r>
    </w:p>
    <w:p>
      <w:pPr>
        <w:spacing w:line="460" w:lineRule="exact"/>
        <w:ind w:firstLine="480" w:firstLineChars="200"/>
        <w:rPr>
          <w:rFonts w:hAnsi="宋体" w:cs="宋体"/>
          <w:b/>
          <w:sz w:val="24"/>
          <w:szCs w:val="24"/>
        </w:rPr>
      </w:pPr>
      <w:r>
        <w:rPr>
          <w:rFonts w:hint="eastAsia" w:hAnsi="宋体" w:cs="宋体"/>
          <w:b/>
          <w:sz w:val="24"/>
          <w:szCs w:val="24"/>
        </w:rPr>
        <w:t>7、发布公告的媒介</w:t>
      </w:r>
    </w:p>
    <w:p>
      <w:pPr>
        <w:spacing w:line="460" w:lineRule="exact"/>
        <w:ind w:firstLine="480" w:firstLineChars="200"/>
        <w:rPr>
          <w:rFonts w:hAnsi="宋体" w:cs="宋体"/>
          <w:sz w:val="24"/>
          <w:szCs w:val="24"/>
        </w:rPr>
      </w:pPr>
      <w:r>
        <w:rPr>
          <w:rFonts w:hint="eastAsia" w:hAnsi="宋体" w:cs="宋体"/>
          <w:sz w:val="24"/>
          <w:szCs w:val="24"/>
        </w:rPr>
        <w:t>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numPr>
          <w:ilvl w:val="0"/>
          <w:numId w:val="1"/>
        </w:numPr>
        <w:spacing w:line="460" w:lineRule="exact"/>
        <w:ind w:firstLine="480" w:firstLineChars="200"/>
        <w:rPr>
          <w:rFonts w:hAnsi="宋体"/>
          <w:b/>
          <w:sz w:val="24"/>
        </w:rPr>
      </w:pPr>
      <w:r>
        <w:rPr>
          <w:rFonts w:hint="eastAsia" w:hAnsi="宋体"/>
          <w:b/>
          <w:sz w:val="24"/>
        </w:rPr>
        <w:t>联系方式</w:t>
      </w:r>
    </w:p>
    <w:p>
      <w:pPr>
        <w:widowControl/>
        <w:spacing w:line="460" w:lineRule="exact"/>
        <w:ind w:firstLine="480" w:firstLineChars="200"/>
        <w:rPr>
          <w:rFonts w:hAnsi="宋体"/>
          <w:bCs/>
          <w:sz w:val="24"/>
          <w:szCs w:val="24"/>
        </w:rPr>
      </w:pPr>
      <w:r>
        <w:rPr>
          <w:rFonts w:hint="eastAsia" w:hAnsi="宋体"/>
          <w:bCs/>
          <w:sz w:val="24"/>
          <w:szCs w:val="24"/>
        </w:rPr>
        <w:t>招 标 人：襄城县灵武城市开发建设有限公司</w:t>
      </w:r>
    </w:p>
    <w:p>
      <w:pPr>
        <w:widowControl/>
        <w:spacing w:line="460" w:lineRule="exact"/>
        <w:ind w:firstLine="480" w:firstLineChars="200"/>
        <w:rPr>
          <w:rFonts w:hAnsi="宋体"/>
          <w:bCs/>
          <w:sz w:val="24"/>
          <w:szCs w:val="24"/>
        </w:rPr>
      </w:pPr>
      <w:r>
        <w:rPr>
          <w:rFonts w:hint="eastAsia" w:hAnsi="宋体"/>
          <w:bCs/>
          <w:sz w:val="24"/>
          <w:szCs w:val="24"/>
        </w:rPr>
        <w:t>地    址：襄城县文昌路</w:t>
      </w:r>
    </w:p>
    <w:p>
      <w:pPr>
        <w:widowControl/>
        <w:spacing w:line="460" w:lineRule="exact"/>
        <w:ind w:firstLine="480" w:firstLineChars="200"/>
        <w:rPr>
          <w:rFonts w:hAnsi="宋体"/>
          <w:bCs/>
          <w:sz w:val="24"/>
          <w:szCs w:val="24"/>
        </w:rPr>
      </w:pPr>
      <w:r>
        <w:rPr>
          <w:rFonts w:hint="eastAsia" w:hAnsi="宋体"/>
          <w:bCs/>
          <w:sz w:val="24"/>
          <w:szCs w:val="24"/>
        </w:rPr>
        <w:t>联系人：郭先生        联系电话：15093202797</w:t>
      </w:r>
    </w:p>
    <w:p>
      <w:pPr>
        <w:widowControl/>
        <w:spacing w:line="460" w:lineRule="exact"/>
        <w:ind w:firstLine="480" w:firstLineChars="200"/>
        <w:rPr>
          <w:rFonts w:hAnsi="宋体"/>
          <w:bCs/>
          <w:sz w:val="24"/>
          <w:szCs w:val="24"/>
        </w:rPr>
      </w:pPr>
      <w:r>
        <w:rPr>
          <w:rFonts w:hint="eastAsia" w:hAnsi="宋体"/>
          <w:bCs/>
          <w:sz w:val="24"/>
          <w:szCs w:val="24"/>
        </w:rPr>
        <w:t>招标代理机构：许昌建设工程项目管理有限公司</w:t>
      </w:r>
    </w:p>
    <w:p>
      <w:pPr>
        <w:widowControl/>
        <w:spacing w:line="460" w:lineRule="exact"/>
        <w:ind w:firstLine="480" w:firstLineChars="200"/>
        <w:rPr>
          <w:rFonts w:hAnsi="宋体"/>
          <w:bCs/>
          <w:sz w:val="24"/>
          <w:szCs w:val="24"/>
        </w:rPr>
      </w:pPr>
      <w:r>
        <w:rPr>
          <w:rFonts w:hint="eastAsia" w:hAnsi="宋体"/>
          <w:bCs/>
          <w:sz w:val="24"/>
          <w:szCs w:val="24"/>
        </w:rPr>
        <w:t>地  址：许昌市东泰大厦5楼</w:t>
      </w:r>
    </w:p>
    <w:p>
      <w:pPr>
        <w:widowControl/>
        <w:spacing w:line="460" w:lineRule="exact"/>
        <w:ind w:firstLine="480" w:firstLineChars="200"/>
        <w:rPr>
          <w:rFonts w:hAnsi="宋体"/>
          <w:bCs/>
          <w:sz w:val="24"/>
          <w:szCs w:val="24"/>
        </w:rPr>
      </w:pPr>
      <w:r>
        <w:rPr>
          <w:rFonts w:hint="eastAsia" w:hAnsi="宋体"/>
          <w:bCs/>
          <w:sz w:val="24"/>
          <w:szCs w:val="24"/>
        </w:rPr>
        <w:t>联系人：俎女士</w:t>
      </w:r>
    </w:p>
    <w:p>
      <w:pPr>
        <w:widowControl/>
        <w:spacing w:line="460" w:lineRule="exact"/>
        <w:ind w:firstLine="480" w:firstLineChars="200"/>
        <w:rPr>
          <w:rFonts w:hAnsi="宋体"/>
          <w:bCs/>
          <w:sz w:val="24"/>
          <w:szCs w:val="24"/>
        </w:rPr>
      </w:pPr>
      <w:r>
        <w:rPr>
          <w:rFonts w:hint="eastAsia" w:hAnsi="宋体"/>
          <w:bCs/>
          <w:sz w:val="24"/>
          <w:szCs w:val="24"/>
        </w:rPr>
        <w:t>联系电话：0374-2162698</w:t>
      </w:r>
    </w:p>
    <w:p>
      <w:pPr>
        <w:tabs>
          <w:tab w:val="left" w:pos="4140"/>
          <w:tab w:val="left" w:pos="4260"/>
        </w:tabs>
        <w:spacing w:line="360" w:lineRule="auto"/>
        <w:ind w:right="-357" w:rightChars="-170" w:firstLine="3854" w:firstLineChars="1606"/>
        <w:jc w:val="left"/>
        <w:rPr>
          <w:rFonts w:hAnsi="宋体"/>
          <w:sz w:val="24"/>
          <w:szCs w:val="24"/>
        </w:rPr>
      </w:pPr>
    </w:p>
    <w:p>
      <w:pPr>
        <w:tabs>
          <w:tab w:val="left" w:pos="4140"/>
          <w:tab w:val="left" w:pos="4260"/>
        </w:tabs>
        <w:spacing w:line="360" w:lineRule="auto"/>
        <w:ind w:right="-357" w:rightChars="-170" w:firstLine="3854" w:firstLineChars="1606"/>
        <w:jc w:val="left"/>
        <w:rPr>
          <w:rFonts w:hAnsi="宋体"/>
          <w:sz w:val="24"/>
          <w:szCs w:val="24"/>
        </w:rPr>
      </w:pPr>
    </w:p>
    <w:p>
      <w:pPr>
        <w:tabs>
          <w:tab w:val="left" w:pos="4140"/>
          <w:tab w:val="left" w:pos="4260"/>
        </w:tabs>
        <w:spacing w:line="360" w:lineRule="auto"/>
        <w:ind w:right="-357" w:rightChars="-170" w:firstLine="4809" w:firstLineChars="2004"/>
        <w:jc w:val="left"/>
        <w:rPr>
          <w:rFonts w:hAnsi="宋体"/>
          <w:sz w:val="24"/>
          <w:szCs w:val="24"/>
        </w:rPr>
      </w:pPr>
      <w:r>
        <w:rPr>
          <w:rFonts w:hint="eastAsia" w:hAnsi="宋体"/>
          <w:sz w:val="24"/>
          <w:szCs w:val="24"/>
        </w:rPr>
        <w:t>襄城县灵武城市开发建设有限公司</w:t>
      </w:r>
    </w:p>
    <w:p>
      <w:pPr>
        <w:tabs>
          <w:tab w:val="left" w:pos="4140"/>
          <w:tab w:val="left" w:pos="4260"/>
        </w:tabs>
        <w:spacing w:line="360" w:lineRule="auto"/>
        <w:ind w:right="-357" w:rightChars="-170" w:firstLine="4092" w:firstLineChars="1705"/>
        <w:jc w:val="left"/>
        <w:rPr>
          <w:rFonts w:hAnsi="宋体"/>
          <w:sz w:val="24"/>
          <w:szCs w:val="24"/>
        </w:rPr>
      </w:pPr>
    </w:p>
    <w:p>
      <w:pPr>
        <w:tabs>
          <w:tab w:val="left" w:pos="4140"/>
          <w:tab w:val="left" w:pos="4260"/>
        </w:tabs>
        <w:spacing w:line="360" w:lineRule="auto"/>
        <w:ind w:right="-357" w:rightChars="-170" w:firstLine="6489" w:firstLineChars="2704"/>
        <w:jc w:val="left"/>
        <w:rPr>
          <w:rFonts w:hAnsi="宋体"/>
          <w:b/>
          <w:sz w:val="28"/>
          <w:szCs w:val="28"/>
          <w:highlight w:val="red"/>
        </w:rPr>
      </w:pPr>
      <w:r>
        <w:rPr>
          <w:rFonts w:hint="eastAsia" w:hAnsi="宋体"/>
          <w:sz w:val="24"/>
          <w:szCs w:val="24"/>
        </w:rPr>
        <w:t xml:space="preserve">  2019年</w:t>
      </w:r>
      <w:r>
        <w:rPr>
          <w:rFonts w:hint="eastAsia" w:hAnsi="宋体"/>
          <w:sz w:val="24"/>
          <w:szCs w:val="24"/>
          <w:lang w:val="en-US" w:eastAsia="zh-CN"/>
        </w:rPr>
        <w:t>10</w:t>
      </w:r>
      <w:r>
        <w:rPr>
          <w:rFonts w:hint="eastAsia" w:hAnsi="宋体"/>
          <w:sz w:val="24"/>
          <w:szCs w:val="24"/>
        </w:rPr>
        <w:t>月</w:t>
      </w:r>
      <w:r>
        <w:rPr>
          <w:rFonts w:hint="eastAsia" w:hAnsi="宋体"/>
          <w:sz w:val="24"/>
          <w:szCs w:val="24"/>
          <w:lang w:val="en-US" w:eastAsia="zh-CN"/>
        </w:rPr>
        <w:t>12</w:t>
      </w:r>
      <w:r>
        <w:rPr>
          <w:rFonts w:hint="eastAsia" w:hAnsi="宋体"/>
          <w:sz w:val="24"/>
          <w:szCs w:val="24"/>
        </w:rPr>
        <w:t>日</w:t>
      </w:r>
    </w:p>
    <w:p>
      <w:pPr>
        <w:spacing w:line="400" w:lineRule="exact"/>
        <w:rPr>
          <w:rFonts w:ascii="宋体" w:hAnsi="宋体" w:cs="宋体"/>
          <w:b/>
          <w:sz w:val="24"/>
          <w:szCs w:val="24"/>
        </w:rPr>
      </w:pPr>
      <w:r>
        <w:rPr>
          <w:rFonts w:hint="eastAsia" w:ascii="宋体" w:hAnsi="宋体" w:cs="宋体"/>
          <w:b/>
          <w:sz w:val="24"/>
          <w:szCs w:val="24"/>
        </w:rPr>
        <w:t>温馨提示：</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本项目为全流程电子化交易项目，请认真阅读招标文件，并注意以下事项。</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1.投标人应按招标文件规定下载、编制、提交电子投标文件。开、评标现场不接受投标人递交的电子投标文件以外的其他资料。</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2.电子文件下载、制作、提交期间和开标（电子投标文件的解密）环节，投标人须使用CA数字证书（证书须在有效期内）。</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3.电子投标文件的制作</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color w:val="000000"/>
          <w:sz w:val="24"/>
          <w:szCs w:val="24"/>
        </w:rPr>
        <w:t>http://221.14.6.70:8088/ggzy/</w:t>
      </w:r>
      <w:r>
        <w:rPr>
          <w:rFonts w:hint="eastAsia" w:ascii="宋体" w:hAnsi="宋体" w:cs="宋体"/>
          <w:color w:val="000000"/>
          <w:sz w:val="24"/>
          <w:szCs w:val="24"/>
        </w:rPr>
        <w:fldChar w:fldCharType="end"/>
      </w:r>
      <w:r>
        <w:rPr>
          <w:rFonts w:hint="eastAsia" w:ascii="宋体" w:hAnsi="宋体" w:cs="宋体"/>
          <w:sz w:val="24"/>
          <w:szCs w:val="24"/>
        </w:rPr>
        <w:t>）下载“许昌投标文件制作系统SEARUN V1.1”，按招标文件要求制作电子投标文件。</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60" w:firstLineChars="150"/>
        <w:contextualSpacing/>
        <w:jc w:val="left"/>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left="105" w:leftChars="50" w:firstLine="360" w:firstLineChars="150"/>
        <w:contextualSpacing/>
        <w:jc w:val="left"/>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jc w:val="left"/>
        <w:rPr>
          <w:rFonts w:ascii="宋体" w:hAnsi="宋体" w:cs="宋体"/>
          <w:sz w:val="24"/>
          <w:szCs w:val="24"/>
        </w:rPr>
      </w:pPr>
      <w:r>
        <w:rPr>
          <w:rFonts w:hint="eastAsia" w:ascii="宋体" w:hAnsi="宋体" w:cs="宋体"/>
          <w:sz w:val="24"/>
          <w:szCs w:val="24"/>
        </w:rPr>
        <w:t>一个标段对应生成一个文件夹（xxxx项目xx标段）, 其中包含2个文件和1个文件夹。后缀名为“.file”的文件用于电子投标使用，后缀为PDF、“备份文件夹”使用电子介质存储，供开标现场备用。</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4.电子投标文件的提交</w:t>
      </w:r>
    </w:p>
    <w:p>
      <w:pPr>
        <w:tabs>
          <w:tab w:val="left" w:pos="7095"/>
        </w:tabs>
        <w:spacing w:line="360" w:lineRule="auto"/>
        <w:contextualSpacing/>
        <w:jc w:val="left"/>
        <w:rPr>
          <w:rFonts w:ascii="宋体" w:hAnsi="宋体" w:cs="宋体"/>
          <w:sz w:val="24"/>
          <w:szCs w:val="24"/>
        </w:rPr>
      </w:pPr>
      <w:r>
        <w:rPr>
          <w:rFonts w:hint="eastAsia" w:ascii="宋体" w:hAnsi="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 w:val="24"/>
          <w:szCs w:val="24"/>
        </w:rPr>
        <w:t>http://221.14.6.70:8088/ggzy/</w:t>
      </w:r>
      <w:r>
        <w:rPr>
          <w:rFonts w:hint="eastAsia" w:ascii="宋体" w:hAnsi="宋体" w:cs="宋体"/>
          <w:sz w:val="24"/>
          <w:szCs w:val="24"/>
        </w:rPr>
        <w:fldChar w:fldCharType="end"/>
      </w: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4.2 投标人对同一项目多个标段进行投标的，电子投标文件应按标段分别提交。</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4.3 电子投标文件成功提交后，投标人应打印“投标文件提交回执单”，供开标现场备查。</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5.评标依据</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5.1采用全流程电子化交易评标时，评标委员会以电子投标文件为依据评标。</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5.2全流程电子化交易系统如因系统异常情况无法完成，将以人工方式进行。评标委员会以电子介质存储的备份文件为依据评标。</w:t>
      </w:r>
    </w:p>
    <w:p>
      <w:pPr>
        <w:tabs>
          <w:tab w:val="left" w:pos="7095"/>
        </w:tabs>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招标人及其代理机构需留存项目电子档案时，可在质疑期满后使用CA锁从交易平台自行下载。</w:t>
      </w:r>
    </w:p>
    <w:p>
      <w:pPr>
        <w:pStyle w:val="6"/>
        <w:rPr>
          <w:rFonts w:cs="黑体"/>
          <w:b w:val="0"/>
          <w:sz w:val="36"/>
          <w:szCs w:val="36"/>
        </w:rPr>
      </w:pPr>
      <w:r>
        <w:rPr>
          <w:sz w:val="28"/>
          <w:szCs w:val="28"/>
        </w:rPr>
        <w:br w:type="page"/>
      </w:r>
      <w:bookmarkStart w:id="3" w:name="_Toc15375"/>
      <w:bookmarkStart w:id="4" w:name="_Toc1722"/>
      <w:r>
        <w:rPr>
          <w:rFonts w:hint="eastAsia"/>
        </w:rPr>
        <w:t xml:space="preserve">第二章  </w:t>
      </w:r>
      <w:bookmarkEnd w:id="0"/>
      <w:r>
        <w:rPr>
          <w:rFonts w:hint="eastAsia"/>
        </w:rPr>
        <w:t>投标人须知</w:t>
      </w:r>
      <w:bookmarkEnd w:id="3"/>
      <w:bookmarkEnd w:id="4"/>
    </w:p>
    <w:p>
      <w:pPr>
        <w:autoSpaceDE w:val="0"/>
        <w:autoSpaceDN w:val="0"/>
        <w:adjustRightInd w:val="0"/>
        <w:ind w:firstLine="560" w:firstLineChars="200"/>
        <w:rPr>
          <w:rFonts w:hAnsi="宋体" w:cs="黑体"/>
          <w:b/>
          <w:sz w:val="28"/>
          <w:szCs w:val="28"/>
        </w:rPr>
      </w:pPr>
      <w:bookmarkStart w:id="5" w:name="_Toc283559940"/>
      <w:r>
        <w:rPr>
          <w:rFonts w:hint="eastAsia" w:hAnsi="宋体" w:cs="黑体"/>
          <w:b/>
          <w:sz w:val="28"/>
          <w:szCs w:val="28"/>
        </w:rPr>
        <w:t>投标人须知前附表</w:t>
      </w:r>
      <w:bookmarkEnd w:id="5"/>
    </w:p>
    <w:tbl>
      <w:tblPr>
        <w:tblStyle w:val="17"/>
        <w:tblW w:w="10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
        <w:gridCol w:w="67"/>
        <w:gridCol w:w="1865"/>
        <w:gridCol w:w="498"/>
        <w:gridCol w:w="674"/>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条款号</w:t>
            </w:r>
          </w:p>
        </w:tc>
        <w:tc>
          <w:tcPr>
            <w:tcW w:w="2437" w:type="dxa"/>
            <w:gridSpan w:val="4"/>
            <w:noWrap/>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 款 名 称</w:t>
            </w:r>
          </w:p>
        </w:tc>
        <w:tc>
          <w:tcPr>
            <w:tcW w:w="6780" w:type="dxa"/>
            <w:gridSpan w:val="2"/>
            <w:noWrap/>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1.1.2</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招标人</w:t>
            </w:r>
          </w:p>
        </w:tc>
        <w:tc>
          <w:tcPr>
            <w:tcW w:w="6780" w:type="dxa"/>
            <w:gridSpan w:val="2"/>
            <w:noWrap/>
            <w:vAlign w:val="center"/>
          </w:tcPr>
          <w:p>
            <w:pPr>
              <w:widowControl/>
              <w:spacing w:line="460" w:lineRule="exact"/>
              <w:rPr>
                <w:rFonts w:hAnsi="宋体"/>
                <w:bCs/>
                <w:sz w:val="24"/>
                <w:szCs w:val="24"/>
              </w:rPr>
            </w:pPr>
            <w:r>
              <w:rPr>
                <w:rFonts w:hint="eastAsia" w:hAnsi="宋体"/>
                <w:bCs/>
                <w:sz w:val="24"/>
                <w:szCs w:val="24"/>
              </w:rPr>
              <w:t>招 标 人：襄城县灵武城市开发建设有限公司</w:t>
            </w:r>
          </w:p>
          <w:p>
            <w:pPr>
              <w:widowControl/>
              <w:spacing w:line="460" w:lineRule="exact"/>
              <w:rPr>
                <w:rFonts w:hAnsi="宋体"/>
                <w:bCs/>
                <w:sz w:val="24"/>
                <w:szCs w:val="24"/>
              </w:rPr>
            </w:pPr>
            <w:r>
              <w:rPr>
                <w:rFonts w:hint="eastAsia" w:hAnsi="宋体"/>
                <w:bCs/>
                <w:sz w:val="24"/>
                <w:szCs w:val="24"/>
              </w:rPr>
              <w:t>地    址：襄城县文昌路</w:t>
            </w:r>
          </w:p>
          <w:p>
            <w:pPr>
              <w:widowControl/>
              <w:spacing w:line="460" w:lineRule="exact"/>
              <w:jc w:val="left"/>
              <w:rPr>
                <w:rFonts w:ascii="宋体" w:hAnsi="宋体" w:cs="宋体"/>
                <w:sz w:val="24"/>
                <w:szCs w:val="24"/>
              </w:rPr>
            </w:pPr>
            <w:r>
              <w:rPr>
                <w:rFonts w:hint="eastAsia" w:ascii="宋体" w:hAnsi="宋体" w:cs="宋体"/>
                <w:sz w:val="24"/>
                <w:szCs w:val="24"/>
              </w:rPr>
              <w:t xml:space="preserve">联系人：郭先生       </w:t>
            </w:r>
          </w:p>
          <w:p>
            <w:pPr>
              <w:widowControl/>
              <w:spacing w:line="460" w:lineRule="exact"/>
              <w:jc w:val="left"/>
              <w:rPr>
                <w:rFonts w:ascii="宋体" w:hAnsi="宋体" w:cs="宋体"/>
                <w:sz w:val="24"/>
                <w:szCs w:val="24"/>
              </w:rPr>
            </w:pPr>
            <w:r>
              <w:rPr>
                <w:rFonts w:hint="eastAsia" w:ascii="宋体" w:hAnsi="宋体" w:cs="宋体"/>
                <w:sz w:val="24"/>
                <w:szCs w:val="24"/>
              </w:rPr>
              <w:t>联系电话：15093202797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1.1.3</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80" w:type="dxa"/>
            <w:gridSpan w:val="2"/>
            <w:noWrap/>
            <w:vAlign w:val="center"/>
          </w:tcPr>
          <w:p>
            <w:pPr>
              <w:widowControl/>
              <w:spacing w:line="460" w:lineRule="exact"/>
              <w:jc w:val="left"/>
              <w:rPr>
                <w:rFonts w:ascii="宋体" w:hAnsi="宋体" w:cs="宋体"/>
                <w:sz w:val="24"/>
                <w:szCs w:val="24"/>
              </w:rPr>
            </w:pPr>
            <w:r>
              <w:rPr>
                <w:rFonts w:hint="eastAsia" w:ascii="宋体" w:hAnsi="宋体" w:cs="宋体"/>
                <w:sz w:val="24"/>
                <w:szCs w:val="24"/>
              </w:rPr>
              <w:t>招标代理机构：许昌建设工程项目管理有限公司</w:t>
            </w:r>
          </w:p>
          <w:p>
            <w:pPr>
              <w:widowControl/>
              <w:spacing w:line="460" w:lineRule="exact"/>
              <w:jc w:val="left"/>
              <w:rPr>
                <w:rFonts w:ascii="宋体" w:hAnsi="宋体" w:cs="宋体"/>
                <w:sz w:val="24"/>
                <w:szCs w:val="24"/>
              </w:rPr>
            </w:pPr>
            <w:r>
              <w:rPr>
                <w:rFonts w:hint="eastAsia" w:ascii="宋体" w:hAnsi="宋体" w:cs="宋体"/>
                <w:sz w:val="24"/>
                <w:szCs w:val="24"/>
              </w:rPr>
              <w:t>地 址：许昌市东泰大厦5楼</w:t>
            </w:r>
          </w:p>
          <w:p>
            <w:pPr>
              <w:widowControl/>
              <w:spacing w:line="460" w:lineRule="exact"/>
              <w:jc w:val="left"/>
              <w:rPr>
                <w:rFonts w:ascii="宋体" w:hAnsi="宋体" w:cs="宋体"/>
                <w:sz w:val="24"/>
                <w:szCs w:val="24"/>
              </w:rPr>
            </w:pPr>
            <w:r>
              <w:rPr>
                <w:rFonts w:hint="eastAsia" w:ascii="宋体" w:hAnsi="宋体" w:cs="宋体"/>
                <w:sz w:val="24"/>
                <w:szCs w:val="24"/>
              </w:rPr>
              <w:t>联系人：俎女士</w:t>
            </w:r>
          </w:p>
          <w:p>
            <w:pPr>
              <w:widowControl/>
              <w:spacing w:line="460" w:lineRule="exact"/>
              <w:jc w:val="left"/>
              <w:rPr>
                <w:rFonts w:ascii="宋体" w:hAnsi="宋体" w:cs="宋体"/>
                <w:sz w:val="24"/>
                <w:szCs w:val="24"/>
              </w:rPr>
            </w:pPr>
            <w:r>
              <w:rPr>
                <w:rFonts w:hint="eastAsia" w:ascii="宋体" w:hAnsi="宋体" w:cs="宋体"/>
                <w:sz w:val="24"/>
                <w:szCs w:val="24"/>
              </w:rPr>
              <w:t>联系电话：0374-2162698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1.1.4</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项目名称</w:t>
            </w:r>
          </w:p>
        </w:tc>
        <w:tc>
          <w:tcPr>
            <w:tcW w:w="6780" w:type="dxa"/>
            <w:gridSpan w:val="2"/>
            <w:noWrap/>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zh-CN"/>
              </w:rPr>
              <w:t>襄城县融媒体中心建设项目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1.1.5</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建设地点</w:t>
            </w:r>
          </w:p>
        </w:tc>
        <w:tc>
          <w:tcPr>
            <w:tcW w:w="6780" w:type="dxa"/>
            <w:gridSpan w:val="2"/>
            <w:noWrap/>
            <w:vAlign w:val="center"/>
          </w:tcPr>
          <w:p>
            <w:pPr>
              <w:autoSpaceDE w:val="0"/>
              <w:autoSpaceDN w:val="0"/>
              <w:adjustRightInd w:val="0"/>
              <w:spacing w:line="360" w:lineRule="auto"/>
              <w:jc w:val="left"/>
              <w:rPr>
                <w:rFonts w:ascii="宋体" w:hAnsi="宋体" w:cs="宋体"/>
                <w:sz w:val="24"/>
                <w:szCs w:val="24"/>
              </w:rPr>
            </w:pPr>
            <w:r>
              <w:rPr>
                <w:rFonts w:hint="eastAsia" w:hAnsi="宋体"/>
                <w:sz w:val="24"/>
                <w:szCs w:val="24"/>
              </w:rPr>
              <w:t>襄城县文博中心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1.2.1</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资金来源</w:t>
            </w:r>
          </w:p>
        </w:tc>
        <w:tc>
          <w:tcPr>
            <w:tcW w:w="6780" w:type="dxa"/>
            <w:gridSpan w:val="2"/>
            <w:noWrap/>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1.2.2</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出资比例</w:t>
            </w:r>
          </w:p>
        </w:tc>
        <w:tc>
          <w:tcPr>
            <w:tcW w:w="6780" w:type="dxa"/>
            <w:gridSpan w:val="2"/>
            <w:noWrap/>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1.2.3</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资金落实情况</w:t>
            </w:r>
          </w:p>
        </w:tc>
        <w:tc>
          <w:tcPr>
            <w:tcW w:w="6780" w:type="dxa"/>
            <w:gridSpan w:val="2"/>
            <w:noWrap/>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1.3.1</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招标范围</w:t>
            </w:r>
          </w:p>
        </w:tc>
        <w:tc>
          <w:tcPr>
            <w:tcW w:w="6780" w:type="dxa"/>
            <w:gridSpan w:val="2"/>
            <w:tcBorders>
              <w:bottom w:val="single" w:color="auto" w:sz="4" w:space="0"/>
            </w:tcBorders>
            <w:noWrap/>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1.3.2</w:t>
            </w:r>
          </w:p>
        </w:tc>
        <w:tc>
          <w:tcPr>
            <w:tcW w:w="2437" w:type="dxa"/>
            <w:gridSpan w:val="4"/>
            <w:tcBorders>
              <w:right w:val="single" w:color="auto" w:sz="4" w:space="0"/>
            </w:tcBorders>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计划工期</w:t>
            </w:r>
          </w:p>
        </w:tc>
        <w:tc>
          <w:tcPr>
            <w:tcW w:w="678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1.3.3</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质量要求</w:t>
            </w:r>
          </w:p>
        </w:tc>
        <w:tc>
          <w:tcPr>
            <w:tcW w:w="6780" w:type="dxa"/>
            <w:gridSpan w:val="2"/>
            <w:tcBorders>
              <w:top w:val="single" w:color="auto" w:sz="4" w:space="0"/>
            </w:tcBorders>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1.4.1</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投标人资质条件</w:t>
            </w:r>
          </w:p>
        </w:tc>
        <w:tc>
          <w:tcPr>
            <w:tcW w:w="6780" w:type="dxa"/>
            <w:gridSpan w:val="2"/>
            <w:noWrap/>
            <w:vAlign w:val="center"/>
          </w:tcPr>
          <w:p>
            <w:pPr>
              <w:widowControl/>
              <w:spacing w:line="460" w:lineRule="exact"/>
              <w:rPr>
                <w:rFonts w:hAnsi="宋体"/>
                <w:bCs/>
                <w:sz w:val="24"/>
                <w:szCs w:val="24"/>
              </w:rPr>
            </w:pPr>
            <w:r>
              <w:rPr>
                <w:rFonts w:hint="eastAsia" w:hAnsi="宋体"/>
                <w:bCs/>
                <w:sz w:val="24"/>
                <w:szCs w:val="24"/>
              </w:rPr>
              <w:t>1 、投标人须具备独立的法人资格，并具备建筑装饰装修工程专业总承包二级及以上资质，且具有有效的安全生产许可证，并在人员、设备、资金等方面具有相应的施工能力。；</w:t>
            </w:r>
          </w:p>
          <w:p>
            <w:pPr>
              <w:widowControl/>
              <w:spacing w:line="460" w:lineRule="exact"/>
              <w:rPr>
                <w:rFonts w:hAnsi="宋体"/>
                <w:bCs/>
                <w:sz w:val="24"/>
                <w:szCs w:val="24"/>
              </w:rPr>
            </w:pPr>
            <w:r>
              <w:rPr>
                <w:rFonts w:hint="eastAsia" w:hAnsi="宋体"/>
                <w:bCs/>
                <w:sz w:val="24"/>
                <w:szCs w:val="24"/>
              </w:rPr>
              <w:t>2、投标人拟派项目负责人须在本单位注册且具备建筑工程专业一级注册建造师资格（不含临时），且未担任其它在施建设工程并具有有效的安全生产考核合格证；</w:t>
            </w:r>
          </w:p>
          <w:p>
            <w:pPr>
              <w:widowControl/>
              <w:spacing w:line="460" w:lineRule="exact"/>
              <w:rPr>
                <w:rFonts w:hAnsi="宋体"/>
                <w:bCs/>
                <w:sz w:val="24"/>
                <w:szCs w:val="24"/>
              </w:rPr>
            </w:pPr>
            <w:r>
              <w:rPr>
                <w:rFonts w:hint="eastAsia" w:hAnsi="宋体"/>
                <w:bCs/>
                <w:sz w:val="24"/>
                <w:szCs w:val="24"/>
              </w:rPr>
              <w:t>3、 投标人未被列入“信用中国”网站信用记录失信被执行人、重大税收违法案件当事人名单、严重违法失信行为记录名单（查询网站：“信用中国”https://www.creditchina.gov.cn，并提供报名时间内网站截图）；未被列入“国家企业信用信息公示系统”经营异常名录、严重违法失信企业名单（查询网站：国家企业信用信息公示系统http://www.gsxt.gov.cn，并提供报名时间内网页截图）；投标人未被列入信用河南信用信息栏黑名单（河南省投标企业提供，查询网站：信用河南http://www.credithn.gov.cn/，并提供报名时间内网页截图）。</w:t>
            </w:r>
          </w:p>
          <w:p>
            <w:pPr>
              <w:widowControl/>
              <w:spacing w:line="460" w:lineRule="exact"/>
              <w:rPr>
                <w:rFonts w:hAnsi="宋体"/>
                <w:bCs/>
                <w:sz w:val="24"/>
                <w:szCs w:val="24"/>
              </w:rPr>
            </w:pPr>
            <w:r>
              <w:rPr>
                <w:rFonts w:hint="eastAsia" w:hAnsi="宋体"/>
                <w:bCs/>
                <w:sz w:val="24"/>
                <w:szCs w:val="24"/>
              </w:rPr>
              <w:t>4 、投标人须提供许昌市公共资源交易信用管理平台投标单位诚信承诺书网页截图。</w:t>
            </w:r>
          </w:p>
          <w:p>
            <w:pPr>
              <w:widowControl/>
              <w:spacing w:line="460" w:lineRule="exact"/>
              <w:rPr>
                <w:rFonts w:hAnsi="宋体"/>
                <w:bCs/>
                <w:sz w:val="24"/>
                <w:szCs w:val="24"/>
              </w:rPr>
            </w:pPr>
            <w:r>
              <w:rPr>
                <w:rFonts w:hint="eastAsia" w:hAnsi="宋体"/>
                <w:bCs/>
                <w:sz w:val="24"/>
                <w:szCs w:val="24"/>
              </w:rPr>
              <w:t>5 、本次招标不接受联合体投标。</w:t>
            </w:r>
          </w:p>
          <w:p>
            <w:pPr>
              <w:widowControl/>
              <w:spacing w:line="460" w:lineRule="exact"/>
              <w:rPr>
                <w:rFonts w:ascii="宋体" w:hAnsi="宋体" w:cs="宋体"/>
                <w:sz w:val="24"/>
                <w:szCs w:val="24"/>
              </w:rPr>
            </w:pPr>
            <w:r>
              <w:rPr>
                <w:rFonts w:hint="eastAsia" w:hAnsi="宋体"/>
                <w:bCs/>
                <w:sz w:val="24"/>
                <w:szCs w:val="24"/>
              </w:rPr>
              <w:t>6 、本次招标实行资格后审。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1.4.2</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是否接受联合体投标</w:t>
            </w:r>
          </w:p>
        </w:tc>
        <w:tc>
          <w:tcPr>
            <w:tcW w:w="6780" w:type="dxa"/>
            <w:gridSpan w:val="2"/>
            <w:noWrap/>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1.9.1</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踏勘现场</w:t>
            </w:r>
          </w:p>
        </w:tc>
        <w:tc>
          <w:tcPr>
            <w:tcW w:w="6780" w:type="dxa"/>
            <w:gridSpan w:val="2"/>
            <w:noWrap/>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1.10.1</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投标预备会</w:t>
            </w:r>
          </w:p>
        </w:tc>
        <w:tc>
          <w:tcPr>
            <w:tcW w:w="6780" w:type="dxa"/>
            <w:gridSpan w:val="2"/>
            <w:noWrap/>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1.10.2</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投标人提出问题的截止时间</w:t>
            </w:r>
          </w:p>
        </w:tc>
        <w:tc>
          <w:tcPr>
            <w:tcW w:w="6780" w:type="dxa"/>
            <w:gridSpan w:val="2"/>
            <w:noWrap/>
            <w:vAlign w:val="center"/>
          </w:tcPr>
          <w:p>
            <w:pPr>
              <w:spacing w:line="360" w:lineRule="auto"/>
              <w:rPr>
                <w:rFonts w:ascii="宋体" w:hAnsi="宋体" w:cs="宋体"/>
                <w:sz w:val="24"/>
                <w:szCs w:val="24"/>
              </w:rPr>
            </w:pPr>
            <w:r>
              <w:rPr>
                <w:rFonts w:hint="eastAsia" w:hAnsi="宋体" w:cs="宋体"/>
                <w:sz w:val="24"/>
                <w:szCs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spacing w:line="360" w:lineRule="auto"/>
              <w:jc w:val="center"/>
              <w:rPr>
                <w:rFonts w:ascii="宋体" w:hAnsi="宋体" w:cs="宋体"/>
                <w:sz w:val="24"/>
                <w:szCs w:val="24"/>
              </w:rPr>
            </w:pPr>
            <w:r>
              <w:rPr>
                <w:rFonts w:hint="eastAsia" w:ascii="宋体" w:hAnsi="宋体" w:cs="宋体"/>
                <w:sz w:val="24"/>
                <w:szCs w:val="24"/>
              </w:rPr>
              <w:t>1.10.3</w:t>
            </w:r>
          </w:p>
        </w:tc>
        <w:tc>
          <w:tcPr>
            <w:tcW w:w="2437" w:type="dxa"/>
            <w:gridSpan w:val="4"/>
            <w:noWrap/>
            <w:vAlign w:val="center"/>
          </w:tcPr>
          <w:p>
            <w:pPr>
              <w:spacing w:line="360" w:lineRule="auto"/>
              <w:jc w:val="center"/>
              <w:rPr>
                <w:rFonts w:ascii="宋体" w:hAnsi="宋体" w:cs="宋体"/>
                <w:sz w:val="24"/>
                <w:szCs w:val="24"/>
              </w:rPr>
            </w:pPr>
            <w:r>
              <w:rPr>
                <w:rFonts w:hint="eastAsia" w:ascii="宋体" w:hAnsi="宋体" w:cs="宋体"/>
                <w:sz w:val="24"/>
                <w:szCs w:val="24"/>
              </w:rPr>
              <w:t>招标人澄清的时间</w:t>
            </w:r>
          </w:p>
        </w:tc>
        <w:tc>
          <w:tcPr>
            <w:tcW w:w="6780" w:type="dxa"/>
            <w:gridSpan w:val="2"/>
            <w:noWrap/>
            <w:vAlign w:val="center"/>
          </w:tcPr>
          <w:p>
            <w:pPr>
              <w:spacing w:line="360" w:lineRule="auto"/>
              <w:rPr>
                <w:rFonts w:ascii="宋体" w:hAnsi="宋体" w:cs="宋体"/>
                <w:sz w:val="24"/>
                <w:szCs w:val="24"/>
              </w:rPr>
            </w:pPr>
            <w:r>
              <w:rPr>
                <w:rFonts w:hint="eastAsia" w:hAnsi="宋体" w:cs="宋体"/>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1.11</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分包</w:t>
            </w:r>
          </w:p>
        </w:tc>
        <w:tc>
          <w:tcPr>
            <w:tcW w:w="6780" w:type="dxa"/>
            <w:gridSpan w:val="2"/>
            <w:noWrap/>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 xml:space="preserve">1.12 </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偏离</w:t>
            </w:r>
          </w:p>
        </w:tc>
        <w:tc>
          <w:tcPr>
            <w:tcW w:w="6780" w:type="dxa"/>
            <w:gridSpan w:val="2"/>
            <w:noWrap/>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 xml:space="preserve">2.1 </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招标文件及图纸</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的获取</w:t>
            </w:r>
          </w:p>
        </w:tc>
        <w:tc>
          <w:tcPr>
            <w:tcW w:w="6780" w:type="dxa"/>
            <w:gridSpan w:val="2"/>
            <w:noWrap/>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招标文件和工程量清单的获取：投标人于投标文件递交截止时间前均可登录《全国公共资源交易平台（河南省·许昌市）》（http://ggzy.xuchang.gov.cn），通过“投标人/供应商登录”后自行下载。</w:t>
            </w:r>
          </w:p>
          <w:p>
            <w:pPr>
              <w:widowControl/>
              <w:spacing w:line="360" w:lineRule="auto"/>
              <w:jc w:val="left"/>
              <w:rPr>
                <w:rFonts w:ascii="宋体" w:hAnsi="宋体" w:cs="宋体"/>
                <w:b/>
                <w:bCs/>
                <w:sz w:val="24"/>
                <w:szCs w:val="24"/>
              </w:rPr>
            </w:pPr>
            <w:r>
              <w:rPr>
                <w:rFonts w:hint="eastAsia" w:ascii="宋体" w:hAnsi="宋体" w:cs="宋体"/>
                <w:sz w:val="24"/>
                <w:szCs w:val="24"/>
              </w:rPr>
              <w:t>图纸下载链接：https://pan.baidu.com/s/1OTKPAiO1QoJ0tW18JRLLeQ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2.1.1</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构成招标文件的其他材料</w:t>
            </w:r>
          </w:p>
        </w:tc>
        <w:tc>
          <w:tcPr>
            <w:tcW w:w="6780" w:type="dxa"/>
            <w:gridSpan w:val="2"/>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2.2.1</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投标人要求澄清招标文件的截止时间</w:t>
            </w:r>
          </w:p>
        </w:tc>
        <w:tc>
          <w:tcPr>
            <w:tcW w:w="6780" w:type="dxa"/>
            <w:gridSpan w:val="2"/>
            <w:noWrap/>
            <w:vAlign w:val="center"/>
          </w:tcPr>
          <w:p>
            <w:pPr>
              <w:autoSpaceDE w:val="0"/>
              <w:autoSpaceDN w:val="0"/>
              <w:adjustRightInd w:val="0"/>
              <w:spacing w:line="360" w:lineRule="auto"/>
              <w:rPr>
                <w:rFonts w:ascii="宋体" w:hAnsi="宋体" w:cs="宋体"/>
                <w:sz w:val="24"/>
                <w:szCs w:val="24"/>
              </w:rPr>
            </w:pPr>
            <w:r>
              <w:rPr>
                <w:rFonts w:hint="eastAsia" w:hAnsi="宋体" w:cs="宋体"/>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2.2.2</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投标截止时间</w:t>
            </w:r>
          </w:p>
        </w:tc>
        <w:tc>
          <w:tcPr>
            <w:tcW w:w="6780" w:type="dxa"/>
            <w:gridSpan w:val="2"/>
            <w:noWrap/>
          </w:tcPr>
          <w:p>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2019年</w:t>
            </w:r>
            <w:r>
              <w:rPr>
                <w:rFonts w:hint="eastAsia" w:ascii="宋体" w:hAnsi="宋体" w:cs="宋体"/>
                <w:sz w:val="24"/>
                <w:szCs w:val="24"/>
                <w:highlight w:val="none"/>
                <w:lang w:val="en-US" w:eastAsia="zh-CN"/>
              </w:rPr>
              <w:t>11</w:t>
            </w:r>
            <w:r>
              <w:rPr>
                <w:rFonts w:hint="eastAsia" w:ascii="宋体" w:hAnsi="宋体" w:cs="宋体"/>
                <w:sz w:val="24"/>
                <w:szCs w:val="24"/>
                <w:highlight w:val="none"/>
              </w:rPr>
              <w:t>月</w:t>
            </w:r>
            <w:r>
              <w:rPr>
                <w:rFonts w:hint="eastAsia" w:ascii="宋体" w:hAnsi="宋体" w:cs="宋体"/>
                <w:sz w:val="24"/>
                <w:szCs w:val="24"/>
                <w:highlight w:val="none"/>
                <w:lang w:val="en-US" w:eastAsia="zh-CN"/>
              </w:rPr>
              <w:t>4</w:t>
            </w:r>
            <w:r>
              <w:rPr>
                <w:rFonts w:hint="eastAsia" w:ascii="宋体" w:hAnsi="宋体" w:cs="宋体"/>
                <w:sz w:val="24"/>
                <w:szCs w:val="24"/>
                <w:highlight w:val="none"/>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2.2.3</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投标人确认收到招标文件澄清的时间</w:t>
            </w:r>
          </w:p>
        </w:tc>
        <w:tc>
          <w:tcPr>
            <w:tcW w:w="6780" w:type="dxa"/>
            <w:gridSpan w:val="2"/>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2.3.1</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投标人确认收到招标文件修改的时间</w:t>
            </w:r>
          </w:p>
        </w:tc>
        <w:tc>
          <w:tcPr>
            <w:tcW w:w="6780" w:type="dxa"/>
            <w:gridSpan w:val="2"/>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3.1.1</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构成投标文件的其他材料</w:t>
            </w:r>
          </w:p>
        </w:tc>
        <w:tc>
          <w:tcPr>
            <w:tcW w:w="6780" w:type="dxa"/>
            <w:gridSpan w:val="2"/>
            <w:noWrap/>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3.3.1</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投标有效期</w:t>
            </w:r>
          </w:p>
        </w:tc>
        <w:tc>
          <w:tcPr>
            <w:tcW w:w="6780" w:type="dxa"/>
            <w:gridSpan w:val="2"/>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bookmarkStart w:id="6" w:name="OLE_LINK3" w:colFirst="0" w:colLast="2"/>
            <w:bookmarkStart w:id="7" w:name="_Hlk424659721"/>
            <w:bookmarkStart w:id="8" w:name="OLE_LINK4" w:colFirst="0" w:colLast="2"/>
            <w:r>
              <w:rPr>
                <w:rFonts w:hint="eastAsia" w:ascii="宋体" w:hAnsi="宋体" w:cs="宋体"/>
                <w:sz w:val="24"/>
                <w:szCs w:val="24"/>
              </w:rPr>
              <w:t>3.4.1</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投标保证金须知</w:t>
            </w:r>
          </w:p>
        </w:tc>
        <w:tc>
          <w:tcPr>
            <w:tcW w:w="6780" w:type="dxa"/>
            <w:gridSpan w:val="2"/>
            <w:noWrap/>
            <w:vAlign w:val="center"/>
          </w:tcPr>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1、因投标人的原因无法及时退还投标（竞买）保证金、滞留三年以上的，投标（竞买）保证金上缴财政。</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3、基本户备案流程： </w:t>
            </w:r>
          </w:p>
          <w:p>
            <w:pPr>
              <w:autoSpaceDE w:val="0"/>
              <w:autoSpaceDN w:val="0"/>
              <w:adjustRightInd w:val="0"/>
              <w:spacing w:line="360" w:lineRule="auto"/>
              <w:ind w:left="120" w:firstLine="480" w:firstLineChars="200"/>
              <w:jc w:val="left"/>
              <w:rPr>
                <w:rFonts w:ascii="宋体" w:hAnsi="宋体" w:cs="宋体"/>
                <w:sz w:val="24"/>
                <w:szCs w:val="24"/>
              </w:rPr>
            </w:pPr>
            <w:r>
              <w:rPr>
                <w:rFonts w:hint="eastAsia" w:ascii="宋体" w:hAnsi="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4、特殊情况处理</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3.4.2</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投标保证金</w:t>
            </w:r>
          </w:p>
        </w:tc>
        <w:tc>
          <w:tcPr>
            <w:tcW w:w="6780" w:type="dxa"/>
            <w:gridSpan w:val="2"/>
            <w:noWrap/>
            <w:vAlign w:val="center"/>
          </w:tcPr>
          <w:p>
            <w:pPr>
              <w:autoSpaceDE w:val="0"/>
              <w:autoSpaceDN w:val="0"/>
              <w:adjustRightInd w:val="0"/>
              <w:spacing w:line="360" w:lineRule="auto"/>
              <w:jc w:val="left"/>
              <w:rPr>
                <w:rFonts w:ascii="宋体" w:hAnsi="宋体" w:cs="宋体"/>
                <w:b/>
                <w:bCs/>
                <w:sz w:val="24"/>
                <w:szCs w:val="24"/>
              </w:rPr>
            </w:pPr>
            <w:r>
              <w:rPr>
                <w:rFonts w:hint="eastAsia" w:ascii="宋体" w:hAnsi="宋体" w:cs="宋体"/>
                <w:b/>
                <w:bCs/>
                <w:sz w:val="24"/>
                <w:szCs w:val="24"/>
              </w:rPr>
              <w:t>投标保证金递交截止时间</w:t>
            </w:r>
            <w:r>
              <w:rPr>
                <w:rFonts w:hint="eastAsia" w:ascii="宋体" w:hAnsi="宋体" w:cs="宋体"/>
                <w:b/>
                <w:bCs/>
                <w:sz w:val="24"/>
                <w:szCs w:val="24"/>
                <w:highlight w:val="none"/>
              </w:rPr>
              <w:t>：2019年</w:t>
            </w:r>
            <w:r>
              <w:rPr>
                <w:rFonts w:hint="eastAsia" w:ascii="宋体" w:hAnsi="宋体" w:cs="宋体"/>
                <w:b/>
                <w:bCs/>
                <w:sz w:val="24"/>
                <w:szCs w:val="24"/>
                <w:highlight w:val="none"/>
                <w:lang w:val="en-US" w:eastAsia="zh-CN"/>
              </w:rPr>
              <w:t>11</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日09 时 00 分。</w:t>
            </w:r>
          </w:p>
          <w:p>
            <w:pPr>
              <w:autoSpaceDE w:val="0"/>
              <w:autoSpaceDN w:val="0"/>
              <w:adjustRightInd w:val="0"/>
              <w:spacing w:line="360" w:lineRule="auto"/>
              <w:ind w:left="478" w:leftChars="228"/>
              <w:jc w:val="left"/>
              <w:rPr>
                <w:rFonts w:ascii="宋体" w:hAnsi="宋体" w:cs="宋体"/>
                <w:b/>
                <w:bCs/>
                <w:sz w:val="24"/>
                <w:szCs w:val="24"/>
              </w:rPr>
            </w:pPr>
            <w:r>
              <w:rPr>
                <w:rFonts w:hint="eastAsia" w:ascii="宋体" w:hAnsi="宋体" w:cs="宋体"/>
                <w:b/>
                <w:bCs/>
                <w:sz w:val="24"/>
                <w:szCs w:val="24"/>
              </w:rPr>
              <w:t>金额：小写：50000.00元；大写：伍万元整；</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2、投标保证金缴纳方式：</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2.1投标人网上报名后，登录http://ggzy.xuchang.gov.cn系统，依次点击“会员向导”→“参与投标”→“费用缴纳说明”→“保证金缴纳说明单”，获取缴费说明单，根据每个标段的缴纳说明单在缴纳截止时间前缴纳；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2.2成功缴纳后重新登录前述系统，依次点击“会员向导”→“参与投标”→“保证金绑定”→“绑定”进行投标保证金绑定。</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2.3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2.4每个投标人每个项目每个标段只有唯一缴纳账号，切勿重复缴纳或错误缴纳。</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3、未按上述规定操作引起的无效投标，由投标人自行负责。</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4、汇款凭证无须备注项目编号和项目名称。</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5、出现以下情形造成的投标保证金无效，由投标人自行负责。</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(1)投标保证金未从投标人的基本账户转出；</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(2)投标保证金未按照招标文件划分的标段转账。</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6、《保证金缴纳绑定操作指南》获取方法：</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登录许昌公共资源交易系统-组件下载-《保证金缴纳绑定操作指南》。</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lang w:val="zh-CN"/>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3.5.2</w:t>
            </w:r>
          </w:p>
        </w:tc>
        <w:tc>
          <w:tcPr>
            <w:tcW w:w="2437" w:type="dxa"/>
            <w:gridSpan w:val="4"/>
            <w:noWrap/>
            <w:vAlign w:val="center"/>
          </w:tcPr>
          <w:p>
            <w:pPr>
              <w:spacing w:line="360" w:lineRule="auto"/>
              <w:jc w:val="center"/>
              <w:rPr>
                <w:rFonts w:ascii="宋体" w:hAnsi="宋体" w:cs="宋体"/>
                <w:sz w:val="24"/>
                <w:szCs w:val="24"/>
              </w:rPr>
            </w:pPr>
            <w:r>
              <w:rPr>
                <w:rFonts w:hint="eastAsia" w:ascii="宋体" w:hAnsi="宋体" w:cs="宋体"/>
                <w:sz w:val="24"/>
                <w:szCs w:val="24"/>
              </w:rPr>
              <w:t>近年财务状况要求</w:t>
            </w:r>
          </w:p>
        </w:tc>
        <w:tc>
          <w:tcPr>
            <w:tcW w:w="6780" w:type="dxa"/>
            <w:gridSpan w:val="2"/>
            <w:noWrap/>
            <w:vAlign w:val="center"/>
          </w:tcPr>
          <w:p>
            <w:pPr>
              <w:autoSpaceDE w:val="0"/>
              <w:autoSpaceDN w:val="0"/>
              <w:adjustRightInd w:val="0"/>
              <w:spacing w:line="360" w:lineRule="auto"/>
              <w:jc w:val="left"/>
              <w:rPr>
                <w:rFonts w:ascii="宋体" w:hAnsi="宋体" w:cs="宋体"/>
                <w:b/>
                <w:sz w:val="24"/>
                <w:szCs w:val="24"/>
              </w:rPr>
            </w:pPr>
            <w:r>
              <w:rPr>
                <w:rFonts w:hint="eastAsia" w:hAnsi="宋体" w:cs="宋体"/>
                <w:sz w:val="24"/>
                <w:szCs w:val="24"/>
              </w:rPr>
              <w:t>近年，指2016、2017、2018年度（成立时间不足三年的，以实际年份提交财务审计报表）。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3.5.3</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近年完成的类似项目</w:t>
            </w:r>
          </w:p>
        </w:tc>
        <w:tc>
          <w:tcPr>
            <w:tcW w:w="6780" w:type="dxa"/>
            <w:gridSpan w:val="2"/>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近年，指2016年1</w:t>
            </w:r>
            <w:r>
              <w:rPr>
                <w:rFonts w:hint="eastAsia" w:ascii="宋体" w:hAnsi="宋体" w:cs="宋体"/>
                <w:sz w:val="24"/>
                <w:szCs w:val="24"/>
                <w:lang w:val="en-US" w:eastAsia="zh-CN"/>
              </w:rPr>
              <w:t>0</w:t>
            </w:r>
            <w:r>
              <w:rPr>
                <w:rFonts w:hint="eastAsia" w:ascii="宋体" w:hAnsi="宋体" w:cs="宋体"/>
                <w:sz w:val="24"/>
                <w:szCs w:val="24"/>
              </w:rPr>
              <w:t>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3.5.5</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近年发生的诉讼及仲裁</w:t>
            </w:r>
          </w:p>
        </w:tc>
        <w:tc>
          <w:tcPr>
            <w:tcW w:w="6780" w:type="dxa"/>
            <w:gridSpan w:val="2"/>
            <w:noWrap/>
            <w:vAlign w:val="center"/>
          </w:tcPr>
          <w:p>
            <w:pPr>
              <w:pStyle w:val="2"/>
              <w:spacing w:after="0" w:line="360" w:lineRule="auto"/>
              <w:ind w:firstLine="0" w:firstLineChars="0"/>
              <w:rPr>
                <w:rFonts w:hAnsi="宋体" w:cs="宋体"/>
                <w:sz w:val="24"/>
                <w:szCs w:val="24"/>
              </w:rPr>
            </w:pPr>
            <w:r>
              <w:rPr>
                <w:rFonts w:hint="eastAsia" w:hAnsi="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3.6</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是否允许递交备选投标方案</w:t>
            </w:r>
          </w:p>
        </w:tc>
        <w:tc>
          <w:tcPr>
            <w:tcW w:w="6780" w:type="dxa"/>
            <w:gridSpan w:val="2"/>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3.7.3</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签字或盖章要求</w:t>
            </w:r>
          </w:p>
        </w:tc>
        <w:tc>
          <w:tcPr>
            <w:tcW w:w="6780" w:type="dxa"/>
            <w:gridSpan w:val="2"/>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3.7.4</w:t>
            </w:r>
          </w:p>
        </w:tc>
        <w:tc>
          <w:tcPr>
            <w:tcW w:w="2437" w:type="dxa"/>
            <w:gridSpan w:val="4"/>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投标文件份数</w:t>
            </w:r>
          </w:p>
        </w:tc>
        <w:tc>
          <w:tcPr>
            <w:tcW w:w="6780" w:type="dxa"/>
            <w:gridSpan w:val="2"/>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电子投标文件：</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（1）成功上传至《全国公共资源交易平台（河南省·许昌市）》公共资源交易系统电子投标文件1份（文件格式为：XX公司XXX项目编号XXX标段.file）。</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（2）使用电子介质（U盘）存储的投标文件2份（文件格式为：xxx公司XXX（项目编号）XXX标段.bin）、同时生成与电子投标文件内容、水印码、电子签章一致的PDF文件2份（用于监督部门、招标人及代理机构存档）。</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420" w:lineRule="exact"/>
              <w:jc w:val="center"/>
              <w:rPr>
                <w:rFonts w:ascii="宋体" w:hAnsi="宋体" w:cs="宋体"/>
                <w:sz w:val="24"/>
                <w:szCs w:val="24"/>
              </w:rPr>
            </w:pPr>
            <w:r>
              <w:rPr>
                <w:rFonts w:hint="eastAsia" w:hAnsi="宋体" w:cs="宋体"/>
                <w:sz w:val="24"/>
                <w:szCs w:val="24"/>
              </w:rPr>
              <w:t>3.7.5</w:t>
            </w:r>
          </w:p>
        </w:tc>
        <w:tc>
          <w:tcPr>
            <w:tcW w:w="2437" w:type="dxa"/>
            <w:gridSpan w:val="4"/>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电子介质（U盘）存储的投标文件密封要求</w:t>
            </w:r>
          </w:p>
        </w:tc>
        <w:tc>
          <w:tcPr>
            <w:tcW w:w="6780" w:type="dxa"/>
            <w:gridSpan w:val="2"/>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使用电子介质（U盘）存储的2份投标文件应分别密封包装在两个包装内，并在封套的封口处加盖投标人公章，在投标截止时间前递交。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420" w:lineRule="exact"/>
              <w:jc w:val="center"/>
              <w:rPr>
                <w:rFonts w:ascii="宋体" w:hAnsi="宋体" w:cs="宋体"/>
                <w:sz w:val="24"/>
                <w:szCs w:val="24"/>
              </w:rPr>
            </w:pPr>
            <w:r>
              <w:rPr>
                <w:rFonts w:hint="eastAsia" w:hAnsi="宋体" w:cs="宋体"/>
                <w:sz w:val="24"/>
                <w:szCs w:val="24"/>
              </w:rPr>
              <w:t>4.1.2</w:t>
            </w:r>
          </w:p>
        </w:tc>
        <w:tc>
          <w:tcPr>
            <w:tcW w:w="2437" w:type="dxa"/>
            <w:gridSpan w:val="4"/>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电子介质（U盘）存储的投标文件封套上写明</w:t>
            </w:r>
          </w:p>
        </w:tc>
        <w:tc>
          <w:tcPr>
            <w:tcW w:w="6780" w:type="dxa"/>
            <w:gridSpan w:val="2"/>
            <w:noWrap/>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招标人地址：</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招标人名称：　</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 xml:space="preserve">   （项目名称）投标文件在   年   月   日   时   分前不得开启。</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投标人名称：（盖章）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4.2.2</w:t>
            </w:r>
          </w:p>
        </w:tc>
        <w:tc>
          <w:tcPr>
            <w:tcW w:w="2437" w:type="dxa"/>
            <w:gridSpan w:val="4"/>
            <w:noWrap/>
            <w:vAlign w:val="center"/>
          </w:tcPr>
          <w:p>
            <w:pPr>
              <w:autoSpaceDE w:val="0"/>
              <w:autoSpaceDN w:val="0"/>
              <w:adjustRightInd w:val="0"/>
              <w:spacing w:line="360" w:lineRule="auto"/>
              <w:rPr>
                <w:rFonts w:ascii="宋体" w:hAnsi="宋体" w:cs="宋体"/>
                <w:sz w:val="24"/>
                <w:szCs w:val="24"/>
                <w:highlight w:val="none"/>
              </w:rPr>
            </w:pPr>
            <w:r>
              <w:rPr>
                <w:rFonts w:hint="eastAsia" w:ascii="宋体" w:hAnsi="宋体" w:cs="宋体"/>
                <w:sz w:val="24"/>
                <w:szCs w:val="24"/>
                <w:highlight w:val="none"/>
              </w:rPr>
              <w:t>递交投标文件地点</w:t>
            </w:r>
          </w:p>
        </w:tc>
        <w:tc>
          <w:tcPr>
            <w:tcW w:w="6780" w:type="dxa"/>
            <w:gridSpan w:val="2"/>
            <w:noWrap/>
            <w:vAlign w:val="center"/>
          </w:tcPr>
          <w:p>
            <w:pPr>
              <w:autoSpaceDE w:val="0"/>
              <w:autoSpaceDN w:val="0"/>
              <w:adjustRightInd w:val="0"/>
              <w:spacing w:line="360" w:lineRule="auto"/>
              <w:rPr>
                <w:rFonts w:ascii="宋体" w:hAnsi="宋体" w:cs="宋体"/>
                <w:sz w:val="24"/>
                <w:szCs w:val="24"/>
                <w:highlight w:val="none"/>
              </w:rPr>
            </w:pPr>
            <w:r>
              <w:rPr>
                <w:rFonts w:hint="eastAsia" w:ascii="宋体" w:hAnsi="宋体" w:cs="宋体"/>
                <w:sz w:val="24"/>
                <w:szCs w:val="24"/>
                <w:highlight w:val="none"/>
              </w:rPr>
              <w:t>襄城县公共资源交易中心（襄城县八七路东段电子产业园12楼开标二室）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4.2.3</w:t>
            </w:r>
          </w:p>
        </w:tc>
        <w:tc>
          <w:tcPr>
            <w:tcW w:w="2437" w:type="dxa"/>
            <w:gridSpan w:val="4"/>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是否退还投标文件</w:t>
            </w:r>
          </w:p>
        </w:tc>
        <w:tc>
          <w:tcPr>
            <w:tcW w:w="6780" w:type="dxa"/>
            <w:gridSpan w:val="2"/>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420" w:lineRule="exact"/>
              <w:jc w:val="center"/>
              <w:rPr>
                <w:rFonts w:ascii="宋体" w:hAnsi="宋体" w:cs="宋体"/>
                <w:sz w:val="24"/>
                <w:szCs w:val="24"/>
              </w:rPr>
            </w:pPr>
            <w:r>
              <w:rPr>
                <w:rFonts w:hint="eastAsia" w:hAnsi="宋体" w:cs="宋体"/>
                <w:sz w:val="24"/>
                <w:szCs w:val="24"/>
              </w:rPr>
              <w:t>5.1</w:t>
            </w:r>
          </w:p>
        </w:tc>
        <w:tc>
          <w:tcPr>
            <w:tcW w:w="2437" w:type="dxa"/>
            <w:gridSpan w:val="4"/>
            <w:noWrap/>
            <w:vAlign w:val="center"/>
          </w:tcPr>
          <w:p>
            <w:pPr>
              <w:autoSpaceDE w:val="0"/>
              <w:autoSpaceDN w:val="0"/>
              <w:adjustRightInd w:val="0"/>
              <w:rPr>
                <w:rFonts w:ascii="宋体" w:hAnsi="宋体" w:cs="宋体"/>
                <w:sz w:val="24"/>
                <w:szCs w:val="24"/>
              </w:rPr>
            </w:pPr>
            <w:r>
              <w:rPr>
                <w:rFonts w:hint="eastAsia" w:hAnsi="宋体" w:cs="宋体"/>
                <w:sz w:val="24"/>
                <w:szCs w:val="24"/>
              </w:rPr>
              <w:t>开标时间和地点</w:t>
            </w:r>
          </w:p>
        </w:tc>
        <w:tc>
          <w:tcPr>
            <w:tcW w:w="6780" w:type="dxa"/>
            <w:gridSpan w:val="2"/>
            <w:noWrap/>
          </w:tcPr>
          <w:p>
            <w:pPr>
              <w:autoSpaceDE w:val="0"/>
              <w:autoSpaceDN w:val="0"/>
              <w:adjustRightInd w:val="0"/>
              <w:spacing w:line="420" w:lineRule="exact"/>
              <w:jc w:val="left"/>
              <w:rPr>
                <w:rFonts w:hAnsi="宋体" w:cs="宋体"/>
                <w:sz w:val="24"/>
                <w:szCs w:val="24"/>
              </w:rPr>
            </w:pPr>
            <w:r>
              <w:rPr>
                <w:rFonts w:hint="eastAsia" w:hAnsi="宋体" w:cs="宋体"/>
                <w:sz w:val="24"/>
                <w:szCs w:val="24"/>
              </w:rPr>
              <w:t>开标时间：</w:t>
            </w:r>
            <w:r>
              <w:rPr>
                <w:rFonts w:hint="eastAsia" w:hAnsi="宋体" w:cs="宋体"/>
                <w:b/>
                <w:sz w:val="24"/>
                <w:szCs w:val="24"/>
              </w:rPr>
              <w:t>同投标截止时间</w:t>
            </w:r>
          </w:p>
          <w:p>
            <w:pPr>
              <w:autoSpaceDE w:val="0"/>
              <w:autoSpaceDN w:val="0"/>
              <w:adjustRightInd w:val="0"/>
              <w:spacing w:line="420" w:lineRule="exact"/>
              <w:jc w:val="left"/>
              <w:rPr>
                <w:rFonts w:ascii="宋体" w:hAnsi="宋体" w:cs="宋体"/>
                <w:sz w:val="24"/>
                <w:szCs w:val="24"/>
              </w:rPr>
            </w:pPr>
            <w:r>
              <w:rPr>
                <w:rFonts w:hint="eastAsia" w:hAnsi="宋体" w:cs="宋体"/>
                <w:sz w:val="24"/>
                <w:szCs w:val="24"/>
              </w:rPr>
              <w:t>开标地点：</w:t>
            </w:r>
            <w:r>
              <w:rPr>
                <w:rFonts w:hint="eastAsia" w:hAnsi="宋体" w:cs="宋体"/>
                <w:b/>
                <w:sz w:val="24"/>
                <w:szCs w:val="24"/>
              </w:rPr>
              <w:t>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 xml:space="preserve">5.2 </w:t>
            </w:r>
          </w:p>
        </w:tc>
        <w:tc>
          <w:tcPr>
            <w:tcW w:w="2437" w:type="dxa"/>
            <w:gridSpan w:val="4"/>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开标程序</w:t>
            </w:r>
          </w:p>
        </w:tc>
        <w:tc>
          <w:tcPr>
            <w:tcW w:w="6780" w:type="dxa"/>
            <w:gridSpan w:val="2"/>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 xml:space="preserve">6.1.1 </w:t>
            </w:r>
          </w:p>
        </w:tc>
        <w:tc>
          <w:tcPr>
            <w:tcW w:w="2437" w:type="dxa"/>
            <w:gridSpan w:val="4"/>
            <w:noWrap/>
            <w:vAlign w:val="center"/>
          </w:tcPr>
          <w:p>
            <w:pPr>
              <w:autoSpaceDE w:val="0"/>
              <w:autoSpaceDN w:val="0"/>
              <w:adjustRightInd w:val="0"/>
              <w:spacing w:line="420" w:lineRule="exact"/>
              <w:jc w:val="left"/>
              <w:rPr>
                <w:rFonts w:hAnsi="宋体" w:cs="宋体"/>
                <w:bCs/>
                <w:sz w:val="24"/>
                <w:szCs w:val="24"/>
              </w:rPr>
            </w:pPr>
            <w:r>
              <w:rPr>
                <w:rFonts w:hint="eastAsia" w:hAnsi="宋体" w:cs="宋体"/>
                <w:bCs/>
                <w:sz w:val="24"/>
                <w:szCs w:val="24"/>
              </w:rPr>
              <w:t>评标委员会的组建</w:t>
            </w:r>
          </w:p>
        </w:tc>
        <w:tc>
          <w:tcPr>
            <w:tcW w:w="6780" w:type="dxa"/>
            <w:gridSpan w:val="2"/>
            <w:noWrap/>
            <w:vAlign w:val="center"/>
          </w:tcPr>
          <w:p>
            <w:pPr>
              <w:autoSpaceDE w:val="0"/>
              <w:autoSpaceDN w:val="0"/>
              <w:adjustRightInd w:val="0"/>
              <w:spacing w:line="420" w:lineRule="exact"/>
              <w:jc w:val="left"/>
              <w:rPr>
                <w:rFonts w:hAnsi="宋体" w:cs="宋体"/>
                <w:bCs/>
                <w:sz w:val="24"/>
                <w:szCs w:val="24"/>
              </w:rPr>
            </w:pPr>
            <w:r>
              <w:rPr>
                <w:rFonts w:hint="eastAsia" w:hAnsi="宋体" w:cs="宋体"/>
                <w:bCs/>
                <w:sz w:val="24"/>
                <w:szCs w:val="24"/>
              </w:rPr>
              <w:t>评标委员会构成：由技术、经济等方面专家5人组成，其中评标委员会的组成人员中工程造价专家不少于五分之二。</w:t>
            </w:r>
          </w:p>
          <w:p>
            <w:pPr>
              <w:autoSpaceDE w:val="0"/>
              <w:autoSpaceDN w:val="0"/>
              <w:adjustRightInd w:val="0"/>
              <w:spacing w:line="420" w:lineRule="exact"/>
              <w:jc w:val="left"/>
              <w:rPr>
                <w:rFonts w:hAnsi="宋体" w:cs="宋体"/>
                <w:bCs/>
                <w:sz w:val="24"/>
                <w:szCs w:val="24"/>
              </w:rPr>
            </w:pPr>
            <w:r>
              <w:rPr>
                <w:rFonts w:hint="eastAsia" w:hAnsi="宋体" w:cs="宋体"/>
                <w:bCs/>
                <w:sz w:val="24"/>
                <w:szCs w:val="24"/>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3"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7.1</w:t>
            </w:r>
          </w:p>
        </w:tc>
        <w:tc>
          <w:tcPr>
            <w:tcW w:w="2437" w:type="dxa"/>
            <w:gridSpan w:val="4"/>
            <w:noWrap/>
            <w:vAlign w:val="center"/>
          </w:tcPr>
          <w:p>
            <w:pPr>
              <w:autoSpaceDE w:val="0"/>
              <w:autoSpaceDN w:val="0"/>
              <w:adjustRightInd w:val="0"/>
              <w:spacing w:line="420" w:lineRule="exact"/>
              <w:jc w:val="center"/>
              <w:rPr>
                <w:rFonts w:hAnsi="宋体" w:cs="宋体"/>
                <w:bCs/>
                <w:sz w:val="24"/>
                <w:szCs w:val="24"/>
              </w:rPr>
            </w:pPr>
            <w:r>
              <w:rPr>
                <w:rFonts w:hint="eastAsia" w:hAnsi="宋体" w:cs="宋体"/>
                <w:bCs/>
                <w:sz w:val="24"/>
                <w:szCs w:val="24"/>
              </w:rPr>
              <w:t>是否授权评标委员会确定中标人</w:t>
            </w:r>
          </w:p>
        </w:tc>
        <w:tc>
          <w:tcPr>
            <w:tcW w:w="6780" w:type="dxa"/>
            <w:gridSpan w:val="2"/>
            <w:noWrap/>
            <w:vAlign w:val="center"/>
          </w:tcPr>
          <w:p>
            <w:pPr>
              <w:autoSpaceDE w:val="0"/>
              <w:autoSpaceDN w:val="0"/>
              <w:adjustRightInd w:val="0"/>
              <w:spacing w:line="420" w:lineRule="exact"/>
              <w:jc w:val="left"/>
              <w:rPr>
                <w:rFonts w:hAnsi="宋体" w:cs="宋体"/>
                <w:bCs/>
                <w:sz w:val="24"/>
                <w:szCs w:val="24"/>
              </w:rPr>
            </w:pPr>
            <w:r>
              <w:rPr>
                <w:rFonts w:hint="eastAsia" w:hAnsi="宋体" w:cs="宋体"/>
                <w:bCs/>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0" w:type="dxa"/>
            <w:gridSpan w:val="2"/>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7.3</w:t>
            </w:r>
          </w:p>
        </w:tc>
        <w:tc>
          <w:tcPr>
            <w:tcW w:w="2430" w:type="dxa"/>
            <w:gridSpan w:val="3"/>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履约保证金</w:t>
            </w:r>
          </w:p>
        </w:tc>
        <w:tc>
          <w:tcPr>
            <w:tcW w:w="6780" w:type="dxa"/>
            <w:gridSpan w:val="2"/>
            <w:noWrap/>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是否要求中标人提交履约保证金：要求</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履约保证金的形式：现金、保函或转账形式；</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履约保证金的金额：签约合同价的5%；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7"/>
            <w:noWrap/>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7"/>
            <w:noWrap/>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10.1.1</w:t>
            </w:r>
          </w:p>
        </w:tc>
        <w:tc>
          <w:tcPr>
            <w:tcW w:w="1865"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类似项目</w:t>
            </w:r>
          </w:p>
        </w:tc>
        <w:tc>
          <w:tcPr>
            <w:tcW w:w="7278" w:type="dxa"/>
            <w:gridSpan w:val="3"/>
            <w:noWrap/>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指2016年1</w:t>
            </w:r>
            <w:r>
              <w:rPr>
                <w:rFonts w:hint="eastAsia" w:ascii="宋体" w:hAnsi="宋体" w:cs="宋体"/>
                <w:sz w:val="24"/>
                <w:szCs w:val="24"/>
                <w:lang w:val="en-US" w:eastAsia="zh-CN"/>
              </w:rPr>
              <w:t>0</w:t>
            </w:r>
            <w:r>
              <w:rPr>
                <w:rFonts w:hint="eastAsia" w:ascii="宋体" w:hAnsi="宋体" w:cs="宋体"/>
                <w:sz w:val="24"/>
                <w:szCs w:val="24"/>
              </w:rPr>
              <w:t>月1日以来单项合同金额不低于此次招标控制价的装饰装修工程；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7"/>
            <w:noWrap/>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10.2.1</w:t>
            </w:r>
          </w:p>
        </w:tc>
        <w:tc>
          <w:tcPr>
            <w:tcW w:w="1865" w:type="dxa"/>
            <w:noWrap/>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
                <w:sz w:val="24"/>
                <w:szCs w:val="24"/>
              </w:rPr>
              <w:t>招</w:t>
            </w:r>
            <w:r>
              <w:rPr>
                <w:rFonts w:hint="eastAsia" w:ascii="宋体" w:hAnsi="宋体" w:cs="宋体"/>
                <w:bCs/>
                <w:sz w:val="24"/>
                <w:szCs w:val="24"/>
              </w:rPr>
              <w:t>标控制</w:t>
            </w:r>
            <w:r>
              <w:rPr>
                <w:rFonts w:hint="eastAsia" w:ascii="宋体" w:hAnsi="宋体" w:cs="宋体"/>
                <w:b/>
                <w:sz w:val="24"/>
                <w:szCs w:val="24"/>
              </w:rPr>
              <w:t>价</w:t>
            </w:r>
          </w:p>
        </w:tc>
        <w:tc>
          <w:tcPr>
            <w:tcW w:w="7278" w:type="dxa"/>
            <w:gridSpan w:val="3"/>
            <w:noWrap/>
            <w:vAlign w:val="center"/>
          </w:tcPr>
          <w:p>
            <w:pPr>
              <w:autoSpaceDE w:val="0"/>
              <w:autoSpaceDN w:val="0"/>
              <w:adjustRightInd w:val="0"/>
              <w:spacing w:line="360" w:lineRule="auto"/>
              <w:jc w:val="left"/>
              <w:rPr>
                <w:rFonts w:ascii="宋体" w:hAnsi="宋体" w:cs="宋体"/>
                <w:b/>
                <w:sz w:val="24"/>
                <w:szCs w:val="24"/>
              </w:rPr>
            </w:pPr>
            <w:r>
              <w:rPr>
                <w:rFonts w:hint="eastAsia" w:ascii="宋体" w:hAnsi="宋体" w:cs="宋体"/>
                <w:b/>
                <w:sz w:val="24"/>
                <w:szCs w:val="24"/>
              </w:rPr>
              <w:t>本工程的招标控制价（总价）（含安全文明施工费、规费、税金）为：大写：贰佰陆拾肆万柒仟零陆拾陆元叁角陆分（¥：2647066.36元）。</w:t>
            </w:r>
          </w:p>
          <w:p>
            <w:pPr>
              <w:autoSpaceDE w:val="0"/>
              <w:autoSpaceDN w:val="0"/>
              <w:adjustRightInd w:val="0"/>
              <w:spacing w:line="360" w:lineRule="auto"/>
              <w:jc w:val="left"/>
              <w:rPr>
                <w:rFonts w:ascii="宋体" w:hAnsi="宋体" w:cs="宋体"/>
                <w:b/>
                <w:sz w:val="24"/>
                <w:szCs w:val="24"/>
              </w:rPr>
            </w:pPr>
            <w:r>
              <w:rPr>
                <w:rFonts w:hint="eastAsia" w:ascii="宋体" w:hAnsi="宋体" w:cs="宋体"/>
                <w:b/>
                <w:sz w:val="24"/>
                <w:szCs w:val="24"/>
              </w:rPr>
              <w:t>凡投标人的投标报价高于招标控制价（不含等于“招标控制价”）的，该投标人的投标文件应予拒绝。</w:t>
            </w:r>
          </w:p>
          <w:p>
            <w:pPr>
              <w:autoSpaceDE w:val="0"/>
              <w:autoSpaceDN w:val="0"/>
              <w:adjustRightInd w:val="0"/>
              <w:spacing w:line="360" w:lineRule="auto"/>
              <w:jc w:val="left"/>
              <w:rPr>
                <w:rFonts w:ascii="宋体" w:hAnsi="宋体" w:cs="宋体"/>
                <w:sz w:val="24"/>
                <w:szCs w:val="24"/>
              </w:rPr>
            </w:pPr>
            <w:r>
              <w:rPr>
                <w:rFonts w:hint="eastAsia" w:ascii="宋体" w:hAnsi="宋体" w:cs="宋体"/>
                <w:b/>
                <w:sz w:val="24"/>
                <w:szCs w:val="24"/>
              </w:rPr>
              <w:t>（各单位工程的分部分项工程费总额、措施项目费总额、其他项目费总额、规费总额和税金总额详见招标公告附件）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7"/>
            <w:noWrap/>
            <w:vAlign w:val="center"/>
          </w:tcPr>
          <w:p>
            <w:pPr>
              <w:spacing w:line="360" w:lineRule="auto"/>
              <w:rPr>
                <w:rFonts w:ascii="宋体" w:hAnsi="宋体" w:cs="宋体"/>
                <w:sz w:val="24"/>
                <w:szCs w:val="24"/>
              </w:rPr>
            </w:pPr>
            <w:r>
              <w:rPr>
                <w:rFonts w:hint="eastAsia" w:ascii="宋体" w:hAnsi="宋体" w:cs="宋体"/>
                <w:sz w:val="24"/>
                <w:szCs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ign w:val="center"/>
          </w:tcPr>
          <w:p>
            <w:pPr>
              <w:spacing w:line="360" w:lineRule="auto"/>
              <w:rPr>
                <w:rFonts w:ascii="宋体" w:hAnsi="宋体" w:cs="宋体"/>
                <w:sz w:val="24"/>
                <w:szCs w:val="24"/>
              </w:rPr>
            </w:pPr>
          </w:p>
        </w:tc>
        <w:tc>
          <w:tcPr>
            <w:tcW w:w="3037" w:type="dxa"/>
            <w:gridSpan w:val="3"/>
            <w:noWrap/>
            <w:vAlign w:val="center"/>
          </w:tcPr>
          <w:p>
            <w:pPr>
              <w:spacing w:line="360" w:lineRule="auto"/>
              <w:jc w:val="center"/>
              <w:rPr>
                <w:rFonts w:ascii="宋体" w:hAnsi="宋体" w:cs="宋体"/>
                <w:sz w:val="24"/>
                <w:szCs w:val="24"/>
              </w:rPr>
            </w:pPr>
            <w:r>
              <w:rPr>
                <w:rFonts w:hint="eastAsia" w:ascii="宋体" w:hAnsi="宋体" w:cs="宋体"/>
                <w:sz w:val="24"/>
                <w:szCs w:val="24"/>
              </w:rPr>
              <w:t>技术标是否采用“暗标”评审方式</w:t>
            </w:r>
          </w:p>
        </w:tc>
        <w:tc>
          <w:tcPr>
            <w:tcW w:w="6106" w:type="dxa"/>
            <w:noWrap/>
            <w:vAlign w:val="center"/>
          </w:tcPr>
          <w:p>
            <w:pPr>
              <w:spacing w:line="360" w:lineRule="auto"/>
              <w:rPr>
                <w:rFonts w:ascii="宋体" w:hAnsi="宋体" w:cs="宋体"/>
                <w:sz w:val="24"/>
                <w:szCs w:val="24"/>
              </w:rPr>
            </w:pPr>
            <w:r>
              <w:rPr>
                <w:rFonts w:hint="eastAsia" w:ascii="宋体" w:hAnsi="宋体" w:cs="宋体"/>
                <w:sz w:val="24"/>
                <w:szCs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7"/>
            <w:noWrap/>
            <w:vAlign w:val="center"/>
          </w:tcPr>
          <w:p>
            <w:pPr>
              <w:spacing w:line="360" w:lineRule="auto"/>
              <w:ind w:left="240" w:hanging="240" w:hangingChars="100"/>
              <w:rPr>
                <w:rFonts w:ascii="宋体" w:hAnsi="宋体" w:cs="宋体"/>
                <w:sz w:val="24"/>
                <w:szCs w:val="24"/>
              </w:rPr>
            </w:pPr>
            <w:r>
              <w:rPr>
                <w:rFonts w:hint="eastAsia" w:ascii="宋体" w:hAnsi="宋体" w:cs="宋体"/>
                <w:sz w:val="24"/>
                <w:szCs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ign w:val="center"/>
          </w:tcPr>
          <w:p>
            <w:pPr>
              <w:spacing w:line="360" w:lineRule="auto"/>
              <w:rPr>
                <w:rFonts w:ascii="宋体" w:hAnsi="宋体" w:cs="宋体"/>
                <w:sz w:val="24"/>
                <w:szCs w:val="24"/>
              </w:rPr>
            </w:pPr>
          </w:p>
        </w:tc>
        <w:tc>
          <w:tcPr>
            <w:tcW w:w="9143" w:type="dxa"/>
            <w:gridSpan w:val="4"/>
            <w:noWrap/>
            <w:vAlign w:val="center"/>
          </w:tcPr>
          <w:p>
            <w:pPr>
              <w:numPr>
                <w:ilvl w:val="0"/>
                <w:numId w:val="2"/>
              </w:numPr>
              <w:rPr>
                <w:rFonts w:hAnsi="宋体" w:cs="宋体"/>
                <w:sz w:val="24"/>
              </w:rPr>
            </w:pPr>
            <w:r>
              <w:rPr>
                <w:rFonts w:hint="eastAsia" w:hAnsi="宋体" w:cs="宋体"/>
                <w:sz w:val="24"/>
              </w:rPr>
              <w:t>若投标人法定代表人参加开标会议：应持法定代表人身份证明和有效身份证参加开标；</w:t>
            </w:r>
          </w:p>
          <w:p>
            <w:pPr>
              <w:numPr>
                <w:ilvl w:val="0"/>
                <w:numId w:val="2"/>
              </w:numPr>
              <w:rPr>
                <w:rFonts w:hAnsi="宋体" w:cs="宋体"/>
                <w:sz w:val="24"/>
              </w:rPr>
            </w:pPr>
            <w:r>
              <w:rPr>
                <w:rFonts w:hint="eastAsia" w:hAnsi="宋体" w:cs="宋体"/>
                <w:sz w:val="24"/>
              </w:rPr>
              <w:t>若投标人的法定代表人委托他人参加开标会议：受托人需持有效的授权委托书原件及有效身份证参加，委托书应载明委托事项权限、有效期等主要内容；</w:t>
            </w:r>
          </w:p>
          <w:p>
            <w:pPr>
              <w:numPr>
                <w:ilvl w:val="0"/>
                <w:numId w:val="2"/>
              </w:numPr>
              <w:rPr>
                <w:rFonts w:hAnsi="宋体" w:cs="宋体"/>
                <w:sz w:val="24"/>
              </w:rPr>
            </w:pPr>
            <w:r>
              <w:rPr>
                <w:rFonts w:hint="eastAsia" w:hAnsi="宋体" w:cs="宋体"/>
                <w:sz w:val="24"/>
              </w:rPr>
              <w:t>各投标单位参加会议人数不得多于二人。</w:t>
            </w:r>
          </w:p>
          <w:p>
            <w:pPr>
              <w:spacing w:line="360" w:lineRule="auto"/>
              <w:rPr>
                <w:rFonts w:ascii="宋体" w:hAnsi="宋体" w:cs="宋体"/>
                <w:sz w:val="24"/>
                <w:szCs w:val="24"/>
              </w:rPr>
            </w:pPr>
            <w:r>
              <w:rPr>
                <w:rFonts w:hint="eastAsia" w:hAnsi="宋体" w:cs="宋体"/>
                <w:sz w:val="24"/>
              </w:rPr>
              <w:t>注：法定代表人或其委托代理人未按规定要求参加开标会议的，视为放弃投标，其投标文件将不予接受。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7"/>
            <w:noWrap/>
            <w:vAlign w:val="center"/>
          </w:tcPr>
          <w:p>
            <w:pPr>
              <w:spacing w:line="360" w:lineRule="auto"/>
              <w:rPr>
                <w:rFonts w:ascii="宋体" w:hAnsi="宋体" w:cs="宋体"/>
                <w:sz w:val="24"/>
                <w:szCs w:val="24"/>
              </w:rPr>
            </w:pPr>
            <w:r>
              <w:rPr>
                <w:rFonts w:hint="eastAsia" w:ascii="宋体" w:hAnsi="宋体" w:cs="宋体"/>
                <w:sz w:val="24"/>
                <w:szCs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ign w:val="center"/>
          </w:tcPr>
          <w:p>
            <w:pPr>
              <w:spacing w:line="360" w:lineRule="auto"/>
              <w:rPr>
                <w:rFonts w:ascii="宋体" w:hAnsi="宋体" w:cs="宋体"/>
                <w:sz w:val="24"/>
                <w:szCs w:val="24"/>
              </w:rPr>
            </w:pPr>
          </w:p>
        </w:tc>
        <w:tc>
          <w:tcPr>
            <w:tcW w:w="9143" w:type="dxa"/>
            <w:gridSpan w:val="4"/>
            <w:noWrap/>
            <w:vAlign w:val="center"/>
          </w:tcPr>
          <w:p>
            <w:pPr>
              <w:spacing w:line="360" w:lineRule="auto"/>
              <w:rPr>
                <w:rFonts w:ascii="宋体" w:hAnsi="宋体" w:cs="宋体"/>
                <w:b/>
                <w:sz w:val="24"/>
                <w:szCs w:val="24"/>
              </w:rPr>
            </w:pPr>
            <w:r>
              <w:rPr>
                <w:rFonts w:hint="eastAsia" w:ascii="宋体" w:hAnsi="宋体" w:cs="宋体"/>
                <w:sz w:val="24"/>
                <w:szCs w:val="24"/>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7"/>
            <w:noWrap/>
            <w:vAlign w:val="center"/>
          </w:tcPr>
          <w:p>
            <w:pPr>
              <w:spacing w:line="360" w:lineRule="auto"/>
              <w:rPr>
                <w:rFonts w:ascii="宋体" w:hAnsi="宋体" w:cs="宋体"/>
                <w:sz w:val="24"/>
                <w:szCs w:val="24"/>
              </w:rPr>
            </w:pPr>
            <w:r>
              <w:rPr>
                <w:rFonts w:hint="eastAsia" w:ascii="宋体" w:hAnsi="宋体" w:cs="宋体"/>
                <w:sz w:val="24"/>
                <w:szCs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ign w:val="center"/>
          </w:tcPr>
          <w:p>
            <w:pPr>
              <w:spacing w:line="360" w:lineRule="auto"/>
              <w:rPr>
                <w:rFonts w:ascii="宋体" w:hAnsi="宋体" w:cs="宋体"/>
                <w:sz w:val="24"/>
                <w:szCs w:val="24"/>
              </w:rPr>
            </w:pPr>
          </w:p>
        </w:tc>
        <w:tc>
          <w:tcPr>
            <w:tcW w:w="9143" w:type="dxa"/>
            <w:gridSpan w:val="4"/>
            <w:noWrap/>
            <w:vAlign w:val="center"/>
          </w:tcPr>
          <w:p>
            <w:pPr>
              <w:spacing w:line="360" w:lineRule="auto"/>
              <w:rPr>
                <w:rFonts w:ascii="宋体" w:hAnsi="宋体" w:cs="宋体"/>
                <w:sz w:val="24"/>
                <w:szCs w:val="24"/>
              </w:rPr>
            </w:pPr>
            <w:r>
              <w:rPr>
                <w:rFonts w:hint="eastAsia" w:ascii="宋体" w:hAnsi="宋体" w:cs="宋体"/>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7"/>
            <w:noWrap/>
            <w:vAlign w:val="center"/>
          </w:tcPr>
          <w:p>
            <w:pPr>
              <w:spacing w:line="360" w:lineRule="auto"/>
              <w:rPr>
                <w:rFonts w:ascii="宋体" w:hAnsi="宋体" w:cs="宋体"/>
                <w:sz w:val="24"/>
                <w:szCs w:val="24"/>
              </w:rPr>
            </w:pPr>
            <w:r>
              <w:rPr>
                <w:rFonts w:hint="eastAsia" w:ascii="宋体" w:hAnsi="宋体" w:cs="宋体"/>
                <w:sz w:val="24"/>
                <w:szCs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ign w:val="center"/>
          </w:tcPr>
          <w:p>
            <w:pPr>
              <w:spacing w:line="360" w:lineRule="auto"/>
              <w:rPr>
                <w:rFonts w:ascii="宋体" w:hAnsi="宋体" w:cs="宋体"/>
                <w:sz w:val="24"/>
                <w:szCs w:val="24"/>
              </w:rPr>
            </w:pPr>
          </w:p>
        </w:tc>
        <w:tc>
          <w:tcPr>
            <w:tcW w:w="9143" w:type="dxa"/>
            <w:gridSpan w:val="4"/>
            <w:noWrap/>
            <w:vAlign w:val="center"/>
          </w:tcPr>
          <w:p>
            <w:pPr>
              <w:spacing w:line="360" w:lineRule="auto"/>
              <w:rPr>
                <w:rFonts w:ascii="宋体" w:hAnsi="宋体" w:cs="宋体"/>
                <w:sz w:val="24"/>
                <w:szCs w:val="24"/>
              </w:rPr>
            </w:pPr>
            <w:r>
              <w:rPr>
                <w:rFonts w:hint="eastAsia" w:ascii="宋体" w:hAnsi="宋体" w:cs="宋体"/>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7"/>
            <w:noWrap/>
            <w:vAlign w:val="center"/>
          </w:tcPr>
          <w:p>
            <w:pPr>
              <w:spacing w:line="360" w:lineRule="auto"/>
              <w:rPr>
                <w:rFonts w:ascii="宋体" w:hAnsi="宋体" w:cs="宋体"/>
                <w:sz w:val="24"/>
                <w:szCs w:val="24"/>
              </w:rPr>
            </w:pPr>
            <w:r>
              <w:rPr>
                <w:rFonts w:hint="eastAsia" w:ascii="宋体" w:hAnsi="宋体" w:cs="宋体"/>
                <w:sz w:val="24"/>
                <w:szCs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ign w:val="center"/>
          </w:tcPr>
          <w:p>
            <w:pPr>
              <w:spacing w:line="360" w:lineRule="auto"/>
              <w:rPr>
                <w:rFonts w:ascii="宋体" w:hAnsi="宋体" w:cs="宋体"/>
                <w:sz w:val="24"/>
                <w:szCs w:val="24"/>
              </w:rPr>
            </w:pPr>
          </w:p>
        </w:tc>
        <w:tc>
          <w:tcPr>
            <w:tcW w:w="9143" w:type="dxa"/>
            <w:gridSpan w:val="4"/>
            <w:noWrap/>
            <w:vAlign w:val="center"/>
          </w:tcPr>
          <w:p>
            <w:pPr>
              <w:spacing w:line="360" w:lineRule="auto"/>
              <w:rPr>
                <w:rFonts w:ascii="宋体" w:hAnsi="宋体" w:cs="宋体"/>
                <w:sz w:val="24"/>
                <w:szCs w:val="24"/>
              </w:rPr>
            </w:pPr>
            <w:r>
              <w:rPr>
                <w:rFonts w:hint="eastAsia" w:ascii="宋体" w:hAnsi="宋体" w:cs="宋体"/>
                <w:sz w:val="24"/>
                <w:szCs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7"/>
            <w:noWrap/>
            <w:vAlign w:val="center"/>
          </w:tcPr>
          <w:p>
            <w:pPr>
              <w:spacing w:line="360" w:lineRule="auto"/>
              <w:rPr>
                <w:rFonts w:ascii="宋体" w:hAnsi="宋体" w:cs="宋体"/>
                <w:sz w:val="24"/>
                <w:szCs w:val="24"/>
              </w:rPr>
            </w:pPr>
            <w:r>
              <w:rPr>
                <w:rFonts w:hint="eastAsia" w:ascii="宋体" w:hAnsi="宋体" w:cs="宋体"/>
                <w:sz w:val="24"/>
                <w:szCs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ign w:val="center"/>
          </w:tcPr>
          <w:p>
            <w:pPr>
              <w:spacing w:line="360" w:lineRule="auto"/>
              <w:rPr>
                <w:rFonts w:ascii="宋体" w:hAnsi="宋体" w:cs="宋体"/>
                <w:sz w:val="24"/>
                <w:szCs w:val="24"/>
              </w:rPr>
            </w:pPr>
          </w:p>
        </w:tc>
        <w:tc>
          <w:tcPr>
            <w:tcW w:w="9143" w:type="dxa"/>
            <w:gridSpan w:val="4"/>
            <w:noWrap/>
            <w:vAlign w:val="center"/>
          </w:tcPr>
          <w:p>
            <w:pPr>
              <w:spacing w:line="360" w:lineRule="auto"/>
              <w:rPr>
                <w:rFonts w:ascii="宋体" w:hAnsi="宋体" w:cs="宋体"/>
                <w:sz w:val="24"/>
                <w:szCs w:val="24"/>
              </w:rPr>
            </w:pPr>
            <w:r>
              <w:rPr>
                <w:rFonts w:hint="eastAsia" w:ascii="宋体" w:hAnsi="宋体" w:cs="宋体"/>
                <w:sz w:val="24"/>
                <w:szCs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7"/>
            <w:noWrap/>
            <w:vAlign w:val="center"/>
          </w:tcPr>
          <w:p>
            <w:pPr>
              <w:spacing w:line="360" w:lineRule="auto"/>
              <w:rPr>
                <w:rFonts w:ascii="宋体" w:hAnsi="宋体" w:cs="宋体"/>
                <w:sz w:val="24"/>
                <w:szCs w:val="24"/>
              </w:rPr>
            </w:pPr>
            <w:r>
              <w:rPr>
                <w:rFonts w:hint="eastAsia" w:ascii="宋体" w:hAnsi="宋体" w:cs="宋体"/>
                <w:sz w:val="24"/>
                <w:szCs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ign w:val="center"/>
          </w:tcPr>
          <w:p>
            <w:pPr>
              <w:spacing w:line="360" w:lineRule="auto"/>
              <w:rPr>
                <w:rFonts w:ascii="宋体" w:hAnsi="宋体" w:cs="宋体"/>
                <w:sz w:val="24"/>
                <w:szCs w:val="24"/>
              </w:rPr>
            </w:pPr>
          </w:p>
        </w:tc>
        <w:tc>
          <w:tcPr>
            <w:tcW w:w="9143" w:type="dxa"/>
            <w:gridSpan w:val="4"/>
            <w:noWrap/>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构成本招标文件的各个组成文件应互为解释，互为说明；</w:t>
            </w:r>
          </w:p>
          <w:p>
            <w:pPr>
              <w:adjustRightInd w:val="0"/>
              <w:snapToGrid w:val="0"/>
              <w:spacing w:line="360" w:lineRule="auto"/>
              <w:rPr>
                <w:rFonts w:ascii="宋体" w:hAnsi="宋体" w:cs="宋体"/>
                <w:sz w:val="24"/>
                <w:szCs w:val="24"/>
              </w:rPr>
            </w:pPr>
            <w:r>
              <w:rPr>
                <w:rFonts w:hint="eastAsia" w:ascii="宋体" w:hAnsi="宋体" w:cs="宋体"/>
                <w:sz w:val="24"/>
                <w:szCs w:val="24"/>
              </w:rPr>
              <w:t>1、如有不明确或不一致，构成合同文件组成内容，以合同文件约定内容为准，且以专用合同条款约定的合同文件优先顺序解释；</w:t>
            </w:r>
          </w:p>
          <w:p>
            <w:pPr>
              <w:adjustRightInd w:val="0"/>
              <w:snapToGrid w:val="0"/>
              <w:spacing w:line="360" w:lineRule="auto"/>
              <w:rPr>
                <w:rFonts w:ascii="宋体" w:hAnsi="宋体" w:cs="宋体"/>
                <w:sz w:val="24"/>
                <w:szCs w:val="24"/>
              </w:rPr>
            </w:pPr>
            <w:r>
              <w:rPr>
                <w:rFonts w:hint="eastAsia" w:ascii="宋体" w:hAnsi="宋体" w:cs="宋体"/>
                <w:sz w:val="24"/>
                <w:szCs w:val="24"/>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宋体" w:hAnsi="宋体" w:cs="宋体"/>
                <w:sz w:val="24"/>
                <w:szCs w:val="24"/>
              </w:rPr>
            </w:pPr>
            <w:r>
              <w:rPr>
                <w:rFonts w:hint="eastAsia" w:ascii="宋体" w:hAnsi="宋体" w:cs="宋体"/>
                <w:sz w:val="24"/>
                <w:szCs w:val="24"/>
              </w:rPr>
              <w:t>3、同一组成文件中就同一事项的规定或约定不一致的，以编排顺序在后者为准；</w:t>
            </w:r>
          </w:p>
          <w:p>
            <w:pPr>
              <w:adjustRightInd w:val="0"/>
              <w:snapToGrid w:val="0"/>
              <w:spacing w:line="360" w:lineRule="auto"/>
              <w:rPr>
                <w:rFonts w:ascii="宋体" w:hAnsi="宋体" w:cs="宋体"/>
                <w:sz w:val="24"/>
                <w:szCs w:val="24"/>
              </w:rPr>
            </w:pPr>
            <w:r>
              <w:rPr>
                <w:rFonts w:hint="eastAsia" w:ascii="宋体" w:hAnsi="宋体" w:cs="宋体"/>
                <w:sz w:val="24"/>
                <w:szCs w:val="24"/>
              </w:rPr>
              <w:t>4、同一组成文件不同版本之间有不一致的，以形成时间在后者为准。</w:t>
            </w:r>
          </w:p>
          <w:p>
            <w:pPr>
              <w:adjustRightInd w:val="0"/>
              <w:snapToGrid w:val="0"/>
              <w:spacing w:line="360" w:lineRule="auto"/>
              <w:rPr>
                <w:rFonts w:ascii="宋体" w:hAnsi="宋体" w:cs="宋体"/>
                <w:sz w:val="24"/>
                <w:szCs w:val="24"/>
              </w:rPr>
            </w:pPr>
            <w:r>
              <w:rPr>
                <w:rFonts w:hint="eastAsia" w:ascii="宋体" w:hAnsi="宋体" w:cs="宋体"/>
                <w:sz w:val="24"/>
                <w:szCs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7"/>
            <w:noWrap/>
            <w:vAlign w:val="center"/>
          </w:tcPr>
          <w:p>
            <w:pPr>
              <w:adjustRightInd w:val="0"/>
              <w:snapToGrid w:val="0"/>
              <w:spacing w:line="360" w:lineRule="auto"/>
              <w:rPr>
                <w:rFonts w:ascii="宋体" w:hAnsi="宋体" w:cs="宋体"/>
                <w:b/>
                <w:sz w:val="24"/>
                <w:szCs w:val="24"/>
              </w:rPr>
            </w:pPr>
            <w:r>
              <w:rPr>
                <w:rFonts w:hint="eastAsia" w:ascii="宋体" w:hAnsi="宋体" w:cs="宋体"/>
                <w:b/>
                <w:sz w:val="24"/>
                <w:szCs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7"/>
            <w:noWrap/>
            <w:vAlign w:val="center"/>
          </w:tcPr>
          <w:p>
            <w:pPr>
              <w:adjustRightInd w:val="0"/>
              <w:snapToGrid w:val="0"/>
              <w:spacing w:line="360" w:lineRule="auto"/>
              <w:rPr>
                <w:rFonts w:ascii="宋体" w:hAnsi="宋体" w:cs="宋体"/>
                <w:sz w:val="24"/>
                <w:szCs w:val="24"/>
              </w:rPr>
            </w:pPr>
            <w:bookmarkStart w:id="9" w:name="_Toc225243456"/>
            <w:bookmarkStart w:id="10" w:name="_Toc283559965"/>
            <w:r>
              <w:rPr>
                <w:rFonts w:hint="eastAsia" w:ascii="宋体" w:hAnsi="宋体" w:cs="宋体"/>
                <w:sz w:val="24"/>
                <w:szCs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ign w:val="center"/>
          </w:tcPr>
          <w:p>
            <w:pPr>
              <w:adjustRightInd w:val="0"/>
              <w:snapToGrid w:val="0"/>
              <w:spacing w:line="360" w:lineRule="auto"/>
              <w:ind w:firstLine="480" w:firstLineChars="200"/>
              <w:rPr>
                <w:rFonts w:ascii="宋体" w:hAnsi="宋体" w:cs="宋体"/>
                <w:sz w:val="24"/>
                <w:szCs w:val="24"/>
              </w:rPr>
            </w:pPr>
          </w:p>
        </w:tc>
        <w:tc>
          <w:tcPr>
            <w:tcW w:w="9143" w:type="dxa"/>
            <w:gridSpan w:val="4"/>
            <w:noWrap/>
            <w:vAlign w:val="center"/>
          </w:tcPr>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1、逾期送达的或者未送达指定地点的电子介质（U盘）存储的投标文件；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2、电子介质（U盘）存储的投标文件未按招标文件要求密封的；</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3、未按招标文件要求缴纳投标保证金的；</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开标时法定代表人未携带法定代表人身份证明和本人有效身份证原件或授权委托人未携带有效身份证及有效的授权委托书原件(授权委托书应载明委托事项权限、有效期等主要内容，须加盖投标人公章，并由法定代表人签字)到开标现场并签到的；</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220" w:type="dxa"/>
            <w:gridSpan w:val="7"/>
            <w:noWrap/>
            <w:vAlign w:val="center"/>
          </w:tcPr>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77" w:type="dxa"/>
            <w:gridSpan w:val="3"/>
            <w:noWrap/>
            <w:vAlign w:val="center"/>
          </w:tcPr>
          <w:p>
            <w:pPr>
              <w:spacing w:line="360" w:lineRule="auto"/>
              <w:rPr>
                <w:rFonts w:ascii="宋体" w:hAnsi="宋体" w:cs="宋体"/>
                <w:sz w:val="24"/>
                <w:szCs w:val="24"/>
              </w:rPr>
            </w:pPr>
          </w:p>
        </w:tc>
        <w:tc>
          <w:tcPr>
            <w:tcW w:w="9143" w:type="dxa"/>
            <w:gridSpan w:val="4"/>
            <w:noWrap/>
            <w:vAlign w:val="center"/>
          </w:tcPr>
          <w:p>
            <w:pPr>
              <w:autoSpaceDE w:val="0"/>
              <w:autoSpaceDN w:val="0"/>
              <w:spacing w:line="360" w:lineRule="auto"/>
              <w:ind w:firstLine="480" w:firstLineChars="200"/>
              <w:jc w:val="left"/>
              <w:rPr>
                <w:rFonts w:ascii="宋体" w:hAnsi="宋体" w:cs="宋体"/>
                <w:sz w:val="24"/>
                <w:szCs w:val="24"/>
              </w:rPr>
            </w:pPr>
            <w:r>
              <w:rPr>
                <w:rFonts w:hint="eastAsia" w:ascii="宋体" w:hAnsi="宋体" w:cs="宋体"/>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480" w:firstLineChars="200"/>
              <w:jc w:val="left"/>
              <w:rPr>
                <w:rFonts w:ascii="宋体" w:hAnsi="宋体" w:cs="宋体"/>
                <w:sz w:val="24"/>
                <w:szCs w:val="24"/>
              </w:rPr>
            </w:pPr>
            <w:r>
              <w:rPr>
                <w:rFonts w:hint="eastAsia" w:ascii="宋体" w:hAnsi="宋体" w:cs="宋体"/>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480" w:firstLineChars="200"/>
              <w:jc w:val="left"/>
              <w:rPr>
                <w:rFonts w:ascii="宋体" w:hAnsi="宋体" w:cs="宋体"/>
                <w:sz w:val="24"/>
                <w:szCs w:val="24"/>
              </w:rPr>
            </w:pPr>
            <w:r>
              <w:rPr>
                <w:rFonts w:hint="eastAsia" w:ascii="宋体" w:hAnsi="宋体" w:cs="宋体"/>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480" w:firstLineChars="200"/>
              <w:jc w:val="left"/>
              <w:rPr>
                <w:rFonts w:ascii="宋体" w:hAnsi="宋体" w:cs="宋体"/>
                <w:sz w:val="24"/>
                <w:szCs w:val="24"/>
              </w:rPr>
            </w:pPr>
            <w:r>
              <w:rPr>
                <w:rFonts w:hint="eastAsia" w:ascii="宋体" w:hAnsi="宋体" w:cs="宋体"/>
                <w:sz w:val="24"/>
                <w:szCs w:val="24"/>
              </w:rPr>
              <w:t>4、本项目试行全流程电子化交易，如因系统异常情况无法完成，将以人工方式进行。</w:t>
            </w:r>
          </w:p>
          <w:p>
            <w:pPr>
              <w:autoSpaceDE w:val="0"/>
              <w:autoSpaceDN w:val="0"/>
              <w:spacing w:line="360" w:lineRule="auto"/>
              <w:ind w:firstLine="480" w:firstLineChars="200"/>
              <w:jc w:val="left"/>
              <w:rPr>
                <w:rFonts w:ascii="宋体" w:hAnsi="宋体" w:cs="宋体"/>
                <w:sz w:val="24"/>
                <w:szCs w:val="24"/>
              </w:rPr>
            </w:pPr>
            <w:r>
              <w:rPr>
                <w:rFonts w:hint="eastAsia" w:ascii="宋体" w:hAnsi="宋体" w:cs="宋体"/>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6、投标人电子投标文件成功提交后，应打印“投标文件提交回执单”，供开标现场备查。</w:t>
            </w:r>
          </w:p>
          <w:p>
            <w:pPr>
              <w:autoSpaceDE w:val="0"/>
              <w:autoSpaceDN w:val="0"/>
              <w:spacing w:line="360" w:lineRule="auto"/>
              <w:ind w:firstLine="480" w:firstLineChars="200"/>
              <w:jc w:val="left"/>
              <w:rPr>
                <w:rFonts w:ascii="宋体" w:hAnsi="宋体" w:cs="宋体"/>
                <w:sz w:val="24"/>
                <w:szCs w:val="24"/>
              </w:rPr>
            </w:pPr>
            <w:r>
              <w:rPr>
                <w:rFonts w:hint="eastAsia" w:ascii="宋体" w:hAnsi="宋体" w:cs="宋体"/>
                <w:sz w:val="24"/>
                <w:szCs w:val="24"/>
              </w:rPr>
              <w:t>7、商务标投标文件制作注意事项：</w:t>
            </w:r>
          </w:p>
          <w:p>
            <w:pPr>
              <w:autoSpaceDE w:val="0"/>
              <w:autoSpaceDN w:val="0"/>
              <w:spacing w:line="360" w:lineRule="auto"/>
              <w:ind w:firstLine="480" w:firstLineChars="200"/>
              <w:jc w:val="left"/>
              <w:rPr>
                <w:rFonts w:ascii="宋体" w:hAnsi="宋体" w:cs="宋体"/>
                <w:sz w:val="24"/>
                <w:szCs w:val="24"/>
              </w:rPr>
            </w:pPr>
            <w:r>
              <w:rPr>
                <w:rFonts w:hint="eastAsia" w:ascii="宋体" w:hAnsi="宋体" w:cs="宋体"/>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7.2 商务标投标文件制作技术咨询：0374-2961598。</w:t>
            </w:r>
          </w:p>
        </w:tc>
      </w:tr>
    </w:tbl>
    <w:p>
      <w:pPr>
        <w:autoSpaceDE w:val="0"/>
        <w:autoSpaceDN w:val="0"/>
        <w:spacing w:line="360" w:lineRule="auto"/>
        <w:jc w:val="left"/>
        <w:rPr>
          <w:rFonts w:hAnsi="宋体" w:cs="宋体"/>
          <w:sz w:val="24"/>
        </w:rPr>
      </w:pPr>
      <w:bookmarkStart w:id="11" w:name="_Toc283559990"/>
      <w:bookmarkStart w:id="12" w:name="_Toc283559947"/>
      <w:r>
        <w:rPr>
          <w:rFonts w:hint="eastAsia" w:hAnsi="宋体" w:cs="宋体"/>
          <w:sz w:val="24"/>
        </w:rPr>
        <w:t>1. 总则</w:t>
      </w:r>
    </w:p>
    <w:p>
      <w:pPr>
        <w:autoSpaceDE w:val="0"/>
        <w:autoSpaceDN w:val="0"/>
        <w:spacing w:line="360" w:lineRule="auto"/>
        <w:jc w:val="left"/>
        <w:rPr>
          <w:rFonts w:hAnsi="宋体" w:cs="宋体"/>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1.1.2 本招标项目招标人：见投标人须知前附表。</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1.1.4 本招标项目名称：见投标人须知前附表。</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1.1.5 本标段建设地点：见投标人须知前附表。</w:t>
      </w:r>
    </w:p>
    <w:p>
      <w:pPr>
        <w:autoSpaceDE w:val="0"/>
        <w:autoSpaceDN w:val="0"/>
        <w:spacing w:line="360" w:lineRule="auto"/>
        <w:jc w:val="left"/>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1.2.3 本招标项目的资金落实情况：见投标人须知前附表。</w:t>
      </w:r>
    </w:p>
    <w:p>
      <w:pPr>
        <w:autoSpaceDE w:val="0"/>
        <w:autoSpaceDN w:val="0"/>
        <w:adjustRightInd w:val="0"/>
        <w:spacing w:line="360" w:lineRule="auto"/>
        <w:jc w:val="left"/>
        <w:rPr>
          <w:rFonts w:hAnsi="宋体" w:cs="宋体"/>
          <w:sz w:val="24"/>
        </w:rPr>
      </w:pPr>
      <w:r>
        <w:rPr>
          <w:rFonts w:hint="eastAsia" w:hAnsi="宋体" w:cs="宋体"/>
          <w:b/>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1.4.3投标人不得存在下列情形之一：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（13）法律法规或投标人须知前附表规定的其他情形。</w:t>
      </w:r>
    </w:p>
    <w:p>
      <w:pPr>
        <w:autoSpaceDE w:val="0"/>
        <w:autoSpaceDN w:val="0"/>
        <w:spacing w:line="360" w:lineRule="auto"/>
        <w:jc w:val="left"/>
        <w:rPr>
          <w:rFonts w:hAnsi="宋体" w:cs="宋体"/>
          <w:b/>
          <w:sz w:val="24"/>
        </w:rPr>
      </w:pPr>
      <w:r>
        <w:rPr>
          <w:rFonts w:hint="eastAsia" w:hAnsi="宋体" w:cs="宋体"/>
          <w:b/>
          <w:sz w:val="24"/>
        </w:rPr>
        <w:t>1.5 费用承担</w:t>
      </w:r>
    </w:p>
    <w:p>
      <w:pPr>
        <w:autoSpaceDE w:val="0"/>
        <w:autoSpaceDN w:val="0"/>
        <w:spacing w:line="360" w:lineRule="auto"/>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rPr>
          <w:rFonts w:hAnsi="宋体" w:cs="宋体"/>
          <w:b/>
          <w:sz w:val="24"/>
        </w:rPr>
      </w:pPr>
      <w:r>
        <w:rPr>
          <w:rFonts w:hint="eastAsia" w:hAnsi="宋体" w:cs="宋体"/>
          <w:b/>
          <w:sz w:val="24"/>
        </w:rPr>
        <w:t>1.6 保密</w:t>
      </w:r>
    </w:p>
    <w:p>
      <w:pPr>
        <w:autoSpaceDE w:val="0"/>
        <w:autoSpaceDN w:val="0"/>
        <w:spacing w:line="360" w:lineRule="auto"/>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rPr>
          <w:rFonts w:hAnsi="宋体" w:cs="宋体"/>
          <w:b/>
          <w:sz w:val="24"/>
        </w:rPr>
      </w:pPr>
      <w:r>
        <w:rPr>
          <w:rFonts w:hint="eastAsia" w:hAnsi="宋体" w:cs="宋体"/>
          <w:b/>
          <w:sz w:val="24"/>
        </w:rPr>
        <w:t>1.7 语言文字</w:t>
      </w:r>
    </w:p>
    <w:p>
      <w:pPr>
        <w:autoSpaceDE w:val="0"/>
        <w:autoSpaceDN w:val="0"/>
        <w:spacing w:line="360" w:lineRule="auto"/>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rPr>
          <w:rFonts w:hAnsi="宋体" w:cs="宋体"/>
          <w:b/>
          <w:sz w:val="24"/>
        </w:rPr>
      </w:pPr>
      <w:r>
        <w:rPr>
          <w:rFonts w:hint="eastAsia" w:hAnsi="宋体" w:cs="宋体"/>
          <w:b/>
          <w:sz w:val="24"/>
        </w:rPr>
        <w:t>1.8 计量单位</w:t>
      </w:r>
    </w:p>
    <w:p>
      <w:pPr>
        <w:autoSpaceDE w:val="0"/>
        <w:autoSpaceDN w:val="0"/>
        <w:spacing w:line="360" w:lineRule="auto"/>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rPr>
          <w:rFonts w:hAnsi="宋体" w:cs="宋体"/>
          <w:b/>
          <w:sz w:val="24"/>
        </w:rPr>
      </w:pPr>
      <w:r>
        <w:rPr>
          <w:rFonts w:hint="eastAsia" w:hAnsi="宋体" w:cs="宋体"/>
          <w:b/>
          <w:sz w:val="24"/>
        </w:rPr>
        <w:t>1.9 踏勘现场</w:t>
      </w:r>
    </w:p>
    <w:p>
      <w:pPr>
        <w:autoSpaceDE w:val="0"/>
        <w:autoSpaceDN w:val="0"/>
        <w:spacing w:line="360" w:lineRule="auto"/>
        <w:jc w:val="left"/>
        <w:rPr>
          <w:rFonts w:hAnsi="宋体" w:cs="宋体"/>
          <w:sz w:val="24"/>
        </w:rPr>
      </w:pPr>
      <w:r>
        <w:rPr>
          <w:rFonts w:hint="eastAsia" w:hAnsi="宋体" w:cs="宋体"/>
          <w:sz w:val="24"/>
        </w:rPr>
        <w:t xml:space="preserve">    1.9.1 不组织。          </w:t>
      </w:r>
    </w:p>
    <w:p>
      <w:pPr>
        <w:autoSpaceDE w:val="0"/>
        <w:autoSpaceDN w:val="0"/>
        <w:spacing w:line="360" w:lineRule="auto"/>
        <w:jc w:val="left"/>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rPr>
          <w:rFonts w:hAnsi="宋体" w:cs="宋体"/>
          <w:b/>
          <w:sz w:val="24"/>
        </w:rPr>
      </w:pPr>
      <w:r>
        <w:rPr>
          <w:rFonts w:hint="eastAsia" w:hAnsi="宋体" w:cs="宋体"/>
          <w:b/>
          <w:sz w:val="24"/>
        </w:rPr>
        <w:t>1.10 投标预备会</w:t>
      </w:r>
    </w:p>
    <w:p>
      <w:pPr>
        <w:autoSpaceDE w:val="0"/>
        <w:autoSpaceDN w:val="0"/>
        <w:spacing w:line="360" w:lineRule="auto"/>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rPr>
          <w:rFonts w:hAnsi="宋体" w:cs="宋体"/>
          <w:b/>
          <w:sz w:val="24"/>
        </w:rPr>
      </w:pPr>
      <w:r>
        <w:rPr>
          <w:rFonts w:hint="eastAsia" w:hAnsi="宋体" w:cs="宋体"/>
          <w:b/>
          <w:sz w:val="24"/>
        </w:rPr>
        <w:t>1.11 分包</w:t>
      </w:r>
    </w:p>
    <w:p>
      <w:pPr>
        <w:autoSpaceDE w:val="0"/>
        <w:autoSpaceDN w:val="0"/>
        <w:spacing w:line="360" w:lineRule="auto"/>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360" w:lineRule="auto"/>
        <w:jc w:val="left"/>
        <w:rPr>
          <w:rFonts w:hAnsi="宋体" w:cs="宋体"/>
          <w:b/>
          <w:sz w:val="24"/>
        </w:rPr>
      </w:pPr>
      <w:r>
        <w:rPr>
          <w:rFonts w:hint="eastAsia" w:hAnsi="宋体" w:cs="宋体"/>
          <w:b/>
          <w:sz w:val="24"/>
        </w:rPr>
        <w:t>1.12 偏离</w:t>
      </w:r>
    </w:p>
    <w:p>
      <w:pPr>
        <w:autoSpaceDE w:val="0"/>
        <w:autoSpaceDN w:val="0"/>
        <w:adjustRightInd w:val="0"/>
        <w:spacing w:line="360" w:lineRule="auto"/>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8"/>
        <w:spacing w:line="360" w:lineRule="auto"/>
        <w:rPr>
          <w:rFonts w:hAnsi="宋体"/>
          <w:b/>
          <w:color w:val="auto"/>
        </w:rPr>
      </w:pPr>
      <w:r>
        <w:rPr>
          <w:rFonts w:hint="eastAsia" w:hAnsi="宋体"/>
          <w:b/>
          <w:color w:val="auto"/>
        </w:rPr>
        <w:t>2. 招标文件</w:t>
      </w:r>
    </w:p>
    <w:p>
      <w:pPr>
        <w:autoSpaceDE w:val="0"/>
        <w:autoSpaceDN w:val="0"/>
        <w:spacing w:line="360" w:lineRule="auto"/>
        <w:jc w:val="left"/>
        <w:rPr>
          <w:rFonts w:hAnsi="宋体" w:cs="宋体"/>
          <w:b/>
          <w:sz w:val="24"/>
        </w:rPr>
      </w:pPr>
      <w:r>
        <w:rPr>
          <w:rFonts w:hint="eastAsia" w:hAnsi="宋体" w:cs="宋体"/>
          <w:b/>
          <w:sz w:val="24"/>
        </w:rPr>
        <w:t>2.1 招标文件的组成</w:t>
      </w:r>
    </w:p>
    <w:p>
      <w:pPr>
        <w:autoSpaceDE w:val="0"/>
        <w:autoSpaceDN w:val="0"/>
        <w:spacing w:line="360" w:lineRule="auto"/>
        <w:ind w:firstLine="480" w:firstLineChars="200"/>
        <w:jc w:val="left"/>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rPr>
          <w:rFonts w:hAnsi="宋体" w:cs="宋体"/>
          <w:b/>
          <w:sz w:val="24"/>
        </w:rPr>
      </w:pPr>
      <w:r>
        <w:rPr>
          <w:rFonts w:hint="eastAsia" w:hAnsi="宋体" w:cs="宋体"/>
          <w:b/>
          <w:sz w:val="24"/>
        </w:rPr>
        <w:t>2.2 招标文件的澄清</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rPr>
          <w:rFonts w:hAnsi="宋体" w:cs="宋体"/>
          <w:b/>
          <w:sz w:val="24"/>
        </w:rPr>
      </w:pPr>
      <w:r>
        <w:rPr>
          <w:rFonts w:hint="eastAsia" w:hAnsi="宋体" w:cs="宋体"/>
          <w:b/>
          <w:sz w:val="24"/>
        </w:rPr>
        <w:t>2.3 招标文件的修改</w:t>
      </w:r>
    </w:p>
    <w:p>
      <w:pPr>
        <w:autoSpaceDE w:val="0"/>
        <w:autoSpaceDN w:val="0"/>
        <w:spacing w:line="360" w:lineRule="auto"/>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在投标截止时间15天前，招标人可以通过《全国公共资源交易平台（河南省·许昌市）》公共资源交易系统修改招标文件，如果修改招标文件的时间距投标截止时间不足15天，相应延长投标截止时间。</w:t>
      </w:r>
    </w:p>
    <w:p>
      <w:pPr>
        <w:autoSpaceDE w:val="0"/>
        <w:autoSpaceDN w:val="0"/>
        <w:spacing w:line="360" w:lineRule="auto"/>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rPr>
          <w:rFonts w:hAnsi="宋体" w:cs="宋体"/>
          <w:b/>
          <w:sz w:val="24"/>
        </w:rPr>
      </w:pPr>
      <w:r>
        <w:rPr>
          <w:rFonts w:hint="eastAsia" w:hAnsi="宋体" w:cs="宋体"/>
          <w:b/>
          <w:sz w:val="24"/>
        </w:rPr>
        <w:t>3. 投标文件</w:t>
      </w:r>
    </w:p>
    <w:p>
      <w:pPr>
        <w:autoSpaceDE w:val="0"/>
        <w:autoSpaceDN w:val="0"/>
        <w:spacing w:line="360" w:lineRule="auto"/>
        <w:jc w:val="left"/>
        <w:rPr>
          <w:rFonts w:hAnsi="宋体" w:cs="宋体"/>
          <w:b/>
          <w:sz w:val="24"/>
        </w:rPr>
      </w:pPr>
      <w:r>
        <w:rPr>
          <w:rFonts w:hint="eastAsia" w:hAnsi="宋体" w:cs="宋体"/>
          <w:b/>
          <w:sz w:val="24"/>
        </w:rPr>
        <w:t>3.1投标文件由商务标、综合标和技术标三部分组成。</w:t>
      </w:r>
    </w:p>
    <w:p>
      <w:pPr>
        <w:autoSpaceDE w:val="0"/>
        <w:autoSpaceDN w:val="0"/>
        <w:spacing w:line="360" w:lineRule="auto"/>
        <w:ind w:firstLine="480" w:firstLineChars="200"/>
        <w:jc w:val="left"/>
        <w:rPr>
          <w:rFonts w:hAnsi="宋体" w:cs="宋体"/>
          <w:sz w:val="24"/>
        </w:rPr>
      </w:pPr>
      <w:r>
        <w:rPr>
          <w:rFonts w:hint="eastAsia" w:hAnsi="宋体" w:cs="宋体"/>
          <w:sz w:val="24"/>
        </w:rPr>
        <w:t>3.1.1商务标组成：</w:t>
      </w:r>
    </w:p>
    <w:p>
      <w:pPr>
        <w:autoSpaceDE w:val="0"/>
        <w:autoSpaceDN w:val="0"/>
        <w:spacing w:line="360" w:lineRule="auto"/>
        <w:ind w:firstLine="480" w:firstLineChars="200"/>
        <w:jc w:val="left"/>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rPr>
          <w:rFonts w:hAnsi="宋体" w:cs="宋体"/>
          <w:sz w:val="24"/>
        </w:rPr>
      </w:pPr>
      <w:r>
        <w:rPr>
          <w:rFonts w:hint="eastAsia" w:hAnsi="宋体" w:cs="宋体"/>
          <w:sz w:val="24"/>
        </w:rPr>
        <w:t>3.1.2综合标组成：</w:t>
      </w:r>
    </w:p>
    <w:p>
      <w:pPr>
        <w:autoSpaceDE w:val="0"/>
        <w:autoSpaceDN w:val="0"/>
        <w:spacing w:line="360" w:lineRule="auto"/>
        <w:ind w:firstLine="480" w:firstLineChars="200"/>
        <w:jc w:val="left"/>
        <w:rPr>
          <w:rFonts w:hAnsi="宋体" w:cs="宋体"/>
          <w:sz w:val="24"/>
        </w:rPr>
      </w:pPr>
      <w:r>
        <w:rPr>
          <w:rFonts w:hint="eastAsia" w:hAnsi="宋体" w:cs="宋体"/>
          <w:sz w:val="24"/>
        </w:rPr>
        <w:t>（1）投标函；</w:t>
      </w:r>
    </w:p>
    <w:p>
      <w:pPr>
        <w:autoSpaceDE w:val="0"/>
        <w:autoSpaceDN w:val="0"/>
        <w:spacing w:line="360" w:lineRule="auto"/>
        <w:ind w:firstLine="480" w:firstLineChars="200"/>
        <w:jc w:val="left"/>
        <w:rPr>
          <w:rFonts w:hAnsi="宋体" w:cs="宋体"/>
          <w:sz w:val="24"/>
        </w:rPr>
      </w:pPr>
      <w:r>
        <w:rPr>
          <w:rFonts w:hint="eastAsia" w:hAnsi="宋体" w:cs="宋体"/>
          <w:sz w:val="24"/>
        </w:rPr>
        <w:t>（2）投标函附录；</w:t>
      </w:r>
    </w:p>
    <w:p>
      <w:pPr>
        <w:autoSpaceDE w:val="0"/>
        <w:autoSpaceDN w:val="0"/>
        <w:spacing w:line="360" w:lineRule="auto"/>
        <w:ind w:firstLine="480" w:firstLineChars="200"/>
        <w:jc w:val="left"/>
        <w:rPr>
          <w:rFonts w:hAnsi="宋体" w:cs="宋体"/>
          <w:sz w:val="24"/>
        </w:rPr>
      </w:pPr>
      <w:r>
        <w:rPr>
          <w:rFonts w:hint="eastAsia" w:hAnsi="宋体" w:cs="宋体"/>
          <w:sz w:val="24"/>
        </w:rPr>
        <w:t>（3）法定代表人身份证明、授权委托书；</w:t>
      </w:r>
    </w:p>
    <w:p>
      <w:pPr>
        <w:autoSpaceDE w:val="0"/>
        <w:autoSpaceDN w:val="0"/>
        <w:spacing w:line="360" w:lineRule="auto"/>
        <w:ind w:firstLine="480" w:firstLineChars="200"/>
        <w:jc w:val="left"/>
        <w:rPr>
          <w:rFonts w:hAnsi="宋体" w:cs="宋体"/>
          <w:sz w:val="24"/>
        </w:rPr>
      </w:pPr>
      <w:r>
        <w:rPr>
          <w:rFonts w:hint="eastAsia" w:hAnsi="宋体" w:cs="宋体"/>
          <w:sz w:val="24"/>
        </w:rPr>
        <w:t>（4）投标保证金；</w:t>
      </w:r>
    </w:p>
    <w:p>
      <w:pPr>
        <w:autoSpaceDE w:val="0"/>
        <w:autoSpaceDN w:val="0"/>
        <w:spacing w:line="360" w:lineRule="auto"/>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360" w:lineRule="auto"/>
        <w:ind w:firstLine="480" w:firstLineChars="200"/>
        <w:jc w:val="left"/>
        <w:rPr>
          <w:rFonts w:hAnsi="宋体" w:cs="宋体"/>
          <w:sz w:val="24"/>
        </w:rPr>
      </w:pPr>
      <w:bookmarkStart w:id="13" w:name="_Toc27679"/>
      <w:bookmarkStart w:id="14" w:name="_Toc9308"/>
      <w:r>
        <w:rPr>
          <w:rFonts w:hint="eastAsia" w:hAnsi="宋体" w:cs="宋体"/>
          <w:sz w:val="24"/>
        </w:rPr>
        <w:t>（6）</w:t>
      </w:r>
      <w:bookmarkEnd w:id="13"/>
      <w:bookmarkEnd w:id="14"/>
      <w:r>
        <w:rPr>
          <w:rFonts w:hint="eastAsia" w:hAnsi="宋体" w:cs="宋体"/>
          <w:sz w:val="24"/>
        </w:rPr>
        <w:t>资格审查资料；</w:t>
      </w:r>
    </w:p>
    <w:p>
      <w:pPr>
        <w:autoSpaceDE w:val="0"/>
        <w:autoSpaceDN w:val="0"/>
        <w:spacing w:line="360" w:lineRule="auto"/>
        <w:ind w:firstLine="480" w:firstLineChars="200"/>
        <w:jc w:val="left"/>
        <w:rPr>
          <w:rFonts w:hAnsi="宋体" w:cs="宋体"/>
          <w:sz w:val="24"/>
        </w:rPr>
      </w:pPr>
      <w:bookmarkStart w:id="15" w:name="_Toc8748"/>
      <w:bookmarkStart w:id="16" w:name="_Toc16564"/>
      <w:r>
        <w:rPr>
          <w:rFonts w:hint="eastAsia" w:hAnsi="宋体" w:cs="宋体"/>
          <w:sz w:val="24"/>
        </w:rPr>
        <w:t>（7）近年完成的类似项目情况表；</w:t>
      </w:r>
      <w:bookmarkEnd w:id="15"/>
      <w:bookmarkEnd w:id="16"/>
    </w:p>
    <w:p>
      <w:pPr>
        <w:autoSpaceDE w:val="0"/>
        <w:autoSpaceDN w:val="0"/>
        <w:spacing w:line="360" w:lineRule="auto"/>
        <w:ind w:firstLine="480" w:firstLineChars="200"/>
        <w:jc w:val="left"/>
        <w:rPr>
          <w:rFonts w:hAnsi="宋体" w:cs="宋体"/>
          <w:sz w:val="24"/>
        </w:rPr>
      </w:pPr>
      <w:bookmarkStart w:id="17" w:name="_Toc12464"/>
      <w:bookmarkStart w:id="18" w:name="_Toc20773"/>
      <w:r>
        <w:rPr>
          <w:rFonts w:hint="eastAsia" w:hAnsi="宋体" w:cs="宋体"/>
          <w:sz w:val="24"/>
        </w:rPr>
        <w:t>（8）正在施工的和新承接的项目情况；</w:t>
      </w:r>
      <w:bookmarkEnd w:id="17"/>
      <w:bookmarkEnd w:id="18"/>
    </w:p>
    <w:p>
      <w:pPr>
        <w:autoSpaceDE w:val="0"/>
        <w:autoSpaceDN w:val="0"/>
        <w:spacing w:line="360" w:lineRule="auto"/>
        <w:ind w:firstLine="480" w:firstLineChars="200"/>
        <w:jc w:val="left"/>
        <w:rPr>
          <w:rFonts w:hAnsi="宋体" w:cs="宋体"/>
          <w:sz w:val="24"/>
        </w:rPr>
      </w:pPr>
      <w:bookmarkStart w:id="19" w:name="_Toc3600"/>
      <w:bookmarkStart w:id="20" w:name="_Toc2633"/>
      <w:r>
        <w:rPr>
          <w:rFonts w:hint="eastAsia" w:hAnsi="宋体" w:cs="宋体"/>
          <w:sz w:val="24"/>
        </w:rPr>
        <w:t>（9）近年发生的诉讼及仲裁情况；</w:t>
      </w:r>
      <w:bookmarkEnd w:id="19"/>
      <w:bookmarkEnd w:id="20"/>
    </w:p>
    <w:p>
      <w:pPr>
        <w:autoSpaceDE w:val="0"/>
        <w:autoSpaceDN w:val="0"/>
        <w:spacing w:line="360" w:lineRule="auto"/>
        <w:ind w:firstLine="480" w:firstLineChars="200"/>
        <w:jc w:val="left"/>
        <w:rPr>
          <w:rFonts w:hAnsi="宋体" w:cs="宋体"/>
          <w:sz w:val="24"/>
        </w:rPr>
      </w:pPr>
      <w:r>
        <w:rPr>
          <w:rFonts w:hint="eastAsia" w:hAnsi="宋体" w:cs="宋体"/>
          <w:sz w:val="24"/>
        </w:rPr>
        <w:t>（10）其它材料。</w:t>
      </w:r>
    </w:p>
    <w:p>
      <w:pPr>
        <w:autoSpaceDE w:val="0"/>
        <w:autoSpaceDN w:val="0"/>
        <w:spacing w:line="360" w:lineRule="auto"/>
        <w:ind w:firstLine="480" w:firstLineChars="200"/>
        <w:jc w:val="left"/>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    （1）内容完整性；</w:t>
      </w:r>
    </w:p>
    <w:p>
      <w:pPr>
        <w:tabs>
          <w:tab w:val="left" w:pos="1260"/>
        </w:tabs>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    （2）主要施工方案和技术措施；</w:t>
      </w:r>
    </w:p>
    <w:p>
      <w:pPr>
        <w:tabs>
          <w:tab w:val="left" w:pos="1260"/>
        </w:tabs>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    （3）质量管理体系与措施；</w:t>
      </w:r>
    </w:p>
    <w:p>
      <w:pPr>
        <w:tabs>
          <w:tab w:val="left" w:pos="1260"/>
        </w:tabs>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    （4）安全管理体系与措施；</w:t>
      </w:r>
    </w:p>
    <w:p>
      <w:pPr>
        <w:tabs>
          <w:tab w:val="left" w:pos="1260"/>
        </w:tabs>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    （5）文明施工、环境保护管理体系及施工现场扬尘治理措施；</w:t>
      </w:r>
    </w:p>
    <w:p>
      <w:pPr>
        <w:tabs>
          <w:tab w:val="left" w:pos="1260"/>
        </w:tabs>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    （6）工期保证措施；</w:t>
      </w:r>
    </w:p>
    <w:p>
      <w:pPr>
        <w:tabs>
          <w:tab w:val="left" w:pos="1260"/>
        </w:tabs>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    （7）拟投入资源配备计划；</w:t>
      </w:r>
    </w:p>
    <w:p>
      <w:pPr>
        <w:tabs>
          <w:tab w:val="left" w:pos="1260"/>
        </w:tabs>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    （8）施工进度表与网络计划图；</w:t>
      </w:r>
    </w:p>
    <w:p>
      <w:pPr>
        <w:tabs>
          <w:tab w:val="left" w:pos="1260"/>
        </w:tabs>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    （9）施工总平面图布置；</w:t>
      </w:r>
    </w:p>
    <w:p>
      <w:pPr>
        <w:tabs>
          <w:tab w:val="left" w:pos="1260"/>
        </w:tabs>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    （10）技术创新的应用实施措施；</w:t>
      </w:r>
    </w:p>
    <w:p>
      <w:pPr>
        <w:tabs>
          <w:tab w:val="left" w:pos="1260"/>
        </w:tabs>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    （11）采用新工艺、新技术、新设备、新材料、BIM等的程度；</w:t>
      </w:r>
    </w:p>
    <w:p>
      <w:pPr>
        <w:tabs>
          <w:tab w:val="left" w:pos="1260"/>
        </w:tabs>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 xml:space="preserve">    （12）施工现场实施信息化监控和数据处理；</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hAnsi="宋体" w:cs="仿宋_GB2312"/>
          <w:sz w:val="24"/>
        </w:rPr>
        <w:t xml:space="preserve">    （13）风险管理措施。</w:t>
      </w:r>
    </w:p>
    <w:p>
      <w:pPr>
        <w:autoSpaceDE w:val="0"/>
        <w:autoSpaceDN w:val="0"/>
        <w:spacing w:line="360" w:lineRule="auto"/>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按照住建部《建设工程工程量清单计价规范》（GB50500-2013）及省住建厅有关规定，规费、税金和安全文明施工费属不可竞争费。规费、税金、安全文明施工措施费计入投标总报价，并在投标函、投标函附录中单列，不参与商务标评审。</w:t>
      </w:r>
    </w:p>
    <w:p>
      <w:pPr>
        <w:tabs>
          <w:tab w:val="left" w:pos="3060"/>
        </w:tabs>
        <w:autoSpaceDE w:val="0"/>
        <w:autoSpaceDN w:val="0"/>
        <w:spacing w:line="360" w:lineRule="auto"/>
        <w:jc w:val="left"/>
        <w:rPr>
          <w:rFonts w:hAnsi="宋体" w:cs="宋体"/>
          <w:b/>
          <w:bCs/>
          <w:sz w:val="24"/>
        </w:rPr>
      </w:pPr>
      <w:r>
        <w:rPr>
          <w:rFonts w:hint="eastAsia" w:hAnsi="宋体" w:cs="宋体"/>
          <w:b/>
          <w:bCs/>
          <w:sz w:val="24"/>
        </w:rPr>
        <w:t>3.3 投标有效期</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Ansi="宋体" w:cs="宋体"/>
          <w:sz w:val="24"/>
        </w:rPr>
        <w:t xml:space="preserve">3.4.1 </w:t>
      </w:r>
      <w:r>
        <w:rPr>
          <w:rFonts w:hint="eastAsia" w:hAnsi="宋体" w:cs="宋体"/>
          <w:sz w:val="24"/>
        </w:rPr>
        <w:t>投标保证金的基本户备案：按《投标人须知前附表》第</w:t>
      </w:r>
      <w:r>
        <w:rPr>
          <w:rFonts w:hAnsi="宋体" w:cs="宋体"/>
          <w:sz w:val="24"/>
        </w:rPr>
        <w:t>3.4.2</w:t>
      </w:r>
      <w:r>
        <w:rPr>
          <w:rFonts w:hint="eastAsia" w:hAnsi="宋体" w:cs="宋体"/>
          <w:sz w:val="24"/>
        </w:rPr>
        <w:t>条规定。</w:t>
      </w:r>
    </w:p>
    <w:p>
      <w:pPr>
        <w:tabs>
          <w:tab w:val="left" w:pos="1260"/>
        </w:tabs>
        <w:autoSpaceDE w:val="0"/>
        <w:autoSpaceDN w:val="0"/>
        <w:adjustRightInd w:val="0"/>
        <w:spacing w:line="360" w:lineRule="auto"/>
        <w:ind w:firstLine="480" w:firstLineChars="200"/>
        <w:jc w:val="left"/>
        <w:rPr>
          <w:rFonts w:hAnsi="宋体" w:cs="宋体"/>
          <w:sz w:val="24"/>
        </w:rPr>
      </w:pPr>
      <w:r>
        <w:rPr>
          <w:rFonts w:hAnsi="宋体" w:cs="宋体"/>
          <w:sz w:val="24"/>
        </w:rPr>
        <w:t xml:space="preserve">3.4.1.1 </w:t>
      </w:r>
      <w:r>
        <w:rPr>
          <w:rFonts w:hint="eastAsia" w:hAnsi="宋体" w:cs="宋体"/>
          <w:sz w:val="24"/>
        </w:rPr>
        <w:t>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hAnsi="宋体" w:cs="宋体"/>
          <w:sz w:val="24"/>
        </w:rPr>
      </w:pPr>
      <w:r>
        <w:rPr>
          <w:rFonts w:hAnsi="宋体" w:cs="宋体"/>
          <w:sz w:val="24"/>
        </w:rPr>
        <w:t xml:space="preserve">3.4.1.2 </w:t>
      </w:r>
      <w:r>
        <w:rPr>
          <w:rFonts w:hint="eastAsia" w:hAnsi="宋体" w:cs="宋体"/>
          <w:sz w:val="24"/>
        </w:rPr>
        <w:t>基本户备案流程：</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工程建设项目的投标人登录注册网址：</w:t>
      </w:r>
      <w:r>
        <w:rPr>
          <w:rFonts w:hAnsi="宋体" w:cs="宋体"/>
          <w:sz w:val="24"/>
          <w:szCs w:val="24"/>
        </w:rPr>
        <w:t>http://ggzy.xuchang.gov.cn</w:t>
      </w:r>
      <w:r>
        <w:rPr>
          <w:rFonts w:hint="eastAsia" w:hAnsi="宋体" w:cs="宋体"/>
          <w:sz w:val="24"/>
        </w:rPr>
        <w:t>，进行系统用户注册，在注册流程中“银行账户”环节，增加“账户类别</w:t>
      </w:r>
      <w:r>
        <w:rPr>
          <w:rFonts w:hAnsi="宋体" w:cs="宋体"/>
          <w:sz w:val="24"/>
        </w:rPr>
        <w:t>-</w:t>
      </w:r>
      <w:r>
        <w:rPr>
          <w:rFonts w:hint="eastAsia" w:hAnsi="宋体" w:cs="宋体"/>
          <w:sz w:val="24"/>
        </w:rPr>
        <w:t>基本账户”，填写投标人基本账户信息，扫描上传基本户开户许可证（两者信息必须相符），保存备案信息，提交并绑定</w:t>
      </w:r>
      <w:r>
        <w:rPr>
          <w:rFonts w:hAnsi="宋体" w:cs="宋体"/>
          <w:sz w:val="24"/>
        </w:rPr>
        <w:t>CA</w:t>
      </w:r>
      <w:r>
        <w:rPr>
          <w:rFonts w:hint="eastAsia" w:hAnsi="宋体" w:cs="宋体"/>
          <w:sz w:val="24"/>
        </w:rPr>
        <w:t>后可缴纳、绑定投标保证金。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Ansi="宋体" w:cs="宋体"/>
          <w:sz w:val="24"/>
        </w:rPr>
        <w:t xml:space="preserve">3.4.2 </w:t>
      </w:r>
      <w:r>
        <w:rPr>
          <w:rFonts w:hint="eastAsia" w:hAnsi="宋体" w:cs="宋体"/>
          <w:sz w:val="24"/>
        </w:rPr>
        <w:t>投标保证金缴纳：按《投标人须知前附表》第</w:t>
      </w:r>
      <w:r>
        <w:rPr>
          <w:rFonts w:hAnsi="宋体" w:cs="宋体"/>
          <w:sz w:val="24"/>
        </w:rPr>
        <w:t>3.4.2</w:t>
      </w:r>
      <w:r>
        <w:rPr>
          <w:rFonts w:hint="eastAsia" w:hAnsi="宋体" w:cs="宋体"/>
          <w:sz w:val="24"/>
        </w:rPr>
        <w:t>条规定。</w:t>
      </w:r>
    </w:p>
    <w:p>
      <w:pPr>
        <w:tabs>
          <w:tab w:val="left" w:pos="1260"/>
        </w:tabs>
        <w:autoSpaceDE w:val="0"/>
        <w:autoSpaceDN w:val="0"/>
        <w:adjustRightInd w:val="0"/>
        <w:spacing w:line="360" w:lineRule="auto"/>
        <w:ind w:firstLine="480" w:firstLineChars="200"/>
        <w:jc w:val="left"/>
        <w:rPr>
          <w:rFonts w:hAnsi="宋体" w:cs="宋体"/>
          <w:sz w:val="24"/>
        </w:rPr>
      </w:pPr>
      <w:r>
        <w:rPr>
          <w:rFonts w:hAnsi="宋体" w:cs="宋体"/>
          <w:sz w:val="24"/>
          <w:lang w:val="zh-CN"/>
        </w:rPr>
        <w:t xml:space="preserve">3.4.2.1 </w:t>
      </w: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Ansi="宋体" w:cs="宋体"/>
          <w:sz w:val="24"/>
          <w:lang w:val="zh-CN"/>
        </w:rPr>
        <w:t xml:space="preserve">3.4.2.2 </w:t>
      </w:r>
      <w:r>
        <w:rPr>
          <w:rFonts w:hint="eastAsia" w:hAnsi="宋体" w:cs="宋体"/>
          <w:sz w:val="24"/>
          <w:lang w:val="zh-CN"/>
        </w:rPr>
        <w:t>投标保证金缴纳方式：</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Ansi="宋体" w:cs="宋体"/>
          <w:sz w:val="24"/>
          <w:szCs w:val="24"/>
        </w:rPr>
        <w:t>http://ggzy.xuchang.gov.cn</w:t>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Ansi="宋体" w:cs="宋体"/>
          <w:sz w:val="24"/>
          <w:lang w:val="zh-CN"/>
        </w:rPr>
        <w:t xml:space="preserve">3.4.2.3 </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360" w:lineRule="auto"/>
        <w:ind w:firstLine="480" w:firstLineChars="200"/>
        <w:jc w:val="left"/>
        <w:rPr>
          <w:rFonts w:hAnsi="宋体" w:cs="宋体"/>
          <w:sz w:val="24"/>
        </w:rPr>
      </w:pPr>
      <w:r>
        <w:rPr>
          <w:rFonts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Ansi="宋体" w:cs="宋体"/>
          <w:sz w:val="24"/>
          <w:lang w:val="zh-CN"/>
        </w:rPr>
        <w:t>3.4.2.5</w:t>
      </w:r>
      <w:r>
        <w:rPr>
          <w:rFonts w:hint="eastAsia" w:hAnsi="宋体" w:cs="宋体"/>
          <w:sz w:val="24"/>
          <w:lang w:val="zh-CN"/>
        </w:rPr>
        <w:t>汇款凭证无须备注项目编号和项目名称。</w:t>
      </w:r>
    </w:p>
    <w:p>
      <w:pPr>
        <w:tabs>
          <w:tab w:val="left" w:pos="1260"/>
        </w:tabs>
        <w:autoSpaceDE w:val="0"/>
        <w:autoSpaceDN w:val="0"/>
        <w:adjustRightInd w:val="0"/>
        <w:spacing w:line="360" w:lineRule="auto"/>
        <w:ind w:firstLine="480" w:firstLineChars="200"/>
        <w:jc w:val="left"/>
        <w:rPr>
          <w:rFonts w:hAnsi="宋体" w:cs="宋体"/>
          <w:sz w:val="24"/>
        </w:rPr>
      </w:pPr>
      <w:r>
        <w:rPr>
          <w:rFonts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Ansi="宋体" w:cs="宋体"/>
          <w:sz w:val="24"/>
          <w:lang w:val="zh-CN"/>
        </w:rPr>
        <w:t xml:space="preserve">3.4.2.7 </w:t>
      </w:r>
      <w:r>
        <w:rPr>
          <w:rFonts w:hint="eastAsia" w:hAnsi="宋体" w:cs="宋体"/>
          <w:sz w:val="24"/>
          <w:lang w:val="zh-CN"/>
        </w:rPr>
        <w:t>《保证金缴纳绑定操作指南》获取方法：</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登录许昌公共资源交易系统</w:t>
      </w:r>
      <w:r>
        <w:rPr>
          <w:rFonts w:hAnsi="宋体" w:cs="宋体"/>
          <w:sz w:val="24"/>
          <w:lang w:val="zh-CN"/>
        </w:rPr>
        <w:t>-</w:t>
      </w:r>
      <w:r>
        <w:rPr>
          <w:rFonts w:hint="eastAsia" w:hAnsi="宋体" w:cs="宋体"/>
          <w:sz w:val="24"/>
          <w:lang w:val="zh-CN"/>
        </w:rPr>
        <w:t>组件下载</w:t>
      </w:r>
      <w:r>
        <w:rPr>
          <w:rFonts w:hAnsi="宋体" w:cs="宋体"/>
          <w:sz w:val="24"/>
          <w:lang w:val="zh-CN"/>
        </w:rPr>
        <w:t>-</w:t>
      </w:r>
      <w:r>
        <w:rPr>
          <w:rFonts w:hint="eastAsia" w:hAnsi="宋体" w:cs="宋体"/>
          <w:sz w:val="24"/>
          <w:lang w:val="zh-CN"/>
        </w:rPr>
        <w:t>《保证金缴纳绑定操作指南》</w:t>
      </w:r>
    </w:p>
    <w:p>
      <w:pPr>
        <w:tabs>
          <w:tab w:val="left" w:pos="1260"/>
        </w:tabs>
        <w:autoSpaceDE w:val="0"/>
        <w:autoSpaceDN w:val="0"/>
        <w:adjustRightInd w:val="0"/>
        <w:spacing w:line="360" w:lineRule="auto"/>
        <w:ind w:firstLine="480" w:firstLineChars="200"/>
        <w:jc w:val="left"/>
        <w:rPr>
          <w:rFonts w:hAnsi="宋体" w:cs="宋体"/>
          <w:sz w:val="24"/>
        </w:rPr>
      </w:pPr>
      <w:r>
        <w:rPr>
          <w:rFonts w:hAnsi="宋体" w:cs="宋体"/>
          <w:sz w:val="24"/>
        </w:rPr>
        <w:t xml:space="preserve">3.4.3 </w:t>
      </w:r>
      <w:r>
        <w:rPr>
          <w:rFonts w:hint="eastAsia" w:hAnsi="宋体" w:cs="宋体"/>
          <w:sz w:val="24"/>
        </w:rPr>
        <w:t>投标人不按本章第</w:t>
      </w:r>
      <w:r>
        <w:rPr>
          <w:rFonts w:hAnsi="宋体" w:cs="宋体"/>
          <w:sz w:val="24"/>
        </w:rPr>
        <w:t>3.4.2</w:t>
      </w:r>
      <w:r>
        <w:rPr>
          <w:rFonts w:hint="eastAsia" w:hAnsi="宋体" w:cs="宋体"/>
          <w:sz w:val="24"/>
        </w:rPr>
        <w:t>项要求提交投标保证金的，拒收其投标文件。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Ansi="宋体" w:cs="宋体"/>
          <w:sz w:val="24"/>
        </w:rPr>
        <w:t xml:space="preserve">3.4.4 </w:t>
      </w:r>
      <w:r>
        <w:rPr>
          <w:rFonts w:hint="eastAsia" w:hAnsi="宋体" w:cs="宋体"/>
          <w:sz w:val="24"/>
        </w:rPr>
        <w:t>投标保证金的退还：</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）中标候选人公示期满后没有质疑或投诉的，退还非中标候选人投标保证金；在书面合同签订后</w:t>
      </w:r>
      <w:r>
        <w:rPr>
          <w:rFonts w:hAnsi="宋体" w:cs="宋体"/>
          <w:sz w:val="24"/>
        </w:rPr>
        <w:t>5</w:t>
      </w:r>
      <w:r>
        <w:rPr>
          <w:rFonts w:hint="eastAsia" w:hAnsi="宋体" w:cs="宋体"/>
          <w:sz w:val="24"/>
        </w:rPr>
        <w:t>日内向中标人和其他中标候选人退还投标保证金。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）法定期限内未签订书面合同的，按照有关规定向中标人和其他中标候选人退还投标保证金。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）项目废标或招标人终止招标的，在此后</w:t>
      </w:r>
      <w:r>
        <w:rPr>
          <w:rFonts w:hAnsi="宋体" w:cs="宋体"/>
          <w:sz w:val="24"/>
        </w:rPr>
        <w:t>5</w:t>
      </w:r>
      <w:r>
        <w:rPr>
          <w:rFonts w:hint="eastAsia" w:hAnsi="宋体" w:cs="宋体"/>
          <w:sz w:val="24"/>
        </w:rPr>
        <w:t>个工作日内退还投标保证金。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）退还投标保证金，除另有规定外，一般以转账方式一次性退还至投标保证金的原提交账户。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w:t>
      </w:r>
      <w:r>
        <w:rPr>
          <w:rFonts w:hAnsi="宋体" w:cs="宋体"/>
          <w:sz w:val="24"/>
        </w:rPr>
        <w:t>8</w:t>
      </w:r>
      <w:r>
        <w:rPr>
          <w:rFonts w:hint="eastAsia" w:hAnsi="宋体" w:cs="宋体"/>
          <w:sz w:val="24"/>
        </w:rPr>
        <w:t>）特殊情况处理</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交易中心12楼1209室办理退款手续（0374-3998022）。</w:t>
      </w:r>
    </w:p>
    <w:p>
      <w:pPr>
        <w:tabs>
          <w:tab w:val="left" w:pos="1260"/>
        </w:tabs>
        <w:autoSpaceDE w:val="0"/>
        <w:autoSpaceDN w:val="0"/>
        <w:adjustRightInd w:val="0"/>
        <w:spacing w:line="360" w:lineRule="auto"/>
        <w:ind w:firstLine="480" w:firstLineChars="200"/>
        <w:jc w:val="left"/>
        <w:rPr>
          <w:rFonts w:hAnsi="宋体" w:cs="宋体"/>
          <w:sz w:val="24"/>
        </w:rPr>
      </w:pPr>
      <w:r>
        <w:rPr>
          <w:rFonts w:hAnsi="宋体" w:cs="宋体"/>
          <w:sz w:val="24"/>
        </w:rPr>
        <w:t>3.4.5</w:t>
      </w:r>
      <w:r>
        <w:rPr>
          <w:rFonts w:hint="eastAsia" w:hAnsi="宋体" w:cs="宋体"/>
          <w:sz w:val="24"/>
        </w:rPr>
        <w:t>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）在招标文件要求提交投标文件的截止时间后至投标文件有效期满前撤回投标的；</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）中标通知书发出后，中标人无故放弃中标项目或无正当理由在规定时间内不与招标人签订合同或未按招标文件规定提交履约担保的；</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）将中标项目转让给他人，或者在投标文件中未说明，且未经招标人同意，将中标项目分包给他人的；</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）投标人在招投标活动中弄虚作假、围标串标、骗取中标等，并经招投标行政监督部门调查核实的；</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rPr>
        <w:t>（</w:t>
      </w:r>
      <w:r>
        <w:rPr>
          <w:rFonts w:hAnsi="宋体" w:cs="宋体"/>
          <w:sz w:val="24"/>
        </w:rPr>
        <w:t>6</w:t>
      </w:r>
      <w:r>
        <w:rPr>
          <w:rFonts w:hint="eastAsia" w:hAnsi="宋体" w:cs="宋体"/>
          <w:sz w:val="24"/>
        </w:rPr>
        <w:t>）</w:t>
      </w:r>
      <w:r>
        <w:rPr>
          <w:rFonts w:hint="eastAsia" w:hAnsi="宋体" w:cs="宋体"/>
          <w:sz w:val="24"/>
          <w:lang w:val="zh-CN"/>
        </w:rPr>
        <w:t>凡投标人投标保证金交纳至同一标段相同子账号的，保证金暂不予退还，并依照《许昌市公共资源交易当事人不良行为管理暂行办法》（许公管委〔</w:t>
      </w:r>
      <w:r>
        <w:rPr>
          <w:rFonts w:hAnsi="宋体" w:cs="宋体"/>
          <w:sz w:val="24"/>
          <w:lang w:val="zh-CN"/>
        </w:rPr>
        <w:t>2017</w:t>
      </w:r>
      <w:r>
        <w:rPr>
          <w:rFonts w:hint="eastAsia" w:hAnsi="宋体" w:cs="宋体"/>
          <w:sz w:val="24"/>
          <w:lang w:val="zh-CN"/>
        </w:rPr>
        <w:t>〕</w:t>
      </w:r>
      <w:r>
        <w:rPr>
          <w:rFonts w:hAnsi="宋体" w:cs="宋体"/>
          <w:sz w:val="24"/>
          <w:lang w:val="zh-CN"/>
        </w:rPr>
        <w:t>1</w:t>
      </w:r>
      <w:r>
        <w:rPr>
          <w:rFonts w:hint="eastAsia" w:hAnsi="宋体" w:cs="宋体"/>
          <w:sz w:val="24"/>
          <w:lang w:val="zh-CN"/>
        </w:rPr>
        <w:t>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）相关法律、法规规定不予退还的其它情形。</w:t>
      </w:r>
    </w:p>
    <w:p>
      <w:pPr>
        <w:autoSpaceDE w:val="0"/>
        <w:autoSpaceDN w:val="0"/>
        <w:spacing w:line="360" w:lineRule="auto"/>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3.5.1 “投标人基本情况表”应附投标人营业执照副本、资质证书和安全生产许可证等材料的原件扫描件或图片。</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“近年财务状况”应附经会计师事务所或审计机构审计的财务会计报表，包括</w:t>
      </w:r>
      <w:r>
        <w:rPr>
          <w:rFonts w:hint="eastAsia" w:hAnsi="宋体" w:cs="宋体"/>
          <w:bCs/>
          <w:sz w:val="24"/>
        </w:rPr>
        <w:t>资产负债表、利润表、现金流量表及其附注</w:t>
      </w:r>
      <w:r>
        <w:rPr>
          <w:rFonts w:hint="eastAsia" w:hAnsi="宋体" w:cs="宋体"/>
          <w:sz w:val="24"/>
        </w:rPr>
        <w:t>的原件扫描件或图片，具体年份要求见投标人须知前附表。</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“近年完成的类似项目情况表”应附中标通知书、合同协议书和工程竣工验收证明资料的原件扫描件或图片，具体年份要求见投标人须知前附表。每张表格只填写一个项目，并标明序号。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Ansi="宋体" w:cs="宋体"/>
          <w:sz w:val="24"/>
        </w:rPr>
        <w:t xml:space="preserve">    3.5.5 </w:t>
      </w:r>
      <w:r>
        <w:rPr>
          <w:rFonts w:hint="eastAsia" w:hAnsi="宋体" w:cs="宋体"/>
          <w:sz w:val="24"/>
        </w:rPr>
        <w:t>“近年发生的诉讼及仲裁情况”应说明相关情况，并附法院或仲裁机构作出的判决、裁决等有关法律文书原件扫描件或图片，具体年份要求见投标人须知前附表。</w:t>
      </w:r>
    </w:p>
    <w:p>
      <w:pPr>
        <w:autoSpaceDE w:val="0"/>
        <w:autoSpaceDN w:val="0"/>
        <w:spacing w:line="360" w:lineRule="auto"/>
        <w:jc w:val="left"/>
        <w:rPr>
          <w:rFonts w:hAnsi="宋体" w:cs="宋体"/>
          <w:b/>
          <w:sz w:val="24"/>
        </w:rPr>
      </w:pPr>
      <w:r>
        <w:rPr>
          <w:rFonts w:hint="eastAsia" w:hAnsi="宋体" w:cs="宋体"/>
          <w:b/>
          <w:sz w:val="24"/>
        </w:rPr>
        <w:t>3.6 备选投标方案</w:t>
      </w:r>
    </w:p>
    <w:p>
      <w:pPr>
        <w:autoSpaceDE w:val="0"/>
        <w:autoSpaceDN w:val="0"/>
        <w:spacing w:line="360" w:lineRule="auto"/>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rPr>
          <w:rFonts w:hAnsi="宋体" w:cs="宋体"/>
          <w:b/>
          <w:sz w:val="24"/>
        </w:rPr>
      </w:pPr>
      <w:r>
        <w:rPr>
          <w:rFonts w:hint="eastAsia" w:hAnsi="宋体" w:cs="宋体"/>
          <w:b/>
          <w:sz w:val="24"/>
        </w:rPr>
        <w:t>3.7 投标文件的编制</w:t>
      </w:r>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w:t>
      </w:r>
      <w:r>
        <w:rPr>
          <w:rFonts w:hint="eastAsia" w:hAnsi="宋体"/>
          <w:color w:val="000000"/>
          <w:sz w:val="24"/>
          <w:szCs w:val="24"/>
        </w:rPr>
        <w:t>SEARUN V1.1</w:t>
      </w:r>
      <w:r>
        <w:rPr>
          <w:rFonts w:hint="eastAsia" w:hAnsi="宋体"/>
          <w:sz w:val="24"/>
          <w:szCs w:val="24"/>
        </w:rPr>
        <w:t>（如有新版本，请以最新版本为准）</w:t>
      </w:r>
      <w:r>
        <w:rPr>
          <w:rFonts w:hint="eastAsia" w:hAnsi="宋体"/>
          <w:color w:val="000000"/>
          <w:sz w:val="24"/>
          <w:szCs w:val="24"/>
        </w:rPr>
        <w:t>”，按招标文件要求制作电子投标文件（包括含工程量清单的商务标投标文件）。</w:t>
      </w:r>
    </w:p>
    <w:p>
      <w:pPr>
        <w:autoSpaceDE w:val="0"/>
        <w:autoSpaceDN w:val="0"/>
        <w:spacing w:line="360" w:lineRule="auto"/>
        <w:ind w:firstLine="480" w:firstLineChars="200"/>
        <w:jc w:val="left"/>
        <w:rPr>
          <w:rFonts w:hAnsi="宋体" w:cs="宋体"/>
          <w:sz w:val="24"/>
        </w:rPr>
      </w:pPr>
      <w:r>
        <w:rPr>
          <w:rFonts w:hint="eastAsia" w:hAnsi="宋体" w:cs="宋体"/>
          <w:sz w:val="24"/>
        </w:rPr>
        <w:t>3.7.5 使用电子介质（U盘）存储的备份文件2份。</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3.7.6 同时生成与电子投标文件内容、水印码、电子签章一致的PDF文件，用于监督部门、招标人及代理机构存档。</w:t>
      </w:r>
    </w:p>
    <w:p>
      <w:pPr>
        <w:tabs>
          <w:tab w:val="left" w:pos="7095"/>
        </w:tabs>
        <w:spacing w:line="360" w:lineRule="auto"/>
        <w:ind w:firstLine="480" w:firstLineChars="200"/>
        <w:rPr>
          <w:rFonts w:hAnsi="宋体"/>
          <w:color w:val="000000"/>
          <w:sz w:val="24"/>
          <w:szCs w:val="24"/>
        </w:rPr>
      </w:pPr>
      <w:r>
        <w:rPr>
          <w:rFonts w:hint="eastAsia" w:hAnsi="宋体"/>
          <w:color w:val="000000"/>
          <w:sz w:val="24"/>
          <w:szCs w:val="24"/>
        </w:rPr>
        <w:t>3.7.7 当生成的电子投标文件投标报价大小写不一致时，以大写为准。</w:t>
      </w:r>
    </w:p>
    <w:p>
      <w:pPr>
        <w:autoSpaceDE w:val="0"/>
        <w:autoSpaceDN w:val="0"/>
        <w:adjustRightInd w:val="0"/>
        <w:spacing w:line="360" w:lineRule="auto"/>
        <w:jc w:val="left"/>
        <w:rPr>
          <w:rFonts w:hAnsi="宋体" w:cs="宋体"/>
          <w:sz w:val="24"/>
        </w:rPr>
      </w:pPr>
      <w:r>
        <w:rPr>
          <w:rFonts w:hint="eastAsia" w:hAnsi="宋体" w:cs="宋体"/>
          <w:b/>
          <w:bCs/>
          <w:sz w:val="24"/>
        </w:rPr>
        <w:t>3.7.8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w:t>
      </w:r>
      <w:r>
        <w:rPr>
          <w:rFonts w:hint="eastAsia" w:hAnsi="宋体"/>
          <w:sz w:val="24"/>
          <w:szCs w:val="24"/>
        </w:rPr>
        <w:t>（如有新版本，请以最新版本为准）</w:t>
      </w:r>
      <w:r>
        <w:rPr>
          <w:rFonts w:hint="eastAsia" w:hAnsi="宋体" w:cs="宋体"/>
          <w:sz w:val="24"/>
        </w:rPr>
        <w:t>”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3.7.8.2 商务标投标文件制作技术咨询：0374-2961598。</w:t>
      </w:r>
    </w:p>
    <w:p>
      <w:pPr>
        <w:spacing w:line="360" w:lineRule="auto"/>
        <w:rPr>
          <w:rFonts w:hAnsi="宋体"/>
          <w:b/>
          <w:sz w:val="24"/>
          <w:szCs w:val="24"/>
        </w:rPr>
      </w:pPr>
      <w:r>
        <w:rPr>
          <w:rFonts w:hint="eastAsia" w:hAnsi="宋体"/>
          <w:b/>
          <w:sz w:val="24"/>
          <w:szCs w:val="24"/>
        </w:rPr>
        <w:t>4. 投标</w:t>
      </w:r>
    </w:p>
    <w:p>
      <w:pPr>
        <w:autoSpaceDE w:val="0"/>
        <w:autoSpaceDN w:val="0"/>
        <w:adjustRightInd w:val="0"/>
        <w:spacing w:line="360" w:lineRule="auto"/>
        <w:jc w:val="left"/>
        <w:rPr>
          <w:rFonts w:hAnsi="宋体" w:cs="宋体"/>
          <w:b/>
          <w:sz w:val="24"/>
        </w:rPr>
      </w:pPr>
      <w:r>
        <w:rPr>
          <w:rFonts w:hint="eastAsia" w:hAnsi="宋体" w:cs="宋体"/>
          <w:b/>
          <w:sz w:val="24"/>
        </w:rPr>
        <w:t>4.1 投标文件的密封和标记</w:t>
      </w:r>
    </w:p>
    <w:p>
      <w:pPr>
        <w:autoSpaceDE w:val="0"/>
        <w:autoSpaceDN w:val="0"/>
        <w:spacing w:line="360" w:lineRule="auto"/>
        <w:ind w:firstLine="480" w:firstLineChars="200"/>
        <w:jc w:val="left"/>
        <w:rPr>
          <w:rFonts w:hAnsi="宋体" w:cs="宋体"/>
          <w:color w:val="000000" w:themeColor="text1"/>
          <w:sz w:val="24"/>
        </w:rPr>
      </w:pPr>
      <w:r>
        <w:rPr>
          <w:rFonts w:hint="eastAsia" w:hAnsi="宋体" w:cs="宋体"/>
          <w:color w:val="000000" w:themeColor="text1"/>
          <w:sz w:val="24"/>
        </w:rPr>
        <w:t>4.1.1电子介质</w:t>
      </w:r>
      <w:r>
        <w:rPr>
          <w:rFonts w:hint="eastAsia" w:hAnsi="宋体" w:cs="宋体"/>
          <w:sz w:val="24"/>
        </w:rPr>
        <w:t>（U盘）</w:t>
      </w:r>
      <w:r>
        <w:rPr>
          <w:rFonts w:hint="eastAsia" w:hAnsi="宋体" w:cs="宋体"/>
          <w:color w:val="000000" w:themeColor="text1"/>
          <w:sz w:val="24"/>
        </w:rPr>
        <w:t>存储的投标文件应单独密封，封套上写明的内容见投标人须知前附表，并加盖单位公章，在投标截止时间前递交。</w:t>
      </w:r>
    </w:p>
    <w:p>
      <w:pPr>
        <w:autoSpaceDE w:val="0"/>
        <w:autoSpaceDN w:val="0"/>
        <w:spacing w:line="360" w:lineRule="auto"/>
        <w:ind w:firstLine="480" w:firstLineChars="200"/>
        <w:jc w:val="left"/>
        <w:rPr>
          <w:rFonts w:hAnsi="宋体"/>
        </w:rPr>
      </w:pPr>
      <w:r>
        <w:rPr>
          <w:rFonts w:hint="eastAsia" w:hAnsi="宋体" w:cs="宋体"/>
          <w:color w:val="000000" w:themeColor="text1"/>
          <w:sz w:val="24"/>
        </w:rPr>
        <w:t>4.1.2</w:t>
      </w:r>
      <w:r>
        <w:rPr>
          <w:rFonts w:hint="eastAsia" w:hAnsi="宋体" w:cs="宋体"/>
          <w:sz w:val="24"/>
        </w:rPr>
        <w:t>未按本章第4.1.1项要求密封和加写标记的投标文件，招标人不予受理。</w:t>
      </w:r>
    </w:p>
    <w:p>
      <w:pPr>
        <w:autoSpaceDE w:val="0"/>
        <w:autoSpaceDN w:val="0"/>
        <w:spacing w:line="360" w:lineRule="auto"/>
        <w:jc w:val="left"/>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rPr>
          <w:rFonts w:hAnsi="宋体" w:cs="宋体"/>
          <w:color w:val="000000" w:themeColor="text1"/>
          <w:sz w:val="24"/>
        </w:rPr>
      </w:pPr>
      <w:r>
        <w:rPr>
          <w:rFonts w:hint="eastAsia" w:hAnsi="宋体" w:cs="宋体"/>
          <w:color w:val="000000" w:themeColor="text1"/>
          <w:sz w:val="24"/>
        </w:rPr>
        <w:t>4.2.1 投标人应在投标人须知前附表中规定的投标截止时间前成功上传电子投标文件和现场提交电子介质</w:t>
      </w:r>
      <w:r>
        <w:rPr>
          <w:rFonts w:hint="eastAsia" w:hAnsi="宋体" w:cs="宋体"/>
          <w:sz w:val="24"/>
        </w:rPr>
        <w:t>（U盘）</w:t>
      </w:r>
      <w:r>
        <w:rPr>
          <w:rFonts w:hint="eastAsia" w:hAnsi="宋体" w:cs="宋体"/>
          <w:color w:val="000000" w:themeColor="text1"/>
          <w:sz w:val="24"/>
        </w:rPr>
        <w:t>存储的投标文件。</w:t>
      </w:r>
    </w:p>
    <w:p>
      <w:pPr>
        <w:autoSpaceDE w:val="0"/>
        <w:autoSpaceDN w:val="0"/>
        <w:spacing w:line="360" w:lineRule="auto"/>
        <w:ind w:firstLine="480" w:firstLineChars="200"/>
        <w:jc w:val="left"/>
        <w:rPr>
          <w:rFonts w:hAnsi="宋体" w:cs="宋体"/>
          <w:color w:val="000000" w:themeColor="text1"/>
          <w:sz w:val="24"/>
        </w:rPr>
      </w:pPr>
      <w:r>
        <w:rPr>
          <w:rFonts w:hint="eastAsia" w:hAnsi="宋体" w:cs="宋体"/>
          <w:color w:val="000000" w:themeColor="text1"/>
          <w:sz w:val="24"/>
        </w:rPr>
        <w:t>4.2.2 投标人提交电子介质</w:t>
      </w:r>
      <w:r>
        <w:rPr>
          <w:rFonts w:hint="eastAsia" w:hAnsi="宋体" w:cs="宋体"/>
          <w:sz w:val="24"/>
        </w:rPr>
        <w:t>（U盘）</w:t>
      </w:r>
      <w:r>
        <w:rPr>
          <w:rFonts w:hint="eastAsia" w:hAnsi="宋体" w:cs="宋体"/>
          <w:color w:val="000000" w:themeColor="text1"/>
          <w:sz w:val="24"/>
        </w:rPr>
        <w:t>存储的投标文件地点：见投标人须知前附表。</w:t>
      </w:r>
    </w:p>
    <w:p>
      <w:pPr>
        <w:autoSpaceDE w:val="0"/>
        <w:autoSpaceDN w:val="0"/>
        <w:spacing w:line="360" w:lineRule="auto"/>
        <w:ind w:firstLine="480" w:firstLineChars="200"/>
        <w:jc w:val="left"/>
        <w:rPr>
          <w:rFonts w:hAnsi="宋体" w:cs="宋体"/>
          <w:color w:val="000000" w:themeColor="text1"/>
          <w:sz w:val="24"/>
        </w:rPr>
      </w:pPr>
      <w:r>
        <w:rPr>
          <w:rFonts w:hint="eastAsia" w:hAnsi="宋体" w:cs="宋体"/>
          <w:color w:val="000000" w:themeColor="text1"/>
          <w:sz w:val="24"/>
        </w:rPr>
        <w:t>4.2.3 除投标人须知前附表另有规定外，投标人所提交的电子投标文件及电子介质</w:t>
      </w:r>
      <w:r>
        <w:rPr>
          <w:rFonts w:hint="eastAsia" w:hAnsi="宋体" w:cs="宋体"/>
          <w:sz w:val="24"/>
        </w:rPr>
        <w:t>（U盘）</w:t>
      </w:r>
      <w:r>
        <w:rPr>
          <w:rFonts w:hint="eastAsia" w:hAnsi="宋体" w:cs="宋体"/>
          <w:color w:val="000000" w:themeColor="text1"/>
          <w:sz w:val="24"/>
        </w:rPr>
        <w:t>存储的投标文件不予退还。</w:t>
      </w:r>
    </w:p>
    <w:p>
      <w:pPr>
        <w:autoSpaceDE w:val="0"/>
        <w:autoSpaceDN w:val="0"/>
        <w:spacing w:line="360" w:lineRule="auto"/>
        <w:ind w:firstLine="480" w:firstLineChars="200"/>
        <w:jc w:val="left"/>
        <w:rPr>
          <w:rFonts w:hAnsi="宋体" w:cs="宋体"/>
          <w:color w:val="000000" w:themeColor="text1"/>
          <w:sz w:val="24"/>
        </w:rPr>
      </w:pPr>
      <w:r>
        <w:rPr>
          <w:rFonts w:hint="eastAsia" w:hAnsi="宋体" w:cs="宋体"/>
          <w:color w:val="000000" w:themeColor="text1"/>
          <w:sz w:val="24"/>
        </w:rPr>
        <w:t>4.2.4 逾期送达的或者未送达指定地点的电子介质</w:t>
      </w:r>
      <w:r>
        <w:rPr>
          <w:rFonts w:hint="eastAsia" w:hAnsi="宋体" w:cs="宋体"/>
          <w:sz w:val="24"/>
        </w:rPr>
        <w:t>（U盘）</w:t>
      </w:r>
      <w:r>
        <w:rPr>
          <w:rFonts w:hint="eastAsia" w:hAnsi="宋体" w:cs="宋体"/>
          <w:color w:val="000000" w:themeColor="text1"/>
          <w:sz w:val="24"/>
        </w:rPr>
        <w:t>存储的投标文件，招标人不予受理。</w:t>
      </w:r>
    </w:p>
    <w:p>
      <w:pPr>
        <w:autoSpaceDE w:val="0"/>
        <w:autoSpaceDN w:val="0"/>
        <w:spacing w:line="360" w:lineRule="auto"/>
        <w:jc w:val="left"/>
        <w:rPr>
          <w:rFonts w:hAnsi="宋体" w:cs="宋体"/>
          <w:b/>
          <w:sz w:val="24"/>
        </w:rPr>
      </w:pPr>
      <w:r>
        <w:rPr>
          <w:rFonts w:hint="eastAsia" w:hAnsi="宋体" w:cs="宋体"/>
          <w:b/>
          <w:sz w:val="24"/>
        </w:rPr>
        <w:t>4.3 投标文件的修改与撤回</w:t>
      </w:r>
    </w:p>
    <w:p>
      <w:pPr>
        <w:autoSpaceDE w:val="0"/>
        <w:autoSpaceDN w:val="0"/>
        <w:spacing w:line="360" w:lineRule="auto"/>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360" w:lineRule="auto"/>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18"/>
        <w:spacing w:line="360" w:lineRule="auto"/>
        <w:jc w:val="both"/>
        <w:rPr>
          <w:rFonts w:hAnsi="宋体"/>
          <w:b/>
          <w:color w:val="auto"/>
        </w:rPr>
      </w:pPr>
      <w:r>
        <w:rPr>
          <w:rFonts w:hint="eastAsia" w:hAnsi="宋体"/>
          <w:b/>
          <w:color w:val="auto"/>
        </w:rPr>
        <w:t>5. 开标</w:t>
      </w:r>
    </w:p>
    <w:p>
      <w:pPr>
        <w:autoSpaceDE w:val="0"/>
        <w:autoSpaceDN w:val="0"/>
        <w:adjustRightInd w:val="0"/>
        <w:spacing w:line="360" w:lineRule="auto"/>
        <w:jc w:val="left"/>
        <w:rPr>
          <w:rFonts w:hAnsi="宋体" w:cs="宋体"/>
          <w:b/>
          <w:sz w:val="24"/>
        </w:rPr>
      </w:pPr>
      <w:r>
        <w:rPr>
          <w:rFonts w:hint="eastAsia" w:hAnsi="宋体" w:cs="宋体"/>
          <w:b/>
          <w:sz w:val="24"/>
        </w:rPr>
        <w:t>5.1 开标时间和地点</w:t>
      </w:r>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jc w:val="left"/>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w:t>
      </w: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（2）因投标人原因电子投标文件解密失败的，由系统技术人员协助投标人将备份文件（U盘存储）导入系统。若备份文件（U盘存储）无法导入系统或导入系统仍无法解密的，视为投标人撤销其投标文件。</w:t>
      </w:r>
    </w:p>
    <w:p>
      <w:pPr>
        <w:pStyle w:val="18"/>
        <w:spacing w:line="360" w:lineRule="auto"/>
        <w:jc w:val="both"/>
        <w:rPr>
          <w:rFonts w:hAnsi="宋体"/>
          <w:b/>
          <w:color w:val="auto"/>
        </w:rPr>
      </w:pPr>
      <w:r>
        <w:rPr>
          <w:rFonts w:hint="eastAsia" w:hAnsi="宋体"/>
          <w:b/>
          <w:color w:val="auto"/>
        </w:rPr>
        <w:t>6. 评标</w:t>
      </w:r>
    </w:p>
    <w:p>
      <w:pPr>
        <w:autoSpaceDE w:val="0"/>
        <w:autoSpaceDN w:val="0"/>
        <w:adjustRightInd w:val="0"/>
        <w:spacing w:line="360" w:lineRule="auto"/>
        <w:jc w:val="left"/>
        <w:rPr>
          <w:rFonts w:hAnsi="宋体" w:cs="宋体"/>
          <w:b/>
          <w:sz w:val="24"/>
        </w:rPr>
      </w:pPr>
      <w:r>
        <w:rPr>
          <w:rFonts w:hint="eastAsia" w:hAnsi="宋体" w:cs="宋体"/>
          <w:b/>
          <w:sz w:val="24"/>
        </w:rPr>
        <w:t>6.1 评标委员会</w:t>
      </w:r>
    </w:p>
    <w:p>
      <w:pPr>
        <w:autoSpaceDE w:val="0"/>
        <w:autoSpaceDN w:val="0"/>
        <w:spacing w:line="360" w:lineRule="auto"/>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rPr>
          <w:rFonts w:hAnsi="宋体" w:cs="宋体"/>
          <w:b/>
          <w:sz w:val="24"/>
        </w:rPr>
      </w:pPr>
      <w:r>
        <w:rPr>
          <w:rFonts w:hint="eastAsia" w:hAnsi="宋体" w:cs="宋体"/>
          <w:b/>
          <w:sz w:val="24"/>
        </w:rPr>
        <w:t>6.2 评标原则</w:t>
      </w:r>
    </w:p>
    <w:p>
      <w:pPr>
        <w:autoSpaceDE w:val="0"/>
        <w:autoSpaceDN w:val="0"/>
        <w:spacing w:line="360" w:lineRule="auto"/>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rPr>
          <w:rFonts w:hAnsi="宋体" w:cs="宋体"/>
          <w:b/>
          <w:sz w:val="24"/>
        </w:rPr>
      </w:pPr>
      <w:r>
        <w:rPr>
          <w:rFonts w:hint="eastAsia" w:hAnsi="宋体" w:cs="宋体"/>
          <w:b/>
          <w:sz w:val="24"/>
        </w:rPr>
        <w:t>6.3 评标</w:t>
      </w:r>
    </w:p>
    <w:p>
      <w:pPr>
        <w:autoSpaceDE w:val="0"/>
        <w:autoSpaceDN w:val="0"/>
        <w:spacing w:line="360" w:lineRule="auto"/>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8"/>
        <w:spacing w:line="360" w:lineRule="auto"/>
        <w:jc w:val="both"/>
        <w:rPr>
          <w:rFonts w:hAnsi="宋体"/>
          <w:b/>
          <w:color w:val="auto"/>
        </w:rPr>
      </w:pPr>
      <w:r>
        <w:rPr>
          <w:rFonts w:hint="eastAsia" w:hAnsi="宋体"/>
          <w:b/>
          <w:color w:val="auto"/>
        </w:rPr>
        <w:t>7. 合同授予</w:t>
      </w:r>
    </w:p>
    <w:p>
      <w:pPr>
        <w:autoSpaceDE w:val="0"/>
        <w:autoSpaceDN w:val="0"/>
        <w:spacing w:line="360" w:lineRule="auto"/>
        <w:jc w:val="left"/>
        <w:rPr>
          <w:rFonts w:hAnsi="宋体" w:cs="宋体"/>
          <w:b/>
          <w:sz w:val="24"/>
        </w:rPr>
      </w:pPr>
      <w:r>
        <w:rPr>
          <w:rFonts w:hint="eastAsia" w:hAnsi="宋体" w:cs="宋体"/>
          <w:b/>
          <w:sz w:val="24"/>
        </w:rPr>
        <w:t>7.1 定标方式</w:t>
      </w:r>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rPr>
          <w:rFonts w:hAnsi="宋体" w:cs="宋体"/>
          <w:b/>
          <w:sz w:val="24"/>
        </w:rPr>
      </w:pPr>
      <w:r>
        <w:rPr>
          <w:rFonts w:hint="eastAsia" w:hAnsi="宋体" w:cs="宋体"/>
          <w:b/>
          <w:sz w:val="24"/>
        </w:rPr>
        <w:t>7.2 中标通知</w:t>
      </w:r>
    </w:p>
    <w:p>
      <w:pPr>
        <w:autoSpaceDE w:val="0"/>
        <w:autoSpaceDN w:val="0"/>
        <w:spacing w:line="360" w:lineRule="auto"/>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p>
    <w:p>
      <w:pPr>
        <w:autoSpaceDE w:val="0"/>
        <w:autoSpaceDN w:val="0"/>
        <w:spacing w:line="360" w:lineRule="auto"/>
        <w:ind w:firstLine="480" w:firstLineChars="200"/>
        <w:jc w:val="left"/>
        <w:rPr>
          <w:rFonts w:hAnsi="宋体" w:cs="宋体"/>
          <w:sz w:val="24"/>
        </w:rPr>
      </w:pPr>
      <w:r>
        <w:rPr>
          <w:rFonts w:hint="eastAsia" w:hAnsi="宋体" w:cs="宋体"/>
          <w:sz w:val="24"/>
        </w:rPr>
        <w:t>中标人提交纸质投标文件（加盖公章）一份并出示投标文件中涉及的证书、证件、业绩等原件核验后领取中标通知。</w:t>
      </w:r>
    </w:p>
    <w:p>
      <w:pPr>
        <w:autoSpaceDE w:val="0"/>
        <w:autoSpaceDN w:val="0"/>
        <w:spacing w:line="360" w:lineRule="auto"/>
        <w:jc w:val="left"/>
        <w:rPr>
          <w:rFonts w:hAnsi="宋体" w:cs="宋体"/>
          <w:b/>
          <w:sz w:val="24"/>
        </w:rPr>
      </w:pPr>
      <w:r>
        <w:rPr>
          <w:rFonts w:hint="eastAsia" w:hAnsi="宋体" w:cs="宋体"/>
          <w:b/>
          <w:sz w:val="24"/>
        </w:rPr>
        <w:t>7.3签订合同</w:t>
      </w:r>
    </w:p>
    <w:p>
      <w:pPr>
        <w:autoSpaceDE w:val="0"/>
        <w:autoSpaceDN w:val="0"/>
        <w:spacing w:line="360" w:lineRule="auto"/>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rPr>
          <w:rFonts w:hAnsi="宋体" w:cs="宋体"/>
          <w:b/>
          <w:sz w:val="24"/>
        </w:rPr>
      </w:pPr>
      <w:r>
        <w:rPr>
          <w:rFonts w:hint="eastAsia" w:hAnsi="宋体" w:cs="宋体"/>
          <w:b/>
          <w:sz w:val="24"/>
        </w:rPr>
        <w:t>8. 重新招标和不再招标</w:t>
      </w:r>
    </w:p>
    <w:p>
      <w:pPr>
        <w:autoSpaceDE w:val="0"/>
        <w:autoSpaceDN w:val="0"/>
        <w:adjustRightInd w:val="0"/>
        <w:spacing w:line="360" w:lineRule="auto"/>
        <w:jc w:val="left"/>
        <w:rPr>
          <w:rFonts w:hAnsi="宋体" w:cs="宋体"/>
          <w:b/>
          <w:sz w:val="24"/>
        </w:rPr>
      </w:pPr>
      <w:r>
        <w:rPr>
          <w:rFonts w:hint="eastAsia" w:hAnsi="宋体" w:cs="宋体"/>
          <w:b/>
          <w:sz w:val="24"/>
        </w:rPr>
        <w:t>8.1 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rPr>
          <w:rFonts w:hAnsi="宋体" w:cs="宋体"/>
          <w:b/>
          <w:sz w:val="24"/>
        </w:rPr>
      </w:pPr>
      <w:r>
        <w:rPr>
          <w:rFonts w:hint="eastAsia" w:hAnsi="宋体" w:cs="宋体"/>
          <w:b/>
          <w:sz w:val="24"/>
        </w:rPr>
        <w:t>8.2 不再招标</w:t>
      </w:r>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8"/>
        <w:spacing w:line="360" w:lineRule="auto"/>
        <w:jc w:val="both"/>
        <w:rPr>
          <w:rFonts w:hAnsi="宋体"/>
          <w:b/>
          <w:color w:val="auto"/>
        </w:rPr>
      </w:pPr>
      <w:r>
        <w:rPr>
          <w:rFonts w:hint="eastAsia" w:hAnsi="宋体"/>
          <w:b/>
          <w:color w:val="auto"/>
        </w:rPr>
        <w:t>9. 纪律和监督</w:t>
      </w:r>
    </w:p>
    <w:p>
      <w:pPr>
        <w:autoSpaceDE w:val="0"/>
        <w:autoSpaceDN w:val="0"/>
        <w:adjustRightInd w:val="0"/>
        <w:spacing w:line="360" w:lineRule="auto"/>
        <w:jc w:val="left"/>
        <w:rPr>
          <w:rFonts w:hAnsi="宋体" w:cs="宋体"/>
          <w:b/>
          <w:sz w:val="24"/>
        </w:rPr>
      </w:pPr>
      <w:r>
        <w:rPr>
          <w:rFonts w:hint="eastAsia" w:hAnsi="宋体" w:cs="宋体"/>
          <w:b/>
          <w:sz w:val="24"/>
        </w:rPr>
        <w:t>9.1 对招标人的纪律要求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rPr>
          <w:rFonts w:hAnsi="宋体" w:cs="宋体"/>
          <w:b/>
          <w:sz w:val="24"/>
        </w:rPr>
      </w:pPr>
      <w:r>
        <w:rPr>
          <w:rFonts w:hint="eastAsia" w:hAnsi="宋体" w:cs="宋体"/>
          <w:b/>
          <w:sz w:val="24"/>
        </w:rPr>
        <w:t>9.2 对投标人的纪律要求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rPr>
          <w:rFonts w:hAnsi="宋体" w:cs="宋体"/>
          <w:b/>
          <w:sz w:val="24"/>
        </w:rPr>
      </w:pPr>
      <w:r>
        <w:rPr>
          <w:rFonts w:hint="eastAsia" w:hAnsi="宋体" w:cs="宋体"/>
          <w:b/>
          <w:sz w:val="24"/>
        </w:rPr>
        <w:t>9.3 对评标委员会成员的纪律要求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rPr>
          <w:rFonts w:hAnsi="宋体" w:cs="宋体"/>
          <w:b/>
          <w:sz w:val="24"/>
        </w:rPr>
      </w:pPr>
      <w:r>
        <w:rPr>
          <w:rFonts w:hint="eastAsia" w:hAnsi="宋体" w:cs="宋体"/>
          <w:b/>
          <w:sz w:val="24"/>
        </w:rPr>
        <w:t>9.4 对与评标活动有关的工作人员的纪律要求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rPr>
          <w:rFonts w:hAnsi="宋体" w:cs="宋体"/>
          <w:b/>
          <w:sz w:val="24"/>
        </w:rPr>
      </w:pPr>
      <w:r>
        <w:rPr>
          <w:rFonts w:hint="eastAsia" w:hAnsi="宋体" w:cs="宋体"/>
          <w:b/>
          <w:sz w:val="24"/>
        </w:rPr>
        <w:t>9.5 投诉</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8"/>
        <w:spacing w:line="360" w:lineRule="auto"/>
        <w:jc w:val="both"/>
        <w:rPr>
          <w:rFonts w:hAnsi="宋体"/>
          <w:b/>
          <w:color w:val="auto"/>
        </w:rPr>
      </w:pPr>
      <w:r>
        <w:rPr>
          <w:rFonts w:hint="eastAsia" w:hAnsi="宋体"/>
          <w:b/>
          <w:color w:val="auto"/>
        </w:rPr>
        <w:t>10. 需要补充的其他内容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szCs w:val="24"/>
        </w:rPr>
      </w:pPr>
      <w:r>
        <w:rPr>
          <w:rFonts w:hint="eastAsia" w:hAnsi="宋体" w:cs="宋体"/>
          <w:sz w:val="24"/>
        </w:rPr>
        <w:br w:type="page"/>
      </w:r>
      <w:r>
        <w:rPr>
          <w:rFonts w:hint="eastAsia" w:hAnsi="宋体" w:cs="宋体"/>
          <w:sz w:val="24"/>
          <w:szCs w:val="24"/>
        </w:rPr>
        <w:t>附表一：</w:t>
      </w:r>
    </w:p>
    <w:p>
      <w:pPr>
        <w:spacing w:beforeLines="100" w:afterLines="100" w:line="400" w:lineRule="exact"/>
        <w:jc w:val="center"/>
        <w:rPr>
          <w:rFonts w:hAnsi="宋体" w:cs="宋体"/>
          <w:sz w:val="24"/>
          <w:szCs w:val="24"/>
        </w:rPr>
      </w:pPr>
      <w:r>
        <w:rPr>
          <w:rFonts w:hint="eastAsia" w:hAnsi="宋体" w:cs="宋体"/>
          <w:sz w:val="24"/>
          <w:szCs w:val="24"/>
        </w:rPr>
        <w:t>问题澄清通知</w:t>
      </w:r>
    </w:p>
    <w:p>
      <w:pPr>
        <w:spacing w:line="400" w:lineRule="exact"/>
        <w:ind w:firstLine="6120" w:firstLineChars="2550"/>
        <w:rPr>
          <w:rFonts w:hAnsi="宋体" w:cs="宋体"/>
          <w:sz w:val="24"/>
          <w:szCs w:val="24"/>
          <w:u w:val="single"/>
        </w:rPr>
      </w:pPr>
      <w:r>
        <w:rPr>
          <w:rFonts w:hint="eastAsia" w:hAnsi="宋体" w:cs="宋体"/>
          <w:sz w:val="24"/>
          <w:szCs w:val="24"/>
        </w:rPr>
        <w:t>编号：</w:t>
      </w:r>
    </w:p>
    <w:p>
      <w:pPr>
        <w:spacing w:line="480" w:lineRule="exact"/>
        <w:ind w:firstLine="480" w:firstLineChars="200"/>
        <w:rPr>
          <w:rFonts w:hAnsi="宋体" w:cs="宋体"/>
          <w:sz w:val="24"/>
          <w:szCs w:val="24"/>
        </w:rPr>
      </w:pPr>
      <w:r>
        <w:rPr>
          <w:rFonts w:hint="eastAsia" w:hAnsi="宋体" w:cs="宋体"/>
          <w:sz w:val="24"/>
          <w:szCs w:val="24"/>
        </w:rPr>
        <w:t>（投标人名称）：</w:t>
      </w:r>
    </w:p>
    <w:p>
      <w:pPr>
        <w:spacing w:line="480" w:lineRule="exact"/>
        <w:ind w:firstLine="480" w:firstLineChars="200"/>
        <w:rPr>
          <w:rFonts w:hAnsi="宋体" w:cs="宋体"/>
          <w:sz w:val="24"/>
          <w:szCs w:val="24"/>
        </w:rPr>
      </w:pPr>
      <w:r>
        <w:rPr>
          <w:rFonts w:hint="eastAsia" w:hAnsi="宋体" w:cs="宋体"/>
          <w:sz w:val="24"/>
          <w:szCs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szCs w:val="24"/>
        </w:rPr>
      </w:pPr>
    </w:p>
    <w:p>
      <w:pPr>
        <w:spacing w:line="480" w:lineRule="exact"/>
        <w:ind w:firstLine="480" w:firstLineChars="200"/>
        <w:rPr>
          <w:rFonts w:hAnsi="宋体" w:cs="宋体"/>
          <w:sz w:val="24"/>
          <w:szCs w:val="24"/>
        </w:rPr>
      </w:pPr>
      <w:r>
        <w:rPr>
          <w:rFonts w:hint="eastAsia" w:hAnsi="宋体" w:cs="宋体"/>
          <w:sz w:val="24"/>
          <w:szCs w:val="24"/>
        </w:rPr>
        <w:t>1.</w:t>
      </w:r>
    </w:p>
    <w:p>
      <w:pPr>
        <w:spacing w:line="480" w:lineRule="exact"/>
        <w:ind w:firstLine="480" w:firstLineChars="200"/>
        <w:rPr>
          <w:rFonts w:hAnsi="宋体" w:cs="宋体"/>
          <w:sz w:val="24"/>
          <w:szCs w:val="24"/>
        </w:rPr>
      </w:pPr>
      <w:r>
        <w:rPr>
          <w:rFonts w:hint="eastAsia" w:hAnsi="宋体" w:cs="宋体"/>
          <w:sz w:val="24"/>
          <w:szCs w:val="24"/>
        </w:rPr>
        <w:t>2.</w:t>
      </w:r>
    </w:p>
    <w:p>
      <w:pPr>
        <w:spacing w:line="480" w:lineRule="exact"/>
        <w:ind w:firstLine="480" w:firstLineChars="200"/>
        <w:rPr>
          <w:rFonts w:hAnsi="宋体" w:cs="宋体"/>
          <w:sz w:val="24"/>
          <w:szCs w:val="24"/>
        </w:rPr>
      </w:pPr>
    </w:p>
    <w:p>
      <w:pPr>
        <w:spacing w:line="480" w:lineRule="exact"/>
        <w:ind w:firstLine="480" w:firstLineChars="200"/>
        <w:rPr>
          <w:rFonts w:hAnsi="宋体" w:cs="宋体"/>
          <w:sz w:val="24"/>
          <w:szCs w:val="24"/>
        </w:rPr>
      </w:pPr>
      <w:r>
        <w:rPr>
          <w:rFonts w:hint="eastAsia" w:hAnsi="宋体" w:cs="宋体"/>
          <w:sz w:val="24"/>
          <w:szCs w:val="24"/>
        </w:rPr>
        <w:t>……</w:t>
      </w:r>
    </w:p>
    <w:p>
      <w:pPr>
        <w:spacing w:line="480" w:lineRule="exact"/>
        <w:ind w:firstLine="480" w:firstLineChars="200"/>
        <w:rPr>
          <w:rFonts w:hAnsi="宋体" w:cs="宋体"/>
          <w:sz w:val="24"/>
          <w:szCs w:val="24"/>
        </w:rPr>
      </w:pPr>
    </w:p>
    <w:p>
      <w:pPr>
        <w:spacing w:line="480" w:lineRule="exact"/>
        <w:ind w:firstLine="480" w:firstLineChars="200"/>
        <w:rPr>
          <w:rFonts w:hAnsi="宋体" w:cs="宋体"/>
          <w:sz w:val="24"/>
          <w:szCs w:val="24"/>
        </w:rPr>
      </w:pPr>
      <w:r>
        <w:rPr>
          <w:rFonts w:hint="eastAsia" w:hAnsi="宋体" w:cs="宋体"/>
          <w:sz w:val="24"/>
          <w:szCs w:val="24"/>
        </w:rPr>
        <w:t>请将上述问题的澄清、说明或者补正于年月日时前密封递交至 （详细地址）。</w:t>
      </w:r>
    </w:p>
    <w:p>
      <w:pPr>
        <w:spacing w:line="480" w:lineRule="exact"/>
        <w:rPr>
          <w:rFonts w:hAnsi="宋体" w:cs="宋体"/>
          <w:sz w:val="24"/>
          <w:szCs w:val="24"/>
        </w:rPr>
      </w:pPr>
    </w:p>
    <w:p>
      <w:pPr>
        <w:spacing w:line="480" w:lineRule="exact"/>
        <w:rPr>
          <w:rFonts w:hAnsi="宋体" w:cs="宋体"/>
          <w:sz w:val="24"/>
          <w:szCs w:val="24"/>
        </w:rPr>
      </w:pPr>
      <w:r>
        <w:rPr>
          <w:rFonts w:hint="eastAsia" w:hAnsi="宋体" w:cs="宋体"/>
          <w:sz w:val="24"/>
          <w:szCs w:val="24"/>
        </w:rPr>
        <w:t>附件：质疑问卷</w:t>
      </w:r>
    </w:p>
    <w:p>
      <w:pPr>
        <w:spacing w:line="480" w:lineRule="exact"/>
        <w:ind w:firstLine="4080" w:firstLineChars="1700"/>
        <w:rPr>
          <w:rFonts w:hAnsi="宋体" w:cs="宋体"/>
          <w:sz w:val="24"/>
          <w:szCs w:val="24"/>
          <w:u w:val="single"/>
        </w:rPr>
      </w:pPr>
    </w:p>
    <w:p>
      <w:pPr>
        <w:spacing w:line="480" w:lineRule="exact"/>
        <w:ind w:firstLine="4080" w:firstLineChars="1700"/>
        <w:rPr>
          <w:rFonts w:hAnsi="宋体" w:cs="宋体"/>
          <w:sz w:val="24"/>
          <w:szCs w:val="24"/>
          <w:u w:val="single"/>
        </w:rPr>
      </w:pPr>
    </w:p>
    <w:p>
      <w:pPr>
        <w:spacing w:line="480" w:lineRule="exact"/>
        <w:ind w:firstLine="4080" w:firstLineChars="1700"/>
        <w:rPr>
          <w:rFonts w:hAnsi="宋体" w:cs="宋体"/>
          <w:sz w:val="24"/>
          <w:szCs w:val="24"/>
          <w:u w:val="single"/>
        </w:rPr>
      </w:pPr>
    </w:p>
    <w:p>
      <w:pPr>
        <w:spacing w:line="480" w:lineRule="exact"/>
        <w:ind w:firstLine="3259" w:firstLineChars="1358"/>
        <w:rPr>
          <w:rFonts w:hAnsi="宋体"/>
          <w:color w:val="000000"/>
          <w:sz w:val="24"/>
          <w:szCs w:val="24"/>
        </w:rPr>
      </w:pPr>
      <w:r>
        <w:rPr>
          <w:rFonts w:hint="eastAsia" w:hAnsi="宋体"/>
          <w:color w:val="000000"/>
          <w:sz w:val="24"/>
          <w:szCs w:val="24"/>
        </w:rPr>
        <w:t xml:space="preserve"> （项目名称）</w:t>
      </w:r>
      <w:r>
        <w:rPr>
          <w:rFonts w:hint="eastAsia" w:hAnsi="宋体" w:cs="宋体"/>
          <w:color w:val="000000"/>
          <w:sz w:val="24"/>
          <w:szCs w:val="24"/>
        </w:rPr>
        <w:t>招标评标委员会</w:t>
      </w:r>
    </w:p>
    <w:p>
      <w:pPr>
        <w:spacing w:line="480" w:lineRule="exact"/>
        <w:ind w:firstLine="1699" w:firstLineChars="708"/>
        <w:rPr>
          <w:rFonts w:hAnsi="宋体"/>
          <w:color w:val="000000"/>
          <w:sz w:val="24"/>
          <w:szCs w:val="24"/>
        </w:rPr>
      </w:pPr>
      <w:r>
        <w:rPr>
          <w:rFonts w:hint="eastAsia" w:hAnsi="宋体"/>
          <w:color w:val="000000"/>
          <w:sz w:val="24"/>
          <w:szCs w:val="24"/>
        </w:rPr>
        <w:t>（经评标委员会授权的招标人代表签字或招标人加盖单位章）</w:t>
      </w:r>
    </w:p>
    <w:p>
      <w:pPr>
        <w:spacing w:line="480" w:lineRule="exact"/>
        <w:ind w:firstLine="4108" w:firstLineChars="1712"/>
        <w:rPr>
          <w:rFonts w:hAnsi="宋体" w:cs="宋体"/>
          <w:sz w:val="24"/>
          <w:szCs w:val="24"/>
        </w:rPr>
      </w:pPr>
      <w:r>
        <w:rPr>
          <w:rFonts w:hint="eastAsia" w:hAnsi="宋体"/>
          <w:color w:val="000000"/>
          <w:sz w:val="24"/>
          <w:szCs w:val="24"/>
        </w:rPr>
        <w:t>年月日</w:t>
      </w:r>
    </w:p>
    <w:p>
      <w:pPr>
        <w:spacing w:beforeLines="100" w:afterLines="100"/>
        <w:rPr>
          <w:rFonts w:hAnsi="宋体" w:cs="宋体"/>
          <w:sz w:val="24"/>
        </w:rPr>
      </w:pPr>
    </w:p>
    <w:p>
      <w:pPr>
        <w:pStyle w:val="2"/>
        <w:ind w:firstLine="240"/>
        <w:rPr>
          <w:rFonts w:hAnsi="宋体" w:cs="宋体"/>
          <w:sz w:val="24"/>
        </w:rPr>
      </w:pPr>
    </w:p>
    <w:p>
      <w:pPr>
        <w:pStyle w:val="4"/>
        <w:ind w:left="420" w:firstLine="480"/>
        <w:rPr>
          <w:rFonts w:hint="default" w:hAnsi="宋体" w:cs="宋体"/>
          <w:sz w:val="24"/>
          <w:lang w:eastAsia="zh-CN"/>
        </w:rPr>
      </w:pPr>
    </w:p>
    <w:p>
      <w:pPr>
        <w:pStyle w:val="4"/>
        <w:ind w:left="420" w:firstLine="480"/>
        <w:rPr>
          <w:rFonts w:hint="default" w:hAnsi="宋体" w:cs="宋体"/>
          <w:sz w:val="24"/>
          <w:lang w:eastAsia="zh-CN"/>
        </w:rPr>
      </w:pPr>
    </w:p>
    <w:p>
      <w:pPr>
        <w:spacing w:line="400" w:lineRule="exact"/>
        <w:ind w:firstLine="480" w:firstLineChars="200"/>
        <w:rPr>
          <w:rFonts w:hAnsi="宋体" w:cs="宋体"/>
          <w:sz w:val="24"/>
          <w:szCs w:val="24"/>
        </w:rPr>
      </w:pPr>
      <w:r>
        <w:rPr>
          <w:rFonts w:hint="eastAsia" w:hAnsi="宋体" w:cs="宋体"/>
          <w:sz w:val="24"/>
          <w:szCs w:val="24"/>
        </w:rPr>
        <w:t>附表二：问题的澄清</w:t>
      </w:r>
    </w:p>
    <w:p>
      <w:pPr>
        <w:spacing w:beforeLines="100" w:afterLines="100" w:line="480" w:lineRule="exact"/>
        <w:jc w:val="center"/>
        <w:rPr>
          <w:rFonts w:hAnsi="宋体" w:cs="宋体"/>
          <w:sz w:val="24"/>
          <w:szCs w:val="24"/>
        </w:rPr>
      </w:pPr>
      <w:r>
        <w:rPr>
          <w:rFonts w:hint="eastAsia" w:hAnsi="宋体" w:cs="宋体"/>
          <w:sz w:val="24"/>
          <w:szCs w:val="24"/>
        </w:rPr>
        <w:t>问题的澄清、说明或补正</w:t>
      </w:r>
    </w:p>
    <w:p>
      <w:pPr>
        <w:spacing w:line="400" w:lineRule="exact"/>
        <w:ind w:firstLine="6120" w:firstLineChars="2550"/>
        <w:rPr>
          <w:rFonts w:hAnsi="宋体" w:cs="宋体"/>
          <w:sz w:val="24"/>
          <w:szCs w:val="24"/>
          <w:u w:val="single"/>
        </w:rPr>
      </w:pPr>
      <w:r>
        <w:rPr>
          <w:rFonts w:hint="eastAsia" w:hAnsi="宋体" w:cs="宋体"/>
          <w:sz w:val="24"/>
          <w:szCs w:val="24"/>
        </w:rPr>
        <w:t>编号：</w:t>
      </w:r>
    </w:p>
    <w:p>
      <w:pPr>
        <w:spacing w:line="480" w:lineRule="exact"/>
        <w:rPr>
          <w:rFonts w:hAnsi="宋体" w:cs="宋体"/>
          <w:sz w:val="24"/>
          <w:szCs w:val="24"/>
        </w:rPr>
      </w:pPr>
      <w:r>
        <w:rPr>
          <w:rFonts w:hint="eastAsia" w:hAnsi="宋体" w:cs="宋体"/>
          <w:sz w:val="24"/>
          <w:szCs w:val="24"/>
        </w:rPr>
        <w:t>（项目名称）招标评标委员会：</w:t>
      </w:r>
    </w:p>
    <w:p>
      <w:pPr>
        <w:spacing w:line="480" w:lineRule="exact"/>
        <w:ind w:firstLine="480" w:firstLineChars="200"/>
        <w:rPr>
          <w:rFonts w:hAnsi="宋体" w:cs="宋体"/>
          <w:sz w:val="24"/>
          <w:szCs w:val="24"/>
        </w:rPr>
      </w:pPr>
      <w:r>
        <w:rPr>
          <w:rFonts w:hint="eastAsia" w:hAnsi="宋体" w:cs="宋体"/>
          <w:sz w:val="24"/>
          <w:szCs w:val="24"/>
        </w:rPr>
        <w:t>问题澄清通知（编号：）已收悉，现澄清、说明或者补正如下：</w:t>
      </w:r>
    </w:p>
    <w:p>
      <w:pPr>
        <w:spacing w:line="480" w:lineRule="exact"/>
        <w:ind w:firstLine="480" w:firstLineChars="200"/>
        <w:rPr>
          <w:rFonts w:hAnsi="宋体" w:cs="宋体"/>
          <w:sz w:val="24"/>
          <w:szCs w:val="24"/>
        </w:rPr>
      </w:pPr>
      <w:r>
        <w:rPr>
          <w:rFonts w:hint="eastAsia" w:hAnsi="宋体" w:cs="宋体"/>
          <w:sz w:val="24"/>
          <w:szCs w:val="24"/>
        </w:rPr>
        <w:t>1.</w:t>
      </w:r>
    </w:p>
    <w:p>
      <w:pPr>
        <w:spacing w:line="480" w:lineRule="exact"/>
        <w:ind w:firstLine="480" w:firstLineChars="200"/>
        <w:rPr>
          <w:rFonts w:hAnsi="宋体" w:cs="宋体"/>
          <w:sz w:val="24"/>
          <w:szCs w:val="24"/>
        </w:rPr>
      </w:pPr>
      <w:r>
        <w:rPr>
          <w:rFonts w:hint="eastAsia" w:hAnsi="宋体" w:cs="宋体"/>
          <w:sz w:val="24"/>
          <w:szCs w:val="24"/>
        </w:rPr>
        <w:t>2.</w:t>
      </w:r>
    </w:p>
    <w:p>
      <w:pPr>
        <w:spacing w:line="480" w:lineRule="exact"/>
        <w:ind w:firstLine="480" w:firstLineChars="200"/>
        <w:rPr>
          <w:rFonts w:hAnsi="宋体" w:cs="宋体"/>
          <w:sz w:val="24"/>
          <w:szCs w:val="24"/>
        </w:rPr>
      </w:pPr>
    </w:p>
    <w:p>
      <w:pPr>
        <w:spacing w:line="480" w:lineRule="exact"/>
        <w:ind w:firstLine="480" w:firstLineChars="200"/>
        <w:rPr>
          <w:rFonts w:hAnsi="宋体" w:cs="宋体"/>
          <w:sz w:val="24"/>
          <w:szCs w:val="24"/>
        </w:rPr>
      </w:pPr>
      <w:r>
        <w:rPr>
          <w:rFonts w:hint="eastAsia" w:hAnsi="宋体" w:cs="宋体"/>
          <w:sz w:val="24"/>
          <w:szCs w:val="24"/>
        </w:rPr>
        <w:t>……</w:t>
      </w:r>
    </w:p>
    <w:p>
      <w:pPr>
        <w:spacing w:line="480" w:lineRule="exact"/>
        <w:ind w:firstLine="480" w:firstLineChars="200"/>
        <w:rPr>
          <w:rFonts w:hAnsi="宋体" w:cs="宋体"/>
          <w:sz w:val="24"/>
          <w:szCs w:val="24"/>
        </w:rPr>
      </w:pPr>
    </w:p>
    <w:p>
      <w:pPr>
        <w:spacing w:line="480" w:lineRule="exact"/>
        <w:ind w:firstLine="480" w:firstLineChars="200"/>
        <w:rPr>
          <w:rFonts w:hAnsi="宋体" w:cs="宋体"/>
          <w:sz w:val="24"/>
          <w:szCs w:val="24"/>
        </w:rPr>
      </w:pPr>
    </w:p>
    <w:p>
      <w:pPr>
        <w:spacing w:line="480" w:lineRule="exact"/>
        <w:ind w:firstLine="480" w:firstLineChars="200"/>
        <w:rPr>
          <w:rFonts w:hAnsi="宋体" w:cs="宋体"/>
          <w:sz w:val="24"/>
          <w:szCs w:val="24"/>
        </w:rPr>
      </w:pPr>
    </w:p>
    <w:p>
      <w:pPr>
        <w:spacing w:line="480" w:lineRule="exact"/>
        <w:ind w:firstLine="480" w:firstLineChars="200"/>
        <w:rPr>
          <w:rFonts w:hAnsi="宋体" w:cs="宋体"/>
          <w:sz w:val="24"/>
          <w:szCs w:val="24"/>
        </w:rPr>
      </w:pPr>
    </w:p>
    <w:p>
      <w:pPr>
        <w:spacing w:line="480" w:lineRule="exact"/>
        <w:ind w:firstLine="480" w:firstLineChars="200"/>
        <w:rPr>
          <w:rFonts w:hAnsi="宋体" w:cs="宋体"/>
          <w:sz w:val="24"/>
          <w:szCs w:val="24"/>
        </w:rPr>
      </w:pPr>
    </w:p>
    <w:p>
      <w:pPr>
        <w:spacing w:line="480" w:lineRule="exact"/>
        <w:ind w:firstLine="480" w:firstLineChars="200"/>
        <w:rPr>
          <w:rFonts w:hAnsi="宋体" w:cs="宋体"/>
          <w:sz w:val="24"/>
          <w:szCs w:val="24"/>
        </w:rPr>
      </w:pPr>
    </w:p>
    <w:p>
      <w:pPr>
        <w:spacing w:line="480" w:lineRule="exact"/>
        <w:ind w:firstLine="480" w:firstLineChars="200"/>
        <w:jc w:val="right"/>
        <w:rPr>
          <w:rFonts w:hAnsi="宋体" w:cs="宋体"/>
          <w:sz w:val="24"/>
          <w:szCs w:val="24"/>
        </w:rPr>
      </w:pPr>
      <w:r>
        <w:rPr>
          <w:rFonts w:hint="eastAsia" w:hAnsi="宋体" w:cs="宋体"/>
          <w:sz w:val="24"/>
          <w:szCs w:val="24"/>
        </w:rPr>
        <w:t xml:space="preserve">投标人：（盖单位章） </w:t>
      </w:r>
    </w:p>
    <w:p>
      <w:pPr>
        <w:spacing w:beforeLines="50" w:afterLines="50" w:line="480" w:lineRule="exact"/>
        <w:ind w:right="210" w:firstLine="5520" w:firstLineChars="2300"/>
        <w:rPr>
          <w:rFonts w:hAnsi="宋体" w:cs="宋体"/>
          <w:sz w:val="24"/>
          <w:szCs w:val="24"/>
        </w:rPr>
      </w:pPr>
      <w:r>
        <w:rPr>
          <w:rFonts w:hint="eastAsia" w:hAnsi="宋体" w:cs="宋体"/>
          <w:sz w:val="24"/>
          <w:szCs w:val="24"/>
        </w:rPr>
        <w:t xml:space="preserve">法定代表人或其委托代理人：（签字） </w:t>
      </w:r>
    </w:p>
    <w:p>
      <w:pPr>
        <w:spacing w:line="480" w:lineRule="exact"/>
        <w:ind w:firstLine="8160" w:firstLineChars="3400"/>
        <w:rPr>
          <w:rFonts w:hAnsi="宋体" w:cs="宋体"/>
          <w:sz w:val="24"/>
          <w:szCs w:val="24"/>
        </w:rPr>
      </w:pPr>
      <w:r>
        <w:rPr>
          <w:rFonts w:hint="eastAsia" w:hAnsi="宋体" w:cs="宋体"/>
          <w:sz w:val="24"/>
          <w:szCs w:val="24"/>
        </w:rPr>
        <w:t>年月日</w:t>
      </w: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pStyle w:val="2"/>
        <w:ind w:firstLine="340"/>
      </w:pPr>
    </w:p>
    <w:p>
      <w:pPr>
        <w:spacing w:line="400" w:lineRule="exact"/>
        <w:rPr>
          <w:rFonts w:hAnsi="宋体" w:cs="宋体"/>
          <w:sz w:val="24"/>
          <w:u w:val="single"/>
        </w:rPr>
      </w:pPr>
    </w:p>
    <w:p>
      <w:pPr>
        <w:spacing w:line="400" w:lineRule="exact"/>
        <w:rPr>
          <w:rFonts w:hAnsi="宋体" w:cs="宋体"/>
          <w:sz w:val="24"/>
          <w:u w:val="single"/>
        </w:rPr>
      </w:pPr>
    </w:p>
    <w:p>
      <w:pPr>
        <w:tabs>
          <w:tab w:val="left" w:pos="4140"/>
          <w:tab w:val="left" w:pos="4260"/>
        </w:tabs>
        <w:spacing w:line="360" w:lineRule="auto"/>
        <w:ind w:right="-357" w:rightChars="-170"/>
        <w:jc w:val="center"/>
        <w:outlineLvl w:val="0"/>
        <w:rPr>
          <w:rFonts w:hAnsi="宋体" w:cs="宋体"/>
          <w:b/>
          <w:sz w:val="36"/>
          <w:szCs w:val="36"/>
        </w:rPr>
      </w:pPr>
      <w:bookmarkStart w:id="21" w:name="_Toc530831331"/>
      <w:r>
        <w:rPr>
          <w:rFonts w:hint="eastAsia" w:hAnsi="宋体" w:cs="宋体"/>
          <w:b/>
          <w:sz w:val="36"/>
          <w:szCs w:val="36"/>
        </w:rPr>
        <w:t>第三章 评标办法（综合评标法）</w:t>
      </w:r>
      <w:bookmarkEnd w:id="21"/>
    </w:p>
    <w:p>
      <w:pPr>
        <w:adjustRightInd w:val="0"/>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5</w:t>
      </w:r>
      <w:r>
        <w:rPr>
          <w:rFonts w:hint="eastAsia" w:hAnsi="宋体" w:cs="宋体"/>
          <w:sz w:val="24"/>
        </w:rPr>
        <w:t>人组成，其中评标委员会的组成人员中工程造价专家不少于五分之二。与投标人有利害关系的专家不得进入评标委员会。</w:t>
      </w:r>
    </w:p>
    <w:p>
      <w:pPr>
        <w:adjustRightInd w:val="0"/>
        <w:snapToGrid w:val="0"/>
        <w:spacing w:line="360" w:lineRule="auto"/>
        <w:rPr>
          <w:rFonts w:hAnsi="宋体" w:cs="宋体"/>
          <w:sz w:val="24"/>
        </w:rPr>
      </w:pPr>
      <w:r>
        <w:rPr>
          <w:rFonts w:hint="eastAsia" w:hAnsi="宋体" w:cs="宋体"/>
          <w:sz w:val="24"/>
        </w:rPr>
        <w:t xml:space="preserve">     三、</w:t>
      </w:r>
      <w:r>
        <w:rPr>
          <w:rFonts w:hint="eastAsia" w:hAnsi="宋体"/>
          <w:sz w:val="24"/>
        </w:rPr>
        <w:t>评标采用综合评标法，是指评标委员会根据招标文件要求，应从技术标、商务标、综合标三部分进行综合评审</w:t>
      </w:r>
      <w:r>
        <w:rPr>
          <w:rFonts w:hint="eastAsia" w:hAnsi="宋体" w:cs="宋体"/>
          <w:sz w:val="24"/>
        </w:rPr>
        <w:t>。</w:t>
      </w:r>
    </w:p>
    <w:p>
      <w:pPr>
        <w:adjustRightInd w:val="0"/>
        <w:snapToGrid w:val="0"/>
        <w:spacing w:line="360" w:lineRule="auto"/>
        <w:rPr>
          <w:rFonts w:hAnsi="宋体" w:cs="宋体"/>
          <w:sz w:val="24"/>
        </w:rPr>
      </w:pPr>
      <w:r>
        <w:rPr>
          <w:rFonts w:hint="eastAsia" w:hAnsi="宋体" w:cs="宋体"/>
          <w:sz w:val="24"/>
        </w:rPr>
        <w:t xml:space="preserve">     四、评标程序为：</w:t>
      </w:r>
    </w:p>
    <w:p>
      <w:pPr>
        <w:adjustRightInd w:val="0"/>
        <w:snapToGrid w:val="0"/>
        <w:spacing w:line="360" w:lineRule="auto"/>
        <w:ind w:firstLine="480" w:firstLineChars="200"/>
        <w:rPr>
          <w:rFonts w:hAnsi="宋体" w:cs="宋体"/>
          <w:sz w:val="24"/>
        </w:rPr>
      </w:pPr>
      <w:r>
        <w:rPr>
          <w:rFonts w:hint="eastAsia" w:hAnsi="宋体" w:cs="宋体"/>
          <w:sz w:val="24"/>
        </w:rPr>
        <w:t>（一）初步评审；</w:t>
      </w:r>
    </w:p>
    <w:p>
      <w:pPr>
        <w:adjustRightInd w:val="0"/>
        <w:snapToGrid w:val="0"/>
        <w:spacing w:line="360" w:lineRule="auto"/>
        <w:ind w:firstLine="480" w:firstLineChars="200"/>
        <w:rPr>
          <w:rFonts w:hAnsi="宋体" w:cs="宋体"/>
          <w:sz w:val="24"/>
        </w:rPr>
      </w:pPr>
      <w:r>
        <w:rPr>
          <w:rFonts w:hint="eastAsia" w:hAnsi="宋体" w:cs="宋体"/>
          <w:sz w:val="24"/>
        </w:rPr>
        <w:t>（二）详细评审；</w:t>
      </w:r>
    </w:p>
    <w:p>
      <w:pPr>
        <w:adjustRightInd w:val="0"/>
        <w:snapToGrid w:val="0"/>
        <w:spacing w:line="360" w:lineRule="auto"/>
        <w:ind w:firstLine="480" w:firstLineChars="200"/>
        <w:rPr>
          <w:rFonts w:hAnsi="宋体" w:cs="宋体"/>
          <w:sz w:val="24"/>
        </w:rPr>
      </w:pPr>
      <w:r>
        <w:rPr>
          <w:rFonts w:hint="eastAsia" w:hAnsi="宋体" w:cs="宋体"/>
          <w:sz w:val="24"/>
        </w:rPr>
        <w:t>（三）问题的澄清、说明或补正；</w:t>
      </w:r>
    </w:p>
    <w:p>
      <w:pPr>
        <w:adjustRightInd w:val="0"/>
        <w:snapToGrid w:val="0"/>
        <w:spacing w:line="360" w:lineRule="auto"/>
        <w:ind w:firstLine="480" w:firstLineChars="200"/>
        <w:rPr>
          <w:rFonts w:hAnsi="宋体" w:cs="宋体"/>
          <w:sz w:val="24"/>
        </w:rPr>
      </w:pPr>
      <w:r>
        <w:rPr>
          <w:rFonts w:hint="eastAsia" w:hAnsi="宋体" w:cs="宋体"/>
          <w:sz w:val="24"/>
        </w:rPr>
        <w:t>（四）推荐中标候选人；</w:t>
      </w:r>
    </w:p>
    <w:p>
      <w:pPr>
        <w:adjustRightInd w:val="0"/>
        <w:snapToGrid w:val="0"/>
        <w:spacing w:line="360" w:lineRule="auto"/>
        <w:ind w:firstLine="480" w:firstLineChars="200"/>
        <w:rPr>
          <w:rFonts w:hAnsi="宋体" w:cs="宋体"/>
          <w:sz w:val="24"/>
        </w:rPr>
      </w:pPr>
      <w:r>
        <w:rPr>
          <w:rFonts w:hint="eastAsia" w:hAnsi="宋体" w:cs="宋体"/>
          <w:sz w:val="24"/>
        </w:rPr>
        <w:t>（五）评标现场宣布中标候选人确定结果并在指定媒体上进行公示。</w:t>
      </w:r>
    </w:p>
    <w:p>
      <w:pPr>
        <w:adjustRightInd w:val="0"/>
        <w:snapToGrid w:val="0"/>
        <w:spacing w:line="360" w:lineRule="auto"/>
        <w:ind w:firstLine="480" w:firstLineChars="200"/>
        <w:rPr>
          <w:rFonts w:hAnsi="宋体" w:cs="宋体"/>
          <w:b/>
          <w:sz w:val="24"/>
        </w:rPr>
      </w:pPr>
      <w:r>
        <w:rPr>
          <w:rFonts w:hint="eastAsia" w:hAnsi="宋体" w:cs="宋体"/>
          <w:b/>
          <w:sz w:val="24"/>
        </w:rPr>
        <w:t>五、初步评审</w:t>
      </w:r>
    </w:p>
    <w:p>
      <w:pPr>
        <w:snapToGrid w:val="0"/>
        <w:spacing w:line="360" w:lineRule="auto"/>
        <w:ind w:firstLine="480" w:firstLineChars="200"/>
        <w:rPr>
          <w:rFonts w:hAnsi="宋体"/>
          <w:sz w:val="24"/>
        </w:rPr>
      </w:pPr>
      <w:r>
        <w:rPr>
          <w:rFonts w:hint="eastAsia" w:hAnsi="宋体"/>
          <w:bCs/>
          <w:color w:val="000000"/>
          <w:sz w:val="24"/>
        </w:rPr>
        <w:t>评标委员会按招标文件及商务标清标内容（附件1）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r>
        <w:rPr>
          <w:rFonts w:hint="eastAsia" w:hAnsi="宋体"/>
          <w:sz w:val="24"/>
        </w:rPr>
        <w:t>初步评审主要包括以下内容：</w:t>
      </w:r>
    </w:p>
    <w:p>
      <w:pPr>
        <w:spacing w:line="360" w:lineRule="auto"/>
        <w:ind w:firstLine="480" w:firstLineChars="200"/>
        <w:rPr>
          <w:rFonts w:hAnsi="宋体"/>
          <w:sz w:val="24"/>
        </w:rPr>
      </w:pPr>
      <w:r>
        <w:rPr>
          <w:rFonts w:hint="eastAsia" w:hAnsi="宋体"/>
          <w:sz w:val="24"/>
        </w:rPr>
        <w:t>（一）是否按招标文件要求签字盖章（无需逐页签字盖章）；</w:t>
      </w:r>
    </w:p>
    <w:p>
      <w:pPr>
        <w:spacing w:line="360" w:lineRule="auto"/>
        <w:ind w:firstLine="480" w:firstLineChars="200"/>
        <w:rPr>
          <w:rFonts w:hAnsi="宋体"/>
          <w:sz w:val="24"/>
        </w:rPr>
      </w:pPr>
      <w:r>
        <w:rPr>
          <w:rFonts w:hint="eastAsia" w:hAnsi="宋体"/>
          <w:sz w:val="24"/>
        </w:rPr>
        <w:t>（二）投标联合体是否提交共同投标协议（允许联合体投标的）；</w:t>
      </w:r>
    </w:p>
    <w:p>
      <w:pPr>
        <w:spacing w:line="360" w:lineRule="auto"/>
        <w:ind w:firstLine="480" w:firstLineChars="200"/>
        <w:rPr>
          <w:rFonts w:hAnsi="宋体"/>
          <w:sz w:val="24"/>
        </w:rPr>
      </w:pPr>
      <w:r>
        <w:rPr>
          <w:rFonts w:hint="eastAsia" w:hAnsi="宋体"/>
          <w:sz w:val="24"/>
        </w:rPr>
        <w:t>（三）投标人是否符合国家或者招标文件规定的资格条件，注册建造师注册单位与投标人是否一致；</w:t>
      </w:r>
    </w:p>
    <w:p>
      <w:pPr>
        <w:spacing w:line="360" w:lineRule="auto"/>
        <w:ind w:firstLine="480" w:firstLineChars="200"/>
        <w:rPr>
          <w:rFonts w:hAnsi="宋体"/>
          <w:sz w:val="24"/>
        </w:rPr>
      </w:pPr>
      <w:r>
        <w:rPr>
          <w:rFonts w:hint="eastAsia" w:hAnsi="宋体"/>
          <w:sz w:val="24"/>
        </w:rPr>
        <w:t>（四）同一投标人是否提交两个以上不同的投标文件或者投标报价，但招标文件要求提交备选投标的除外；</w:t>
      </w:r>
    </w:p>
    <w:p>
      <w:pPr>
        <w:spacing w:line="360" w:lineRule="auto"/>
        <w:ind w:firstLine="480" w:firstLineChars="200"/>
        <w:rPr>
          <w:rFonts w:hAnsi="宋体"/>
          <w:sz w:val="24"/>
        </w:rPr>
      </w:pPr>
      <w:r>
        <w:rPr>
          <w:rFonts w:hint="eastAsia" w:hAnsi="宋体"/>
          <w:sz w:val="24"/>
        </w:rPr>
        <w:t>（五）投标报价是否高于招标文件设定的最高投标限价；</w:t>
      </w:r>
    </w:p>
    <w:p>
      <w:pPr>
        <w:spacing w:line="360" w:lineRule="auto"/>
        <w:ind w:firstLine="480" w:firstLineChars="200"/>
        <w:rPr>
          <w:rFonts w:hAnsi="宋体"/>
          <w:sz w:val="24"/>
        </w:rPr>
      </w:pPr>
      <w:r>
        <w:rPr>
          <w:rFonts w:hint="eastAsia" w:hAnsi="宋体"/>
          <w:sz w:val="24"/>
        </w:rPr>
        <w:t>（六）投标范围、工期、工程质量、投标有效期、付款方式是否符合招标文件规定；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hAnsi="宋体"/>
          <w:sz w:val="24"/>
        </w:rPr>
        <w:t>（七）投标人是否有串通投标、弄虚作假、行贿等违法行为</w:t>
      </w:r>
      <w:r>
        <w:rPr>
          <w:rFonts w:hint="eastAsia" w:hAnsi="宋体" w:cs="宋体"/>
          <w:sz w:val="24"/>
        </w:rPr>
        <w:t>。</w:t>
      </w:r>
    </w:p>
    <w:p>
      <w:pPr>
        <w:snapToGrid w:val="0"/>
        <w:spacing w:line="360" w:lineRule="auto"/>
        <w:ind w:firstLine="480" w:firstLineChars="200"/>
        <w:jc w:val="left"/>
        <w:rPr>
          <w:rFonts w:hAnsi="宋体"/>
          <w:b/>
          <w:sz w:val="24"/>
        </w:rPr>
      </w:pPr>
      <w:r>
        <w:rPr>
          <w:rFonts w:hint="eastAsia" w:hAnsi="宋体"/>
          <w:b/>
          <w:sz w:val="24"/>
        </w:rPr>
        <w:t>（八）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napToGrid w:val="0"/>
        <w:spacing w:line="360" w:lineRule="auto"/>
        <w:ind w:firstLine="480" w:firstLineChars="200"/>
        <w:rPr>
          <w:rFonts w:hAnsi="宋体"/>
          <w:bCs/>
          <w:color w:val="000000"/>
          <w:sz w:val="24"/>
        </w:rPr>
      </w:pPr>
      <w:r>
        <w:rPr>
          <w:rFonts w:hint="eastAsia" w:hAnsi="宋体"/>
          <w:bCs/>
          <w:color w:val="000000"/>
          <w:sz w:val="24"/>
        </w:rPr>
        <w:t>（九）评标委员会在评标过程中，发现投标文件中除不符合法律法规规定的情形外，还存在下列情况之一的，也可按否决投标处理：</w:t>
      </w:r>
    </w:p>
    <w:p>
      <w:pPr>
        <w:snapToGrid w:val="0"/>
        <w:spacing w:line="360" w:lineRule="auto"/>
        <w:ind w:firstLine="480" w:firstLineChars="200"/>
        <w:rPr>
          <w:rFonts w:hAnsi="宋体"/>
          <w:bCs/>
          <w:color w:val="000000"/>
          <w:sz w:val="24"/>
        </w:rPr>
      </w:pPr>
      <w:r>
        <w:rPr>
          <w:rFonts w:hint="eastAsia" w:hAnsi="宋体"/>
          <w:bCs/>
          <w:color w:val="000000"/>
          <w:sz w:val="24"/>
        </w:rPr>
        <w:t>1、未按招标文件规定编制各项报价的；</w:t>
      </w:r>
    </w:p>
    <w:p>
      <w:pPr>
        <w:snapToGrid w:val="0"/>
        <w:spacing w:line="360" w:lineRule="auto"/>
        <w:ind w:firstLine="480" w:firstLineChars="200"/>
        <w:rPr>
          <w:rFonts w:hAnsi="宋体"/>
          <w:bCs/>
          <w:color w:val="000000"/>
          <w:sz w:val="24"/>
        </w:rPr>
      </w:pPr>
      <w:r>
        <w:rPr>
          <w:rFonts w:hint="eastAsia" w:hAnsi="宋体"/>
          <w:bCs/>
          <w:color w:val="000000"/>
          <w:sz w:val="24"/>
        </w:rPr>
        <w:t>2、投标报价与其组成部分、工程量清单项目合价与综合单价、综合单价与人材机用量相互矛盾，致使评标委员会无法正常评审判定的；</w:t>
      </w:r>
    </w:p>
    <w:p>
      <w:pPr>
        <w:snapToGrid w:val="0"/>
        <w:spacing w:line="360" w:lineRule="auto"/>
        <w:ind w:firstLine="480" w:firstLineChars="200"/>
        <w:rPr>
          <w:rFonts w:hAnsi="宋体"/>
          <w:bCs/>
          <w:color w:val="000000"/>
          <w:sz w:val="24"/>
        </w:rPr>
      </w:pPr>
      <w:r>
        <w:rPr>
          <w:rFonts w:hint="eastAsia" w:hAnsi="宋体"/>
          <w:bCs/>
          <w:color w:val="000000"/>
          <w:sz w:val="24"/>
        </w:rPr>
        <w:t>3、规费和安全文明施工费违反工程造价计价有关规定的；</w:t>
      </w:r>
    </w:p>
    <w:p>
      <w:pPr>
        <w:snapToGrid w:val="0"/>
        <w:spacing w:line="360" w:lineRule="auto"/>
        <w:ind w:firstLine="480" w:firstLineChars="200"/>
        <w:rPr>
          <w:rFonts w:hAnsi="宋体"/>
          <w:bCs/>
          <w:color w:val="000000"/>
          <w:sz w:val="24"/>
        </w:rPr>
      </w:pPr>
      <w:r>
        <w:rPr>
          <w:rFonts w:hint="eastAsia" w:hAnsi="宋体"/>
          <w:bCs/>
          <w:color w:val="000000"/>
          <w:sz w:val="24"/>
        </w:rPr>
        <w:t>4、分部分项工程项目、措施项目报价中的项目编码、项目名称、项目特征、计量单位和工程量与招标文件的清单不一致的；</w:t>
      </w:r>
    </w:p>
    <w:p>
      <w:pPr>
        <w:snapToGrid w:val="0"/>
        <w:spacing w:line="360" w:lineRule="auto"/>
        <w:ind w:firstLine="480" w:firstLineChars="200"/>
        <w:rPr>
          <w:rFonts w:hAnsi="宋体"/>
          <w:bCs/>
          <w:color w:val="000000"/>
          <w:sz w:val="24"/>
        </w:rPr>
      </w:pPr>
      <w:r>
        <w:rPr>
          <w:rFonts w:hint="eastAsia" w:hAnsi="宋体"/>
          <w:bCs/>
          <w:color w:val="000000"/>
          <w:sz w:val="24"/>
        </w:rPr>
        <w:t>5、未按照招标文件所列明的暂列金额、暂估价编制投标报价的；</w:t>
      </w:r>
    </w:p>
    <w:p>
      <w:pPr>
        <w:snapToGrid w:val="0"/>
        <w:spacing w:line="360" w:lineRule="auto"/>
        <w:ind w:firstLine="480" w:firstLineChars="200"/>
        <w:rPr>
          <w:rFonts w:hAnsi="宋体"/>
          <w:b/>
          <w:bCs/>
          <w:color w:val="000000"/>
          <w:sz w:val="24"/>
        </w:rPr>
      </w:pPr>
      <w:r>
        <w:rPr>
          <w:rFonts w:hint="eastAsia" w:hAnsi="宋体"/>
          <w:b/>
          <w:bCs/>
          <w:color w:val="000000"/>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napToGrid w:val="0"/>
        <w:spacing w:line="360" w:lineRule="auto"/>
        <w:ind w:firstLine="480" w:firstLineChars="200"/>
        <w:rPr>
          <w:rFonts w:hAnsi="宋体"/>
          <w:bCs/>
          <w:color w:val="000000"/>
          <w:sz w:val="24"/>
        </w:rPr>
      </w:pPr>
      <w:r>
        <w:rPr>
          <w:rFonts w:hint="eastAsia" w:hAnsi="宋体"/>
          <w:bCs/>
          <w:color w:val="000000"/>
          <w:sz w:val="24"/>
        </w:rPr>
        <w:t>（十）商务标清标内容：</w:t>
      </w:r>
    </w:p>
    <w:p>
      <w:pPr>
        <w:spacing w:line="546" w:lineRule="exact"/>
        <w:rPr>
          <w:rFonts w:hAnsi="宋体"/>
          <w:sz w:val="28"/>
          <w:szCs w:val="28"/>
        </w:rPr>
      </w:pPr>
    </w:p>
    <w:p>
      <w:pPr>
        <w:spacing w:line="546" w:lineRule="exact"/>
        <w:rPr>
          <w:rFonts w:hAnsi="宋体"/>
          <w:sz w:val="28"/>
          <w:szCs w:val="28"/>
        </w:rPr>
      </w:pPr>
    </w:p>
    <w:p>
      <w:pPr>
        <w:spacing w:line="546" w:lineRule="exact"/>
        <w:rPr>
          <w:rFonts w:hAnsi="宋体"/>
          <w:sz w:val="28"/>
          <w:szCs w:val="28"/>
        </w:rPr>
      </w:pPr>
    </w:p>
    <w:p>
      <w:pPr>
        <w:spacing w:line="546" w:lineRule="exact"/>
        <w:rPr>
          <w:rFonts w:hAnsi="宋体"/>
          <w:sz w:val="28"/>
          <w:szCs w:val="28"/>
        </w:rPr>
      </w:pPr>
    </w:p>
    <w:p>
      <w:pPr>
        <w:spacing w:line="546" w:lineRule="exact"/>
        <w:rPr>
          <w:rFonts w:hAnsi="宋体"/>
          <w:sz w:val="28"/>
          <w:szCs w:val="28"/>
        </w:rPr>
      </w:pPr>
    </w:p>
    <w:p>
      <w:pPr>
        <w:spacing w:line="546" w:lineRule="exact"/>
        <w:rPr>
          <w:rFonts w:hAnsi="宋体"/>
          <w:sz w:val="28"/>
          <w:szCs w:val="28"/>
        </w:rPr>
      </w:pPr>
    </w:p>
    <w:p>
      <w:pPr>
        <w:spacing w:line="546" w:lineRule="exact"/>
        <w:rPr>
          <w:rFonts w:hAnsi="宋体"/>
          <w:sz w:val="28"/>
          <w:szCs w:val="28"/>
        </w:rPr>
      </w:pPr>
    </w:p>
    <w:p>
      <w:pPr>
        <w:spacing w:line="546" w:lineRule="exact"/>
        <w:rPr>
          <w:rFonts w:hAnsi="宋体"/>
          <w:sz w:val="28"/>
          <w:szCs w:val="28"/>
        </w:rPr>
      </w:pPr>
    </w:p>
    <w:p>
      <w:pPr>
        <w:spacing w:line="546" w:lineRule="exact"/>
        <w:rPr>
          <w:rFonts w:hAnsi="宋体"/>
          <w:sz w:val="28"/>
          <w:szCs w:val="28"/>
        </w:rPr>
      </w:pPr>
    </w:p>
    <w:p>
      <w:pPr>
        <w:spacing w:line="546" w:lineRule="exact"/>
        <w:rPr>
          <w:rFonts w:hAnsi="宋体"/>
          <w:sz w:val="28"/>
          <w:szCs w:val="28"/>
        </w:rPr>
      </w:pPr>
    </w:p>
    <w:p>
      <w:pPr>
        <w:spacing w:line="546" w:lineRule="exact"/>
        <w:rPr>
          <w:rFonts w:hAnsi="宋体"/>
          <w:sz w:val="28"/>
          <w:szCs w:val="28"/>
        </w:rPr>
      </w:pPr>
    </w:p>
    <w:p>
      <w:pPr>
        <w:spacing w:line="546" w:lineRule="exact"/>
        <w:rPr>
          <w:rFonts w:hAnsi="宋体"/>
          <w:sz w:val="28"/>
          <w:szCs w:val="28"/>
        </w:rPr>
      </w:pPr>
    </w:p>
    <w:p>
      <w:pPr>
        <w:spacing w:line="546" w:lineRule="exact"/>
        <w:rPr>
          <w:rFonts w:hAnsi="宋体"/>
          <w:sz w:val="28"/>
          <w:szCs w:val="28"/>
        </w:rPr>
      </w:pPr>
    </w:p>
    <w:p>
      <w:pPr>
        <w:spacing w:line="546" w:lineRule="exact"/>
        <w:rPr>
          <w:rFonts w:hAnsi="宋体"/>
          <w:sz w:val="28"/>
          <w:szCs w:val="28"/>
        </w:rPr>
      </w:pPr>
      <w:r>
        <w:rPr>
          <w:rFonts w:hint="eastAsia" w:hAnsi="宋体"/>
          <w:sz w:val="28"/>
          <w:szCs w:val="28"/>
        </w:rPr>
        <w:t>附件</w:t>
      </w:r>
      <w:r>
        <w:rPr>
          <w:rFonts w:hAnsi="宋体"/>
          <w:sz w:val="28"/>
          <w:szCs w:val="28"/>
        </w:rPr>
        <w:t>1</w:t>
      </w:r>
    </w:p>
    <w:p>
      <w:pPr>
        <w:spacing w:line="500" w:lineRule="exact"/>
        <w:jc w:val="center"/>
        <w:rPr>
          <w:rFonts w:hAnsi="宋体"/>
          <w:b/>
          <w:sz w:val="28"/>
          <w:szCs w:val="28"/>
        </w:rPr>
      </w:pPr>
      <w:r>
        <w:rPr>
          <w:rFonts w:hint="eastAsia" w:hAnsi="宋体"/>
          <w:b/>
          <w:sz w:val="28"/>
          <w:szCs w:val="28"/>
        </w:rPr>
        <w:t>商务标清标内容</w:t>
      </w:r>
    </w:p>
    <w:tbl>
      <w:tblPr>
        <w:tblStyle w:val="17"/>
        <w:tblW w:w="9676" w:type="dxa"/>
        <w:jc w:val="center"/>
        <w:tblInd w:w="0" w:type="dxa"/>
        <w:tblLayout w:type="fixed"/>
        <w:tblCellMar>
          <w:top w:w="0" w:type="dxa"/>
          <w:left w:w="108" w:type="dxa"/>
          <w:bottom w:w="0" w:type="dxa"/>
          <w:right w:w="108" w:type="dxa"/>
        </w:tblCellMar>
      </w:tblPr>
      <w:tblGrid>
        <w:gridCol w:w="405"/>
        <w:gridCol w:w="548"/>
        <w:gridCol w:w="3429"/>
        <w:gridCol w:w="4442"/>
        <w:gridCol w:w="427"/>
        <w:gridCol w:w="425"/>
      </w:tblGrid>
      <w:tr>
        <w:tblPrEx>
          <w:tblLayout w:type="fixed"/>
          <w:tblCellMar>
            <w:top w:w="0" w:type="dxa"/>
            <w:left w:w="108" w:type="dxa"/>
            <w:bottom w:w="0" w:type="dxa"/>
            <w:right w:w="108" w:type="dxa"/>
          </w:tblCellMar>
        </w:tblPrEx>
        <w:trPr>
          <w:trHeight w:val="282" w:hRule="atLeast"/>
          <w:jc w:val="center"/>
        </w:trPr>
        <w:tc>
          <w:tcPr>
            <w:tcW w:w="95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b/>
                <w:bCs/>
                <w:szCs w:val="21"/>
              </w:rPr>
            </w:pPr>
            <w:r>
              <w:rPr>
                <w:rFonts w:hint="eastAsia" w:hAnsi="宋体"/>
                <w:b/>
                <w:bCs/>
                <w:szCs w:val="21"/>
              </w:rPr>
              <w:t>序号</w:t>
            </w:r>
          </w:p>
        </w:tc>
        <w:tc>
          <w:tcPr>
            <w:tcW w:w="3429"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hAnsi="宋体"/>
                <w:b/>
                <w:bCs/>
                <w:szCs w:val="21"/>
              </w:rPr>
            </w:pPr>
            <w:r>
              <w:rPr>
                <w:rFonts w:hint="eastAsia" w:hAnsi="宋体"/>
                <w:b/>
                <w:bCs/>
                <w:szCs w:val="21"/>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hAnsi="宋体"/>
                <w:b/>
                <w:bCs/>
                <w:szCs w:val="21"/>
              </w:rPr>
            </w:pPr>
            <w:r>
              <w:rPr>
                <w:rFonts w:hint="eastAsia" w:hAnsi="宋体"/>
                <w:b/>
                <w:bCs/>
                <w:szCs w:val="21"/>
              </w:rPr>
              <w:t>清标内容</w:t>
            </w:r>
          </w:p>
        </w:tc>
        <w:tc>
          <w:tcPr>
            <w:tcW w:w="85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Ansi="宋体"/>
                <w:b/>
                <w:bCs/>
                <w:szCs w:val="21"/>
              </w:rPr>
            </w:pPr>
            <w:r>
              <w:rPr>
                <w:rFonts w:hint="eastAsia" w:hAnsi="宋体"/>
                <w:b/>
                <w:bCs/>
                <w:szCs w:val="21"/>
              </w:rPr>
              <w:t>清标结果</w:t>
            </w:r>
          </w:p>
        </w:tc>
      </w:tr>
      <w:tr>
        <w:tblPrEx>
          <w:tblLayout w:type="fixed"/>
          <w:tblCellMar>
            <w:top w:w="0" w:type="dxa"/>
            <w:left w:w="108" w:type="dxa"/>
            <w:bottom w:w="0" w:type="dxa"/>
            <w:right w:w="108" w:type="dxa"/>
          </w:tblCellMar>
        </w:tblPrEx>
        <w:trPr>
          <w:trHeight w:val="204" w:hRule="atLeast"/>
          <w:jc w:val="center"/>
        </w:trPr>
        <w:tc>
          <w:tcPr>
            <w:tcW w:w="95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Ansi="宋体"/>
                <w:b/>
                <w:bCs/>
                <w:szCs w:val="21"/>
              </w:rPr>
            </w:pPr>
          </w:p>
        </w:tc>
        <w:tc>
          <w:tcPr>
            <w:tcW w:w="3429"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hAnsi="宋体"/>
                <w:b/>
                <w:bCs/>
                <w:szCs w:val="21"/>
              </w:rPr>
            </w:pPr>
          </w:p>
        </w:tc>
        <w:tc>
          <w:tcPr>
            <w:tcW w:w="4442"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hAnsi="宋体"/>
                <w:b/>
                <w:bCs/>
                <w:szCs w:val="21"/>
              </w:rPr>
            </w:pP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b/>
                <w:bCs/>
                <w:szCs w:val="21"/>
              </w:rPr>
            </w:pPr>
            <w:r>
              <w:rPr>
                <w:rFonts w:hint="eastAsia" w:hAnsi="宋体"/>
                <w:b/>
                <w:bCs/>
                <w:szCs w:val="21"/>
              </w:rPr>
              <w:t>是</w:t>
            </w: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b/>
                <w:bCs/>
                <w:szCs w:val="21"/>
              </w:rPr>
            </w:pPr>
            <w:r>
              <w:rPr>
                <w:rFonts w:hint="eastAsia" w:hAnsi="宋体"/>
                <w:b/>
                <w:bCs/>
                <w:szCs w:val="21"/>
              </w:rPr>
              <w:t>否</w:t>
            </w:r>
          </w:p>
        </w:tc>
      </w:tr>
      <w:tr>
        <w:tblPrEx>
          <w:tblLayout w:type="fixed"/>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hAnsi="宋体"/>
                <w:szCs w:val="21"/>
              </w:rPr>
            </w:pPr>
            <w:r>
              <w:rPr>
                <w:rFonts w:hAnsi="宋体"/>
                <w:szCs w:val="21"/>
              </w:rPr>
              <w:t>1</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1.1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项目总报价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是否等于各单项工程造价之和</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hAnsi="宋体"/>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1.2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单项工程费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是否等于各单位工程造价之和</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hAnsi="宋体"/>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1.3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单位工程费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是否等于分部分项工程费</w:t>
            </w:r>
            <w:r>
              <w:rPr>
                <w:rFonts w:hAnsi="宋体"/>
                <w:szCs w:val="21"/>
              </w:rPr>
              <w:t>+</w:t>
            </w:r>
            <w:r>
              <w:rPr>
                <w:rFonts w:hint="eastAsia" w:hAnsi="宋体"/>
                <w:szCs w:val="21"/>
              </w:rPr>
              <w:t>措施项目费</w:t>
            </w:r>
            <w:r>
              <w:rPr>
                <w:rFonts w:hAnsi="宋体"/>
                <w:szCs w:val="21"/>
              </w:rPr>
              <w:t>+</w:t>
            </w:r>
            <w:r>
              <w:rPr>
                <w:rFonts w:hint="eastAsia" w:hAnsi="宋体"/>
                <w:szCs w:val="21"/>
              </w:rPr>
              <w:t>其它项目费</w:t>
            </w:r>
            <w:r>
              <w:rPr>
                <w:rFonts w:hAnsi="宋体"/>
                <w:szCs w:val="21"/>
              </w:rPr>
              <w:t>+</w:t>
            </w:r>
            <w:r>
              <w:rPr>
                <w:rFonts w:hint="eastAsia" w:hAnsi="宋体"/>
                <w:szCs w:val="21"/>
              </w:rPr>
              <w:t>规费</w:t>
            </w:r>
            <w:r>
              <w:rPr>
                <w:rFonts w:hAnsi="宋体"/>
                <w:szCs w:val="21"/>
              </w:rPr>
              <w:t>+</w:t>
            </w:r>
            <w:r>
              <w:rPr>
                <w:rFonts w:hint="eastAsia" w:hAnsi="宋体"/>
                <w:szCs w:val="21"/>
              </w:rPr>
              <w:t>税金之和</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hAnsi="宋体"/>
                <w:szCs w:val="21"/>
              </w:rPr>
            </w:pPr>
            <w:r>
              <w:rPr>
                <w:rFonts w:hAnsi="宋体"/>
                <w:szCs w:val="21"/>
              </w:rPr>
              <w:t>2</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2.1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240" w:lineRule="exact"/>
              <w:ind w:left="186" w:hanging="186" w:hangingChars="100"/>
              <w:rPr>
                <w:rFonts w:hAnsi="宋体"/>
                <w:spacing w:val="-12"/>
                <w:szCs w:val="21"/>
              </w:rPr>
            </w:pPr>
            <w:r>
              <w:rPr>
                <w:rFonts w:hint="eastAsia" w:hAnsi="宋体"/>
                <w:spacing w:val="-12"/>
                <w:szCs w:val="21"/>
              </w:rPr>
              <w:t>是否等于各分部分项清单（含单价措施项目）费之和</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hAnsi="宋体"/>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2.2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不得修改招标人清单</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hAnsi="宋体"/>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2.3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不得修改招标人清单</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hAnsi="宋体"/>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2.4</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不得修改招标人清单</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hAnsi="宋体"/>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2.5</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不得修改招标人清单</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hAnsi="宋体"/>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2.6</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不得修改招标人清单</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hAnsi="宋体"/>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2.7</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pacing w:val="-4"/>
                <w:szCs w:val="21"/>
              </w:rPr>
            </w:pPr>
            <w:r>
              <w:rPr>
                <w:rFonts w:hint="eastAsia" w:hAnsi="宋体"/>
                <w:spacing w:val="-4"/>
                <w:szCs w:val="21"/>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综合单价＝人工费</w:t>
            </w:r>
            <w:r>
              <w:rPr>
                <w:rFonts w:hAnsi="宋体"/>
                <w:szCs w:val="21"/>
              </w:rPr>
              <w:t>+</w:t>
            </w:r>
            <w:r>
              <w:rPr>
                <w:rFonts w:hint="eastAsia" w:hAnsi="宋体"/>
                <w:szCs w:val="21"/>
              </w:rPr>
              <w:t>材料费</w:t>
            </w:r>
            <w:r>
              <w:rPr>
                <w:rFonts w:hAnsi="宋体"/>
                <w:szCs w:val="21"/>
              </w:rPr>
              <w:t>+</w:t>
            </w:r>
            <w:r>
              <w:rPr>
                <w:rFonts w:hint="eastAsia" w:hAnsi="宋体"/>
                <w:szCs w:val="21"/>
              </w:rPr>
              <w:t>机械费</w:t>
            </w:r>
            <w:r>
              <w:rPr>
                <w:rFonts w:hAnsi="宋体"/>
                <w:szCs w:val="21"/>
              </w:rPr>
              <w:t>+</w:t>
            </w:r>
            <w:r>
              <w:rPr>
                <w:rFonts w:hint="eastAsia" w:hAnsi="宋体"/>
                <w:szCs w:val="21"/>
              </w:rPr>
              <w:t>管理费</w:t>
            </w:r>
            <w:r>
              <w:rPr>
                <w:rFonts w:hAnsi="宋体"/>
                <w:szCs w:val="21"/>
              </w:rPr>
              <w:t>+</w:t>
            </w:r>
            <w:r>
              <w:rPr>
                <w:rFonts w:hint="eastAsia" w:hAnsi="宋体"/>
                <w:szCs w:val="21"/>
              </w:rPr>
              <w:t>利润之和</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hAnsi="宋体"/>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2.8</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材料单价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pacing w:val="-12"/>
                <w:szCs w:val="21"/>
              </w:rPr>
            </w:pPr>
            <w:r>
              <w:rPr>
                <w:rFonts w:hint="eastAsia" w:hAnsi="宋体"/>
                <w:spacing w:val="-12"/>
                <w:szCs w:val="21"/>
              </w:rPr>
              <w:t>材料表中的单价与组成清单单价中的综合单价必须一致</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hAnsi="宋体"/>
                <w:szCs w:val="21"/>
              </w:rPr>
            </w:pPr>
            <w:r>
              <w:rPr>
                <w:rFonts w:hAnsi="宋体"/>
                <w:szCs w:val="21"/>
              </w:rPr>
              <w:t>3</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3.1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根据河南省计价依据规定计算</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hAnsi="宋体"/>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3.2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根据招标文件要求自主报价</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hAnsi="宋体"/>
                <w:szCs w:val="21"/>
              </w:rPr>
            </w:pPr>
            <w:r>
              <w:rPr>
                <w:rFonts w:hAnsi="宋体"/>
                <w:szCs w:val="21"/>
              </w:rPr>
              <w:t>4</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4.1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其它项目费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各组成部分之和（暂列金额</w:t>
            </w:r>
            <w:r>
              <w:rPr>
                <w:rFonts w:hAnsi="宋体"/>
                <w:szCs w:val="21"/>
              </w:rPr>
              <w:t>+</w:t>
            </w:r>
            <w:r>
              <w:rPr>
                <w:rFonts w:hint="eastAsia" w:hAnsi="宋体"/>
                <w:szCs w:val="21"/>
              </w:rPr>
              <w:t>专业暂估价</w:t>
            </w:r>
            <w:r>
              <w:rPr>
                <w:rFonts w:hAnsi="宋体"/>
                <w:szCs w:val="21"/>
              </w:rPr>
              <w:t>+</w:t>
            </w:r>
            <w:r>
              <w:rPr>
                <w:rFonts w:hint="eastAsia" w:hAnsi="宋体"/>
                <w:szCs w:val="21"/>
              </w:rPr>
              <w:t>计日工费</w:t>
            </w:r>
            <w:r>
              <w:rPr>
                <w:rFonts w:hAnsi="宋体"/>
                <w:szCs w:val="21"/>
              </w:rPr>
              <w:t>+</w:t>
            </w:r>
            <w:r>
              <w:rPr>
                <w:rFonts w:hint="eastAsia" w:hAnsi="宋体"/>
                <w:szCs w:val="21"/>
              </w:rPr>
              <w:t>总承包服务费）</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hAnsi="宋体"/>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4.2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暂列金额</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应与招标人价格一致</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hAnsi="宋体"/>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4.3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应与招标人价格一致</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hAnsi="宋体"/>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4.4</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计日工</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应与招标人数量一致</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hAnsi="宋体"/>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Ansi="宋体"/>
                <w:szCs w:val="21"/>
              </w:rPr>
              <w:t>4.5</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总承包服务费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是否按招标文件要求计算</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454" w:hRule="exact"/>
          <w:jc w:val="center"/>
        </w:trPr>
        <w:tc>
          <w:tcPr>
            <w:tcW w:w="4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szCs w:val="21"/>
              </w:rPr>
            </w:pPr>
            <w:r>
              <w:rPr>
                <w:rFonts w:hAnsi="宋体"/>
                <w:szCs w:val="21"/>
              </w:rPr>
              <w:t>5</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规费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根据河南省计价依据规定计算</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454" w:hRule="exact"/>
          <w:jc w:val="center"/>
        </w:trPr>
        <w:tc>
          <w:tcPr>
            <w:tcW w:w="4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szCs w:val="21"/>
              </w:rPr>
            </w:pPr>
            <w:r>
              <w:rPr>
                <w:rFonts w:hAnsi="宋体"/>
                <w:szCs w:val="21"/>
              </w:rPr>
              <w:t>6</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增值税</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rFonts w:hAnsi="宋体"/>
                <w:szCs w:val="21"/>
              </w:rPr>
            </w:pPr>
            <w:r>
              <w:rPr>
                <w:rFonts w:hint="eastAsia" w:hAnsi="宋体"/>
                <w:szCs w:val="21"/>
              </w:rPr>
              <w:t>根据河南省计价依据规定计算</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r>
        <w:tblPrEx>
          <w:tblLayout w:type="fixed"/>
          <w:tblCellMar>
            <w:top w:w="0" w:type="dxa"/>
            <w:left w:w="108" w:type="dxa"/>
            <w:bottom w:w="0" w:type="dxa"/>
            <w:right w:w="108" w:type="dxa"/>
          </w:tblCellMar>
        </w:tblPrEx>
        <w:trPr>
          <w:trHeight w:val="471" w:hRule="exact"/>
          <w:jc w:val="center"/>
        </w:trPr>
        <w:tc>
          <w:tcPr>
            <w:tcW w:w="4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szCs w:val="21"/>
              </w:rPr>
            </w:pPr>
            <w:r>
              <w:rPr>
                <w:rFonts w:hAnsi="宋体"/>
                <w:szCs w:val="21"/>
              </w:rPr>
              <w:t>7</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7871"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r>
              <w:rPr>
                <w:rFonts w:hint="eastAsia" w:hAnsi="宋体"/>
                <w:szCs w:val="21"/>
              </w:rPr>
              <w:t>不违反法律、法规、规章、规范性文件规定的其它情况</w:t>
            </w:r>
          </w:p>
        </w:tc>
        <w:tc>
          <w:tcPr>
            <w:tcW w:w="427"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Ansi="宋体"/>
                <w:szCs w:val="21"/>
              </w:rPr>
            </w:pPr>
          </w:p>
        </w:tc>
      </w:tr>
    </w:tbl>
    <w:p>
      <w:pPr>
        <w:spacing w:line="360" w:lineRule="auto"/>
        <w:rPr>
          <w:rFonts w:hAnsi="宋体"/>
          <w:b/>
          <w:szCs w:val="21"/>
        </w:rPr>
      </w:pPr>
      <w:r>
        <w:rPr>
          <w:rFonts w:hint="eastAsia" w:hAnsi="宋体"/>
          <w:b/>
          <w:szCs w:val="21"/>
        </w:rPr>
        <w:t>注：</w:t>
      </w:r>
      <w:r>
        <w:rPr>
          <w:rFonts w:hint="eastAsia" w:hAnsi="宋体" w:cs="宋体"/>
          <w:b/>
          <w:sz w:val="24"/>
          <w:szCs w:val="24"/>
        </w:rPr>
        <w:t>不在上述范围内且不具有实质性影响的内容，均不能作为清标的依据或理由。</w:t>
      </w:r>
    </w:p>
    <w:p>
      <w:pPr>
        <w:spacing w:line="360" w:lineRule="auto"/>
        <w:ind w:firstLine="480" w:firstLineChars="200"/>
        <w:rPr>
          <w:rFonts w:hAnsi="宋体" w:cs="宋体"/>
          <w:b/>
          <w:sz w:val="24"/>
          <w:szCs w:val="24"/>
        </w:rPr>
      </w:pPr>
      <w:r>
        <w:rPr>
          <w:rFonts w:hint="eastAsia" w:hAnsi="宋体" w:cs="宋体"/>
          <w:b/>
          <w:sz w:val="24"/>
          <w:szCs w:val="24"/>
        </w:rPr>
        <w:t>按照住建部《建设工程工程量清单计价规范》（GB50500-2013）及省住建厅有关规定，规费、税金和安全文明施工费属不可竞争费。规费、税金、安全文明施工措施费计入投标总报价，并在投标函、投标函附录中单列，不参与商务标评审。</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六、详细评审</w:t>
      </w:r>
    </w:p>
    <w:p>
      <w:pPr>
        <w:snapToGrid w:val="0"/>
        <w:spacing w:line="360" w:lineRule="auto"/>
        <w:ind w:firstLine="481"/>
        <w:rPr>
          <w:rFonts w:hAnsi="宋体" w:cs="宋体"/>
          <w:sz w:val="24"/>
          <w:szCs w:val="24"/>
        </w:rPr>
      </w:pPr>
      <w:r>
        <w:rPr>
          <w:rFonts w:hint="eastAsia" w:hAnsi="宋体" w:cs="宋体"/>
          <w:sz w:val="24"/>
          <w:szCs w:val="24"/>
        </w:rPr>
        <w:t>评标委员会对通过初步评审合格的有效投标文件，按照招标文件中明确的评标方式进行技术标、商务标、综合标的评审。</w:t>
      </w:r>
    </w:p>
    <w:p>
      <w:pPr>
        <w:snapToGrid w:val="0"/>
        <w:spacing w:line="360" w:lineRule="auto"/>
        <w:ind w:firstLine="481"/>
        <w:rPr>
          <w:rFonts w:hAnsi="宋体" w:cs="宋体"/>
          <w:sz w:val="24"/>
          <w:szCs w:val="24"/>
        </w:rPr>
      </w:pPr>
      <w:r>
        <w:rPr>
          <w:rFonts w:hint="eastAsia" w:hAnsi="宋体" w:cs="宋体"/>
          <w:sz w:val="24"/>
          <w:szCs w:val="24"/>
        </w:rPr>
        <w:t>评审规则如下：</w:t>
      </w:r>
    </w:p>
    <w:p>
      <w:pPr>
        <w:ind w:firstLine="480" w:firstLineChars="200"/>
        <w:rPr>
          <w:rFonts w:hAnsi="宋体"/>
          <w:sz w:val="24"/>
          <w:szCs w:val="24"/>
        </w:rPr>
      </w:pPr>
      <w:r>
        <w:rPr>
          <w:rFonts w:hint="eastAsia" w:hAnsi="宋体"/>
          <w:sz w:val="24"/>
          <w:szCs w:val="24"/>
        </w:rPr>
        <w:t>（一）技术标的主要内容及评标分值：</w:t>
      </w:r>
      <w:r>
        <w:rPr>
          <w:rFonts w:hAnsi="宋体"/>
          <w:sz w:val="24"/>
          <w:szCs w:val="24"/>
        </w:rPr>
        <w:t>25</w:t>
      </w:r>
      <w:r>
        <w:rPr>
          <w:rFonts w:hint="eastAsia" w:hAnsi="宋体"/>
          <w:sz w:val="24"/>
          <w:szCs w:val="24"/>
        </w:rPr>
        <w:t>分</w:t>
      </w:r>
    </w:p>
    <w:tbl>
      <w:tblPr>
        <w:tblStyle w:val="17"/>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851"/>
        <w:gridCol w:w="552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center"/>
          </w:tcPr>
          <w:p>
            <w:pPr>
              <w:jc w:val="center"/>
              <w:rPr>
                <w:rFonts w:hAnsi="宋体"/>
                <w:szCs w:val="21"/>
              </w:rPr>
            </w:pPr>
            <w:r>
              <w:rPr>
                <w:rFonts w:hint="eastAsia" w:hAnsi="宋体"/>
                <w:szCs w:val="21"/>
              </w:rPr>
              <w:t>序号</w:t>
            </w:r>
          </w:p>
        </w:tc>
        <w:tc>
          <w:tcPr>
            <w:tcW w:w="1276" w:type="dxa"/>
            <w:vAlign w:val="center"/>
          </w:tcPr>
          <w:p>
            <w:pPr>
              <w:jc w:val="center"/>
              <w:rPr>
                <w:rFonts w:hAnsi="宋体"/>
                <w:szCs w:val="21"/>
              </w:rPr>
            </w:pPr>
            <w:r>
              <w:rPr>
                <w:rFonts w:hint="eastAsia" w:hAnsi="宋体"/>
                <w:szCs w:val="21"/>
              </w:rPr>
              <w:t>内容</w:t>
            </w:r>
          </w:p>
        </w:tc>
        <w:tc>
          <w:tcPr>
            <w:tcW w:w="851" w:type="dxa"/>
            <w:vAlign w:val="center"/>
          </w:tcPr>
          <w:p>
            <w:pPr>
              <w:jc w:val="center"/>
              <w:rPr>
                <w:rFonts w:hAnsi="宋体"/>
                <w:szCs w:val="21"/>
              </w:rPr>
            </w:pPr>
            <w:r>
              <w:rPr>
                <w:rFonts w:hint="eastAsia" w:hAnsi="宋体"/>
                <w:szCs w:val="21"/>
              </w:rPr>
              <w:t>分值</w:t>
            </w:r>
          </w:p>
        </w:tc>
        <w:tc>
          <w:tcPr>
            <w:tcW w:w="5528" w:type="dxa"/>
            <w:vAlign w:val="center"/>
          </w:tcPr>
          <w:p>
            <w:pPr>
              <w:jc w:val="center"/>
              <w:rPr>
                <w:rFonts w:hAnsi="宋体"/>
                <w:szCs w:val="21"/>
              </w:rPr>
            </w:pPr>
            <w:r>
              <w:rPr>
                <w:rFonts w:hint="eastAsia" w:hAnsi="宋体"/>
                <w:szCs w:val="21"/>
              </w:rPr>
              <w:t>评审标准</w:t>
            </w:r>
          </w:p>
        </w:tc>
        <w:tc>
          <w:tcPr>
            <w:tcW w:w="1276" w:type="dxa"/>
            <w:vAlign w:val="center"/>
          </w:tcPr>
          <w:p>
            <w:pPr>
              <w:jc w:val="center"/>
              <w:rPr>
                <w:rFonts w:hAnsi="宋体"/>
                <w:szCs w:val="21"/>
              </w:rPr>
            </w:pPr>
            <w:r>
              <w:rPr>
                <w:rFonts w:hint="eastAsia" w:hAnsi="宋体"/>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hAnsi="宋体"/>
                <w:szCs w:val="21"/>
              </w:rPr>
            </w:pPr>
            <w:r>
              <w:rPr>
                <w:rFonts w:hAnsi="宋体"/>
                <w:szCs w:val="21"/>
              </w:rPr>
              <w:t>1</w:t>
            </w:r>
          </w:p>
        </w:tc>
        <w:tc>
          <w:tcPr>
            <w:tcW w:w="1276" w:type="dxa"/>
            <w:vMerge w:val="restart"/>
            <w:vAlign w:val="center"/>
          </w:tcPr>
          <w:p>
            <w:pPr>
              <w:jc w:val="center"/>
              <w:rPr>
                <w:rFonts w:hAnsi="宋体"/>
                <w:szCs w:val="21"/>
              </w:rPr>
            </w:pPr>
            <w:r>
              <w:rPr>
                <w:rFonts w:hint="eastAsia" w:hAnsi="宋体"/>
                <w:szCs w:val="21"/>
              </w:rPr>
              <w:t>内容完整性</w:t>
            </w:r>
          </w:p>
        </w:tc>
        <w:tc>
          <w:tcPr>
            <w:tcW w:w="851" w:type="dxa"/>
            <w:vMerge w:val="restart"/>
            <w:vAlign w:val="center"/>
          </w:tcPr>
          <w:p>
            <w:pPr>
              <w:jc w:val="center"/>
              <w:rPr>
                <w:rFonts w:hAnsi="宋体"/>
                <w:szCs w:val="21"/>
              </w:rPr>
            </w:pPr>
            <w:r>
              <w:rPr>
                <w:rFonts w:hAnsi="宋体"/>
                <w:szCs w:val="21"/>
              </w:rPr>
              <w:t>0-0.5</w:t>
            </w:r>
            <w:r>
              <w:rPr>
                <w:rFonts w:hint="eastAsia" w:hAnsi="宋体"/>
                <w:szCs w:val="21"/>
              </w:rPr>
              <w:t>分</w:t>
            </w:r>
          </w:p>
        </w:tc>
        <w:tc>
          <w:tcPr>
            <w:tcW w:w="5528" w:type="dxa"/>
            <w:vAlign w:val="center"/>
          </w:tcPr>
          <w:p>
            <w:pPr>
              <w:jc w:val="center"/>
              <w:rPr>
                <w:rFonts w:hAnsi="宋体"/>
                <w:szCs w:val="21"/>
              </w:rPr>
            </w:pPr>
            <w:r>
              <w:rPr>
                <w:rFonts w:hint="eastAsia" w:hAnsi="宋体"/>
                <w:szCs w:val="21"/>
              </w:rPr>
              <w:t>技术标的主要内容具有完整性，符合招标文件的要求。</w:t>
            </w:r>
          </w:p>
        </w:tc>
        <w:tc>
          <w:tcPr>
            <w:tcW w:w="1276" w:type="dxa"/>
            <w:vAlign w:val="center"/>
          </w:tcPr>
          <w:p>
            <w:pPr>
              <w:jc w:val="center"/>
              <w:rPr>
                <w:rFonts w:hAnsi="宋体"/>
                <w:szCs w:val="21"/>
              </w:rPr>
            </w:pPr>
            <w:r>
              <w:rPr>
                <w:rFonts w:hAnsi="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hAnsi="宋体"/>
                <w:szCs w:val="21"/>
              </w:rPr>
            </w:pPr>
          </w:p>
        </w:tc>
        <w:tc>
          <w:tcPr>
            <w:tcW w:w="1276" w:type="dxa"/>
            <w:vMerge w:val="continue"/>
            <w:vAlign w:val="center"/>
          </w:tcPr>
          <w:p>
            <w:pPr>
              <w:jc w:val="left"/>
              <w:rPr>
                <w:rFonts w:hAnsi="宋体"/>
                <w:szCs w:val="21"/>
              </w:rPr>
            </w:pPr>
          </w:p>
        </w:tc>
        <w:tc>
          <w:tcPr>
            <w:tcW w:w="851" w:type="dxa"/>
            <w:vMerge w:val="continue"/>
            <w:vAlign w:val="center"/>
          </w:tcPr>
          <w:p>
            <w:pPr>
              <w:jc w:val="left"/>
              <w:rPr>
                <w:rFonts w:hAnsi="宋体"/>
                <w:szCs w:val="21"/>
              </w:rPr>
            </w:pPr>
          </w:p>
        </w:tc>
        <w:tc>
          <w:tcPr>
            <w:tcW w:w="5528" w:type="dxa"/>
            <w:vAlign w:val="center"/>
          </w:tcPr>
          <w:p>
            <w:pPr>
              <w:jc w:val="center"/>
              <w:rPr>
                <w:rFonts w:hAnsi="宋体"/>
                <w:szCs w:val="21"/>
              </w:rPr>
            </w:pPr>
            <w:r>
              <w:rPr>
                <w:rFonts w:hint="eastAsia" w:hAnsi="宋体"/>
                <w:szCs w:val="21"/>
              </w:rPr>
              <w:t>技术标不符合招标文件要求。</w:t>
            </w:r>
          </w:p>
        </w:tc>
        <w:tc>
          <w:tcPr>
            <w:tcW w:w="1276" w:type="dxa"/>
            <w:vAlign w:val="center"/>
          </w:tcPr>
          <w:p>
            <w:pPr>
              <w:jc w:val="center"/>
              <w:rPr>
                <w:rFonts w:hAnsi="宋体"/>
                <w:szCs w:val="21"/>
              </w:rPr>
            </w:pP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hAnsi="宋体"/>
                <w:szCs w:val="21"/>
              </w:rPr>
            </w:pPr>
            <w:r>
              <w:rPr>
                <w:rFonts w:hAnsi="宋体"/>
                <w:szCs w:val="21"/>
              </w:rPr>
              <w:t>2</w:t>
            </w:r>
          </w:p>
        </w:tc>
        <w:tc>
          <w:tcPr>
            <w:tcW w:w="1276" w:type="dxa"/>
            <w:vMerge w:val="restart"/>
            <w:vAlign w:val="center"/>
          </w:tcPr>
          <w:p>
            <w:pPr>
              <w:jc w:val="left"/>
              <w:rPr>
                <w:rFonts w:hAnsi="宋体"/>
                <w:szCs w:val="21"/>
              </w:rPr>
            </w:pPr>
            <w:r>
              <w:rPr>
                <w:rFonts w:hint="eastAsia" w:hAnsi="宋体"/>
                <w:szCs w:val="21"/>
              </w:rPr>
              <w:t>主要施工方案与技术措施</w:t>
            </w:r>
          </w:p>
        </w:tc>
        <w:tc>
          <w:tcPr>
            <w:tcW w:w="851" w:type="dxa"/>
            <w:vMerge w:val="restart"/>
            <w:vAlign w:val="center"/>
          </w:tcPr>
          <w:p>
            <w:pPr>
              <w:jc w:val="center"/>
              <w:rPr>
                <w:rFonts w:hAnsi="宋体"/>
                <w:szCs w:val="21"/>
              </w:rPr>
            </w:pPr>
            <w:r>
              <w:rPr>
                <w:rFonts w:hAnsi="宋体"/>
                <w:szCs w:val="21"/>
              </w:rPr>
              <w:t xml:space="preserve"> 1-3</w:t>
            </w:r>
            <w:r>
              <w:rPr>
                <w:rFonts w:hint="eastAsia" w:hAnsi="宋体"/>
                <w:szCs w:val="21"/>
              </w:rPr>
              <w:t>分</w:t>
            </w:r>
          </w:p>
        </w:tc>
        <w:tc>
          <w:tcPr>
            <w:tcW w:w="5528" w:type="dxa"/>
            <w:vAlign w:val="center"/>
          </w:tcPr>
          <w:p>
            <w:pPr>
              <w:rPr>
                <w:rFonts w:hAnsi="宋体"/>
                <w:szCs w:val="21"/>
              </w:rPr>
            </w:pPr>
            <w:r>
              <w:rPr>
                <w:rFonts w:hint="eastAsia" w:hAnsi="宋体"/>
                <w:szCs w:val="21"/>
              </w:rPr>
              <w:t>施工方案（含工程特点、施工重点与难点及绿色施工）总体安排合理，运用先进、合理的施工工艺、施工机械；对施工难点有先进和合理的建议。</w:t>
            </w:r>
          </w:p>
        </w:tc>
        <w:tc>
          <w:tcPr>
            <w:tcW w:w="1276" w:type="dxa"/>
            <w:vAlign w:val="center"/>
          </w:tcPr>
          <w:p>
            <w:pPr>
              <w:jc w:val="center"/>
              <w:rPr>
                <w:rFonts w:hAnsi="宋体"/>
                <w:szCs w:val="21"/>
              </w:rPr>
            </w:pPr>
            <w:r>
              <w:rPr>
                <w:rFonts w:hAnsi="宋体"/>
                <w:szCs w:val="21"/>
              </w:rPr>
              <w:t>2</w:t>
            </w:r>
            <w:r>
              <w:rPr>
                <w:rFonts w:hint="eastAsia" w:hAnsi="宋体"/>
                <w:szCs w:val="21"/>
              </w:rPr>
              <w:t>＜得分</w:t>
            </w:r>
            <w:r>
              <w:rPr>
                <w:rFonts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hAnsi="宋体"/>
                <w:szCs w:val="21"/>
              </w:rPr>
            </w:pPr>
          </w:p>
        </w:tc>
        <w:tc>
          <w:tcPr>
            <w:tcW w:w="1276" w:type="dxa"/>
            <w:vMerge w:val="continue"/>
            <w:vAlign w:val="center"/>
          </w:tcPr>
          <w:p>
            <w:pPr>
              <w:jc w:val="left"/>
              <w:rPr>
                <w:rFonts w:hAnsi="宋体"/>
                <w:szCs w:val="21"/>
              </w:rPr>
            </w:pPr>
          </w:p>
        </w:tc>
        <w:tc>
          <w:tcPr>
            <w:tcW w:w="851" w:type="dxa"/>
            <w:vMerge w:val="continue"/>
            <w:vAlign w:val="center"/>
          </w:tcPr>
          <w:p>
            <w:pPr>
              <w:jc w:val="left"/>
              <w:rPr>
                <w:rFonts w:hAnsi="宋体"/>
                <w:szCs w:val="21"/>
              </w:rPr>
            </w:pPr>
          </w:p>
        </w:tc>
        <w:tc>
          <w:tcPr>
            <w:tcW w:w="5528" w:type="dxa"/>
            <w:vAlign w:val="center"/>
          </w:tcPr>
          <w:p>
            <w:pPr>
              <w:rPr>
                <w:rFonts w:hAnsi="宋体"/>
                <w:szCs w:val="21"/>
              </w:rPr>
            </w:pPr>
            <w:r>
              <w:rPr>
                <w:rFonts w:hint="eastAsia" w:hAnsi="宋体"/>
                <w:szCs w:val="21"/>
              </w:rPr>
              <w:t>施工方案（含工程特点、施工重点与难点及绿色施工）总体安排合理，施工工艺、施工机械合理、可行；对施工难点有合理的建议。</w:t>
            </w:r>
          </w:p>
        </w:tc>
        <w:tc>
          <w:tcPr>
            <w:tcW w:w="1276" w:type="dxa"/>
            <w:vAlign w:val="center"/>
          </w:tcPr>
          <w:p>
            <w:pPr>
              <w:jc w:val="center"/>
              <w:rPr>
                <w:rFonts w:hAnsi="宋体"/>
                <w:szCs w:val="21"/>
              </w:rPr>
            </w:pPr>
            <w:r>
              <w:rPr>
                <w:rFonts w:hAnsi="宋体"/>
                <w:szCs w:val="21"/>
              </w:rPr>
              <w:t xml:space="preserve"> 1≤</w:t>
            </w:r>
            <w:r>
              <w:rPr>
                <w:rFonts w:hint="eastAsia" w:hAnsi="宋体"/>
                <w:szCs w:val="21"/>
              </w:rPr>
              <w:t>得分</w:t>
            </w:r>
            <w:r>
              <w:rPr>
                <w:rFonts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hAnsi="宋体"/>
                <w:szCs w:val="21"/>
              </w:rPr>
            </w:pPr>
            <w:r>
              <w:rPr>
                <w:rFonts w:hAnsi="宋体"/>
                <w:szCs w:val="21"/>
              </w:rPr>
              <w:t>3</w:t>
            </w:r>
          </w:p>
        </w:tc>
        <w:tc>
          <w:tcPr>
            <w:tcW w:w="1276" w:type="dxa"/>
            <w:vMerge w:val="restart"/>
            <w:vAlign w:val="center"/>
          </w:tcPr>
          <w:p>
            <w:pPr>
              <w:jc w:val="left"/>
              <w:rPr>
                <w:rFonts w:hAnsi="宋体"/>
                <w:szCs w:val="21"/>
              </w:rPr>
            </w:pPr>
            <w:r>
              <w:rPr>
                <w:rFonts w:hint="eastAsia" w:hAnsi="宋体"/>
                <w:szCs w:val="21"/>
              </w:rPr>
              <w:t>质量管理体系与措施</w:t>
            </w:r>
          </w:p>
        </w:tc>
        <w:tc>
          <w:tcPr>
            <w:tcW w:w="851" w:type="dxa"/>
            <w:vMerge w:val="restart"/>
            <w:vAlign w:val="center"/>
          </w:tcPr>
          <w:p>
            <w:pPr>
              <w:jc w:val="center"/>
              <w:rPr>
                <w:rFonts w:hAnsi="宋体"/>
                <w:szCs w:val="21"/>
              </w:rPr>
            </w:pPr>
            <w:r>
              <w:rPr>
                <w:rFonts w:hAnsi="宋体"/>
                <w:szCs w:val="21"/>
              </w:rPr>
              <w:t>1-2</w:t>
            </w:r>
            <w:r>
              <w:rPr>
                <w:rFonts w:hint="eastAsia" w:hAnsi="宋体"/>
                <w:szCs w:val="21"/>
              </w:rPr>
              <w:t>分</w:t>
            </w:r>
          </w:p>
        </w:tc>
        <w:tc>
          <w:tcPr>
            <w:tcW w:w="5528" w:type="dxa"/>
            <w:vAlign w:val="center"/>
          </w:tcPr>
          <w:p>
            <w:pPr>
              <w:spacing w:line="360" w:lineRule="exact"/>
              <w:rPr>
                <w:rFonts w:hAnsi="宋体"/>
                <w:szCs w:val="21"/>
              </w:rPr>
            </w:pPr>
            <w:r>
              <w:rPr>
                <w:rFonts w:hint="eastAsia" w:hAnsi="宋体"/>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76" w:type="dxa"/>
            <w:vAlign w:val="center"/>
          </w:tcPr>
          <w:p>
            <w:pPr>
              <w:jc w:val="center"/>
              <w:rPr>
                <w:rFonts w:hAnsi="宋体"/>
                <w:szCs w:val="21"/>
              </w:rPr>
            </w:pPr>
            <w:r>
              <w:rPr>
                <w:rFonts w:hAnsi="宋体"/>
                <w:szCs w:val="21"/>
              </w:rPr>
              <w:t>1.5</w:t>
            </w:r>
            <w:r>
              <w:rPr>
                <w:rFonts w:hint="eastAsia" w:hAnsi="宋体"/>
                <w:szCs w:val="21"/>
              </w:rPr>
              <w:t>＜得分</w:t>
            </w:r>
            <w:r>
              <w:rPr>
                <w:rFonts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hAnsi="宋体"/>
                <w:szCs w:val="21"/>
              </w:rPr>
            </w:pPr>
          </w:p>
        </w:tc>
        <w:tc>
          <w:tcPr>
            <w:tcW w:w="1276" w:type="dxa"/>
            <w:vMerge w:val="continue"/>
            <w:vAlign w:val="center"/>
          </w:tcPr>
          <w:p>
            <w:pPr>
              <w:jc w:val="left"/>
              <w:rPr>
                <w:rFonts w:hAnsi="宋体"/>
                <w:szCs w:val="21"/>
              </w:rPr>
            </w:pPr>
          </w:p>
        </w:tc>
        <w:tc>
          <w:tcPr>
            <w:tcW w:w="851" w:type="dxa"/>
            <w:vMerge w:val="continue"/>
            <w:vAlign w:val="center"/>
          </w:tcPr>
          <w:p>
            <w:pPr>
              <w:jc w:val="left"/>
              <w:rPr>
                <w:rFonts w:hAnsi="宋体"/>
                <w:szCs w:val="21"/>
              </w:rPr>
            </w:pPr>
          </w:p>
        </w:tc>
        <w:tc>
          <w:tcPr>
            <w:tcW w:w="5528" w:type="dxa"/>
            <w:vAlign w:val="center"/>
          </w:tcPr>
          <w:p>
            <w:pPr>
              <w:spacing w:line="360" w:lineRule="exact"/>
              <w:rPr>
                <w:rFonts w:hAnsi="宋体"/>
                <w:szCs w:val="21"/>
              </w:rPr>
            </w:pPr>
            <w:r>
              <w:rPr>
                <w:rFonts w:hint="eastAsia" w:hAnsi="宋体"/>
                <w:szCs w:val="21"/>
              </w:rPr>
              <w:t>组织机构形式基本合理，指挥系统、质量监控系统、联络协调系统，具体措施可行。主体结构质量保证措施经济、安全、基本可行。主体结构、装饰装修符合工程建设强制性标准，不得偷工减料。</w:t>
            </w:r>
          </w:p>
        </w:tc>
        <w:tc>
          <w:tcPr>
            <w:tcW w:w="1276" w:type="dxa"/>
            <w:vAlign w:val="center"/>
          </w:tcPr>
          <w:p>
            <w:pPr>
              <w:jc w:val="center"/>
              <w:rPr>
                <w:rFonts w:hAnsi="宋体"/>
                <w:szCs w:val="21"/>
              </w:rPr>
            </w:pPr>
            <w:r>
              <w:rPr>
                <w:rFonts w:hAnsi="宋体"/>
                <w:szCs w:val="21"/>
              </w:rPr>
              <w:t>1≤</w:t>
            </w:r>
            <w:r>
              <w:rPr>
                <w:rFonts w:hint="eastAsia" w:hAnsi="宋体"/>
                <w:szCs w:val="21"/>
              </w:rPr>
              <w:t>得分</w:t>
            </w:r>
            <w:r>
              <w:rPr>
                <w:rFonts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hAnsi="宋体"/>
                <w:szCs w:val="21"/>
              </w:rPr>
            </w:pPr>
            <w:r>
              <w:rPr>
                <w:rFonts w:hAnsi="宋体"/>
                <w:szCs w:val="21"/>
              </w:rPr>
              <w:t>4</w:t>
            </w:r>
          </w:p>
        </w:tc>
        <w:tc>
          <w:tcPr>
            <w:tcW w:w="1276" w:type="dxa"/>
            <w:vMerge w:val="restart"/>
            <w:vAlign w:val="center"/>
          </w:tcPr>
          <w:p>
            <w:pPr>
              <w:jc w:val="left"/>
              <w:rPr>
                <w:rFonts w:hAnsi="宋体"/>
                <w:szCs w:val="21"/>
              </w:rPr>
            </w:pPr>
            <w:r>
              <w:rPr>
                <w:rFonts w:hint="eastAsia" w:hAnsi="宋体"/>
                <w:szCs w:val="21"/>
              </w:rPr>
              <w:t>安全管理体系与措施</w:t>
            </w:r>
          </w:p>
        </w:tc>
        <w:tc>
          <w:tcPr>
            <w:tcW w:w="851" w:type="dxa"/>
            <w:vMerge w:val="restart"/>
            <w:vAlign w:val="center"/>
          </w:tcPr>
          <w:p>
            <w:pPr>
              <w:jc w:val="center"/>
              <w:rPr>
                <w:rFonts w:hAnsi="宋体"/>
                <w:szCs w:val="21"/>
              </w:rPr>
            </w:pPr>
            <w:r>
              <w:rPr>
                <w:rFonts w:hAnsi="宋体"/>
                <w:szCs w:val="21"/>
              </w:rPr>
              <w:t>1-2</w:t>
            </w:r>
            <w:r>
              <w:rPr>
                <w:rFonts w:hint="eastAsia" w:hAnsi="宋体"/>
                <w:szCs w:val="21"/>
              </w:rPr>
              <w:t>分</w:t>
            </w:r>
          </w:p>
        </w:tc>
        <w:tc>
          <w:tcPr>
            <w:tcW w:w="5528" w:type="dxa"/>
            <w:vAlign w:val="center"/>
          </w:tcPr>
          <w:p>
            <w:pPr>
              <w:spacing w:line="360" w:lineRule="exact"/>
              <w:rPr>
                <w:rFonts w:hAnsi="宋体"/>
                <w:szCs w:val="21"/>
              </w:rPr>
            </w:pPr>
            <w:r>
              <w:rPr>
                <w:rFonts w:hint="eastAsia" w:hAnsi="宋体"/>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76" w:type="dxa"/>
            <w:vAlign w:val="center"/>
          </w:tcPr>
          <w:p>
            <w:pPr>
              <w:jc w:val="center"/>
              <w:rPr>
                <w:rFonts w:hAnsi="宋体"/>
                <w:szCs w:val="21"/>
              </w:rPr>
            </w:pPr>
            <w:r>
              <w:rPr>
                <w:rFonts w:hAnsi="宋体"/>
                <w:szCs w:val="21"/>
              </w:rPr>
              <w:t>1.5</w:t>
            </w:r>
            <w:r>
              <w:rPr>
                <w:rFonts w:hint="eastAsia" w:hAnsi="宋体"/>
                <w:szCs w:val="21"/>
              </w:rPr>
              <w:t>＜得分</w:t>
            </w:r>
            <w:r>
              <w:rPr>
                <w:rFonts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hAnsi="宋体"/>
                <w:szCs w:val="21"/>
              </w:rPr>
            </w:pPr>
          </w:p>
        </w:tc>
        <w:tc>
          <w:tcPr>
            <w:tcW w:w="1276" w:type="dxa"/>
            <w:vMerge w:val="continue"/>
            <w:vAlign w:val="center"/>
          </w:tcPr>
          <w:p>
            <w:pPr>
              <w:jc w:val="left"/>
              <w:rPr>
                <w:rFonts w:hAnsi="宋体"/>
                <w:szCs w:val="21"/>
              </w:rPr>
            </w:pPr>
          </w:p>
        </w:tc>
        <w:tc>
          <w:tcPr>
            <w:tcW w:w="851" w:type="dxa"/>
            <w:vMerge w:val="continue"/>
            <w:vAlign w:val="center"/>
          </w:tcPr>
          <w:p>
            <w:pPr>
              <w:jc w:val="left"/>
              <w:rPr>
                <w:rFonts w:hAnsi="宋体"/>
                <w:szCs w:val="21"/>
              </w:rPr>
            </w:pPr>
          </w:p>
        </w:tc>
        <w:tc>
          <w:tcPr>
            <w:tcW w:w="5528" w:type="dxa"/>
            <w:vAlign w:val="center"/>
          </w:tcPr>
          <w:p>
            <w:pPr>
              <w:spacing w:line="340" w:lineRule="exact"/>
              <w:rPr>
                <w:rFonts w:hAnsi="宋体"/>
                <w:szCs w:val="21"/>
              </w:rPr>
            </w:pPr>
            <w:r>
              <w:rPr>
                <w:rFonts w:hint="eastAsia" w:hAnsi="宋体"/>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76" w:type="dxa"/>
            <w:vAlign w:val="center"/>
          </w:tcPr>
          <w:p>
            <w:pPr>
              <w:jc w:val="center"/>
              <w:rPr>
                <w:rFonts w:hAnsi="宋体"/>
                <w:szCs w:val="21"/>
              </w:rPr>
            </w:pPr>
            <w:r>
              <w:rPr>
                <w:rFonts w:hAnsi="宋体"/>
                <w:szCs w:val="21"/>
              </w:rPr>
              <w:t>1≤</w:t>
            </w:r>
            <w:r>
              <w:rPr>
                <w:rFonts w:hint="eastAsia" w:hAnsi="宋体"/>
                <w:szCs w:val="21"/>
              </w:rPr>
              <w:t>得分</w:t>
            </w:r>
            <w:r>
              <w:rPr>
                <w:rFonts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hAnsi="宋体"/>
                <w:szCs w:val="21"/>
              </w:rPr>
            </w:pPr>
            <w:r>
              <w:rPr>
                <w:rFonts w:hAnsi="宋体"/>
                <w:szCs w:val="21"/>
              </w:rPr>
              <w:t>5</w:t>
            </w:r>
          </w:p>
        </w:tc>
        <w:tc>
          <w:tcPr>
            <w:tcW w:w="1276" w:type="dxa"/>
            <w:vMerge w:val="restart"/>
            <w:vAlign w:val="center"/>
          </w:tcPr>
          <w:p>
            <w:pPr>
              <w:jc w:val="left"/>
              <w:rPr>
                <w:rFonts w:hAnsi="宋体"/>
                <w:szCs w:val="21"/>
              </w:rPr>
            </w:pPr>
            <w:r>
              <w:rPr>
                <w:rFonts w:hint="eastAsia" w:hAnsi="宋体"/>
                <w:szCs w:val="21"/>
              </w:rPr>
              <w:t>文明施工、环境保护管理体系及施工现场扬尘治理措施</w:t>
            </w:r>
          </w:p>
        </w:tc>
        <w:tc>
          <w:tcPr>
            <w:tcW w:w="851" w:type="dxa"/>
            <w:vMerge w:val="restart"/>
            <w:vAlign w:val="center"/>
          </w:tcPr>
          <w:p>
            <w:pPr>
              <w:jc w:val="center"/>
              <w:rPr>
                <w:rFonts w:hAnsi="宋体"/>
                <w:szCs w:val="21"/>
              </w:rPr>
            </w:pPr>
            <w:r>
              <w:rPr>
                <w:rFonts w:hAnsi="宋体"/>
                <w:szCs w:val="21"/>
              </w:rPr>
              <w:t>1-3</w:t>
            </w:r>
            <w:r>
              <w:rPr>
                <w:rFonts w:hint="eastAsia" w:hAnsi="宋体"/>
                <w:szCs w:val="21"/>
              </w:rPr>
              <w:t>分</w:t>
            </w:r>
          </w:p>
        </w:tc>
        <w:tc>
          <w:tcPr>
            <w:tcW w:w="5528" w:type="dxa"/>
            <w:vAlign w:val="center"/>
          </w:tcPr>
          <w:p>
            <w:pPr>
              <w:spacing w:line="300" w:lineRule="exact"/>
              <w:rPr>
                <w:rFonts w:hAnsi="宋体"/>
                <w:szCs w:val="21"/>
              </w:rPr>
            </w:pPr>
            <w:r>
              <w:rPr>
                <w:rFonts w:hint="eastAsia" w:hAnsi="宋体"/>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Ansi="宋体"/>
                <w:szCs w:val="21"/>
              </w:rPr>
              <w:t>DBJ41/174</w:t>
            </w:r>
            <w:r>
              <w:rPr>
                <w:rFonts w:hint="eastAsia" w:hAnsi="宋体"/>
                <w:szCs w:val="21"/>
              </w:rPr>
              <w:t>）的规定，防治方案科学、先进。</w:t>
            </w:r>
          </w:p>
        </w:tc>
        <w:tc>
          <w:tcPr>
            <w:tcW w:w="1276" w:type="dxa"/>
            <w:vAlign w:val="center"/>
          </w:tcPr>
          <w:p>
            <w:pPr>
              <w:jc w:val="center"/>
              <w:rPr>
                <w:rFonts w:hAnsi="宋体"/>
                <w:szCs w:val="21"/>
              </w:rPr>
            </w:pPr>
            <w:r>
              <w:rPr>
                <w:rFonts w:hAnsi="宋体"/>
                <w:szCs w:val="21"/>
              </w:rPr>
              <w:t>2</w:t>
            </w:r>
            <w:r>
              <w:rPr>
                <w:rFonts w:hint="eastAsia" w:hAnsi="宋体"/>
                <w:szCs w:val="21"/>
              </w:rPr>
              <w:t>＜得分</w:t>
            </w:r>
            <w:r>
              <w:rPr>
                <w:rFonts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hAnsi="宋体"/>
                <w:szCs w:val="21"/>
              </w:rPr>
            </w:pPr>
          </w:p>
        </w:tc>
        <w:tc>
          <w:tcPr>
            <w:tcW w:w="1276" w:type="dxa"/>
            <w:vMerge w:val="continue"/>
            <w:vAlign w:val="center"/>
          </w:tcPr>
          <w:p>
            <w:pPr>
              <w:jc w:val="left"/>
              <w:rPr>
                <w:rFonts w:hAnsi="宋体"/>
                <w:szCs w:val="21"/>
              </w:rPr>
            </w:pPr>
          </w:p>
        </w:tc>
        <w:tc>
          <w:tcPr>
            <w:tcW w:w="851" w:type="dxa"/>
            <w:vMerge w:val="continue"/>
            <w:vAlign w:val="center"/>
          </w:tcPr>
          <w:p>
            <w:pPr>
              <w:jc w:val="left"/>
              <w:rPr>
                <w:rFonts w:hAnsi="宋体"/>
                <w:szCs w:val="21"/>
              </w:rPr>
            </w:pPr>
          </w:p>
        </w:tc>
        <w:tc>
          <w:tcPr>
            <w:tcW w:w="5528" w:type="dxa"/>
            <w:vAlign w:val="center"/>
          </w:tcPr>
          <w:p>
            <w:pPr>
              <w:spacing w:line="300" w:lineRule="exact"/>
              <w:rPr>
                <w:rFonts w:hAnsi="宋体"/>
                <w:szCs w:val="21"/>
              </w:rPr>
            </w:pPr>
            <w:r>
              <w:rPr>
                <w:rFonts w:hint="eastAsia" w:hAnsi="宋体"/>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Ansi="宋体"/>
                <w:szCs w:val="21"/>
              </w:rPr>
              <w:t>DBJ41/174</w:t>
            </w:r>
            <w:r>
              <w:rPr>
                <w:rFonts w:hint="eastAsia" w:hAnsi="宋体"/>
                <w:szCs w:val="21"/>
              </w:rPr>
              <w:t>）的规定，有防治方案。</w:t>
            </w:r>
          </w:p>
        </w:tc>
        <w:tc>
          <w:tcPr>
            <w:tcW w:w="1276" w:type="dxa"/>
            <w:vAlign w:val="center"/>
          </w:tcPr>
          <w:p>
            <w:pPr>
              <w:jc w:val="center"/>
              <w:rPr>
                <w:rFonts w:hAnsi="宋体"/>
                <w:szCs w:val="21"/>
              </w:rPr>
            </w:pPr>
            <w:r>
              <w:rPr>
                <w:rFonts w:hAnsi="宋体"/>
                <w:szCs w:val="21"/>
              </w:rPr>
              <w:t>1≤</w:t>
            </w:r>
            <w:r>
              <w:rPr>
                <w:rFonts w:hint="eastAsia" w:hAnsi="宋体"/>
                <w:szCs w:val="21"/>
              </w:rPr>
              <w:t>得分</w:t>
            </w:r>
            <w:r>
              <w:rPr>
                <w:rFonts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hAnsi="宋体"/>
                <w:szCs w:val="21"/>
              </w:rPr>
            </w:pPr>
            <w:r>
              <w:rPr>
                <w:rFonts w:hAnsi="宋体"/>
                <w:szCs w:val="21"/>
              </w:rPr>
              <w:t>6</w:t>
            </w:r>
          </w:p>
        </w:tc>
        <w:tc>
          <w:tcPr>
            <w:tcW w:w="1276" w:type="dxa"/>
            <w:vMerge w:val="restart"/>
            <w:vAlign w:val="center"/>
          </w:tcPr>
          <w:p>
            <w:pPr>
              <w:jc w:val="left"/>
              <w:rPr>
                <w:rFonts w:hAnsi="宋体"/>
                <w:szCs w:val="21"/>
              </w:rPr>
            </w:pPr>
            <w:r>
              <w:rPr>
                <w:rFonts w:hint="eastAsia" w:hAnsi="宋体"/>
                <w:szCs w:val="21"/>
              </w:rPr>
              <w:t>工期保证措施</w:t>
            </w:r>
          </w:p>
        </w:tc>
        <w:tc>
          <w:tcPr>
            <w:tcW w:w="851" w:type="dxa"/>
            <w:vMerge w:val="restart"/>
            <w:vAlign w:val="center"/>
          </w:tcPr>
          <w:p>
            <w:pPr>
              <w:jc w:val="center"/>
              <w:rPr>
                <w:rFonts w:hAnsi="宋体"/>
                <w:szCs w:val="21"/>
              </w:rPr>
            </w:pPr>
            <w:r>
              <w:rPr>
                <w:rFonts w:hAnsi="宋体"/>
                <w:szCs w:val="21"/>
              </w:rPr>
              <w:t>1-2</w:t>
            </w:r>
            <w:r>
              <w:rPr>
                <w:rFonts w:hint="eastAsia" w:hAnsi="宋体"/>
                <w:szCs w:val="21"/>
              </w:rPr>
              <w:t>分</w:t>
            </w:r>
          </w:p>
        </w:tc>
        <w:tc>
          <w:tcPr>
            <w:tcW w:w="5528" w:type="dxa"/>
            <w:vAlign w:val="center"/>
          </w:tcPr>
          <w:p>
            <w:pPr>
              <w:spacing w:line="300" w:lineRule="exact"/>
              <w:rPr>
                <w:rFonts w:hAnsi="宋体"/>
                <w:szCs w:val="21"/>
              </w:rPr>
            </w:pPr>
            <w:r>
              <w:rPr>
                <w:rFonts w:hint="eastAsia" w:hAnsi="宋体"/>
                <w:szCs w:val="21"/>
              </w:rPr>
              <w:t>工期承诺满足招标文件要求，工期保证措施合理且有针对性，有具体的违约责任承诺。</w:t>
            </w:r>
          </w:p>
        </w:tc>
        <w:tc>
          <w:tcPr>
            <w:tcW w:w="1276" w:type="dxa"/>
            <w:vAlign w:val="center"/>
          </w:tcPr>
          <w:p>
            <w:pPr>
              <w:jc w:val="center"/>
              <w:rPr>
                <w:rFonts w:hAnsi="宋体"/>
                <w:szCs w:val="21"/>
              </w:rPr>
            </w:pPr>
            <w:r>
              <w:rPr>
                <w:rFonts w:hAnsi="宋体"/>
                <w:szCs w:val="21"/>
              </w:rPr>
              <w:t>1.5</w:t>
            </w:r>
            <w:r>
              <w:rPr>
                <w:rFonts w:hint="eastAsia" w:hAnsi="宋体"/>
                <w:szCs w:val="21"/>
              </w:rPr>
              <w:t>＜得分</w:t>
            </w:r>
            <w:r>
              <w:rPr>
                <w:rFonts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hAnsi="宋体"/>
                <w:szCs w:val="21"/>
              </w:rPr>
            </w:pPr>
          </w:p>
        </w:tc>
        <w:tc>
          <w:tcPr>
            <w:tcW w:w="1276" w:type="dxa"/>
            <w:vMerge w:val="continue"/>
            <w:vAlign w:val="center"/>
          </w:tcPr>
          <w:p>
            <w:pPr>
              <w:jc w:val="left"/>
              <w:rPr>
                <w:rFonts w:hAnsi="宋体"/>
                <w:szCs w:val="21"/>
              </w:rPr>
            </w:pPr>
          </w:p>
        </w:tc>
        <w:tc>
          <w:tcPr>
            <w:tcW w:w="851" w:type="dxa"/>
            <w:vMerge w:val="continue"/>
            <w:vAlign w:val="center"/>
          </w:tcPr>
          <w:p>
            <w:pPr>
              <w:jc w:val="left"/>
              <w:rPr>
                <w:rFonts w:hAnsi="宋体"/>
                <w:szCs w:val="21"/>
              </w:rPr>
            </w:pPr>
          </w:p>
        </w:tc>
        <w:tc>
          <w:tcPr>
            <w:tcW w:w="5528" w:type="dxa"/>
            <w:vAlign w:val="center"/>
          </w:tcPr>
          <w:p>
            <w:pPr>
              <w:spacing w:line="300" w:lineRule="exact"/>
              <w:rPr>
                <w:rFonts w:hAnsi="宋体"/>
                <w:szCs w:val="21"/>
              </w:rPr>
            </w:pPr>
            <w:r>
              <w:rPr>
                <w:rFonts w:hint="eastAsia" w:hAnsi="宋体"/>
                <w:szCs w:val="21"/>
              </w:rPr>
              <w:t>工期承诺满足招标文件要求，工期保证措施基本合理，有具体的违约责任承诺。</w:t>
            </w:r>
          </w:p>
        </w:tc>
        <w:tc>
          <w:tcPr>
            <w:tcW w:w="1276" w:type="dxa"/>
            <w:vAlign w:val="center"/>
          </w:tcPr>
          <w:p>
            <w:pPr>
              <w:jc w:val="center"/>
              <w:rPr>
                <w:rFonts w:hAnsi="宋体"/>
                <w:szCs w:val="21"/>
              </w:rPr>
            </w:pPr>
            <w:r>
              <w:rPr>
                <w:rFonts w:hAnsi="宋体"/>
                <w:szCs w:val="21"/>
              </w:rPr>
              <w:t>1≤</w:t>
            </w:r>
            <w:r>
              <w:rPr>
                <w:rFonts w:hint="eastAsia" w:hAnsi="宋体"/>
                <w:szCs w:val="21"/>
              </w:rPr>
              <w:t>得分</w:t>
            </w:r>
            <w:r>
              <w:rPr>
                <w:rFonts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hAnsi="宋体"/>
                <w:szCs w:val="21"/>
              </w:rPr>
            </w:pPr>
            <w:r>
              <w:rPr>
                <w:rFonts w:hAnsi="宋体"/>
                <w:szCs w:val="21"/>
              </w:rPr>
              <w:t>7</w:t>
            </w:r>
          </w:p>
        </w:tc>
        <w:tc>
          <w:tcPr>
            <w:tcW w:w="1276" w:type="dxa"/>
            <w:vMerge w:val="restart"/>
            <w:vAlign w:val="center"/>
          </w:tcPr>
          <w:p>
            <w:pPr>
              <w:jc w:val="center"/>
              <w:rPr>
                <w:rFonts w:hAnsi="宋体"/>
                <w:szCs w:val="21"/>
              </w:rPr>
            </w:pPr>
            <w:r>
              <w:rPr>
                <w:rFonts w:hint="eastAsia" w:hAnsi="宋体"/>
                <w:szCs w:val="21"/>
              </w:rPr>
              <w:t>拟投入资源配备计划</w:t>
            </w:r>
          </w:p>
        </w:tc>
        <w:tc>
          <w:tcPr>
            <w:tcW w:w="851" w:type="dxa"/>
            <w:vMerge w:val="restart"/>
            <w:vAlign w:val="center"/>
          </w:tcPr>
          <w:p>
            <w:pPr>
              <w:jc w:val="center"/>
              <w:rPr>
                <w:rFonts w:hAnsi="宋体"/>
                <w:szCs w:val="21"/>
              </w:rPr>
            </w:pPr>
            <w:r>
              <w:rPr>
                <w:rFonts w:hAnsi="宋体"/>
                <w:szCs w:val="21"/>
              </w:rPr>
              <w:t>0.5-2</w:t>
            </w:r>
            <w:r>
              <w:rPr>
                <w:rFonts w:hint="eastAsia" w:hAnsi="宋体"/>
                <w:szCs w:val="21"/>
              </w:rPr>
              <w:t>分</w:t>
            </w:r>
          </w:p>
        </w:tc>
        <w:tc>
          <w:tcPr>
            <w:tcW w:w="5528" w:type="dxa"/>
            <w:vAlign w:val="center"/>
          </w:tcPr>
          <w:p>
            <w:pPr>
              <w:spacing w:line="300" w:lineRule="exact"/>
              <w:rPr>
                <w:rFonts w:hAnsi="宋体"/>
                <w:szCs w:val="21"/>
              </w:rPr>
            </w:pPr>
            <w:r>
              <w:rPr>
                <w:rFonts w:hAnsi="宋体"/>
                <w:szCs w:val="21"/>
              </w:rPr>
              <w:t>1.</w:t>
            </w:r>
            <w:r>
              <w:rPr>
                <w:rFonts w:hint="eastAsia" w:hAnsi="宋体"/>
                <w:szCs w:val="21"/>
              </w:rPr>
              <w:t>机械：投入计划与进度计划呼应，采用先进机械设备且配置合理、先进，满足安全技术规范和施工进度需要；</w:t>
            </w:r>
            <w:r>
              <w:rPr>
                <w:rFonts w:hAnsi="宋体"/>
                <w:szCs w:val="21"/>
              </w:rPr>
              <w:t>PC</w:t>
            </w:r>
            <w:r>
              <w:rPr>
                <w:rFonts w:hint="eastAsia" w:hAnsi="宋体"/>
                <w:szCs w:val="21"/>
              </w:rPr>
              <w:t>构件运输、安装设备满足施工要求；</w:t>
            </w:r>
          </w:p>
          <w:p>
            <w:pPr>
              <w:spacing w:line="300" w:lineRule="exact"/>
              <w:rPr>
                <w:rFonts w:hAnsi="宋体"/>
                <w:szCs w:val="21"/>
              </w:rPr>
            </w:pPr>
            <w:r>
              <w:rPr>
                <w:rFonts w:hAnsi="宋体"/>
                <w:szCs w:val="21"/>
              </w:rPr>
              <w:t>2.</w:t>
            </w:r>
            <w:r>
              <w:rPr>
                <w:rFonts w:hint="eastAsia" w:hAnsi="宋体"/>
                <w:szCs w:val="21"/>
              </w:rPr>
              <w:t>劳动力：投入计划与进度计划呼应，较好满足施工需要，调配投入计划合理、准确；</w:t>
            </w:r>
          </w:p>
          <w:p>
            <w:pPr>
              <w:spacing w:line="300" w:lineRule="exact"/>
              <w:rPr>
                <w:rFonts w:hAnsi="宋体"/>
                <w:szCs w:val="21"/>
              </w:rPr>
            </w:pPr>
            <w:r>
              <w:rPr>
                <w:rFonts w:hAnsi="宋体"/>
                <w:szCs w:val="21"/>
              </w:rPr>
              <w:t>3.</w:t>
            </w:r>
            <w:r>
              <w:rPr>
                <w:rFonts w:hint="eastAsia" w:hAnsi="宋体"/>
                <w:szCs w:val="21"/>
              </w:rPr>
              <w:t>主要物资计划：主要物资（含</w:t>
            </w:r>
            <w:r>
              <w:rPr>
                <w:rFonts w:hAnsi="宋体"/>
                <w:szCs w:val="21"/>
              </w:rPr>
              <w:t>PC</w:t>
            </w:r>
            <w:r>
              <w:rPr>
                <w:rFonts w:hint="eastAsia" w:hAnsi="宋体"/>
                <w:szCs w:val="21"/>
              </w:rPr>
              <w:t>构件的供应需求）投入计划与进度计划呼应，较好满足施工需要，调配投入计划合理、准确。</w:t>
            </w:r>
          </w:p>
        </w:tc>
        <w:tc>
          <w:tcPr>
            <w:tcW w:w="1276" w:type="dxa"/>
            <w:vAlign w:val="center"/>
          </w:tcPr>
          <w:p>
            <w:pPr>
              <w:jc w:val="center"/>
              <w:rPr>
                <w:rFonts w:hAnsi="宋体"/>
                <w:szCs w:val="21"/>
              </w:rPr>
            </w:pPr>
            <w:r>
              <w:rPr>
                <w:rFonts w:hAnsi="宋体"/>
                <w:szCs w:val="21"/>
              </w:rPr>
              <w:t>1</w:t>
            </w:r>
            <w:r>
              <w:rPr>
                <w:rFonts w:hint="eastAsia" w:hAnsi="宋体"/>
                <w:szCs w:val="21"/>
              </w:rPr>
              <w:t>＜得分</w:t>
            </w:r>
            <w:r>
              <w:rPr>
                <w:rFonts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hAnsi="宋体"/>
                <w:szCs w:val="21"/>
              </w:rPr>
            </w:pPr>
          </w:p>
        </w:tc>
        <w:tc>
          <w:tcPr>
            <w:tcW w:w="1276" w:type="dxa"/>
            <w:vMerge w:val="continue"/>
            <w:vAlign w:val="center"/>
          </w:tcPr>
          <w:p>
            <w:pPr>
              <w:jc w:val="left"/>
              <w:rPr>
                <w:rFonts w:hAnsi="宋体"/>
                <w:szCs w:val="21"/>
              </w:rPr>
            </w:pPr>
          </w:p>
        </w:tc>
        <w:tc>
          <w:tcPr>
            <w:tcW w:w="851" w:type="dxa"/>
            <w:vMerge w:val="continue"/>
            <w:vAlign w:val="center"/>
          </w:tcPr>
          <w:p>
            <w:pPr>
              <w:jc w:val="left"/>
              <w:rPr>
                <w:rFonts w:hAnsi="宋体"/>
                <w:szCs w:val="21"/>
              </w:rPr>
            </w:pPr>
          </w:p>
        </w:tc>
        <w:tc>
          <w:tcPr>
            <w:tcW w:w="5528" w:type="dxa"/>
            <w:vAlign w:val="center"/>
          </w:tcPr>
          <w:p>
            <w:pPr>
              <w:spacing w:line="300" w:lineRule="exact"/>
              <w:rPr>
                <w:rFonts w:hAnsi="宋体"/>
                <w:szCs w:val="21"/>
              </w:rPr>
            </w:pPr>
            <w:r>
              <w:rPr>
                <w:rFonts w:hAnsi="宋体"/>
                <w:szCs w:val="21"/>
              </w:rPr>
              <w:t>1.</w:t>
            </w:r>
            <w:r>
              <w:rPr>
                <w:rFonts w:hint="eastAsia" w:hAnsi="宋体"/>
                <w:szCs w:val="21"/>
              </w:rPr>
              <w:t>机械：投入计划与进度计划呼应，机械设备配置基本合理，满足安全技术规范和施工进度需要；</w:t>
            </w:r>
          </w:p>
          <w:p>
            <w:pPr>
              <w:spacing w:line="300" w:lineRule="exact"/>
              <w:rPr>
                <w:rFonts w:hAnsi="宋体"/>
                <w:szCs w:val="21"/>
              </w:rPr>
            </w:pPr>
            <w:r>
              <w:rPr>
                <w:rFonts w:hAnsi="宋体"/>
                <w:szCs w:val="21"/>
              </w:rPr>
              <w:t>2.</w:t>
            </w:r>
            <w:r>
              <w:rPr>
                <w:rFonts w:hint="eastAsia" w:hAnsi="宋体"/>
                <w:szCs w:val="21"/>
              </w:rPr>
              <w:t>劳动力：投入计划与进度计划呼应，基本满足施工需要，调配投入计划基本合理；</w:t>
            </w:r>
          </w:p>
          <w:p>
            <w:pPr>
              <w:spacing w:line="300" w:lineRule="exact"/>
              <w:rPr>
                <w:rFonts w:hAnsi="宋体"/>
                <w:spacing w:val="-4"/>
                <w:szCs w:val="21"/>
              </w:rPr>
            </w:pPr>
            <w:r>
              <w:rPr>
                <w:rFonts w:hAnsi="宋体"/>
                <w:spacing w:val="-4"/>
                <w:szCs w:val="21"/>
              </w:rPr>
              <w:t>3.</w:t>
            </w:r>
            <w:r>
              <w:rPr>
                <w:rFonts w:hint="eastAsia" w:hAnsi="宋体"/>
                <w:spacing w:val="-4"/>
                <w:szCs w:val="21"/>
              </w:rPr>
              <w:t>主要物资计划：主要物资（含</w:t>
            </w:r>
            <w:r>
              <w:rPr>
                <w:rFonts w:hAnsi="宋体"/>
                <w:spacing w:val="-4"/>
                <w:szCs w:val="21"/>
              </w:rPr>
              <w:t>PC</w:t>
            </w:r>
            <w:r>
              <w:rPr>
                <w:rFonts w:hint="eastAsia" w:hAnsi="宋体"/>
                <w:spacing w:val="-4"/>
                <w:szCs w:val="21"/>
              </w:rPr>
              <w:t>构件的供应需求）投入计划与进度计划呼应，基本满足施工需要，调配投入计划基本合理。</w:t>
            </w:r>
          </w:p>
        </w:tc>
        <w:tc>
          <w:tcPr>
            <w:tcW w:w="1276" w:type="dxa"/>
            <w:vAlign w:val="center"/>
          </w:tcPr>
          <w:p>
            <w:pPr>
              <w:jc w:val="center"/>
              <w:rPr>
                <w:rFonts w:hAnsi="宋体"/>
                <w:szCs w:val="21"/>
              </w:rPr>
            </w:pPr>
            <w:r>
              <w:rPr>
                <w:rFonts w:hAnsi="宋体"/>
                <w:szCs w:val="21"/>
              </w:rPr>
              <w:t>0.5≤</w:t>
            </w:r>
            <w:r>
              <w:rPr>
                <w:rFonts w:hint="eastAsia" w:hAnsi="宋体"/>
                <w:szCs w:val="21"/>
              </w:rPr>
              <w:t>得分</w:t>
            </w:r>
            <w:r>
              <w:rPr>
                <w:rFonts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hAnsi="宋体"/>
                <w:szCs w:val="21"/>
              </w:rPr>
            </w:pPr>
            <w:r>
              <w:rPr>
                <w:rFonts w:hAnsi="宋体"/>
                <w:szCs w:val="21"/>
              </w:rPr>
              <w:t>8</w:t>
            </w:r>
          </w:p>
        </w:tc>
        <w:tc>
          <w:tcPr>
            <w:tcW w:w="1276" w:type="dxa"/>
            <w:vMerge w:val="restart"/>
            <w:vAlign w:val="center"/>
          </w:tcPr>
          <w:p>
            <w:pPr>
              <w:jc w:val="left"/>
              <w:rPr>
                <w:rFonts w:hAnsi="宋体"/>
                <w:szCs w:val="21"/>
              </w:rPr>
            </w:pPr>
            <w:r>
              <w:rPr>
                <w:rFonts w:hint="eastAsia" w:hAnsi="宋体"/>
                <w:szCs w:val="21"/>
              </w:rPr>
              <w:t>施工进度表与网络计划图</w:t>
            </w:r>
          </w:p>
        </w:tc>
        <w:tc>
          <w:tcPr>
            <w:tcW w:w="851" w:type="dxa"/>
            <w:vMerge w:val="restart"/>
            <w:vAlign w:val="center"/>
          </w:tcPr>
          <w:p>
            <w:pPr>
              <w:jc w:val="center"/>
              <w:rPr>
                <w:rFonts w:hAnsi="宋体"/>
                <w:szCs w:val="21"/>
              </w:rPr>
            </w:pPr>
            <w:r>
              <w:rPr>
                <w:rFonts w:hAnsi="宋体"/>
                <w:szCs w:val="21"/>
              </w:rPr>
              <w:t>0.5-2</w:t>
            </w:r>
            <w:r>
              <w:rPr>
                <w:rFonts w:hint="eastAsia" w:hAnsi="宋体"/>
                <w:szCs w:val="21"/>
              </w:rPr>
              <w:t>分</w:t>
            </w:r>
          </w:p>
        </w:tc>
        <w:tc>
          <w:tcPr>
            <w:tcW w:w="5528" w:type="dxa"/>
            <w:vAlign w:val="center"/>
          </w:tcPr>
          <w:p>
            <w:pPr>
              <w:spacing w:line="300" w:lineRule="exact"/>
              <w:rPr>
                <w:rFonts w:hAnsi="宋体"/>
                <w:szCs w:val="21"/>
              </w:rPr>
            </w:pPr>
            <w:r>
              <w:rPr>
                <w:rFonts w:hint="eastAsia" w:hAnsi="宋体"/>
                <w:szCs w:val="21"/>
              </w:rPr>
              <w:t>关键线路清晰、准确、完整、计划编制合理、可行、满足招标文件对工期的要求。</w:t>
            </w:r>
          </w:p>
        </w:tc>
        <w:tc>
          <w:tcPr>
            <w:tcW w:w="1276" w:type="dxa"/>
            <w:vAlign w:val="center"/>
          </w:tcPr>
          <w:p>
            <w:pPr>
              <w:jc w:val="center"/>
              <w:rPr>
                <w:rFonts w:hAnsi="宋体"/>
                <w:szCs w:val="21"/>
              </w:rPr>
            </w:pPr>
            <w:r>
              <w:rPr>
                <w:rFonts w:hAnsi="宋体"/>
                <w:szCs w:val="21"/>
              </w:rPr>
              <w:t>1</w:t>
            </w:r>
            <w:r>
              <w:rPr>
                <w:rFonts w:hint="eastAsia" w:hAnsi="宋体"/>
                <w:szCs w:val="21"/>
              </w:rPr>
              <w:t>＜得分</w:t>
            </w:r>
            <w:r>
              <w:rPr>
                <w:rFonts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hAnsi="宋体"/>
                <w:szCs w:val="21"/>
              </w:rPr>
            </w:pPr>
          </w:p>
        </w:tc>
        <w:tc>
          <w:tcPr>
            <w:tcW w:w="1276" w:type="dxa"/>
            <w:vMerge w:val="continue"/>
            <w:vAlign w:val="center"/>
          </w:tcPr>
          <w:p>
            <w:pPr>
              <w:jc w:val="left"/>
              <w:rPr>
                <w:rFonts w:hAnsi="宋体"/>
                <w:szCs w:val="21"/>
              </w:rPr>
            </w:pPr>
          </w:p>
        </w:tc>
        <w:tc>
          <w:tcPr>
            <w:tcW w:w="851" w:type="dxa"/>
            <w:vMerge w:val="continue"/>
            <w:vAlign w:val="center"/>
          </w:tcPr>
          <w:p>
            <w:pPr>
              <w:jc w:val="left"/>
              <w:rPr>
                <w:rFonts w:hAnsi="宋体"/>
                <w:szCs w:val="21"/>
              </w:rPr>
            </w:pPr>
          </w:p>
        </w:tc>
        <w:tc>
          <w:tcPr>
            <w:tcW w:w="5528" w:type="dxa"/>
            <w:vAlign w:val="center"/>
          </w:tcPr>
          <w:p>
            <w:pPr>
              <w:spacing w:line="300" w:lineRule="exact"/>
              <w:rPr>
                <w:rFonts w:hAnsi="宋体"/>
                <w:szCs w:val="21"/>
              </w:rPr>
            </w:pPr>
            <w:r>
              <w:rPr>
                <w:rFonts w:hint="eastAsia" w:hAnsi="宋体"/>
                <w:szCs w:val="21"/>
              </w:rPr>
              <w:t>关键线路基本准确，计划编制基本可行。</w:t>
            </w:r>
          </w:p>
        </w:tc>
        <w:tc>
          <w:tcPr>
            <w:tcW w:w="1276" w:type="dxa"/>
            <w:vAlign w:val="center"/>
          </w:tcPr>
          <w:p>
            <w:pPr>
              <w:jc w:val="center"/>
              <w:rPr>
                <w:rFonts w:hAnsi="宋体"/>
                <w:szCs w:val="21"/>
              </w:rPr>
            </w:pPr>
            <w:r>
              <w:rPr>
                <w:rFonts w:hAnsi="宋体"/>
                <w:szCs w:val="21"/>
              </w:rPr>
              <w:t>0.5≤</w:t>
            </w:r>
            <w:r>
              <w:rPr>
                <w:rFonts w:hint="eastAsia" w:hAnsi="宋体"/>
                <w:szCs w:val="21"/>
              </w:rPr>
              <w:t>得分</w:t>
            </w:r>
            <w:r>
              <w:rPr>
                <w:rFonts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hAnsi="宋体"/>
                <w:szCs w:val="21"/>
              </w:rPr>
            </w:pPr>
            <w:r>
              <w:rPr>
                <w:rFonts w:hAnsi="宋体"/>
                <w:szCs w:val="21"/>
              </w:rPr>
              <w:t>9</w:t>
            </w:r>
          </w:p>
        </w:tc>
        <w:tc>
          <w:tcPr>
            <w:tcW w:w="1276" w:type="dxa"/>
            <w:vMerge w:val="restart"/>
            <w:vAlign w:val="center"/>
          </w:tcPr>
          <w:p>
            <w:pPr>
              <w:jc w:val="left"/>
              <w:rPr>
                <w:rFonts w:hAnsi="宋体"/>
                <w:szCs w:val="21"/>
              </w:rPr>
            </w:pPr>
            <w:r>
              <w:rPr>
                <w:rFonts w:hint="eastAsia" w:hAnsi="宋体"/>
                <w:szCs w:val="21"/>
              </w:rPr>
              <w:t>施工总平面图布置</w:t>
            </w:r>
          </w:p>
        </w:tc>
        <w:tc>
          <w:tcPr>
            <w:tcW w:w="851" w:type="dxa"/>
            <w:vMerge w:val="restart"/>
            <w:vAlign w:val="center"/>
          </w:tcPr>
          <w:p>
            <w:pPr>
              <w:jc w:val="center"/>
              <w:rPr>
                <w:rFonts w:hAnsi="宋体"/>
                <w:szCs w:val="21"/>
              </w:rPr>
            </w:pPr>
            <w:r>
              <w:rPr>
                <w:rFonts w:hAnsi="宋体"/>
                <w:szCs w:val="21"/>
              </w:rPr>
              <w:t>0.5-1</w:t>
            </w:r>
            <w:r>
              <w:rPr>
                <w:rFonts w:hint="eastAsia" w:hAnsi="宋体"/>
                <w:szCs w:val="21"/>
              </w:rPr>
              <w:t>分</w:t>
            </w:r>
          </w:p>
        </w:tc>
        <w:tc>
          <w:tcPr>
            <w:tcW w:w="5528" w:type="dxa"/>
            <w:vAlign w:val="center"/>
          </w:tcPr>
          <w:p>
            <w:pPr>
              <w:spacing w:line="300" w:lineRule="exact"/>
              <w:rPr>
                <w:rFonts w:hAnsi="宋体"/>
                <w:szCs w:val="21"/>
              </w:rPr>
            </w:pPr>
            <w:r>
              <w:rPr>
                <w:rFonts w:hint="eastAsia" w:hAnsi="宋体"/>
                <w:szCs w:val="21"/>
              </w:rPr>
              <w:t>总体布置有针对性、合理、能较好满足施工需要，符合安全、文明施工要求；材料堆放有序。</w:t>
            </w:r>
          </w:p>
        </w:tc>
        <w:tc>
          <w:tcPr>
            <w:tcW w:w="1276" w:type="dxa"/>
            <w:vAlign w:val="center"/>
          </w:tcPr>
          <w:p>
            <w:pPr>
              <w:jc w:val="center"/>
              <w:rPr>
                <w:rFonts w:hAnsi="宋体"/>
                <w:szCs w:val="21"/>
              </w:rPr>
            </w:pPr>
            <w:r>
              <w:rPr>
                <w:rFonts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hAnsi="宋体"/>
                <w:szCs w:val="21"/>
              </w:rPr>
            </w:pPr>
          </w:p>
        </w:tc>
        <w:tc>
          <w:tcPr>
            <w:tcW w:w="1276" w:type="dxa"/>
            <w:vMerge w:val="continue"/>
            <w:vAlign w:val="center"/>
          </w:tcPr>
          <w:p>
            <w:pPr>
              <w:jc w:val="left"/>
              <w:rPr>
                <w:rFonts w:hAnsi="宋体"/>
                <w:szCs w:val="21"/>
              </w:rPr>
            </w:pPr>
          </w:p>
        </w:tc>
        <w:tc>
          <w:tcPr>
            <w:tcW w:w="851" w:type="dxa"/>
            <w:vMerge w:val="continue"/>
            <w:vAlign w:val="center"/>
          </w:tcPr>
          <w:p>
            <w:pPr>
              <w:jc w:val="left"/>
              <w:rPr>
                <w:rFonts w:hAnsi="宋体"/>
                <w:szCs w:val="21"/>
              </w:rPr>
            </w:pPr>
          </w:p>
        </w:tc>
        <w:tc>
          <w:tcPr>
            <w:tcW w:w="5528" w:type="dxa"/>
            <w:vAlign w:val="center"/>
          </w:tcPr>
          <w:p>
            <w:pPr>
              <w:spacing w:line="300" w:lineRule="exact"/>
              <w:rPr>
                <w:rFonts w:hAnsi="宋体"/>
                <w:szCs w:val="21"/>
              </w:rPr>
            </w:pPr>
            <w:r>
              <w:rPr>
                <w:rFonts w:hint="eastAsia" w:hAnsi="宋体"/>
                <w:szCs w:val="21"/>
              </w:rPr>
              <w:t>总体布置基本合理、基本满足施工需要。</w:t>
            </w:r>
          </w:p>
        </w:tc>
        <w:tc>
          <w:tcPr>
            <w:tcW w:w="1276" w:type="dxa"/>
            <w:vAlign w:val="center"/>
          </w:tcPr>
          <w:p>
            <w:pPr>
              <w:jc w:val="center"/>
              <w:rPr>
                <w:rFonts w:hAnsi="宋体"/>
                <w:szCs w:val="21"/>
              </w:rPr>
            </w:pPr>
            <w:r>
              <w:rPr>
                <w:rFonts w:hAnsi="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hAnsi="宋体"/>
                <w:szCs w:val="21"/>
              </w:rPr>
            </w:pPr>
            <w:r>
              <w:rPr>
                <w:rFonts w:hAnsi="宋体"/>
                <w:szCs w:val="21"/>
              </w:rPr>
              <w:t>10</w:t>
            </w:r>
          </w:p>
        </w:tc>
        <w:tc>
          <w:tcPr>
            <w:tcW w:w="1276" w:type="dxa"/>
            <w:vMerge w:val="restart"/>
            <w:vAlign w:val="center"/>
          </w:tcPr>
          <w:p>
            <w:pPr>
              <w:jc w:val="left"/>
              <w:rPr>
                <w:rFonts w:hAnsi="宋体"/>
                <w:szCs w:val="21"/>
              </w:rPr>
            </w:pPr>
            <w:r>
              <w:rPr>
                <w:rFonts w:hint="eastAsia" w:hAnsi="宋体"/>
                <w:szCs w:val="21"/>
              </w:rPr>
              <w:t>技术创新的应用实施措施</w:t>
            </w:r>
          </w:p>
        </w:tc>
        <w:tc>
          <w:tcPr>
            <w:tcW w:w="851" w:type="dxa"/>
            <w:vMerge w:val="restart"/>
            <w:vAlign w:val="center"/>
          </w:tcPr>
          <w:p>
            <w:pPr>
              <w:jc w:val="center"/>
              <w:rPr>
                <w:rFonts w:hAnsi="宋体"/>
                <w:szCs w:val="21"/>
              </w:rPr>
            </w:pPr>
            <w:r>
              <w:rPr>
                <w:rFonts w:hAnsi="宋体"/>
                <w:szCs w:val="21"/>
              </w:rPr>
              <w:t>1-2</w:t>
            </w:r>
            <w:r>
              <w:rPr>
                <w:rFonts w:hint="eastAsia" w:hAnsi="宋体"/>
                <w:szCs w:val="21"/>
              </w:rPr>
              <w:t>分</w:t>
            </w:r>
          </w:p>
        </w:tc>
        <w:tc>
          <w:tcPr>
            <w:tcW w:w="5528" w:type="dxa"/>
            <w:vAlign w:val="center"/>
          </w:tcPr>
          <w:p>
            <w:pPr>
              <w:spacing w:line="300" w:lineRule="exact"/>
              <w:rPr>
                <w:rFonts w:hAnsi="宋体"/>
                <w:szCs w:val="21"/>
              </w:rPr>
            </w:pPr>
            <w:r>
              <w:rPr>
                <w:rFonts w:hint="eastAsia" w:hAnsi="宋体"/>
                <w:szCs w:val="21"/>
              </w:rPr>
              <w:t>（</w:t>
            </w:r>
            <w:r>
              <w:rPr>
                <w:rFonts w:hAnsi="宋体"/>
                <w:szCs w:val="21"/>
              </w:rPr>
              <w:t>1</w:t>
            </w:r>
            <w:r>
              <w:rPr>
                <w:rFonts w:hint="eastAsia" w:hAnsi="宋体"/>
                <w:szCs w:val="21"/>
              </w:rPr>
              <w:t>）节能减排、（</w:t>
            </w:r>
            <w:r>
              <w:rPr>
                <w:rFonts w:hAnsi="宋体"/>
                <w:szCs w:val="21"/>
              </w:rPr>
              <w:t>2</w:t>
            </w:r>
            <w:r>
              <w:rPr>
                <w:rFonts w:hint="eastAsia" w:hAnsi="宋体"/>
                <w:szCs w:val="21"/>
              </w:rPr>
              <w:t>）绿色施工、（</w:t>
            </w:r>
            <w:r>
              <w:rPr>
                <w:rFonts w:hAnsi="宋体"/>
                <w:szCs w:val="21"/>
              </w:rPr>
              <w:t>3</w:t>
            </w:r>
            <w:r>
              <w:rPr>
                <w:rFonts w:hint="eastAsia" w:hAnsi="宋体"/>
                <w:szCs w:val="21"/>
              </w:rPr>
              <w:t>）工艺创新、（</w:t>
            </w:r>
            <w:r>
              <w:rPr>
                <w:rFonts w:hAnsi="宋体"/>
                <w:szCs w:val="21"/>
              </w:rPr>
              <w:t>4</w:t>
            </w:r>
            <w:r>
              <w:rPr>
                <w:rFonts w:hint="eastAsia" w:hAnsi="宋体"/>
                <w:szCs w:val="21"/>
              </w:rPr>
              <w:t>）装配式建筑等技术创新的应用实施措施符合工程情况，具有针对性、可行性、经济适用性。</w:t>
            </w:r>
          </w:p>
        </w:tc>
        <w:tc>
          <w:tcPr>
            <w:tcW w:w="1276" w:type="dxa"/>
            <w:vAlign w:val="center"/>
          </w:tcPr>
          <w:p>
            <w:pPr>
              <w:jc w:val="center"/>
              <w:rPr>
                <w:rFonts w:hAnsi="宋体"/>
                <w:szCs w:val="21"/>
              </w:rPr>
            </w:pPr>
            <w:r>
              <w:rPr>
                <w:rFonts w:hAnsi="宋体"/>
                <w:szCs w:val="21"/>
              </w:rPr>
              <w:t>1.5</w:t>
            </w:r>
            <w:r>
              <w:rPr>
                <w:rFonts w:hint="eastAsia" w:hAnsi="宋体"/>
                <w:szCs w:val="21"/>
              </w:rPr>
              <w:t>＜得分</w:t>
            </w:r>
            <w:r>
              <w:rPr>
                <w:rFonts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hAnsi="宋体"/>
                <w:szCs w:val="21"/>
              </w:rPr>
            </w:pPr>
          </w:p>
        </w:tc>
        <w:tc>
          <w:tcPr>
            <w:tcW w:w="1276" w:type="dxa"/>
            <w:vMerge w:val="continue"/>
            <w:vAlign w:val="center"/>
          </w:tcPr>
          <w:p>
            <w:pPr>
              <w:jc w:val="left"/>
              <w:rPr>
                <w:rFonts w:hAnsi="宋体"/>
                <w:szCs w:val="21"/>
              </w:rPr>
            </w:pPr>
          </w:p>
        </w:tc>
        <w:tc>
          <w:tcPr>
            <w:tcW w:w="851" w:type="dxa"/>
            <w:vMerge w:val="continue"/>
            <w:vAlign w:val="center"/>
          </w:tcPr>
          <w:p>
            <w:pPr>
              <w:jc w:val="left"/>
              <w:rPr>
                <w:rFonts w:hAnsi="宋体"/>
                <w:szCs w:val="21"/>
              </w:rPr>
            </w:pPr>
          </w:p>
        </w:tc>
        <w:tc>
          <w:tcPr>
            <w:tcW w:w="5528" w:type="dxa"/>
            <w:vAlign w:val="center"/>
          </w:tcPr>
          <w:p>
            <w:pPr>
              <w:spacing w:line="300" w:lineRule="exact"/>
              <w:rPr>
                <w:rFonts w:hAnsi="宋体"/>
                <w:szCs w:val="21"/>
              </w:rPr>
            </w:pPr>
            <w:r>
              <w:rPr>
                <w:rFonts w:hint="eastAsia" w:hAnsi="宋体"/>
                <w:spacing w:val="-8"/>
                <w:szCs w:val="21"/>
              </w:rPr>
              <w:t>（</w:t>
            </w:r>
            <w:r>
              <w:rPr>
                <w:rFonts w:hAnsi="宋体"/>
                <w:spacing w:val="-8"/>
                <w:szCs w:val="21"/>
              </w:rPr>
              <w:t>1</w:t>
            </w:r>
            <w:r>
              <w:rPr>
                <w:rFonts w:hint="eastAsia" w:hAnsi="宋体"/>
                <w:spacing w:val="-8"/>
                <w:szCs w:val="21"/>
              </w:rPr>
              <w:t>）节能减排、（</w:t>
            </w:r>
            <w:r>
              <w:rPr>
                <w:rFonts w:hAnsi="宋体"/>
                <w:spacing w:val="-8"/>
                <w:szCs w:val="21"/>
              </w:rPr>
              <w:t>2</w:t>
            </w:r>
            <w:r>
              <w:rPr>
                <w:rFonts w:hint="eastAsia" w:hAnsi="宋体"/>
                <w:spacing w:val="-8"/>
                <w:szCs w:val="21"/>
              </w:rPr>
              <w:t>）绿色施工、（</w:t>
            </w:r>
            <w:r>
              <w:rPr>
                <w:rFonts w:hAnsi="宋体"/>
                <w:spacing w:val="-8"/>
                <w:szCs w:val="21"/>
              </w:rPr>
              <w:t>3</w:t>
            </w:r>
            <w:r>
              <w:rPr>
                <w:rFonts w:hint="eastAsia" w:hAnsi="宋体"/>
                <w:spacing w:val="-8"/>
                <w:szCs w:val="21"/>
              </w:rPr>
              <w:t>）工艺创新、（</w:t>
            </w:r>
            <w:r>
              <w:rPr>
                <w:rFonts w:hAnsi="宋体"/>
                <w:spacing w:val="-8"/>
                <w:szCs w:val="21"/>
              </w:rPr>
              <w:t>4</w:t>
            </w:r>
            <w:r>
              <w:rPr>
                <w:rFonts w:hint="eastAsia" w:hAnsi="宋体"/>
                <w:spacing w:val="-8"/>
                <w:szCs w:val="21"/>
              </w:rPr>
              <w:t>）装配式建筑等技术创新的应用实施措施基本符合工程情况，具有针</w:t>
            </w:r>
            <w:r>
              <w:rPr>
                <w:rFonts w:hint="eastAsia" w:hAnsi="宋体"/>
                <w:szCs w:val="21"/>
              </w:rPr>
              <w:t>对性。</w:t>
            </w:r>
          </w:p>
        </w:tc>
        <w:tc>
          <w:tcPr>
            <w:tcW w:w="1276" w:type="dxa"/>
            <w:vAlign w:val="center"/>
          </w:tcPr>
          <w:p>
            <w:pPr>
              <w:jc w:val="center"/>
              <w:rPr>
                <w:rFonts w:hAnsi="宋体"/>
                <w:szCs w:val="21"/>
              </w:rPr>
            </w:pPr>
            <w:r>
              <w:rPr>
                <w:rFonts w:hAnsi="宋体"/>
                <w:szCs w:val="21"/>
              </w:rPr>
              <w:t>1≤</w:t>
            </w:r>
            <w:r>
              <w:rPr>
                <w:rFonts w:hint="eastAsia" w:hAnsi="宋体"/>
                <w:szCs w:val="21"/>
              </w:rPr>
              <w:t>得分</w:t>
            </w:r>
            <w:r>
              <w:rPr>
                <w:rFonts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hAnsi="宋体"/>
                <w:szCs w:val="21"/>
              </w:rPr>
            </w:pPr>
            <w:r>
              <w:rPr>
                <w:rFonts w:hAnsi="宋体"/>
                <w:szCs w:val="21"/>
              </w:rPr>
              <w:t>11</w:t>
            </w:r>
          </w:p>
        </w:tc>
        <w:tc>
          <w:tcPr>
            <w:tcW w:w="1276" w:type="dxa"/>
            <w:vMerge w:val="restart"/>
            <w:vAlign w:val="center"/>
          </w:tcPr>
          <w:p>
            <w:pPr>
              <w:jc w:val="center"/>
              <w:rPr>
                <w:rFonts w:hAnsi="宋体"/>
                <w:szCs w:val="21"/>
              </w:rPr>
            </w:pPr>
            <w:r>
              <w:rPr>
                <w:rFonts w:hint="eastAsia" w:hAnsi="宋体"/>
                <w:szCs w:val="21"/>
              </w:rPr>
              <w:t>采用新工艺、新技术、新设备、新材料、</w:t>
            </w:r>
            <w:r>
              <w:rPr>
                <w:rFonts w:hAnsi="宋体"/>
                <w:szCs w:val="21"/>
              </w:rPr>
              <w:t>BIM</w:t>
            </w:r>
            <w:r>
              <w:rPr>
                <w:rFonts w:hint="eastAsia" w:hAnsi="宋体"/>
                <w:szCs w:val="21"/>
              </w:rPr>
              <w:t>等的程度</w:t>
            </w:r>
          </w:p>
        </w:tc>
        <w:tc>
          <w:tcPr>
            <w:tcW w:w="851" w:type="dxa"/>
            <w:vMerge w:val="restart"/>
            <w:vAlign w:val="center"/>
          </w:tcPr>
          <w:p>
            <w:pPr>
              <w:jc w:val="center"/>
              <w:rPr>
                <w:rFonts w:hAnsi="宋体"/>
                <w:szCs w:val="21"/>
              </w:rPr>
            </w:pPr>
            <w:r>
              <w:rPr>
                <w:rFonts w:hAnsi="宋体"/>
                <w:szCs w:val="21"/>
              </w:rPr>
              <w:t>1-2</w:t>
            </w:r>
            <w:r>
              <w:rPr>
                <w:rFonts w:hint="eastAsia" w:hAnsi="宋体"/>
                <w:szCs w:val="21"/>
              </w:rPr>
              <w:t>分</w:t>
            </w:r>
          </w:p>
        </w:tc>
        <w:tc>
          <w:tcPr>
            <w:tcW w:w="5528" w:type="dxa"/>
            <w:vAlign w:val="center"/>
          </w:tcPr>
          <w:p>
            <w:pPr>
              <w:rPr>
                <w:rFonts w:hAnsi="宋体"/>
                <w:szCs w:val="21"/>
              </w:rPr>
            </w:pPr>
            <w:r>
              <w:rPr>
                <w:rFonts w:hint="eastAsia" w:hAnsi="宋体"/>
                <w:szCs w:val="21"/>
              </w:rPr>
              <w:t>采用新工艺、新技术、新设备、新材料、</w:t>
            </w:r>
            <w:r>
              <w:rPr>
                <w:rFonts w:hAnsi="宋体"/>
                <w:szCs w:val="21"/>
              </w:rPr>
              <w:t>BIM</w:t>
            </w:r>
            <w:r>
              <w:rPr>
                <w:rFonts w:hint="eastAsia" w:hAnsi="宋体"/>
                <w:szCs w:val="21"/>
              </w:rPr>
              <w:t>等的程度满足设计要求，符合施工需要和相应技术标准等规定，经济适用。</w:t>
            </w:r>
          </w:p>
        </w:tc>
        <w:tc>
          <w:tcPr>
            <w:tcW w:w="1276" w:type="dxa"/>
            <w:vAlign w:val="center"/>
          </w:tcPr>
          <w:p>
            <w:pPr>
              <w:jc w:val="center"/>
              <w:rPr>
                <w:rFonts w:hAnsi="宋体"/>
                <w:szCs w:val="21"/>
              </w:rPr>
            </w:pPr>
            <w:r>
              <w:rPr>
                <w:rFonts w:hAnsi="宋体"/>
                <w:szCs w:val="21"/>
              </w:rPr>
              <w:t>1.5≤</w:t>
            </w:r>
            <w:r>
              <w:rPr>
                <w:rFonts w:hint="eastAsia" w:hAnsi="宋体"/>
                <w:szCs w:val="21"/>
              </w:rPr>
              <w:t>得分</w:t>
            </w:r>
            <w:r>
              <w:rPr>
                <w:rFonts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hAnsi="宋体"/>
                <w:szCs w:val="21"/>
              </w:rPr>
            </w:pPr>
          </w:p>
        </w:tc>
        <w:tc>
          <w:tcPr>
            <w:tcW w:w="1276" w:type="dxa"/>
            <w:vMerge w:val="continue"/>
            <w:vAlign w:val="center"/>
          </w:tcPr>
          <w:p>
            <w:pPr>
              <w:jc w:val="left"/>
              <w:rPr>
                <w:rFonts w:hAnsi="宋体"/>
                <w:szCs w:val="21"/>
              </w:rPr>
            </w:pPr>
          </w:p>
        </w:tc>
        <w:tc>
          <w:tcPr>
            <w:tcW w:w="851" w:type="dxa"/>
            <w:vMerge w:val="continue"/>
            <w:vAlign w:val="center"/>
          </w:tcPr>
          <w:p>
            <w:pPr>
              <w:jc w:val="left"/>
              <w:rPr>
                <w:rFonts w:hAnsi="宋体"/>
                <w:szCs w:val="21"/>
              </w:rPr>
            </w:pPr>
          </w:p>
        </w:tc>
        <w:tc>
          <w:tcPr>
            <w:tcW w:w="5528" w:type="dxa"/>
            <w:vAlign w:val="center"/>
          </w:tcPr>
          <w:p>
            <w:pPr>
              <w:rPr>
                <w:rFonts w:hAnsi="宋体"/>
                <w:szCs w:val="21"/>
              </w:rPr>
            </w:pPr>
            <w:r>
              <w:rPr>
                <w:rFonts w:hint="eastAsia" w:hAnsi="宋体"/>
                <w:szCs w:val="21"/>
              </w:rPr>
              <w:t>采用新工艺、新技术、新设备、新材料、</w:t>
            </w:r>
            <w:r>
              <w:rPr>
                <w:rFonts w:hAnsi="宋体"/>
                <w:szCs w:val="21"/>
              </w:rPr>
              <w:t>BIM</w:t>
            </w:r>
            <w:r>
              <w:rPr>
                <w:rFonts w:hint="eastAsia" w:hAnsi="宋体"/>
                <w:szCs w:val="21"/>
              </w:rPr>
              <w:t>等的程度满足设计要求，基本符合施工要求和相应技术标准等规定。</w:t>
            </w:r>
          </w:p>
        </w:tc>
        <w:tc>
          <w:tcPr>
            <w:tcW w:w="1276" w:type="dxa"/>
            <w:vAlign w:val="center"/>
          </w:tcPr>
          <w:p>
            <w:pPr>
              <w:jc w:val="center"/>
              <w:rPr>
                <w:rFonts w:hAnsi="宋体"/>
                <w:szCs w:val="21"/>
              </w:rPr>
            </w:pPr>
            <w:r>
              <w:rPr>
                <w:rFonts w:hAnsi="宋体"/>
                <w:szCs w:val="21"/>
              </w:rPr>
              <w:t>1</w:t>
            </w:r>
            <w:r>
              <w:rPr>
                <w:rFonts w:hint="eastAsia" w:hAnsi="宋体"/>
                <w:szCs w:val="21"/>
              </w:rPr>
              <w:t>＜得分</w:t>
            </w:r>
            <w:r>
              <w:rPr>
                <w:rFonts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hAnsi="宋体"/>
                <w:szCs w:val="21"/>
              </w:rPr>
            </w:pPr>
            <w:r>
              <w:rPr>
                <w:rFonts w:hAnsi="宋体"/>
                <w:szCs w:val="21"/>
              </w:rPr>
              <w:t>12</w:t>
            </w:r>
          </w:p>
        </w:tc>
        <w:tc>
          <w:tcPr>
            <w:tcW w:w="1276" w:type="dxa"/>
            <w:vMerge w:val="restart"/>
            <w:vAlign w:val="center"/>
          </w:tcPr>
          <w:p>
            <w:pPr>
              <w:jc w:val="center"/>
              <w:rPr>
                <w:rFonts w:hAnsi="宋体"/>
                <w:szCs w:val="21"/>
              </w:rPr>
            </w:pPr>
            <w:r>
              <w:rPr>
                <w:rFonts w:hint="eastAsia" w:hAnsi="宋体"/>
                <w:szCs w:val="21"/>
              </w:rPr>
              <w:t>施工现场实施信息化监控和数据处理</w:t>
            </w:r>
          </w:p>
        </w:tc>
        <w:tc>
          <w:tcPr>
            <w:tcW w:w="851" w:type="dxa"/>
            <w:vMerge w:val="restart"/>
            <w:vAlign w:val="center"/>
          </w:tcPr>
          <w:p>
            <w:pPr>
              <w:jc w:val="center"/>
              <w:rPr>
                <w:rFonts w:hAnsi="宋体"/>
                <w:szCs w:val="21"/>
              </w:rPr>
            </w:pPr>
            <w:r>
              <w:rPr>
                <w:rFonts w:hAnsi="宋体"/>
                <w:szCs w:val="21"/>
              </w:rPr>
              <w:t>0.5-1.5</w:t>
            </w:r>
            <w:r>
              <w:rPr>
                <w:rFonts w:hint="eastAsia" w:hAnsi="宋体"/>
                <w:szCs w:val="21"/>
              </w:rPr>
              <w:t>分</w:t>
            </w:r>
          </w:p>
        </w:tc>
        <w:tc>
          <w:tcPr>
            <w:tcW w:w="5528" w:type="dxa"/>
            <w:vAlign w:val="center"/>
          </w:tcPr>
          <w:p>
            <w:pPr>
              <w:rPr>
                <w:rFonts w:hAnsi="宋体"/>
                <w:szCs w:val="21"/>
              </w:rPr>
            </w:pPr>
            <w:r>
              <w:rPr>
                <w:rFonts w:hint="eastAsia" w:hAnsi="宋体"/>
                <w:szCs w:val="21"/>
              </w:rPr>
              <w:t>施工现场实施信息化监控和数据处理系统布置合理，满足需要。</w:t>
            </w:r>
          </w:p>
        </w:tc>
        <w:tc>
          <w:tcPr>
            <w:tcW w:w="1276" w:type="dxa"/>
            <w:vAlign w:val="center"/>
          </w:tcPr>
          <w:p>
            <w:pPr>
              <w:jc w:val="center"/>
              <w:rPr>
                <w:rFonts w:hAnsi="宋体"/>
                <w:szCs w:val="21"/>
              </w:rPr>
            </w:pPr>
            <w:r>
              <w:rPr>
                <w:rFonts w:hAnsi="宋体"/>
                <w:szCs w:val="21"/>
              </w:rPr>
              <w:t>1≤</w:t>
            </w:r>
            <w:r>
              <w:rPr>
                <w:rFonts w:hint="eastAsia" w:hAnsi="宋体"/>
                <w:szCs w:val="21"/>
              </w:rPr>
              <w:t>得分</w:t>
            </w:r>
            <w:r>
              <w:rPr>
                <w:rFonts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hAnsi="宋体"/>
                <w:szCs w:val="21"/>
              </w:rPr>
            </w:pPr>
          </w:p>
        </w:tc>
        <w:tc>
          <w:tcPr>
            <w:tcW w:w="1276" w:type="dxa"/>
            <w:vMerge w:val="continue"/>
            <w:vAlign w:val="center"/>
          </w:tcPr>
          <w:p>
            <w:pPr>
              <w:jc w:val="left"/>
              <w:rPr>
                <w:rFonts w:hAnsi="宋体"/>
                <w:szCs w:val="21"/>
              </w:rPr>
            </w:pPr>
          </w:p>
        </w:tc>
        <w:tc>
          <w:tcPr>
            <w:tcW w:w="851" w:type="dxa"/>
            <w:vMerge w:val="continue"/>
            <w:vAlign w:val="center"/>
          </w:tcPr>
          <w:p>
            <w:pPr>
              <w:jc w:val="left"/>
              <w:rPr>
                <w:rFonts w:hAnsi="宋体"/>
                <w:szCs w:val="21"/>
              </w:rPr>
            </w:pPr>
          </w:p>
        </w:tc>
        <w:tc>
          <w:tcPr>
            <w:tcW w:w="5528" w:type="dxa"/>
            <w:vAlign w:val="center"/>
          </w:tcPr>
          <w:p>
            <w:pPr>
              <w:rPr>
                <w:rFonts w:hAnsi="宋体"/>
                <w:szCs w:val="21"/>
              </w:rPr>
            </w:pPr>
            <w:r>
              <w:rPr>
                <w:rFonts w:hint="eastAsia" w:hAnsi="宋体"/>
                <w:szCs w:val="21"/>
              </w:rPr>
              <w:t>施工现场实施信息化监控和数据处理系统布置基本符合需要。</w:t>
            </w:r>
          </w:p>
        </w:tc>
        <w:tc>
          <w:tcPr>
            <w:tcW w:w="1276" w:type="dxa"/>
            <w:vAlign w:val="center"/>
          </w:tcPr>
          <w:p>
            <w:pPr>
              <w:jc w:val="center"/>
              <w:rPr>
                <w:rFonts w:hAnsi="宋体"/>
                <w:szCs w:val="21"/>
              </w:rPr>
            </w:pPr>
            <w:r>
              <w:rPr>
                <w:rFonts w:hAnsi="宋体"/>
                <w:szCs w:val="21"/>
              </w:rPr>
              <w:t>0.5</w:t>
            </w:r>
            <w:r>
              <w:rPr>
                <w:rFonts w:hint="eastAsia" w:hAnsi="宋体"/>
                <w:szCs w:val="21"/>
              </w:rPr>
              <w:t>＜得分</w:t>
            </w:r>
            <w:r>
              <w:rPr>
                <w:rFonts w:hAnsi="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vAlign w:val="center"/>
          </w:tcPr>
          <w:p>
            <w:pPr>
              <w:jc w:val="center"/>
              <w:rPr>
                <w:rFonts w:hAnsi="宋体"/>
                <w:szCs w:val="21"/>
              </w:rPr>
            </w:pPr>
            <w:r>
              <w:rPr>
                <w:rFonts w:hAnsi="宋体"/>
                <w:szCs w:val="21"/>
              </w:rPr>
              <w:t>13</w:t>
            </w:r>
          </w:p>
        </w:tc>
        <w:tc>
          <w:tcPr>
            <w:tcW w:w="1276" w:type="dxa"/>
            <w:vMerge w:val="restart"/>
            <w:vAlign w:val="center"/>
          </w:tcPr>
          <w:p>
            <w:pPr>
              <w:jc w:val="center"/>
              <w:rPr>
                <w:rFonts w:hAnsi="宋体"/>
                <w:szCs w:val="21"/>
              </w:rPr>
            </w:pPr>
            <w:r>
              <w:rPr>
                <w:rFonts w:hint="eastAsia" w:hAnsi="宋体"/>
                <w:szCs w:val="21"/>
              </w:rPr>
              <w:t>风险管理措施</w:t>
            </w:r>
          </w:p>
        </w:tc>
        <w:tc>
          <w:tcPr>
            <w:tcW w:w="851" w:type="dxa"/>
            <w:vMerge w:val="restart"/>
            <w:vAlign w:val="center"/>
          </w:tcPr>
          <w:p>
            <w:pPr>
              <w:jc w:val="center"/>
              <w:rPr>
                <w:rFonts w:hAnsi="宋体"/>
                <w:szCs w:val="21"/>
              </w:rPr>
            </w:pPr>
            <w:r>
              <w:rPr>
                <w:rFonts w:hAnsi="宋体"/>
                <w:szCs w:val="21"/>
              </w:rPr>
              <w:t>1-2</w:t>
            </w:r>
            <w:r>
              <w:rPr>
                <w:rFonts w:hint="eastAsia" w:hAnsi="宋体"/>
                <w:szCs w:val="21"/>
              </w:rPr>
              <w:t>分</w:t>
            </w:r>
          </w:p>
        </w:tc>
        <w:tc>
          <w:tcPr>
            <w:tcW w:w="5528" w:type="dxa"/>
            <w:vAlign w:val="center"/>
          </w:tcPr>
          <w:p>
            <w:pPr>
              <w:rPr>
                <w:rFonts w:hAnsi="宋体"/>
                <w:szCs w:val="21"/>
              </w:rPr>
            </w:pPr>
            <w:r>
              <w:rPr>
                <w:rFonts w:hint="eastAsia" w:hAnsi="宋体"/>
                <w:szCs w:val="21"/>
              </w:rPr>
              <w:t>风险防控管理措施齐全，风险预控符合规范要求，风险控制要点定位准确，各阶段风险控制及应急措施得力。</w:t>
            </w:r>
          </w:p>
        </w:tc>
        <w:tc>
          <w:tcPr>
            <w:tcW w:w="1276" w:type="dxa"/>
            <w:vAlign w:val="center"/>
          </w:tcPr>
          <w:p>
            <w:pPr>
              <w:jc w:val="center"/>
              <w:rPr>
                <w:rFonts w:hAnsi="宋体"/>
                <w:szCs w:val="21"/>
              </w:rPr>
            </w:pPr>
            <w:r>
              <w:rPr>
                <w:rFonts w:hAnsi="宋体"/>
                <w:szCs w:val="21"/>
              </w:rPr>
              <w:t>1.5</w:t>
            </w:r>
            <w:r>
              <w:rPr>
                <w:rFonts w:hint="eastAsia" w:hAnsi="宋体"/>
                <w:szCs w:val="21"/>
              </w:rPr>
              <w:t>＜得分</w:t>
            </w:r>
            <w:r>
              <w:rPr>
                <w:rFonts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left"/>
              <w:rPr>
                <w:rFonts w:hAnsi="宋体"/>
                <w:szCs w:val="21"/>
              </w:rPr>
            </w:pPr>
          </w:p>
        </w:tc>
        <w:tc>
          <w:tcPr>
            <w:tcW w:w="1276" w:type="dxa"/>
            <w:vMerge w:val="continue"/>
            <w:vAlign w:val="center"/>
          </w:tcPr>
          <w:p>
            <w:pPr>
              <w:jc w:val="left"/>
              <w:rPr>
                <w:rFonts w:hAnsi="宋体"/>
                <w:szCs w:val="21"/>
              </w:rPr>
            </w:pPr>
          </w:p>
        </w:tc>
        <w:tc>
          <w:tcPr>
            <w:tcW w:w="851" w:type="dxa"/>
            <w:vMerge w:val="continue"/>
            <w:vAlign w:val="center"/>
          </w:tcPr>
          <w:p>
            <w:pPr>
              <w:jc w:val="left"/>
              <w:rPr>
                <w:rFonts w:hAnsi="宋体"/>
                <w:szCs w:val="21"/>
              </w:rPr>
            </w:pPr>
          </w:p>
        </w:tc>
        <w:tc>
          <w:tcPr>
            <w:tcW w:w="5528" w:type="dxa"/>
            <w:vAlign w:val="center"/>
          </w:tcPr>
          <w:p>
            <w:pPr>
              <w:rPr>
                <w:rFonts w:hAnsi="宋体"/>
                <w:szCs w:val="21"/>
              </w:rPr>
            </w:pPr>
            <w:r>
              <w:rPr>
                <w:rFonts w:hint="eastAsia" w:hAnsi="宋体"/>
                <w:szCs w:val="21"/>
              </w:rPr>
              <w:t>风险防控管理措施基本齐全，风险预控符合规范要求，风险控制要点定位基本准确，有各阶段风险控制及应急措施。</w:t>
            </w:r>
          </w:p>
        </w:tc>
        <w:tc>
          <w:tcPr>
            <w:tcW w:w="1276" w:type="dxa"/>
            <w:vAlign w:val="center"/>
          </w:tcPr>
          <w:p>
            <w:pPr>
              <w:jc w:val="center"/>
              <w:rPr>
                <w:rFonts w:hAnsi="宋体"/>
                <w:szCs w:val="21"/>
              </w:rPr>
            </w:pPr>
            <w:r>
              <w:rPr>
                <w:rFonts w:hAnsi="宋体"/>
                <w:szCs w:val="21"/>
              </w:rPr>
              <w:t>1≤</w:t>
            </w:r>
            <w:r>
              <w:rPr>
                <w:rFonts w:hint="eastAsia" w:hAnsi="宋体"/>
                <w:szCs w:val="21"/>
              </w:rPr>
              <w:t>得分</w:t>
            </w:r>
            <w:r>
              <w:rPr>
                <w:rFonts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3" w:type="dxa"/>
            <w:gridSpan w:val="2"/>
            <w:vAlign w:val="center"/>
          </w:tcPr>
          <w:p>
            <w:pPr>
              <w:jc w:val="center"/>
              <w:rPr>
                <w:rFonts w:hAnsi="宋体"/>
                <w:szCs w:val="21"/>
              </w:rPr>
            </w:pPr>
            <w:r>
              <w:rPr>
                <w:rFonts w:hint="eastAsia" w:hAnsi="宋体"/>
                <w:szCs w:val="21"/>
              </w:rPr>
              <w:t>合计</w:t>
            </w:r>
          </w:p>
        </w:tc>
        <w:tc>
          <w:tcPr>
            <w:tcW w:w="851" w:type="dxa"/>
            <w:vAlign w:val="center"/>
          </w:tcPr>
          <w:p>
            <w:pPr>
              <w:jc w:val="center"/>
              <w:rPr>
                <w:rFonts w:hAnsi="宋体"/>
                <w:szCs w:val="21"/>
              </w:rPr>
            </w:pPr>
            <w:r>
              <w:rPr>
                <w:rFonts w:hAnsi="宋体"/>
                <w:szCs w:val="21"/>
              </w:rPr>
              <w:t>10-25</w:t>
            </w:r>
            <w:r>
              <w:rPr>
                <w:rFonts w:hint="eastAsia" w:hAnsi="宋体"/>
                <w:szCs w:val="21"/>
              </w:rPr>
              <w:t>分</w:t>
            </w:r>
          </w:p>
        </w:tc>
        <w:tc>
          <w:tcPr>
            <w:tcW w:w="5528" w:type="dxa"/>
            <w:vAlign w:val="center"/>
          </w:tcPr>
          <w:p>
            <w:pPr>
              <w:rPr>
                <w:rFonts w:hAnsi="宋体"/>
                <w:szCs w:val="21"/>
              </w:rPr>
            </w:pPr>
          </w:p>
        </w:tc>
        <w:tc>
          <w:tcPr>
            <w:tcW w:w="1276" w:type="dxa"/>
            <w:vAlign w:val="center"/>
          </w:tcPr>
          <w:p>
            <w:pPr>
              <w:jc w:val="center"/>
              <w:rPr>
                <w:rFonts w:hAnsi="宋体"/>
                <w:szCs w:val="21"/>
              </w:rPr>
            </w:pPr>
            <w:r>
              <w:rPr>
                <w:rFonts w:hAnsi="宋体"/>
                <w:szCs w:val="21"/>
              </w:rPr>
              <w:t>10≤</w:t>
            </w:r>
            <w:r>
              <w:rPr>
                <w:rFonts w:hint="eastAsia" w:hAnsi="宋体"/>
                <w:szCs w:val="21"/>
              </w:rPr>
              <w:t>得分</w:t>
            </w:r>
            <w:r>
              <w:rPr>
                <w:rFonts w:hAnsi="宋体"/>
                <w:szCs w:val="21"/>
              </w:rPr>
              <w:t>≤25</w:t>
            </w:r>
          </w:p>
        </w:tc>
      </w:tr>
    </w:tbl>
    <w:p>
      <w:pPr>
        <w:spacing w:line="360" w:lineRule="auto"/>
        <w:ind w:firstLine="620"/>
        <w:rPr>
          <w:rFonts w:hAnsi="宋体"/>
          <w:sz w:val="24"/>
          <w:szCs w:val="24"/>
        </w:rPr>
      </w:pPr>
      <w:r>
        <w:rPr>
          <w:rFonts w:hAnsi="宋体"/>
          <w:sz w:val="24"/>
          <w:szCs w:val="24"/>
        </w:rPr>
        <w:t xml:space="preserve">1. </w:t>
      </w:r>
      <w:r>
        <w:rPr>
          <w:rFonts w:hint="eastAsia" w:hAnsi="宋体"/>
          <w:sz w:val="24"/>
          <w:szCs w:val="24"/>
        </w:rPr>
        <w:t>采用综合评标法评标时，评标委员会应采用计分法，按上述内容对技术标进行计分评审。</w:t>
      </w:r>
    </w:p>
    <w:p>
      <w:pPr>
        <w:spacing w:line="360" w:lineRule="auto"/>
        <w:rPr>
          <w:rFonts w:hAnsi="宋体"/>
          <w:sz w:val="24"/>
          <w:szCs w:val="24"/>
        </w:rPr>
      </w:pPr>
      <w:r>
        <w:rPr>
          <w:rFonts w:hint="eastAsia" w:hAnsi="宋体"/>
          <w:sz w:val="24"/>
          <w:szCs w:val="24"/>
        </w:rPr>
        <w:t>（二）商务标的主要内容及评标分值：</w:t>
      </w:r>
      <w:r>
        <w:rPr>
          <w:rFonts w:hAnsi="宋体"/>
          <w:sz w:val="24"/>
          <w:szCs w:val="24"/>
        </w:rPr>
        <w:t>50</w:t>
      </w:r>
      <w:r>
        <w:rPr>
          <w:rFonts w:hint="eastAsia" w:hAnsi="宋体"/>
          <w:sz w:val="24"/>
          <w:szCs w:val="24"/>
        </w:rPr>
        <w:t>分</w:t>
      </w:r>
    </w:p>
    <w:p>
      <w:pPr>
        <w:spacing w:line="360" w:lineRule="auto"/>
        <w:ind w:firstLine="610"/>
        <w:textAlignment w:val="baseline"/>
        <w:rPr>
          <w:rFonts w:hAnsi="宋体"/>
          <w:sz w:val="24"/>
          <w:szCs w:val="24"/>
        </w:rPr>
      </w:pPr>
      <w:r>
        <w:rPr>
          <w:rFonts w:hint="eastAsia" w:hAnsi="宋体"/>
          <w:sz w:val="24"/>
          <w:szCs w:val="24"/>
        </w:rPr>
        <w:t>综合评标法</w:t>
      </w:r>
    </w:p>
    <w:p>
      <w:pPr>
        <w:spacing w:line="360" w:lineRule="auto"/>
        <w:ind w:firstLine="610"/>
        <w:textAlignment w:val="baseline"/>
        <w:rPr>
          <w:rFonts w:hAnsi="宋体"/>
          <w:sz w:val="24"/>
          <w:szCs w:val="24"/>
        </w:rPr>
      </w:pPr>
      <w:r>
        <w:rPr>
          <w:rFonts w:hAnsi="宋体"/>
          <w:sz w:val="24"/>
          <w:szCs w:val="24"/>
        </w:rPr>
        <w:t xml:space="preserve">1. </w:t>
      </w:r>
      <w:r>
        <w:rPr>
          <w:rFonts w:hint="eastAsia" w:hAnsi="宋体"/>
          <w:sz w:val="24"/>
          <w:szCs w:val="24"/>
        </w:rPr>
        <w:t>投标报价的评审，共计</w:t>
      </w:r>
      <w:r>
        <w:rPr>
          <w:rFonts w:hAnsi="宋体"/>
          <w:sz w:val="24"/>
          <w:szCs w:val="24"/>
        </w:rPr>
        <w:t>30</w:t>
      </w:r>
      <w:r>
        <w:rPr>
          <w:rFonts w:hint="eastAsia" w:hAnsi="宋体"/>
          <w:sz w:val="24"/>
          <w:szCs w:val="24"/>
        </w:rPr>
        <w:t>分。</w:t>
      </w:r>
    </w:p>
    <w:p>
      <w:pPr>
        <w:spacing w:line="360" w:lineRule="auto"/>
        <w:ind w:firstLine="480" w:firstLineChars="200"/>
        <w:rPr>
          <w:rFonts w:hAnsi="宋体"/>
          <w:sz w:val="24"/>
          <w:szCs w:val="24"/>
        </w:rPr>
      </w:pPr>
      <w:r>
        <w:rPr>
          <w:rFonts w:hint="eastAsia" w:hAnsi="宋体"/>
          <w:sz w:val="24"/>
          <w:szCs w:val="24"/>
        </w:rPr>
        <w:t>工程量清单报价评标基准价计算公式为：</w:t>
      </w:r>
    </w:p>
    <w:p>
      <w:pPr>
        <w:spacing w:line="360" w:lineRule="auto"/>
        <w:ind w:firstLine="480" w:firstLineChars="200"/>
        <w:rPr>
          <w:rFonts w:hAnsi="宋体"/>
          <w:sz w:val="24"/>
          <w:szCs w:val="24"/>
        </w:rPr>
      </w:pPr>
      <w:r>
        <w:rPr>
          <w:rFonts w:hint="eastAsia" w:hAnsi="宋体"/>
          <w:sz w:val="24"/>
          <w:szCs w:val="24"/>
        </w:rPr>
        <w:t>评标基准价＝最高投标限价</w:t>
      </w:r>
      <w:r>
        <w:rPr>
          <w:rFonts w:hAnsi="宋体"/>
          <w:sz w:val="24"/>
          <w:szCs w:val="24"/>
        </w:rPr>
        <w:t>×K+</w:t>
      </w:r>
      <w:r>
        <w:rPr>
          <w:rFonts w:hint="eastAsia" w:hAnsi="宋体"/>
          <w:sz w:val="24"/>
          <w:szCs w:val="24"/>
        </w:rPr>
        <w:t>投标报价</w:t>
      </w:r>
      <w:r>
        <w:rPr>
          <w:rFonts w:hAnsi="宋体"/>
          <w:sz w:val="24"/>
          <w:szCs w:val="24"/>
        </w:rPr>
        <w:t>×</w:t>
      </w:r>
      <w:r>
        <w:rPr>
          <w:rFonts w:hint="eastAsia" w:hAnsi="宋体"/>
          <w:sz w:val="24"/>
          <w:szCs w:val="24"/>
        </w:rPr>
        <w:t>（</w:t>
      </w:r>
      <w:r>
        <w:rPr>
          <w:rFonts w:hAnsi="宋体"/>
          <w:sz w:val="24"/>
          <w:szCs w:val="24"/>
        </w:rPr>
        <w:t>1</w:t>
      </w:r>
      <w:r>
        <w:rPr>
          <w:rFonts w:hint="eastAsia" w:hAnsi="宋体"/>
          <w:sz w:val="24"/>
          <w:szCs w:val="24"/>
        </w:rPr>
        <w:t>－</w:t>
      </w:r>
      <w:r>
        <w:rPr>
          <w:rFonts w:hAnsi="宋体"/>
          <w:sz w:val="24"/>
          <w:szCs w:val="24"/>
        </w:rPr>
        <w:t>K</w:t>
      </w:r>
      <w:r>
        <w:rPr>
          <w:rFonts w:hint="eastAsia" w:hAnsi="宋体"/>
          <w:sz w:val="24"/>
          <w:szCs w:val="24"/>
        </w:rPr>
        <w:t>）。</w:t>
      </w:r>
    </w:p>
    <w:p>
      <w:pPr>
        <w:spacing w:line="360" w:lineRule="auto"/>
        <w:ind w:firstLine="480" w:firstLineChars="200"/>
        <w:rPr>
          <w:rFonts w:hAnsi="宋体"/>
          <w:sz w:val="24"/>
          <w:szCs w:val="24"/>
          <w:u w:val="single"/>
        </w:rPr>
      </w:pPr>
      <w:r>
        <w:rPr>
          <w:rFonts w:hint="eastAsia" w:hAnsi="宋体"/>
          <w:sz w:val="24"/>
          <w:szCs w:val="24"/>
        </w:rPr>
        <w:t>其中：</w:t>
      </w:r>
      <w:r>
        <w:rPr>
          <w:rFonts w:hAnsi="宋体"/>
          <w:sz w:val="24"/>
          <w:szCs w:val="24"/>
        </w:rPr>
        <w:t>K</w:t>
      </w:r>
      <w:r>
        <w:rPr>
          <w:rFonts w:hint="eastAsia" w:hAnsi="宋体"/>
          <w:sz w:val="24"/>
          <w:szCs w:val="24"/>
        </w:rPr>
        <w:t>为最高投标限价权重系数，取值范围为</w:t>
      </w:r>
      <w:r>
        <w:rPr>
          <w:rFonts w:hAnsi="宋体"/>
          <w:sz w:val="24"/>
          <w:szCs w:val="24"/>
        </w:rPr>
        <w:t>0.3≤K≤0.5</w:t>
      </w:r>
      <w:r>
        <w:rPr>
          <w:rFonts w:hint="eastAsia" w:hAnsi="宋体"/>
          <w:sz w:val="24"/>
          <w:szCs w:val="24"/>
        </w:rPr>
        <w:t>（K的取值：</w:t>
      </w:r>
      <w:r>
        <w:rPr>
          <w:rFonts w:hAnsi="宋体"/>
          <w:sz w:val="24"/>
          <w:szCs w:val="24"/>
        </w:rPr>
        <w:t>0.3</w:t>
      </w:r>
      <w:r>
        <w:rPr>
          <w:rFonts w:hint="eastAsia" w:hAnsi="宋体"/>
          <w:sz w:val="24"/>
          <w:szCs w:val="24"/>
        </w:rPr>
        <w:t>、0.4、</w:t>
      </w:r>
      <w:r>
        <w:rPr>
          <w:rFonts w:hAnsi="宋体"/>
          <w:sz w:val="24"/>
          <w:szCs w:val="24"/>
        </w:rPr>
        <w:t>0.5</w:t>
      </w:r>
      <w:r>
        <w:rPr>
          <w:rFonts w:hint="eastAsia" w:hAnsi="宋体"/>
          <w:sz w:val="24"/>
          <w:szCs w:val="24"/>
        </w:rPr>
        <w:t>），在开标现场由随机选定的两名投标人代表随机抽取。投标报价为各投标人有效投标报价去掉一个最高和一个最低报价后的算术平均值。当有效投标少于</w:t>
      </w:r>
      <w:r>
        <w:rPr>
          <w:rFonts w:hAnsi="宋体"/>
          <w:sz w:val="24"/>
          <w:szCs w:val="24"/>
        </w:rPr>
        <w:t>5</w:t>
      </w:r>
      <w:r>
        <w:rPr>
          <w:rFonts w:hint="eastAsia" w:hAnsi="宋体"/>
          <w:sz w:val="24"/>
          <w:szCs w:val="24"/>
        </w:rPr>
        <w:t>家时（不含</w:t>
      </w:r>
      <w:r>
        <w:rPr>
          <w:rFonts w:hAnsi="宋体"/>
          <w:sz w:val="24"/>
          <w:szCs w:val="24"/>
        </w:rPr>
        <w:t>5</w:t>
      </w:r>
      <w:r>
        <w:rPr>
          <w:rFonts w:hint="eastAsia" w:hAnsi="宋体"/>
          <w:sz w:val="24"/>
          <w:szCs w:val="24"/>
        </w:rPr>
        <w:t>家），则以所有有效投标报价的算术平均值作为投标报价。上述最高投标限价、投标报价、有效投标报价在参与评标基准价计算时，均不含：规费、安全文明施工措施费、暂列金额与专业暂估价、增值税。</w:t>
      </w:r>
    </w:p>
    <w:p>
      <w:pPr>
        <w:spacing w:line="360" w:lineRule="auto"/>
        <w:ind w:firstLine="480" w:firstLineChars="200"/>
        <w:textAlignment w:val="baseline"/>
        <w:rPr>
          <w:rFonts w:hAnsi="宋体"/>
          <w:sz w:val="24"/>
          <w:szCs w:val="24"/>
        </w:rPr>
      </w:pPr>
      <w:r>
        <w:rPr>
          <w:rFonts w:hint="eastAsia" w:hAnsi="宋体"/>
          <w:sz w:val="24"/>
          <w:szCs w:val="24"/>
        </w:rPr>
        <w:t>当投标报价与评标基准价相等时，得基本分</w:t>
      </w:r>
      <w:r>
        <w:rPr>
          <w:rFonts w:hAnsi="宋体"/>
          <w:sz w:val="24"/>
          <w:szCs w:val="24"/>
        </w:rPr>
        <w:t>20</w:t>
      </w:r>
      <w:r>
        <w:rPr>
          <w:rFonts w:hint="eastAsia" w:hAnsi="宋体"/>
          <w:sz w:val="24"/>
          <w:szCs w:val="24"/>
        </w:rPr>
        <w:t>分。当投标报价低于评标基准价时，每低</w:t>
      </w:r>
      <w:r>
        <w:rPr>
          <w:rFonts w:hAnsi="宋体"/>
          <w:sz w:val="24"/>
          <w:szCs w:val="24"/>
        </w:rPr>
        <w:t>1%</w:t>
      </w:r>
      <w:r>
        <w:rPr>
          <w:rFonts w:hint="eastAsia" w:hAnsi="宋体"/>
          <w:sz w:val="24"/>
          <w:szCs w:val="24"/>
        </w:rPr>
        <w:t>范围内在基本分</w:t>
      </w:r>
      <w:r>
        <w:rPr>
          <w:rFonts w:hAnsi="宋体"/>
          <w:sz w:val="24"/>
          <w:szCs w:val="24"/>
        </w:rPr>
        <w:t>20</w:t>
      </w:r>
      <w:r>
        <w:rPr>
          <w:rFonts w:hint="eastAsia" w:hAnsi="宋体"/>
          <w:sz w:val="24"/>
          <w:szCs w:val="24"/>
        </w:rPr>
        <w:t>分的基础上加</w:t>
      </w:r>
      <w:r>
        <w:rPr>
          <w:rFonts w:hAnsi="宋体"/>
          <w:sz w:val="24"/>
          <w:szCs w:val="24"/>
        </w:rPr>
        <w:t>2</w:t>
      </w:r>
      <w:r>
        <w:rPr>
          <w:rFonts w:hint="eastAsia" w:hAnsi="宋体"/>
          <w:sz w:val="24"/>
          <w:szCs w:val="24"/>
        </w:rPr>
        <w:t>分，最多加</w:t>
      </w:r>
      <w:r>
        <w:rPr>
          <w:rFonts w:hAnsi="宋体"/>
          <w:sz w:val="24"/>
          <w:szCs w:val="24"/>
        </w:rPr>
        <w:t>10</w:t>
      </w:r>
      <w:r>
        <w:rPr>
          <w:rFonts w:hint="eastAsia" w:hAnsi="宋体"/>
          <w:sz w:val="24"/>
          <w:szCs w:val="24"/>
        </w:rPr>
        <w:t>分；当投标报价低于评标基准价</w:t>
      </w:r>
      <w:r>
        <w:rPr>
          <w:rFonts w:hAnsi="宋体"/>
          <w:sz w:val="24"/>
          <w:szCs w:val="24"/>
        </w:rPr>
        <w:t>5%</w:t>
      </w:r>
      <w:r>
        <w:rPr>
          <w:rFonts w:hint="eastAsia" w:hAnsi="宋体"/>
          <w:sz w:val="24"/>
          <w:szCs w:val="24"/>
        </w:rPr>
        <w:t>以上（不含</w:t>
      </w:r>
      <w:r>
        <w:rPr>
          <w:rFonts w:hAnsi="宋体"/>
          <w:sz w:val="24"/>
          <w:szCs w:val="24"/>
        </w:rPr>
        <w:t>5%</w:t>
      </w:r>
      <w:r>
        <w:rPr>
          <w:rFonts w:hint="eastAsia" w:hAnsi="宋体"/>
          <w:sz w:val="24"/>
          <w:szCs w:val="24"/>
        </w:rPr>
        <w:t>）时，每再低</w:t>
      </w:r>
      <w:r>
        <w:rPr>
          <w:rFonts w:hAnsi="宋体"/>
          <w:sz w:val="24"/>
          <w:szCs w:val="24"/>
        </w:rPr>
        <w:t>1%</w:t>
      </w:r>
      <w:r>
        <w:rPr>
          <w:rFonts w:hint="eastAsia" w:hAnsi="宋体"/>
          <w:sz w:val="24"/>
          <w:szCs w:val="24"/>
        </w:rPr>
        <w:t>范围内在满分</w:t>
      </w:r>
      <w:r>
        <w:rPr>
          <w:rFonts w:hAnsi="宋体"/>
          <w:sz w:val="24"/>
          <w:szCs w:val="24"/>
        </w:rPr>
        <w:t>30</w:t>
      </w:r>
      <w:r>
        <w:rPr>
          <w:rFonts w:hint="eastAsia" w:hAnsi="宋体"/>
          <w:sz w:val="24"/>
          <w:szCs w:val="24"/>
        </w:rPr>
        <w:t>分的基础上扣</w:t>
      </w:r>
      <w:r>
        <w:rPr>
          <w:rFonts w:hAnsi="宋体"/>
          <w:sz w:val="24"/>
          <w:szCs w:val="24"/>
        </w:rPr>
        <w:t>3</w:t>
      </w:r>
      <w:r>
        <w:rPr>
          <w:rFonts w:hint="eastAsia" w:hAnsi="宋体"/>
          <w:sz w:val="24"/>
          <w:szCs w:val="24"/>
        </w:rPr>
        <w:t>分，扣完为止；当投标报价高于评标基准价时，每高</w:t>
      </w:r>
      <w:r>
        <w:rPr>
          <w:rFonts w:hAnsi="宋体"/>
          <w:sz w:val="24"/>
          <w:szCs w:val="24"/>
        </w:rPr>
        <w:t>1%</w:t>
      </w:r>
      <w:r>
        <w:rPr>
          <w:rFonts w:hint="eastAsia" w:hAnsi="宋体"/>
          <w:sz w:val="24"/>
          <w:szCs w:val="24"/>
        </w:rPr>
        <w:t>范围内在基本分</w:t>
      </w:r>
      <w:r>
        <w:rPr>
          <w:rFonts w:hAnsi="宋体"/>
          <w:sz w:val="24"/>
          <w:szCs w:val="24"/>
        </w:rPr>
        <w:t>20</w:t>
      </w:r>
      <w:r>
        <w:rPr>
          <w:rFonts w:hint="eastAsia" w:hAnsi="宋体"/>
          <w:sz w:val="24"/>
          <w:szCs w:val="24"/>
        </w:rPr>
        <w:t>分的基础上扣</w:t>
      </w:r>
      <w:r>
        <w:rPr>
          <w:rFonts w:hAnsi="宋体"/>
          <w:sz w:val="24"/>
          <w:szCs w:val="24"/>
        </w:rPr>
        <w:t>2</w:t>
      </w:r>
      <w:r>
        <w:rPr>
          <w:rFonts w:hint="eastAsia" w:hAnsi="宋体"/>
          <w:sz w:val="24"/>
          <w:szCs w:val="24"/>
        </w:rPr>
        <w:t>分，扣完为止。</w:t>
      </w:r>
    </w:p>
    <w:p>
      <w:pPr>
        <w:spacing w:line="360" w:lineRule="auto"/>
        <w:ind w:firstLine="620"/>
        <w:textAlignment w:val="baseline"/>
        <w:rPr>
          <w:rFonts w:hAnsi="宋体"/>
          <w:sz w:val="24"/>
          <w:szCs w:val="24"/>
        </w:rPr>
      </w:pPr>
      <w:r>
        <w:rPr>
          <w:rFonts w:hAnsi="宋体"/>
          <w:sz w:val="24"/>
          <w:szCs w:val="24"/>
        </w:rPr>
        <w:t xml:space="preserve">2. </w:t>
      </w:r>
      <w:r>
        <w:rPr>
          <w:rFonts w:hint="eastAsia" w:hAnsi="宋体"/>
          <w:sz w:val="24"/>
          <w:szCs w:val="24"/>
        </w:rPr>
        <w:t>分部分项工程项目清单单价评审，共计</w:t>
      </w:r>
      <w:r>
        <w:rPr>
          <w:rFonts w:hAnsi="宋体"/>
          <w:sz w:val="24"/>
          <w:szCs w:val="24"/>
        </w:rPr>
        <w:t>10</w:t>
      </w:r>
      <w:r>
        <w:rPr>
          <w:rFonts w:hint="eastAsia" w:hAnsi="宋体"/>
          <w:sz w:val="24"/>
          <w:szCs w:val="24"/>
        </w:rPr>
        <w:t>分。</w:t>
      </w:r>
    </w:p>
    <w:p>
      <w:pPr>
        <w:spacing w:line="360" w:lineRule="auto"/>
        <w:ind w:firstLine="620"/>
        <w:textAlignment w:val="baseline"/>
        <w:rPr>
          <w:rFonts w:hAnsi="宋体"/>
          <w:sz w:val="24"/>
          <w:szCs w:val="24"/>
        </w:rPr>
      </w:pPr>
      <w:r>
        <w:rPr>
          <w:rFonts w:hint="eastAsia" w:hAnsi="宋体"/>
          <w:sz w:val="24"/>
          <w:szCs w:val="24"/>
        </w:rPr>
        <w:t>从最高投标限价中分部分项工程项目权重最大的前</w:t>
      </w:r>
      <w:r>
        <w:rPr>
          <w:rFonts w:hAnsi="宋体"/>
          <w:sz w:val="24"/>
          <w:szCs w:val="24"/>
        </w:rPr>
        <w:t>10-30</w:t>
      </w:r>
      <w:r>
        <w:rPr>
          <w:rFonts w:hint="eastAsia" w:hAnsi="宋体"/>
          <w:sz w:val="24"/>
          <w:szCs w:val="24"/>
        </w:rPr>
        <w:t>项清单项目中抽取</w:t>
      </w:r>
      <w:r>
        <w:rPr>
          <w:rFonts w:hAnsi="宋体"/>
          <w:sz w:val="24"/>
          <w:szCs w:val="24"/>
        </w:rPr>
        <w:t>15</w:t>
      </w:r>
      <w:r>
        <w:rPr>
          <w:rFonts w:hint="eastAsia" w:hAnsi="宋体"/>
          <w:sz w:val="24"/>
          <w:szCs w:val="24"/>
        </w:rPr>
        <w:t>项，在剩余的分部分项工程项目清单项目中抽取</w:t>
      </w:r>
      <w:r>
        <w:rPr>
          <w:rFonts w:hAnsi="宋体"/>
          <w:sz w:val="24"/>
          <w:szCs w:val="24"/>
        </w:rPr>
        <w:t>5</w:t>
      </w:r>
      <w:r>
        <w:rPr>
          <w:rFonts w:hint="eastAsia" w:hAnsi="宋体"/>
          <w:sz w:val="24"/>
          <w:szCs w:val="24"/>
        </w:rPr>
        <w:t>项。</w:t>
      </w:r>
    </w:p>
    <w:p>
      <w:pPr>
        <w:spacing w:line="360" w:lineRule="auto"/>
        <w:ind w:firstLine="480" w:firstLineChars="200"/>
        <w:textAlignment w:val="baseline"/>
        <w:rPr>
          <w:rFonts w:hAnsi="宋体"/>
          <w:sz w:val="24"/>
          <w:szCs w:val="24"/>
        </w:rPr>
      </w:pPr>
      <w:r>
        <w:rPr>
          <w:rFonts w:hint="eastAsia" w:hAnsi="宋体"/>
          <w:sz w:val="24"/>
          <w:szCs w:val="24"/>
        </w:rPr>
        <w:t>综合单价基准值是以各有效投标报价中（当有效投标人</w:t>
      </w:r>
      <w:r>
        <w:rPr>
          <w:rFonts w:hAnsi="宋体"/>
          <w:sz w:val="24"/>
          <w:szCs w:val="24"/>
        </w:rPr>
        <w:t>5</w:t>
      </w:r>
      <w:r>
        <w:rPr>
          <w:rFonts w:hint="eastAsia" w:hAnsi="宋体"/>
          <w:sz w:val="24"/>
          <w:szCs w:val="24"/>
        </w:rPr>
        <w:t>名及以上时，去掉</w:t>
      </w:r>
      <w:r>
        <w:rPr>
          <w:rFonts w:hAnsi="宋体"/>
          <w:sz w:val="24"/>
          <w:szCs w:val="24"/>
        </w:rPr>
        <w:t>1</w:t>
      </w:r>
      <w:r>
        <w:rPr>
          <w:rFonts w:hint="eastAsia" w:hAnsi="宋体"/>
          <w:sz w:val="24"/>
          <w:szCs w:val="24"/>
        </w:rPr>
        <w:t>个最高、</w:t>
      </w:r>
      <w:r>
        <w:rPr>
          <w:rFonts w:hAnsi="宋体"/>
          <w:sz w:val="24"/>
          <w:szCs w:val="24"/>
        </w:rPr>
        <w:t>1</w:t>
      </w:r>
      <w:r>
        <w:rPr>
          <w:rFonts w:hint="eastAsia" w:hAnsi="宋体"/>
          <w:sz w:val="24"/>
          <w:szCs w:val="24"/>
        </w:rPr>
        <w:t>个最低值）对应抽取清单项目综合单价的算术平均值。</w:t>
      </w:r>
    </w:p>
    <w:p>
      <w:pPr>
        <w:spacing w:line="360" w:lineRule="auto"/>
        <w:ind w:firstLine="480" w:firstLineChars="200"/>
        <w:textAlignment w:val="baseline"/>
        <w:rPr>
          <w:rFonts w:hAnsi="宋体"/>
          <w:sz w:val="24"/>
          <w:szCs w:val="24"/>
        </w:rPr>
      </w:pPr>
      <w:r>
        <w:rPr>
          <w:rFonts w:hint="eastAsia" w:hAnsi="宋体"/>
          <w:sz w:val="24"/>
          <w:szCs w:val="24"/>
        </w:rPr>
        <w:t>投标人报价在综合单价基准值</w:t>
      </w:r>
      <w:r>
        <w:rPr>
          <w:rFonts w:hAnsi="宋体"/>
          <w:sz w:val="24"/>
          <w:szCs w:val="24"/>
        </w:rPr>
        <w:t>95%–103%</w:t>
      </w:r>
      <w:r>
        <w:rPr>
          <w:rFonts w:hint="eastAsia" w:hAnsi="宋体"/>
          <w:sz w:val="24"/>
          <w:szCs w:val="24"/>
        </w:rPr>
        <w:t>范围内（不含</w:t>
      </w:r>
      <w:r>
        <w:rPr>
          <w:rFonts w:hAnsi="宋体"/>
          <w:sz w:val="24"/>
          <w:szCs w:val="24"/>
        </w:rPr>
        <w:t>95%</w:t>
      </w:r>
      <w:r>
        <w:rPr>
          <w:rFonts w:hint="eastAsia" w:hAnsi="宋体"/>
          <w:sz w:val="24"/>
          <w:szCs w:val="24"/>
        </w:rPr>
        <w:t>和</w:t>
      </w:r>
      <w:r>
        <w:rPr>
          <w:rFonts w:hAnsi="宋体"/>
          <w:sz w:val="24"/>
          <w:szCs w:val="24"/>
        </w:rPr>
        <w:t>103%</w:t>
      </w:r>
      <w:r>
        <w:rPr>
          <w:rFonts w:hint="eastAsia" w:hAnsi="宋体"/>
          <w:sz w:val="24"/>
          <w:szCs w:val="24"/>
        </w:rPr>
        <w:t>）的，每项得</w:t>
      </w:r>
      <w:r>
        <w:rPr>
          <w:rFonts w:hAnsi="宋体"/>
          <w:sz w:val="24"/>
          <w:szCs w:val="24"/>
        </w:rPr>
        <w:t>0.5</w:t>
      </w:r>
      <w:r>
        <w:rPr>
          <w:rFonts w:hint="eastAsia" w:hAnsi="宋体"/>
          <w:sz w:val="24"/>
          <w:szCs w:val="24"/>
        </w:rPr>
        <w:t>分；在综合单价基准值</w:t>
      </w:r>
      <w:r>
        <w:rPr>
          <w:rFonts w:hAnsi="宋体"/>
          <w:sz w:val="24"/>
          <w:szCs w:val="24"/>
        </w:rPr>
        <w:t>90%–95%</w:t>
      </w:r>
      <w:r>
        <w:rPr>
          <w:rFonts w:hint="eastAsia" w:hAnsi="宋体"/>
          <w:sz w:val="24"/>
          <w:szCs w:val="24"/>
        </w:rPr>
        <w:t>范围内（含</w:t>
      </w:r>
      <w:r>
        <w:rPr>
          <w:rFonts w:hAnsi="宋体"/>
          <w:sz w:val="24"/>
          <w:szCs w:val="24"/>
        </w:rPr>
        <w:t>90%</w:t>
      </w:r>
      <w:r>
        <w:rPr>
          <w:rFonts w:hint="eastAsia" w:hAnsi="宋体"/>
          <w:sz w:val="24"/>
          <w:szCs w:val="24"/>
        </w:rPr>
        <w:t>和</w:t>
      </w:r>
      <w:r>
        <w:rPr>
          <w:rFonts w:hAnsi="宋体"/>
          <w:sz w:val="24"/>
          <w:szCs w:val="24"/>
        </w:rPr>
        <w:t>95%</w:t>
      </w:r>
      <w:r>
        <w:rPr>
          <w:rFonts w:hint="eastAsia" w:hAnsi="宋体"/>
          <w:sz w:val="24"/>
          <w:szCs w:val="24"/>
        </w:rPr>
        <w:t>）每项得</w:t>
      </w:r>
      <w:r>
        <w:rPr>
          <w:rFonts w:hAnsi="宋体"/>
          <w:sz w:val="24"/>
          <w:szCs w:val="24"/>
        </w:rPr>
        <w:t>0.25</w:t>
      </w:r>
      <w:r>
        <w:rPr>
          <w:rFonts w:hint="eastAsia" w:hAnsi="宋体"/>
          <w:sz w:val="24"/>
          <w:szCs w:val="24"/>
        </w:rPr>
        <w:t>分。满分共计</w:t>
      </w:r>
      <w:r>
        <w:rPr>
          <w:rFonts w:hAnsi="宋体"/>
          <w:sz w:val="24"/>
          <w:szCs w:val="24"/>
        </w:rPr>
        <w:t>10</w:t>
      </w:r>
      <w:r>
        <w:rPr>
          <w:rFonts w:hint="eastAsia" w:hAnsi="宋体"/>
          <w:sz w:val="24"/>
          <w:szCs w:val="24"/>
        </w:rPr>
        <w:t>分。超出该范围的不得分。</w:t>
      </w:r>
    </w:p>
    <w:p>
      <w:pPr>
        <w:spacing w:line="360" w:lineRule="auto"/>
        <w:ind w:firstLine="480" w:firstLineChars="200"/>
        <w:textAlignment w:val="baseline"/>
        <w:rPr>
          <w:rFonts w:hAnsi="宋体"/>
          <w:sz w:val="24"/>
          <w:szCs w:val="24"/>
        </w:rPr>
      </w:pPr>
      <w:r>
        <w:rPr>
          <w:rFonts w:hAnsi="宋体"/>
          <w:sz w:val="24"/>
          <w:szCs w:val="24"/>
        </w:rPr>
        <w:t xml:space="preserve">3. </w:t>
      </w:r>
      <w:r>
        <w:rPr>
          <w:rFonts w:hint="eastAsia" w:hAnsi="宋体"/>
          <w:sz w:val="24"/>
          <w:szCs w:val="24"/>
        </w:rPr>
        <w:t>措施项目费的评审（不含安全文明措施费），共计</w:t>
      </w:r>
      <w:r>
        <w:rPr>
          <w:rFonts w:hAnsi="宋体"/>
          <w:sz w:val="24"/>
          <w:szCs w:val="24"/>
        </w:rPr>
        <w:t>5</w:t>
      </w:r>
      <w:r>
        <w:rPr>
          <w:rFonts w:hint="eastAsia" w:hAnsi="宋体"/>
          <w:sz w:val="24"/>
          <w:szCs w:val="24"/>
        </w:rPr>
        <w:t>分。</w:t>
      </w:r>
    </w:p>
    <w:p>
      <w:pPr>
        <w:spacing w:line="360" w:lineRule="auto"/>
        <w:ind w:firstLine="480" w:firstLineChars="200"/>
        <w:textAlignment w:val="baseline"/>
        <w:rPr>
          <w:rFonts w:hAnsi="宋体"/>
          <w:sz w:val="24"/>
          <w:szCs w:val="24"/>
        </w:rPr>
      </w:pPr>
      <w:r>
        <w:rPr>
          <w:rFonts w:hint="eastAsia" w:hAnsi="宋体"/>
          <w:sz w:val="24"/>
          <w:szCs w:val="24"/>
        </w:rPr>
        <w:t>措施项目费基准值是在最高投标限价中措施项目费用</w:t>
      </w:r>
      <w:r>
        <w:rPr>
          <w:rFonts w:hAnsi="宋体"/>
          <w:sz w:val="24"/>
          <w:szCs w:val="24"/>
        </w:rPr>
        <w:t>80%-110%</w:t>
      </w:r>
      <w:r>
        <w:rPr>
          <w:rFonts w:hint="eastAsia" w:hAnsi="宋体"/>
          <w:sz w:val="24"/>
          <w:szCs w:val="24"/>
        </w:rPr>
        <w:t>范围之间的有效投标人所报措施项目费的算术平均值。投标所报措施费与措施项目基准值相等得基本分</w:t>
      </w:r>
      <w:r>
        <w:rPr>
          <w:rFonts w:hAnsi="宋体"/>
          <w:sz w:val="24"/>
          <w:szCs w:val="24"/>
        </w:rPr>
        <w:t>3</w:t>
      </w:r>
      <w:r>
        <w:rPr>
          <w:rFonts w:hint="eastAsia" w:hAnsi="宋体"/>
          <w:sz w:val="24"/>
          <w:szCs w:val="24"/>
        </w:rPr>
        <w:t>分。当投标报价低于措施项目基准值时，每低</w:t>
      </w:r>
      <w:r>
        <w:rPr>
          <w:rFonts w:hAnsi="宋体"/>
          <w:sz w:val="24"/>
          <w:szCs w:val="24"/>
        </w:rPr>
        <w:t>1%</w:t>
      </w:r>
      <w:r>
        <w:rPr>
          <w:rFonts w:hint="eastAsia" w:hAnsi="宋体"/>
          <w:sz w:val="24"/>
          <w:szCs w:val="24"/>
        </w:rPr>
        <w:t>在基本分</w:t>
      </w:r>
      <w:r>
        <w:rPr>
          <w:rFonts w:hAnsi="宋体"/>
          <w:sz w:val="24"/>
          <w:szCs w:val="24"/>
        </w:rPr>
        <w:t>3</w:t>
      </w:r>
      <w:r>
        <w:rPr>
          <w:rFonts w:hint="eastAsia" w:hAnsi="宋体"/>
          <w:sz w:val="24"/>
          <w:szCs w:val="24"/>
        </w:rPr>
        <w:t>分的基础上加</w:t>
      </w:r>
      <w:r>
        <w:rPr>
          <w:rFonts w:hAnsi="宋体"/>
          <w:sz w:val="24"/>
          <w:szCs w:val="24"/>
        </w:rPr>
        <w:t>0.1</w:t>
      </w:r>
      <w:r>
        <w:rPr>
          <w:rFonts w:hint="eastAsia" w:hAnsi="宋体"/>
          <w:sz w:val="24"/>
          <w:szCs w:val="24"/>
        </w:rPr>
        <w:t>分，最多加至</w:t>
      </w:r>
      <w:r>
        <w:rPr>
          <w:rFonts w:hAnsi="宋体"/>
          <w:sz w:val="24"/>
          <w:szCs w:val="24"/>
        </w:rPr>
        <w:t>5</w:t>
      </w:r>
      <w:r>
        <w:rPr>
          <w:rFonts w:hint="eastAsia" w:hAnsi="宋体"/>
          <w:sz w:val="24"/>
          <w:szCs w:val="24"/>
        </w:rPr>
        <w:t>分为止；当高于措施项目基准值时，每高于</w:t>
      </w:r>
      <w:r>
        <w:rPr>
          <w:rFonts w:hAnsi="宋体"/>
          <w:sz w:val="24"/>
          <w:szCs w:val="24"/>
        </w:rPr>
        <w:t>1%</w:t>
      </w:r>
      <w:r>
        <w:rPr>
          <w:rFonts w:hint="eastAsia" w:hAnsi="宋体"/>
          <w:sz w:val="24"/>
          <w:szCs w:val="24"/>
        </w:rPr>
        <w:t>时，在基本分</w:t>
      </w:r>
      <w:r>
        <w:rPr>
          <w:rFonts w:hAnsi="宋体"/>
          <w:sz w:val="24"/>
          <w:szCs w:val="24"/>
        </w:rPr>
        <w:t>3</w:t>
      </w:r>
      <w:r>
        <w:rPr>
          <w:rFonts w:hint="eastAsia" w:hAnsi="宋体"/>
          <w:sz w:val="24"/>
          <w:szCs w:val="24"/>
        </w:rPr>
        <w:t>分的基础上扣</w:t>
      </w:r>
      <w:r>
        <w:rPr>
          <w:rFonts w:hAnsi="宋体"/>
          <w:sz w:val="24"/>
          <w:szCs w:val="24"/>
        </w:rPr>
        <w:t>0.2</w:t>
      </w:r>
      <w:r>
        <w:rPr>
          <w:rFonts w:hint="eastAsia" w:hAnsi="宋体"/>
          <w:sz w:val="24"/>
          <w:szCs w:val="24"/>
        </w:rPr>
        <w:t>分，扣完为止。</w:t>
      </w:r>
    </w:p>
    <w:p>
      <w:pPr>
        <w:spacing w:line="360" w:lineRule="auto"/>
        <w:ind w:firstLine="480" w:firstLineChars="200"/>
        <w:textAlignment w:val="baseline"/>
        <w:rPr>
          <w:rFonts w:hAnsi="宋体"/>
          <w:sz w:val="24"/>
          <w:szCs w:val="24"/>
        </w:rPr>
      </w:pPr>
      <w:r>
        <w:rPr>
          <w:rFonts w:hAnsi="宋体"/>
          <w:sz w:val="24"/>
          <w:szCs w:val="24"/>
        </w:rPr>
        <w:t xml:space="preserve">4. </w:t>
      </w:r>
      <w:r>
        <w:rPr>
          <w:rFonts w:hint="eastAsia" w:hAnsi="宋体"/>
          <w:sz w:val="24"/>
          <w:szCs w:val="24"/>
        </w:rPr>
        <w:t>主要材料单价的评审，共计</w:t>
      </w:r>
      <w:r>
        <w:rPr>
          <w:rFonts w:hAnsi="宋体"/>
          <w:sz w:val="24"/>
          <w:szCs w:val="24"/>
        </w:rPr>
        <w:t>5</w:t>
      </w:r>
      <w:r>
        <w:rPr>
          <w:rFonts w:hint="eastAsia" w:hAnsi="宋体"/>
          <w:sz w:val="24"/>
          <w:szCs w:val="24"/>
        </w:rPr>
        <w:t>分。</w:t>
      </w:r>
    </w:p>
    <w:p>
      <w:pPr>
        <w:spacing w:line="360" w:lineRule="auto"/>
        <w:ind w:firstLine="480" w:firstLineChars="200"/>
        <w:textAlignment w:val="baseline"/>
        <w:rPr>
          <w:rFonts w:hAnsi="宋体"/>
          <w:sz w:val="24"/>
          <w:szCs w:val="24"/>
        </w:rPr>
      </w:pPr>
      <w:r>
        <w:rPr>
          <w:rFonts w:hint="eastAsia" w:hAnsi="宋体"/>
          <w:sz w:val="24"/>
          <w:szCs w:val="24"/>
        </w:rPr>
        <w:t>从最高投标限价中材料总价权重最大的前</w:t>
      </w:r>
      <w:r>
        <w:rPr>
          <w:rFonts w:hAnsi="宋体"/>
          <w:sz w:val="24"/>
          <w:szCs w:val="24"/>
        </w:rPr>
        <w:t>10-20</w:t>
      </w:r>
      <w:r>
        <w:rPr>
          <w:rFonts w:hint="eastAsia" w:hAnsi="宋体"/>
          <w:sz w:val="24"/>
          <w:szCs w:val="24"/>
        </w:rPr>
        <w:t>项材料中抽取</w:t>
      </w:r>
      <w:r>
        <w:rPr>
          <w:rFonts w:hAnsi="宋体"/>
          <w:sz w:val="24"/>
          <w:szCs w:val="24"/>
        </w:rPr>
        <w:t>6</w:t>
      </w:r>
      <w:r>
        <w:rPr>
          <w:rFonts w:hint="eastAsia" w:hAnsi="宋体"/>
          <w:sz w:val="24"/>
          <w:szCs w:val="24"/>
        </w:rPr>
        <w:t>项，在剩余材料中抽取</w:t>
      </w:r>
      <w:r>
        <w:rPr>
          <w:rFonts w:hAnsi="宋体"/>
          <w:sz w:val="24"/>
          <w:szCs w:val="24"/>
        </w:rPr>
        <w:t>4</w:t>
      </w:r>
      <w:r>
        <w:rPr>
          <w:rFonts w:hint="eastAsia" w:hAnsi="宋体"/>
          <w:sz w:val="24"/>
          <w:szCs w:val="24"/>
        </w:rPr>
        <w:t>项。</w:t>
      </w:r>
    </w:p>
    <w:p>
      <w:pPr>
        <w:spacing w:line="360" w:lineRule="auto"/>
        <w:ind w:firstLine="480" w:firstLineChars="200"/>
        <w:textAlignment w:val="baseline"/>
        <w:rPr>
          <w:rFonts w:hAnsi="宋体"/>
          <w:sz w:val="24"/>
          <w:szCs w:val="24"/>
        </w:rPr>
      </w:pPr>
      <w:r>
        <w:rPr>
          <w:rFonts w:hint="eastAsia" w:hAnsi="宋体"/>
          <w:sz w:val="24"/>
          <w:szCs w:val="24"/>
        </w:rPr>
        <w:t>主要材料单价基准值是以各有效投标报价中（当有效投标人</w:t>
      </w:r>
      <w:r>
        <w:rPr>
          <w:rFonts w:hAnsi="宋体"/>
          <w:sz w:val="24"/>
          <w:szCs w:val="24"/>
        </w:rPr>
        <w:t>5</w:t>
      </w:r>
      <w:r>
        <w:rPr>
          <w:rFonts w:hint="eastAsia" w:hAnsi="宋体"/>
          <w:sz w:val="24"/>
          <w:szCs w:val="24"/>
        </w:rPr>
        <w:t>名及以上时，去掉</w:t>
      </w:r>
      <w:r>
        <w:rPr>
          <w:rFonts w:hAnsi="宋体"/>
          <w:sz w:val="24"/>
          <w:szCs w:val="24"/>
        </w:rPr>
        <w:t>1</w:t>
      </w:r>
      <w:r>
        <w:rPr>
          <w:rFonts w:hint="eastAsia" w:hAnsi="宋体"/>
          <w:sz w:val="24"/>
          <w:szCs w:val="24"/>
        </w:rPr>
        <w:t>个最高、</w:t>
      </w:r>
      <w:r>
        <w:rPr>
          <w:rFonts w:hAnsi="宋体"/>
          <w:sz w:val="24"/>
          <w:szCs w:val="24"/>
        </w:rPr>
        <w:t>1</w:t>
      </w:r>
      <w:r>
        <w:rPr>
          <w:rFonts w:hint="eastAsia" w:hAnsi="宋体"/>
          <w:sz w:val="24"/>
          <w:szCs w:val="24"/>
        </w:rPr>
        <w:t>个最低值）对应抽取材料单价的算术平均值。</w:t>
      </w:r>
    </w:p>
    <w:p>
      <w:pPr>
        <w:spacing w:line="360" w:lineRule="auto"/>
        <w:ind w:firstLine="480" w:firstLineChars="200"/>
        <w:textAlignment w:val="baseline"/>
        <w:rPr>
          <w:rFonts w:hAnsi="宋体"/>
          <w:sz w:val="24"/>
          <w:szCs w:val="24"/>
        </w:rPr>
      </w:pPr>
      <w:r>
        <w:rPr>
          <w:rFonts w:hint="eastAsia" w:hAnsi="宋体"/>
          <w:sz w:val="24"/>
          <w:szCs w:val="24"/>
        </w:rPr>
        <w:t>当投标人报价在材料单价基准值</w:t>
      </w:r>
      <w:r>
        <w:rPr>
          <w:rFonts w:hAnsi="宋体"/>
          <w:sz w:val="24"/>
          <w:szCs w:val="24"/>
        </w:rPr>
        <w:t>95%–103%</w:t>
      </w:r>
      <w:r>
        <w:rPr>
          <w:rFonts w:hint="eastAsia" w:hAnsi="宋体"/>
          <w:sz w:val="24"/>
          <w:szCs w:val="24"/>
        </w:rPr>
        <w:t>范围内（不含</w:t>
      </w:r>
      <w:r>
        <w:rPr>
          <w:rFonts w:hAnsi="宋体"/>
          <w:sz w:val="24"/>
          <w:szCs w:val="24"/>
        </w:rPr>
        <w:t>95%</w:t>
      </w:r>
      <w:r>
        <w:rPr>
          <w:rFonts w:hint="eastAsia" w:hAnsi="宋体"/>
          <w:sz w:val="24"/>
          <w:szCs w:val="24"/>
        </w:rPr>
        <w:t>和</w:t>
      </w:r>
      <w:r>
        <w:rPr>
          <w:rFonts w:hAnsi="宋体"/>
          <w:sz w:val="24"/>
          <w:szCs w:val="24"/>
        </w:rPr>
        <w:t>103%</w:t>
      </w:r>
      <w:r>
        <w:rPr>
          <w:rFonts w:hint="eastAsia" w:hAnsi="宋体"/>
          <w:sz w:val="24"/>
          <w:szCs w:val="24"/>
        </w:rPr>
        <w:t>）每项得</w:t>
      </w:r>
      <w:r>
        <w:rPr>
          <w:rFonts w:hAnsi="宋体"/>
          <w:sz w:val="24"/>
          <w:szCs w:val="24"/>
        </w:rPr>
        <w:t>0.5</w:t>
      </w:r>
      <w:r>
        <w:rPr>
          <w:rFonts w:hint="eastAsia" w:hAnsi="宋体"/>
          <w:sz w:val="24"/>
          <w:szCs w:val="24"/>
        </w:rPr>
        <w:t>分，在材料单价基准值</w:t>
      </w:r>
      <w:r>
        <w:rPr>
          <w:rFonts w:hAnsi="宋体"/>
          <w:sz w:val="24"/>
          <w:szCs w:val="24"/>
        </w:rPr>
        <w:t>90%–95%</w:t>
      </w:r>
      <w:r>
        <w:rPr>
          <w:rFonts w:hint="eastAsia" w:hAnsi="宋体"/>
          <w:sz w:val="24"/>
          <w:szCs w:val="24"/>
        </w:rPr>
        <w:t>范围内（含</w:t>
      </w:r>
      <w:r>
        <w:rPr>
          <w:rFonts w:hAnsi="宋体"/>
          <w:sz w:val="24"/>
          <w:szCs w:val="24"/>
        </w:rPr>
        <w:t>90%</w:t>
      </w:r>
      <w:r>
        <w:rPr>
          <w:rFonts w:hint="eastAsia" w:hAnsi="宋体"/>
          <w:sz w:val="24"/>
          <w:szCs w:val="24"/>
        </w:rPr>
        <w:t>和</w:t>
      </w:r>
      <w:r>
        <w:rPr>
          <w:rFonts w:hAnsi="宋体"/>
          <w:sz w:val="24"/>
          <w:szCs w:val="24"/>
        </w:rPr>
        <w:t>95%</w:t>
      </w:r>
      <w:r>
        <w:rPr>
          <w:rFonts w:hint="eastAsia" w:hAnsi="宋体"/>
          <w:sz w:val="24"/>
          <w:szCs w:val="24"/>
        </w:rPr>
        <w:t>）每项得</w:t>
      </w:r>
      <w:r>
        <w:rPr>
          <w:rFonts w:hAnsi="宋体"/>
          <w:sz w:val="24"/>
          <w:szCs w:val="24"/>
        </w:rPr>
        <w:t>0.25</w:t>
      </w:r>
      <w:r>
        <w:rPr>
          <w:rFonts w:hint="eastAsia" w:hAnsi="宋体"/>
          <w:sz w:val="24"/>
          <w:szCs w:val="24"/>
        </w:rPr>
        <w:t>分。超出该范围的不得分。材料单价与综合单价组成中价格不一致时该项为</w:t>
      </w:r>
      <w:r>
        <w:rPr>
          <w:rFonts w:hAnsi="宋体"/>
          <w:sz w:val="24"/>
          <w:szCs w:val="24"/>
        </w:rPr>
        <w:t>0</w:t>
      </w:r>
      <w:r>
        <w:rPr>
          <w:rFonts w:hint="eastAsia" w:hAnsi="宋体"/>
          <w:sz w:val="24"/>
          <w:szCs w:val="24"/>
        </w:rPr>
        <w:t>分。</w:t>
      </w:r>
    </w:p>
    <w:p>
      <w:pPr>
        <w:spacing w:line="360" w:lineRule="auto"/>
        <w:ind w:firstLine="480" w:firstLineChars="200"/>
        <w:textAlignment w:val="baseline"/>
        <w:rPr>
          <w:rFonts w:hAnsi="宋体"/>
          <w:b/>
          <w:sz w:val="24"/>
          <w:szCs w:val="24"/>
        </w:rPr>
      </w:pPr>
      <w:r>
        <w:rPr>
          <w:rFonts w:hint="eastAsia" w:hAnsi="宋体"/>
          <w:b/>
          <w:sz w:val="24"/>
          <w:szCs w:val="24"/>
        </w:rPr>
        <w:t>针对上述</w:t>
      </w:r>
      <w:r>
        <w:rPr>
          <w:rFonts w:hAnsi="宋体"/>
          <w:b/>
          <w:sz w:val="24"/>
          <w:szCs w:val="24"/>
        </w:rPr>
        <w:t>2</w:t>
      </w:r>
      <w:r>
        <w:rPr>
          <w:rFonts w:hint="eastAsia" w:hAnsi="宋体"/>
          <w:b/>
          <w:sz w:val="24"/>
          <w:szCs w:val="24"/>
        </w:rPr>
        <w:t>、</w:t>
      </w:r>
      <w:r>
        <w:rPr>
          <w:rFonts w:hAnsi="宋体"/>
          <w:b/>
          <w:sz w:val="24"/>
          <w:szCs w:val="24"/>
        </w:rPr>
        <w:t>4</w:t>
      </w:r>
      <w:r>
        <w:rPr>
          <w:rFonts w:hint="eastAsia" w:hAnsi="宋体"/>
          <w:b/>
          <w:sz w:val="24"/>
          <w:szCs w:val="24"/>
        </w:rPr>
        <w:t>款项中部分分部分项工程项目数量较少、施工工艺简单、主材种类较少而不能满足最低抽项要求的，应将所有分部分项工程项目或主要材料项目纳入评审范围。</w:t>
      </w:r>
    </w:p>
    <w:p>
      <w:pPr>
        <w:spacing w:line="546" w:lineRule="exact"/>
        <w:ind w:firstLine="480" w:firstLineChars="200"/>
        <w:textAlignment w:val="baseline"/>
        <w:rPr>
          <w:rFonts w:hAnsi="宋体"/>
          <w:b/>
          <w:sz w:val="24"/>
          <w:szCs w:val="24"/>
        </w:rPr>
      </w:pPr>
      <w:r>
        <w:rPr>
          <w:rFonts w:hint="eastAsia" w:hAnsi="宋体"/>
          <w:sz w:val="24"/>
          <w:szCs w:val="24"/>
        </w:rPr>
        <w:t>（三）综合标的评标分值计</w:t>
      </w:r>
      <w:r>
        <w:rPr>
          <w:rFonts w:hAnsi="宋体"/>
          <w:sz w:val="24"/>
          <w:szCs w:val="24"/>
        </w:rPr>
        <w:t>25</w:t>
      </w:r>
      <w:r>
        <w:rPr>
          <w:rFonts w:hint="eastAsia" w:hAnsi="宋体"/>
          <w:sz w:val="24"/>
          <w:szCs w:val="24"/>
        </w:rPr>
        <w:t>分</w:t>
      </w:r>
    </w:p>
    <w:tbl>
      <w:tblPr>
        <w:tblStyle w:val="17"/>
        <w:tblW w:w="8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vAlign w:val="center"/>
          </w:tcPr>
          <w:p>
            <w:pPr>
              <w:spacing w:line="360" w:lineRule="auto"/>
              <w:jc w:val="center"/>
              <w:rPr>
                <w:rFonts w:hAnsi="宋体"/>
                <w:b/>
                <w:szCs w:val="21"/>
              </w:rPr>
            </w:pPr>
            <w:r>
              <w:rPr>
                <w:rFonts w:hint="eastAsia" w:hAnsi="宋体"/>
                <w:b/>
                <w:szCs w:val="21"/>
              </w:rPr>
              <w:t>序号</w:t>
            </w:r>
          </w:p>
        </w:tc>
        <w:tc>
          <w:tcPr>
            <w:tcW w:w="1417" w:type="dxa"/>
            <w:vAlign w:val="center"/>
          </w:tcPr>
          <w:p>
            <w:pPr>
              <w:spacing w:line="360" w:lineRule="auto"/>
              <w:jc w:val="center"/>
              <w:rPr>
                <w:rFonts w:hAnsi="宋体"/>
                <w:b/>
                <w:szCs w:val="21"/>
              </w:rPr>
            </w:pPr>
            <w:r>
              <w:rPr>
                <w:rFonts w:hint="eastAsia" w:hAnsi="宋体"/>
                <w:b/>
                <w:szCs w:val="21"/>
              </w:rPr>
              <w:t>项目</w:t>
            </w:r>
          </w:p>
        </w:tc>
        <w:tc>
          <w:tcPr>
            <w:tcW w:w="4678" w:type="dxa"/>
            <w:vAlign w:val="center"/>
          </w:tcPr>
          <w:p>
            <w:pPr>
              <w:spacing w:line="360" w:lineRule="auto"/>
              <w:jc w:val="center"/>
              <w:rPr>
                <w:rFonts w:hAnsi="宋体"/>
                <w:b/>
                <w:szCs w:val="21"/>
              </w:rPr>
            </w:pPr>
            <w:r>
              <w:rPr>
                <w:rFonts w:hint="eastAsia" w:hAnsi="宋体"/>
                <w:b/>
                <w:szCs w:val="21"/>
              </w:rPr>
              <w:t>评审标准</w:t>
            </w:r>
          </w:p>
        </w:tc>
        <w:tc>
          <w:tcPr>
            <w:tcW w:w="1843" w:type="dxa"/>
            <w:vAlign w:val="center"/>
          </w:tcPr>
          <w:p>
            <w:pPr>
              <w:spacing w:line="360" w:lineRule="auto"/>
              <w:jc w:val="center"/>
              <w:rPr>
                <w:rFonts w:hAnsi="宋体"/>
                <w:b/>
                <w:szCs w:val="21"/>
              </w:rPr>
            </w:pPr>
            <w:r>
              <w:rPr>
                <w:rFonts w:hint="eastAsia" w:hAnsi="宋体"/>
                <w:b/>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30" w:type="dxa"/>
            <w:vAlign w:val="center"/>
          </w:tcPr>
          <w:p>
            <w:pPr>
              <w:jc w:val="center"/>
              <w:rPr>
                <w:rFonts w:hAnsi="宋体"/>
                <w:szCs w:val="21"/>
              </w:rPr>
            </w:pPr>
            <w:r>
              <w:rPr>
                <w:rFonts w:hAnsi="宋体"/>
                <w:szCs w:val="21"/>
              </w:rPr>
              <w:t>1</w:t>
            </w:r>
          </w:p>
        </w:tc>
        <w:tc>
          <w:tcPr>
            <w:tcW w:w="1417" w:type="dxa"/>
            <w:vAlign w:val="center"/>
          </w:tcPr>
          <w:p>
            <w:pPr>
              <w:jc w:val="center"/>
              <w:rPr>
                <w:rFonts w:hAnsi="宋体"/>
                <w:szCs w:val="21"/>
              </w:rPr>
            </w:pPr>
            <w:r>
              <w:rPr>
                <w:rFonts w:hint="eastAsia" w:hAnsi="宋体"/>
                <w:szCs w:val="21"/>
              </w:rPr>
              <w:t>企业业绩</w:t>
            </w:r>
          </w:p>
        </w:tc>
        <w:tc>
          <w:tcPr>
            <w:tcW w:w="4678" w:type="dxa"/>
            <w:vAlign w:val="center"/>
          </w:tcPr>
          <w:p>
            <w:pPr>
              <w:jc w:val="left"/>
              <w:rPr>
                <w:rFonts w:hAnsi="宋体"/>
                <w:szCs w:val="21"/>
              </w:rPr>
            </w:pPr>
            <w:r>
              <w:rPr>
                <w:rFonts w:hint="eastAsia" w:hAnsi="宋体"/>
                <w:szCs w:val="21"/>
              </w:rPr>
              <w:t>企业近年来完成过类似项目的，每项得1分，本项最高得4分(须同时提供中标通知书、合同协议书和工程竣工验收证明资料原件的扫描件或图片，时间以合同签订日期为准）</w:t>
            </w:r>
          </w:p>
        </w:tc>
        <w:tc>
          <w:tcPr>
            <w:tcW w:w="1843" w:type="dxa"/>
            <w:vAlign w:val="center"/>
          </w:tcPr>
          <w:p>
            <w:pPr>
              <w:jc w:val="center"/>
              <w:rPr>
                <w:rFonts w:hAnsi="宋体"/>
                <w:szCs w:val="21"/>
              </w:rPr>
            </w:pPr>
            <w:r>
              <w:rPr>
                <w:rFonts w:hAnsi="宋体"/>
                <w:szCs w:val="21"/>
              </w:rPr>
              <w:t>0</w:t>
            </w:r>
            <w:r>
              <w:rPr>
                <w:rFonts w:hint="eastAsia" w:hAnsi="宋体"/>
                <w:szCs w:val="21"/>
              </w:rPr>
              <w:t>＜得分</w:t>
            </w:r>
            <w:r>
              <w:rPr>
                <w:rFonts w:hAnsi="宋体"/>
                <w:szCs w:val="21"/>
              </w:rPr>
              <w:t>≤</w:t>
            </w:r>
            <w:r>
              <w:rPr>
                <w:rFonts w:hint="eastAsia"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szCs w:val="21"/>
              </w:rPr>
            </w:pPr>
            <w:r>
              <w:rPr>
                <w:rFonts w:hAnsi="宋体"/>
                <w:szCs w:val="21"/>
              </w:rPr>
              <w:t>2</w:t>
            </w:r>
          </w:p>
        </w:tc>
        <w:tc>
          <w:tcPr>
            <w:tcW w:w="1417" w:type="dxa"/>
            <w:vAlign w:val="center"/>
          </w:tcPr>
          <w:p>
            <w:pPr>
              <w:jc w:val="center"/>
              <w:rPr>
                <w:rFonts w:hAnsi="宋体"/>
                <w:szCs w:val="21"/>
              </w:rPr>
            </w:pPr>
            <w:r>
              <w:rPr>
                <w:rFonts w:hint="eastAsia" w:hAnsi="宋体"/>
                <w:szCs w:val="21"/>
              </w:rPr>
              <w:t>项目经理业绩</w:t>
            </w:r>
          </w:p>
        </w:tc>
        <w:tc>
          <w:tcPr>
            <w:tcW w:w="4678" w:type="dxa"/>
            <w:vAlign w:val="center"/>
          </w:tcPr>
          <w:p>
            <w:pPr>
              <w:jc w:val="left"/>
              <w:rPr>
                <w:rFonts w:hAnsi="宋体"/>
                <w:szCs w:val="21"/>
              </w:rPr>
            </w:pPr>
            <w:r>
              <w:rPr>
                <w:rFonts w:hint="eastAsia" w:hAnsi="宋体"/>
                <w:szCs w:val="21"/>
              </w:rPr>
              <w:t>拟派项目负责人2016年1月1日以来承建过类似项目的，每项得3分，本项最高得6分（管理过的项目业绩须同时提供中标通知书、合同协议书和工程竣工验收证明资料，时间以合同签订日期为准，若上述资料不显示项目负责人姓名，还须同时提供业主单位出具的相关证明文件。类似项目仅限于项目负责人以项目经理或项目负责人身份参与的项目）。</w:t>
            </w:r>
          </w:p>
        </w:tc>
        <w:tc>
          <w:tcPr>
            <w:tcW w:w="1843" w:type="dxa"/>
            <w:vAlign w:val="center"/>
          </w:tcPr>
          <w:p>
            <w:pPr>
              <w:jc w:val="center"/>
              <w:rPr>
                <w:rFonts w:hAnsi="宋体"/>
                <w:szCs w:val="21"/>
              </w:rPr>
            </w:pPr>
            <w:r>
              <w:rPr>
                <w:rFonts w:hAnsi="宋体"/>
                <w:szCs w:val="21"/>
              </w:rPr>
              <w:t>0</w:t>
            </w:r>
            <w:r>
              <w:rPr>
                <w:rFonts w:hint="eastAsia" w:hAnsi="宋体"/>
                <w:szCs w:val="21"/>
              </w:rPr>
              <w:t>＜得分</w:t>
            </w:r>
            <w:r>
              <w:rPr>
                <w:rFonts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szCs w:val="21"/>
              </w:rPr>
            </w:pPr>
            <w:r>
              <w:rPr>
                <w:rFonts w:hAnsi="宋体"/>
                <w:szCs w:val="21"/>
              </w:rPr>
              <w:t>3</w:t>
            </w:r>
          </w:p>
        </w:tc>
        <w:tc>
          <w:tcPr>
            <w:tcW w:w="1417" w:type="dxa"/>
            <w:vMerge w:val="restart"/>
            <w:vAlign w:val="center"/>
          </w:tcPr>
          <w:p>
            <w:pPr>
              <w:jc w:val="center"/>
              <w:rPr>
                <w:rFonts w:hAnsi="宋体"/>
                <w:szCs w:val="21"/>
              </w:rPr>
            </w:pPr>
            <w:r>
              <w:rPr>
                <w:rFonts w:hint="eastAsia" w:hAnsi="宋体"/>
                <w:szCs w:val="21"/>
              </w:rPr>
              <w:t>优惠承诺</w:t>
            </w:r>
          </w:p>
        </w:tc>
        <w:tc>
          <w:tcPr>
            <w:tcW w:w="4678" w:type="dxa"/>
            <w:vAlign w:val="center"/>
          </w:tcPr>
          <w:p>
            <w:pPr>
              <w:jc w:val="left"/>
              <w:rPr>
                <w:rFonts w:hAnsi="宋体"/>
                <w:szCs w:val="21"/>
              </w:rPr>
            </w:pPr>
            <w:r>
              <w:rPr>
                <w:rFonts w:hint="eastAsia" w:hAnsi="宋体"/>
                <w:szCs w:val="21"/>
              </w:rPr>
              <w:t>优惠承诺应是书面的符合工程实际情况，确保依法依规，优惠合理，详实可行。</w:t>
            </w:r>
          </w:p>
        </w:tc>
        <w:tc>
          <w:tcPr>
            <w:tcW w:w="1843" w:type="dxa"/>
            <w:vAlign w:val="center"/>
          </w:tcPr>
          <w:p>
            <w:pPr>
              <w:jc w:val="center"/>
              <w:rPr>
                <w:rFonts w:hAnsi="宋体"/>
                <w:szCs w:val="21"/>
              </w:rPr>
            </w:pPr>
            <w:r>
              <w:rPr>
                <w:rFonts w:hAnsi="宋体"/>
                <w:szCs w:val="21"/>
              </w:rPr>
              <w:t>3</w:t>
            </w:r>
            <w:r>
              <w:rPr>
                <w:rFonts w:hint="eastAsia" w:hAnsi="宋体"/>
                <w:szCs w:val="21"/>
              </w:rPr>
              <w:t>＜得分</w:t>
            </w:r>
            <w:r>
              <w:rPr>
                <w:rFonts w:hAnsi="宋体"/>
                <w:szCs w:val="21"/>
              </w:rPr>
              <w:t>≤4</w:t>
            </w:r>
            <w:bookmarkStart w:id="27" w:name="_GoBack"/>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szCs w:val="21"/>
              </w:rPr>
            </w:pPr>
          </w:p>
        </w:tc>
        <w:tc>
          <w:tcPr>
            <w:tcW w:w="1417" w:type="dxa"/>
            <w:vMerge w:val="continue"/>
            <w:vAlign w:val="center"/>
          </w:tcPr>
          <w:p>
            <w:pPr>
              <w:jc w:val="left"/>
              <w:rPr>
                <w:rFonts w:hAnsi="宋体"/>
                <w:szCs w:val="21"/>
              </w:rPr>
            </w:pPr>
          </w:p>
        </w:tc>
        <w:tc>
          <w:tcPr>
            <w:tcW w:w="4678" w:type="dxa"/>
            <w:vAlign w:val="center"/>
          </w:tcPr>
          <w:p>
            <w:pPr>
              <w:jc w:val="left"/>
              <w:rPr>
                <w:rFonts w:hAnsi="宋体"/>
                <w:szCs w:val="21"/>
              </w:rPr>
            </w:pPr>
            <w:r>
              <w:rPr>
                <w:rFonts w:hint="eastAsia" w:hAnsi="宋体"/>
                <w:szCs w:val="21"/>
              </w:rPr>
              <w:t>优惠承诺符合工程实际情况，确保依法依规，优惠基本合理，基本详实可行。</w:t>
            </w:r>
          </w:p>
        </w:tc>
        <w:tc>
          <w:tcPr>
            <w:tcW w:w="1843" w:type="dxa"/>
            <w:vAlign w:val="center"/>
          </w:tcPr>
          <w:p>
            <w:pPr>
              <w:jc w:val="center"/>
              <w:rPr>
                <w:rFonts w:hAnsi="宋体"/>
                <w:szCs w:val="21"/>
              </w:rPr>
            </w:pPr>
            <w:r>
              <w:rPr>
                <w:rFonts w:hAnsi="宋体"/>
                <w:szCs w:val="21"/>
              </w:rPr>
              <w:t>1≤</w:t>
            </w:r>
            <w:r>
              <w:rPr>
                <w:rFonts w:hint="eastAsia" w:hAnsi="宋体"/>
                <w:szCs w:val="21"/>
              </w:rPr>
              <w:t>得分</w:t>
            </w:r>
            <w:r>
              <w:rPr>
                <w:rFonts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szCs w:val="21"/>
              </w:rPr>
            </w:pPr>
            <w:r>
              <w:rPr>
                <w:rFonts w:hAnsi="宋体"/>
                <w:szCs w:val="21"/>
              </w:rPr>
              <w:t>4</w:t>
            </w:r>
          </w:p>
        </w:tc>
        <w:tc>
          <w:tcPr>
            <w:tcW w:w="1417" w:type="dxa"/>
            <w:vMerge w:val="restart"/>
            <w:vAlign w:val="center"/>
          </w:tcPr>
          <w:p>
            <w:pPr>
              <w:jc w:val="center"/>
              <w:rPr>
                <w:rFonts w:hAnsi="宋体"/>
                <w:szCs w:val="21"/>
              </w:rPr>
            </w:pPr>
            <w:r>
              <w:rPr>
                <w:rFonts w:hint="eastAsia" w:hAnsi="宋体"/>
                <w:szCs w:val="21"/>
              </w:rPr>
              <w:t>履职尽责承诺</w:t>
            </w:r>
          </w:p>
        </w:tc>
        <w:tc>
          <w:tcPr>
            <w:tcW w:w="4678" w:type="dxa"/>
            <w:vAlign w:val="center"/>
          </w:tcPr>
          <w:p>
            <w:pPr>
              <w:jc w:val="left"/>
              <w:rPr>
                <w:rFonts w:hAnsi="宋体"/>
                <w:szCs w:val="21"/>
              </w:rPr>
            </w:pPr>
            <w:r>
              <w:rPr>
                <w:rFonts w:hint="eastAsia" w:hAnsi="宋体"/>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43" w:type="dxa"/>
            <w:vAlign w:val="center"/>
          </w:tcPr>
          <w:p>
            <w:pPr>
              <w:jc w:val="center"/>
              <w:rPr>
                <w:rFonts w:hAnsi="宋体"/>
                <w:szCs w:val="21"/>
              </w:rPr>
            </w:pPr>
            <w:r>
              <w:rPr>
                <w:rFonts w:hint="eastAsia" w:hAnsi="宋体"/>
                <w:szCs w:val="21"/>
              </w:rPr>
              <w:t>2＜得分</w:t>
            </w:r>
            <w:r>
              <w:rPr>
                <w:rFonts w:hAnsi="宋体"/>
                <w:szCs w:val="21"/>
              </w:rPr>
              <w:t>≤</w:t>
            </w:r>
            <w:r>
              <w:rPr>
                <w:rFonts w:hint="eastAsia"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szCs w:val="21"/>
              </w:rPr>
            </w:pPr>
          </w:p>
        </w:tc>
        <w:tc>
          <w:tcPr>
            <w:tcW w:w="1417" w:type="dxa"/>
            <w:vMerge w:val="continue"/>
            <w:vAlign w:val="center"/>
          </w:tcPr>
          <w:p>
            <w:pPr>
              <w:jc w:val="left"/>
              <w:rPr>
                <w:rFonts w:hAnsi="宋体"/>
                <w:szCs w:val="21"/>
              </w:rPr>
            </w:pPr>
          </w:p>
        </w:tc>
        <w:tc>
          <w:tcPr>
            <w:tcW w:w="4678" w:type="dxa"/>
            <w:vAlign w:val="center"/>
          </w:tcPr>
          <w:p>
            <w:pPr>
              <w:jc w:val="left"/>
              <w:rPr>
                <w:rFonts w:hAnsi="宋体"/>
                <w:szCs w:val="21"/>
              </w:rPr>
            </w:pPr>
            <w:r>
              <w:rPr>
                <w:rFonts w:hint="eastAsia" w:hAnsi="宋体"/>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43" w:type="dxa"/>
            <w:vAlign w:val="center"/>
          </w:tcPr>
          <w:p>
            <w:pPr>
              <w:jc w:val="center"/>
              <w:rPr>
                <w:rFonts w:hAnsi="宋体"/>
                <w:szCs w:val="21"/>
              </w:rPr>
            </w:pPr>
            <w:r>
              <w:rPr>
                <w:rFonts w:hAnsi="宋体"/>
                <w:szCs w:val="21"/>
              </w:rPr>
              <w:t>1≤</w:t>
            </w:r>
            <w:r>
              <w:rPr>
                <w:rFonts w:hint="eastAsia" w:hAnsi="宋体"/>
                <w:szCs w:val="21"/>
              </w:rPr>
              <w:t>得分</w:t>
            </w:r>
            <w:r>
              <w:rPr>
                <w:rFonts w:hAnsi="宋体"/>
                <w:szCs w:val="21"/>
              </w:rPr>
              <w:t>≤</w:t>
            </w:r>
            <w:r>
              <w:rPr>
                <w:rFonts w:hint="eastAsia"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szCs w:val="21"/>
              </w:rPr>
            </w:pPr>
            <w:r>
              <w:rPr>
                <w:rFonts w:hAnsi="宋体"/>
                <w:szCs w:val="21"/>
              </w:rPr>
              <w:t>5</w:t>
            </w:r>
          </w:p>
        </w:tc>
        <w:tc>
          <w:tcPr>
            <w:tcW w:w="1417" w:type="dxa"/>
            <w:vAlign w:val="center"/>
          </w:tcPr>
          <w:p>
            <w:pPr>
              <w:jc w:val="center"/>
              <w:rPr>
                <w:rFonts w:hAnsi="宋体"/>
                <w:szCs w:val="21"/>
              </w:rPr>
            </w:pPr>
            <w:r>
              <w:rPr>
                <w:rFonts w:hint="eastAsia" w:hAnsi="宋体"/>
                <w:szCs w:val="21"/>
              </w:rPr>
              <w:t>企业信用（含纳税诚信）</w:t>
            </w:r>
          </w:p>
        </w:tc>
        <w:tc>
          <w:tcPr>
            <w:tcW w:w="4678" w:type="dxa"/>
            <w:vAlign w:val="center"/>
          </w:tcPr>
          <w:p>
            <w:pPr>
              <w:jc w:val="left"/>
            </w:pPr>
            <w:r>
              <w:rPr>
                <w:rFonts w:hint="eastAsia" w:hAnsi="宋体"/>
                <w:szCs w:val="21"/>
              </w:rPr>
              <w:t>2016年1月1日以来企业</w:t>
            </w:r>
            <w:r>
              <w:rPr>
                <w:rFonts w:hint="eastAsia"/>
              </w:rPr>
              <w:t>获得人民政府或住房城乡建设主管部门表彰</w:t>
            </w:r>
            <w:r>
              <w:rPr>
                <w:rFonts w:hint="eastAsia"/>
                <w:lang w:eastAsia="zh-CN"/>
              </w:rPr>
              <w:t>的，</w:t>
            </w:r>
            <w:r>
              <w:rPr>
                <w:rFonts w:hint="eastAsia"/>
              </w:rPr>
              <w:t>县级得2分</w:t>
            </w:r>
            <w:r>
              <w:rPr>
                <w:rFonts w:hint="eastAsia"/>
                <w:lang w:eastAsia="zh-CN"/>
              </w:rPr>
              <w:t>，市级及以上得</w:t>
            </w:r>
            <w:r>
              <w:rPr>
                <w:rFonts w:hint="eastAsia"/>
                <w:lang w:val="en-US" w:eastAsia="zh-CN"/>
              </w:rPr>
              <w:t>4分</w:t>
            </w:r>
            <w:r>
              <w:rPr>
                <w:rFonts w:hint="eastAsia"/>
              </w:rPr>
              <w:t>。协会颁发信用不予认定。</w:t>
            </w:r>
          </w:p>
        </w:tc>
        <w:tc>
          <w:tcPr>
            <w:tcW w:w="1843" w:type="dxa"/>
            <w:vAlign w:val="center"/>
          </w:tcPr>
          <w:p>
            <w:pPr>
              <w:jc w:val="center"/>
              <w:rPr>
                <w:rFonts w:hAnsi="宋体"/>
                <w:szCs w:val="21"/>
              </w:rPr>
            </w:pPr>
            <w:r>
              <w:rPr>
                <w:rFonts w:hint="eastAsia" w:hAnsi="宋体"/>
                <w:szCs w:val="21"/>
              </w:rPr>
              <w:t>0</w:t>
            </w:r>
            <w:r>
              <w:rPr>
                <w:rFonts w:hAnsi="宋体"/>
                <w:szCs w:val="21"/>
              </w:rPr>
              <w:t>≤</w:t>
            </w:r>
            <w:r>
              <w:rPr>
                <w:rFonts w:hint="eastAsia" w:hAnsi="宋体"/>
                <w:szCs w:val="21"/>
              </w:rPr>
              <w:t>得分</w:t>
            </w:r>
            <w:r>
              <w:rPr>
                <w:rFonts w:hAnsi="宋体"/>
                <w:szCs w:val="21"/>
              </w:rPr>
              <w:t>≤</w:t>
            </w:r>
            <w:r>
              <w:rPr>
                <w:rFonts w:hint="eastAsia"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szCs w:val="21"/>
              </w:rPr>
            </w:pPr>
            <w:r>
              <w:rPr>
                <w:rFonts w:hAnsi="宋体"/>
                <w:szCs w:val="21"/>
              </w:rPr>
              <w:t>6</w:t>
            </w:r>
          </w:p>
        </w:tc>
        <w:tc>
          <w:tcPr>
            <w:tcW w:w="1417" w:type="dxa"/>
            <w:vAlign w:val="center"/>
          </w:tcPr>
          <w:p>
            <w:pPr>
              <w:jc w:val="center"/>
              <w:rPr>
                <w:rFonts w:hAnsi="宋体"/>
                <w:szCs w:val="21"/>
              </w:rPr>
            </w:pPr>
            <w:r>
              <w:rPr>
                <w:rFonts w:hint="eastAsia" w:hAnsi="宋体"/>
                <w:szCs w:val="21"/>
              </w:rPr>
              <w:t>项目经理信用</w:t>
            </w:r>
          </w:p>
        </w:tc>
        <w:tc>
          <w:tcPr>
            <w:tcW w:w="4678" w:type="dxa"/>
            <w:vAlign w:val="center"/>
          </w:tcPr>
          <w:p>
            <w:pPr>
              <w:jc w:val="left"/>
              <w:rPr>
                <w:rFonts w:hAnsi="宋体"/>
                <w:szCs w:val="21"/>
              </w:rPr>
            </w:pPr>
            <w:r>
              <w:rPr>
                <w:rFonts w:hint="eastAsia" w:hAnsi="宋体"/>
                <w:szCs w:val="21"/>
              </w:rPr>
              <w:t>2016年1月1日以来,项目负责人获得过省级及以上科技进步奖者得2分。(需提供获奖证书和同级奖励文件,以证书时间为准)</w:t>
            </w:r>
          </w:p>
        </w:tc>
        <w:tc>
          <w:tcPr>
            <w:tcW w:w="1843" w:type="dxa"/>
            <w:vAlign w:val="center"/>
          </w:tcPr>
          <w:p>
            <w:pPr>
              <w:jc w:val="center"/>
              <w:rPr>
                <w:rFonts w:hAnsi="宋体"/>
                <w:szCs w:val="21"/>
              </w:rPr>
            </w:pPr>
            <w:r>
              <w:rPr>
                <w:rFonts w:hint="eastAsia" w:hAnsi="宋体"/>
                <w:szCs w:val="21"/>
              </w:rPr>
              <w:t>0</w:t>
            </w:r>
            <w:r>
              <w:rPr>
                <w:rFonts w:hAnsi="宋体"/>
                <w:szCs w:val="21"/>
              </w:rPr>
              <w:t>≤</w:t>
            </w:r>
            <w:r>
              <w:rPr>
                <w:rFonts w:hint="eastAsia" w:hAnsi="宋体"/>
                <w:szCs w:val="21"/>
              </w:rPr>
              <w:t>得分</w:t>
            </w:r>
            <w:r>
              <w:rPr>
                <w:rFonts w:hAnsi="宋体"/>
                <w:szCs w:val="21"/>
              </w:rPr>
              <w:t>≤</w:t>
            </w:r>
            <w:r>
              <w:rPr>
                <w:rFonts w:hint="eastAsia"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Pr>
          <w:p>
            <w:pPr>
              <w:jc w:val="center"/>
              <w:rPr>
                <w:rFonts w:hAnsi="宋体"/>
                <w:szCs w:val="21"/>
              </w:rPr>
            </w:pPr>
            <w:r>
              <w:rPr>
                <w:rFonts w:hint="eastAsia" w:hAnsi="宋体"/>
                <w:szCs w:val="21"/>
              </w:rPr>
              <w:t>7</w:t>
            </w:r>
          </w:p>
        </w:tc>
        <w:tc>
          <w:tcPr>
            <w:tcW w:w="1417" w:type="dxa"/>
            <w:vAlign w:val="center"/>
          </w:tcPr>
          <w:p>
            <w:pPr>
              <w:jc w:val="center"/>
              <w:rPr>
                <w:rFonts w:hAnsi="宋体" w:cs="宋体"/>
                <w:szCs w:val="21"/>
              </w:rPr>
            </w:pPr>
            <w:r>
              <w:rPr>
                <w:rFonts w:hint="eastAsia" w:hAnsi="宋体" w:cs="宋体"/>
                <w:szCs w:val="21"/>
              </w:rPr>
              <w:t>招标人意见</w:t>
            </w:r>
          </w:p>
        </w:tc>
        <w:tc>
          <w:tcPr>
            <w:tcW w:w="4678" w:type="dxa"/>
            <w:vAlign w:val="center"/>
          </w:tcPr>
          <w:p>
            <w:pPr>
              <w:rPr>
                <w:rFonts w:hAnsi="宋体" w:cs="宋体"/>
                <w:szCs w:val="21"/>
              </w:rPr>
            </w:pPr>
            <w:r>
              <w:rPr>
                <w:rFonts w:hint="eastAsia" w:hAnsi="宋体" w:cs="宋体"/>
                <w:szCs w:val="21"/>
                <w:lang w:eastAsia="zh-CN"/>
              </w:rPr>
              <w:t>招标人对各投标人酌情打分</w:t>
            </w:r>
            <w:r>
              <w:rPr>
                <w:rFonts w:hint="eastAsia" w:hAnsi="宋体" w:cs="宋体"/>
                <w:szCs w:val="21"/>
              </w:rPr>
              <w:t>。</w:t>
            </w:r>
          </w:p>
        </w:tc>
        <w:tc>
          <w:tcPr>
            <w:tcW w:w="1843" w:type="dxa"/>
            <w:vAlign w:val="center"/>
          </w:tcPr>
          <w:p>
            <w:pPr>
              <w:jc w:val="center"/>
              <w:rPr>
                <w:rFonts w:hAnsi="宋体" w:cs="宋体"/>
                <w:szCs w:val="21"/>
              </w:rPr>
            </w:pPr>
            <w:r>
              <w:rPr>
                <w:rFonts w:hint="eastAsia" w:hAnsi="宋体" w:cs="宋体"/>
                <w:szCs w:val="21"/>
              </w:rPr>
              <w:t>0≤得分≤2分</w:t>
            </w:r>
          </w:p>
        </w:tc>
      </w:tr>
    </w:tbl>
    <w:p>
      <w:pPr>
        <w:ind w:firstLine="480" w:firstLineChars="200"/>
        <w:rPr>
          <w:rFonts w:hAnsi="宋体"/>
          <w:sz w:val="24"/>
          <w:szCs w:val="24"/>
        </w:rPr>
      </w:pPr>
      <w:r>
        <w:rPr>
          <w:rFonts w:hint="eastAsia" w:hAnsi="宋体"/>
          <w:sz w:val="24"/>
          <w:szCs w:val="24"/>
        </w:rPr>
        <w:t>（四）投标人综合得分的计算</w:t>
      </w:r>
    </w:p>
    <w:p>
      <w:pPr>
        <w:ind w:firstLine="480" w:firstLineChars="200"/>
        <w:rPr>
          <w:rFonts w:hAnsi="宋体"/>
          <w:sz w:val="24"/>
          <w:szCs w:val="24"/>
        </w:rPr>
      </w:pPr>
      <w:r>
        <w:rPr>
          <w:rFonts w:hint="eastAsia" w:hAnsi="宋体"/>
          <w:sz w:val="24"/>
          <w:szCs w:val="24"/>
        </w:rPr>
        <w:t>评标委员会应按下列公式计算得分，分值均保留两位小数：</w:t>
      </w:r>
    </w:p>
    <w:p>
      <w:pPr>
        <w:ind w:firstLine="480" w:firstLineChars="200"/>
        <w:rPr>
          <w:rFonts w:hAnsi="宋体"/>
          <w:sz w:val="24"/>
          <w:szCs w:val="24"/>
        </w:rPr>
      </w:pPr>
      <w:r>
        <w:rPr>
          <w:rFonts w:hint="eastAsia" w:hAnsi="宋体"/>
          <w:sz w:val="24"/>
          <w:szCs w:val="24"/>
        </w:rPr>
        <w:t>投标人综合得分＝技术标得分＋商务标得分＋综合标得分。</w:t>
      </w:r>
    </w:p>
    <w:p>
      <w:pPr>
        <w:adjustRightInd w:val="0"/>
        <w:snapToGrid w:val="0"/>
        <w:spacing w:line="360" w:lineRule="auto"/>
        <w:ind w:firstLine="480" w:firstLineChars="200"/>
        <w:rPr>
          <w:rFonts w:hAnsi="宋体" w:cs="宋体"/>
          <w:b/>
          <w:sz w:val="24"/>
        </w:rPr>
      </w:pPr>
      <w:r>
        <w:rPr>
          <w:rFonts w:hint="eastAsia" w:hAnsi="宋体" w:cs="宋体"/>
          <w:b/>
          <w:sz w:val="24"/>
        </w:rPr>
        <w:t>注：</w:t>
      </w:r>
    </w:p>
    <w:p>
      <w:pPr>
        <w:adjustRightInd w:val="0"/>
        <w:snapToGrid w:val="0"/>
        <w:spacing w:line="360" w:lineRule="auto"/>
        <w:ind w:firstLine="480" w:firstLineChars="200"/>
        <w:rPr>
          <w:rFonts w:hAnsi="宋体" w:cs="宋体"/>
          <w:b/>
          <w:sz w:val="24"/>
        </w:rPr>
      </w:pPr>
      <w:r>
        <w:rPr>
          <w:rFonts w:hint="eastAsia" w:hAnsi="宋体" w:cs="宋体"/>
          <w:b/>
          <w:sz w:val="24"/>
        </w:rPr>
        <w:t>1.国有资金投资的建设工程依法必须进行招标的项目，评标委员会按规定否决不合格投标后，有效投标人只剩一家且投标报价为所有投标人报价中最高的，投标明显缺乏竞争的，评标委员会应当否决全部投标。</w:t>
      </w:r>
    </w:p>
    <w:p>
      <w:pPr>
        <w:pStyle w:val="2"/>
        <w:ind w:firstLine="422" w:firstLineChars="176"/>
        <w:rPr>
          <w:rFonts w:hAnsi="宋体" w:cs="宋体"/>
          <w:b/>
          <w:bCs/>
          <w:color w:val="000000" w:themeColor="text1"/>
          <w:sz w:val="24"/>
          <w:szCs w:val="24"/>
        </w:rPr>
      </w:pPr>
      <w:r>
        <w:rPr>
          <w:rFonts w:hint="eastAsia" w:hAnsi="宋体" w:cs="宋体"/>
          <w:b/>
          <w:bCs/>
          <w:color w:val="000000" w:themeColor="text1"/>
          <w:sz w:val="24"/>
          <w:szCs w:val="24"/>
        </w:rPr>
        <w:t>2.凡评标办法里涉及到的证书、证件、业绩及其它材料等，均以投标文件中所提供的原件扫描件或图片（加盖公章）为准。项目负责人业绩与企业业绩可重复计分。</w:t>
      </w:r>
    </w:p>
    <w:p>
      <w:pPr>
        <w:pStyle w:val="2"/>
        <w:ind w:firstLine="422" w:firstLineChars="176"/>
        <w:rPr>
          <w:rFonts w:hAnsi="宋体" w:cs="宋体"/>
          <w:b/>
          <w:bCs/>
          <w:color w:val="000000" w:themeColor="text1"/>
          <w:sz w:val="24"/>
          <w:szCs w:val="24"/>
        </w:rPr>
      </w:pPr>
      <w:r>
        <w:rPr>
          <w:rFonts w:hint="eastAsia" w:hAnsi="宋体" w:cs="宋体"/>
          <w:b/>
          <w:bCs/>
          <w:color w:val="000000" w:themeColor="text1"/>
          <w:sz w:val="24"/>
          <w:szCs w:val="24"/>
        </w:rPr>
        <w:t>3.投标人应确保并专项承诺投标文件中所提供的所有资料真实、有效，并承担相应的法律后果。</w:t>
      </w:r>
    </w:p>
    <w:p>
      <w:pPr>
        <w:adjustRightInd w:val="0"/>
        <w:snapToGrid w:val="0"/>
        <w:spacing w:line="360" w:lineRule="auto"/>
        <w:ind w:firstLine="480" w:firstLineChars="200"/>
        <w:rPr>
          <w:rFonts w:hAnsi="宋体" w:cs="宋体"/>
          <w:b/>
          <w:sz w:val="24"/>
        </w:rPr>
      </w:pPr>
      <w:r>
        <w:rPr>
          <w:rFonts w:hint="eastAsia" w:hAnsi="宋体" w:cs="宋体"/>
          <w:b/>
          <w:sz w:val="24"/>
        </w:rPr>
        <w:t>七、定标</w:t>
      </w:r>
    </w:p>
    <w:p>
      <w:pPr>
        <w:adjustRightInd w:val="0"/>
        <w:snapToGrid w:val="0"/>
        <w:spacing w:line="360" w:lineRule="auto"/>
        <w:ind w:firstLine="480" w:firstLineChars="200"/>
        <w:rPr>
          <w:rFonts w:hAnsi="宋体" w:cs="宋体"/>
          <w:sz w:val="24"/>
        </w:rPr>
      </w:pPr>
      <w:r>
        <w:rPr>
          <w:rFonts w:hint="eastAsia" w:hAnsi="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9"/>
        <w:keepNext w:val="0"/>
        <w:keepLines w:val="0"/>
        <w:adjustRightInd w:val="0"/>
        <w:snapToGrid w:val="0"/>
        <w:spacing w:line="360" w:lineRule="auto"/>
        <w:ind w:firstLine="480" w:firstLineChars="200"/>
        <w:outlineLvl w:val="9"/>
        <w:rPr>
          <w:rFonts w:hAnsi="宋体" w:eastAsia="宋体"/>
          <w:b/>
          <w:szCs w:val="24"/>
        </w:rPr>
      </w:pPr>
      <w:r>
        <w:rPr>
          <w:rFonts w:hint="eastAsia" w:hAnsi="宋体" w:eastAsia="宋体"/>
          <w:b/>
        </w:rPr>
        <w:t>八、</w:t>
      </w:r>
      <w:r>
        <w:rPr>
          <w:rFonts w:hint="eastAsia" w:hAnsi="宋体" w:eastAsia="宋体"/>
          <w:b/>
          <w:szCs w:val="24"/>
        </w:rPr>
        <w:t>评标报告</w:t>
      </w:r>
    </w:p>
    <w:p>
      <w:pPr>
        <w:adjustRightInd w:val="0"/>
        <w:snapToGrid w:val="0"/>
        <w:spacing w:line="360" w:lineRule="auto"/>
        <w:ind w:firstLine="480" w:firstLineChars="200"/>
        <w:rPr>
          <w:rFonts w:hAnsi="宋体" w:cs="宋体"/>
          <w:sz w:val="24"/>
        </w:rPr>
      </w:pPr>
      <w:r>
        <w:rPr>
          <w:rFonts w:hint="eastAsia" w:hAnsi="宋体" w:cs="宋体"/>
          <w:sz w:val="24"/>
        </w:rPr>
        <w:t>评标委员会完成评标后，应出具由评标委员会全体成员签名的评标报告。对评标结论有异议的评标委员会成员可以书面方式阐述其不同意见和理由。评标委员会成员拒绝在评标报告上签字且不以书面阐述其不同意见和理由的，视为同意评标结论。评标委员会应当对此作出书面说明并记录在案。评标委员会依据招标文件规定，对评审为合理报价的投标人，按照得分由高到低推荐中标候选人。由招标人按照有关规定确定中标人。</w:t>
      </w:r>
    </w:p>
    <w:p>
      <w:pPr>
        <w:pStyle w:val="19"/>
        <w:keepNext w:val="0"/>
        <w:keepLines w:val="0"/>
        <w:adjustRightInd w:val="0"/>
        <w:snapToGrid w:val="0"/>
        <w:spacing w:line="360" w:lineRule="auto"/>
        <w:ind w:firstLine="480" w:firstLineChars="200"/>
        <w:outlineLvl w:val="9"/>
        <w:rPr>
          <w:rFonts w:hAnsi="宋体" w:eastAsia="宋体"/>
          <w:b/>
          <w:szCs w:val="24"/>
        </w:rPr>
      </w:pPr>
      <w:r>
        <w:rPr>
          <w:rFonts w:hint="eastAsia" w:hAnsi="宋体" w:eastAsia="宋体"/>
          <w:b/>
        </w:rPr>
        <w:t>九、</w:t>
      </w:r>
      <w:r>
        <w:rPr>
          <w:rFonts w:hint="eastAsia" w:hAnsi="宋体" w:eastAsia="宋体"/>
          <w:b/>
          <w:szCs w:val="24"/>
        </w:rPr>
        <w:t>公示</w:t>
      </w:r>
    </w:p>
    <w:p>
      <w:pPr>
        <w:adjustRightInd w:val="0"/>
        <w:snapToGrid w:val="0"/>
        <w:spacing w:line="360" w:lineRule="auto"/>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360" w:lineRule="auto"/>
        <w:ind w:firstLine="480" w:firstLineChars="200"/>
        <w:rPr>
          <w:rFonts w:hAnsi="宋体" w:cs="宋体"/>
          <w:sz w:val="24"/>
        </w:rPr>
      </w:pPr>
      <w:r>
        <w:rPr>
          <w:rFonts w:hint="eastAsia" w:hAnsi="宋体" w:cs="宋体"/>
          <w:sz w:val="24"/>
        </w:rPr>
        <w:t>招标人应当自确定中标人之日起十五日内，通过河南省建筑市场监管公共服务平台上进行备案，并向建设主管部门提交招标投标情况的书面报告。</w:t>
      </w:r>
    </w:p>
    <w:p>
      <w:pPr>
        <w:adjustRightInd w:val="0"/>
        <w:snapToGrid w:val="0"/>
        <w:spacing w:line="360" w:lineRule="auto"/>
        <w:ind w:firstLine="480" w:firstLineChars="200"/>
        <w:rPr>
          <w:rFonts w:hAnsi="宋体" w:cs="宋体"/>
          <w:b/>
          <w:sz w:val="24"/>
        </w:rPr>
      </w:pPr>
      <w:r>
        <w:rPr>
          <w:rFonts w:hint="eastAsia" w:hAnsi="宋体" w:cs="宋体"/>
          <w:b/>
          <w:sz w:val="24"/>
        </w:rPr>
        <w:t>十、特殊情况的处置程序</w:t>
      </w:r>
    </w:p>
    <w:p>
      <w:pPr>
        <w:adjustRightInd w:val="0"/>
        <w:snapToGrid w:val="0"/>
        <w:spacing w:line="360" w:lineRule="auto"/>
        <w:ind w:firstLine="480" w:firstLineChars="200"/>
        <w:rPr>
          <w:rFonts w:hAnsi="宋体" w:cs="宋体"/>
          <w:b/>
          <w:sz w:val="24"/>
        </w:rPr>
      </w:pPr>
      <w:r>
        <w:rPr>
          <w:rFonts w:hint="eastAsia" w:hAnsi="宋体" w:cs="宋体"/>
          <w:b/>
          <w:sz w:val="24"/>
        </w:rPr>
        <w:t>10.1关于澄清、说明或补正</w:t>
      </w:r>
    </w:p>
    <w:p>
      <w:pPr>
        <w:adjustRightInd w:val="0"/>
        <w:snapToGrid w:val="0"/>
        <w:spacing w:line="360" w:lineRule="auto"/>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adjustRightInd w:val="0"/>
        <w:snapToGrid w:val="0"/>
        <w:spacing w:line="360" w:lineRule="auto"/>
        <w:ind w:firstLine="480" w:firstLineChars="200"/>
        <w:rPr>
          <w:rFonts w:hAnsi="宋体" w:cs="宋体"/>
          <w:b/>
          <w:sz w:val="24"/>
        </w:rPr>
      </w:pPr>
      <w:r>
        <w:rPr>
          <w:rFonts w:hint="eastAsia" w:hAnsi="宋体" w:cs="宋体"/>
          <w:b/>
          <w:sz w:val="24"/>
        </w:rPr>
        <w:t>10.2关于评标活动暂停</w:t>
      </w:r>
    </w:p>
    <w:p>
      <w:pPr>
        <w:adjustRightInd w:val="0"/>
        <w:snapToGrid w:val="0"/>
        <w:spacing w:line="360" w:lineRule="auto"/>
        <w:ind w:firstLine="480" w:firstLineChars="200"/>
        <w:rPr>
          <w:rFonts w:hAnsi="宋体" w:cs="宋体"/>
          <w:sz w:val="24"/>
        </w:rPr>
      </w:pPr>
      <w:r>
        <w:rPr>
          <w:rFonts w:hint="eastAsia" w:hAnsi="宋体" w:cs="宋体"/>
          <w:sz w:val="24"/>
        </w:rPr>
        <w:t>10.2.1评标委员会应当执行连续评标的原则，按评标办法中规定的程序、内容、方法、标准完成全部评标工作。只有发生不可抗力导致评标工作无法继续时，评标活动方可暂停。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Ansi="宋体" w:cs="宋体"/>
          <w:sz w:val="24"/>
        </w:rPr>
      </w:pPr>
      <w:r>
        <w:rPr>
          <w:rFonts w:hint="eastAsia" w:hAnsi="宋体" w:cs="宋体"/>
          <w:sz w:val="24"/>
        </w:rPr>
        <w:t>10.2.2发生评标暂停情况时，评标委员会应当封存全部投标文件和评标记录，待不可抗力的影响结束且具备继续评标的条件时，由原评标委员会继续评标。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0" w:firstLineChars="200"/>
        <w:rPr>
          <w:rFonts w:hAnsi="宋体" w:cs="宋体"/>
          <w:b/>
          <w:sz w:val="24"/>
        </w:rPr>
      </w:pPr>
      <w:r>
        <w:rPr>
          <w:rFonts w:hint="eastAsia" w:hAnsi="宋体" w:cs="宋体"/>
          <w:b/>
          <w:sz w:val="24"/>
        </w:rPr>
        <w:t>10.3关于评标中途更换评标委员会成员</w:t>
      </w:r>
    </w:p>
    <w:p>
      <w:pPr>
        <w:adjustRightInd w:val="0"/>
        <w:snapToGrid w:val="0"/>
        <w:spacing w:line="360" w:lineRule="auto"/>
        <w:ind w:firstLine="480" w:firstLineChars="200"/>
        <w:rPr>
          <w:rFonts w:hAnsi="宋体" w:cs="宋体"/>
          <w:sz w:val="24"/>
        </w:rPr>
      </w:pPr>
      <w:r>
        <w:rPr>
          <w:rFonts w:hint="eastAsia" w:hAnsi="宋体" w:cs="宋体"/>
          <w:sz w:val="24"/>
        </w:rPr>
        <w:t>10.3.1除非发生下列情况之一，评标委员会成员不得在评标中途更换：</w:t>
      </w:r>
    </w:p>
    <w:p>
      <w:pPr>
        <w:adjustRightInd w:val="0"/>
        <w:snapToGrid w:val="0"/>
        <w:spacing w:line="360" w:lineRule="auto"/>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360" w:lineRule="auto"/>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360" w:lineRule="auto"/>
        <w:ind w:firstLine="480" w:firstLineChars="200"/>
        <w:rPr>
          <w:rFonts w:hAnsi="宋体" w:cs="宋体"/>
          <w:sz w:val="24"/>
        </w:rPr>
      </w:pPr>
      <w:r>
        <w:rPr>
          <w:rFonts w:hint="eastAsia" w:hAnsi="宋体" w:cs="宋体"/>
          <w:sz w:val="24"/>
        </w:rPr>
        <w:t>10.3.2退出评标的评标委员会成员，其已完成的评标行为无效。由招标人根据本招标文件规定的评标委员会成员产生方式另行确定替代者进行评标。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0" w:firstLineChars="200"/>
        <w:rPr>
          <w:rFonts w:hAnsi="宋体" w:cs="宋体"/>
          <w:b/>
          <w:sz w:val="24"/>
        </w:rPr>
      </w:pPr>
      <w:r>
        <w:rPr>
          <w:rFonts w:hint="eastAsia" w:hAnsi="宋体" w:cs="宋体"/>
          <w:b/>
          <w:sz w:val="24"/>
        </w:rPr>
        <w:t>10.4记名投票</w:t>
      </w:r>
    </w:p>
    <w:p>
      <w:pPr>
        <w:adjustRightInd w:val="0"/>
        <w:snapToGrid w:val="0"/>
        <w:spacing w:line="360" w:lineRule="auto"/>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pStyle w:val="2"/>
        <w:ind w:firstLine="361"/>
        <w:rPr>
          <w:rFonts w:hAnsi="宋体" w:cs="宋体"/>
          <w:b/>
          <w:sz w:val="36"/>
          <w:szCs w:val="36"/>
        </w:rPr>
      </w:pPr>
      <w:r>
        <w:rPr>
          <w:rFonts w:hAnsi="宋体" w:cs="宋体"/>
          <w:b/>
          <w:sz w:val="36"/>
          <w:szCs w:val="36"/>
        </w:rPr>
        <w:br w:type="page"/>
      </w:r>
    </w:p>
    <w:p>
      <w:pPr>
        <w:tabs>
          <w:tab w:val="left" w:pos="4140"/>
          <w:tab w:val="left" w:pos="4260"/>
        </w:tabs>
        <w:spacing w:line="360" w:lineRule="auto"/>
        <w:ind w:right="-357" w:rightChars="-170"/>
        <w:jc w:val="center"/>
        <w:outlineLvl w:val="0"/>
        <w:rPr>
          <w:rFonts w:hAnsi="宋体" w:cs="宋体"/>
          <w:b/>
          <w:sz w:val="36"/>
          <w:szCs w:val="36"/>
        </w:rPr>
      </w:pPr>
      <w:bookmarkStart w:id="22" w:name="_Toc530831332"/>
      <w:r>
        <w:rPr>
          <w:rFonts w:hint="eastAsia" w:hAnsi="宋体" w:cs="宋体"/>
          <w:b/>
          <w:sz w:val="36"/>
          <w:szCs w:val="36"/>
        </w:rPr>
        <w:t>第四章 合同条款及格式</w:t>
      </w:r>
      <w:bookmarkEnd w:id="22"/>
    </w:p>
    <w:p>
      <w:pPr>
        <w:tabs>
          <w:tab w:val="left" w:pos="5000"/>
        </w:tabs>
        <w:jc w:val="center"/>
        <w:rPr>
          <w:rFonts w:hAnsi="宋体" w:cs="宋体"/>
          <w:b/>
          <w:sz w:val="28"/>
          <w:szCs w:val="32"/>
        </w:rPr>
      </w:pPr>
      <w:r>
        <w:rPr>
          <w:rFonts w:hint="eastAsia" w:hAnsi="宋体" w:cs="宋体"/>
          <w:b/>
          <w:sz w:val="28"/>
          <w:szCs w:val="32"/>
        </w:rPr>
        <w:t>采用由中华人民共和国住房和城乡建设部与国家工商行政管理局联合制定的《建设工程施工合同》(GF2017-0201)签订合同。</w:t>
      </w:r>
    </w:p>
    <w:p>
      <w:pPr>
        <w:autoSpaceDE w:val="0"/>
        <w:autoSpaceDN w:val="0"/>
        <w:adjustRightInd w:val="0"/>
        <w:ind w:firstLine="3240" w:firstLineChars="900"/>
        <w:rPr>
          <w:rFonts w:hAnsi="宋体" w:cs="宋体"/>
          <w:b/>
          <w:sz w:val="36"/>
          <w:szCs w:val="36"/>
        </w:rPr>
      </w:pPr>
    </w:p>
    <w:p>
      <w:pPr>
        <w:widowControl/>
        <w:jc w:val="left"/>
        <w:rPr>
          <w:rFonts w:hAnsi="宋体" w:cs="宋体"/>
          <w:b/>
          <w:sz w:val="36"/>
          <w:szCs w:val="36"/>
        </w:rPr>
      </w:pPr>
      <w:bookmarkStart w:id="23" w:name="_Toc530831333"/>
      <w:r>
        <w:rPr>
          <w:rFonts w:hAnsi="宋体" w:cs="宋体"/>
          <w:b/>
          <w:sz w:val="36"/>
          <w:szCs w:val="36"/>
        </w:rPr>
        <w:br w:type="page"/>
      </w:r>
    </w:p>
    <w:p>
      <w:pPr>
        <w:tabs>
          <w:tab w:val="left" w:pos="4140"/>
          <w:tab w:val="left" w:pos="4260"/>
        </w:tabs>
        <w:spacing w:line="360" w:lineRule="auto"/>
        <w:ind w:right="-357" w:rightChars="-170"/>
        <w:jc w:val="center"/>
        <w:outlineLvl w:val="0"/>
        <w:rPr>
          <w:rFonts w:hAnsi="宋体" w:cs="宋体"/>
          <w:b/>
          <w:sz w:val="36"/>
          <w:szCs w:val="36"/>
        </w:rPr>
      </w:pPr>
      <w:r>
        <w:rPr>
          <w:rFonts w:hint="eastAsia" w:hAnsi="宋体" w:cs="宋体"/>
          <w:b/>
          <w:sz w:val="36"/>
          <w:szCs w:val="36"/>
        </w:rPr>
        <w:t>第五章 工程量清单</w:t>
      </w:r>
      <w:bookmarkEnd w:id="23"/>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本工程量清单是依据中华人民共和国国家标准《建设工程工程量清单计价规范》GB50500-2013(以下简称“计价规范”)、《</w:t>
      </w:r>
      <w:r>
        <w:rPr>
          <w:rFonts w:hint="eastAsia" w:hAnsi="宋体"/>
          <w:bCs/>
          <w:sz w:val="24"/>
          <w:szCs w:val="24"/>
        </w:rPr>
        <w:t>房屋建筑与装饰工程</w:t>
      </w:r>
      <w:r>
        <w:rPr>
          <w:rFonts w:hint="eastAsia" w:hAnsi="宋体" w:cs="宋体"/>
          <w:sz w:val="24"/>
        </w:rPr>
        <w:t>工程量计算规范》GB50854-2013、《通用安装工程工程量计算规范》GB50856-2013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w:t>
      </w:r>
      <w:r>
        <w:rPr>
          <w:rFonts w:hint="eastAsia" w:hAnsi="宋体"/>
          <w:bCs/>
          <w:sz w:val="24"/>
          <w:szCs w:val="24"/>
          <w:u w:val="single"/>
        </w:rPr>
        <w:t>定额采用《河南省房屋建筑与装饰工程预算定额》（HA01-31-2016）、《河南省通用安装工程预算定额》（HA02-31-2016）以及相关造价文件等进行编制及相关文件资料；</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建设工程设计文件及其他相关资料；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主要材料价格参考《许昌信息价》2019年</w:t>
      </w:r>
      <w:r>
        <w:rPr>
          <w:rFonts w:hint="eastAsia" w:hAnsi="宋体" w:cs="宋体"/>
          <w:sz w:val="24"/>
          <w:lang w:eastAsia="zh-CN"/>
        </w:rPr>
        <w:t>最近一期</w:t>
      </w:r>
      <w:r>
        <w:rPr>
          <w:rFonts w:hint="eastAsia" w:hAnsi="宋体" w:cs="宋体"/>
          <w:sz w:val="24"/>
        </w:rPr>
        <w:t>材料信息价，其不足部分采取市场询价；</w:t>
      </w:r>
    </w:p>
    <w:p>
      <w:pPr>
        <w:spacing w:line="440" w:lineRule="exact"/>
        <w:ind w:left="1" w:firstLine="480" w:firstLineChars="200"/>
        <w:rPr>
          <w:rFonts w:hAnsi="宋体" w:cs="宋体"/>
          <w:sz w:val="24"/>
        </w:rPr>
      </w:pPr>
      <w:r>
        <w:rPr>
          <w:rFonts w:hint="eastAsia" w:hAnsi="宋体" w:cs="宋体"/>
          <w:sz w:val="24"/>
        </w:rPr>
        <w:t>(10) 人工费、材料费、机械费、管理费均按河南省豫建标定【2019】年26号文件规定计入；</w:t>
      </w:r>
    </w:p>
    <w:p>
      <w:pPr>
        <w:spacing w:line="440" w:lineRule="exact"/>
        <w:ind w:left="1" w:firstLine="480" w:firstLineChars="200"/>
        <w:rPr>
          <w:rFonts w:hAnsi="宋体" w:cs="宋体"/>
          <w:sz w:val="24"/>
        </w:rPr>
      </w:pPr>
      <w:r>
        <w:rPr>
          <w:rFonts w:hint="eastAsia" w:hAnsi="宋体" w:cs="宋体"/>
          <w:sz w:val="24"/>
        </w:rPr>
        <w:t>（11）税金按增值税9%计取。</w:t>
      </w:r>
    </w:p>
    <w:p>
      <w:pPr>
        <w:autoSpaceDE w:val="0"/>
        <w:autoSpaceDN w:val="0"/>
        <w:spacing w:line="360" w:lineRule="exact"/>
        <w:ind w:firstLine="480" w:firstLineChars="200"/>
        <w:jc w:val="left"/>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ind w:firstLine="480" w:firstLineChars="200"/>
        <w:jc w:val="left"/>
        <w:rPr>
          <w:rFonts w:hAnsi="宋体" w:cs="宋体"/>
          <w:b/>
          <w:sz w:val="24"/>
          <w:szCs w:val="24"/>
        </w:rPr>
      </w:pPr>
      <w:r>
        <w:rPr>
          <w:rFonts w:hint="eastAsia" w:hAnsi="宋体" w:cs="宋体"/>
          <w:b/>
          <w:sz w:val="24"/>
          <w:szCs w:val="24"/>
        </w:rPr>
        <w:t>2.15.1按照住建部《建设工程工程量清单计价规范》（GB50500-2013）及省住建厅有关规定，规费、税金和安全文明施工费属不可竞争费。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rPr>
          <w:rFonts w:hAnsi="宋体" w:cs="宋体"/>
          <w:b/>
          <w:sz w:val="24"/>
        </w:rPr>
      </w:pPr>
      <w:r>
        <w:rPr>
          <w:rFonts w:hint="eastAsia" w:hAnsi="宋体" w:cs="宋体"/>
          <w:b/>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rPr>
          <w:rFonts w:hAnsi="宋体" w:cs="宋体"/>
          <w:b/>
          <w:sz w:val="36"/>
          <w:szCs w:val="36"/>
        </w:rPr>
      </w:pPr>
    </w:p>
    <w:p>
      <w:pPr>
        <w:widowControl/>
        <w:jc w:val="left"/>
        <w:rPr>
          <w:rFonts w:hAnsi="宋体" w:cs="宋体"/>
          <w:b/>
          <w:sz w:val="36"/>
          <w:szCs w:val="36"/>
        </w:rPr>
      </w:pPr>
      <w:bookmarkStart w:id="24" w:name="_Toc530831334"/>
      <w:r>
        <w:rPr>
          <w:rFonts w:hAnsi="宋体" w:cs="宋体"/>
          <w:b/>
          <w:sz w:val="36"/>
          <w:szCs w:val="36"/>
        </w:rPr>
        <w:br w:type="page"/>
      </w:r>
    </w:p>
    <w:p>
      <w:pPr>
        <w:tabs>
          <w:tab w:val="left" w:pos="4140"/>
          <w:tab w:val="left" w:pos="4260"/>
        </w:tabs>
        <w:spacing w:line="360" w:lineRule="auto"/>
        <w:ind w:right="-357" w:rightChars="-170"/>
        <w:jc w:val="center"/>
        <w:outlineLvl w:val="0"/>
        <w:rPr>
          <w:rFonts w:hAnsi="宋体" w:cs="宋体"/>
          <w:b/>
          <w:sz w:val="36"/>
          <w:szCs w:val="36"/>
        </w:rPr>
      </w:pPr>
      <w:r>
        <w:rPr>
          <w:rFonts w:hint="eastAsia" w:hAnsi="宋体" w:cs="宋体"/>
          <w:b/>
          <w:sz w:val="36"/>
          <w:szCs w:val="36"/>
        </w:rPr>
        <w:t>第六章 图 纸</w:t>
      </w:r>
      <w:bookmarkEnd w:id="24"/>
    </w:p>
    <w:p>
      <w:pPr>
        <w:autoSpaceDE w:val="0"/>
        <w:autoSpaceDN w:val="0"/>
        <w:adjustRightInd w:val="0"/>
        <w:jc w:val="center"/>
        <w:rPr>
          <w:rFonts w:hAnsi="宋体" w:cs="宋体"/>
          <w:b/>
          <w:sz w:val="24"/>
        </w:rPr>
      </w:pPr>
    </w:p>
    <w:p>
      <w:pPr>
        <w:autoSpaceDE w:val="0"/>
        <w:autoSpaceDN w:val="0"/>
        <w:adjustRightInd w:val="0"/>
        <w:jc w:val="center"/>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rPr>
          <w:rFonts w:hAnsi="宋体" w:cs="宋体"/>
          <w:sz w:val="28"/>
          <w:szCs w:val="28"/>
        </w:rPr>
      </w:pPr>
    </w:p>
    <w:p>
      <w:pPr>
        <w:autoSpaceDE w:val="0"/>
        <w:autoSpaceDN w:val="0"/>
        <w:adjustRightInd w:val="0"/>
        <w:jc w:val="center"/>
        <w:rPr>
          <w:rFonts w:hAnsi="宋体" w:cs="宋体"/>
          <w:sz w:val="28"/>
          <w:szCs w:val="28"/>
        </w:rPr>
      </w:pPr>
    </w:p>
    <w:p>
      <w:pPr>
        <w:widowControl/>
        <w:jc w:val="left"/>
        <w:rPr>
          <w:rFonts w:hAnsi="宋体"/>
        </w:rPr>
      </w:pPr>
      <w:r>
        <w:rPr>
          <w:rFonts w:hAnsi="宋体"/>
        </w:rPr>
        <w:br w:type="page"/>
      </w:r>
    </w:p>
    <w:p>
      <w:pPr>
        <w:tabs>
          <w:tab w:val="left" w:pos="4140"/>
          <w:tab w:val="left" w:pos="4260"/>
        </w:tabs>
        <w:spacing w:line="360" w:lineRule="auto"/>
        <w:ind w:right="-357" w:rightChars="-170"/>
        <w:jc w:val="center"/>
        <w:outlineLvl w:val="0"/>
        <w:rPr>
          <w:rFonts w:hAnsi="宋体" w:cs="宋体"/>
          <w:b/>
          <w:sz w:val="36"/>
          <w:szCs w:val="36"/>
        </w:rPr>
      </w:pPr>
      <w:bookmarkStart w:id="25" w:name="_Toc530831335"/>
      <w:r>
        <w:rPr>
          <w:rFonts w:hint="eastAsia" w:hAnsi="宋体" w:cs="宋体"/>
          <w:b/>
          <w:sz w:val="36"/>
          <w:szCs w:val="36"/>
        </w:rPr>
        <w:t>第七章 技术标准和要求</w:t>
      </w:r>
      <w:bookmarkEnd w:id="25"/>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pStyle w:val="2"/>
        <w:ind w:firstLine="340"/>
        <w:rPr>
          <w:rFonts w:hAnsi="宋体"/>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ind w:firstLine="340"/>
        <w:rPr>
          <w:rFonts w:hAnsi="宋体"/>
        </w:rPr>
      </w:pPr>
    </w:p>
    <w:p>
      <w:pPr>
        <w:pStyle w:val="2"/>
        <w:ind w:firstLine="340"/>
        <w:rPr>
          <w:rFonts w:hAnsi="宋体"/>
        </w:rPr>
      </w:pPr>
    </w:p>
    <w:p>
      <w:pPr>
        <w:pStyle w:val="2"/>
        <w:ind w:firstLine="340"/>
        <w:rPr>
          <w:rFonts w:hAnsi="宋体"/>
        </w:rPr>
      </w:pPr>
    </w:p>
    <w:p>
      <w:pPr>
        <w:pStyle w:val="2"/>
        <w:ind w:firstLine="340"/>
        <w:rPr>
          <w:rFonts w:hAnsi="宋体"/>
        </w:rPr>
      </w:pPr>
    </w:p>
    <w:p>
      <w:pPr>
        <w:pStyle w:val="2"/>
        <w:ind w:firstLine="340"/>
        <w:rPr>
          <w:rFonts w:hAnsi="宋体"/>
        </w:rPr>
      </w:pPr>
    </w:p>
    <w:p>
      <w:pPr>
        <w:pStyle w:val="2"/>
        <w:ind w:firstLine="340"/>
        <w:rPr>
          <w:rFonts w:hAnsi="宋体"/>
        </w:rPr>
      </w:pPr>
    </w:p>
    <w:p>
      <w:pPr>
        <w:autoSpaceDE w:val="0"/>
        <w:autoSpaceDN w:val="0"/>
        <w:adjustRightInd w:val="0"/>
        <w:spacing w:line="420" w:lineRule="exact"/>
        <w:rPr>
          <w:rFonts w:hAnsi="宋体" w:cs="宋体"/>
          <w:sz w:val="32"/>
          <w:szCs w:val="32"/>
        </w:rPr>
      </w:pPr>
    </w:p>
    <w:p>
      <w:pPr>
        <w:widowControl/>
        <w:jc w:val="left"/>
        <w:rPr>
          <w:rFonts w:hAnsi="宋体" w:cs="宋体"/>
          <w:b/>
          <w:sz w:val="36"/>
          <w:szCs w:val="36"/>
        </w:rPr>
      </w:pPr>
      <w:bookmarkStart w:id="26" w:name="_Toc530831336"/>
      <w:r>
        <w:rPr>
          <w:rFonts w:hAnsi="宋体" w:cs="宋体"/>
          <w:b/>
          <w:sz w:val="36"/>
          <w:szCs w:val="36"/>
        </w:rPr>
        <w:br w:type="page"/>
      </w:r>
    </w:p>
    <w:p>
      <w:pPr>
        <w:tabs>
          <w:tab w:val="left" w:pos="4140"/>
          <w:tab w:val="left" w:pos="4260"/>
        </w:tabs>
        <w:spacing w:line="360" w:lineRule="auto"/>
        <w:ind w:right="-357" w:rightChars="-170"/>
        <w:jc w:val="center"/>
        <w:outlineLvl w:val="0"/>
        <w:rPr>
          <w:rFonts w:hAnsi="宋体" w:cs="宋体"/>
          <w:b/>
          <w:sz w:val="36"/>
          <w:szCs w:val="36"/>
        </w:rPr>
      </w:pPr>
    </w:p>
    <w:p>
      <w:pPr>
        <w:tabs>
          <w:tab w:val="left" w:pos="4140"/>
          <w:tab w:val="left" w:pos="4260"/>
        </w:tabs>
        <w:spacing w:line="360" w:lineRule="auto"/>
        <w:ind w:right="-357" w:rightChars="-170"/>
        <w:jc w:val="center"/>
        <w:outlineLvl w:val="0"/>
        <w:rPr>
          <w:rFonts w:hAnsi="宋体" w:cs="宋体"/>
          <w:b/>
          <w:sz w:val="36"/>
          <w:szCs w:val="36"/>
        </w:rPr>
      </w:pPr>
    </w:p>
    <w:p>
      <w:pPr>
        <w:tabs>
          <w:tab w:val="left" w:pos="4140"/>
          <w:tab w:val="left" w:pos="4260"/>
        </w:tabs>
        <w:spacing w:line="360" w:lineRule="auto"/>
        <w:ind w:right="-357" w:rightChars="-170"/>
        <w:jc w:val="center"/>
        <w:outlineLvl w:val="0"/>
        <w:rPr>
          <w:rFonts w:hAnsi="宋体" w:cs="宋体"/>
          <w:b/>
          <w:sz w:val="36"/>
          <w:szCs w:val="36"/>
        </w:rPr>
      </w:pPr>
    </w:p>
    <w:p>
      <w:pPr>
        <w:tabs>
          <w:tab w:val="left" w:pos="4140"/>
          <w:tab w:val="left" w:pos="4260"/>
        </w:tabs>
        <w:spacing w:line="360" w:lineRule="auto"/>
        <w:ind w:right="-357" w:rightChars="-170"/>
        <w:jc w:val="center"/>
        <w:outlineLvl w:val="0"/>
        <w:rPr>
          <w:rFonts w:hAnsi="宋体" w:cs="宋体"/>
          <w:b/>
          <w:sz w:val="36"/>
          <w:szCs w:val="36"/>
        </w:rPr>
      </w:pPr>
    </w:p>
    <w:p>
      <w:pPr>
        <w:tabs>
          <w:tab w:val="left" w:pos="4140"/>
          <w:tab w:val="left" w:pos="4260"/>
        </w:tabs>
        <w:spacing w:line="360" w:lineRule="auto"/>
        <w:ind w:right="-357" w:rightChars="-170"/>
        <w:jc w:val="center"/>
        <w:outlineLvl w:val="0"/>
        <w:rPr>
          <w:rFonts w:hAnsi="宋体" w:cs="宋体"/>
          <w:b/>
          <w:sz w:val="36"/>
          <w:szCs w:val="36"/>
        </w:rPr>
      </w:pPr>
    </w:p>
    <w:p>
      <w:pPr>
        <w:tabs>
          <w:tab w:val="left" w:pos="4140"/>
          <w:tab w:val="left" w:pos="4260"/>
        </w:tabs>
        <w:spacing w:line="360" w:lineRule="auto"/>
        <w:ind w:right="-357" w:rightChars="-170"/>
        <w:jc w:val="center"/>
        <w:outlineLvl w:val="0"/>
        <w:rPr>
          <w:rFonts w:hAnsi="宋体" w:cs="宋体"/>
          <w:b/>
          <w:sz w:val="36"/>
          <w:szCs w:val="36"/>
        </w:rPr>
      </w:pPr>
      <w:r>
        <w:rPr>
          <w:rFonts w:hint="eastAsia" w:hAnsi="宋体" w:cs="宋体"/>
          <w:b/>
          <w:sz w:val="36"/>
          <w:szCs w:val="36"/>
        </w:rPr>
        <w:t>第八章 投标文件格式</w:t>
      </w:r>
      <w:bookmarkEnd w:id="26"/>
    </w:p>
    <w:p>
      <w:pPr>
        <w:pStyle w:val="2"/>
        <w:ind w:firstLine="340"/>
        <w:rPr>
          <w:rFonts w:hAnsi="宋体"/>
        </w:rPr>
      </w:pPr>
      <w:r>
        <w:rPr>
          <w:rFonts w:hAnsi="宋体"/>
        </w:rPr>
        <w:br w:type="page"/>
      </w:r>
    </w:p>
    <w:p>
      <w:pPr>
        <w:tabs>
          <w:tab w:val="left" w:pos="4140"/>
          <w:tab w:val="left" w:pos="4260"/>
        </w:tabs>
        <w:spacing w:line="360" w:lineRule="auto"/>
        <w:ind w:right="-357" w:rightChars="-170"/>
        <w:jc w:val="center"/>
        <w:outlineLvl w:val="0"/>
        <w:rPr>
          <w:rFonts w:hAnsi="宋体" w:cs="宋体"/>
          <w:b/>
          <w:sz w:val="36"/>
          <w:szCs w:val="36"/>
        </w:rPr>
      </w:pPr>
    </w:p>
    <w:p>
      <w:pPr>
        <w:autoSpaceDE w:val="0"/>
        <w:autoSpaceDN w:val="0"/>
        <w:adjustRightInd w:val="0"/>
        <w:jc w:val="center"/>
        <w:rPr>
          <w:rFonts w:hAnsi="宋体" w:cs="宋体"/>
          <w:b/>
          <w:spacing w:val="60"/>
          <w:sz w:val="44"/>
          <w:szCs w:val="52"/>
          <w:u w:val="single"/>
        </w:rPr>
      </w:pPr>
      <w:r>
        <w:rPr>
          <w:rFonts w:hint="eastAsia" w:hAnsi="宋体" w:cs="宋体"/>
          <w:b/>
          <w:spacing w:val="60"/>
          <w:sz w:val="44"/>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p>
    <w:p>
      <w:pPr>
        <w:tabs>
          <w:tab w:val="center" w:pos="4739"/>
        </w:tabs>
        <w:ind w:left="180"/>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pStyle w:val="2"/>
        <w:ind w:firstLine="240"/>
        <w:rPr>
          <w:rFonts w:hAnsi="宋体" w:cs="宋体"/>
          <w:sz w:val="24"/>
        </w:rPr>
      </w:pPr>
    </w:p>
    <w:p>
      <w:pPr>
        <w:pStyle w:val="4"/>
        <w:ind w:left="420" w:firstLine="480"/>
        <w:rPr>
          <w:rFonts w:hint="default" w:hAnsi="宋体" w:cs="宋体"/>
          <w:sz w:val="24"/>
          <w:lang w:eastAsia="zh-CN"/>
        </w:rPr>
      </w:pPr>
    </w:p>
    <w:p>
      <w:pPr>
        <w:pStyle w:val="4"/>
        <w:ind w:left="420" w:firstLine="480"/>
        <w:rPr>
          <w:rFonts w:hint="default" w:hAnsi="宋体" w:cs="宋体"/>
          <w:sz w:val="24"/>
          <w:lang w:eastAsia="zh-CN"/>
        </w:rPr>
      </w:pPr>
    </w:p>
    <w:p>
      <w:pPr>
        <w:pStyle w:val="4"/>
        <w:ind w:left="420" w:firstLine="480"/>
        <w:rPr>
          <w:rFonts w:hint="default" w:hAnsi="宋体" w:cs="宋体"/>
          <w:sz w:val="24"/>
          <w:lang w:eastAsia="zh-CN"/>
        </w:rPr>
      </w:pPr>
    </w:p>
    <w:p>
      <w:pPr>
        <w:pStyle w:val="4"/>
        <w:ind w:left="420" w:firstLine="480"/>
        <w:rPr>
          <w:rFonts w:hint="default" w:hAnsi="宋体" w:cs="宋体"/>
          <w:sz w:val="24"/>
          <w:lang w:eastAsia="zh-CN"/>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spacing w:line="360" w:lineRule="auto"/>
        <w:ind w:left="180" w:firstLine="950" w:firstLineChars="297"/>
        <w:jc w:val="left"/>
        <w:rPr>
          <w:rFonts w:hAnsi="宋体" w:cs="宋体"/>
          <w:b/>
          <w:sz w:val="32"/>
        </w:rPr>
      </w:pPr>
      <w:r>
        <w:rPr>
          <w:rFonts w:hint="eastAsia" w:hAnsi="宋体" w:cs="宋体"/>
          <w:b/>
          <w:sz w:val="32"/>
        </w:rPr>
        <w:t>投标人：(盖单位章)</w:t>
      </w:r>
    </w:p>
    <w:p>
      <w:pPr>
        <w:tabs>
          <w:tab w:val="center" w:pos="4739"/>
        </w:tabs>
        <w:spacing w:line="360" w:lineRule="auto"/>
        <w:ind w:left="180" w:firstLine="950" w:firstLineChars="297"/>
        <w:jc w:val="left"/>
        <w:rPr>
          <w:rFonts w:hAnsi="宋体" w:cs="宋体"/>
          <w:b/>
          <w:sz w:val="32"/>
        </w:rPr>
      </w:pPr>
      <w:r>
        <w:rPr>
          <w:rFonts w:hint="eastAsia" w:hAnsi="宋体" w:cs="宋体"/>
          <w:b/>
          <w:sz w:val="32"/>
        </w:rPr>
        <w:t>法定代表人或其委托代理人：(签字)</w:t>
      </w:r>
    </w:p>
    <w:p>
      <w:pPr>
        <w:tabs>
          <w:tab w:val="center" w:pos="4739"/>
        </w:tabs>
        <w:spacing w:line="360" w:lineRule="auto"/>
        <w:ind w:firstLine="3520" w:firstLineChars="1100"/>
        <w:rPr>
          <w:rFonts w:hAnsi="宋体" w:cs="宋体"/>
          <w:b/>
          <w:sz w:val="36"/>
          <w:szCs w:val="36"/>
        </w:rPr>
      </w:pPr>
      <w:r>
        <w:rPr>
          <w:rFonts w:hint="eastAsia" w:hAnsi="宋体" w:cs="宋体"/>
          <w:b/>
          <w:sz w:val="32"/>
        </w:rPr>
        <w:t>年月日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61"/>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pStyle w:val="2"/>
        <w:ind w:firstLine="340"/>
        <w:rPr>
          <w:rFonts w:hAnsi="宋体"/>
        </w:rPr>
      </w:pPr>
    </w:p>
    <w:p>
      <w:pPr>
        <w:widowControl/>
        <w:jc w:val="left"/>
        <w:rPr>
          <w:rFonts w:hAnsi="宋体" w:cs="宋体"/>
          <w:b/>
          <w:spacing w:val="60"/>
          <w:sz w:val="44"/>
          <w:szCs w:val="52"/>
          <w:u w:val="single"/>
        </w:rPr>
      </w:pPr>
    </w:p>
    <w:p>
      <w:pPr>
        <w:rPr>
          <w:rFonts w:hAnsi="宋体"/>
        </w:rPr>
      </w:pPr>
      <w:r>
        <w:rPr>
          <w:rFonts w:hAnsi="宋体"/>
        </w:rPr>
        <w:br w:type="page"/>
      </w:r>
    </w:p>
    <w:p>
      <w:pPr>
        <w:autoSpaceDE w:val="0"/>
        <w:autoSpaceDN w:val="0"/>
        <w:adjustRightInd w:val="0"/>
        <w:jc w:val="center"/>
        <w:rPr>
          <w:rFonts w:hAnsi="宋体" w:cs="宋体"/>
          <w:b/>
          <w:spacing w:val="60"/>
          <w:sz w:val="44"/>
          <w:szCs w:val="52"/>
          <w:u w:val="single"/>
        </w:rPr>
      </w:pPr>
    </w:p>
    <w:p>
      <w:pPr>
        <w:autoSpaceDE w:val="0"/>
        <w:autoSpaceDN w:val="0"/>
        <w:adjustRightInd w:val="0"/>
        <w:jc w:val="center"/>
        <w:rPr>
          <w:rFonts w:hAnsi="宋体" w:cs="宋体"/>
          <w:b/>
          <w:spacing w:val="60"/>
          <w:sz w:val="44"/>
          <w:szCs w:val="52"/>
          <w:u w:val="single"/>
        </w:rPr>
      </w:pPr>
      <w:r>
        <w:rPr>
          <w:rFonts w:hint="eastAsia" w:hAnsi="宋体" w:cs="宋体"/>
          <w:b/>
          <w:spacing w:val="60"/>
          <w:sz w:val="44"/>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综合标</w:t>
      </w:r>
    </w:p>
    <w:p>
      <w:pPr>
        <w:tabs>
          <w:tab w:val="center" w:pos="4739"/>
        </w:tabs>
        <w:ind w:left="180"/>
        <w:rPr>
          <w:rFonts w:hAnsi="宋体" w:cs="宋体"/>
          <w:b/>
          <w:sz w:val="32"/>
          <w:szCs w:val="32"/>
        </w:rPr>
      </w:pP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pStyle w:val="2"/>
        <w:ind w:firstLine="240"/>
        <w:rPr>
          <w:rFonts w:hAnsi="宋体" w:cs="宋体"/>
          <w:sz w:val="24"/>
        </w:rPr>
      </w:pPr>
    </w:p>
    <w:p>
      <w:pPr>
        <w:pStyle w:val="4"/>
        <w:ind w:left="420" w:firstLine="480"/>
        <w:rPr>
          <w:rFonts w:hint="default" w:hAnsi="宋体" w:cs="宋体"/>
          <w:sz w:val="24"/>
          <w:lang w:eastAsia="zh-CN"/>
        </w:rPr>
      </w:pPr>
    </w:p>
    <w:p>
      <w:pPr>
        <w:pStyle w:val="4"/>
        <w:ind w:left="420" w:firstLine="480"/>
        <w:rPr>
          <w:rFonts w:hint="default" w:hAnsi="宋体" w:cs="宋体"/>
          <w:sz w:val="24"/>
          <w:lang w:eastAsia="zh-CN"/>
        </w:rPr>
      </w:pPr>
    </w:p>
    <w:p>
      <w:pPr>
        <w:tabs>
          <w:tab w:val="center" w:pos="4739"/>
        </w:tabs>
        <w:ind w:left="180"/>
        <w:rPr>
          <w:rFonts w:hAnsi="宋体" w:cs="宋体"/>
          <w:sz w:val="24"/>
        </w:rPr>
      </w:pPr>
    </w:p>
    <w:p>
      <w:pPr>
        <w:tabs>
          <w:tab w:val="center" w:pos="4739"/>
        </w:tabs>
        <w:spacing w:line="360" w:lineRule="auto"/>
        <w:ind w:left="180" w:firstLine="950" w:firstLineChars="297"/>
        <w:jc w:val="left"/>
        <w:rPr>
          <w:rFonts w:hAnsi="宋体" w:cs="宋体"/>
          <w:b/>
          <w:sz w:val="32"/>
        </w:rPr>
      </w:pPr>
      <w:r>
        <w:rPr>
          <w:rFonts w:hint="eastAsia" w:hAnsi="宋体" w:cs="宋体"/>
          <w:b/>
          <w:sz w:val="32"/>
        </w:rPr>
        <w:t>投标人：(盖单位章)</w:t>
      </w:r>
    </w:p>
    <w:p>
      <w:pPr>
        <w:tabs>
          <w:tab w:val="center" w:pos="4739"/>
        </w:tabs>
        <w:spacing w:line="360" w:lineRule="auto"/>
        <w:ind w:left="180" w:firstLine="950" w:firstLineChars="297"/>
        <w:jc w:val="left"/>
        <w:rPr>
          <w:rFonts w:hAnsi="宋体" w:cs="宋体"/>
          <w:b/>
          <w:sz w:val="32"/>
        </w:rPr>
      </w:pPr>
      <w:r>
        <w:rPr>
          <w:rFonts w:hint="eastAsia" w:hAnsi="宋体" w:cs="宋体"/>
          <w:b/>
          <w:sz w:val="32"/>
        </w:rPr>
        <w:t>法定代表人或其委托代理人：(签字)</w:t>
      </w:r>
    </w:p>
    <w:p>
      <w:pPr>
        <w:tabs>
          <w:tab w:val="center" w:pos="4739"/>
        </w:tabs>
        <w:spacing w:line="360" w:lineRule="auto"/>
        <w:ind w:left="180"/>
        <w:jc w:val="center"/>
        <w:rPr>
          <w:rFonts w:hAnsi="宋体" w:cs="宋体"/>
          <w:b/>
          <w:sz w:val="36"/>
          <w:szCs w:val="36"/>
        </w:rPr>
      </w:pPr>
      <w:r>
        <w:rPr>
          <w:rFonts w:hint="eastAsia" w:hAnsi="宋体" w:cs="宋体"/>
          <w:b/>
          <w:sz w:val="32"/>
        </w:rPr>
        <w:t>年月日</w:t>
      </w:r>
    </w:p>
    <w:p>
      <w:pPr>
        <w:widowControl/>
        <w:jc w:val="left"/>
        <w:rPr>
          <w:rFonts w:hAnsi="宋体" w:cs="宋体"/>
          <w:b/>
          <w:sz w:val="36"/>
          <w:szCs w:val="36"/>
        </w:rPr>
      </w:pPr>
      <w:r>
        <w:rPr>
          <w:rFonts w:hAnsi="宋体" w:cs="宋体"/>
          <w:b/>
          <w:sz w:val="36"/>
          <w:szCs w:val="36"/>
        </w:rPr>
        <w:br w:type="page"/>
      </w: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360" w:lineRule="auto"/>
        <w:ind w:left="718" w:leftChars="342"/>
        <w:jc w:val="left"/>
        <w:rPr>
          <w:rFonts w:hAnsi="宋体" w:cs="宋体"/>
          <w:b/>
          <w:sz w:val="24"/>
        </w:rPr>
      </w:pPr>
      <w:r>
        <w:rPr>
          <w:rFonts w:hint="eastAsia" w:hAnsi="宋体" w:cs="宋体"/>
          <w:b/>
          <w:sz w:val="24"/>
        </w:rPr>
        <w:t>一、投标函</w:t>
      </w:r>
    </w:p>
    <w:p>
      <w:pPr>
        <w:autoSpaceDE w:val="0"/>
        <w:autoSpaceDN w:val="0"/>
        <w:adjustRightInd w:val="0"/>
        <w:spacing w:line="360" w:lineRule="auto"/>
        <w:ind w:left="718" w:leftChars="342"/>
        <w:jc w:val="left"/>
        <w:rPr>
          <w:rFonts w:hAnsi="宋体" w:cs="宋体"/>
          <w:b/>
          <w:sz w:val="24"/>
        </w:rPr>
      </w:pPr>
      <w:r>
        <w:rPr>
          <w:rFonts w:hint="eastAsia" w:hAnsi="宋体" w:cs="宋体"/>
          <w:b/>
          <w:sz w:val="24"/>
        </w:rPr>
        <w:t>二、投标函附录</w:t>
      </w:r>
    </w:p>
    <w:p>
      <w:pPr>
        <w:autoSpaceDE w:val="0"/>
        <w:autoSpaceDN w:val="0"/>
        <w:adjustRightInd w:val="0"/>
        <w:spacing w:line="360" w:lineRule="auto"/>
        <w:ind w:left="718" w:leftChars="342"/>
        <w:jc w:val="left"/>
        <w:rPr>
          <w:rFonts w:hAnsi="宋体" w:cs="宋体"/>
          <w:b/>
          <w:sz w:val="24"/>
        </w:rPr>
      </w:pPr>
      <w:r>
        <w:rPr>
          <w:rFonts w:hint="eastAsia" w:hAnsi="宋体" w:cs="宋体"/>
          <w:b/>
          <w:sz w:val="24"/>
        </w:rPr>
        <w:t>三、法定代表人身份证明、授权委托书</w:t>
      </w:r>
    </w:p>
    <w:p>
      <w:pPr>
        <w:autoSpaceDE w:val="0"/>
        <w:autoSpaceDN w:val="0"/>
        <w:adjustRightInd w:val="0"/>
        <w:spacing w:line="360" w:lineRule="auto"/>
        <w:ind w:left="718" w:leftChars="342"/>
        <w:jc w:val="left"/>
        <w:rPr>
          <w:rFonts w:hAnsi="宋体" w:cs="宋体"/>
          <w:b/>
          <w:sz w:val="24"/>
        </w:rPr>
      </w:pPr>
      <w:r>
        <w:rPr>
          <w:rFonts w:hint="eastAsia" w:hAnsi="宋体" w:cs="宋体"/>
          <w:b/>
          <w:sz w:val="24"/>
        </w:rPr>
        <w:t>四、投标保证金</w:t>
      </w:r>
    </w:p>
    <w:p>
      <w:pPr>
        <w:autoSpaceDE w:val="0"/>
        <w:autoSpaceDN w:val="0"/>
        <w:adjustRightInd w:val="0"/>
        <w:spacing w:line="360" w:lineRule="auto"/>
        <w:ind w:left="718" w:leftChars="342"/>
        <w:jc w:val="left"/>
        <w:rPr>
          <w:rFonts w:hAnsi="宋体" w:cs="宋体"/>
          <w:b/>
          <w:sz w:val="24"/>
        </w:rPr>
      </w:pPr>
      <w:r>
        <w:rPr>
          <w:rFonts w:hint="eastAsia" w:hAnsi="宋体" w:cs="宋体"/>
          <w:b/>
          <w:sz w:val="24"/>
        </w:rPr>
        <w:t>五、项目管理机构配备情况</w:t>
      </w:r>
    </w:p>
    <w:p>
      <w:pPr>
        <w:autoSpaceDE w:val="0"/>
        <w:autoSpaceDN w:val="0"/>
        <w:adjustRightInd w:val="0"/>
        <w:spacing w:line="360" w:lineRule="auto"/>
        <w:ind w:left="718" w:leftChars="342"/>
        <w:jc w:val="left"/>
        <w:rPr>
          <w:rFonts w:hAnsi="宋体" w:cs="宋体"/>
          <w:b/>
          <w:sz w:val="24"/>
        </w:rPr>
      </w:pPr>
      <w:r>
        <w:rPr>
          <w:rFonts w:hint="eastAsia" w:hAnsi="宋体" w:cs="宋体"/>
          <w:b/>
          <w:sz w:val="24"/>
        </w:rPr>
        <w:t>六、资格审查资料</w:t>
      </w:r>
    </w:p>
    <w:p>
      <w:pPr>
        <w:autoSpaceDE w:val="0"/>
        <w:autoSpaceDN w:val="0"/>
        <w:adjustRightInd w:val="0"/>
        <w:spacing w:line="360" w:lineRule="auto"/>
        <w:ind w:left="718" w:leftChars="342"/>
        <w:jc w:val="left"/>
        <w:rPr>
          <w:rFonts w:hAnsi="宋体" w:cs="宋体"/>
          <w:b/>
          <w:sz w:val="24"/>
        </w:rPr>
      </w:pPr>
      <w:r>
        <w:rPr>
          <w:rFonts w:hint="eastAsia" w:hAnsi="宋体" w:cs="宋体"/>
          <w:b/>
          <w:sz w:val="24"/>
        </w:rPr>
        <w:t>七、近年完成的类似项目情况表</w:t>
      </w:r>
    </w:p>
    <w:p>
      <w:pPr>
        <w:autoSpaceDE w:val="0"/>
        <w:autoSpaceDN w:val="0"/>
        <w:adjustRightInd w:val="0"/>
        <w:spacing w:line="360" w:lineRule="auto"/>
        <w:ind w:left="718"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360" w:lineRule="auto"/>
        <w:ind w:left="718" w:leftChars="342"/>
        <w:jc w:val="left"/>
        <w:rPr>
          <w:rFonts w:hAnsi="宋体" w:cs="宋体"/>
          <w:b/>
          <w:sz w:val="24"/>
        </w:rPr>
      </w:pPr>
      <w:r>
        <w:rPr>
          <w:rFonts w:hint="eastAsia" w:hAnsi="宋体" w:cs="宋体"/>
          <w:b/>
          <w:sz w:val="24"/>
        </w:rPr>
        <w:t>九、近年发生的诉讼及仲裁情况</w:t>
      </w:r>
    </w:p>
    <w:p>
      <w:pPr>
        <w:autoSpaceDE w:val="0"/>
        <w:autoSpaceDN w:val="0"/>
        <w:adjustRightInd w:val="0"/>
        <w:spacing w:line="360" w:lineRule="auto"/>
        <w:ind w:left="718"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718" w:leftChars="342"/>
        <w:jc w:val="left"/>
        <w:rPr>
          <w:rFonts w:hAnsi="宋体" w:cs="宋体"/>
          <w:b/>
          <w:sz w:val="24"/>
        </w:rPr>
      </w:pP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sz w:val="32"/>
          <w:szCs w:val="32"/>
        </w:rPr>
      </w:pPr>
      <w:r>
        <w:rPr>
          <w:rFonts w:hint="eastAsia" w:hAnsi="宋体" w:cs="宋体"/>
          <w:b/>
          <w:sz w:val="32"/>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p>
    <w:p>
      <w:pPr>
        <w:spacing w:line="480" w:lineRule="exact"/>
        <w:rPr>
          <w:rFonts w:hAnsi="宋体" w:cs="宋体"/>
          <w:sz w:val="24"/>
        </w:rPr>
      </w:pPr>
      <w:r>
        <w:rPr>
          <w:rFonts w:hint="eastAsia" w:hAnsi="宋体" w:cs="宋体"/>
          <w:sz w:val="24"/>
        </w:rPr>
        <w:t>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pStyle w:val="2"/>
        <w:ind w:firstLine="340"/>
        <w:rPr>
          <w:rFonts w:hAnsi="宋体"/>
        </w:rPr>
      </w:pPr>
    </w:p>
    <w:p>
      <w:pPr>
        <w:spacing w:line="480" w:lineRule="exact"/>
        <w:ind w:firstLine="480" w:firstLineChars="200"/>
        <w:rPr>
          <w:rFonts w:hAnsi="宋体" w:cs="宋体"/>
          <w:sz w:val="24"/>
        </w:rPr>
      </w:pPr>
    </w:p>
    <w:p>
      <w:pPr>
        <w:spacing w:line="480" w:lineRule="exact"/>
        <w:ind w:firstLine="1560" w:firstLineChars="650"/>
        <w:rPr>
          <w:rFonts w:hAnsi="宋体" w:cs="宋体"/>
          <w:sz w:val="24"/>
        </w:rPr>
      </w:pPr>
      <w:r>
        <w:rPr>
          <w:rFonts w:hint="eastAsia" w:hAnsi="宋体" w:cs="宋体"/>
          <w:sz w:val="24"/>
        </w:rPr>
        <w:t>投标人（盖章）：</w:t>
      </w:r>
    </w:p>
    <w:p>
      <w:pPr>
        <w:spacing w:line="480" w:lineRule="exact"/>
        <w:ind w:firstLine="1560" w:firstLineChars="650"/>
        <w:rPr>
          <w:rFonts w:hAnsi="宋体" w:cs="宋体"/>
          <w:sz w:val="24"/>
        </w:rPr>
      </w:pPr>
      <w:r>
        <w:rPr>
          <w:rFonts w:hint="eastAsia" w:hAnsi="宋体" w:cs="宋体"/>
          <w:sz w:val="24"/>
        </w:rPr>
        <w:t>法定代表人或委托代理人（签字）：</w:t>
      </w:r>
    </w:p>
    <w:p>
      <w:pPr>
        <w:spacing w:line="480" w:lineRule="exact"/>
        <w:ind w:firstLine="1560" w:firstLineChars="650"/>
        <w:rPr>
          <w:rFonts w:hAnsi="宋体" w:cs="宋体"/>
          <w:sz w:val="24"/>
        </w:rPr>
      </w:pPr>
      <w:r>
        <w:rPr>
          <w:rFonts w:hint="eastAsia" w:hAnsi="宋体" w:cs="宋体"/>
          <w:sz w:val="24"/>
        </w:rPr>
        <w:t>日  期：年月日</w:t>
      </w:r>
    </w:p>
    <w:p>
      <w:pPr>
        <w:autoSpaceDE w:val="0"/>
        <w:autoSpaceDN w:val="0"/>
        <w:adjustRightInd w:val="0"/>
        <w:rPr>
          <w:rFonts w:hAnsi="宋体" w:cs="宋体"/>
          <w:b/>
          <w:sz w:val="24"/>
        </w:rPr>
      </w:pPr>
      <w:r>
        <w:rPr>
          <w:rFonts w:hint="eastAsia" w:hAnsi="宋体" w:cs="宋体"/>
          <w:sz w:val="24"/>
        </w:rPr>
        <w:br w:type="page"/>
      </w:r>
    </w:p>
    <w:p>
      <w:pPr>
        <w:pStyle w:val="2"/>
        <w:ind w:firstLine="281"/>
        <w:jc w:val="center"/>
        <w:rPr>
          <w:rFonts w:hAnsi="宋体" w:cs="宋体"/>
          <w:b/>
          <w:sz w:val="28"/>
          <w:szCs w:val="28"/>
        </w:rPr>
      </w:pPr>
      <w:r>
        <w:rPr>
          <w:rFonts w:hint="eastAsia" w:hAnsi="宋体" w:cs="宋体"/>
          <w:b/>
          <w:sz w:val="28"/>
          <w:szCs w:val="28"/>
        </w:rPr>
        <w:t>二、投标函附录</w:t>
      </w:r>
    </w:p>
    <w:tbl>
      <w:tblPr>
        <w:tblStyle w:val="17"/>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387"/>
        <w:gridCol w:w="709"/>
        <w:gridCol w:w="1224"/>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387" w:type="dxa"/>
            <w:vAlign w:val="center"/>
          </w:tcPr>
          <w:p>
            <w:pPr>
              <w:jc w:val="center"/>
              <w:rPr>
                <w:rFonts w:hAnsi="宋体" w:cs="宋体"/>
                <w:sz w:val="24"/>
              </w:rPr>
            </w:pPr>
          </w:p>
        </w:tc>
        <w:tc>
          <w:tcPr>
            <w:tcW w:w="709" w:type="dxa"/>
            <w:vAlign w:val="center"/>
          </w:tcPr>
          <w:p>
            <w:pPr>
              <w:jc w:val="center"/>
              <w:rPr>
                <w:rFonts w:hAnsi="宋体" w:cs="宋体"/>
                <w:sz w:val="24"/>
              </w:rPr>
            </w:pPr>
            <w:r>
              <w:rPr>
                <w:rFonts w:hint="eastAsia" w:hAnsi="宋体" w:cs="宋体"/>
                <w:sz w:val="24"/>
              </w:rPr>
              <w:t>级别</w:t>
            </w:r>
          </w:p>
        </w:tc>
        <w:tc>
          <w:tcPr>
            <w:tcW w:w="1224"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注册编号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387" w:type="dxa"/>
            <w:vAlign w:val="center"/>
          </w:tcPr>
          <w:p>
            <w:pPr>
              <w:jc w:val="center"/>
              <w:rPr>
                <w:rFonts w:hAnsi="宋体" w:cs="宋体"/>
                <w:sz w:val="24"/>
              </w:rPr>
            </w:pPr>
          </w:p>
        </w:tc>
        <w:tc>
          <w:tcPr>
            <w:tcW w:w="709" w:type="dxa"/>
            <w:vAlign w:val="center"/>
          </w:tcPr>
          <w:p>
            <w:pPr>
              <w:jc w:val="center"/>
              <w:rPr>
                <w:rFonts w:hAnsi="宋体" w:cs="宋体"/>
                <w:sz w:val="24"/>
              </w:rPr>
            </w:pPr>
            <w:r>
              <w:rPr>
                <w:rFonts w:hint="eastAsia" w:hAnsi="宋体" w:cs="宋体"/>
                <w:sz w:val="24"/>
              </w:rPr>
              <w:t>级别</w:t>
            </w:r>
          </w:p>
        </w:tc>
        <w:tc>
          <w:tcPr>
            <w:tcW w:w="1224"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规费RMB￥：元</w:t>
            </w:r>
          </w:p>
          <w:p>
            <w:pPr>
              <w:spacing w:line="480" w:lineRule="exact"/>
              <w:ind w:firstLine="600" w:firstLineChars="250"/>
              <w:rPr>
                <w:rFonts w:hAnsi="宋体" w:cs="宋体"/>
                <w:sz w:val="24"/>
              </w:rPr>
            </w:pPr>
            <w:r>
              <w:rPr>
                <w:rFonts w:hint="eastAsia" w:hAnsi="宋体" w:cs="宋体"/>
                <w:sz w:val="24"/>
              </w:rPr>
              <w:t>税金RMB￥：元</w:t>
            </w:r>
          </w:p>
          <w:p>
            <w:pPr>
              <w:spacing w:line="480" w:lineRule="exact"/>
              <w:ind w:firstLine="600" w:firstLineChars="25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widowControl/>
              <w:spacing w:line="450" w:lineRule="atLeast"/>
              <w:jc w:val="left"/>
              <w:rPr>
                <w:rFonts w:hAnsi="宋体" w:cs="宋体"/>
                <w:sz w:val="18"/>
                <w:szCs w:val="18"/>
              </w:rPr>
            </w:pPr>
          </w:p>
          <w:p>
            <w:pPr>
              <w:widowControl/>
              <w:spacing w:line="450" w:lineRule="atLeast"/>
              <w:jc w:val="left"/>
              <w:rPr>
                <w:rFonts w:hAnsi="宋体" w:cs="宋体"/>
                <w:sz w:val="18"/>
                <w:szCs w:val="18"/>
              </w:rPr>
            </w:pPr>
            <w:r>
              <w:rPr>
                <w:rFonts w:hint="eastAsia" w:hAnsi="宋体" w:cs="宋体"/>
                <w:sz w:val="24"/>
                <w:szCs w:val="24"/>
              </w:rPr>
              <w:t>（包含优惠承诺、服务承诺及按扬尘污染整治标准进行各工序的施工）</w:t>
            </w:r>
          </w:p>
        </w:tc>
      </w:tr>
    </w:tbl>
    <w:p>
      <w:pPr>
        <w:pStyle w:val="2"/>
        <w:ind w:right="480" w:firstLine="321"/>
        <w:jc w:val="right"/>
        <w:rPr>
          <w:rFonts w:hAnsi="宋体"/>
          <w:b/>
          <w:sz w:val="32"/>
          <w:szCs w:val="32"/>
        </w:rPr>
      </w:pPr>
    </w:p>
    <w:p>
      <w:pPr>
        <w:ind w:right="-58" w:firstLine="3117" w:firstLineChars="1299"/>
        <w:jc w:val="left"/>
        <w:rPr>
          <w:rFonts w:hAnsi="宋体" w:cs="宋体"/>
          <w:sz w:val="24"/>
        </w:rPr>
      </w:pPr>
      <w:r>
        <w:rPr>
          <w:rFonts w:hint="eastAsia" w:hAnsi="宋体" w:cs="宋体"/>
          <w:sz w:val="24"/>
        </w:rPr>
        <w:t>投标单位（盖章）：</w:t>
      </w:r>
    </w:p>
    <w:p>
      <w:pPr>
        <w:ind w:right="-58" w:firstLine="3117" w:firstLineChars="1299"/>
        <w:jc w:val="left"/>
        <w:rPr>
          <w:rFonts w:hAnsi="宋体" w:cs="宋体"/>
          <w:sz w:val="24"/>
        </w:rPr>
      </w:pPr>
      <w:r>
        <w:rPr>
          <w:rFonts w:hint="eastAsia" w:hAnsi="宋体" w:cs="宋体"/>
          <w:sz w:val="24"/>
        </w:rPr>
        <w:t>法定代表人或委托代理人（签字）：</w:t>
      </w:r>
    </w:p>
    <w:p>
      <w:pPr>
        <w:ind w:right="1110" w:firstLine="3967" w:firstLineChars="1653"/>
        <w:jc w:val="left"/>
        <w:rPr>
          <w:rFonts w:hAnsi="宋体" w:cs="宋体"/>
          <w:sz w:val="28"/>
          <w:szCs w:val="28"/>
        </w:rPr>
      </w:pPr>
      <w:r>
        <w:rPr>
          <w:rFonts w:hint="eastAsia" w:hAnsi="宋体" w:cs="宋体"/>
          <w:sz w:val="24"/>
        </w:rPr>
        <w:t>年月日</w:t>
      </w:r>
      <w:r>
        <w:rPr>
          <w:rFonts w:hint="eastAsia" w:hAnsi="宋体" w:cs="宋体"/>
          <w:sz w:val="28"/>
          <w:szCs w:val="28"/>
        </w:rPr>
        <w:br w:type="page"/>
      </w:r>
    </w:p>
    <w:p>
      <w:pPr>
        <w:tabs>
          <w:tab w:val="center" w:pos="4739"/>
        </w:tabs>
        <w:spacing w:line="600" w:lineRule="auto"/>
        <w:ind w:left="180"/>
        <w:jc w:val="center"/>
        <w:rPr>
          <w:rFonts w:hAnsi="宋体" w:cs="宋体"/>
          <w:b/>
          <w:sz w:val="32"/>
        </w:rPr>
      </w:pPr>
      <w:r>
        <w:rPr>
          <w:rFonts w:hint="eastAsia" w:hAnsi="宋体" w:cs="宋体"/>
          <w:b/>
          <w:sz w:val="32"/>
        </w:rPr>
        <w:t>三、法定代表人身份证明、授权委托书</w:t>
      </w:r>
    </w:p>
    <w:p>
      <w:pPr>
        <w:pStyle w:val="2"/>
        <w:ind w:firstLine="281"/>
        <w:jc w:val="center"/>
        <w:rPr>
          <w:rFonts w:hAnsi="宋体" w:cs="宋体"/>
          <w:b/>
          <w:sz w:val="28"/>
          <w:szCs w:val="28"/>
        </w:rPr>
      </w:pPr>
      <w:r>
        <w:rPr>
          <w:rFonts w:hint="eastAsia" w:hAnsi="宋体" w:cs="宋体"/>
          <w:b/>
          <w:sz w:val="28"/>
          <w:szCs w:val="28"/>
        </w:rPr>
        <w:t>（一）法定代表人身份证明</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pStyle w:val="2"/>
        <w:ind w:firstLine="240"/>
        <w:rPr>
          <w:rFonts w:hAnsi="宋体"/>
        </w:rPr>
      </w:pPr>
      <w:r>
        <w:rPr>
          <w:rFonts w:hint="eastAsia" w:hAnsi="宋体" w:cs="宋体"/>
          <w:sz w:val="24"/>
        </w:rPr>
        <w:t xml:space="preserve">    附：法定代表人有效身份证原件的扫描件或图片。</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420" w:firstLineChars="200"/>
        <w:jc w:val="right"/>
        <w:rPr>
          <w:rFonts w:hAnsi="宋体" w:cs="宋体"/>
          <w:szCs w:val="21"/>
        </w:rPr>
      </w:pPr>
    </w:p>
    <w:p>
      <w:pPr>
        <w:widowControl/>
        <w:jc w:val="left"/>
        <w:rPr>
          <w:rFonts w:hAnsi="宋体" w:cs="宋体"/>
          <w:b/>
          <w:sz w:val="28"/>
          <w:szCs w:val="28"/>
        </w:rPr>
      </w:pPr>
      <w:r>
        <w:rPr>
          <w:rFonts w:hAnsi="宋体" w:cs="宋体"/>
          <w:b/>
          <w:sz w:val="28"/>
          <w:szCs w:val="28"/>
        </w:rPr>
        <w:br w:type="page"/>
      </w:r>
    </w:p>
    <w:p>
      <w:pPr>
        <w:pStyle w:val="2"/>
        <w:ind w:firstLine="281"/>
        <w:jc w:val="center"/>
        <w:rPr>
          <w:rFonts w:hAnsi="宋体" w:cs="宋体"/>
          <w:b/>
          <w:sz w:val="28"/>
          <w:szCs w:val="28"/>
        </w:rPr>
      </w:pPr>
      <w:r>
        <w:rPr>
          <w:rFonts w:hint="eastAsia" w:hAnsi="宋体" w:cs="宋体"/>
          <w:b/>
          <w:sz w:val="28"/>
          <w:szCs w:val="28"/>
        </w:rPr>
        <w:t>（二）授权委托书</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w:t>
      </w:r>
    </w:p>
    <w:p>
      <w:pPr>
        <w:autoSpaceDE w:val="0"/>
        <w:autoSpaceDN w:val="0"/>
        <w:adjustRightInd w:val="0"/>
        <w:spacing w:line="440" w:lineRule="exact"/>
        <w:jc w:val="left"/>
        <w:rPr>
          <w:rFonts w:hAnsi="宋体" w:cs="宋体"/>
          <w:sz w:val="24"/>
        </w:rPr>
      </w:pPr>
      <w:r>
        <w:rPr>
          <w:rFonts w:hint="eastAsia" w:hAnsi="宋体" w:cs="宋体"/>
          <w:sz w:val="24"/>
        </w:rPr>
        <w:t>（姓名）为我方代理人。代理人根据授权，以我方名义签署、澄清、说明、补正、递交、撤回、修改（项目名称）施工投标文件、签订合同和处理有关事宜，其法律后果由我方承担。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附：授权委托人有效身份证的原件扫描件或图片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2126" w:firstLineChars="886"/>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2126" w:firstLineChars="886"/>
        <w:jc w:val="left"/>
        <w:rPr>
          <w:rFonts w:hAnsi="宋体" w:cs="宋体"/>
          <w:sz w:val="24"/>
        </w:rPr>
      </w:pPr>
      <w:r>
        <w:rPr>
          <w:rFonts w:hint="eastAsia" w:hAnsi="宋体" w:cs="宋体"/>
          <w:sz w:val="24"/>
        </w:rPr>
        <w:t>法定代表人：（签字）</w:t>
      </w:r>
    </w:p>
    <w:p>
      <w:pPr>
        <w:autoSpaceDE w:val="0"/>
        <w:autoSpaceDN w:val="0"/>
        <w:adjustRightInd w:val="0"/>
        <w:spacing w:line="440" w:lineRule="exact"/>
        <w:ind w:firstLine="2126" w:firstLineChars="886"/>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2126" w:firstLineChars="886"/>
        <w:jc w:val="left"/>
        <w:rPr>
          <w:rFonts w:hAnsi="宋体" w:cs="宋体"/>
          <w:sz w:val="24"/>
        </w:rPr>
      </w:pPr>
      <w:r>
        <w:rPr>
          <w:rFonts w:hint="eastAsia" w:hAnsi="宋体" w:cs="宋体"/>
          <w:sz w:val="24"/>
        </w:rPr>
        <w:t>委托代理人：（签字）</w:t>
      </w:r>
    </w:p>
    <w:p>
      <w:pPr>
        <w:autoSpaceDE w:val="0"/>
        <w:autoSpaceDN w:val="0"/>
        <w:adjustRightInd w:val="0"/>
        <w:spacing w:line="440" w:lineRule="exact"/>
        <w:ind w:firstLine="2126" w:firstLineChars="886"/>
        <w:jc w:val="left"/>
        <w:rPr>
          <w:rFonts w:hAnsi="宋体" w:cs="宋体"/>
          <w:sz w:val="24"/>
        </w:rPr>
      </w:pPr>
      <w:r>
        <w:rPr>
          <w:rFonts w:hint="eastAsia" w:hAnsi="宋体" w:cs="宋体"/>
          <w:sz w:val="24"/>
        </w:rPr>
        <w:t>身份证号码：</w:t>
      </w:r>
    </w:p>
    <w:p>
      <w:pPr>
        <w:tabs>
          <w:tab w:val="left" w:pos="4395"/>
        </w:tabs>
        <w:autoSpaceDE w:val="0"/>
        <w:autoSpaceDN w:val="0"/>
        <w:adjustRightInd w:val="0"/>
        <w:spacing w:line="440" w:lineRule="exact"/>
        <w:jc w:val="right"/>
        <w:rPr>
          <w:rFonts w:hAnsi="宋体" w:cs="宋体"/>
          <w:sz w:val="24"/>
        </w:rPr>
      </w:pPr>
      <w:r>
        <w:rPr>
          <w:rFonts w:hint="eastAsia" w:hAnsi="宋体" w:cs="宋体"/>
          <w:sz w:val="24"/>
        </w:rPr>
        <w:t>年月 日</w:t>
      </w:r>
    </w:p>
    <w:p>
      <w:pPr>
        <w:widowControl/>
        <w:jc w:val="left"/>
        <w:rPr>
          <w:rFonts w:hAnsi="宋体" w:cs="宋体"/>
          <w:b/>
          <w:sz w:val="32"/>
        </w:rPr>
      </w:pPr>
      <w:r>
        <w:rPr>
          <w:rFonts w:hAnsi="宋体" w:cs="宋体"/>
          <w:b/>
          <w:sz w:val="32"/>
        </w:rPr>
        <w:br w:type="page"/>
      </w:r>
    </w:p>
    <w:p>
      <w:pPr>
        <w:tabs>
          <w:tab w:val="center" w:pos="4739"/>
        </w:tabs>
        <w:spacing w:line="600" w:lineRule="auto"/>
        <w:ind w:left="180"/>
        <w:jc w:val="center"/>
        <w:rPr>
          <w:rFonts w:hAnsi="宋体" w:cs="宋体"/>
          <w:b/>
          <w:sz w:val="32"/>
        </w:rPr>
      </w:pPr>
      <w:r>
        <w:rPr>
          <w:rFonts w:hint="eastAsia" w:hAnsi="宋体" w:cs="宋体"/>
          <w:b/>
          <w:sz w:val="32"/>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宋体"/>
          <w:b/>
          <w:sz w:val="32"/>
        </w:rPr>
        <w:t>四、投标保证金</w:t>
      </w:r>
    </w:p>
    <w:p>
      <w:pPr>
        <w:rPr>
          <w:rFonts w:hAnsi="宋体"/>
          <w:szCs w:val="21"/>
        </w:rPr>
      </w:pPr>
    </w:p>
    <w:p>
      <w:pPr>
        <w:autoSpaceDE w:val="0"/>
        <w:autoSpaceDN w:val="0"/>
        <w:adjustRightInd w:val="0"/>
        <w:spacing w:line="420" w:lineRule="exact"/>
        <w:jc w:val="center"/>
        <w:rPr>
          <w:rFonts w:hAnsi="宋体" w:cs="宋体"/>
          <w:sz w:val="24"/>
          <w:szCs w:val="24"/>
        </w:rPr>
      </w:pPr>
      <w:r>
        <w:rPr>
          <w:rFonts w:hint="eastAsia" w:hAnsi="宋体" w:cs="仿宋_GB2312"/>
          <w:sz w:val="24"/>
          <w:szCs w:val="24"/>
        </w:rPr>
        <w:t>附投标保证金缴纳回执</w:t>
      </w:r>
    </w:p>
    <w:p>
      <w:pPr>
        <w:widowControl/>
        <w:jc w:val="left"/>
        <w:rPr>
          <w:rFonts w:hAnsi="宋体" w:cs="宋体"/>
          <w:b/>
          <w:sz w:val="32"/>
        </w:rPr>
      </w:pPr>
      <w:r>
        <w:rPr>
          <w:rFonts w:hAnsi="宋体" w:cs="宋体"/>
          <w:b/>
          <w:sz w:val="32"/>
        </w:rPr>
        <w:br w:type="page"/>
      </w:r>
    </w:p>
    <w:p>
      <w:pPr>
        <w:autoSpaceDE w:val="0"/>
        <w:autoSpaceDN w:val="0"/>
        <w:adjustRightInd w:val="0"/>
        <w:spacing w:line="420" w:lineRule="exact"/>
        <w:jc w:val="center"/>
        <w:rPr>
          <w:rFonts w:hAnsi="宋体" w:cs="宋体"/>
          <w:b/>
          <w:sz w:val="32"/>
        </w:rPr>
      </w:pPr>
      <w:r>
        <w:rPr>
          <w:rFonts w:hint="eastAsia" w:hAnsi="宋体" w:cs="宋体"/>
          <w:b/>
          <w:sz w:val="32"/>
        </w:rPr>
        <w:t>五、项目管理机构配备情况</w:t>
      </w:r>
    </w:p>
    <w:p>
      <w:pPr>
        <w:pStyle w:val="2"/>
        <w:ind w:firstLine="281"/>
        <w:jc w:val="center"/>
        <w:rPr>
          <w:rFonts w:hAnsi="宋体" w:cs="宋体"/>
          <w:b/>
          <w:sz w:val="28"/>
          <w:szCs w:val="28"/>
        </w:rPr>
      </w:pPr>
      <w:r>
        <w:rPr>
          <w:rFonts w:hint="eastAsia" w:hAnsi="宋体" w:cs="宋体"/>
          <w:b/>
          <w:sz w:val="28"/>
          <w:szCs w:val="28"/>
        </w:rPr>
        <w:t>（一）项目管理机构组成表</w:t>
      </w:r>
    </w:p>
    <w:tbl>
      <w:tblPr>
        <w:tblStyle w:val="17"/>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913" w:type="dxa"/>
            <w:vMerge w:val="restart"/>
            <w:vAlign w:val="center"/>
          </w:tcPr>
          <w:p>
            <w:pPr>
              <w:jc w:val="center"/>
              <w:rPr>
                <w:rFonts w:hAnsi="宋体"/>
                <w:sz w:val="24"/>
                <w:szCs w:val="24"/>
              </w:rPr>
            </w:pPr>
            <w:r>
              <w:rPr>
                <w:rFonts w:hint="eastAsia" w:hAnsi="宋体"/>
                <w:sz w:val="24"/>
                <w:szCs w:val="24"/>
              </w:rPr>
              <w:t>职务</w:t>
            </w:r>
          </w:p>
        </w:tc>
        <w:tc>
          <w:tcPr>
            <w:tcW w:w="914" w:type="dxa"/>
            <w:vMerge w:val="restart"/>
            <w:vAlign w:val="center"/>
          </w:tcPr>
          <w:p>
            <w:pPr>
              <w:jc w:val="center"/>
              <w:rPr>
                <w:rFonts w:hAnsi="宋体"/>
                <w:sz w:val="24"/>
                <w:szCs w:val="24"/>
              </w:rPr>
            </w:pPr>
            <w:r>
              <w:rPr>
                <w:rFonts w:hint="eastAsia" w:hAnsi="宋体"/>
                <w:sz w:val="24"/>
                <w:szCs w:val="24"/>
              </w:rPr>
              <w:t>姓名</w:t>
            </w:r>
          </w:p>
        </w:tc>
        <w:tc>
          <w:tcPr>
            <w:tcW w:w="914" w:type="dxa"/>
            <w:vMerge w:val="restart"/>
            <w:vAlign w:val="center"/>
          </w:tcPr>
          <w:p>
            <w:pPr>
              <w:jc w:val="center"/>
              <w:rPr>
                <w:rFonts w:hAnsi="宋体"/>
                <w:sz w:val="24"/>
                <w:szCs w:val="24"/>
              </w:rPr>
            </w:pPr>
            <w:r>
              <w:rPr>
                <w:rFonts w:hint="eastAsia" w:hAnsi="宋体"/>
                <w:sz w:val="24"/>
                <w:szCs w:val="24"/>
              </w:rPr>
              <w:t>职称</w:t>
            </w:r>
          </w:p>
        </w:tc>
        <w:tc>
          <w:tcPr>
            <w:tcW w:w="5710" w:type="dxa"/>
            <w:gridSpan w:val="5"/>
            <w:vAlign w:val="center"/>
          </w:tcPr>
          <w:p>
            <w:pPr>
              <w:jc w:val="center"/>
              <w:rPr>
                <w:rFonts w:hAnsi="宋体"/>
                <w:sz w:val="24"/>
                <w:szCs w:val="24"/>
              </w:rPr>
            </w:pPr>
            <w:r>
              <w:rPr>
                <w:rFonts w:hint="eastAsia" w:hAnsi="宋体"/>
                <w:sz w:val="24"/>
                <w:szCs w:val="24"/>
              </w:rPr>
              <w:t>执业或职业资格证明</w:t>
            </w:r>
          </w:p>
        </w:tc>
        <w:tc>
          <w:tcPr>
            <w:tcW w:w="1036" w:type="dxa"/>
            <w:vAlign w:val="center"/>
          </w:tcPr>
          <w:p>
            <w:pPr>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jc w:val="center"/>
              <w:rPr>
                <w:rFonts w:hAnsi="宋体"/>
                <w:sz w:val="24"/>
                <w:szCs w:val="24"/>
              </w:rPr>
            </w:pPr>
          </w:p>
        </w:tc>
        <w:tc>
          <w:tcPr>
            <w:tcW w:w="914" w:type="dxa"/>
            <w:vMerge w:val="continue"/>
            <w:vAlign w:val="center"/>
          </w:tcPr>
          <w:p>
            <w:pPr>
              <w:jc w:val="center"/>
              <w:rPr>
                <w:rFonts w:hAnsi="宋体"/>
                <w:sz w:val="24"/>
                <w:szCs w:val="24"/>
              </w:rPr>
            </w:pPr>
          </w:p>
        </w:tc>
        <w:tc>
          <w:tcPr>
            <w:tcW w:w="1405" w:type="dxa"/>
            <w:vAlign w:val="center"/>
          </w:tcPr>
          <w:p>
            <w:pPr>
              <w:jc w:val="center"/>
              <w:rPr>
                <w:rFonts w:hAnsi="宋体"/>
                <w:sz w:val="24"/>
                <w:szCs w:val="24"/>
              </w:rPr>
            </w:pPr>
            <w:r>
              <w:rPr>
                <w:rFonts w:hint="eastAsia" w:hAnsi="宋体"/>
                <w:sz w:val="24"/>
                <w:szCs w:val="24"/>
              </w:rPr>
              <w:t>证书名称</w:t>
            </w:r>
          </w:p>
        </w:tc>
        <w:tc>
          <w:tcPr>
            <w:tcW w:w="945" w:type="dxa"/>
            <w:vAlign w:val="center"/>
          </w:tcPr>
          <w:p>
            <w:pPr>
              <w:jc w:val="center"/>
              <w:rPr>
                <w:rFonts w:hAnsi="宋体"/>
                <w:sz w:val="24"/>
                <w:szCs w:val="24"/>
              </w:rPr>
            </w:pPr>
            <w:r>
              <w:rPr>
                <w:rFonts w:hint="eastAsia" w:hAnsi="宋体"/>
                <w:sz w:val="24"/>
                <w:szCs w:val="24"/>
              </w:rPr>
              <w:t>级别</w:t>
            </w:r>
          </w:p>
        </w:tc>
        <w:tc>
          <w:tcPr>
            <w:tcW w:w="945" w:type="dxa"/>
            <w:vAlign w:val="center"/>
          </w:tcPr>
          <w:p>
            <w:pPr>
              <w:jc w:val="center"/>
              <w:rPr>
                <w:rFonts w:hAnsi="宋体"/>
                <w:sz w:val="24"/>
                <w:szCs w:val="24"/>
              </w:rPr>
            </w:pPr>
            <w:r>
              <w:rPr>
                <w:rFonts w:hint="eastAsia" w:hAnsi="宋体"/>
                <w:sz w:val="24"/>
                <w:szCs w:val="24"/>
              </w:rPr>
              <w:t>证号</w:t>
            </w:r>
          </w:p>
        </w:tc>
        <w:tc>
          <w:tcPr>
            <w:tcW w:w="945" w:type="dxa"/>
            <w:vAlign w:val="center"/>
          </w:tcPr>
          <w:p>
            <w:pPr>
              <w:jc w:val="center"/>
              <w:rPr>
                <w:rFonts w:hAnsi="宋体"/>
                <w:sz w:val="24"/>
                <w:szCs w:val="24"/>
              </w:rPr>
            </w:pPr>
            <w:r>
              <w:rPr>
                <w:rFonts w:hint="eastAsia" w:hAnsi="宋体"/>
                <w:sz w:val="24"/>
                <w:szCs w:val="24"/>
              </w:rPr>
              <w:t>专业</w:t>
            </w:r>
          </w:p>
        </w:tc>
        <w:tc>
          <w:tcPr>
            <w:tcW w:w="1470" w:type="dxa"/>
            <w:vAlign w:val="center"/>
          </w:tcPr>
          <w:p>
            <w:pPr>
              <w:jc w:val="center"/>
              <w:rPr>
                <w:rFonts w:hAnsi="宋体"/>
                <w:sz w:val="24"/>
                <w:szCs w:val="24"/>
              </w:rPr>
            </w:pPr>
            <w:r>
              <w:rPr>
                <w:rFonts w:hint="eastAsia" w:hAnsi="宋体"/>
                <w:sz w:val="24"/>
                <w:szCs w:val="24"/>
              </w:rPr>
              <w:t>养老保险</w:t>
            </w:r>
          </w:p>
        </w:tc>
        <w:tc>
          <w:tcPr>
            <w:tcW w:w="1036"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hAnsi="宋体"/>
                <w:sz w:val="24"/>
                <w:szCs w:val="24"/>
              </w:rPr>
            </w:pPr>
          </w:p>
        </w:tc>
        <w:tc>
          <w:tcPr>
            <w:tcW w:w="914" w:type="dxa"/>
            <w:vAlign w:val="center"/>
          </w:tcPr>
          <w:p>
            <w:pPr>
              <w:jc w:val="center"/>
              <w:rPr>
                <w:rFonts w:hAnsi="宋体"/>
                <w:sz w:val="24"/>
                <w:szCs w:val="24"/>
              </w:rPr>
            </w:pPr>
          </w:p>
        </w:tc>
        <w:tc>
          <w:tcPr>
            <w:tcW w:w="914" w:type="dxa"/>
            <w:vAlign w:val="center"/>
          </w:tcPr>
          <w:p>
            <w:pPr>
              <w:jc w:val="center"/>
              <w:rPr>
                <w:rFonts w:hAnsi="宋体"/>
                <w:sz w:val="24"/>
                <w:szCs w:val="24"/>
              </w:rPr>
            </w:pPr>
          </w:p>
        </w:tc>
        <w:tc>
          <w:tcPr>
            <w:tcW w:w="140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1470" w:type="dxa"/>
            <w:vAlign w:val="center"/>
          </w:tcPr>
          <w:p>
            <w:pPr>
              <w:jc w:val="center"/>
              <w:rPr>
                <w:rFonts w:hAnsi="宋体"/>
                <w:sz w:val="24"/>
                <w:szCs w:val="24"/>
              </w:rPr>
            </w:pPr>
          </w:p>
        </w:tc>
        <w:tc>
          <w:tcPr>
            <w:tcW w:w="1036"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hAnsi="宋体"/>
                <w:sz w:val="24"/>
                <w:szCs w:val="24"/>
              </w:rPr>
            </w:pPr>
          </w:p>
        </w:tc>
        <w:tc>
          <w:tcPr>
            <w:tcW w:w="914" w:type="dxa"/>
            <w:vAlign w:val="center"/>
          </w:tcPr>
          <w:p>
            <w:pPr>
              <w:jc w:val="center"/>
              <w:rPr>
                <w:rFonts w:hAnsi="宋体"/>
                <w:sz w:val="24"/>
                <w:szCs w:val="24"/>
              </w:rPr>
            </w:pPr>
          </w:p>
        </w:tc>
        <w:tc>
          <w:tcPr>
            <w:tcW w:w="914" w:type="dxa"/>
            <w:vAlign w:val="center"/>
          </w:tcPr>
          <w:p>
            <w:pPr>
              <w:jc w:val="center"/>
              <w:rPr>
                <w:rFonts w:hAnsi="宋体"/>
                <w:sz w:val="24"/>
                <w:szCs w:val="24"/>
              </w:rPr>
            </w:pPr>
          </w:p>
        </w:tc>
        <w:tc>
          <w:tcPr>
            <w:tcW w:w="140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1470" w:type="dxa"/>
            <w:vAlign w:val="center"/>
          </w:tcPr>
          <w:p>
            <w:pPr>
              <w:jc w:val="center"/>
              <w:rPr>
                <w:rFonts w:hAnsi="宋体"/>
                <w:sz w:val="24"/>
                <w:szCs w:val="24"/>
              </w:rPr>
            </w:pPr>
          </w:p>
        </w:tc>
        <w:tc>
          <w:tcPr>
            <w:tcW w:w="1036"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hAnsi="宋体"/>
                <w:sz w:val="24"/>
                <w:szCs w:val="24"/>
              </w:rPr>
            </w:pPr>
          </w:p>
        </w:tc>
        <w:tc>
          <w:tcPr>
            <w:tcW w:w="914" w:type="dxa"/>
            <w:vAlign w:val="center"/>
          </w:tcPr>
          <w:p>
            <w:pPr>
              <w:jc w:val="center"/>
              <w:rPr>
                <w:rFonts w:hAnsi="宋体"/>
                <w:sz w:val="24"/>
                <w:szCs w:val="24"/>
              </w:rPr>
            </w:pPr>
          </w:p>
        </w:tc>
        <w:tc>
          <w:tcPr>
            <w:tcW w:w="914" w:type="dxa"/>
            <w:vAlign w:val="center"/>
          </w:tcPr>
          <w:p>
            <w:pPr>
              <w:jc w:val="center"/>
              <w:rPr>
                <w:rFonts w:hAnsi="宋体"/>
                <w:sz w:val="24"/>
                <w:szCs w:val="24"/>
              </w:rPr>
            </w:pPr>
          </w:p>
        </w:tc>
        <w:tc>
          <w:tcPr>
            <w:tcW w:w="140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1470" w:type="dxa"/>
            <w:vAlign w:val="center"/>
          </w:tcPr>
          <w:p>
            <w:pPr>
              <w:jc w:val="center"/>
              <w:rPr>
                <w:rFonts w:hAnsi="宋体"/>
                <w:sz w:val="24"/>
                <w:szCs w:val="24"/>
              </w:rPr>
            </w:pPr>
          </w:p>
        </w:tc>
        <w:tc>
          <w:tcPr>
            <w:tcW w:w="1036"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hAnsi="宋体"/>
                <w:sz w:val="24"/>
                <w:szCs w:val="24"/>
              </w:rPr>
            </w:pPr>
          </w:p>
        </w:tc>
        <w:tc>
          <w:tcPr>
            <w:tcW w:w="914" w:type="dxa"/>
            <w:vAlign w:val="center"/>
          </w:tcPr>
          <w:p>
            <w:pPr>
              <w:jc w:val="center"/>
              <w:rPr>
                <w:rFonts w:hAnsi="宋体"/>
                <w:sz w:val="24"/>
                <w:szCs w:val="24"/>
              </w:rPr>
            </w:pPr>
          </w:p>
        </w:tc>
        <w:tc>
          <w:tcPr>
            <w:tcW w:w="914" w:type="dxa"/>
            <w:vAlign w:val="center"/>
          </w:tcPr>
          <w:p>
            <w:pPr>
              <w:jc w:val="center"/>
              <w:rPr>
                <w:rFonts w:hAnsi="宋体"/>
                <w:sz w:val="24"/>
                <w:szCs w:val="24"/>
              </w:rPr>
            </w:pPr>
          </w:p>
        </w:tc>
        <w:tc>
          <w:tcPr>
            <w:tcW w:w="140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1470" w:type="dxa"/>
            <w:vAlign w:val="center"/>
          </w:tcPr>
          <w:p>
            <w:pPr>
              <w:jc w:val="center"/>
              <w:rPr>
                <w:rFonts w:hAnsi="宋体"/>
                <w:sz w:val="24"/>
                <w:szCs w:val="24"/>
              </w:rPr>
            </w:pPr>
          </w:p>
        </w:tc>
        <w:tc>
          <w:tcPr>
            <w:tcW w:w="1036"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hAnsi="宋体"/>
                <w:sz w:val="24"/>
                <w:szCs w:val="24"/>
              </w:rPr>
            </w:pPr>
          </w:p>
        </w:tc>
        <w:tc>
          <w:tcPr>
            <w:tcW w:w="914" w:type="dxa"/>
            <w:vAlign w:val="center"/>
          </w:tcPr>
          <w:p>
            <w:pPr>
              <w:jc w:val="center"/>
              <w:rPr>
                <w:rFonts w:hAnsi="宋体"/>
                <w:sz w:val="24"/>
                <w:szCs w:val="24"/>
              </w:rPr>
            </w:pPr>
          </w:p>
        </w:tc>
        <w:tc>
          <w:tcPr>
            <w:tcW w:w="914" w:type="dxa"/>
            <w:vAlign w:val="center"/>
          </w:tcPr>
          <w:p>
            <w:pPr>
              <w:jc w:val="center"/>
              <w:rPr>
                <w:rFonts w:hAnsi="宋体"/>
                <w:sz w:val="24"/>
                <w:szCs w:val="24"/>
              </w:rPr>
            </w:pPr>
          </w:p>
        </w:tc>
        <w:tc>
          <w:tcPr>
            <w:tcW w:w="140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1470" w:type="dxa"/>
            <w:vAlign w:val="center"/>
          </w:tcPr>
          <w:p>
            <w:pPr>
              <w:jc w:val="center"/>
              <w:rPr>
                <w:rFonts w:hAnsi="宋体"/>
                <w:sz w:val="24"/>
                <w:szCs w:val="24"/>
              </w:rPr>
            </w:pPr>
          </w:p>
        </w:tc>
        <w:tc>
          <w:tcPr>
            <w:tcW w:w="1036"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hAnsi="宋体"/>
                <w:sz w:val="24"/>
                <w:szCs w:val="24"/>
              </w:rPr>
            </w:pPr>
          </w:p>
        </w:tc>
        <w:tc>
          <w:tcPr>
            <w:tcW w:w="914" w:type="dxa"/>
            <w:vAlign w:val="center"/>
          </w:tcPr>
          <w:p>
            <w:pPr>
              <w:jc w:val="center"/>
              <w:rPr>
                <w:rFonts w:hAnsi="宋体"/>
                <w:sz w:val="24"/>
                <w:szCs w:val="24"/>
              </w:rPr>
            </w:pPr>
          </w:p>
        </w:tc>
        <w:tc>
          <w:tcPr>
            <w:tcW w:w="914" w:type="dxa"/>
            <w:vAlign w:val="center"/>
          </w:tcPr>
          <w:p>
            <w:pPr>
              <w:jc w:val="center"/>
              <w:rPr>
                <w:rFonts w:hAnsi="宋体"/>
                <w:sz w:val="24"/>
                <w:szCs w:val="24"/>
              </w:rPr>
            </w:pPr>
          </w:p>
        </w:tc>
        <w:tc>
          <w:tcPr>
            <w:tcW w:w="140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1470" w:type="dxa"/>
            <w:vAlign w:val="center"/>
          </w:tcPr>
          <w:p>
            <w:pPr>
              <w:jc w:val="center"/>
              <w:rPr>
                <w:rFonts w:hAnsi="宋体"/>
                <w:sz w:val="24"/>
                <w:szCs w:val="24"/>
              </w:rPr>
            </w:pPr>
          </w:p>
        </w:tc>
        <w:tc>
          <w:tcPr>
            <w:tcW w:w="1036"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13" w:type="dxa"/>
            <w:vAlign w:val="center"/>
          </w:tcPr>
          <w:p>
            <w:pPr>
              <w:jc w:val="center"/>
              <w:rPr>
                <w:rFonts w:hAnsi="宋体"/>
                <w:sz w:val="24"/>
                <w:szCs w:val="24"/>
              </w:rPr>
            </w:pPr>
          </w:p>
        </w:tc>
        <w:tc>
          <w:tcPr>
            <w:tcW w:w="914" w:type="dxa"/>
            <w:vAlign w:val="center"/>
          </w:tcPr>
          <w:p>
            <w:pPr>
              <w:jc w:val="center"/>
              <w:rPr>
                <w:rFonts w:hAnsi="宋体"/>
                <w:sz w:val="24"/>
                <w:szCs w:val="24"/>
              </w:rPr>
            </w:pPr>
            <w:r>
              <w:rPr>
                <w:rFonts w:hint="eastAsia" w:hAnsi="宋体"/>
                <w:sz w:val="24"/>
                <w:szCs w:val="24"/>
              </w:rPr>
              <w:t>……</w:t>
            </w:r>
          </w:p>
        </w:tc>
        <w:tc>
          <w:tcPr>
            <w:tcW w:w="914" w:type="dxa"/>
            <w:vAlign w:val="center"/>
          </w:tcPr>
          <w:p>
            <w:pPr>
              <w:jc w:val="center"/>
              <w:rPr>
                <w:rFonts w:hAnsi="宋体"/>
                <w:sz w:val="24"/>
                <w:szCs w:val="24"/>
              </w:rPr>
            </w:pPr>
          </w:p>
        </w:tc>
        <w:tc>
          <w:tcPr>
            <w:tcW w:w="140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945" w:type="dxa"/>
            <w:vAlign w:val="center"/>
          </w:tcPr>
          <w:p>
            <w:pPr>
              <w:jc w:val="center"/>
              <w:rPr>
                <w:rFonts w:hAnsi="宋体"/>
                <w:sz w:val="24"/>
                <w:szCs w:val="24"/>
              </w:rPr>
            </w:pPr>
          </w:p>
        </w:tc>
        <w:tc>
          <w:tcPr>
            <w:tcW w:w="1470" w:type="dxa"/>
            <w:vAlign w:val="center"/>
          </w:tcPr>
          <w:p>
            <w:pPr>
              <w:jc w:val="center"/>
              <w:rPr>
                <w:rFonts w:hAnsi="宋体"/>
                <w:sz w:val="24"/>
                <w:szCs w:val="24"/>
              </w:rPr>
            </w:pPr>
          </w:p>
        </w:tc>
        <w:tc>
          <w:tcPr>
            <w:tcW w:w="1036" w:type="dxa"/>
            <w:vAlign w:val="center"/>
          </w:tcPr>
          <w:p>
            <w:pPr>
              <w:jc w:val="center"/>
              <w:rPr>
                <w:rFonts w:hAnsi="宋体"/>
                <w:sz w:val="24"/>
                <w:szCs w:val="24"/>
              </w:rPr>
            </w:pPr>
          </w:p>
        </w:tc>
      </w:tr>
    </w:tbl>
    <w:p>
      <w:pPr>
        <w:pStyle w:val="2"/>
        <w:ind w:firstLine="240"/>
        <w:rPr>
          <w:rFonts w:hAnsi="宋体" w:cs="宋体"/>
          <w:b/>
          <w:sz w:val="28"/>
          <w:szCs w:val="28"/>
        </w:rPr>
      </w:pPr>
      <w:r>
        <w:rPr>
          <w:rFonts w:hint="eastAsia" w:hAnsi="宋体" w:cs="宋体"/>
          <w:sz w:val="24"/>
          <w:szCs w:val="24"/>
        </w:rPr>
        <w:t>注：项目管理机构组成人员均须为本单位正式职工。</w:t>
      </w:r>
      <w:r>
        <w:rPr>
          <w:rFonts w:hAnsi="宋体" w:cs="宋体"/>
          <w:b/>
          <w:sz w:val="28"/>
          <w:szCs w:val="28"/>
        </w:rPr>
        <w:br w:type="page"/>
      </w:r>
      <w:r>
        <w:rPr>
          <w:rFonts w:hint="eastAsia" w:hAnsi="宋体" w:cs="宋体"/>
          <w:b/>
          <w:sz w:val="28"/>
          <w:szCs w:val="28"/>
        </w:rPr>
        <w:t>（二）主要人员简历表</w:t>
      </w:r>
    </w:p>
    <w:p>
      <w:pPr>
        <w:spacing w:line="420" w:lineRule="exact"/>
        <w:rPr>
          <w:rFonts w:hAnsi="宋体" w:cs="宋体"/>
          <w:sz w:val="24"/>
          <w:szCs w:val="28"/>
        </w:rPr>
      </w:pPr>
      <w:r>
        <w:rPr>
          <w:rFonts w:hint="eastAsia" w:hAnsi="宋体" w:cs="宋体"/>
          <w:sz w:val="24"/>
          <w:szCs w:val="28"/>
        </w:rPr>
        <w:t>附1：项目负责人简历表</w:t>
      </w:r>
    </w:p>
    <w:p>
      <w:pPr>
        <w:spacing w:line="420" w:lineRule="exact"/>
        <w:ind w:firstLine="480" w:firstLineChars="200"/>
        <w:rPr>
          <w:rFonts w:hAnsi="宋体" w:cs="宋体"/>
          <w:color w:val="FF0000"/>
          <w:sz w:val="24"/>
          <w:szCs w:val="24"/>
        </w:rPr>
      </w:pPr>
      <w:r>
        <w:rPr>
          <w:rFonts w:hint="eastAsia" w:hAnsi="宋体" w:cs="宋体"/>
          <w:sz w:val="24"/>
          <w:szCs w:val="24"/>
        </w:rPr>
        <w:t>项目负责人应附建造师注册证书、</w:t>
      </w:r>
      <w:r>
        <w:rPr>
          <w:rFonts w:hint="eastAsia" w:hAnsi="宋体"/>
          <w:sz w:val="24"/>
          <w:szCs w:val="24"/>
        </w:rPr>
        <w:t>安全生产考核合格证、</w:t>
      </w:r>
      <w:r>
        <w:rPr>
          <w:rFonts w:hint="eastAsia" w:hAnsi="宋体" w:cs="宋体"/>
          <w:sz w:val="24"/>
          <w:szCs w:val="24"/>
        </w:rPr>
        <w:t>身份证、单位为其缴纳的养老保险原件的扫描件或图片及未担任其他在施建设工程项目项目负责人的承诺书，管理过的项目业绩须附中标通知书、合同协议书和工程竣工验收证明资料的原件扫描件或图片。类似项目仅限于以项目经理或项目负责人身份参与的项目。</w:t>
      </w:r>
    </w:p>
    <w:tbl>
      <w:tblPr>
        <w:tblStyle w:val="17"/>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r>
              <w:rPr>
                <w:rFonts w:hint="eastAsia" w:hAnsi="宋体" w:cs="宋体"/>
                <w:sz w:val="24"/>
              </w:rPr>
              <w:t>姓  名</w:t>
            </w:r>
          </w:p>
        </w:tc>
        <w:tc>
          <w:tcPr>
            <w:tcW w:w="1101" w:type="dxa"/>
            <w:vAlign w:val="center"/>
          </w:tcPr>
          <w:p>
            <w:pPr>
              <w:spacing w:line="360" w:lineRule="auto"/>
              <w:jc w:val="center"/>
              <w:rPr>
                <w:rFonts w:hAnsi="宋体" w:cs="宋体"/>
                <w:sz w:val="24"/>
              </w:rPr>
            </w:pPr>
          </w:p>
        </w:tc>
        <w:tc>
          <w:tcPr>
            <w:tcW w:w="1204" w:type="dxa"/>
            <w:vAlign w:val="center"/>
          </w:tcPr>
          <w:p>
            <w:pPr>
              <w:spacing w:line="360" w:lineRule="auto"/>
              <w:jc w:val="center"/>
              <w:rPr>
                <w:rFonts w:hAnsi="宋体" w:cs="宋体"/>
                <w:sz w:val="24"/>
              </w:rPr>
            </w:pPr>
            <w:r>
              <w:rPr>
                <w:rFonts w:hint="eastAsia" w:hAnsi="宋体" w:cs="宋体"/>
                <w:sz w:val="24"/>
              </w:rPr>
              <w:t>年  龄</w:t>
            </w:r>
          </w:p>
        </w:tc>
        <w:tc>
          <w:tcPr>
            <w:tcW w:w="1355" w:type="dxa"/>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r>
              <w:rPr>
                <w:rFonts w:hint="eastAsia" w:hAnsi="宋体" w:cs="宋体"/>
                <w:sz w:val="24"/>
              </w:rPr>
              <w:t>学历</w:t>
            </w: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r>
              <w:rPr>
                <w:rFonts w:hint="eastAsia" w:hAnsi="宋体" w:cs="宋体"/>
                <w:sz w:val="24"/>
              </w:rPr>
              <w:t>职  称</w:t>
            </w:r>
          </w:p>
        </w:tc>
        <w:tc>
          <w:tcPr>
            <w:tcW w:w="1101" w:type="dxa"/>
            <w:vAlign w:val="center"/>
          </w:tcPr>
          <w:p>
            <w:pPr>
              <w:spacing w:line="360" w:lineRule="auto"/>
              <w:jc w:val="center"/>
              <w:rPr>
                <w:rFonts w:hAnsi="宋体" w:cs="宋体"/>
                <w:sz w:val="24"/>
              </w:rPr>
            </w:pPr>
          </w:p>
        </w:tc>
        <w:tc>
          <w:tcPr>
            <w:tcW w:w="1204" w:type="dxa"/>
            <w:vAlign w:val="center"/>
          </w:tcPr>
          <w:p>
            <w:pPr>
              <w:spacing w:line="360" w:lineRule="auto"/>
              <w:jc w:val="center"/>
              <w:rPr>
                <w:rFonts w:hAnsi="宋体" w:cs="宋体"/>
                <w:sz w:val="24"/>
              </w:rPr>
            </w:pPr>
            <w:r>
              <w:rPr>
                <w:rFonts w:hint="eastAsia" w:hAnsi="宋体" w:cs="宋体"/>
                <w:sz w:val="24"/>
              </w:rPr>
              <w:t>职  务</w:t>
            </w:r>
          </w:p>
        </w:tc>
        <w:tc>
          <w:tcPr>
            <w:tcW w:w="1355" w:type="dxa"/>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r>
              <w:rPr>
                <w:rFonts w:hint="eastAsia" w:hAnsi="宋体" w:cs="宋体"/>
                <w:sz w:val="24"/>
              </w:rPr>
              <w:t>拟在本工程任职</w:t>
            </w:r>
          </w:p>
        </w:tc>
        <w:tc>
          <w:tcPr>
            <w:tcW w:w="2259" w:type="dxa"/>
            <w:vAlign w:val="center"/>
          </w:tcPr>
          <w:p>
            <w:pPr>
              <w:spacing w:line="360" w:lineRule="auto"/>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spacing w:line="360" w:lineRule="auto"/>
              <w:jc w:val="center"/>
              <w:rPr>
                <w:rFonts w:hAnsi="宋体" w:cs="宋体"/>
                <w:sz w:val="24"/>
              </w:rPr>
            </w:pPr>
            <w:r>
              <w:rPr>
                <w:rFonts w:hint="eastAsia" w:hAnsi="宋体" w:cs="宋体"/>
                <w:sz w:val="24"/>
              </w:rPr>
              <w:t>注册建造师执业资格等级</w:t>
            </w:r>
          </w:p>
        </w:tc>
        <w:tc>
          <w:tcPr>
            <w:tcW w:w="1355" w:type="dxa"/>
            <w:vAlign w:val="center"/>
          </w:tcPr>
          <w:p>
            <w:pPr>
              <w:spacing w:line="360" w:lineRule="auto"/>
              <w:jc w:val="center"/>
              <w:rPr>
                <w:rFonts w:hAnsi="宋体" w:cs="宋体"/>
                <w:sz w:val="24"/>
              </w:rPr>
            </w:pPr>
            <w:r>
              <w:rPr>
                <w:rFonts w:hint="eastAsia" w:hAnsi="宋体" w:cs="宋体"/>
                <w:sz w:val="24"/>
              </w:rPr>
              <w:t>级</w:t>
            </w:r>
          </w:p>
        </w:tc>
        <w:tc>
          <w:tcPr>
            <w:tcW w:w="1959" w:type="dxa"/>
            <w:vAlign w:val="center"/>
          </w:tcPr>
          <w:p>
            <w:pPr>
              <w:spacing w:line="360" w:lineRule="auto"/>
              <w:jc w:val="center"/>
              <w:rPr>
                <w:rFonts w:hAnsi="宋体" w:cs="宋体"/>
                <w:sz w:val="24"/>
              </w:rPr>
            </w:pPr>
            <w:r>
              <w:rPr>
                <w:rFonts w:hint="eastAsia" w:hAnsi="宋体" w:cs="宋体"/>
                <w:sz w:val="24"/>
              </w:rPr>
              <w:t>建造师专业</w:t>
            </w: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spacing w:line="360" w:lineRule="auto"/>
              <w:jc w:val="center"/>
              <w:rPr>
                <w:rFonts w:hAnsi="宋体" w:cs="宋体"/>
                <w:sz w:val="24"/>
              </w:rPr>
            </w:pPr>
            <w:r>
              <w:rPr>
                <w:rFonts w:hint="eastAsia" w:hAnsi="宋体" w:cs="宋体"/>
                <w:sz w:val="24"/>
              </w:rPr>
              <w:t>安全生产考核合格证书</w:t>
            </w:r>
          </w:p>
        </w:tc>
        <w:tc>
          <w:tcPr>
            <w:tcW w:w="5573" w:type="dxa"/>
            <w:gridSpan w:val="3"/>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w:t>
            </w:r>
          </w:p>
          <w:p>
            <w:pPr>
              <w:jc w:val="center"/>
              <w:rPr>
                <w:rFonts w:hAnsi="宋体" w:cs="宋体"/>
                <w:sz w:val="24"/>
              </w:rPr>
            </w:pPr>
            <w:r>
              <w:rPr>
                <w:rFonts w:hint="eastAsia" w:hAnsi="宋体" w:cs="宋体"/>
                <w:sz w:val="24"/>
              </w:rPr>
              <w:t>学校</w:t>
            </w:r>
          </w:p>
        </w:tc>
        <w:tc>
          <w:tcPr>
            <w:tcW w:w="7878" w:type="dxa"/>
            <w:gridSpan w:val="5"/>
            <w:vAlign w:val="center"/>
          </w:tcPr>
          <w:p>
            <w:pPr>
              <w:spacing w:line="360" w:lineRule="auto"/>
              <w:ind w:firstLine="480" w:firstLineChars="200"/>
              <w:rPr>
                <w:rFonts w:hAnsi="宋体" w:cs="宋体"/>
                <w:sz w:val="24"/>
              </w:rPr>
            </w:pPr>
            <w:r>
              <w:rPr>
                <w:rFonts w:hint="eastAsia" w:hAnsi="宋体" w:cs="宋体"/>
                <w:sz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spacing w:line="360" w:lineRule="auto"/>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r>
              <w:rPr>
                <w:rFonts w:hint="eastAsia" w:hAnsi="宋体" w:cs="宋体"/>
                <w:sz w:val="24"/>
              </w:rPr>
              <w:t>时  间</w:t>
            </w:r>
          </w:p>
        </w:tc>
        <w:tc>
          <w:tcPr>
            <w:tcW w:w="3660" w:type="dxa"/>
            <w:gridSpan w:val="3"/>
            <w:vAlign w:val="center"/>
          </w:tcPr>
          <w:p>
            <w:pPr>
              <w:spacing w:line="360" w:lineRule="auto"/>
              <w:jc w:val="center"/>
              <w:rPr>
                <w:rFonts w:hAnsi="宋体" w:cs="宋体"/>
                <w:sz w:val="24"/>
              </w:rPr>
            </w:pPr>
            <w:r>
              <w:rPr>
                <w:rFonts w:hint="eastAsia" w:hAnsi="宋体" w:cs="宋体"/>
                <w:sz w:val="24"/>
              </w:rPr>
              <w:t>参加过的类似项目名称</w:t>
            </w:r>
          </w:p>
        </w:tc>
        <w:tc>
          <w:tcPr>
            <w:tcW w:w="1959" w:type="dxa"/>
            <w:vAlign w:val="center"/>
          </w:tcPr>
          <w:p>
            <w:pPr>
              <w:spacing w:line="360" w:lineRule="auto"/>
              <w:jc w:val="center"/>
              <w:rPr>
                <w:rFonts w:hAnsi="宋体" w:cs="宋体"/>
                <w:sz w:val="24"/>
              </w:rPr>
            </w:pPr>
            <w:r>
              <w:rPr>
                <w:rFonts w:hint="eastAsia" w:hAnsi="宋体" w:cs="宋体"/>
                <w:sz w:val="24"/>
              </w:rPr>
              <w:t>工程概况说明</w:t>
            </w:r>
          </w:p>
        </w:tc>
        <w:tc>
          <w:tcPr>
            <w:tcW w:w="2259" w:type="dxa"/>
            <w:vAlign w:val="center"/>
          </w:tcPr>
          <w:p>
            <w:pPr>
              <w:spacing w:line="360" w:lineRule="auto"/>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p>
        </w:tc>
        <w:tc>
          <w:tcPr>
            <w:tcW w:w="36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p>
        </w:tc>
        <w:tc>
          <w:tcPr>
            <w:tcW w:w="36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p>
        </w:tc>
        <w:tc>
          <w:tcPr>
            <w:tcW w:w="36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p>
        </w:tc>
        <w:tc>
          <w:tcPr>
            <w:tcW w:w="36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spacing w:line="360" w:lineRule="auto"/>
              <w:jc w:val="center"/>
              <w:rPr>
                <w:rFonts w:hAnsi="宋体" w:cs="宋体"/>
                <w:sz w:val="24"/>
              </w:rPr>
            </w:pPr>
          </w:p>
        </w:tc>
        <w:tc>
          <w:tcPr>
            <w:tcW w:w="36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bl>
    <w:p>
      <w:pPr>
        <w:spacing w:line="420" w:lineRule="exact"/>
        <w:rPr>
          <w:rFonts w:hAnsi="宋体" w:cs="宋体"/>
          <w:sz w:val="24"/>
          <w:szCs w:val="24"/>
        </w:rPr>
      </w:pPr>
      <w:r>
        <w:rPr>
          <w:rFonts w:hint="eastAsia" w:hAnsi="宋体" w:cs="宋体"/>
          <w:szCs w:val="21"/>
        </w:rPr>
        <w:br w:type="page"/>
      </w:r>
      <w:r>
        <w:rPr>
          <w:rFonts w:hint="eastAsia" w:hAnsi="宋体" w:cs="宋体"/>
          <w:sz w:val="24"/>
          <w:szCs w:val="24"/>
        </w:rPr>
        <w:t>附2：主要项目管理人员简历表</w:t>
      </w:r>
    </w:p>
    <w:p>
      <w:pPr>
        <w:spacing w:line="420" w:lineRule="exact"/>
        <w:ind w:firstLine="480" w:firstLineChars="200"/>
        <w:rPr>
          <w:rFonts w:hAnsi="宋体" w:cs="宋体"/>
          <w:b/>
          <w:bCs/>
          <w:sz w:val="24"/>
          <w:szCs w:val="24"/>
        </w:rPr>
      </w:pPr>
      <w:r>
        <w:rPr>
          <w:rFonts w:hint="eastAsia" w:hAnsi="宋体" w:cs="宋体"/>
          <w:sz w:val="24"/>
          <w:szCs w:val="24"/>
        </w:rPr>
        <w:t>主要项目管理人员是指项目技术负责人、专职安全生产管理员等岗位人员。项目技术负责人应附职称证、</w:t>
      </w:r>
      <w:r>
        <w:rPr>
          <w:rFonts w:hint="eastAsia" w:hAnsi="宋体" w:cs="宋体"/>
          <w:bCs/>
          <w:sz w:val="24"/>
          <w:szCs w:val="24"/>
        </w:rPr>
        <w:t>职称证网页查询截图、</w:t>
      </w:r>
      <w:r>
        <w:rPr>
          <w:rFonts w:hint="eastAsia" w:hAnsi="宋体" w:cs="宋体"/>
          <w:sz w:val="24"/>
          <w:szCs w:val="24"/>
        </w:rPr>
        <w:t>身份证、单位为其缴纳的养老保险原件的扫描件或图片；专职安全生产管理人员应附安全生产考核合格证书、身份证、单位为其缴纳的养老保险原件的扫描件或图片；其他主要人员应附职称证（职业资格证或上岗证）、身份证、单位为其缴纳的养老保险原件的扫描件或图片。</w:t>
      </w:r>
    </w:p>
    <w:tbl>
      <w:tblPr>
        <w:tblStyle w:val="17"/>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276" w:lineRule="auto"/>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276" w:lineRule="auto"/>
              <w:rPr>
                <w:rFonts w:hAnsi="宋体" w:cs="宋体"/>
                <w:sz w:val="24"/>
              </w:rPr>
            </w:pPr>
            <w:r>
              <w:rPr>
                <w:rFonts w:hint="eastAsia" w:hAnsi="宋体" w:cs="宋体"/>
                <w:sz w:val="24"/>
              </w:rPr>
              <w:t>姓    名</w:t>
            </w:r>
          </w:p>
        </w:tc>
        <w:tc>
          <w:tcPr>
            <w:tcW w:w="4458" w:type="dxa"/>
            <w:tcBorders>
              <w:left w:val="nil"/>
            </w:tcBorders>
            <w:vAlign w:val="center"/>
          </w:tcPr>
          <w:p>
            <w:pPr>
              <w:spacing w:line="276" w:lineRule="auto"/>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276" w:lineRule="auto"/>
              <w:rPr>
                <w:rFonts w:hAnsi="宋体" w:cs="宋体"/>
                <w:sz w:val="24"/>
              </w:rPr>
            </w:pPr>
            <w:r>
              <w:rPr>
                <w:rFonts w:hint="eastAsia" w:hAnsi="宋体" w:cs="宋体"/>
                <w:sz w:val="24"/>
              </w:rPr>
              <w:t>性    别</w:t>
            </w:r>
          </w:p>
        </w:tc>
        <w:tc>
          <w:tcPr>
            <w:tcW w:w="4458" w:type="dxa"/>
            <w:vAlign w:val="center"/>
          </w:tcPr>
          <w:p>
            <w:pPr>
              <w:spacing w:line="276" w:lineRule="auto"/>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276" w:lineRule="auto"/>
              <w:rPr>
                <w:rFonts w:hAnsi="宋体" w:cs="宋体"/>
                <w:sz w:val="24"/>
              </w:rPr>
            </w:pPr>
            <w:r>
              <w:rPr>
                <w:rFonts w:hint="eastAsia" w:hAnsi="宋体" w:cs="宋体"/>
                <w:sz w:val="24"/>
              </w:rPr>
              <w:t>学历和专业</w:t>
            </w:r>
          </w:p>
        </w:tc>
        <w:tc>
          <w:tcPr>
            <w:tcW w:w="4458" w:type="dxa"/>
            <w:vAlign w:val="center"/>
          </w:tcPr>
          <w:p>
            <w:pPr>
              <w:spacing w:line="276" w:lineRule="auto"/>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276" w:lineRule="auto"/>
              <w:rPr>
                <w:rFonts w:hAnsi="宋体" w:cs="宋体"/>
                <w:sz w:val="24"/>
              </w:rPr>
            </w:pPr>
            <w:r>
              <w:rPr>
                <w:rFonts w:hint="eastAsia" w:hAnsi="宋体" w:cs="宋体"/>
                <w:sz w:val="24"/>
              </w:rPr>
              <w:t>拥有的执业资格</w:t>
            </w:r>
          </w:p>
        </w:tc>
        <w:tc>
          <w:tcPr>
            <w:tcW w:w="4458" w:type="dxa"/>
            <w:vAlign w:val="center"/>
          </w:tcPr>
          <w:p>
            <w:pPr>
              <w:spacing w:line="276" w:lineRule="auto"/>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276" w:lineRule="auto"/>
              <w:rPr>
                <w:rFonts w:hAnsi="宋体" w:cs="宋体"/>
                <w:sz w:val="24"/>
              </w:rPr>
            </w:pPr>
            <w:r>
              <w:rPr>
                <w:rFonts w:hint="eastAsia" w:hAnsi="宋体" w:cs="宋体"/>
                <w:sz w:val="24"/>
              </w:rPr>
              <w:t>执业资格证书编号</w:t>
            </w:r>
          </w:p>
        </w:tc>
        <w:tc>
          <w:tcPr>
            <w:tcW w:w="4458" w:type="dxa"/>
            <w:vAlign w:val="center"/>
          </w:tcPr>
          <w:p>
            <w:pPr>
              <w:spacing w:line="276" w:lineRule="auto"/>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spacing w:line="276" w:lineRule="auto"/>
              <w:jc w:val="center"/>
              <w:rPr>
                <w:rFonts w:hAnsi="宋体" w:cs="宋体"/>
                <w:sz w:val="24"/>
              </w:rPr>
            </w:pPr>
            <w:r>
              <w:rPr>
                <w:rFonts w:hint="eastAsia" w:hAnsi="宋体" w:cs="宋体"/>
                <w:sz w:val="24"/>
              </w:rPr>
              <w:t>主要</w:t>
            </w:r>
          </w:p>
          <w:p>
            <w:pPr>
              <w:spacing w:line="276" w:lineRule="auto"/>
              <w:jc w:val="center"/>
              <w:rPr>
                <w:rFonts w:hAnsi="宋体" w:cs="宋体"/>
                <w:sz w:val="24"/>
              </w:rPr>
            </w:pPr>
            <w:r>
              <w:rPr>
                <w:rFonts w:hint="eastAsia" w:hAnsi="宋体" w:cs="宋体"/>
                <w:sz w:val="24"/>
              </w:rPr>
              <w:t>工作</w:t>
            </w:r>
          </w:p>
          <w:p>
            <w:pPr>
              <w:spacing w:line="276" w:lineRule="auto"/>
              <w:jc w:val="center"/>
              <w:rPr>
                <w:rFonts w:hAnsi="宋体" w:cs="宋体"/>
                <w:sz w:val="24"/>
              </w:rPr>
            </w:pPr>
            <w:r>
              <w:rPr>
                <w:rFonts w:hint="eastAsia" w:hAnsi="宋体" w:cs="宋体"/>
                <w:sz w:val="24"/>
              </w:rPr>
              <w:t>业绩</w:t>
            </w:r>
          </w:p>
          <w:p>
            <w:pPr>
              <w:spacing w:line="276" w:lineRule="auto"/>
              <w:jc w:val="center"/>
              <w:rPr>
                <w:rFonts w:hAnsi="宋体" w:cs="宋体"/>
                <w:sz w:val="24"/>
              </w:rPr>
            </w:pPr>
            <w:r>
              <w:rPr>
                <w:rFonts w:hint="eastAsia" w:hAnsi="宋体" w:cs="宋体"/>
                <w:sz w:val="24"/>
              </w:rPr>
              <w:t>及担</w:t>
            </w:r>
          </w:p>
          <w:p>
            <w:pPr>
              <w:spacing w:line="276" w:lineRule="auto"/>
              <w:jc w:val="center"/>
              <w:rPr>
                <w:rFonts w:hAnsi="宋体" w:cs="宋体"/>
                <w:sz w:val="24"/>
              </w:rPr>
            </w:pPr>
            <w:r>
              <w:rPr>
                <w:rFonts w:hint="eastAsia" w:hAnsi="宋体" w:cs="宋体"/>
                <w:sz w:val="24"/>
              </w:rPr>
              <w:t>任的</w:t>
            </w:r>
          </w:p>
          <w:p>
            <w:pPr>
              <w:spacing w:line="276" w:lineRule="auto"/>
              <w:jc w:val="center"/>
              <w:rPr>
                <w:rFonts w:hAnsi="宋体" w:cs="宋体"/>
                <w:sz w:val="24"/>
              </w:rPr>
            </w:pPr>
            <w:r>
              <w:rPr>
                <w:rFonts w:hint="eastAsia" w:hAnsi="宋体" w:cs="宋体"/>
                <w:sz w:val="24"/>
              </w:rPr>
              <w:t>主要</w:t>
            </w:r>
          </w:p>
          <w:p>
            <w:pPr>
              <w:spacing w:line="276" w:lineRule="auto"/>
              <w:jc w:val="center"/>
              <w:rPr>
                <w:rFonts w:hAnsi="宋体" w:cs="宋体"/>
                <w:sz w:val="24"/>
              </w:rPr>
            </w:pPr>
            <w:r>
              <w:rPr>
                <w:rFonts w:hint="eastAsia" w:hAnsi="宋体" w:cs="宋体"/>
                <w:sz w:val="24"/>
              </w:rPr>
              <w:t>工作</w:t>
            </w:r>
          </w:p>
        </w:tc>
        <w:tc>
          <w:tcPr>
            <w:tcW w:w="7586" w:type="dxa"/>
            <w:gridSpan w:val="2"/>
            <w:vAlign w:val="center"/>
          </w:tcPr>
          <w:p>
            <w:pPr>
              <w:spacing w:line="276" w:lineRule="auto"/>
              <w:rPr>
                <w:rFonts w:hAnsi="宋体" w:cs="宋体"/>
                <w:sz w:val="24"/>
              </w:rPr>
            </w:pPr>
          </w:p>
        </w:tc>
      </w:tr>
    </w:tbl>
    <w:p>
      <w:pPr>
        <w:spacing w:line="420" w:lineRule="exact"/>
        <w:rPr>
          <w:rFonts w:hAnsi="宋体" w:cs="宋体"/>
          <w:szCs w:val="21"/>
        </w:rPr>
      </w:pPr>
    </w:p>
    <w:p>
      <w:pPr>
        <w:pStyle w:val="2"/>
        <w:ind w:firstLine="340"/>
        <w:rPr>
          <w:rFonts w:hAnsi="宋体"/>
        </w:rPr>
      </w:pPr>
      <w:r>
        <w:rPr>
          <w:rFonts w:hAnsi="宋体"/>
        </w:rPr>
        <w:br w:type="page"/>
      </w:r>
    </w:p>
    <w:p>
      <w:pPr>
        <w:spacing w:line="420" w:lineRule="exact"/>
        <w:rPr>
          <w:rFonts w:hAnsi="宋体" w:cs="宋体"/>
          <w:sz w:val="24"/>
          <w:szCs w:val="24"/>
        </w:rPr>
      </w:pPr>
      <w:r>
        <w:rPr>
          <w:rFonts w:hint="eastAsia" w:hAnsi="宋体" w:cs="宋体"/>
          <w:sz w:val="24"/>
          <w:szCs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jc w:val="left"/>
        <w:rPr>
          <w:rFonts w:hAnsi="宋体" w:cs="宋体"/>
          <w:sz w:val="24"/>
        </w:rPr>
      </w:pPr>
      <w:r>
        <w:rPr>
          <w:rFonts w:hint="eastAsia" w:hAnsi="宋体" w:cs="宋体"/>
          <w:sz w:val="24"/>
        </w:rPr>
        <w:t>我方在此声明，我方拟派往（项目名称）的项目负责人（项目负责人姓名）现阶段没有担任任何在施建设工程项目的项目负责人。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pStyle w:val="2"/>
        <w:ind w:firstLine="321"/>
        <w:rPr>
          <w:rFonts w:hAnsi="宋体"/>
          <w:b/>
          <w:sz w:val="32"/>
          <w:szCs w:val="32"/>
        </w:rPr>
      </w:pPr>
    </w:p>
    <w:p>
      <w:pPr>
        <w:spacing w:line="440" w:lineRule="exact"/>
        <w:jc w:val="right"/>
        <w:rPr>
          <w:rFonts w:hAnsi="宋体" w:cs="宋体"/>
          <w:sz w:val="24"/>
        </w:rPr>
      </w:pPr>
      <w:r>
        <w:rPr>
          <w:rFonts w:hint="eastAsia" w:hAnsi="宋体" w:cs="宋体"/>
          <w:sz w:val="24"/>
        </w:rPr>
        <w:t>投标人：（盖单位章）</w:t>
      </w:r>
    </w:p>
    <w:p>
      <w:pPr>
        <w:spacing w:line="440" w:lineRule="exact"/>
        <w:ind w:right="75"/>
        <w:jc w:val="right"/>
        <w:rPr>
          <w:rFonts w:hAnsi="宋体" w:cs="宋体"/>
          <w:sz w:val="24"/>
        </w:rPr>
      </w:pPr>
      <w:r>
        <w:rPr>
          <w:rFonts w:hint="eastAsia" w:hAnsi="宋体" w:cs="宋体"/>
          <w:sz w:val="24"/>
        </w:rPr>
        <w:t xml:space="preserve"> 法定代表人：（签字）</w:t>
      </w:r>
    </w:p>
    <w:p>
      <w:pPr>
        <w:spacing w:line="440" w:lineRule="exact"/>
        <w:jc w:val="right"/>
        <w:rPr>
          <w:rFonts w:hAnsi="宋体" w:cs="宋体"/>
          <w:sz w:val="24"/>
        </w:rPr>
      </w:pPr>
      <w:r>
        <w:rPr>
          <w:rFonts w:hint="eastAsia" w:hAnsi="宋体" w:cs="宋体"/>
          <w:sz w:val="24"/>
        </w:rPr>
        <w:t>年月日</w:t>
      </w:r>
    </w:p>
    <w:p>
      <w:pPr>
        <w:spacing w:line="360" w:lineRule="auto"/>
        <w:jc w:val="center"/>
        <w:rPr>
          <w:rFonts w:hAnsi="宋体" w:cs="宋体"/>
          <w:b/>
          <w:sz w:val="32"/>
        </w:rPr>
      </w:pPr>
      <w:r>
        <w:rPr>
          <w:rFonts w:hint="eastAsia" w:hAnsi="宋体" w:cs="宋体"/>
          <w:b/>
          <w:sz w:val="32"/>
        </w:rPr>
        <w:br w:type="page"/>
      </w:r>
      <w:r>
        <w:rPr>
          <w:rFonts w:hint="eastAsia" w:hAnsi="宋体" w:cs="宋体"/>
          <w:b/>
          <w:sz w:val="32"/>
        </w:rPr>
        <w:t>六、资格审查资料</w:t>
      </w:r>
    </w:p>
    <w:p>
      <w:pPr>
        <w:spacing w:line="360" w:lineRule="auto"/>
        <w:jc w:val="center"/>
        <w:rPr>
          <w:rFonts w:hAnsi="宋体" w:cs="宋体"/>
          <w:b/>
          <w:sz w:val="28"/>
        </w:rPr>
      </w:pPr>
      <w:r>
        <w:rPr>
          <w:rFonts w:hint="eastAsia" w:hAnsi="宋体" w:cs="宋体"/>
          <w:b/>
          <w:sz w:val="28"/>
          <w:szCs w:val="28"/>
        </w:rPr>
        <w:t>（一）投标单位基本情况表</w:t>
      </w:r>
    </w:p>
    <w:tbl>
      <w:tblPr>
        <w:tblStyle w:val="17"/>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ind w:right="215"/>
              <w:jc w:val="center"/>
              <w:rPr>
                <w:rFonts w:hAnsi="宋体" w:cs="宋体"/>
                <w:sz w:val="24"/>
              </w:rPr>
            </w:pPr>
          </w:p>
        </w:tc>
        <w:tc>
          <w:tcPr>
            <w:tcW w:w="1575" w:type="dxa"/>
            <w:gridSpan w:val="2"/>
            <w:vAlign w:val="center"/>
          </w:tcPr>
          <w:p>
            <w:pPr>
              <w:autoSpaceDE w:val="0"/>
              <w:autoSpaceDN w:val="0"/>
              <w:adjustRightInd w:val="0"/>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ind w:right="215"/>
              <w:jc w:val="center"/>
              <w:rPr>
                <w:rFonts w:hAnsi="宋体" w:cs="宋体"/>
                <w:sz w:val="24"/>
              </w:rPr>
            </w:pPr>
          </w:p>
        </w:tc>
        <w:tc>
          <w:tcPr>
            <w:tcW w:w="1575" w:type="dxa"/>
            <w:gridSpan w:val="2"/>
            <w:vAlign w:val="center"/>
          </w:tcPr>
          <w:p>
            <w:pPr>
              <w:autoSpaceDE w:val="0"/>
              <w:autoSpaceDN w:val="0"/>
              <w:adjustRightInd w:val="0"/>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ind w:right="215"/>
              <w:jc w:val="center"/>
              <w:rPr>
                <w:rFonts w:hAnsi="宋体" w:cs="宋体"/>
                <w:sz w:val="24"/>
              </w:rPr>
            </w:pPr>
          </w:p>
        </w:tc>
        <w:tc>
          <w:tcPr>
            <w:tcW w:w="1205" w:type="dxa"/>
            <w:vAlign w:val="center"/>
          </w:tcPr>
          <w:p>
            <w:pPr>
              <w:autoSpaceDE w:val="0"/>
              <w:autoSpaceDN w:val="0"/>
              <w:adjustRightInd w:val="0"/>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ind w:right="215"/>
              <w:jc w:val="center"/>
              <w:rPr>
                <w:rFonts w:hAnsi="宋体" w:cs="宋体"/>
                <w:sz w:val="24"/>
              </w:rPr>
            </w:pPr>
          </w:p>
        </w:tc>
        <w:tc>
          <w:tcPr>
            <w:tcW w:w="1575" w:type="dxa"/>
            <w:gridSpan w:val="2"/>
            <w:vAlign w:val="center"/>
          </w:tcPr>
          <w:p>
            <w:pPr>
              <w:autoSpaceDE w:val="0"/>
              <w:autoSpaceDN w:val="0"/>
              <w:adjustRightInd w:val="0"/>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ind w:right="215"/>
              <w:jc w:val="center"/>
              <w:rPr>
                <w:rFonts w:hAnsi="宋体" w:cs="宋体"/>
                <w:sz w:val="24"/>
              </w:rPr>
            </w:pPr>
          </w:p>
        </w:tc>
        <w:tc>
          <w:tcPr>
            <w:tcW w:w="1689" w:type="dxa"/>
            <w:gridSpan w:val="2"/>
            <w:vAlign w:val="center"/>
          </w:tcPr>
          <w:p>
            <w:pPr>
              <w:autoSpaceDE w:val="0"/>
              <w:autoSpaceDN w:val="0"/>
              <w:adjustRightInd w:val="0"/>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ind w:right="215"/>
              <w:jc w:val="center"/>
              <w:rPr>
                <w:rFonts w:hAnsi="宋体" w:cs="宋体"/>
                <w:sz w:val="24"/>
              </w:rPr>
            </w:pPr>
          </w:p>
        </w:tc>
        <w:tc>
          <w:tcPr>
            <w:tcW w:w="1061" w:type="dxa"/>
            <w:gridSpan w:val="2"/>
            <w:vAlign w:val="center"/>
          </w:tcPr>
          <w:p>
            <w:pPr>
              <w:autoSpaceDE w:val="0"/>
              <w:autoSpaceDN w:val="0"/>
              <w:adjustRightInd w:val="0"/>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ind w:right="215"/>
              <w:jc w:val="center"/>
              <w:rPr>
                <w:rFonts w:hAnsi="宋体" w:cs="宋体"/>
                <w:sz w:val="24"/>
              </w:rPr>
            </w:pPr>
          </w:p>
        </w:tc>
        <w:tc>
          <w:tcPr>
            <w:tcW w:w="1689" w:type="dxa"/>
            <w:gridSpan w:val="2"/>
            <w:vAlign w:val="center"/>
          </w:tcPr>
          <w:p>
            <w:pPr>
              <w:autoSpaceDE w:val="0"/>
              <w:autoSpaceDN w:val="0"/>
              <w:adjustRightInd w:val="0"/>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ind w:right="215"/>
              <w:jc w:val="center"/>
              <w:rPr>
                <w:rFonts w:hAnsi="宋体" w:cs="宋体"/>
                <w:sz w:val="24"/>
              </w:rPr>
            </w:pPr>
          </w:p>
        </w:tc>
        <w:tc>
          <w:tcPr>
            <w:tcW w:w="1061" w:type="dxa"/>
            <w:gridSpan w:val="2"/>
            <w:vAlign w:val="center"/>
          </w:tcPr>
          <w:p>
            <w:pPr>
              <w:autoSpaceDE w:val="0"/>
              <w:autoSpaceDN w:val="0"/>
              <w:adjustRightInd w:val="0"/>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ind w:right="215"/>
              <w:jc w:val="center"/>
              <w:rPr>
                <w:rFonts w:hAnsi="宋体" w:cs="宋体"/>
                <w:sz w:val="24"/>
              </w:rPr>
            </w:pPr>
          </w:p>
        </w:tc>
        <w:tc>
          <w:tcPr>
            <w:tcW w:w="5025" w:type="dxa"/>
            <w:gridSpan w:val="7"/>
            <w:vAlign w:val="center"/>
          </w:tcPr>
          <w:p>
            <w:pPr>
              <w:autoSpaceDE w:val="0"/>
              <w:autoSpaceDN w:val="0"/>
              <w:adjustRightInd w:val="0"/>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ind w:right="215"/>
              <w:jc w:val="center"/>
              <w:rPr>
                <w:rFonts w:hAnsi="宋体" w:cs="宋体"/>
                <w:sz w:val="24"/>
              </w:rPr>
            </w:pPr>
          </w:p>
        </w:tc>
        <w:tc>
          <w:tcPr>
            <w:tcW w:w="1205" w:type="dxa"/>
            <w:vMerge w:val="restart"/>
            <w:vAlign w:val="center"/>
          </w:tcPr>
          <w:p>
            <w:pPr>
              <w:autoSpaceDE w:val="0"/>
              <w:autoSpaceDN w:val="0"/>
              <w:adjustRightInd w:val="0"/>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ind w:right="215"/>
              <w:jc w:val="center"/>
              <w:rPr>
                <w:rFonts w:hAnsi="宋体" w:cs="宋体"/>
                <w:sz w:val="24"/>
              </w:rPr>
            </w:pPr>
          </w:p>
        </w:tc>
        <w:tc>
          <w:tcPr>
            <w:tcW w:w="1205" w:type="dxa"/>
            <w:vMerge w:val="continue"/>
            <w:vAlign w:val="center"/>
          </w:tcPr>
          <w:p>
            <w:pPr>
              <w:autoSpaceDE w:val="0"/>
              <w:autoSpaceDN w:val="0"/>
              <w:adjustRightInd w:val="0"/>
              <w:ind w:right="215"/>
              <w:jc w:val="center"/>
              <w:rPr>
                <w:rFonts w:hAnsi="宋体" w:cs="宋体"/>
                <w:sz w:val="24"/>
              </w:rPr>
            </w:pPr>
          </w:p>
        </w:tc>
        <w:tc>
          <w:tcPr>
            <w:tcW w:w="2614" w:type="dxa"/>
            <w:gridSpan w:val="5"/>
            <w:vAlign w:val="center"/>
          </w:tcPr>
          <w:p>
            <w:pPr>
              <w:autoSpaceDE w:val="0"/>
              <w:autoSpaceDN w:val="0"/>
              <w:adjustRightInd w:val="0"/>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ind w:right="215"/>
              <w:jc w:val="center"/>
              <w:rPr>
                <w:rFonts w:hAnsi="宋体" w:cs="宋体"/>
                <w:sz w:val="24"/>
              </w:rPr>
            </w:pPr>
          </w:p>
        </w:tc>
        <w:tc>
          <w:tcPr>
            <w:tcW w:w="1205" w:type="dxa"/>
            <w:vMerge w:val="continue"/>
            <w:vAlign w:val="center"/>
          </w:tcPr>
          <w:p>
            <w:pPr>
              <w:autoSpaceDE w:val="0"/>
              <w:autoSpaceDN w:val="0"/>
              <w:adjustRightInd w:val="0"/>
              <w:ind w:right="215"/>
              <w:jc w:val="center"/>
              <w:rPr>
                <w:rFonts w:hAnsi="宋体" w:cs="宋体"/>
                <w:sz w:val="24"/>
              </w:rPr>
            </w:pPr>
          </w:p>
        </w:tc>
        <w:tc>
          <w:tcPr>
            <w:tcW w:w="2614" w:type="dxa"/>
            <w:gridSpan w:val="5"/>
            <w:vAlign w:val="center"/>
          </w:tcPr>
          <w:p>
            <w:pPr>
              <w:autoSpaceDE w:val="0"/>
              <w:autoSpaceDN w:val="0"/>
              <w:adjustRightInd w:val="0"/>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ind w:right="215"/>
              <w:jc w:val="center"/>
              <w:rPr>
                <w:rFonts w:hAnsi="宋体" w:cs="宋体"/>
                <w:sz w:val="24"/>
              </w:rPr>
            </w:pPr>
          </w:p>
        </w:tc>
        <w:tc>
          <w:tcPr>
            <w:tcW w:w="1205" w:type="dxa"/>
            <w:vMerge w:val="continue"/>
            <w:vAlign w:val="center"/>
          </w:tcPr>
          <w:p>
            <w:pPr>
              <w:autoSpaceDE w:val="0"/>
              <w:autoSpaceDN w:val="0"/>
              <w:adjustRightInd w:val="0"/>
              <w:ind w:right="215"/>
              <w:jc w:val="center"/>
              <w:rPr>
                <w:rFonts w:hAnsi="宋体" w:cs="宋体"/>
                <w:sz w:val="24"/>
              </w:rPr>
            </w:pPr>
          </w:p>
        </w:tc>
        <w:tc>
          <w:tcPr>
            <w:tcW w:w="2614" w:type="dxa"/>
            <w:gridSpan w:val="5"/>
            <w:vAlign w:val="center"/>
          </w:tcPr>
          <w:p>
            <w:pPr>
              <w:autoSpaceDE w:val="0"/>
              <w:autoSpaceDN w:val="0"/>
              <w:adjustRightInd w:val="0"/>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ind w:right="215"/>
              <w:jc w:val="center"/>
              <w:rPr>
                <w:rFonts w:hAnsi="宋体" w:cs="宋体"/>
                <w:sz w:val="24"/>
              </w:rPr>
            </w:pPr>
          </w:p>
        </w:tc>
        <w:tc>
          <w:tcPr>
            <w:tcW w:w="1205" w:type="dxa"/>
            <w:vMerge w:val="continue"/>
            <w:vAlign w:val="center"/>
          </w:tcPr>
          <w:p>
            <w:pPr>
              <w:autoSpaceDE w:val="0"/>
              <w:autoSpaceDN w:val="0"/>
              <w:adjustRightInd w:val="0"/>
              <w:ind w:right="215"/>
              <w:jc w:val="center"/>
              <w:rPr>
                <w:rFonts w:hAnsi="宋体" w:cs="宋体"/>
                <w:sz w:val="24"/>
              </w:rPr>
            </w:pPr>
          </w:p>
        </w:tc>
        <w:tc>
          <w:tcPr>
            <w:tcW w:w="2614" w:type="dxa"/>
            <w:gridSpan w:val="5"/>
            <w:vAlign w:val="center"/>
          </w:tcPr>
          <w:p>
            <w:pPr>
              <w:autoSpaceDE w:val="0"/>
              <w:autoSpaceDN w:val="0"/>
              <w:adjustRightInd w:val="0"/>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ind w:right="215"/>
              <w:jc w:val="center"/>
              <w:rPr>
                <w:rFonts w:hAnsi="宋体" w:cs="宋体"/>
                <w:sz w:val="24"/>
              </w:rPr>
            </w:pPr>
          </w:p>
        </w:tc>
      </w:tr>
    </w:tbl>
    <w:p>
      <w:pPr>
        <w:autoSpaceDE w:val="0"/>
        <w:autoSpaceDN w:val="0"/>
        <w:adjustRightInd w:val="0"/>
        <w:ind w:right="215" w:firstLine="420"/>
        <w:rPr>
          <w:rFonts w:hAnsi="宋体" w:cs="宋体"/>
          <w:sz w:val="24"/>
        </w:rPr>
      </w:pPr>
      <w:r>
        <w:rPr>
          <w:rFonts w:hint="eastAsia" w:hAnsi="宋体" w:cs="宋体"/>
          <w:sz w:val="24"/>
        </w:rPr>
        <w:t>备注：本表后应附投标人营业执照副本、资质证书副本和安全生产许可证等材料的原件扫描件或图片。</w:t>
      </w:r>
    </w:p>
    <w:p>
      <w:pPr>
        <w:spacing w:line="360" w:lineRule="auto"/>
        <w:jc w:val="center"/>
        <w:rPr>
          <w:rFonts w:hAnsi="宋体" w:cs="宋体"/>
          <w:b/>
          <w:sz w:val="28"/>
          <w:szCs w:val="28"/>
        </w:rPr>
      </w:pPr>
      <w:r>
        <w:rPr>
          <w:rFonts w:hint="eastAsia" w:hAnsi="宋体" w:cs="宋体"/>
          <w:sz w:val="24"/>
        </w:rPr>
        <w:br w:type="page"/>
      </w:r>
    </w:p>
    <w:p>
      <w:pPr>
        <w:jc w:val="center"/>
        <w:rPr>
          <w:rFonts w:hAnsi="宋体" w:cs="宋体"/>
          <w:b/>
          <w:sz w:val="28"/>
          <w:szCs w:val="28"/>
        </w:rPr>
      </w:pPr>
      <w:r>
        <w:rPr>
          <w:rFonts w:hint="eastAsia" w:hAnsi="宋体" w:cs="宋体"/>
          <w:b/>
          <w:sz w:val="28"/>
          <w:szCs w:val="28"/>
        </w:rPr>
        <w:t>（二）近年财务状况</w:t>
      </w:r>
    </w:p>
    <w:p>
      <w:pPr>
        <w:rPr>
          <w:rFonts w:hAnsi="宋体" w:cs="宋体"/>
          <w:sz w:val="24"/>
        </w:rPr>
      </w:pPr>
    </w:p>
    <w:p>
      <w:pPr>
        <w:rPr>
          <w:rFonts w:hAnsi="宋体" w:cs="宋体"/>
          <w:sz w:val="24"/>
        </w:rPr>
      </w:pPr>
      <w:r>
        <w:rPr>
          <w:rFonts w:hint="eastAsia" w:hAnsi="宋体" w:cs="宋体"/>
          <w:sz w:val="24"/>
        </w:rPr>
        <w:t>附：经会计师事务所或审计机构审计的财务会计报表，包括</w:t>
      </w:r>
      <w:r>
        <w:rPr>
          <w:rFonts w:hint="eastAsia" w:hAnsi="宋体" w:cs="宋体"/>
          <w:bCs/>
          <w:sz w:val="24"/>
        </w:rPr>
        <w:t>资产负债表、利润表、现金流量表及其附注</w:t>
      </w:r>
      <w:r>
        <w:rPr>
          <w:rFonts w:hint="eastAsia" w:hAnsi="宋体" w:cs="宋体"/>
          <w:sz w:val="24"/>
        </w:rPr>
        <w:t>的原件扫描件，具体年份要求见投标人须知前附表。</w:t>
      </w:r>
    </w:p>
    <w:p>
      <w:pPr>
        <w:pStyle w:val="2"/>
        <w:ind w:firstLine="340"/>
        <w:rPr>
          <w:rFonts w:hAnsi="宋体"/>
        </w:rPr>
      </w:pPr>
    </w:p>
    <w:p>
      <w:pPr>
        <w:jc w:val="center"/>
        <w:rPr>
          <w:rFonts w:hAnsi="宋体" w:cs="宋体"/>
          <w:b/>
          <w:sz w:val="32"/>
          <w:szCs w:val="32"/>
        </w:rPr>
      </w:pPr>
      <w:r>
        <w:rPr>
          <w:rFonts w:hAnsi="宋体" w:cs="宋体"/>
          <w:b/>
          <w:sz w:val="32"/>
          <w:szCs w:val="32"/>
        </w:rPr>
        <w:br w:type="page"/>
      </w:r>
      <w:r>
        <w:rPr>
          <w:rFonts w:hint="eastAsia" w:hAnsi="宋体" w:cs="宋体"/>
          <w:b/>
          <w:sz w:val="32"/>
          <w:szCs w:val="32"/>
        </w:rPr>
        <w:t>七、近年完成的类似项目情况表</w:t>
      </w:r>
    </w:p>
    <w:p>
      <w:pPr>
        <w:autoSpaceDE w:val="0"/>
        <w:autoSpaceDN w:val="0"/>
        <w:adjustRightInd w:val="0"/>
        <w:ind w:right="215" w:firstLine="420"/>
        <w:jc w:val="center"/>
        <w:rPr>
          <w:rFonts w:hAnsi="宋体" w:cs="宋体"/>
          <w:b/>
          <w:sz w:val="32"/>
          <w:szCs w:val="32"/>
        </w:rPr>
      </w:pPr>
    </w:p>
    <w:tbl>
      <w:tblPr>
        <w:tblStyle w:val="17"/>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2416" w:type="dxa"/>
            <w:vAlign w:val="center"/>
          </w:tcPr>
          <w:p>
            <w:pPr>
              <w:autoSpaceDE w:val="0"/>
              <w:autoSpaceDN w:val="0"/>
              <w:adjustRightInd w:val="0"/>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9" w:hRule="atLeast"/>
          <w:jc w:val="center"/>
        </w:trPr>
        <w:tc>
          <w:tcPr>
            <w:tcW w:w="2416" w:type="dxa"/>
            <w:vAlign w:val="center"/>
          </w:tcPr>
          <w:p>
            <w:pPr>
              <w:autoSpaceDE w:val="0"/>
              <w:autoSpaceDN w:val="0"/>
              <w:adjustRightInd w:val="0"/>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2416" w:type="dxa"/>
            <w:vAlign w:val="center"/>
          </w:tcPr>
          <w:p>
            <w:pPr>
              <w:autoSpaceDE w:val="0"/>
              <w:autoSpaceDN w:val="0"/>
              <w:adjustRightInd w:val="0"/>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ind w:right="215"/>
              <w:rPr>
                <w:rFonts w:hAnsi="宋体" w:cs="宋体"/>
                <w:sz w:val="24"/>
              </w:rPr>
            </w:pPr>
          </w:p>
        </w:tc>
      </w:tr>
    </w:tbl>
    <w:p>
      <w:pPr>
        <w:rPr>
          <w:rFonts w:hAnsi="宋体" w:cs="宋体"/>
          <w:sz w:val="24"/>
          <w:szCs w:val="24"/>
        </w:rPr>
      </w:pPr>
      <w:r>
        <w:rPr>
          <w:rFonts w:hint="eastAsia" w:hAnsi="宋体" w:cs="宋体"/>
          <w:sz w:val="24"/>
          <w:szCs w:val="24"/>
        </w:rPr>
        <w:t xml:space="preserve">  备注：</w:t>
      </w:r>
      <w:r>
        <w:rPr>
          <w:rFonts w:hint="eastAsia" w:hAnsi="宋体" w:cs="宋体"/>
          <w:sz w:val="24"/>
        </w:rPr>
        <w:t>每张表格只填写一个项目，并标明序号</w:t>
      </w:r>
      <w:r>
        <w:rPr>
          <w:rFonts w:hint="eastAsia" w:hAnsi="宋体" w:cs="宋体"/>
          <w:sz w:val="24"/>
          <w:szCs w:val="24"/>
        </w:rPr>
        <w:t>。</w:t>
      </w: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ind w:right="215" w:firstLine="420"/>
        <w:jc w:val="center"/>
        <w:rPr>
          <w:rFonts w:hAnsi="宋体" w:cs="宋体"/>
          <w:b/>
          <w:sz w:val="32"/>
          <w:szCs w:val="32"/>
        </w:rPr>
      </w:pPr>
    </w:p>
    <w:tbl>
      <w:tblPr>
        <w:tblStyle w:val="17"/>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2291" w:type="dxa"/>
            <w:vAlign w:val="center"/>
          </w:tcPr>
          <w:p>
            <w:pPr>
              <w:autoSpaceDE w:val="0"/>
              <w:autoSpaceDN w:val="0"/>
              <w:adjustRightInd w:val="0"/>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ind w:right="215"/>
              <w:rPr>
                <w:rFonts w:hAnsi="宋体" w:cs="宋体"/>
                <w:sz w:val="24"/>
              </w:rPr>
            </w:pPr>
          </w:p>
        </w:tc>
      </w:tr>
    </w:tbl>
    <w:p>
      <w:pPr>
        <w:autoSpaceDE w:val="0"/>
        <w:autoSpaceDN w:val="0"/>
        <w:adjustRightInd w:val="0"/>
        <w:ind w:right="-341"/>
        <w:jc w:val="left"/>
        <w:rPr>
          <w:rFonts w:hAnsi="宋体" w:cs="宋体"/>
          <w:b/>
          <w:sz w:val="32"/>
          <w:szCs w:val="32"/>
        </w:rPr>
      </w:pPr>
      <w:r>
        <w:rPr>
          <w:rFonts w:hint="eastAsia" w:hAnsi="宋体" w:cs="宋体"/>
          <w:sz w:val="24"/>
          <w:szCs w:val="24"/>
        </w:rPr>
        <w:t xml:space="preserve">  备注：</w:t>
      </w:r>
      <w:r>
        <w:rPr>
          <w:rFonts w:hint="eastAsia" w:hAnsi="宋体" w:cs="宋体"/>
          <w:sz w:val="24"/>
        </w:rPr>
        <w:t>每张表格只填写一个项目，并标明序号</w:t>
      </w:r>
      <w:r>
        <w:rPr>
          <w:rFonts w:hint="eastAsia" w:hAnsi="宋体" w:cs="宋体"/>
          <w:sz w:val="24"/>
          <w:szCs w:val="24"/>
        </w:rPr>
        <w:t>。</w:t>
      </w:r>
    </w:p>
    <w:p>
      <w:pPr>
        <w:widowControl/>
        <w:jc w:val="left"/>
        <w:rPr>
          <w:rFonts w:hAnsi="宋体" w:cs="宋体"/>
          <w:b/>
          <w:sz w:val="32"/>
          <w:szCs w:val="32"/>
        </w:rPr>
      </w:pPr>
      <w:r>
        <w:rPr>
          <w:rFonts w:hAnsi="宋体" w:cs="宋体"/>
          <w:b/>
          <w:sz w:val="32"/>
          <w:szCs w:val="32"/>
        </w:rPr>
        <w:br w:type="page"/>
      </w:r>
    </w:p>
    <w:p>
      <w:pPr>
        <w:jc w:val="center"/>
        <w:rPr>
          <w:rFonts w:hAnsi="宋体" w:cs="宋体"/>
          <w:b/>
          <w:sz w:val="32"/>
          <w:szCs w:val="32"/>
        </w:rPr>
      </w:pPr>
      <w:r>
        <w:rPr>
          <w:rFonts w:hint="eastAsia" w:hAnsi="宋体" w:cs="宋体"/>
          <w:b/>
          <w:sz w:val="32"/>
          <w:szCs w:val="32"/>
        </w:rPr>
        <w:t>九、近年发生的诉讼及仲裁情况</w:t>
      </w:r>
    </w:p>
    <w:p>
      <w:pPr>
        <w:autoSpaceDE w:val="0"/>
        <w:autoSpaceDN w:val="0"/>
        <w:adjustRightInd w:val="0"/>
        <w:ind w:right="215"/>
        <w:rPr>
          <w:rFonts w:hAnsi="宋体" w:cs="宋体"/>
          <w:b/>
          <w:sz w:val="32"/>
          <w:szCs w:val="32"/>
        </w:rPr>
      </w:pPr>
    </w:p>
    <w:p>
      <w:pPr>
        <w:autoSpaceDE w:val="0"/>
        <w:autoSpaceDN w:val="0"/>
        <w:adjustRightInd w:val="0"/>
        <w:ind w:right="215"/>
        <w:rPr>
          <w:rFonts w:hAnsi="宋体" w:cs="宋体"/>
          <w:b/>
          <w:sz w:val="32"/>
          <w:szCs w:val="32"/>
        </w:rPr>
      </w:pPr>
    </w:p>
    <w:p>
      <w:pPr>
        <w:autoSpaceDE w:val="0"/>
        <w:autoSpaceDN w:val="0"/>
        <w:adjustRightInd w:val="0"/>
        <w:ind w:right="215"/>
        <w:rPr>
          <w:rFonts w:hAnsi="宋体" w:cs="宋体"/>
          <w:b/>
          <w:sz w:val="32"/>
          <w:szCs w:val="32"/>
        </w:rPr>
      </w:pPr>
    </w:p>
    <w:p>
      <w:pPr>
        <w:widowControl/>
        <w:jc w:val="left"/>
        <w:rPr>
          <w:rFonts w:hAnsi="宋体" w:cs="宋体"/>
          <w:b/>
          <w:sz w:val="32"/>
          <w:szCs w:val="32"/>
        </w:rPr>
      </w:pPr>
      <w:r>
        <w:rPr>
          <w:rFonts w:hAnsi="宋体" w:cs="宋体"/>
          <w:b/>
          <w:sz w:val="32"/>
          <w:szCs w:val="32"/>
        </w:rPr>
        <w:br w:type="page"/>
      </w:r>
    </w:p>
    <w:p>
      <w:pPr>
        <w:jc w:val="center"/>
        <w:rPr>
          <w:rFonts w:hAnsi="宋体" w:cs="宋体"/>
          <w:b/>
          <w:sz w:val="32"/>
          <w:szCs w:val="32"/>
        </w:rPr>
      </w:pPr>
      <w:r>
        <w:rPr>
          <w:rFonts w:hint="eastAsia" w:hAnsi="宋体" w:cs="宋体"/>
          <w:b/>
          <w:sz w:val="32"/>
          <w:szCs w:val="32"/>
        </w:rPr>
        <w:t>十、其它材料</w:t>
      </w:r>
    </w:p>
    <w:p>
      <w:pPr>
        <w:pStyle w:val="2"/>
        <w:ind w:firstLine="241"/>
        <w:rPr>
          <w:rFonts w:hAnsi="宋体"/>
          <w:b/>
          <w:sz w:val="24"/>
          <w:szCs w:val="24"/>
        </w:rPr>
      </w:pPr>
    </w:p>
    <w:p>
      <w:pPr>
        <w:autoSpaceDE w:val="0"/>
        <w:autoSpaceDN w:val="0"/>
        <w:adjustRightInd w:val="0"/>
        <w:spacing w:line="360" w:lineRule="auto"/>
        <w:ind w:right="215"/>
        <w:jc w:val="left"/>
        <w:rPr>
          <w:rFonts w:hAnsi="宋体" w:cs="宋体"/>
          <w:b/>
          <w:bCs/>
          <w:sz w:val="24"/>
          <w:szCs w:val="28"/>
        </w:rPr>
      </w:pPr>
      <w:r>
        <w:rPr>
          <w:rFonts w:hint="eastAsia" w:hAnsi="宋体" w:cs="宋体"/>
          <w:b/>
          <w:bCs/>
          <w:sz w:val="24"/>
          <w:szCs w:val="28"/>
        </w:rPr>
        <w:t>1、投标人须附的其他响应性资料；</w:t>
      </w:r>
    </w:p>
    <w:p>
      <w:pPr>
        <w:autoSpaceDE w:val="0"/>
        <w:autoSpaceDN w:val="0"/>
        <w:adjustRightInd w:val="0"/>
        <w:spacing w:line="360" w:lineRule="auto"/>
        <w:ind w:right="215"/>
        <w:jc w:val="left"/>
        <w:rPr>
          <w:rFonts w:hAnsi="宋体" w:cs="宋体"/>
          <w:b/>
          <w:sz w:val="28"/>
        </w:rPr>
      </w:pPr>
      <w:r>
        <w:rPr>
          <w:rFonts w:hint="eastAsia" w:hAnsi="宋体" w:cs="宋体"/>
          <w:b/>
          <w:bCs/>
          <w:sz w:val="24"/>
          <w:szCs w:val="28"/>
        </w:rPr>
        <w:t>2、招标文件未提供格式的投标人可自行拟定。</w:t>
      </w:r>
    </w:p>
    <w:p>
      <w:pPr>
        <w:autoSpaceDE w:val="0"/>
        <w:autoSpaceDN w:val="0"/>
        <w:adjustRightInd w:val="0"/>
        <w:spacing w:line="360" w:lineRule="auto"/>
        <w:ind w:right="215"/>
        <w:jc w:val="right"/>
        <w:rPr>
          <w:rFonts w:hAnsi="宋体" w:cs="宋体"/>
          <w:sz w:val="32"/>
          <w:szCs w:val="32"/>
        </w:rPr>
      </w:pPr>
      <w:r>
        <w:rPr>
          <w:rFonts w:hint="eastAsia" w:hAnsi="宋体" w:cs="宋体"/>
          <w:b/>
          <w:sz w:val="32"/>
        </w:rPr>
        <w:br w:type="page"/>
      </w:r>
    </w:p>
    <w:p>
      <w:pPr>
        <w:autoSpaceDE w:val="0"/>
        <w:autoSpaceDN w:val="0"/>
        <w:adjustRightInd w:val="0"/>
        <w:jc w:val="center"/>
        <w:rPr>
          <w:rFonts w:hAnsi="宋体" w:cs="宋体"/>
          <w:b/>
          <w:spacing w:val="60"/>
          <w:sz w:val="44"/>
          <w:szCs w:val="52"/>
          <w:u w:val="single"/>
        </w:rPr>
      </w:pPr>
      <w:r>
        <w:rPr>
          <w:rFonts w:hint="eastAsia" w:hAnsi="宋体" w:cs="宋体"/>
          <w:b/>
          <w:sz w:val="36"/>
          <w:szCs w:val="36"/>
        </w:rPr>
        <w:t>　</w:t>
      </w:r>
      <w:r>
        <w:rPr>
          <w:rFonts w:hint="eastAsia" w:hAnsi="宋体" w:cs="宋体"/>
          <w:b/>
          <w:spacing w:val="60"/>
          <w:sz w:val="44"/>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pStyle w:val="2"/>
        <w:ind w:firstLine="240"/>
        <w:rPr>
          <w:rFonts w:hAnsi="宋体" w:cs="宋体"/>
          <w:sz w:val="24"/>
        </w:rPr>
      </w:pPr>
    </w:p>
    <w:p>
      <w:pPr>
        <w:pStyle w:val="4"/>
        <w:ind w:left="420" w:firstLine="480"/>
        <w:rPr>
          <w:rFonts w:hint="default" w:hAnsi="宋体" w:cs="宋体"/>
          <w:sz w:val="24"/>
          <w:lang w:eastAsia="zh-CN"/>
        </w:rPr>
      </w:pPr>
    </w:p>
    <w:p>
      <w:pPr>
        <w:pStyle w:val="4"/>
        <w:ind w:left="420" w:firstLine="480"/>
        <w:rPr>
          <w:rFonts w:hint="default" w:hAnsi="宋体" w:cs="宋体"/>
          <w:sz w:val="24"/>
          <w:lang w:eastAsia="zh-CN"/>
        </w:rPr>
      </w:pPr>
    </w:p>
    <w:p>
      <w:pPr>
        <w:pStyle w:val="2"/>
        <w:ind w:firstLine="340"/>
        <w:rPr>
          <w:rFonts w:hAnsi="宋体"/>
        </w:rPr>
      </w:pPr>
    </w:p>
    <w:p>
      <w:pPr>
        <w:pStyle w:val="2"/>
        <w:ind w:firstLine="340"/>
        <w:rPr>
          <w:rFonts w:hAnsi="宋体"/>
        </w:rPr>
      </w:pPr>
    </w:p>
    <w:p>
      <w:pPr>
        <w:tabs>
          <w:tab w:val="center" w:pos="4739"/>
        </w:tabs>
        <w:spacing w:line="360" w:lineRule="auto"/>
        <w:ind w:left="180" w:firstLine="950" w:firstLineChars="297"/>
        <w:jc w:val="left"/>
        <w:rPr>
          <w:rFonts w:hAnsi="宋体" w:cs="宋体"/>
          <w:b/>
          <w:sz w:val="32"/>
        </w:rPr>
      </w:pPr>
      <w:r>
        <w:rPr>
          <w:rFonts w:hint="eastAsia" w:hAnsi="宋体" w:cs="宋体"/>
          <w:b/>
          <w:sz w:val="32"/>
        </w:rPr>
        <w:t>投标人：(盖单位章)</w:t>
      </w:r>
    </w:p>
    <w:p>
      <w:pPr>
        <w:tabs>
          <w:tab w:val="center" w:pos="4739"/>
        </w:tabs>
        <w:spacing w:line="360" w:lineRule="auto"/>
        <w:ind w:left="180" w:firstLine="950" w:firstLineChars="297"/>
        <w:jc w:val="left"/>
        <w:rPr>
          <w:rFonts w:hAnsi="宋体" w:cs="宋体"/>
          <w:b/>
          <w:sz w:val="32"/>
        </w:rPr>
      </w:pPr>
      <w:r>
        <w:rPr>
          <w:rFonts w:hint="eastAsia" w:hAnsi="宋体" w:cs="宋体"/>
          <w:b/>
          <w:sz w:val="32"/>
        </w:rPr>
        <w:t>法定代表人或其委托代理人：(签字)</w:t>
      </w:r>
    </w:p>
    <w:p>
      <w:pPr>
        <w:tabs>
          <w:tab w:val="center" w:pos="4739"/>
        </w:tabs>
        <w:spacing w:line="360" w:lineRule="auto"/>
        <w:ind w:left="180"/>
        <w:jc w:val="center"/>
        <w:rPr>
          <w:rFonts w:hAnsi="宋体" w:cs="宋体"/>
          <w:b/>
          <w:sz w:val="36"/>
          <w:szCs w:val="36"/>
        </w:rPr>
      </w:pPr>
      <w:r>
        <w:rPr>
          <w:rFonts w:hint="eastAsia" w:hAnsi="宋体" w:cs="宋体"/>
          <w:b/>
          <w:sz w:val="32"/>
        </w:rPr>
        <w:t>年月日</w:t>
      </w:r>
    </w:p>
    <w:p>
      <w:pPr>
        <w:autoSpaceDE w:val="0"/>
        <w:autoSpaceDN w:val="0"/>
        <w:adjustRightInd w:val="0"/>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pStyle w:val="2"/>
        <w:ind w:firstLine="280"/>
        <w:rPr>
          <w:rFonts w:ascii="Times New Roman" w:hAnsi="宋体" w:cs="仿宋_GB2312"/>
          <w:kern w:val="2"/>
          <w:sz w:val="28"/>
          <w:szCs w:val="28"/>
        </w:rPr>
      </w:pPr>
      <w:r>
        <w:rPr>
          <w:rFonts w:hint="eastAsia" w:ascii="Times New Roman" w:hAnsi="宋体" w:cs="仿宋_GB2312"/>
          <w:kern w:val="2"/>
          <w:sz w:val="28"/>
          <w:szCs w:val="28"/>
        </w:rPr>
        <w:t xml:space="preserve">    （1）内容完整性；</w:t>
      </w:r>
    </w:p>
    <w:p>
      <w:pPr>
        <w:pStyle w:val="2"/>
        <w:ind w:firstLine="280"/>
        <w:rPr>
          <w:rFonts w:ascii="Times New Roman" w:hAnsi="宋体" w:cs="仿宋_GB2312"/>
          <w:kern w:val="2"/>
          <w:sz w:val="28"/>
          <w:szCs w:val="28"/>
        </w:rPr>
      </w:pPr>
      <w:r>
        <w:rPr>
          <w:rFonts w:hint="eastAsia" w:ascii="Times New Roman" w:hAnsi="宋体" w:cs="仿宋_GB2312"/>
          <w:kern w:val="2"/>
          <w:sz w:val="28"/>
          <w:szCs w:val="28"/>
        </w:rPr>
        <w:t xml:space="preserve">    （2）主要施工方案和技术措施；</w:t>
      </w:r>
    </w:p>
    <w:p>
      <w:pPr>
        <w:pStyle w:val="2"/>
        <w:ind w:firstLine="280"/>
        <w:rPr>
          <w:rFonts w:ascii="Times New Roman" w:hAnsi="宋体" w:cs="仿宋_GB2312"/>
          <w:kern w:val="2"/>
          <w:sz w:val="28"/>
          <w:szCs w:val="28"/>
        </w:rPr>
      </w:pPr>
      <w:r>
        <w:rPr>
          <w:rFonts w:hint="eastAsia" w:ascii="Times New Roman" w:hAnsi="宋体" w:cs="仿宋_GB2312"/>
          <w:kern w:val="2"/>
          <w:sz w:val="28"/>
          <w:szCs w:val="28"/>
        </w:rPr>
        <w:t xml:space="preserve">    （3）质量管理体系与措施；</w:t>
      </w:r>
    </w:p>
    <w:p>
      <w:pPr>
        <w:pStyle w:val="2"/>
        <w:ind w:firstLine="280"/>
        <w:rPr>
          <w:rFonts w:ascii="Times New Roman" w:hAnsi="宋体" w:cs="仿宋_GB2312"/>
          <w:kern w:val="2"/>
          <w:sz w:val="28"/>
          <w:szCs w:val="28"/>
        </w:rPr>
      </w:pPr>
      <w:r>
        <w:rPr>
          <w:rFonts w:hint="eastAsia" w:ascii="Times New Roman" w:hAnsi="宋体" w:cs="仿宋_GB2312"/>
          <w:kern w:val="2"/>
          <w:sz w:val="28"/>
          <w:szCs w:val="28"/>
        </w:rPr>
        <w:t xml:space="preserve">    （4）安全管理体系与措施；</w:t>
      </w:r>
    </w:p>
    <w:p>
      <w:pPr>
        <w:pStyle w:val="2"/>
        <w:ind w:firstLine="280"/>
        <w:rPr>
          <w:rFonts w:ascii="Times New Roman" w:hAnsi="宋体" w:cs="仿宋_GB2312"/>
          <w:kern w:val="2"/>
          <w:sz w:val="28"/>
          <w:szCs w:val="28"/>
        </w:rPr>
      </w:pPr>
      <w:r>
        <w:rPr>
          <w:rFonts w:hint="eastAsia" w:ascii="Times New Roman" w:hAnsi="宋体" w:cs="仿宋_GB2312"/>
          <w:kern w:val="2"/>
          <w:sz w:val="28"/>
          <w:szCs w:val="28"/>
        </w:rPr>
        <w:t xml:space="preserve">    （5）文明施工、环境保护管理体系及施工现场扬尘治理措施；</w:t>
      </w:r>
    </w:p>
    <w:p>
      <w:pPr>
        <w:pStyle w:val="2"/>
        <w:ind w:firstLine="280"/>
        <w:rPr>
          <w:rFonts w:ascii="Times New Roman" w:hAnsi="宋体" w:cs="仿宋_GB2312"/>
          <w:kern w:val="2"/>
          <w:sz w:val="28"/>
          <w:szCs w:val="28"/>
        </w:rPr>
      </w:pPr>
      <w:r>
        <w:rPr>
          <w:rFonts w:hint="eastAsia" w:ascii="Times New Roman" w:hAnsi="宋体" w:cs="仿宋_GB2312"/>
          <w:kern w:val="2"/>
          <w:sz w:val="28"/>
          <w:szCs w:val="28"/>
        </w:rPr>
        <w:t xml:space="preserve">    （6）工期保证措施；</w:t>
      </w:r>
    </w:p>
    <w:p>
      <w:pPr>
        <w:pStyle w:val="2"/>
        <w:ind w:firstLine="280"/>
        <w:rPr>
          <w:rFonts w:ascii="Times New Roman" w:hAnsi="宋体" w:cs="仿宋_GB2312"/>
          <w:kern w:val="2"/>
          <w:sz w:val="28"/>
          <w:szCs w:val="28"/>
        </w:rPr>
      </w:pPr>
      <w:r>
        <w:rPr>
          <w:rFonts w:hint="eastAsia" w:ascii="Times New Roman" w:hAnsi="宋体" w:cs="仿宋_GB2312"/>
          <w:kern w:val="2"/>
          <w:sz w:val="28"/>
          <w:szCs w:val="28"/>
        </w:rPr>
        <w:t xml:space="preserve">    （7）拟投入资源配备计划；</w:t>
      </w:r>
    </w:p>
    <w:p>
      <w:pPr>
        <w:pStyle w:val="2"/>
        <w:ind w:firstLine="280"/>
        <w:rPr>
          <w:rFonts w:ascii="Times New Roman" w:hAnsi="宋体" w:cs="仿宋_GB2312"/>
          <w:kern w:val="2"/>
          <w:sz w:val="28"/>
          <w:szCs w:val="28"/>
        </w:rPr>
      </w:pPr>
      <w:r>
        <w:rPr>
          <w:rFonts w:hint="eastAsia" w:ascii="Times New Roman" w:hAnsi="宋体" w:cs="仿宋_GB2312"/>
          <w:kern w:val="2"/>
          <w:sz w:val="28"/>
          <w:szCs w:val="28"/>
        </w:rPr>
        <w:t xml:space="preserve">    （8）施工进度表与网络计划图；</w:t>
      </w:r>
    </w:p>
    <w:p>
      <w:pPr>
        <w:pStyle w:val="2"/>
        <w:ind w:firstLine="280"/>
        <w:rPr>
          <w:rFonts w:ascii="Times New Roman" w:hAnsi="宋体" w:cs="仿宋_GB2312"/>
          <w:kern w:val="2"/>
          <w:sz w:val="28"/>
          <w:szCs w:val="28"/>
        </w:rPr>
      </w:pPr>
      <w:r>
        <w:rPr>
          <w:rFonts w:hint="eastAsia" w:ascii="Times New Roman" w:hAnsi="宋体" w:cs="仿宋_GB2312"/>
          <w:kern w:val="2"/>
          <w:sz w:val="28"/>
          <w:szCs w:val="28"/>
        </w:rPr>
        <w:t xml:space="preserve">    （9）施工总平面图布置；</w:t>
      </w:r>
    </w:p>
    <w:p>
      <w:pPr>
        <w:pStyle w:val="2"/>
        <w:ind w:firstLine="280"/>
        <w:rPr>
          <w:rFonts w:ascii="Times New Roman" w:hAnsi="宋体" w:cs="仿宋_GB2312"/>
          <w:kern w:val="2"/>
          <w:sz w:val="28"/>
          <w:szCs w:val="28"/>
        </w:rPr>
      </w:pPr>
      <w:r>
        <w:rPr>
          <w:rFonts w:hint="eastAsia" w:ascii="Times New Roman" w:hAnsi="宋体" w:cs="仿宋_GB2312"/>
          <w:kern w:val="2"/>
          <w:sz w:val="28"/>
          <w:szCs w:val="28"/>
        </w:rPr>
        <w:t xml:space="preserve">    （10）技术创新的应用实施措施；</w:t>
      </w:r>
    </w:p>
    <w:p>
      <w:pPr>
        <w:pStyle w:val="2"/>
        <w:ind w:firstLine="280"/>
        <w:rPr>
          <w:rFonts w:ascii="Times New Roman" w:hAnsi="宋体" w:cs="仿宋_GB2312"/>
          <w:kern w:val="2"/>
          <w:sz w:val="28"/>
          <w:szCs w:val="28"/>
        </w:rPr>
      </w:pPr>
      <w:r>
        <w:rPr>
          <w:rFonts w:hint="eastAsia" w:ascii="Times New Roman" w:hAnsi="宋体" w:cs="仿宋_GB2312"/>
          <w:kern w:val="2"/>
          <w:sz w:val="28"/>
          <w:szCs w:val="28"/>
        </w:rPr>
        <w:t xml:space="preserve">    （11）采用新工艺、新技术、新设备、新材料、BIM等的程度；</w:t>
      </w:r>
    </w:p>
    <w:p>
      <w:pPr>
        <w:pStyle w:val="2"/>
        <w:ind w:firstLine="280"/>
        <w:rPr>
          <w:rFonts w:ascii="Times New Roman" w:hAnsi="宋体" w:cs="仿宋_GB2312"/>
          <w:kern w:val="2"/>
          <w:sz w:val="28"/>
          <w:szCs w:val="28"/>
        </w:rPr>
      </w:pPr>
      <w:r>
        <w:rPr>
          <w:rFonts w:hint="eastAsia" w:ascii="Times New Roman" w:hAnsi="宋体" w:cs="仿宋_GB2312"/>
          <w:kern w:val="2"/>
          <w:sz w:val="28"/>
          <w:szCs w:val="28"/>
        </w:rPr>
        <w:t xml:space="preserve">    （12）施工现场实施信息化监控和数据处理；</w:t>
      </w:r>
    </w:p>
    <w:p>
      <w:pPr>
        <w:pStyle w:val="2"/>
        <w:ind w:firstLine="280"/>
        <w:rPr>
          <w:rFonts w:hAnsi="宋体" w:cs="宋体"/>
          <w:b/>
          <w:sz w:val="26"/>
          <w:szCs w:val="26"/>
        </w:rPr>
      </w:pPr>
      <w:r>
        <w:rPr>
          <w:rFonts w:hint="eastAsia" w:ascii="Times New Roman" w:hAnsi="宋体" w:cs="仿宋_GB2312"/>
          <w:kern w:val="2"/>
          <w:sz w:val="28"/>
          <w:szCs w:val="28"/>
        </w:rPr>
        <w:t xml:space="preserve">    （13）风险管理措施。</w:t>
      </w:r>
    </w:p>
    <w:p>
      <w:pPr>
        <w:autoSpaceDE w:val="0"/>
        <w:autoSpaceDN w:val="0"/>
        <w:spacing w:line="440" w:lineRule="exact"/>
        <w:ind w:firstLine="480" w:firstLineChars="200"/>
        <w:jc w:val="left"/>
        <w:rPr>
          <w:rFonts w:hAnsi="宋体" w:cs="宋体"/>
          <w:b/>
          <w:bCs/>
          <w:sz w:val="24"/>
        </w:rPr>
      </w:pPr>
    </w:p>
    <w:bookmarkEnd w:id="11"/>
    <w:bookmarkEnd w:id="12"/>
    <w:p/>
    <w:sectPr>
      <w:footerReference r:id="rId10" w:type="default"/>
      <w:pgSz w:w="11906" w:h="16838"/>
      <w:pgMar w:top="1304" w:right="1134"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left w:val="none" w:color="auto" w:sz="0" w:space="4"/>
        <w:bottom w:val="none" w:color="auto" w:sz="0" w:space="1"/>
        <w:right w:val="none" w:color="auto" w:sz="0" w:space="4"/>
      </w:pBdr>
      <w:rPr>
        <w:sz w:val="21"/>
        <w:szCs w:val="21"/>
      </w:rPr>
    </w:pPr>
    <w:r>
      <w:rPr>
        <w:sz w:val="21"/>
      </w:rPr>
      <w:pict>
        <v:shape id="_x0000_s2052" o:spid="_x0000_s2052"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rPr>
        <w:rFonts w:hint="eastAsia"/>
        <w:sz w:val="21"/>
        <w:szCs w:val="21"/>
      </w:rPr>
      <w:t>许昌建设工程项目管理有限公司                                                 0375-6161678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left w:val="none" w:color="auto" w:sz="0" w:space="4"/>
        <w:bottom w:val="none" w:color="auto" w:sz="0" w:space="1"/>
        <w:right w:val="none" w:color="auto" w:sz="0" w:space="4"/>
      </w:pBdr>
      <w:rPr>
        <w:sz w:val="21"/>
        <w:szCs w:val="21"/>
      </w:rPr>
    </w:pPr>
    <w:r>
      <w:rPr>
        <w:sz w:val="21"/>
      </w:rP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rPr>
        <w:rFonts w:hint="eastAsia"/>
        <w:sz w:val="21"/>
        <w:szCs w:val="21"/>
      </w:rPr>
      <w:t>许昌建设工程项目管理有限公司                                                 0375-6161678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left w:val="none" w:color="auto" w:sz="0" w:space="4"/>
        <w:bottom w:val="none" w:color="auto" w:sz="0" w:space="1"/>
        <w:right w:val="none" w:color="auto" w:sz="0" w:space="4"/>
      </w:pBdr>
    </w:pPr>
    <w:r>
      <w:rPr>
        <w:sz w:val="21"/>
      </w:rP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rPr>
        <w:rFonts w:hint="eastAsia"/>
        <w:sz w:val="21"/>
      </w:rPr>
      <w:t>许昌建设工程项目管理有限公司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left w:val="none" w:color="auto" w:sz="0" w:space="4"/>
        <w:bottom w:val="none" w:color="auto" w:sz="0" w:space="1"/>
        <w:right w:val="none" w:color="auto" w:sz="0" w:space="4"/>
      </w:pBdr>
    </w:pPr>
    <w:r>
      <w:rPr>
        <w:sz w:val="21"/>
      </w:rP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r>
      <w:rPr>
        <w:rFonts w:hint="eastAsia"/>
        <w:sz w:val="21"/>
        <w:szCs w:val="21"/>
      </w:rPr>
      <w:t>许昌建设工程项目管理有限公司                                                 0374-2162698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324"/>
        <w:tab w:val="clear" w:pos="4153"/>
      </w:tabs>
      <w:jc w:val="left"/>
    </w:pPr>
    <w:r>
      <w:rPr>
        <w:rFonts w:hint="eastAsia" w:ascii="华文新魏" w:eastAsia="华文新魏"/>
        <w:sz w:val="21"/>
        <w:szCs w:val="21"/>
      </w:rPr>
      <w:t>襄城县融媒体中心建设项目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324"/>
        <w:tab w:val="clear" w:pos="4153"/>
      </w:tabs>
      <w:jc w:val="left"/>
    </w:pPr>
    <w:r>
      <w:rPr>
        <w:rFonts w:hint="eastAsia" w:ascii="华文新魏" w:eastAsia="华文新魏"/>
        <w:sz w:val="21"/>
        <w:szCs w:val="21"/>
      </w:rPr>
      <w:t>襄城县融媒体中心建设项目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76734"/>
    <w:multiLevelType w:val="singleLevel"/>
    <w:tmpl w:val="90A76734"/>
    <w:lvl w:ilvl="0" w:tentative="0">
      <w:start w:val="8"/>
      <w:numFmt w:val="decimal"/>
      <w:suff w:val="nothing"/>
      <w:lvlText w:val="%1、"/>
      <w:lvlJc w:val="left"/>
    </w:lvl>
  </w:abstractNum>
  <w:abstractNum w:abstractNumId="1">
    <w:nsid w:val="2B55E632"/>
    <w:multiLevelType w:val="singleLevel"/>
    <w:tmpl w:val="2B55E63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3406166"/>
    <w:rsid w:val="001B1A0D"/>
    <w:rsid w:val="002C7772"/>
    <w:rsid w:val="004E2839"/>
    <w:rsid w:val="00575B60"/>
    <w:rsid w:val="008311F6"/>
    <w:rsid w:val="00C5533D"/>
    <w:rsid w:val="00D23E07"/>
    <w:rsid w:val="01FE695B"/>
    <w:rsid w:val="02087544"/>
    <w:rsid w:val="02530101"/>
    <w:rsid w:val="02636F1E"/>
    <w:rsid w:val="02FC1E78"/>
    <w:rsid w:val="03E41ADF"/>
    <w:rsid w:val="03F25A2D"/>
    <w:rsid w:val="048F435B"/>
    <w:rsid w:val="051F3E57"/>
    <w:rsid w:val="06651639"/>
    <w:rsid w:val="06750A74"/>
    <w:rsid w:val="06DF6A12"/>
    <w:rsid w:val="07365768"/>
    <w:rsid w:val="08752752"/>
    <w:rsid w:val="0A936E49"/>
    <w:rsid w:val="0AE41910"/>
    <w:rsid w:val="0AF8377D"/>
    <w:rsid w:val="0B293479"/>
    <w:rsid w:val="0BF253CF"/>
    <w:rsid w:val="0C667D4D"/>
    <w:rsid w:val="12A6042B"/>
    <w:rsid w:val="14782C7E"/>
    <w:rsid w:val="159D6FCD"/>
    <w:rsid w:val="15F04243"/>
    <w:rsid w:val="162502F1"/>
    <w:rsid w:val="16464500"/>
    <w:rsid w:val="17926A0F"/>
    <w:rsid w:val="17DC5F13"/>
    <w:rsid w:val="1825544A"/>
    <w:rsid w:val="18D36312"/>
    <w:rsid w:val="1C4669AA"/>
    <w:rsid w:val="1FFB1A1A"/>
    <w:rsid w:val="20857B5E"/>
    <w:rsid w:val="237F3664"/>
    <w:rsid w:val="23B05BBA"/>
    <w:rsid w:val="24D735D1"/>
    <w:rsid w:val="264B7B62"/>
    <w:rsid w:val="28E524A4"/>
    <w:rsid w:val="2AB010E0"/>
    <w:rsid w:val="2B1C5564"/>
    <w:rsid w:val="2C175F80"/>
    <w:rsid w:val="2D0C08E9"/>
    <w:rsid w:val="2DB70309"/>
    <w:rsid w:val="2E6E3899"/>
    <w:rsid w:val="2EF46A0E"/>
    <w:rsid w:val="2F076A05"/>
    <w:rsid w:val="308A1867"/>
    <w:rsid w:val="324C5C27"/>
    <w:rsid w:val="326235E1"/>
    <w:rsid w:val="32C7257D"/>
    <w:rsid w:val="32E55C30"/>
    <w:rsid w:val="33406166"/>
    <w:rsid w:val="357747B4"/>
    <w:rsid w:val="35DA7E29"/>
    <w:rsid w:val="399206E8"/>
    <w:rsid w:val="39D95FE3"/>
    <w:rsid w:val="3ABF3A7E"/>
    <w:rsid w:val="3B43339A"/>
    <w:rsid w:val="3C9B568A"/>
    <w:rsid w:val="3CBF2EC4"/>
    <w:rsid w:val="3E791091"/>
    <w:rsid w:val="40195901"/>
    <w:rsid w:val="41AA1AC4"/>
    <w:rsid w:val="4309136C"/>
    <w:rsid w:val="461B667B"/>
    <w:rsid w:val="46DF37D0"/>
    <w:rsid w:val="47B43E77"/>
    <w:rsid w:val="48367724"/>
    <w:rsid w:val="4ADB239B"/>
    <w:rsid w:val="4B037251"/>
    <w:rsid w:val="4C7538B3"/>
    <w:rsid w:val="4F5277E2"/>
    <w:rsid w:val="50937997"/>
    <w:rsid w:val="515652D0"/>
    <w:rsid w:val="52474E42"/>
    <w:rsid w:val="534C3503"/>
    <w:rsid w:val="553B3AE7"/>
    <w:rsid w:val="55665F82"/>
    <w:rsid w:val="55961C35"/>
    <w:rsid w:val="57B66949"/>
    <w:rsid w:val="59DF0AD6"/>
    <w:rsid w:val="5B2B3B6F"/>
    <w:rsid w:val="5C016027"/>
    <w:rsid w:val="5DFE6256"/>
    <w:rsid w:val="5E605701"/>
    <w:rsid w:val="62376127"/>
    <w:rsid w:val="6299064E"/>
    <w:rsid w:val="63B40EEE"/>
    <w:rsid w:val="63B825BC"/>
    <w:rsid w:val="63CE1925"/>
    <w:rsid w:val="64DA7340"/>
    <w:rsid w:val="667F4F58"/>
    <w:rsid w:val="668E1679"/>
    <w:rsid w:val="6876145B"/>
    <w:rsid w:val="69C32060"/>
    <w:rsid w:val="6BC270B0"/>
    <w:rsid w:val="6C9A7585"/>
    <w:rsid w:val="6CB74F0F"/>
    <w:rsid w:val="6CD3154C"/>
    <w:rsid w:val="6D6777B9"/>
    <w:rsid w:val="6EC50DE5"/>
    <w:rsid w:val="6F691C4F"/>
    <w:rsid w:val="702309D7"/>
    <w:rsid w:val="70D92701"/>
    <w:rsid w:val="72662BDA"/>
    <w:rsid w:val="753B6F45"/>
    <w:rsid w:val="763F09C0"/>
    <w:rsid w:val="764E447C"/>
    <w:rsid w:val="771570B2"/>
    <w:rsid w:val="77282223"/>
    <w:rsid w:val="772E73CA"/>
    <w:rsid w:val="779C102D"/>
    <w:rsid w:val="796269A4"/>
    <w:rsid w:val="79B70D54"/>
    <w:rsid w:val="79D30428"/>
    <w:rsid w:val="7AEA1E2C"/>
    <w:rsid w:val="7BDB3998"/>
    <w:rsid w:val="7CF22749"/>
    <w:rsid w:val="7F0805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1"/>
    <w:basedOn w:val="1"/>
    <w:next w:val="1"/>
    <w:qFormat/>
    <w:uiPriority w:val="0"/>
    <w:pPr>
      <w:keepNext/>
      <w:keepLines/>
      <w:adjustRightInd w:val="0"/>
      <w:snapToGrid w:val="0"/>
      <w:spacing w:line="360" w:lineRule="auto"/>
      <w:jc w:val="center"/>
      <w:outlineLvl w:val="0"/>
    </w:pPr>
    <w:rPr>
      <w:rFonts w:ascii="宋体" w:hAnsi="宋体"/>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6" w:lineRule="auto"/>
      <w:outlineLvl w:val="2"/>
    </w:pPr>
    <w:rPr>
      <w:rFonts w:ascii="宋体"/>
      <w:b/>
      <w:bCs/>
      <w:kern w:val="0"/>
      <w:sz w:val="32"/>
      <w:szCs w:val="32"/>
    </w:rPr>
  </w:style>
  <w:style w:type="character" w:default="1" w:styleId="16">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unhideWhenUsed/>
    <w:qFormat/>
    <w:uiPriority w:val="0"/>
    <w:pPr>
      <w:ind w:firstLine="420" w:firstLineChars="100"/>
    </w:pPr>
  </w:style>
  <w:style w:type="paragraph" w:styleId="3">
    <w:name w:val="Body Text"/>
    <w:basedOn w:val="1"/>
    <w:unhideWhenUsed/>
    <w:qFormat/>
    <w:uiPriority w:val="0"/>
    <w:pPr>
      <w:spacing w:after="120"/>
    </w:pPr>
    <w:rPr>
      <w:rFonts w:ascii="宋体"/>
      <w:kern w:val="0"/>
      <w:sz w:val="34"/>
      <w:szCs w:val="20"/>
    </w:r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9">
    <w:name w:val="annotation text"/>
    <w:basedOn w:val="1"/>
    <w:qFormat/>
    <w:uiPriority w:val="99"/>
    <w:pPr>
      <w:jc w:val="left"/>
    </w:pPr>
    <w:rPr>
      <w:rFonts w:ascii="Calibri" w:hAnsi="Calibri"/>
      <w:sz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宋体"/>
      <w:kern w:val="0"/>
      <w:sz w:val="18"/>
      <w:szCs w:val="18"/>
    </w:rPr>
  </w:style>
  <w:style w:type="paragraph" w:styleId="12">
    <w:name w:val="toc 1"/>
    <w:basedOn w:val="1"/>
    <w:next w:val="1"/>
    <w:unhideWhenUsed/>
    <w:qFormat/>
    <w:uiPriority w:val="0"/>
  </w:style>
  <w:style w:type="paragraph" w:styleId="13">
    <w:name w:val="Body Text Indent 3"/>
    <w:basedOn w:val="1"/>
    <w:qFormat/>
    <w:uiPriority w:val="0"/>
    <w:pPr>
      <w:ind w:firstLine="420" w:firstLineChars="200"/>
    </w:pPr>
    <w:rPr>
      <w:rFonts w:ascii="宋体" w:hAnsi="宋体"/>
      <w:kern w:val="0"/>
      <w:sz w:val="34"/>
      <w:szCs w:val="20"/>
    </w:rPr>
  </w:style>
  <w:style w:type="paragraph" w:styleId="1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adjustRightInd w:val="0"/>
      <w:snapToGrid w:val="0"/>
      <w:ind w:left="2850" w:leftChars="500" w:hanging="1800" w:hangingChars="500"/>
    </w:pPr>
    <w:rPr>
      <w:rFonts w:ascii="Arial" w:hAnsi="Arial"/>
      <w:sz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20">
    <w:name w:val="WPS Plain"/>
    <w:qFormat/>
    <w:uiPriority w:val="0"/>
    <w:rPr>
      <w:rFonts w:ascii="Times New Roman" w:hAnsi="Times New Roman" w:eastAsia="宋体" w:cs="Times New Roman"/>
      <w:sz w:val="21"/>
      <w:szCs w:val="22"/>
      <w:lang w:val="en-US" w:eastAsia="zh-CN" w:bidi="ar-SA"/>
    </w:rPr>
  </w:style>
  <w:style w:type="paragraph" w:customStyle="1" w:styleId="21">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0"/>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5424</Words>
  <Characters>30917</Characters>
  <Lines>257</Lines>
  <Paragraphs>72</Paragraphs>
  <TotalTime>3</TotalTime>
  <ScaleCrop>false</ScaleCrop>
  <LinksUpToDate>false</LinksUpToDate>
  <CharactersWithSpaces>36269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2019-09-26T00:56:00Z</dcterms:created>
  <dc:creator>一直在瘦</dc:creator>
  <cp:lastModifiedBy>ZHAO感谢有你</cp:lastModifiedBy>
  <cp:lastPrinted>2019-10-09T09:13:00Z</cp:lastPrinted>
  <dcterms:modified xsi:type="dcterms:W3CDTF">2019-10-12T02:17:56Z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