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ind w:firstLine="361" w:firstLineChars="100"/>
        <w:jc w:val="center"/>
        <w:rPr>
          <w:rFonts w:ascii="仿宋" w:hAnsi="仿宋" w:eastAsia="仿宋" w:cs="宋体"/>
          <w:b/>
          <w:bCs/>
          <w:color w:val="000000"/>
          <w:spacing w:val="-6"/>
          <w:sz w:val="36"/>
          <w:szCs w:val="36"/>
        </w:rPr>
      </w:pPr>
      <w:r>
        <w:rPr>
          <w:rFonts w:hint="eastAsia" w:ascii="仿宋" w:hAnsi="仿宋" w:eastAsia="仿宋" w:cs="仿宋"/>
          <w:b/>
          <w:bCs/>
          <w:sz w:val="36"/>
          <w:szCs w:val="36"/>
          <w:lang w:eastAsia="zh-CN"/>
        </w:rPr>
        <w:t>禹州市人民法院档案数字化加工项目</w:t>
      </w:r>
    </w:p>
    <w:p>
      <w:pPr>
        <w:pStyle w:val="32"/>
        <w:rPr>
          <w:rFonts w:ascii="微软简隶书" w:eastAsia="微软简隶书"/>
          <w:color w:val="000000"/>
        </w:rPr>
      </w:pPr>
    </w:p>
    <w:p>
      <w:pPr>
        <w:pStyle w:val="32"/>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2"/>
        <w:numPr>
          <w:numId w:val="0"/>
        </w:numPr>
        <w:ind w:left="288" w:leftChars="0"/>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采购单位：禹州市人民法院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采购编号：YZCG-G20192</w:t>
      </w:r>
      <w:r>
        <w:rPr>
          <w:rFonts w:hint="eastAsia" w:ascii="仿宋" w:hAnsi="仿宋" w:eastAsia="仿宋" w:cs="仿宋"/>
          <w:b/>
          <w:bCs/>
          <w:color w:val="000000"/>
          <w:sz w:val="32"/>
          <w:szCs w:val="32"/>
          <w:lang w:val="en-US" w:eastAsia="zh-CN"/>
        </w:rPr>
        <w:t>57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rPr>
          <w:rFonts w:hint="eastAsia" w:ascii="仿宋" w:hAnsi="仿宋" w:eastAsia="仿宋" w:cs="仿宋"/>
          <w:b/>
          <w:bCs/>
          <w:color w:val="000000"/>
          <w:sz w:val="36"/>
          <w:szCs w:val="36"/>
        </w:rPr>
      </w:pPr>
    </w:p>
    <w:p>
      <w:pPr>
        <w:ind w:firstLine="3253" w:firstLineChars="9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2"/>
      </w:pPr>
    </w:p>
    <w:p>
      <w:pPr>
        <w:pStyle w:val="32"/>
      </w:pPr>
    </w:p>
    <w:p>
      <w:pPr>
        <w:pStyle w:val="32"/>
      </w:pPr>
    </w:p>
    <w:p>
      <w:pPr>
        <w:pStyle w:val="22"/>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禹州市人民法院档案数字化加工项目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禹州市政府采购中心受禹州市人民法院的委托，就“禹州市人民法院档案数字化加工项目”进行公开招标，欢迎合格的投标人前来投标。</w:t>
      </w:r>
    </w:p>
    <w:p>
      <w:pPr>
        <w:pStyle w:val="63"/>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项目名称：禹州市人民法院档案数字化加工项目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257</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档案数字化加工等</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240</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bookmarkStart w:id="37" w:name="_GoBack"/>
      <w:bookmarkEnd w:id="37"/>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投标人须符合国家档案局档办发[2014]7号文件《档案数字化外包安全管理规范》和河南省高级人民法院豫高发［2016］3号文件《河南省高级人民法院关于推进人民法院档案数字化工作的通知》对数字化服务机构的要求，须具有国家秘密载体印制资质和涉密信息系统集成资质，资质等级要求乙级及以上等级（省外企业必须在河南省国家保密行政主管部门进行备案）；</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31"/>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31"/>
          <w:rFonts w:hint="eastAsia" w:ascii="仿宋" w:hAnsi="仿宋" w:eastAsia="仿宋" w:cs="仿宋"/>
          <w:sz w:val="32"/>
          <w:szCs w:val="32"/>
          <w:lang w:val="zh-CN"/>
        </w:rPr>
        <w:t>http://ggzy.xuchang.gov.cn</w:t>
      </w:r>
      <w:r>
        <w:rPr>
          <w:rStyle w:val="31"/>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人民法院</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default"/>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孔</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18539062729</w:t>
      </w:r>
    </w:p>
    <w:p>
      <w:pPr>
        <w:keepNext w:val="0"/>
        <w:keepLines w:val="0"/>
        <w:pageBreakBefore w:val="0"/>
        <w:kinsoku/>
        <w:overflowPunct/>
        <w:bidi w:val="0"/>
        <w:spacing w:line="400" w:lineRule="exact"/>
        <w:ind w:firstLine="3520" w:firstLineChars="1100"/>
        <w:textAlignment w:val="auto"/>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spacing w:line="360" w:lineRule="auto"/>
        <w:rPr>
          <w:rFonts w:ascii="新宋体" w:hAnsi="新宋体" w:eastAsia="新宋体" w:cs="新宋体"/>
          <w:b/>
          <w:sz w:val="24"/>
          <w:szCs w:val="24"/>
        </w:rPr>
      </w:pPr>
    </w:p>
    <w:p>
      <w:pPr>
        <w:spacing w:line="360" w:lineRule="auto"/>
        <w:rPr>
          <w:rFonts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Ansi="宋体"/>
          <w:sz w:val="24"/>
          <w:szCs w:val="24"/>
        </w:rPr>
        <w:t>http://221.14.6.70:8088/ggzy/</w:t>
      </w:r>
      <w:r>
        <w:rPr>
          <w:rStyle w:val="31"/>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numPr>
          <w:ilvl w:val="0"/>
          <w:numId w:val="0"/>
        </w:numPr>
        <w:ind w:left="288" w:leftChars="0"/>
      </w:pPr>
    </w:p>
    <w:p/>
    <w:p>
      <w:pPr>
        <w:pStyle w:val="2"/>
        <w:numPr>
          <w:ilvl w:val="0"/>
          <w:numId w:val="0"/>
        </w:numPr>
      </w:pPr>
    </w:p>
    <w:p/>
    <w:p>
      <w:pPr>
        <w:pStyle w:val="2"/>
        <w:numPr>
          <w:ilvl w:val="0"/>
          <w:numId w:val="0"/>
        </w:numPr>
        <w:ind w:left="288" w:leftChars="0"/>
      </w:pPr>
    </w:p>
    <w:p/>
    <w:p>
      <w:pPr>
        <w:pStyle w:val="2"/>
        <w:numPr>
          <w:ilvl w:val="0"/>
          <w:numId w:val="0"/>
        </w:numPr>
        <w:ind w:left="288" w:leftChars="0"/>
      </w:pPr>
    </w:p>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lang w:eastAsia="zh-CN"/>
        </w:rPr>
        <w:t>一、</w:t>
      </w:r>
      <w:r>
        <w:rPr>
          <w:rFonts w:hint="eastAsia" w:ascii="仿宋" w:hAnsi="仿宋" w:eastAsia="仿宋" w:cs="宋体"/>
          <w:b/>
          <w:bCs/>
          <w:color w:val="000000"/>
          <w:kern w:val="0"/>
          <w:sz w:val="32"/>
          <w:szCs w:val="32"/>
        </w:rPr>
        <w:t>采购清单</w:t>
      </w:r>
    </w:p>
    <w:tbl>
      <w:tblPr>
        <w:tblStyle w:val="25"/>
        <w:tblW w:w="8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70"/>
        <w:gridCol w:w="3911"/>
        <w:gridCol w:w="94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06" w:type="dxa"/>
            <w:vAlign w:val="center"/>
          </w:tcPr>
          <w:p>
            <w:pPr>
              <w:keepNext/>
              <w:keepLines/>
              <w:spacing w:line="360" w:lineRule="auto"/>
              <w:jc w:val="center"/>
              <w:outlineLvl w:val="1"/>
              <w:rPr>
                <w:rFonts w:ascii="仿宋" w:hAnsi="仿宋" w:eastAsia="仿宋" w:cs="仿宋"/>
                <w:sz w:val="24"/>
              </w:rPr>
            </w:pPr>
            <w:bookmarkStart w:id="0" w:name="_Toc499324153"/>
            <w:bookmarkStart w:id="1" w:name="_Toc499323665"/>
            <w:bookmarkStart w:id="2" w:name="_Toc499324309"/>
            <w:bookmarkStart w:id="3" w:name="_Toc499323843"/>
            <w:r>
              <w:rPr>
                <w:rFonts w:hint="eastAsia" w:ascii="仿宋" w:hAnsi="仿宋" w:eastAsia="仿宋" w:cs="仿宋"/>
                <w:b/>
                <w:bCs/>
                <w:sz w:val="24"/>
              </w:rPr>
              <w:t>序号</w:t>
            </w:r>
            <w:bookmarkEnd w:id="0"/>
            <w:bookmarkEnd w:id="1"/>
            <w:bookmarkEnd w:id="2"/>
            <w:bookmarkEnd w:id="3"/>
          </w:p>
        </w:tc>
        <w:tc>
          <w:tcPr>
            <w:tcW w:w="1570" w:type="dxa"/>
            <w:vAlign w:val="center"/>
          </w:tcPr>
          <w:p>
            <w:pPr>
              <w:keepNext/>
              <w:keepLines/>
              <w:spacing w:line="360" w:lineRule="auto"/>
              <w:jc w:val="center"/>
              <w:outlineLvl w:val="1"/>
              <w:rPr>
                <w:rFonts w:ascii="仿宋" w:hAnsi="仿宋" w:eastAsia="仿宋" w:cs="仿宋"/>
                <w:sz w:val="24"/>
              </w:rPr>
            </w:pPr>
            <w:bookmarkStart w:id="4" w:name="_Toc499324154"/>
            <w:bookmarkStart w:id="5" w:name="_Toc499323666"/>
            <w:bookmarkStart w:id="6" w:name="_Toc499323844"/>
            <w:bookmarkStart w:id="7" w:name="_Toc499324310"/>
            <w:r>
              <w:rPr>
                <w:rFonts w:hint="eastAsia" w:ascii="仿宋" w:hAnsi="仿宋" w:eastAsia="仿宋" w:cs="仿宋"/>
                <w:b/>
                <w:bCs/>
                <w:sz w:val="24"/>
              </w:rPr>
              <w:t>项目</w:t>
            </w:r>
            <w:bookmarkEnd w:id="4"/>
            <w:bookmarkEnd w:id="5"/>
            <w:bookmarkEnd w:id="6"/>
            <w:bookmarkEnd w:id="7"/>
          </w:p>
        </w:tc>
        <w:tc>
          <w:tcPr>
            <w:tcW w:w="3911" w:type="dxa"/>
            <w:vAlign w:val="center"/>
          </w:tcPr>
          <w:p>
            <w:pPr>
              <w:keepNext/>
              <w:keepLines/>
              <w:spacing w:line="360" w:lineRule="auto"/>
              <w:jc w:val="center"/>
              <w:outlineLvl w:val="1"/>
              <w:rPr>
                <w:rFonts w:ascii="仿宋" w:hAnsi="仿宋" w:eastAsia="仿宋" w:cs="仿宋"/>
                <w:sz w:val="24"/>
              </w:rPr>
            </w:pPr>
            <w:bookmarkStart w:id="8" w:name="_Toc499323845"/>
            <w:bookmarkStart w:id="9" w:name="_Toc499324311"/>
            <w:bookmarkStart w:id="10" w:name="_Toc499324155"/>
            <w:bookmarkStart w:id="11" w:name="_Toc499323667"/>
            <w:r>
              <w:rPr>
                <w:rFonts w:hint="eastAsia" w:ascii="仿宋" w:hAnsi="仿宋" w:eastAsia="仿宋" w:cs="仿宋"/>
                <w:b/>
                <w:bCs/>
                <w:sz w:val="24"/>
              </w:rPr>
              <w:t>规格型号、技术指标</w:t>
            </w:r>
            <w:bookmarkEnd w:id="8"/>
            <w:bookmarkEnd w:id="9"/>
            <w:bookmarkEnd w:id="10"/>
            <w:bookmarkEnd w:id="11"/>
          </w:p>
        </w:tc>
        <w:tc>
          <w:tcPr>
            <w:tcW w:w="947" w:type="dxa"/>
            <w:vAlign w:val="center"/>
          </w:tcPr>
          <w:p>
            <w:pPr>
              <w:keepNext/>
              <w:keepLines/>
              <w:spacing w:line="360" w:lineRule="auto"/>
              <w:jc w:val="center"/>
              <w:outlineLvl w:val="1"/>
              <w:rPr>
                <w:rFonts w:ascii="仿宋" w:hAnsi="仿宋" w:eastAsia="仿宋" w:cs="仿宋"/>
                <w:sz w:val="24"/>
              </w:rPr>
            </w:pPr>
            <w:bookmarkStart w:id="12" w:name="_Toc499323847"/>
            <w:bookmarkStart w:id="13" w:name="_Toc499324157"/>
            <w:bookmarkStart w:id="14" w:name="_Toc499324313"/>
            <w:bookmarkStart w:id="15" w:name="_Toc499323669"/>
            <w:r>
              <w:rPr>
                <w:rFonts w:hint="eastAsia" w:ascii="仿宋" w:hAnsi="仿宋" w:eastAsia="仿宋" w:cs="仿宋"/>
                <w:b/>
                <w:bCs/>
                <w:sz w:val="24"/>
              </w:rPr>
              <w:t>单位</w:t>
            </w:r>
            <w:bookmarkEnd w:id="12"/>
            <w:bookmarkEnd w:id="13"/>
            <w:bookmarkEnd w:id="14"/>
            <w:bookmarkEnd w:id="15"/>
          </w:p>
        </w:tc>
        <w:tc>
          <w:tcPr>
            <w:tcW w:w="923" w:type="dxa"/>
            <w:vAlign w:val="center"/>
          </w:tcPr>
          <w:p>
            <w:pPr>
              <w:keepNext/>
              <w:keepLines/>
              <w:spacing w:line="360" w:lineRule="auto"/>
              <w:jc w:val="center"/>
              <w:outlineLvl w:val="1"/>
              <w:rPr>
                <w:rFonts w:hint="eastAsia" w:ascii="仿宋" w:hAnsi="仿宋" w:eastAsia="仿宋" w:cs="仿宋"/>
                <w:sz w:val="24"/>
                <w:lang w:eastAsia="zh-CN"/>
              </w:rPr>
            </w:pPr>
            <w:r>
              <w:rPr>
                <w:rFonts w:hint="eastAsia" w:ascii="仿宋" w:hAnsi="仿宋" w:eastAsia="仿宋" w:cs="仿宋"/>
                <w:b/>
                <w:bCs/>
                <w:sz w:val="24"/>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806" w:type="dxa"/>
            <w:vAlign w:val="center"/>
          </w:tcPr>
          <w:p>
            <w:pPr>
              <w:keepNext/>
              <w:keepLines/>
              <w:spacing w:line="360" w:lineRule="auto"/>
              <w:jc w:val="center"/>
              <w:outlineLvl w:val="1"/>
              <w:rPr>
                <w:rFonts w:ascii="仿宋" w:hAnsi="仿宋" w:eastAsia="仿宋" w:cs="仿宋"/>
                <w:sz w:val="24"/>
              </w:rPr>
            </w:pPr>
            <w:bookmarkStart w:id="16" w:name="_Toc499323849"/>
            <w:bookmarkStart w:id="17" w:name="_Toc499324159"/>
            <w:bookmarkStart w:id="18" w:name="_Toc499323671"/>
            <w:bookmarkStart w:id="19" w:name="_Toc499324315"/>
            <w:r>
              <w:rPr>
                <w:rFonts w:hint="eastAsia" w:ascii="仿宋" w:hAnsi="仿宋" w:eastAsia="仿宋" w:cs="仿宋"/>
                <w:bCs/>
                <w:sz w:val="24"/>
              </w:rPr>
              <w:t>1</w:t>
            </w:r>
            <w:bookmarkEnd w:id="16"/>
            <w:bookmarkEnd w:id="17"/>
            <w:bookmarkEnd w:id="18"/>
            <w:bookmarkEnd w:id="19"/>
          </w:p>
        </w:tc>
        <w:tc>
          <w:tcPr>
            <w:tcW w:w="1570" w:type="dxa"/>
            <w:vAlign w:val="center"/>
          </w:tcPr>
          <w:p>
            <w:pPr>
              <w:keepNext/>
              <w:keepLines/>
              <w:spacing w:line="360" w:lineRule="auto"/>
              <w:jc w:val="center"/>
              <w:outlineLvl w:val="1"/>
              <w:rPr>
                <w:rFonts w:ascii="仿宋" w:hAnsi="仿宋" w:eastAsia="仿宋" w:cs="仿宋"/>
                <w:sz w:val="24"/>
              </w:rPr>
            </w:pPr>
            <w:bookmarkStart w:id="20" w:name="_Toc499324160"/>
            <w:bookmarkStart w:id="21" w:name="_Toc499323850"/>
            <w:bookmarkStart w:id="22" w:name="_Toc499324316"/>
            <w:bookmarkStart w:id="23" w:name="_Toc499323672"/>
            <w:r>
              <w:rPr>
                <w:rFonts w:hint="eastAsia" w:ascii="仿宋" w:hAnsi="仿宋" w:eastAsia="仿宋" w:cs="仿宋"/>
                <w:bCs/>
                <w:sz w:val="24"/>
              </w:rPr>
              <w:t>纸质档案扫描</w:t>
            </w:r>
            <w:bookmarkEnd w:id="20"/>
            <w:bookmarkEnd w:id="21"/>
            <w:bookmarkEnd w:id="22"/>
            <w:bookmarkEnd w:id="23"/>
          </w:p>
        </w:tc>
        <w:tc>
          <w:tcPr>
            <w:tcW w:w="3911" w:type="dxa"/>
            <w:vAlign w:val="center"/>
          </w:tcPr>
          <w:p>
            <w:pPr>
              <w:keepNext/>
              <w:keepLines/>
              <w:numPr>
                <w:ilvl w:val="0"/>
                <w:numId w:val="6"/>
              </w:numPr>
              <w:spacing w:line="360" w:lineRule="auto"/>
              <w:jc w:val="left"/>
              <w:outlineLvl w:val="1"/>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A4幅面分辩率300-600dpi、彩色，图像处理（包含档案拆卷、扫描、处理、质检、装卷、目录著录、数据目录挂接、质检）</w:t>
            </w:r>
          </w:p>
          <w:p>
            <w:pPr>
              <w:pStyle w:val="23"/>
              <w:numPr>
                <w:ilvl w:val="0"/>
                <w:numId w:val="0"/>
              </w:numPr>
              <w:jc w:val="left"/>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2、</w:t>
            </w:r>
            <w:r>
              <w:rPr>
                <w:rFonts w:hint="eastAsia" w:ascii="仿宋" w:hAnsi="仿宋" w:eastAsia="仿宋" w:cs="仿宋"/>
                <w:bCs/>
                <w:sz w:val="24"/>
              </w:rPr>
              <w:t>数据集成服务</w:t>
            </w:r>
            <w:r>
              <w:rPr>
                <w:rFonts w:hint="eastAsia" w:ascii="仿宋" w:hAnsi="仿宋" w:eastAsia="仿宋" w:cs="仿宋"/>
                <w:bCs/>
                <w:sz w:val="24"/>
                <w:lang w:eastAsia="zh-CN"/>
              </w:rPr>
              <w:t>：</w:t>
            </w:r>
            <w:r>
              <w:rPr>
                <w:rFonts w:hint="eastAsia" w:ascii="Calibri" w:hAnsi="Calibri" w:eastAsia="宋体" w:cs="Times New Roman"/>
                <w:kern w:val="2"/>
                <w:sz w:val="21"/>
                <w:szCs w:val="22"/>
                <w:lang w:val="en-US" w:eastAsia="zh-CN" w:bidi="ar-SA"/>
              </w:rPr>
              <w:t>图像处理合格的数字档案必须及时上传到全省法院档案管理系统中。满足省法院一级部署、数据集中存储的要求。完成后实现法院档案电子借阅、跨院调卷、统计分析等有效利用</w:t>
            </w:r>
          </w:p>
          <w:p>
            <w:pPr>
              <w:pStyle w:val="23"/>
            </w:pPr>
          </w:p>
        </w:tc>
        <w:tc>
          <w:tcPr>
            <w:tcW w:w="947" w:type="dxa"/>
            <w:vAlign w:val="center"/>
          </w:tcPr>
          <w:p>
            <w:pPr>
              <w:keepNext/>
              <w:keepLines/>
              <w:spacing w:line="360" w:lineRule="auto"/>
              <w:jc w:val="center"/>
              <w:outlineLvl w:val="1"/>
              <w:rPr>
                <w:rFonts w:ascii="仿宋" w:hAnsi="仿宋" w:eastAsia="仿宋" w:cs="仿宋"/>
                <w:bCs/>
                <w:sz w:val="24"/>
              </w:rPr>
            </w:pPr>
            <w:bookmarkStart w:id="24" w:name="_Toc499324162"/>
            <w:bookmarkStart w:id="25" w:name="_Toc499323852"/>
            <w:bookmarkStart w:id="26" w:name="_Toc499323674"/>
            <w:bookmarkStart w:id="27" w:name="_Toc499324318"/>
            <w:r>
              <w:rPr>
                <w:rFonts w:hint="eastAsia" w:ascii="仿宋" w:hAnsi="仿宋" w:eastAsia="仿宋" w:cs="仿宋"/>
                <w:bCs/>
                <w:sz w:val="24"/>
              </w:rPr>
              <w:t>页</w:t>
            </w:r>
            <w:bookmarkEnd w:id="24"/>
            <w:bookmarkEnd w:id="25"/>
            <w:bookmarkEnd w:id="26"/>
            <w:bookmarkEnd w:id="27"/>
          </w:p>
        </w:tc>
        <w:tc>
          <w:tcPr>
            <w:tcW w:w="923" w:type="dxa"/>
            <w:vAlign w:val="center"/>
          </w:tcPr>
          <w:p>
            <w:pPr>
              <w:keepNext/>
              <w:keepLines/>
              <w:spacing w:line="360" w:lineRule="auto"/>
              <w:jc w:val="center"/>
              <w:outlineLvl w:val="1"/>
              <w:rPr>
                <w:rFonts w:ascii="仿宋" w:hAnsi="仿宋" w:eastAsia="仿宋" w:cs="仿宋"/>
                <w:bCs/>
                <w:sz w:val="24"/>
              </w:rPr>
            </w:pPr>
          </w:p>
        </w:tc>
      </w:tr>
    </w:tbl>
    <w:p>
      <w:pPr>
        <w:widowControl/>
        <w:shd w:val="clear" w:color="auto" w:fill="FFFFFF"/>
        <w:spacing w:line="360" w:lineRule="auto"/>
        <w:ind w:firstLine="600"/>
        <w:jc w:val="left"/>
        <w:rPr>
          <w:rFonts w:ascii="仿宋" w:hAnsi="仿宋" w:eastAsia="仿宋" w:cs="宋体"/>
          <w:color w:val="000000"/>
          <w:kern w:val="0"/>
          <w:sz w:val="32"/>
          <w:szCs w:val="32"/>
        </w:rPr>
      </w:pPr>
    </w:p>
    <w:p>
      <w:pPr>
        <w:widowControl/>
        <w:shd w:val="clear" w:color="auto" w:fill="FFFFFF"/>
        <w:spacing w:line="360" w:lineRule="auto"/>
        <w:jc w:val="lef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lang w:eastAsia="zh-CN"/>
        </w:rPr>
        <w:t>二、</w:t>
      </w:r>
      <w:r>
        <w:rPr>
          <w:rFonts w:hint="eastAsia" w:ascii="仿宋" w:hAnsi="仿宋" w:eastAsia="仿宋" w:cs="宋体"/>
          <w:b/>
          <w:bCs/>
          <w:color w:val="000000"/>
          <w:kern w:val="0"/>
          <w:sz w:val="32"/>
          <w:szCs w:val="32"/>
        </w:rPr>
        <w:t>档案数字化技术参数要求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投标人有成熟的档案数字化加工软件产品，具有《计算机软件著作权登记证书》。</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作业符合国家《纸质档案数字化技术规范》标准。</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确保在扫描过程中不对档案原件造成二次损伤。扫描件内容应与相对应的纸质档案完全相同，且图像清晰、完整、不偏斜、不失真、不漏页。</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扫描格式为单页JPG文件，分辨率300dpi，采用彩色扫描。</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扫描加工要求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案卷交接整理统计要求。项目开始前，对需加工案卷进行整理统计，由乙方工作人员进入库房领取档案，整理统计，注明年度、类型、归档号（案号）、号内卷数，如遇特殊情况，备注说明，一式三份，客户方存一份，加工组一份，公司一份，进入场地后，按照归档号进行案卷加工，完成一个流水号后，进行还卷，并将纸质卷宗整理归档上架，项目加工完成后，对加工案卷进行统一清点。</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（2）根据我院提供的工作单核对目录，修改有错误的目录并将档案实体按照实际扫描页重新编号并填写到工作单中，作为文件和质检依据。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（3）启钉、拆分，保证纸张的平整、抚平边角。</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（4）采用最为可靠的扫描设备和扫描方式完成档案扫描，避免纸张褶皱、撕裂、破损等情况的发生。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（5）如遇到档案纸张质地脆弱，不适合反复拆装订的档案，应采用不拆卷扫描设备和方式进行扫描。</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（6）扫描时，应根据纸张质地、底色、薄厚程度等因素，设置最佳的扫描明暗度、对比度设置，保证原始扫描图像效果与原件吻合。</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（7）封皮、目录、卷内信息备考表、封底全部扫描，签章、签字、图片照片彩色信息内容要求采用JPG彩色模式扫描。</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（8）采用平板进纸方式扫描，尽量确保纸张扫描时放置端正，从而保证原始扫描图像无歪斜，减少后期处理可能带来的图像失真。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（9）对于档案中的“筒子页”，应当平摊开后进行整幅扫描。折子页、图纸、表格等应整页扫描。超长页进行分页扫描后，要拼接成一页。</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（10）为更好的展现卷宗档案原貌，扫描分辨率（黑白、灰度、彩色）不得低于300dpi，恢复文件原貌。</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扫描图像处理要求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扫描后的原始图像需要进行优化处理，使得成品图像清晰、端正。根据档案扫描后的具体情况，要进行如下图像处理：</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（1）图像歪斜：采用自动或手动纠偏功能，调整图像角度。图像偏斜度不超过2度，对方向不正确的图像应进行旋转还原，以符合阅读习惯。</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（2）图像脏点、脏斑：对图像页面中出现的影响图像质量的杂质如黑点、黑线、黑框、黑边等应进行去污处理。处理过程中应遵循保持档案原貌的原则。</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（3）字迹洇透：采用字迹锐化的功能，清晰字迹笔画。图像深浅不一：采用平衡功能，调整图像深浅一致。</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（4）图像拼接处信息要完整，不能缺少信息。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（5）为保证档案电子版本浏览效果，应对A4、A3图像进行智能裁剪补齐幅面大小处理。</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（6）提供最终图像格式为JPEG，像素为300dpi，单页A4幅面图像优化后大小≤500Kb，A3幅面≤1000Kb,依此计算，确保图像清晰、识别度和跨院调卷浏览速度。</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图像数据挂接</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为确保数据挂接的正确性，档案著录挂接应确保档案目录数据与档案扫描图像一一对应，案卷目录、卷内目录100%挂接正确。确保加工扫描成果可以在河南省法院档案管理系统中进行有效检索和显示。</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8</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质量要求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作业公司需对系统数据进行100%一一核对，确保电子档案与原始档案一致。校对质检合格后申请入库。对原始卷宗归档时的错误，要及时反馈给档案管理部门。</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（1）档案拆卷整理装订。在需要对档案进行拆卷扫描，应有专业档案从业人员选择安全的拆卷方式，确保在拆卷过程中不对档案原件造成二次损伤。 档案扫描完成后，要进行细致认真的装订。具体装订要求如下：</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a遵循保持档案原貌的原则，对扫描后的档案进行装订。</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b档案装订应按照历史档案原有的装订方向进行，不可更换装订的位置。</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c对于装订时某些页面必须进行折叠的情况，应以尽可能地减少折痕数为原则，能不折叠就尽量不折叠。</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d档案装订必须采用专业装订设备进行装订，不可使用金属装订物；如原始档案中发现金属装订物，应予以剔除。</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e档案装订，应遵循“两对齐”要求，即装订线一侧边缘对齐，档案内页下边缘对齐。</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f档案装订应尽可能地按照原来的装订孔位进行穿线装订，尽量不要新打孔装订，力求保护原件。</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（2）图像要求：图像完整、整洁、无歪斜、无黑边、浏览及打印清晰。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（3）数据对应：档案目录数据（包含案卷目录和卷内目录）与扫描图像100%正确对应。</w:t>
      </w:r>
    </w:p>
    <w:p>
      <w:pPr>
        <w:widowControl/>
        <w:shd w:val="clear" w:color="auto" w:fill="FFFFFF"/>
        <w:spacing w:line="360" w:lineRule="auto"/>
        <w:ind w:firstLine="643" w:firstLineChars="200"/>
        <w:jc w:val="lef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lang w:val="en-US" w:eastAsia="zh-CN"/>
        </w:rPr>
        <w:t>三、</w:t>
      </w:r>
      <w:r>
        <w:rPr>
          <w:rFonts w:hint="eastAsia" w:ascii="仿宋" w:hAnsi="仿宋" w:eastAsia="仿宋" w:cs="宋体"/>
          <w:b/>
          <w:bCs/>
          <w:color w:val="000000"/>
          <w:kern w:val="0"/>
          <w:sz w:val="32"/>
          <w:szCs w:val="32"/>
        </w:rPr>
        <w:t>安全要求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人员安全要求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（1）所有参加数字化加工现场的工作人员须经过培训，具备数字化加工经验，能胜任本职工作。</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（2）所有工作人员由乙方进行政审，具有身份证复印件、与乙方签订保密协议。相关资料交由甲方存档备案及审核。</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乙方对进行数字化加工的工作人员实行严格管理，工作人员一律凭临时出入证进出工作场所，执行严格的请假制度和明确的作息时间。工作人员不能在工作场地会客，不得将易燃易爆物品带入办公场所，不得私拉乱接电源。</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卷宗安全要求</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（1）杜绝在扫描过程中以任何形式对档案原件造成二次损伤的情形。</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（2）凡从事装订、著录、扫描、校正、挂接各业务环节能够接触到档案资料的人员，都必须对经手的案卷作详细记录，严禁将档案卷宗带出扫描场所。</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（3）凡公司员工在其工作过程中接触到的文件资料，均属于客户单位的重要资料，不得阅读文件内容，不得以任何形式向家属、亲友及其他无关人员谈论文件内容。</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（4）工作场所一律采用内部局域网传输手段，所有人员均不得带进带出各种计算机磁盘、光盘、U盘等易于存储文件资料的存储介质。</w:t>
      </w:r>
    </w:p>
    <w:p>
      <w:pPr>
        <w:widowControl/>
        <w:shd w:val="clear" w:color="auto" w:fill="FFFFFF"/>
        <w:spacing w:line="360" w:lineRule="auto"/>
        <w:ind w:firstLine="643" w:firstLineChars="200"/>
        <w:jc w:val="lef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lang w:eastAsia="zh-CN"/>
        </w:rPr>
        <w:t>四、</w:t>
      </w:r>
      <w:r>
        <w:rPr>
          <w:rFonts w:hint="eastAsia" w:ascii="仿宋" w:hAnsi="仿宋" w:eastAsia="仿宋" w:cs="宋体"/>
          <w:b/>
          <w:bCs/>
          <w:color w:val="000000"/>
          <w:kern w:val="0"/>
          <w:sz w:val="32"/>
          <w:szCs w:val="32"/>
        </w:rPr>
        <w:t xml:space="preserve">保密要求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按照国家标准《纸质档案数字化技术规范》及禹州市人们法院档案卷宗电子化工作项目的要求，甲（采购方）乙（提供服务方）双方就档案卷宗数字化过程中做好保密工作如下： </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指导思想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为确保档案中保密资料的安全性，确保在档案数字化加工过程中甲方各类档案数据绝对安全，甲乙双方应积极配合，同心协力，从思想教育、人员管理、档案保管、制度落实、设备合格、技术保障及安全措施等各方面周密考虑、万无一失、认真落实，圆满、顺利地完成数字化加工工作。 </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工作方式、工作时间和安全责任分工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甲方采用委托乙方进行数字化加工的工作方式，乙方为甲方提供数字化加工工作人员以及所需的各种软件和设备，甲方指定乙方工作场所、负责安全管理及监督。 </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人员管理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1）乙方为甲方数字化加工现场工作的人员由乙方负责对所有工作人员进行政审，并具有身份证复印件、与乙方签订的保密协议复印件、工作人员户籍地出具的无犯罪记录证明。相关资料交由甲方存档备案及审核。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2）乙方对进行数字化加工的工作人员实行严格管理。工作人员一律凭临时出入证进出工作场所。工作时间内禁止外出，执行严格的请假制度和明确的作息时间。工作人员不能单独外出和在工作场地会客，外出时，需要两人以上集体活动。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（3）乙方工作人员必须严格遵守甲方办公区、数字化加工区和生活区的各项管理规定、保密要求和工作制度。 出入工作场所时不得携带任何与工作无关的物品；工作过程中产生的碎纸等工作垃圾不得私自处理，必须交由甲方统一销毁。</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（4）现场工作人员不得携带移动通讯设备、U盘、移动硬盘等信息存储设备进入档案数字化加工场所。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4 </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档案管理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（1）甲方为乙方工作人员安排指定的工作间及相关档案柜，为存放档案和工作使用。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2）档案交接由甲方管理人员和乙方现场负责人员，在安排好的工作岗位进行面对面交接，要求有书面交接并在以后的流程中由甲方管理人员全程监督。待数字化加工的档案数据只能在指定房间内的专用档案存储设备中内存放。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（3）对需要数字化加工的档案源文件要确保安全存放。对原文件有不清晰的，需经甲方管理人员确认、辨别，提出处理意见并签字后，方可进行下道工序。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（4）甲方项目专职管理人员有权出入乙方各个工作场所，如发现乙方在工作中有不妥之处可随时指出、并督促乙方改进，乙方必须按照甲方要求办理。</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5）工作人员暂时外出（如吃饭）时，均应将数字化加工场所中的档案数据存放在专用档案存储设备中并及时锁门。当天未完成的档案数据一律放入存储介质中，并交由甲方值班人员后，放入专用档案柜并上锁，关闭房门，实行双重保险。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管理制度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（1）乙方要有严格的管理制度。每个岗位均有相应的岗位责任制，对每位工作人员严格按照岗位责任制来考核。</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（2）乙方应有完善的组织管理机构，层次清晰、任务明确。能及时掌握每个工作人员的心理及动态，确保规定的保密措施顺利实施。</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（3）乙方要有严格的会客制度，外来人员不得在甲方提供的工作场所会客，要在工作地点以外指定的会客地点会客。</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4）乙方工作人员在数字化加工工作期间，未经允许不得串岗，更不得进入数字化加工工作用房以外的楼层和房间。所有员工要严格遵守甲方的治安保卫、安全防火、档案库房管理的规定，未经同意，不得随意离开工作区。</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（5）乙方数字化加工工作人员一律着工作服，衣物外套、包等随身物品统一放在指定位置。严禁携带档案材料和相关资料进出数字化加工区域以外场所。</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（6）整个数字化加工区为禁烟区，禁止任何工作人员携带食品进入；更衣室和饮水间应与工作间分开，任何人不得在工作间饮水，防止水污染损坏档案材料。</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安全管理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（1）乙方对每道工序都要有明确的规章制度和具体的奖惩条例，并有专门的质检组负责多次的校对和质量检查，确保工作的质量标准和安全保密。所有工序都必须接受甲方专门人员的监督和检查。</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（2）乙方使用的数字化加工设备上的存储设备项目结束后，须将存储设备及其中的各项数据按甲方指定的方式进行移交，防止数据信息泄漏和混淆。</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乙方在使用数字化加工现场的计算机及其它设备时，不能以任何方式连接到Internet,严防数据泄密。所有计算机用技术手段封闭USB接口，档案信息数据的备份记录时应双方在场，所有数据的制作、拷贝、备份应有书面记录和甲方专人签字确认。</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（4）乙方工作人员应签订项目保密责任书一式肆份，其中甲方保存贰份备查。</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安全责任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1）甲方发现乙方有违反本保密协议的事情发生，有权终止甲乙双方签署的一切合同协议，由此造成的经济损失由乙方承担。如果因乙方原因发生泄密情况，甲方有权利依据《档案法》和《保密法》等相关法律追究乙方有关责任人和当事人的法律责任和经济责任。</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（2）需要甲方给予支持配合的事项，甲方应尽力而为。</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8</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使用工具保障 </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乙方在数字化加工环节落实双方协商的保密方案，整个数字化过程及提供的软件和数字化加工成果需符合甲方提出的有关保密、安全管理的各项要求。 </w:t>
      </w:r>
    </w:p>
    <w:p>
      <w:pPr>
        <w:pStyle w:val="23"/>
        <w:numPr>
          <w:numId w:val="0"/>
        </w:numPr>
        <w:ind w:leftChars="0" w:firstLine="643" w:firstLineChars="200"/>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五、硬件设备要求</w:t>
      </w:r>
    </w:p>
    <w:p>
      <w:pPr>
        <w:pStyle w:val="23"/>
        <w:numPr>
          <w:ilvl w:val="0"/>
          <w:numId w:val="0"/>
        </w:numPr>
        <w:ind w:leftChars="0"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为保证中标单位能够配合好我院开展好纸质档案扫描、加工、存储、使用等工作，中标单位须在签订合同进场之后提供相关配套硬件设备（不低于下列表格中的技术要求）至我院制定地点。</w:t>
      </w:r>
    </w:p>
    <w:p>
      <w:pPr>
        <w:pStyle w:val="23"/>
        <w:numPr>
          <w:ilvl w:val="0"/>
          <w:numId w:val="0"/>
        </w:numPr>
        <w:ind w:leftChars="0"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在本项目工作开展期间，相关硬件设备由中标单位使用、维护，项目完成之后为保证数据安全、确保数据完整性等，中标单位须将有关硬件设备完整移交于我院。</w:t>
      </w:r>
    </w:p>
    <w:tbl>
      <w:tblPr>
        <w:tblStyle w:val="25"/>
        <w:tblW w:w="8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70"/>
        <w:gridCol w:w="3911"/>
        <w:gridCol w:w="94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6" w:type="dxa"/>
            <w:vAlign w:val="center"/>
          </w:tcPr>
          <w:p>
            <w:pPr>
              <w:keepNext/>
              <w:keepLines/>
              <w:spacing w:line="360" w:lineRule="auto"/>
              <w:jc w:val="center"/>
              <w:outlineLvl w:val="1"/>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1570" w:type="dxa"/>
            <w:vAlign w:val="center"/>
          </w:tcPr>
          <w:p>
            <w:pPr>
              <w:keepNext/>
              <w:keepLines/>
              <w:spacing w:line="360" w:lineRule="auto"/>
              <w:jc w:val="center"/>
              <w:outlineLvl w:val="1"/>
              <w:rPr>
                <w:rFonts w:ascii="仿宋" w:hAnsi="仿宋" w:eastAsia="仿宋" w:cs="仿宋"/>
                <w:bCs/>
                <w:sz w:val="24"/>
              </w:rPr>
            </w:pPr>
            <w:r>
              <w:rPr>
                <w:rFonts w:hint="eastAsia" w:ascii="仿宋" w:hAnsi="仿宋" w:eastAsia="仿宋" w:cs="仿宋"/>
                <w:bCs/>
                <w:sz w:val="24"/>
              </w:rPr>
              <w:t>服务器</w:t>
            </w:r>
          </w:p>
        </w:tc>
        <w:tc>
          <w:tcPr>
            <w:tcW w:w="3911" w:type="dxa"/>
            <w:vAlign w:val="center"/>
          </w:tcPr>
          <w:p>
            <w:pPr>
              <w:keepNext/>
              <w:keepLines/>
              <w:numPr>
                <w:ilvl w:val="0"/>
                <w:numId w:val="7"/>
              </w:numPr>
              <w:spacing w:line="360" w:lineRule="auto"/>
              <w:jc w:val="left"/>
              <w:outlineLvl w:val="1"/>
              <w:rPr>
                <w:rFonts w:hint="eastAsia" w:ascii="仿宋" w:hAnsi="仿宋" w:eastAsia="仿宋" w:cs="仿宋"/>
                <w:bCs/>
                <w:sz w:val="24"/>
                <w:lang w:val="en-US" w:eastAsia="zh-CN"/>
              </w:rPr>
            </w:pPr>
            <w:r>
              <w:rPr>
                <w:rFonts w:hint="eastAsia" w:ascii="仿宋" w:hAnsi="仿宋" w:eastAsia="仿宋" w:cs="仿宋"/>
                <w:bCs/>
                <w:sz w:val="24"/>
              </w:rPr>
              <w:t>国产自研，非OEM，标准2U机架式服务器，机箱长度&lt;800mm，满配重量&lt;35kg</w:t>
            </w:r>
            <w:r>
              <w:rPr>
                <w:rFonts w:hint="eastAsia" w:ascii="仿宋" w:hAnsi="仿宋" w:eastAsia="仿宋" w:cs="仿宋"/>
                <w:bCs/>
                <w:sz w:val="24"/>
                <w:lang w:val="en-US" w:eastAsia="zh-CN"/>
              </w:rPr>
              <w:t>,</w:t>
            </w:r>
          </w:p>
          <w:p>
            <w:pPr>
              <w:keepNext/>
              <w:keepLines/>
              <w:numPr>
                <w:ilvl w:val="0"/>
                <w:numId w:val="0"/>
              </w:numPr>
              <w:spacing w:line="360" w:lineRule="auto"/>
              <w:jc w:val="left"/>
              <w:outlineLvl w:val="1"/>
              <w:rPr>
                <w:rFonts w:hint="eastAsia" w:ascii="仿宋" w:hAnsi="仿宋" w:eastAsia="仿宋" w:cs="仿宋"/>
                <w:bCs/>
                <w:sz w:val="24"/>
              </w:rPr>
            </w:pPr>
            <w:r>
              <w:rPr>
                <w:rFonts w:hint="eastAsia" w:ascii="仿宋" w:hAnsi="仿宋" w:eastAsia="仿宋" w:cs="仿宋"/>
                <w:bCs/>
                <w:sz w:val="24"/>
              </w:rPr>
              <w:t>2、处理器：本次配置2颗Intel 至强E5-2620V4 处理器，单处理器核心≥8核，主频≥2.1GHz；</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3、内存：本次配置4条16GB 2400MHz DDR4内存，支持20个内存插槽；支持RDIMM、LDIMM内存，支持四通道交叉存取、内存镜像、内存热备等高级功能；</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4、存储：配置2块3.5" 1TB 7.2K 企业级 SATA 硬盘硬盘支持热插拔；</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5、机箱前置支持8个3.5寸 SAS/SATA热插拔硬盘及后置2块2.5寸SATA/SSD热插拔硬盘；</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6、标准接口：提供5个USB接口，2个VGA接口， 1个串口，1个独立管理口；</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7、RAID支持：支持12Gb/s SAS RAID; 支持SAS/SATA/NVME混合模式; 提供RAID 0/1/5/6/10/50/60；</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8：网络接口：机身自带2个千兆以太网RJ45接口，支持虚拟化加速、网络加速、负载均衡、冗余等高级功能；</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9、I/O扩展：支持≥6个PCIE插槽；配置8Gb HBA一块</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10、电源模块：配置两个冗余热插拔550W 电源；支持白金/钛金电源；</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11、管理功能：集成系统管理芯片，支持 NM3.0  SNMP3.0标准 ，提供原厂服务器管理套件；</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12、安全可信：支持TPM安全可信模块；</w:t>
            </w:r>
          </w:p>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13、服务：原厂工程师三年7×24售后服务</w:t>
            </w:r>
          </w:p>
        </w:tc>
        <w:tc>
          <w:tcPr>
            <w:tcW w:w="947" w:type="dxa"/>
            <w:vAlign w:val="center"/>
          </w:tcPr>
          <w:p>
            <w:pPr>
              <w:keepNext/>
              <w:keepLines/>
              <w:spacing w:line="360" w:lineRule="auto"/>
              <w:jc w:val="center"/>
              <w:outlineLvl w:val="1"/>
              <w:rPr>
                <w:rFonts w:ascii="仿宋" w:hAnsi="仿宋" w:eastAsia="仿宋" w:cs="仿宋"/>
                <w:bCs/>
                <w:sz w:val="24"/>
              </w:rPr>
            </w:pPr>
            <w:r>
              <w:rPr>
                <w:rFonts w:hint="eastAsia" w:ascii="仿宋" w:hAnsi="仿宋" w:eastAsia="仿宋" w:cs="仿宋"/>
                <w:bCs/>
                <w:sz w:val="24"/>
              </w:rPr>
              <w:t>台</w:t>
            </w:r>
          </w:p>
        </w:tc>
        <w:tc>
          <w:tcPr>
            <w:tcW w:w="923" w:type="dxa"/>
            <w:vAlign w:val="center"/>
          </w:tcPr>
          <w:p>
            <w:pPr>
              <w:keepNext/>
              <w:keepLines/>
              <w:spacing w:line="360" w:lineRule="auto"/>
              <w:jc w:val="center"/>
              <w:outlineLvl w:val="1"/>
              <w:rPr>
                <w:rFonts w:ascii="仿宋" w:hAnsi="仿宋" w:eastAsia="仿宋" w:cs="仿宋"/>
                <w:bCs/>
                <w:sz w:val="24"/>
              </w:rPr>
            </w:pPr>
            <w:r>
              <w:rPr>
                <w:rFonts w:hint="eastAsia" w:ascii="仿宋" w:hAnsi="仿宋" w:eastAsia="仿宋" w:cs="仿宋"/>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trPr>
        <w:tc>
          <w:tcPr>
            <w:tcW w:w="806" w:type="dxa"/>
            <w:vAlign w:val="center"/>
          </w:tcPr>
          <w:p>
            <w:pPr>
              <w:keepNext/>
              <w:keepLines/>
              <w:spacing w:line="360" w:lineRule="auto"/>
              <w:jc w:val="center"/>
              <w:outlineLvl w:val="1"/>
              <w:rPr>
                <w:rFonts w:hint="eastAsia" w:ascii="仿宋" w:hAnsi="仿宋" w:eastAsia="仿宋" w:cs="仿宋"/>
                <w:bCs/>
                <w:sz w:val="24"/>
                <w:lang w:val="en-US" w:eastAsia="zh-CN"/>
              </w:rPr>
            </w:pPr>
            <w:r>
              <w:rPr>
                <w:rFonts w:hint="eastAsia" w:ascii="仿宋" w:hAnsi="仿宋" w:eastAsia="仿宋" w:cs="仿宋"/>
                <w:bCs/>
                <w:sz w:val="24"/>
                <w:lang w:val="en-US" w:eastAsia="zh-CN"/>
              </w:rPr>
              <w:t>2</w:t>
            </w:r>
          </w:p>
        </w:tc>
        <w:tc>
          <w:tcPr>
            <w:tcW w:w="1570" w:type="dxa"/>
            <w:vAlign w:val="center"/>
          </w:tcPr>
          <w:p>
            <w:pPr>
              <w:keepNext/>
              <w:keepLines/>
              <w:spacing w:line="360" w:lineRule="auto"/>
              <w:jc w:val="center"/>
              <w:outlineLvl w:val="1"/>
              <w:rPr>
                <w:rFonts w:ascii="仿宋" w:hAnsi="仿宋" w:eastAsia="仿宋" w:cs="仿宋"/>
                <w:bCs/>
                <w:sz w:val="24"/>
              </w:rPr>
            </w:pPr>
            <w:r>
              <w:rPr>
                <w:rFonts w:hint="eastAsia" w:ascii="仿宋" w:hAnsi="仿宋" w:eastAsia="仿宋" w:cs="仿宋"/>
                <w:bCs/>
                <w:sz w:val="24"/>
              </w:rPr>
              <w:t>磁盘阵列</w:t>
            </w:r>
          </w:p>
        </w:tc>
        <w:tc>
          <w:tcPr>
            <w:tcW w:w="3911" w:type="dxa"/>
            <w:vAlign w:val="center"/>
          </w:tcPr>
          <w:p>
            <w:pPr>
              <w:keepNext/>
              <w:keepLines/>
              <w:spacing w:line="360" w:lineRule="auto"/>
              <w:jc w:val="left"/>
              <w:outlineLvl w:val="1"/>
              <w:rPr>
                <w:rFonts w:hint="eastAsia" w:ascii="仿宋" w:hAnsi="仿宋" w:eastAsia="仿宋" w:cs="仿宋"/>
                <w:bCs/>
                <w:sz w:val="24"/>
              </w:rPr>
            </w:pPr>
            <w:r>
              <w:rPr>
                <w:rFonts w:hint="eastAsia" w:ascii="仿宋" w:hAnsi="仿宋" w:eastAsia="仿宋" w:cs="仿宋"/>
                <w:bCs/>
                <w:sz w:val="24"/>
              </w:rPr>
              <w:t>双控, 标配16GB缓存.  标配BBU+Flash，本地复制（快照、卷镜像、卷克隆、卷备份、迁移）、自精简、QoS、DRAID. 功能；标配8个1Gb  iSCSI主机接口，可扩展FC、万兆、千兆、FCoE主机接口；配置12块3.5英寸企业级SAS硬盘，8TB，7200转；支持RAID 0/1/5/6/10/50/60；三年原厂商保修，所有配件及硬盘为原厂件，支持厂家检测。</w:t>
            </w:r>
          </w:p>
        </w:tc>
        <w:tc>
          <w:tcPr>
            <w:tcW w:w="947" w:type="dxa"/>
            <w:vAlign w:val="center"/>
          </w:tcPr>
          <w:p>
            <w:pPr>
              <w:keepNext/>
              <w:keepLines/>
              <w:spacing w:line="360" w:lineRule="auto"/>
              <w:jc w:val="center"/>
              <w:outlineLvl w:val="1"/>
              <w:rPr>
                <w:rFonts w:ascii="仿宋" w:hAnsi="仿宋" w:eastAsia="仿宋" w:cs="仿宋"/>
                <w:bCs/>
                <w:sz w:val="24"/>
              </w:rPr>
            </w:pPr>
            <w:r>
              <w:rPr>
                <w:rFonts w:hint="eastAsia" w:ascii="仿宋" w:hAnsi="仿宋" w:eastAsia="仿宋" w:cs="仿宋"/>
                <w:bCs/>
                <w:sz w:val="24"/>
              </w:rPr>
              <w:t>台</w:t>
            </w:r>
          </w:p>
        </w:tc>
        <w:tc>
          <w:tcPr>
            <w:tcW w:w="923" w:type="dxa"/>
            <w:vAlign w:val="center"/>
          </w:tcPr>
          <w:p>
            <w:pPr>
              <w:keepNext/>
              <w:keepLines/>
              <w:spacing w:line="360" w:lineRule="auto"/>
              <w:jc w:val="center"/>
              <w:outlineLvl w:val="1"/>
              <w:rPr>
                <w:rFonts w:ascii="仿宋" w:hAnsi="仿宋" w:eastAsia="仿宋" w:cs="仿宋"/>
                <w:bCs/>
                <w:sz w:val="24"/>
              </w:rPr>
            </w:pPr>
            <w:r>
              <w:rPr>
                <w:rFonts w:hint="eastAsia" w:ascii="仿宋" w:hAnsi="仿宋" w:eastAsia="仿宋" w:cs="仿宋"/>
                <w:bCs/>
                <w:sz w:val="24"/>
              </w:rPr>
              <w:t>1</w:t>
            </w:r>
          </w:p>
        </w:tc>
      </w:tr>
    </w:tbl>
    <w:p>
      <w:pPr>
        <w:widowControl/>
        <w:shd w:val="clear" w:color="auto" w:fill="FFFFFF"/>
        <w:spacing w:line="360" w:lineRule="auto"/>
        <w:ind w:firstLine="643" w:firstLineChars="200"/>
        <w:jc w:val="left"/>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lang w:eastAsia="zh-CN"/>
        </w:rPr>
        <w:t>六、</w:t>
      </w:r>
      <w:r>
        <w:rPr>
          <w:rFonts w:hint="eastAsia" w:ascii="仿宋" w:hAnsi="仿宋" w:eastAsia="仿宋" w:cs="宋体"/>
          <w:b/>
          <w:bCs/>
          <w:color w:val="000000"/>
          <w:kern w:val="0"/>
          <w:sz w:val="32"/>
          <w:szCs w:val="32"/>
        </w:rPr>
        <w:t>项目商务要求</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1.服务期限：合同签订后365天内完成。</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2.服务地点：禹州市人们法院指定地点。</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3.付款方式：根据合同双方商议。</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4.检验和验收</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质诉讼档案的电子版本应当与原纸质诉讼档案保持完全一致，并在档案管理系统挂接中全部显现，查阅、复制、运用清晰流畅，甲方对乙方所扫描的卷宗质量采取抽查的方法进行验收，对乙方所扫描的卷宗抽检比例不低于10%，符合甲方所要求的数字化技术参数要求为合格。</w:t>
      </w:r>
    </w:p>
    <w:p>
      <w:pPr>
        <w:widowControl/>
        <w:shd w:val="clear" w:color="auto" w:fill="FFFFFF"/>
        <w:spacing w:line="36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5.售后服务</w:t>
      </w:r>
    </w:p>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乙方对档案数字化提供1年免费数据维护服务，在此期内遇到使用及技术问题，2小时内为甲方电话提供解决方法，电话无法解决时，乙方应在一个工作日内派出专业人员进行现场技术支持并解决问题。</w:t>
      </w: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2"/>
        <w:numPr>
          <w:ilvl w:val="0"/>
          <w:numId w:val="0"/>
        </w:numPr>
        <w:rPr>
          <w:rFonts w:hint="eastAsia"/>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项目名称：禹州市人民法院档案数字化加工项目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项目编号：YZCG-G20192</w:t>
            </w:r>
            <w:r>
              <w:rPr>
                <w:rFonts w:hint="eastAsia" w:cs="仿宋_GB2312" w:asciiTheme="minorEastAsia" w:hAnsiTheme="minorEastAsia"/>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名称：禹州市人民法院</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地址：禹州市禹王大道</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联系人：孔先生   联系电话：18539062729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名称：禹州市政府采购中心</w:t>
            </w:r>
          </w:p>
          <w:p>
            <w:pPr>
              <w:widowControl/>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3"/>
              <w:ind w:firstLine="0" w:firstLineChars="0"/>
            </w:pPr>
            <w:r>
              <w:rPr>
                <w:rFonts w:hint="eastAsia" w:asciiTheme="minorHAnsi" w:hAnsiTheme="minorHAnsi" w:eastAsiaTheme="minorEastAsia" w:cstheme="minorBidi"/>
                <w:kern w:val="2"/>
                <w:sz w:val="21"/>
                <w:szCs w:val="22"/>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eastAsiaTheme="minorEastAsia"/>
                <w:bCs/>
                <w:sz w:val="24"/>
                <w:szCs w:val="24"/>
                <w:lang w:val="zh-CN" w:eastAsia="zh-CN"/>
              </w:rPr>
            </w:pPr>
            <w:r>
              <w:rPr>
                <w:rFonts w:hint="eastAsia" w:cs="宋体" w:asciiTheme="minorEastAsia" w:hAnsiTheme="minorEastAsia"/>
                <w:kern w:val="0"/>
                <w:sz w:val="24"/>
                <w:szCs w:val="24"/>
                <w:lang w:val="en-US" w:eastAsia="zh-CN"/>
              </w:rPr>
              <w:t>240</w:t>
            </w:r>
            <w:r>
              <w:rPr>
                <w:rFonts w:hint="eastAsia" w:cs="宋体" w:asciiTheme="minorEastAsia" w:hAnsiTheme="minorEastAsia"/>
                <w:kern w:val="0"/>
                <w:sz w:val="24"/>
                <w:szCs w:val="24"/>
              </w:rPr>
              <w:t>万元</w:t>
            </w:r>
            <w:r>
              <w:rPr>
                <w:rFonts w:hint="eastAsia" w:cs="宋体" w:asciiTheme="minorEastAsia" w:hAnsiTheme="minorEastAsia"/>
                <w:color w:val="FF0000"/>
                <w:kern w:val="0"/>
                <w:sz w:val="24"/>
                <w:szCs w:val="24"/>
                <w:lang w:eastAsia="zh-CN"/>
              </w:rPr>
              <w:t>（</w:t>
            </w:r>
            <w:r>
              <w:rPr>
                <w:rFonts w:hint="eastAsia" w:cs="宋体" w:asciiTheme="minorEastAsia" w:hAnsiTheme="minorEastAsia"/>
                <w:color w:val="FF0000"/>
                <w:kern w:val="0"/>
                <w:sz w:val="24"/>
                <w:szCs w:val="24"/>
                <w:lang w:val="en-US" w:eastAsia="zh-CN"/>
              </w:rPr>
              <w:t>240万是</w:t>
            </w:r>
            <w:r>
              <w:rPr>
                <w:rFonts w:hint="eastAsia" w:cs="宋体" w:asciiTheme="minorEastAsia" w:hAnsiTheme="minorEastAsia"/>
                <w:color w:val="FF0000"/>
                <w:kern w:val="0"/>
                <w:sz w:val="24"/>
                <w:szCs w:val="24"/>
                <w:lang w:eastAsia="zh-CN"/>
              </w:rPr>
              <w:t>项目整体预算，投标商投标报价按照开标一览表要求进行报价）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lang w:val="zh-CN"/>
              </w:rPr>
              <w:t xml:space="preserve">日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要求提交。履约保证金的数额为合同金额的3%。中标人以支票、汇票、本票或者金融机构、担保机构出具的保函等非现金形式向采购人提交。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3"/>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3"/>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3"/>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3"/>
        <w:ind w:firstLine="480"/>
        <w:rPr>
          <w:sz w:val="24"/>
          <w:szCs w:val="24"/>
        </w:rPr>
      </w:pPr>
      <w:r>
        <w:rPr>
          <w:rFonts w:hint="eastAsia"/>
          <w:sz w:val="24"/>
          <w:szCs w:val="24"/>
        </w:rPr>
        <w:t>（2）截止时间：同投标截止时间；</w:t>
      </w:r>
    </w:p>
    <w:p>
      <w:pPr>
        <w:pStyle w:val="33"/>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3"/>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3"/>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3"/>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both"/>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8" w:name="OLE_LINK6"/>
      <w:r>
        <w:rPr>
          <w:rFonts w:hint="eastAsia" w:cs="仿宋_GB2312" w:asciiTheme="minorEastAsia" w:hAnsiTheme="minorEastAsia"/>
          <w:sz w:val="24"/>
          <w:szCs w:val="24"/>
          <w:lang w:val="zh-CN"/>
        </w:rPr>
        <w:t>财库[2014]68号</w:t>
      </w:r>
      <w:bookmarkEnd w:id="28"/>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31"/>
                <w:rFonts w:asciiTheme="minorEastAsia" w:hAnsiTheme="minorEastAsia"/>
                <w:bCs/>
                <w:szCs w:val="21"/>
              </w:rPr>
              <w:t>www.gsxt.gov.cn</w:t>
            </w:r>
            <w:r>
              <w:rPr>
                <w:rStyle w:val="31"/>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w:t>
            </w:r>
            <w:r>
              <w:rPr>
                <w:rFonts w:hint="eastAsia" w:cs="仿宋_GB2312" w:asciiTheme="minorEastAsia" w:hAnsiTheme="minorEastAsia"/>
                <w:szCs w:val="21"/>
                <w:lang w:val="zh-CN" w:eastAsia="zh-CN"/>
              </w:rPr>
              <w:t>，具有独立法人资格及</w:t>
            </w:r>
            <w:r>
              <w:rPr>
                <w:rFonts w:hint="eastAsia" w:cs="仿宋_GB2312" w:asciiTheme="minorEastAsia" w:hAnsiTheme="minorEastAsia"/>
                <w:szCs w:val="21"/>
                <w:lang w:val="zh-CN"/>
              </w:rPr>
              <w:t>相应的经营范围（以营业执照为准）；</w:t>
            </w:r>
          </w:p>
          <w:p>
            <w:pPr>
              <w:spacing w:line="360" w:lineRule="auto"/>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投标人须符合国家档案局档办发[2014]7号文件《档案数字化外包安全管理规范》和河南省高级人民法院豫高发［2016］3号文件《河南省高级人民法院关于推进人民法院档案数字化工作的通知》对数字化服务机构的要求，须具有国家秘密载体印制资质和涉密信息系统集成资质，资质等级要求乙级及以上等级（省外企业必须在河南省国家保密行政主管部门进行备案）；</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、被委托人是须是本单位职工，须提供公司为本人缴纳社会保险证明；</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、本项目不接受联合体投标。</w:t>
            </w:r>
          </w:p>
          <w:p>
            <w:pPr>
              <w:spacing w:line="360" w:lineRule="auto"/>
              <w:rPr>
                <w:rFonts w:cs="仿宋_GB2312" w:asciiTheme="minorEastAsia" w:hAnsiTheme="minorEastAsia"/>
                <w:szCs w:val="21"/>
                <w:lang w:val="zh-CN"/>
              </w:rPr>
            </w:pPr>
          </w:p>
        </w:tc>
      </w:tr>
    </w:tbl>
    <w:p>
      <w:pPr>
        <w:pStyle w:val="16"/>
        <w:spacing w:line="360" w:lineRule="auto"/>
        <w:contextualSpacing/>
        <w:jc w:val="both"/>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本项目采用综合评标办法。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3"/>
        <w:rPr>
          <w:rFonts w:hint="eastAsia" w:cs="仿宋_GB2312" w:asciiTheme="minorEastAsia" w:hAnsiTheme="minorEastAsia" w:eastAsiaTheme="minorEastAsia"/>
          <w:kern w:val="2"/>
          <w:sz w:val="21"/>
          <w:szCs w:val="21"/>
          <w:lang w:val="zh-CN" w:eastAsia="zh-CN" w:bidi="ar-SA"/>
        </w:rPr>
      </w:pPr>
    </w:p>
    <w:p>
      <w:pPr>
        <w:pStyle w:val="23"/>
        <w:rPr>
          <w:rFonts w:hint="eastAsia" w:cs="仿宋_GB2312" w:asciiTheme="minorEastAsia" w:hAnsiTheme="minorEastAsia" w:eastAsiaTheme="minorEastAsia"/>
          <w:kern w:val="2"/>
          <w:sz w:val="21"/>
          <w:szCs w:val="21"/>
          <w:lang w:val="zh-CN" w:eastAsia="zh-CN" w:bidi="ar-SA"/>
        </w:rPr>
      </w:pPr>
    </w:p>
    <w:p>
      <w:pPr>
        <w:pStyle w:val="23"/>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w:t>
      </w:r>
      <w:r>
        <w:rPr>
          <w:rFonts w:hint="eastAsia" w:cs="仿宋_GB2312" w:asciiTheme="minorEastAsia" w:hAnsiTheme="minorEastAsia" w:eastAsiaTheme="minorEastAsia"/>
          <w:kern w:val="2"/>
          <w:sz w:val="21"/>
          <w:szCs w:val="21"/>
          <w:lang w:val="en-US" w:eastAsia="zh-CN" w:bidi="ar-SA"/>
        </w:rPr>
        <w:t>5</w:t>
      </w:r>
      <w:r>
        <w:rPr>
          <w:rFonts w:hint="eastAsia" w:cs="仿宋_GB2312" w:asciiTheme="minorEastAsia" w:hAnsiTheme="minorEastAsia" w:eastAsiaTheme="minorEastAsia"/>
          <w:kern w:val="2"/>
          <w:sz w:val="21"/>
          <w:szCs w:val="21"/>
          <w:lang w:val="zh-CN" w:eastAsia="zh-CN" w:bidi="ar-SA"/>
        </w:rPr>
        <w:t>）评分标准</w:t>
      </w:r>
    </w:p>
    <w:tbl>
      <w:tblPr>
        <w:tblStyle w:val="25"/>
        <w:tblW w:w="9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662"/>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34" w:type="dxa"/>
            <w:vAlign w:val="center"/>
          </w:tcPr>
          <w:p>
            <w:pPr>
              <w:rPr>
                <w:rFonts w:ascii="仿宋" w:hAnsi="仿宋" w:eastAsia="仿宋" w:cs="仿宋"/>
                <w:szCs w:val="21"/>
              </w:rPr>
            </w:pPr>
            <w:r>
              <w:rPr>
                <w:rFonts w:hint="eastAsia" w:ascii="仿宋" w:hAnsi="仿宋" w:eastAsia="仿宋" w:cs="仿宋"/>
                <w:szCs w:val="21"/>
              </w:rPr>
              <w:t>条款号</w:t>
            </w:r>
          </w:p>
        </w:tc>
        <w:tc>
          <w:tcPr>
            <w:tcW w:w="1662" w:type="dxa"/>
            <w:vAlign w:val="center"/>
          </w:tcPr>
          <w:p>
            <w:pPr>
              <w:rPr>
                <w:rFonts w:ascii="仿宋" w:hAnsi="仿宋" w:eastAsia="仿宋" w:cs="仿宋"/>
                <w:szCs w:val="21"/>
              </w:rPr>
            </w:pPr>
            <w:r>
              <w:rPr>
                <w:rFonts w:hint="eastAsia" w:ascii="仿宋" w:hAnsi="仿宋" w:eastAsia="仿宋" w:cs="仿宋"/>
                <w:szCs w:val="21"/>
              </w:rPr>
              <w:t>条款内容</w:t>
            </w:r>
          </w:p>
        </w:tc>
        <w:tc>
          <w:tcPr>
            <w:tcW w:w="6737" w:type="dxa"/>
            <w:vAlign w:val="center"/>
          </w:tcPr>
          <w:p>
            <w:pPr>
              <w:rPr>
                <w:rFonts w:ascii="仿宋" w:hAnsi="仿宋" w:eastAsia="仿宋" w:cs="仿宋"/>
                <w:szCs w:val="21"/>
              </w:rPr>
            </w:pPr>
            <w:r>
              <w:rPr>
                <w:rFonts w:hint="eastAsia" w:ascii="仿宋" w:hAnsi="仿宋" w:eastAsia="仿宋" w:cs="仿宋"/>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0" w:hRule="atLeast"/>
          <w:jc w:val="center"/>
        </w:trPr>
        <w:tc>
          <w:tcPr>
            <w:tcW w:w="1034" w:type="dxa"/>
            <w:vAlign w:val="center"/>
          </w:tcPr>
          <w:p>
            <w:pPr>
              <w:rPr>
                <w:rFonts w:ascii="仿宋" w:hAnsi="仿宋" w:eastAsia="仿宋" w:cs="仿宋"/>
                <w:szCs w:val="21"/>
              </w:rPr>
            </w:pPr>
            <w:r>
              <w:rPr>
                <w:rFonts w:hint="eastAsia" w:ascii="仿宋" w:hAnsi="仿宋" w:eastAsia="仿宋" w:cs="仿宋"/>
                <w:szCs w:val="21"/>
              </w:rPr>
              <w:t>报价部分（20分）</w:t>
            </w:r>
          </w:p>
          <w:p>
            <w:pPr>
              <w:rPr>
                <w:rFonts w:ascii="仿宋" w:hAnsi="仿宋" w:eastAsia="仿宋" w:cs="仿宋"/>
                <w:szCs w:val="21"/>
              </w:rPr>
            </w:pPr>
          </w:p>
        </w:tc>
        <w:tc>
          <w:tcPr>
            <w:tcW w:w="1662" w:type="dxa"/>
            <w:vAlign w:val="center"/>
          </w:tcPr>
          <w:p>
            <w:pPr>
              <w:rPr>
                <w:rFonts w:ascii="仿宋" w:hAnsi="仿宋" w:eastAsia="仿宋" w:cs="仿宋"/>
                <w:szCs w:val="21"/>
              </w:rPr>
            </w:pPr>
            <w:r>
              <w:rPr>
                <w:rFonts w:hint="eastAsia" w:ascii="仿宋" w:hAnsi="仿宋" w:eastAsia="仿宋" w:cs="仿宋"/>
                <w:szCs w:val="21"/>
              </w:rPr>
              <w:t>投标报价</w:t>
            </w:r>
          </w:p>
          <w:p>
            <w:pPr>
              <w:rPr>
                <w:rFonts w:ascii="仿宋" w:hAnsi="仿宋" w:eastAsia="仿宋" w:cs="仿宋"/>
                <w:szCs w:val="21"/>
              </w:rPr>
            </w:pPr>
            <w:r>
              <w:rPr>
                <w:rFonts w:hint="eastAsia" w:ascii="仿宋" w:hAnsi="仿宋" w:eastAsia="仿宋" w:cs="仿宋"/>
                <w:szCs w:val="21"/>
              </w:rPr>
              <w:t>（20分）</w:t>
            </w:r>
          </w:p>
        </w:tc>
        <w:tc>
          <w:tcPr>
            <w:tcW w:w="6737" w:type="dxa"/>
            <w:vAlign w:val="center"/>
          </w:tcPr>
          <w:p>
            <w:pPr>
              <w:rPr>
                <w:rFonts w:hint="eastAsia" w:ascii="仿宋" w:hAnsi="仿宋" w:eastAsia="仿宋" w:cs="仿宋"/>
                <w:szCs w:val="21"/>
              </w:rPr>
            </w:pPr>
            <w:r>
              <w:rPr>
                <w:rFonts w:hint="eastAsia" w:ascii="仿宋" w:hAnsi="仿宋" w:eastAsia="仿宋" w:cs="仿宋"/>
                <w:szCs w:val="21"/>
              </w:rPr>
              <w:t>以有效投标人（通过符合性筛选）报价中价格最低的投标报价为基准价，其基准价格分为20分。其他投标人的价格得分=（评标基准价/ 其他投标人报价）×20（精确到小数点后两位）分。</w:t>
            </w:r>
          </w:p>
          <w:p>
            <w:pP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投标商按照开标一览表中要求以纸质档案扫描每页单价为投标报价</w:t>
            </w:r>
            <w:r>
              <w:rPr>
                <w:rFonts w:hint="eastAsia" w:ascii="仿宋" w:hAnsi="仿宋" w:eastAsia="仿宋" w:cs="仿宋"/>
                <w:szCs w:val="21"/>
              </w:rPr>
              <w:br w:type="textWrapping"/>
            </w:r>
            <w:r>
              <w:rPr>
                <w:rFonts w:hint="eastAsia" w:ascii="仿宋" w:hAnsi="仿宋" w:eastAsia="仿宋" w:cs="仿宋"/>
                <w:szCs w:val="21"/>
              </w:rPr>
              <w:t>为保障项目实施与服务质量，避免低于成本价竞争，特别说明如下：</w:t>
            </w:r>
          </w:p>
          <w:p>
            <w:pPr>
              <w:rPr>
                <w:rFonts w:ascii="仿宋" w:hAnsi="仿宋" w:eastAsia="仿宋" w:cs="仿宋"/>
                <w:szCs w:val="21"/>
              </w:rPr>
            </w:pPr>
            <w:r>
              <w:rPr>
                <w:rFonts w:hint="eastAsia" w:ascii="仿宋" w:hAnsi="仿宋" w:eastAsia="仿宋" w:cs="仿宋"/>
                <w:kern w:val="2"/>
                <w:sz w:val="21"/>
                <w:szCs w:val="21"/>
                <w:lang w:val="en-US" w:eastAsia="zh-CN" w:bidi="ar-SA"/>
              </w:rPr>
              <w:t>（1）评标委员会</w:t>
            </w:r>
            <w:r>
              <w:rPr>
                <w:rFonts w:hint="eastAsia" w:ascii="仿宋" w:hAnsi="仿宋" w:eastAsia="仿宋" w:cs="仿宋"/>
                <w:szCs w:val="21"/>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号）、财政部民政部中国残疾人联合会《关于促进残疾人就业政府采购政策的通知》（财库〔2017〕141号）的要求，对小型、微型企业、监狱企业及残疾人福利性企业产品的价格给予6%～10%的扣除，用扣除后的价格参与评审，扣除比例为：小型企业扣除6%，微型企业扣除6%，监狱企业6%，残疾人福利性企业6%。需提供由企业所在地的县级以上中小企业主管部门出具的中小企业认定证书和《中小企业声明函》有效证明材料，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jc w:val="center"/>
        </w:trPr>
        <w:tc>
          <w:tcPr>
            <w:tcW w:w="1034" w:type="dxa"/>
            <w:vMerge w:val="restart"/>
            <w:vAlign w:val="center"/>
          </w:tcPr>
          <w:p>
            <w:pPr>
              <w:rPr>
                <w:rFonts w:ascii="仿宋" w:hAnsi="仿宋" w:eastAsia="仿宋" w:cs="仿宋"/>
                <w:szCs w:val="21"/>
              </w:rPr>
            </w:pPr>
            <w:r>
              <w:rPr>
                <w:rFonts w:hint="eastAsia" w:ascii="仿宋" w:hAnsi="仿宋" w:eastAsia="仿宋" w:cs="仿宋"/>
                <w:szCs w:val="21"/>
              </w:rPr>
              <w:t>商务部分</w:t>
            </w:r>
          </w:p>
          <w:p>
            <w:pPr>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662" w:type="dxa"/>
            <w:vAlign w:val="center"/>
          </w:tcPr>
          <w:p>
            <w:pPr>
              <w:rPr>
                <w:rFonts w:ascii="仿宋" w:hAnsi="仿宋" w:eastAsia="仿宋" w:cs="仿宋"/>
                <w:szCs w:val="21"/>
              </w:rPr>
            </w:pPr>
            <w:r>
              <w:rPr>
                <w:rFonts w:hint="eastAsia" w:ascii="仿宋" w:hAnsi="仿宋" w:eastAsia="仿宋" w:cs="仿宋"/>
                <w:szCs w:val="21"/>
              </w:rPr>
              <w:t>企业业绩</w:t>
            </w:r>
          </w:p>
          <w:p>
            <w:pPr>
              <w:rPr>
                <w:rFonts w:ascii="仿宋" w:hAnsi="仿宋" w:eastAsia="仿宋" w:cs="仿宋"/>
                <w:szCs w:val="21"/>
              </w:rPr>
            </w:pPr>
            <w:r>
              <w:rPr>
                <w:rFonts w:hint="eastAsia" w:ascii="仿宋" w:hAnsi="仿宋" w:eastAsia="仿宋" w:cs="仿宋"/>
                <w:szCs w:val="21"/>
              </w:rPr>
              <w:t>（10分）</w:t>
            </w:r>
          </w:p>
        </w:tc>
        <w:tc>
          <w:tcPr>
            <w:tcW w:w="6737" w:type="dxa"/>
            <w:vAlign w:val="center"/>
          </w:tcPr>
          <w:p>
            <w:pPr>
              <w:widowControl/>
              <w:rPr>
                <w:rFonts w:ascii="仿宋" w:hAnsi="仿宋" w:eastAsia="仿宋" w:cs="仿宋"/>
                <w:szCs w:val="21"/>
              </w:rPr>
            </w:pPr>
            <w:r>
              <w:rPr>
                <w:rFonts w:hint="eastAsia" w:ascii="仿宋" w:hAnsi="仿宋" w:eastAsia="仿宋" w:cs="仿宋"/>
                <w:szCs w:val="21"/>
              </w:rPr>
              <w:t>投标人2016年1月1日以来成功实施过类似项目业绩：</w:t>
            </w:r>
          </w:p>
          <w:p>
            <w:pPr>
              <w:rPr>
                <w:rFonts w:ascii="仿宋" w:hAnsi="仿宋" w:eastAsia="仿宋" w:cs="仿宋"/>
                <w:szCs w:val="21"/>
              </w:rPr>
            </w:pPr>
            <w:r>
              <w:rPr>
                <w:rFonts w:hint="eastAsia" w:ascii="仿宋" w:hAnsi="仿宋" w:eastAsia="仿宋" w:cs="仿宋"/>
                <w:szCs w:val="21"/>
              </w:rPr>
              <w:t>1、合同金额200万-300万（含300万），合同、中标通知书及网上公示截图齐全每个得1分，最高得4分；</w:t>
            </w:r>
          </w:p>
          <w:p>
            <w:pPr>
              <w:widowControl/>
              <w:rPr>
                <w:rFonts w:ascii="仿宋" w:hAnsi="仿宋" w:eastAsia="仿宋" w:cs="仿宋"/>
                <w:szCs w:val="21"/>
              </w:rPr>
            </w:pPr>
            <w:r>
              <w:rPr>
                <w:rFonts w:hint="eastAsia" w:ascii="仿宋" w:hAnsi="仿宋" w:eastAsia="仿宋" w:cs="仿宋"/>
                <w:szCs w:val="21"/>
              </w:rPr>
              <w:t>2、合同金额300万（不含300万）以上，合同、中标通知书及网上公示截图齐全每个得2分，最高得6分。</w:t>
            </w:r>
          </w:p>
          <w:p>
            <w:pPr>
              <w:rPr>
                <w:rFonts w:ascii="仿宋" w:hAnsi="仿宋" w:eastAsia="仿宋" w:cs="仿宋"/>
                <w:b/>
                <w:szCs w:val="21"/>
              </w:rPr>
            </w:pPr>
            <w:r>
              <w:rPr>
                <w:rFonts w:hint="eastAsia" w:ascii="仿宋" w:hAnsi="仿宋" w:eastAsia="仿宋" w:cs="仿宋"/>
                <w:b/>
                <w:szCs w:val="21"/>
              </w:rPr>
              <w:t>（评标时出示合同原件、中标通知书原件，网上公示截图否则不得分）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1" w:hRule="atLeast"/>
          <w:jc w:val="center"/>
        </w:trPr>
        <w:tc>
          <w:tcPr>
            <w:tcW w:w="1034" w:type="dxa"/>
            <w:vMerge w:val="continue"/>
            <w:vAlign w:val="center"/>
          </w:tcPr>
          <w:p>
            <w:pPr>
              <w:rPr>
                <w:rFonts w:ascii="仿宋" w:hAnsi="仿宋" w:eastAsia="仿宋" w:cs="仿宋"/>
                <w:szCs w:val="21"/>
              </w:rPr>
            </w:pPr>
          </w:p>
        </w:tc>
        <w:tc>
          <w:tcPr>
            <w:tcW w:w="1662" w:type="dxa"/>
            <w:vAlign w:val="center"/>
          </w:tcPr>
          <w:p>
            <w:pPr>
              <w:rPr>
                <w:rFonts w:ascii="仿宋" w:hAnsi="仿宋" w:eastAsia="仿宋" w:cs="仿宋"/>
                <w:szCs w:val="21"/>
              </w:rPr>
            </w:pPr>
            <w:r>
              <w:rPr>
                <w:rFonts w:hint="eastAsia" w:ascii="仿宋" w:hAnsi="仿宋" w:eastAsia="仿宋" w:cs="仿宋"/>
                <w:szCs w:val="21"/>
              </w:rPr>
              <w:t>综合实力</w:t>
            </w:r>
          </w:p>
          <w:p>
            <w:pPr>
              <w:rPr>
                <w:rFonts w:ascii="仿宋" w:hAnsi="仿宋" w:eastAsia="仿宋" w:cs="仿宋"/>
                <w:szCs w:val="21"/>
              </w:rPr>
            </w:pPr>
            <w:r>
              <w:rPr>
                <w:rFonts w:hint="eastAsia" w:ascii="仿宋" w:hAnsi="仿宋" w:eastAsia="仿宋" w:cs="仿宋"/>
                <w:szCs w:val="21"/>
              </w:rPr>
              <w:t>（5分）</w:t>
            </w:r>
          </w:p>
          <w:p>
            <w:pPr>
              <w:rPr>
                <w:rFonts w:ascii="仿宋" w:hAnsi="仿宋" w:eastAsia="仿宋" w:cs="仿宋"/>
                <w:szCs w:val="21"/>
              </w:rPr>
            </w:pPr>
          </w:p>
        </w:tc>
        <w:tc>
          <w:tcPr>
            <w:tcW w:w="6737" w:type="dxa"/>
            <w:vAlign w:val="center"/>
          </w:tcPr>
          <w:p>
            <w:pPr>
              <w:rPr>
                <w:rFonts w:ascii="仿宋" w:hAnsi="仿宋" w:eastAsia="仿宋" w:cs="仿宋"/>
                <w:szCs w:val="21"/>
              </w:rPr>
            </w:pPr>
            <w:r>
              <w:rPr>
                <w:rFonts w:hint="eastAsia" w:ascii="仿宋" w:hAnsi="仿宋" w:eastAsia="仿宋" w:cs="仿宋"/>
                <w:szCs w:val="21"/>
              </w:rPr>
              <w:t>1.投标人具有有效期内的信息技术服务管理体系认证得1分，没有不得分；</w:t>
            </w:r>
          </w:p>
          <w:p>
            <w:pPr>
              <w:rPr>
                <w:rFonts w:ascii="仿宋" w:hAnsi="仿宋" w:eastAsia="仿宋" w:cs="仿宋"/>
                <w:szCs w:val="21"/>
              </w:rPr>
            </w:pPr>
            <w:r>
              <w:rPr>
                <w:rFonts w:hint="eastAsia" w:ascii="仿宋" w:hAnsi="仿宋" w:eastAsia="仿宋" w:cs="仿宋"/>
                <w:szCs w:val="21"/>
              </w:rPr>
              <w:t>2.投标人具有有效期内的CMMI认证3级（含3级）以上的得1分，没有不得分；</w:t>
            </w:r>
          </w:p>
          <w:p>
            <w:pPr>
              <w:rPr>
                <w:rFonts w:ascii="仿宋" w:hAnsi="仿宋" w:eastAsia="仿宋" w:cs="仿宋"/>
                <w:szCs w:val="21"/>
              </w:rPr>
            </w:pPr>
            <w:r>
              <w:rPr>
                <w:rFonts w:hint="eastAsia" w:ascii="仿宋" w:hAnsi="仿宋" w:eastAsia="仿宋" w:cs="仿宋"/>
                <w:szCs w:val="21"/>
              </w:rPr>
              <w:t>3.投标人具有信息系统业务安全服务资质证书得3分，无不得分；</w:t>
            </w:r>
          </w:p>
          <w:p>
            <w:pPr>
              <w:pStyle w:val="23"/>
              <w:ind w:firstLine="444" w:firstLineChars="200"/>
              <w:rPr>
                <w:rFonts w:ascii="仿宋" w:hAnsi="仿宋" w:eastAsia="仿宋" w:cs="仿宋"/>
              </w:rPr>
            </w:pPr>
            <w:r>
              <w:rPr>
                <w:rFonts w:hint="eastAsia" w:ascii="仿宋" w:hAnsi="仿宋" w:eastAsia="仿宋" w:cs="仿宋"/>
                <w:color w:val="000000"/>
                <w:spacing w:val="6"/>
                <w:sz w:val="21"/>
                <w:szCs w:val="21"/>
              </w:rPr>
              <w:t>注：以上证书评标时提供原件，证书获取时间应在招标公告发布日期之前，并在投标文件中附复印件，未提供原件或复印件与原件不一致的不得分。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9" w:hRule="atLeast"/>
          <w:jc w:val="center"/>
        </w:trPr>
        <w:tc>
          <w:tcPr>
            <w:tcW w:w="1034" w:type="dxa"/>
            <w:vMerge w:val="continue"/>
            <w:vAlign w:val="center"/>
          </w:tcPr>
          <w:p>
            <w:pPr>
              <w:rPr>
                <w:rFonts w:ascii="仿宋" w:hAnsi="仿宋" w:eastAsia="仿宋" w:cs="仿宋"/>
                <w:szCs w:val="21"/>
              </w:rPr>
            </w:pPr>
          </w:p>
        </w:tc>
        <w:tc>
          <w:tcPr>
            <w:tcW w:w="1662" w:type="dxa"/>
            <w:vAlign w:val="center"/>
          </w:tcPr>
          <w:p>
            <w:pPr>
              <w:wordWrap w:val="0"/>
              <w:autoSpaceDE w:val="0"/>
              <w:autoSpaceDN w:val="0"/>
              <w:rPr>
                <w:rFonts w:hint="eastAsia" w:ascii="仿宋" w:hAnsi="仿宋" w:eastAsia="仿宋" w:cs="仿宋"/>
                <w:color w:val="000000"/>
                <w:spacing w:val="6"/>
                <w:szCs w:val="21"/>
              </w:rPr>
            </w:pPr>
            <w:r>
              <w:rPr>
                <w:rFonts w:hint="eastAsia" w:ascii="仿宋" w:hAnsi="仿宋" w:eastAsia="仿宋" w:cs="仿宋"/>
                <w:color w:val="000000"/>
                <w:spacing w:val="6"/>
                <w:szCs w:val="21"/>
              </w:rPr>
              <w:t>投标人荣誉</w:t>
            </w:r>
          </w:p>
          <w:p>
            <w:pPr>
              <w:wordWrap w:val="0"/>
              <w:autoSpaceDE w:val="0"/>
              <w:autoSpaceDN w:val="0"/>
              <w:rPr>
                <w:rFonts w:hint="eastAsia" w:ascii="仿宋" w:hAnsi="仿宋" w:eastAsia="仿宋" w:cs="仿宋"/>
                <w:color w:val="000000"/>
                <w:spacing w:val="6"/>
                <w:szCs w:val="21"/>
              </w:rPr>
            </w:pPr>
            <w:r>
              <w:rPr>
                <w:rFonts w:hint="eastAsia" w:ascii="仿宋" w:hAnsi="仿宋" w:eastAsia="仿宋" w:cs="仿宋"/>
                <w:color w:val="000000"/>
                <w:spacing w:val="6"/>
                <w:szCs w:val="21"/>
              </w:rPr>
              <w:t>（</w:t>
            </w:r>
            <w:r>
              <w:rPr>
                <w:rFonts w:hint="eastAsia" w:ascii="仿宋" w:hAnsi="仿宋" w:eastAsia="仿宋" w:cs="仿宋"/>
                <w:color w:val="000000"/>
                <w:spacing w:val="6"/>
                <w:szCs w:val="21"/>
                <w:lang w:val="en-US" w:eastAsia="zh-CN"/>
              </w:rPr>
              <w:t>10</w:t>
            </w:r>
            <w:r>
              <w:rPr>
                <w:rFonts w:hint="eastAsia" w:ascii="仿宋" w:hAnsi="仿宋" w:eastAsia="仿宋" w:cs="仿宋"/>
                <w:color w:val="000000"/>
                <w:spacing w:val="6"/>
                <w:szCs w:val="21"/>
              </w:rPr>
              <w:t>分）</w:t>
            </w:r>
          </w:p>
          <w:p>
            <w:pPr>
              <w:pStyle w:val="23"/>
              <w:ind w:firstLine="280"/>
              <w:rPr>
                <w:rFonts w:ascii="仿宋" w:hAnsi="仿宋" w:eastAsia="仿宋" w:cs="仿宋"/>
              </w:rPr>
            </w:pPr>
          </w:p>
        </w:tc>
        <w:tc>
          <w:tcPr>
            <w:tcW w:w="6737" w:type="dxa"/>
            <w:vAlign w:val="center"/>
          </w:tcPr>
          <w:p>
            <w:pPr>
              <w:rPr>
                <w:rFonts w:ascii="仿宋" w:hAnsi="仿宋" w:eastAsia="仿宋" w:cs="仿宋"/>
                <w:szCs w:val="21"/>
              </w:rPr>
            </w:pPr>
            <w:r>
              <w:rPr>
                <w:rFonts w:hint="eastAsia" w:ascii="仿宋" w:hAnsi="仿宋" w:eastAsia="仿宋" w:cs="仿宋"/>
                <w:color w:val="000000"/>
                <w:spacing w:val="6"/>
                <w:szCs w:val="21"/>
              </w:rPr>
              <w:t>1.投标人自2018年1月1日以来（以颁奖时间为准），获得市级及以上档案行政主管部门颁发的档案数字化加工类荣誉证书，</w:t>
            </w:r>
            <w:r>
              <w:rPr>
                <w:rFonts w:hint="eastAsia" w:ascii="仿宋" w:hAnsi="仿宋" w:eastAsia="仿宋" w:cs="仿宋"/>
                <w:szCs w:val="21"/>
              </w:rPr>
              <w:t>每个得</w:t>
            </w:r>
            <w:r>
              <w:rPr>
                <w:rFonts w:hint="eastAsia" w:ascii="仿宋" w:hAnsi="仿宋" w:eastAsia="仿宋" w:cs="仿宋"/>
                <w:szCs w:val="21"/>
                <w:lang w:val="en-US" w:eastAsia="zh-CN"/>
              </w:rPr>
              <w:t>2</w:t>
            </w:r>
            <w:r>
              <w:rPr>
                <w:rFonts w:hint="eastAsia" w:ascii="仿宋" w:hAnsi="仿宋" w:eastAsia="仿宋" w:cs="仿宋"/>
                <w:szCs w:val="21"/>
              </w:rPr>
              <w:t>分，最高得</w:t>
            </w:r>
            <w:r>
              <w:rPr>
                <w:rFonts w:hint="eastAsia" w:ascii="仿宋" w:hAnsi="仿宋" w:eastAsia="仿宋" w:cs="仿宋"/>
                <w:szCs w:val="21"/>
                <w:lang w:val="en-US" w:eastAsia="zh-CN"/>
              </w:rPr>
              <w:t>4</w:t>
            </w:r>
            <w:r>
              <w:rPr>
                <w:rFonts w:hint="eastAsia" w:ascii="仿宋" w:hAnsi="仿宋" w:eastAsia="仿宋" w:cs="仿宋"/>
                <w:szCs w:val="21"/>
              </w:rPr>
              <w:t>分；</w:t>
            </w:r>
          </w:p>
          <w:p>
            <w:pPr>
              <w:wordWrap w:val="0"/>
              <w:autoSpaceDE w:val="0"/>
              <w:autoSpaceDN w:val="0"/>
              <w:rPr>
                <w:rFonts w:ascii="仿宋" w:hAnsi="仿宋" w:eastAsia="仿宋" w:cs="仿宋"/>
                <w:color w:val="000000"/>
                <w:spacing w:val="6"/>
                <w:szCs w:val="21"/>
              </w:rPr>
            </w:pPr>
            <w:r>
              <w:rPr>
                <w:rFonts w:hint="eastAsia" w:ascii="仿宋" w:hAnsi="仿宋" w:eastAsia="仿宋" w:cs="仿宋"/>
                <w:color w:val="000000"/>
                <w:spacing w:val="6"/>
                <w:szCs w:val="21"/>
              </w:rPr>
              <w:t>2.投标人自2018年1月1日以来（以颁奖时间为准），获得省级及以上（含省级）优秀软件企业证书得</w:t>
            </w:r>
            <w:r>
              <w:rPr>
                <w:rFonts w:hint="eastAsia" w:ascii="仿宋" w:hAnsi="仿宋" w:eastAsia="仿宋" w:cs="仿宋"/>
                <w:color w:val="000000"/>
                <w:spacing w:val="6"/>
                <w:szCs w:val="21"/>
                <w:lang w:val="en-US" w:eastAsia="zh-CN"/>
              </w:rPr>
              <w:t>2</w:t>
            </w:r>
            <w:r>
              <w:rPr>
                <w:rFonts w:hint="eastAsia" w:ascii="仿宋" w:hAnsi="仿宋" w:eastAsia="仿宋" w:cs="仿宋"/>
                <w:color w:val="000000"/>
                <w:spacing w:val="6"/>
                <w:szCs w:val="21"/>
              </w:rPr>
              <w:t>分；</w:t>
            </w:r>
          </w:p>
          <w:p>
            <w:pPr>
              <w:wordWrap w:val="0"/>
              <w:autoSpaceDE w:val="0"/>
              <w:autoSpaceDN w:val="0"/>
              <w:rPr>
                <w:rFonts w:ascii="仿宋" w:hAnsi="仿宋" w:eastAsia="仿宋" w:cs="仿宋"/>
                <w:color w:val="000000"/>
                <w:spacing w:val="6"/>
                <w:szCs w:val="21"/>
              </w:rPr>
            </w:pPr>
            <w:r>
              <w:rPr>
                <w:rFonts w:hint="eastAsia" w:ascii="仿宋" w:hAnsi="仿宋" w:eastAsia="仿宋" w:cs="仿宋"/>
                <w:color w:val="000000"/>
                <w:spacing w:val="6"/>
                <w:szCs w:val="21"/>
              </w:rPr>
              <w:t>3.投标人自2018年1月1日以来（以颁奖时间为准），获得省级及以上（含省级）计算机行业协会颁发优秀诚信单位荣誉证书得</w:t>
            </w:r>
            <w:r>
              <w:rPr>
                <w:rFonts w:hint="eastAsia" w:ascii="仿宋" w:hAnsi="仿宋" w:eastAsia="仿宋" w:cs="仿宋"/>
                <w:color w:val="000000"/>
                <w:spacing w:val="6"/>
                <w:szCs w:val="21"/>
                <w:lang w:val="en-US" w:eastAsia="zh-CN"/>
              </w:rPr>
              <w:t>2</w:t>
            </w:r>
            <w:r>
              <w:rPr>
                <w:rFonts w:hint="eastAsia" w:ascii="仿宋" w:hAnsi="仿宋" w:eastAsia="仿宋" w:cs="仿宋"/>
                <w:color w:val="000000"/>
                <w:spacing w:val="6"/>
                <w:szCs w:val="21"/>
              </w:rPr>
              <w:t>分；</w:t>
            </w:r>
          </w:p>
          <w:p>
            <w:pPr>
              <w:wordWrap w:val="0"/>
              <w:autoSpaceDE w:val="0"/>
              <w:autoSpaceDN w:val="0"/>
              <w:rPr>
                <w:rFonts w:ascii="仿宋" w:hAnsi="仿宋" w:eastAsia="仿宋" w:cs="仿宋"/>
                <w:color w:val="000000"/>
                <w:spacing w:val="6"/>
                <w:szCs w:val="21"/>
              </w:rPr>
            </w:pPr>
            <w:r>
              <w:rPr>
                <w:rFonts w:hint="eastAsia" w:ascii="仿宋" w:hAnsi="仿宋" w:eastAsia="仿宋" w:cs="仿宋"/>
                <w:color w:val="000000"/>
                <w:spacing w:val="6"/>
                <w:szCs w:val="21"/>
              </w:rPr>
              <w:t>4.投标人法定代表人自2018年1月1日以来（以颁奖时间为准），获得省级及以上（含省级）软件服务业优秀企业家证书得</w:t>
            </w:r>
            <w:r>
              <w:rPr>
                <w:rFonts w:hint="eastAsia" w:ascii="仿宋" w:hAnsi="仿宋" w:eastAsia="仿宋" w:cs="仿宋"/>
                <w:color w:val="000000"/>
                <w:spacing w:val="6"/>
                <w:szCs w:val="21"/>
                <w:lang w:val="en-US" w:eastAsia="zh-CN"/>
              </w:rPr>
              <w:t>2</w:t>
            </w:r>
            <w:r>
              <w:rPr>
                <w:rFonts w:hint="eastAsia" w:ascii="仿宋" w:hAnsi="仿宋" w:eastAsia="仿宋" w:cs="仿宋"/>
                <w:color w:val="000000"/>
                <w:spacing w:val="6"/>
                <w:szCs w:val="21"/>
              </w:rPr>
              <w:t>分；</w:t>
            </w:r>
          </w:p>
          <w:p>
            <w:pPr>
              <w:wordWrap w:val="0"/>
              <w:autoSpaceDE w:val="0"/>
              <w:autoSpaceDN w:val="0"/>
              <w:ind w:firstLine="444" w:firstLineChars="200"/>
              <w:rPr>
                <w:rFonts w:ascii="仿宋" w:hAnsi="仿宋" w:eastAsia="仿宋" w:cs="仿宋"/>
                <w:color w:val="000000"/>
                <w:spacing w:val="6"/>
                <w:szCs w:val="21"/>
              </w:rPr>
            </w:pPr>
            <w:r>
              <w:rPr>
                <w:rFonts w:hint="eastAsia" w:ascii="仿宋" w:hAnsi="仿宋" w:eastAsia="仿宋" w:cs="仿宋"/>
                <w:color w:val="000000"/>
                <w:spacing w:val="6"/>
                <w:szCs w:val="21"/>
              </w:rPr>
              <w:t>注：（1）以上证书评标时提供原件，证书获取时间应在招标公告发布日期之前，并在投标文件中附复印件，未提供原件或复印件与原件不一致的不得分。</w:t>
            </w:r>
          </w:p>
          <w:p>
            <w:pPr>
              <w:wordWrap w:val="0"/>
              <w:autoSpaceDE w:val="0"/>
              <w:autoSpaceDN w:val="0"/>
              <w:rPr>
                <w:rFonts w:ascii="仿宋" w:hAnsi="仿宋" w:eastAsia="仿宋" w:cs="仿宋"/>
                <w:color w:val="000000"/>
                <w:spacing w:val="6"/>
                <w:szCs w:val="21"/>
              </w:rPr>
            </w:pPr>
            <w:r>
              <w:rPr>
                <w:rFonts w:hint="eastAsia" w:ascii="仿宋" w:hAnsi="仿宋" w:eastAsia="仿宋" w:cs="仿宋"/>
                <w:color w:val="000000"/>
                <w:spacing w:val="6"/>
                <w:szCs w:val="21"/>
              </w:rPr>
              <w:t>（2）“国内依法登记注册”以中国社会组织网查询结果为准，投标文件中须提供该协会在中国社会组织网查询的结果截图。民政部公布的“离岸社团”、“山寨社团”颁发的荣誉、奖励均无效。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4" w:hRule="atLeast"/>
          <w:jc w:val="center"/>
        </w:trPr>
        <w:tc>
          <w:tcPr>
            <w:tcW w:w="1034" w:type="dxa"/>
            <w:vMerge w:val="restart"/>
            <w:vAlign w:val="center"/>
          </w:tcPr>
          <w:p>
            <w:pPr>
              <w:rPr>
                <w:rFonts w:ascii="仿宋" w:hAnsi="仿宋" w:eastAsia="仿宋" w:cs="仿宋"/>
                <w:szCs w:val="21"/>
              </w:rPr>
            </w:pPr>
            <w:r>
              <w:rPr>
                <w:rFonts w:hint="eastAsia" w:ascii="仿宋" w:hAnsi="仿宋" w:eastAsia="仿宋" w:cs="仿宋"/>
                <w:szCs w:val="21"/>
              </w:rPr>
              <w:t>技术部分</w:t>
            </w:r>
          </w:p>
          <w:p>
            <w:pP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55</w:t>
            </w:r>
            <w:r>
              <w:rPr>
                <w:rFonts w:hint="eastAsia" w:ascii="仿宋" w:hAnsi="仿宋" w:eastAsia="仿宋" w:cs="仿宋"/>
                <w:szCs w:val="21"/>
              </w:rPr>
              <w:t>分）</w:t>
            </w:r>
          </w:p>
        </w:tc>
        <w:tc>
          <w:tcPr>
            <w:tcW w:w="1662" w:type="dxa"/>
            <w:vAlign w:val="center"/>
          </w:tcPr>
          <w:p>
            <w:pPr>
              <w:rPr>
                <w:rFonts w:ascii="仿宋" w:hAnsi="仿宋" w:eastAsia="仿宋" w:cs="仿宋"/>
                <w:szCs w:val="21"/>
              </w:rPr>
            </w:pPr>
            <w:r>
              <w:rPr>
                <w:rFonts w:hint="eastAsia" w:ascii="仿宋" w:hAnsi="仿宋" w:eastAsia="仿宋" w:cs="仿宋"/>
                <w:szCs w:val="21"/>
              </w:rPr>
              <w:t>实施过程相关软件优越性、安全性</w:t>
            </w:r>
          </w:p>
          <w:p>
            <w:pPr>
              <w:rPr>
                <w:rFonts w:ascii="仿宋" w:hAnsi="仿宋" w:eastAsia="仿宋" w:cs="仿宋"/>
                <w:szCs w:val="21"/>
              </w:rPr>
            </w:pPr>
            <w:r>
              <w:rPr>
                <w:rFonts w:hint="eastAsia" w:ascii="仿宋" w:hAnsi="仿宋" w:eastAsia="仿宋" w:cs="仿宋"/>
                <w:color w:val="000000"/>
                <w:spacing w:val="6"/>
                <w:szCs w:val="21"/>
              </w:rPr>
              <w:t>（</w:t>
            </w:r>
            <w:r>
              <w:rPr>
                <w:rFonts w:hint="eastAsia" w:ascii="仿宋" w:hAnsi="仿宋" w:eastAsia="仿宋" w:cs="仿宋"/>
                <w:color w:val="000000"/>
                <w:spacing w:val="6"/>
                <w:szCs w:val="21"/>
                <w:lang w:val="en-US" w:eastAsia="zh-CN"/>
              </w:rPr>
              <w:t>10</w:t>
            </w:r>
            <w:r>
              <w:rPr>
                <w:rFonts w:hint="eastAsia" w:ascii="仿宋" w:hAnsi="仿宋" w:eastAsia="仿宋" w:cs="仿宋"/>
                <w:color w:val="000000"/>
                <w:spacing w:val="6"/>
                <w:szCs w:val="21"/>
              </w:rPr>
              <w:t>分）</w:t>
            </w:r>
          </w:p>
        </w:tc>
        <w:tc>
          <w:tcPr>
            <w:tcW w:w="6737" w:type="dxa"/>
            <w:vAlign w:val="center"/>
          </w:tcPr>
          <w:p>
            <w:pPr>
              <w:wordWrap w:val="0"/>
              <w:autoSpaceDE w:val="0"/>
              <w:autoSpaceDN w:val="0"/>
              <w:rPr>
                <w:rFonts w:ascii="仿宋" w:hAnsi="仿宋" w:eastAsia="仿宋" w:cs="仿宋"/>
                <w:color w:val="000000"/>
                <w:spacing w:val="6"/>
                <w:szCs w:val="21"/>
              </w:rPr>
            </w:pPr>
            <w:r>
              <w:rPr>
                <w:rFonts w:hint="eastAsia" w:ascii="仿宋" w:hAnsi="仿宋" w:eastAsia="仿宋" w:cs="仿宋"/>
                <w:color w:val="000000"/>
                <w:spacing w:val="6"/>
                <w:szCs w:val="21"/>
              </w:rPr>
              <w:t>投标人实施在过程中相关软件优越性、安全性、知识产权保障为目标，投标人具有智慧法院数字档案管理、追溯管理、保密安全管理、数据保存、数据检测、数据备份、电子档案移交挂接系统、数据接口交换平台</w:t>
            </w:r>
            <w:r>
              <w:rPr>
                <w:rFonts w:hint="eastAsia" w:ascii="仿宋" w:hAnsi="仿宋" w:eastAsia="仿宋" w:cs="仿宋"/>
                <w:color w:val="000000"/>
                <w:spacing w:val="6"/>
                <w:szCs w:val="21"/>
                <w:lang w:eastAsia="zh-CN"/>
              </w:rPr>
              <w:t>、档案一体化备份、数字化加工流程安全控制保密管理</w:t>
            </w:r>
            <w:r>
              <w:rPr>
                <w:rFonts w:hint="eastAsia" w:ascii="仿宋" w:hAnsi="仿宋" w:eastAsia="仿宋" w:cs="仿宋"/>
                <w:color w:val="000000"/>
                <w:spacing w:val="6"/>
                <w:szCs w:val="21"/>
              </w:rPr>
              <w:t>相关著作权，每有一项得1分，最高得</w:t>
            </w:r>
            <w:r>
              <w:rPr>
                <w:rFonts w:hint="eastAsia" w:ascii="仿宋" w:hAnsi="仿宋" w:eastAsia="仿宋" w:cs="仿宋"/>
                <w:color w:val="000000"/>
                <w:spacing w:val="6"/>
                <w:szCs w:val="21"/>
                <w:lang w:val="en-US" w:eastAsia="zh-CN"/>
              </w:rPr>
              <w:t>10</w:t>
            </w:r>
            <w:r>
              <w:rPr>
                <w:rFonts w:hint="eastAsia" w:ascii="仿宋" w:hAnsi="仿宋" w:eastAsia="仿宋" w:cs="仿宋"/>
                <w:color w:val="000000"/>
                <w:spacing w:val="6"/>
                <w:szCs w:val="21"/>
              </w:rPr>
              <w:t>分。</w:t>
            </w:r>
          </w:p>
          <w:p>
            <w:pPr>
              <w:wordWrap w:val="0"/>
              <w:autoSpaceDE w:val="0"/>
              <w:autoSpaceDN w:val="0"/>
              <w:ind w:firstLine="444" w:firstLineChars="200"/>
              <w:rPr>
                <w:rFonts w:ascii="仿宋" w:hAnsi="仿宋" w:eastAsia="仿宋" w:cs="仿宋"/>
                <w:color w:val="000000"/>
                <w:spacing w:val="6"/>
                <w:szCs w:val="21"/>
              </w:rPr>
            </w:pPr>
            <w:r>
              <w:rPr>
                <w:rFonts w:hint="eastAsia" w:ascii="仿宋" w:hAnsi="仿宋" w:eastAsia="仿宋" w:cs="仿宋"/>
                <w:color w:val="000000"/>
                <w:spacing w:val="6"/>
                <w:szCs w:val="21"/>
              </w:rPr>
              <w:t>注：以上证书评标时提供原件，证书获取时间应在招标公告发布日期之前，并在投标文件中附复印件，未提供原件或复印件与原件不一致的不得分。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6" w:hRule="atLeast"/>
          <w:jc w:val="center"/>
        </w:trPr>
        <w:tc>
          <w:tcPr>
            <w:tcW w:w="1034" w:type="dxa"/>
            <w:vMerge w:val="continue"/>
            <w:vAlign w:val="center"/>
          </w:tcPr>
          <w:p>
            <w:pPr>
              <w:rPr>
                <w:rFonts w:ascii="仿宋" w:hAnsi="仿宋" w:eastAsia="仿宋" w:cs="仿宋"/>
                <w:szCs w:val="21"/>
              </w:rPr>
            </w:pPr>
          </w:p>
        </w:tc>
        <w:tc>
          <w:tcPr>
            <w:tcW w:w="1662" w:type="dxa"/>
            <w:vAlign w:val="center"/>
          </w:tcPr>
          <w:p>
            <w:pPr>
              <w:rPr>
                <w:rFonts w:ascii="仿宋" w:hAnsi="仿宋" w:eastAsia="仿宋" w:cs="仿宋"/>
                <w:szCs w:val="21"/>
              </w:rPr>
            </w:pPr>
            <w:r>
              <w:rPr>
                <w:rFonts w:hint="eastAsia" w:ascii="仿宋" w:hAnsi="仿宋" w:eastAsia="仿宋" w:cs="仿宋"/>
                <w:spacing w:val="6"/>
                <w:kern w:val="0"/>
                <w:szCs w:val="21"/>
                <w:lang w:eastAsia="zh-CN"/>
              </w:rPr>
              <w:t>项目负责人要求</w:t>
            </w:r>
            <w:r>
              <w:rPr>
                <w:rFonts w:hint="eastAsia" w:ascii="仿宋" w:hAnsi="仿宋" w:eastAsia="仿宋" w:cs="仿宋"/>
                <w:spacing w:val="6"/>
                <w:kern w:val="0"/>
                <w:szCs w:val="21"/>
              </w:rPr>
              <w:t>（</w:t>
            </w:r>
            <w:r>
              <w:rPr>
                <w:rFonts w:hint="eastAsia" w:ascii="仿宋" w:hAnsi="仿宋" w:eastAsia="仿宋" w:cs="仿宋"/>
                <w:spacing w:val="6"/>
                <w:kern w:val="0"/>
                <w:szCs w:val="21"/>
                <w:lang w:val="en-US" w:eastAsia="zh-CN"/>
              </w:rPr>
              <w:t>5</w:t>
            </w:r>
            <w:r>
              <w:rPr>
                <w:rFonts w:hint="eastAsia" w:ascii="仿宋" w:hAnsi="仿宋" w:eastAsia="仿宋" w:cs="仿宋"/>
                <w:spacing w:val="6"/>
                <w:kern w:val="0"/>
                <w:szCs w:val="21"/>
              </w:rPr>
              <w:t>分）</w:t>
            </w:r>
          </w:p>
        </w:tc>
        <w:tc>
          <w:tcPr>
            <w:tcW w:w="6737" w:type="dxa"/>
            <w:vAlign w:val="center"/>
          </w:tcPr>
          <w:p>
            <w:pPr>
              <w:widowControl/>
              <w:shd w:val="clear" w:color="auto" w:fill="FFFFFF"/>
              <w:jc w:val="left"/>
              <w:rPr>
                <w:rFonts w:ascii="仿宋" w:hAnsi="仿宋" w:eastAsia="仿宋" w:cs="仿宋"/>
                <w:spacing w:val="6"/>
                <w:kern w:val="0"/>
                <w:szCs w:val="21"/>
              </w:rPr>
            </w:pPr>
            <w:r>
              <w:rPr>
                <w:rFonts w:hint="eastAsia" w:ascii="仿宋" w:hAnsi="仿宋" w:eastAsia="仿宋" w:cs="仿宋"/>
                <w:spacing w:val="6"/>
                <w:kern w:val="0"/>
                <w:szCs w:val="21"/>
              </w:rPr>
              <w:t>投标人拟派项目经理必须具备档案专业技术职称认证并提供中国国家人才网专业人才入库证明，高级职称得</w:t>
            </w:r>
            <w:r>
              <w:rPr>
                <w:rFonts w:hint="eastAsia" w:ascii="仿宋" w:hAnsi="仿宋" w:eastAsia="仿宋" w:cs="仿宋"/>
                <w:spacing w:val="6"/>
                <w:kern w:val="0"/>
                <w:szCs w:val="21"/>
                <w:lang w:val="en-US" w:eastAsia="zh-CN"/>
              </w:rPr>
              <w:t>5</w:t>
            </w:r>
            <w:r>
              <w:rPr>
                <w:rFonts w:hint="eastAsia" w:ascii="仿宋" w:hAnsi="仿宋" w:eastAsia="仿宋" w:cs="仿宋"/>
                <w:spacing w:val="6"/>
                <w:kern w:val="0"/>
                <w:szCs w:val="21"/>
              </w:rPr>
              <w:t>分，中级职称认证得2分，其他得0分</w:t>
            </w:r>
          </w:p>
          <w:p>
            <w:pPr>
              <w:widowControl/>
              <w:shd w:val="clear" w:color="auto" w:fill="FFFFFF"/>
              <w:ind w:firstLine="444" w:firstLineChars="200"/>
              <w:jc w:val="left"/>
              <w:rPr>
                <w:rFonts w:ascii="仿宋" w:hAnsi="仿宋" w:eastAsia="仿宋" w:cs="仿宋"/>
                <w:szCs w:val="21"/>
              </w:rPr>
            </w:pPr>
            <w:r>
              <w:rPr>
                <w:rFonts w:hint="eastAsia" w:ascii="仿宋" w:hAnsi="仿宋" w:eastAsia="仿宋" w:cs="仿宋"/>
                <w:spacing w:val="6"/>
                <w:kern w:val="0"/>
                <w:szCs w:val="21"/>
              </w:rPr>
              <w:t>注：投标文件中需提供相关证书扫描件</w:t>
            </w:r>
            <w:r>
              <w:rPr>
                <w:rFonts w:hint="eastAsia" w:ascii="仿宋" w:hAnsi="仿宋" w:eastAsia="仿宋" w:cs="仿宋"/>
                <w:spacing w:val="6"/>
                <w:kern w:val="0"/>
                <w:szCs w:val="21"/>
                <w:lang w:eastAsia="zh-CN"/>
              </w:rPr>
              <w:t>及投标人为其缴纳</w:t>
            </w:r>
            <w:r>
              <w:rPr>
                <w:rFonts w:hint="eastAsia" w:ascii="仿宋" w:hAnsi="仿宋" w:eastAsia="仿宋" w:cs="仿宋"/>
                <w:spacing w:val="6"/>
                <w:kern w:val="0"/>
                <w:szCs w:val="21"/>
              </w:rPr>
              <w:t>的2019年6月（含6月）以来任意一个月社保缴费证明，证书获取时间应在招标公告发布日期之前，并在投标文件中附相关证书及社保缴费证明复印件，未提供原件或复印件与原件不一致的不得分。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6" w:hRule="atLeast"/>
          <w:jc w:val="center"/>
        </w:trPr>
        <w:tc>
          <w:tcPr>
            <w:tcW w:w="1034" w:type="dxa"/>
            <w:vMerge w:val="continue"/>
            <w:vAlign w:val="center"/>
          </w:tcPr>
          <w:p>
            <w:pPr>
              <w:rPr>
                <w:rFonts w:ascii="仿宋" w:hAnsi="仿宋" w:eastAsia="仿宋" w:cs="仿宋"/>
                <w:szCs w:val="21"/>
              </w:rPr>
            </w:pPr>
          </w:p>
        </w:tc>
        <w:tc>
          <w:tcPr>
            <w:tcW w:w="1662" w:type="dxa"/>
            <w:vAlign w:val="center"/>
          </w:tcPr>
          <w:p>
            <w:pPr>
              <w:adjustRightInd w:val="0"/>
              <w:jc w:val="left"/>
              <w:textAlignment w:val="baseline"/>
              <w:rPr>
                <w:rFonts w:hint="eastAsia" w:ascii="仿宋" w:hAnsi="仿宋" w:eastAsia="仿宋" w:cs="仿宋"/>
                <w:szCs w:val="21"/>
              </w:rPr>
            </w:pPr>
            <w:r>
              <w:rPr>
                <w:rFonts w:hint="eastAsia" w:ascii="仿宋" w:hAnsi="仿宋" w:eastAsia="仿宋" w:cs="仿宋"/>
                <w:szCs w:val="21"/>
              </w:rPr>
              <w:t>产品的整体安全性、稳定性、兼容性、可扩展性及厂商资质、产品成熟度</w:t>
            </w:r>
          </w:p>
          <w:p>
            <w:pPr>
              <w:adjustRightInd w:val="0"/>
              <w:jc w:val="left"/>
              <w:textAlignment w:val="baseline"/>
              <w:rPr>
                <w:rFonts w:hint="eastAsia" w:ascii="仿宋" w:hAnsi="仿宋" w:eastAsia="仿宋" w:cs="仿宋"/>
                <w:szCs w:val="21"/>
              </w:rPr>
            </w:pPr>
            <w:r>
              <w:rPr>
                <w:rFonts w:hint="eastAsia" w:ascii="仿宋" w:hAnsi="仿宋" w:eastAsia="仿宋" w:cs="仿宋"/>
                <w:szCs w:val="21"/>
              </w:rPr>
              <w:t>（5分）</w:t>
            </w:r>
          </w:p>
        </w:tc>
        <w:tc>
          <w:tcPr>
            <w:tcW w:w="6737" w:type="dxa"/>
            <w:vAlign w:val="center"/>
          </w:tcPr>
          <w:p>
            <w:pPr>
              <w:adjustRightInd w:val="0"/>
              <w:jc w:val="left"/>
              <w:textAlignment w:val="baseline"/>
              <w:rPr>
                <w:rFonts w:hint="eastAsia" w:ascii="仿宋" w:hAnsi="仿宋" w:eastAsia="仿宋" w:cs="仿宋"/>
                <w:szCs w:val="21"/>
              </w:rPr>
            </w:pPr>
            <w:r>
              <w:rPr>
                <w:rFonts w:hint="eastAsia" w:ascii="仿宋" w:hAnsi="仿宋" w:eastAsia="仿宋" w:cs="仿宋"/>
                <w:szCs w:val="21"/>
              </w:rPr>
              <w:t>1、所投服务器2017及2018年X86服务器中国市场销售市场占有率前三，提供IDC出具的证明文件，得2分，不提供不得分。</w:t>
            </w:r>
          </w:p>
          <w:p>
            <w:pPr>
              <w:adjustRightInd w:val="0"/>
              <w:jc w:val="left"/>
              <w:textAlignment w:val="baseline"/>
              <w:rPr>
                <w:rFonts w:hint="eastAsia" w:ascii="仿宋" w:hAnsi="仿宋" w:eastAsia="仿宋" w:cs="仿宋"/>
                <w:szCs w:val="21"/>
              </w:rPr>
            </w:pPr>
            <w:r>
              <w:rPr>
                <w:rFonts w:hint="eastAsia" w:ascii="仿宋" w:hAnsi="仿宋" w:eastAsia="仿宋" w:cs="仿宋"/>
                <w:szCs w:val="21"/>
              </w:rPr>
              <w:t>2、为保证系统可持续发展及架构领先，所投服务器制造厂商具备业界引导实力，为SPEC OSSC 执行委员，提供组织方证明文件，并加盖厂商公章，得2分，不提供不得分。</w:t>
            </w:r>
          </w:p>
          <w:p>
            <w:pPr>
              <w:adjustRightInd w:val="0"/>
              <w:jc w:val="left"/>
              <w:textAlignment w:val="baseline"/>
              <w:rPr>
                <w:rFonts w:hint="eastAsia" w:ascii="仿宋" w:hAnsi="仿宋" w:eastAsia="仿宋" w:cs="仿宋"/>
                <w:szCs w:val="21"/>
              </w:rPr>
            </w:pPr>
            <w:r>
              <w:rPr>
                <w:rFonts w:hint="eastAsia" w:ascii="仿宋" w:hAnsi="仿宋" w:eastAsia="仿宋" w:cs="仿宋"/>
                <w:szCs w:val="21"/>
              </w:rPr>
              <w:t>3、服务：三年免费整机硬件保修，原厂工程师上门服务，提供厂商授权，得1分，不提供不得分。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6" w:hRule="atLeast"/>
          <w:jc w:val="center"/>
        </w:trPr>
        <w:tc>
          <w:tcPr>
            <w:tcW w:w="1034" w:type="dxa"/>
            <w:vMerge w:val="continue"/>
            <w:vAlign w:val="center"/>
          </w:tcPr>
          <w:p>
            <w:pPr>
              <w:rPr>
                <w:rFonts w:ascii="仿宋" w:hAnsi="仿宋" w:eastAsia="仿宋" w:cs="仿宋"/>
                <w:szCs w:val="21"/>
              </w:rPr>
            </w:pPr>
          </w:p>
        </w:tc>
        <w:tc>
          <w:tcPr>
            <w:tcW w:w="1662" w:type="dxa"/>
            <w:vAlign w:val="center"/>
          </w:tcPr>
          <w:p>
            <w:pPr>
              <w:rPr>
                <w:rFonts w:ascii="仿宋" w:hAnsi="仿宋" w:eastAsia="仿宋" w:cs="仿宋"/>
                <w:szCs w:val="21"/>
              </w:rPr>
            </w:pPr>
            <w:r>
              <w:rPr>
                <w:rFonts w:hint="eastAsia" w:ascii="仿宋" w:hAnsi="仿宋" w:eastAsia="仿宋" w:cs="仿宋"/>
                <w:szCs w:val="21"/>
              </w:rPr>
              <w:t>实施方案、保障措施</w:t>
            </w:r>
          </w:p>
          <w:p>
            <w:pP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30</w:t>
            </w:r>
            <w:r>
              <w:rPr>
                <w:rFonts w:hint="eastAsia" w:ascii="仿宋" w:hAnsi="仿宋" w:eastAsia="仿宋" w:cs="仿宋"/>
                <w:szCs w:val="21"/>
              </w:rPr>
              <w:t>分）</w:t>
            </w:r>
          </w:p>
        </w:tc>
        <w:tc>
          <w:tcPr>
            <w:tcW w:w="6737" w:type="dxa"/>
            <w:vAlign w:val="center"/>
          </w:tcPr>
          <w:p>
            <w:pPr>
              <w:adjustRightInd w:val="0"/>
              <w:jc w:val="left"/>
              <w:textAlignment w:val="baseline"/>
              <w:rPr>
                <w:rFonts w:ascii="仿宋" w:hAnsi="仿宋" w:eastAsia="仿宋" w:cs="仿宋"/>
                <w:szCs w:val="21"/>
              </w:rPr>
            </w:pPr>
            <w:r>
              <w:rPr>
                <w:rFonts w:hint="eastAsia" w:ascii="仿宋" w:hAnsi="仿宋" w:eastAsia="仿宋" w:cs="仿宋"/>
                <w:szCs w:val="21"/>
              </w:rPr>
              <w:t>1、项目实施计划的可操作性，分档进行打分：优得</w:t>
            </w:r>
            <w:r>
              <w:rPr>
                <w:rFonts w:hint="eastAsia" w:ascii="仿宋" w:hAnsi="仿宋" w:eastAsia="仿宋" w:cs="仿宋"/>
                <w:szCs w:val="21"/>
                <w:lang w:val="en-US" w:eastAsia="zh-CN"/>
              </w:rPr>
              <w:t>6</w:t>
            </w:r>
            <w:r>
              <w:rPr>
                <w:rFonts w:hint="eastAsia" w:ascii="仿宋" w:hAnsi="仿宋" w:eastAsia="仿宋" w:cs="仿宋"/>
                <w:szCs w:val="21"/>
              </w:rPr>
              <w:t>分、良得</w:t>
            </w:r>
            <w:r>
              <w:rPr>
                <w:rFonts w:hint="eastAsia" w:ascii="仿宋" w:hAnsi="仿宋" w:eastAsia="仿宋" w:cs="仿宋"/>
                <w:szCs w:val="21"/>
                <w:lang w:val="en-US" w:eastAsia="zh-CN"/>
              </w:rPr>
              <w:t>3</w:t>
            </w:r>
            <w:r>
              <w:rPr>
                <w:rFonts w:hint="eastAsia" w:ascii="仿宋" w:hAnsi="仿宋" w:eastAsia="仿宋" w:cs="仿宋"/>
                <w:szCs w:val="21"/>
              </w:rPr>
              <w:t>分、差得1分、缺项得0分；</w:t>
            </w: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分）</w:t>
            </w:r>
          </w:p>
          <w:p>
            <w:pPr>
              <w:adjustRightInd w:val="0"/>
              <w:jc w:val="left"/>
              <w:textAlignment w:val="baseline"/>
              <w:rPr>
                <w:rFonts w:ascii="仿宋" w:hAnsi="仿宋" w:eastAsia="仿宋" w:cs="仿宋"/>
                <w:szCs w:val="21"/>
              </w:rPr>
            </w:pPr>
            <w:r>
              <w:rPr>
                <w:rFonts w:hint="eastAsia" w:ascii="仿宋" w:hAnsi="仿宋" w:eastAsia="仿宋" w:cs="仿宋"/>
                <w:szCs w:val="21"/>
              </w:rPr>
              <w:t>2、项目管理制度的规范性和完备性，分档进行打分：优得</w:t>
            </w:r>
            <w:r>
              <w:rPr>
                <w:rFonts w:hint="eastAsia" w:ascii="仿宋" w:hAnsi="仿宋" w:eastAsia="仿宋" w:cs="仿宋"/>
                <w:szCs w:val="21"/>
                <w:lang w:val="en-US" w:eastAsia="zh-CN"/>
              </w:rPr>
              <w:t>6</w:t>
            </w:r>
            <w:r>
              <w:rPr>
                <w:rFonts w:hint="eastAsia" w:ascii="仿宋" w:hAnsi="仿宋" w:eastAsia="仿宋" w:cs="仿宋"/>
                <w:szCs w:val="21"/>
              </w:rPr>
              <w:t>分、良得</w:t>
            </w:r>
            <w:r>
              <w:rPr>
                <w:rFonts w:hint="eastAsia" w:ascii="仿宋" w:hAnsi="仿宋" w:eastAsia="仿宋" w:cs="仿宋"/>
                <w:szCs w:val="21"/>
                <w:lang w:val="en-US" w:eastAsia="zh-CN"/>
              </w:rPr>
              <w:t>3</w:t>
            </w:r>
            <w:r>
              <w:rPr>
                <w:rFonts w:hint="eastAsia" w:ascii="仿宋" w:hAnsi="仿宋" w:eastAsia="仿宋" w:cs="仿宋"/>
                <w:szCs w:val="21"/>
              </w:rPr>
              <w:t>分、差得1分、缺项得0分；</w:t>
            </w: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分）</w:t>
            </w:r>
          </w:p>
          <w:p>
            <w:pPr>
              <w:adjustRightInd w:val="0"/>
              <w:jc w:val="left"/>
              <w:textAlignment w:val="baseline"/>
              <w:rPr>
                <w:rFonts w:ascii="仿宋" w:hAnsi="仿宋" w:eastAsia="仿宋" w:cs="仿宋"/>
                <w:szCs w:val="21"/>
              </w:rPr>
            </w:pPr>
            <w:r>
              <w:rPr>
                <w:rFonts w:hint="eastAsia" w:ascii="仿宋" w:hAnsi="仿宋" w:eastAsia="仿宋" w:cs="仿宋"/>
                <w:szCs w:val="21"/>
              </w:rPr>
              <w:t>3、项目进度安排及质量保证措施，分档进行打分：优得</w:t>
            </w:r>
            <w:r>
              <w:rPr>
                <w:rFonts w:hint="eastAsia" w:ascii="仿宋" w:hAnsi="仿宋" w:eastAsia="仿宋" w:cs="仿宋"/>
                <w:szCs w:val="21"/>
                <w:lang w:val="en-US" w:eastAsia="zh-CN"/>
              </w:rPr>
              <w:t>6</w:t>
            </w:r>
            <w:r>
              <w:rPr>
                <w:rFonts w:hint="eastAsia" w:ascii="仿宋" w:hAnsi="仿宋" w:eastAsia="仿宋" w:cs="仿宋"/>
                <w:szCs w:val="21"/>
              </w:rPr>
              <w:t>分、良得</w:t>
            </w:r>
            <w:r>
              <w:rPr>
                <w:rFonts w:hint="eastAsia" w:ascii="仿宋" w:hAnsi="仿宋" w:eastAsia="仿宋" w:cs="仿宋"/>
                <w:szCs w:val="21"/>
                <w:lang w:val="en-US" w:eastAsia="zh-CN"/>
              </w:rPr>
              <w:t>3</w:t>
            </w:r>
            <w:r>
              <w:rPr>
                <w:rFonts w:hint="eastAsia" w:ascii="仿宋" w:hAnsi="仿宋" w:eastAsia="仿宋" w:cs="仿宋"/>
                <w:szCs w:val="21"/>
              </w:rPr>
              <w:t>分、差得1分、缺项得0分；</w:t>
            </w: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分）</w:t>
            </w:r>
          </w:p>
          <w:p>
            <w:pPr>
              <w:adjustRightInd w:val="0"/>
              <w:jc w:val="left"/>
              <w:textAlignment w:val="baseline"/>
              <w:rPr>
                <w:rFonts w:ascii="仿宋" w:hAnsi="仿宋" w:eastAsia="仿宋" w:cs="仿宋"/>
                <w:szCs w:val="21"/>
              </w:rPr>
            </w:pPr>
            <w:r>
              <w:rPr>
                <w:rFonts w:hint="eastAsia" w:ascii="仿宋" w:hAnsi="仿宋" w:eastAsia="仿宋" w:cs="仿宋"/>
                <w:szCs w:val="21"/>
              </w:rPr>
              <w:t>4、项目保密制度建设及人员管理措施，分档进行打分：优得</w:t>
            </w:r>
            <w:r>
              <w:rPr>
                <w:rFonts w:hint="eastAsia" w:ascii="仿宋" w:hAnsi="仿宋" w:eastAsia="仿宋" w:cs="仿宋"/>
                <w:szCs w:val="21"/>
                <w:lang w:val="en-US" w:eastAsia="zh-CN"/>
              </w:rPr>
              <w:t>6</w:t>
            </w:r>
            <w:r>
              <w:rPr>
                <w:rFonts w:hint="eastAsia" w:ascii="仿宋" w:hAnsi="仿宋" w:eastAsia="仿宋" w:cs="仿宋"/>
                <w:szCs w:val="21"/>
              </w:rPr>
              <w:t>分、良得</w:t>
            </w:r>
            <w:r>
              <w:rPr>
                <w:rFonts w:hint="eastAsia" w:ascii="仿宋" w:hAnsi="仿宋" w:eastAsia="仿宋" w:cs="仿宋"/>
                <w:szCs w:val="21"/>
                <w:lang w:val="en-US" w:eastAsia="zh-CN"/>
              </w:rPr>
              <w:t>3</w:t>
            </w:r>
            <w:r>
              <w:rPr>
                <w:rFonts w:hint="eastAsia" w:ascii="仿宋" w:hAnsi="仿宋" w:eastAsia="仿宋" w:cs="仿宋"/>
                <w:szCs w:val="21"/>
              </w:rPr>
              <w:t>分、差得1分、缺项得0分；</w:t>
            </w: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分）</w:t>
            </w:r>
          </w:p>
          <w:p>
            <w:pPr>
              <w:adjustRightInd w:val="0"/>
              <w:jc w:val="left"/>
              <w:textAlignment w:val="baseline"/>
              <w:rPr>
                <w:rFonts w:ascii="仿宋" w:hAnsi="仿宋" w:eastAsia="仿宋" w:cs="仿宋"/>
                <w:szCs w:val="21"/>
              </w:rPr>
            </w:pPr>
            <w:r>
              <w:rPr>
                <w:rFonts w:hint="eastAsia" w:ascii="仿宋" w:hAnsi="仿宋" w:eastAsia="仿宋" w:cs="仿宋"/>
                <w:szCs w:val="21"/>
              </w:rPr>
              <w:t>5、项目施工方自检验收方案的合理性、可操作性，分档进行打分：优得</w:t>
            </w:r>
            <w:r>
              <w:rPr>
                <w:rFonts w:hint="eastAsia" w:ascii="仿宋" w:hAnsi="仿宋" w:eastAsia="仿宋" w:cs="仿宋"/>
                <w:szCs w:val="21"/>
                <w:lang w:val="en-US" w:eastAsia="zh-CN"/>
              </w:rPr>
              <w:t>6</w:t>
            </w:r>
            <w:r>
              <w:rPr>
                <w:rFonts w:hint="eastAsia" w:ascii="仿宋" w:hAnsi="仿宋" w:eastAsia="仿宋" w:cs="仿宋"/>
                <w:szCs w:val="21"/>
              </w:rPr>
              <w:t>分、良得</w:t>
            </w:r>
            <w:r>
              <w:rPr>
                <w:rFonts w:hint="eastAsia" w:ascii="仿宋" w:hAnsi="仿宋" w:eastAsia="仿宋" w:cs="仿宋"/>
                <w:szCs w:val="21"/>
                <w:lang w:val="en-US" w:eastAsia="zh-CN"/>
              </w:rPr>
              <w:t>3</w:t>
            </w:r>
            <w:r>
              <w:rPr>
                <w:rFonts w:hint="eastAsia" w:ascii="仿宋" w:hAnsi="仿宋" w:eastAsia="仿宋" w:cs="仿宋"/>
                <w:szCs w:val="21"/>
              </w:rPr>
              <w:t>分、差得1分、缺项得0分；</w:t>
            </w: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5" w:hRule="atLeast"/>
          <w:jc w:val="center"/>
        </w:trPr>
        <w:tc>
          <w:tcPr>
            <w:tcW w:w="1034" w:type="dxa"/>
            <w:vMerge w:val="continue"/>
            <w:vAlign w:val="center"/>
          </w:tcPr>
          <w:p>
            <w:pPr>
              <w:rPr>
                <w:rFonts w:ascii="仿宋" w:hAnsi="仿宋" w:eastAsia="仿宋" w:cs="仿宋"/>
                <w:szCs w:val="21"/>
              </w:rPr>
            </w:pPr>
          </w:p>
        </w:tc>
        <w:tc>
          <w:tcPr>
            <w:tcW w:w="1662" w:type="dxa"/>
            <w:vAlign w:val="center"/>
          </w:tcPr>
          <w:p>
            <w:pPr>
              <w:rPr>
                <w:rFonts w:ascii="仿宋" w:hAnsi="仿宋" w:eastAsia="仿宋" w:cs="仿宋"/>
                <w:szCs w:val="21"/>
              </w:rPr>
            </w:pPr>
            <w:r>
              <w:rPr>
                <w:rFonts w:hint="eastAsia" w:ascii="仿宋" w:hAnsi="仿宋" w:eastAsia="仿宋" w:cs="仿宋"/>
                <w:szCs w:val="21"/>
              </w:rPr>
              <w:t>售后服务</w:t>
            </w:r>
          </w:p>
          <w:p>
            <w:pP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分）</w:t>
            </w:r>
          </w:p>
        </w:tc>
        <w:tc>
          <w:tcPr>
            <w:tcW w:w="6737" w:type="dxa"/>
            <w:vAlign w:val="center"/>
          </w:tcPr>
          <w:p>
            <w:pPr>
              <w:widowControl/>
              <w:shd w:val="clear" w:color="auto" w:fill="FFFFFF"/>
              <w:jc w:val="left"/>
              <w:rPr>
                <w:rFonts w:ascii="仿宋" w:hAnsi="仿宋" w:eastAsia="仿宋" w:cs="仿宋"/>
                <w:szCs w:val="21"/>
              </w:rPr>
            </w:pPr>
            <w:r>
              <w:rPr>
                <w:rFonts w:hint="eastAsia" w:ascii="仿宋" w:hAnsi="仿宋" w:eastAsia="仿宋" w:cs="仿宋"/>
                <w:szCs w:val="21"/>
              </w:rPr>
              <w:t>1、根据售后服务方案的合理性、服务性、实用性进行综合评比，包含售后服务内容、故障响应时间及响应方式、质保期时间、维保服务等。（0-</w:t>
            </w:r>
            <w:r>
              <w:rPr>
                <w:rFonts w:hint="eastAsia" w:ascii="仿宋" w:hAnsi="仿宋" w:eastAsia="仿宋" w:cs="仿宋"/>
                <w:szCs w:val="21"/>
                <w:lang w:val="en-US" w:eastAsia="zh-CN"/>
              </w:rPr>
              <w:t>3</w:t>
            </w:r>
            <w:r>
              <w:rPr>
                <w:rFonts w:hint="eastAsia" w:ascii="仿宋" w:hAnsi="仿宋" w:eastAsia="仿宋" w:cs="仿宋"/>
                <w:szCs w:val="21"/>
              </w:rPr>
              <w:t>分）</w:t>
            </w:r>
          </w:p>
          <w:p>
            <w:pPr>
              <w:widowControl/>
              <w:shd w:val="clear" w:color="auto" w:fill="FFFFFF"/>
              <w:jc w:val="left"/>
              <w:rPr>
                <w:rFonts w:ascii="仿宋" w:hAnsi="仿宋" w:eastAsia="仿宋" w:cs="仿宋"/>
              </w:rPr>
            </w:pPr>
            <w:r>
              <w:rPr>
                <w:rFonts w:hint="eastAsia" w:ascii="仿宋" w:hAnsi="仿宋" w:eastAsia="仿宋" w:cs="仿宋"/>
                <w:szCs w:val="21"/>
              </w:rPr>
              <w:t>2、按照招标人要求提供优质服务的承诺及其他实质性承诺或有利于采购人的承诺。（0-2分）</w:t>
            </w:r>
          </w:p>
        </w:tc>
      </w:tr>
    </w:tbl>
    <w:p>
      <w:pPr>
        <w:pStyle w:val="23"/>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bl>
    <w:p>
      <w:pPr>
        <w:pStyle w:val="32"/>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2750" w:firstLineChars="761"/>
        <w:jc w:val="both"/>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3"/>
        <w:ind w:firstLine="883"/>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9" w:name="_Toc184023138"/>
      <w:bookmarkStart w:id="30" w:name="_Toc174185203"/>
      <w:bookmarkStart w:id="31" w:name="_Toc186274126"/>
      <w:r>
        <w:rPr>
          <w:rFonts w:hint="eastAsia" w:cs="黑体" w:asciiTheme="minorEastAsia" w:hAnsiTheme="minorEastAsia" w:eastAsiaTheme="minorEastAsia"/>
          <w:color w:val="auto"/>
          <w:kern w:val="2"/>
          <w:sz w:val="28"/>
          <w:szCs w:val="28"/>
          <w:lang w:val="zh-CN"/>
        </w:rPr>
        <w:t>一、投标人应答索引表</w:t>
      </w:r>
      <w:bookmarkEnd w:id="29"/>
      <w:bookmarkEnd w:id="30"/>
      <w:bookmarkEnd w:id="31"/>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lang w:val="zh-CN"/>
        </w:rPr>
      </w:pPr>
      <w:r>
        <w:rPr>
          <w:rFonts w:hint="eastAsia" w:cs="宋体" w:asciiTheme="minorEastAsia" w:hAnsiTheme="minorEastAsia"/>
          <w:sz w:val="24"/>
          <w:szCs w:val="24"/>
          <w:lang w:val="zh-CN"/>
        </w:rPr>
        <w:t>注：</w:t>
      </w:r>
      <w:r>
        <w:rPr>
          <w:rFonts w:hint="eastAsia" w:cs="宋体" w:asciiTheme="minorEastAsia" w:hAnsiTheme="minorEastAsia"/>
          <w:color w:val="FF0000"/>
          <w:sz w:val="24"/>
          <w:szCs w:val="24"/>
          <w:lang w:val="en-US" w:eastAsia="zh-CN"/>
        </w:rPr>
        <w:t>1、投标报价为纸张档案扫描每页单价；</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2" w:name="_资格证明文件"/>
            <w:bookmarkEnd w:id="32"/>
            <w:bookmarkStart w:id="3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33"/>
          </w:p>
        </w:tc>
        <w:tc>
          <w:tcPr>
            <w:tcW w:w="4492" w:type="dxa"/>
            <w:gridSpan w:val="2"/>
            <w:vAlign w:val="center"/>
          </w:tcPr>
          <w:p>
            <w:pPr>
              <w:jc w:val="center"/>
              <w:rPr>
                <w:rFonts w:asciiTheme="minorEastAsia" w:hAnsiTheme="minorEastAsia"/>
                <w:szCs w:val="21"/>
              </w:rPr>
            </w:pPr>
            <w:bookmarkStart w:id="3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3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2"/>
        <w:rPr>
          <w:rFonts w:ascii="宋体" w:hAnsi="宋体"/>
          <w:b/>
          <w:bCs/>
          <w:color w:val="000000"/>
          <w:szCs w:val="24"/>
        </w:rPr>
      </w:pPr>
    </w:p>
    <w:p>
      <w:pPr>
        <w:pStyle w:val="32"/>
        <w:rPr>
          <w:rFonts w:ascii="宋体" w:hAnsi="宋体"/>
          <w:b/>
          <w:bCs/>
          <w:color w:val="000000"/>
          <w:szCs w:val="24"/>
        </w:rPr>
      </w:pPr>
    </w:p>
    <w:p>
      <w:pPr>
        <w:pStyle w:val="32"/>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numPr>
          <w:ilvl w:val="0"/>
          <w:numId w:val="0"/>
        </w:numPr>
        <w:ind w:left="288" w:leftChars="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35" w:name="OLE_LINK14"/>
      <w:bookmarkStart w:id="36"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35"/>
    <w:bookmarkEnd w:id="3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Pr>
        <w:pStyle w:val="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hAnsi="宋体" w:eastAsia="宋体"/>
          <w:b/>
          <w:snapToGrid w:val="0"/>
          <w:kern w:val="0"/>
          <w:sz w:val="36"/>
          <w:szCs w:val="36"/>
        </w:rPr>
      </w:pPr>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pPr>
      <w:r>
        <w:rPr>
          <w:rFonts w:ascii="宋体" w:hAnsi="宋体"/>
          <w:b/>
          <w:bCs/>
          <w:color w:val="000000"/>
          <w:sz w:val="28"/>
          <w:szCs w:val="28"/>
        </w:rPr>
        <w:t> </w:t>
      </w:r>
    </w:p>
    <w:p>
      <w:pPr>
        <w:pStyle w:val="33"/>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43078"/>
    <w:multiLevelType w:val="singleLevel"/>
    <w:tmpl w:val="98F43078"/>
    <w:lvl w:ilvl="0" w:tentative="0">
      <w:start w:val="1"/>
      <w:numFmt w:val="decimal"/>
      <w:suff w:val="nothing"/>
      <w:lvlText w:val="%1、"/>
      <w:lvlJc w:val="left"/>
    </w:lvl>
  </w:abstractNum>
  <w:abstractNum w:abstractNumId="1">
    <w:nsid w:val="B5CB8654"/>
    <w:multiLevelType w:val="singleLevel"/>
    <w:tmpl w:val="B5CB8654"/>
    <w:lvl w:ilvl="0" w:tentative="0">
      <w:start w:val="1"/>
      <w:numFmt w:val="decimal"/>
      <w:suff w:val="nothing"/>
      <w:lvlText w:val="%1、"/>
      <w:lvlJc w:val="left"/>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6"/>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B7DFC"/>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4712"/>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00C06"/>
    <w:rsid w:val="014F25D8"/>
    <w:rsid w:val="019938A2"/>
    <w:rsid w:val="01EC3A13"/>
    <w:rsid w:val="027C7D92"/>
    <w:rsid w:val="02B4779D"/>
    <w:rsid w:val="032449BC"/>
    <w:rsid w:val="03480A0E"/>
    <w:rsid w:val="036A126D"/>
    <w:rsid w:val="037217D3"/>
    <w:rsid w:val="03A87C38"/>
    <w:rsid w:val="03B96B11"/>
    <w:rsid w:val="03C54AE6"/>
    <w:rsid w:val="03D2182F"/>
    <w:rsid w:val="04AC3A15"/>
    <w:rsid w:val="050F4495"/>
    <w:rsid w:val="05E2159C"/>
    <w:rsid w:val="065E6364"/>
    <w:rsid w:val="067B2CDB"/>
    <w:rsid w:val="076B4598"/>
    <w:rsid w:val="07732CDA"/>
    <w:rsid w:val="07DA78CD"/>
    <w:rsid w:val="080C2BBA"/>
    <w:rsid w:val="08C0181D"/>
    <w:rsid w:val="08FD5745"/>
    <w:rsid w:val="09412472"/>
    <w:rsid w:val="0A5E16AE"/>
    <w:rsid w:val="0A720270"/>
    <w:rsid w:val="0A7C3AAF"/>
    <w:rsid w:val="0A997A60"/>
    <w:rsid w:val="0AB50907"/>
    <w:rsid w:val="0B01317F"/>
    <w:rsid w:val="0BBD5765"/>
    <w:rsid w:val="0C1D2223"/>
    <w:rsid w:val="0C3D4298"/>
    <w:rsid w:val="0C8A2BED"/>
    <w:rsid w:val="0C9523A6"/>
    <w:rsid w:val="0CA67F00"/>
    <w:rsid w:val="0CAB7FE2"/>
    <w:rsid w:val="0CB92F1F"/>
    <w:rsid w:val="0CCD3572"/>
    <w:rsid w:val="0CF46B6D"/>
    <w:rsid w:val="0CF874BC"/>
    <w:rsid w:val="0D057A5F"/>
    <w:rsid w:val="0D403087"/>
    <w:rsid w:val="0E3648A2"/>
    <w:rsid w:val="0ED20231"/>
    <w:rsid w:val="0F485C64"/>
    <w:rsid w:val="0FAD79B5"/>
    <w:rsid w:val="0FD30C14"/>
    <w:rsid w:val="101B403B"/>
    <w:rsid w:val="103D1339"/>
    <w:rsid w:val="10AF2992"/>
    <w:rsid w:val="10E3140E"/>
    <w:rsid w:val="110E6851"/>
    <w:rsid w:val="1139362B"/>
    <w:rsid w:val="116D26CD"/>
    <w:rsid w:val="11C23651"/>
    <w:rsid w:val="11E13F76"/>
    <w:rsid w:val="123143AC"/>
    <w:rsid w:val="129267D1"/>
    <w:rsid w:val="12C422CE"/>
    <w:rsid w:val="132B5D4C"/>
    <w:rsid w:val="13903C42"/>
    <w:rsid w:val="13B159A7"/>
    <w:rsid w:val="13D26B57"/>
    <w:rsid w:val="13D62A9D"/>
    <w:rsid w:val="13EB69AF"/>
    <w:rsid w:val="13EE1FFF"/>
    <w:rsid w:val="13EF7D11"/>
    <w:rsid w:val="140778EB"/>
    <w:rsid w:val="155C6126"/>
    <w:rsid w:val="155E38CF"/>
    <w:rsid w:val="158908A7"/>
    <w:rsid w:val="15D106F8"/>
    <w:rsid w:val="15F73E2D"/>
    <w:rsid w:val="160E3E81"/>
    <w:rsid w:val="16E45029"/>
    <w:rsid w:val="16EB2042"/>
    <w:rsid w:val="16EE4E99"/>
    <w:rsid w:val="171E620C"/>
    <w:rsid w:val="175F012D"/>
    <w:rsid w:val="17843B5C"/>
    <w:rsid w:val="17A87F25"/>
    <w:rsid w:val="17F27C17"/>
    <w:rsid w:val="183965F3"/>
    <w:rsid w:val="189035FD"/>
    <w:rsid w:val="189825CB"/>
    <w:rsid w:val="18C769E5"/>
    <w:rsid w:val="18D55096"/>
    <w:rsid w:val="192D0B22"/>
    <w:rsid w:val="198348D6"/>
    <w:rsid w:val="1A08396D"/>
    <w:rsid w:val="1A1A3129"/>
    <w:rsid w:val="1AB85271"/>
    <w:rsid w:val="1AFBFFDD"/>
    <w:rsid w:val="1B1653FD"/>
    <w:rsid w:val="1BAE49D7"/>
    <w:rsid w:val="1C2D1536"/>
    <w:rsid w:val="1C7A3B00"/>
    <w:rsid w:val="1CCF2F1D"/>
    <w:rsid w:val="1CF87F0B"/>
    <w:rsid w:val="1CFB73D3"/>
    <w:rsid w:val="1D3B1EEC"/>
    <w:rsid w:val="1D767D0D"/>
    <w:rsid w:val="1E07067C"/>
    <w:rsid w:val="1E6A3F60"/>
    <w:rsid w:val="1E8E722F"/>
    <w:rsid w:val="1F3A33EE"/>
    <w:rsid w:val="1F890384"/>
    <w:rsid w:val="1F8E45BB"/>
    <w:rsid w:val="1FB348B3"/>
    <w:rsid w:val="1FE15514"/>
    <w:rsid w:val="1FF158F3"/>
    <w:rsid w:val="20346871"/>
    <w:rsid w:val="20465E8D"/>
    <w:rsid w:val="208614E5"/>
    <w:rsid w:val="20BC4F34"/>
    <w:rsid w:val="2157706F"/>
    <w:rsid w:val="217F133E"/>
    <w:rsid w:val="21DC7D3C"/>
    <w:rsid w:val="21DD4A96"/>
    <w:rsid w:val="2298317C"/>
    <w:rsid w:val="22CE29EE"/>
    <w:rsid w:val="22EA7577"/>
    <w:rsid w:val="24CA4241"/>
    <w:rsid w:val="24D35795"/>
    <w:rsid w:val="25270EAB"/>
    <w:rsid w:val="255E48CD"/>
    <w:rsid w:val="256C0B33"/>
    <w:rsid w:val="26B87348"/>
    <w:rsid w:val="271F4B16"/>
    <w:rsid w:val="275038F3"/>
    <w:rsid w:val="27900DD5"/>
    <w:rsid w:val="27CD14F5"/>
    <w:rsid w:val="28DF48F7"/>
    <w:rsid w:val="28E96646"/>
    <w:rsid w:val="28F2008A"/>
    <w:rsid w:val="28FE1B58"/>
    <w:rsid w:val="29350D71"/>
    <w:rsid w:val="293C5FB1"/>
    <w:rsid w:val="29A55E19"/>
    <w:rsid w:val="29CE4586"/>
    <w:rsid w:val="29F94CB1"/>
    <w:rsid w:val="2A553543"/>
    <w:rsid w:val="2A745111"/>
    <w:rsid w:val="2AB1472A"/>
    <w:rsid w:val="2ADE267D"/>
    <w:rsid w:val="2AF87034"/>
    <w:rsid w:val="2B022C78"/>
    <w:rsid w:val="2B1C43AD"/>
    <w:rsid w:val="2C014C3B"/>
    <w:rsid w:val="2D3257AD"/>
    <w:rsid w:val="2D4A693F"/>
    <w:rsid w:val="2D872801"/>
    <w:rsid w:val="2E252DC4"/>
    <w:rsid w:val="2E4436BA"/>
    <w:rsid w:val="2E9D39EB"/>
    <w:rsid w:val="2EC71F69"/>
    <w:rsid w:val="2EE200E1"/>
    <w:rsid w:val="2F566BBD"/>
    <w:rsid w:val="2F650AED"/>
    <w:rsid w:val="2FFD3F6B"/>
    <w:rsid w:val="30EA79C7"/>
    <w:rsid w:val="30FD56B7"/>
    <w:rsid w:val="313946C1"/>
    <w:rsid w:val="31826AFD"/>
    <w:rsid w:val="31892366"/>
    <w:rsid w:val="318D4004"/>
    <w:rsid w:val="329E1B24"/>
    <w:rsid w:val="32BF12F4"/>
    <w:rsid w:val="32FD3ACC"/>
    <w:rsid w:val="33037414"/>
    <w:rsid w:val="33563CED"/>
    <w:rsid w:val="336E4903"/>
    <w:rsid w:val="338A4286"/>
    <w:rsid w:val="347B3937"/>
    <w:rsid w:val="347F0816"/>
    <w:rsid w:val="34B644B7"/>
    <w:rsid w:val="34ED16D7"/>
    <w:rsid w:val="35D905EB"/>
    <w:rsid w:val="36B46A4A"/>
    <w:rsid w:val="36E65B38"/>
    <w:rsid w:val="373E2699"/>
    <w:rsid w:val="375656B9"/>
    <w:rsid w:val="375B6549"/>
    <w:rsid w:val="37627558"/>
    <w:rsid w:val="37AC24EF"/>
    <w:rsid w:val="37B91083"/>
    <w:rsid w:val="37D3600E"/>
    <w:rsid w:val="383731D3"/>
    <w:rsid w:val="38C076BF"/>
    <w:rsid w:val="38ED1382"/>
    <w:rsid w:val="39FD28B4"/>
    <w:rsid w:val="3A015736"/>
    <w:rsid w:val="3A212BF5"/>
    <w:rsid w:val="3A403E64"/>
    <w:rsid w:val="3AC47AB6"/>
    <w:rsid w:val="3ADD0A2E"/>
    <w:rsid w:val="3B4C7808"/>
    <w:rsid w:val="3B766492"/>
    <w:rsid w:val="3B7A3E82"/>
    <w:rsid w:val="3B7E1012"/>
    <w:rsid w:val="3B8D0CE8"/>
    <w:rsid w:val="3BA71EF1"/>
    <w:rsid w:val="3C1651F0"/>
    <w:rsid w:val="3C2006E5"/>
    <w:rsid w:val="3C802D3E"/>
    <w:rsid w:val="3CBF1608"/>
    <w:rsid w:val="3CC749D9"/>
    <w:rsid w:val="3CFB31CE"/>
    <w:rsid w:val="3D292869"/>
    <w:rsid w:val="3D7C6E28"/>
    <w:rsid w:val="3DCA2531"/>
    <w:rsid w:val="3DDA3322"/>
    <w:rsid w:val="3E3A26DB"/>
    <w:rsid w:val="3EA20E92"/>
    <w:rsid w:val="3F263B0E"/>
    <w:rsid w:val="414D7438"/>
    <w:rsid w:val="41572B91"/>
    <w:rsid w:val="41A16B13"/>
    <w:rsid w:val="41D84D2F"/>
    <w:rsid w:val="41EF3AE9"/>
    <w:rsid w:val="42065704"/>
    <w:rsid w:val="422060BD"/>
    <w:rsid w:val="423A7A11"/>
    <w:rsid w:val="42513FE8"/>
    <w:rsid w:val="428968C5"/>
    <w:rsid w:val="430D37F8"/>
    <w:rsid w:val="433E5811"/>
    <w:rsid w:val="43420F67"/>
    <w:rsid w:val="43861E9A"/>
    <w:rsid w:val="43AF27C5"/>
    <w:rsid w:val="43B05B4A"/>
    <w:rsid w:val="43C04AD5"/>
    <w:rsid w:val="443E3AC2"/>
    <w:rsid w:val="444772BC"/>
    <w:rsid w:val="444A0A6A"/>
    <w:rsid w:val="444D773E"/>
    <w:rsid w:val="44972791"/>
    <w:rsid w:val="44976FD0"/>
    <w:rsid w:val="44A561FA"/>
    <w:rsid w:val="458D2A4C"/>
    <w:rsid w:val="459D509E"/>
    <w:rsid w:val="45A926DC"/>
    <w:rsid w:val="45BC015B"/>
    <w:rsid w:val="45DB6A03"/>
    <w:rsid w:val="45FC4042"/>
    <w:rsid w:val="463844FB"/>
    <w:rsid w:val="46C92AC0"/>
    <w:rsid w:val="46E81321"/>
    <w:rsid w:val="47427928"/>
    <w:rsid w:val="477C4489"/>
    <w:rsid w:val="477E79DB"/>
    <w:rsid w:val="47EC2F8F"/>
    <w:rsid w:val="486950B8"/>
    <w:rsid w:val="48A74E72"/>
    <w:rsid w:val="48BB1E61"/>
    <w:rsid w:val="48E44347"/>
    <w:rsid w:val="49EE5A3D"/>
    <w:rsid w:val="4A0C70DA"/>
    <w:rsid w:val="4AB4093D"/>
    <w:rsid w:val="4AE22F4C"/>
    <w:rsid w:val="4B1F5184"/>
    <w:rsid w:val="4B536EA5"/>
    <w:rsid w:val="4BA862D0"/>
    <w:rsid w:val="4CA91082"/>
    <w:rsid w:val="4CF707EE"/>
    <w:rsid w:val="4D0B768F"/>
    <w:rsid w:val="4D1C4C00"/>
    <w:rsid w:val="4DF036E4"/>
    <w:rsid w:val="4E8F0D2C"/>
    <w:rsid w:val="4E9D24DB"/>
    <w:rsid w:val="4EAC4ADD"/>
    <w:rsid w:val="4EB72836"/>
    <w:rsid w:val="4ED23FD5"/>
    <w:rsid w:val="4EE945C2"/>
    <w:rsid w:val="4EF775A1"/>
    <w:rsid w:val="4EFB1FC3"/>
    <w:rsid w:val="4F3C1178"/>
    <w:rsid w:val="4F661CEB"/>
    <w:rsid w:val="4F7D1DAE"/>
    <w:rsid w:val="4FEB5C49"/>
    <w:rsid w:val="505C6771"/>
    <w:rsid w:val="51442992"/>
    <w:rsid w:val="5193658E"/>
    <w:rsid w:val="527B1821"/>
    <w:rsid w:val="5310611D"/>
    <w:rsid w:val="53276344"/>
    <w:rsid w:val="53293BFC"/>
    <w:rsid w:val="533D55CA"/>
    <w:rsid w:val="535D3032"/>
    <w:rsid w:val="53C97953"/>
    <w:rsid w:val="53DA095B"/>
    <w:rsid w:val="53F5577A"/>
    <w:rsid w:val="54EC2987"/>
    <w:rsid w:val="54F62267"/>
    <w:rsid w:val="55026173"/>
    <w:rsid w:val="55580696"/>
    <w:rsid w:val="5590515E"/>
    <w:rsid w:val="55EF2276"/>
    <w:rsid w:val="562D2F69"/>
    <w:rsid w:val="57024892"/>
    <w:rsid w:val="5703196B"/>
    <w:rsid w:val="57140DA8"/>
    <w:rsid w:val="574A43AC"/>
    <w:rsid w:val="58077CBD"/>
    <w:rsid w:val="5812110B"/>
    <w:rsid w:val="582E1358"/>
    <w:rsid w:val="58323449"/>
    <w:rsid w:val="584C478B"/>
    <w:rsid w:val="58707BEB"/>
    <w:rsid w:val="58854954"/>
    <w:rsid w:val="58D254DE"/>
    <w:rsid w:val="58FD658D"/>
    <w:rsid w:val="59142705"/>
    <w:rsid w:val="59454145"/>
    <w:rsid w:val="597F1EE3"/>
    <w:rsid w:val="5A3E1357"/>
    <w:rsid w:val="5A836AC3"/>
    <w:rsid w:val="5B0C6CA4"/>
    <w:rsid w:val="5B533ECA"/>
    <w:rsid w:val="5B795391"/>
    <w:rsid w:val="5BCD4474"/>
    <w:rsid w:val="5CA850DB"/>
    <w:rsid w:val="5CFD3C28"/>
    <w:rsid w:val="5D5A30D4"/>
    <w:rsid w:val="5DAB3DFE"/>
    <w:rsid w:val="5E2C7B65"/>
    <w:rsid w:val="5E781EED"/>
    <w:rsid w:val="5EB8046C"/>
    <w:rsid w:val="5EC23D91"/>
    <w:rsid w:val="5EEA6FD8"/>
    <w:rsid w:val="5F5D3B89"/>
    <w:rsid w:val="5F91300B"/>
    <w:rsid w:val="5FBD74DE"/>
    <w:rsid w:val="601812B8"/>
    <w:rsid w:val="603F2634"/>
    <w:rsid w:val="60BD0412"/>
    <w:rsid w:val="60C57DDF"/>
    <w:rsid w:val="616C5D6E"/>
    <w:rsid w:val="61775FA5"/>
    <w:rsid w:val="61943CA7"/>
    <w:rsid w:val="61965F76"/>
    <w:rsid w:val="619B680C"/>
    <w:rsid w:val="619E6E8F"/>
    <w:rsid w:val="61FC7B9B"/>
    <w:rsid w:val="6221687B"/>
    <w:rsid w:val="62E53998"/>
    <w:rsid w:val="63715F9E"/>
    <w:rsid w:val="64124C78"/>
    <w:rsid w:val="64496EC5"/>
    <w:rsid w:val="648D2FFF"/>
    <w:rsid w:val="64C0666C"/>
    <w:rsid w:val="653348F4"/>
    <w:rsid w:val="656117CB"/>
    <w:rsid w:val="656839C3"/>
    <w:rsid w:val="65725730"/>
    <w:rsid w:val="65B92974"/>
    <w:rsid w:val="65C80747"/>
    <w:rsid w:val="66524144"/>
    <w:rsid w:val="665D6AFD"/>
    <w:rsid w:val="66604011"/>
    <w:rsid w:val="66A00112"/>
    <w:rsid w:val="672B7704"/>
    <w:rsid w:val="673855F4"/>
    <w:rsid w:val="68594ADA"/>
    <w:rsid w:val="68741D48"/>
    <w:rsid w:val="693A6BDC"/>
    <w:rsid w:val="69C44CC8"/>
    <w:rsid w:val="6A22558A"/>
    <w:rsid w:val="6AB31C19"/>
    <w:rsid w:val="6ADB379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9D6AA3"/>
    <w:rsid w:val="6ED546F7"/>
    <w:rsid w:val="6F272507"/>
    <w:rsid w:val="6F2A257D"/>
    <w:rsid w:val="6F992BAA"/>
    <w:rsid w:val="6FF11A89"/>
    <w:rsid w:val="70117814"/>
    <w:rsid w:val="70602224"/>
    <w:rsid w:val="70C1699F"/>
    <w:rsid w:val="7151172F"/>
    <w:rsid w:val="71617265"/>
    <w:rsid w:val="719549A9"/>
    <w:rsid w:val="71C32A07"/>
    <w:rsid w:val="71E53350"/>
    <w:rsid w:val="720E5D3A"/>
    <w:rsid w:val="72254E2A"/>
    <w:rsid w:val="72CA3F93"/>
    <w:rsid w:val="72ED3426"/>
    <w:rsid w:val="73184127"/>
    <w:rsid w:val="73733509"/>
    <w:rsid w:val="737E7193"/>
    <w:rsid w:val="73A274BB"/>
    <w:rsid w:val="73D40348"/>
    <w:rsid w:val="74074AA5"/>
    <w:rsid w:val="74304EB5"/>
    <w:rsid w:val="74AB41BE"/>
    <w:rsid w:val="75EA3934"/>
    <w:rsid w:val="76AF6448"/>
    <w:rsid w:val="76BA601A"/>
    <w:rsid w:val="77310D67"/>
    <w:rsid w:val="774700AD"/>
    <w:rsid w:val="777E0158"/>
    <w:rsid w:val="77A5121A"/>
    <w:rsid w:val="788A0F31"/>
    <w:rsid w:val="78F56DD8"/>
    <w:rsid w:val="790A1D35"/>
    <w:rsid w:val="79373D17"/>
    <w:rsid w:val="79F53306"/>
    <w:rsid w:val="7A77760E"/>
    <w:rsid w:val="7AC70899"/>
    <w:rsid w:val="7B3F7553"/>
    <w:rsid w:val="7B7986D1"/>
    <w:rsid w:val="7B877587"/>
    <w:rsid w:val="7E0F106D"/>
    <w:rsid w:val="7E747F79"/>
    <w:rsid w:val="7E813E2F"/>
    <w:rsid w:val="7EE52F06"/>
    <w:rsid w:val="7F4139F7"/>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3"/>
    <w:qFormat/>
    <w:uiPriority w:val="0"/>
    <w:rPr>
      <w:rFonts w:ascii="Times New Roman" w:hAnsi="Times New Roman" w:eastAsia="宋体" w:cs="Times New Roman"/>
      <w:color w:val="FF0000"/>
      <w:sz w:val="24"/>
      <w:szCs w:val="24"/>
    </w:rPr>
  </w:style>
  <w:style w:type="paragraph" w:styleId="9">
    <w:name w:val="Body Text"/>
    <w:basedOn w:val="1"/>
    <w:next w:val="10"/>
    <w:link w:val="57"/>
    <w:unhideWhenUsed/>
    <w:qFormat/>
    <w:uiPriority w:val="99"/>
    <w:pPr>
      <w:spacing w:after="120"/>
    </w:pPr>
  </w:style>
  <w:style w:type="paragraph" w:customStyle="1" w:styleId="10">
    <w:name w:val="style4"/>
    <w:basedOn w:val="1"/>
    <w:next w:val="11"/>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semiHidden/>
    <w:unhideWhenUsed/>
    <w:qFormat/>
    <w:uiPriority w:val="99"/>
    <w:pPr>
      <w:snapToGrid w:val="0"/>
    </w:pPr>
    <w:rPr>
      <w:rFonts w:hint="eastAsia" w:ascii="Arial" w:hAnsi="Arial"/>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next w:val="24"/>
    <w:link w:val="58"/>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semiHidden/>
    <w:qFormat/>
    <w:uiPriority w:val="99"/>
    <w:pPr>
      <w:spacing w:after="120" w:line="240" w:lineRule="auto"/>
      <w:ind w:left="420" w:leftChars="200" w:firstLine="420" w:firstLineChars="200"/>
    </w:pPr>
    <w:rPr>
      <w:szCs w:val="24"/>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8">
    <w:name w:val="Strong"/>
    <w:basedOn w:val="27"/>
    <w:qFormat/>
    <w:uiPriority w:val="22"/>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无间隔1"/>
    <w:basedOn w:val="1"/>
    <w:qFormat/>
    <w:uiPriority w:val="0"/>
    <w:pPr>
      <w:spacing w:line="400" w:lineRule="exact"/>
    </w:pPr>
    <w:rPr>
      <w:sz w:val="24"/>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paragraph" w:customStyle="1" w:styleId="34">
    <w:name w:val="列出段落1"/>
    <w:basedOn w:val="1"/>
    <w:unhideWhenUsed/>
    <w:qFormat/>
    <w:uiPriority w:val="99"/>
    <w:pPr>
      <w:ind w:firstLine="420" w:firstLineChars="200"/>
    </w:pPr>
  </w:style>
  <w:style w:type="character" w:customStyle="1" w:styleId="35">
    <w:name w:val="标题 1 Char"/>
    <w:basedOn w:val="27"/>
    <w:link w:val="2"/>
    <w:qFormat/>
    <w:uiPriority w:val="0"/>
    <w:rPr>
      <w:rFonts w:ascii="Calibri" w:hAnsi="Calibri" w:eastAsia="宋体" w:cs="Times New Roman"/>
      <w:b/>
      <w:bCs/>
      <w:kern w:val="44"/>
      <w:sz w:val="44"/>
      <w:szCs w:val="44"/>
    </w:rPr>
  </w:style>
  <w:style w:type="character" w:customStyle="1" w:styleId="36">
    <w:name w:val="标题 2 Char"/>
    <w:basedOn w:val="27"/>
    <w:link w:val="3"/>
    <w:qFormat/>
    <w:uiPriority w:val="0"/>
    <w:rPr>
      <w:rFonts w:ascii="Arial" w:hAnsi="Arial" w:eastAsia="黑体" w:cs="Times New Roman"/>
      <w:b/>
      <w:bCs/>
      <w:kern w:val="0"/>
      <w:sz w:val="32"/>
      <w:szCs w:val="32"/>
    </w:rPr>
  </w:style>
  <w:style w:type="character" w:customStyle="1" w:styleId="37">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5"/>
    <w:qFormat/>
    <w:uiPriority w:val="0"/>
    <w:rPr>
      <w:rFonts w:ascii="Arial" w:hAnsi="Arial" w:eastAsia="黑体" w:cs="Times New Roman"/>
      <w:b/>
      <w:bCs/>
      <w:kern w:val="0"/>
      <w:sz w:val="28"/>
      <w:szCs w:val="28"/>
    </w:rPr>
  </w:style>
  <w:style w:type="character" w:customStyle="1" w:styleId="39">
    <w:name w:val="纯文本 Char"/>
    <w:basedOn w:val="27"/>
    <w:link w:val="16"/>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8"/>
    <w:qFormat/>
    <w:uiPriority w:val="99"/>
    <w:rPr>
      <w:sz w:val="18"/>
      <w:szCs w:val="18"/>
    </w:rPr>
  </w:style>
  <w:style w:type="character" w:customStyle="1" w:styleId="42">
    <w:name w:val="页眉 Char"/>
    <w:basedOn w:val="27"/>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7"/>
    <w:link w:val="8"/>
    <w:qFormat/>
    <w:uiPriority w:val="0"/>
    <w:rPr>
      <w:rFonts w:ascii="Times New Roman" w:hAnsi="Times New Roman" w:eastAsia="宋体" w:cs="Times New Roman"/>
      <w:color w:val="FF0000"/>
      <w:sz w:val="24"/>
      <w:szCs w:val="24"/>
    </w:rPr>
  </w:style>
  <w:style w:type="character" w:customStyle="1" w:styleId="54">
    <w:name w:val="edittexttarea"/>
    <w:basedOn w:val="27"/>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7"/>
    <w:link w:val="9"/>
    <w:semiHidden/>
    <w:qFormat/>
    <w:uiPriority w:val="99"/>
  </w:style>
  <w:style w:type="character" w:customStyle="1" w:styleId="58">
    <w:name w:val="正文首行缩进 Char"/>
    <w:basedOn w:val="57"/>
    <w:link w:val="23"/>
    <w:qFormat/>
    <w:uiPriority w:val="0"/>
    <w:rPr>
      <w:rFonts w:ascii="宋体" w:hAnsi="Times New Roman" w:eastAsia="宋体" w:cs="Times New Roman"/>
      <w:kern w:val="0"/>
      <w:sz w:val="34"/>
      <w:szCs w:val="20"/>
    </w:rPr>
  </w:style>
  <w:style w:type="character" w:customStyle="1" w:styleId="59">
    <w:name w:val="HTML 预设格式 Char"/>
    <w:basedOn w:val="27"/>
    <w:link w:val="21"/>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21"/>
    <w:basedOn w:val="27"/>
    <w:qFormat/>
    <w:uiPriority w:val="0"/>
    <w:rPr>
      <w:rFonts w:hint="eastAsia" w:ascii="宋体" w:hAnsi="宋体" w:eastAsia="宋体" w:cs="宋体"/>
      <w:color w:val="000000"/>
      <w:sz w:val="28"/>
      <w:szCs w:val="28"/>
      <w:u w:val="none"/>
    </w:rPr>
  </w:style>
  <w:style w:type="character" w:customStyle="1" w:styleId="66">
    <w:name w:val="font11"/>
    <w:basedOn w:val="27"/>
    <w:qFormat/>
    <w:uiPriority w:val="0"/>
    <w:rPr>
      <w:rFonts w:ascii="Calibri" w:hAnsi="Calibri" w:cs="Calibri"/>
      <w:color w:val="000000"/>
      <w:sz w:val="28"/>
      <w:szCs w:val="28"/>
      <w:u w:val="none"/>
    </w:rPr>
  </w:style>
  <w:style w:type="paragraph" w:customStyle="1" w:styleId="67">
    <w:name w:val="p0"/>
    <w:basedOn w:val="1"/>
    <w:qFormat/>
    <w:uiPriority w:val="0"/>
    <w:pPr>
      <w:widowControl/>
    </w:pPr>
    <w:rPr>
      <w:kern w:val="0"/>
      <w:szCs w:val="21"/>
    </w:rPr>
  </w:style>
  <w:style w:type="paragraph" w:customStyle="1" w:styleId="68">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5731</Words>
  <Characters>32668</Characters>
  <Lines>272</Lines>
  <Paragraphs>76</Paragraphs>
  <TotalTime>18</TotalTime>
  <ScaleCrop>false</ScaleCrop>
  <LinksUpToDate>false</LinksUpToDate>
  <CharactersWithSpaces>38323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2019-10-12T03:52:48Z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