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color w:val="000000"/>
          <w:sz w:val="36"/>
          <w:szCs w:val="36"/>
          <w:u w:val="none"/>
          <w:shd w:val="clear" w:fill="FFFFFF"/>
          <w:lang w:val="en-US" w:eastAsia="zh-CN"/>
        </w:rPr>
      </w:pPr>
      <w:r>
        <w:rPr>
          <w:rFonts w:hint="eastAsia" w:ascii="黑体" w:hAnsi="黑体" w:eastAsia="黑体" w:cs="黑体"/>
          <w:b/>
          <w:color w:val="000000"/>
          <w:sz w:val="36"/>
          <w:szCs w:val="36"/>
          <w:u w:val="none"/>
          <w:shd w:val="clear" w:fill="FFFFFF"/>
          <w:lang w:val="en-US" w:eastAsia="zh-CN"/>
        </w:rPr>
        <w:t>禹州市张得镇村生活污水处理设施运营项目</w:t>
      </w:r>
    </w:p>
    <w:p>
      <w:pPr>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color w:val="000000"/>
          <w:sz w:val="48"/>
          <w:szCs w:val="48"/>
          <w:u w:val="none"/>
          <w:shd w:val="clear" w:fill="FFFFFF"/>
          <w:lang w:val="en-US" w:eastAsia="zh-CN"/>
        </w:rPr>
      </w:pPr>
      <w:r>
        <w:rPr>
          <w:rFonts w:hint="eastAsia" w:ascii="黑体" w:hAnsi="黑体" w:eastAsia="黑体" w:cs="黑体"/>
          <w:b/>
          <w:color w:val="000000"/>
          <w:sz w:val="36"/>
          <w:szCs w:val="36"/>
          <w:u w:val="none"/>
          <w:shd w:val="clear" w:fill="FFFFFF"/>
          <w:lang w:val="en-US" w:eastAsia="zh-CN"/>
        </w:rPr>
        <w:t>评标报告</w:t>
      </w:r>
    </w:p>
    <w:p>
      <w:pPr>
        <w:pStyle w:val="4"/>
        <w:keepNext w:val="0"/>
        <w:keepLines w:val="0"/>
        <w:widowControl/>
        <w:suppressLineNumbers w:val="0"/>
        <w:shd w:val="clear" w:fill="FFFFFF"/>
        <w:snapToGrid w:val="0"/>
        <w:spacing w:before="452" w:beforeAutospacing="0" w:after="0" w:afterAutospacing="0" w:line="560" w:lineRule="atLeast"/>
        <w:ind w:left="0" w:right="0" w:firstLine="641"/>
        <w:jc w:val="left"/>
      </w:pPr>
      <w:r>
        <w:rPr>
          <w:rFonts w:ascii="黑体" w:hAnsi="宋体" w:eastAsia="黑体" w:cs="黑体"/>
          <w:color w:val="000000"/>
          <w:sz w:val="32"/>
          <w:szCs w:val="32"/>
          <w:u w:val="none"/>
          <w:shd w:val="clear" w:fill="FFFFFF"/>
        </w:rPr>
        <w:t>一、项目概况</w:t>
      </w:r>
    </w:p>
    <w:p>
      <w:pPr>
        <w:keepNext w:val="0"/>
        <w:keepLines w:val="0"/>
        <w:pageBreakBefore w:val="0"/>
        <w:kinsoku/>
        <w:wordWrap/>
        <w:overflowPunct/>
        <w:topLinePunct w:val="0"/>
        <w:autoSpaceDE/>
        <w:autoSpaceDN/>
        <w:bidi w:val="0"/>
        <w:adjustRightInd/>
        <w:spacing w:line="240" w:lineRule="auto"/>
        <w:jc w:val="both"/>
        <w:rPr>
          <w:rFonts w:hint="default" w:ascii="仿宋" w:hAnsi="仿宋" w:eastAsia="仿宋" w:cs="仿宋"/>
          <w:sz w:val="36"/>
          <w:szCs w:val="36"/>
          <w:lang w:val="en-US" w:eastAsia="zh-CN"/>
        </w:rPr>
      </w:pPr>
      <w:r>
        <w:rPr>
          <w:rFonts w:ascii="仿宋" w:hAnsi="仿宋" w:eastAsia="仿宋" w:cs="仿宋"/>
          <w:color w:val="000000"/>
          <w:sz w:val="32"/>
          <w:szCs w:val="32"/>
          <w:u w:val="none"/>
          <w:shd w:val="clear" w:fill="FFFFFF"/>
        </w:rPr>
        <w:t>（一）项目名称</w:t>
      </w:r>
      <w:r>
        <w:rPr>
          <w:rFonts w:hint="eastAsia" w:ascii="仿宋" w:hAnsi="仿宋" w:eastAsia="仿宋" w:cs="仿宋"/>
          <w:sz w:val="36"/>
          <w:szCs w:val="36"/>
          <w:lang w:val="en-US" w:eastAsia="zh-CN"/>
        </w:rPr>
        <w:t>：禹州市张得镇村生活污水处理设施运营项目</w:t>
      </w:r>
    </w:p>
    <w:p>
      <w:pPr>
        <w:spacing w:line="600" w:lineRule="exact"/>
        <w:ind w:firstLine="320" w:firstLineChars="100"/>
        <w:jc w:val="both"/>
        <w:rPr>
          <w:rFonts w:hint="eastAsia" w:ascii="仿宋" w:hAnsi="仿宋" w:eastAsia="仿宋" w:cs="仿宋"/>
          <w:kern w:val="0"/>
          <w:sz w:val="32"/>
          <w:szCs w:val="32"/>
          <w:lang w:val="en-US" w:eastAsia="zh-CN" w:bidi="ar"/>
        </w:rPr>
      </w:pPr>
      <w:r>
        <w:rPr>
          <w:rFonts w:hint="eastAsia" w:ascii="仿宋" w:hAnsi="仿宋" w:eastAsia="仿宋" w:cs="仿宋"/>
          <w:color w:val="000000"/>
          <w:sz w:val="32"/>
          <w:szCs w:val="32"/>
          <w:u w:val="none"/>
          <w:shd w:val="clear" w:fill="FFFFFF"/>
        </w:rPr>
        <w:t>（二）项目编号：</w:t>
      </w:r>
      <w:r>
        <w:rPr>
          <w:rFonts w:hint="eastAsia" w:ascii="仿宋" w:hAnsi="仿宋" w:eastAsia="仿宋" w:cs="仿宋"/>
          <w:kern w:val="0"/>
          <w:sz w:val="32"/>
          <w:szCs w:val="32"/>
          <w:lang w:val="en-US" w:eastAsia="zh-CN" w:bidi="ar"/>
        </w:rPr>
        <w:t xml:space="preserve">YZCG-G2019199 </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（三）招标公告发布日期：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12</w:t>
      </w:r>
      <w:r>
        <w:rPr>
          <w:rFonts w:hint="eastAsia" w:ascii="仿宋" w:hAnsi="仿宋" w:eastAsia="仿宋" w:cs="仿宋"/>
          <w:color w:val="000000"/>
          <w:sz w:val="32"/>
          <w:szCs w:val="32"/>
          <w:u w:val="none"/>
          <w:shd w:val="clear" w:fill="FFFFFF"/>
        </w:rPr>
        <w:t>日</w:t>
      </w:r>
    </w:p>
    <w:p>
      <w:pPr>
        <w:spacing w:line="600" w:lineRule="exact"/>
        <w:ind w:firstLine="320" w:firstLineChars="100"/>
        <w:jc w:val="both"/>
        <w:rPr>
          <w:rFonts w:hint="eastAsia" w:ascii="仿宋" w:hAnsi="仿宋" w:eastAsia="仿宋" w:cs="仿宋"/>
          <w:color w:val="000000"/>
          <w:sz w:val="32"/>
          <w:szCs w:val="32"/>
          <w:u w:val="none"/>
          <w:shd w:val="clear" w:fill="FFFFFF"/>
          <w:lang w:eastAsia="zh-CN"/>
        </w:rPr>
      </w:pPr>
      <w:r>
        <w:rPr>
          <w:rFonts w:hint="eastAsia" w:ascii="仿宋" w:hAnsi="仿宋" w:eastAsia="仿宋" w:cs="仿宋"/>
          <w:color w:val="000000"/>
          <w:sz w:val="32"/>
          <w:szCs w:val="32"/>
          <w:u w:val="none"/>
          <w:shd w:val="clear" w:fill="FFFFFF"/>
        </w:rPr>
        <w:t>（四）变更公告发布日期：</w:t>
      </w:r>
      <w:r>
        <w:rPr>
          <w:rFonts w:hint="eastAsia" w:ascii="仿宋" w:hAnsi="仿宋" w:eastAsia="仿宋" w:cs="仿宋"/>
          <w:color w:val="000000"/>
          <w:sz w:val="32"/>
          <w:szCs w:val="32"/>
          <w:u w:val="none"/>
          <w:shd w:val="clear" w:fill="FFFFFF"/>
          <w:lang w:val="en-US" w:eastAsia="zh-CN"/>
        </w:rPr>
        <w:t>-</w:t>
      </w:r>
    </w:p>
    <w:p>
      <w:pPr>
        <w:spacing w:line="600" w:lineRule="exact"/>
        <w:ind w:firstLine="320" w:firstLineChars="100"/>
        <w:jc w:val="both"/>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（五）开标日期：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9</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10</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10日9:00</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（七）最高限价：</w:t>
      </w:r>
      <w:r>
        <w:rPr>
          <w:rFonts w:hint="eastAsia" w:ascii="仿宋" w:hAnsi="仿宋" w:eastAsia="仿宋" w:cs="仿宋"/>
          <w:color w:val="000000"/>
          <w:sz w:val="32"/>
          <w:szCs w:val="32"/>
          <w:u w:val="none"/>
          <w:shd w:val="clear" w:fill="FFFFFF"/>
          <w:lang w:val="en-US" w:eastAsia="zh-CN"/>
        </w:rPr>
        <w:t>32.53万</w:t>
      </w:r>
      <w:r>
        <w:rPr>
          <w:rFonts w:hint="eastAsia" w:ascii="仿宋" w:hAnsi="仿宋" w:eastAsia="仿宋" w:cs="仿宋"/>
          <w:color w:val="000000"/>
          <w:sz w:val="32"/>
          <w:szCs w:val="32"/>
          <w:u w:val="none"/>
          <w:shd w:val="clear" w:fill="FFFFFF"/>
        </w:rPr>
        <w:t>元</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（八）评标办法：综合评分法</w:t>
      </w:r>
    </w:p>
    <w:p>
      <w:pPr>
        <w:spacing w:line="600" w:lineRule="exact"/>
        <w:ind w:firstLine="320" w:firstLineChars="100"/>
        <w:jc w:val="both"/>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（九）资格审查方式：</w:t>
      </w:r>
      <w:r>
        <w:rPr>
          <w:rFonts w:hint="eastAsia" w:ascii="仿宋" w:hAnsi="仿宋" w:eastAsia="仿宋" w:cs="仿宋"/>
          <w:color w:val="000000"/>
          <w:sz w:val="32"/>
          <w:szCs w:val="32"/>
          <w:u w:val="none"/>
          <w:shd w:val="clear" w:fill="FFFFFF"/>
          <w:lang w:val="en-US" w:eastAsia="zh-CN"/>
        </w:rPr>
        <w:t>开标结束后，采购人依法对投标人资格进行审查。</w:t>
      </w:r>
    </w:p>
    <w:p>
      <w:pPr>
        <w:spacing w:line="600" w:lineRule="exact"/>
        <w:ind w:firstLine="320" w:firstLineChars="100"/>
        <w:jc w:val="both"/>
        <w:rPr>
          <w:rFonts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lang w:val="en-US"/>
        </w:rPr>
        <w:t xml:space="preserve"> </w:t>
      </w:r>
      <w:r>
        <w:rPr>
          <w:rFonts w:hint="eastAsia" w:ascii="仿宋" w:hAnsi="仿宋" w:eastAsia="仿宋" w:cs="仿宋"/>
          <w:color w:val="000000"/>
          <w:sz w:val="32"/>
          <w:szCs w:val="32"/>
          <w:u w:val="none"/>
          <w:shd w:val="clear" w:fill="FFFFFF"/>
          <w:lang w:val="en-US" w:eastAsia="zh-CN"/>
        </w:rPr>
        <w:t>(十) 招标公告刊登的媒体：中国政府采购网、河南省政府采购网、许昌市政府采购网、全国公共资源交易平台（河南省·许昌市）。</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atLeast"/>
        <w:ind w:left="0" w:right="0" w:firstLine="420"/>
        <w:jc w:val="left"/>
        <w:textAlignment w:val="auto"/>
      </w:pPr>
      <w:r>
        <w:rPr>
          <w:rFonts w:hint="eastAsia" w:ascii="黑体" w:hAnsi="宋体" w:eastAsia="黑体" w:cs="黑体"/>
          <w:color w:val="000000"/>
          <w:sz w:val="32"/>
          <w:szCs w:val="32"/>
          <w:u w:val="none"/>
          <w:shd w:val="clear" w:fill="FFFFFF"/>
          <w:lang w:val="en-US"/>
        </w:rPr>
        <w:t> </w:t>
      </w:r>
      <w:r>
        <w:rPr>
          <w:rFonts w:hint="eastAsia" w:ascii="黑体" w:hAnsi="宋体" w:eastAsia="黑体" w:cs="黑体"/>
          <w:color w:val="000000"/>
          <w:sz w:val="32"/>
          <w:szCs w:val="32"/>
          <w:u w:val="none"/>
          <w:shd w:val="clear" w:fill="FFFFFF"/>
        </w:rPr>
        <w:t>二、开标记录及投标报价</w:t>
      </w:r>
    </w:p>
    <w:tbl>
      <w:tblPr>
        <w:tblStyle w:val="5"/>
        <w:tblW w:w="8791" w:type="dxa"/>
        <w:tblCellSpacing w:w="0" w:type="dxa"/>
        <w:tblInd w:w="-31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8"/>
        <w:gridCol w:w="3867"/>
        <w:gridCol w:w="2133"/>
        <w:gridCol w:w="194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PrEx>
        <w:trPr>
          <w:trHeight w:val="405"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序号</w:t>
            </w:r>
          </w:p>
        </w:tc>
        <w:tc>
          <w:tcPr>
            <w:tcW w:w="3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投标人</w:t>
            </w:r>
          </w:p>
        </w:tc>
        <w:tc>
          <w:tcPr>
            <w:tcW w:w="213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投标报价（元）</w:t>
            </w:r>
          </w:p>
        </w:tc>
        <w:tc>
          <w:tcPr>
            <w:tcW w:w="194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交货期</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1</w:t>
            </w:r>
          </w:p>
        </w:tc>
        <w:tc>
          <w:tcPr>
            <w:tcW w:w="3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lang w:val="en-US" w:eastAsia="zh-CN"/>
              </w:rPr>
              <w:t>河南卓阳建筑工程有限公司</w:t>
            </w:r>
          </w:p>
        </w:tc>
        <w:tc>
          <w:tcPr>
            <w:tcW w:w="213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lang w:val="en-US" w:eastAsia="zh-CN"/>
              </w:rPr>
              <w:t>324852.61</w:t>
            </w:r>
          </w:p>
        </w:tc>
        <w:tc>
          <w:tcPr>
            <w:tcW w:w="194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cstheme="minorBidi"/>
                <w:kern w:val="0"/>
                <w:sz w:val="24"/>
                <w:szCs w:val="24"/>
                <w:lang w:val="en-US" w:eastAsia="zh-CN" w:bidi="ar"/>
              </w:rPr>
              <w:t>以签证合同为准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2</w:t>
            </w:r>
          </w:p>
        </w:tc>
        <w:tc>
          <w:tcPr>
            <w:tcW w:w="3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lang w:val="en-US" w:eastAsia="zh-CN"/>
              </w:rPr>
              <w:t>河南久丰建设工程有限公司</w:t>
            </w:r>
          </w:p>
        </w:tc>
        <w:tc>
          <w:tcPr>
            <w:tcW w:w="213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480" w:lineRule="auto"/>
              <w:ind w:firstLine="480" w:firstLineChars="200"/>
              <w:jc w:val="both"/>
              <w:rPr>
                <w:rFonts w:hint="default"/>
                <w:lang w:val="en-US" w:eastAsia="zh-CN"/>
              </w:rPr>
            </w:pPr>
            <w:r>
              <w:rPr>
                <w:rFonts w:hint="eastAsia"/>
                <w:lang w:val="en-US" w:eastAsia="zh-CN"/>
              </w:rPr>
              <w:t>324727.80</w:t>
            </w:r>
          </w:p>
        </w:tc>
        <w:tc>
          <w:tcPr>
            <w:tcW w:w="194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spacing w:line="330" w:lineRule="atLeast"/>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以签证合同为准</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48"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3</w:t>
            </w:r>
          </w:p>
        </w:tc>
        <w:tc>
          <w:tcPr>
            <w:tcW w:w="3867"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lang w:val="en-US" w:eastAsia="zh-CN"/>
              </w:rPr>
              <w:t>浙江迈图环保科技有限公司</w:t>
            </w:r>
          </w:p>
        </w:tc>
        <w:tc>
          <w:tcPr>
            <w:tcW w:w="213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pStyle w:val="4"/>
              <w:keepNext w:val="0"/>
              <w:keepLines w:val="0"/>
              <w:widowControl/>
              <w:suppressLineNumbers w:val="0"/>
              <w:spacing w:line="330" w:lineRule="atLeast"/>
              <w:jc w:val="center"/>
              <w:rPr>
                <w:rFonts w:hint="default"/>
                <w:lang w:val="en-US" w:eastAsia="zh-CN"/>
              </w:rPr>
            </w:pPr>
            <w:r>
              <w:rPr>
                <w:rFonts w:hint="eastAsia"/>
                <w:lang w:val="en-US" w:eastAsia="zh-CN"/>
              </w:rPr>
              <w:t>324470.98</w:t>
            </w:r>
          </w:p>
        </w:tc>
        <w:tc>
          <w:tcPr>
            <w:tcW w:w="1943" w:type="dxa"/>
            <w:tcBorders>
              <w:top w:val="single" w:color="auto" w:sz="8" w:space="0"/>
              <w:left w:val="single" w:color="auto" w:sz="8" w:space="0"/>
              <w:bottom w:val="single" w:color="auto" w:sz="8" w:space="0"/>
              <w:right w:val="single" w:color="auto" w:sz="8" w:space="0"/>
            </w:tcBorders>
            <w:shd w:val="clear" w:color="auto" w:fill="auto"/>
            <w:tcMar>
              <w:top w:w="105" w:type="dxa"/>
              <w:left w:w="105" w:type="dxa"/>
              <w:bottom w:w="105" w:type="dxa"/>
              <w:right w:w="105" w:type="dxa"/>
            </w:tcMar>
            <w:vAlign w:val="center"/>
          </w:tcPr>
          <w:p>
            <w:pPr>
              <w:keepNext w:val="0"/>
              <w:keepLines w:val="0"/>
              <w:widowControl/>
              <w:suppressLineNumbers w:val="0"/>
              <w:spacing w:line="330" w:lineRule="atLeast"/>
              <w:jc w:val="center"/>
              <w:rPr>
                <w:rFonts w:hint="eastAsia"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以签证合同为准</w:t>
            </w:r>
          </w:p>
        </w:tc>
      </w:tr>
    </w:tbl>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452" w:beforeAutospacing="0" w:after="0" w:afterAutospacing="0" w:line="400" w:lineRule="exact"/>
        <w:ind w:left="324" w:right="0" w:firstLine="301"/>
        <w:jc w:val="left"/>
        <w:textAlignment w:val="auto"/>
        <w:rPr>
          <w:rFonts w:hint="eastAsia" w:ascii="黑体" w:hAnsi="宋体" w:eastAsia="黑体" w:cs="黑体"/>
          <w:color w:val="000000"/>
          <w:sz w:val="32"/>
          <w:szCs w:val="32"/>
          <w:u w:val="none"/>
          <w:shd w:val="clear" w:fill="FFFFFF"/>
        </w:rPr>
      </w:pPr>
      <w:r>
        <w:rPr>
          <w:rFonts w:hint="eastAsia" w:ascii="黑体" w:hAnsi="宋体" w:eastAsia="黑体" w:cs="黑体"/>
          <w:color w:val="000000"/>
          <w:sz w:val="32"/>
          <w:szCs w:val="32"/>
          <w:u w:val="none"/>
          <w:shd w:val="clear" w:fill="FFFFFF"/>
        </w:rPr>
        <w:t>资格审查情况</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452" w:beforeAutospacing="0" w:after="0" w:afterAutospacing="0" w:line="400" w:lineRule="exact"/>
        <w:ind w:left="324" w:right="0" w:firstLine="301"/>
        <w:jc w:val="left"/>
        <w:textAlignment w:val="auto"/>
        <w:rPr>
          <w:rFonts w:hint="eastAsia" w:ascii="黑体" w:hAnsi="宋体" w:eastAsia="黑体" w:cs="黑体"/>
          <w:color w:val="000000"/>
          <w:sz w:val="32"/>
          <w:szCs w:val="32"/>
          <w:u w:val="none"/>
          <w:shd w:val="clear" w:fill="FFFFFF"/>
        </w:rPr>
      </w:pPr>
      <w:r>
        <w:rPr>
          <w:rFonts w:hint="eastAsia" w:ascii="仿宋" w:hAnsi="仿宋" w:eastAsia="仿宋" w:cs="仿宋"/>
          <w:b w:val="0"/>
          <w:i w:val="0"/>
          <w:color w:val="auto"/>
          <w:sz w:val="32"/>
          <w:szCs w:val="32"/>
          <w:u w:val="none"/>
          <w:shd w:val="clear" w:fill="FFFFFF"/>
          <w:lang w:val="en-US" w:eastAsia="zh-CN"/>
        </w:rPr>
        <w:t>三家投标人均通过了资格审查。</w:t>
      </w:r>
    </w:p>
    <w:tbl>
      <w:tblPr>
        <w:tblStyle w:val="5"/>
        <w:tblW w:w="8041" w:type="dxa"/>
        <w:jc w:val="center"/>
        <w:tblCellSpacing w:w="0" w:type="dxa"/>
        <w:tblInd w:w="-34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3"/>
        <w:gridCol w:w="7108"/>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5" w:hRule="atLeast"/>
          <w:tblCellSpacing w:w="0" w:type="dxa"/>
          <w:jc w:val="center"/>
        </w:trPr>
        <w:tc>
          <w:tcPr>
            <w:tcW w:w="933"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jc w:val="center"/>
              <w:rPr>
                <w:rFonts w:hint="eastAsia"/>
                <w:lang w:val="en-US" w:eastAsia="zh-CN"/>
              </w:rPr>
            </w:pPr>
            <w:r>
              <w:rPr>
                <w:rFonts w:hint="eastAsia"/>
                <w:lang w:val="en-US" w:eastAsia="zh-CN"/>
              </w:rPr>
              <w:t>序号</w:t>
            </w:r>
          </w:p>
        </w:tc>
        <w:tc>
          <w:tcPr>
            <w:tcW w:w="7108"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default"/>
                <w:lang w:val="en-US" w:eastAsia="zh-CN"/>
              </w:rPr>
            </w:pPr>
            <w:r>
              <w:rPr>
                <w:rFonts w:hint="eastAsia"/>
                <w:lang w:val="en-US" w:eastAsia="zh-CN"/>
              </w:rPr>
              <w:t>供应商名称</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933"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lang w:val="en-US" w:eastAsia="zh-CN"/>
              </w:rPr>
            </w:pPr>
            <w:r>
              <w:rPr>
                <w:rFonts w:hint="eastAsia"/>
                <w:lang w:val="en-US" w:eastAsia="zh-CN"/>
              </w:rPr>
              <w:t>1</w:t>
            </w:r>
          </w:p>
        </w:tc>
        <w:tc>
          <w:tcPr>
            <w:tcW w:w="7108"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b w:val="0"/>
                <w:bCs/>
                <w:lang w:val="en-US" w:eastAsia="zh-CN"/>
              </w:rPr>
            </w:pPr>
            <w:r>
              <w:rPr>
                <w:rFonts w:hint="eastAsia"/>
                <w:lang w:val="en-US" w:eastAsia="zh-CN"/>
              </w:rPr>
              <w:t>河南卓阳建筑工程有限公司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933"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lang w:val="en-US" w:eastAsia="zh-CN"/>
              </w:rPr>
            </w:pPr>
            <w:r>
              <w:rPr>
                <w:rFonts w:hint="eastAsia"/>
                <w:lang w:val="en-US" w:eastAsia="zh-CN"/>
              </w:rPr>
              <w:t>2</w:t>
            </w:r>
          </w:p>
        </w:tc>
        <w:tc>
          <w:tcPr>
            <w:tcW w:w="7108"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b w:val="0"/>
                <w:bCs/>
                <w:lang w:val="en-US" w:eastAsia="zh-CN"/>
              </w:rPr>
            </w:pPr>
            <w:r>
              <w:rPr>
                <w:rFonts w:hint="eastAsia"/>
                <w:lang w:val="en-US" w:eastAsia="zh-CN"/>
              </w:rPr>
              <w:t>河南久丰建设工程有限公司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5" w:hRule="atLeast"/>
          <w:tblCellSpacing w:w="0" w:type="dxa"/>
          <w:jc w:val="center"/>
        </w:trPr>
        <w:tc>
          <w:tcPr>
            <w:tcW w:w="933"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lang w:val="en-US" w:eastAsia="zh-CN"/>
              </w:rPr>
            </w:pPr>
            <w:r>
              <w:rPr>
                <w:rFonts w:hint="eastAsia"/>
                <w:lang w:val="en-US" w:eastAsia="zh-CN"/>
              </w:rPr>
              <w:t>3</w:t>
            </w:r>
          </w:p>
        </w:tc>
        <w:tc>
          <w:tcPr>
            <w:tcW w:w="7108" w:type="dxa"/>
            <w:tcBorders>
              <w:top w:val="inset" w:color="000000" w:sz="8" w:space="0"/>
              <w:left w:val="inset" w:color="000000" w:sz="8" w:space="0"/>
              <w:bottom w:val="inset" w:color="000000" w:sz="8" w:space="0"/>
              <w:right w:val="inset" w:color="000000" w:sz="8"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ind w:left="0" w:leftChars="0" w:right="0" w:rightChars="0"/>
              <w:jc w:val="center"/>
              <w:rPr>
                <w:rFonts w:hint="eastAsia"/>
                <w:b w:val="0"/>
                <w:bCs/>
                <w:lang w:val="en-US" w:eastAsia="zh-CN"/>
              </w:rPr>
            </w:pPr>
            <w:r>
              <w:rPr>
                <w:rFonts w:hint="eastAsia"/>
                <w:lang w:val="en-US" w:eastAsia="zh-CN"/>
              </w:rPr>
              <w:t>浙江迈图环保科技有限公司</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00" w:lineRule="exact"/>
        <w:ind w:left="0" w:right="0" w:firstLine="641"/>
        <w:jc w:val="left"/>
        <w:textAlignment w:val="auto"/>
      </w:pPr>
      <w:r>
        <w:rPr>
          <w:rFonts w:hint="eastAsia" w:ascii="黑体" w:hAnsi="宋体" w:eastAsia="黑体" w:cs="黑体"/>
          <w:color w:val="000000"/>
          <w:sz w:val="32"/>
          <w:szCs w:val="32"/>
          <w:u w:val="none"/>
          <w:shd w:val="clear" w:fill="FFFFFF"/>
        </w:rPr>
        <w:t>四、评审情况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pPr>
      <w:r>
        <w:rPr>
          <w:rFonts w:hint="eastAsia" w:ascii="仿宋" w:hAnsi="仿宋" w:eastAsia="仿宋" w:cs="仿宋"/>
          <w:color w:val="000000"/>
          <w:sz w:val="32"/>
          <w:szCs w:val="32"/>
          <w:u w:val="none"/>
          <w:shd w:val="clear" w:fill="FFFFFF"/>
        </w:rPr>
        <w:t>（一）符合性审查</w:t>
      </w:r>
    </w:p>
    <w:p>
      <w:pPr>
        <w:pStyle w:val="71"/>
      </w:pPr>
      <w:r>
        <w:rPr>
          <w:rFonts w:hint="eastAsia" w:ascii="仿宋" w:hAnsi="仿宋" w:eastAsia="仿宋" w:cs="仿宋"/>
          <w:b w:val="0"/>
          <w:i w:val="0"/>
          <w:color w:val="auto"/>
          <w:sz w:val="32"/>
          <w:szCs w:val="32"/>
          <w:u w:val="none"/>
          <w:shd w:val="clear" w:fill="FFFFFF"/>
        </w:rPr>
        <w:t>通过资格审查的</w:t>
      </w:r>
      <w:r>
        <w:rPr>
          <w:rFonts w:hint="eastAsia" w:ascii="仿宋" w:hAnsi="仿宋" w:eastAsia="仿宋" w:cs="仿宋"/>
          <w:b w:val="0"/>
          <w:i w:val="0"/>
          <w:color w:val="auto"/>
          <w:sz w:val="32"/>
          <w:szCs w:val="32"/>
          <w:u w:val="none"/>
          <w:shd w:val="clear" w:fill="FFFFFF"/>
          <w:lang w:val="en-US" w:eastAsia="zh-CN"/>
        </w:rPr>
        <w:t>四家</w:t>
      </w:r>
      <w:r>
        <w:rPr>
          <w:rFonts w:hint="eastAsia" w:ascii="仿宋" w:hAnsi="仿宋" w:eastAsia="仿宋" w:cs="仿宋"/>
          <w:b w:val="0"/>
          <w:i w:val="0"/>
          <w:color w:val="auto"/>
          <w:sz w:val="32"/>
          <w:szCs w:val="32"/>
          <w:u w:val="none"/>
          <w:shd w:val="clear" w:fill="FFFFFF"/>
        </w:rPr>
        <w:t>投标人</w:t>
      </w:r>
      <w:r>
        <w:rPr>
          <w:rFonts w:hint="eastAsia" w:ascii="仿宋" w:hAnsi="仿宋" w:eastAsia="仿宋" w:cs="仿宋"/>
          <w:b w:val="0"/>
          <w:i w:val="0"/>
          <w:color w:val="auto"/>
          <w:sz w:val="32"/>
          <w:szCs w:val="32"/>
          <w:u w:val="none"/>
          <w:shd w:val="clear" w:fill="FFFFFF"/>
          <w:lang w:val="en-US" w:eastAsia="zh-CN"/>
        </w:rPr>
        <w:t>中，</w:t>
      </w:r>
      <w:r>
        <w:rPr>
          <w:rFonts w:ascii="微软雅黑" w:hAnsi="微软雅黑" w:eastAsia="微软雅黑" w:cs="微软雅黑"/>
          <w:sz w:val="18"/>
          <w:szCs w:val="18"/>
        </w:rPr>
        <w:t>通过资质审查的4家供应商中许昌市轩逸时代信息技术有限公司未明确产品可靠性检验MTBF数值</w:t>
      </w:r>
      <w:r>
        <w:rPr>
          <w:rFonts w:hint="eastAsia" w:ascii="微软雅黑" w:hAnsi="微软雅黑" w:eastAsia="微软雅黑" w:cs="微软雅黑"/>
          <w:sz w:val="18"/>
          <w:szCs w:val="18"/>
          <w:lang w:eastAsia="zh-CN"/>
        </w:rPr>
        <w:t>，</w:t>
      </w:r>
      <w:r>
        <w:t>窗体顶端</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7" w:beforeAutospacing="0" w:after="0" w:afterAutospacing="0" w:line="400" w:lineRule="exact"/>
        <w:ind w:left="0" w:right="0" w:firstLine="627"/>
        <w:jc w:val="left"/>
        <w:textAlignment w:val="auto"/>
        <w:rPr>
          <w:rFonts w:hint="default" w:ascii="仿宋" w:hAnsi="仿宋" w:eastAsia="仿宋" w:cs="仿宋"/>
          <w:b w:val="0"/>
          <w:i w:val="0"/>
          <w:color w:val="000000"/>
          <w:sz w:val="32"/>
          <w:szCs w:val="32"/>
          <w:u w:val="none"/>
          <w:shd w:val="clear" w:fill="FFFFFF"/>
          <w:lang w:val="en-US" w:eastAsia="zh-CN"/>
        </w:rPr>
      </w:pPr>
      <w:r>
        <w:rPr>
          <w:rFonts w:hint="eastAsia" w:ascii="仿宋" w:hAnsi="仿宋" w:eastAsia="仿宋" w:cs="仿宋"/>
          <w:b w:val="0"/>
          <w:i w:val="0"/>
          <w:color w:val="000000"/>
          <w:sz w:val="32"/>
          <w:szCs w:val="32"/>
          <w:u w:val="none"/>
          <w:shd w:val="clear" w:fill="FFFFFF"/>
          <w:lang w:val="en-US" w:eastAsia="zh-CN"/>
        </w:rPr>
        <w:t>该三家供应商均通过资质审查和符合性审查。不同投标人电子投标文件制作硬件特征码无异常。</w:t>
      </w:r>
    </w:p>
    <w:p>
      <w:pPr>
        <w:pStyle w:val="72"/>
      </w:pPr>
      <w:r>
        <w:t>窗体底端</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7" w:beforeAutospacing="0" w:after="0" w:afterAutospacing="0" w:line="400" w:lineRule="exact"/>
        <w:ind w:left="0" w:right="0" w:firstLine="627"/>
        <w:jc w:val="left"/>
        <w:textAlignment w:val="auto"/>
        <w:rPr>
          <w:b w:val="0"/>
          <w:i w:val="0"/>
        </w:rPr>
      </w:pPr>
      <w:r>
        <w:rPr>
          <w:rFonts w:hint="eastAsia" w:ascii="仿宋" w:hAnsi="仿宋" w:eastAsia="仿宋" w:cs="仿宋"/>
          <w:b w:val="0"/>
          <w:i w:val="0"/>
          <w:color w:val="000000"/>
          <w:sz w:val="32"/>
          <w:szCs w:val="32"/>
          <w:u w:val="none"/>
          <w:shd w:val="clear" w:fill="FFFFFF"/>
        </w:rPr>
        <w:t>综合比较与评价</w:t>
      </w:r>
      <w:r>
        <w:rPr>
          <w:rFonts w:hint="eastAsia" w:ascii="仿宋" w:hAnsi="仿宋" w:eastAsia="仿宋" w:cs="仿宋"/>
          <w:b w:val="0"/>
          <w:i w:val="0"/>
          <w:color w:val="000000"/>
          <w:sz w:val="32"/>
          <w:szCs w:val="32"/>
          <w:u w:val="none"/>
          <w:shd w:val="clear" w:fill="FFFFFF"/>
          <w:lang w:val="en-US"/>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7" w:beforeAutospacing="0" w:after="0" w:afterAutospacing="0" w:line="400" w:lineRule="exact"/>
        <w:ind w:right="0" w:rightChars="0" w:firstLine="640" w:firstLineChars="200"/>
        <w:jc w:val="left"/>
        <w:textAlignment w:val="auto"/>
        <w:rPr>
          <w:rFonts w:hint="eastAsia" w:ascii="仿宋" w:hAnsi="仿宋" w:eastAsia="仿宋" w:cs="仿宋"/>
          <w:b w:val="0"/>
          <w:i w:val="0"/>
          <w:color w:val="auto"/>
          <w:sz w:val="32"/>
          <w:szCs w:val="32"/>
          <w:u w:val="none"/>
          <w:shd w:val="clear" w:fill="FFFFFF"/>
          <w:lang w:val="en-US" w:eastAsia="zh-CN"/>
        </w:rPr>
      </w:pPr>
      <w:r>
        <w:rPr>
          <w:rFonts w:hint="eastAsia" w:ascii="仿宋" w:hAnsi="仿宋" w:eastAsia="仿宋" w:cs="仿宋"/>
          <w:b w:val="0"/>
          <w:i w:val="0"/>
          <w:color w:val="auto"/>
          <w:sz w:val="32"/>
          <w:szCs w:val="32"/>
          <w:u w:val="none"/>
          <w:shd w:val="clear" w:fill="FFFFFF"/>
          <w:lang w:val="en-US" w:eastAsia="zh-CN"/>
        </w:rPr>
        <w:t>经过评审委员会对报价、商务部分和技术部分的综合评比，各个投标人得分情况如下：</w:t>
      </w:r>
    </w:p>
    <w:tbl>
      <w:tblPr>
        <w:tblStyle w:val="5"/>
        <w:tblW w:w="8326" w:type="dxa"/>
        <w:tblInd w:w="-40" w:type="dxa"/>
        <w:shd w:val="clear" w:color="auto" w:fill="auto"/>
        <w:tblLayout w:type="fixed"/>
        <w:tblCellMar>
          <w:top w:w="0" w:type="dxa"/>
          <w:left w:w="0" w:type="dxa"/>
          <w:bottom w:w="0" w:type="dxa"/>
          <w:right w:w="0" w:type="dxa"/>
        </w:tblCellMar>
      </w:tblPr>
      <w:tblGrid>
        <w:gridCol w:w="841"/>
        <w:gridCol w:w="1620"/>
        <w:gridCol w:w="1725"/>
        <w:gridCol w:w="1800"/>
        <w:gridCol w:w="2340"/>
      </w:tblGrid>
      <w:tr>
        <w:tblPrEx>
          <w:shd w:val="clear" w:color="auto" w:fill="auto"/>
          <w:tblLayout w:type="fixed"/>
          <w:tblCellMar>
            <w:top w:w="0" w:type="dxa"/>
            <w:left w:w="0" w:type="dxa"/>
            <w:bottom w:w="0" w:type="dxa"/>
            <w:right w:w="0" w:type="dxa"/>
          </w:tblCellMar>
        </w:tblPrEx>
        <w:trPr>
          <w:trHeight w:val="690" w:hRule="atLeast"/>
        </w:trPr>
        <w:tc>
          <w:tcPr>
            <w:tcW w:w="8326"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spacing w:line="330" w:lineRule="atLeast"/>
              <w:ind w:left="0" w:leftChars="0" w:right="0" w:rightChars="0"/>
              <w:jc w:val="center"/>
              <w:rPr>
                <w:rFonts w:hint="eastAsia" w:ascii="宋体" w:hAnsi="宋体" w:eastAsia="宋体" w:cs="宋体"/>
                <w:b w:val="0"/>
                <w:bCs w:val="0"/>
                <w:sz w:val="24"/>
                <w:szCs w:val="24"/>
                <w:lang w:val="en-US" w:eastAsia="zh-CN"/>
              </w:rPr>
            </w:pPr>
            <w:r>
              <w:rPr>
                <w:rFonts w:hint="eastAsia"/>
                <w:lang w:val="en-US" w:eastAsia="zh-CN"/>
              </w:rPr>
              <w:t>河南卓阳建筑工程有限公司</w:t>
            </w:r>
          </w:p>
        </w:tc>
      </w:tr>
      <w:tr>
        <w:tblPrEx>
          <w:shd w:val="clear" w:color="auto" w:fill="auto"/>
          <w:tblLayout w:type="fixed"/>
          <w:tblCellMar>
            <w:top w:w="0" w:type="dxa"/>
            <w:left w:w="0" w:type="dxa"/>
            <w:bottom w:w="0" w:type="dxa"/>
            <w:right w:w="0" w:type="dxa"/>
          </w:tblCellMar>
        </w:tblPrEx>
        <w:trPr>
          <w:trHeight w:val="1740" w:hRule="atLeast"/>
        </w:trPr>
        <w:tc>
          <w:tcPr>
            <w:tcW w:w="841" w:type="dxa"/>
            <w:tcBorders>
              <w:top w:val="single" w:color="000000" w:sz="8" w:space="0"/>
              <w:left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因素</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30分</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43分</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27分</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合  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100分</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评委1</w:t>
            </w:r>
          </w:p>
        </w:tc>
        <w:tc>
          <w:tcPr>
            <w:tcW w:w="1620"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29.96</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18</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57.96</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评委2</w:t>
            </w:r>
          </w:p>
        </w:tc>
        <w:tc>
          <w:tcPr>
            <w:tcW w:w="162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29.96</w:t>
            </w:r>
          </w:p>
        </w:tc>
        <w:tc>
          <w:tcPr>
            <w:tcW w:w="17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11</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21</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61.96</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评委3</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29.96</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18</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57.96</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评委4</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29.96</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20</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59.96</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评委5</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29.96</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9</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15</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53.96</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平均分</w:t>
            </w:r>
          </w:p>
        </w:tc>
        <w:tc>
          <w:tcPr>
            <w:tcW w:w="748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default"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58.36</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7" w:beforeAutospacing="0" w:after="0" w:afterAutospacing="0" w:line="360" w:lineRule="auto"/>
        <w:ind w:left="0" w:right="0" w:firstLine="641"/>
        <w:jc w:val="left"/>
        <w:rPr>
          <w:rFonts w:hint="eastAsia" w:ascii="宋体" w:hAnsi="宋体" w:eastAsia="宋体" w:cs="宋体"/>
          <w:b w:val="0"/>
          <w:i w:val="0"/>
          <w:color w:val="000000"/>
          <w:kern w:val="0"/>
          <w:sz w:val="24"/>
          <w:szCs w:val="24"/>
          <w:u w:val="none"/>
          <w:shd w:val="clear" w:fill="FFFFFF"/>
          <w:lang w:val="en-US" w:eastAsia="zh-CN" w:bidi="ar"/>
        </w:rPr>
      </w:pPr>
    </w:p>
    <w:tbl>
      <w:tblPr>
        <w:tblStyle w:val="5"/>
        <w:tblW w:w="8326" w:type="dxa"/>
        <w:tblInd w:w="-40" w:type="dxa"/>
        <w:shd w:val="clear" w:color="auto" w:fill="auto"/>
        <w:tblLayout w:type="fixed"/>
        <w:tblCellMar>
          <w:top w:w="0" w:type="dxa"/>
          <w:left w:w="0" w:type="dxa"/>
          <w:bottom w:w="0" w:type="dxa"/>
          <w:right w:w="0" w:type="dxa"/>
        </w:tblCellMar>
      </w:tblPr>
      <w:tblGrid>
        <w:gridCol w:w="841"/>
        <w:gridCol w:w="1620"/>
        <w:gridCol w:w="1725"/>
        <w:gridCol w:w="1800"/>
        <w:gridCol w:w="2340"/>
      </w:tblGrid>
      <w:tr>
        <w:tblPrEx>
          <w:shd w:val="clear" w:color="auto" w:fill="auto"/>
          <w:tblLayout w:type="fixed"/>
          <w:tblCellMar>
            <w:top w:w="0" w:type="dxa"/>
            <w:left w:w="0" w:type="dxa"/>
            <w:bottom w:w="0" w:type="dxa"/>
            <w:right w:w="0" w:type="dxa"/>
          </w:tblCellMar>
        </w:tblPrEx>
        <w:trPr>
          <w:trHeight w:val="690" w:hRule="atLeast"/>
        </w:trPr>
        <w:tc>
          <w:tcPr>
            <w:tcW w:w="8326"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spacing w:line="330" w:lineRule="atLeast"/>
              <w:ind w:left="0" w:leftChars="0" w:right="0" w:rightChars="0"/>
              <w:jc w:val="center"/>
              <w:rPr>
                <w:rFonts w:hint="eastAsia" w:ascii="宋体" w:hAnsi="宋体" w:eastAsia="宋体" w:cs="宋体"/>
                <w:b/>
                <w:bCs/>
                <w:sz w:val="24"/>
                <w:szCs w:val="24"/>
                <w:lang w:val="en-US" w:eastAsia="zh-CN"/>
              </w:rPr>
            </w:pPr>
            <w:r>
              <w:rPr>
                <w:rFonts w:hint="eastAsia"/>
                <w:lang w:val="en-US" w:eastAsia="zh-CN"/>
              </w:rPr>
              <w:t>河南久丰建设工程有限公司</w:t>
            </w:r>
          </w:p>
        </w:tc>
      </w:tr>
      <w:tr>
        <w:tblPrEx>
          <w:shd w:val="clear" w:color="auto" w:fill="auto"/>
          <w:tblLayout w:type="fixed"/>
          <w:tblCellMar>
            <w:top w:w="0" w:type="dxa"/>
            <w:left w:w="0" w:type="dxa"/>
            <w:bottom w:w="0" w:type="dxa"/>
            <w:right w:w="0" w:type="dxa"/>
          </w:tblCellMar>
        </w:tblPrEx>
        <w:trPr>
          <w:trHeight w:val="1740" w:hRule="atLeast"/>
        </w:trPr>
        <w:tc>
          <w:tcPr>
            <w:tcW w:w="841" w:type="dxa"/>
            <w:tcBorders>
              <w:top w:val="single" w:color="000000" w:sz="8" w:space="0"/>
              <w:left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因素</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30分</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43分</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27分</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合  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评委1</w:t>
            </w:r>
          </w:p>
        </w:tc>
        <w:tc>
          <w:tcPr>
            <w:tcW w:w="1620"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29.98</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4</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17</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b w:val="0"/>
                <w:i w:val="0"/>
                <w:color w:val="auto"/>
                <w:lang w:val="en-US" w:eastAsia="zh-CN"/>
              </w:rPr>
            </w:pPr>
            <w:r>
              <w:rPr>
                <w:rFonts w:hint="eastAsia"/>
                <w:b w:val="0"/>
                <w:i w:val="0"/>
                <w:color w:val="auto"/>
                <w:lang w:val="en-US" w:eastAsia="zh-CN"/>
              </w:rPr>
              <w:t>50.98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评委2</w:t>
            </w:r>
          </w:p>
        </w:tc>
        <w:tc>
          <w:tcPr>
            <w:tcW w:w="162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29.98</w:t>
            </w:r>
          </w:p>
        </w:tc>
        <w:tc>
          <w:tcPr>
            <w:tcW w:w="17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5</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18</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52.98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评委3</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29.98</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7</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17</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53.98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评委4</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29.98</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7</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19</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55.98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评委5</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29.98</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4</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16</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49.98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平均分</w:t>
            </w:r>
          </w:p>
        </w:tc>
        <w:tc>
          <w:tcPr>
            <w:tcW w:w="748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b w:val="0"/>
                <w:i w:val="0"/>
                <w:lang w:val="en-US" w:eastAsia="zh-CN"/>
              </w:rPr>
            </w:pPr>
            <w:r>
              <w:rPr>
                <w:rFonts w:hint="eastAsia"/>
                <w:b w:val="0"/>
                <w:i w:val="0"/>
                <w:lang w:val="en-US" w:eastAsia="zh-CN"/>
              </w:rPr>
              <w:t>52.78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7" w:beforeAutospacing="0" w:after="0" w:afterAutospacing="0" w:line="360" w:lineRule="auto"/>
        <w:ind w:right="0"/>
        <w:jc w:val="left"/>
        <w:rPr>
          <w:rFonts w:hint="eastAsia" w:ascii="宋体" w:hAnsi="宋体" w:eastAsia="宋体" w:cs="宋体"/>
          <w:b w:val="0"/>
          <w:i w:val="0"/>
          <w:color w:val="000000"/>
          <w:kern w:val="0"/>
          <w:sz w:val="24"/>
          <w:szCs w:val="24"/>
          <w:u w:val="none"/>
          <w:shd w:val="clear" w:fill="FFFFFF"/>
          <w:lang w:val="en-US" w:eastAsia="zh-CN" w:bidi="ar"/>
        </w:rPr>
      </w:pPr>
    </w:p>
    <w:tbl>
      <w:tblPr>
        <w:tblStyle w:val="5"/>
        <w:tblW w:w="8326" w:type="dxa"/>
        <w:tblInd w:w="-40" w:type="dxa"/>
        <w:shd w:val="clear" w:color="auto" w:fill="auto"/>
        <w:tblLayout w:type="fixed"/>
        <w:tblCellMar>
          <w:top w:w="0" w:type="dxa"/>
          <w:left w:w="0" w:type="dxa"/>
          <w:bottom w:w="0" w:type="dxa"/>
          <w:right w:w="0" w:type="dxa"/>
        </w:tblCellMar>
      </w:tblPr>
      <w:tblGrid>
        <w:gridCol w:w="841"/>
        <w:gridCol w:w="1620"/>
        <w:gridCol w:w="1725"/>
        <w:gridCol w:w="1800"/>
        <w:gridCol w:w="2340"/>
      </w:tblGrid>
      <w:tr>
        <w:tblPrEx>
          <w:shd w:val="clear" w:color="auto" w:fill="auto"/>
          <w:tblLayout w:type="fixed"/>
          <w:tblCellMar>
            <w:top w:w="0" w:type="dxa"/>
            <w:left w:w="0" w:type="dxa"/>
            <w:bottom w:w="0" w:type="dxa"/>
            <w:right w:w="0" w:type="dxa"/>
          </w:tblCellMar>
        </w:tblPrEx>
        <w:trPr>
          <w:trHeight w:val="690" w:hRule="atLeast"/>
        </w:trPr>
        <w:tc>
          <w:tcPr>
            <w:tcW w:w="8326"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lang w:val="en-US" w:eastAsia="zh-CN"/>
              </w:rPr>
              <w:t>浙江迈图环保科技有限公司</w:t>
            </w:r>
          </w:p>
        </w:tc>
      </w:tr>
      <w:tr>
        <w:tblPrEx>
          <w:shd w:val="clear" w:color="auto" w:fill="auto"/>
          <w:tblLayout w:type="fixed"/>
          <w:tblCellMar>
            <w:top w:w="0" w:type="dxa"/>
            <w:left w:w="0" w:type="dxa"/>
            <w:bottom w:w="0" w:type="dxa"/>
            <w:right w:w="0" w:type="dxa"/>
          </w:tblCellMar>
        </w:tblPrEx>
        <w:trPr>
          <w:trHeight w:val="1740" w:hRule="atLeast"/>
        </w:trPr>
        <w:tc>
          <w:tcPr>
            <w:tcW w:w="841" w:type="dxa"/>
            <w:tcBorders>
              <w:top w:val="single" w:color="000000" w:sz="8" w:space="0"/>
              <w:left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评审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因素</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30分</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43分</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27分</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合  计</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评委1</w:t>
            </w:r>
          </w:p>
        </w:tc>
        <w:tc>
          <w:tcPr>
            <w:tcW w:w="1620" w:type="dxa"/>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30</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29</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20</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79</w:t>
            </w:r>
          </w:p>
        </w:tc>
      </w:tr>
      <w:tr>
        <w:tblPrEx>
          <w:tblLayout w:type="fixed"/>
          <w:tblCellMar>
            <w:top w:w="0" w:type="dxa"/>
            <w:left w:w="0" w:type="dxa"/>
            <w:bottom w:w="0" w:type="dxa"/>
            <w:right w:w="0" w:type="dxa"/>
          </w:tblCellMar>
        </w:tblPrEx>
        <w:trPr>
          <w:trHeight w:val="510" w:hRule="atLeast"/>
        </w:trPr>
        <w:tc>
          <w:tcPr>
            <w:tcW w:w="841"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评委2</w:t>
            </w:r>
          </w:p>
        </w:tc>
        <w:tc>
          <w:tcPr>
            <w:tcW w:w="1620" w:type="dxa"/>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30</w:t>
            </w:r>
          </w:p>
        </w:tc>
        <w:tc>
          <w:tcPr>
            <w:tcW w:w="17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28</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20</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78</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评委3</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30</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20</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81</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评委4</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30</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28</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25</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83</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rPr>
            </w:pPr>
            <w:r>
              <w:rPr>
                <w:rFonts w:hint="eastAsia" w:ascii="宋体" w:hAnsi="宋体" w:eastAsia="宋体" w:cs="宋体"/>
                <w:b w:val="0"/>
                <w:i w:val="0"/>
                <w:color w:val="000000"/>
                <w:kern w:val="0"/>
                <w:sz w:val="24"/>
                <w:szCs w:val="24"/>
                <w:u w:val="none"/>
                <w:lang w:val="en-US" w:eastAsia="zh-CN" w:bidi="ar"/>
              </w:rPr>
              <w:t>评委5</w:t>
            </w:r>
          </w:p>
        </w:tc>
        <w:tc>
          <w:tcPr>
            <w:tcW w:w="16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b w:val="0"/>
                <w:i w:val="0"/>
                <w:color w:val="auto"/>
              </w:rPr>
            </w:pPr>
            <w:r>
              <w:rPr>
                <w:rFonts w:hint="eastAsia"/>
                <w:b w:val="0"/>
                <w:i w:val="0"/>
                <w:color w:val="auto"/>
                <w:lang w:val="en-US" w:eastAsia="zh-CN"/>
              </w:rPr>
              <w:t>30</w:t>
            </w:r>
          </w:p>
        </w:tc>
        <w:tc>
          <w:tcPr>
            <w:tcW w:w="1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30</w:t>
            </w:r>
          </w:p>
        </w:tc>
        <w:tc>
          <w:tcPr>
            <w:tcW w:w="18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20</w:t>
            </w:r>
          </w:p>
        </w:tc>
        <w:tc>
          <w:tcPr>
            <w:tcW w:w="23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eastAsiaTheme="minorEastAsia"/>
                <w:b w:val="0"/>
                <w:i w:val="0"/>
                <w:color w:val="auto"/>
                <w:lang w:val="en-US" w:eastAsia="zh-CN"/>
              </w:rPr>
            </w:pPr>
            <w:r>
              <w:rPr>
                <w:rFonts w:hint="eastAsia"/>
                <w:b w:val="0"/>
                <w:i w:val="0"/>
                <w:color w:val="auto"/>
                <w:lang w:val="en-US" w:eastAsia="zh-CN"/>
              </w:rPr>
              <w:t>80</w:t>
            </w:r>
          </w:p>
        </w:tc>
      </w:tr>
      <w:tr>
        <w:tblPrEx>
          <w:shd w:val="clear" w:color="auto" w:fill="auto"/>
          <w:tblLayout w:type="fixed"/>
          <w:tblCellMar>
            <w:top w:w="0" w:type="dxa"/>
            <w:left w:w="0" w:type="dxa"/>
            <w:bottom w:w="0" w:type="dxa"/>
            <w:right w:w="0" w:type="dxa"/>
          </w:tblCellMar>
        </w:tblPrEx>
        <w:trPr>
          <w:trHeight w:val="510" w:hRule="atLeast"/>
        </w:trPr>
        <w:tc>
          <w:tcPr>
            <w:tcW w:w="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eastAsia" w:ascii="仿宋" w:hAnsi="仿宋" w:eastAsia="仿宋" w:cs="仿宋"/>
                <w:b/>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平均分</w:t>
            </w:r>
          </w:p>
        </w:tc>
        <w:tc>
          <w:tcPr>
            <w:tcW w:w="7485"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ind w:left="0" w:leftChars="0" w:right="0" w:rightChars="0"/>
              <w:jc w:val="center"/>
              <w:rPr>
                <w:rFonts w:hint="default"/>
                <w:b w:val="0"/>
                <w:i w:val="0"/>
                <w:lang w:val="en-US" w:eastAsia="zh-CN"/>
              </w:rPr>
            </w:pPr>
            <w:r>
              <w:rPr>
                <w:rFonts w:hint="eastAsia"/>
                <w:b w:val="0"/>
                <w:i w:val="0"/>
                <w:lang w:val="en-US" w:eastAsia="zh-CN"/>
              </w:rPr>
              <w:t>80.2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7" w:beforeAutospacing="0" w:after="0" w:afterAutospacing="0" w:line="360" w:lineRule="auto"/>
        <w:ind w:left="0" w:right="0" w:firstLine="641"/>
        <w:jc w:val="left"/>
        <w:rPr>
          <w:rFonts w:hint="eastAsia" w:ascii="宋体" w:hAnsi="宋体" w:eastAsia="宋体" w:cs="宋体"/>
          <w:b w:val="0"/>
          <w:i w:val="0"/>
          <w:color w:val="000000"/>
          <w:kern w:val="0"/>
          <w:sz w:val="24"/>
          <w:szCs w:val="24"/>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227" w:beforeAutospacing="0" w:after="0" w:afterAutospacing="0" w:line="360" w:lineRule="auto"/>
        <w:ind w:left="0" w:right="0" w:firstLine="641"/>
        <w:jc w:val="left"/>
        <w:rPr>
          <w:rFonts w:hint="eastAsia" w:ascii="宋体" w:hAnsi="宋体" w:eastAsia="宋体" w:cs="宋体"/>
          <w:b w:val="0"/>
          <w:i w:val="0"/>
          <w:color w:val="000000"/>
          <w:kern w:val="0"/>
          <w:sz w:val="24"/>
          <w:szCs w:val="24"/>
          <w:u w:val="none"/>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227" w:beforeAutospacing="0" w:after="0" w:afterAutospacing="0" w:line="240" w:lineRule="auto"/>
        <w:ind w:right="0"/>
        <w:jc w:val="left"/>
        <w:textAlignment w:val="auto"/>
        <w:rPr>
          <w:rFonts w:hint="default" w:eastAsia="仿宋"/>
          <w:b w:val="0"/>
          <w:i w:val="0"/>
          <w:color w:val="auto"/>
          <w:lang w:val="en-US" w:eastAsia="zh-CN"/>
        </w:rPr>
      </w:pPr>
      <w:r>
        <w:rPr>
          <w:rFonts w:hint="eastAsia" w:ascii="仿宋" w:hAnsi="仿宋" w:eastAsia="仿宋" w:cs="仿宋"/>
          <w:b w:val="0"/>
          <w:i w:val="0"/>
          <w:color w:val="auto"/>
          <w:sz w:val="32"/>
          <w:szCs w:val="32"/>
          <w:u w:val="none"/>
          <w:shd w:val="clear" w:fill="FFFFFF"/>
          <w:lang w:val="en-US" w:eastAsia="zh-CN"/>
        </w:rPr>
        <w:t>（三）最终得分如下：</w:t>
      </w:r>
    </w:p>
    <w:tbl>
      <w:tblPr>
        <w:tblStyle w:val="5"/>
        <w:tblpPr w:leftFromText="180" w:rightFromText="180" w:vertAnchor="text" w:horzAnchor="page" w:tblpXSpec="center" w:tblpY="113"/>
        <w:tblOverlap w:val="never"/>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4416"/>
        <w:gridCol w:w="162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45" w:type="dxa"/>
            <w:noWrap w:val="0"/>
            <w:vAlign w:val="top"/>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4416" w:type="dxa"/>
            <w:noWrap w:val="0"/>
            <w:vAlign w:val="top"/>
          </w:tcPr>
          <w:p>
            <w:pPr>
              <w:spacing w:line="440" w:lineRule="exact"/>
              <w:jc w:val="center"/>
              <w:rPr>
                <w:rFonts w:hint="eastAsia" w:ascii="仿宋" w:hAnsi="仿宋" w:eastAsia="仿宋"/>
                <w:sz w:val="28"/>
                <w:szCs w:val="28"/>
              </w:rPr>
            </w:pPr>
            <w:r>
              <w:rPr>
                <w:rFonts w:hint="eastAsia" w:ascii="仿宋" w:hAnsi="仿宋" w:eastAsia="仿宋"/>
                <w:sz w:val="28"/>
                <w:szCs w:val="28"/>
              </w:rPr>
              <w:t>投标商名称</w:t>
            </w:r>
          </w:p>
        </w:tc>
        <w:tc>
          <w:tcPr>
            <w:tcW w:w="1624" w:type="dxa"/>
            <w:noWrap w:val="0"/>
            <w:vAlign w:val="top"/>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最终得分</w:t>
            </w:r>
          </w:p>
        </w:tc>
        <w:tc>
          <w:tcPr>
            <w:tcW w:w="1035" w:type="dxa"/>
            <w:noWrap w:val="0"/>
            <w:vAlign w:val="top"/>
          </w:tcPr>
          <w:p>
            <w:pPr>
              <w:spacing w:line="44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445"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1</w:t>
            </w:r>
          </w:p>
        </w:tc>
        <w:tc>
          <w:tcPr>
            <w:tcW w:w="4416"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24"/>
                <w:szCs w:val="24"/>
                <w:lang w:val="en-US" w:eastAsia="zh-CN"/>
              </w:rPr>
            </w:pPr>
            <w:r>
              <w:rPr>
                <w:rFonts w:hint="eastAsia"/>
                <w:lang w:val="en-US" w:eastAsia="zh-CN"/>
              </w:rPr>
              <w:t>河南卓阳建筑工程有限公司</w:t>
            </w:r>
          </w:p>
        </w:tc>
        <w:tc>
          <w:tcPr>
            <w:tcW w:w="1624" w:type="dxa"/>
            <w:noWrap w:val="0"/>
            <w:vAlign w:val="center"/>
          </w:tcPr>
          <w:p>
            <w:pPr>
              <w:spacing w:line="44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58.36</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445"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2</w:t>
            </w:r>
          </w:p>
        </w:tc>
        <w:tc>
          <w:tcPr>
            <w:tcW w:w="4416"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24"/>
                <w:szCs w:val="24"/>
                <w:lang w:val="en-US" w:eastAsia="zh-CN"/>
              </w:rPr>
            </w:pPr>
            <w:r>
              <w:rPr>
                <w:rFonts w:hint="eastAsia"/>
                <w:lang w:val="en-US" w:eastAsia="zh-CN"/>
              </w:rPr>
              <w:t>河南久丰建设工程有限公司</w:t>
            </w:r>
          </w:p>
        </w:tc>
        <w:tc>
          <w:tcPr>
            <w:tcW w:w="1624" w:type="dxa"/>
            <w:noWrap w:val="0"/>
            <w:vAlign w:val="center"/>
          </w:tcPr>
          <w:p>
            <w:pPr>
              <w:spacing w:line="44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52.78</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445"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30"/>
                <w:lang w:val="en-US" w:eastAsia="zh-CN"/>
              </w:rPr>
            </w:pPr>
            <w:r>
              <w:rPr>
                <w:rFonts w:hint="eastAsia"/>
                <w:lang w:val="en-US" w:eastAsia="zh-CN"/>
              </w:rPr>
              <w:t>3</w:t>
            </w:r>
          </w:p>
        </w:tc>
        <w:tc>
          <w:tcPr>
            <w:tcW w:w="4416" w:type="dxa"/>
            <w:noWrap w:val="0"/>
            <w:vAlign w:val="center"/>
          </w:tcPr>
          <w:p>
            <w:pPr>
              <w:pStyle w:val="4"/>
              <w:keepNext w:val="0"/>
              <w:keepLines w:val="0"/>
              <w:widowControl/>
              <w:suppressLineNumbers w:val="0"/>
              <w:spacing w:line="330" w:lineRule="atLeast"/>
              <w:ind w:left="0" w:leftChars="0" w:right="0" w:rightChars="0"/>
              <w:jc w:val="center"/>
              <w:rPr>
                <w:rFonts w:hint="eastAsia" w:ascii="仿宋" w:hAnsi="仿宋" w:eastAsia="仿宋"/>
                <w:sz w:val="24"/>
                <w:szCs w:val="24"/>
                <w:lang w:val="en-US" w:eastAsia="zh-CN"/>
              </w:rPr>
            </w:pPr>
            <w:r>
              <w:rPr>
                <w:rFonts w:hint="eastAsia"/>
                <w:lang w:val="en-US" w:eastAsia="zh-CN"/>
              </w:rPr>
              <w:t>浙江迈图环保科技有限公司</w:t>
            </w:r>
          </w:p>
        </w:tc>
        <w:tc>
          <w:tcPr>
            <w:tcW w:w="1624" w:type="dxa"/>
            <w:noWrap w:val="0"/>
            <w:vAlign w:val="center"/>
          </w:tcPr>
          <w:p>
            <w:pPr>
              <w:spacing w:line="44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80.2</w:t>
            </w:r>
          </w:p>
        </w:tc>
        <w:tc>
          <w:tcPr>
            <w:tcW w:w="1035" w:type="dxa"/>
            <w:noWrap w:val="0"/>
            <w:vAlign w:val="center"/>
          </w:tcPr>
          <w:p>
            <w:pPr>
              <w:spacing w:line="44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1</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firstLineChars="200"/>
        <w:jc w:val="left"/>
        <w:textAlignment w:val="auto"/>
      </w:pPr>
      <w:r>
        <w:rPr>
          <w:rFonts w:hint="eastAsia" w:ascii="黑体" w:hAnsi="宋体" w:eastAsia="黑体" w:cs="黑体"/>
          <w:color w:val="000000"/>
          <w:sz w:val="32"/>
          <w:szCs w:val="32"/>
          <w:u w:val="none"/>
          <w:shd w:val="clear" w:fill="FFFFFF"/>
          <w:lang w:val="en-US" w:eastAsia="zh-CN"/>
        </w:rPr>
        <w:t xml:space="preserve"> </w:t>
      </w:r>
      <w:r>
        <w:rPr>
          <w:rFonts w:hint="eastAsia" w:ascii="黑体" w:hAnsi="宋体" w:eastAsia="黑体" w:cs="黑体"/>
          <w:color w:val="000000"/>
          <w:sz w:val="32"/>
          <w:szCs w:val="32"/>
          <w:u w:val="none"/>
          <w:shd w:val="clear" w:fill="FFFFFF"/>
        </w:rPr>
        <w:t>五、评标委员会推荐中标候选人（或采购人授权确定中标人）情况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第一中标候选人：  浙江迈图环保科技有限公司</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地址：浙江省绍兴市斗门镇海塘路70号车间四215室</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电话：15972896389      邮政编号：312000</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中标金额：324470.98元</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第二中标候选人：河南卓阳建筑工程有限公司</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地址：安阳县住建局院内</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电话：0372-2076788        邮政编号：455100</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中标金额：324852.61元</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第三中标候选人：河南久丰建设工程有限公司</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default"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地址：周口市庆丰街玖号院2号楼</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电话：15138323775  邮政编号：466000</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中标金额：324727.80元</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0" w:beforeAutospacing="0" w:after="0" w:afterAutospacing="0" w:line="240" w:lineRule="auto"/>
        <w:ind w:right="0" w:rightChars="0" w:firstLine="640" w:firstLineChars="200"/>
        <w:jc w:val="left"/>
        <w:textAlignment w:val="auto"/>
      </w:pPr>
      <w:r>
        <w:rPr>
          <w:rFonts w:hint="eastAsia" w:ascii="黑体" w:hAnsi="宋体" w:eastAsia="黑体" w:cs="黑体"/>
          <w:color w:val="000000"/>
          <w:sz w:val="32"/>
          <w:szCs w:val="32"/>
          <w:u w:val="none"/>
          <w:shd w:val="clear" w:fill="FFFFFF"/>
          <w:lang w:val="en-US" w:eastAsia="zh-CN"/>
        </w:rPr>
        <w:t>六、投标人根据评标</w:t>
      </w:r>
      <w:r>
        <w:rPr>
          <w:rFonts w:hint="eastAsia" w:ascii="黑体" w:hAnsi="宋体" w:eastAsia="黑体" w:cs="黑体"/>
          <w:color w:val="000000"/>
          <w:sz w:val="32"/>
          <w:szCs w:val="32"/>
          <w:u w:val="none"/>
          <w:shd w:val="clear" w:fill="FFFFFF"/>
        </w:rPr>
        <w:t>委员会要求进行的澄清、说明或者补正：无。</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黑体" w:hAnsi="宋体" w:eastAsia="黑体" w:cs="黑体"/>
          <w:color w:val="000000"/>
          <w:sz w:val="32"/>
          <w:szCs w:val="32"/>
          <w:u w:val="none"/>
          <w:shd w:val="clear" w:fill="FFFFFF"/>
        </w:rPr>
      </w:pPr>
      <w:r>
        <w:rPr>
          <w:rFonts w:hint="eastAsia" w:ascii="微软雅黑" w:hAnsi="微软雅黑" w:eastAsia="微软雅黑" w:cs="微软雅黑"/>
          <w:color w:val="333333"/>
          <w:sz w:val="18"/>
          <w:szCs w:val="18"/>
          <w:u w:val="none"/>
          <w:shd w:val="clear" w:fill="FFFFFF"/>
          <w:lang w:val="en-US"/>
        </w:rPr>
        <w:t xml:space="preserve">       </w:t>
      </w:r>
      <w:r>
        <w:rPr>
          <w:rFonts w:hint="eastAsia" w:ascii="微软雅黑" w:hAnsi="微软雅黑" w:eastAsia="微软雅黑" w:cs="微软雅黑"/>
          <w:color w:val="333333"/>
          <w:sz w:val="18"/>
          <w:szCs w:val="18"/>
          <w:u w:val="none"/>
          <w:shd w:val="clear" w:fill="FFFFFF"/>
          <w:lang w:val="en-US" w:eastAsia="zh-CN"/>
        </w:rPr>
        <w:t xml:space="preserve">  </w:t>
      </w:r>
      <w:r>
        <w:rPr>
          <w:rFonts w:hint="eastAsia" w:ascii="黑体" w:hAnsi="宋体" w:eastAsia="黑体" w:cs="黑体"/>
          <w:color w:val="000000"/>
          <w:sz w:val="32"/>
          <w:szCs w:val="32"/>
          <w:u w:val="none"/>
          <w:shd w:val="clear" w:fill="FFFFFF"/>
        </w:rPr>
        <w:t>七、是否存在评标委员会成员更换：无。</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right="0" w:firstLine="640"/>
        <w:jc w:val="left"/>
        <w:textAlignment w:val="auto"/>
        <w:rPr>
          <w:rFonts w:hint="default" w:ascii="仿宋" w:hAnsi="仿宋" w:eastAsia="仿宋" w:cs="仿宋"/>
          <w:color w:val="000000"/>
          <w:sz w:val="32"/>
          <w:szCs w:val="32"/>
          <w:u w:val="none"/>
          <w:shd w:val="clear" w:fill="FFFFFF"/>
          <w:lang w:val="en-US" w:eastAsia="zh-CN"/>
        </w:rPr>
      </w:pPr>
      <w:r>
        <w:rPr>
          <w:rFonts w:hint="eastAsia" w:ascii="黑体" w:hAnsi="宋体" w:eastAsia="黑体" w:cs="黑体"/>
          <w:color w:val="000000"/>
          <w:sz w:val="32"/>
          <w:szCs w:val="32"/>
          <w:u w:val="none"/>
          <w:shd w:val="clear" w:fill="FFFFFF"/>
        </w:rPr>
        <w:t>八、评标委员会</w:t>
      </w:r>
      <w:r>
        <w:rPr>
          <w:rFonts w:hint="eastAsia" w:ascii="黑体" w:hAnsi="宋体" w:eastAsia="黑体" w:cs="黑体"/>
          <w:color w:val="000000"/>
          <w:sz w:val="32"/>
          <w:szCs w:val="32"/>
          <w:u w:val="none"/>
          <w:shd w:val="clear" w:fill="FFFFFF"/>
          <w:lang w:val="en-US" w:eastAsia="zh-CN"/>
        </w:rPr>
        <w:t>主任：</w:t>
      </w:r>
      <w:r>
        <w:rPr>
          <w:rFonts w:hint="eastAsia" w:ascii="仿宋" w:hAnsi="仿宋" w:eastAsia="仿宋" w:cs="仿宋"/>
          <w:color w:val="000000"/>
          <w:sz w:val="32"/>
          <w:szCs w:val="32"/>
          <w:u w:val="none"/>
          <w:shd w:val="clear" w:fill="FFFFFF"/>
          <w:lang w:val="en-US" w:eastAsia="zh-CN"/>
        </w:rPr>
        <w:t>严爱琴</w:t>
      </w:r>
    </w:p>
    <w:p>
      <w:pPr>
        <w:pStyle w:val="4"/>
        <w:keepNext w:val="0"/>
        <w:keepLines w:val="0"/>
        <w:widowControl/>
        <w:suppressLineNumbers w:val="0"/>
        <w:shd w:val="clear" w:fill="FFFFFF"/>
        <w:snapToGrid w:val="0"/>
        <w:spacing w:before="452" w:beforeAutospacing="0" w:after="0" w:afterAutospacing="0" w:line="360" w:lineRule="auto"/>
        <w:ind w:right="0" w:firstLine="1280" w:firstLineChars="400"/>
        <w:jc w:val="left"/>
        <w:rPr>
          <w:rFonts w:hint="eastAsia" w:ascii="仿宋" w:hAnsi="仿宋" w:eastAsia="仿宋" w:cs="仿宋"/>
          <w:color w:val="000000"/>
          <w:sz w:val="32"/>
          <w:szCs w:val="32"/>
          <w:u w:val="none"/>
          <w:shd w:val="clear" w:fill="FFFFFF"/>
          <w:lang w:val="en-US" w:eastAsia="zh-CN"/>
        </w:rPr>
      </w:pPr>
      <w:r>
        <w:rPr>
          <w:rFonts w:hint="eastAsia" w:ascii="黑体" w:hAnsi="宋体" w:eastAsia="黑体" w:cs="黑体"/>
          <w:color w:val="000000"/>
          <w:sz w:val="32"/>
          <w:szCs w:val="32"/>
          <w:u w:val="none"/>
          <w:shd w:val="clear" w:fill="FFFFFF"/>
        </w:rPr>
        <w:t>评标委员会成员名单</w:t>
      </w: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val="en-US" w:eastAsia="zh-CN"/>
        </w:rPr>
        <w:t xml:space="preserve">严爱琴、张新姣、陈松歌、孙金伟、朱延民    </w:t>
      </w:r>
    </w:p>
    <w:p>
      <w:pPr>
        <w:pStyle w:val="4"/>
        <w:keepNext w:val="0"/>
        <w:keepLines w:val="0"/>
        <w:widowControl/>
        <w:suppressLineNumbers w:val="0"/>
        <w:shd w:val="clear" w:fill="FFFFFF"/>
        <w:snapToGrid w:val="0"/>
        <w:spacing w:before="0" w:beforeAutospacing="0" w:after="0" w:afterAutospacing="0" w:line="240" w:lineRule="auto"/>
        <w:ind w:right="0" w:firstLine="0" w:firstLineChars="0"/>
        <w:jc w:val="left"/>
        <w:rPr>
          <w:rFonts w:hint="eastAsia" w:ascii="仿宋" w:hAnsi="仿宋" w:eastAsia="仿宋" w:cs="仿宋"/>
          <w:color w:val="000000"/>
          <w:sz w:val="32"/>
          <w:szCs w:val="32"/>
          <w:u w:val="none"/>
          <w:shd w:val="clear" w:fill="FFFFFF"/>
          <w:lang w:val="en-US" w:eastAsia="zh-CN"/>
        </w:rPr>
      </w:pPr>
      <w:bookmarkStart w:id="0" w:name="_GoBack"/>
      <w:bookmarkEnd w:id="0"/>
    </w:p>
    <w:p>
      <w:pPr>
        <w:pStyle w:val="4"/>
        <w:keepNext w:val="0"/>
        <w:keepLines w:val="0"/>
        <w:widowControl/>
        <w:suppressLineNumbers w:val="0"/>
        <w:shd w:val="clear" w:fill="FFFFFF"/>
        <w:snapToGrid w:val="0"/>
        <w:spacing w:before="0" w:beforeAutospacing="0" w:after="0" w:afterAutospacing="0" w:line="240" w:lineRule="auto"/>
        <w:ind w:right="0" w:firstLine="0" w:firstLineChars="0"/>
        <w:jc w:val="left"/>
        <w:rPr>
          <w:rFonts w:hint="eastAsia" w:ascii="仿宋" w:hAnsi="仿宋" w:eastAsia="仿宋" w:cs="仿宋"/>
          <w:color w:val="000000"/>
          <w:sz w:val="32"/>
          <w:szCs w:val="32"/>
          <w:u w:val="none"/>
          <w:shd w:val="clear" w:fill="FFFFFF"/>
          <w:lang w:val="en-US" w:eastAsia="zh-CN"/>
        </w:rPr>
      </w:pPr>
    </w:p>
    <w:p>
      <w:pPr>
        <w:pStyle w:val="4"/>
        <w:keepNext w:val="0"/>
        <w:keepLines w:val="0"/>
        <w:widowControl/>
        <w:suppressLineNumbers w:val="0"/>
        <w:shd w:val="clear" w:fill="FFFFFF"/>
        <w:snapToGrid w:val="0"/>
        <w:spacing w:before="0" w:beforeAutospacing="0" w:after="0" w:afterAutospacing="0" w:line="240" w:lineRule="auto"/>
        <w:ind w:right="0" w:firstLine="5760" w:firstLineChars="1800"/>
        <w:jc w:val="left"/>
      </w:pPr>
      <w:r>
        <w:rPr>
          <w:rFonts w:hint="eastAsia" w:ascii="仿宋" w:hAnsi="仿宋" w:eastAsia="仿宋" w:cs="仿宋"/>
          <w:color w:val="000000"/>
          <w:sz w:val="32"/>
          <w:szCs w:val="32"/>
          <w:u w:val="none"/>
          <w:shd w:val="clear" w:fill="FFFFFF"/>
          <w:lang w:val="en-US" w:eastAsia="zh-CN"/>
        </w:rPr>
        <w:t>2019年10月11日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3A40"/>
    <w:multiLevelType w:val="singleLevel"/>
    <w:tmpl w:val="11ED3A40"/>
    <w:lvl w:ilvl="0" w:tentative="0">
      <w:start w:val="3"/>
      <w:numFmt w:val="chineseCounting"/>
      <w:suff w:val="nothing"/>
      <w:lvlText w:val="%1、"/>
      <w:lvlJc w:val="left"/>
      <w:rPr>
        <w:rFonts w:hint="eastAsia"/>
      </w:rPr>
    </w:lvl>
  </w:abstractNum>
  <w:abstractNum w:abstractNumId="1">
    <w:nsid w:val="52A89206"/>
    <w:multiLevelType w:val="singleLevel"/>
    <w:tmpl w:val="52A8920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D4F75"/>
    <w:rsid w:val="050E61B3"/>
    <w:rsid w:val="0568416F"/>
    <w:rsid w:val="08D75275"/>
    <w:rsid w:val="091D1846"/>
    <w:rsid w:val="09F03305"/>
    <w:rsid w:val="0D21183A"/>
    <w:rsid w:val="0E3D02A4"/>
    <w:rsid w:val="0F6B7734"/>
    <w:rsid w:val="109A17DA"/>
    <w:rsid w:val="12BB5366"/>
    <w:rsid w:val="13A7762A"/>
    <w:rsid w:val="144A3A3E"/>
    <w:rsid w:val="15033594"/>
    <w:rsid w:val="157129DD"/>
    <w:rsid w:val="15FC2A9B"/>
    <w:rsid w:val="17D926FA"/>
    <w:rsid w:val="18D1604A"/>
    <w:rsid w:val="1A5042D6"/>
    <w:rsid w:val="1BD00BD8"/>
    <w:rsid w:val="1D03587C"/>
    <w:rsid w:val="1D2F1724"/>
    <w:rsid w:val="1D863BDB"/>
    <w:rsid w:val="1E196947"/>
    <w:rsid w:val="219845BA"/>
    <w:rsid w:val="22034C9F"/>
    <w:rsid w:val="220719F2"/>
    <w:rsid w:val="22BF2B0F"/>
    <w:rsid w:val="23D527F8"/>
    <w:rsid w:val="24347A56"/>
    <w:rsid w:val="250F79CA"/>
    <w:rsid w:val="28B2034C"/>
    <w:rsid w:val="29B06DA3"/>
    <w:rsid w:val="2C7A62AD"/>
    <w:rsid w:val="2D080062"/>
    <w:rsid w:val="2D723D7C"/>
    <w:rsid w:val="2ED67925"/>
    <w:rsid w:val="2F4C455E"/>
    <w:rsid w:val="313C2C12"/>
    <w:rsid w:val="31534C8B"/>
    <w:rsid w:val="321D771D"/>
    <w:rsid w:val="34F51DE6"/>
    <w:rsid w:val="363A185F"/>
    <w:rsid w:val="386B5961"/>
    <w:rsid w:val="387E3CE9"/>
    <w:rsid w:val="3A745AA5"/>
    <w:rsid w:val="3B1C631F"/>
    <w:rsid w:val="3BDA5757"/>
    <w:rsid w:val="3BE3510E"/>
    <w:rsid w:val="3C2C4265"/>
    <w:rsid w:val="3CC736A9"/>
    <w:rsid w:val="3D375DAF"/>
    <w:rsid w:val="3DD7020A"/>
    <w:rsid w:val="3E504CFE"/>
    <w:rsid w:val="40E838B5"/>
    <w:rsid w:val="42A668D7"/>
    <w:rsid w:val="44EB3951"/>
    <w:rsid w:val="45B82664"/>
    <w:rsid w:val="463B1FB6"/>
    <w:rsid w:val="493123CC"/>
    <w:rsid w:val="4AFD0F3D"/>
    <w:rsid w:val="4C6A5EC8"/>
    <w:rsid w:val="4D2103BD"/>
    <w:rsid w:val="4D565D01"/>
    <w:rsid w:val="4DD70C15"/>
    <w:rsid w:val="4ECF48F5"/>
    <w:rsid w:val="5198609B"/>
    <w:rsid w:val="54B368C9"/>
    <w:rsid w:val="55F515B1"/>
    <w:rsid w:val="563F1657"/>
    <w:rsid w:val="575E34E9"/>
    <w:rsid w:val="59272954"/>
    <w:rsid w:val="59743366"/>
    <w:rsid w:val="59D950BD"/>
    <w:rsid w:val="5DE74906"/>
    <w:rsid w:val="5E943DC4"/>
    <w:rsid w:val="5E944783"/>
    <w:rsid w:val="604133F7"/>
    <w:rsid w:val="61676F9F"/>
    <w:rsid w:val="61B4681C"/>
    <w:rsid w:val="62094375"/>
    <w:rsid w:val="62DF2949"/>
    <w:rsid w:val="63B02821"/>
    <w:rsid w:val="64207847"/>
    <w:rsid w:val="64776005"/>
    <w:rsid w:val="66C75080"/>
    <w:rsid w:val="681C0391"/>
    <w:rsid w:val="6C6726DC"/>
    <w:rsid w:val="6EC648B5"/>
    <w:rsid w:val="6F7613B8"/>
    <w:rsid w:val="6FC82958"/>
    <w:rsid w:val="71336BEC"/>
    <w:rsid w:val="74B27047"/>
    <w:rsid w:val="75B75AFB"/>
    <w:rsid w:val="75ED24AD"/>
    <w:rsid w:val="763860D4"/>
    <w:rsid w:val="77204DC9"/>
    <w:rsid w:val="79213531"/>
    <w:rsid w:val="79EC55AB"/>
    <w:rsid w:val="7AAE5BAF"/>
    <w:rsid w:val="7AC65398"/>
    <w:rsid w:val="7AD02F53"/>
    <w:rsid w:val="7DA113E8"/>
    <w:rsid w:val="7FA9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000000"/>
      <w:u w:val="none"/>
    </w:rPr>
  </w:style>
  <w:style w:type="character" w:styleId="9">
    <w:name w:val="Emphasis"/>
    <w:basedOn w:val="7"/>
    <w:qFormat/>
    <w:uiPriority w:val="0"/>
  </w:style>
  <w:style w:type="character" w:styleId="10">
    <w:name w:val="Hyperlink"/>
    <w:basedOn w:val="7"/>
    <w:qFormat/>
    <w:uiPriority w:val="0"/>
    <w:rPr>
      <w:color w:val="000000"/>
      <w:u w:val="none"/>
    </w:rPr>
  </w:style>
  <w:style w:type="character" w:customStyle="1" w:styleId="11">
    <w:name w:val="red"/>
    <w:basedOn w:val="7"/>
    <w:qFormat/>
    <w:uiPriority w:val="0"/>
    <w:rPr>
      <w:color w:val="FF0000"/>
      <w:sz w:val="18"/>
      <w:szCs w:val="18"/>
    </w:rPr>
  </w:style>
  <w:style w:type="character" w:customStyle="1" w:styleId="12">
    <w:name w:val="red1"/>
    <w:basedOn w:val="7"/>
    <w:qFormat/>
    <w:uiPriority w:val="0"/>
    <w:rPr>
      <w:color w:val="FF0000"/>
      <w:sz w:val="18"/>
      <w:szCs w:val="18"/>
    </w:rPr>
  </w:style>
  <w:style w:type="character" w:customStyle="1" w:styleId="13">
    <w:name w:val="red2"/>
    <w:basedOn w:val="7"/>
    <w:qFormat/>
    <w:uiPriority w:val="0"/>
    <w:rPr>
      <w:color w:val="CC0000"/>
    </w:rPr>
  </w:style>
  <w:style w:type="character" w:customStyle="1" w:styleId="14">
    <w:name w:val="red3"/>
    <w:basedOn w:val="7"/>
    <w:qFormat/>
    <w:uiPriority w:val="0"/>
    <w:rPr>
      <w:color w:val="FF0000"/>
    </w:rPr>
  </w:style>
  <w:style w:type="character" w:customStyle="1" w:styleId="15">
    <w:name w:val="green"/>
    <w:basedOn w:val="7"/>
    <w:qFormat/>
    <w:uiPriority w:val="0"/>
    <w:rPr>
      <w:color w:val="66AE00"/>
      <w:sz w:val="18"/>
      <w:szCs w:val="18"/>
    </w:rPr>
  </w:style>
  <w:style w:type="character" w:customStyle="1" w:styleId="16">
    <w:name w:val="green1"/>
    <w:basedOn w:val="7"/>
    <w:qFormat/>
    <w:uiPriority w:val="0"/>
    <w:rPr>
      <w:color w:val="66AE00"/>
      <w:sz w:val="18"/>
      <w:szCs w:val="18"/>
    </w:rPr>
  </w:style>
  <w:style w:type="character" w:customStyle="1" w:styleId="17">
    <w:name w:val="hover25"/>
    <w:basedOn w:val="7"/>
    <w:qFormat/>
    <w:uiPriority w:val="0"/>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sz w:val="18"/>
      <w:szCs w:val="18"/>
    </w:rPr>
  </w:style>
  <w:style w:type="character" w:customStyle="1" w:styleId="21">
    <w:name w:val="focus2"/>
    <w:basedOn w:val="7"/>
    <w:qFormat/>
    <w:uiPriority w:val="0"/>
    <w:rPr>
      <w:b/>
      <w:color w:val="000000"/>
    </w:rPr>
  </w:style>
  <w:style w:type="character" w:customStyle="1" w:styleId="22">
    <w:name w:val="icon_gzkj"/>
    <w:basedOn w:val="7"/>
    <w:qFormat/>
    <w:uiPriority w:val="0"/>
  </w:style>
  <w:style w:type="character" w:customStyle="1" w:styleId="23">
    <w:name w:val="searchopen"/>
    <w:basedOn w:val="7"/>
    <w:qFormat/>
    <w:uiPriority w:val="0"/>
  </w:style>
  <w:style w:type="character" w:customStyle="1" w:styleId="24">
    <w:name w:val="searchclose"/>
    <w:basedOn w:val="7"/>
    <w:qFormat/>
    <w:uiPriority w:val="0"/>
  </w:style>
  <w:style w:type="character" w:customStyle="1" w:styleId="25">
    <w:name w:val="close6"/>
    <w:basedOn w:val="7"/>
    <w:qFormat/>
    <w:uiPriority w:val="0"/>
  </w:style>
  <w:style w:type="character" w:customStyle="1" w:styleId="26">
    <w:name w:val="icon_dljg"/>
    <w:basedOn w:val="7"/>
    <w:uiPriority w:val="0"/>
  </w:style>
  <w:style w:type="character" w:customStyle="1" w:styleId="27">
    <w:name w:val="icon_cxktbr"/>
    <w:basedOn w:val="7"/>
    <w:qFormat/>
    <w:uiPriority w:val="0"/>
  </w:style>
  <w:style w:type="character" w:customStyle="1" w:styleId="28">
    <w:name w:val="icon_cxkcyry"/>
    <w:basedOn w:val="7"/>
    <w:qFormat/>
    <w:uiPriority w:val="0"/>
  </w:style>
  <w:style w:type="character" w:customStyle="1" w:styleId="29">
    <w:name w:val="swapimg4"/>
    <w:basedOn w:val="7"/>
    <w:qFormat/>
    <w:uiPriority w:val="0"/>
  </w:style>
  <w:style w:type="character" w:customStyle="1" w:styleId="30">
    <w:name w:val="swapimg5"/>
    <w:basedOn w:val="7"/>
    <w:qFormat/>
    <w:uiPriority w:val="0"/>
  </w:style>
  <w:style w:type="character" w:customStyle="1" w:styleId="31">
    <w:name w:val="menutitle10"/>
    <w:basedOn w:val="7"/>
    <w:qFormat/>
    <w:uiPriority w:val="0"/>
    <w:rPr>
      <w:color w:val="333333"/>
      <w:sz w:val="24"/>
      <w:szCs w:val="24"/>
    </w:rPr>
  </w:style>
  <w:style w:type="character" w:customStyle="1" w:styleId="32">
    <w:name w:val="menutitle11"/>
    <w:basedOn w:val="7"/>
    <w:uiPriority w:val="0"/>
    <w:rPr>
      <w:color w:val="333333"/>
      <w:sz w:val="24"/>
      <w:szCs w:val="24"/>
    </w:rPr>
  </w:style>
  <w:style w:type="character" w:customStyle="1" w:styleId="33">
    <w:name w:val="icon_xzry"/>
    <w:basedOn w:val="7"/>
    <w:qFormat/>
    <w:uiPriority w:val="0"/>
  </w:style>
  <w:style w:type="character" w:customStyle="1" w:styleId="34">
    <w:name w:val="icon_lzrz"/>
    <w:basedOn w:val="7"/>
    <w:uiPriority w:val="0"/>
  </w:style>
  <w:style w:type="character" w:customStyle="1" w:styleId="35">
    <w:name w:val="icon_xglc"/>
    <w:basedOn w:val="7"/>
    <w:qFormat/>
    <w:uiPriority w:val="0"/>
  </w:style>
  <w:style w:type="character" w:customStyle="1" w:styleId="36">
    <w:name w:val="m-text"/>
    <w:basedOn w:val="7"/>
    <w:uiPriority w:val="0"/>
  </w:style>
  <w:style w:type="character" w:customStyle="1" w:styleId="37">
    <w:name w:val="l_10"/>
    <w:basedOn w:val="7"/>
    <w:uiPriority w:val="0"/>
  </w:style>
  <w:style w:type="character" w:customStyle="1" w:styleId="38">
    <w:name w:val="l_101"/>
    <w:basedOn w:val="7"/>
    <w:qFormat/>
    <w:uiPriority w:val="0"/>
  </w:style>
  <w:style w:type="character" w:customStyle="1" w:styleId="39">
    <w:name w:val="l_0"/>
    <w:basedOn w:val="7"/>
    <w:qFormat/>
    <w:uiPriority w:val="0"/>
  </w:style>
  <w:style w:type="character" w:customStyle="1" w:styleId="40">
    <w:name w:val="l_01"/>
    <w:basedOn w:val="7"/>
    <w:uiPriority w:val="0"/>
  </w:style>
  <w:style w:type="character" w:customStyle="1" w:styleId="41">
    <w:name w:val="l_1"/>
    <w:basedOn w:val="7"/>
    <w:qFormat/>
    <w:uiPriority w:val="0"/>
  </w:style>
  <w:style w:type="character" w:customStyle="1" w:styleId="42">
    <w:name w:val="l_11"/>
    <w:basedOn w:val="7"/>
    <w:uiPriority w:val="0"/>
  </w:style>
  <w:style w:type="character" w:customStyle="1" w:styleId="43">
    <w:name w:val="l_4"/>
    <w:basedOn w:val="7"/>
    <w:uiPriority w:val="0"/>
  </w:style>
  <w:style w:type="character" w:customStyle="1" w:styleId="44">
    <w:name w:val="l_41"/>
    <w:basedOn w:val="7"/>
    <w:uiPriority w:val="0"/>
  </w:style>
  <w:style w:type="character" w:customStyle="1" w:styleId="45">
    <w:name w:val="l_2"/>
    <w:basedOn w:val="7"/>
    <w:uiPriority w:val="0"/>
  </w:style>
  <w:style w:type="character" w:customStyle="1" w:styleId="46">
    <w:name w:val="l_21"/>
    <w:basedOn w:val="7"/>
    <w:qFormat/>
    <w:uiPriority w:val="0"/>
  </w:style>
  <w:style w:type="character" w:customStyle="1" w:styleId="47">
    <w:name w:val="l_3"/>
    <w:basedOn w:val="7"/>
    <w:uiPriority w:val="0"/>
  </w:style>
  <w:style w:type="character" w:customStyle="1" w:styleId="48">
    <w:name w:val="l_31"/>
    <w:basedOn w:val="7"/>
    <w:uiPriority w:val="0"/>
  </w:style>
  <w:style w:type="character" w:customStyle="1" w:styleId="49">
    <w:name w:val="l_6"/>
    <w:basedOn w:val="7"/>
    <w:qFormat/>
    <w:uiPriority w:val="0"/>
  </w:style>
  <w:style w:type="character" w:customStyle="1" w:styleId="50">
    <w:name w:val="l_61"/>
    <w:basedOn w:val="7"/>
    <w:qFormat/>
    <w:uiPriority w:val="0"/>
  </w:style>
  <w:style w:type="character" w:customStyle="1" w:styleId="51">
    <w:name w:val="l_5"/>
    <w:basedOn w:val="7"/>
    <w:uiPriority w:val="0"/>
  </w:style>
  <w:style w:type="character" w:customStyle="1" w:styleId="52">
    <w:name w:val="l_51"/>
    <w:basedOn w:val="7"/>
    <w:qFormat/>
    <w:uiPriority w:val="0"/>
  </w:style>
  <w:style w:type="character" w:customStyle="1" w:styleId="53">
    <w:name w:val="l_7"/>
    <w:basedOn w:val="7"/>
    <w:qFormat/>
    <w:uiPriority w:val="0"/>
  </w:style>
  <w:style w:type="character" w:customStyle="1" w:styleId="54">
    <w:name w:val="l_71"/>
    <w:basedOn w:val="7"/>
    <w:qFormat/>
    <w:uiPriority w:val="0"/>
  </w:style>
  <w:style w:type="character" w:customStyle="1" w:styleId="55">
    <w:name w:val="l_8"/>
    <w:basedOn w:val="7"/>
    <w:qFormat/>
    <w:uiPriority w:val="0"/>
  </w:style>
  <w:style w:type="character" w:customStyle="1" w:styleId="56">
    <w:name w:val="l_81"/>
    <w:basedOn w:val="7"/>
    <w:uiPriority w:val="0"/>
  </w:style>
  <w:style w:type="character" w:customStyle="1" w:styleId="57">
    <w:name w:val="l_9"/>
    <w:basedOn w:val="7"/>
    <w:qFormat/>
    <w:uiPriority w:val="0"/>
  </w:style>
  <w:style w:type="character" w:customStyle="1" w:styleId="58">
    <w:name w:val="l_91"/>
    <w:basedOn w:val="7"/>
    <w:qFormat/>
    <w:uiPriority w:val="0"/>
  </w:style>
  <w:style w:type="character" w:customStyle="1" w:styleId="59">
    <w:name w:val="l_111"/>
    <w:basedOn w:val="7"/>
    <w:qFormat/>
    <w:uiPriority w:val="0"/>
  </w:style>
  <w:style w:type="character" w:customStyle="1" w:styleId="60">
    <w:name w:val="l_112"/>
    <w:basedOn w:val="7"/>
    <w:qFormat/>
    <w:uiPriority w:val="0"/>
  </w:style>
  <w:style w:type="character" w:customStyle="1" w:styleId="61">
    <w:name w:val="l_12"/>
    <w:basedOn w:val="7"/>
    <w:uiPriority w:val="0"/>
  </w:style>
  <w:style w:type="character" w:customStyle="1" w:styleId="62">
    <w:name w:val="l_121"/>
    <w:basedOn w:val="7"/>
    <w:qFormat/>
    <w:uiPriority w:val="0"/>
  </w:style>
  <w:style w:type="character" w:customStyle="1" w:styleId="63">
    <w:name w:val="l_13"/>
    <w:basedOn w:val="7"/>
    <w:qFormat/>
    <w:uiPriority w:val="0"/>
  </w:style>
  <w:style w:type="character" w:customStyle="1" w:styleId="64">
    <w:name w:val="l_131"/>
    <w:basedOn w:val="7"/>
    <w:qFormat/>
    <w:uiPriority w:val="0"/>
  </w:style>
  <w:style w:type="character" w:customStyle="1" w:styleId="65">
    <w:name w:val="l_14"/>
    <w:basedOn w:val="7"/>
    <w:qFormat/>
    <w:uiPriority w:val="0"/>
  </w:style>
  <w:style w:type="character" w:customStyle="1" w:styleId="66">
    <w:name w:val="l_141"/>
    <w:basedOn w:val="7"/>
    <w:qFormat/>
    <w:uiPriority w:val="0"/>
  </w:style>
  <w:style w:type="character" w:customStyle="1" w:styleId="67">
    <w:name w:val="l_15"/>
    <w:basedOn w:val="7"/>
    <w:qFormat/>
    <w:uiPriority w:val="0"/>
  </w:style>
  <w:style w:type="character" w:customStyle="1" w:styleId="68">
    <w:name w:val="l_151"/>
    <w:basedOn w:val="7"/>
    <w:qFormat/>
    <w:uiPriority w:val="0"/>
  </w:style>
  <w:style w:type="character" w:customStyle="1" w:styleId="69">
    <w:name w:val="color_cdyy"/>
    <w:basedOn w:val="7"/>
    <w:qFormat/>
    <w:uiPriority w:val="0"/>
    <w:rPr>
      <w:color w:val="FFFFFF"/>
      <w:bdr w:val="single" w:color="FFFFFF" w:sz="6" w:space="0"/>
    </w:rPr>
  </w:style>
  <w:style w:type="character" w:customStyle="1" w:styleId="70">
    <w:name w:val="swapimg"/>
    <w:basedOn w:val="7"/>
    <w:qFormat/>
    <w:uiPriority w:val="0"/>
  </w:style>
  <w:style w:type="paragraph" w:customStyle="1" w:styleId="71">
    <w:name w:val="_Style 70"/>
    <w:basedOn w:val="1"/>
    <w:next w:val="1"/>
    <w:qFormat/>
    <w:uiPriority w:val="0"/>
    <w:pPr>
      <w:pBdr>
        <w:bottom w:val="single" w:color="auto" w:sz="6" w:space="1"/>
      </w:pBdr>
      <w:jc w:val="center"/>
    </w:pPr>
    <w:rPr>
      <w:rFonts w:ascii="Arial" w:eastAsia="宋体"/>
      <w:vanish/>
      <w:sz w:val="16"/>
    </w:rPr>
  </w:style>
  <w:style w:type="paragraph" w:customStyle="1" w:styleId="72">
    <w:name w:val="_Style 71"/>
    <w:basedOn w:val="1"/>
    <w:next w:val="1"/>
    <w:uiPriority w:val="0"/>
    <w:pPr>
      <w:pBdr>
        <w:top w:val="single" w:color="auto" w:sz="6" w:space="1"/>
      </w:pBdr>
      <w:jc w:val="center"/>
    </w:pPr>
    <w:rPr>
      <w:rFonts w:ascii="Arial" w:eastAsia="宋体"/>
      <w:vanish/>
      <w:sz w:val="16"/>
    </w:rPr>
  </w:style>
  <w:style w:type="character" w:customStyle="1" w:styleId="73">
    <w:name w:val="menutitle"/>
    <w:basedOn w:val="7"/>
    <w:qFormat/>
    <w:uiPriority w:val="0"/>
    <w:rPr>
      <w:color w:val="333333"/>
      <w:sz w:val="24"/>
      <w:szCs w:val="24"/>
    </w:rPr>
  </w:style>
  <w:style w:type="character" w:customStyle="1" w:styleId="74">
    <w:name w:val="menutitle1"/>
    <w:basedOn w:val="7"/>
    <w:qFormat/>
    <w:uiPriority w:val="0"/>
    <w:rPr>
      <w:color w:val="333333"/>
      <w:sz w:val="24"/>
      <w:szCs w:val="24"/>
    </w:rPr>
  </w:style>
  <w:style w:type="character" w:customStyle="1" w:styleId="75">
    <w:name w:val="swapimg1"/>
    <w:basedOn w:val="7"/>
    <w:qFormat/>
    <w:uiPriority w:val="0"/>
  </w:style>
  <w:style w:type="character" w:customStyle="1" w:styleId="76">
    <w:name w:val="l_122"/>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禹州市公共资源交易中心:侯英红</cp:lastModifiedBy>
  <cp:lastPrinted>2019-08-07T05:50:00Z</cp:lastPrinted>
  <dcterms:modified xsi:type="dcterms:W3CDTF">2019-10-11T06:33:57Z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