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uto"/>
        <w:jc w:val="right"/>
        <w:rPr>
          <w:b/>
          <w:color w:val="auto"/>
          <w:sz w:val="52"/>
          <w:szCs w:val="52"/>
          <w:highlight w:val="none"/>
        </w:rPr>
      </w:pPr>
    </w:p>
    <w:p>
      <w:pPr>
        <w:autoSpaceDE w:val="0"/>
        <w:autoSpaceDN w:val="0"/>
        <w:adjustRightInd w:val="0"/>
        <w:spacing w:line="600" w:lineRule="auto"/>
        <w:jc w:val="right"/>
        <w:rPr>
          <w:rFonts w:hint="eastAsia" w:hAnsi="宋体" w:cs="黑体"/>
          <w:b/>
          <w:bCs/>
          <w:color w:val="auto"/>
          <w:spacing w:val="60"/>
          <w:sz w:val="48"/>
          <w:szCs w:val="48"/>
          <w:highlight w:val="none"/>
        </w:rPr>
      </w:pPr>
      <w:r>
        <w:rPr>
          <w:b/>
          <w:color w:val="auto"/>
          <w:sz w:val="52"/>
          <w:szCs w:val="52"/>
          <w:highlight w:val="none"/>
        </w:rPr>
        <w:drawing>
          <wp:inline distT="0" distB="0" distL="114300" distR="114300">
            <wp:extent cx="1808480" cy="652780"/>
            <wp:effectExtent l="0" t="0" r="1270" b="13970"/>
            <wp:docPr id="3" name="图片 1" descr="C:\Users\Administrator\Desktop\726805837373994985.jpg72680583737399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726805837373994985.jpg726805837373994985"/>
                    <pic:cNvPicPr>
                      <a:picLocks noChangeAspect="1"/>
                    </pic:cNvPicPr>
                  </pic:nvPicPr>
                  <pic:blipFill>
                    <a:blip r:embed="rId9"/>
                    <a:stretch>
                      <a:fillRect/>
                    </a:stretch>
                  </pic:blipFill>
                  <pic:spPr>
                    <a:xfrm>
                      <a:off x="0" y="0"/>
                      <a:ext cx="1808480" cy="652780"/>
                    </a:xfrm>
                    <a:prstGeom prst="rect">
                      <a:avLst/>
                    </a:prstGeom>
                    <a:noFill/>
                    <a:ln>
                      <a:noFill/>
                    </a:ln>
                  </pic:spPr>
                </pic:pic>
              </a:graphicData>
            </a:graphic>
          </wp:inline>
        </w:drawing>
      </w:r>
    </w:p>
    <w:p>
      <w:pPr>
        <w:jc w:val="center"/>
        <w:rPr>
          <w:color w:val="auto"/>
          <w:sz w:val="52"/>
          <w:szCs w:val="52"/>
          <w:highlight w:val="none"/>
        </w:rPr>
      </w:pPr>
      <w:r>
        <w:rPr>
          <w:rFonts w:hint="eastAsia"/>
          <w:b/>
          <w:bCs/>
          <w:color w:val="auto"/>
          <w:sz w:val="52"/>
          <w:szCs w:val="52"/>
          <w:highlight w:val="none"/>
          <w:lang w:eastAsia="zh-CN"/>
        </w:rPr>
        <w:t>襄城县医疗健康集团区域信息化工程</w:t>
      </w:r>
    </w:p>
    <w:p>
      <w:pPr>
        <w:pStyle w:val="2"/>
        <w:ind w:firstLine="340"/>
        <w:rPr>
          <w:color w:val="auto"/>
          <w:highlight w:val="none"/>
        </w:rPr>
      </w:pPr>
    </w:p>
    <w:p>
      <w:pPr>
        <w:autoSpaceDE w:val="0"/>
        <w:autoSpaceDN w:val="0"/>
        <w:adjustRightInd w:val="0"/>
        <w:ind w:firstLine="1446" w:firstLineChars="200"/>
        <w:rPr>
          <w:rFonts w:hint="eastAsia"/>
          <w:b/>
          <w:color w:val="auto"/>
          <w:sz w:val="52"/>
          <w:szCs w:val="52"/>
          <w:highlight w:val="none"/>
        </w:rPr>
      </w:pPr>
      <w:r>
        <w:rPr>
          <w:rFonts w:hint="eastAsia"/>
          <w:b/>
          <w:color w:val="auto"/>
          <w:sz w:val="72"/>
          <w:szCs w:val="72"/>
          <w:highlight w:val="none"/>
        </w:rPr>
        <w:t xml:space="preserve">       </w:t>
      </w:r>
    </w:p>
    <w:p>
      <w:pPr>
        <w:autoSpaceDE w:val="0"/>
        <w:autoSpaceDN w:val="0"/>
        <w:adjustRightInd w:val="0"/>
        <w:jc w:val="center"/>
        <w:rPr>
          <w:rFonts w:hint="eastAsia"/>
          <w:b/>
          <w:color w:val="auto"/>
          <w:sz w:val="52"/>
          <w:szCs w:val="52"/>
          <w:highlight w:val="none"/>
        </w:rPr>
      </w:pPr>
    </w:p>
    <w:p>
      <w:pPr>
        <w:autoSpaceDE w:val="0"/>
        <w:autoSpaceDN w:val="0"/>
        <w:adjustRightInd w:val="0"/>
        <w:jc w:val="center"/>
        <w:rPr>
          <w:rFonts w:hAnsi="宋体" w:cs="黑体"/>
          <w:color w:val="auto"/>
          <w:sz w:val="44"/>
          <w:szCs w:val="44"/>
          <w:highlight w:val="none"/>
        </w:rPr>
      </w:pPr>
      <w:r>
        <w:rPr>
          <w:rFonts w:hint="eastAsia"/>
          <w:b/>
          <w:color w:val="auto"/>
          <w:sz w:val="72"/>
          <w:szCs w:val="72"/>
          <w:highlight w:val="none"/>
          <w:lang w:eastAsia="zh-CN"/>
        </w:rPr>
        <w:t>公开</w:t>
      </w:r>
      <w:r>
        <w:rPr>
          <w:rFonts w:hint="eastAsia"/>
          <w:b/>
          <w:color w:val="auto"/>
          <w:sz w:val="72"/>
          <w:szCs w:val="72"/>
          <w:highlight w:val="none"/>
        </w:rPr>
        <w:t>招标文件</w:t>
      </w:r>
    </w:p>
    <w:p>
      <w:pPr>
        <w:autoSpaceDE w:val="0"/>
        <w:autoSpaceDN w:val="0"/>
        <w:adjustRightInd w:val="0"/>
        <w:jc w:val="center"/>
        <w:rPr>
          <w:rFonts w:hAnsi="宋体" w:cs="黑体"/>
          <w:color w:val="auto"/>
          <w:sz w:val="44"/>
          <w:szCs w:val="44"/>
          <w:highlight w:val="none"/>
        </w:rPr>
      </w:pPr>
    </w:p>
    <w:p>
      <w:pPr>
        <w:pStyle w:val="2"/>
        <w:ind w:firstLine="0" w:firstLineChars="0"/>
        <w:rPr>
          <w:rFonts w:hAnsi="宋体" w:cs="黑体"/>
          <w:color w:val="auto"/>
          <w:sz w:val="44"/>
          <w:szCs w:val="44"/>
          <w:highlight w:val="none"/>
        </w:rPr>
      </w:pPr>
    </w:p>
    <w:p>
      <w:pPr>
        <w:ind w:firstLine="643" w:firstLineChars="200"/>
        <w:rPr>
          <w:b/>
          <w:bCs/>
          <w:color w:val="auto"/>
          <w:sz w:val="32"/>
          <w:highlight w:val="none"/>
        </w:rPr>
      </w:pPr>
      <w:r>
        <w:rPr>
          <w:rFonts w:hint="eastAsia"/>
          <w:b/>
          <w:bCs/>
          <w:color w:val="auto"/>
          <w:sz w:val="32"/>
          <w:highlight w:val="none"/>
        </w:rPr>
        <w:t xml:space="preserve">            </w:t>
      </w:r>
    </w:p>
    <w:p>
      <w:pPr>
        <w:spacing w:line="600" w:lineRule="auto"/>
        <w:ind w:firstLine="1928" w:firstLineChars="600"/>
        <w:rPr>
          <w:rFonts w:hint="eastAsia"/>
          <w:b/>
          <w:bCs/>
          <w:color w:val="auto"/>
          <w:sz w:val="32"/>
          <w:highlight w:val="none"/>
        </w:rPr>
      </w:pPr>
    </w:p>
    <w:p>
      <w:pPr>
        <w:spacing w:line="600" w:lineRule="auto"/>
        <w:ind w:firstLine="1928" w:firstLineChars="600"/>
        <w:rPr>
          <w:rFonts w:hint="eastAsia"/>
          <w:b/>
          <w:bCs/>
          <w:color w:val="auto"/>
          <w:sz w:val="32"/>
          <w:highlight w:val="none"/>
        </w:rPr>
      </w:pPr>
    </w:p>
    <w:p>
      <w:pPr>
        <w:spacing w:line="600" w:lineRule="auto"/>
        <w:ind w:firstLine="1928" w:firstLineChars="600"/>
        <w:rPr>
          <w:rFonts w:hint="eastAsia"/>
          <w:b/>
          <w:bCs/>
          <w:color w:val="auto"/>
          <w:sz w:val="32"/>
          <w:highlight w:val="none"/>
        </w:rPr>
      </w:pPr>
    </w:p>
    <w:p>
      <w:pPr>
        <w:pStyle w:val="2"/>
        <w:rPr>
          <w:rFonts w:hint="eastAsia"/>
          <w:color w:val="auto"/>
          <w:highlight w:val="none"/>
        </w:rPr>
      </w:pPr>
    </w:p>
    <w:p>
      <w:pPr>
        <w:spacing w:line="600" w:lineRule="auto"/>
        <w:ind w:firstLine="1285" w:firstLineChars="400"/>
        <w:rPr>
          <w:rFonts w:hint="eastAsia"/>
          <w:b/>
          <w:bCs/>
          <w:color w:val="auto"/>
          <w:sz w:val="32"/>
          <w:szCs w:val="32"/>
          <w:highlight w:val="none"/>
        </w:rPr>
      </w:pPr>
      <w:r>
        <w:rPr>
          <w:rFonts w:hint="eastAsia"/>
          <w:b/>
          <w:bCs/>
          <w:color w:val="auto"/>
          <w:sz w:val="32"/>
          <w:szCs w:val="32"/>
          <w:highlight w:val="none"/>
          <w:lang w:eastAsia="zh-CN"/>
        </w:rPr>
        <w:t>采</w:t>
      </w:r>
      <w:r>
        <w:rPr>
          <w:rFonts w:hint="eastAsia"/>
          <w:b/>
          <w:bCs/>
          <w:color w:val="auto"/>
          <w:sz w:val="32"/>
          <w:szCs w:val="32"/>
          <w:highlight w:val="none"/>
          <w:lang w:val="en-US" w:eastAsia="zh-CN"/>
        </w:rPr>
        <w:t xml:space="preserve"> </w:t>
      </w:r>
      <w:r>
        <w:rPr>
          <w:rFonts w:hint="eastAsia"/>
          <w:b/>
          <w:bCs/>
          <w:color w:val="auto"/>
          <w:sz w:val="32"/>
          <w:szCs w:val="32"/>
          <w:highlight w:val="none"/>
          <w:lang w:eastAsia="zh-CN"/>
        </w:rPr>
        <w:t>购</w:t>
      </w:r>
      <w:r>
        <w:rPr>
          <w:rFonts w:hint="eastAsia"/>
          <w:b/>
          <w:bCs/>
          <w:color w:val="auto"/>
          <w:sz w:val="32"/>
          <w:szCs w:val="32"/>
          <w:highlight w:val="none"/>
        </w:rPr>
        <w:t xml:space="preserve"> 人：</w:t>
      </w:r>
      <w:r>
        <w:rPr>
          <w:rFonts w:hint="eastAsia"/>
          <w:b/>
          <w:bCs/>
          <w:color w:val="auto"/>
          <w:sz w:val="32"/>
          <w:szCs w:val="32"/>
          <w:highlight w:val="none"/>
          <w:lang w:val="en-US" w:eastAsia="zh-CN"/>
        </w:rPr>
        <w:t>襄城县人民医院 </w:t>
      </w:r>
    </w:p>
    <w:p>
      <w:pPr>
        <w:spacing w:line="600" w:lineRule="auto"/>
        <w:ind w:firstLine="1285" w:firstLineChars="400"/>
        <w:rPr>
          <w:b/>
          <w:bCs/>
          <w:color w:val="auto"/>
          <w:sz w:val="32"/>
          <w:szCs w:val="32"/>
          <w:highlight w:val="none"/>
        </w:rPr>
      </w:pPr>
      <w:r>
        <w:rPr>
          <w:rFonts w:hint="eastAsia" w:hAnsi="宋体" w:cs="黑体"/>
          <w:b/>
          <w:color w:val="auto"/>
          <w:sz w:val="32"/>
          <w:szCs w:val="32"/>
          <w:highlight w:val="none"/>
        </w:rPr>
        <w:t>代理机构：</w:t>
      </w:r>
      <w:r>
        <w:rPr>
          <w:rFonts w:hint="eastAsia" w:hAnsi="宋体" w:cs="宋体"/>
          <w:b/>
          <w:color w:val="auto"/>
          <w:sz w:val="32"/>
          <w:szCs w:val="32"/>
          <w:highlight w:val="none"/>
        </w:rPr>
        <w:t>河南慧霖工程管理服务有限公司</w:t>
      </w:r>
    </w:p>
    <w:p>
      <w:pPr>
        <w:ind w:firstLine="2891" w:firstLineChars="900"/>
        <w:jc w:val="both"/>
        <w:rPr>
          <w:rFonts w:hint="eastAsia" w:hAnsi="宋体" w:cs="黑体"/>
          <w:b/>
          <w:color w:val="auto"/>
          <w:sz w:val="32"/>
          <w:szCs w:val="32"/>
          <w:highlight w:val="none"/>
        </w:rPr>
      </w:pPr>
      <w:r>
        <w:rPr>
          <w:rFonts w:hint="eastAsia" w:hAnsi="宋体" w:cs="黑体"/>
          <w:b/>
          <w:color w:val="auto"/>
          <w:sz w:val="32"/>
          <w:szCs w:val="32"/>
          <w:highlight w:val="none"/>
        </w:rPr>
        <w:t>二〇一九年</w:t>
      </w:r>
      <w:r>
        <w:rPr>
          <w:rFonts w:hint="eastAsia" w:hAnsi="宋体" w:cs="黑体"/>
          <w:b/>
          <w:color w:val="auto"/>
          <w:sz w:val="32"/>
          <w:szCs w:val="32"/>
          <w:highlight w:val="none"/>
          <w:lang w:eastAsia="zh-CN"/>
        </w:rPr>
        <w:t>十</w:t>
      </w:r>
      <w:r>
        <w:rPr>
          <w:rFonts w:hint="eastAsia" w:hAnsi="宋体" w:cs="黑体"/>
          <w:b/>
          <w:color w:val="auto"/>
          <w:sz w:val="32"/>
          <w:szCs w:val="32"/>
          <w:highlight w:val="none"/>
        </w:rPr>
        <w:t>月</w:t>
      </w:r>
    </w:p>
    <w:p>
      <w:pPr>
        <w:pStyle w:val="2"/>
        <w:rPr>
          <w:color w:val="auto"/>
          <w:highlight w:val="none"/>
        </w:rPr>
      </w:pPr>
    </w:p>
    <w:p>
      <w:pPr>
        <w:jc w:val="center"/>
        <w:rPr>
          <w:rFonts w:hint="eastAsia" w:ascii="黑体" w:eastAsia="黑体"/>
          <w:color w:val="auto"/>
          <w:sz w:val="44"/>
          <w:szCs w:val="44"/>
          <w:highlight w:val="none"/>
        </w:rPr>
        <w:sectPr>
          <w:headerReference r:id="rId4" w:type="first"/>
          <w:footerReference r:id="rId6" w:type="first"/>
          <w:headerReference r:id="rId3" w:type="default"/>
          <w:footerReference r:id="rId5" w:type="default"/>
          <w:pgSz w:w="11906" w:h="16838"/>
          <w:pgMar w:top="1440" w:right="1083" w:bottom="1440" w:left="1083" w:header="851" w:footer="992" w:gutter="0"/>
          <w:pgBorders>
            <w:top w:val="none" w:sz="0" w:space="0"/>
            <w:left w:val="none" w:sz="0" w:space="0"/>
            <w:bottom w:val="none" w:sz="0" w:space="0"/>
            <w:right w:val="none" w:sz="0" w:space="0"/>
          </w:pgBorders>
          <w:cols w:space="0" w:num="1"/>
          <w:titlePg/>
          <w:docGrid w:type="lines" w:linePitch="312" w:charSpace="0"/>
        </w:sectPr>
      </w:pPr>
    </w:p>
    <w:p>
      <w:pPr>
        <w:jc w:val="center"/>
        <w:rPr>
          <w:rFonts w:ascii="黑体" w:eastAsia="黑体"/>
          <w:color w:val="auto"/>
          <w:sz w:val="44"/>
          <w:szCs w:val="44"/>
          <w:highlight w:val="none"/>
        </w:rPr>
      </w:pPr>
      <w:r>
        <w:rPr>
          <w:rFonts w:hint="eastAsia" w:ascii="黑体" w:eastAsia="黑体"/>
          <w:color w:val="auto"/>
          <w:sz w:val="44"/>
          <w:szCs w:val="44"/>
          <w:highlight w:val="none"/>
        </w:rPr>
        <w:t>招标文件目录</w:t>
      </w:r>
    </w:p>
    <w:p>
      <w:pPr>
        <w:rPr>
          <w:color w:val="auto"/>
          <w:sz w:val="32"/>
          <w:szCs w:val="32"/>
          <w:highlight w:val="none"/>
        </w:rPr>
      </w:pPr>
    </w:p>
    <w:p>
      <w:pPr>
        <w:jc w:val="left"/>
        <w:rPr>
          <w:rFonts w:ascii="宋体" w:hAnsi="宋体"/>
          <w:b/>
          <w:color w:val="auto"/>
          <w:sz w:val="30"/>
          <w:szCs w:val="30"/>
          <w:highlight w:val="none"/>
        </w:rPr>
      </w:pPr>
      <w:r>
        <w:rPr>
          <w:rFonts w:hint="eastAsia" w:ascii="宋体" w:hAnsi="宋体"/>
          <w:b/>
          <w:color w:val="auto"/>
          <w:sz w:val="30"/>
          <w:szCs w:val="30"/>
          <w:highlight w:val="none"/>
        </w:rPr>
        <w:t>第一章 投标邀请函</w:t>
      </w:r>
    </w:p>
    <w:p>
      <w:pPr>
        <w:jc w:val="left"/>
        <w:rPr>
          <w:rFonts w:ascii="宋体" w:hAnsi="宋体"/>
          <w:b/>
          <w:color w:val="auto"/>
          <w:sz w:val="30"/>
          <w:szCs w:val="30"/>
          <w:highlight w:val="none"/>
        </w:rPr>
      </w:pPr>
      <w:r>
        <w:rPr>
          <w:rFonts w:hint="eastAsia" w:ascii="宋体" w:hAnsi="宋体"/>
          <w:b/>
          <w:color w:val="auto"/>
          <w:sz w:val="30"/>
          <w:szCs w:val="30"/>
          <w:highlight w:val="none"/>
        </w:rPr>
        <w:t>第二章 项目需求</w:t>
      </w:r>
    </w:p>
    <w:p>
      <w:pPr>
        <w:jc w:val="left"/>
        <w:rPr>
          <w:rFonts w:ascii="宋体" w:hAnsi="宋体"/>
          <w:b/>
          <w:color w:val="auto"/>
          <w:sz w:val="30"/>
          <w:szCs w:val="30"/>
          <w:highlight w:val="none"/>
        </w:rPr>
      </w:pPr>
      <w:r>
        <w:rPr>
          <w:rFonts w:hint="eastAsia" w:ascii="宋体" w:hAnsi="宋体"/>
          <w:b/>
          <w:color w:val="auto"/>
          <w:sz w:val="30"/>
          <w:szCs w:val="30"/>
          <w:highlight w:val="none"/>
        </w:rPr>
        <w:t>第三章 投标人须知前附表</w:t>
      </w:r>
    </w:p>
    <w:p>
      <w:pPr>
        <w:jc w:val="left"/>
        <w:rPr>
          <w:rFonts w:ascii="宋体" w:hAnsi="宋体"/>
          <w:b/>
          <w:color w:val="auto"/>
          <w:sz w:val="30"/>
          <w:szCs w:val="30"/>
          <w:highlight w:val="none"/>
        </w:rPr>
      </w:pPr>
      <w:r>
        <w:rPr>
          <w:rFonts w:hint="eastAsia" w:ascii="宋体" w:hAnsi="宋体"/>
          <w:b/>
          <w:color w:val="auto"/>
          <w:sz w:val="30"/>
          <w:szCs w:val="30"/>
          <w:highlight w:val="none"/>
        </w:rPr>
        <w:t xml:space="preserve">第四章 投标人须知 </w:t>
      </w:r>
    </w:p>
    <w:p>
      <w:pPr>
        <w:jc w:val="left"/>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autoSpaceDE w:val="0"/>
        <w:autoSpaceDN w:val="0"/>
        <w:adjustRightInd w:val="0"/>
        <w:spacing w:line="700" w:lineRule="exact"/>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二、招标文件说明</w:t>
      </w:r>
    </w:p>
    <w:p>
      <w:pPr>
        <w:autoSpaceDE w:val="0"/>
        <w:autoSpaceDN w:val="0"/>
        <w:adjustRightInd w:val="0"/>
        <w:spacing w:line="700" w:lineRule="exact"/>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三、投标文件的编制</w:t>
      </w:r>
    </w:p>
    <w:p>
      <w:pPr>
        <w:autoSpaceDE w:val="0"/>
        <w:autoSpaceDN w:val="0"/>
        <w:adjustRightInd w:val="0"/>
        <w:spacing w:line="700" w:lineRule="exact"/>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四、投标文件的递交</w:t>
      </w:r>
    </w:p>
    <w:p>
      <w:pPr>
        <w:autoSpaceDE w:val="0"/>
        <w:autoSpaceDN w:val="0"/>
        <w:adjustRightInd w:val="0"/>
        <w:spacing w:line="700" w:lineRule="exact"/>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五、开标和评标</w:t>
      </w:r>
    </w:p>
    <w:p>
      <w:pPr>
        <w:autoSpaceDE w:val="0"/>
        <w:autoSpaceDN w:val="0"/>
        <w:adjustRightInd w:val="0"/>
        <w:spacing w:line="700" w:lineRule="exact"/>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六、定标和授予合同</w:t>
      </w:r>
    </w:p>
    <w:p>
      <w:pPr>
        <w:autoSpaceDE w:val="0"/>
        <w:autoSpaceDN w:val="0"/>
        <w:adjustRightInd w:val="0"/>
        <w:spacing w:line="700" w:lineRule="exact"/>
        <w:rPr>
          <w:rFonts w:ascii="宋体" w:hAnsi="宋体"/>
          <w:b/>
          <w:color w:val="auto"/>
          <w:sz w:val="30"/>
          <w:szCs w:val="30"/>
          <w:highlight w:val="none"/>
        </w:rPr>
      </w:pPr>
      <w:r>
        <w:rPr>
          <w:rFonts w:hint="eastAsia" w:ascii="宋体" w:hAnsi="宋体"/>
          <w:b/>
          <w:color w:val="auto"/>
          <w:sz w:val="30"/>
          <w:szCs w:val="30"/>
          <w:highlight w:val="none"/>
        </w:rPr>
        <w:t>第五章 政府采购政策功能</w:t>
      </w:r>
    </w:p>
    <w:p>
      <w:pPr>
        <w:autoSpaceDE w:val="0"/>
        <w:autoSpaceDN w:val="0"/>
        <w:adjustRightInd w:val="0"/>
        <w:spacing w:line="700" w:lineRule="exact"/>
        <w:rPr>
          <w:rFonts w:ascii="宋体" w:hAnsi="宋体"/>
          <w:b/>
          <w:color w:val="auto"/>
          <w:sz w:val="30"/>
          <w:szCs w:val="30"/>
          <w:highlight w:val="none"/>
        </w:rPr>
      </w:pPr>
      <w:r>
        <w:rPr>
          <w:rFonts w:hint="eastAsia" w:ascii="宋体" w:hAnsi="宋体"/>
          <w:b/>
          <w:color w:val="auto"/>
          <w:sz w:val="30"/>
          <w:szCs w:val="30"/>
          <w:highlight w:val="none"/>
        </w:rPr>
        <w:t>第六章 资格审查与评标</w:t>
      </w:r>
    </w:p>
    <w:p>
      <w:pPr>
        <w:autoSpaceDE w:val="0"/>
        <w:autoSpaceDN w:val="0"/>
        <w:adjustRightInd w:val="0"/>
        <w:spacing w:line="700" w:lineRule="exact"/>
        <w:rPr>
          <w:rFonts w:ascii="宋体" w:hAnsi="宋体"/>
          <w:b/>
          <w:color w:val="auto"/>
          <w:sz w:val="30"/>
          <w:szCs w:val="30"/>
          <w:highlight w:val="none"/>
        </w:rPr>
      </w:pPr>
      <w:r>
        <w:rPr>
          <w:rFonts w:hint="eastAsia" w:ascii="宋体" w:hAnsi="宋体"/>
          <w:b/>
          <w:color w:val="auto"/>
          <w:sz w:val="30"/>
          <w:szCs w:val="30"/>
          <w:highlight w:val="none"/>
        </w:rPr>
        <w:t>第七章 合同条款及格式</w:t>
      </w:r>
    </w:p>
    <w:p>
      <w:pPr>
        <w:autoSpaceDE w:val="0"/>
        <w:autoSpaceDN w:val="0"/>
        <w:adjustRightInd w:val="0"/>
        <w:spacing w:line="700" w:lineRule="exact"/>
        <w:rPr>
          <w:rFonts w:ascii="宋体" w:hAnsi="宋体"/>
          <w:b/>
          <w:color w:val="auto"/>
          <w:sz w:val="30"/>
          <w:szCs w:val="30"/>
          <w:highlight w:val="none"/>
        </w:rPr>
      </w:pPr>
      <w:r>
        <w:rPr>
          <w:rFonts w:hint="eastAsia" w:ascii="宋体" w:hAnsi="宋体"/>
          <w:b/>
          <w:color w:val="auto"/>
          <w:sz w:val="30"/>
          <w:szCs w:val="30"/>
          <w:highlight w:val="none"/>
        </w:rPr>
        <w:t>第八章 投标文件有关格式</w:t>
      </w:r>
    </w:p>
    <w:p>
      <w:pPr>
        <w:pStyle w:val="2"/>
        <w:ind w:firstLine="280"/>
        <w:rPr>
          <w:color w:val="auto"/>
          <w:highlight w:val="none"/>
        </w:rPr>
      </w:pPr>
    </w:p>
    <w:p>
      <w:pPr>
        <w:jc w:val="right"/>
        <w:rPr>
          <w:color w:val="auto"/>
          <w:sz w:val="32"/>
          <w:szCs w:val="32"/>
          <w:highlight w:val="none"/>
        </w:rPr>
      </w:pPr>
    </w:p>
    <w:p>
      <w:pPr>
        <w:spacing w:beforeLines="50" w:afterLines="100"/>
        <w:ind w:firstLine="2570" w:firstLineChars="800"/>
        <w:rPr>
          <w:rFonts w:ascii="Cambria" w:hAnsi="Cambria"/>
          <w:b/>
          <w:bCs/>
          <w:color w:val="auto"/>
          <w:sz w:val="32"/>
          <w:szCs w:val="32"/>
          <w:highlight w:val="none"/>
        </w:rPr>
      </w:pPr>
    </w:p>
    <w:p>
      <w:pPr>
        <w:spacing w:beforeLines="50" w:afterLines="100"/>
        <w:ind w:firstLine="2570" w:firstLineChars="800"/>
        <w:rPr>
          <w:rFonts w:ascii="Cambria" w:hAnsi="Cambria"/>
          <w:b/>
          <w:bCs/>
          <w:color w:val="auto"/>
          <w:sz w:val="32"/>
          <w:szCs w:val="32"/>
          <w:highlight w:val="none"/>
        </w:rPr>
      </w:pPr>
    </w:p>
    <w:p>
      <w:pPr>
        <w:spacing w:beforeLines="50" w:afterLines="100"/>
        <w:ind w:firstLine="2570" w:firstLineChars="800"/>
        <w:rPr>
          <w:rFonts w:ascii="Cambria" w:hAnsi="Cambria"/>
          <w:b/>
          <w:bCs/>
          <w:color w:val="auto"/>
          <w:sz w:val="32"/>
          <w:szCs w:val="32"/>
          <w:highlight w:val="none"/>
        </w:rPr>
      </w:pPr>
      <w:r>
        <w:rPr>
          <w:rFonts w:hint="eastAsia" w:ascii="Cambria" w:hAnsi="Cambria"/>
          <w:b/>
          <w:bCs/>
          <w:color w:val="auto"/>
          <w:sz w:val="32"/>
          <w:szCs w:val="32"/>
          <w:highlight w:val="none"/>
        </w:rPr>
        <w:t>第一章   投标邀请函</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河南慧霖工程管理服务有限公司受襄城县人民医院的委托，就“襄城县医疗健康集团区域信息化工程目”进行公开招标,欢迎符合相关条件的投标企业报名参加。</w:t>
      </w:r>
    </w:p>
    <w:p>
      <w:pPr>
        <w:widowControl/>
        <w:shd w:val="clear" w:color="auto" w:fill="FFFFFF"/>
        <w:spacing w:line="360" w:lineRule="auto"/>
        <w:ind w:firstLine="482" w:firstLineChars="200"/>
        <w:jc w:val="left"/>
        <w:rPr>
          <w:rFonts w:cs="仿宋" w:asciiTheme="minorEastAsia" w:hAnsiTheme="minorEastAsia" w:eastAsiaTheme="minorEastAsia"/>
          <w:b/>
          <w:color w:val="auto"/>
          <w:kern w:val="0"/>
          <w:sz w:val="24"/>
          <w:highlight w:val="none"/>
        </w:rPr>
      </w:pPr>
      <w:r>
        <w:rPr>
          <w:rFonts w:hint="eastAsia" w:cs="仿宋" w:asciiTheme="minorEastAsia" w:hAnsiTheme="minorEastAsia" w:eastAsiaTheme="minorEastAsia"/>
          <w:b/>
          <w:bCs/>
          <w:color w:val="auto"/>
          <w:kern w:val="0"/>
          <w:sz w:val="24"/>
          <w:highlight w:val="none"/>
          <w:shd w:val="clear" w:color="auto" w:fill="FFFFFF"/>
        </w:rPr>
        <w:t>一、项目基本情况：</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w:t>
      </w:r>
      <w:r>
        <w:rPr>
          <w:rFonts w:hint="eastAsia" w:ascii="宋体" w:hAnsi="宋体" w:cs="宋体"/>
          <w:color w:val="auto"/>
          <w:kern w:val="0"/>
          <w:sz w:val="24"/>
          <w:highlight w:val="none"/>
          <w:shd w:val="clear" w:color="040000" w:fill="FFFFFF"/>
        </w:rPr>
        <w:t>一）项目名称：襄城县医疗健康集团区域信息化工程</w:t>
      </w:r>
    </w:p>
    <w:p>
      <w:pPr>
        <w:widowControl/>
        <w:shd w:val="clear" w:color="auto" w:fill="FFFFFF"/>
        <w:spacing w:line="360" w:lineRule="auto"/>
        <w:ind w:firstLine="480" w:firstLineChars="200"/>
        <w:jc w:val="left"/>
        <w:rPr>
          <w:rFonts w:hint="default" w:ascii="宋体" w:hAnsi="宋体" w:eastAsia="宋体" w:cs="宋体"/>
          <w:color w:val="auto"/>
          <w:kern w:val="0"/>
          <w:sz w:val="24"/>
          <w:highlight w:val="none"/>
          <w:shd w:val="clear" w:color="040000" w:fill="FFFFFF"/>
          <w:lang w:val="en-US" w:eastAsia="zh-CN"/>
        </w:rPr>
      </w:pPr>
      <w:r>
        <w:rPr>
          <w:rFonts w:hint="eastAsia" w:ascii="宋体" w:hAnsi="宋体" w:cs="宋体"/>
          <w:color w:val="auto"/>
          <w:kern w:val="0"/>
          <w:sz w:val="24"/>
          <w:highlight w:val="none"/>
          <w:shd w:val="clear" w:color="040000" w:fill="FFFFFF"/>
        </w:rPr>
        <w:t>（二）项目编号：XZZ-G2019</w:t>
      </w:r>
      <w:r>
        <w:rPr>
          <w:rFonts w:hint="eastAsia" w:ascii="宋体" w:hAnsi="宋体" w:cs="宋体"/>
          <w:color w:val="auto"/>
          <w:kern w:val="0"/>
          <w:sz w:val="24"/>
          <w:highlight w:val="none"/>
          <w:shd w:val="clear" w:color="040000" w:fill="FFFFFF"/>
          <w:lang w:val="en-US" w:eastAsia="zh-CN"/>
        </w:rPr>
        <w:t>043</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（三）采购方式：公开招标</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（四）主要内容、数量及要求：本项目购置</w:t>
      </w:r>
      <w:r>
        <w:rPr>
          <w:rFonts w:hint="eastAsia" w:ascii="宋体" w:hAnsi="宋体" w:cs="宋体"/>
          <w:color w:val="auto"/>
          <w:kern w:val="0"/>
          <w:sz w:val="24"/>
          <w:highlight w:val="none"/>
          <w:u w:val="none"/>
          <w:shd w:val="clear" w:color="040000" w:fill="FFFFFF"/>
          <w:lang w:val="en-US" w:eastAsia="zh-CN"/>
        </w:rPr>
        <w:t>硬件采购、软件开发、安装、调试等工作</w:t>
      </w:r>
      <w:r>
        <w:rPr>
          <w:rFonts w:hint="eastAsia" w:ascii="宋体" w:hAnsi="宋体" w:cs="宋体"/>
          <w:color w:val="auto"/>
          <w:kern w:val="0"/>
          <w:sz w:val="24"/>
          <w:highlight w:val="none"/>
          <w:u w:val="none"/>
          <w:shd w:val="clear" w:color="040000" w:fill="FFFFFF"/>
        </w:rPr>
        <w:t>。</w:t>
      </w:r>
      <w:r>
        <w:rPr>
          <w:rFonts w:hint="eastAsia" w:ascii="宋体" w:hAnsi="宋体" w:cs="宋体"/>
          <w:color w:val="auto"/>
          <w:kern w:val="0"/>
          <w:sz w:val="24"/>
          <w:highlight w:val="none"/>
          <w:shd w:val="clear" w:color="040000" w:fill="FFFFFF"/>
        </w:rPr>
        <w:t>（详见</w:t>
      </w:r>
      <w:r>
        <w:rPr>
          <w:rFonts w:hint="eastAsia" w:ascii="宋体" w:hAnsi="宋体" w:cs="宋体"/>
          <w:color w:val="auto"/>
          <w:kern w:val="0"/>
          <w:sz w:val="24"/>
          <w:highlight w:val="none"/>
          <w:shd w:val="clear" w:color="040000" w:fill="FFFFFF"/>
          <w:lang w:eastAsia="zh-CN"/>
        </w:rPr>
        <w:t>招标文件</w:t>
      </w:r>
      <w:r>
        <w:rPr>
          <w:rFonts w:hint="eastAsia" w:ascii="宋体" w:hAnsi="宋体" w:cs="宋体"/>
          <w:color w:val="auto"/>
          <w:kern w:val="0"/>
          <w:sz w:val="24"/>
          <w:highlight w:val="none"/>
          <w:shd w:val="clear" w:color="040000" w:fill="FFFFFF"/>
        </w:rPr>
        <w:t>）</w:t>
      </w:r>
    </w:p>
    <w:p>
      <w:pPr>
        <w:widowControl/>
        <w:shd w:val="clear" w:color="auto" w:fill="FFFFFF"/>
        <w:spacing w:line="360" w:lineRule="auto"/>
        <w:ind w:firstLine="480" w:firstLineChars="200"/>
        <w:jc w:val="left"/>
        <w:rPr>
          <w:rFonts w:hint="default" w:ascii="宋体" w:hAnsi="宋体" w:eastAsia="宋体" w:cs="宋体"/>
          <w:color w:val="auto"/>
          <w:kern w:val="0"/>
          <w:sz w:val="24"/>
          <w:highlight w:val="none"/>
          <w:shd w:val="clear" w:color="040000" w:fill="FFFFFF"/>
          <w:lang w:val="en-US" w:eastAsia="zh-CN"/>
        </w:rPr>
      </w:pPr>
      <w:r>
        <w:rPr>
          <w:rFonts w:hint="eastAsia" w:ascii="宋体" w:hAnsi="宋体" w:cs="宋体"/>
          <w:color w:val="auto"/>
          <w:kern w:val="0"/>
          <w:sz w:val="24"/>
          <w:highlight w:val="none"/>
          <w:shd w:val="clear" w:color="040000" w:fill="FFFFFF"/>
        </w:rPr>
        <w:t>（五）预算金额（最高限价）：</w:t>
      </w:r>
      <w:r>
        <w:rPr>
          <w:rFonts w:hint="eastAsia" w:ascii="宋体" w:hAnsi="宋体" w:cs="宋体"/>
          <w:color w:val="auto"/>
          <w:kern w:val="0"/>
          <w:sz w:val="24"/>
          <w:highlight w:val="none"/>
          <w:shd w:val="clear" w:color="040000" w:fill="FFFFFF"/>
          <w:lang w:val="en-US" w:eastAsia="zh-CN"/>
        </w:rPr>
        <w:t>1800万元</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（六）交付（服务、完工）时间：</w:t>
      </w:r>
      <w:bookmarkStart w:id="0" w:name="交付日期"/>
      <w:r>
        <w:rPr>
          <w:rFonts w:hint="eastAsia" w:ascii="宋体" w:hAnsi="宋体" w:cs="宋体"/>
          <w:color w:val="auto"/>
          <w:kern w:val="0"/>
          <w:sz w:val="24"/>
          <w:highlight w:val="none"/>
          <w:shd w:val="clear" w:color="040000" w:fill="FFFFFF"/>
        </w:rPr>
        <w:t>自合同生效之日起</w:t>
      </w:r>
      <w:bookmarkEnd w:id="0"/>
      <w:r>
        <w:rPr>
          <w:rFonts w:hint="eastAsia" w:ascii="宋体" w:hAnsi="宋体" w:cs="宋体"/>
          <w:color w:val="auto"/>
          <w:kern w:val="0"/>
          <w:sz w:val="24"/>
          <w:highlight w:val="none"/>
          <w:u w:val="single"/>
          <w:shd w:val="clear" w:color="040000" w:fill="FFFFFF"/>
          <w:lang w:val="en-US" w:eastAsia="zh-CN"/>
        </w:rPr>
        <w:t>180</w:t>
      </w:r>
      <w:r>
        <w:rPr>
          <w:rFonts w:hint="eastAsia" w:ascii="宋体" w:hAnsi="宋体" w:cs="宋体"/>
          <w:color w:val="auto"/>
          <w:kern w:val="0"/>
          <w:sz w:val="24"/>
          <w:highlight w:val="none"/>
          <w:shd w:val="clear" w:color="040000" w:fill="FFFFFF"/>
        </w:rPr>
        <w:t>日历天。</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（七）交付（服务、施工）地点：襄城县人民医院。</w:t>
      </w:r>
    </w:p>
    <w:p>
      <w:pPr>
        <w:spacing w:line="360" w:lineRule="auto"/>
        <w:ind w:firstLine="480" w:firstLineChars="200"/>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（八）进口产品：不允许</w:t>
      </w:r>
    </w:p>
    <w:p>
      <w:pPr>
        <w:spacing w:line="360" w:lineRule="auto"/>
        <w:ind w:firstLine="480" w:firstLineChars="200"/>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（九）分包：不允许</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二、需要落实的政府采购政策</w:t>
      </w:r>
    </w:p>
    <w:p>
      <w:pPr>
        <w:widowControl/>
        <w:shd w:val="clear" w:color="auto" w:fill="FFFFFF"/>
        <w:spacing w:line="360" w:lineRule="auto"/>
        <w:ind w:firstLine="42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本项目落实节能环保、中小微型企业、监狱企业、残疾人福利性单位扶持等相关政府采购政策。</w:t>
      </w:r>
    </w:p>
    <w:p>
      <w:pPr>
        <w:widowControl/>
        <w:shd w:val="clear" w:color="auto" w:fill="FFFFFF"/>
        <w:spacing w:line="360" w:lineRule="auto"/>
        <w:ind w:firstLine="482" w:firstLineChars="200"/>
        <w:jc w:val="left"/>
        <w:rPr>
          <w:rFonts w:ascii="黑体" w:hAnsi="黑体" w:eastAsia="黑体" w:cs="仿宋"/>
          <w:color w:val="auto"/>
          <w:kern w:val="0"/>
          <w:sz w:val="24"/>
          <w:highlight w:val="none"/>
        </w:rPr>
      </w:pPr>
      <w:r>
        <w:rPr>
          <w:rFonts w:hint="eastAsia" w:cs="仿宋" w:asciiTheme="minorEastAsia" w:hAnsiTheme="minorEastAsia" w:eastAsiaTheme="minorEastAsia"/>
          <w:b/>
          <w:bCs/>
          <w:color w:val="auto"/>
          <w:kern w:val="0"/>
          <w:sz w:val="24"/>
          <w:highlight w:val="none"/>
          <w:shd w:val="clear" w:color="auto" w:fill="FFFFFF"/>
        </w:rPr>
        <w:t>三、投标人资格要求：</w:t>
      </w:r>
      <w:r>
        <w:rPr>
          <w:rFonts w:ascii="仿宋" w:hAnsi="仿宋" w:eastAsia="仿宋" w:cs="仿宋"/>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ascii="宋体" w:hAnsi="宋体" w:cs="宋体"/>
          <w:color w:val="auto"/>
          <w:kern w:val="0"/>
          <w:sz w:val="24"/>
          <w:highlight w:val="none"/>
          <w:shd w:val="clear" w:color="040000" w:fill="FFFFFF"/>
        </w:rPr>
        <w:t>（一）</w:t>
      </w:r>
      <w:r>
        <w:rPr>
          <w:rFonts w:hint="eastAsia" w:ascii="宋体" w:hAnsi="宋体" w:cs="宋体"/>
          <w:color w:val="auto"/>
          <w:kern w:val="0"/>
          <w:sz w:val="24"/>
          <w:highlight w:val="none"/>
          <w:shd w:val="clear" w:color="040000" w:fill="FFFFFF"/>
        </w:rPr>
        <w:t>投标人须具备《政府采购法》第二十二条之规定并提供相关材料</w:t>
      </w:r>
      <w:r>
        <w:rPr>
          <w:rFonts w:ascii="宋体" w:hAnsi="宋体" w:cs="宋体"/>
          <w:color w:val="auto"/>
          <w:kern w:val="0"/>
          <w:sz w:val="24"/>
          <w:highlight w:val="none"/>
          <w:shd w:val="clear" w:color="040000" w:fill="FFFFFF"/>
        </w:rPr>
        <w:t>；</w:t>
      </w:r>
    </w:p>
    <w:p>
      <w:pPr>
        <w:widowControl/>
        <w:shd w:val="clear" w:color="auto" w:fill="FFFFFF"/>
        <w:spacing w:line="360" w:lineRule="auto"/>
        <w:ind w:firstLine="480" w:firstLineChars="200"/>
        <w:jc w:val="left"/>
        <w:rPr>
          <w:rFonts w:hint="eastAsia"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 xml:space="preserve">1、具有独立承担民事责任的能力； </w:t>
      </w:r>
    </w:p>
    <w:p>
      <w:pPr>
        <w:widowControl/>
        <w:shd w:val="clear" w:color="auto" w:fill="FFFFFF"/>
        <w:spacing w:line="360" w:lineRule="auto"/>
        <w:ind w:firstLine="480" w:firstLineChars="200"/>
        <w:jc w:val="left"/>
        <w:rPr>
          <w:rFonts w:hint="eastAsia"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2、具有良好的商业信誉和健全的财务会计制度；</w:t>
      </w:r>
    </w:p>
    <w:p>
      <w:pPr>
        <w:widowControl/>
        <w:shd w:val="clear" w:color="auto" w:fill="FFFFFF"/>
        <w:spacing w:line="360" w:lineRule="auto"/>
        <w:ind w:firstLine="480" w:firstLineChars="200"/>
        <w:jc w:val="left"/>
        <w:rPr>
          <w:rFonts w:hint="eastAsia"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提供近三年内任意一年经会计师事务所审计的企业财务报告复印件或基本开户银行出具的资信证明原件。</w:t>
      </w:r>
    </w:p>
    <w:p>
      <w:pPr>
        <w:widowControl/>
        <w:shd w:val="clear" w:color="auto" w:fill="FFFFFF"/>
        <w:spacing w:line="360" w:lineRule="auto"/>
        <w:ind w:firstLine="480" w:firstLineChars="200"/>
        <w:jc w:val="left"/>
        <w:rPr>
          <w:rFonts w:hint="eastAsia"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3、有依法缴纳税收和社会保障资金的良好记录；</w:t>
      </w:r>
    </w:p>
    <w:p>
      <w:pPr>
        <w:widowControl/>
        <w:shd w:val="clear" w:color="auto" w:fill="FFFFFF"/>
        <w:spacing w:line="360" w:lineRule="auto"/>
        <w:ind w:firstLine="480" w:firstLineChars="200"/>
        <w:jc w:val="left"/>
        <w:rPr>
          <w:rFonts w:hint="eastAsia"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 xml:space="preserve">（1）提供投标人近一年内任意月份缴税证明材料，如完税证明复印件、银行缴税划款凭证复印件或者由税务部门出具的依法缴纳税收的证明原件等。 </w:t>
      </w:r>
    </w:p>
    <w:p>
      <w:pPr>
        <w:widowControl/>
        <w:shd w:val="clear" w:color="auto" w:fill="FFFFFF"/>
        <w:spacing w:line="360" w:lineRule="auto"/>
        <w:ind w:firstLine="480" w:firstLineChars="200"/>
        <w:jc w:val="left"/>
        <w:rPr>
          <w:rFonts w:hint="eastAsia"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（2）提供投标人近一年内任意月份缴纳社会保险的证明材料，如凭据复印件（专用收据或社会保险交纳清单）、银行划款凭证复印件或社保经办机构出具的证明原件等。</w:t>
      </w:r>
    </w:p>
    <w:p>
      <w:pPr>
        <w:widowControl/>
        <w:shd w:val="clear" w:color="auto" w:fill="FFFFFF"/>
        <w:spacing w:line="360" w:lineRule="auto"/>
        <w:ind w:firstLine="480" w:firstLineChars="200"/>
        <w:jc w:val="left"/>
        <w:rPr>
          <w:rFonts w:hint="eastAsia"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 xml:space="preserve">（3）依法免税或不需要交纳社会保障资金的投标人，应提供相应文件原件证明其依法免税或不需要缴纳社会保障资金。 </w:t>
      </w:r>
    </w:p>
    <w:p>
      <w:pPr>
        <w:widowControl/>
        <w:shd w:val="clear" w:color="auto" w:fill="FFFFFF"/>
        <w:spacing w:line="360" w:lineRule="auto"/>
        <w:ind w:firstLine="480" w:firstLineChars="200"/>
        <w:jc w:val="left"/>
        <w:rPr>
          <w:rFonts w:hint="eastAsia"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4、具有履行合同所必需的设备和专业技术能力；</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（二）</w:t>
      </w:r>
      <w:r>
        <w:rPr>
          <w:rFonts w:ascii="宋体" w:hAnsi="宋体" w:cs="宋体"/>
          <w:color w:val="auto"/>
          <w:kern w:val="0"/>
          <w:sz w:val="24"/>
          <w:highlight w:val="none"/>
          <w:shd w:val="clear" w:color="040000" w:fill="FFFFFF"/>
        </w:rPr>
        <w:t>投标人</w:t>
      </w:r>
      <w:r>
        <w:rPr>
          <w:rFonts w:hint="eastAsia" w:ascii="宋体" w:hAnsi="宋体" w:cs="宋体"/>
          <w:color w:val="auto"/>
          <w:kern w:val="0"/>
          <w:sz w:val="24"/>
          <w:highlight w:val="none"/>
          <w:shd w:val="clear" w:color="040000" w:fill="FFFFFF"/>
        </w:rPr>
        <w:t>未</w:t>
      </w:r>
      <w:r>
        <w:rPr>
          <w:rFonts w:ascii="宋体" w:hAnsi="宋体" w:cs="宋体"/>
          <w:color w:val="auto"/>
          <w:kern w:val="0"/>
          <w:sz w:val="24"/>
          <w:highlight w:val="none"/>
          <w:shd w:val="clear" w:color="040000" w:fill="FFFFFF"/>
        </w:rPr>
        <w:t>被列入“信用中国”网站(www.creditchina.gov.cn)失信被执行人、重大税收违法案件当事人名单、政府采购严重违法失信名单的投标人；</w:t>
      </w:r>
      <w:r>
        <w:rPr>
          <w:rFonts w:hint="eastAsia" w:ascii="宋体" w:hAnsi="宋体" w:cs="宋体"/>
          <w:color w:val="auto"/>
          <w:kern w:val="0"/>
          <w:sz w:val="24"/>
          <w:highlight w:val="none"/>
          <w:shd w:val="clear" w:color="040000" w:fill="FFFFFF"/>
        </w:rPr>
        <w:t>“</w:t>
      </w:r>
      <w:r>
        <w:rPr>
          <w:rFonts w:ascii="宋体" w:hAnsi="宋体" w:cs="宋体"/>
          <w:color w:val="auto"/>
          <w:kern w:val="0"/>
          <w:sz w:val="24"/>
          <w:highlight w:val="none"/>
          <w:shd w:val="clear" w:color="040000" w:fill="FFFFFF"/>
        </w:rPr>
        <w:t>中国政府采购网</w:t>
      </w:r>
      <w:r>
        <w:rPr>
          <w:rFonts w:hint="eastAsia" w:ascii="宋体" w:hAnsi="宋体" w:cs="宋体"/>
          <w:color w:val="auto"/>
          <w:kern w:val="0"/>
          <w:sz w:val="24"/>
          <w:highlight w:val="none"/>
          <w:shd w:val="clear" w:color="040000" w:fill="FFFFFF"/>
        </w:rPr>
        <w:t>”</w:t>
      </w:r>
      <w:r>
        <w:rPr>
          <w:rFonts w:ascii="宋体" w:hAnsi="宋体" w:cs="宋体"/>
          <w:color w:val="auto"/>
          <w:kern w:val="0"/>
          <w:sz w:val="24"/>
          <w:highlight w:val="none"/>
          <w:shd w:val="clear" w:color="040000" w:fill="FFFFFF"/>
        </w:rPr>
        <w:t xml:space="preserve"> (www.ccgp.gov.cn)政府采购严重违法失信行为记录名单的投标人；</w:t>
      </w:r>
      <w:r>
        <w:rPr>
          <w:rFonts w:hint="eastAsia" w:ascii="宋体" w:hAnsi="宋体" w:cs="宋体"/>
          <w:color w:val="auto"/>
          <w:kern w:val="0"/>
          <w:sz w:val="24"/>
          <w:highlight w:val="none"/>
          <w:shd w:val="clear" w:color="040000" w:fill="FFFFFF"/>
        </w:rPr>
        <w:t>“中国社会组织公共服务平台”网站（www.chinanpo.gov.cn）严重违法失信名单的投标人；上述查询结果页面截图查询</w:t>
      </w:r>
      <w:r>
        <w:rPr>
          <w:rFonts w:ascii="宋体" w:hAnsi="宋体" w:cs="宋体"/>
          <w:color w:val="auto"/>
          <w:kern w:val="0"/>
          <w:sz w:val="24"/>
          <w:highlight w:val="none"/>
          <w:shd w:val="clear" w:color="040000" w:fill="FFFFFF"/>
        </w:rPr>
        <w:t>时间应在本公告发布之</w:t>
      </w:r>
      <w:r>
        <w:rPr>
          <w:rFonts w:hint="eastAsia" w:ascii="宋体" w:hAnsi="宋体" w:cs="宋体"/>
          <w:color w:val="auto"/>
          <w:kern w:val="0"/>
          <w:sz w:val="24"/>
          <w:highlight w:val="none"/>
          <w:shd w:val="clear" w:color="040000" w:fill="FFFFFF"/>
        </w:rPr>
        <w:t>日起</w:t>
      </w:r>
      <w:r>
        <w:rPr>
          <w:rFonts w:ascii="宋体" w:hAnsi="宋体" w:cs="宋体"/>
          <w:color w:val="auto"/>
          <w:kern w:val="0"/>
          <w:sz w:val="24"/>
          <w:highlight w:val="none"/>
          <w:shd w:val="clear" w:color="040000" w:fill="FFFFFF"/>
        </w:rPr>
        <w:t>至开</w:t>
      </w:r>
      <w:r>
        <w:rPr>
          <w:rFonts w:hint="eastAsia" w:ascii="宋体" w:hAnsi="宋体" w:cs="宋体"/>
          <w:color w:val="auto"/>
          <w:kern w:val="0"/>
          <w:sz w:val="24"/>
          <w:highlight w:val="none"/>
          <w:shd w:val="clear" w:color="040000" w:fill="FFFFFF"/>
        </w:rPr>
        <w:t>标前。</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（三）本次招标不接受联合体投标；</w:t>
      </w:r>
      <w:r>
        <w:rPr>
          <w:rFonts w:ascii="宋体" w:hAnsi="宋体" w:cs="宋体"/>
          <w:color w:val="auto"/>
          <w:kern w:val="0"/>
          <w:sz w:val="24"/>
          <w:highlight w:val="none"/>
          <w:shd w:val="clear" w:color="040000" w:fill="FFFFFF"/>
        </w:rPr>
        <w:t xml:space="preserve"> </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（四）本次招标资格审查采用开标现场审查。</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四、招标文件的获取：</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（二）在投标截止时间前均可登录【全国公共资源交易平台（河南省·许昌市）】“投标人/供应商登录”入口（http://221.14.6.70:8088/ggzy/）自行下载招标文件（详见“常见问题解答-交易系统操作手册”）。</w:t>
      </w:r>
    </w:p>
    <w:p>
      <w:pPr>
        <w:widowControl/>
        <w:shd w:val="clear" w:color="auto" w:fill="FFFFFF"/>
        <w:spacing w:line="360" w:lineRule="auto"/>
        <w:ind w:firstLine="480" w:firstLineChars="20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（三</w:t>
      </w:r>
      <w:r>
        <w:rPr>
          <w:rFonts w:ascii="宋体" w:hAnsi="宋体" w:cs="宋体"/>
          <w:color w:val="auto"/>
          <w:kern w:val="0"/>
          <w:sz w:val="24"/>
          <w:highlight w:val="none"/>
          <w:shd w:val="clear" w:color="040000" w:fill="FFFFFF"/>
        </w:rPr>
        <w:t>）</w:t>
      </w:r>
      <w:r>
        <w:rPr>
          <w:rFonts w:hint="eastAsia" w:ascii="宋体" w:hAnsi="宋体" w:cs="宋体"/>
          <w:color w:val="auto"/>
          <w:kern w:val="0"/>
          <w:sz w:val="24"/>
          <w:highlight w:val="none"/>
          <w:shd w:val="clear" w:color="040000" w:fill="FFFFFF"/>
        </w:rPr>
        <w:t>招标文件售价300元/套，投标人在递交投标文件时向采购代理机构交纳采购文件费用，售后不退。</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五、投标截止时间、开标时间及地点：</w:t>
      </w:r>
    </w:p>
    <w:p>
      <w:pPr>
        <w:widowControl/>
        <w:shd w:val="clear" w:color="auto" w:fill="FFFFFF"/>
        <w:spacing w:line="360" w:lineRule="auto"/>
        <w:ind w:firstLine="42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（一）投标截止及开标时间：2019年</w:t>
      </w:r>
      <w:r>
        <w:rPr>
          <w:rFonts w:hint="eastAsia" w:ascii="宋体" w:hAnsi="宋体" w:cs="宋体"/>
          <w:color w:val="auto"/>
          <w:kern w:val="0"/>
          <w:sz w:val="24"/>
          <w:highlight w:val="none"/>
          <w:shd w:val="clear" w:color="040000" w:fill="FFFFFF"/>
          <w:lang w:val="en-US" w:eastAsia="zh-CN"/>
        </w:rPr>
        <w:t xml:space="preserve">   </w:t>
      </w:r>
      <w:r>
        <w:rPr>
          <w:rFonts w:hint="eastAsia" w:ascii="宋体" w:hAnsi="宋体" w:cs="宋体"/>
          <w:color w:val="auto"/>
          <w:kern w:val="0"/>
          <w:sz w:val="24"/>
          <w:highlight w:val="none"/>
          <w:shd w:val="clear" w:color="040000" w:fill="FFFFFF"/>
        </w:rPr>
        <w:t>月</w:t>
      </w:r>
      <w:r>
        <w:rPr>
          <w:rFonts w:hint="eastAsia" w:ascii="宋体" w:hAnsi="宋体" w:cs="宋体"/>
          <w:color w:val="auto"/>
          <w:kern w:val="0"/>
          <w:sz w:val="24"/>
          <w:highlight w:val="none"/>
          <w:shd w:val="clear" w:color="040000" w:fill="FFFFFF"/>
          <w:lang w:val="en-US" w:eastAsia="zh-CN"/>
        </w:rPr>
        <w:t xml:space="preserve">   </w:t>
      </w:r>
      <w:r>
        <w:rPr>
          <w:rFonts w:hint="eastAsia" w:ascii="宋体" w:hAnsi="宋体" w:cs="宋体"/>
          <w:color w:val="auto"/>
          <w:kern w:val="0"/>
          <w:sz w:val="24"/>
          <w:highlight w:val="none"/>
          <w:shd w:val="clear" w:color="040000" w:fill="FFFFFF"/>
        </w:rPr>
        <w:t>日上午9时（北京时间），逾期提交或不符合规定的投标文件不予接受。</w:t>
      </w:r>
    </w:p>
    <w:p>
      <w:pPr>
        <w:widowControl/>
        <w:shd w:val="clear" w:color="auto" w:fill="FFFFFF"/>
        <w:spacing w:line="360" w:lineRule="auto"/>
        <w:ind w:firstLine="42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（二）开标地点：襄城县公共资源交易中心（八七路东段电子商务产业园）12楼开标一室。</w:t>
      </w:r>
    </w:p>
    <w:p>
      <w:pPr>
        <w:widowControl/>
        <w:shd w:val="clear" w:color="auto" w:fill="FFFFFF"/>
        <w:spacing w:line="360" w:lineRule="auto"/>
        <w:ind w:firstLine="42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（三）本项目为全流程电子化交易项目，投标人须提交电子投标文件和纸质投标文件。</w:t>
      </w:r>
    </w:p>
    <w:p>
      <w:pPr>
        <w:widowControl/>
        <w:shd w:val="clear" w:color="auto" w:fill="FFFFFF"/>
        <w:spacing w:line="360" w:lineRule="auto"/>
        <w:ind w:firstLine="420"/>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1、加密电子投标文件（.file格式）须在投标截止时间（开标时间）前通过《全国公共资源交易平台(河南省•许昌市)》公共资源交易系统成功上传。</w:t>
      </w:r>
    </w:p>
    <w:p>
      <w:pPr>
        <w:widowControl/>
        <w:shd w:val="clear" w:color="auto" w:fill="FFFFFF"/>
        <w:spacing w:line="360" w:lineRule="auto"/>
        <w:ind w:firstLine="420"/>
        <w:jc w:val="left"/>
        <w:rPr>
          <w:rFonts w:cs="仿宋" w:asciiTheme="minorEastAsia" w:hAnsiTheme="minorEastAsia" w:eastAsiaTheme="minorEastAsia"/>
          <w:b/>
          <w:color w:val="auto"/>
          <w:kern w:val="0"/>
          <w:sz w:val="24"/>
          <w:highlight w:val="none"/>
        </w:rPr>
      </w:pPr>
      <w:r>
        <w:rPr>
          <w:rFonts w:hint="eastAsia" w:cs="仿宋" w:asciiTheme="minorEastAsia" w:hAnsiTheme="minorEastAsia" w:eastAsiaTheme="minorEastAsia"/>
          <w:b/>
          <w:color w:val="auto"/>
          <w:kern w:val="0"/>
          <w:sz w:val="24"/>
          <w:highlight w:val="none"/>
        </w:rPr>
        <w:t>2、纸质投标文件（正本1份、副本1份）和备份文件1份（使用电子介质存储），在投标截止时间（开标时间）前递交至本项目开标地点。</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六、公告媒体：</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shd w:val="clear" w:color="auto" w:fill="FFFFFF"/>
        </w:rPr>
      </w:pPr>
      <w:r>
        <w:rPr>
          <w:rFonts w:hint="eastAsia" w:cs="仿宋" w:asciiTheme="minorEastAsia" w:hAnsiTheme="minorEastAsia" w:eastAsiaTheme="minorEastAsia"/>
          <w:color w:val="auto"/>
          <w:kern w:val="0"/>
          <w:sz w:val="24"/>
          <w:highlight w:val="none"/>
          <w:shd w:val="clear" w:color="auto" w:fill="FFFFFF"/>
        </w:rPr>
        <w:t>本次招标公告同时在《河南省政府采购网》、《许昌市政府采购网》、《全国公共资源交易平台（河南省·许昌市）》发布。</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七、公告期限：</w:t>
      </w:r>
    </w:p>
    <w:p>
      <w:pPr>
        <w:widowControl/>
        <w:shd w:val="clear" w:color="auto" w:fill="FFFFFF"/>
        <w:spacing w:line="360" w:lineRule="auto"/>
        <w:ind w:firstLine="420"/>
        <w:jc w:val="left"/>
        <w:rPr>
          <w:rFonts w:cs="仿宋" w:asciiTheme="minorEastAsia" w:hAnsiTheme="minorEastAsia" w:eastAsiaTheme="minorEastAsia"/>
          <w:color w:val="auto"/>
          <w:kern w:val="0"/>
          <w:sz w:val="24"/>
          <w:highlight w:val="none"/>
          <w:shd w:val="clear" w:color="auto" w:fill="FFFFFF"/>
        </w:rPr>
      </w:pPr>
      <w:r>
        <w:rPr>
          <w:rFonts w:hint="eastAsia" w:cs="仿宋" w:asciiTheme="minorEastAsia" w:hAnsiTheme="minorEastAsia" w:eastAsiaTheme="minorEastAsia"/>
          <w:color w:val="auto"/>
          <w:kern w:val="0"/>
          <w:sz w:val="24"/>
          <w:highlight w:val="none"/>
          <w:shd w:val="clear" w:color="auto" w:fill="FFFFFF"/>
        </w:rPr>
        <w:t>本招标公告自发布之日起公告期限为5个工作日。</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八、联系方式：</w:t>
      </w:r>
    </w:p>
    <w:p>
      <w:pPr>
        <w:widowControl/>
        <w:shd w:val="clear" w:color="auto" w:fill="FFFFFF"/>
        <w:spacing w:line="360" w:lineRule="auto"/>
        <w:ind w:firstLine="420"/>
        <w:jc w:val="left"/>
        <w:rPr>
          <w:rFonts w:hint="eastAsia" w:cs="仿宋" w:asciiTheme="minorEastAsia" w:hAnsiTheme="minorEastAsia" w:eastAsiaTheme="minorEastAsia"/>
          <w:color w:val="auto"/>
          <w:kern w:val="0"/>
          <w:sz w:val="24"/>
          <w:highlight w:val="none"/>
          <w:shd w:val="clear" w:color="auto" w:fill="FFFFFF"/>
        </w:rPr>
      </w:pPr>
      <w:r>
        <w:rPr>
          <w:rFonts w:hint="eastAsia" w:cs="仿宋" w:asciiTheme="minorEastAsia" w:hAnsiTheme="minorEastAsia" w:eastAsiaTheme="minorEastAsia"/>
          <w:color w:val="auto"/>
          <w:kern w:val="0"/>
          <w:sz w:val="24"/>
          <w:highlight w:val="none"/>
          <w:shd w:val="clear" w:color="auto" w:fill="FFFFFF"/>
        </w:rPr>
        <w:t xml:space="preserve">采 购 人：襄城县人民医院         </w:t>
      </w:r>
    </w:p>
    <w:p>
      <w:pPr>
        <w:widowControl/>
        <w:shd w:val="clear" w:color="auto" w:fill="FFFFFF"/>
        <w:spacing w:line="360" w:lineRule="auto"/>
        <w:ind w:firstLine="420"/>
        <w:jc w:val="left"/>
        <w:rPr>
          <w:rFonts w:hint="eastAsia" w:cs="仿宋" w:asciiTheme="minorEastAsia" w:hAnsiTheme="minorEastAsia" w:eastAsiaTheme="minorEastAsia"/>
          <w:color w:val="auto"/>
          <w:kern w:val="0"/>
          <w:sz w:val="24"/>
          <w:highlight w:val="none"/>
          <w:shd w:val="clear" w:color="auto" w:fill="FFFFFF"/>
        </w:rPr>
      </w:pPr>
      <w:r>
        <w:rPr>
          <w:rFonts w:hint="eastAsia" w:cs="仿宋" w:asciiTheme="minorEastAsia" w:hAnsiTheme="minorEastAsia" w:eastAsiaTheme="minorEastAsia"/>
          <w:color w:val="auto"/>
          <w:kern w:val="0"/>
          <w:sz w:val="24"/>
          <w:highlight w:val="none"/>
          <w:shd w:val="clear" w:color="auto" w:fill="FFFFFF"/>
        </w:rPr>
        <w:t>地    址：襄城县中心路东段</w:t>
      </w:r>
    </w:p>
    <w:p>
      <w:pPr>
        <w:widowControl/>
        <w:shd w:val="clear" w:color="auto" w:fill="FFFFFF"/>
        <w:spacing w:line="360" w:lineRule="auto"/>
        <w:ind w:firstLine="420"/>
        <w:jc w:val="left"/>
        <w:rPr>
          <w:rFonts w:hint="eastAsia" w:cs="仿宋" w:asciiTheme="minorEastAsia" w:hAnsiTheme="minorEastAsia" w:eastAsiaTheme="minorEastAsia"/>
          <w:color w:val="auto"/>
          <w:kern w:val="0"/>
          <w:sz w:val="24"/>
          <w:highlight w:val="none"/>
          <w:shd w:val="clear" w:color="auto" w:fill="FFFFFF"/>
        </w:rPr>
      </w:pPr>
      <w:r>
        <w:rPr>
          <w:rFonts w:hint="eastAsia" w:cs="仿宋" w:asciiTheme="minorEastAsia" w:hAnsiTheme="minorEastAsia" w:eastAsiaTheme="minorEastAsia"/>
          <w:color w:val="auto"/>
          <w:kern w:val="0"/>
          <w:sz w:val="24"/>
          <w:highlight w:val="none"/>
          <w:shd w:val="clear" w:color="auto" w:fill="FFFFFF"/>
        </w:rPr>
        <w:t>联系电话：0374-3509812</w:t>
      </w:r>
    </w:p>
    <w:p>
      <w:pPr>
        <w:widowControl/>
        <w:shd w:val="clear" w:color="auto" w:fill="FFFFFF"/>
        <w:spacing w:line="360" w:lineRule="auto"/>
        <w:ind w:firstLine="420"/>
        <w:jc w:val="left"/>
        <w:rPr>
          <w:rFonts w:hint="eastAsia" w:cs="仿宋" w:asciiTheme="minorEastAsia" w:hAnsiTheme="minorEastAsia" w:eastAsiaTheme="minorEastAsia"/>
          <w:color w:val="auto"/>
          <w:kern w:val="0"/>
          <w:sz w:val="24"/>
          <w:highlight w:val="none"/>
          <w:shd w:val="clear" w:color="auto" w:fill="FFFFFF"/>
        </w:rPr>
      </w:pPr>
      <w:r>
        <w:rPr>
          <w:rFonts w:hint="eastAsia" w:cs="仿宋" w:asciiTheme="minorEastAsia" w:hAnsiTheme="minorEastAsia" w:eastAsiaTheme="minorEastAsia"/>
          <w:color w:val="auto"/>
          <w:kern w:val="0"/>
          <w:sz w:val="24"/>
          <w:highlight w:val="none"/>
          <w:shd w:val="clear" w:color="auto" w:fill="FFFFFF"/>
        </w:rPr>
        <w:t>代理机构：河南慧霖工程管理服务有限公司</w:t>
      </w:r>
    </w:p>
    <w:p>
      <w:pPr>
        <w:widowControl/>
        <w:shd w:val="clear" w:color="auto" w:fill="FFFFFF"/>
        <w:spacing w:line="360" w:lineRule="auto"/>
        <w:ind w:firstLine="420"/>
        <w:jc w:val="left"/>
        <w:rPr>
          <w:rFonts w:hint="default" w:cs="仿宋" w:asciiTheme="minorEastAsia" w:hAnsiTheme="minorEastAsia" w:eastAsiaTheme="minorEastAsia"/>
          <w:color w:val="auto"/>
          <w:kern w:val="0"/>
          <w:sz w:val="24"/>
          <w:highlight w:val="none"/>
          <w:shd w:val="clear" w:color="auto" w:fill="FFFFFF"/>
          <w:lang w:val="en-US" w:eastAsia="zh-CN"/>
        </w:rPr>
      </w:pPr>
      <w:r>
        <w:rPr>
          <w:rFonts w:hint="eastAsia" w:cs="仿宋" w:asciiTheme="minorEastAsia" w:hAnsiTheme="minorEastAsia" w:eastAsiaTheme="minorEastAsia"/>
          <w:color w:val="auto"/>
          <w:kern w:val="0"/>
          <w:sz w:val="24"/>
          <w:highlight w:val="none"/>
          <w:shd w:val="clear" w:color="auto" w:fill="FFFFFF"/>
        </w:rPr>
        <w:t xml:space="preserve">联系电话：0375-6161678  </w:t>
      </w:r>
      <w:r>
        <w:rPr>
          <w:rFonts w:hint="eastAsia" w:cs="仿宋" w:asciiTheme="minorEastAsia" w:hAnsiTheme="minorEastAsia" w:eastAsiaTheme="minorEastAsia"/>
          <w:color w:val="auto"/>
          <w:kern w:val="0"/>
          <w:sz w:val="24"/>
          <w:highlight w:val="none"/>
          <w:shd w:val="clear" w:color="auto" w:fill="FFFFFF"/>
          <w:lang w:val="en-US" w:eastAsia="zh-CN"/>
        </w:rPr>
        <w:t>1993925106</w:t>
      </w:r>
    </w:p>
    <w:p>
      <w:pPr>
        <w:widowControl/>
        <w:shd w:val="clear" w:color="auto" w:fill="FFFFFF"/>
        <w:spacing w:line="360" w:lineRule="auto"/>
        <w:ind w:firstLine="420"/>
        <w:jc w:val="left"/>
        <w:rPr>
          <w:rFonts w:hint="eastAsia" w:cs="仿宋" w:asciiTheme="minorEastAsia" w:hAnsiTheme="minorEastAsia" w:eastAsiaTheme="minorEastAsia"/>
          <w:color w:val="auto"/>
          <w:kern w:val="0"/>
          <w:sz w:val="24"/>
          <w:highlight w:val="none"/>
          <w:shd w:val="clear" w:color="auto" w:fill="FFFFFF"/>
        </w:rPr>
      </w:pPr>
      <w:r>
        <w:rPr>
          <w:rFonts w:hint="eastAsia" w:cs="仿宋" w:asciiTheme="minorEastAsia" w:hAnsiTheme="minorEastAsia" w:eastAsiaTheme="minorEastAsia"/>
          <w:color w:val="auto"/>
          <w:kern w:val="0"/>
          <w:sz w:val="24"/>
          <w:highlight w:val="none"/>
          <w:shd w:val="clear" w:color="auto" w:fill="FFFFFF"/>
        </w:rPr>
        <w:t>地址：平顶山新华区建设路西段云顶灯饰城内1号楼3楼1-5号 </w:t>
      </w:r>
    </w:p>
    <w:p>
      <w:pPr>
        <w:pStyle w:val="2"/>
        <w:rPr>
          <w:rFonts w:hint="eastAsia"/>
          <w:color w:val="auto"/>
          <w:highlight w:val="none"/>
        </w:rPr>
      </w:pPr>
    </w:p>
    <w:p>
      <w:pPr>
        <w:widowControl/>
        <w:shd w:val="clear" w:color="auto" w:fill="FFFFFF"/>
        <w:spacing w:line="360" w:lineRule="auto"/>
        <w:ind w:firstLine="56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仿宋" w:asciiTheme="minorEastAsia" w:hAnsiTheme="minorEastAsia" w:eastAsiaTheme="minorEastAsia"/>
          <w:color w:val="auto"/>
          <w:kern w:val="0"/>
          <w:sz w:val="24"/>
          <w:highlight w:val="none"/>
        </w:rPr>
        <w:t xml:space="preserve"> 2019年</w:t>
      </w:r>
      <w:r>
        <w:rPr>
          <w:rFonts w:hint="eastAsia" w:cs="仿宋" w:asciiTheme="minorEastAsia" w:hAnsiTheme="minorEastAsia" w:eastAsiaTheme="minorEastAsia"/>
          <w:color w:val="auto"/>
          <w:kern w:val="0"/>
          <w:sz w:val="24"/>
          <w:highlight w:val="none"/>
          <w:lang w:val="en-US" w:eastAsia="zh-CN"/>
        </w:rPr>
        <w:t xml:space="preserve">  </w:t>
      </w:r>
      <w:r>
        <w:rPr>
          <w:rFonts w:hint="eastAsia" w:cs="仿宋" w:asciiTheme="minorEastAsia" w:hAnsiTheme="minorEastAsia" w:eastAsiaTheme="minorEastAsia"/>
          <w:color w:val="auto"/>
          <w:kern w:val="0"/>
          <w:sz w:val="24"/>
          <w:highlight w:val="none"/>
        </w:rPr>
        <w:t>月</w:t>
      </w:r>
      <w:r>
        <w:rPr>
          <w:rFonts w:hint="eastAsia" w:cs="仿宋" w:asciiTheme="minorEastAsia" w:hAnsiTheme="minorEastAsia" w:eastAsiaTheme="minorEastAsia"/>
          <w:color w:val="auto"/>
          <w:kern w:val="0"/>
          <w:sz w:val="24"/>
          <w:highlight w:val="none"/>
          <w:lang w:val="en-US" w:eastAsia="zh-CN"/>
        </w:rPr>
        <w:t xml:space="preserve">   </w:t>
      </w:r>
      <w:r>
        <w:rPr>
          <w:rFonts w:hint="eastAsia" w:cs="仿宋" w:asciiTheme="minorEastAsia" w:hAnsiTheme="minorEastAsia" w:eastAsiaTheme="minorEastAsia"/>
          <w:color w:val="auto"/>
          <w:kern w:val="0"/>
          <w:sz w:val="24"/>
          <w:highlight w:val="none"/>
        </w:rPr>
        <w:t>日</w:t>
      </w:r>
    </w:p>
    <w:p>
      <w:pPr>
        <w:pStyle w:val="2"/>
        <w:ind w:firstLine="280"/>
        <w:rPr>
          <w:color w:val="auto"/>
          <w:highlight w:val="none"/>
        </w:rPr>
      </w:pP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温馨提示：</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本项目为全流程电子化交易项目，请认真阅读招标文件，并注意以下事项。</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1.投标人应按招标文件规定编制、提交电子投标文件和纸质投标文件。开、评标现场不接受投标人递交的备份电子投标文件和纸质投标文件以外的其他资料。</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2.电子文件下载、制作、提交期间和开标（电子投标文件的解密）环节，投标人须使用CA数字证书（证书须在有效期内）。</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3.电子投标文件的制作</w:t>
      </w:r>
    </w:p>
    <w:p>
      <w:pPr>
        <w:tabs>
          <w:tab w:val="left" w:pos="7095"/>
        </w:tabs>
        <w:spacing w:line="360" w:lineRule="auto"/>
        <w:ind w:firstLine="480" w:firstLineChars="200"/>
        <w:contextualSpacing/>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3</w:t>
      </w:r>
      <w:r>
        <w:rPr>
          <w:rFonts w:hint="eastAsia" w:cs="仿宋" w:asciiTheme="minorEastAsia" w:hAnsiTheme="minorEastAsia" w:eastAsiaTheme="minorEastAsia"/>
          <w:color w:val="auto"/>
          <w:kern w:val="0"/>
          <w:sz w:val="24"/>
          <w:highlight w:val="none"/>
        </w:rPr>
        <w:t>.1 投标人登录《全国公共资源交易平台(河南省▪许昌市)》公共资源交易系统（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cs="仿宋" w:asciiTheme="minorEastAsia" w:hAnsiTheme="minorEastAsia" w:eastAsiaTheme="minorEastAsia"/>
          <w:color w:val="auto"/>
          <w:kern w:val="0"/>
          <w:sz w:val="24"/>
          <w:highlight w:val="none"/>
        </w:rPr>
        <w:t>http://221.14.6.70:8088/ggzy/</w:t>
      </w:r>
      <w:r>
        <w:rPr>
          <w:rFonts w:cs="仿宋" w:asciiTheme="minorEastAsia" w:hAnsiTheme="minorEastAsia" w:eastAsiaTheme="minorEastAsia"/>
          <w:color w:val="auto"/>
          <w:kern w:val="0"/>
          <w:sz w:val="24"/>
          <w:highlight w:val="none"/>
        </w:rPr>
        <w:fldChar w:fldCharType="end"/>
      </w:r>
      <w:r>
        <w:rPr>
          <w:rFonts w:hint="eastAsia" w:cs="仿宋" w:asciiTheme="minorEastAsia" w:hAnsiTheme="minorEastAsia" w:eastAsiaTheme="minorEastAsia"/>
          <w:color w:val="auto"/>
          <w:kern w:val="0"/>
          <w:sz w:val="24"/>
          <w:highlight w:val="none"/>
        </w:rPr>
        <w:t>）下载“许昌投标文件制作系统SEARUN 最新版本”，按招标文件要求制作电子投标文件。</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电子投标文件的制作，参考《全国公共资源交易平台(河南省、许昌市)》公共资源交易系统——组件下载——交易系统操作手册（投标人、供应商）。</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3.2 投标人须将招标文件要求的资质、业绩、荣誉及相关人员证明材料等资料原件扫描件（或图片）制作到所提交的电子投标文件中。</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4.加密电子投标文件的提交</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4.1加密电子投标文件应在招标文件规定的投标截止时间（开标时间）之前成功提交至《全国公共资源交易平台(河南省</w:t>
      </w:r>
      <w:r>
        <w:rPr>
          <w:rFonts w:hint="eastAsia" w:eastAsia="MS Mincho" w:cs="宋体" w:asciiTheme="minorEastAsia" w:hAnsiTheme="minorEastAsia"/>
          <w:color w:val="auto"/>
          <w:kern w:val="0"/>
          <w:sz w:val="24"/>
          <w:highlight w:val="none"/>
        </w:rPr>
        <w:t>▪</w:t>
      </w:r>
      <w:r>
        <w:rPr>
          <w:rFonts w:hint="eastAsia" w:cs="仿宋" w:asciiTheme="minorEastAsia" w:hAnsiTheme="minorEastAsia" w:eastAsiaTheme="minorEastAsia"/>
          <w:color w:val="auto"/>
          <w:kern w:val="0"/>
          <w:sz w:val="24"/>
          <w:highlight w:val="none"/>
        </w:rPr>
        <w:t>许昌市)》公共资源交易系统（http://221.14.6.70:8088/ggzy/）。</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投标人应充分考虑并预留技术处理和上传数据所需时间。</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4.2 投标人对同一项目多个标段进行投标的，加密电子投标文件应按标段分别提交。</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4.3 加密电子投标文件成功提交后，投标人应打印“投标文件提交回执单”供开标现场备查。</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highlight w:val="none"/>
          <w:shd w:val="clear" w:color="auto" w:fill="FFFFFF"/>
        </w:rPr>
      </w:pPr>
      <w:r>
        <w:rPr>
          <w:rFonts w:hint="eastAsia" w:cs="仿宋" w:asciiTheme="minorEastAsia" w:hAnsiTheme="minorEastAsia" w:eastAsiaTheme="minorEastAsia"/>
          <w:b/>
          <w:bCs/>
          <w:color w:val="auto"/>
          <w:kern w:val="0"/>
          <w:sz w:val="24"/>
          <w:highlight w:val="none"/>
          <w:shd w:val="clear" w:color="auto" w:fill="FFFFFF"/>
        </w:rPr>
        <w:t>5.评标依据</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5.1采用全流程电子化交易评标时，评标委员会以电子投标文件为依据评标。</w:t>
      </w:r>
    </w:p>
    <w:p>
      <w:pPr>
        <w:widowControl/>
        <w:shd w:val="clear" w:color="auto" w:fill="FFFFFF"/>
        <w:spacing w:line="360" w:lineRule="auto"/>
        <w:ind w:firstLine="480" w:firstLineChars="200"/>
        <w:jc w:val="left"/>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kern w:val="0"/>
          <w:sz w:val="24"/>
          <w:highlight w:val="none"/>
        </w:rPr>
        <w:t>5.2全流程电子化交易如因系统异常情况无法完成，将以人工方式进行。评标委员会以纸质投标文件为依据评标。</w:t>
      </w:r>
    </w:p>
    <w:p>
      <w:pPr>
        <w:ind w:firstLine="2731" w:firstLineChars="850"/>
        <w:rPr>
          <w:rFonts w:ascii="宋体" w:hAnsi="宋体" w:cs="宋体"/>
          <w:b/>
          <w:color w:val="auto"/>
          <w:sz w:val="32"/>
          <w:szCs w:val="32"/>
          <w:highlight w:val="none"/>
        </w:rPr>
      </w:pPr>
    </w:p>
    <w:p>
      <w:pPr>
        <w:pStyle w:val="2"/>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pStyle w:val="4"/>
        <w:rPr>
          <w:rFonts w:ascii="宋体" w:hAnsi="宋体" w:cs="宋体"/>
          <w:b/>
          <w:color w:val="auto"/>
          <w:sz w:val="32"/>
          <w:szCs w:val="32"/>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第二章  项目需求</w:t>
      </w:r>
    </w:p>
    <w:p>
      <w:pPr>
        <w:pStyle w:val="2"/>
        <w:ind w:firstLine="210"/>
        <w:rPr>
          <w:color w:val="auto"/>
          <w:sz w:val="21"/>
          <w:szCs w:val="21"/>
          <w:highlight w:val="none"/>
        </w:rPr>
      </w:pPr>
    </w:p>
    <w:p>
      <w:pPr>
        <w:pStyle w:val="6"/>
        <w:numPr>
          <w:ilvl w:val="0"/>
          <w:numId w:val="3"/>
        </w:numPr>
        <w:spacing w:line="360" w:lineRule="auto"/>
        <w:rPr>
          <w:rFonts w:ascii="宋体" w:hAnsi="宋体" w:eastAsia="宋体"/>
          <w:color w:val="auto"/>
          <w:sz w:val="24"/>
          <w:szCs w:val="24"/>
          <w:highlight w:val="none"/>
        </w:rPr>
      </w:pPr>
      <w:bookmarkStart w:id="1" w:name="_Toc21183145"/>
      <w:r>
        <w:rPr>
          <w:rFonts w:hint="eastAsia" w:ascii="宋体" w:hAnsi="宋体" w:eastAsia="宋体"/>
          <w:color w:val="auto"/>
          <w:sz w:val="24"/>
          <w:szCs w:val="24"/>
          <w:highlight w:val="none"/>
        </w:rPr>
        <w:t>项目需求与技术要求</w:t>
      </w:r>
      <w:bookmarkEnd w:id="1"/>
    </w:p>
    <w:p>
      <w:pPr>
        <w:pStyle w:val="7"/>
        <w:numPr>
          <w:ilvl w:val="1"/>
          <w:numId w:val="3"/>
        </w:numPr>
        <w:spacing w:line="360" w:lineRule="auto"/>
        <w:rPr>
          <w:rFonts w:ascii="宋体" w:hAnsi="宋体" w:eastAsia="宋体"/>
          <w:color w:val="auto"/>
          <w:sz w:val="24"/>
          <w:szCs w:val="24"/>
          <w:highlight w:val="none"/>
        </w:rPr>
      </w:pPr>
      <w:bookmarkStart w:id="2" w:name="_Toc21183146"/>
      <w:r>
        <w:rPr>
          <w:rFonts w:hint="eastAsia" w:ascii="宋体" w:hAnsi="宋体" w:eastAsia="宋体"/>
          <w:color w:val="auto"/>
          <w:sz w:val="24"/>
          <w:szCs w:val="24"/>
          <w:highlight w:val="none"/>
        </w:rPr>
        <w:t>项目说明</w:t>
      </w:r>
      <w:bookmarkEnd w:id="2"/>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面对城乡居民日益增长和提高的医疗卫生需求及工业化、城镇化、人口老龄化带来的社会挑战，及卫生健康事业发展不平衡、医疗卫生资源结构不合理、基本医疗卫生服务与人民群众期望不适应等问题和健康服务供给约束与健康需求不断增长之间矛盾依然突出的困境，县域卫生健康信息化建设已成为破局的关键一招，不仅是深化医改革的重要内容，更是促进深化医药卫生体制改革的重要支撑和保障，并在政策、技术等多重因素的推动下，加速进入发展的快车道。</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以人民健康为中心，贯彻新时代卫生与健康工作方针，深化医疗服务供给侧结构性改革，采用先进的技术和架构，以襄城县</w:t>
      </w:r>
      <w:r>
        <w:rPr>
          <w:rFonts w:ascii="宋体" w:hAnsi="宋体" w:eastAsia="宋体"/>
          <w:color w:val="auto"/>
          <w:sz w:val="24"/>
          <w:szCs w:val="24"/>
          <w:highlight w:val="none"/>
        </w:rPr>
        <w:t>人民医院为中心，</w:t>
      </w:r>
      <w:r>
        <w:rPr>
          <w:rFonts w:hint="eastAsia" w:ascii="宋体" w:hAnsi="宋体" w:eastAsia="宋体"/>
          <w:color w:val="auto"/>
          <w:sz w:val="24"/>
          <w:szCs w:val="24"/>
          <w:highlight w:val="none"/>
        </w:rPr>
        <w:t>连接医共体内各级各类</w:t>
      </w:r>
      <w:r>
        <w:rPr>
          <w:rFonts w:ascii="宋体" w:hAnsi="宋体" w:eastAsia="宋体"/>
          <w:color w:val="auto"/>
          <w:sz w:val="24"/>
          <w:szCs w:val="24"/>
          <w:highlight w:val="none"/>
        </w:rPr>
        <w:t>医疗卫生机构，逐步建立统一高效、使用便捷的医共体</w:t>
      </w:r>
      <w:r>
        <w:rPr>
          <w:rFonts w:hint="eastAsia" w:ascii="宋体" w:hAnsi="宋体" w:eastAsia="宋体"/>
          <w:color w:val="auto"/>
          <w:sz w:val="24"/>
          <w:szCs w:val="24"/>
          <w:highlight w:val="none"/>
        </w:rPr>
        <w:t>信息</w:t>
      </w:r>
      <w:r>
        <w:rPr>
          <w:rFonts w:ascii="宋体" w:hAnsi="宋体" w:eastAsia="宋体"/>
          <w:color w:val="auto"/>
          <w:sz w:val="24"/>
          <w:szCs w:val="24"/>
          <w:highlight w:val="none"/>
        </w:rPr>
        <w:t>平台，</w:t>
      </w:r>
      <w:r>
        <w:rPr>
          <w:rFonts w:hint="eastAsia" w:ascii="宋体" w:hAnsi="宋体" w:eastAsia="宋体"/>
          <w:color w:val="auto"/>
          <w:sz w:val="24"/>
          <w:szCs w:val="24"/>
          <w:highlight w:val="none"/>
        </w:rPr>
        <w:t>精准对接人民群众多层次、多样化、个性化健康需求，构建以襄城县人民医院为牵头，基层医疗卫</w:t>
      </w:r>
      <w:r>
        <w:rPr>
          <w:rFonts w:ascii="宋体" w:hAnsi="宋体" w:eastAsia="宋体"/>
          <w:color w:val="auto"/>
          <w:sz w:val="24"/>
          <w:szCs w:val="24"/>
          <w:highlight w:val="none"/>
        </w:rPr>
        <w:t>生机构为基础，互联互通、运转高效的</w:t>
      </w:r>
      <w:r>
        <w:rPr>
          <w:rFonts w:hint="eastAsia" w:ascii="宋体" w:hAnsi="宋体" w:eastAsia="宋体"/>
          <w:color w:val="auto"/>
          <w:sz w:val="24"/>
          <w:szCs w:val="24"/>
          <w:highlight w:val="none"/>
        </w:rPr>
        <w:t>县乡村一体化</w:t>
      </w:r>
      <w:r>
        <w:rPr>
          <w:rFonts w:ascii="宋体" w:hAnsi="宋体" w:eastAsia="宋体"/>
          <w:color w:val="auto"/>
          <w:sz w:val="24"/>
          <w:szCs w:val="24"/>
          <w:highlight w:val="none"/>
        </w:rPr>
        <w:t>医疗</w:t>
      </w:r>
      <w:r>
        <w:rPr>
          <w:rFonts w:hint="eastAsia" w:ascii="宋体" w:hAnsi="宋体" w:eastAsia="宋体"/>
          <w:color w:val="auto"/>
          <w:sz w:val="24"/>
          <w:szCs w:val="24"/>
          <w:highlight w:val="none"/>
        </w:rPr>
        <w:t>卫生</w:t>
      </w:r>
      <w:r>
        <w:rPr>
          <w:rFonts w:ascii="宋体" w:hAnsi="宋体" w:eastAsia="宋体"/>
          <w:color w:val="auto"/>
          <w:sz w:val="24"/>
          <w:szCs w:val="24"/>
          <w:highlight w:val="none"/>
        </w:rPr>
        <w:t>服务</w:t>
      </w:r>
      <w:r>
        <w:rPr>
          <w:rFonts w:hint="eastAsia" w:ascii="宋体" w:hAnsi="宋体" w:eastAsia="宋体"/>
          <w:color w:val="auto"/>
          <w:sz w:val="24"/>
          <w:szCs w:val="24"/>
          <w:highlight w:val="none"/>
        </w:rPr>
        <w:t>体系，</w:t>
      </w:r>
      <w:r>
        <w:rPr>
          <w:rFonts w:ascii="宋体" w:hAnsi="宋体" w:eastAsia="宋体"/>
          <w:color w:val="auto"/>
          <w:sz w:val="24"/>
          <w:szCs w:val="24"/>
          <w:highlight w:val="none"/>
        </w:rPr>
        <w:t>跨部门、跨领域资源整合、互联互通、信息共享</w:t>
      </w:r>
      <w:r>
        <w:rPr>
          <w:rFonts w:hint="eastAsia" w:ascii="宋体" w:hAnsi="宋体" w:eastAsia="宋体"/>
          <w:color w:val="auto"/>
          <w:sz w:val="24"/>
          <w:szCs w:val="24"/>
          <w:highlight w:val="none"/>
        </w:rPr>
        <w:t>，基层医疗卫生服务能力进一步提升，让医疗渗透到基本公共卫生服务和慢性病精细化管理服务中，创新医防控融合服务新模式，大范围、宽视角推动医疗卫生服务模式由治病为中心向健康为中心快速转变。构建“基层首诊、双向转诊、急慢分治、上下联动”的分级诊疗服务体系，及“互联网</w:t>
      </w:r>
      <w:r>
        <w:rPr>
          <w:rFonts w:ascii="宋体" w:hAnsi="宋体" w:eastAsia="宋体"/>
          <w:color w:val="auto"/>
          <w:sz w:val="24"/>
          <w:szCs w:val="24"/>
          <w:highlight w:val="none"/>
        </w:rPr>
        <w:t>+医疗健康”服务体系，为居民提供覆盖诊前、诊中、诊后的线上线下相融合的全过程、全方位一站式就医和健康管理服务，</w:t>
      </w:r>
      <w:r>
        <w:rPr>
          <w:rFonts w:hint="eastAsia" w:ascii="宋体" w:hAnsi="宋体" w:eastAsia="宋体"/>
          <w:color w:val="auto"/>
          <w:sz w:val="24"/>
          <w:szCs w:val="24"/>
          <w:highlight w:val="none"/>
        </w:rPr>
        <w:t>切实提高城乡居民健康素质，实现健康与经济社会协调、可持续发展，为全面建成小康社会夯实健康基础，助力健康中国梦的实现。</w:t>
      </w:r>
    </w:p>
    <w:p>
      <w:pPr>
        <w:pStyle w:val="7"/>
        <w:numPr>
          <w:ilvl w:val="1"/>
          <w:numId w:val="3"/>
        </w:numPr>
        <w:spacing w:line="360" w:lineRule="auto"/>
        <w:rPr>
          <w:rFonts w:ascii="宋体" w:hAnsi="宋体" w:eastAsia="宋体"/>
          <w:color w:val="auto"/>
          <w:sz w:val="24"/>
          <w:szCs w:val="24"/>
          <w:highlight w:val="none"/>
        </w:rPr>
      </w:pPr>
      <w:bookmarkStart w:id="3" w:name="_Toc21183147"/>
      <w:r>
        <w:rPr>
          <w:rFonts w:hint="eastAsia" w:ascii="宋体" w:hAnsi="宋体" w:eastAsia="宋体"/>
          <w:color w:val="auto"/>
          <w:sz w:val="24"/>
          <w:szCs w:val="24"/>
          <w:highlight w:val="none"/>
        </w:rPr>
        <w:t>现状情况</w:t>
      </w:r>
      <w:bookmarkEnd w:id="3"/>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襄城县位于河南省中部，河南省许昌市辖县，总面积约</w:t>
      </w:r>
      <w:r>
        <w:rPr>
          <w:rFonts w:ascii="宋体" w:hAnsi="宋体" w:eastAsia="宋体"/>
          <w:color w:val="auto"/>
          <w:sz w:val="24"/>
          <w:szCs w:val="24"/>
          <w:highlight w:val="none"/>
        </w:rPr>
        <w:t>920平方千米</w:t>
      </w:r>
      <w:r>
        <w:rPr>
          <w:rFonts w:hint="eastAsia" w:ascii="宋体" w:hAnsi="宋体" w:eastAsia="宋体"/>
          <w:color w:val="auto"/>
          <w:sz w:val="24"/>
          <w:szCs w:val="24"/>
          <w:highlight w:val="none"/>
        </w:rPr>
        <w:t>，</w:t>
      </w:r>
      <w:r>
        <w:rPr>
          <w:rFonts w:ascii="宋体" w:hAnsi="宋体" w:eastAsia="宋体"/>
          <w:color w:val="auto"/>
          <w:sz w:val="24"/>
          <w:szCs w:val="24"/>
          <w:highlight w:val="none"/>
        </w:rPr>
        <w:t>辖10个镇、6个乡</w:t>
      </w:r>
      <w:r>
        <w:rPr>
          <w:rFonts w:hint="eastAsia" w:ascii="宋体" w:hAnsi="宋体" w:eastAsia="宋体"/>
          <w:color w:val="auto"/>
          <w:sz w:val="24"/>
          <w:szCs w:val="24"/>
          <w:highlight w:val="none"/>
        </w:rPr>
        <w:t>，</w:t>
      </w:r>
      <w:r>
        <w:rPr>
          <w:rFonts w:ascii="宋体" w:hAnsi="宋体" w:eastAsia="宋体"/>
          <w:color w:val="auto"/>
          <w:sz w:val="24"/>
          <w:szCs w:val="24"/>
          <w:highlight w:val="none"/>
        </w:rPr>
        <w:t>总人口</w:t>
      </w:r>
      <w:r>
        <w:rPr>
          <w:rFonts w:hint="eastAsia" w:ascii="宋体" w:hAnsi="宋体" w:eastAsia="宋体"/>
          <w:color w:val="auto"/>
          <w:sz w:val="24"/>
          <w:szCs w:val="24"/>
          <w:highlight w:val="none"/>
        </w:rPr>
        <w:t>约</w:t>
      </w:r>
      <w:r>
        <w:rPr>
          <w:rFonts w:ascii="宋体" w:hAnsi="宋体" w:eastAsia="宋体"/>
          <w:color w:val="auto"/>
          <w:sz w:val="24"/>
          <w:szCs w:val="24"/>
          <w:highlight w:val="none"/>
        </w:rPr>
        <w:t>90万人。</w:t>
      </w:r>
      <w:r>
        <w:rPr>
          <w:rFonts w:hint="eastAsia" w:ascii="宋体" w:hAnsi="宋体" w:eastAsia="宋体"/>
          <w:color w:val="auto"/>
          <w:sz w:val="24"/>
          <w:szCs w:val="24"/>
          <w:highlight w:val="none"/>
        </w:rPr>
        <w:t>建</w:t>
      </w:r>
      <w:r>
        <w:rPr>
          <w:rFonts w:ascii="宋体" w:hAnsi="宋体" w:eastAsia="宋体"/>
          <w:color w:val="auto"/>
          <w:sz w:val="24"/>
          <w:szCs w:val="24"/>
          <w:highlight w:val="none"/>
        </w:rPr>
        <w:t>有</w:t>
      </w:r>
      <w:r>
        <w:rPr>
          <w:rFonts w:hint="eastAsia" w:ascii="宋体" w:hAnsi="宋体" w:eastAsia="宋体"/>
          <w:color w:val="auto"/>
          <w:sz w:val="24"/>
          <w:szCs w:val="24"/>
          <w:highlight w:val="none"/>
        </w:rPr>
        <w:t>县级医疗机构5家，包括襄城县人民医院、襄城县第二人民医院、襄城县中医院、襄城县妇幼保健院、龙耀医院，及1</w:t>
      </w:r>
      <w:r>
        <w:rPr>
          <w:rFonts w:ascii="宋体" w:hAnsi="宋体" w:eastAsia="宋体"/>
          <w:color w:val="auto"/>
          <w:sz w:val="24"/>
          <w:szCs w:val="24"/>
          <w:highlight w:val="none"/>
        </w:rPr>
        <w:t>6</w:t>
      </w:r>
      <w:r>
        <w:rPr>
          <w:rFonts w:hint="eastAsia" w:ascii="宋体" w:hAnsi="宋体" w:eastAsia="宋体"/>
          <w:color w:val="auto"/>
          <w:sz w:val="24"/>
          <w:szCs w:val="24"/>
          <w:highlight w:val="none"/>
        </w:rPr>
        <w:t>家乡镇卫生院和5</w:t>
      </w:r>
      <w:r>
        <w:rPr>
          <w:rFonts w:ascii="宋体" w:hAnsi="宋体" w:eastAsia="宋体"/>
          <w:color w:val="auto"/>
          <w:sz w:val="24"/>
          <w:szCs w:val="24"/>
          <w:highlight w:val="none"/>
        </w:rPr>
        <w:t>65</w:t>
      </w:r>
      <w:r>
        <w:rPr>
          <w:rFonts w:hint="eastAsia" w:ascii="宋体" w:hAnsi="宋体" w:eastAsia="宋体"/>
          <w:color w:val="auto"/>
          <w:sz w:val="24"/>
          <w:szCs w:val="24"/>
          <w:highlight w:val="none"/>
        </w:rPr>
        <w:t>家村卫生室。</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我县的医疗卫生信息化建设已基本覆盖医疗、公卫等各项工作，但是由于建设时间等原因，各信息系统的水平层次参差不齐。县级医疗机构信息化建设启动较早，信息系统较为完善，在就诊、发药、检查、收费等环节实现业务电子化应用，基本满足医院各职能科室和医护人员的使用需求。各基层医疗卫生机构信息系统为河南省基层卫生云系统，以收费为中心，主要为完成门诊、住院、检查检验、药品等项目的收费，缺失针对优化就诊流程、提升医护工作效率、确保医疗质量安全和提升基层医生服务能力的信息化系统，难以满足基层医疗卫生机构业务、管理等工作需求。公卫系统基本实现居民健康档案等相关数据的上报和查询，医疗卫生数据不互联不共享，对公卫服务、慢病随访的信息化支撑力度不足。</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另外，县域内各级医疗卫生机构内部信息系统各自为战，信息化发展不平衡、相互之间无关联，医疗卫生“信息孤岛”、“信息烟囱”依然存在，医疗卫生资源统筹和整合利用不足，医疗卫生条块分割、分散建设和多头管理现象严重，居民健康档案信息完整性、连续性、准确性和互联共享程度不足，难以支撑医疗公卫工作开展和业务协同，城乡居民难以享受到连续性的医疗卫生服务，整体信息化建设已经滞后于人民群众日益增长的医疗健康需求。</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县卫健委在业务管理、政策制定工作中所需的各级医疗卫生机构运营、服务、医疗质量等相关数据仍需人工填报，难以真正反映实际情况。在家医签约、基本公卫政策落实方面，缺失有效的信息化支撑，难以获取有效、全面的数据以辅助管理和决策。</w:t>
      </w:r>
    </w:p>
    <w:p>
      <w:pPr>
        <w:pStyle w:val="7"/>
        <w:numPr>
          <w:ilvl w:val="1"/>
          <w:numId w:val="3"/>
        </w:numPr>
        <w:spacing w:line="360" w:lineRule="auto"/>
        <w:rPr>
          <w:rFonts w:ascii="宋体" w:hAnsi="宋体" w:eastAsia="宋体"/>
          <w:color w:val="auto"/>
          <w:sz w:val="24"/>
          <w:szCs w:val="24"/>
          <w:highlight w:val="none"/>
        </w:rPr>
      </w:pPr>
      <w:bookmarkStart w:id="4" w:name="_Toc21183148"/>
      <w:r>
        <w:rPr>
          <w:rFonts w:hint="eastAsia" w:ascii="宋体" w:hAnsi="宋体" w:eastAsia="宋体"/>
          <w:color w:val="auto"/>
          <w:sz w:val="24"/>
          <w:szCs w:val="24"/>
          <w:highlight w:val="none"/>
        </w:rPr>
        <w:t>项目内容</w:t>
      </w:r>
      <w:bookmarkEnd w:id="4"/>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为进一步完善医疗卫生服务能力和质量，实现人人享有安全、有效、方便、价廉的基本医疗卫生服务，有必要秉承国家及河南省全民健康事业发展要求，结合襄城县医疗卫生信息化建设现状，植根于人民群众健康服务需求，统筹规划、统一重建，新建“横到边、纵到底”覆盖县、乡（镇）、村的高效统一、管理规范、开放共享、县乡一体、公平普惠的襄城县医共体信息平台，向上对接许昌市居民一卡通平台，向下连接襄城县人民医院、襄城县第二人民医院、襄城县中医院、襄城县妇幼保健院、龙耀医院等二级医院，及1</w:t>
      </w:r>
      <w:r>
        <w:rPr>
          <w:rFonts w:ascii="宋体" w:hAnsi="宋体" w:eastAsia="宋体"/>
          <w:color w:val="auto"/>
          <w:sz w:val="24"/>
          <w:szCs w:val="24"/>
          <w:highlight w:val="none"/>
        </w:rPr>
        <w:t>6</w:t>
      </w:r>
      <w:r>
        <w:rPr>
          <w:rFonts w:hint="eastAsia" w:ascii="宋体" w:hAnsi="宋体" w:eastAsia="宋体"/>
          <w:color w:val="auto"/>
          <w:sz w:val="24"/>
          <w:szCs w:val="24"/>
          <w:highlight w:val="none"/>
        </w:rPr>
        <w:t>家乡镇卫生院、5</w:t>
      </w:r>
      <w:r>
        <w:rPr>
          <w:rFonts w:ascii="宋体" w:hAnsi="宋体" w:eastAsia="宋体"/>
          <w:color w:val="auto"/>
          <w:sz w:val="24"/>
          <w:szCs w:val="24"/>
          <w:highlight w:val="none"/>
        </w:rPr>
        <w:t>65</w:t>
      </w:r>
      <w:r>
        <w:rPr>
          <w:rFonts w:hint="eastAsia" w:ascii="宋体" w:hAnsi="宋体" w:eastAsia="宋体"/>
          <w:color w:val="auto"/>
          <w:sz w:val="24"/>
          <w:szCs w:val="24"/>
          <w:highlight w:val="none"/>
        </w:rPr>
        <w:t>家村卫生室等基层医疗卫生机构，横向连接卫生健康行政管理部门，电子健康档案和电子病历的连续记录以及不同级别、不同类别医疗卫生机构之间的信息共享，县域医疗卫生数据共享、医疗卫生业务协同，城乡居民医疗卫生服务一卡通用，全面实现全人群、全生命周期的卫生健康管理。</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一是新建基层医疗卫生机构信息化系统，及公共卫生系统，打通基层医疗、公卫服务信息的交互渠道，有效降低基层手工工作量，</w:t>
      </w:r>
      <w:r>
        <w:rPr>
          <w:rFonts w:hint="eastAsia" w:ascii="宋体" w:hAnsi="宋体" w:eastAsia="宋体" w:cs="宋体"/>
          <w:color w:val="auto"/>
          <w:sz w:val="24"/>
          <w:szCs w:val="24"/>
          <w:highlight w:val="none"/>
        </w:rPr>
        <w:t>提升医护工作效率和保障医疗安全，</w:t>
      </w:r>
      <w:r>
        <w:rPr>
          <w:rFonts w:hint="eastAsia" w:ascii="宋体" w:hAnsi="宋体" w:eastAsia="宋体"/>
          <w:color w:val="auto"/>
          <w:sz w:val="24"/>
          <w:szCs w:val="24"/>
          <w:highlight w:val="none"/>
        </w:rPr>
        <w:t>进一步提升基层医疗卫生综合服务能力，实现基层服务水平同质化、综合管理信息化，夯实</w:t>
      </w:r>
      <w:r>
        <w:rPr>
          <w:rFonts w:hint="eastAsia" w:ascii="宋体" w:hAnsi="宋体" w:eastAsia="宋体" w:cs="宋体"/>
          <w:color w:val="auto"/>
          <w:sz w:val="24"/>
          <w:szCs w:val="24"/>
          <w:highlight w:val="none"/>
        </w:rPr>
        <w:t>基层“健康守门人”职责。</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是新建“远程会诊、远程影像”等远程医疗业务协同应用，共享优质的设备和人才资源，以居民医疗健康大数据信息互联共享为基础，为基层医疗卫生机构提供及时优质的远程诊断服务，有效提升基层医疗卫生服务能力，同时为居民在基层享有同质有效的医疗卫生服务奠定基础，依托检查检验结果共享，有效解决居民“看病难、看病贵”等重点痛点问题。</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三是新建基于</w:t>
      </w:r>
      <w:r>
        <w:rPr>
          <w:rFonts w:ascii="宋体" w:hAnsi="宋体" w:eastAsia="宋体"/>
          <w:color w:val="auto"/>
          <w:sz w:val="24"/>
          <w:szCs w:val="24"/>
          <w:highlight w:val="none"/>
        </w:rPr>
        <w:t>“互联网+医疗健康”</w:t>
      </w:r>
      <w:r>
        <w:rPr>
          <w:rFonts w:hint="eastAsia" w:ascii="宋体" w:hAnsi="宋体" w:eastAsia="宋体"/>
          <w:color w:val="auto"/>
          <w:sz w:val="24"/>
          <w:szCs w:val="24"/>
          <w:highlight w:val="none"/>
        </w:rPr>
        <w:t>微信公众号服务平台的健康襄城智能服务系统，</w:t>
      </w:r>
      <w:r>
        <w:rPr>
          <w:rFonts w:ascii="宋体" w:hAnsi="宋体" w:eastAsia="宋体"/>
          <w:color w:val="auto"/>
          <w:sz w:val="24"/>
          <w:szCs w:val="24"/>
          <w:highlight w:val="none"/>
        </w:rPr>
        <w:t>以健康档案为核心</w:t>
      </w:r>
      <w:r>
        <w:rPr>
          <w:rFonts w:hint="eastAsia" w:ascii="宋体" w:hAnsi="宋体" w:eastAsia="宋体"/>
          <w:color w:val="auto"/>
          <w:sz w:val="24"/>
          <w:szCs w:val="24"/>
          <w:highlight w:val="none"/>
        </w:rPr>
        <w:t>，实现</w:t>
      </w:r>
      <w:r>
        <w:rPr>
          <w:rFonts w:ascii="宋体" w:hAnsi="宋体" w:eastAsia="宋体"/>
          <w:color w:val="auto"/>
          <w:sz w:val="24"/>
          <w:szCs w:val="24"/>
          <w:highlight w:val="none"/>
        </w:rPr>
        <w:t>医疗健康信息线上线下融合、互通共享和业务协同，以“健康</w:t>
      </w:r>
      <w:r>
        <w:rPr>
          <w:rFonts w:hint="eastAsia" w:ascii="宋体" w:hAnsi="宋体" w:eastAsia="宋体"/>
          <w:color w:val="auto"/>
          <w:sz w:val="24"/>
          <w:szCs w:val="24"/>
          <w:highlight w:val="none"/>
        </w:rPr>
        <w:t>襄城</w:t>
      </w:r>
      <w:r>
        <w:rPr>
          <w:rFonts w:ascii="宋体" w:hAnsi="宋体" w:eastAsia="宋体"/>
          <w:color w:val="auto"/>
          <w:sz w:val="24"/>
          <w:szCs w:val="24"/>
          <w:highlight w:val="none"/>
        </w:rPr>
        <w:t>”微信公众号为载体，为全县居民提供基于移动互联网的覆盖诊前、诊中、诊后的一体化、全过程医疗卫生服务，扩展医疗卫生服务渠道和深度，延伸医疗卫生服务网络，有效缓解居民“看病难”的问题，构建和谐医患关系，提升患者满意度。</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四是新建家庭医生签约、公共卫生、慢性病管理、辅助诊疗等业务应用系统，居民医疗信息和公卫信息的互联互通和高度共享，将医疗渗透到基本公共卫生服务中，开展规范化的公共卫生、家庭医生履约服务，</w:t>
      </w:r>
      <w:r>
        <w:rPr>
          <w:rFonts w:ascii="宋体" w:hAnsi="宋体" w:eastAsia="宋体"/>
          <w:color w:val="auto"/>
          <w:sz w:val="24"/>
          <w:szCs w:val="24"/>
          <w:highlight w:val="none"/>
        </w:rPr>
        <w:t>确保公共卫生、家庭医生履约服务的真实性</w:t>
      </w:r>
      <w:r>
        <w:rPr>
          <w:rFonts w:hint="eastAsia" w:ascii="宋体" w:hAnsi="宋体" w:eastAsia="宋体"/>
          <w:color w:val="auto"/>
          <w:sz w:val="24"/>
          <w:szCs w:val="24"/>
          <w:highlight w:val="none"/>
        </w:rPr>
        <w:t>。为基层医务人员配备高血压、糖尿病等辅助诊疗系统，辅助开展人群慢性病筛查，评估人群慢性疾病发病风险，并实现不同慢性疾病发病风险人群的分类指导、健康管理和健康干预，提升医务人员慢性病辅助诊疗和管理能力。新建公共卫生考核结算系统</w:t>
      </w:r>
      <w:r>
        <w:rPr>
          <w:rFonts w:ascii="宋体" w:hAnsi="宋体" w:eastAsia="宋体"/>
          <w:color w:val="auto"/>
          <w:sz w:val="24"/>
          <w:szCs w:val="24"/>
          <w:highlight w:val="none"/>
        </w:rPr>
        <w:t>，实现基本公共卫生服务的精细化考核，规范</w:t>
      </w:r>
      <w:r>
        <w:rPr>
          <w:rFonts w:hint="eastAsia" w:ascii="宋体" w:hAnsi="宋体" w:eastAsia="宋体"/>
          <w:color w:val="auto"/>
          <w:sz w:val="24"/>
          <w:szCs w:val="24"/>
          <w:highlight w:val="none"/>
        </w:rPr>
        <w:t>公卫</w:t>
      </w:r>
      <w:r>
        <w:rPr>
          <w:rFonts w:ascii="宋体" w:hAnsi="宋体" w:eastAsia="宋体"/>
          <w:color w:val="auto"/>
          <w:sz w:val="24"/>
          <w:szCs w:val="24"/>
          <w:highlight w:val="none"/>
        </w:rPr>
        <w:t>资金分配，提高基层医生的积极性。</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是新建不良事件管理平台、医共体办公平台等业务应用系统，实现医共体内各级医疗卫生机构的办公自动化，并提供医共体内各级医疗卫生机构不良事件上报报表的电子化信息化管理，实现不良事件的全流程、全过程闭环管理。</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是新建卫生统计决策分析系统，基于医共体信息平台汇集业务数据，为卫生健康行政管理等政府部门提供医疗、公卫等各方面数据的统计分析，为综合管理提供数据支撑，并为下一步县域卫生健康政策制定提供数据支持。</w:t>
      </w:r>
    </w:p>
    <w:p>
      <w:pPr>
        <w:pStyle w:val="7"/>
        <w:numPr>
          <w:ilvl w:val="1"/>
          <w:numId w:val="3"/>
        </w:numPr>
        <w:spacing w:line="360" w:lineRule="auto"/>
        <w:rPr>
          <w:rFonts w:ascii="宋体" w:hAnsi="宋体" w:eastAsia="宋体"/>
          <w:color w:val="auto"/>
          <w:sz w:val="24"/>
          <w:szCs w:val="24"/>
          <w:highlight w:val="none"/>
        </w:rPr>
      </w:pPr>
      <w:bookmarkStart w:id="5" w:name="_Toc21183149"/>
      <w:r>
        <w:rPr>
          <w:rFonts w:hint="eastAsia" w:ascii="宋体" w:hAnsi="宋体" w:eastAsia="宋体"/>
          <w:color w:val="auto"/>
          <w:sz w:val="24"/>
          <w:szCs w:val="24"/>
          <w:highlight w:val="none"/>
        </w:rPr>
        <w:t>项目总体设计方案要求</w:t>
      </w:r>
      <w:bookmarkEnd w:id="5"/>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投标人应根据招标人的需求、系统功能要求，提出完整可行的项目总体设计方案</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项目总体设计方案应包含平台架构设计、功能架构等内容。</w:t>
      </w:r>
    </w:p>
    <w:p>
      <w:pPr>
        <w:pStyle w:val="7"/>
        <w:numPr>
          <w:ilvl w:val="1"/>
          <w:numId w:val="3"/>
        </w:numPr>
        <w:spacing w:line="360" w:lineRule="auto"/>
        <w:rPr>
          <w:rFonts w:ascii="宋体" w:hAnsi="宋体" w:eastAsia="宋体"/>
          <w:color w:val="auto"/>
          <w:sz w:val="24"/>
          <w:szCs w:val="24"/>
          <w:highlight w:val="none"/>
        </w:rPr>
      </w:pPr>
      <w:bookmarkStart w:id="6" w:name="_Toc21183150"/>
      <w:r>
        <w:rPr>
          <w:rFonts w:hint="eastAsia" w:ascii="宋体" w:hAnsi="宋体" w:eastAsia="宋体"/>
          <w:color w:val="auto"/>
          <w:sz w:val="24"/>
          <w:szCs w:val="24"/>
          <w:highlight w:val="none"/>
        </w:rPr>
        <w:t>总体技术要求</w:t>
      </w:r>
      <w:bookmarkEnd w:id="6"/>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应用云计算、大数据、移动互联网等新一代信息技术。信息系统底层支撑平</w:t>
      </w:r>
      <w:r>
        <w:rPr>
          <w:rFonts w:ascii="宋体" w:hAnsi="宋体" w:eastAsia="宋体"/>
          <w:color w:val="auto"/>
          <w:sz w:val="24"/>
          <w:szCs w:val="24"/>
          <w:highlight w:val="none"/>
        </w:rPr>
        <w:t xml:space="preserve"> 台要具有良好的可用性、安全性、灵活性和可扩展性，能兼容主流操作系统和浏 览器访问。</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1、技术路线要求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基于业界成熟的标准</w:t>
      </w:r>
      <w:r>
        <w:rPr>
          <w:rFonts w:ascii="宋体" w:hAnsi="宋体" w:eastAsia="宋体"/>
          <w:color w:val="auto"/>
          <w:sz w:val="24"/>
          <w:szCs w:val="24"/>
          <w:highlight w:val="none"/>
        </w:rPr>
        <w:t>J2EE技术架构，采用B/S/S体系结构、SOA服务架构、XML技术、Web Service技术、RIA的Web技术、数据挖掘技术等先进技术进行平台设计。</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2、大数据分析能力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平台需具有功能完备的信息采集分析能力，为医疗卫生资源管理提供全面的决策支持。系统应具有较高的数据处理能力，满足用户</w:t>
      </w:r>
      <w:r>
        <w:rPr>
          <w:rFonts w:ascii="宋体" w:hAnsi="宋体" w:eastAsia="宋体"/>
          <w:color w:val="auto"/>
          <w:sz w:val="24"/>
          <w:szCs w:val="24"/>
          <w:highlight w:val="none"/>
        </w:rPr>
        <w:t>7*24小时的服务要求。</w:t>
      </w:r>
    </w:p>
    <w:p>
      <w:pPr>
        <w:pStyle w:val="7"/>
        <w:numPr>
          <w:ilvl w:val="1"/>
          <w:numId w:val="3"/>
        </w:numPr>
        <w:spacing w:line="360" w:lineRule="auto"/>
        <w:rPr>
          <w:rFonts w:ascii="宋体" w:hAnsi="宋体" w:eastAsia="宋体"/>
          <w:color w:val="auto"/>
          <w:sz w:val="24"/>
          <w:szCs w:val="24"/>
          <w:highlight w:val="none"/>
        </w:rPr>
      </w:pPr>
      <w:bookmarkStart w:id="7" w:name="_Toc21183151"/>
      <w:r>
        <w:rPr>
          <w:rFonts w:hint="eastAsia" w:ascii="宋体" w:hAnsi="宋体" w:eastAsia="宋体"/>
          <w:color w:val="auto"/>
          <w:sz w:val="24"/>
          <w:szCs w:val="24"/>
          <w:highlight w:val="none"/>
        </w:rPr>
        <w:t>软件系统功能需求</w:t>
      </w:r>
      <w:bookmarkEnd w:id="7"/>
    </w:p>
    <w:p>
      <w:pPr>
        <w:spacing w:after="240"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软件产品清单：</w:t>
      </w:r>
    </w:p>
    <w:tbl>
      <w:tblPr>
        <w:tblStyle w:val="29"/>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2126"/>
        <w:gridCol w:w="2977"/>
        <w:gridCol w:w="620"/>
        <w:gridCol w:w="656"/>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center"/>
          </w:tcPr>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序号</w:t>
            </w:r>
          </w:p>
        </w:tc>
        <w:tc>
          <w:tcPr>
            <w:tcW w:w="6379" w:type="dxa"/>
            <w:gridSpan w:val="3"/>
            <w:vAlign w:val="center"/>
          </w:tcPr>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货物名称</w:t>
            </w:r>
          </w:p>
        </w:tc>
        <w:tc>
          <w:tcPr>
            <w:tcW w:w="620" w:type="dxa"/>
            <w:vAlign w:val="center"/>
          </w:tcPr>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数量</w:t>
            </w:r>
          </w:p>
        </w:tc>
        <w:tc>
          <w:tcPr>
            <w:tcW w:w="656" w:type="dxa"/>
          </w:tcPr>
          <w:p>
            <w:pPr>
              <w:spacing w:line="360" w:lineRule="auto"/>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单位</w:t>
            </w:r>
          </w:p>
        </w:tc>
        <w:tc>
          <w:tcPr>
            <w:tcW w:w="567" w:type="dxa"/>
          </w:tcPr>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单价</w:t>
            </w:r>
          </w:p>
        </w:tc>
        <w:tc>
          <w:tcPr>
            <w:tcW w:w="567" w:type="dxa"/>
          </w:tcPr>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医共体信息平台软件</w:t>
            </w: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平台资源库</w:t>
            </w: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全员人口信息资源库</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电子病历资源库</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健康档案资源库</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基础信息资源库</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平台支撑组件</w:t>
            </w: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注册服务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健康档案整合服务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健康档案存储服务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健康档案管理服务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健康档案调阅服务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健康档案协同服务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数据仓库服务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元数据管理服务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信息安全与隐私服务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统一身份认证及集成门户</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数据交换平台</w:t>
            </w: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服务总线</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数据交换管理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数据交换平台</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1276"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健康档案浏览器</w:t>
            </w:r>
          </w:p>
        </w:tc>
        <w:tc>
          <w:tcPr>
            <w:tcW w:w="5103" w:type="dxa"/>
            <w:gridSpan w:val="2"/>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健康档案浏览器是为终端用户提供的基于 web 的访问个人电子健康记录的应用程序，采用 HTML 静态化健康档案页面的方式将居民的医疗卫生活动进行组装展示</w:t>
            </w:r>
            <w:r>
              <w:rPr>
                <w:rFonts w:hint="eastAsia" w:ascii="宋体" w:hAnsi="宋体" w:eastAsia="宋体"/>
                <w:color w:val="auto"/>
                <w:sz w:val="24"/>
                <w:szCs w:val="24"/>
                <w:highlight w:val="none"/>
              </w:rPr>
              <w:t>。</w:t>
            </w:r>
            <w:r>
              <w:rPr>
                <w:rFonts w:ascii="宋体" w:hAnsi="宋体" w:eastAsia="宋体"/>
                <w:color w:val="auto"/>
                <w:sz w:val="24"/>
                <w:szCs w:val="24"/>
                <w:highlight w:val="none"/>
              </w:rPr>
              <w:t>健康档案浏览器仅提供只读服务，无法修改数据</w:t>
            </w:r>
            <w:r>
              <w:rPr>
                <w:rFonts w:hint="eastAsia" w:ascii="宋体" w:hAnsi="宋体" w:eastAsia="宋体"/>
                <w:color w:val="auto"/>
                <w:sz w:val="24"/>
                <w:szCs w:val="24"/>
                <w:highlight w:val="none"/>
              </w:rPr>
              <w:t>。</w:t>
            </w:r>
          </w:p>
        </w:tc>
        <w:tc>
          <w:tcPr>
            <w:tcW w:w="620"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Align w:val="center"/>
          </w:tcPr>
          <w:p>
            <w:pPr>
              <w:spacing w:line="360" w:lineRule="auto"/>
              <w:jc w:val="center"/>
              <w:rPr>
                <w:rFonts w:ascii="宋体" w:hAnsi="宋体" w:eastAsia="宋体"/>
                <w:color w:val="auto"/>
                <w:sz w:val="24"/>
                <w:szCs w:val="24"/>
                <w:highlight w:val="none"/>
              </w:rPr>
            </w:pPr>
          </w:p>
        </w:tc>
        <w:tc>
          <w:tcPr>
            <w:tcW w:w="567" w:type="dxa"/>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1276"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医共体一卡通系统</w:t>
            </w:r>
          </w:p>
        </w:tc>
        <w:tc>
          <w:tcPr>
            <w:tcW w:w="5103" w:type="dxa"/>
            <w:gridSpan w:val="2"/>
            <w:vAlign w:val="center"/>
          </w:tcPr>
          <w:p>
            <w:pPr>
              <w:spacing w:line="360" w:lineRule="auto"/>
              <w:rPr>
                <w:rFonts w:ascii="宋体" w:hAnsi="宋体" w:eastAsia="宋体" w:cs="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建设医共体一卡通系统，</w:t>
            </w:r>
            <w:r>
              <w:rPr>
                <w:rFonts w:hint="eastAsia" w:ascii="宋体" w:hAnsi="宋体" w:eastAsia="宋体" w:cs="宋体"/>
                <w:color w:val="auto"/>
                <w:sz w:val="24"/>
                <w:szCs w:val="24"/>
                <w:highlight w:val="none"/>
              </w:rPr>
              <w:t>实现居民健康卡在医疗卫生领域的应用，有效共享居民信息、电子健康档案和电子病历信息，实现跨区域跨机构就医和费用结算，促进居民电子健康信息动态实时更新，强化个人健康与疾病监测管理，构建优化、规范、共享、互信的诊疗流程。</w:t>
            </w:r>
          </w:p>
          <w:p>
            <w:pPr>
              <w:spacing w:line="360" w:lineRule="auto"/>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医共体内居民与医疗机构之间、不同医疗机构之间、医疗机构与相关部门之间的信息互通共享，实现许昌市居民健康卡在医共体内各级医疗卫生机构内一卡通用和居民医疗卫生服务一卡通用。</w:t>
            </w:r>
          </w:p>
        </w:tc>
        <w:tc>
          <w:tcPr>
            <w:tcW w:w="620"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Align w:val="center"/>
          </w:tcPr>
          <w:p>
            <w:pPr>
              <w:spacing w:line="360" w:lineRule="auto"/>
              <w:jc w:val="center"/>
              <w:rPr>
                <w:rFonts w:ascii="宋体" w:hAnsi="宋体" w:eastAsia="宋体"/>
                <w:color w:val="auto"/>
                <w:sz w:val="24"/>
                <w:szCs w:val="24"/>
                <w:highlight w:val="none"/>
              </w:rPr>
            </w:pPr>
          </w:p>
        </w:tc>
        <w:tc>
          <w:tcPr>
            <w:tcW w:w="567" w:type="dxa"/>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分级诊疗平台</w:t>
            </w: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双向转诊</w:t>
            </w: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注册服务</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转诊条件管理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双向转诊管理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双向转诊考核管理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双向转诊统计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医疗服务业务协同应用</w:t>
            </w: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远程会诊系统</w:t>
            </w: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预约管理</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会诊管理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专家管理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会诊辅助管理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系统管理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远程诊疗业务管理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远程诊疗业务流程管理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远程影像诊断系统</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病人主索引服务</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中心端文档注册</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文档注册服务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文档索引查询服务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中心端存储管理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中心端系统管理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信息存储</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检查结果</w:t>
            </w:r>
            <w:r>
              <w:rPr>
                <w:rFonts w:ascii="宋体" w:hAnsi="宋体" w:eastAsia="宋体"/>
                <w:color w:val="auto"/>
                <w:sz w:val="24"/>
                <w:szCs w:val="24"/>
                <w:highlight w:val="none"/>
              </w:rPr>
              <w:t>(报告)共享和访问</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远程诊断协同</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影像系统托管服务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影像数据仓库</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6</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不良事件管理平台</w:t>
            </w:r>
          </w:p>
        </w:tc>
        <w:tc>
          <w:tcPr>
            <w:tcW w:w="5103" w:type="dxa"/>
            <w:gridSpan w:val="2"/>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单据填报</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5103" w:type="dxa"/>
            <w:gridSpan w:val="2"/>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交流反馈</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5103" w:type="dxa"/>
            <w:gridSpan w:val="2"/>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统计分析</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5103" w:type="dxa"/>
            <w:gridSpan w:val="2"/>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基础数据管理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7</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医共体办公平台</w:t>
            </w:r>
          </w:p>
        </w:tc>
        <w:tc>
          <w:tcPr>
            <w:tcW w:w="5103" w:type="dxa"/>
            <w:gridSpan w:val="2"/>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工作门户</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5103" w:type="dxa"/>
            <w:gridSpan w:val="2"/>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综合事务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5103" w:type="dxa"/>
            <w:gridSpan w:val="2"/>
            <w:vAlign w:val="center"/>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系统管理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8</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家庭医生签约服务平台</w:t>
            </w:r>
          </w:p>
        </w:tc>
        <w:tc>
          <w:tcPr>
            <w:tcW w:w="5103" w:type="dxa"/>
            <w:gridSpan w:val="2"/>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家庭医生签约服务申请与服务签订</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其中：★支持</w:t>
            </w:r>
            <w:r>
              <w:rPr>
                <w:rFonts w:ascii="宋体" w:hAnsi="宋体" w:eastAsia="宋体"/>
                <w:color w:val="auto"/>
                <w:sz w:val="24"/>
                <w:szCs w:val="24"/>
                <w:highlight w:val="none"/>
              </w:rPr>
              <w:t>诊间签约与诊间履约</w:t>
            </w:r>
            <w:r>
              <w:rPr>
                <w:rFonts w:hint="eastAsia" w:ascii="宋体" w:hAnsi="宋体" w:eastAsia="宋体"/>
                <w:color w:val="auto"/>
                <w:sz w:val="24"/>
                <w:szCs w:val="24"/>
                <w:highlight w:val="none"/>
              </w:rPr>
              <w:t>，</w:t>
            </w:r>
            <w:r>
              <w:rPr>
                <w:rFonts w:ascii="宋体" w:hAnsi="宋体" w:eastAsia="宋体"/>
                <w:color w:val="auto"/>
                <w:sz w:val="24"/>
                <w:szCs w:val="24"/>
                <w:highlight w:val="none"/>
              </w:rPr>
              <w:t>在就诊的过程中进行签约，同时在院内做的检验检查结果可以在家医系统中共享查看。签约模式支持以个人为单位的签约和以家庭为单位的签约。</w:t>
            </w:r>
            <w:r>
              <w:rPr>
                <w:rFonts w:hint="eastAsia" w:ascii="宋体" w:hAnsi="宋体" w:eastAsia="宋体"/>
                <w:color w:val="auto"/>
                <w:sz w:val="24"/>
                <w:szCs w:val="24"/>
                <w:highlight w:val="none"/>
              </w:rPr>
              <w:t>★</w:t>
            </w:r>
            <w:r>
              <w:rPr>
                <w:rFonts w:ascii="宋体" w:hAnsi="宋体" w:eastAsia="宋体"/>
                <w:color w:val="auto"/>
                <w:sz w:val="24"/>
                <w:szCs w:val="24"/>
                <w:highlight w:val="none"/>
              </w:rPr>
              <w:t>服务包</w:t>
            </w:r>
            <w:r>
              <w:rPr>
                <w:rFonts w:hint="eastAsia" w:ascii="宋体" w:hAnsi="宋体" w:eastAsia="宋体"/>
                <w:color w:val="auto"/>
                <w:sz w:val="24"/>
                <w:szCs w:val="24"/>
                <w:highlight w:val="none"/>
              </w:rPr>
              <w:t>支持</w:t>
            </w:r>
            <w:r>
              <w:rPr>
                <w:rFonts w:ascii="宋体" w:hAnsi="宋体" w:eastAsia="宋体"/>
                <w:color w:val="auto"/>
                <w:sz w:val="24"/>
                <w:szCs w:val="24"/>
                <w:highlight w:val="none"/>
              </w:rPr>
              <w:t>个性化定制</w:t>
            </w:r>
            <w:r>
              <w:rPr>
                <w:rFonts w:hint="eastAsia" w:ascii="宋体" w:hAnsi="宋体" w:eastAsia="宋体"/>
                <w:color w:val="auto"/>
                <w:sz w:val="24"/>
                <w:szCs w:val="24"/>
                <w:highlight w:val="none"/>
              </w:rPr>
              <w:t>，</w:t>
            </w:r>
            <w:r>
              <w:rPr>
                <w:rFonts w:ascii="宋体" w:hAnsi="宋体" w:eastAsia="宋体"/>
                <w:color w:val="auto"/>
                <w:sz w:val="24"/>
                <w:szCs w:val="24"/>
                <w:highlight w:val="none"/>
              </w:rPr>
              <w:t>根据不同人群定制不同的服务包。</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5103" w:type="dxa"/>
            <w:gridSpan w:val="2"/>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健康常识及惠民活动信息的发布</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5103" w:type="dxa"/>
            <w:gridSpan w:val="2"/>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签约服务包指引</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5103" w:type="dxa"/>
            <w:gridSpan w:val="2"/>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诊疗技术指南</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9</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慢性病管理平台</w:t>
            </w: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慢病管理系统</w:t>
            </w: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慢病筛查</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continue"/>
            <w:vAlign w:val="center"/>
          </w:tcPr>
          <w:p>
            <w:pPr>
              <w:spacing w:line="360" w:lineRule="auto"/>
              <w:jc w:val="center"/>
              <w:rPr>
                <w:rFonts w:hint="eastAsia"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健康评估</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治疗方案</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居民档案</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居民随访</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健康指导</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就医咨询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远程医疗协助</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双向转诊</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高血压辅助诊疗系统</w:t>
            </w:r>
          </w:p>
        </w:tc>
        <w:tc>
          <w:tcPr>
            <w:tcW w:w="2977" w:type="dxa"/>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★高血压人群筛查</w:t>
            </w:r>
          </w:p>
        </w:tc>
        <w:tc>
          <w:tcPr>
            <w:tcW w:w="620" w:type="dxa"/>
            <w:vMerge w:val="restart"/>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s="宋体"/>
                <w:color w:val="auto"/>
                <w:sz w:val="24"/>
                <w:szCs w:val="24"/>
                <w:highlight w:val="none"/>
              </w:rPr>
            </w:pPr>
          </w:p>
        </w:tc>
        <w:tc>
          <w:tcPr>
            <w:tcW w:w="567" w:type="dxa"/>
            <w:vMerge w:val="restart"/>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★病情评估</w:t>
            </w:r>
          </w:p>
        </w:tc>
        <w:tc>
          <w:tcPr>
            <w:tcW w:w="620" w:type="dxa"/>
            <w:vMerge w:val="continue"/>
            <w:vAlign w:val="center"/>
          </w:tcPr>
          <w:p>
            <w:pPr>
              <w:spacing w:line="360" w:lineRule="auto"/>
              <w:jc w:val="center"/>
              <w:rPr>
                <w:rFonts w:ascii="宋体" w:hAnsi="宋体" w:eastAsia="宋体" w:cs="宋体"/>
                <w:color w:val="auto"/>
                <w:sz w:val="24"/>
                <w:szCs w:val="24"/>
                <w:highlight w:val="none"/>
              </w:rPr>
            </w:pPr>
          </w:p>
        </w:tc>
        <w:tc>
          <w:tcPr>
            <w:tcW w:w="656"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★治疗干预</w:t>
            </w:r>
          </w:p>
        </w:tc>
        <w:tc>
          <w:tcPr>
            <w:tcW w:w="620" w:type="dxa"/>
            <w:vMerge w:val="continue"/>
            <w:vAlign w:val="center"/>
          </w:tcPr>
          <w:p>
            <w:pPr>
              <w:spacing w:line="360" w:lineRule="auto"/>
              <w:jc w:val="center"/>
              <w:rPr>
                <w:rFonts w:ascii="宋体" w:hAnsi="宋体" w:eastAsia="宋体" w:cs="宋体"/>
                <w:color w:val="auto"/>
                <w:sz w:val="24"/>
                <w:szCs w:val="24"/>
                <w:highlight w:val="none"/>
              </w:rPr>
            </w:pPr>
          </w:p>
        </w:tc>
        <w:tc>
          <w:tcPr>
            <w:tcW w:w="656"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★随访服务</w:t>
            </w:r>
          </w:p>
        </w:tc>
        <w:tc>
          <w:tcPr>
            <w:tcW w:w="620" w:type="dxa"/>
            <w:vMerge w:val="continue"/>
            <w:vAlign w:val="center"/>
          </w:tcPr>
          <w:p>
            <w:pPr>
              <w:spacing w:line="360" w:lineRule="auto"/>
              <w:jc w:val="center"/>
              <w:rPr>
                <w:rFonts w:ascii="宋体" w:hAnsi="宋体" w:eastAsia="宋体" w:cs="宋体"/>
                <w:color w:val="auto"/>
                <w:sz w:val="24"/>
                <w:szCs w:val="24"/>
                <w:highlight w:val="none"/>
              </w:rPr>
            </w:pPr>
          </w:p>
        </w:tc>
        <w:tc>
          <w:tcPr>
            <w:tcW w:w="656"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★健康报告</w:t>
            </w:r>
          </w:p>
        </w:tc>
        <w:tc>
          <w:tcPr>
            <w:tcW w:w="620" w:type="dxa"/>
            <w:vMerge w:val="continue"/>
            <w:vAlign w:val="center"/>
          </w:tcPr>
          <w:p>
            <w:pPr>
              <w:spacing w:line="360" w:lineRule="auto"/>
              <w:jc w:val="center"/>
              <w:rPr>
                <w:rFonts w:ascii="宋体" w:hAnsi="宋体" w:eastAsia="宋体" w:cs="宋体"/>
                <w:color w:val="auto"/>
                <w:sz w:val="24"/>
                <w:szCs w:val="24"/>
                <w:highlight w:val="none"/>
              </w:rPr>
            </w:pPr>
          </w:p>
        </w:tc>
        <w:tc>
          <w:tcPr>
            <w:tcW w:w="656"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糖尿病辅助诊疗系统</w:t>
            </w:r>
          </w:p>
        </w:tc>
        <w:tc>
          <w:tcPr>
            <w:tcW w:w="2977"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★糖尿病人群筛查</w:t>
            </w:r>
          </w:p>
        </w:tc>
        <w:tc>
          <w:tcPr>
            <w:tcW w:w="620" w:type="dxa"/>
            <w:vMerge w:val="restart"/>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s="宋体"/>
                <w:color w:val="auto"/>
                <w:sz w:val="24"/>
                <w:szCs w:val="24"/>
                <w:highlight w:val="none"/>
              </w:rPr>
            </w:pPr>
          </w:p>
        </w:tc>
        <w:tc>
          <w:tcPr>
            <w:tcW w:w="567" w:type="dxa"/>
            <w:vMerge w:val="restart"/>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★病情评估</w:t>
            </w:r>
          </w:p>
        </w:tc>
        <w:tc>
          <w:tcPr>
            <w:tcW w:w="620" w:type="dxa"/>
            <w:vMerge w:val="continue"/>
            <w:vAlign w:val="center"/>
          </w:tcPr>
          <w:p>
            <w:pPr>
              <w:spacing w:line="360" w:lineRule="auto"/>
              <w:jc w:val="center"/>
              <w:rPr>
                <w:rFonts w:ascii="宋体" w:hAnsi="宋体" w:eastAsia="宋体" w:cs="宋体"/>
                <w:color w:val="auto"/>
                <w:sz w:val="24"/>
                <w:szCs w:val="24"/>
                <w:highlight w:val="none"/>
              </w:rPr>
            </w:pPr>
          </w:p>
        </w:tc>
        <w:tc>
          <w:tcPr>
            <w:tcW w:w="656"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★治疗干预</w:t>
            </w:r>
          </w:p>
        </w:tc>
        <w:tc>
          <w:tcPr>
            <w:tcW w:w="620" w:type="dxa"/>
            <w:vMerge w:val="continue"/>
            <w:vAlign w:val="center"/>
          </w:tcPr>
          <w:p>
            <w:pPr>
              <w:spacing w:line="360" w:lineRule="auto"/>
              <w:jc w:val="center"/>
              <w:rPr>
                <w:rFonts w:ascii="宋体" w:hAnsi="宋体" w:eastAsia="宋体" w:cs="宋体"/>
                <w:color w:val="auto"/>
                <w:sz w:val="24"/>
                <w:szCs w:val="24"/>
                <w:highlight w:val="none"/>
              </w:rPr>
            </w:pPr>
          </w:p>
        </w:tc>
        <w:tc>
          <w:tcPr>
            <w:tcW w:w="656"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★随访服务</w:t>
            </w:r>
          </w:p>
        </w:tc>
        <w:tc>
          <w:tcPr>
            <w:tcW w:w="620" w:type="dxa"/>
            <w:vMerge w:val="continue"/>
            <w:vAlign w:val="center"/>
          </w:tcPr>
          <w:p>
            <w:pPr>
              <w:spacing w:line="360" w:lineRule="auto"/>
              <w:jc w:val="center"/>
              <w:rPr>
                <w:rFonts w:ascii="宋体" w:hAnsi="宋体" w:eastAsia="宋体" w:cs="宋体"/>
                <w:color w:val="auto"/>
                <w:sz w:val="24"/>
                <w:szCs w:val="24"/>
                <w:highlight w:val="none"/>
              </w:rPr>
            </w:pPr>
          </w:p>
        </w:tc>
        <w:tc>
          <w:tcPr>
            <w:tcW w:w="656"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olor w:val="auto"/>
                <w:sz w:val="24"/>
                <w:szCs w:val="24"/>
                <w:highlight w:val="none"/>
              </w:rPr>
              <w:t>★健康报告</w:t>
            </w:r>
          </w:p>
        </w:tc>
        <w:tc>
          <w:tcPr>
            <w:tcW w:w="620" w:type="dxa"/>
            <w:vMerge w:val="continue"/>
            <w:vAlign w:val="center"/>
          </w:tcPr>
          <w:p>
            <w:pPr>
              <w:spacing w:line="360" w:lineRule="auto"/>
              <w:jc w:val="center"/>
              <w:rPr>
                <w:rFonts w:ascii="宋体" w:hAnsi="宋体" w:eastAsia="宋体" w:cs="宋体"/>
                <w:color w:val="auto"/>
                <w:sz w:val="24"/>
                <w:szCs w:val="24"/>
                <w:highlight w:val="none"/>
              </w:rPr>
            </w:pPr>
          </w:p>
        </w:tc>
        <w:tc>
          <w:tcPr>
            <w:tcW w:w="656"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c>
          <w:tcPr>
            <w:tcW w:w="567" w:type="dxa"/>
            <w:vMerge w:val="continue"/>
            <w:vAlign w:val="center"/>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10</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基层医疗卫生机构信息化建设</w:t>
            </w: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基层医院信息管理系统（基层H</w:t>
            </w:r>
            <w:r>
              <w:rPr>
                <w:rFonts w:ascii="宋体" w:hAnsi="宋体" w:eastAsia="宋体"/>
                <w:color w:val="auto"/>
                <w:sz w:val="24"/>
                <w:szCs w:val="24"/>
                <w:highlight w:val="none"/>
              </w:rPr>
              <w:t>IS</w:t>
            </w:r>
            <w:r>
              <w:rPr>
                <w:rFonts w:hint="eastAsia" w:ascii="宋体" w:hAnsi="宋体" w:eastAsia="宋体"/>
                <w:color w:val="auto"/>
                <w:sz w:val="24"/>
                <w:szCs w:val="24"/>
                <w:highlight w:val="none"/>
              </w:rPr>
              <w:t>）</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门急诊挂号收费</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门急诊划价收费</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药库管理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门诊药房管理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住院药房管理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出入院管理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门诊医生站</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住院医生站</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住院护士工作站</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物资管理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设备管理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院长查询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医疗保险接口</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手术费用管理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患者费用管理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基层检验系统（基层L</w:t>
            </w:r>
            <w:r>
              <w:rPr>
                <w:rFonts w:ascii="宋体" w:hAnsi="宋体" w:eastAsia="宋体"/>
                <w:color w:val="auto"/>
                <w:sz w:val="24"/>
                <w:szCs w:val="24"/>
                <w:highlight w:val="none"/>
              </w:rPr>
              <w:t>IS</w:t>
            </w:r>
            <w:r>
              <w:rPr>
                <w:rFonts w:hint="eastAsia" w:ascii="宋体" w:hAnsi="宋体" w:eastAsia="宋体"/>
                <w:color w:val="auto"/>
                <w:sz w:val="24"/>
                <w:szCs w:val="24"/>
                <w:highlight w:val="none"/>
              </w:rPr>
              <w:t>）</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检验</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质控</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查询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系统维护</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系统设置</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试剂管理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基层影像系统（基层P</w:t>
            </w:r>
            <w:r>
              <w:rPr>
                <w:rFonts w:ascii="宋体" w:hAnsi="宋体" w:eastAsia="宋体"/>
                <w:color w:val="auto"/>
                <w:sz w:val="24"/>
                <w:szCs w:val="24"/>
                <w:highlight w:val="none"/>
              </w:rPr>
              <w:t>ACS</w:t>
            </w:r>
            <w:r>
              <w:rPr>
                <w:rFonts w:hint="eastAsia" w:ascii="宋体" w:hAnsi="宋体" w:eastAsia="宋体"/>
                <w:color w:val="auto"/>
                <w:sz w:val="24"/>
                <w:szCs w:val="24"/>
                <w:highlight w:val="none"/>
              </w:rPr>
              <w:t>）</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登记</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检查</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报告</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查询统计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系统设置</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图像浏览器</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基层电子病历系统（基层E</w:t>
            </w:r>
            <w:r>
              <w:rPr>
                <w:rFonts w:ascii="宋体" w:hAnsi="宋体" w:eastAsia="宋体"/>
                <w:color w:val="auto"/>
                <w:sz w:val="24"/>
                <w:szCs w:val="24"/>
                <w:highlight w:val="none"/>
              </w:rPr>
              <w:t>MR</w:t>
            </w:r>
            <w:r>
              <w:rPr>
                <w:rFonts w:hint="eastAsia" w:ascii="宋体" w:hAnsi="宋体" w:eastAsia="宋体"/>
                <w:color w:val="auto"/>
                <w:sz w:val="24"/>
                <w:szCs w:val="24"/>
                <w:highlight w:val="none"/>
              </w:rPr>
              <w:t>）</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患者管理</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6</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常用查询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其他查询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公用项目</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患者信息</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病历书写</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电子申请单</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交班报告</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乡医工作站系统</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患者诊治</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65</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慢病管理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公共卫生管理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1</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公共卫生系统</w:t>
            </w: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基本公共卫生服务</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健康档案</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儿童保健</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妇女保健</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疾病管理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老年管理</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疾病控制</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健康教育</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统计报表</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★慢病提醒</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2</w:t>
            </w:r>
          </w:p>
        </w:tc>
        <w:tc>
          <w:tcPr>
            <w:tcW w:w="1276"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公共卫生考核结算系统</w:t>
            </w:r>
          </w:p>
        </w:tc>
        <w:tc>
          <w:tcPr>
            <w:tcW w:w="5103" w:type="dxa"/>
            <w:gridSpan w:val="2"/>
            <w:vAlign w:val="center"/>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对基本公共卫生服务所有服务项目细化分析，按照统一的编码规范进行</w:t>
            </w:r>
            <w:r>
              <w:rPr>
                <w:rFonts w:hint="eastAsia" w:ascii="宋体" w:hAnsi="宋体" w:eastAsia="宋体"/>
                <w:color w:val="auto"/>
                <w:sz w:val="24"/>
                <w:szCs w:val="24"/>
                <w:highlight w:val="none"/>
              </w:rPr>
              <w:t>四</w:t>
            </w:r>
            <w:r>
              <w:rPr>
                <w:rFonts w:ascii="宋体" w:hAnsi="宋体" w:eastAsia="宋体"/>
                <w:color w:val="auto"/>
                <w:sz w:val="24"/>
                <w:szCs w:val="24"/>
                <w:highlight w:val="none"/>
              </w:rPr>
              <w:t>级编码，</w:t>
            </w:r>
            <w:r>
              <w:rPr>
                <w:rFonts w:hint="eastAsia" w:ascii="宋体" w:hAnsi="宋体" w:eastAsia="宋体"/>
                <w:color w:val="auto"/>
                <w:sz w:val="24"/>
                <w:szCs w:val="24"/>
                <w:highlight w:val="none"/>
              </w:rPr>
              <w:t>实现标准化工分。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为每位基层医疗卫生人员进行统一身份识别编码</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r>
              <w:rPr>
                <w:rFonts w:hint="eastAsia" w:ascii="宋体" w:hAnsi="宋体" w:eastAsia="宋体"/>
                <w:color w:val="auto"/>
                <w:sz w:val="24"/>
                <w:szCs w:val="24"/>
                <w:highlight w:val="none"/>
              </w:rPr>
              <w:t>支持通过身份证刷卡和人脸识别功能</w:t>
            </w:r>
            <w:r>
              <w:rPr>
                <w:rFonts w:ascii="宋体" w:hAnsi="宋体" w:eastAsia="宋体"/>
                <w:color w:val="auto"/>
                <w:sz w:val="24"/>
                <w:szCs w:val="24"/>
                <w:highlight w:val="none"/>
              </w:rPr>
              <w:t>，校验信息系统记录医务人员的工作量的真实性。</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3.从组织管理、资金管理、项目执行、项目效果四个角度分析，从系统量化考核、评价考核、专家组考核三个维度进行综合考核得出考核成绩，从三个维度计算考核权重。</w:t>
            </w:r>
          </w:p>
          <w:p>
            <w:pPr>
              <w:spacing w:line="360" w:lineRule="auto"/>
              <w:jc w:val="left"/>
              <w:rPr>
                <w:rFonts w:ascii="宋体" w:hAnsi="宋体" w:eastAsia="宋体" w:cs="Times New Roman"/>
                <w:color w:val="auto"/>
                <w:kern w:val="0"/>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申请到的基本公共卫生服务专项资金，</w:t>
            </w:r>
            <w:r>
              <w:rPr>
                <w:rFonts w:hint="eastAsia" w:ascii="宋体" w:hAnsi="宋体" w:eastAsia="宋体"/>
                <w:color w:val="auto"/>
                <w:sz w:val="24"/>
                <w:szCs w:val="24"/>
                <w:highlight w:val="none"/>
              </w:rPr>
              <w:t>按照工分值分配服务资金，体现多劳多得，不再简单的按照机构人员和支出水平核拨资金。</w:t>
            </w:r>
          </w:p>
        </w:tc>
        <w:tc>
          <w:tcPr>
            <w:tcW w:w="620" w:type="dxa"/>
            <w:vAlign w:val="center"/>
          </w:tcPr>
          <w:p>
            <w:pPr>
              <w:spacing w:line="360" w:lineRule="auto"/>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656" w:type="dxa"/>
            <w:vAlign w:val="center"/>
          </w:tcPr>
          <w:p>
            <w:pPr>
              <w:spacing w:line="360" w:lineRule="auto"/>
              <w:jc w:val="center"/>
              <w:rPr>
                <w:rFonts w:hint="eastAsia" w:ascii="宋体" w:hAnsi="宋体" w:eastAsia="宋体" w:cs="Times New Roman"/>
                <w:color w:val="auto"/>
                <w:kern w:val="0"/>
                <w:sz w:val="24"/>
                <w:szCs w:val="24"/>
                <w:highlight w:val="none"/>
              </w:rPr>
            </w:pPr>
            <w:r>
              <w:rPr>
                <w:rFonts w:hint="eastAsia" w:ascii="宋体" w:hAnsi="宋体" w:eastAsia="宋体"/>
                <w:color w:val="auto"/>
                <w:sz w:val="24"/>
                <w:szCs w:val="24"/>
                <w:highlight w:val="none"/>
                <w:lang w:eastAsia="zh-CN"/>
              </w:rPr>
              <w:t>套</w:t>
            </w:r>
          </w:p>
        </w:tc>
        <w:tc>
          <w:tcPr>
            <w:tcW w:w="567" w:type="dxa"/>
            <w:vAlign w:val="center"/>
          </w:tcPr>
          <w:p>
            <w:pPr>
              <w:spacing w:line="360" w:lineRule="auto"/>
              <w:jc w:val="center"/>
              <w:rPr>
                <w:rFonts w:ascii="宋体" w:hAnsi="宋体" w:eastAsia="宋体" w:cs="Times New Roman"/>
                <w:color w:val="auto"/>
                <w:kern w:val="0"/>
                <w:sz w:val="24"/>
                <w:szCs w:val="24"/>
                <w:highlight w:val="none"/>
              </w:rPr>
            </w:pPr>
          </w:p>
        </w:tc>
        <w:tc>
          <w:tcPr>
            <w:tcW w:w="567" w:type="dxa"/>
            <w:vAlign w:val="center"/>
          </w:tcPr>
          <w:p>
            <w:pPr>
              <w:spacing w:line="360" w:lineRule="auto"/>
              <w:jc w:val="center"/>
              <w:rPr>
                <w:rFonts w:ascii="宋体" w:hAnsi="宋体"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3</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卫生统计决策分析系统</w:t>
            </w:r>
          </w:p>
        </w:tc>
        <w:tc>
          <w:tcPr>
            <w:tcW w:w="2126"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医疗服务监管</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通过医疗业务数据的统计分析，为领导层决策提供辅助支撑功能，建立全面数据分析支撑平台对数据进行统计分析，支持大屏数据展示。</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公共卫生服务监管</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通过对公共卫生业务数据的统计分析，为领导层决策提供辅助支撑功能，建立全面数据分析支撑平台对数据进行统计分析，支持大屏数据展示。</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62"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4</w:t>
            </w:r>
          </w:p>
        </w:tc>
        <w:tc>
          <w:tcPr>
            <w:tcW w:w="1276"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微信公众号服务平台</w:t>
            </w:r>
          </w:p>
        </w:tc>
        <w:tc>
          <w:tcPr>
            <w:tcW w:w="2126" w:type="dxa"/>
            <w:vMerge w:val="restart"/>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健康襄城智能服务系统</w:t>
            </w: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电子健康卡</w:t>
            </w:r>
          </w:p>
        </w:tc>
        <w:tc>
          <w:tcPr>
            <w:tcW w:w="620" w:type="dxa"/>
            <w:vMerge w:val="restart"/>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Merge w:val="restart"/>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Merge w:val="restart"/>
            <w:vAlign w:val="center"/>
          </w:tcPr>
          <w:p>
            <w:pPr>
              <w:spacing w:line="360" w:lineRule="auto"/>
              <w:jc w:val="center"/>
              <w:rPr>
                <w:rFonts w:ascii="宋体" w:hAnsi="宋体" w:eastAsia="宋体"/>
                <w:color w:val="auto"/>
                <w:sz w:val="24"/>
                <w:szCs w:val="24"/>
                <w:highlight w:val="none"/>
              </w:rPr>
            </w:pPr>
          </w:p>
        </w:tc>
        <w:tc>
          <w:tcPr>
            <w:tcW w:w="567" w:type="dxa"/>
            <w:vMerge w:val="restart"/>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绑定就诊卡</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网上预约</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自助分诊取号</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就诊卡充值</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门诊缴费</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门诊导引助手</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预约检查</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检验报告提醒</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检查报告提醒</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检验报告查询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检查报告查询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门诊费用查询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满意度调查</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住院预交金补缴</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住院费用查询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住院宣教</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报告查询</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★家庭医生签约</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★妇幼保健</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★网络问诊</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562" w:type="dxa"/>
            <w:vMerge w:val="continue"/>
            <w:vAlign w:val="center"/>
          </w:tcPr>
          <w:p>
            <w:pPr>
              <w:spacing w:line="360" w:lineRule="auto"/>
              <w:jc w:val="center"/>
              <w:rPr>
                <w:rFonts w:ascii="宋体" w:hAnsi="宋体" w:eastAsia="宋体"/>
                <w:color w:val="auto"/>
                <w:sz w:val="24"/>
                <w:szCs w:val="24"/>
                <w:highlight w:val="none"/>
              </w:rPr>
            </w:pPr>
          </w:p>
        </w:tc>
        <w:tc>
          <w:tcPr>
            <w:tcW w:w="1276" w:type="dxa"/>
            <w:vMerge w:val="continue"/>
            <w:vAlign w:val="center"/>
          </w:tcPr>
          <w:p>
            <w:pPr>
              <w:spacing w:line="360" w:lineRule="auto"/>
              <w:jc w:val="center"/>
              <w:rPr>
                <w:rFonts w:ascii="宋体" w:hAnsi="宋体" w:eastAsia="宋体"/>
                <w:color w:val="auto"/>
                <w:sz w:val="24"/>
                <w:szCs w:val="24"/>
                <w:highlight w:val="none"/>
              </w:rPr>
            </w:pPr>
          </w:p>
        </w:tc>
        <w:tc>
          <w:tcPr>
            <w:tcW w:w="2126" w:type="dxa"/>
            <w:vMerge w:val="continue"/>
            <w:vAlign w:val="center"/>
          </w:tcPr>
          <w:p>
            <w:pPr>
              <w:spacing w:line="360" w:lineRule="auto"/>
              <w:jc w:val="left"/>
              <w:rPr>
                <w:rFonts w:ascii="宋体" w:hAnsi="宋体" w:eastAsia="宋体"/>
                <w:color w:val="auto"/>
                <w:sz w:val="24"/>
                <w:szCs w:val="24"/>
                <w:highlight w:val="none"/>
              </w:rPr>
            </w:pPr>
          </w:p>
        </w:tc>
        <w:tc>
          <w:tcPr>
            <w:tcW w:w="2977" w:type="dxa"/>
            <w:vAlign w:val="center"/>
          </w:tcPr>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健康档案</w:t>
            </w:r>
          </w:p>
        </w:tc>
        <w:tc>
          <w:tcPr>
            <w:tcW w:w="620" w:type="dxa"/>
            <w:vMerge w:val="continue"/>
            <w:vAlign w:val="center"/>
          </w:tcPr>
          <w:p>
            <w:pPr>
              <w:spacing w:line="360" w:lineRule="auto"/>
              <w:jc w:val="center"/>
              <w:rPr>
                <w:rFonts w:ascii="宋体" w:hAnsi="宋体" w:eastAsia="宋体"/>
                <w:color w:val="auto"/>
                <w:sz w:val="24"/>
                <w:szCs w:val="24"/>
                <w:highlight w:val="none"/>
              </w:rPr>
            </w:pPr>
          </w:p>
        </w:tc>
        <w:tc>
          <w:tcPr>
            <w:tcW w:w="656"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c>
          <w:tcPr>
            <w:tcW w:w="567" w:type="dxa"/>
            <w:vMerge w:val="continue"/>
            <w:vAlign w:val="center"/>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2"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5</w:t>
            </w:r>
          </w:p>
        </w:tc>
        <w:tc>
          <w:tcPr>
            <w:tcW w:w="1276"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接口</w:t>
            </w:r>
          </w:p>
        </w:tc>
        <w:tc>
          <w:tcPr>
            <w:tcW w:w="5103" w:type="dxa"/>
            <w:gridSpan w:val="2"/>
            <w:vAlign w:val="center"/>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1、预留与外部监管系统对接的接口。</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、支持与许昌市居民一卡通平台的对接，实现医共体信息平台与许昌市居民一卡通平台间居民健康卡信息互联共享。</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预留与医共体内各县级医疗机构的对接接口。平台应预留开放的数据接口，能够提供平台接口文档，便于襄城县人民医院、襄城县第二人民医院、襄城县中医院、襄城县妇幼保健院、龙耀医院等二级医院信息化系统与平台进行对接，以实现与医共体信息平台间医疗卫生信息的互联互通和数据共享。</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、支持</w:t>
            </w:r>
            <w:r>
              <w:rPr>
                <w:rFonts w:ascii="宋体" w:hAnsi="宋体" w:eastAsia="宋体"/>
                <w:color w:val="auto"/>
                <w:sz w:val="24"/>
                <w:szCs w:val="24"/>
                <w:highlight w:val="none"/>
              </w:rPr>
              <w:t>与基层医疗</w:t>
            </w:r>
            <w:r>
              <w:rPr>
                <w:rFonts w:hint="eastAsia" w:ascii="宋体" w:hAnsi="宋体" w:eastAsia="宋体"/>
                <w:color w:val="auto"/>
                <w:sz w:val="24"/>
                <w:szCs w:val="24"/>
                <w:highlight w:val="none"/>
              </w:rPr>
              <w:t>卫生</w:t>
            </w:r>
            <w:r>
              <w:rPr>
                <w:rFonts w:ascii="宋体" w:hAnsi="宋体" w:eastAsia="宋体"/>
                <w:color w:val="auto"/>
                <w:sz w:val="24"/>
                <w:szCs w:val="24"/>
                <w:highlight w:val="none"/>
              </w:rPr>
              <w:t>机构信息系统进行对接，实现与各乡镇</w:t>
            </w:r>
            <w:r>
              <w:rPr>
                <w:rFonts w:hint="eastAsia" w:ascii="宋体" w:hAnsi="宋体" w:eastAsia="宋体"/>
                <w:color w:val="auto"/>
                <w:sz w:val="24"/>
                <w:szCs w:val="24"/>
                <w:highlight w:val="none"/>
              </w:rPr>
              <w:t>卫生院</w:t>
            </w:r>
            <w:r>
              <w:rPr>
                <w:rFonts w:ascii="宋体" w:hAnsi="宋体" w:eastAsia="宋体"/>
                <w:color w:val="auto"/>
                <w:sz w:val="24"/>
                <w:szCs w:val="24"/>
                <w:highlight w:val="none"/>
              </w:rPr>
              <w:t>、村</w:t>
            </w:r>
            <w:r>
              <w:rPr>
                <w:rFonts w:hint="eastAsia" w:ascii="宋体" w:hAnsi="宋体" w:eastAsia="宋体"/>
                <w:color w:val="auto"/>
                <w:sz w:val="24"/>
                <w:szCs w:val="24"/>
                <w:highlight w:val="none"/>
              </w:rPr>
              <w:t>卫生室等基层</w:t>
            </w:r>
            <w:r>
              <w:rPr>
                <w:rFonts w:ascii="宋体" w:hAnsi="宋体" w:eastAsia="宋体"/>
                <w:color w:val="auto"/>
                <w:sz w:val="24"/>
                <w:szCs w:val="24"/>
                <w:highlight w:val="none"/>
              </w:rPr>
              <w:t>医疗</w:t>
            </w:r>
            <w:r>
              <w:rPr>
                <w:rFonts w:hint="eastAsia" w:ascii="宋体" w:hAnsi="宋体" w:eastAsia="宋体"/>
                <w:color w:val="auto"/>
                <w:sz w:val="24"/>
                <w:szCs w:val="24"/>
                <w:highlight w:val="none"/>
              </w:rPr>
              <w:t>卫生</w:t>
            </w:r>
            <w:r>
              <w:rPr>
                <w:rFonts w:ascii="宋体" w:hAnsi="宋体" w:eastAsia="宋体"/>
                <w:color w:val="auto"/>
                <w:sz w:val="24"/>
                <w:szCs w:val="24"/>
                <w:highlight w:val="none"/>
              </w:rPr>
              <w:t>机构信息系统</w:t>
            </w:r>
            <w:r>
              <w:rPr>
                <w:rFonts w:hint="eastAsia" w:ascii="宋体" w:hAnsi="宋体" w:eastAsia="宋体"/>
                <w:color w:val="auto"/>
                <w:sz w:val="24"/>
                <w:szCs w:val="24"/>
                <w:highlight w:val="none"/>
              </w:rPr>
              <w:t>进行对接，以实现与医共体信息平台间医疗卫生信息的互联互通和数据共享。</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、支持与医保系统的对接接口，与医共体内各乡镇卫生院、村卫生室等基层医疗卫生进行对接，实时或定时的与医保部门交换数据，实现医保、新农合的即时报销。</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、乡镇卫生院</w:t>
            </w:r>
            <w:r>
              <w:rPr>
                <w:rFonts w:ascii="宋体" w:hAnsi="宋体" w:eastAsia="宋体"/>
                <w:color w:val="auto"/>
                <w:sz w:val="24"/>
                <w:szCs w:val="24"/>
                <w:highlight w:val="none"/>
              </w:rPr>
              <w:t>信息系统</w:t>
            </w:r>
            <w:r>
              <w:rPr>
                <w:rFonts w:hint="eastAsia" w:ascii="宋体" w:hAnsi="宋体" w:eastAsia="宋体"/>
                <w:color w:val="auto"/>
                <w:sz w:val="24"/>
                <w:szCs w:val="24"/>
                <w:highlight w:val="none"/>
              </w:rPr>
              <w:t>支持与乡镇卫生院内检验、影像设备的对接，实现与检验、影像等设备间的数据交互。</w:t>
            </w:r>
          </w:p>
        </w:tc>
        <w:tc>
          <w:tcPr>
            <w:tcW w:w="620"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656" w:type="dxa"/>
            <w:vAlign w:val="center"/>
          </w:tcPr>
          <w:p>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套</w:t>
            </w:r>
          </w:p>
        </w:tc>
        <w:tc>
          <w:tcPr>
            <w:tcW w:w="567" w:type="dxa"/>
            <w:vAlign w:val="center"/>
          </w:tcPr>
          <w:p>
            <w:pPr>
              <w:spacing w:line="360" w:lineRule="auto"/>
              <w:jc w:val="center"/>
              <w:rPr>
                <w:rFonts w:ascii="宋体" w:hAnsi="宋体" w:eastAsia="宋体"/>
                <w:color w:val="auto"/>
                <w:sz w:val="24"/>
                <w:szCs w:val="24"/>
                <w:highlight w:val="none"/>
              </w:rPr>
            </w:pPr>
          </w:p>
        </w:tc>
        <w:tc>
          <w:tcPr>
            <w:tcW w:w="567" w:type="dxa"/>
            <w:vAlign w:val="center"/>
          </w:tcPr>
          <w:p>
            <w:pPr>
              <w:spacing w:line="360" w:lineRule="auto"/>
              <w:jc w:val="center"/>
              <w:rPr>
                <w:rFonts w:ascii="宋体" w:hAnsi="宋体" w:eastAsia="宋体"/>
                <w:color w:val="auto"/>
                <w:sz w:val="24"/>
                <w:szCs w:val="24"/>
                <w:highlight w:val="none"/>
              </w:rPr>
            </w:pPr>
          </w:p>
        </w:tc>
      </w:tr>
    </w:tbl>
    <w:p>
      <w:pPr>
        <w:pStyle w:val="8"/>
        <w:numPr>
          <w:ilvl w:val="2"/>
          <w:numId w:val="3"/>
        </w:numPr>
        <w:spacing w:line="360" w:lineRule="auto"/>
        <w:jc w:val="left"/>
        <w:rPr>
          <w:rFonts w:ascii="宋体" w:hAnsi="宋体" w:eastAsia="宋体"/>
          <w:color w:val="auto"/>
          <w:sz w:val="24"/>
          <w:szCs w:val="24"/>
          <w:highlight w:val="none"/>
        </w:rPr>
      </w:pPr>
      <w:bookmarkStart w:id="8" w:name="_Toc21183152"/>
      <w:r>
        <w:rPr>
          <w:rFonts w:ascii="宋体" w:hAnsi="宋体" w:eastAsia="宋体"/>
          <w:color w:val="auto"/>
          <w:spacing w:val="15"/>
          <w:sz w:val="24"/>
          <w:szCs w:val="24"/>
          <w:highlight w:val="none"/>
        </w:rPr>
        <w:t>医共体信息平台建</w:t>
      </w:r>
      <w:r>
        <w:rPr>
          <w:rFonts w:ascii="宋体" w:hAnsi="宋体" w:eastAsia="宋体"/>
          <w:color w:val="auto"/>
          <w:sz w:val="24"/>
          <w:szCs w:val="24"/>
          <w:highlight w:val="none"/>
        </w:rPr>
        <w:t>设</w:t>
      </w:r>
      <w:bookmarkEnd w:id="8"/>
    </w:p>
    <w:p>
      <w:pPr>
        <w:pStyle w:val="9"/>
        <w:numPr>
          <w:ilvl w:val="3"/>
          <w:numId w:val="3"/>
        </w:numPr>
        <w:spacing w:line="360" w:lineRule="auto"/>
        <w:rPr>
          <w:rFonts w:ascii="宋体" w:hAnsi="宋体"/>
          <w:color w:val="auto"/>
          <w:sz w:val="24"/>
          <w:szCs w:val="24"/>
          <w:highlight w:val="none"/>
        </w:rPr>
      </w:pPr>
      <w:r>
        <w:rPr>
          <w:rFonts w:ascii="宋体" w:hAnsi="宋体"/>
          <w:color w:val="auto"/>
          <w:sz w:val="24"/>
          <w:szCs w:val="24"/>
          <w:highlight w:val="none"/>
        </w:rPr>
        <w:t>平台资源库</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建设全员人口信息资源库、健康档案资源库、电子病历资源库、基础信息资源库等四大资源库，支撑医共体内各医疗卫生机构全面实时掌握动态信息，实现各业务系统信息共享和业务协同。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全员人口信息资源库</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全员人口信息资源库包括居民基本信息、社保信息、住房信息、居民诚信信息等，作为电子健康档案数据库和电子病历数据库的基础信息。</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1.居民信息采集服务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建立居民统筹管理信息库并通过信息处理形成正式的居民个案数据库。包括基层采集服务、办事采集服务两部分。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2．居民信息质量控制服务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通过异地交流核对、信息比对、信息分拣和信息确认以及逻辑质量审核等对采集到的居民信息原始数据进行整合、质量控制和最终确认。包括信息交流协助服务、信息整合服务、信息校核与反馈服务。</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3．基础数据管理服务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获取基础地址信息，以作为维护居民信息的基础，包括：区划管理服务等。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电子病历资源库</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采集医共体内各医疗卫生机构的电子病历数据，建立标准统一、规范的电子病历资源库，包括电子病历资源库数据内容建设、基础数据管理、数据对接、数据提取、数据重组和区域医疗服务共享。</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.基础数据管理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基础数据的管理功能包括数据存储、备份等。</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.数据对接</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数据对接指的是对接医共体内各医疗卫生机构的电子病历索引信息并进行数据校验。电子病历资源库在接收到采集过来的数据后，为确保数据的完整性将对电子病历数据进行完整性校验。</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.数据提取</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基于CDA的电子病历文档，提取其中的数据进行结构化存储，得到电子病历资源库。</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.数据重组</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基于电子病历资源库的结构化数据，进行基于主题的数据资源重组，进行必要的转化、整理存入数据仓库。</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.医共体医疗服务共享</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医共体医疗服务共享基于医共体信息平台提供的权限验证服务、审计日志、WEB 层安全控制、数据安全控制、安全与隐私服务等安全审计服务的支撑下实现医共体内电子病历(包含诊疗、检验检查信息)共享服务。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健康档案资源库</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跨越医共体内不同的机构和系统，在不同的信息提供者和使用者之间实现健康档案信息的交换和共享，通过医共体信息平台对外提供健康档案数据共享和调阅服务。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基础信息资源库</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获取医共体内各医疗卫生机构的基础信息数据，实现对基础资源的登记管理及基础信息数据的采集与利用</w:t>
            </w:r>
            <w:r>
              <w:rPr>
                <w:rFonts w:hint="eastAsia" w:ascii="宋体" w:hAnsi="宋体" w:eastAsia="宋体"/>
                <w:color w:val="auto"/>
                <w:sz w:val="24"/>
                <w:szCs w:val="24"/>
                <w:highlight w:val="none"/>
              </w:rPr>
              <w:t>，</w:t>
            </w:r>
            <w:r>
              <w:rPr>
                <w:rFonts w:ascii="宋体" w:hAnsi="宋体" w:eastAsia="宋体"/>
                <w:color w:val="auto"/>
                <w:sz w:val="24"/>
                <w:szCs w:val="24"/>
                <w:highlight w:val="none"/>
              </w:rPr>
              <w:t>包括：医共体内各医疗卫生机构基础资源的登记管理，内容涵盖各类机构信息、房产土地信息、病房床位信息、设备器械信息、药品耗材信息、从业人员信息等内容。机构人员资源管理包括医疗卫生机构和从业人员的监督管理；设备管理包括对医疗设备及物资的使用情况、运行状况的监督管理；床位信息库是对床位的数量、医疗机构的使用面积等信息的掌控；医疗卫生经济资源主要是针对医疗卫生机构的资金投入、支出等有关信息的掌控。</w:t>
            </w:r>
          </w:p>
        </w:tc>
      </w:tr>
    </w:tbl>
    <w:p>
      <w:pPr>
        <w:pStyle w:val="9"/>
        <w:numPr>
          <w:ilvl w:val="3"/>
          <w:numId w:val="3"/>
        </w:numPr>
        <w:spacing w:line="360" w:lineRule="auto"/>
        <w:rPr>
          <w:rFonts w:ascii="宋体" w:hAnsi="宋体"/>
          <w:color w:val="auto"/>
          <w:sz w:val="24"/>
          <w:szCs w:val="24"/>
          <w:highlight w:val="none"/>
        </w:rPr>
      </w:pPr>
      <w:r>
        <w:rPr>
          <w:rFonts w:ascii="宋体" w:hAnsi="宋体"/>
          <w:color w:val="auto"/>
          <w:sz w:val="24"/>
          <w:szCs w:val="24"/>
          <w:highlight w:val="none"/>
        </w:rPr>
        <w:t>平台支撑组件</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注册服务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居民</w:t>
            </w:r>
            <w:r>
              <w:rPr>
                <w:rFonts w:ascii="宋体" w:hAnsi="宋体" w:eastAsia="宋体"/>
                <w:color w:val="auto"/>
                <w:sz w:val="24"/>
                <w:szCs w:val="24"/>
                <w:highlight w:val="none"/>
              </w:rPr>
              <w:t xml:space="preserve">注册服务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在一定区域管辖范围内，用于安全地保存和维护</w:t>
            </w:r>
            <w:r>
              <w:rPr>
                <w:rFonts w:hint="eastAsia" w:ascii="宋体" w:hAnsi="宋体" w:eastAsia="宋体"/>
                <w:color w:val="auto"/>
                <w:sz w:val="24"/>
                <w:szCs w:val="24"/>
                <w:highlight w:val="none"/>
              </w:rPr>
              <w:t>居民</w:t>
            </w:r>
            <w:r>
              <w:rPr>
                <w:rFonts w:ascii="宋体" w:hAnsi="宋体" w:eastAsia="宋体"/>
                <w:color w:val="auto"/>
                <w:sz w:val="24"/>
                <w:szCs w:val="24"/>
                <w:highlight w:val="none"/>
              </w:rPr>
              <w:t>个人的健康标识号、基本信息，提供给医共体信息平台其他组件及 POS 应用所使用，并可为医疗就诊及</w:t>
            </w:r>
            <w:r>
              <w:rPr>
                <w:rFonts w:hint="eastAsia" w:ascii="宋体" w:hAnsi="宋体" w:eastAsia="宋体"/>
                <w:color w:val="auto"/>
                <w:sz w:val="24"/>
                <w:szCs w:val="24"/>
                <w:highlight w:val="none"/>
              </w:rPr>
              <w:t>医疗卫生</w:t>
            </w:r>
            <w:r>
              <w:rPr>
                <w:rFonts w:ascii="宋体" w:hAnsi="宋体" w:eastAsia="宋体"/>
                <w:color w:val="auto"/>
                <w:sz w:val="24"/>
                <w:szCs w:val="24"/>
                <w:highlight w:val="none"/>
              </w:rPr>
              <w:t>相关的业务系统提供人员身份识别功能的服务组件。内容包括：人员信息更新与合并。</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2．机构注册服务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通过建立医疗卫生机构注册库，提供医共体内所有医疗卫生机构的综合目录</w:t>
            </w:r>
            <w:r>
              <w:rPr>
                <w:rFonts w:hint="eastAsia" w:ascii="宋体" w:hAnsi="宋体" w:eastAsia="宋体"/>
                <w:color w:val="auto"/>
                <w:sz w:val="24"/>
                <w:szCs w:val="24"/>
                <w:highlight w:val="none"/>
              </w:rPr>
              <w:t>，</w:t>
            </w:r>
            <w:r>
              <w:rPr>
                <w:rFonts w:ascii="宋体" w:hAnsi="宋体" w:eastAsia="宋体"/>
                <w:color w:val="auto"/>
                <w:sz w:val="24"/>
                <w:szCs w:val="24"/>
                <w:highlight w:val="none"/>
              </w:rPr>
              <w:t>并提供对从业人员信息的注册、修改、查询等操作。</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3.从业人员注册服务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从业人员人员注册库</w:t>
            </w:r>
            <w:r>
              <w:rPr>
                <w:rFonts w:hint="eastAsia" w:ascii="宋体" w:hAnsi="宋体" w:eastAsia="宋体"/>
                <w:color w:val="auto"/>
                <w:sz w:val="24"/>
                <w:szCs w:val="24"/>
                <w:highlight w:val="none"/>
              </w:rPr>
              <w:t>，</w:t>
            </w:r>
            <w:r>
              <w:rPr>
                <w:rFonts w:ascii="宋体" w:hAnsi="宋体" w:eastAsia="宋体"/>
                <w:color w:val="auto"/>
                <w:sz w:val="24"/>
                <w:szCs w:val="24"/>
                <w:highlight w:val="none"/>
              </w:rPr>
              <w:t>是一个单一的目录服务，为医共体内所有医疗卫生服务提供者，包括全科医生、专科医生、护士、实验室医师、医学影像专业人员及其他从事与</w:t>
            </w:r>
            <w:r>
              <w:rPr>
                <w:rFonts w:hint="eastAsia" w:ascii="宋体" w:hAnsi="宋体" w:eastAsia="宋体"/>
                <w:color w:val="auto"/>
                <w:sz w:val="24"/>
                <w:szCs w:val="24"/>
                <w:highlight w:val="none"/>
              </w:rPr>
              <w:t>医疗卫生</w:t>
            </w:r>
            <w:r>
              <w:rPr>
                <w:rFonts w:ascii="宋体" w:hAnsi="宋体" w:eastAsia="宋体"/>
                <w:color w:val="auto"/>
                <w:sz w:val="24"/>
                <w:szCs w:val="24"/>
                <w:highlight w:val="none"/>
              </w:rPr>
              <w:t>服务相关的从业人员</w:t>
            </w:r>
            <w:r>
              <w:rPr>
                <w:rFonts w:hint="eastAsia" w:ascii="宋体" w:hAnsi="宋体" w:eastAsia="宋体"/>
                <w:color w:val="auto"/>
                <w:sz w:val="24"/>
                <w:szCs w:val="24"/>
                <w:highlight w:val="none"/>
              </w:rPr>
              <w:t>。</w:t>
            </w:r>
            <w:r>
              <w:rPr>
                <w:rFonts w:ascii="宋体" w:hAnsi="宋体" w:eastAsia="宋体"/>
                <w:color w:val="auto"/>
                <w:sz w:val="24"/>
                <w:szCs w:val="24"/>
                <w:highlight w:val="none"/>
              </w:rPr>
              <w:t>系统为每一位</w:t>
            </w:r>
            <w:r>
              <w:rPr>
                <w:rFonts w:hint="eastAsia" w:ascii="宋体" w:hAnsi="宋体" w:eastAsia="宋体"/>
                <w:color w:val="auto"/>
                <w:sz w:val="24"/>
                <w:szCs w:val="24"/>
                <w:highlight w:val="none"/>
              </w:rPr>
              <w:t>从业</w:t>
            </w:r>
            <w:r>
              <w:rPr>
                <w:rFonts w:ascii="宋体" w:hAnsi="宋体" w:eastAsia="宋体"/>
                <w:color w:val="auto"/>
                <w:sz w:val="24"/>
                <w:szCs w:val="24"/>
                <w:highlight w:val="none"/>
              </w:rPr>
              <w:t>人员分配一个唯一的标识。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4.术语字典注册服务</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术语字典注册服务主要是标准化代码建设。标准化代码是整个</w:t>
            </w:r>
            <w:r>
              <w:rPr>
                <w:rFonts w:hint="eastAsia" w:ascii="宋体" w:hAnsi="宋体" w:eastAsia="宋体"/>
                <w:color w:val="auto"/>
                <w:sz w:val="24"/>
                <w:szCs w:val="24"/>
                <w:highlight w:val="none"/>
              </w:rPr>
              <w:t>医共体信息平台</w:t>
            </w:r>
            <w:r>
              <w:rPr>
                <w:rFonts w:ascii="宋体" w:hAnsi="宋体" w:eastAsia="宋体"/>
                <w:color w:val="auto"/>
                <w:sz w:val="24"/>
                <w:szCs w:val="24"/>
                <w:highlight w:val="none"/>
              </w:rPr>
              <w:t>体系内部或与外部系统在信息表达和语义互操作时的关键性基础设施。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健康档案整合服务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支持健康档案数据的批量上传和个案数据上传、业务数据复制、抽取、转换、装载和数据质量控制功能，由交换库生成可在</w:t>
            </w:r>
            <w:r>
              <w:rPr>
                <w:rFonts w:hint="eastAsia" w:ascii="宋体" w:hAnsi="宋体" w:eastAsia="宋体"/>
                <w:color w:val="auto"/>
                <w:sz w:val="24"/>
                <w:szCs w:val="24"/>
                <w:highlight w:val="none"/>
              </w:rPr>
              <w:t>医共体</w:t>
            </w:r>
            <w:r>
              <w:rPr>
                <w:rFonts w:ascii="宋体" w:hAnsi="宋体" w:eastAsia="宋体"/>
                <w:color w:val="auto"/>
                <w:sz w:val="24"/>
                <w:szCs w:val="24"/>
                <w:highlight w:val="none"/>
              </w:rPr>
              <w:t>范围内分析利用的全员人口信息资源库、健康档案资源库、电子病历资源库。</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1.基础数据管理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主要包括药品目录、医疗服务目录和疾病目录，其中药品目录采用国家基本药品目录，再加上省增补部分药品；医疗服务目录采用省物价局公布的医疗服务价格目录；疾病目录采用国际疾病标准ICD-10</w:t>
            </w:r>
            <w:r>
              <w:rPr>
                <w:rFonts w:hint="eastAsia" w:ascii="宋体" w:hAnsi="宋体" w:eastAsia="宋体"/>
                <w:color w:val="auto"/>
                <w:sz w:val="24"/>
                <w:szCs w:val="24"/>
                <w:highlight w:val="none"/>
              </w:rPr>
              <w:t>等</w:t>
            </w:r>
            <w:r>
              <w:rPr>
                <w:rFonts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.1.目录管理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实现</w:t>
            </w:r>
            <w:r>
              <w:rPr>
                <w:rFonts w:ascii="宋体" w:hAnsi="宋体" w:eastAsia="宋体"/>
                <w:color w:val="auto"/>
                <w:sz w:val="24"/>
                <w:szCs w:val="24"/>
                <w:highlight w:val="none"/>
              </w:rPr>
              <w:t>对药品目录、医疗服务目录和疾病目录进行的一系列操作</w:t>
            </w:r>
            <w:r>
              <w:rPr>
                <w:rFonts w:hint="eastAsia" w:ascii="宋体" w:hAnsi="宋体" w:eastAsia="宋体"/>
                <w:color w:val="auto"/>
                <w:sz w:val="24"/>
                <w:szCs w:val="24"/>
                <w:highlight w:val="none"/>
              </w:rPr>
              <w:t>，包括</w:t>
            </w:r>
            <w:r>
              <w:rPr>
                <w:rFonts w:ascii="宋体" w:hAnsi="宋体" w:eastAsia="宋体"/>
                <w:color w:val="auto"/>
                <w:sz w:val="24"/>
                <w:szCs w:val="24"/>
                <w:highlight w:val="none"/>
              </w:rPr>
              <w:t>增加、修改、删除、启用、停用等</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.2.目录下载</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维护标准药品目录、医疗服务项目目录、疾病目录，提供给各医疗</w:t>
            </w:r>
            <w:r>
              <w:rPr>
                <w:rFonts w:hint="eastAsia" w:ascii="宋体" w:hAnsi="宋体" w:eastAsia="宋体"/>
                <w:color w:val="auto"/>
                <w:sz w:val="24"/>
                <w:szCs w:val="24"/>
                <w:highlight w:val="none"/>
              </w:rPr>
              <w:t>卫生</w:t>
            </w:r>
            <w:r>
              <w:rPr>
                <w:rFonts w:ascii="宋体" w:hAnsi="宋体" w:eastAsia="宋体"/>
                <w:color w:val="auto"/>
                <w:sz w:val="24"/>
                <w:szCs w:val="24"/>
                <w:highlight w:val="none"/>
              </w:rPr>
              <w:t>机构下载。各</w:t>
            </w:r>
            <w:r>
              <w:rPr>
                <w:rFonts w:hint="eastAsia" w:ascii="宋体" w:hAnsi="宋体" w:eastAsia="宋体"/>
                <w:color w:val="auto"/>
                <w:sz w:val="24"/>
                <w:szCs w:val="24"/>
                <w:highlight w:val="none"/>
              </w:rPr>
              <w:t>医疗</w:t>
            </w:r>
            <w:r>
              <w:rPr>
                <w:rFonts w:ascii="宋体" w:hAnsi="宋体" w:eastAsia="宋体"/>
                <w:color w:val="auto"/>
                <w:sz w:val="24"/>
                <w:szCs w:val="24"/>
                <w:highlight w:val="none"/>
              </w:rPr>
              <w:t>机构与自己系统中使用的药品目录、医疗服务项目目录、疾病目录进行匹配，然后将匹配结果上传。</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.3.目录匹配</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目录匹配是指各</w:t>
            </w:r>
            <w:r>
              <w:rPr>
                <w:rFonts w:hint="eastAsia" w:ascii="宋体" w:hAnsi="宋体" w:eastAsia="宋体"/>
                <w:color w:val="auto"/>
                <w:sz w:val="24"/>
                <w:szCs w:val="24"/>
                <w:highlight w:val="none"/>
              </w:rPr>
              <w:t>医疗</w:t>
            </w:r>
            <w:r>
              <w:rPr>
                <w:rFonts w:ascii="宋体" w:hAnsi="宋体" w:eastAsia="宋体"/>
                <w:color w:val="auto"/>
                <w:sz w:val="24"/>
                <w:szCs w:val="24"/>
                <w:highlight w:val="none"/>
              </w:rPr>
              <w:t>机构应用系统中所使用的药品目录、医疗服务项目目录、疾病目录与医共体信息平台中的标准目录不一致，需要逐条与标准目录进行匹配，建立关联关系。</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.4.目录校验、转换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医疗机构上传业务数据时，根据医疗机构已经匹配好的药品目录、医疗服务项目目录和疾病目录，校验上传的业务数据中，药品代码、医疗服务项目代码、 疾病代码是否已经做过匹配，如果没有做匹配，则提示数据质量有问题，没有通过目录校验；如果已匹配，则直接将匹配中的医共体信息平台标准代码回填业务表中。</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2.数据整合管理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数据交换通过中心端加客户端的方式、以基础信息为统一资源管理，通过数据质量控制引擎、数据传输引擎将完整数据交换到中心端，并在交换过程中进行动态的管理和配置。</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.1.基础信息</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基础信息对数据交换过程中的资源进行统一管理和注册，主要包括：基础数据、节点管理和日志信息。</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.2.数据校验规则</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主要包括公共校验规则类型、值计算校验。</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.3.数据质量控制</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对交换的数据质量进行校验分析、并对校验结果和校验规则进行管理和智能分析。</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.4.规则管理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主要包括规则类型、质量控制、智能分析。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3.数据逻辑处理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数据逻辑处理共分为四个部分：第一部分为数据初始化，对业务数据中的行政区划和个人内码进行初始化；第二部分为抽取、转换数据，是在抽取过程中对不同状态数据处理过程；第三部分为注册居民信息，在居民注册库生成唯一索引；第四部分为装载数据，即根据业务数据产生静态化健康档案页面、卡片、摘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健康档案存储服务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实现对结构化数据和非结构数据的存储与管理。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健康档案管理服务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应包括档案管理、事件注册、索引服务功能，并建立索引库，记录居民何时、何地、接受过何种医疗卫生服务，并产生了哪些文档。档案管理对健康档案的全生命周期进行管理，包括建档、注销、属地变更等。</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.档案管理</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应包括</w:t>
            </w:r>
            <w:r>
              <w:rPr>
                <w:rFonts w:ascii="宋体" w:hAnsi="宋体" w:eastAsia="宋体"/>
                <w:color w:val="auto"/>
                <w:sz w:val="24"/>
                <w:szCs w:val="24"/>
                <w:highlight w:val="none"/>
              </w:rPr>
              <w:t>健康档案建档管理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健康档案注销</w:t>
            </w:r>
            <w:r>
              <w:rPr>
                <w:rFonts w:hint="eastAsia" w:ascii="宋体" w:hAnsi="宋体" w:eastAsia="宋体"/>
                <w:color w:val="auto"/>
                <w:sz w:val="24"/>
                <w:szCs w:val="24"/>
                <w:highlight w:val="none"/>
              </w:rPr>
              <w:t>、</w:t>
            </w:r>
            <w:r>
              <w:rPr>
                <w:rFonts w:ascii="宋体" w:hAnsi="宋体" w:eastAsia="宋体"/>
                <w:color w:val="auto"/>
                <w:sz w:val="24"/>
                <w:szCs w:val="24"/>
                <w:highlight w:val="none"/>
              </w:rPr>
              <w:t>健康档案属地变更</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.文档注册服务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文档注册根据文档的内容维护每一个注册文档的元数据，并包括在文档库中存储的地址。文档注册可根据文档用户的特定查询条件返回文档（集）。</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.事件注册服务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建立一个时间目录</w:t>
            </w:r>
            <w:r>
              <w:rPr>
                <w:rFonts w:hint="eastAsia" w:ascii="宋体" w:hAnsi="宋体" w:eastAsia="宋体"/>
                <w:color w:val="auto"/>
                <w:sz w:val="24"/>
                <w:szCs w:val="24"/>
                <w:highlight w:val="none"/>
              </w:rPr>
              <w:t>，</w:t>
            </w:r>
            <w:r>
              <w:rPr>
                <w:rFonts w:ascii="宋体" w:hAnsi="宋体" w:eastAsia="宋体"/>
                <w:color w:val="auto"/>
                <w:sz w:val="24"/>
                <w:szCs w:val="24"/>
                <w:highlight w:val="none"/>
              </w:rPr>
              <w:t>目录中的每个条目由描述该事件的关键信息构成，实际操作时，应该提取文档中与事件相关的元数据进行注册，同时，事件信息将被作为居民与文档之间的关联关系，便于使用者可以通过事件的途径获取相关的文档。</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.索引服务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索引服务全面掌握医共体信息平台所有关于居民的医疗卫生服务事件信息，包括居民何时、何地、接受过何种医疗卫生服务，并产生了哪些文档。索引服务主要记录两大类的信息，一是医疗卫生事件信息，另一为文档目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健康档案调阅服务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基于医共体信息平台的调阅服务应包括组装服务功能、标准化服务功能、数据访问服务功能，提供对单个健康档案文档或文档集的数据的查询和访问服务。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健康档案协同服务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医共体信息平台通过服务总线（ESB），实现基于健康档案的卫生健康业务协同服务</w:t>
            </w:r>
            <w:r>
              <w:rPr>
                <w:rFonts w:hint="eastAsia" w:ascii="宋体" w:hAnsi="宋体" w:eastAsia="宋体"/>
                <w:color w:val="auto"/>
                <w:sz w:val="24"/>
                <w:szCs w:val="24"/>
                <w:highlight w:val="none"/>
              </w:rPr>
              <w:t>，主要包括</w:t>
            </w:r>
            <w:r>
              <w:rPr>
                <w:rFonts w:ascii="宋体" w:hAnsi="宋体" w:eastAsia="宋体"/>
                <w:color w:val="auto"/>
                <w:sz w:val="24"/>
                <w:szCs w:val="24"/>
                <w:highlight w:val="none"/>
              </w:rPr>
              <w:t>适配器管理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居民标识交叉索引服务</w:t>
            </w:r>
            <w:r>
              <w:rPr>
                <w:rFonts w:hint="eastAsia" w:ascii="宋体" w:hAnsi="宋体" w:eastAsia="宋体"/>
                <w:color w:val="auto"/>
                <w:sz w:val="24"/>
                <w:szCs w:val="24"/>
                <w:highlight w:val="none"/>
              </w:rPr>
              <w:t>、</w:t>
            </w:r>
            <w:r>
              <w:rPr>
                <w:rFonts w:ascii="宋体" w:hAnsi="宋体" w:eastAsia="宋体"/>
                <w:color w:val="auto"/>
                <w:sz w:val="24"/>
                <w:szCs w:val="24"/>
                <w:highlight w:val="none"/>
              </w:rPr>
              <w:t>共享文档服务</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数据仓库服务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数据仓库主要是对业务数据进行综合统计分析，以辅助进行相关决策</w:t>
            </w:r>
            <w:r>
              <w:rPr>
                <w:rFonts w:hint="eastAsia" w:ascii="宋体" w:hAnsi="宋体" w:eastAsia="宋体"/>
                <w:color w:val="auto"/>
                <w:sz w:val="24"/>
                <w:szCs w:val="24"/>
                <w:highlight w:val="none"/>
              </w:rPr>
              <w:t>，主要包括数据框架、</w:t>
            </w:r>
            <w:r>
              <w:rPr>
                <w:rFonts w:ascii="宋体" w:hAnsi="宋体" w:eastAsia="宋体"/>
                <w:color w:val="auto"/>
                <w:sz w:val="24"/>
                <w:szCs w:val="24"/>
                <w:highlight w:val="none"/>
              </w:rPr>
              <w:t>数据 ETL</w:t>
            </w:r>
            <w:r>
              <w:rPr>
                <w:rFonts w:hint="eastAsia" w:ascii="宋体" w:hAnsi="宋体" w:eastAsia="宋体"/>
                <w:color w:val="auto"/>
                <w:sz w:val="24"/>
                <w:szCs w:val="24"/>
                <w:highlight w:val="none"/>
              </w:rPr>
              <w:t>、</w:t>
            </w:r>
            <w:r>
              <w:rPr>
                <w:rFonts w:ascii="宋体" w:hAnsi="宋体" w:eastAsia="宋体"/>
                <w:color w:val="auto"/>
                <w:sz w:val="24"/>
                <w:szCs w:val="24"/>
                <w:highlight w:val="none"/>
              </w:rPr>
              <w:t>数据挖掘</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元数据管理服务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定义和描述其他数据的数据</w:t>
            </w:r>
            <w:r>
              <w:rPr>
                <w:rFonts w:hint="eastAsia" w:ascii="宋体" w:hAnsi="宋体" w:eastAsia="宋体"/>
                <w:color w:val="auto"/>
                <w:sz w:val="24"/>
                <w:szCs w:val="24"/>
                <w:highlight w:val="none"/>
              </w:rPr>
              <w:t>，</w:t>
            </w:r>
            <w:r>
              <w:rPr>
                <w:rFonts w:ascii="宋体" w:hAnsi="宋体" w:eastAsia="宋体"/>
                <w:color w:val="auto"/>
                <w:sz w:val="24"/>
                <w:szCs w:val="24"/>
                <w:highlight w:val="none"/>
              </w:rPr>
              <w:t>对卫生健康行业的数据元、数据集等数据标准进行有效管理</w:t>
            </w:r>
            <w:r>
              <w:rPr>
                <w:rFonts w:hint="eastAsia" w:ascii="宋体" w:hAnsi="宋体" w:eastAsia="宋体"/>
                <w:color w:val="auto"/>
                <w:sz w:val="24"/>
                <w:szCs w:val="24"/>
                <w:highlight w:val="none"/>
              </w:rPr>
              <w:t>，主要包括</w:t>
            </w:r>
            <w:r>
              <w:rPr>
                <w:rFonts w:ascii="宋体" w:hAnsi="宋体" w:eastAsia="宋体"/>
                <w:color w:val="auto"/>
                <w:sz w:val="24"/>
                <w:szCs w:val="24"/>
                <w:highlight w:val="none"/>
              </w:rPr>
              <w:t>数据元管理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数据集管理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主题域管理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医疗卫生服务活动管理。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信息安全与隐私服务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信息安全与隐私服务通过用户验证、授权管理、日志等技术手段保障平台信息安全及隐私信息保护。主要包括组织机构管理、权限验证服务、审计日志、信息安全和隐私管理等功能。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统一身份认证及集成门户</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建立能够集成现有和将来业务信息系统的统一门户系统、统一用户管理与认证系统、应用集成环境，提供用户统一进入的入口，满足对各类信息资源访问，提供便捷的应用服务的集成展现，实现提供单点登录的集成门户</w:t>
            </w:r>
            <w:r>
              <w:rPr>
                <w:rFonts w:hint="eastAsia" w:ascii="宋体" w:hAnsi="宋体" w:eastAsia="宋体"/>
                <w:color w:val="auto"/>
                <w:sz w:val="24"/>
                <w:szCs w:val="24"/>
                <w:highlight w:val="none"/>
              </w:rPr>
              <w:t>，应包括</w:t>
            </w:r>
            <w:r>
              <w:rPr>
                <w:rFonts w:ascii="宋体" w:hAnsi="宋体" w:eastAsia="宋体"/>
                <w:color w:val="auto"/>
                <w:sz w:val="24"/>
                <w:szCs w:val="24"/>
                <w:highlight w:val="none"/>
              </w:rPr>
              <w:t>统一身份认证服务</w:t>
            </w:r>
            <w:r>
              <w:rPr>
                <w:rFonts w:hint="eastAsia" w:ascii="宋体" w:hAnsi="宋体" w:eastAsia="宋体"/>
                <w:color w:val="auto"/>
                <w:sz w:val="24"/>
                <w:szCs w:val="24"/>
                <w:highlight w:val="none"/>
              </w:rPr>
              <w:t>、</w:t>
            </w:r>
            <w:r>
              <w:rPr>
                <w:rFonts w:ascii="宋体" w:hAnsi="宋体" w:eastAsia="宋体"/>
                <w:color w:val="auto"/>
                <w:sz w:val="24"/>
                <w:szCs w:val="24"/>
                <w:highlight w:val="none"/>
              </w:rPr>
              <w:t>统一身份认证管理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单点登录</w:t>
            </w:r>
            <w:r>
              <w:rPr>
                <w:rFonts w:hint="eastAsia" w:ascii="宋体" w:hAnsi="宋体" w:eastAsia="宋体"/>
                <w:color w:val="auto"/>
                <w:sz w:val="24"/>
                <w:szCs w:val="24"/>
                <w:highlight w:val="none"/>
              </w:rPr>
              <w:t>、</w:t>
            </w:r>
            <w:r>
              <w:rPr>
                <w:rFonts w:ascii="宋体" w:hAnsi="宋体" w:eastAsia="宋体"/>
                <w:color w:val="auto"/>
                <w:sz w:val="24"/>
                <w:szCs w:val="24"/>
                <w:highlight w:val="none"/>
              </w:rPr>
              <w:t>权限管理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会话管理</w:t>
            </w:r>
            <w:r>
              <w:rPr>
                <w:rFonts w:hint="eastAsia" w:ascii="宋体" w:hAnsi="宋体" w:eastAsia="宋体"/>
                <w:color w:val="auto"/>
                <w:sz w:val="24"/>
                <w:szCs w:val="24"/>
                <w:highlight w:val="none"/>
              </w:rPr>
              <w:t>等功能。</w:t>
            </w:r>
          </w:p>
        </w:tc>
      </w:tr>
    </w:tbl>
    <w:p>
      <w:pPr>
        <w:pStyle w:val="9"/>
        <w:numPr>
          <w:ilvl w:val="3"/>
          <w:numId w:val="3"/>
        </w:numPr>
        <w:spacing w:line="360" w:lineRule="auto"/>
        <w:rPr>
          <w:rFonts w:ascii="宋体" w:hAnsi="宋体"/>
          <w:color w:val="auto"/>
          <w:sz w:val="24"/>
          <w:szCs w:val="24"/>
          <w:highlight w:val="none"/>
        </w:rPr>
      </w:pPr>
      <w:r>
        <w:rPr>
          <w:rFonts w:ascii="宋体" w:hAnsi="宋体"/>
          <w:color w:val="auto"/>
          <w:sz w:val="24"/>
          <w:szCs w:val="24"/>
          <w:highlight w:val="none"/>
        </w:rPr>
        <w:t>数据交换平台</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服务总线</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服务总线 ESB 应遵循统一的标准规范，符合 SOA 设计，建立在有序的数据结构之上的安全、可靠、高效、可管理、可扩展的信息共享交换平台</w:t>
            </w:r>
            <w:r>
              <w:rPr>
                <w:rFonts w:hint="eastAsia" w:ascii="宋体" w:hAnsi="宋体" w:eastAsia="宋体"/>
                <w:color w:val="auto"/>
                <w:sz w:val="24"/>
                <w:szCs w:val="24"/>
                <w:highlight w:val="none"/>
              </w:rPr>
              <w:t>，实现</w:t>
            </w:r>
            <w:r>
              <w:rPr>
                <w:rFonts w:ascii="宋体" w:hAnsi="宋体" w:eastAsia="宋体"/>
                <w:color w:val="auto"/>
                <w:sz w:val="24"/>
                <w:szCs w:val="24"/>
                <w:highlight w:val="none"/>
              </w:rPr>
              <w:t>医共体内各医疗卫生机构</w:t>
            </w:r>
            <w:r>
              <w:rPr>
                <w:rFonts w:hint="eastAsia" w:ascii="宋体" w:hAnsi="宋体" w:eastAsia="宋体"/>
                <w:color w:val="auto"/>
                <w:sz w:val="24"/>
                <w:szCs w:val="24"/>
                <w:highlight w:val="none"/>
              </w:rPr>
              <w:t>的</w:t>
            </w:r>
            <w:r>
              <w:rPr>
                <w:rFonts w:ascii="宋体" w:hAnsi="宋体" w:eastAsia="宋体"/>
                <w:color w:val="auto"/>
                <w:sz w:val="24"/>
                <w:szCs w:val="24"/>
                <w:highlight w:val="none"/>
              </w:rPr>
              <w:t>业务协同，以及提高医疗卫生服务效率。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数据交换管理系统</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数据交换管理系统实现对数据交换过程的监控，以及对交换到平台上数据的管理</w:t>
            </w:r>
            <w:r>
              <w:rPr>
                <w:rFonts w:hint="eastAsia" w:ascii="宋体" w:hAnsi="宋体" w:eastAsia="宋体"/>
                <w:color w:val="auto"/>
                <w:sz w:val="24"/>
                <w:szCs w:val="24"/>
                <w:highlight w:val="none"/>
              </w:rPr>
              <w:t>，主要包括</w:t>
            </w:r>
            <w:r>
              <w:rPr>
                <w:rFonts w:ascii="宋体" w:hAnsi="宋体" w:eastAsia="宋体"/>
                <w:color w:val="auto"/>
                <w:sz w:val="24"/>
                <w:szCs w:val="24"/>
                <w:highlight w:val="none"/>
              </w:rPr>
              <w:t>数据质量管理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数据标准管理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数据标准服务</w:t>
            </w:r>
            <w:r>
              <w:rPr>
                <w:rFonts w:hint="eastAsia" w:ascii="宋体" w:hAnsi="宋体" w:eastAsia="宋体"/>
                <w:color w:val="auto"/>
                <w:sz w:val="24"/>
                <w:szCs w:val="24"/>
                <w:highlight w:val="none"/>
              </w:rPr>
              <w:t>、</w:t>
            </w:r>
            <w:r>
              <w:rPr>
                <w:rFonts w:ascii="宋体" w:hAnsi="宋体" w:eastAsia="宋体"/>
                <w:color w:val="auto"/>
                <w:sz w:val="24"/>
                <w:szCs w:val="24"/>
                <w:highlight w:val="none"/>
              </w:rPr>
              <w:t>基础信息</w:t>
            </w:r>
            <w:r>
              <w:rPr>
                <w:rFonts w:hint="eastAsia" w:ascii="宋体" w:hAnsi="宋体" w:eastAsia="宋体"/>
                <w:color w:val="auto"/>
                <w:sz w:val="24"/>
                <w:szCs w:val="24"/>
                <w:highlight w:val="none"/>
              </w:rPr>
              <w:t>、</w:t>
            </w:r>
            <w:r>
              <w:rPr>
                <w:rFonts w:ascii="宋体" w:hAnsi="宋体" w:eastAsia="宋体"/>
                <w:color w:val="auto"/>
                <w:sz w:val="24"/>
                <w:szCs w:val="24"/>
                <w:highlight w:val="none"/>
              </w:rPr>
              <w:t>质量控制</w:t>
            </w:r>
            <w:r>
              <w:rPr>
                <w:rFonts w:hint="eastAsia" w:ascii="宋体" w:hAnsi="宋体" w:eastAsia="宋体"/>
                <w:color w:val="auto"/>
                <w:sz w:val="24"/>
                <w:szCs w:val="24"/>
                <w:highlight w:val="none"/>
              </w:rPr>
              <w:t>、</w:t>
            </w:r>
            <w:r>
              <w:rPr>
                <w:rFonts w:ascii="宋体" w:hAnsi="宋体" w:eastAsia="宋体"/>
                <w:color w:val="auto"/>
                <w:sz w:val="24"/>
                <w:szCs w:val="24"/>
                <w:highlight w:val="none"/>
              </w:rPr>
              <w:t>数据传输</w:t>
            </w:r>
            <w:r>
              <w:rPr>
                <w:rFonts w:hint="eastAsia" w:ascii="宋体" w:hAnsi="宋体" w:eastAsia="宋体"/>
                <w:color w:val="auto"/>
                <w:sz w:val="24"/>
                <w:szCs w:val="24"/>
                <w:highlight w:val="none"/>
              </w:rPr>
              <w:t>、</w:t>
            </w:r>
            <w:r>
              <w:rPr>
                <w:rFonts w:ascii="宋体" w:hAnsi="宋体" w:eastAsia="宋体"/>
                <w:color w:val="auto"/>
                <w:sz w:val="24"/>
                <w:szCs w:val="24"/>
                <w:highlight w:val="none"/>
              </w:rPr>
              <w:t>监控中心</w:t>
            </w:r>
            <w:r>
              <w:rPr>
                <w:rFonts w:hint="eastAsia" w:ascii="宋体" w:hAnsi="宋体" w:eastAsia="宋体"/>
                <w:color w:val="auto"/>
                <w:sz w:val="24"/>
                <w:szCs w:val="24"/>
                <w:highlight w:val="none"/>
              </w:rPr>
              <w:t>、</w:t>
            </w:r>
            <w:r>
              <w:rPr>
                <w:rFonts w:ascii="宋体" w:hAnsi="宋体" w:eastAsia="宋体"/>
                <w:color w:val="auto"/>
                <w:sz w:val="24"/>
                <w:szCs w:val="24"/>
                <w:highlight w:val="none"/>
              </w:rPr>
              <w:t>控制中心</w:t>
            </w:r>
            <w:r>
              <w:rPr>
                <w:rFonts w:hint="eastAsia" w:ascii="宋体" w:hAnsi="宋体" w:eastAsia="宋体"/>
                <w:color w:val="auto"/>
                <w:sz w:val="24"/>
                <w:szCs w:val="24"/>
                <w:highlight w:val="none"/>
              </w:rPr>
              <w:t>、</w:t>
            </w:r>
            <w:r>
              <w:rPr>
                <w:rFonts w:ascii="宋体" w:hAnsi="宋体" w:eastAsia="宋体"/>
                <w:color w:val="auto"/>
                <w:sz w:val="24"/>
                <w:szCs w:val="24"/>
                <w:highlight w:val="none"/>
              </w:rPr>
              <w:t>系统管理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信息中心</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数据交换平台</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数据交换平台是一个集数据交换开发，部署，管理，监控一体的数据交换全生命周期管理的数据交换平台</w:t>
            </w:r>
            <w:r>
              <w:rPr>
                <w:rFonts w:hint="eastAsia" w:ascii="宋体" w:hAnsi="宋体" w:eastAsia="宋体"/>
                <w:color w:val="auto"/>
                <w:sz w:val="24"/>
                <w:szCs w:val="24"/>
                <w:highlight w:val="none"/>
              </w:rPr>
              <w:t>，</w:t>
            </w:r>
            <w:r>
              <w:rPr>
                <w:rFonts w:ascii="宋体" w:hAnsi="宋体" w:eastAsia="宋体"/>
                <w:color w:val="auto"/>
                <w:sz w:val="24"/>
                <w:szCs w:val="24"/>
                <w:highlight w:val="none"/>
              </w:rPr>
              <w:t>根据业务系统需求，建立实时、定时、单向、双向等数据交换机制，其交换方式、内容应遵守标准化、安全性规定</w:t>
            </w:r>
            <w:r>
              <w:rPr>
                <w:rFonts w:hint="eastAsia" w:ascii="宋体" w:hAnsi="宋体" w:eastAsia="宋体"/>
                <w:color w:val="auto"/>
                <w:sz w:val="24"/>
                <w:szCs w:val="24"/>
                <w:highlight w:val="none"/>
              </w:rPr>
              <w:t>，主要包括</w:t>
            </w:r>
            <w:r>
              <w:rPr>
                <w:rFonts w:ascii="宋体" w:hAnsi="宋体" w:eastAsia="宋体"/>
                <w:color w:val="auto"/>
                <w:sz w:val="24"/>
                <w:szCs w:val="24"/>
                <w:highlight w:val="none"/>
              </w:rPr>
              <w:t>实时交换机制</w:t>
            </w:r>
            <w:r>
              <w:rPr>
                <w:rFonts w:hint="eastAsia" w:ascii="宋体" w:hAnsi="宋体" w:eastAsia="宋体"/>
                <w:color w:val="auto"/>
                <w:sz w:val="24"/>
                <w:szCs w:val="24"/>
                <w:highlight w:val="none"/>
              </w:rPr>
              <w:t>、</w:t>
            </w:r>
            <w:r>
              <w:rPr>
                <w:rFonts w:ascii="宋体" w:hAnsi="宋体" w:eastAsia="宋体"/>
                <w:color w:val="auto"/>
                <w:sz w:val="24"/>
                <w:szCs w:val="24"/>
                <w:highlight w:val="none"/>
              </w:rPr>
              <w:t>定时交换机制</w:t>
            </w:r>
            <w:r>
              <w:rPr>
                <w:rFonts w:hint="eastAsia" w:ascii="宋体" w:hAnsi="宋体" w:eastAsia="宋体"/>
                <w:color w:val="auto"/>
                <w:sz w:val="24"/>
                <w:szCs w:val="24"/>
                <w:highlight w:val="none"/>
              </w:rPr>
              <w:t>、</w:t>
            </w:r>
            <w:r>
              <w:rPr>
                <w:rFonts w:ascii="宋体" w:hAnsi="宋体" w:eastAsia="宋体"/>
                <w:color w:val="auto"/>
                <w:sz w:val="24"/>
                <w:szCs w:val="24"/>
                <w:highlight w:val="none"/>
              </w:rPr>
              <w:t>单向交换机制</w:t>
            </w:r>
            <w:r>
              <w:rPr>
                <w:rFonts w:hint="eastAsia" w:ascii="宋体" w:hAnsi="宋体" w:eastAsia="宋体"/>
                <w:color w:val="auto"/>
                <w:sz w:val="24"/>
                <w:szCs w:val="24"/>
                <w:highlight w:val="none"/>
              </w:rPr>
              <w:t>、</w:t>
            </w:r>
            <w:r>
              <w:rPr>
                <w:rFonts w:ascii="宋体" w:hAnsi="宋体" w:eastAsia="宋体"/>
                <w:color w:val="auto"/>
                <w:sz w:val="24"/>
                <w:szCs w:val="24"/>
                <w:highlight w:val="none"/>
              </w:rPr>
              <w:t>双向交换机制</w:t>
            </w:r>
            <w:r>
              <w:rPr>
                <w:rFonts w:hint="eastAsia" w:ascii="宋体" w:hAnsi="宋体" w:eastAsia="宋体"/>
                <w:color w:val="auto"/>
                <w:sz w:val="24"/>
                <w:szCs w:val="24"/>
                <w:highlight w:val="none"/>
              </w:rPr>
              <w:t>、</w:t>
            </w:r>
            <w:r>
              <w:rPr>
                <w:rFonts w:ascii="宋体" w:hAnsi="宋体" w:eastAsia="宋体"/>
                <w:color w:val="auto"/>
                <w:sz w:val="24"/>
                <w:szCs w:val="24"/>
                <w:highlight w:val="none"/>
              </w:rPr>
              <w:t>服务注册代理及检索</w:t>
            </w:r>
            <w:r>
              <w:rPr>
                <w:rFonts w:hint="eastAsia" w:ascii="宋体" w:hAnsi="宋体" w:eastAsia="宋体"/>
                <w:color w:val="auto"/>
                <w:sz w:val="24"/>
                <w:szCs w:val="24"/>
                <w:highlight w:val="none"/>
              </w:rPr>
              <w:t>。</w:t>
            </w:r>
          </w:p>
        </w:tc>
      </w:tr>
    </w:tbl>
    <w:p>
      <w:pPr>
        <w:pStyle w:val="8"/>
        <w:numPr>
          <w:ilvl w:val="2"/>
          <w:numId w:val="3"/>
        </w:numPr>
        <w:spacing w:line="360" w:lineRule="auto"/>
        <w:jc w:val="left"/>
        <w:rPr>
          <w:rFonts w:ascii="宋体" w:hAnsi="宋体" w:eastAsia="宋体"/>
          <w:color w:val="auto"/>
          <w:spacing w:val="15"/>
          <w:sz w:val="24"/>
          <w:szCs w:val="24"/>
          <w:highlight w:val="none"/>
        </w:rPr>
      </w:pPr>
      <w:bookmarkStart w:id="9" w:name="_Toc21183153"/>
      <w:r>
        <w:rPr>
          <w:rFonts w:ascii="宋体" w:hAnsi="宋体" w:eastAsia="宋体"/>
          <w:color w:val="auto"/>
          <w:spacing w:val="15"/>
          <w:sz w:val="24"/>
          <w:szCs w:val="24"/>
          <w:highlight w:val="none"/>
        </w:rPr>
        <w:t>健康档案浏览器</w:t>
      </w:r>
      <w:bookmarkEnd w:id="9"/>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健康档案浏览器是为终端用户提供的基于</w:t>
            </w:r>
            <w:r>
              <w:rPr>
                <w:rFonts w:ascii="宋体" w:hAnsi="宋体" w:eastAsia="宋体"/>
                <w:color w:val="auto"/>
                <w:sz w:val="24"/>
                <w:szCs w:val="24"/>
                <w:highlight w:val="none"/>
              </w:rPr>
              <w:t xml:space="preserve"> web 的访问个人电子健康记录的应用程序，采用 HTML 静态化健康档案页面的方式将居民的医疗卫生活动进行组装展示。健康档案浏览器仅提供只读服务，无法修改数据。</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主要功能包括：</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.健康档案浏览器的显示窗口可以被嵌入 Windows 平台的应用程序。</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.健康档案浏览器可以引用所被嵌入的应用程序的验证机制，直接通过Provider Registry 的映射完成验证。</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.健康档案浏览器的认证和 Consent 是直接通过中心的服务完成，与所嵌入的应用程序的配置无关。</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.健康档案浏览器可以引用所被嵌入的应用程序的当前居民信息，通过ClientRegistry 读取相关记录。</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.可以通过医共体信息平台来搜索、访问患者的全面的医疗记录。</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ascii="宋体" w:hAnsi="宋体" w:eastAsia="宋体"/>
                <w:color w:val="auto"/>
                <w:sz w:val="24"/>
                <w:szCs w:val="24"/>
                <w:highlight w:val="none"/>
              </w:rPr>
              <w:t>.健康档案浏览器可以对居民医疗记录进行重新排序、归类等工作，但不能直接更新医疗记录。</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w:t>
            </w:r>
            <w:r>
              <w:rPr>
                <w:rFonts w:ascii="宋体" w:hAnsi="宋体" w:eastAsia="宋体"/>
                <w:color w:val="auto"/>
                <w:sz w:val="24"/>
                <w:szCs w:val="24"/>
                <w:highlight w:val="none"/>
              </w:rPr>
              <w:t>.所有调阅信息是通过中心的服务得到，不能直接调阅所嵌入的应用程序的本地数据。</w:t>
            </w:r>
          </w:p>
        </w:tc>
      </w:tr>
    </w:tbl>
    <w:p>
      <w:pPr>
        <w:pStyle w:val="8"/>
        <w:numPr>
          <w:ilvl w:val="2"/>
          <w:numId w:val="3"/>
        </w:numPr>
        <w:spacing w:line="360" w:lineRule="auto"/>
        <w:jc w:val="left"/>
        <w:rPr>
          <w:rFonts w:ascii="宋体" w:hAnsi="宋体" w:eastAsia="宋体"/>
          <w:color w:val="auto"/>
          <w:spacing w:val="15"/>
          <w:sz w:val="24"/>
          <w:szCs w:val="24"/>
          <w:highlight w:val="none"/>
        </w:rPr>
      </w:pPr>
      <w:bookmarkStart w:id="10" w:name="_Toc21183154"/>
      <w:r>
        <w:rPr>
          <w:rFonts w:hint="eastAsia" w:ascii="宋体" w:hAnsi="宋体" w:eastAsia="宋体"/>
          <w:color w:val="auto"/>
          <w:spacing w:val="15"/>
          <w:sz w:val="24"/>
          <w:szCs w:val="24"/>
          <w:highlight w:val="none"/>
        </w:rPr>
        <w:t>医共体一卡通系统</w:t>
      </w:r>
      <w:bookmarkEnd w:id="10"/>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建设医共体一卡通系统，实现居民健康卡在医疗卫生领域的应用，有效共享居民信息、电子健康档案和电子病历信息，实现跨区域跨机构就医和费用结算，促进居民电子健康信息动态实时更新，强化个人健康与疾病监测管理，构建优化、规范、共享、互信的诊疗流程。</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医共体内居民与医疗机构之间、不同医疗机构之间、医疗机构与相关部门之间的信息互通共享，实现许昌市居民健康卡在医共体内各级医疗卫生机构内一卡通用和居民医疗卫生服务一卡通用。</w:t>
            </w:r>
          </w:p>
        </w:tc>
      </w:tr>
    </w:tbl>
    <w:p>
      <w:pPr>
        <w:pStyle w:val="8"/>
        <w:numPr>
          <w:ilvl w:val="2"/>
          <w:numId w:val="3"/>
        </w:numPr>
        <w:spacing w:line="360" w:lineRule="auto"/>
        <w:rPr>
          <w:rFonts w:ascii="宋体" w:hAnsi="宋体" w:eastAsia="宋体"/>
          <w:color w:val="auto"/>
          <w:sz w:val="24"/>
          <w:szCs w:val="24"/>
          <w:highlight w:val="none"/>
        </w:rPr>
      </w:pPr>
      <w:bookmarkStart w:id="11" w:name="_Toc21183155"/>
      <w:r>
        <w:rPr>
          <w:rFonts w:hint="eastAsia" w:ascii="宋体" w:hAnsi="宋体" w:eastAsia="宋体"/>
          <w:color w:val="auto"/>
          <w:sz w:val="24"/>
          <w:szCs w:val="24"/>
          <w:highlight w:val="none"/>
        </w:rPr>
        <w:t>分级诊疗平台</w:t>
      </w:r>
      <w:bookmarkEnd w:id="11"/>
    </w:p>
    <w:p>
      <w:pPr>
        <w:pStyle w:val="9"/>
        <w:numPr>
          <w:ilvl w:val="3"/>
          <w:numId w:val="3"/>
        </w:numPr>
        <w:spacing w:line="360" w:lineRule="auto"/>
        <w:rPr>
          <w:rFonts w:ascii="宋体" w:hAnsi="宋体"/>
          <w:color w:val="auto"/>
          <w:sz w:val="24"/>
          <w:szCs w:val="24"/>
          <w:highlight w:val="none"/>
        </w:rPr>
      </w:pPr>
      <w:r>
        <w:rPr>
          <w:rFonts w:ascii="宋体" w:hAnsi="宋体"/>
          <w:color w:val="auto"/>
          <w:sz w:val="24"/>
          <w:szCs w:val="24"/>
          <w:highlight w:val="none"/>
        </w:rPr>
        <w:t>双向转诊</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双向转诊系统实现居民在</w:t>
            </w:r>
            <w:r>
              <w:rPr>
                <w:rFonts w:hint="eastAsia" w:ascii="宋体" w:hAnsi="宋体" w:eastAsia="宋体"/>
                <w:color w:val="auto"/>
                <w:sz w:val="24"/>
                <w:szCs w:val="24"/>
                <w:highlight w:val="none"/>
              </w:rPr>
              <w:t>基层医疗机构</w:t>
            </w:r>
            <w:r>
              <w:rPr>
                <w:rFonts w:ascii="宋体" w:hAnsi="宋体" w:eastAsia="宋体"/>
                <w:color w:val="auto"/>
                <w:sz w:val="24"/>
                <w:szCs w:val="24"/>
                <w:highlight w:val="none"/>
              </w:rPr>
              <w:t>就诊后，经</w:t>
            </w:r>
            <w:r>
              <w:rPr>
                <w:rFonts w:hint="eastAsia" w:ascii="宋体" w:hAnsi="宋体" w:eastAsia="宋体"/>
                <w:color w:val="auto"/>
                <w:sz w:val="24"/>
                <w:szCs w:val="24"/>
                <w:highlight w:val="none"/>
              </w:rPr>
              <w:t>基层医疗机构</w:t>
            </w:r>
            <w:r>
              <w:rPr>
                <w:rFonts w:ascii="宋体" w:hAnsi="宋体" w:eastAsia="宋体"/>
                <w:color w:val="auto"/>
                <w:sz w:val="24"/>
                <w:szCs w:val="24"/>
                <w:highlight w:val="none"/>
              </w:rPr>
              <w:t>向上级医院转诊</w:t>
            </w:r>
            <w:r>
              <w:rPr>
                <w:rFonts w:hint="eastAsia" w:ascii="宋体" w:hAnsi="宋体" w:eastAsia="宋体"/>
                <w:color w:val="auto"/>
                <w:sz w:val="24"/>
                <w:szCs w:val="24"/>
                <w:highlight w:val="none"/>
              </w:rPr>
              <w:t>。</w:t>
            </w:r>
            <w:r>
              <w:rPr>
                <w:rFonts w:ascii="宋体" w:hAnsi="宋体" w:eastAsia="宋体"/>
                <w:color w:val="auto"/>
                <w:sz w:val="24"/>
                <w:szCs w:val="24"/>
                <w:highlight w:val="none"/>
              </w:rPr>
              <w:t>居民到上级医院就诊时，医院的医师能够通过健康档案浏览器调阅到该居民在</w:t>
            </w:r>
            <w:r>
              <w:rPr>
                <w:rFonts w:hint="eastAsia" w:ascii="宋体" w:hAnsi="宋体" w:eastAsia="宋体"/>
                <w:color w:val="auto"/>
                <w:sz w:val="24"/>
                <w:szCs w:val="24"/>
                <w:highlight w:val="none"/>
              </w:rPr>
              <w:t>基层医疗机构</w:t>
            </w:r>
            <w:r>
              <w:rPr>
                <w:rFonts w:ascii="宋体" w:hAnsi="宋体" w:eastAsia="宋体"/>
                <w:color w:val="auto"/>
                <w:sz w:val="24"/>
                <w:szCs w:val="24"/>
                <w:highlight w:val="none"/>
              </w:rPr>
              <w:t>就诊时的检验/检查报告、电子病历信息等。同时双向转诊</w:t>
            </w:r>
            <w:r>
              <w:rPr>
                <w:rFonts w:hint="eastAsia" w:ascii="宋体" w:hAnsi="宋体" w:eastAsia="宋体"/>
                <w:color w:val="auto"/>
                <w:sz w:val="24"/>
                <w:szCs w:val="24"/>
                <w:highlight w:val="none"/>
              </w:rPr>
              <w:t>支持由</w:t>
            </w:r>
            <w:r>
              <w:rPr>
                <w:rFonts w:ascii="宋体" w:hAnsi="宋体" w:eastAsia="宋体"/>
                <w:color w:val="auto"/>
                <w:sz w:val="24"/>
                <w:szCs w:val="24"/>
                <w:highlight w:val="none"/>
              </w:rPr>
              <w:t>上级医院转向</w:t>
            </w:r>
            <w:r>
              <w:rPr>
                <w:rFonts w:hint="eastAsia" w:ascii="宋体" w:hAnsi="宋体" w:eastAsia="宋体"/>
                <w:color w:val="auto"/>
                <w:sz w:val="24"/>
                <w:szCs w:val="24"/>
                <w:highlight w:val="none"/>
              </w:rPr>
              <w:t>基层医疗机构</w:t>
            </w:r>
            <w:r>
              <w:rPr>
                <w:rFonts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系统须具备以下功能</w:t>
            </w:r>
            <w:r>
              <w:rPr>
                <w:rFonts w:hint="eastAsia"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转诊事务管理 </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双向转诊系统必须能够支撑转出医院和转入医院之间，或转出医院和转入医院之间转诊业务的管理，其中主要的业务需求必须包括转诊计划的设定和转诊的相关审批。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 xml:space="preserve">转诊临床信息共享 </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转诊临床信息共享必须能提供相关的居民基本信息、疾病信息、诊断信息、用药信息、检验信息、检查信息等。</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转诊相关医疗资源管理 </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对医生、床位、设备、药品等可利用的资源之信息进行维护、统计、调配、分析。在发起转诊请求时，可以了解资源存量的实时信息，确保转诊成功。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注册服务</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主要包括</w:t>
            </w:r>
            <w:r>
              <w:rPr>
                <w:rFonts w:ascii="宋体" w:hAnsi="宋体" w:eastAsia="宋体"/>
                <w:color w:val="auto"/>
                <w:sz w:val="24"/>
                <w:szCs w:val="24"/>
                <w:highlight w:val="none"/>
              </w:rPr>
              <w:t>个人注册服务</w:t>
            </w:r>
            <w:r>
              <w:rPr>
                <w:rFonts w:hint="eastAsia" w:ascii="宋体" w:hAnsi="宋体" w:eastAsia="宋体"/>
                <w:color w:val="auto"/>
                <w:sz w:val="24"/>
                <w:szCs w:val="24"/>
                <w:highlight w:val="none"/>
              </w:rPr>
              <w:t>、</w:t>
            </w:r>
            <w:r>
              <w:rPr>
                <w:rFonts w:ascii="宋体" w:hAnsi="宋体" w:eastAsia="宋体"/>
                <w:color w:val="auto"/>
                <w:sz w:val="24"/>
                <w:szCs w:val="24"/>
                <w:highlight w:val="none"/>
              </w:rPr>
              <w:t>医疗卫生人员注册服务</w:t>
            </w:r>
            <w:r>
              <w:rPr>
                <w:rFonts w:hint="eastAsia" w:ascii="宋体" w:hAnsi="宋体" w:eastAsia="宋体"/>
                <w:color w:val="auto"/>
                <w:sz w:val="24"/>
                <w:szCs w:val="24"/>
                <w:highlight w:val="none"/>
              </w:rPr>
              <w:t>、</w:t>
            </w:r>
            <w:r>
              <w:rPr>
                <w:rFonts w:ascii="宋体" w:hAnsi="宋体" w:eastAsia="宋体"/>
                <w:color w:val="auto"/>
                <w:sz w:val="24"/>
                <w:szCs w:val="24"/>
                <w:highlight w:val="none"/>
              </w:rPr>
              <w:t>医疗卫生</w:t>
            </w:r>
            <w:r>
              <w:rPr>
                <w:rFonts w:hint="eastAsia" w:ascii="宋体" w:hAnsi="宋体" w:eastAsia="宋体"/>
                <w:color w:val="auto"/>
                <w:sz w:val="24"/>
                <w:szCs w:val="24"/>
                <w:highlight w:val="none"/>
              </w:rPr>
              <w:t>机构</w:t>
            </w:r>
            <w:r>
              <w:rPr>
                <w:rFonts w:ascii="宋体" w:hAnsi="宋体" w:eastAsia="宋体"/>
                <w:color w:val="auto"/>
                <w:sz w:val="24"/>
                <w:szCs w:val="24"/>
                <w:highlight w:val="none"/>
              </w:rPr>
              <w:t>注册服务</w:t>
            </w:r>
            <w:r>
              <w:rPr>
                <w:rFonts w:hint="eastAsia" w:ascii="宋体" w:hAnsi="宋体" w:eastAsia="宋体"/>
                <w:color w:val="auto"/>
                <w:sz w:val="24"/>
                <w:szCs w:val="24"/>
                <w:highlight w:val="none"/>
              </w:rPr>
              <w:t>、</w:t>
            </w:r>
            <w:r>
              <w:rPr>
                <w:rFonts w:ascii="宋体" w:hAnsi="宋体" w:eastAsia="宋体"/>
                <w:color w:val="auto"/>
                <w:sz w:val="24"/>
                <w:szCs w:val="24"/>
                <w:highlight w:val="none"/>
              </w:rPr>
              <w:t>术语字典注册服务</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转诊条件管理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主要包括</w:t>
            </w:r>
            <w:r>
              <w:rPr>
                <w:rFonts w:ascii="宋体" w:hAnsi="宋体" w:eastAsia="宋体"/>
                <w:color w:val="auto"/>
                <w:sz w:val="24"/>
                <w:szCs w:val="24"/>
                <w:highlight w:val="none"/>
              </w:rPr>
              <w:t>上转条件、下转条件管理</w:t>
            </w:r>
            <w:r>
              <w:rPr>
                <w:rFonts w:hint="eastAsia" w:ascii="宋体" w:hAnsi="宋体" w:eastAsia="宋体"/>
                <w:color w:val="auto"/>
                <w:sz w:val="24"/>
                <w:szCs w:val="24"/>
                <w:highlight w:val="none"/>
              </w:rPr>
              <w:t>，及</w:t>
            </w:r>
            <w:r>
              <w:rPr>
                <w:rFonts w:ascii="宋体" w:hAnsi="宋体" w:eastAsia="宋体"/>
                <w:color w:val="auto"/>
                <w:sz w:val="24"/>
                <w:szCs w:val="24"/>
                <w:highlight w:val="none"/>
              </w:rPr>
              <w:t>双向转诊协议书管理</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双向转诊管理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病患在基层医疗机构接受诊治后，经诊断因病情和诊疗需要确需转诊的，基层医生填写《双向转诊转出单》，然后向转入医疗机构提出转诊申请</w:t>
            </w:r>
            <w:r>
              <w:rPr>
                <w:rFonts w:hint="eastAsia" w:ascii="宋体" w:hAnsi="宋体" w:eastAsia="宋体"/>
                <w:color w:val="auto"/>
                <w:sz w:val="24"/>
                <w:szCs w:val="24"/>
                <w:highlight w:val="none"/>
              </w:rPr>
              <w:t>，主要包括</w:t>
            </w:r>
            <w:r>
              <w:rPr>
                <w:rFonts w:ascii="宋体" w:hAnsi="宋体" w:eastAsia="宋体"/>
                <w:color w:val="auto"/>
                <w:sz w:val="24"/>
                <w:szCs w:val="24"/>
                <w:highlight w:val="none"/>
              </w:rPr>
              <w:t>转诊推荐</w:t>
            </w:r>
            <w:r>
              <w:rPr>
                <w:rFonts w:hint="eastAsia" w:ascii="宋体" w:hAnsi="宋体" w:eastAsia="宋体"/>
                <w:color w:val="auto"/>
                <w:sz w:val="24"/>
                <w:szCs w:val="24"/>
                <w:highlight w:val="none"/>
              </w:rPr>
              <w:t>、</w:t>
            </w:r>
            <w:r>
              <w:rPr>
                <w:rFonts w:ascii="宋体" w:hAnsi="宋体" w:eastAsia="宋体"/>
                <w:color w:val="auto"/>
                <w:sz w:val="24"/>
                <w:szCs w:val="24"/>
                <w:highlight w:val="none"/>
              </w:rPr>
              <w:t>上转管理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下转管理</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双向转诊考核管理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具体功能包括评价考核指标管理、评价信息维护、考核评价、考核信息查询</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双向转诊统计</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主要</w:t>
            </w:r>
            <w:r>
              <w:rPr>
                <w:rFonts w:ascii="宋体" w:hAnsi="宋体" w:eastAsia="宋体"/>
                <w:color w:val="auto"/>
                <w:sz w:val="24"/>
                <w:szCs w:val="24"/>
                <w:highlight w:val="none"/>
              </w:rPr>
              <w:t>包括上转月报、下转月报、上转年报、下转年报</w:t>
            </w:r>
            <w:r>
              <w:rPr>
                <w:rFonts w:hint="eastAsia" w:ascii="宋体" w:hAnsi="宋体" w:eastAsia="宋体"/>
                <w:color w:val="auto"/>
                <w:sz w:val="24"/>
                <w:szCs w:val="24"/>
                <w:highlight w:val="none"/>
              </w:rPr>
              <w:t>。</w:t>
            </w:r>
          </w:p>
        </w:tc>
      </w:tr>
    </w:tbl>
    <w:p>
      <w:pPr>
        <w:pStyle w:val="8"/>
        <w:numPr>
          <w:ilvl w:val="2"/>
          <w:numId w:val="3"/>
        </w:numPr>
        <w:spacing w:line="360" w:lineRule="auto"/>
        <w:rPr>
          <w:rFonts w:ascii="宋体" w:hAnsi="宋体" w:eastAsia="宋体"/>
          <w:color w:val="auto"/>
          <w:sz w:val="24"/>
          <w:szCs w:val="24"/>
          <w:highlight w:val="none"/>
        </w:rPr>
      </w:pPr>
      <w:bookmarkStart w:id="12" w:name="_Toc21183156"/>
      <w:r>
        <w:rPr>
          <w:rFonts w:ascii="宋体" w:hAnsi="宋体" w:eastAsia="宋体"/>
          <w:color w:val="auto"/>
          <w:spacing w:val="15"/>
          <w:sz w:val="24"/>
          <w:szCs w:val="24"/>
          <w:highlight w:val="none"/>
        </w:rPr>
        <w:t>医</w:t>
      </w:r>
      <w:r>
        <w:rPr>
          <w:rFonts w:ascii="宋体" w:hAnsi="宋体" w:eastAsia="宋体"/>
          <w:color w:val="auto"/>
          <w:sz w:val="24"/>
          <w:szCs w:val="24"/>
          <w:highlight w:val="none"/>
        </w:rPr>
        <w:t>疗</w:t>
      </w:r>
      <w:r>
        <w:rPr>
          <w:rFonts w:ascii="宋体" w:hAnsi="宋体" w:eastAsia="宋体"/>
          <w:color w:val="auto"/>
          <w:spacing w:val="1"/>
          <w:sz w:val="24"/>
          <w:szCs w:val="24"/>
          <w:highlight w:val="none"/>
        </w:rPr>
        <w:t>服</w:t>
      </w:r>
      <w:r>
        <w:rPr>
          <w:rFonts w:ascii="宋体" w:hAnsi="宋体" w:eastAsia="宋体"/>
          <w:color w:val="auto"/>
          <w:sz w:val="24"/>
          <w:szCs w:val="24"/>
          <w:highlight w:val="none"/>
        </w:rPr>
        <w:t>务</w:t>
      </w:r>
      <w:r>
        <w:rPr>
          <w:rFonts w:ascii="宋体" w:hAnsi="宋体" w:eastAsia="宋体"/>
          <w:color w:val="auto"/>
          <w:spacing w:val="1"/>
          <w:sz w:val="24"/>
          <w:szCs w:val="24"/>
          <w:highlight w:val="none"/>
        </w:rPr>
        <w:t>业</w:t>
      </w:r>
      <w:r>
        <w:rPr>
          <w:rFonts w:ascii="宋体" w:hAnsi="宋体" w:eastAsia="宋体"/>
          <w:color w:val="auto"/>
          <w:spacing w:val="15"/>
          <w:sz w:val="24"/>
          <w:szCs w:val="24"/>
          <w:highlight w:val="none"/>
        </w:rPr>
        <w:t>务</w:t>
      </w:r>
      <w:r>
        <w:rPr>
          <w:rFonts w:ascii="宋体" w:hAnsi="宋体" w:eastAsia="宋体"/>
          <w:color w:val="auto"/>
          <w:sz w:val="24"/>
          <w:szCs w:val="24"/>
          <w:highlight w:val="none"/>
        </w:rPr>
        <w:t>协</w:t>
      </w:r>
      <w:r>
        <w:rPr>
          <w:rFonts w:ascii="宋体" w:hAnsi="宋体" w:eastAsia="宋体"/>
          <w:color w:val="auto"/>
          <w:spacing w:val="1"/>
          <w:sz w:val="24"/>
          <w:szCs w:val="24"/>
          <w:highlight w:val="none"/>
        </w:rPr>
        <w:t>同</w:t>
      </w:r>
      <w:r>
        <w:rPr>
          <w:rFonts w:ascii="宋体" w:hAnsi="宋体" w:eastAsia="宋体"/>
          <w:color w:val="auto"/>
          <w:sz w:val="24"/>
          <w:szCs w:val="24"/>
          <w:highlight w:val="none"/>
        </w:rPr>
        <w:t>应用</w:t>
      </w:r>
      <w:bookmarkEnd w:id="12"/>
    </w:p>
    <w:p>
      <w:pPr>
        <w:pStyle w:val="9"/>
        <w:numPr>
          <w:ilvl w:val="3"/>
          <w:numId w:val="3"/>
        </w:numPr>
        <w:spacing w:line="360" w:lineRule="auto"/>
        <w:rPr>
          <w:rFonts w:ascii="宋体" w:hAnsi="宋体"/>
          <w:color w:val="auto"/>
          <w:sz w:val="24"/>
          <w:szCs w:val="24"/>
          <w:highlight w:val="none"/>
        </w:rPr>
      </w:pPr>
      <w:r>
        <w:rPr>
          <w:rFonts w:ascii="宋体" w:hAnsi="宋体"/>
          <w:color w:val="auto"/>
          <w:sz w:val="24"/>
          <w:szCs w:val="24"/>
          <w:highlight w:val="none"/>
        </w:rPr>
        <w:t>远</w:t>
      </w:r>
      <w:r>
        <w:rPr>
          <w:rFonts w:ascii="宋体" w:hAnsi="宋体"/>
          <w:color w:val="auto"/>
          <w:spacing w:val="1"/>
          <w:sz w:val="24"/>
          <w:szCs w:val="24"/>
          <w:highlight w:val="none"/>
        </w:rPr>
        <w:t>程</w:t>
      </w:r>
      <w:r>
        <w:rPr>
          <w:rFonts w:ascii="宋体" w:hAnsi="宋体"/>
          <w:color w:val="auto"/>
          <w:sz w:val="24"/>
          <w:szCs w:val="24"/>
          <w:highlight w:val="none"/>
        </w:rPr>
        <w:t>会</w:t>
      </w:r>
      <w:r>
        <w:rPr>
          <w:rFonts w:ascii="宋体" w:hAnsi="宋体"/>
          <w:color w:val="auto"/>
          <w:spacing w:val="1"/>
          <w:sz w:val="24"/>
          <w:szCs w:val="24"/>
          <w:highlight w:val="none"/>
        </w:rPr>
        <w:t>诊</w:t>
      </w:r>
      <w:r>
        <w:rPr>
          <w:rFonts w:ascii="宋体" w:hAnsi="宋体"/>
          <w:color w:val="auto"/>
          <w:spacing w:val="15"/>
          <w:sz w:val="24"/>
          <w:szCs w:val="24"/>
          <w:highlight w:val="none"/>
        </w:rPr>
        <w:t>系</w:t>
      </w:r>
      <w:r>
        <w:rPr>
          <w:rFonts w:ascii="宋体" w:hAnsi="宋体"/>
          <w:color w:val="auto"/>
          <w:sz w:val="24"/>
          <w:szCs w:val="24"/>
          <w:highlight w:val="none"/>
        </w:rPr>
        <w:t>统</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建立远程会诊系统，实现远程会诊申请、远程会诊、治疗措施、会诊评价等功能。基层医生在治疗居民时需要寻求上级医院医生帮助时，可以通过远程会诊平台向上级医疗机构填写远程会诊申请：</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如果是门诊远程会诊会直接进入上级医院的远程会诊室，有相应的医生负责全天接诊；</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如果是住院远程会诊则会到达相应申请科室，由专门负责分诊的工作人员来确认会诊专家进行远程会诊。</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会诊专家可以登录远程会诊平台通过视频的方式进行远程会诊，在会诊过程中，专家可以通过平台看到居民的申请信息、病历、检验检查报告，健康档案等信息。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预约管理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主要实现对用户的在线预约申请</w:t>
            </w:r>
            <w:r>
              <w:rPr>
                <w:rFonts w:hint="eastAsia" w:ascii="宋体" w:hAnsi="宋体" w:eastAsia="宋体"/>
                <w:color w:val="auto"/>
                <w:sz w:val="24"/>
                <w:szCs w:val="24"/>
                <w:highlight w:val="none"/>
              </w:rPr>
              <w:t>、</w:t>
            </w:r>
            <w:r>
              <w:rPr>
                <w:rFonts w:ascii="宋体" w:hAnsi="宋体" w:eastAsia="宋体"/>
                <w:color w:val="auto"/>
                <w:sz w:val="24"/>
                <w:szCs w:val="24"/>
                <w:highlight w:val="none"/>
              </w:rPr>
              <w:t>在线预约接收</w:t>
            </w:r>
            <w:r>
              <w:rPr>
                <w:rFonts w:hint="eastAsia" w:ascii="宋体" w:hAnsi="宋体" w:eastAsia="宋体"/>
                <w:color w:val="auto"/>
                <w:sz w:val="24"/>
                <w:szCs w:val="24"/>
                <w:highlight w:val="none"/>
              </w:rPr>
              <w:t>、</w:t>
            </w:r>
            <w:r>
              <w:rPr>
                <w:rFonts w:ascii="宋体" w:hAnsi="宋体" w:eastAsia="宋体"/>
                <w:color w:val="auto"/>
                <w:sz w:val="24"/>
                <w:szCs w:val="24"/>
                <w:highlight w:val="none"/>
              </w:rPr>
              <w:t>在线预约审核和在线预约安排及预约通知等功能。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会诊管理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主要应包括会诊管理和视频会诊管理模块。</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1．会诊管理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用于会诊过程管理和控制，包括会诊申请、会诊安排、会诊提醒、诊疗档案预备和调转、会诊开展、会诊审计、会诊费用核算、会诊结束处理等功能。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2．视频会议管理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专家与居民（包括求诊方医生）同时进入各自医院内设置好的会议室，通过音频视频设备以及视频会议系统进行交流，会诊双方实现基于实时音、视频的互动联系。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专家管理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用户登录系统后能够查看到所需专家的基本信息。具有权限的用户可以进行专家信息的维护，包括增加、删除、修改等功能。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会诊辅助管理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包括历史记录、相关内容统计、居民追踪、公告和发送文件、转院申请、专家评价等功能。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系统管理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包括权限设置</w:t>
            </w:r>
            <w:r>
              <w:rPr>
                <w:rFonts w:hint="eastAsia" w:ascii="宋体" w:hAnsi="宋体" w:eastAsia="宋体"/>
                <w:color w:val="auto"/>
                <w:sz w:val="24"/>
                <w:szCs w:val="24"/>
                <w:highlight w:val="none"/>
              </w:rPr>
              <w:t>、</w:t>
            </w:r>
            <w:r>
              <w:rPr>
                <w:rFonts w:ascii="宋体" w:hAnsi="宋体" w:eastAsia="宋体"/>
                <w:color w:val="auto"/>
                <w:sz w:val="24"/>
                <w:szCs w:val="24"/>
                <w:highlight w:val="none"/>
              </w:rPr>
              <w:t>机构设置和人员分配等功能。此部分包括普通用户权限设置</w:t>
            </w:r>
            <w:r>
              <w:rPr>
                <w:rFonts w:hint="eastAsia" w:ascii="宋体" w:hAnsi="宋体" w:eastAsia="宋体"/>
                <w:color w:val="auto"/>
                <w:sz w:val="24"/>
                <w:szCs w:val="24"/>
                <w:highlight w:val="none"/>
              </w:rPr>
              <w:t>、</w:t>
            </w:r>
            <w:r>
              <w:rPr>
                <w:rFonts w:ascii="宋体" w:hAnsi="宋体" w:eastAsia="宋体"/>
                <w:color w:val="auto"/>
                <w:sz w:val="24"/>
                <w:szCs w:val="24"/>
                <w:highlight w:val="none"/>
              </w:rPr>
              <w:t>居民权限设置和参与医院权限设置及专家权限设置等；机构设置则是对远程会诊系统中参与医院级别的设置；人员分配主要是远程会诊系统中参与人员的安排，包括系统管理员的人数</w:t>
            </w:r>
            <w:r>
              <w:rPr>
                <w:rFonts w:hint="eastAsia" w:ascii="宋体" w:hAnsi="宋体" w:eastAsia="宋体"/>
                <w:color w:val="auto"/>
                <w:sz w:val="24"/>
                <w:szCs w:val="24"/>
                <w:highlight w:val="none"/>
              </w:rPr>
              <w:t>、</w:t>
            </w:r>
            <w:r>
              <w:rPr>
                <w:rFonts w:ascii="宋体" w:hAnsi="宋体" w:eastAsia="宋体"/>
                <w:color w:val="auto"/>
                <w:sz w:val="24"/>
                <w:szCs w:val="24"/>
                <w:highlight w:val="none"/>
              </w:rPr>
              <w:t>责任及时间等的安排。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远程诊疗业务管理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主要包括</w:t>
            </w:r>
            <w:r>
              <w:rPr>
                <w:rFonts w:ascii="宋体" w:hAnsi="宋体" w:eastAsia="宋体"/>
                <w:color w:val="auto"/>
                <w:sz w:val="24"/>
                <w:szCs w:val="24"/>
                <w:highlight w:val="none"/>
              </w:rPr>
              <w:t>远程诊疗资源管理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资质管理</w:t>
            </w:r>
            <w:r>
              <w:rPr>
                <w:rFonts w:hint="eastAsia" w:ascii="宋体" w:hAnsi="宋体" w:eastAsia="宋体"/>
                <w:color w:val="auto"/>
                <w:sz w:val="24"/>
                <w:szCs w:val="24"/>
                <w:highlight w:val="none"/>
              </w:rPr>
              <w:t>、</w:t>
            </w:r>
            <w:r>
              <w:rPr>
                <w:rFonts w:ascii="宋体" w:hAnsi="宋体" w:eastAsia="宋体"/>
                <w:color w:val="auto"/>
                <w:sz w:val="24"/>
                <w:szCs w:val="24"/>
                <w:highlight w:val="none"/>
              </w:rPr>
              <w:t>计费支付管理</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远程诊疗业务流程管理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主要包括</w:t>
            </w:r>
            <w:r>
              <w:rPr>
                <w:rFonts w:ascii="宋体" w:hAnsi="宋体" w:eastAsia="宋体"/>
                <w:color w:val="auto"/>
                <w:sz w:val="24"/>
                <w:szCs w:val="24"/>
                <w:highlight w:val="none"/>
              </w:rPr>
              <w:t>远程诊疗计划</w:t>
            </w:r>
            <w:r>
              <w:rPr>
                <w:rFonts w:hint="eastAsia" w:ascii="宋体" w:hAnsi="宋体" w:eastAsia="宋体"/>
                <w:color w:val="auto"/>
                <w:sz w:val="24"/>
                <w:szCs w:val="24"/>
                <w:highlight w:val="none"/>
              </w:rPr>
              <w:t>、</w:t>
            </w:r>
            <w:r>
              <w:rPr>
                <w:rFonts w:ascii="宋体" w:hAnsi="宋体" w:eastAsia="宋体"/>
                <w:color w:val="auto"/>
                <w:sz w:val="24"/>
                <w:szCs w:val="24"/>
                <w:highlight w:val="none"/>
              </w:rPr>
              <w:t>远程诊疗报告</w:t>
            </w:r>
            <w:r>
              <w:rPr>
                <w:rFonts w:hint="eastAsia" w:ascii="宋体" w:hAnsi="宋体" w:eastAsia="宋体"/>
                <w:color w:val="auto"/>
                <w:sz w:val="24"/>
                <w:szCs w:val="24"/>
                <w:highlight w:val="none"/>
              </w:rPr>
              <w:t>、</w:t>
            </w:r>
            <w:r>
              <w:rPr>
                <w:rFonts w:ascii="宋体" w:hAnsi="宋体" w:eastAsia="宋体"/>
                <w:color w:val="auto"/>
                <w:sz w:val="24"/>
                <w:szCs w:val="24"/>
                <w:highlight w:val="none"/>
              </w:rPr>
              <w:t>远程数据通信</w:t>
            </w:r>
            <w:r>
              <w:rPr>
                <w:rFonts w:hint="eastAsia" w:ascii="宋体" w:hAnsi="宋体" w:eastAsia="宋体"/>
                <w:color w:val="auto"/>
                <w:sz w:val="24"/>
                <w:szCs w:val="24"/>
                <w:highlight w:val="none"/>
              </w:rPr>
              <w:t>。</w:t>
            </w:r>
          </w:p>
        </w:tc>
      </w:tr>
    </w:tbl>
    <w:p>
      <w:pPr>
        <w:pStyle w:val="9"/>
        <w:numPr>
          <w:ilvl w:val="3"/>
          <w:numId w:val="3"/>
        </w:numPr>
        <w:spacing w:line="360" w:lineRule="auto"/>
        <w:rPr>
          <w:rFonts w:ascii="宋体" w:hAnsi="宋体"/>
          <w:color w:val="auto"/>
          <w:sz w:val="24"/>
          <w:szCs w:val="24"/>
          <w:highlight w:val="none"/>
        </w:rPr>
      </w:pPr>
      <w:r>
        <w:rPr>
          <w:rFonts w:hint="eastAsia" w:ascii="宋体" w:hAnsi="宋体"/>
          <w:color w:val="auto"/>
          <w:sz w:val="24"/>
          <w:szCs w:val="24"/>
          <w:highlight w:val="none"/>
        </w:rPr>
        <w:t>远程影像诊断系统</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实现医共体范围内病人影像资料的集中存储。实现医共体范围内的居民资料、检查信息、图文报告等信息的集中归档管理。</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所有的影像数据和报告信息都存储在医共体影像中心，所有的影像和报告在存储中心进行注册，并存储索引信息。整个影像数据的存储和交换遵守“近期分布、集中备份、按需提交、跨院共享”的模式。</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具体要求：</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远程影像诊断系统中心端为每个共享文档建立中心端索引并提供查询服务。</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远程影像诊断系统对影像资料进行存储。</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w:t>
            </w:r>
            <w:r>
              <w:rPr>
                <w:rFonts w:ascii="宋体" w:hAnsi="宋体" w:eastAsia="宋体"/>
                <w:color w:val="auto"/>
                <w:sz w:val="24"/>
                <w:szCs w:val="24"/>
                <w:highlight w:val="none"/>
              </w:rPr>
              <w:t>基本业务方面包括：诊断、检查、信息共享、报告发送、电子病历信息 共享、健康档案查看、统计分析等。</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提供浏览客户端，包括影像科室浏览客户端、统一临床浏览终端。</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医共体影像数据中心集中归档影像检查记录和结果（报告）；影像数据中心</w:t>
            </w:r>
            <w:r>
              <w:rPr>
                <w:rFonts w:hint="eastAsia" w:ascii="宋体" w:hAnsi="宋体" w:eastAsia="宋体"/>
                <w:color w:val="auto"/>
                <w:sz w:val="24"/>
                <w:szCs w:val="24"/>
                <w:highlight w:val="none"/>
              </w:rPr>
              <w:t>主要涉及三类核心数据：索引数据、基础数据和文档数据（主要指检查结果：报</w:t>
            </w:r>
            <w:r>
              <w:rPr>
                <w:rFonts w:ascii="宋体" w:hAnsi="宋体" w:eastAsia="宋体"/>
                <w:color w:val="auto"/>
                <w:sz w:val="24"/>
                <w:szCs w:val="24"/>
                <w:highlight w:val="none"/>
              </w:rPr>
              <w:t>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病人主索引服务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建立病人主索引系统，实现医共体内的病人唯一标识，为居民就诊信息在区</w:t>
            </w:r>
            <w:r>
              <w:rPr>
                <w:rFonts w:hint="eastAsia" w:ascii="宋体" w:hAnsi="宋体" w:eastAsia="宋体"/>
                <w:color w:val="auto"/>
                <w:sz w:val="24"/>
                <w:szCs w:val="24"/>
                <w:highlight w:val="none"/>
              </w:rPr>
              <w:t>域内的共享建立基础。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中心端文档注册</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提供远程影像诊断系统</w:t>
            </w:r>
            <w:r>
              <w:rPr>
                <w:rFonts w:ascii="宋体" w:hAnsi="宋体" w:eastAsia="宋体"/>
                <w:color w:val="auto"/>
                <w:sz w:val="24"/>
                <w:szCs w:val="24"/>
                <w:highlight w:val="none"/>
              </w:rPr>
              <w:t>中心端为每个共享文档建立中心端索引并提供查询服务；</w:t>
            </w:r>
            <w:r>
              <w:rPr>
                <w:rFonts w:hint="eastAsia" w:ascii="宋体" w:hAnsi="宋体" w:eastAsia="宋体"/>
                <w:color w:val="auto"/>
                <w:sz w:val="24"/>
                <w:szCs w:val="24"/>
                <w:highlight w:val="none"/>
              </w:rPr>
              <w:t>远程影像诊断系统</w:t>
            </w:r>
            <w:r>
              <w:rPr>
                <w:rFonts w:ascii="宋体" w:hAnsi="宋体" w:eastAsia="宋体"/>
                <w:color w:val="auto"/>
                <w:sz w:val="24"/>
                <w:szCs w:val="24"/>
                <w:highlight w:val="none"/>
              </w:rPr>
              <w:t>共享平台的注册服务包括对个人、医疗卫生人员、医疗卫生机构、医疗卫生术语的注册管理服务，平台对这些实体提供唯一的标识。针对各类实体形成各类注册库（如个人注册库、医疗卫生机构注册库等），每个注册库都具有管理和解决单个实体具有多个标识符问题的能力。</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注册库保有一个内部的非公布的标识符。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文档注册服务</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收集、管理医院</w:t>
            </w:r>
            <w:r>
              <w:rPr>
                <w:rFonts w:ascii="宋体" w:hAnsi="宋体" w:eastAsia="宋体"/>
                <w:color w:val="auto"/>
                <w:sz w:val="24"/>
                <w:szCs w:val="24"/>
                <w:highlight w:val="none"/>
              </w:rPr>
              <w:t xml:space="preserve"> PACS 提交的元数据信息，记录居民检查的影像、报告等数</w:t>
            </w:r>
            <w:r>
              <w:rPr>
                <w:rFonts w:hint="eastAsia" w:ascii="宋体" w:hAnsi="宋体" w:eastAsia="宋体"/>
                <w:color w:val="auto"/>
                <w:sz w:val="24"/>
                <w:szCs w:val="24"/>
                <w:highlight w:val="none"/>
              </w:rPr>
              <w:t>据在数据仓库中存储的位置或唯一</w:t>
            </w:r>
            <w:r>
              <w:rPr>
                <w:rFonts w:ascii="宋体" w:hAnsi="宋体" w:eastAsia="宋体"/>
                <w:color w:val="auto"/>
                <w:sz w:val="24"/>
                <w:szCs w:val="24"/>
                <w:highlight w:val="none"/>
              </w:rPr>
              <w:t>ID，以便日后检索。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文档索引查询服务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根据注册中心提供的检索条件，文档注册系统将居民的影像、报告、申请单</w:t>
            </w:r>
            <w:r>
              <w:rPr>
                <w:rFonts w:hint="eastAsia" w:ascii="宋体" w:hAnsi="宋体" w:eastAsia="宋体"/>
                <w:color w:val="auto"/>
                <w:sz w:val="24"/>
                <w:szCs w:val="24"/>
                <w:highlight w:val="none"/>
              </w:rPr>
              <w:t>等的信息列表（包含文档</w:t>
            </w:r>
            <w:r>
              <w:rPr>
                <w:rFonts w:ascii="宋体" w:hAnsi="宋体" w:eastAsia="宋体"/>
                <w:color w:val="auto"/>
                <w:sz w:val="24"/>
                <w:szCs w:val="24"/>
                <w:highlight w:val="none"/>
              </w:rPr>
              <w:t xml:space="preserve"> UID、数据存储仓库 ID 及文档 URI 信息）返回。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中心端存储管理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.文档归档与管理服务：为上传中心端的关键图和报告实体提供数据的归档、</w:t>
            </w:r>
            <w:r>
              <w:rPr>
                <w:rFonts w:hint="eastAsia" w:ascii="宋体" w:hAnsi="宋体" w:eastAsia="宋体"/>
                <w:color w:val="auto"/>
                <w:sz w:val="24"/>
                <w:szCs w:val="24"/>
                <w:highlight w:val="none"/>
              </w:rPr>
              <w:t>同步、备份等服务；</w:t>
            </w:r>
            <w:r>
              <w:rPr>
                <w:rFonts w:ascii="宋体" w:hAnsi="宋体" w:eastAsia="宋体"/>
                <w:color w:val="auto"/>
                <w:sz w:val="24"/>
                <w:szCs w:val="24"/>
                <w:highlight w:val="none"/>
              </w:rPr>
              <w:t xml:space="preserve">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.文档生命周期管理服务：提供定期、自动归档功能，文档状态与操作、状态</w:t>
            </w:r>
            <w:r>
              <w:rPr>
                <w:rFonts w:hint="eastAsia" w:ascii="宋体" w:hAnsi="宋体" w:eastAsia="宋体"/>
                <w:color w:val="auto"/>
                <w:sz w:val="24"/>
                <w:szCs w:val="24"/>
                <w:highlight w:val="none"/>
              </w:rPr>
              <w:t>转换、并发控制等。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中心端系统管理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.元数据信息管理：上传注册的影像临床文档（CDA）元数据信息标准化管理；</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.居民、检查以及影像信息的维护：居民、检查以及影像数据的一致性维护，</w:t>
            </w:r>
            <w:r>
              <w:rPr>
                <w:rFonts w:hint="eastAsia" w:ascii="宋体" w:hAnsi="宋体" w:eastAsia="宋体"/>
                <w:color w:val="auto"/>
                <w:sz w:val="24"/>
                <w:szCs w:val="24"/>
                <w:highlight w:val="none"/>
              </w:rPr>
              <w:t>确保中心平台数据的安全性、完整性和一致性；</w:t>
            </w:r>
            <w:r>
              <w:rPr>
                <w:rFonts w:ascii="宋体" w:hAnsi="宋体" w:eastAsia="宋体"/>
                <w:color w:val="auto"/>
                <w:sz w:val="24"/>
                <w:szCs w:val="24"/>
                <w:highlight w:val="none"/>
              </w:rPr>
              <w:t xml:space="preserve">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.基本信息注册与维护：包含医院信息、科室信息、设备信息、人员信息的注</w:t>
            </w:r>
            <w:r>
              <w:rPr>
                <w:rFonts w:hint="eastAsia" w:ascii="宋体" w:hAnsi="宋体" w:eastAsia="宋体"/>
                <w:color w:val="auto"/>
                <w:sz w:val="24"/>
                <w:szCs w:val="24"/>
                <w:highlight w:val="none"/>
              </w:rPr>
              <w:t>册、维护以及权限分配；</w:t>
            </w:r>
            <w:r>
              <w:rPr>
                <w:rFonts w:ascii="宋体" w:hAnsi="宋体" w:eastAsia="宋体"/>
                <w:color w:val="auto"/>
                <w:sz w:val="24"/>
                <w:szCs w:val="24"/>
                <w:highlight w:val="none"/>
              </w:rPr>
              <w:t xml:space="preserve">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.用户角色管理：按照区域中不同的人员角色来分配其业务和数据访问权限；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.安全访问机制：按照业务逻辑、人员角色和数据安全级别划分所制定的安全</w:t>
            </w:r>
            <w:r>
              <w:rPr>
                <w:rFonts w:hint="eastAsia" w:ascii="宋体" w:hAnsi="宋体" w:eastAsia="宋体"/>
                <w:color w:val="auto"/>
                <w:sz w:val="24"/>
                <w:szCs w:val="24"/>
                <w:highlight w:val="none"/>
              </w:rPr>
              <w:t>访问策略，确保数据访问安全节点认证以及数据操作的查账跟踪日志（</w:t>
            </w:r>
            <w:r>
              <w:rPr>
                <w:rFonts w:ascii="宋体" w:hAnsi="宋体" w:eastAsia="宋体"/>
                <w:color w:val="auto"/>
                <w:sz w:val="24"/>
                <w:szCs w:val="24"/>
                <w:highlight w:val="none"/>
              </w:rPr>
              <w:t>IHE-ATNA） 功能</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信息存储</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.所有的影像数据和报告信息都存储在医共体影像中心，所有的影像和报</w:t>
            </w:r>
            <w:r>
              <w:rPr>
                <w:rFonts w:hint="eastAsia" w:ascii="宋体" w:hAnsi="宋体" w:eastAsia="宋体"/>
                <w:color w:val="auto"/>
                <w:sz w:val="24"/>
                <w:szCs w:val="24"/>
                <w:highlight w:val="none"/>
              </w:rPr>
              <w:t>告在存储中心进行注册，并存储索引信息。整个影像数据的存储和交换遵守“近</w:t>
            </w:r>
            <w:r>
              <w:rPr>
                <w:rFonts w:ascii="宋体" w:hAnsi="宋体" w:eastAsia="宋体"/>
                <w:color w:val="auto"/>
                <w:sz w:val="24"/>
                <w:szCs w:val="24"/>
                <w:highlight w:val="none"/>
              </w:rPr>
              <w:t>期分布、集中备份、按需提交、跨院共享”的模式。</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支持文档的分布式存储和检索，文档存储可在线横向扩展，文档存储支持</w:t>
            </w:r>
            <w:r>
              <w:rPr>
                <w:rFonts w:ascii="宋体" w:hAnsi="宋体" w:eastAsia="宋体"/>
                <w:color w:val="auto"/>
                <w:sz w:val="24"/>
                <w:szCs w:val="24"/>
                <w:highlight w:val="none"/>
              </w:rPr>
              <w:t xml:space="preserve"> 2</w:t>
            </w:r>
            <w:r>
              <w:rPr>
                <w:rFonts w:hint="eastAsia" w:ascii="宋体" w:hAnsi="宋体" w:eastAsia="宋体"/>
                <w:color w:val="auto"/>
                <w:sz w:val="24"/>
                <w:szCs w:val="24"/>
                <w:highlight w:val="none"/>
              </w:rPr>
              <w:t>份、</w:t>
            </w:r>
            <w:r>
              <w:rPr>
                <w:rFonts w:ascii="宋体" w:hAnsi="宋体" w:eastAsia="宋体"/>
                <w:color w:val="auto"/>
                <w:sz w:val="24"/>
                <w:szCs w:val="24"/>
                <w:highlight w:val="none"/>
              </w:rPr>
              <w:t>3 份副本的存储设置。</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医共体远程影像诊断系统</w:t>
            </w:r>
            <w:r>
              <w:rPr>
                <w:rFonts w:ascii="宋体" w:hAnsi="宋体" w:eastAsia="宋体"/>
                <w:color w:val="auto"/>
                <w:sz w:val="24"/>
                <w:szCs w:val="24"/>
                <w:highlight w:val="none"/>
              </w:rPr>
              <w:t>数据存储归档服务是一系列的服务，它包括：居民基本信息存储库、居民全局 ID 存储库、DICOM 影像存储库、DICOM SR 结构化报告存储库、数据管理存储库。</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存储归档服务除了对医共体远程影像诊断系统</w:t>
            </w:r>
            <w:r>
              <w:rPr>
                <w:rFonts w:ascii="宋体" w:hAnsi="宋体" w:eastAsia="宋体"/>
                <w:color w:val="auto"/>
                <w:sz w:val="24"/>
                <w:szCs w:val="24"/>
                <w:highlight w:val="none"/>
              </w:rPr>
              <w:t>共享平台下各医疗机构提供调阅服务，也可以按照健康档案的数据模型解析和封装为健康档案，实现其他医疗和社会公众的健康档案查询。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检查结果</w:t>
            </w:r>
            <w:r>
              <w:rPr>
                <w:rFonts w:ascii="宋体" w:hAnsi="宋体" w:eastAsia="宋体"/>
                <w:color w:val="auto"/>
                <w:sz w:val="24"/>
                <w:szCs w:val="24"/>
                <w:highlight w:val="none"/>
              </w:rPr>
              <w:t>(报告)共享和访问</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医共体内</w:t>
            </w:r>
            <w:r>
              <w:rPr>
                <w:rFonts w:ascii="宋体" w:hAnsi="宋体" w:eastAsia="宋体"/>
                <w:color w:val="auto"/>
                <w:sz w:val="24"/>
                <w:szCs w:val="24"/>
                <w:highlight w:val="none"/>
              </w:rPr>
              <w:t>各医院基于影像数据中心的检查结果（报告）共享和访问；实现与医院 PACS</w:t>
            </w:r>
            <w:r>
              <w:rPr>
                <w:rFonts w:hint="eastAsia" w:ascii="宋体" w:hAnsi="宋体" w:eastAsia="宋体"/>
                <w:color w:val="auto"/>
                <w:sz w:val="24"/>
                <w:szCs w:val="24"/>
                <w:highlight w:val="none"/>
              </w:rPr>
              <w:t>的融合，各医院分布式图像的访问和浏览；主要包括：历史检查查询、历史报告</w:t>
            </w:r>
            <w:r>
              <w:rPr>
                <w:rFonts w:ascii="宋体" w:hAnsi="宋体" w:eastAsia="宋体"/>
                <w:color w:val="auto"/>
                <w:sz w:val="24"/>
                <w:szCs w:val="24"/>
                <w:highlight w:val="none"/>
              </w:rPr>
              <w:t>查看和历史影像浏览。</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医共体远程影像诊断系统</w:t>
            </w:r>
            <w:r>
              <w:rPr>
                <w:rFonts w:ascii="宋体" w:hAnsi="宋体" w:eastAsia="宋体"/>
                <w:color w:val="auto"/>
                <w:sz w:val="24"/>
                <w:szCs w:val="24"/>
                <w:highlight w:val="none"/>
              </w:rPr>
              <w:t>，提供基于 web 浏览方式的查看检查报告和检查影像。</w:t>
            </w:r>
            <w:r>
              <w:rPr>
                <w:rFonts w:hint="eastAsia" w:ascii="宋体" w:hAnsi="宋体" w:eastAsia="宋体"/>
                <w:color w:val="auto"/>
                <w:sz w:val="24"/>
                <w:szCs w:val="24"/>
                <w:highlight w:val="none"/>
              </w:rPr>
              <w:t>医共体内</w:t>
            </w:r>
            <w:r>
              <w:rPr>
                <w:rFonts w:ascii="宋体" w:hAnsi="宋体" w:eastAsia="宋体"/>
                <w:color w:val="auto"/>
                <w:sz w:val="24"/>
                <w:szCs w:val="24"/>
                <w:highlight w:val="none"/>
              </w:rPr>
              <w:t>各医院现有的 PACS 工作站也可把区域影像的 web 发布集成在一起，实现院内影像和区域影像的无障碍查看。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远程诊断协同</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上级医院与乡镇卫生院</w:t>
            </w:r>
            <w:r>
              <w:rPr>
                <w:rFonts w:hint="eastAsia" w:ascii="宋体" w:hAnsi="宋体" w:eastAsia="宋体"/>
                <w:color w:val="auto"/>
                <w:sz w:val="24"/>
                <w:szCs w:val="24"/>
                <w:highlight w:val="none"/>
              </w:rPr>
              <w:t>间</w:t>
            </w:r>
            <w:r>
              <w:rPr>
                <w:rFonts w:ascii="宋体" w:hAnsi="宋体" w:eastAsia="宋体"/>
                <w:color w:val="auto"/>
                <w:sz w:val="24"/>
                <w:szCs w:val="24"/>
                <w:highlight w:val="none"/>
              </w:rPr>
              <w:t>影像诊断协同（会诊、托管、转诊等）。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影像系统托管服务</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建立乡镇卫生院基于医共体远程影像诊断平台的托管</w:t>
            </w:r>
            <w:r>
              <w:rPr>
                <w:rFonts w:ascii="宋体" w:hAnsi="宋体" w:eastAsia="宋体"/>
                <w:color w:val="auto"/>
                <w:sz w:val="24"/>
                <w:szCs w:val="24"/>
                <w:highlight w:val="none"/>
              </w:rPr>
              <w:t xml:space="preserve"> PACS 系统和服务。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影像数据仓库</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建立医共体影像数据仓库，为临床诊疗和科研服务。</w:t>
            </w:r>
          </w:p>
        </w:tc>
      </w:tr>
    </w:tbl>
    <w:p>
      <w:pPr>
        <w:pStyle w:val="8"/>
        <w:numPr>
          <w:ilvl w:val="2"/>
          <w:numId w:val="3"/>
        </w:numPr>
        <w:spacing w:line="360" w:lineRule="auto"/>
        <w:rPr>
          <w:rFonts w:ascii="宋体" w:hAnsi="宋体" w:eastAsia="宋体"/>
          <w:color w:val="auto"/>
          <w:sz w:val="24"/>
          <w:szCs w:val="24"/>
          <w:highlight w:val="none"/>
        </w:rPr>
      </w:pPr>
      <w:bookmarkStart w:id="13" w:name="_Toc21183157"/>
      <w:r>
        <w:rPr>
          <w:rFonts w:hint="eastAsia" w:ascii="宋体" w:hAnsi="宋体" w:eastAsia="宋体"/>
          <w:color w:val="auto"/>
          <w:sz w:val="24"/>
          <w:szCs w:val="24"/>
          <w:highlight w:val="none"/>
        </w:rPr>
        <w:t>不良事件管理平台</w:t>
      </w:r>
      <w:bookmarkEnd w:id="13"/>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系统能实现医共体各临床科室上报报表的电子化信息化管理，临床科室具有上报不良事件功能，相关管理科室可以对其上报进行审核、初审、处理、复审、关闭、打印及提出反馈意见等，并对事件的处理进行监测，及时发现问题并解决问题。</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在医生或者护士的工作环境内以病人为主索引进行填报，方便快捷，无需登录系统，至少具备单据填报、交流反馈、统计分析、基础数据管理等模块。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单据填报</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应至少包括医疗医技</w:t>
            </w:r>
            <w:r>
              <w:rPr>
                <w:rFonts w:hint="eastAsia" w:ascii="宋体" w:hAnsi="宋体" w:eastAsia="宋体"/>
                <w:color w:val="auto"/>
                <w:sz w:val="24"/>
                <w:szCs w:val="24"/>
                <w:highlight w:val="none"/>
              </w:rPr>
              <w:t>不良</w:t>
            </w:r>
            <w:r>
              <w:rPr>
                <w:rFonts w:ascii="宋体" w:hAnsi="宋体" w:eastAsia="宋体"/>
                <w:color w:val="auto"/>
                <w:sz w:val="24"/>
                <w:szCs w:val="24"/>
                <w:highlight w:val="none"/>
              </w:rPr>
              <w:t>事件、护理</w:t>
            </w:r>
            <w:r>
              <w:rPr>
                <w:rFonts w:hint="eastAsia" w:ascii="宋体" w:hAnsi="宋体" w:eastAsia="宋体"/>
                <w:color w:val="auto"/>
                <w:sz w:val="24"/>
                <w:szCs w:val="24"/>
                <w:highlight w:val="none"/>
              </w:rPr>
              <w:t>不良</w:t>
            </w:r>
            <w:r>
              <w:rPr>
                <w:rFonts w:ascii="宋体" w:hAnsi="宋体" w:eastAsia="宋体"/>
                <w:color w:val="auto"/>
                <w:sz w:val="24"/>
                <w:szCs w:val="24"/>
                <w:highlight w:val="none"/>
              </w:rPr>
              <w:t>事件、</w:t>
            </w:r>
            <w:r>
              <w:rPr>
                <w:rFonts w:hint="eastAsia" w:ascii="宋体" w:hAnsi="宋体" w:eastAsia="宋体"/>
                <w:color w:val="auto"/>
                <w:sz w:val="24"/>
                <w:szCs w:val="24"/>
                <w:highlight w:val="none"/>
              </w:rPr>
              <w:t>行政后期不良事件、治安不良事件、其他不良事件、院外不良事件、院内感染不良事件、医疗器械不良事件、药品不良反应事件、输血不良反应事件</w:t>
            </w:r>
            <w:r>
              <w:rPr>
                <w:rFonts w:ascii="宋体" w:hAnsi="宋体" w:eastAsia="宋体"/>
                <w:color w:val="auto"/>
                <w:sz w:val="24"/>
                <w:szCs w:val="24"/>
                <w:highlight w:val="none"/>
              </w:rPr>
              <w:t>等</w:t>
            </w:r>
            <w:r>
              <w:rPr>
                <w:rFonts w:hint="eastAsia" w:ascii="宋体" w:hAnsi="宋体" w:eastAsia="宋体"/>
                <w:color w:val="auto"/>
                <w:sz w:val="24"/>
                <w:szCs w:val="24"/>
                <w:highlight w:val="none"/>
              </w:rPr>
              <w:t>单据填报</w:t>
            </w:r>
            <w:r>
              <w:rPr>
                <w:rFonts w:ascii="宋体" w:hAnsi="宋体" w:eastAsia="宋体"/>
                <w:color w:val="auto"/>
                <w:sz w:val="24"/>
                <w:szCs w:val="24"/>
                <w:highlight w:val="none"/>
              </w:rPr>
              <w:t>功能</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交流反馈</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应至少包括全院不良事件、药品不良事件、医疗器械事件、输血不良事件、院感不良事件等单据处理功能。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统计分析</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应至少包含全院汇总统计分析、科室汇总统计分析、事件级别统计分析、岗位类型统计分析、上报人</w:t>
            </w:r>
            <w:r>
              <w:rPr>
                <w:rFonts w:ascii="宋体" w:hAnsi="宋体" w:eastAsia="宋体"/>
                <w:color w:val="auto"/>
                <w:sz w:val="24"/>
                <w:szCs w:val="24"/>
                <w:highlight w:val="none"/>
              </w:rPr>
              <w:t>-事件分类统计、异常事件重复上报统计、医疗医异常事件统计、护理异常事件统计、行政后勤异常事件统计、治安异常事件统计、医疗器械事件统计、药区不良反应事件统计、输血不良事件统计、医院感染病例统计医疗医技异常事件详细统计、护理异常事件详细统计、行政后勤异常事件详细统计、治安异常事件详细统计、历史数据统计等</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基础数据管理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应至少包括</w:t>
            </w:r>
            <w:r>
              <w:rPr>
                <w:rFonts w:ascii="宋体" w:hAnsi="宋体" w:eastAsia="宋体"/>
                <w:color w:val="auto"/>
                <w:sz w:val="24"/>
                <w:szCs w:val="24"/>
                <w:highlight w:val="none"/>
              </w:rPr>
              <w:t>基础数据维护、人员权限维护、牵头部门维护、科室列表维护、职工列表维护等维护</w:t>
            </w:r>
            <w:r>
              <w:rPr>
                <w:rFonts w:hint="eastAsia" w:ascii="宋体" w:hAnsi="宋体" w:eastAsia="宋体"/>
                <w:color w:val="auto"/>
                <w:sz w:val="24"/>
                <w:szCs w:val="24"/>
                <w:highlight w:val="none"/>
              </w:rPr>
              <w:t>功能</w:t>
            </w:r>
            <w:r>
              <w:rPr>
                <w:rFonts w:ascii="宋体" w:hAnsi="宋体" w:eastAsia="宋体"/>
                <w:color w:val="auto"/>
                <w:sz w:val="24"/>
                <w:szCs w:val="24"/>
                <w:highlight w:val="none"/>
              </w:rPr>
              <w:t>。</w:t>
            </w:r>
          </w:p>
        </w:tc>
      </w:tr>
    </w:tbl>
    <w:p>
      <w:pPr>
        <w:pStyle w:val="8"/>
        <w:numPr>
          <w:ilvl w:val="2"/>
          <w:numId w:val="3"/>
        </w:numPr>
        <w:spacing w:line="360" w:lineRule="auto"/>
        <w:rPr>
          <w:rFonts w:ascii="宋体" w:hAnsi="宋体" w:eastAsia="宋体"/>
          <w:color w:val="auto"/>
          <w:sz w:val="24"/>
          <w:szCs w:val="24"/>
          <w:highlight w:val="none"/>
        </w:rPr>
      </w:pPr>
      <w:bookmarkStart w:id="14" w:name="_Toc21183158"/>
      <w:r>
        <w:rPr>
          <w:rFonts w:hint="eastAsia" w:ascii="宋体" w:hAnsi="宋体" w:eastAsia="宋体"/>
          <w:color w:val="auto"/>
          <w:sz w:val="24"/>
          <w:szCs w:val="24"/>
          <w:highlight w:val="none"/>
        </w:rPr>
        <w:t>医共体办公平台</w:t>
      </w:r>
      <w:bookmarkEnd w:id="14"/>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工作门户</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应至少包含代办事宜、代办转抄、未读收文、已办转抄、我的申请、我的审批等功能。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综合事务</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应至少包含公告管理、收发公文、日程管理、会议管理、考勤管理、车辆管理、归档管理、排版管理等功能。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系统管理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应至少包含表单管理、组织管理、组管理、流程管理、数据字典等功能。</w:t>
            </w:r>
          </w:p>
        </w:tc>
      </w:tr>
    </w:tbl>
    <w:p>
      <w:pPr>
        <w:pStyle w:val="8"/>
        <w:numPr>
          <w:ilvl w:val="2"/>
          <w:numId w:val="3"/>
        </w:numPr>
        <w:spacing w:line="360" w:lineRule="auto"/>
        <w:rPr>
          <w:rFonts w:ascii="宋体" w:hAnsi="宋体" w:eastAsia="宋体"/>
          <w:color w:val="auto"/>
          <w:sz w:val="24"/>
          <w:szCs w:val="24"/>
          <w:highlight w:val="none"/>
        </w:rPr>
      </w:pPr>
      <w:bookmarkStart w:id="15" w:name="_Toc21183159"/>
      <w:r>
        <w:rPr>
          <w:rFonts w:ascii="宋体" w:hAnsi="宋体" w:eastAsia="宋体"/>
          <w:color w:val="auto"/>
          <w:sz w:val="24"/>
          <w:szCs w:val="24"/>
          <w:highlight w:val="none"/>
        </w:rPr>
        <w:t>家庭医生签</w:t>
      </w:r>
      <w:r>
        <w:rPr>
          <w:rFonts w:ascii="宋体" w:hAnsi="宋体" w:eastAsia="宋体"/>
          <w:color w:val="auto"/>
          <w:spacing w:val="1"/>
          <w:sz w:val="24"/>
          <w:szCs w:val="24"/>
          <w:highlight w:val="none"/>
        </w:rPr>
        <w:t>约</w:t>
      </w:r>
      <w:r>
        <w:rPr>
          <w:rFonts w:ascii="宋体" w:hAnsi="宋体" w:eastAsia="宋体"/>
          <w:color w:val="auto"/>
          <w:sz w:val="24"/>
          <w:szCs w:val="24"/>
          <w:highlight w:val="none"/>
        </w:rPr>
        <w:t>服务</w:t>
      </w:r>
      <w:r>
        <w:rPr>
          <w:rFonts w:hint="eastAsia" w:ascii="宋体" w:hAnsi="宋体" w:eastAsia="宋体"/>
          <w:color w:val="auto"/>
          <w:sz w:val="24"/>
          <w:szCs w:val="24"/>
          <w:highlight w:val="none"/>
        </w:rPr>
        <w:t>平台</w:t>
      </w:r>
      <w:bookmarkEnd w:id="15"/>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居民可通过家庭医生签约系统、</w:t>
            </w:r>
            <w:r>
              <w:rPr>
                <w:rFonts w:ascii="宋体" w:hAnsi="宋体" w:eastAsia="宋体"/>
                <w:color w:val="auto"/>
                <w:sz w:val="24"/>
                <w:szCs w:val="24"/>
                <w:highlight w:val="none"/>
              </w:rPr>
              <w:t>HIS诊间签约等多渠道多入口签约。可就近或跨区域签约，居民在与家庭医生签约后，家庭医生团队可提供多种类的服务包内容，服务包可自定义设置，包含基础包、初级包、中级包、高级包等。针对居民健康状况和需求，制定不同类型的个性化签约服务内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系统能够对居民信息分类管理，标注、筛选高血压、糖尿病、老年人、高糖人群，在此基础上增加家庭签约操作功能和查询功能。在签约时能够标注签约、签约服务包内容，签约时间、服务项目、服务时间、及基层医生工作内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系统能列出所有签约居民，查看服务项目并能够标记执行状况，记录执行时间；对签约服务患者健康状况进行登记；上级医院医生能够对服务内容实时查询，对于发现健康问题的签约居民给予健康指导及相应的健康服务。</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系统支持基层医生可以查看自己的数据，基层医生可以查看自己管辖村医的数据，基层医疗机构可以查看各个基层医生的数据；能查看各个乡镇或各个基层医生及各个基层医疗机构的数据，包括：签约率统计，履约统计，服务包执行情况统计，服务包完成情况统计，续约情况统计。</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支持实现针对不同的慢病患者具体情况申请家庭医生签约服务。</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诊间签约与诊间履约。在就诊的过程中进行签约，同时在院内做的检验检查结果可以在家医系统中共享查看。签约模式支持以个人为单位的签约和以家庭为单位的签约。</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w:t>
            </w:r>
            <w:r>
              <w:rPr>
                <w:rFonts w:ascii="宋体" w:hAnsi="宋体" w:eastAsia="宋体"/>
                <w:color w:val="auto"/>
                <w:sz w:val="24"/>
                <w:szCs w:val="24"/>
                <w:highlight w:val="none"/>
              </w:rPr>
              <w:t>服务包的个性化定制。根据不同人群定制不同的服务包。内容丰富，包括院内检验检查项目，慢病精细化管理项目，远程会诊转诊项目，公卫健康体检、随访等项目。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家庭医生签约服务申请与服务签订</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支持针对慢性病的患者提供精细化的服务和管理，针对每一名签约入网的居民提供诊疗与健康管理。支持对入网居民进行详细的病史采集和全身体检，完善高血压病及其相关并发症的检查，以方便专科医生了解入网居民的病情。</w:t>
            </w:r>
            <w:r>
              <w:rPr>
                <w:rFonts w:ascii="宋体" w:hAnsi="宋体" w:eastAsia="宋体"/>
                <w:color w:val="auto"/>
                <w:sz w:val="24"/>
                <w:szCs w:val="24"/>
                <w:highlight w:val="none"/>
              </w:rPr>
              <w:t xml:space="preserve">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支持上级医院与基层医疗卫生机构间建立协调机制</w:t>
            </w:r>
            <w:r>
              <w:rPr>
                <w:rFonts w:ascii="宋体" w:hAnsi="宋体" w:eastAsia="宋体"/>
                <w:color w:val="auto"/>
                <w:sz w:val="24"/>
                <w:szCs w:val="24"/>
                <w:highlight w:val="none"/>
              </w:rPr>
              <w:t>,通过双向转诊根据居民病情发展情况，适时对居民进行转诊治疗，缓解大医院“一号难求”局面。支持引导居民“社区首诊”，分流大医院非必要的居民，逐步建立规范的诊疗秩序。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健康常识及惠民活动信息的发布</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支持家庭医生信息平台推送健康常识、惠民活动信息、基层医生信息等。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签约服务包指引</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签约服务包需要包括基础包和有偿服务包。支持为就诊居民和家庭医生提供预约服务。通过签约服务包进行家庭医生签约服务指引。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诊疗技术指南</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家庭医生签约针对慢性病的居民提供精细化的服务和管理，针对每一名签约入网的居民提供诊疗与健康管理。支持居民在基层医疗机构首诊，并记录居民的基本信息，以方便专科医生了解入网居民的病情。</w:t>
            </w:r>
            <w:r>
              <w:rPr>
                <w:rFonts w:ascii="宋体" w:hAnsi="宋体" w:eastAsia="宋体"/>
                <w:color w:val="auto"/>
                <w:sz w:val="24"/>
                <w:szCs w:val="24"/>
                <w:highlight w:val="none"/>
              </w:rPr>
              <w:t xml:space="preserve">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支持医生对居民进行诊断与并发症筛查、制定个体化治疗与管理方案出院居民随访服务。</w:t>
            </w:r>
          </w:p>
        </w:tc>
      </w:tr>
    </w:tbl>
    <w:p>
      <w:pPr>
        <w:pStyle w:val="8"/>
        <w:numPr>
          <w:ilvl w:val="2"/>
          <w:numId w:val="3"/>
        </w:numPr>
        <w:spacing w:line="360" w:lineRule="auto"/>
        <w:rPr>
          <w:rFonts w:ascii="宋体" w:hAnsi="宋体" w:eastAsia="宋体"/>
          <w:color w:val="auto"/>
          <w:sz w:val="24"/>
          <w:szCs w:val="24"/>
          <w:highlight w:val="none"/>
        </w:rPr>
      </w:pPr>
      <w:bookmarkStart w:id="16" w:name="_Toc21183160"/>
      <w:r>
        <w:rPr>
          <w:rFonts w:ascii="宋体" w:hAnsi="宋体" w:eastAsia="宋体"/>
          <w:color w:val="auto"/>
          <w:spacing w:val="15"/>
          <w:sz w:val="24"/>
          <w:szCs w:val="24"/>
          <w:highlight w:val="none"/>
        </w:rPr>
        <w:t>慢</w:t>
      </w:r>
      <w:r>
        <w:rPr>
          <w:rFonts w:hint="eastAsia" w:ascii="宋体" w:hAnsi="宋体" w:eastAsia="宋体"/>
          <w:color w:val="auto"/>
          <w:spacing w:val="15"/>
          <w:sz w:val="24"/>
          <w:szCs w:val="24"/>
          <w:highlight w:val="none"/>
        </w:rPr>
        <w:t>性</w:t>
      </w:r>
      <w:r>
        <w:rPr>
          <w:rFonts w:ascii="宋体" w:hAnsi="宋体" w:eastAsia="宋体"/>
          <w:color w:val="auto"/>
          <w:sz w:val="24"/>
          <w:szCs w:val="24"/>
          <w:highlight w:val="none"/>
        </w:rPr>
        <w:t>病</w:t>
      </w:r>
      <w:r>
        <w:rPr>
          <w:rFonts w:hint="eastAsia" w:ascii="宋体" w:hAnsi="宋体" w:eastAsia="宋体"/>
          <w:color w:val="auto"/>
          <w:spacing w:val="1"/>
          <w:sz w:val="24"/>
          <w:szCs w:val="24"/>
          <w:highlight w:val="none"/>
        </w:rPr>
        <w:t>管理</w:t>
      </w:r>
      <w:r>
        <w:rPr>
          <w:rFonts w:ascii="宋体" w:hAnsi="宋体" w:eastAsia="宋体"/>
          <w:color w:val="auto"/>
          <w:spacing w:val="1"/>
          <w:sz w:val="24"/>
          <w:szCs w:val="24"/>
          <w:highlight w:val="none"/>
        </w:rPr>
        <w:t>平</w:t>
      </w:r>
      <w:r>
        <w:rPr>
          <w:rFonts w:ascii="宋体" w:hAnsi="宋体" w:eastAsia="宋体"/>
          <w:color w:val="auto"/>
          <w:sz w:val="24"/>
          <w:szCs w:val="24"/>
          <w:highlight w:val="none"/>
        </w:rPr>
        <w:t>台</w:t>
      </w:r>
      <w:bookmarkEnd w:id="16"/>
      <w:r>
        <w:rPr>
          <w:rFonts w:ascii="宋体" w:hAnsi="宋体" w:eastAsia="宋体"/>
          <w:color w:val="auto"/>
          <w:sz w:val="24"/>
          <w:szCs w:val="24"/>
          <w:highlight w:val="none"/>
        </w:rPr>
        <w:t xml:space="preserve"> </w:t>
      </w:r>
    </w:p>
    <w:p>
      <w:pPr>
        <w:pStyle w:val="9"/>
        <w:numPr>
          <w:ilvl w:val="3"/>
          <w:numId w:val="3"/>
        </w:numPr>
        <w:spacing w:line="360" w:lineRule="auto"/>
        <w:rPr>
          <w:rFonts w:ascii="宋体" w:hAnsi="宋体"/>
          <w:color w:val="auto"/>
          <w:sz w:val="24"/>
          <w:szCs w:val="24"/>
          <w:highlight w:val="none"/>
        </w:rPr>
      </w:pPr>
      <w:r>
        <w:rPr>
          <w:rFonts w:hint="eastAsia" w:ascii="宋体" w:hAnsi="宋体"/>
          <w:color w:val="auto"/>
          <w:sz w:val="24"/>
          <w:szCs w:val="24"/>
          <w:highlight w:val="none"/>
        </w:rPr>
        <w:t>慢病管理系统</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慢病筛查</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结合居民的健康档案信息，通过辅助决策系统根据居民情况，辅助提示医生需要采集的居民体征数据，通过信息化的手段，规范慢病筛查流程。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健康评估</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根据个体情况,首先确认疾病所处阶段和居民的需求,再评估影响健康的危险因素和兼症与疾病的关系,具体要求:①诊断疾病、分级、分型和并发症;②健康风险因素评估是借客观数据来警示居民,激励其改变不良生活方式和行为。</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.通过辅助</w:t>
            </w:r>
            <w:r>
              <w:rPr>
                <w:rFonts w:hint="eastAsia" w:ascii="宋体" w:hAnsi="宋体" w:eastAsia="宋体"/>
                <w:color w:val="auto"/>
                <w:sz w:val="24"/>
                <w:szCs w:val="24"/>
                <w:highlight w:val="none"/>
              </w:rPr>
              <w:t>诊疗</w:t>
            </w:r>
            <w:r>
              <w:rPr>
                <w:rFonts w:ascii="宋体" w:hAnsi="宋体" w:eastAsia="宋体"/>
                <w:color w:val="auto"/>
                <w:sz w:val="24"/>
                <w:szCs w:val="24"/>
                <w:highlight w:val="none"/>
              </w:rPr>
              <w:t>系统对健康数据的智能分析，自动提供初步的身体状况评估，根据身体状况，辅助医生做出治疗方案及随访计划。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治疗方案</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根据评估结果辅助医生制定健康干预和分类指导治疗方案。根据个体健康体检情况,依据评估结果,实行的分类管理。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居民档案</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可以根据居民的就诊信息，结合健康档案信息进行自动或手动为居民建立慢病档案，建档后方便医护人员跟踪居民病情，帮助居民对自己的健康状况进行长期的监控，更加明白身体状况的发展趋势，实现居民健康管理。居民健康档案主要包括两部分，居民健康监测数据和居民就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居民随访</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根据病情分类指导医护人员进行定时随访和健康指导、定期评估、及时修订健康指导计划和效果评估;设立预警机制,指导检测,保证健康指导效果</w:t>
            </w:r>
            <w:r>
              <w:rPr>
                <w:rFonts w:hint="eastAsia" w:ascii="宋体" w:hAnsi="宋体" w:eastAsia="宋体"/>
                <w:color w:val="auto"/>
                <w:sz w:val="24"/>
                <w:szCs w:val="24"/>
                <w:highlight w:val="none"/>
              </w:rPr>
              <w:t>，</w:t>
            </w:r>
            <w:r>
              <w:rPr>
                <w:rFonts w:ascii="宋体" w:hAnsi="宋体" w:eastAsia="宋体"/>
                <w:color w:val="auto"/>
                <w:sz w:val="24"/>
                <w:szCs w:val="24"/>
                <w:highlight w:val="none"/>
              </w:rPr>
              <w:t>并根据存在的问题重新制定随访计划。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健康指导</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根据居民的健康状态、提供针对的生活方式、运动、饮食及其它方面的健康宣教知识、复诊提醒、用药提醒等，便于</w:t>
            </w:r>
            <w:r>
              <w:rPr>
                <w:rFonts w:hint="eastAsia" w:ascii="宋体" w:hAnsi="宋体" w:eastAsia="宋体"/>
                <w:color w:val="auto"/>
                <w:sz w:val="24"/>
                <w:szCs w:val="24"/>
                <w:highlight w:val="none"/>
              </w:rPr>
              <w:t>居民</w:t>
            </w:r>
            <w:r>
              <w:rPr>
                <w:rFonts w:ascii="宋体" w:hAnsi="宋体" w:eastAsia="宋体"/>
                <w:color w:val="auto"/>
                <w:sz w:val="24"/>
                <w:szCs w:val="24"/>
                <w:highlight w:val="none"/>
              </w:rPr>
              <w:t>自我提醒和自我管控，帮助管理对象提高自身的健康意识、改善自身的健康水平。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就医咨询</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居民可以与主管医师或专家通过</w:t>
            </w:r>
            <w:r>
              <w:rPr>
                <w:rFonts w:hint="eastAsia" w:ascii="宋体" w:hAnsi="宋体" w:eastAsia="宋体"/>
                <w:color w:val="auto"/>
                <w:sz w:val="24"/>
                <w:szCs w:val="24"/>
                <w:highlight w:val="none"/>
              </w:rPr>
              <w:t>文字</w:t>
            </w:r>
            <w:r>
              <w:rPr>
                <w:rFonts w:ascii="宋体" w:hAnsi="宋体" w:eastAsia="宋体"/>
                <w:color w:val="auto"/>
                <w:sz w:val="24"/>
                <w:szCs w:val="24"/>
                <w:highlight w:val="none"/>
              </w:rPr>
              <w:t>、</w:t>
            </w:r>
            <w:r>
              <w:rPr>
                <w:rFonts w:hint="eastAsia" w:ascii="宋体" w:hAnsi="宋体" w:eastAsia="宋体"/>
                <w:color w:val="auto"/>
                <w:sz w:val="24"/>
                <w:szCs w:val="24"/>
                <w:highlight w:val="none"/>
              </w:rPr>
              <w:t>语音</w:t>
            </w:r>
            <w:r>
              <w:rPr>
                <w:rFonts w:ascii="宋体" w:hAnsi="宋体" w:eastAsia="宋体"/>
                <w:color w:val="auto"/>
                <w:sz w:val="24"/>
                <w:szCs w:val="24"/>
                <w:highlight w:val="none"/>
              </w:rPr>
              <w:t>、</w:t>
            </w:r>
            <w:r>
              <w:rPr>
                <w:rFonts w:hint="eastAsia" w:ascii="宋体" w:hAnsi="宋体" w:eastAsia="宋体"/>
                <w:color w:val="auto"/>
                <w:sz w:val="24"/>
                <w:szCs w:val="24"/>
                <w:highlight w:val="none"/>
              </w:rPr>
              <w:t>视频</w:t>
            </w:r>
            <w:r>
              <w:rPr>
                <w:rFonts w:ascii="宋体" w:hAnsi="宋体" w:eastAsia="宋体"/>
                <w:color w:val="auto"/>
                <w:sz w:val="24"/>
                <w:szCs w:val="24"/>
                <w:highlight w:val="none"/>
              </w:rPr>
              <w:t>等多种方式进行咨询交流，并根据健康档案信息，提供最佳体检方案，同时根据最新体检数据给与健康评估，提供复诊随访计划，及疾病预防措施；同时还提供健康知识宣传、营养运动咨询、慢病干预活动组织通知、卫生信息及资源获取等服务</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远程医疗协助</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实现基层医生与</w:t>
            </w:r>
            <w:r>
              <w:rPr>
                <w:rFonts w:hint="eastAsia" w:ascii="宋体" w:hAnsi="宋体" w:eastAsia="宋体"/>
                <w:color w:val="auto"/>
                <w:sz w:val="24"/>
                <w:szCs w:val="24"/>
                <w:highlight w:val="none"/>
              </w:rPr>
              <w:t>上级</w:t>
            </w:r>
            <w:r>
              <w:rPr>
                <w:rFonts w:ascii="宋体" w:hAnsi="宋体" w:eastAsia="宋体"/>
                <w:color w:val="auto"/>
                <w:sz w:val="24"/>
                <w:szCs w:val="24"/>
                <w:highlight w:val="none"/>
              </w:rPr>
              <w:t>医院医生的远程交互，协助基层医生对居民进行诊断。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双向转诊</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实现居民从基层</w:t>
            </w:r>
            <w:r>
              <w:rPr>
                <w:rFonts w:hint="eastAsia" w:ascii="宋体" w:hAnsi="宋体" w:eastAsia="宋体"/>
                <w:color w:val="auto"/>
                <w:sz w:val="24"/>
                <w:szCs w:val="24"/>
                <w:highlight w:val="none"/>
              </w:rPr>
              <w:t>医疗机构</w:t>
            </w:r>
            <w:r>
              <w:rPr>
                <w:rFonts w:ascii="宋体" w:hAnsi="宋体" w:eastAsia="宋体"/>
                <w:color w:val="auto"/>
                <w:sz w:val="24"/>
                <w:szCs w:val="24"/>
                <w:highlight w:val="none"/>
              </w:rPr>
              <w:t>到上级医院的双向转诊，上级医生在居民来院前就能全面了解居民病情详细信息，从而判断居民是否需要转诊治疗，同时为医生做出更及时准确的治疗方案提供支撑。</w:t>
            </w:r>
          </w:p>
        </w:tc>
      </w:tr>
    </w:tbl>
    <w:p>
      <w:pPr>
        <w:pStyle w:val="9"/>
        <w:numPr>
          <w:ilvl w:val="3"/>
          <w:numId w:val="3"/>
        </w:numPr>
        <w:spacing w:line="360" w:lineRule="auto"/>
        <w:rPr>
          <w:rFonts w:ascii="宋体" w:hAnsi="宋体"/>
          <w:color w:val="auto"/>
          <w:sz w:val="24"/>
          <w:szCs w:val="24"/>
          <w:highlight w:val="none"/>
        </w:rPr>
      </w:pPr>
      <w:r>
        <w:rPr>
          <w:rFonts w:hint="eastAsia" w:ascii="宋体" w:hAnsi="宋体"/>
          <w:color w:val="auto"/>
          <w:sz w:val="24"/>
          <w:szCs w:val="24"/>
          <w:highlight w:val="none"/>
        </w:rPr>
        <w:t>高血压辅助诊疗系统</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★建立高血压辅助诊疗平台，提供高血压人群筛查、病情评估、治疗干预、随访服务、健康报告等功能。</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辅助基层医生开展高血压的精细化规范化管理，基层医生只要输入居民的生活习惯、症状、辅助检查等内容，系统会自动分析并提出高血压治疗和康复规划。</w:t>
            </w:r>
          </w:p>
        </w:tc>
      </w:tr>
    </w:tbl>
    <w:p>
      <w:pPr>
        <w:pStyle w:val="9"/>
        <w:numPr>
          <w:ilvl w:val="3"/>
          <w:numId w:val="3"/>
        </w:numPr>
        <w:spacing w:line="360" w:lineRule="auto"/>
        <w:rPr>
          <w:rFonts w:ascii="宋体" w:hAnsi="宋体"/>
          <w:color w:val="auto"/>
          <w:sz w:val="24"/>
          <w:szCs w:val="24"/>
          <w:highlight w:val="none"/>
        </w:rPr>
      </w:pPr>
      <w:r>
        <w:rPr>
          <w:rFonts w:hint="eastAsia" w:ascii="宋体" w:hAnsi="宋体"/>
          <w:color w:val="auto"/>
          <w:sz w:val="24"/>
          <w:szCs w:val="24"/>
          <w:highlight w:val="none"/>
        </w:rPr>
        <w:t>糖尿病辅助诊疗系统</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★建立糖尿病辅助诊疗平台，提供糖尿病人群筛查、病情评估、治疗干预、随访服务、健康报告等功能。</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辅助基层医生开展糖尿病的精细化规范化管理，基层医生只要输入居民的生活习惯、症状、辅助检查等内容，系统会自动分析并提出糖尿病治疗和康复规划。</w:t>
            </w:r>
          </w:p>
        </w:tc>
      </w:tr>
    </w:tbl>
    <w:p>
      <w:pPr>
        <w:pStyle w:val="8"/>
        <w:numPr>
          <w:ilvl w:val="2"/>
          <w:numId w:val="3"/>
        </w:numPr>
        <w:spacing w:line="360" w:lineRule="auto"/>
        <w:rPr>
          <w:rFonts w:ascii="宋体" w:hAnsi="宋体" w:eastAsia="宋体"/>
          <w:color w:val="auto"/>
          <w:sz w:val="24"/>
          <w:szCs w:val="24"/>
          <w:highlight w:val="none"/>
        </w:rPr>
      </w:pPr>
      <w:bookmarkStart w:id="17" w:name="_Toc21183161"/>
      <w:r>
        <w:rPr>
          <w:rFonts w:ascii="宋体" w:hAnsi="宋体" w:eastAsia="宋体"/>
          <w:color w:val="auto"/>
          <w:spacing w:val="15"/>
          <w:sz w:val="24"/>
          <w:szCs w:val="24"/>
          <w:highlight w:val="none"/>
        </w:rPr>
        <w:t>基</w:t>
      </w:r>
      <w:r>
        <w:rPr>
          <w:rFonts w:ascii="宋体" w:hAnsi="宋体" w:eastAsia="宋体"/>
          <w:color w:val="auto"/>
          <w:sz w:val="24"/>
          <w:szCs w:val="24"/>
          <w:highlight w:val="none"/>
        </w:rPr>
        <w:t>层</w:t>
      </w:r>
      <w:r>
        <w:rPr>
          <w:rFonts w:ascii="宋体" w:hAnsi="宋体" w:eastAsia="宋体"/>
          <w:color w:val="auto"/>
          <w:spacing w:val="1"/>
          <w:sz w:val="24"/>
          <w:szCs w:val="24"/>
          <w:highlight w:val="none"/>
        </w:rPr>
        <w:t>医</w:t>
      </w:r>
      <w:r>
        <w:rPr>
          <w:rFonts w:ascii="宋体" w:hAnsi="宋体" w:eastAsia="宋体"/>
          <w:color w:val="auto"/>
          <w:sz w:val="24"/>
          <w:szCs w:val="24"/>
          <w:highlight w:val="none"/>
        </w:rPr>
        <w:t>疗</w:t>
      </w:r>
      <w:r>
        <w:rPr>
          <w:rFonts w:hint="eastAsia" w:ascii="宋体" w:hAnsi="宋体" w:eastAsia="宋体"/>
          <w:color w:val="auto"/>
          <w:sz w:val="24"/>
          <w:szCs w:val="24"/>
          <w:highlight w:val="none"/>
        </w:rPr>
        <w:t>卫生</w:t>
      </w:r>
      <w:r>
        <w:rPr>
          <w:rFonts w:ascii="宋体" w:hAnsi="宋体" w:eastAsia="宋体"/>
          <w:color w:val="auto"/>
          <w:spacing w:val="1"/>
          <w:sz w:val="24"/>
          <w:szCs w:val="24"/>
          <w:highlight w:val="none"/>
        </w:rPr>
        <w:t>机</w:t>
      </w:r>
      <w:r>
        <w:rPr>
          <w:rFonts w:ascii="宋体" w:hAnsi="宋体" w:eastAsia="宋体"/>
          <w:color w:val="auto"/>
          <w:spacing w:val="15"/>
          <w:sz w:val="24"/>
          <w:szCs w:val="24"/>
          <w:highlight w:val="none"/>
        </w:rPr>
        <w:t>构</w:t>
      </w:r>
      <w:r>
        <w:rPr>
          <w:rFonts w:ascii="宋体" w:hAnsi="宋体" w:eastAsia="宋体"/>
          <w:color w:val="auto"/>
          <w:sz w:val="24"/>
          <w:szCs w:val="24"/>
          <w:highlight w:val="none"/>
        </w:rPr>
        <w:t>信</w:t>
      </w:r>
      <w:r>
        <w:rPr>
          <w:rFonts w:ascii="宋体" w:hAnsi="宋体" w:eastAsia="宋体"/>
          <w:color w:val="auto"/>
          <w:spacing w:val="1"/>
          <w:sz w:val="24"/>
          <w:szCs w:val="24"/>
          <w:highlight w:val="none"/>
        </w:rPr>
        <w:t>息</w:t>
      </w:r>
      <w:r>
        <w:rPr>
          <w:rFonts w:ascii="宋体" w:hAnsi="宋体" w:eastAsia="宋体"/>
          <w:color w:val="auto"/>
          <w:sz w:val="24"/>
          <w:szCs w:val="24"/>
          <w:highlight w:val="none"/>
        </w:rPr>
        <w:t>化</w:t>
      </w:r>
      <w:r>
        <w:rPr>
          <w:rFonts w:ascii="宋体" w:hAnsi="宋体" w:eastAsia="宋体"/>
          <w:color w:val="auto"/>
          <w:spacing w:val="1"/>
          <w:sz w:val="24"/>
          <w:szCs w:val="24"/>
          <w:highlight w:val="none"/>
        </w:rPr>
        <w:t>建</w:t>
      </w:r>
      <w:r>
        <w:rPr>
          <w:rFonts w:ascii="宋体" w:hAnsi="宋体" w:eastAsia="宋体"/>
          <w:color w:val="auto"/>
          <w:sz w:val="24"/>
          <w:szCs w:val="24"/>
          <w:highlight w:val="none"/>
        </w:rPr>
        <w:t>设</w:t>
      </w:r>
      <w:bookmarkEnd w:id="17"/>
    </w:p>
    <w:p>
      <w:pPr>
        <w:pStyle w:val="9"/>
        <w:numPr>
          <w:ilvl w:val="3"/>
          <w:numId w:val="3"/>
        </w:numPr>
        <w:spacing w:line="360" w:lineRule="auto"/>
        <w:rPr>
          <w:rFonts w:ascii="宋体" w:hAnsi="宋体"/>
          <w:color w:val="auto"/>
          <w:sz w:val="24"/>
          <w:szCs w:val="24"/>
          <w:highlight w:val="none"/>
        </w:rPr>
      </w:pPr>
      <w:r>
        <w:rPr>
          <w:rFonts w:hint="eastAsia" w:ascii="宋体" w:hAnsi="宋体"/>
          <w:color w:val="auto"/>
          <w:sz w:val="24"/>
          <w:szCs w:val="24"/>
          <w:highlight w:val="none"/>
        </w:rPr>
        <w:t>基层医院信息管理系统（</w:t>
      </w:r>
      <w:r>
        <w:rPr>
          <w:rFonts w:hint="eastAsia" w:ascii="宋体" w:hAnsi="宋体"/>
          <w:color w:val="auto"/>
          <w:spacing w:val="1"/>
          <w:sz w:val="24"/>
          <w:szCs w:val="24"/>
          <w:highlight w:val="none"/>
        </w:rPr>
        <w:t>基层</w:t>
      </w:r>
      <w:r>
        <w:rPr>
          <w:rFonts w:hint="eastAsia" w:ascii="宋体" w:hAnsi="宋体"/>
          <w:color w:val="auto"/>
          <w:sz w:val="24"/>
          <w:szCs w:val="24"/>
          <w:highlight w:val="none"/>
        </w:rPr>
        <w:t>H</w:t>
      </w:r>
      <w:r>
        <w:rPr>
          <w:rFonts w:ascii="宋体" w:hAnsi="宋体"/>
          <w:color w:val="auto"/>
          <w:sz w:val="24"/>
          <w:szCs w:val="24"/>
          <w:highlight w:val="none"/>
        </w:rPr>
        <w:t>IS</w:t>
      </w:r>
      <w:r>
        <w:rPr>
          <w:rFonts w:hint="eastAsia" w:ascii="宋体" w:hAnsi="宋体"/>
          <w:color w:val="auto"/>
          <w:sz w:val="24"/>
          <w:szCs w:val="24"/>
          <w:highlight w:val="none"/>
        </w:rPr>
        <w:t>）</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门急诊挂号收费系统</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门急诊挂号系统，完成门诊患者基本信息的登记、修改和维护，完成门诊患者的挂号、就诊卡发放管理等工作。对挂号发票进行完善的跟踪管理。支持现金、医保刷卡、银联卡、在线支付等多种收费方式，实现挂号号表管理、科室专家排班、普通科室可以点名医生、包含班组结帐 ，能完成挂号、退号、患者、科室、医师的挂号状况、医师出诊时间、科室挂号现状等查询，能实现包含按患者来源、科室、门诊工作量统计的功能。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门急诊划价收费系统</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门诊收费子系统完成门诊患者收费工作，并向门诊药房传送处方信息。系统可以自动接收门诊划价系统和医生站医生录入的处方。操作员的收费发票进行完善的跟踪管理。实现收费信息的自动获取（一卡通）或直接录入，处理退款功能，门急诊收费报销凭证打印功能，结算功能，统计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药库管理系统</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自动获取药品信息中的类别，自动生成采购计划及采购单功能，实现药品入库、出库、调价、调拨、盘点、报损丢失、退药等功能；实现药品库存的日结、月结、年结功能；可随时生成各种药品的入库明细、出库明细等各项的汇总数据；可追踪各个药品的明细流水帐，可随时查验任一品种的库存变化人、出、存明细信息；实现自动接收科室领药单功能；实现药品的核算功能，可统计分析各药房的消耗、库存；实现药品字典库维护功能，支持一药多名操作，实现统一规范药品名称；实现药品的有效期管理、可自动提示、报警和统计过期药品的品种数、金额和库存量；实现对毒麻药品、精神药品的种类、贵重药品、院内制剂、进口药品、自费药等均有特定的判断识别处理，并可查询打印；支持药品批次、多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门诊药房管理系统</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可自动获取领药人、开方医生和门诊患者和药品的基本信息，实现对门诊收费的药品明细执行发药核对确认，消减库存的功能，并统计日处方量和各类别的处方量；为门诊收费设置包装数、低限报警值、控制药品以及药品别名等功能；可自动生成药品进药计划申请单，并发往药库；实现本药房药品的调拨、盘点、报损、调换和退药功能；实现药房药品的日结、月结和年结算功能，并自动比较会计帐及实物帐的平衡关系；可随时查询某日和任意时间段的入库药品消耗，以及任意某一药品的入、出、存明细帐；实现药品的有效期管理、可自动报警和统计过期药品的品种数和金额，并有库存量提示功能；对毒麻药品、精神药品的种类、贵重药品、院内制剂、进口药品、自费药等均有特定的判断识别处理；支持多个、批次门诊药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住院药房管理系统</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实现对病区药房药品出、入、转、存的集中统一管理，形成完整的帐务体系。实现药品请领、入库、调拨、退库、报损、患者退药、发药；实现库存管理、价格管理、有效期管理、库存盘点、药房退药；查询药品消耗统计（单品种、分种类、分科室）药房药品库存查询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出入院管理系统</w:t>
            </w:r>
          </w:p>
        </w:tc>
        <w:tc>
          <w:tcPr>
            <w:tcW w:w="5949" w:type="dxa"/>
          </w:tcPr>
          <w:p>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住院患者入、出、转及住院收费</w:t>
            </w:r>
          </w:p>
          <w:p>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住院患者入、出、转管理分系统基本功能：</w:t>
            </w:r>
          </w:p>
          <w:p>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实现入院管理、预交金管理、住院病历管理功能、出院管理；实现对空床、患者的查询统计；实现床位管理功能。</w:t>
            </w:r>
          </w:p>
          <w:p>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住院收费分系统基本功能：</w:t>
            </w:r>
          </w:p>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实现患者费用管理、划价收费功能、住院财务管理、住院收费科室工作量统计；实现查询统计功能、打印输出功能。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门诊医生站</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实现自动获取患者基本信息、医生信息、费用信息；支持医生处理门诊记录、检查、检验、诊断、处方、治疗处置卫生材料、收入院等诊疗活动；实现处方的自动监测；实现医嘱模板及相应编辑功能；自动审核录入医嘱的完整性；支持医生查询相关资料：历次就诊信息、检验检查结果，并包含比较功能；自动核算就诊费用，支持医保、农合费用管理；自动向有关部门传送检查、检验、诊断、处方、治疗处置、收住院等诊疗信息，保证医嘱指令顺利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住院医生站</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住院医生工作站是协助医生完成病房日常医疗工作的计算机应用程序。其主要任务是处理诊断、处方、检查、检验、治疗处置、护理、卫生材料以及会诊、转科、出院等信息。与 HIS系统共享患者基本信息、诊疗相关信息、医生信息、费用信息。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住院护士工作站</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以病房医嘱、住院患者医疗信息、病床管理为重点，辅助病房诊断、治疗及病区事务管理；实现医嘱校对、执行、打印电子化及入区、出区、转床、转科等病区事务的网络化；为医生的医疗工作和病情分析包含数据依据；记录护理工作情况。实现床位管理、医嘱处理、护理管理、费用管理、产科护士站支持产房管理产中用药、记费，新生儿登记，相关报表查询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物资管理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实现采购计划单自动获取或录入、采购计划单编辑查询功能；实现专购品请购单自动获取或录人、专购品请购单编辑查询功能实现入库单自动获取或录入、入库单编辑查询功能；实现出库单自动获取或录入、出库单编辑查询功能； 实现调拨单自动获取或录人、调拨单编辑查询功能；实现库存量查询打印功能；实现移库功能；实现库存管理舍入误差处理功能；实现库存分类汇总、科室领用汇总、出入库情况汇总、采购结算统计、物资管理月报、年报报表打印功能；实现物资管理字典维护功能；实现系统初始化管理功能；实现招标人权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设备管理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实现已有资产信息的登记、维护，查询、报表管理等各项基本功能。对固定资产的购进、领用、转移、报损有严格的凭证管理，对入库验收，出库调拨，消耗报废、及时登记进行过程跟踪，有严密的审核机制，并可定期盘存清查。实现主设备购增录入、编辑、查询功能；实现主设备增值情况录入、编辑、查询功能；实现附件购置录入、编辑、查询功能；实现设备入库批量处理功能；实现分期付款情况录入、编辑、查询功能；实现进口设备购人有关资料录入编辑、查询功能；实现设备出库单录入、编辑、查询功能；实现设备调配单录入、编辑、查询功能；实现库存盘亏处理功能；实现设备维修情况记录和维修费用管理功能；实现设备完好情况和使用情况登记管理功能；实现固定资产明细帐检索查询和打印功能；实现设备折旧汇总统计打印功能；实现设备购置分类检索查询、统计、汇总打印功能；实现设备附件购置分类检索查询、统计、汇总打印功能；实现卫生行政部门统一报表汇总打印功能；实现设备管理字典维护功能；实现系统初始化管理功能；实现招标人权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院长查询</w:t>
            </w:r>
          </w:p>
        </w:tc>
        <w:tc>
          <w:tcPr>
            <w:tcW w:w="5949" w:type="dxa"/>
          </w:tcPr>
          <w:p>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统涵盖各部门中心业务的查询，对门诊、住院、库房的收入与支出情况进行核算与分析，对业务部门营运的评估与业绩的参考。可以加强医院领导对各业务部门费用使用的控制掌握，避免不必要的资源浪费，辅助医院领导决策。实现临床医疗统计分析信息；实现医院财务管理分析、统计、收支执行情况和科室核算分配信息；实现医院药品进销存管理，药品会计核算和统计分析；实现后勤保障物资供应情况和经济核算实现医务、护理管理质量和分析信息。病历、医嘱查询；实现教学、科研管理有关决策分析信息；实现人事管理、科室设置、重点学科、医疗水平、学术交流等有关决策信息；</w:t>
            </w:r>
          </w:p>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实现门诊挂号统计、收费分项结算、科室核算信息及门诊月报；实现住院收费分项核算；实现年报信息、工作指标、财务查询等功能。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医疗保险接口</w:t>
            </w:r>
          </w:p>
        </w:tc>
        <w:tc>
          <w:tcPr>
            <w:tcW w:w="5949" w:type="dxa"/>
          </w:tcPr>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1.下载内容及处理：实时或定时的从上级医保部门下载更新药品目录、诊疗目录、</w:t>
            </w:r>
            <w:r>
              <w:rPr>
                <w:rFonts w:hint="eastAsia" w:ascii="宋体" w:hAnsi="宋体" w:eastAsia="宋体" w:cs="宋体"/>
                <w:color w:val="auto"/>
                <w:sz w:val="24"/>
                <w:szCs w:val="24"/>
                <w:highlight w:val="none"/>
              </w:rPr>
              <w:t>服务设施目录、黑名单、各种政策参数、政策审核函数、医疗保险结算表、医疗保险拒付明细、对帐单等，并根据政策要求对药品目录、诊疗目录、服务设施目录、黑名单进行维护。</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上传内容及处理：实时或定时向上级医保部门上传。</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2.1.门诊挂号信息、门诊处方详细信息、门诊诊疗详细信息、门诊个人帐户、支付明 细等信息。</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2.2.住院医嘱、住院首页信息、住院个人帐户支付明细、基金支付明细、现金支付明 细等信息。</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2.3.退费信息：包括本次退费信息</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原费用信息、退费金额等信息。</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2.4.结算汇总信息：按医疗保险政策规定的分类标准进行分类汇总。</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3.医疗保险病人费用处理：</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3.1.根据下载的政策参数、政策审核函数对医保病人进行身份确认，医保待遇资格判断。门诊慢性病病人用药、检查控制。</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3.2.对医疗费用进行费用划分，个人帐户支付、基金支付、现金支付确认，扣减个人帐户，打印结算单据。</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3.3.按医疗保险指定格式完成对上述信息的上传。</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3.4.在医院信息系统中保存各医疗保险病人划分并支付后的费用明细清单和结算汇总清单。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手术费用管理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系统包含费用管理、手术管理、用户维护、</w:t>
            </w:r>
            <w:r>
              <w:rPr>
                <w:rFonts w:hint="eastAsia" w:ascii="宋体" w:hAnsi="宋体" w:eastAsia="宋体"/>
                <w:color w:val="auto"/>
                <w:sz w:val="24"/>
                <w:szCs w:val="24"/>
                <w:highlight w:val="none"/>
              </w:rPr>
              <w:t>二级库管理、医技。</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.费用管理包含计费确认</w:t>
            </w:r>
            <w:r>
              <w:rPr>
                <w:rFonts w:hint="eastAsia" w:ascii="宋体" w:hAnsi="宋体" w:eastAsia="宋体"/>
                <w:color w:val="auto"/>
                <w:sz w:val="24"/>
                <w:szCs w:val="24"/>
                <w:highlight w:val="none"/>
              </w:rPr>
              <w:t>、</w:t>
            </w:r>
            <w:r>
              <w:rPr>
                <w:rFonts w:ascii="宋体" w:hAnsi="宋体" w:eastAsia="宋体"/>
                <w:color w:val="auto"/>
                <w:sz w:val="24"/>
                <w:szCs w:val="24"/>
                <w:highlight w:val="none"/>
              </w:rPr>
              <w:t>费用计算、费用查询、退药申请、退费申请</w:t>
            </w:r>
            <w:r>
              <w:rPr>
                <w:rFonts w:hint="eastAsia" w:ascii="宋体" w:hAnsi="宋体" w:eastAsia="宋体"/>
                <w:color w:val="auto"/>
                <w:sz w:val="24"/>
                <w:szCs w:val="24"/>
                <w:highlight w:val="none"/>
              </w:rPr>
              <w:t>、发药申请</w:t>
            </w:r>
            <w:r>
              <w:rPr>
                <w:rFonts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.手术管理包括手术通知单、手术通知单维护、母婴同室、植入医疗器械跟踪；</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.用户维护包括修改密码、用法设置、频率设置；</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二级库管理包括材料请领、材料盘点、材料库存查询、二级库调拨；</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w:t>
            </w:r>
            <w:r>
              <w:rPr>
                <w:rFonts w:hint="eastAsia" w:ascii="宋体" w:hAnsi="宋体" w:eastAsia="宋体"/>
                <w:color w:val="auto"/>
                <w:sz w:val="24"/>
                <w:szCs w:val="24"/>
                <w:highlight w:val="none"/>
              </w:rPr>
              <w:t>医技包括报告查询等。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患者费用管理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1．医技科室管理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1.1.录入住院号，自动读取患者编号，录入费用名称、计费单价、计费数量，计费日期。</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1.2.对待处理的患者费用项目进行相关维护。</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1.3.对患者费用项目，进行增删改处理。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1.4.通过患者费用名称，查询相关信息。</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住院固定费用管理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2.1.录入住院固定费用计费项目名称，自动读取费用单价（可修改），录入计费数量，选择计费方式：按患者、按床位等，对患者进行住院固定费用计费。</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2.2.对待处理的住院固定费用项目进行相关维护。</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2.3.住院固定费用项目，可根据需求启用及停用。</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2.4.通过住院固定费用名称，查看患者住院的相关信息。</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医嘱补录</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3.1.选择患者所在病区，选定患者即可在医嘱录入中为其下医嘱。</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3.2.根据医嘱类型来判断药品的执行频率，用药方式，处方天数等信息。</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3.3.能够通过简拼来下医嘱，通过填写每次剂量，系统自动计算出数量。</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护理输液治疗单打印设置表维护</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4.1.能够根据医生、护士工作需要选择项目类别、单据类别、病区，按需要选择护士/门诊是否可用。</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.2.项目类别：用法、药品、医疗项目。</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4.3.支持打印输液卡、护理卡、治疗卡、医疗卡、注射卡。</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4.4.能够对未处理的单据进行相关维护。</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4.5.可根据项目类别、单据类别等信息，查看相应信息。</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6</w:t>
            </w:r>
            <w:r>
              <w:rPr>
                <w:rFonts w:ascii="宋体" w:hAnsi="宋体" w:eastAsia="宋体"/>
                <w:color w:val="auto"/>
                <w:sz w:val="24"/>
                <w:szCs w:val="24"/>
                <w:highlight w:val="none"/>
              </w:rPr>
              <w:t>.能够对不再使用某个单据，进行删除操作。</w:t>
            </w:r>
          </w:p>
        </w:tc>
      </w:tr>
    </w:tbl>
    <w:p>
      <w:pPr>
        <w:pStyle w:val="9"/>
        <w:numPr>
          <w:ilvl w:val="3"/>
          <w:numId w:val="3"/>
        </w:numPr>
        <w:spacing w:line="360" w:lineRule="auto"/>
        <w:rPr>
          <w:rFonts w:ascii="宋体" w:hAnsi="宋体"/>
          <w:color w:val="auto"/>
          <w:sz w:val="24"/>
          <w:szCs w:val="24"/>
          <w:highlight w:val="none"/>
        </w:rPr>
      </w:pPr>
      <w:r>
        <w:rPr>
          <w:rFonts w:hint="eastAsia" w:ascii="宋体" w:hAnsi="宋体"/>
          <w:color w:val="auto"/>
          <w:spacing w:val="1"/>
          <w:sz w:val="24"/>
          <w:szCs w:val="24"/>
          <w:highlight w:val="none"/>
        </w:rPr>
        <w:t>基层</w:t>
      </w:r>
      <w:r>
        <w:rPr>
          <w:rFonts w:ascii="宋体" w:hAnsi="宋体"/>
          <w:color w:val="auto"/>
          <w:spacing w:val="1"/>
          <w:sz w:val="24"/>
          <w:szCs w:val="24"/>
          <w:highlight w:val="none"/>
        </w:rPr>
        <w:t>检验</w:t>
      </w:r>
      <w:r>
        <w:rPr>
          <w:rFonts w:ascii="宋体" w:hAnsi="宋体"/>
          <w:color w:val="auto"/>
          <w:spacing w:val="15"/>
          <w:sz w:val="24"/>
          <w:szCs w:val="24"/>
          <w:highlight w:val="none"/>
        </w:rPr>
        <w:t>系</w:t>
      </w:r>
      <w:r>
        <w:rPr>
          <w:rFonts w:ascii="宋体" w:hAnsi="宋体"/>
          <w:color w:val="auto"/>
          <w:sz w:val="24"/>
          <w:szCs w:val="24"/>
          <w:highlight w:val="none"/>
        </w:rPr>
        <w:t>统</w:t>
      </w:r>
      <w:r>
        <w:rPr>
          <w:rFonts w:ascii="宋体" w:hAnsi="宋体"/>
          <w:color w:val="auto"/>
          <w:spacing w:val="1"/>
          <w:sz w:val="24"/>
          <w:szCs w:val="24"/>
          <w:highlight w:val="none"/>
        </w:rPr>
        <w:t>（</w:t>
      </w:r>
      <w:r>
        <w:rPr>
          <w:rFonts w:hint="eastAsia" w:ascii="宋体" w:hAnsi="宋体"/>
          <w:color w:val="auto"/>
          <w:spacing w:val="1"/>
          <w:sz w:val="24"/>
          <w:szCs w:val="24"/>
          <w:highlight w:val="none"/>
        </w:rPr>
        <w:t>基层</w:t>
      </w:r>
      <w:r>
        <w:rPr>
          <w:rFonts w:ascii="宋体" w:hAnsi="宋体"/>
          <w:color w:val="auto"/>
          <w:sz w:val="24"/>
          <w:szCs w:val="24"/>
          <w:highlight w:val="none"/>
        </w:rPr>
        <w:t>LIS）</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把各种检验、检疫、放免等分析仪器用计算机实现连网，进行各种检验数据的实时自动接收，自动控制及综合分析。实现患者从病区护士站、住院医生站、门诊医生站开检验申请单到检验中心提供完整的检验报告单的一系列业务操作及患者检验报告单的记费管理。通过检验中心报告单的交互，实现</w:t>
            </w:r>
            <w:r>
              <w:rPr>
                <w:rFonts w:ascii="宋体" w:hAnsi="宋体" w:eastAsia="宋体"/>
                <w:color w:val="auto"/>
                <w:sz w:val="24"/>
                <w:szCs w:val="24"/>
                <w:highlight w:val="none"/>
              </w:rPr>
              <w:t xml:space="preserve"> LIS 与 HIS 数据资源全院共享，真正为医生的病情诊断提供有效、实时的咨询，提高医院的 工作效率。同时通过质控管理系统对检验室内的各类检验仪器的检验结果进行监控，保证仪器以正常的状态工作。</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基本要求：</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1.一体化设计，可与其他系统可实现信息共享；</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2.具有扫描条码技术，检验条码可以根据医院的实际需要，安排在检验医嘱申请部门或标本采集处生成条形码；</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3.检验危机值在电子病历中的智能提醒功能；</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4.具备双向交互式对接功能，可与各种自动化检验仪器实现双向数据传输， 结合国际通行的标准化条码技术，在准确接受仪器数据的同时，使仪器按照试管条码信息自动与患者资料一一对应；</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5.提供的数字化检验报告单，具备检验危急值“临床意义”、“药物作用”、“医学水平”诊断 参考提示项。</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具体要求：</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1.LIS 电脑能自动接收仪器的检验结果，并自动按样本号与患者信息合为完整的检验报告；</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2.自动按项目单价完成计费，统计任意时间范围内的收费情况；</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3.可以增加检验仪器的计算分析项目，并增加其相应的收费；</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4.LIS 网络可以储存数年的检验数据报告，可按任意条件组合迅速查询所需的检验报告单；</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5.LIS 软件报告单实现中文化、字迹清晰、排版整齐、增加了结果状态和参考值范围，自动按正常值范围，判断检验结果的状态。并支持多种形式的报告单输出，以满足不同区域用户的需求；</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6.日常工作量汇总、财务收入统计，可打印出工作量及财务的月报表、年报表；</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7.可随时调出患者的历史数据，横向观察指标变化；</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8.明确工作人员的责任和权限，操作者分级，分部门管理，防止人为破坏 及假报告单的出现；</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9.自动接收仪器的质控数据，按多种规则实施室内质控，观察和打印质控图；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检验</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检验是</w:t>
            </w:r>
            <w:r>
              <w:rPr>
                <w:rFonts w:ascii="宋体" w:hAnsi="宋体" w:eastAsia="宋体"/>
                <w:color w:val="auto"/>
                <w:sz w:val="24"/>
                <w:szCs w:val="24"/>
                <w:highlight w:val="none"/>
              </w:rPr>
              <w:t xml:space="preserve"> LIS 系统的主要工作之一，至少应包含采样管理 ，检验报告，标本接收记录，特殊登记，合作单位登记，检验队列，绿色通道处理，复核报告，批量录入，体检人员登记等功能。</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采样管理：系统支持扫描条码就可以查看患者的信息以及检验项目，可以进行打印条码等操作；</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2.检验报告：扫码可以查看患者的信息以及检验技师，送检日期，送检医师等信息。可以进行保存和取消的操作。可以查看患者的检验结果，图 形，收费，申请单，历史结果，备注等信息。可以进行打印预览，审核， 批量审核，批量调整，申请退费。通知复查等操作。可以查看已审核和 未审核的病号；</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3.标本接收记录，此功能是检验项目的基础，只有进行过标本接收的标本才可以进行检验。扫描条码号进行操作，可以查看患者的标本信息，患 者信息和检验项目信息。有接收，拒收，查询等功能。拒收时要选择拒 收原因。查询功能则可以根据采集日期，接收日期，患者类型，接收类 型等选择项目进行查询；</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4.特殊登记：用于项目初期没有条码的标本进行手动添加条码（如急诊患 者），根据患者的就诊情况填写患者信息，添加患者需要检查的项目， 生成条码；</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5.批量结果录入：主要针对同一检验项目或多个检验项目的批量结果录入。可以选择需要录入的检验项目，查询出录入检验项目的所有病号，然后 进行批量录入。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质控</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质控有质控物维护，质控数据管理，质控数据查询，质控图，质控月汇总表，多值质控数据分析，质控规则等功能。</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1.质控物维护：质控物维护，批号维护，质控项目维护，质控项目规则维护；</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2.质控数据管理：根据质控物维护里的质控物进行质控实验。选择相应的质控信息，可以查看质控图表；</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3.质控物查询：该功能主要查询指控数据管理的结果数据，可以根据批号，项目，日期，设备查询出要查询的结果；</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4.质控图：该功能可以根据仪器，月份，批号查询项目的质控数据，质控 图和指控规则。具有计算靶值和打印的功能；</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5.质控月汇总表：根据月份，时间段，批号进行查询，打印，导出，分析表的功能；</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6.质控规则：对质控规则进行增加，修改，删除等操作。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查询</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检验人员日常查询使用，功能包含：人员查询，报告查询，收费统计，工作统计，结果统计，条码查询，特殊登记查询，乙肝表面抗原查询，绿色通道查询，医生工作量统计，仪器工作量统计，微生物统计报表，住院退费单查询，阳性率报表，细菌发生率统计，检验项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系统维护</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与检验有关的业务维护，包括报告单初始化，联网项目库，联网项目目录，收费组合字典，仪器检验项目，标本拒收原因，合作单位，检验小组维护，样本类型，报告单类型，计量单位维护，样本说明维护，检验类型维护，血液品种维护，抗生素维护，抗生素自定义组合，微生物备注信息模版，菌种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系统设置</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对仪器，系统，密码修改等操作，有仪器注册，仪器同步，系统配置，仪器管理，系统登录，口令修改，权限处理，重启接口通讯，数据归档等功能。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试剂管理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以条形码管理为基础，提供消耗品和试剂检验科内库存管理功能，具备完整的申领盘点流程，有入库，领用申请，审核批准，出库的操作流程控制。能够根据预定义的各检验项目的每次试剂消耗量自动计算全科试剂和耗材消耗情况，失效期和低库存报警功能。可进行定期 的库存盘点，库存量不足或试剂到期前进行提示。可自定义每种试剂的库存量和有效期的报警值</w:t>
            </w:r>
          </w:p>
        </w:tc>
      </w:tr>
    </w:tbl>
    <w:p>
      <w:pPr>
        <w:pStyle w:val="9"/>
        <w:numPr>
          <w:ilvl w:val="3"/>
          <w:numId w:val="3"/>
        </w:numPr>
        <w:spacing w:line="360" w:lineRule="auto"/>
        <w:rPr>
          <w:rFonts w:ascii="宋体" w:hAnsi="宋体"/>
          <w:color w:val="auto"/>
          <w:sz w:val="24"/>
          <w:szCs w:val="24"/>
          <w:highlight w:val="none"/>
        </w:rPr>
      </w:pPr>
      <w:r>
        <w:rPr>
          <w:rFonts w:hint="eastAsia" w:ascii="宋体" w:hAnsi="宋体"/>
          <w:color w:val="auto"/>
          <w:spacing w:val="1"/>
          <w:sz w:val="24"/>
          <w:szCs w:val="24"/>
          <w:highlight w:val="none"/>
        </w:rPr>
        <w:t>基层</w:t>
      </w:r>
      <w:r>
        <w:rPr>
          <w:rFonts w:ascii="宋体" w:hAnsi="宋体"/>
          <w:color w:val="auto"/>
          <w:sz w:val="24"/>
          <w:szCs w:val="24"/>
          <w:highlight w:val="none"/>
        </w:rPr>
        <w:t>影</w:t>
      </w:r>
      <w:r>
        <w:rPr>
          <w:rFonts w:ascii="宋体" w:hAnsi="宋体"/>
          <w:color w:val="auto"/>
          <w:spacing w:val="1"/>
          <w:sz w:val="24"/>
          <w:szCs w:val="24"/>
          <w:highlight w:val="none"/>
        </w:rPr>
        <w:t>像</w:t>
      </w:r>
      <w:r>
        <w:rPr>
          <w:rFonts w:ascii="宋体" w:hAnsi="宋体"/>
          <w:color w:val="auto"/>
          <w:sz w:val="24"/>
          <w:szCs w:val="24"/>
          <w:highlight w:val="none"/>
        </w:rPr>
        <w:t>系</w:t>
      </w:r>
      <w:r>
        <w:rPr>
          <w:rFonts w:ascii="宋体" w:hAnsi="宋体"/>
          <w:color w:val="auto"/>
          <w:spacing w:val="1"/>
          <w:sz w:val="24"/>
          <w:szCs w:val="24"/>
          <w:highlight w:val="none"/>
        </w:rPr>
        <w:t>统</w:t>
      </w:r>
      <w:r>
        <w:rPr>
          <w:rFonts w:ascii="宋体" w:hAnsi="宋体"/>
          <w:color w:val="auto"/>
          <w:sz w:val="24"/>
          <w:szCs w:val="24"/>
          <w:highlight w:val="none"/>
        </w:rPr>
        <w:t>（</w:t>
      </w:r>
      <w:r>
        <w:rPr>
          <w:rFonts w:hint="eastAsia" w:ascii="宋体" w:hAnsi="宋体"/>
          <w:color w:val="auto"/>
          <w:spacing w:val="1"/>
          <w:sz w:val="24"/>
          <w:szCs w:val="24"/>
          <w:highlight w:val="none"/>
        </w:rPr>
        <w:t>基层</w:t>
      </w:r>
      <w:r>
        <w:rPr>
          <w:rFonts w:ascii="宋体" w:hAnsi="宋体"/>
          <w:color w:val="auto"/>
          <w:sz w:val="24"/>
          <w:szCs w:val="24"/>
          <w:highlight w:val="none"/>
        </w:rPr>
        <w:t>PACS）</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基于</w:t>
            </w:r>
            <w:r>
              <w:rPr>
                <w:rFonts w:ascii="宋体" w:hAnsi="宋体" w:eastAsia="宋体"/>
                <w:color w:val="auto"/>
                <w:sz w:val="24"/>
                <w:szCs w:val="24"/>
                <w:highlight w:val="none"/>
              </w:rPr>
              <w:t xml:space="preserve"> IHE、DICOM 和 HL-7 等国际标准，实现影像采集传输与存储管理、影像诊断查询与报告管理、综合信息管理等综合应用。</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基本要求：</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1.严格遵守国际技术标准（HL-7、DICOM、IHE），具备完全开放式体系架构；</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2.采用多线程、多任务设计模式，提高响应速度；</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3.提供全院级、科室级工作站以及远程会诊工作站功能，各临床信息系统具备实时调阅数字化检查报告单及数字影像结果功能；</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4.具有多平面重建功能；</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.采用全息图像浏览器，部署方便，简单易用；</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6.支持对影像文件传送的断点续传；</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7.支持多种图像采集方式；</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8.支持在线、近线、离线多种存储方式。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具体要求：</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1.影像分发通过 web 分发器获取，影像资料支持移动端接收；</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2.可将一个患者的多种影像资料调入同一个界面进行比对；</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3.与 LIS 系统信息交换充分；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4.与 HIS 系统信息交换充分，使信息交换和共享没有任何障碍；</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5.采用多线程、多任务设计模式；</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6.能兼容多种存储结构；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登记</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1.普通登记；</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2.绿色通道登记；</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3.登记列表。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检查</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1.检查列表；</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2.在检查列表中可以进行叫号；</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3.可以查看申请单，查看历史报告和查看病历。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报告</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1.报告列表；</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2.报告处理；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3.模板维护；</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4.根据实际情况自定义、修改、删除模板及模板内容。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查询统计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1.退费查询；</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2.费用查询；</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3.阳性率统计；</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4.工作量统计；</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5.人员查询；</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6.非正常图像查询；</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7.报告查询。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系统设置</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1.检查诊室设置；</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2.检查设备维护；</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3.检查部位维护；</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4.系统设置；</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5.申请单设置。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图像浏览器</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1.可移动，放大，跳窗，直线测量，角度测量测量，CT 值测量，反色处理；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2.可以改变图像区大，添加/删除分隔行，添加/删除分隔列，可以改变序列的排版，可以更改窗宽/窗位值；</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3.可以对图像进行缩放处理，可以改变图像的位置，可以切换图片，可以切换一屏图像；可以切换与当前图像序列相邻的前后序列的图像。</w:t>
            </w:r>
          </w:p>
        </w:tc>
      </w:tr>
    </w:tbl>
    <w:p>
      <w:pPr>
        <w:pStyle w:val="9"/>
        <w:numPr>
          <w:ilvl w:val="3"/>
          <w:numId w:val="3"/>
        </w:numPr>
        <w:spacing w:line="360" w:lineRule="auto"/>
        <w:rPr>
          <w:rFonts w:ascii="宋体" w:hAnsi="宋体"/>
          <w:color w:val="auto"/>
          <w:sz w:val="24"/>
          <w:szCs w:val="24"/>
          <w:highlight w:val="none"/>
        </w:rPr>
      </w:pPr>
      <w:r>
        <w:rPr>
          <w:rFonts w:hint="eastAsia" w:ascii="宋体" w:hAnsi="宋体"/>
          <w:color w:val="auto"/>
          <w:sz w:val="24"/>
          <w:szCs w:val="24"/>
          <w:highlight w:val="none"/>
        </w:rPr>
        <w:t>基层电子病历系统（</w:t>
      </w:r>
      <w:r>
        <w:rPr>
          <w:rFonts w:hint="eastAsia" w:ascii="宋体" w:hAnsi="宋体"/>
          <w:color w:val="auto"/>
          <w:spacing w:val="1"/>
          <w:sz w:val="24"/>
          <w:szCs w:val="24"/>
          <w:highlight w:val="none"/>
        </w:rPr>
        <w:t>基层E</w:t>
      </w:r>
      <w:r>
        <w:rPr>
          <w:rFonts w:ascii="宋体" w:hAnsi="宋体"/>
          <w:color w:val="auto"/>
          <w:spacing w:val="1"/>
          <w:sz w:val="24"/>
          <w:szCs w:val="24"/>
          <w:highlight w:val="none"/>
        </w:rPr>
        <w:t>MR</w:t>
      </w:r>
      <w:r>
        <w:rPr>
          <w:rFonts w:hint="eastAsia" w:ascii="宋体" w:hAnsi="宋体"/>
          <w:color w:val="auto"/>
          <w:sz w:val="24"/>
          <w:szCs w:val="24"/>
          <w:highlight w:val="none"/>
        </w:rPr>
        <w:t>）</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患者管理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显示本科室全部在院病人。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常用查询</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包含未归档病历查询、归档病历查询、检验报告查询、检查报告查询、会诊邀请查询。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其他查询</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包含检验队列查询、检查队列查询、临床知识查询、患者预约管理、植入医疗器械跟踪查询、出院患者查询、危急值查询等功能。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公用项目</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包含密码修改、医嘱模板维护、病历模板维护、患者预警设置、打印机设置、用法维护、频率维护等功能。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患者信息</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包含本次住院信息、以往住院信息、费用信息、门诊信息、查房信息、入院评估、医嘱单、体温单、新生儿体温单、血压记录单、病历浏览、检验报告、检查报告、危重患者护理信息、血糖记录单查看等。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病历书写</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包含病案首页、医嘱处理、病历编辑书写、入院记录、病程记录、手术记录、出院记录、其他记录、产科报表、病历模板的引用、检验报告的引用、检查报告的引用、医嘱的引用等功能。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电子申请单</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医生通过系统对检验、检查、会诊、手术、远程会诊进行电子申请。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交班报告</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s="宋体"/>
                <w:color w:val="auto"/>
                <w:sz w:val="24"/>
                <w:szCs w:val="24"/>
                <w:highlight w:val="none"/>
              </w:rPr>
              <w:t>可对交班报告内容进行添加和查询。</w:t>
            </w:r>
          </w:p>
        </w:tc>
      </w:tr>
    </w:tbl>
    <w:p>
      <w:pPr>
        <w:pStyle w:val="9"/>
        <w:numPr>
          <w:ilvl w:val="3"/>
          <w:numId w:val="3"/>
        </w:numPr>
        <w:spacing w:line="360" w:lineRule="auto"/>
        <w:rPr>
          <w:rFonts w:ascii="宋体" w:hAnsi="宋体"/>
          <w:color w:val="auto"/>
          <w:sz w:val="24"/>
          <w:szCs w:val="24"/>
          <w:highlight w:val="none"/>
        </w:rPr>
      </w:pPr>
      <w:r>
        <w:rPr>
          <w:rFonts w:hint="eastAsia" w:ascii="宋体" w:hAnsi="宋体"/>
          <w:color w:val="auto"/>
          <w:sz w:val="24"/>
          <w:szCs w:val="24"/>
          <w:highlight w:val="none"/>
        </w:rPr>
        <w:t>乡医工作站系统</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患者诊治</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.能够查看到患者信息，并能进行开方、退药退费、药品管理、查询统计等。</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.能够进行查询统计，包括工作量统计、高血压管理统计、治疗率管理统计、医保结算查询、门诊综合查询、发票查询等。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慢病管理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能通过居民健康卡号、建档时间、责任人、签约状态等条件检索居民并可以为慢病患者建立随访计划。通过健康档案浏览器可以查看该患者全生命周期的健康档案。可以查看该患者近期的身体基本状况、药物过敏史、既往病史、家族遗传和残疾情况。还可以查看患者的近期就诊记录近期用药和近期的检查检验信息，以及血压值走向图。</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.支持远程会诊申请等。支持家庭医生签约，通过开展家庭医生签约，输入患者的姓名，如果患者没有进行家庭医生签约，点击家庭签约，为患者进行家庭医生签约。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公共卫生管理</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具有发布公告功能；可以分别查看儿童、孕产妇、高血压的服务人口、随访统计情况，并且可查看近五日随访量趋势图；机构概况，显示当前机构儿童、孕产妇、老年人、慢病患者等综合管理情况；工作提醒，显示儿童、孕产妇、老年人等，本日、本周、本月应该随访的数量，点击某个单元格，弹出对应的工作提醒。能够查看并管理个人档案及家庭档案。能够实现儿童保健、妇女保健、疾病管理、老年管理、疾病控制、健康教育等公卫项目。可以按照居民信息、重点人群、卫生管理信息等进行统计分析。</w:t>
            </w:r>
          </w:p>
        </w:tc>
      </w:tr>
    </w:tbl>
    <w:p>
      <w:pPr>
        <w:pStyle w:val="8"/>
        <w:numPr>
          <w:ilvl w:val="2"/>
          <w:numId w:val="3"/>
        </w:numPr>
        <w:spacing w:line="360" w:lineRule="auto"/>
        <w:rPr>
          <w:rFonts w:ascii="宋体" w:hAnsi="宋体" w:eastAsia="宋体"/>
          <w:color w:val="auto"/>
          <w:spacing w:val="15"/>
          <w:sz w:val="24"/>
          <w:szCs w:val="24"/>
          <w:highlight w:val="none"/>
        </w:rPr>
      </w:pPr>
      <w:bookmarkStart w:id="18" w:name="_Toc21183162"/>
      <w:r>
        <w:rPr>
          <w:rFonts w:hint="eastAsia" w:ascii="宋体" w:hAnsi="宋体" w:eastAsia="宋体"/>
          <w:color w:val="auto"/>
          <w:spacing w:val="15"/>
          <w:sz w:val="24"/>
          <w:szCs w:val="24"/>
          <w:highlight w:val="none"/>
        </w:rPr>
        <w:t>公共卫生系统</w:t>
      </w:r>
      <w:bookmarkEnd w:id="18"/>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以个人、家庭健康档案为核心，涵盖城乡居民健康档案管理、健康教育、儿童健康管理、孕产妇健康管理、老年人健康管理、预防接种、传染病报告和处理、慢性病等疾病预防控制管理和基本医疗管理等内容，满足妇幼保健、疾病预防控制等纵向业务系统的业务规范和数据采集要求，为各业务系统提供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健康档案</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1.个人档案</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1.1.个人基本信息：新建个人基本信息、个人档案删除、修改个人基本信息、查看个人基本信息详情。</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1.2.档案转档：档案的查询、申请转档功能、所有转档查询</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1.3.档案转档审核</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1.4.健康体检表：新增健康体检表、修改健康体检表、作废（还原）健康体检表、查看健康体检表详情</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1.5.接诊记录表：新增接诊记录、修改接诊记录、作废（还原）接诊记录表、查看接诊记录详情</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1.6.会诊记录表：新增会诊记录、修改会诊记录、作废（还原）会诊记录表、查看会诊记录详情</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1.7.双向转诊：新增双向转诊、修改双向转诊、查看双向转诊详情</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1.8.个人档案删除审核</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2.家庭档案：新增家庭档案、修改家庭档案、查看家庭档案详情、家庭关系维护-添加</w:t>
            </w:r>
            <w:r>
              <w:rPr>
                <w:rFonts w:hint="eastAsia" w:ascii="宋体" w:hAnsi="宋体" w:eastAsia="宋体"/>
                <w:color w:val="auto"/>
                <w:sz w:val="24"/>
                <w:szCs w:val="24"/>
                <w:highlight w:val="none"/>
              </w:rPr>
              <w:t>、家庭关系维护</w:t>
            </w:r>
            <w:r>
              <w:rPr>
                <w:rFonts w:ascii="宋体" w:hAnsi="宋体" w:eastAsia="宋体"/>
                <w:color w:val="auto"/>
                <w:sz w:val="24"/>
                <w:szCs w:val="24"/>
                <w:highlight w:val="none"/>
              </w:rPr>
              <w:t>-调整、家庭关系维护-删除</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儿童保健</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1.新生儿访视：新建新生儿随访、修改新生儿随访、作废（还原）新生儿随访、查看新生儿详情</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2.儿童健康管理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1岁以内、1~2岁以内、3~6岁以内儿童儿童健康检查列表</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2.1.新建儿童健康检查</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2.2.修改儿童健康检查记录</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2.3.作废（还原）儿童健康检查记录</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2.4.查看儿童健康检查详情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妇女保健</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1.产前随访</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第一次产前随访列表：新建第一次产前随访、修改第一次产前随访、作废（还原）第一次产前随访、查看第一次产前随访详情。</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1.2.  2~5次产前随访列表：新建2~5次产前随访、修改2~5次产前随访、作废（还原）2~5次产前随访、查看2~5次产前随访详情</w:t>
            </w: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2.产后检查</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2.1.  </w:t>
            </w:r>
            <w:r>
              <w:rPr>
                <w:rFonts w:hint="eastAsia" w:ascii="宋体" w:hAnsi="宋体" w:eastAsia="宋体"/>
                <w:color w:val="auto"/>
                <w:sz w:val="24"/>
                <w:szCs w:val="24"/>
                <w:highlight w:val="none"/>
              </w:rPr>
              <w:t>产后访视列表：新建产后访视、修改产后访视、作废（还原）产后访视、查看产后访视详情。</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2.2.  </w:t>
            </w:r>
            <w:r>
              <w:rPr>
                <w:rFonts w:hint="eastAsia" w:ascii="宋体" w:hAnsi="宋体" w:eastAsia="宋体"/>
                <w:color w:val="auto"/>
                <w:sz w:val="24"/>
                <w:szCs w:val="24"/>
                <w:highlight w:val="none"/>
              </w:rPr>
              <w:t>产后</w:t>
            </w:r>
            <w:r>
              <w:rPr>
                <w:rFonts w:ascii="宋体" w:hAnsi="宋体" w:eastAsia="宋体"/>
                <w:color w:val="auto"/>
                <w:sz w:val="24"/>
                <w:szCs w:val="24"/>
                <w:highlight w:val="none"/>
              </w:rPr>
              <w:t>42天健康检查列表：新建产后42天健康检查、修改产后42天健康检查、作废（还原）产后42天健康检查、查看产后42天健康检查详情</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疾病管理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能够针对慢病疾病管理的随访列表进行新建、修改、作废（还原）等功能，慢病疾病应包含高血压、糖尿病、重症精神病、脑卒中随访列表、冠心病随访列表、残疾人随访列表、肺结核随访列表。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老年管理</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能够对新增老年人自理能力调查、新增老年人体质识别调查、修改和作废。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疾病控制</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能够对预防接种、传染病、职业病等疾病进行新增、更新、作废等操作。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健康教育</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健康教育活动列表：对能够查询健康教育活动明细，并能够进行新增、修改、删除等操作。</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年度计划：能够制定年度计划。</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健康教育资料：能够实现健康教育宣传资料、宣传栏、公共健康咨询、健康知识讲座等方案提交和素材上传</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个性化健康教育：能够检索出需要进行个性化健康教育的居民，并能够填写具体的个性化健康教育内容。</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健康教育方案审核：能够实现对健康教育方案的审核。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统计报表</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1.居民信息统计</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能够对人群分类和建档进行统计。</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2.重点人群统计</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能够对慢病随访、妇女随访、儿童、老年人等随访数据进行统计，包括慢病人群随访、妇女随访、儿童随访、老年人随访、体检统计、脑冠残随访、高血压患者管理、老年人健康管理、Ⅱ型糖尿病患者健康管理、重性精神病患者管理、老年人健康查体月报表、老年人健康查体汇总表、艾滋病、6</w:t>
            </w:r>
            <w:r>
              <w:rPr>
                <w:rFonts w:ascii="宋体" w:hAnsi="宋体" w:eastAsia="宋体"/>
                <w:color w:val="auto"/>
                <w:sz w:val="24"/>
                <w:szCs w:val="24"/>
                <w:highlight w:val="none"/>
              </w:rPr>
              <w:t>5</w:t>
            </w:r>
            <w:r>
              <w:rPr>
                <w:rFonts w:hint="eastAsia" w:ascii="宋体" w:hAnsi="宋体" w:eastAsia="宋体"/>
                <w:color w:val="auto"/>
                <w:sz w:val="24"/>
                <w:szCs w:val="24"/>
                <w:highlight w:val="none"/>
              </w:rPr>
              <w:t>岁及以上老年人健康查体情况月报表进行统计。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w:t>
            </w:r>
            <w:r>
              <w:rPr>
                <w:rFonts w:hint="eastAsia" w:ascii="宋体" w:hAnsi="宋体" w:eastAsia="宋体"/>
                <w:color w:val="auto"/>
                <w:sz w:val="24"/>
                <w:szCs w:val="24"/>
                <w:highlight w:val="none"/>
              </w:rPr>
              <w:t>慢病提醒</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通过医共体信息平台，及时将医共体内各医疗机构的慢病（高血压和糖尿病）确诊信息推送给公共卫生系统中，提醒医生进行及时纳入慢病，进行随访。</w:t>
            </w:r>
          </w:p>
        </w:tc>
      </w:tr>
    </w:tbl>
    <w:p>
      <w:pPr>
        <w:pStyle w:val="8"/>
        <w:numPr>
          <w:ilvl w:val="2"/>
          <w:numId w:val="3"/>
        </w:numPr>
        <w:spacing w:line="360" w:lineRule="auto"/>
        <w:rPr>
          <w:rFonts w:ascii="宋体" w:hAnsi="宋体" w:eastAsia="宋体"/>
          <w:color w:val="auto"/>
          <w:sz w:val="24"/>
          <w:szCs w:val="24"/>
          <w:highlight w:val="none"/>
        </w:rPr>
      </w:pPr>
      <w:bookmarkStart w:id="19" w:name="_Toc21183163"/>
      <w:r>
        <w:rPr>
          <w:rFonts w:hint="eastAsia" w:ascii="宋体" w:hAnsi="宋体" w:eastAsia="宋体"/>
          <w:color w:val="auto"/>
          <w:sz w:val="24"/>
          <w:szCs w:val="24"/>
          <w:highlight w:val="none"/>
        </w:rPr>
        <w:t>公共卫生考核结算系统</w:t>
      </w:r>
      <w:bookmarkEnd w:id="19"/>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.对基本公共卫生服务所有服务项目细化分析，按照统一的编码规范进行四级编码，实现标准化工分。</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为每位基层医疗卫生人员进行统一身份识别编码。★支持通过身份证刷卡和人脸识别功能，校验信息系统记录医务人员的工作量的真实性。</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w:t>
            </w:r>
            <w:r>
              <w:rPr>
                <w:rFonts w:ascii="宋体" w:hAnsi="宋体" w:eastAsia="宋体"/>
                <w:color w:val="auto"/>
                <w:sz w:val="24"/>
                <w:szCs w:val="24"/>
                <w:highlight w:val="none"/>
              </w:rPr>
              <w:t>从组织管理、资金管理、项目执行、项目效果四个角度分析，从系统量化考核、评价考核、专家组考核三个维度进行综合考核得出考核成绩，从三个维度计算考核权重。</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申请到的基本公共卫生服务专项资金，按照工分值分配服务资金，体现多劳多得，不再简单的按照机构人员和支出水平核拨资金。</w:t>
            </w:r>
          </w:p>
        </w:tc>
      </w:tr>
    </w:tbl>
    <w:p>
      <w:pPr>
        <w:pStyle w:val="8"/>
        <w:numPr>
          <w:ilvl w:val="2"/>
          <w:numId w:val="3"/>
        </w:numPr>
        <w:spacing w:line="360" w:lineRule="auto"/>
        <w:rPr>
          <w:rFonts w:ascii="宋体" w:hAnsi="宋体" w:eastAsia="宋体"/>
          <w:color w:val="auto"/>
          <w:sz w:val="24"/>
          <w:szCs w:val="24"/>
          <w:highlight w:val="none"/>
        </w:rPr>
      </w:pPr>
      <w:bookmarkStart w:id="20" w:name="_Toc21183164"/>
      <w:r>
        <w:rPr>
          <w:rFonts w:hint="eastAsia" w:ascii="宋体" w:hAnsi="宋体" w:eastAsia="宋体"/>
          <w:color w:val="auto"/>
          <w:sz w:val="24"/>
          <w:szCs w:val="24"/>
          <w:highlight w:val="none"/>
        </w:rPr>
        <w:t>卫生统计决策分析系统</w:t>
      </w:r>
      <w:bookmarkEnd w:id="20"/>
    </w:p>
    <w:p>
      <w:pPr>
        <w:pStyle w:val="9"/>
        <w:numPr>
          <w:ilvl w:val="3"/>
          <w:numId w:val="3"/>
        </w:numPr>
        <w:spacing w:line="360" w:lineRule="auto"/>
        <w:rPr>
          <w:rFonts w:ascii="宋体" w:hAnsi="宋体"/>
          <w:color w:val="auto"/>
          <w:sz w:val="24"/>
          <w:szCs w:val="24"/>
          <w:highlight w:val="none"/>
        </w:rPr>
      </w:pPr>
      <w:r>
        <w:rPr>
          <w:rFonts w:hint="eastAsia" w:ascii="宋体" w:hAnsi="宋体"/>
          <w:color w:val="auto"/>
          <w:sz w:val="24"/>
          <w:szCs w:val="24"/>
          <w:highlight w:val="none"/>
        </w:rPr>
        <w:t>医疗服务监管</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通过医疗业务数据的统计分析，为领导层决策提供辅助支撑功能。建立全面数据分析支撑平台对数据进行统计分析，支持大屏数据展示。如：数据分析、多维分析、关联指标分析等，对医疗业务数据的多角度、多层次的深入的统计分析，包括：门急诊、住院患者情况分析、平均住院日等医院运行状态分析。用药分析、手术分析、检验检查分析、治疗结果分析以及诊断符合情况分析等。</w:t>
            </w:r>
            <w:r>
              <w:rPr>
                <w:rFonts w:ascii="宋体" w:hAnsi="宋体" w:eastAsia="宋体"/>
                <w:color w:val="auto"/>
                <w:sz w:val="24"/>
                <w:szCs w:val="24"/>
                <w:highlight w:val="none"/>
              </w:rPr>
              <w:t xml:space="preserve"> </w:t>
            </w:r>
          </w:p>
        </w:tc>
      </w:tr>
    </w:tbl>
    <w:p>
      <w:pPr>
        <w:pStyle w:val="9"/>
        <w:numPr>
          <w:ilvl w:val="3"/>
          <w:numId w:val="3"/>
        </w:numPr>
        <w:spacing w:line="360" w:lineRule="auto"/>
        <w:rPr>
          <w:rFonts w:ascii="宋体" w:hAnsi="宋体"/>
          <w:color w:val="auto"/>
          <w:sz w:val="24"/>
          <w:szCs w:val="24"/>
          <w:highlight w:val="none"/>
        </w:rPr>
      </w:pPr>
      <w:r>
        <w:rPr>
          <w:rFonts w:hint="eastAsia" w:ascii="宋体" w:hAnsi="宋体"/>
          <w:color w:val="auto"/>
          <w:sz w:val="24"/>
          <w:szCs w:val="24"/>
          <w:highlight w:val="none"/>
        </w:rPr>
        <w:t>公共卫生服务监管</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通过对公共卫生业务数据的统计分析，为领导层决策提供辅助支撑功能。建立全面数据分析支撑平台对数据进行统计分析，支持大屏数据展示。如：数据分析、多维分析、关联指标分析等，对公共卫生业务数据的多角度、多层次的深入的统计分析，包括：健康体检、慢病管理、疾病预防与控制、建档率等。</w:t>
            </w:r>
          </w:p>
        </w:tc>
      </w:tr>
    </w:tbl>
    <w:p>
      <w:pPr>
        <w:pStyle w:val="8"/>
        <w:numPr>
          <w:ilvl w:val="2"/>
          <w:numId w:val="3"/>
        </w:numPr>
        <w:spacing w:line="360" w:lineRule="auto"/>
        <w:rPr>
          <w:rFonts w:ascii="宋体" w:hAnsi="宋体" w:eastAsia="宋体"/>
          <w:color w:val="auto"/>
          <w:sz w:val="24"/>
          <w:szCs w:val="24"/>
          <w:highlight w:val="none"/>
        </w:rPr>
      </w:pPr>
      <w:bookmarkStart w:id="21" w:name="_Toc21183165"/>
      <w:r>
        <w:rPr>
          <w:rFonts w:ascii="宋体" w:hAnsi="宋体" w:eastAsia="宋体"/>
          <w:color w:val="auto"/>
          <w:sz w:val="24"/>
          <w:szCs w:val="24"/>
          <w:highlight w:val="none"/>
        </w:rPr>
        <w:t>微信公众号</w:t>
      </w:r>
      <w:r>
        <w:rPr>
          <w:rFonts w:ascii="宋体" w:hAnsi="宋体" w:eastAsia="宋体"/>
          <w:color w:val="auto"/>
          <w:spacing w:val="1"/>
          <w:sz w:val="24"/>
          <w:szCs w:val="24"/>
          <w:highlight w:val="none"/>
        </w:rPr>
        <w:t>服</w:t>
      </w:r>
      <w:r>
        <w:rPr>
          <w:rFonts w:ascii="宋体" w:hAnsi="宋体" w:eastAsia="宋体"/>
          <w:color w:val="auto"/>
          <w:sz w:val="24"/>
          <w:szCs w:val="24"/>
          <w:highlight w:val="none"/>
        </w:rPr>
        <w:t>务</w:t>
      </w:r>
      <w:r>
        <w:rPr>
          <w:rFonts w:hint="eastAsia" w:ascii="宋体" w:hAnsi="宋体" w:eastAsia="宋体"/>
          <w:color w:val="auto"/>
          <w:sz w:val="24"/>
          <w:szCs w:val="24"/>
          <w:highlight w:val="none"/>
        </w:rPr>
        <w:t>平台</w:t>
      </w:r>
      <w:bookmarkEnd w:id="21"/>
    </w:p>
    <w:p>
      <w:pPr>
        <w:pStyle w:val="9"/>
        <w:numPr>
          <w:ilvl w:val="3"/>
          <w:numId w:val="3"/>
        </w:numPr>
        <w:spacing w:line="360" w:lineRule="auto"/>
        <w:rPr>
          <w:rFonts w:ascii="宋体" w:hAnsi="宋体"/>
          <w:color w:val="auto"/>
          <w:sz w:val="24"/>
          <w:szCs w:val="24"/>
          <w:highlight w:val="none"/>
        </w:rPr>
      </w:pPr>
      <w:r>
        <w:rPr>
          <w:rFonts w:ascii="宋体" w:hAnsi="宋体"/>
          <w:color w:val="auto"/>
          <w:sz w:val="24"/>
          <w:szCs w:val="24"/>
          <w:highlight w:val="none"/>
        </w:rPr>
        <w:t>健康襄城</w:t>
      </w:r>
      <w:r>
        <w:rPr>
          <w:rFonts w:hint="eastAsia" w:ascii="宋体" w:hAnsi="宋体"/>
          <w:color w:val="auto"/>
          <w:sz w:val="24"/>
          <w:szCs w:val="24"/>
          <w:highlight w:val="none"/>
        </w:rPr>
        <w:t>智能服务系统</w:t>
      </w:r>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2"/>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通过健康襄城微信公众号服务平台，使居民享受到“就诊指引、获取检查检验报告、预缴住院押金、查询健康资讯”等内容的全流程医疗卫生服务。</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居民</w:t>
            </w:r>
            <w:r>
              <w:rPr>
                <w:rFonts w:ascii="宋体" w:hAnsi="宋体" w:eastAsia="宋体"/>
                <w:color w:val="auto"/>
                <w:sz w:val="24"/>
                <w:szCs w:val="24"/>
                <w:highlight w:val="none"/>
              </w:rPr>
              <w:t>关注</w:t>
            </w:r>
            <w:r>
              <w:rPr>
                <w:rFonts w:hint="eastAsia" w:ascii="宋体" w:hAnsi="宋体" w:eastAsia="宋体"/>
                <w:color w:val="auto"/>
                <w:sz w:val="24"/>
                <w:szCs w:val="24"/>
                <w:highlight w:val="none"/>
              </w:rPr>
              <w:t>健康襄城微信</w:t>
            </w:r>
            <w:r>
              <w:rPr>
                <w:rFonts w:ascii="宋体" w:hAnsi="宋体" w:eastAsia="宋体"/>
                <w:color w:val="auto"/>
                <w:sz w:val="24"/>
                <w:szCs w:val="24"/>
                <w:highlight w:val="none"/>
              </w:rPr>
              <w:t>公众号后，自动创建用户，直接通过微信登录，无需手机号注册</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电子健康卡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支持在线办理电子就诊卡，居民凭借电子二维码在医疗机构享受预约挂号、线上缴费、就诊记录、检验检查结果查询</w:t>
            </w:r>
            <w:r>
              <w:rPr>
                <w:rFonts w:hint="eastAsia" w:ascii="宋体" w:hAnsi="宋体" w:eastAsia="宋体"/>
                <w:color w:val="auto"/>
                <w:sz w:val="24"/>
                <w:szCs w:val="24"/>
                <w:highlight w:val="none"/>
              </w:rPr>
              <w:t>、家庭医生签约、妇幼保健</w:t>
            </w:r>
            <w:r>
              <w:rPr>
                <w:rFonts w:ascii="宋体" w:hAnsi="宋体" w:eastAsia="宋体"/>
                <w:color w:val="auto"/>
                <w:sz w:val="24"/>
                <w:szCs w:val="24"/>
                <w:highlight w:val="none"/>
              </w:rPr>
              <w:t>等服务</w:t>
            </w:r>
            <w:r>
              <w:rPr>
                <w:rFonts w:hint="eastAsia" w:ascii="宋体" w:hAnsi="宋体" w:eastAsia="宋体"/>
                <w:color w:val="auto"/>
                <w:sz w:val="24"/>
                <w:szCs w:val="24"/>
                <w:highlight w:val="none"/>
              </w:rPr>
              <w:t>，实现医共体内医疗、健康服务一卡通用。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绑定就诊卡</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支持</w:t>
            </w:r>
            <w:r>
              <w:rPr>
                <w:rFonts w:hint="eastAsia" w:ascii="宋体" w:hAnsi="宋体" w:eastAsia="宋体"/>
                <w:color w:val="auto"/>
                <w:sz w:val="24"/>
                <w:szCs w:val="24"/>
                <w:highlight w:val="none"/>
              </w:rPr>
              <w:t>医院</w:t>
            </w:r>
            <w:r>
              <w:rPr>
                <w:rFonts w:ascii="宋体" w:hAnsi="宋体" w:eastAsia="宋体"/>
                <w:color w:val="auto"/>
                <w:sz w:val="24"/>
                <w:szCs w:val="24"/>
                <w:highlight w:val="none"/>
              </w:rPr>
              <w:t>就诊卡绑定，绑定后生成二维码，在</w:t>
            </w:r>
            <w:r>
              <w:rPr>
                <w:rFonts w:hint="eastAsia" w:ascii="宋体" w:hAnsi="宋体" w:eastAsia="宋体"/>
                <w:color w:val="auto"/>
                <w:sz w:val="24"/>
                <w:szCs w:val="24"/>
                <w:highlight w:val="none"/>
              </w:rPr>
              <w:t>医院</w:t>
            </w:r>
            <w:r>
              <w:rPr>
                <w:rFonts w:ascii="宋体" w:hAnsi="宋体" w:eastAsia="宋体"/>
                <w:color w:val="auto"/>
                <w:sz w:val="24"/>
                <w:szCs w:val="24"/>
                <w:highlight w:val="none"/>
              </w:rPr>
              <w:t>无须再刷卡可直接出示二维码就诊</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网上预约</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实现和</w:t>
            </w:r>
            <w:r>
              <w:rPr>
                <w:rFonts w:hint="eastAsia" w:ascii="宋体" w:hAnsi="宋体" w:eastAsia="宋体"/>
                <w:color w:val="auto"/>
                <w:sz w:val="24"/>
                <w:szCs w:val="24"/>
                <w:highlight w:val="none"/>
              </w:rPr>
              <w:t>医院</w:t>
            </w:r>
            <w:r>
              <w:rPr>
                <w:rFonts w:ascii="宋体" w:hAnsi="宋体" w:eastAsia="宋体"/>
                <w:color w:val="auto"/>
                <w:sz w:val="24"/>
                <w:szCs w:val="24"/>
                <w:highlight w:val="none"/>
              </w:rPr>
              <w:t>预约号源完整对接，支持按科室、日期、医生多种方式预约，同时支持线上收取挂号费、规定时间范围内自助取消预约并退费。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自助分诊取号</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可根据</w:t>
            </w:r>
            <w:r>
              <w:rPr>
                <w:rFonts w:hint="eastAsia" w:ascii="宋体" w:hAnsi="宋体" w:eastAsia="宋体"/>
                <w:color w:val="auto"/>
                <w:sz w:val="24"/>
                <w:szCs w:val="24"/>
                <w:highlight w:val="none"/>
              </w:rPr>
              <w:t>医院</w:t>
            </w:r>
            <w:r>
              <w:rPr>
                <w:rFonts w:ascii="宋体" w:hAnsi="宋体" w:eastAsia="宋体"/>
                <w:color w:val="auto"/>
                <w:sz w:val="24"/>
                <w:szCs w:val="24"/>
                <w:highlight w:val="none"/>
              </w:rPr>
              <w:t>分诊信息，实时显示医生坐诊值班信息，实现百姓自助选择医生取号，并实时查询排队取号信息，同时根据</w:t>
            </w:r>
            <w:r>
              <w:rPr>
                <w:rFonts w:hint="eastAsia" w:ascii="宋体" w:hAnsi="宋体" w:eastAsia="宋体"/>
                <w:color w:val="auto"/>
                <w:sz w:val="24"/>
                <w:szCs w:val="24"/>
                <w:highlight w:val="none"/>
              </w:rPr>
              <w:t>医院</w:t>
            </w:r>
            <w:r>
              <w:rPr>
                <w:rFonts w:ascii="宋体" w:hAnsi="宋体" w:eastAsia="宋体"/>
                <w:color w:val="auto"/>
                <w:sz w:val="24"/>
                <w:szCs w:val="24"/>
                <w:highlight w:val="none"/>
              </w:rPr>
              <w:t>叫号信息及时提醒</w:t>
            </w:r>
            <w:r>
              <w:rPr>
                <w:rFonts w:hint="eastAsia" w:ascii="宋体" w:hAnsi="宋体" w:eastAsia="宋体"/>
                <w:color w:val="auto"/>
                <w:sz w:val="24"/>
                <w:szCs w:val="24"/>
                <w:highlight w:val="none"/>
              </w:rPr>
              <w:t>居民</w:t>
            </w:r>
            <w:r>
              <w:rPr>
                <w:rFonts w:ascii="宋体" w:hAnsi="宋体" w:eastAsia="宋体"/>
                <w:color w:val="auto"/>
                <w:sz w:val="24"/>
                <w:szCs w:val="24"/>
                <w:highlight w:val="none"/>
              </w:rPr>
              <w:t>就诊</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就诊卡充值</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支持通过微信向就诊卡中充值，在</w:t>
            </w:r>
            <w:r>
              <w:rPr>
                <w:rFonts w:hint="eastAsia" w:ascii="宋体" w:hAnsi="宋体" w:eastAsia="宋体"/>
                <w:color w:val="auto"/>
                <w:sz w:val="24"/>
                <w:szCs w:val="24"/>
                <w:highlight w:val="none"/>
              </w:rPr>
              <w:t>医院</w:t>
            </w:r>
            <w:r>
              <w:rPr>
                <w:rFonts w:ascii="宋体" w:hAnsi="宋体" w:eastAsia="宋体"/>
                <w:color w:val="auto"/>
                <w:sz w:val="24"/>
                <w:szCs w:val="24"/>
                <w:highlight w:val="none"/>
              </w:rPr>
              <w:t>就医过程中消费使用；支持先就医，根据医生处方信息，给予推荐支付金额，避免退费有效减少窗口压力。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门诊缴费</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医生开完处方后，待缴费用推送到居民手机端，同时支持卡余额及移动支付组合支付。同时支持原路退回到微信或卡余额，更加方便便捷。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门诊导引助手</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提供门诊智能导引助手服务，支持检验检查项目的科室位置导引、各项目状态实时提醒、检查前注意事项，引导居民有序就医。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预约检查</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缴费成功后，可预约检查时间。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检验报告提醒</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检验报告</w:t>
            </w:r>
            <w:r>
              <w:rPr>
                <w:rFonts w:hint="eastAsia" w:ascii="宋体" w:hAnsi="宋体" w:eastAsia="宋体"/>
                <w:color w:val="auto"/>
                <w:sz w:val="24"/>
                <w:szCs w:val="24"/>
                <w:highlight w:val="none"/>
              </w:rPr>
              <w:t>完成</w:t>
            </w:r>
            <w:r>
              <w:rPr>
                <w:rFonts w:ascii="宋体" w:hAnsi="宋体" w:eastAsia="宋体"/>
                <w:color w:val="auto"/>
                <w:sz w:val="24"/>
                <w:szCs w:val="24"/>
                <w:highlight w:val="none"/>
              </w:rPr>
              <w:t>后，直接推送公众号中，无需在候诊区等待。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检查报告提醒</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影像检查报告</w:t>
            </w:r>
            <w:r>
              <w:rPr>
                <w:rFonts w:hint="eastAsia" w:ascii="宋体" w:hAnsi="宋体" w:eastAsia="宋体"/>
                <w:color w:val="auto"/>
                <w:sz w:val="24"/>
                <w:szCs w:val="24"/>
                <w:highlight w:val="none"/>
              </w:rPr>
              <w:t>完成</w:t>
            </w:r>
            <w:r>
              <w:rPr>
                <w:rFonts w:ascii="宋体" w:hAnsi="宋体" w:eastAsia="宋体"/>
                <w:color w:val="auto"/>
                <w:sz w:val="24"/>
                <w:szCs w:val="24"/>
                <w:highlight w:val="none"/>
              </w:rPr>
              <w:t>后，直接推送公众号中，无需在候诊区等待。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检验报告查询</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可通过公众号查询检验报告。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检查报告查询</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可通过公众号查询影像检查报告</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门诊费用查询</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可通过公众号查询门诊费用信息。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满意度调查</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主动向门诊患者推送满意度调查，真实了解患者满意度。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住院预交金补缴</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手机上实现缴纳住院押金功能</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住院费用查询</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住院患者今天查询之前的费用明细</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住院宣教</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实现从入院到出院的，住院宣教流程的优化，将宣教内容推送到患者的手机上，并可随时查看宣教内容</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报告查询</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住院检查、检验报告查询功能</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w:t>
            </w:r>
            <w:r>
              <w:rPr>
                <w:rFonts w:hint="eastAsia" w:ascii="宋体" w:hAnsi="宋体" w:eastAsia="宋体"/>
                <w:color w:val="auto"/>
                <w:sz w:val="24"/>
                <w:szCs w:val="24"/>
                <w:highlight w:val="none"/>
              </w:rPr>
              <w:t>家庭医生签约</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家庭医生签约服务记录查询，查询家庭签约医生信息。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w:t>
            </w:r>
            <w:r>
              <w:rPr>
                <w:rFonts w:hint="eastAsia" w:ascii="宋体" w:hAnsi="宋体" w:eastAsia="宋体"/>
                <w:color w:val="auto"/>
                <w:sz w:val="24"/>
                <w:szCs w:val="24"/>
                <w:highlight w:val="none"/>
              </w:rPr>
              <w:t>妇幼保健</w:t>
            </w:r>
          </w:p>
        </w:tc>
        <w:tc>
          <w:tcPr>
            <w:tcW w:w="5949" w:type="dxa"/>
          </w:tcPr>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自助建档、母子手册、孕妇知识课堂等功能。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w:t>
            </w:r>
            <w:r>
              <w:rPr>
                <w:rFonts w:hint="eastAsia" w:ascii="宋体" w:hAnsi="宋体" w:eastAsia="宋体"/>
                <w:color w:val="auto"/>
                <w:sz w:val="24"/>
                <w:szCs w:val="24"/>
                <w:highlight w:val="none"/>
              </w:rPr>
              <w:t>网络问诊</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提供在线咨询服务，居民可直接联系医生，申请在线咨询服务，可通过语音、文字、图片的方式与医生在线沟通，医生可以直接查看居民的检验检查报告信息，同时可以直接为居民开具检验检查申请</w:t>
            </w:r>
            <w:r>
              <w:rPr>
                <w:rFonts w:hint="eastAsia" w:ascii="宋体" w:hAnsi="宋体" w:eastAsia="宋体"/>
                <w:color w:val="auto"/>
                <w:sz w:val="24"/>
                <w:szCs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健康档案</w:t>
            </w:r>
          </w:p>
        </w:tc>
        <w:tc>
          <w:tcPr>
            <w:tcW w:w="5949"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可以查看个人健康档案，包含身高、体重、血压、血糖、就诊记录、检验检查报告查询、处方查询、病历查询等。</w:t>
            </w:r>
          </w:p>
        </w:tc>
      </w:tr>
    </w:tbl>
    <w:p>
      <w:pPr>
        <w:pStyle w:val="8"/>
        <w:numPr>
          <w:ilvl w:val="2"/>
          <w:numId w:val="3"/>
        </w:numPr>
        <w:spacing w:line="360" w:lineRule="auto"/>
        <w:rPr>
          <w:rFonts w:ascii="宋体" w:hAnsi="宋体" w:eastAsia="宋体"/>
          <w:color w:val="auto"/>
          <w:sz w:val="24"/>
          <w:szCs w:val="24"/>
          <w:highlight w:val="none"/>
        </w:rPr>
      </w:pPr>
      <w:bookmarkStart w:id="22" w:name="_Toc21183166"/>
      <w:r>
        <w:rPr>
          <w:rFonts w:hint="eastAsia" w:ascii="宋体" w:hAnsi="宋体" w:eastAsia="宋体"/>
          <w:color w:val="auto"/>
          <w:sz w:val="24"/>
          <w:szCs w:val="24"/>
          <w:highlight w:val="none"/>
        </w:rPr>
        <w:t>接口</w:t>
      </w:r>
      <w:bookmarkEnd w:id="22"/>
    </w:p>
    <w:tbl>
      <w:tblPr>
        <w:tblStyle w:val="2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tcPr>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预留与外部监管系统对接的接口。</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支持与许昌市居民一卡通平台的对接，实现医共体信息平台与许昌市居民一卡通平台间居民健康卡信息互联共享。</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w:t>
            </w:r>
            <w:r>
              <w:rPr>
                <w:rFonts w:ascii="宋体" w:hAnsi="宋体" w:eastAsia="宋体"/>
                <w:color w:val="auto"/>
                <w:sz w:val="24"/>
                <w:szCs w:val="24"/>
                <w:highlight w:val="none"/>
              </w:rPr>
              <w:t>预留与医共体内各县级医疗机构的对接接口。平台应预留开放的数据接口，能够提供平台接口文档，便于襄城县人民医院、襄城县第二人民医院、襄城县中医院、襄城县妇幼保健院、龙耀医院等二级医院信息化系统与平台进行对接，以实现与医共体信息平台间医疗卫生信息的互联互通和数据共享。</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支持与基层医疗卫生机构信息系统进行对接，实现与各乡镇卫生院、村卫生室等基层医疗卫生机构信息系统进行对接，以实现与医共体信息平台间医疗卫生信息的互联互通和数据共享。</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w:t>
            </w:r>
            <w:r>
              <w:rPr>
                <w:rFonts w:ascii="宋体" w:hAnsi="宋体" w:eastAsia="宋体"/>
                <w:color w:val="auto"/>
                <w:sz w:val="24"/>
                <w:szCs w:val="24"/>
                <w:highlight w:val="none"/>
              </w:rPr>
              <w:t>支持与医保系统的对接接口，与医共体内乡镇卫生院、村卫生室等基层医疗卫生进行对接，实时或定时的与医保部门交换数据，实现医保、新农合的即时报销。</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w:t>
            </w:r>
            <w:r>
              <w:rPr>
                <w:rFonts w:ascii="宋体" w:hAnsi="宋体" w:eastAsia="宋体"/>
                <w:color w:val="auto"/>
                <w:sz w:val="24"/>
                <w:szCs w:val="24"/>
                <w:highlight w:val="none"/>
              </w:rPr>
              <w:t>乡镇卫生院信息系统支持与乡镇卫生院内检验、影像设备的对接，实现与检验、影像等设备间的数据交互。</w:t>
            </w:r>
          </w:p>
        </w:tc>
      </w:tr>
    </w:tbl>
    <w:p>
      <w:pPr>
        <w:keepNext/>
        <w:keepLines/>
        <w:numPr>
          <w:ilvl w:val="1"/>
          <w:numId w:val="3"/>
        </w:numPr>
        <w:spacing w:before="260" w:after="260" w:line="360" w:lineRule="auto"/>
        <w:outlineLvl w:val="1"/>
        <w:rPr>
          <w:rFonts w:ascii="宋体" w:hAnsi="宋体" w:eastAsia="宋体" w:cstheme="majorBidi"/>
          <w:b/>
          <w:bCs/>
          <w:color w:val="auto"/>
          <w:sz w:val="24"/>
          <w:szCs w:val="24"/>
          <w:highlight w:val="none"/>
        </w:rPr>
      </w:pPr>
      <w:bookmarkStart w:id="23" w:name="_Toc21183167"/>
      <w:r>
        <w:rPr>
          <w:rFonts w:hint="eastAsia" w:ascii="宋体" w:hAnsi="宋体" w:eastAsia="宋体" w:cstheme="majorBidi"/>
          <w:b/>
          <w:bCs/>
          <w:color w:val="auto"/>
          <w:sz w:val="24"/>
          <w:szCs w:val="24"/>
          <w:highlight w:val="none"/>
        </w:rPr>
        <w:t>硬件设备采购需求</w:t>
      </w:r>
      <w:bookmarkEnd w:id="23"/>
    </w:p>
    <w:p>
      <w:pPr>
        <w:keepNext/>
        <w:keepLines/>
        <w:numPr>
          <w:ilvl w:val="2"/>
          <w:numId w:val="3"/>
        </w:numPr>
        <w:spacing w:before="260" w:after="260" w:line="360" w:lineRule="auto"/>
        <w:outlineLvl w:val="2"/>
        <w:rPr>
          <w:rFonts w:ascii="宋体" w:hAnsi="宋体" w:eastAsia="宋体"/>
          <w:b/>
          <w:bCs/>
          <w:color w:val="auto"/>
          <w:sz w:val="24"/>
          <w:szCs w:val="24"/>
          <w:highlight w:val="none"/>
        </w:rPr>
      </w:pPr>
      <w:bookmarkStart w:id="24" w:name="_Toc21183168"/>
      <w:r>
        <w:rPr>
          <w:rFonts w:hint="eastAsia" w:ascii="宋体" w:hAnsi="宋体" w:eastAsia="宋体"/>
          <w:b/>
          <w:bCs/>
          <w:color w:val="auto"/>
          <w:sz w:val="24"/>
          <w:szCs w:val="24"/>
          <w:highlight w:val="none"/>
        </w:rPr>
        <w:t>超融合一体机（6台）</w:t>
      </w:r>
      <w:bookmarkEnd w:id="24"/>
    </w:p>
    <w:tbl>
      <w:tblPr>
        <w:tblStyle w:val="28"/>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980" w:type="dxa"/>
            <w:shd w:val="clear" w:color="auto" w:fill="A5A5A5"/>
            <w:vAlign w:val="center"/>
          </w:tcPr>
          <w:p>
            <w:pPr>
              <w:spacing w:line="360" w:lineRule="auto"/>
              <w:jc w:val="center"/>
              <w:rPr>
                <w:rFonts w:ascii="宋体" w:hAnsi="宋体" w:eastAsia="宋体" w:cs="宋体"/>
                <w:b/>
                <w:color w:val="auto"/>
                <w:kern w:val="0"/>
                <w:sz w:val="24"/>
                <w:szCs w:val="24"/>
                <w:highlight w:val="none"/>
              </w:rPr>
            </w:pPr>
            <w:r>
              <w:rPr>
                <w:rFonts w:ascii="宋体" w:hAnsi="宋体" w:eastAsia="宋体" w:cs="Arial"/>
                <w:b/>
                <w:color w:val="auto"/>
                <w:sz w:val="24"/>
                <w:szCs w:val="24"/>
                <w:highlight w:val="none"/>
              </w:rPr>
              <w:t>功能及技术指标</w:t>
            </w:r>
          </w:p>
        </w:tc>
        <w:tc>
          <w:tcPr>
            <w:tcW w:w="6379" w:type="dxa"/>
            <w:shd w:val="clear" w:color="auto" w:fill="A5A5A5"/>
            <w:vAlign w:val="center"/>
          </w:tcPr>
          <w:p>
            <w:pPr>
              <w:spacing w:line="360" w:lineRule="auto"/>
              <w:jc w:val="center"/>
              <w:rPr>
                <w:rFonts w:ascii="宋体" w:hAnsi="宋体" w:eastAsia="宋体" w:cs="宋体"/>
                <w:b/>
                <w:color w:val="auto"/>
                <w:kern w:val="0"/>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硬件基本要求</w:t>
            </w: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产品架构：标准机架式服务器，高度≤2U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980" w:type="dxa"/>
            <w:vMerge w:val="continue"/>
            <w:vAlign w:val="center"/>
          </w:tcPr>
          <w:p>
            <w:pPr>
              <w:spacing w:line="360" w:lineRule="auto"/>
              <w:jc w:val="center"/>
              <w:rPr>
                <w:rFonts w:ascii="宋体" w:hAnsi="宋体" w:eastAsia="宋体" w:cs="宋体"/>
                <w:bCs/>
                <w:color w:val="auto"/>
                <w:kern w:val="0"/>
                <w:sz w:val="24"/>
                <w:szCs w:val="24"/>
                <w:highlight w:val="none"/>
              </w:rPr>
            </w:pP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CPU：配置2颗</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Xeon Silver处理器（主频≥2.2GHz，核心数≥14个，所选CPU型号不得低于5120）。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980" w:type="dxa"/>
            <w:vMerge w:val="continue"/>
            <w:vAlign w:val="center"/>
          </w:tcPr>
          <w:p>
            <w:pPr>
              <w:spacing w:line="360" w:lineRule="auto"/>
              <w:jc w:val="center"/>
              <w:rPr>
                <w:rFonts w:ascii="宋体" w:hAnsi="宋体" w:eastAsia="宋体" w:cs="宋体"/>
                <w:bCs/>
                <w:color w:val="auto"/>
                <w:kern w:val="0"/>
                <w:sz w:val="24"/>
                <w:szCs w:val="24"/>
                <w:highlight w:val="none"/>
              </w:rPr>
            </w:pP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内存：本次配置≥512GB DDR4内存；最大可支持≥24个DIMM内存插槽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continue"/>
            <w:vAlign w:val="center"/>
          </w:tcPr>
          <w:p>
            <w:pPr>
              <w:spacing w:line="360" w:lineRule="auto"/>
              <w:jc w:val="center"/>
              <w:rPr>
                <w:rFonts w:ascii="宋体" w:hAnsi="宋体" w:eastAsia="宋体" w:cs="宋体"/>
                <w:bCs/>
                <w:color w:val="auto"/>
                <w:kern w:val="0"/>
                <w:sz w:val="24"/>
                <w:szCs w:val="24"/>
                <w:highlight w:val="none"/>
              </w:rPr>
            </w:pP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硬盘：支持SATA、SAS、SSD等多种类型硬盘，本次配置≥4块</w:t>
            </w:r>
            <w:r>
              <w:rPr>
                <w:rFonts w:ascii="宋体" w:hAnsi="宋体" w:eastAsia="宋体" w:cs="宋体"/>
                <w:bCs/>
                <w:color w:val="auto"/>
                <w:kern w:val="0"/>
                <w:sz w:val="24"/>
                <w:szCs w:val="24"/>
                <w:highlight w:val="none"/>
              </w:rPr>
              <w:t>8</w:t>
            </w:r>
            <w:r>
              <w:rPr>
                <w:rFonts w:hint="eastAsia" w:ascii="宋体" w:hAnsi="宋体" w:eastAsia="宋体" w:cs="宋体"/>
                <w:bCs/>
                <w:color w:val="auto"/>
                <w:kern w:val="0"/>
                <w:sz w:val="24"/>
                <w:szCs w:val="24"/>
                <w:highlight w:val="none"/>
              </w:rPr>
              <w:t>T SAS硬盘,≥1块 240G SSD硬盘，≥2块600G SAS硬盘。可支持8个3.5寸硬盘，12个3.5寸硬盘或25个2.5英寸硬盘扩展。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980" w:type="dxa"/>
            <w:vMerge w:val="continue"/>
            <w:vAlign w:val="center"/>
          </w:tcPr>
          <w:p>
            <w:pPr>
              <w:spacing w:line="360" w:lineRule="auto"/>
              <w:jc w:val="center"/>
              <w:rPr>
                <w:rFonts w:ascii="宋体" w:hAnsi="宋体" w:eastAsia="宋体" w:cs="宋体"/>
                <w:bCs/>
                <w:color w:val="auto"/>
                <w:kern w:val="0"/>
                <w:sz w:val="24"/>
                <w:szCs w:val="24"/>
                <w:highlight w:val="none"/>
              </w:rPr>
            </w:pP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网卡：支持以太网、HBA等多种类型的网卡，本次配置≥4个千兆以太网电接口，≥2个万兆光接口（含光模块）。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80" w:type="dxa"/>
            <w:vMerge w:val="continue"/>
            <w:vAlign w:val="center"/>
          </w:tcPr>
          <w:p>
            <w:pPr>
              <w:spacing w:line="360" w:lineRule="auto"/>
              <w:jc w:val="center"/>
              <w:rPr>
                <w:rFonts w:ascii="宋体" w:hAnsi="宋体" w:eastAsia="宋体" w:cs="宋体"/>
                <w:bCs/>
                <w:color w:val="auto"/>
                <w:kern w:val="0"/>
                <w:sz w:val="24"/>
                <w:szCs w:val="24"/>
                <w:highlight w:val="none"/>
              </w:rPr>
            </w:pP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配件：配置冗余风扇，配置原厂商机架导轨，安全面板。配置550W冗余电源个数≥2</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80" w:type="dxa"/>
            <w:vMerge w:val="restart"/>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虚拟化配置要求</w:t>
            </w: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采用裸金属架构，</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配置虚拟化企业版授权12颗；（6台硬件所需合计配置）。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80" w:type="dxa"/>
            <w:vMerge w:val="continue"/>
            <w:vAlign w:val="center"/>
          </w:tcPr>
          <w:p>
            <w:pPr>
              <w:spacing w:line="360" w:lineRule="auto"/>
              <w:rPr>
                <w:rFonts w:ascii="宋体" w:hAnsi="宋体" w:eastAsia="宋体" w:cs="宋体"/>
                <w:bCs/>
                <w:color w:val="auto"/>
                <w:kern w:val="0"/>
                <w:sz w:val="24"/>
                <w:szCs w:val="24"/>
                <w:highlight w:val="none"/>
              </w:rPr>
            </w:pP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★一键健康巡检功能：可以通过一键的方式获取系统健康情况及资源使用统计，包括但不限于集群健康状况、存储健康状况、网络健康状况、告警消息状况、以及其它方面; 提供证明材料加盖厂商授权章。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80" w:type="dxa"/>
            <w:vMerge w:val="continue"/>
            <w:vAlign w:val="center"/>
          </w:tcPr>
          <w:p>
            <w:pPr>
              <w:spacing w:line="360" w:lineRule="auto"/>
              <w:rPr>
                <w:rFonts w:ascii="宋体" w:hAnsi="宋体" w:eastAsia="宋体" w:cs="宋体"/>
                <w:bCs/>
                <w:color w:val="auto"/>
                <w:kern w:val="0"/>
                <w:sz w:val="24"/>
                <w:szCs w:val="24"/>
                <w:highlight w:val="none"/>
              </w:rPr>
            </w:pP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★一键存储清理功能：可以通过一键的方式自动扫描存储中的无效数据文件，根据需要选择并删除相应的无效文件；提供证明材料加盖厂商授权章。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80" w:type="dxa"/>
            <w:vMerge w:val="continue"/>
            <w:vAlign w:val="center"/>
          </w:tcPr>
          <w:p>
            <w:pPr>
              <w:spacing w:line="360" w:lineRule="auto"/>
              <w:rPr>
                <w:rFonts w:ascii="宋体" w:hAnsi="宋体" w:eastAsia="宋体" w:cs="宋体"/>
                <w:bCs/>
                <w:color w:val="auto"/>
                <w:kern w:val="0"/>
                <w:sz w:val="24"/>
                <w:szCs w:val="24"/>
                <w:highlight w:val="none"/>
              </w:rPr>
            </w:pP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★一键资源导出功能：可以通过一键的方式查看虚拟化系统中所有的虚拟机列表和相关信息，并导出报表且内容与虚拟化系统界面显示的完全一致；提供证明材料加盖厂商授权章。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980" w:type="dxa"/>
            <w:vMerge w:val="continue"/>
          </w:tcPr>
          <w:p>
            <w:pPr>
              <w:spacing w:line="360" w:lineRule="auto"/>
              <w:rPr>
                <w:rFonts w:ascii="宋体" w:hAnsi="宋体" w:eastAsia="宋体" w:cs="宋体"/>
                <w:bCs/>
                <w:color w:val="auto"/>
                <w:kern w:val="0"/>
                <w:sz w:val="24"/>
                <w:szCs w:val="24"/>
                <w:highlight w:val="none"/>
              </w:rPr>
            </w:pPr>
          </w:p>
        </w:tc>
        <w:tc>
          <w:tcPr>
            <w:tcW w:w="637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★一键虚机还原功能：当虚拟机操作系统由于出现灾难性错误或者内部条件阻止系统继续运行而蓝屏（Windows）或崩溃（Linux）时，虚拟化系统能够实现虚拟机的快速自动恢复；提供证明材料加盖厂商授权章。</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25" w:name="_Toc21183169"/>
      <w:r>
        <w:rPr>
          <w:rFonts w:hint="eastAsia" w:ascii="宋体" w:hAnsi="宋体" w:eastAsia="宋体"/>
          <w:b/>
          <w:bCs/>
          <w:color w:val="auto"/>
          <w:sz w:val="24"/>
          <w:szCs w:val="24"/>
          <w:highlight w:val="none"/>
        </w:rPr>
        <w:t>核心交换机（2台）</w:t>
      </w:r>
      <w:bookmarkEnd w:id="25"/>
    </w:p>
    <w:tbl>
      <w:tblPr>
        <w:tblStyle w:val="28"/>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980"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功能及技术指标</w:t>
            </w:r>
          </w:p>
        </w:tc>
        <w:tc>
          <w:tcPr>
            <w:tcW w:w="6379"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槽位数</w:t>
            </w:r>
          </w:p>
        </w:tc>
        <w:tc>
          <w:tcPr>
            <w:tcW w:w="6379" w:type="dxa"/>
            <w:tcBorders>
              <w:tl2br w:val="nil"/>
              <w:tr2bl w:val="nil"/>
            </w:tcBorders>
            <w:shd w:val="clear" w:color="000000" w:fill="FFFFFF"/>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主控板槽位数≥2，交换网板≥2，业务板槽位数≥3;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设备性能</w:t>
            </w:r>
          </w:p>
        </w:tc>
        <w:tc>
          <w:tcPr>
            <w:tcW w:w="6379" w:type="dxa"/>
            <w:tcBorders>
              <w:tl2br w:val="nil"/>
              <w:tr2bl w:val="nil"/>
            </w:tcBorders>
            <w:shd w:val="clear" w:color="000000" w:fill="FFFFFF"/>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交换容量≥19Tbps、包转发率≥2800Mpps，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配置要求</w:t>
            </w:r>
          </w:p>
        </w:tc>
        <w:tc>
          <w:tcPr>
            <w:tcW w:w="6379" w:type="dxa"/>
            <w:tcBorders>
              <w:tl2br w:val="nil"/>
              <w:tr2bl w:val="nil"/>
            </w:tcBorders>
            <w:shd w:val="clear" w:color="000000" w:fill="FFFFFF"/>
          </w:tcPr>
          <w:p>
            <w:pPr>
              <w:spacing w:line="360" w:lineRule="auto"/>
              <w:rPr>
                <w:rFonts w:ascii="宋体" w:hAnsi="宋体" w:eastAsia="宋体" w:cs="Times New Roman"/>
                <w:color w:val="auto"/>
                <w:sz w:val="24"/>
                <w:szCs w:val="24"/>
                <w:highlight w:val="none"/>
              </w:rPr>
            </w:pPr>
            <w:r>
              <w:rPr>
                <w:rFonts w:hint="eastAsia" w:ascii="宋体" w:hAnsi="宋体" w:eastAsia="宋体" w:cs="宋体"/>
                <w:bCs/>
                <w:color w:val="auto"/>
                <w:kern w:val="0"/>
                <w:sz w:val="24"/>
                <w:szCs w:val="24"/>
                <w:highlight w:val="none"/>
              </w:rPr>
              <w:t>单台配置：双主控，满配交换网板，冗余交流电源，千兆SFP光接口≥24个，千兆电接口≥24个，万兆SFP+光接口≥8个，17个千兆单模光模块，配置堆叠所需线缆及光模块；</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26" w:name="_Toc21183170"/>
      <w:r>
        <w:rPr>
          <w:rFonts w:hint="eastAsia" w:ascii="宋体" w:hAnsi="宋体" w:eastAsia="宋体"/>
          <w:b/>
          <w:bCs/>
          <w:color w:val="auto"/>
          <w:sz w:val="24"/>
          <w:szCs w:val="24"/>
          <w:highlight w:val="none"/>
        </w:rPr>
        <w:t>万兆交换机（2台）</w:t>
      </w:r>
      <w:bookmarkEnd w:id="26"/>
    </w:p>
    <w:tbl>
      <w:tblPr>
        <w:tblStyle w:val="28"/>
        <w:tblW w:w="8336" w:type="dxa"/>
        <w:jc w:val="center"/>
        <w:tblInd w:w="0" w:type="dxa"/>
        <w:tblLayout w:type="fixed"/>
        <w:tblCellMar>
          <w:top w:w="15" w:type="dxa"/>
          <w:left w:w="15" w:type="dxa"/>
          <w:bottom w:w="15" w:type="dxa"/>
          <w:right w:w="15" w:type="dxa"/>
        </w:tblCellMar>
      </w:tblPr>
      <w:tblGrid>
        <w:gridCol w:w="1980"/>
        <w:gridCol w:w="6356"/>
      </w:tblGrid>
      <w:tr>
        <w:tblPrEx>
          <w:tblLayout w:type="fixed"/>
          <w:tblCellMar>
            <w:top w:w="15" w:type="dxa"/>
            <w:left w:w="15" w:type="dxa"/>
            <w:bottom w:w="15" w:type="dxa"/>
            <w:right w:w="15" w:type="dxa"/>
          </w:tblCellMar>
        </w:tblPrEx>
        <w:trPr>
          <w:trHeight w:val="285"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5A5A5"/>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功能及技术指标</w:t>
            </w:r>
          </w:p>
        </w:tc>
        <w:tc>
          <w:tcPr>
            <w:tcW w:w="6356" w:type="dxa"/>
            <w:tcBorders>
              <w:top w:val="single" w:color="000000" w:sz="4" w:space="0"/>
              <w:left w:val="single" w:color="000000" w:sz="4" w:space="0"/>
              <w:bottom w:val="single" w:color="000000" w:sz="4" w:space="0"/>
              <w:right w:val="single" w:color="000000" w:sz="4" w:space="0"/>
            </w:tcBorders>
            <w:shd w:val="clear" w:color="auto" w:fill="A5A5A5"/>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具体参数要求</w:t>
            </w:r>
          </w:p>
        </w:tc>
      </w:tr>
      <w:tr>
        <w:tblPrEx>
          <w:tblLayout w:type="fixed"/>
          <w:tblCellMar>
            <w:top w:w="15" w:type="dxa"/>
            <w:left w:w="15" w:type="dxa"/>
            <w:bottom w:w="15" w:type="dxa"/>
            <w:right w:w="15" w:type="dxa"/>
          </w:tblCellMar>
        </w:tblPrEx>
        <w:trPr>
          <w:trHeight w:val="285"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设备性能</w:t>
            </w:r>
          </w:p>
        </w:tc>
        <w:tc>
          <w:tcPr>
            <w:tcW w:w="635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交换容量≥2.5Tbps、包转发率≥700Mpps，</w:t>
            </w:r>
          </w:p>
        </w:tc>
      </w:tr>
      <w:tr>
        <w:tblPrEx>
          <w:tblLayout w:type="fixed"/>
          <w:tblCellMar>
            <w:top w:w="15" w:type="dxa"/>
            <w:left w:w="15" w:type="dxa"/>
            <w:bottom w:w="15" w:type="dxa"/>
            <w:right w:w="15" w:type="dxa"/>
          </w:tblCellMar>
        </w:tblPrEx>
        <w:trPr>
          <w:trHeight w:val="285"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端口要求</w:t>
            </w:r>
          </w:p>
        </w:tc>
        <w:tc>
          <w:tcPr>
            <w:tcW w:w="635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固化万兆SFP+光接口数量≥24个，2个QSFP+光接口，扩展槽≥2个；</w:t>
            </w:r>
          </w:p>
        </w:tc>
      </w:tr>
      <w:tr>
        <w:tblPrEx>
          <w:tblLayout w:type="fixed"/>
          <w:tblCellMar>
            <w:top w:w="15" w:type="dxa"/>
            <w:left w:w="15" w:type="dxa"/>
            <w:bottom w:w="15" w:type="dxa"/>
            <w:right w:w="15" w:type="dxa"/>
          </w:tblCellMar>
        </w:tblPrEx>
        <w:trPr>
          <w:trHeight w:val="285"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电源</w:t>
            </w:r>
          </w:p>
        </w:tc>
        <w:tc>
          <w:tcPr>
            <w:tcW w:w="635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采用模块化电源设计，支持冗余电源；</w:t>
            </w:r>
          </w:p>
        </w:tc>
      </w:tr>
      <w:tr>
        <w:tblPrEx>
          <w:tblLayout w:type="fixed"/>
          <w:tblCellMar>
            <w:top w:w="15" w:type="dxa"/>
            <w:left w:w="15" w:type="dxa"/>
            <w:bottom w:w="15" w:type="dxa"/>
            <w:right w:w="15" w:type="dxa"/>
          </w:tblCellMar>
        </w:tblPrEx>
        <w:trPr>
          <w:trHeight w:val="285"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风扇</w:t>
            </w:r>
          </w:p>
        </w:tc>
        <w:tc>
          <w:tcPr>
            <w:tcW w:w="635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采用模块化风扇设计，支持冗余风扇，风扇模块均且支持前后通风；</w:t>
            </w:r>
          </w:p>
        </w:tc>
      </w:tr>
      <w:tr>
        <w:tblPrEx>
          <w:tblLayout w:type="fixed"/>
          <w:tblCellMar>
            <w:top w:w="15" w:type="dxa"/>
            <w:left w:w="15" w:type="dxa"/>
            <w:bottom w:w="15" w:type="dxa"/>
            <w:right w:w="15" w:type="dxa"/>
          </w:tblCellMar>
        </w:tblPrEx>
        <w:trPr>
          <w:trHeight w:val="480"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配置要求</w:t>
            </w:r>
          </w:p>
        </w:tc>
        <w:tc>
          <w:tcPr>
            <w:tcW w:w="635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单台配置10个万兆多模光模块，冗余风扇，冗余电源；</w:t>
            </w:r>
          </w:p>
          <w:p>
            <w:pPr>
              <w:spacing w:line="360" w:lineRule="auto"/>
              <w:rPr>
                <w:rFonts w:ascii="宋体" w:hAnsi="宋体" w:eastAsia="宋体" w:cs="Times New Roman"/>
                <w:color w:val="auto"/>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27" w:name="_Toc21183171"/>
      <w:r>
        <w:rPr>
          <w:rFonts w:hint="eastAsia" w:ascii="宋体" w:hAnsi="宋体" w:eastAsia="宋体"/>
          <w:b/>
          <w:bCs/>
          <w:color w:val="auto"/>
          <w:sz w:val="24"/>
          <w:szCs w:val="24"/>
          <w:highlight w:val="none"/>
        </w:rPr>
        <w:t>防火墙（2台）</w:t>
      </w:r>
      <w:bookmarkEnd w:id="27"/>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80"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功能及技术指标</w:t>
            </w:r>
          </w:p>
        </w:tc>
        <w:tc>
          <w:tcPr>
            <w:tcW w:w="6542"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硬件架构</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采用非X86 64位多核高性能处理器和高速存储器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端口要求</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千兆光口≥8个，千兆电口≥16个，扩展槽位≥2个，支持万兆光接口扩展；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售后</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28" w:name="_Toc21183172"/>
      <w:r>
        <w:rPr>
          <w:rFonts w:hint="eastAsia" w:ascii="宋体" w:hAnsi="宋体" w:eastAsia="宋体"/>
          <w:b/>
          <w:bCs/>
          <w:color w:val="auto"/>
          <w:sz w:val="24"/>
          <w:szCs w:val="24"/>
          <w:highlight w:val="none"/>
        </w:rPr>
        <w:t>入侵防御系统（1台）</w:t>
      </w:r>
      <w:bookmarkEnd w:id="28"/>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80"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功能及技术指标</w:t>
            </w:r>
          </w:p>
        </w:tc>
        <w:tc>
          <w:tcPr>
            <w:tcW w:w="6542"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硬件架构</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基于专业多核硬件和非X86硬件平台；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端口要求</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千兆光口≥8个，千兆电口≥16个，扩展槽≥2个，支持万兆光接口扩展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应用识别</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攻击特征库数量≥3000、病毒特征库数量≥8000、支持的协议识别数量≥3000；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配置要求</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配置16个千兆电接口，8个千兆光接口，3年病毒查杀、流量控制、攻击防护病毒库升级服务。</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29" w:name="_Toc21183173"/>
      <w:r>
        <w:rPr>
          <w:rFonts w:hint="eastAsia" w:ascii="宋体" w:hAnsi="宋体" w:eastAsia="宋体"/>
          <w:b/>
          <w:bCs/>
          <w:color w:val="auto"/>
          <w:sz w:val="24"/>
          <w:szCs w:val="24"/>
          <w:highlight w:val="none"/>
        </w:rPr>
        <w:t>WEB防火墙（1台）</w:t>
      </w:r>
      <w:bookmarkEnd w:id="29"/>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980" w:type="dxa"/>
            <w:tcBorders>
              <w:tl2br w:val="nil"/>
              <w:tr2bl w:val="nil"/>
            </w:tcBorders>
            <w:shd w:val="clear" w:color="auto" w:fill="BFBFBF"/>
            <w:vAlign w:val="center"/>
          </w:tcPr>
          <w:p>
            <w:pPr>
              <w:spacing w:line="360" w:lineRule="auto"/>
              <w:jc w:val="center"/>
              <w:rPr>
                <w:rFonts w:ascii="宋体" w:hAnsi="宋体" w:eastAsia="宋体"/>
                <w:color w:val="auto"/>
                <w:sz w:val="24"/>
                <w:szCs w:val="24"/>
                <w:highlight w:val="none"/>
              </w:rPr>
            </w:pPr>
            <w:r>
              <w:rPr>
                <w:rFonts w:ascii="宋体" w:hAnsi="宋体" w:eastAsia="宋体" w:cs="Arial"/>
                <w:b/>
                <w:color w:val="auto"/>
                <w:sz w:val="24"/>
                <w:szCs w:val="24"/>
                <w:highlight w:val="none"/>
              </w:rPr>
              <w:t>功能及技术指标</w:t>
            </w:r>
          </w:p>
        </w:tc>
        <w:tc>
          <w:tcPr>
            <w:tcW w:w="6542" w:type="dxa"/>
            <w:tcBorders>
              <w:tl2br w:val="nil"/>
              <w:tr2bl w:val="nil"/>
            </w:tcBorders>
            <w:shd w:val="clear" w:color="auto" w:fill="BFBFBF"/>
            <w:vAlign w:val="center"/>
          </w:tcPr>
          <w:p>
            <w:pPr>
              <w:spacing w:line="360" w:lineRule="auto"/>
              <w:jc w:val="center"/>
              <w:rPr>
                <w:rFonts w:ascii="宋体" w:hAnsi="宋体" w:eastAsia="宋体"/>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980" w:type="dxa"/>
            <w:tcBorders>
              <w:tl2br w:val="nil"/>
              <w:tr2bl w:val="nil"/>
            </w:tcBorders>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硬件要求</w:t>
            </w:r>
          </w:p>
        </w:tc>
        <w:tc>
          <w:tcPr>
            <w:tcW w:w="6542" w:type="dxa"/>
            <w:tcBorders>
              <w:tl2br w:val="nil"/>
              <w:tr2bl w:val="nil"/>
            </w:tcBorders>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2U高机架式硬件架构，标配单电源（可支持双电源冗余），8G内存，1T硬盘，2个以太网千兆管理接口，支持至少4个接口扩展槽位，具备至少16个以太网千兆接口及8个万兆接口扩展能力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售后</w:t>
            </w:r>
          </w:p>
        </w:tc>
        <w:tc>
          <w:tcPr>
            <w:tcW w:w="6542" w:type="dxa"/>
            <w:tcBorders>
              <w:tl2br w:val="nil"/>
              <w:tr2bl w:val="nil"/>
            </w:tcBorders>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30" w:name="_Toc21183174"/>
      <w:r>
        <w:rPr>
          <w:rFonts w:hint="eastAsia" w:ascii="宋体" w:hAnsi="宋体" w:eastAsia="宋体"/>
          <w:b/>
          <w:bCs/>
          <w:color w:val="auto"/>
          <w:sz w:val="24"/>
          <w:szCs w:val="24"/>
          <w:highlight w:val="none"/>
        </w:rPr>
        <w:t>千兆网闸（1台）</w:t>
      </w:r>
      <w:bookmarkEnd w:id="30"/>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980" w:type="dxa"/>
            <w:tcBorders>
              <w:tl2br w:val="nil"/>
              <w:tr2bl w:val="nil"/>
            </w:tcBorders>
            <w:shd w:val="clear" w:color="auto" w:fill="A4A4A4"/>
            <w:vAlign w:val="center"/>
          </w:tcPr>
          <w:p>
            <w:pPr>
              <w:spacing w:line="360" w:lineRule="auto"/>
              <w:jc w:val="center"/>
              <w:rPr>
                <w:rFonts w:ascii="宋体" w:hAnsi="宋体" w:eastAsia="宋体" w:cs="宋体"/>
                <w:color w:val="auto"/>
                <w:sz w:val="24"/>
                <w:szCs w:val="24"/>
                <w:highlight w:val="none"/>
              </w:rPr>
            </w:pPr>
            <w:r>
              <w:rPr>
                <w:rFonts w:ascii="宋体" w:hAnsi="宋体" w:eastAsia="宋体" w:cs="Arial"/>
                <w:b/>
                <w:color w:val="auto"/>
                <w:sz w:val="24"/>
                <w:szCs w:val="24"/>
                <w:highlight w:val="none"/>
              </w:rPr>
              <w:t>功能及技术指标</w:t>
            </w:r>
          </w:p>
        </w:tc>
        <w:tc>
          <w:tcPr>
            <w:tcW w:w="6542" w:type="dxa"/>
            <w:tcBorders>
              <w:tl2br w:val="nil"/>
              <w:tr2bl w:val="nil"/>
            </w:tcBorders>
            <w:shd w:val="clear" w:color="auto" w:fill="A4A4A4"/>
            <w:vAlign w:val="center"/>
          </w:tcPr>
          <w:p>
            <w:pPr>
              <w:spacing w:line="360" w:lineRule="auto"/>
              <w:jc w:val="center"/>
              <w:rPr>
                <w:rFonts w:ascii="宋体" w:hAnsi="宋体" w:eastAsia="宋体" w:cs="宋体"/>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980" w:type="dxa"/>
            <w:tcBorders>
              <w:tl2br w:val="nil"/>
              <w:tr2bl w:val="nil"/>
            </w:tcBorders>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接口要求</w:t>
            </w:r>
          </w:p>
        </w:tc>
        <w:tc>
          <w:tcPr>
            <w:tcW w:w="6542" w:type="dxa"/>
            <w:tcBorders>
              <w:tl2br w:val="nil"/>
              <w:tr2bl w:val="nil"/>
            </w:tcBorders>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内网4个10/100/1000M RJ45接口（含一个管理口），1个串口，2个USB口，支持2个扩展插槽</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外网4个10/100/1000M RJ45接口（含一个HA口），1个串口，2个USB口，支持2个扩展插槽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980" w:type="dxa"/>
            <w:tcBorders>
              <w:tl2br w:val="nil"/>
              <w:tr2bl w:val="nil"/>
            </w:tcBorders>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配置要求</w:t>
            </w:r>
          </w:p>
        </w:tc>
        <w:tc>
          <w:tcPr>
            <w:tcW w:w="6542" w:type="dxa"/>
            <w:tcBorders>
              <w:tl2br w:val="nil"/>
              <w:tr2bl w:val="nil"/>
            </w:tcBorders>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内外网10/100/1000M以太网电接口各4个；</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31" w:name="_Toc21183175"/>
      <w:r>
        <w:rPr>
          <w:rFonts w:hint="eastAsia" w:ascii="宋体" w:hAnsi="宋体" w:eastAsia="宋体"/>
          <w:b/>
          <w:bCs/>
          <w:color w:val="auto"/>
          <w:sz w:val="24"/>
          <w:szCs w:val="24"/>
          <w:highlight w:val="none"/>
        </w:rPr>
        <w:t>日志审计（1台）</w:t>
      </w:r>
      <w:bookmarkEnd w:id="31"/>
    </w:p>
    <w:tbl>
      <w:tblPr>
        <w:tblStyle w:val="28"/>
        <w:tblW w:w="83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jc w:val="center"/>
        </w:trPr>
        <w:tc>
          <w:tcPr>
            <w:tcW w:w="1980" w:type="dxa"/>
            <w:tcBorders>
              <w:tl2br w:val="nil"/>
              <w:tr2bl w:val="nil"/>
            </w:tcBorders>
            <w:shd w:val="clear" w:color="auto" w:fill="A4A4A4"/>
            <w:tcMar>
              <w:top w:w="12" w:type="dxa"/>
              <w:left w:w="12" w:type="dxa"/>
              <w:right w:w="12" w:type="dxa"/>
            </w:tcMar>
            <w:vAlign w:val="center"/>
          </w:tcPr>
          <w:p>
            <w:pPr>
              <w:spacing w:line="360" w:lineRule="auto"/>
              <w:jc w:val="center"/>
              <w:rPr>
                <w:rFonts w:ascii="宋体" w:hAnsi="宋体" w:eastAsia="宋体" w:cs="宋体"/>
                <w:b/>
                <w:color w:val="auto"/>
                <w:sz w:val="24"/>
                <w:szCs w:val="24"/>
                <w:highlight w:val="none"/>
              </w:rPr>
            </w:pPr>
            <w:r>
              <w:rPr>
                <w:rFonts w:ascii="宋体" w:hAnsi="宋体" w:eastAsia="宋体" w:cs="Arial"/>
                <w:b/>
                <w:color w:val="auto"/>
                <w:sz w:val="24"/>
                <w:szCs w:val="24"/>
                <w:highlight w:val="none"/>
              </w:rPr>
              <w:t>功能及技术指标</w:t>
            </w:r>
          </w:p>
        </w:tc>
        <w:tc>
          <w:tcPr>
            <w:tcW w:w="6350" w:type="dxa"/>
            <w:tcBorders>
              <w:tl2br w:val="nil"/>
              <w:tr2bl w:val="nil"/>
            </w:tcBorders>
            <w:shd w:val="clear" w:color="auto" w:fill="A4A4A4"/>
            <w:tcMar>
              <w:top w:w="12" w:type="dxa"/>
              <w:left w:w="12" w:type="dxa"/>
              <w:right w:w="12" w:type="dxa"/>
            </w:tcMar>
            <w:vAlign w:val="center"/>
          </w:tcPr>
          <w:p>
            <w:pPr>
              <w:spacing w:line="360" w:lineRule="auto"/>
              <w:jc w:val="center"/>
              <w:rPr>
                <w:rFonts w:ascii="宋体" w:hAnsi="宋体" w:eastAsia="宋体" w:cs="宋体"/>
                <w:b/>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8" w:hRule="atLeast"/>
          <w:jc w:val="center"/>
        </w:trPr>
        <w:tc>
          <w:tcPr>
            <w:tcW w:w="1980" w:type="dxa"/>
            <w:tcBorders>
              <w:tl2br w:val="nil"/>
              <w:tr2bl w:val="nil"/>
            </w:tcBorders>
            <w:tcMar>
              <w:top w:w="12" w:type="dxa"/>
              <w:left w:w="12" w:type="dxa"/>
              <w:right w:w="12" w:type="dxa"/>
            </w:tcMar>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硬件架构要求</w:t>
            </w:r>
          </w:p>
        </w:tc>
        <w:tc>
          <w:tcPr>
            <w:tcW w:w="6350" w:type="dxa"/>
            <w:tcBorders>
              <w:tl2br w:val="nil"/>
              <w:tr2bl w:val="nil"/>
            </w:tcBorders>
            <w:tcMar>
              <w:top w:w="12" w:type="dxa"/>
              <w:left w:w="12" w:type="dxa"/>
              <w:right w:w="12" w:type="dxa"/>
            </w:tcMar>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CPU：配置主频≥2.1GHz，核心数≥8核；</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内存：配置64G 内存</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硬盘：支持14个硬盘盘位，为保证后期日志扩容，满配硬盘潘盘位，2块4T硬盘，支持RAID 0，1，内置独立Raid卡，配置2G缓存；</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网卡：配置4个千兆电接口，支持千兆，万兆电接口扩展；</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电源：配置冗余电源；</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风扇：配置冗余风扇；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jc w:val="center"/>
        </w:trPr>
        <w:tc>
          <w:tcPr>
            <w:tcW w:w="1980" w:type="dxa"/>
            <w:tcBorders>
              <w:tl2br w:val="nil"/>
              <w:tr2bl w:val="nil"/>
            </w:tcBorders>
            <w:tcMar>
              <w:top w:w="12" w:type="dxa"/>
              <w:left w:w="12" w:type="dxa"/>
              <w:right w:w="12" w:type="dxa"/>
            </w:tcMar>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售后</w:t>
            </w:r>
          </w:p>
        </w:tc>
        <w:tc>
          <w:tcPr>
            <w:tcW w:w="6350" w:type="dxa"/>
            <w:tcBorders>
              <w:tl2br w:val="nil"/>
              <w:tr2bl w:val="nil"/>
            </w:tcBorders>
            <w:tcMar>
              <w:top w:w="12" w:type="dxa"/>
              <w:left w:w="12" w:type="dxa"/>
              <w:right w:w="12" w:type="dxa"/>
            </w:tcMar>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32" w:name="_Toc21183176"/>
      <w:r>
        <w:rPr>
          <w:rFonts w:hint="eastAsia" w:ascii="宋体" w:hAnsi="宋体" w:eastAsia="宋体"/>
          <w:b/>
          <w:bCs/>
          <w:color w:val="auto"/>
          <w:sz w:val="24"/>
          <w:szCs w:val="24"/>
          <w:highlight w:val="none"/>
        </w:rPr>
        <w:t>数据库审计（1台）</w:t>
      </w:r>
      <w:bookmarkEnd w:id="32"/>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80"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功能及技术指标</w:t>
            </w:r>
          </w:p>
        </w:tc>
        <w:tc>
          <w:tcPr>
            <w:tcW w:w="6542"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硬件要求</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2U高机架式硬件架构，内存≥4G,支持硬盘容量≥2T，千兆以太网电接口≥6个，千兆以太网光接口≥8个，扩展槽≥2个，支持4个万兆光接口扩展能力；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基础架构</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管理和审计采用B/S结构；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配置要求</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配置4G内存,2T硬盘容量，6个千兆以太网电接口，8个千兆以太网光接口，扩展槽≥2个；支持冗余电源；配置4个数据库审计实例。</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33" w:name="_Toc21183177"/>
      <w:r>
        <w:rPr>
          <w:rFonts w:hint="eastAsia" w:ascii="宋体" w:hAnsi="宋体" w:eastAsia="宋体"/>
          <w:b/>
          <w:bCs/>
          <w:color w:val="auto"/>
          <w:sz w:val="24"/>
          <w:szCs w:val="24"/>
          <w:highlight w:val="none"/>
        </w:rPr>
        <w:t>漏洞扫描（1台）</w:t>
      </w:r>
      <w:bookmarkEnd w:id="33"/>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80"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功能及技术指标</w:t>
            </w:r>
          </w:p>
        </w:tc>
        <w:tc>
          <w:tcPr>
            <w:tcW w:w="6542"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硬件要求</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2U机架式设备，内存≥8G,硬盘容量≥1T，千兆以太网电接口≥8个，千兆以太网光接口≥8个，扩展槽≥2个，支持4个万兆光接口扩展能力；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配置要求</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配置8G内存，1T硬盘容量，8个千兆光接口，8个千兆电接口。</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34" w:name="_Toc21183178"/>
      <w:r>
        <w:rPr>
          <w:rFonts w:hint="eastAsia" w:ascii="宋体" w:hAnsi="宋体" w:eastAsia="宋体"/>
          <w:b/>
          <w:bCs/>
          <w:color w:val="auto"/>
          <w:sz w:val="24"/>
          <w:szCs w:val="24"/>
          <w:highlight w:val="none"/>
        </w:rPr>
        <w:t>堡垒机（1台）</w:t>
      </w:r>
      <w:bookmarkEnd w:id="34"/>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80"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功能及技术指标</w:t>
            </w:r>
          </w:p>
        </w:tc>
        <w:tc>
          <w:tcPr>
            <w:tcW w:w="6542"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硬件要求</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内存≥8G,硬盘容量≥1T，固化6个千兆以太网电接口，扩展槽≥1个，支持至少10个千兆电接口或4个万兆光接口扩展能力；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80"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配置要求</w:t>
            </w:r>
          </w:p>
        </w:tc>
        <w:tc>
          <w:tcPr>
            <w:tcW w:w="6542"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配置8G内存,1T硬盘容量，6个千兆电接口，配置300个资产管理，原厂商安装部署服务1套。</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line="360" w:lineRule="auto"/>
        <w:ind w:left="720" w:hanging="720"/>
        <w:outlineLvl w:val="2"/>
        <w:rPr>
          <w:rFonts w:ascii="宋体" w:hAnsi="宋体" w:eastAsia="宋体"/>
          <w:b/>
          <w:bCs/>
          <w:color w:val="auto"/>
          <w:sz w:val="24"/>
          <w:szCs w:val="24"/>
          <w:highlight w:val="none"/>
        </w:rPr>
      </w:pPr>
      <w:bookmarkStart w:id="35" w:name="_Toc21183179"/>
      <w:r>
        <w:rPr>
          <w:rFonts w:hint="eastAsia" w:ascii="宋体" w:hAnsi="宋体" w:eastAsia="宋体"/>
          <w:b/>
          <w:bCs/>
          <w:color w:val="auto"/>
          <w:sz w:val="24"/>
          <w:szCs w:val="24"/>
          <w:highlight w:val="none"/>
        </w:rPr>
        <w:t>运维管理平台（1套）</w:t>
      </w:r>
      <w:bookmarkEnd w:id="35"/>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052"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功能及技术指标</w:t>
            </w:r>
          </w:p>
        </w:tc>
        <w:tc>
          <w:tcPr>
            <w:tcW w:w="6470"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支持自定义用户主页</w:t>
            </w:r>
          </w:p>
        </w:tc>
        <w:tc>
          <w:tcPr>
            <w:tcW w:w="6470"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管理员可以首页中通过拖拽的方式，能够添加设备状态，CPU/内存利用率，接口输入/输出带宽利用率等多种自定义元素；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拓扑功能</w:t>
            </w:r>
          </w:p>
        </w:tc>
        <w:tc>
          <w:tcPr>
            <w:tcW w:w="6470"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IP拓扑、二层拓扑、网络拓扑视图（支持网络区域的任意划分、命名、拖拽、折叠和展开）、业务拓扑、STP拓扑等多种拓扑类型；二层拓扑支持多协议，包括Bridge、NDP、CDP、MSTP、STP、LLDP、DISMAN-PING等二层协议，支持聚合链路，支持第三方的设备；拓扑可融合链路状态、设备告警等多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设备与流量分析统一管理</w:t>
            </w:r>
          </w:p>
        </w:tc>
        <w:tc>
          <w:tcPr>
            <w:tcW w:w="6470"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支持流量分析与报表管理功能，支持接入流量分析，支持多个分析任务总体流量的概览；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批量的设备配置备份和恢复</w:t>
            </w:r>
          </w:p>
        </w:tc>
        <w:tc>
          <w:tcPr>
            <w:tcW w:w="6470"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支持批量的设备配置备份和恢复。支持向导方式或者任务方式（周期性任务、一次性任务或立即任务）批量的备份、恢复完整的配置文件，也可以批量的下发配置片断。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Syslog分析</w:t>
            </w:r>
          </w:p>
        </w:tc>
        <w:tc>
          <w:tcPr>
            <w:tcW w:w="6470"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接收Syslog，完成基本格式的解析并入库。提供Syslog特征分析及策略注册能力，支持基于统计规则进行聚合生成告警（Trap）；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VLAN管理</w:t>
            </w:r>
          </w:p>
        </w:tc>
        <w:tc>
          <w:tcPr>
            <w:tcW w:w="6470"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支持在全网范围内增加、修改和删除VLAN，并能够方便地对VLAN内的设备进行管理，对access端口、trunk端口、hybrid端口和VLAN进行批量配部署；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配置要求</w:t>
            </w:r>
          </w:p>
        </w:tc>
        <w:tc>
          <w:tcPr>
            <w:tcW w:w="6470"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配置≥25个网络单元（含交换机，路由器，安全）授权，服务器管理授权≥10个，用户审计授权1000个；</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36" w:name="_Toc21183180"/>
      <w:r>
        <w:rPr>
          <w:rFonts w:hint="eastAsia" w:ascii="宋体" w:hAnsi="宋体" w:eastAsia="宋体"/>
          <w:b/>
          <w:bCs/>
          <w:color w:val="auto"/>
          <w:sz w:val="24"/>
          <w:szCs w:val="24"/>
          <w:highlight w:val="none"/>
        </w:rPr>
        <w:t>终端管理系统（1套）</w:t>
      </w:r>
      <w:bookmarkEnd w:id="36"/>
    </w:p>
    <w:tbl>
      <w:tblPr>
        <w:tblStyle w:val="28"/>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052"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功能及技术指标</w:t>
            </w:r>
          </w:p>
        </w:tc>
        <w:tc>
          <w:tcPr>
            <w:tcW w:w="6448" w:type="dxa"/>
            <w:tcBorders>
              <w:tl2br w:val="nil"/>
              <w:tr2bl w:val="nil"/>
            </w:tcBorders>
            <w:shd w:val="clear" w:color="000000" w:fill="A6A6A6"/>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可靠性</w:t>
            </w:r>
          </w:p>
        </w:tc>
        <w:tc>
          <w:tcPr>
            <w:tcW w:w="6448"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支持双机系统的热备和冷备，支持单机系统逃生技术，服务器宕机后能自动切换到逃生工具上，逃生工具部署简便；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权限管理</w:t>
            </w:r>
          </w:p>
        </w:tc>
        <w:tc>
          <w:tcPr>
            <w:tcW w:w="6448"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用户的接入权限，可以在认证通过后下发给接入设备，由设备动态控制用户的访问权限，限制用户对内部敏感服务器和外部非法网站的访问；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身份认证</w:t>
            </w:r>
          </w:p>
        </w:tc>
        <w:tc>
          <w:tcPr>
            <w:tcW w:w="6448"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支持PAP/CHAP/EAP-MD5/EAP-PEAP/EAP-TLS/WAPI等认证协议，支持USB Key、数字证书、LDAP服务器、Windows域管理器、WLAN等方式的认证及多种方式的组合鉴别；支持LDAP用户；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外设审计</w:t>
            </w:r>
          </w:p>
        </w:tc>
        <w:tc>
          <w:tcPr>
            <w:tcW w:w="6448"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USB、软驱、光驱、串口、并口、红外、蓝牙等外设的管理，可区分USB存储设备和非存储设备，支持离线策略，拔掉网线依然生效；支持对检测终端USB接入状态进行记录和上报，如用户插拔USB时间、操作文件名、操作文件大小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访客管理</w:t>
            </w:r>
          </w:p>
        </w:tc>
        <w:tc>
          <w:tcPr>
            <w:tcW w:w="6448"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支持访客管理功能，对于临时来访的用户，访客管理员为其建立访客帐户，只可访问限定网络；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准入控制</w:t>
            </w:r>
          </w:p>
        </w:tc>
        <w:tc>
          <w:tcPr>
            <w:tcW w:w="6448"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支持802.1x、Portal、L2TIP IPSec VPN、SSL VPN、无线等多种网络环境的身份认证，支持基于端口的802.1x和基于MAC地址的802.1x，可管理HUB或非智能交换机下的多个用户；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终端安全管理</w:t>
            </w:r>
          </w:p>
        </w:tc>
        <w:tc>
          <w:tcPr>
            <w:tcW w:w="6448"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支持对终端的系统，文件，网络等相关组件进行安全扫描和病毒检测功能，当发现终端带有病毒时，可以及时阻断或者形成隔离区，保护业务系统及内部网络的安全；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52" w:type="dxa"/>
            <w:tcBorders>
              <w:tl2br w:val="nil"/>
              <w:tr2bl w:val="nil"/>
            </w:tcBorders>
            <w:shd w:val="clear" w:color="000000" w:fill="FFFFFF"/>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配置要求</w:t>
            </w:r>
          </w:p>
        </w:tc>
        <w:tc>
          <w:tcPr>
            <w:tcW w:w="6448" w:type="dxa"/>
            <w:tcBorders>
              <w:tl2br w:val="nil"/>
              <w:tr2bl w:val="nil"/>
            </w:tcBorders>
            <w:shd w:val="clear" w:color="000000" w:fill="FFFFFF"/>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终端认证管理授权1000个；</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37" w:name="_Toc21183181"/>
      <w:r>
        <w:rPr>
          <w:rFonts w:hint="eastAsia" w:ascii="宋体" w:hAnsi="宋体" w:eastAsia="宋体"/>
          <w:b/>
          <w:bCs/>
          <w:color w:val="auto"/>
          <w:sz w:val="24"/>
          <w:szCs w:val="24"/>
          <w:highlight w:val="none"/>
        </w:rPr>
        <w:t>杀毒软件（1套）</w:t>
      </w:r>
      <w:bookmarkEnd w:id="37"/>
    </w:p>
    <w:tbl>
      <w:tblPr>
        <w:tblStyle w:val="2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jc w:val="center"/>
        </w:trPr>
        <w:tc>
          <w:tcPr>
            <w:tcW w:w="850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(1000个点/三年服务)</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产品为反病毒厂商正式发布的最新稳定产品</w:t>
            </w:r>
          </w:p>
          <w:p>
            <w:pPr>
              <w:spacing w:line="360" w:lineRule="auto"/>
              <w:rPr>
                <w:rFonts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厂商在国内具备病毒处理中心，能够根据中国地区的新病毒以及全球性病毒，在2小时内更新反病毒数据库</w:t>
            </w:r>
          </w:p>
          <w:p>
            <w:pPr>
              <w:spacing w:line="360" w:lineRule="auto"/>
              <w:rPr>
                <w:rFonts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厂商提供给用户7×24小时全天候监控服务，实时掌握客户网络环境的安全状况。</w:t>
            </w:r>
          </w:p>
          <w:p>
            <w:pPr>
              <w:spacing w:line="360" w:lineRule="auto"/>
              <w:rPr>
                <w:rFonts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安装部署</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支持常见的操作系统平台，客户端可以安装在Windows98/Me，windows NT workstation/server，windows 2000 professional/server，windowsXP，windows server 2003/2008/2012，windows vista，windows 7，windows 8同时支持Linux、unix等操作系统上</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支持32位和64位操作系统</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38" w:name="_Toc21183182"/>
      <w:r>
        <w:rPr>
          <w:rFonts w:hint="eastAsia" w:ascii="宋体" w:hAnsi="宋体" w:eastAsia="宋体"/>
          <w:b/>
          <w:bCs/>
          <w:color w:val="auto"/>
          <w:sz w:val="24"/>
          <w:szCs w:val="24"/>
          <w:highlight w:val="none"/>
        </w:rPr>
        <w:t>数据备份（1台）</w:t>
      </w:r>
      <w:bookmarkEnd w:id="38"/>
    </w:p>
    <w:tbl>
      <w:tblPr>
        <w:tblStyle w:val="2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00" w:type="dxa"/>
            <w:shd w:val="clear" w:color="auto" w:fill="auto"/>
            <w:noWrap/>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1、国内品牌；</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2、2U, 2颗2620 V4 CPU, 64G内存，冗余电源， SATA企业级硬盘，本次配置硬盘≥12块2T ,RAID5。</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3、系统说明：持续数据保护一体机，具有实时数据复制、持续数据保护CDP、快照等功能，支持Windows/linux系统平台，支持对常用数据库及应用系统的实时保护，支持虚拟化容灾。</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4、产品功能：</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4.1 支持Windows系列操作系统、RedHat Linux企业版操作系统。</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4.2 支持SQL Server、Oracle、DB2、Domino等数据库。</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提供三年7*24小时原厂维保；</w:t>
            </w:r>
          </w:p>
        </w:tc>
      </w:tr>
    </w:tbl>
    <w:p>
      <w:pPr>
        <w:keepNext/>
        <w:keepLines/>
        <w:numPr>
          <w:ilvl w:val="2"/>
          <w:numId w:val="3"/>
        </w:numPr>
        <w:spacing w:before="260" w:after="260" w:line="360" w:lineRule="auto"/>
        <w:ind w:left="720" w:hanging="720"/>
        <w:outlineLvl w:val="2"/>
        <w:rPr>
          <w:rFonts w:ascii="宋体" w:hAnsi="宋体" w:eastAsia="宋体"/>
          <w:b/>
          <w:bCs/>
          <w:color w:val="auto"/>
          <w:sz w:val="24"/>
          <w:szCs w:val="24"/>
          <w:highlight w:val="none"/>
        </w:rPr>
      </w:pPr>
      <w:bookmarkStart w:id="39" w:name="_Toc21183183"/>
      <w:r>
        <w:rPr>
          <w:rFonts w:hint="eastAsia" w:ascii="宋体" w:hAnsi="宋体" w:eastAsia="宋体"/>
          <w:b/>
          <w:bCs/>
          <w:color w:val="auto"/>
          <w:sz w:val="24"/>
          <w:szCs w:val="24"/>
          <w:highlight w:val="none"/>
        </w:rPr>
        <w:t>配套设备</w:t>
      </w:r>
      <w:bookmarkEnd w:id="39"/>
    </w:p>
    <w:tbl>
      <w:tblPr>
        <w:tblStyle w:val="29"/>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55"/>
        <w:gridCol w:w="5599"/>
        <w:gridCol w:w="69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14" w:type="dxa"/>
            <w:shd w:val="clear" w:color="auto" w:fill="A4A4A4" w:themeFill="background1" w:themeFillShade="A5"/>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序号</w:t>
            </w:r>
          </w:p>
        </w:tc>
        <w:tc>
          <w:tcPr>
            <w:tcW w:w="955" w:type="dxa"/>
            <w:shd w:val="clear" w:color="auto" w:fill="A4A4A4" w:themeFill="background1" w:themeFillShade="A5"/>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名称</w:t>
            </w:r>
          </w:p>
        </w:tc>
        <w:tc>
          <w:tcPr>
            <w:tcW w:w="5599" w:type="dxa"/>
            <w:shd w:val="clear" w:color="auto" w:fill="A4A4A4" w:themeFill="background1" w:themeFillShade="A5"/>
            <w:vAlign w:val="center"/>
          </w:tcPr>
          <w:p>
            <w:pPr>
              <w:spacing w:line="360" w:lineRule="auto"/>
              <w:jc w:val="center"/>
              <w:rPr>
                <w:rFonts w:ascii="宋体" w:hAnsi="宋体" w:eastAsia="宋体" w:cs="Arial"/>
                <w:b/>
                <w:color w:val="auto"/>
                <w:sz w:val="24"/>
                <w:szCs w:val="24"/>
                <w:highlight w:val="none"/>
              </w:rPr>
            </w:pPr>
            <w:r>
              <w:rPr>
                <w:rFonts w:ascii="宋体" w:hAnsi="宋体" w:eastAsia="宋体" w:cs="Arial"/>
                <w:b/>
                <w:color w:val="auto"/>
                <w:sz w:val="24"/>
                <w:szCs w:val="24"/>
                <w:highlight w:val="none"/>
              </w:rPr>
              <w:t>主要技术参数</w:t>
            </w:r>
          </w:p>
        </w:tc>
        <w:tc>
          <w:tcPr>
            <w:tcW w:w="690" w:type="dxa"/>
            <w:shd w:val="clear" w:color="auto" w:fill="A4A4A4" w:themeFill="background1" w:themeFillShade="A5"/>
            <w:vAlign w:val="center"/>
          </w:tcPr>
          <w:p>
            <w:pPr>
              <w:spacing w:line="360" w:lineRule="auto"/>
              <w:rPr>
                <w:rFonts w:ascii="宋体" w:hAnsi="宋体" w:eastAsia="宋体" w:cs="Arial"/>
                <w:b/>
                <w:color w:val="auto"/>
                <w:sz w:val="24"/>
                <w:szCs w:val="24"/>
                <w:highlight w:val="none"/>
              </w:rPr>
            </w:pPr>
            <w:r>
              <w:rPr>
                <w:rFonts w:ascii="宋体" w:hAnsi="宋体" w:eastAsia="宋体" w:cs="Arial"/>
                <w:b/>
                <w:color w:val="auto"/>
                <w:sz w:val="24"/>
                <w:szCs w:val="24"/>
                <w:highlight w:val="none"/>
              </w:rPr>
              <w:t>数量</w:t>
            </w:r>
          </w:p>
        </w:tc>
        <w:tc>
          <w:tcPr>
            <w:tcW w:w="761" w:type="dxa"/>
            <w:shd w:val="clear" w:color="auto" w:fill="A4A4A4" w:themeFill="background1" w:themeFillShade="A5"/>
            <w:vAlign w:val="center"/>
          </w:tcPr>
          <w:p>
            <w:pPr>
              <w:spacing w:line="360" w:lineRule="auto"/>
              <w:rPr>
                <w:rFonts w:hint="eastAsia" w:ascii="宋体" w:hAnsi="宋体" w:eastAsia="宋体" w:cs="Arial"/>
                <w:b/>
                <w:color w:val="auto"/>
                <w:sz w:val="24"/>
                <w:szCs w:val="24"/>
                <w:highlight w:val="none"/>
                <w:lang w:eastAsia="zh-CN"/>
              </w:rPr>
            </w:pPr>
            <w:r>
              <w:rPr>
                <w:rFonts w:hint="eastAsia" w:ascii="宋体" w:hAnsi="宋体" w:eastAsia="宋体" w:cs="Arial"/>
                <w:b/>
                <w:color w:val="auto"/>
                <w:sz w:val="24"/>
                <w:szCs w:val="24"/>
                <w:highlight w:val="no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jc w:val="center"/>
        </w:trPr>
        <w:tc>
          <w:tcPr>
            <w:tcW w:w="814"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955"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VPN</w:t>
            </w:r>
          </w:p>
        </w:tc>
        <w:tc>
          <w:tcPr>
            <w:tcW w:w="559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IPSec VPN一体化网关；1个WAN口、3个LAN口、1个DMZ口、1个USB口；最大并发数：5000；IPSec VPN加密速度：8Mbps；IPSec VPN隧道数：15；防火墙吞吐量：60Mbps；建议并发网络使用用户：5-20人</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提供一年7*24小时原厂维保；</w:t>
            </w:r>
          </w:p>
        </w:tc>
        <w:tc>
          <w:tcPr>
            <w:tcW w:w="690"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761" w:type="dxa"/>
            <w:vAlign w:val="center"/>
          </w:tcPr>
          <w:p>
            <w:pPr>
              <w:widowControl/>
              <w:jc w:val="left"/>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shd w:val="clear" w:color="auto" w:fill="auto"/>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814"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955"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切换器</w:t>
            </w:r>
          </w:p>
        </w:tc>
        <w:tc>
          <w:tcPr>
            <w:tcW w:w="559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Slideaway LCD KVMP 抽拉式多电脑切换器，</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连接 8 台服务器，带连接线</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提供一年7*24小时原厂维保；</w:t>
            </w:r>
          </w:p>
        </w:tc>
        <w:tc>
          <w:tcPr>
            <w:tcW w:w="690"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761" w:type="dxa"/>
            <w:vAlign w:val="center"/>
          </w:tcPr>
          <w:p>
            <w:pPr>
              <w:widowControl/>
              <w:jc w:val="left"/>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shd w:val="clear" w:color="auto" w:fill="auto"/>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814"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955"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机柜</w:t>
            </w:r>
          </w:p>
        </w:tc>
        <w:tc>
          <w:tcPr>
            <w:tcW w:w="559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42U 标准服务器机柜</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提供一年7*24小时原厂维保；</w:t>
            </w:r>
          </w:p>
        </w:tc>
        <w:tc>
          <w:tcPr>
            <w:tcW w:w="690"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761" w:type="dxa"/>
            <w:vAlign w:val="center"/>
          </w:tcPr>
          <w:p>
            <w:pPr>
              <w:widowControl/>
              <w:jc w:val="left"/>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shd w:val="clear" w:color="auto" w:fill="auto"/>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1" w:hRule="atLeast"/>
          <w:jc w:val="center"/>
        </w:trPr>
        <w:tc>
          <w:tcPr>
            <w:tcW w:w="814"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955"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PDU</w:t>
            </w:r>
          </w:p>
        </w:tc>
        <w:tc>
          <w:tcPr>
            <w:tcW w:w="5599" w:type="dxa"/>
            <w:vAlign w:val="center"/>
          </w:tcPr>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额定输入电压:250VAC 50/60Hz；输入端子类型:GB1002 10A 国标三扁插头； 电缆线规格:3×1.5mm2；电缆线长度: 3M； 最大输入电流:10A；</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插座标准:GB2099.3 万用； 输</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出单元 :10 位；</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额 定 输 出 电 压 :250VAC 50/60Hz；</w:t>
            </w:r>
          </w:p>
          <w:p>
            <w:pPr>
              <w:spacing w:line="360" w:lineRule="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提供一年7*24小时原厂维保；</w:t>
            </w:r>
          </w:p>
        </w:tc>
        <w:tc>
          <w:tcPr>
            <w:tcW w:w="690"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761" w:type="dxa"/>
            <w:vAlign w:val="center"/>
          </w:tcPr>
          <w:p>
            <w:pPr>
              <w:widowControl/>
              <w:jc w:val="left"/>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shd w:val="clear" w:color="auto" w:fill="auto"/>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814"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955"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等保2.0测评服务</w:t>
            </w:r>
          </w:p>
        </w:tc>
        <w:tc>
          <w:tcPr>
            <w:tcW w:w="5599" w:type="dxa"/>
            <w:vAlign w:val="center"/>
          </w:tcPr>
          <w:p>
            <w:pPr>
              <w:spacing w:line="360" w:lineRule="auto"/>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医共体信息平台、基层HIS、基层LIS、基层PACS及基层EMR信息系统二级等保（2.0版）测评服务包。</w:t>
            </w:r>
          </w:p>
        </w:tc>
        <w:tc>
          <w:tcPr>
            <w:tcW w:w="690" w:type="dxa"/>
            <w:vAlign w:val="center"/>
          </w:tcPr>
          <w:p>
            <w:pPr>
              <w:spacing w:line="360" w:lineRule="auto"/>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761" w:type="dxa"/>
            <w:vAlign w:val="center"/>
          </w:tcPr>
          <w:p>
            <w:pPr>
              <w:widowControl/>
              <w:jc w:val="left"/>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shd w:val="clear" w:color="auto" w:fill="auto"/>
                <w:lang w:eastAsia="zh-CN"/>
              </w:rPr>
              <w:t>项</w:t>
            </w:r>
          </w:p>
        </w:tc>
      </w:tr>
    </w:tbl>
    <w:p>
      <w:pPr>
        <w:pStyle w:val="7"/>
        <w:numPr>
          <w:ilvl w:val="1"/>
          <w:numId w:val="3"/>
        </w:numPr>
        <w:spacing w:line="360" w:lineRule="auto"/>
        <w:rPr>
          <w:rFonts w:ascii="宋体" w:hAnsi="宋体" w:eastAsia="宋体"/>
          <w:color w:val="auto"/>
          <w:sz w:val="24"/>
          <w:szCs w:val="24"/>
          <w:highlight w:val="none"/>
        </w:rPr>
      </w:pPr>
      <w:bookmarkStart w:id="40" w:name="_Toc21183184"/>
      <w:r>
        <w:rPr>
          <w:rFonts w:hint="eastAsia" w:ascii="宋体" w:hAnsi="宋体" w:eastAsia="宋体"/>
          <w:color w:val="auto"/>
          <w:sz w:val="24"/>
          <w:szCs w:val="24"/>
          <w:highlight w:val="none"/>
        </w:rPr>
        <w:t>售后服务及相关要求</w:t>
      </w:r>
      <w:bookmarkEnd w:id="40"/>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1</w:t>
      </w:r>
      <w:r>
        <w:rPr>
          <w:rFonts w:hint="eastAsia" w:ascii="宋体" w:hAnsi="宋体" w:eastAsia="宋体"/>
          <w:color w:val="auto"/>
          <w:sz w:val="24"/>
          <w:szCs w:val="24"/>
          <w:highlight w:val="none"/>
        </w:rPr>
        <w:t>、</w:t>
      </w:r>
      <w:r>
        <w:rPr>
          <w:rFonts w:ascii="宋体" w:hAnsi="宋体" w:eastAsia="宋体"/>
          <w:color w:val="auto"/>
          <w:sz w:val="24"/>
          <w:szCs w:val="24"/>
          <w:highlight w:val="none"/>
        </w:rPr>
        <w:t>结合</w:t>
      </w:r>
      <w:r>
        <w:rPr>
          <w:rFonts w:hint="eastAsia" w:ascii="宋体" w:hAnsi="宋体" w:eastAsia="宋体"/>
          <w:color w:val="auto"/>
          <w:sz w:val="24"/>
          <w:szCs w:val="24"/>
          <w:highlight w:val="none"/>
        </w:rPr>
        <w:t>医共体</w:t>
      </w:r>
      <w:r>
        <w:rPr>
          <w:rFonts w:ascii="宋体" w:hAnsi="宋体" w:eastAsia="宋体"/>
          <w:color w:val="auto"/>
          <w:sz w:val="24"/>
          <w:szCs w:val="24"/>
          <w:highlight w:val="none"/>
        </w:rPr>
        <w:t xml:space="preserve">实际情况，拟定详细的系统实施计划，含客户化修改、测试、培训、试运行及上线计划。承诺保证在合同规定时间内上线及上线系统的平稳运行。合同签订后七日内由投标人的项目经理带领至少2名软件技术人员上门进行前期准备，包括用户培训、需求调研、数据准备等。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2</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培训：培训对象包括系统管理员、管理人员、操作员。系统管理人员培训内容为系统中涉及的相关技术内容；管理人员培训内容为系统流程和相关管理思想；操作员培训内容为系统的操作培训。 </w:t>
      </w:r>
    </w:p>
    <w:p>
      <w:pPr>
        <w:spacing w:line="360" w:lineRule="auto"/>
        <w:ind w:firstLine="48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人软件系统提供1年的免费售后服务（自验收合格之日算起），包括功能增强性维护、公司最新产品免费升级（其中包括系统维护、跟踪检测），保证投标人所开发的软件正常运行。质保期满后提供有偿服务，</w:t>
      </w:r>
      <w:r>
        <w:rPr>
          <w:rFonts w:hint="eastAsia" w:ascii="宋体" w:hAnsi="宋体" w:eastAsia="宋体"/>
          <w:color w:val="auto"/>
          <w:sz w:val="24"/>
          <w:szCs w:val="24"/>
          <w:highlight w:val="none"/>
        </w:rPr>
        <w:t>每年软件系统维修服务费不高于合同总价的百分之六，由双方协商另行签订服务合同。</w:t>
      </w:r>
      <w:r>
        <w:rPr>
          <w:rFonts w:ascii="宋体" w:hAnsi="宋体" w:eastAsia="宋体"/>
          <w:color w:val="auto"/>
          <w:sz w:val="24"/>
          <w:szCs w:val="24"/>
          <w:highlight w:val="none"/>
        </w:rPr>
        <w:t xml:space="preserve"> </w:t>
      </w:r>
    </w:p>
    <w:p>
      <w:pPr>
        <w:spacing w:line="360" w:lineRule="auto"/>
        <w:ind w:firstLine="480"/>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、核心硬件提供原厂质保三年</w:t>
      </w:r>
      <w:r>
        <w:rPr>
          <w:rFonts w:ascii="宋体" w:hAnsi="宋体" w:eastAsia="宋体"/>
          <w:color w:val="auto"/>
          <w:sz w:val="24"/>
          <w:szCs w:val="24"/>
          <w:highlight w:val="none"/>
        </w:rPr>
        <w:t>（自验收合格之日算起）</w:t>
      </w:r>
      <w:r>
        <w:rPr>
          <w:rFonts w:hint="eastAsia" w:ascii="宋体" w:hAnsi="宋体" w:eastAsia="宋体"/>
          <w:color w:val="auto"/>
          <w:sz w:val="24"/>
          <w:szCs w:val="24"/>
          <w:highlight w:val="none"/>
        </w:rPr>
        <w:t>。V</w:t>
      </w:r>
      <w:r>
        <w:rPr>
          <w:rFonts w:ascii="宋体" w:hAnsi="宋体" w:eastAsia="宋体"/>
          <w:color w:val="auto"/>
          <w:sz w:val="24"/>
          <w:szCs w:val="24"/>
          <w:highlight w:val="none"/>
        </w:rPr>
        <w:t>PN</w:t>
      </w:r>
      <w:r>
        <w:rPr>
          <w:rFonts w:hint="eastAsia" w:ascii="宋体" w:hAnsi="宋体" w:eastAsia="宋体"/>
          <w:color w:val="auto"/>
          <w:sz w:val="24"/>
          <w:szCs w:val="24"/>
          <w:highlight w:val="none"/>
        </w:rPr>
        <w:t>、切换器、机柜、</w:t>
      </w:r>
      <w:r>
        <w:rPr>
          <w:rFonts w:ascii="宋体" w:hAnsi="宋体" w:eastAsia="宋体"/>
          <w:color w:val="auto"/>
          <w:sz w:val="24"/>
          <w:szCs w:val="24"/>
          <w:highlight w:val="none"/>
        </w:rPr>
        <w:t>PDU</w:t>
      </w:r>
      <w:r>
        <w:rPr>
          <w:rFonts w:hint="eastAsia" w:ascii="宋体" w:hAnsi="宋体" w:eastAsia="宋体"/>
          <w:color w:val="auto"/>
          <w:sz w:val="24"/>
          <w:szCs w:val="24"/>
          <w:highlight w:val="none"/>
        </w:rPr>
        <w:t>提供原厂质保一年。</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5</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对于电话方式无法解决的问题或系统发生严重故障时，工程师现场到人响应时间为1-6小时。投标人提供7×24小时全天候服务。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6</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实现远程网络维护，作为现场维护的补充。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7</w:t>
      </w:r>
      <w:r>
        <w:rPr>
          <w:rFonts w:hint="eastAsia" w:ascii="宋体" w:hAnsi="宋体" w:eastAsia="宋体"/>
          <w:color w:val="auto"/>
          <w:sz w:val="24"/>
          <w:szCs w:val="24"/>
          <w:highlight w:val="none"/>
        </w:rPr>
        <w:t>、</w:t>
      </w:r>
      <w:r>
        <w:rPr>
          <w:rFonts w:ascii="宋体" w:hAnsi="宋体" w:eastAsia="宋体"/>
          <w:color w:val="auto"/>
          <w:sz w:val="24"/>
          <w:szCs w:val="24"/>
          <w:highlight w:val="none"/>
        </w:rPr>
        <w:t>在</w:t>
      </w:r>
      <w:r>
        <w:rPr>
          <w:rFonts w:hint="eastAsia" w:ascii="宋体" w:hAnsi="宋体" w:eastAsia="宋体"/>
          <w:color w:val="auto"/>
          <w:sz w:val="24"/>
          <w:szCs w:val="24"/>
          <w:highlight w:val="none"/>
        </w:rPr>
        <w:t>医共体</w:t>
      </w:r>
      <w:r>
        <w:rPr>
          <w:rFonts w:ascii="宋体" w:hAnsi="宋体" w:eastAsia="宋体"/>
          <w:color w:val="auto"/>
          <w:sz w:val="24"/>
          <w:szCs w:val="24"/>
          <w:highlight w:val="none"/>
        </w:rPr>
        <w:t>信息</w:t>
      </w:r>
      <w:r>
        <w:rPr>
          <w:rFonts w:hint="eastAsia" w:ascii="宋体" w:hAnsi="宋体" w:eastAsia="宋体"/>
          <w:color w:val="auto"/>
          <w:sz w:val="24"/>
          <w:szCs w:val="24"/>
          <w:highlight w:val="none"/>
        </w:rPr>
        <w:t>平台</w:t>
      </w:r>
      <w:r>
        <w:rPr>
          <w:rFonts w:ascii="宋体" w:hAnsi="宋体" w:eastAsia="宋体"/>
          <w:color w:val="auto"/>
          <w:sz w:val="24"/>
          <w:szCs w:val="24"/>
          <w:highlight w:val="none"/>
        </w:rPr>
        <w:t xml:space="preserve">建设中，投标人必须坚持长期合作、共同发展的原则，时刻跟踪最新技术，为用户提供最先进、最实用的技术及免费补丁升级等。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8</w:t>
      </w:r>
      <w:r>
        <w:rPr>
          <w:rFonts w:hint="eastAsia" w:ascii="宋体" w:hAnsi="宋体" w:eastAsia="宋体"/>
          <w:color w:val="auto"/>
          <w:sz w:val="24"/>
          <w:szCs w:val="24"/>
          <w:highlight w:val="none"/>
        </w:rPr>
        <w:t>、</w:t>
      </w:r>
      <w:r>
        <w:rPr>
          <w:rFonts w:ascii="宋体" w:hAnsi="宋体" w:eastAsia="宋体"/>
          <w:color w:val="auto"/>
          <w:sz w:val="24"/>
          <w:szCs w:val="24"/>
          <w:highlight w:val="none"/>
        </w:rPr>
        <w:t>根据</w:t>
      </w:r>
      <w:r>
        <w:rPr>
          <w:rFonts w:hint="eastAsia" w:ascii="宋体" w:hAnsi="宋体" w:eastAsia="宋体"/>
          <w:color w:val="auto"/>
          <w:sz w:val="24"/>
          <w:szCs w:val="24"/>
          <w:highlight w:val="none"/>
        </w:rPr>
        <w:t>医共体信息化应用</w:t>
      </w:r>
      <w:r>
        <w:rPr>
          <w:rFonts w:ascii="宋体" w:hAnsi="宋体" w:eastAsia="宋体"/>
          <w:color w:val="auto"/>
          <w:sz w:val="24"/>
          <w:szCs w:val="24"/>
          <w:highlight w:val="none"/>
        </w:rPr>
        <w:t>的具体情况，投标人需主动提出建设性的意见和方案，使得</w:t>
      </w:r>
      <w:r>
        <w:rPr>
          <w:rFonts w:hint="eastAsia" w:ascii="宋体" w:hAnsi="宋体" w:eastAsia="宋体"/>
          <w:color w:val="auto"/>
          <w:sz w:val="24"/>
          <w:szCs w:val="24"/>
          <w:highlight w:val="none"/>
        </w:rPr>
        <w:t>医共体信息平台</w:t>
      </w:r>
      <w:r>
        <w:rPr>
          <w:rFonts w:ascii="宋体" w:hAnsi="宋体" w:eastAsia="宋体"/>
          <w:color w:val="auto"/>
          <w:sz w:val="24"/>
          <w:szCs w:val="24"/>
          <w:highlight w:val="none"/>
        </w:rPr>
        <w:t>建设不断前进和完善。</w:t>
      </w:r>
    </w:p>
    <w:p>
      <w:pPr>
        <w:pStyle w:val="7"/>
        <w:numPr>
          <w:ilvl w:val="1"/>
          <w:numId w:val="3"/>
        </w:numPr>
        <w:spacing w:line="360" w:lineRule="auto"/>
        <w:rPr>
          <w:rFonts w:ascii="宋体" w:hAnsi="宋体" w:eastAsia="宋体"/>
          <w:color w:val="auto"/>
          <w:sz w:val="24"/>
          <w:szCs w:val="24"/>
          <w:highlight w:val="none"/>
        </w:rPr>
      </w:pPr>
      <w:bookmarkStart w:id="41" w:name="_Toc21183185"/>
      <w:r>
        <w:rPr>
          <w:rFonts w:hint="eastAsia" w:ascii="宋体" w:hAnsi="宋体" w:eastAsia="宋体"/>
          <w:color w:val="auto"/>
          <w:sz w:val="24"/>
          <w:szCs w:val="24"/>
          <w:highlight w:val="none"/>
        </w:rPr>
        <w:t>验收有关要求</w:t>
      </w:r>
      <w:bookmarkEnd w:id="41"/>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 在乙方完成安装及调试工作后，软件整体上线正常运行（无重大问题，</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能保障正常使用，并对出现的问题及时调整和解决）之日起7个工作日内进行初期验收，验收依据现行法律及国家标准，组建由采购人、供应商共同组成的履约验收小组，根据采购项目的具体内容和要求组织履约验收，并出具初期验收报告。</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初期验收通过使用3个月后（无重大问题，能保障正常使用，并对出现的问题及时调整和解决）7个工作日内进行中期验收，验收依据现行法律及国家标准，组建由采购人、供应商共同组成的履约验收小组，根据采购项目的具体内容和要求组织履约验收，并出具中期验收报告。</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在中期验收通过使用12个月后（无重大问题，能保障正常使用，并对出现的问题及时调整和解决）7个工作日内进行最终验收，验收依据现行法律及国家标准，组建由采购人、供应商共同组成的履约验收小组，根据采购项目的具体内容和要求组织履约验收，并出具最终验收报告</w:t>
      </w:r>
      <w:r>
        <w:rPr>
          <w:rFonts w:ascii="宋体" w:hAnsi="宋体" w:eastAsia="宋体"/>
          <w:color w:val="auto"/>
          <w:sz w:val="24"/>
          <w:szCs w:val="24"/>
          <w:highlight w:val="none"/>
        </w:rPr>
        <w:t>。</w:t>
      </w:r>
    </w:p>
    <w:p>
      <w:pPr>
        <w:pStyle w:val="7"/>
        <w:numPr>
          <w:ilvl w:val="1"/>
          <w:numId w:val="3"/>
        </w:numPr>
        <w:spacing w:line="360" w:lineRule="auto"/>
        <w:rPr>
          <w:rFonts w:ascii="宋体" w:hAnsi="宋体" w:eastAsia="宋体"/>
          <w:color w:val="auto"/>
          <w:sz w:val="24"/>
          <w:szCs w:val="24"/>
          <w:highlight w:val="none"/>
        </w:rPr>
      </w:pPr>
      <w:bookmarkStart w:id="42" w:name="_Toc21183187"/>
      <w:r>
        <w:rPr>
          <w:rFonts w:hint="eastAsia" w:ascii="宋体" w:hAnsi="宋体" w:eastAsia="宋体"/>
          <w:color w:val="auto"/>
          <w:sz w:val="24"/>
          <w:szCs w:val="24"/>
          <w:highlight w:val="none"/>
        </w:rPr>
        <w:t>付款</w:t>
      </w:r>
      <w:r>
        <w:rPr>
          <w:rFonts w:ascii="宋体" w:hAnsi="宋体" w:eastAsia="宋体"/>
          <w:color w:val="auto"/>
          <w:sz w:val="24"/>
          <w:szCs w:val="24"/>
          <w:highlight w:val="none"/>
        </w:rPr>
        <w:t>方式</w:t>
      </w:r>
      <w:bookmarkEnd w:id="42"/>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 在乙方完成安装及调试工作后，软件整体上线正常运行（无重大问题，能保障正常使用，并对出现的问题及时调整和解决）之日起7个工作日内进行初期验收，初验通过后7工作日内甲方向乙方提供合同总款项的40%作为一期款。</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 在初期验收通过使用3个月后（无重大问题，能保障正常使用，并对出现的问题及时调整和解决）7个工作日内进行中期验收，中期验收通过后7个工作日内甲方向乙方提供合同总款项的50%作为二期款。</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 在中期验收通过使用12个月后（无重大问题，能保障正常使用，并对出现的问题及时调整和解决）7个工作日内进行最终验收，最终验收通过后7个工作日内甲方向乙方提供总款项10%作为尾款。</w:t>
      </w:r>
    </w:p>
    <w:p>
      <w:pPr>
        <w:pStyle w:val="26"/>
        <w:shd w:val="clear" w:color="auto" w:fill="FFFFFF"/>
        <w:spacing w:before="0" w:beforeAutospacing="0" w:after="0" w:afterAutospacing="0" w:line="360" w:lineRule="auto"/>
        <w:contextualSpacing/>
        <w:rPr>
          <w:rFonts w:cs="黑体" w:asciiTheme="minorEastAsia" w:hAnsiTheme="minorEastAsia" w:eastAsiaTheme="minorEastAsia"/>
          <w:b/>
          <w:bCs/>
          <w:color w:val="auto"/>
          <w:highlight w:val="none"/>
          <w:shd w:val="clear" w:color="auto" w:fill="FFFFFF"/>
        </w:rPr>
      </w:pPr>
      <w:r>
        <w:rPr>
          <w:rFonts w:hint="eastAsia" w:cs="黑体" w:asciiTheme="minorEastAsia" w:hAnsiTheme="minorEastAsia" w:eastAsiaTheme="minorEastAsia"/>
          <w:b/>
          <w:bCs/>
          <w:color w:val="auto"/>
          <w:highlight w:val="none"/>
          <w:shd w:val="clear" w:color="auto" w:fill="FFFFFF"/>
          <w:lang w:val="en-US" w:eastAsia="zh-CN"/>
        </w:rPr>
        <w:t xml:space="preserve">1.11. </w:t>
      </w:r>
      <w:r>
        <w:rPr>
          <w:rFonts w:hint="eastAsia" w:cs="黑体" w:asciiTheme="minorEastAsia" w:hAnsiTheme="minorEastAsia" w:eastAsiaTheme="minorEastAsia"/>
          <w:b/>
          <w:bCs/>
          <w:color w:val="auto"/>
          <w:highlight w:val="none"/>
          <w:shd w:val="clear" w:color="auto" w:fill="FFFFFF"/>
        </w:rPr>
        <w:t>本项目预算金额</w:t>
      </w:r>
      <w:r>
        <w:rPr>
          <w:rFonts w:hint="eastAsia" w:cs="黑体" w:asciiTheme="minorEastAsia" w:hAnsiTheme="minorEastAsia" w:eastAsiaTheme="minorEastAsia"/>
          <w:b/>
          <w:bCs/>
          <w:color w:val="auto"/>
          <w:highlight w:val="none"/>
          <w:shd w:val="clear" w:color="auto" w:fill="FFFFFF"/>
          <w:lang w:val="en-US" w:eastAsia="zh-CN"/>
        </w:rPr>
        <w:t>1800万</w:t>
      </w:r>
      <w:r>
        <w:rPr>
          <w:rFonts w:hint="eastAsia" w:cs="黑体" w:asciiTheme="minorEastAsia" w:hAnsiTheme="minorEastAsia" w:eastAsiaTheme="minorEastAsia"/>
          <w:b/>
          <w:bCs/>
          <w:color w:val="auto"/>
          <w:highlight w:val="none"/>
          <w:shd w:val="clear" w:color="auto" w:fill="FFFFFF"/>
        </w:rPr>
        <w:t>元；最高限价</w:t>
      </w:r>
      <w:r>
        <w:rPr>
          <w:rFonts w:hint="eastAsia" w:cs="黑体" w:asciiTheme="minorEastAsia" w:hAnsiTheme="minorEastAsia" w:eastAsiaTheme="minorEastAsia"/>
          <w:b/>
          <w:bCs/>
          <w:color w:val="auto"/>
          <w:highlight w:val="none"/>
          <w:shd w:val="clear" w:color="auto" w:fill="FFFFFF"/>
          <w:lang w:val="en-US" w:eastAsia="zh-CN"/>
        </w:rPr>
        <w:t>1800万</w:t>
      </w:r>
      <w:r>
        <w:rPr>
          <w:rFonts w:hint="eastAsia" w:cs="黑体" w:asciiTheme="minorEastAsia" w:hAnsiTheme="minorEastAsia" w:eastAsiaTheme="minorEastAsia"/>
          <w:b/>
          <w:bCs/>
          <w:color w:val="auto"/>
          <w:highlight w:val="none"/>
          <w:shd w:val="clear" w:color="auto" w:fill="FFFFFF"/>
          <w:lang w:val="zh-CN"/>
        </w:rPr>
        <w:t>元，超出最高限价的投标无效。</w:t>
      </w:r>
    </w:p>
    <w:p>
      <w:pPr>
        <w:jc w:val="center"/>
        <w:rPr>
          <w:rFonts w:cs="宋体" w:asciiTheme="minorEastAsia" w:hAnsiTheme="minorEastAsia"/>
          <w:b/>
          <w:color w:val="auto"/>
          <w:kern w:val="0"/>
          <w:sz w:val="24"/>
          <w:highlight w:val="none"/>
        </w:rPr>
      </w:pPr>
      <w:r>
        <w:rPr>
          <w:rFonts w:hint="eastAsia" w:ascii="宋体" w:hAnsi="宋体" w:cs="宋体"/>
          <w:b/>
          <w:color w:val="auto"/>
          <w:sz w:val="32"/>
          <w:szCs w:val="32"/>
          <w:highlight w:val="none"/>
        </w:rPr>
        <w:t xml:space="preserve">第三章  </w:t>
      </w:r>
      <w:r>
        <w:rPr>
          <w:rFonts w:hint="eastAsia" w:cs="宋体" w:asciiTheme="majorEastAsia" w:hAnsiTheme="majorEastAsia" w:eastAsiaTheme="majorEastAsia"/>
          <w:b/>
          <w:color w:val="auto"/>
          <w:kern w:val="0"/>
          <w:sz w:val="32"/>
          <w:szCs w:val="32"/>
          <w:highlight w:val="none"/>
        </w:rPr>
        <w:t>投标人须知前附表</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条款名称</w:t>
            </w:r>
          </w:p>
        </w:tc>
        <w:tc>
          <w:tcPr>
            <w:tcW w:w="6813"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采购项目</w:t>
            </w:r>
          </w:p>
        </w:tc>
        <w:tc>
          <w:tcPr>
            <w:tcW w:w="6813" w:type="dxa"/>
          </w:tcPr>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项目名称：襄城县医疗健康集团区域信息化工程</w:t>
            </w:r>
          </w:p>
          <w:p>
            <w:pPr>
              <w:autoSpaceDE w:val="0"/>
              <w:autoSpaceDN w:val="0"/>
              <w:adjustRightInd w:val="0"/>
              <w:spacing w:line="360" w:lineRule="auto"/>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项目编号：XZZ-G2019</w:t>
            </w:r>
            <w:r>
              <w:rPr>
                <w:rFonts w:hint="eastAsia" w:ascii="宋体" w:hAnsi="宋体" w:cs="宋体"/>
                <w:color w:val="auto"/>
                <w:kern w:val="0"/>
                <w:sz w:val="24"/>
                <w:highlight w:val="none"/>
                <w:u w:val="none"/>
                <w:lang w:val="en-US" w:eastAsia="zh-CN"/>
              </w:rPr>
              <w:t>043</w:t>
            </w:r>
          </w:p>
          <w:p>
            <w:pPr>
              <w:autoSpaceDE w:val="0"/>
              <w:autoSpaceDN w:val="0"/>
              <w:adjustRightInd w:val="0"/>
              <w:spacing w:line="360" w:lineRule="auto"/>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rPr>
              <w:t>项目内容：购置硬件采购、软件开发、安装、调试等工作</w:t>
            </w:r>
            <w:r>
              <w:rPr>
                <w:rFonts w:hint="eastAsia" w:ascii="宋体" w:hAnsi="宋体" w:cs="宋体"/>
                <w:color w:val="auto"/>
                <w:kern w:val="0"/>
                <w:sz w:val="24"/>
                <w:highlight w:val="none"/>
                <w:shd w:val="clear" w:color="040000" w:fill="FFFFFF"/>
              </w:rPr>
              <w:t>。</w:t>
            </w:r>
          </w:p>
          <w:p>
            <w:pPr>
              <w:autoSpaceDE w:val="0"/>
              <w:autoSpaceDN w:val="0"/>
              <w:adjustRightInd w:val="0"/>
              <w:spacing w:line="360" w:lineRule="auto"/>
              <w:jc w:val="left"/>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项</w:t>
            </w:r>
            <w:r>
              <w:rPr>
                <w:rFonts w:hint="eastAsia" w:ascii="宋体" w:hAnsi="宋体" w:cs="宋体"/>
                <w:color w:val="auto"/>
                <w:kern w:val="0"/>
                <w:sz w:val="24"/>
                <w:highlight w:val="none"/>
              </w:rPr>
              <w:t>目地址：</w:t>
            </w:r>
            <w:r>
              <w:rPr>
                <w:rFonts w:hint="eastAsia" w:ascii="宋体" w:hAnsi="宋体" w:cs="宋体"/>
                <w:color w:val="auto"/>
                <w:kern w:val="0"/>
                <w:sz w:val="24"/>
                <w:highlight w:val="none"/>
                <w:shd w:val="clear" w:color="040000" w:fill="FFFFFF"/>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采购人</w:t>
            </w:r>
          </w:p>
        </w:tc>
        <w:tc>
          <w:tcPr>
            <w:tcW w:w="6813" w:type="dxa"/>
            <w:vAlign w:val="center"/>
          </w:tcPr>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采 购 人：襄城县人民医院         </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    址：襄城县中心路东段</w:t>
            </w:r>
          </w:p>
          <w:p>
            <w:pPr>
              <w:autoSpaceDE w:val="0"/>
              <w:autoSpaceDN w:val="0"/>
              <w:adjustRightInd w:val="0"/>
              <w:spacing w:line="360" w:lineRule="auto"/>
              <w:jc w:val="left"/>
              <w:rPr>
                <w:rFonts w:ascii="仿宋" w:hAnsi="仿宋" w:eastAsia="仿宋" w:cs="仿宋"/>
                <w:bCs/>
                <w:color w:val="auto"/>
                <w:kern w:val="0"/>
                <w:sz w:val="32"/>
                <w:szCs w:val="32"/>
                <w:highlight w:val="none"/>
              </w:rPr>
            </w:pPr>
            <w:r>
              <w:rPr>
                <w:rFonts w:hint="eastAsia" w:ascii="宋体" w:hAnsi="宋体" w:cs="宋体"/>
                <w:color w:val="auto"/>
                <w:kern w:val="0"/>
                <w:sz w:val="24"/>
                <w:highlight w:val="none"/>
              </w:rPr>
              <w:t>联系电话：0374-3509812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代理机构</w:t>
            </w:r>
          </w:p>
        </w:tc>
        <w:tc>
          <w:tcPr>
            <w:tcW w:w="6813" w:type="dxa"/>
            <w:vAlign w:val="center"/>
          </w:tcPr>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代理机构：河南慧霖工程管理服务有限公司</w:t>
            </w:r>
          </w:p>
          <w:p>
            <w:pPr>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联系电话：0375-6161678  </w:t>
            </w:r>
            <w:r>
              <w:rPr>
                <w:rFonts w:hint="eastAsia" w:cs="仿宋" w:asciiTheme="minorEastAsia" w:hAnsiTheme="minorEastAsia" w:eastAsiaTheme="minorEastAsia"/>
                <w:color w:val="auto"/>
                <w:kern w:val="0"/>
                <w:sz w:val="24"/>
                <w:highlight w:val="none"/>
                <w:shd w:val="clear" w:color="auto" w:fill="FFFFFF"/>
                <w:lang w:val="en-US" w:eastAsia="zh-CN"/>
              </w:rPr>
              <w:t>1993925106</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地址：平顶山新华区建设路西段云顶灯饰城内1号楼3楼1-5号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投标人资格</w:t>
            </w:r>
          </w:p>
        </w:tc>
        <w:tc>
          <w:tcPr>
            <w:tcW w:w="6813" w:type="dxa"/>
            <w:vAlign w:val="center"/>
          </w:tcPr>
          <w:p>
            <w:pPr>
              <w:autoSpaceDE w:val="0"/>
              <w:autoSpaceDN w:val="0"/>
              <w:adjustRightInd w:val="0"/>
              <w:spacing w:line="360" w:lineRule="auto"/>
              <w:ind w:right="-11"/>
              <w:rPr>
                <w:rFonts w:ascii="宋体" w:hAnsi="宋体" w:cs="宋体"/>
                <w:b/>
                <w:color w:val="auto"/>
                <w:kern w:val="0"/>
                <w:sz w:val="24"/>
                <w:highlight w:val="none"/>
              </w:rPr>
            </w:pPr>
            <w:r>
              <w:rPr>
                <w:rFonts w:hint="eastAsia" w:ascii="宋体" w:hAnsi="宋体" w:cs="宋体"/>
                <w:b/>
                <w:color w:val="auto"/>
                <w:kern w:val="0"/>
                <w:sz w:val="24"/>
                <w:highlight w:val="none"/>
              </w:rPr>
              <w:t>一、</w:t>
            </w:r>
            <w:r>
              <w:rPr>
                <w:rFonts w:ascii="宋体" w:hAnsi="宋体" w:cs="宋体"/>
                <w:b/>
                <w:color w:val="auto"/>
                <w:kern w:val="0"/>
                <w:sz w:val="24"/>
                <w:highlight w:val="none"/>
              </w:rPr>
              <w:t>法人或者其他组织的营业执照等证明文件，自然人的身份证明</w:t>
            </w:r>
            <w:r>
              <w:rPr>
                <w:rFonts w:hint="eastAsia" w:ascii="宋体" w:hAnsi="宋体" w:cs="宋体"/>
                <w:b/>
                <w:color w:val="auto"/>
                <w:kern w:val="0"/>
                <w:sz w:val="24"/>
                <w:highlight w:val="none"/>
              </w:rPr>
              <w:t>:</w:t>
            </w:r>
          </w:p>
          <w:p>
            <w:pPr>
              <w:autoSpaceDE w:val="0"/>
              <w:autoSpaceDN w:val="0"/>
              <w:adjustRightInd w:val="0"/>
              <w:spacing w:line="360" w:lineRule="auto"/>
              <w:ind w:right="-11"/>
              <w:rPr>
                <w:rFonts w:cs="宋体" w:asciiTheme="minorEastAsia" w:hAnsiTheme="minorEastAsia"/>
                <w:bCs/>
                <w:color w:val="auto"/>
                <w:sz w:val="24"/>
                <w:highlight w:val="none"/>
                <w:lang w:val="zh-CN"/>
              </w:rPr>
            </w:pPr>
            <w:r>
              <w:rPr>
                <w:rFonts w:hint="eastAsia" w:cs="宋体" w:asciiTheme="minorEastAsia" w:hAnsiTheme="minorEastAsia"/>
                <w:bCs/>
                <w:color w:val="auto"/>
                <w:szCs w:val="21"/>
                <w:highlight w:val="none"/>
                <w:lang w:val="zh-CN"/>
              </w:rPr>
              <w:t>1</w:t>
            </w:r>
            <w:r>
              <w:rPr>
                <w:rFonts w:hint="eastAsia" w:cs="宋体" w:asciiTheme="minorEastAsia" w:hAnsiTheme="minorEastAsia"/>
                <w:bCs/>
                <w:color w:val="auto"/>
                <w:sz w:val="24"/>
                <w:highlight w:val="none"/>
                <w:lang w:val="zh-CN"/>
              </w:rPr>
              <w:t>、企业法人营业执照或营业执照。（企业投标提供）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6、民办非企业单位登记证书。（民办非企业单位投标提供）</w:t>
            </w:r>
          </w:p>
          <w:p>
            <w:pPr>
              <w:autoSpaceDE w:val="0"/>
              <w:autoSpaceDN w:val="0"/>
              <w:adjustRightInd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二、财务状况报告相关材料:</w:t>
            </w:r>
          </w:p>
          <w:p>
            <w:pPr>
              <w:spacing w:line="360" w:lineRule="auto"/>
              <w:rPr>
                <w:rFonts w:ascii="宋体" w:hAnsi="宋体"/>
                <w:bCs/>
                <w:color w:val="auto"/>
                <w:sz w:val="24"/>
                <w:highlight w:val="none"/>
              </w:rPr>
            </w:pPr>
            <w:r>
              <w:rPr>
                <w:rFonts w:hint="eastAsia" w:ascii="宋体" w:hAnsi="宋体"/>
                <w:bCs/>
                <w:color w:val="auto"/>
                <w:sz w:val="24"/>
                <w:highlight w:val="none"/>
              </w:rPr>
              <w:t>（1）投标人是法人（法人包括企业法人、机关法人、事业单位法人和社会团体法人），提供本单位：</w:t>
            </w:r>
          </w:p>
          <w:p>
            <w:pPr>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提供近三年内任意一年经会计师事务所审计的企业财务报告复印件或基本开户银行出具的资信证明原件。</w:t>
            </w:r>
          </w:p>
          <w:p>
            <w:pPr>
              <w:spacing w:line="360" w:lineRule="auto"/>
              <w:rPr>
                <w:rFonts w:ascii="宋体" w:hAnsi="宋体"/>
                <w:bCs/>
                <w:color w:val="auto"/>
                <w:sz w:val="24"/>
                <w:highlight w:val="none"/>
              </w:rPr>
            </w:pPr>
            <w:r>
              <w:rPr>
                <w:rFonts w:hint="eastAsia" w:ascii="宋体" w:hAnsi="宋体"/>
                <w:bCs/>
                <w:color w:val="auto"/>
                <w:sz w:val="24"/>
                <w:highlight w:val="none"/>
              </w:rPr>
              <w:t>（2）投标人（其他组织和自然人）提供本单位：</w:t>
            </w:r>
          </w:p>
          <w:p>
            <w:pPr>
              <w:spacing w:line="360" w:lineRule="auto"/>
              <w:ind w:firstLine="240" w:firstLineChars="1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提供近三年内任意一年经会计师事务所审计的企业财务报告复印件或基本开户银行出具的资信证明原件。</w:t>
            </w:r>
          </w:p>
          <w:p>
            <w:pPr>
              <w:autoSpaceDE w:val="0"/>
              <w:autoSpaceDN w:val="0"/>
              <w:spacing w:line="360" w:lineRule="auto"/>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三、依法缴纳税收相关材料:</w:t>
            </w:r>
          </w:p>
          <w:p>
            <w:pPr>
              <w:autoSpaceDE w:val="0"/>
              <w:autoSpaceDN w:val="0"/>
              <w:spacing w:line="360" w:lineRule="auto"/>
              <w:contextualSpacing/>
              <w:rPr>
                <w:rFonts w:hint="eastAsia" w:ascii="宋体" w:hAnsi="宋体" w:cs="宋体"/>
                <w:color w:val="auto"/>
                <w:kern w:val="0"/>
                <w:sz w:val="24"/>
                <w:highlight w:val="none"/>
              </w:rPr>
            </w:pPr>
            <w:r>
              <w:rPr>
                <w:rFonts w:ascii="宋体" w:hAnsi="宋体" w:eastAsia="宋体"/>
                <w:color w:val="auto"/>
                <w:sz w:val="24"/>
                <w:szCs w:val="24"/>
                <w:highlight w:val="none"/>
              </w:rPr>
              <w:t>提供投标人</w:t>
            </w:r>
            <w:r>
              <w:rPr>
                <w:rFonts w:hint="eastAsia" w:ascii="宋体" w:hAnsi="宋体" w:eastAsia="宋体"/>
                <w:color w:val="auto"/>
                <w:sz w:val="24"/>
                <w:szCs w:val="24"/>
                <w:highlight w:val="none"/>
              </w:rPr>
              <w:t>近一年内</w:t>
            </w:r>
            <w:r>
              <w:rPr>
                <w:rFonts w:ascii="宋体" w:hAnsi="宋体" w:eastAsia="宋体"/>
                <w:color w:val="auto"/>
                <w:sz w:val="24"/>
                <w:szCs w:val="24"/>
                <w:highlight w:val="none"/>
              </w:rPr>
              <w:t>任意月份缴税</w:t>
            </w:r>
            <w:r>
              <w:rPr>
                <w:rFonts w:hint="eastAsia" w:ascii="宋体" w:hAnsi="宋体" w:eastAsia="宋体"/>
                <w:color w:val="auto"/>
                <w:sz w:val="24"/>
                <w:szCs w:val="24"/>
                <w:highlight w:val="none"/>
              </w:rPr>
              <w:t>证明材料，如完税证明复印件、银行缴税划款凭证复印件</w:t>
            </w:r>
            <w:r>
              <w:rPr>
                <w:rFonts w:ascii="宋体" w:hAnsi="宋体" w:eastAsia="宋体"/>
                <w:color w:val="auto"/>
                <w:sz w:val="24"/>
                <w:szCs w:val="24"/>
                <w:highlight w:val="none"/>
              </w:rPr>
              <w:t>或</w:t>
            </w:r>
            <w:r>
              <w:rPr>
                <w:rFonts w:hint="eastAsia" w:ascii="宋体" w:hAnsi="宋体" w:eastAsia="宋体"/>
                <w:color w:val="auto"/>
                <w:sz w:val="24"/>
                <w:szCs w:val="24"/>
                <w:highlight w:val="none"/>
              </w:rPr>
              <w:t>者由税务部门出具的依法缴纳税收的证明原件等</w:t>
            </w:r>
            <w:r>
              <w:rPr>
                <w:rFonts w:hint="eastAsia" w:ascii="宋体" w:hAnsi="宋体" w:cs="宋体"/>
                <w:color w:val="auto"/>
                <w:kern w:val="0"/>
                <w:sz w:val="24"/>
                <w:highlight w:val="none"/>
              </w:rPr>
              <w:t>。（依法免税的投标人，应提供相应文件证明依法免税）</w:t>
            </w:r>
          </w:p>
          <w:p>
            <w:pPr>
              <w:autoSpaceDE w:val="0"/>
              <w:autoSpaceDN w:val="0"/>
              <w:spacing w:line="360" w:lineRule="auto"/>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四、依法缴纳社会保障资金的证明材料:</w:t>
            </w:r>
          </w:p>
          <w:p>
            <w:pPr>
              <w:autoSpaceDE w:val="0"/>
              <w:autoSpaceDN w:val="0"/>
              <w:spacing w:line="360" w:lineRule="auto"/>
              <w:contextualSpacing/>
              <w:rPr>
                <w:rFonts w:hint="eastAsia" w:ascii="宋体" w:hAnsi="宋体" w:cs="宋体"/>
                <w:color w:val="auto"/>
                <w:kern w:val="0"/>
                <w:sz w:val="24"/>
                <w:highlight w:val="none"/>
              </w:rPr>
            </w:pPr>
            <w:r>
              <w:rPr>
                <w:rFonts w:ascii="宋体" w:hAnsi="宋体" w:eastAsia="宋体"/>
                <w:color w:val="auto"/>
                <w:sz w:val="24"/>
                <w:szCs w:val="24"/>
                <w:highlight w:val="none"/>
              </w:rPr>
              <w:t>提供投标人</w:t>
            </w:r>
            <w:r>
              <w:rPr>
                <w:rFonts w:hint="eastAsia" w:ascii="宋体" w:hAnsi="宋体" w:eastAsia="宋体"/>
                <w:color w:val="auto"/>
                <w:sz w:val="24"/>
                <w:szCs w:val="24"/>
                <w:highlight w:val="none"/>
              </w:rPr>
              <w:t>近一年内</w:t>
            </w:r>
            <w:r>
              <w:rPr>
                <w:rFonts w:ascii="宋体" w:hAnsi="宋体" w:eastAsia="宋体"/>
                <w:color w:val="auto"/>
                <w:sz w:val="24"/>
                <w:szCs w:val="24"/>
                <w:highlight w:val="none"/>
              </w:rPr>
              <w:t>任意月份缴纳社会</w:t>
            </w:r>
            <w:r>
              <w:rPr>
                <w:rFonts w:hint="eastAsia" w:ascii="宋体" w:hAnsi="宋体" w:eastAsia="宋体"/>
                <w:color w:val="auto"/>
                <w:sz w:val="24"/>
                <w:szCs w:val="24"/>
                <w:highlight w:val="none"/>
              </w:rPr>
              <w:t>保险的证明材料，如凭据复印件（专用收据或社会保险交纳清单）、银行划款凭证复印件或社保经办机构出具的证明原件等</w:t>
            </w:r>
            <w:r>
              <w:rPr>
                <w:rFonts w:hint="eastAsia" w:ascii="宋体" w:hAnsi="宋体" w:cs="宋体"/>
                <w:color w:val="auto"/>
                <w:kern w:val="0"/>
                <w:sz w:val="24"/>
                <w:highlight w:val="none"/>
              </w:rPr>
              <w:t>。（依法不需要缴纳社会保障资金的投标人，应提供相应文件证明依法不需要缴纳社会保障资金）</w:t>
            </w:r>
          </w:p>
          <w:p>
            <w:pPr>
              <w:autoSpaceDE w:val="0"/>
              <w:autoSpaceDN w:val="0"/>
              <w:spacing w:line="360" w:lineRule="auto"/>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五、履行合同所必须的设备和专业技术能力的证明材料:</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相关设备的购置发票、专业技术人员职称证书、用工合同等或者具备履行合同所必须的设备和专业技术能力承诺函或声明（承诺函或声明格式自拟）。</w:t>
            </w:r>
          </w:p>
          <w:p>
            <w:pPr>
              <w:autoSpaceDE w:val="0"/>
              <w:autoSpaceDN w:val="0"/>
              <w:spacing w:line="360" w:lineRule="auto"/>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六、参加政府采购活动前3年内在经营活动中没有重大违法记录的声明:</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b/>
                <w:bCs/>
                <w:color w:val="auto"/>
                <w:kern w:val="0"/>
                <w:sz w:val="24"/>
                <w:highlight w:val="none"/>
              </w:rPr>
              <w:t>七、未被列入“信用中国”网站(www.creditchina.gov.cn)失信被执行人、重大税收违法案件当事人名单、政府采购严重违法失信名单的投标人；“中国政府采购网” (www.ccgp.gov.cn)政府采购严重违法失信行为记录名单的投标人； “中国社会组织公共服务平台”网站（www.chinanpo.gov.cn）严重违法失信社会组织名单的投标人；</w:t>
            </w:r>
            <w:r>
              <w:rPr>
                <w:rFonts w:hint="eastAsia" w:ascii="宋体" w:hAnsi="宋体" w:cs="宋体"/>
                <w:color w:val="auto"/>
                <w:kern w:val="0"/>
                <w:sz w:val="24"/>
                <w:highlight w:val="none"/>
              </w:rPr>
              <w:t>上述查询结果页面截图查询时间应在本公告发布之日起至开标前；（联合体形式投标的，联合体成员存在不良信用记录，视同联合体存在不良信用记录）</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1、查询渠道：</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①“信用中国”网站（www.creditchina.gov.cn）</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②“中国政府采购网”（www.ccgp.gov.cn）</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③“中国社会组织公共服务平台”网站（www.chinanpo.gov.cn）（仅查询社会组织）；</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2、截止时间：同投标截止时间；</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3、信用信息查询记录和证据留存具体方式：查询时要将查询网页内容进行截图，截图内容要完整清晰；经采购人确认的查询结果网页截图作为查询记录和证据，与其他采购文件一并保存；</w:t>
            </w:r>
          </w:p>
          <w:p>
            <w:pPr>
              <w:autoSpaceDE w:val="0"/>
              <w:autoSpaceDN w:val="0"/>
              <w:spacing w:line="360" w:lineRule="auto"/>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4、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pPr>
              <w:autoSpaceDE w:val="0"/>
              <w:autoSpaceDN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联合体投标</w:t>
            </w:r>
          </w:p>
        </w:tc>
        <w:tc>
          <w:tcPr>
            <w:tcW w:w="6813" w:type="dxa"/>
            <w:vAlign w:val="center"/>
          </w:tcPr>
          <w:p>
            <w:pPr>
              <w:autoSpaceDE w:val="0"/>
              <w:autoSpaceDN w:val="0"/>
              <w:adjustRightInd w:val="0"/>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本项目</w:t>
            </w: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268" w:type="dxa"/>
            <w:vAlign w:val="center"/>
          </w:tcPr>
          <w:p>
            <w:pPr>
              <w:autoSpaceDE w:val="0"/>
              <w:autoSpaceDN w:val="0"/>
              <w:adjustRightInd w:val="0"/>
              <w:spacing w:line="276"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最高限价</w:t>
            </w:r>
          </w:p>
        </w:tc>
        <w:tc>
          <w:tcPr>
            <w:tcW w:w="6813" w:type="dxa"/>
            <w:vAlign w:val="center"/>
          </w:tcPr>
          <w:p>
            <w:pPr>
              <w:autoSpaceDE w:val="0"/>
              <w:autoSpaceDN w:val="0"/>
              <w:adjustRightInd w:val="0"/>
              <w:spacing w:line="276" w:lineRule="auto"/>
              <w:rPr>
                <w:rFonts w:ascii="宋体" w:hAnsi="宋体" w:cs="宋体"/>
                <w:color w:val="auto"/>
                <w:kern w:val="0"/>
                <w:sz w:val="24"/>
                <w:highlight w:val="none"/>
              </w:rPr>
            </w:pPr>
            <w:r>
              <w:rPr>
                <w:rFonts w:hint="eastAsia" w:ascii="宋体" w:hAnsi="宋体" w:cs="宋体"/>
                <w:b/>
                <w:color w:val="auto"/>
                <w:kern w:val="0"/>
                <w:sz w:val="24"/>
                <w:highlight w:val="none"/>
                <w:u w:val="single"/>
                <w:lang w:val="en-US" w:eastAsia="zh-CN"/>
              </w:rPr>
              <w:t>1800万</w:t>
            </w:r>
            <w:r>
              <w:rPr>
                <w:rFonts w:hint="eastAsia" w:ascii="宋体" w:hAnsi="宋体" w:cs="宋体"/>
                <w:b/>
                <w:color w:val="auto"/>
                <w:kern w:val="0"/>
                <w:sz w:val="24"/>
                <w:highlight w:val="none"/>
              </w:rPr>
              <w:t>元</w:t>
            </w:r>
            <w:r>
              <w:rPr>
                <w:rFonts w:hint="eastAsia" w:ascii="宋体" w:hAnsi="宋体" w:cs="宋体"/>
                <w:color w:val="auto"/>
                <w:kern w:val="0"/>
                <w:sz w:val="24"/>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ascii="宋体" w:hAnsi="宋体" w:cs="宋体"/>
                <w:color w:val="auto"/>
                <w:kern w:val="0"/>
                <w:sz w:val="24"/>
                <w:highlight w:val="none"/>
              </w:rPr>
              <w:t>现场考察</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不组织</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ascii="宋体" w:hAnsi="宋体" w:cs="宋体"/>
                <w:color w:val="auto"/>
                <w:kern w:val="0"/>
                <w:sz w:val="24"/>
                <w:highlight w:val="none"/>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不召开</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进口产品参与</w:t>
            </w:r>
          </w:p>
        </w:tc>
        <w:tc>
          <w:tcPr>
            <w:tcW w:w="6813" w:type="dxa"/>
            <w:vAlign w:val="center"/>
          </w:tcPr>
          <w:p>
            <w:pPr>
              <w:autoSpaceDE w:val="0"/>
              <w:autoSpaceDN w:val="0"/>
              <w:adjustRightInd w:val="0"/>
              <w:spacing w:line="276"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投标有效期</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90天（自提交投标文件的截止之日起算）</w:t>
            </w:r>
          </w:p>
          <w:p>
            <w:pPr>
              <w:autoSpaceDE w:val="0"/>
              <w:autoSpaceDN w:val="0"/>
              <w:adjustRightInd w:val="0"/>
              <w:spacing w:line="360" w:lineRule="auto"/>
              <w:rPr>
                <w:rFonts w:ascii="宋体" w:hAnsi="宋体" w:cs="宋体"/>
                <w:color w:val="auto"/>
                <w:kern w:val="0"/>
                <w:sz w:val="24"/>
                <w:highlight w:val="none"/>
              </w:rPr>
            </w:pPr>
            <w:r>
              <w:rPr>
                <w:rFonts w:ascii="宋体" w:hAnsi="宋体" w:cs="宋体"/>
                <w:color w:val="auto"/>
                <w:kern w:val="0"/>
                <w:sz w:val="24"/>
                <w:highlight w:val="none"/>
              </w:rPr>
              <w:t>中标</w:t>
            </w:r>
            <w:r>
              <w:rPr>
                <w:rFonts w:hint="eastAsia" w:ascii="宋体" w:hAnsi="宋体" w:cs="宋体"/>
                <w:color w:val="auto"/>
                <w:kern w:val="0"/>
                <w:sz w:val="24"/>
                <w:highlight w:val="none"/>
              </w:rPr>
              <w:t>人投标</w:t>
            </w:r>
            <w:r>
              <w:rPr>
                <w:rFonts w:ascii="宋体" w:hAnsi="宋体" w:cs="宋体"/>
                <w:color w:val="auto"/>
                <w:kern w:val="0"/>
                <w:sz w:val="24"/>
                <w:highlight w:val="none"/>
              </w:rPr>
              <w:t>有效期延</w:t>
            </w:r>
            <w:r>
              <w:rPr>
                <w:rFonts w:hint="eastAsia" w:ascii="宋体" w:hAnsi="宋体" w:cs="宋体"/>
                <w:color w:val="auto"/>
                <w:kern w:val="0"/>
                <w:sz w:val="24"/>
                <w:highlight w:val="none"/>
              </w:rPr>
              <w:t>至合同</w:t>
            </w:r>
            <w:r>
              <w:rPr>
                <w:rFonts w:ascii="宋体" w:hAnsi="宋体" w:cs="宋体"/>
                <w:color w:val="auto"/>
                <w:kern w:val="0"/>
                <w:sz w:val="24"/>
                <w:highlight w:val="none"/>
              </w:rPr>
              <w:t>验收之日</w:t>
            </w:r>
            <w:r>
              <w:rPr>
                <w:rFonts w:hint="eastAsia" w:ascii="宋体" w:hAnsi="宋体" w:cs="宋体"/>
                <w:color w:val="auto"/>
                <w:kern w:val="0"/>
                <w:sz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268" w:type="dxa"/>
            <w:vAlign w:val="center"/>
          </w:tcPr>
          <w:p>
            <w:pPr>
              <w:autoSpaceDE w:val="0"/>
              <w:autoSpaceDN w:val="0"/>
              <w:adjustRightInd w:val="0"/>
              <w:spacing w:line="360" w:lineRule="auto"/>
              <w:rPr>
                <w:rFonts w:ascii="宋体" w:hAnsi="宋体" w:cs="宋体"/>
                <w:color w:val="auto"/>
                <w:kern w:val="0"/>
                <w:sz w:val="24"/>
                <w:highlight w:val="none"/>
              </w:rPr>
            </w:pPr>
            <w:r>
              <w:rPr>
                <w:rFonts w:ascii="宋体" w:hAnsi="宋体" w:cs="宋体"/>
                <w:color w:val="auto"/>
                <w:kern w:val="0"/>
                <w:sz w:val="24"/>
                <w:highlight w:val="none"/>
              </w:rPr>
              <w:t>中标人将本项目非主体、非关键性工作分包</w:t>
            </w:r>
          </w:p>
        </w:tc>
        <w:tc>
          <w:tcPr>
            <w:tcW w:w="6813" w:type="dxa"/>
            <w:vAlign w:val="center"/>
          </w:tcPr>
          <w:p>
            <w:pPr>
              <w:autoSpaceDE w:val="0"/>
              <w:autoSpaceDN w:val="0"/>
              <w:adjustRightInd w:val="0"/>
              <w:spacing w:line="276"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投标截止及开标时间</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2019年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递交投标文件</w:t>
            </w:r>
          </w:p>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及开标地点</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襄城县公共资源交易中心（八七路东段电子商务产业园）12楼开标一室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本项目不收取。</w:t>
            </w:r>
          </w:p>
          <w:p>
            <w:pPr>
              <w:tabs>
                <w:tab w:val="left" w:pos="1260"/>
              </w:tabs>
              <w:autoSpaceDE w:val="0"/>
              <w:autoSpaceDN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2268"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采购人澄清或修改</w:t>
            </w:r>
          </w:p>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招标文件时间</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投标人对采购文件</w:t>
            </w:r>
          </w:p>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质疑截止时间</w:t>
            </w:r>
          </w:p>
        </w:tc>
        <w:tc>
          <w:tcPr>
            <w:tcW w:w="6813" w:type="dxa"/>
            <w:vAlign w:val="center"/>
          </w:tcPr>
          <w:p>
            <w:pPr>
              <w:autoSpaceDE w:val="0"/>
              <w:autoSpaceDN w:val="0"/>
              <w:adjustRightInd w:val="0"/>
              <w:spacing w:line="360" w:lineRule="auto"/>
              <w:rPr>
                <w:rFonts w:ascii="宋体" w:hAnsi="宋体" w:cs="宋体"/>
                <w:bCs/>
                <w:color w:val="auto"/>
                <w:sz w:val="24"/>
                <w:highlight w:val="none"/>
                <w:lang w:val="zh-CN"/>
              </w:rPr>
            </w:pPr>
            <w:r>
              <w:rPr>
                <w:rFonts w:hint="eastAsia" w:ascii="宋体" w:hAnsi="宋体" w:cs="宋体"/>
                <w:bCs/>
                <w:color w:val="auto"/>
                <w:sz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投标文件份数</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纸质投标文件：正本一份，副本一份。使用格式为“投标文件（供打印）.PDF”的文件</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投标文件的</w:t>
            </w:r>
          </w:p>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签署盖章</w:t>
            </w:r>
          </w:p>
        </w:tc>
        <w:tc>
          <w:tcPr>
            <w:tcW w:w="6813" w:type="dxa"/>
            <w:vAlign w:val="center"/>
          </w:tcPr>
          <w:p>
            <w:pPr>
              <w:autoSpaceDE w:val="0"/>
              <w:autoSpaceDN w:val="0"/>
              <w:adjustRightInd w:val="0"/>
              <w:spacing w:line="420" w:lineRule="exact"/>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电子投标文件：按招标文件要求加盖投标人电子印章和法人电子印章。</w:t>
            </w:r>
          </w:p>
          <w:p>
            <w:pPr>
              <w:autoSpaceDE w:val="0"/>
              <w:autoSpaceDN w:val="0"/>
              <w:adjustRightInd w:val="0"/>
              <w:spacing w:line="420" w:lineRule="exact"/>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评标委员会组建</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评标方法</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综合评分法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授权函</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采购单位委派代表参加资格审查、评审委员会的，须向采购代理机构出具授权函。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2268" w:type="dxa"/>
            <w:vAlign w:val="center"/>
          </w:tcPr>
          <w:p>
            <w:pPr>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是否授权评标委员会确定中标人</w:t>
            </w:r>
          </w:p>
        </w:tc>
        <w:tc>
          <w:tcPr>
            <w:tcW w:w="6813" w:type="dxa"/>
          </w:tcPr>
          <w:p>
            <w:pPr>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□是</w:t>
            </w:r>
          </w:p>
          <w:p>
            <w:pPr>
              <w:spacing w:line="276"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否，推荐的中标候选人数：推荐3名中标候选人。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无要求</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代理服务费</w:t>
            </w:r>
          </w:p>
        </w:tc>
        <w:tc>
          <w:tcPr>
            <w:tcW w:w="6813" w:type="dxa"/>
            <w:vAlign w:val="center"/>
          </w:tcPr>
          <w:p>
            <w:pPr>
              <w:autoSpaceDE w:val="0"/>
              <w:autoSpaceDN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投标人准备和参加投标活动发生的费用自理，代理服务费计取办法参考原国家发改委【2011】534号文和发改价格[2015]299号文件规定，由中标人支付。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2268" w:type="dxa"/>
            <w:vAlign w:val="center"/>
          </w:tcPr>
          <w:p>
            <w:pPr>
              <w:autoSpaceDE w:val="0"/>
              <w:autoSpaceDN w:val="0"/>
              <w:adjustRightInd w:val="0"/>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中标人需提交</w:t>
            </w:r>
          </w:p>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bCs/>
                <w:color w:val="auto"/>
                <w:sz w:val="24"/>
                <w:highlight w:val="none"/>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中标人须在评标结束之时24小时内向河南慧霖工程管理服务有限公司发送最终分项报价一览表（包含主要中标标的的名称、规格型号、数量、单价、服务要求等）电子文档，并同时电话通知工作人员。</w:t>
            </w:r>
          </w:p>
          <w:p>
            <w:pPr>
              <w:autoSpaceDE w:val="0"/>
              <w:autoSpaceDN w:val="0"/>
              <w:adjustRightInd w:val="0"/>
              <w:spacing w:line="360" w:lineRule="auto"/>
              <w:rPr>
                <w:rFonts w:ascii="宋体" w:hAnsi="宋体" w:cs="宋体"/>
                <w:bCs/>
                <w:color w:val="auto"/>
                <w:sz w:val="24"/>
                <w:highlight w:val="none"/>
                <w:lang w:val="zh-CN"/>
              </w:rPr>
            </w:pPr>
            <w:r>
              <w:rPr>
                <w:rFonts w:ascii="宋体" w:hAnsi="宋体" w:cs="宋体"/>
                <w:bCs/>
                <w:color w:val="auto"/>
                <w:sz w:val="24"/>
                <w:highlight w:val="none"/>
                <w:lang w:val="zh-CN"/>
              </w:rPr>
              <w:t>联系电话</w:t>
            </w:r>
            <w:r>
              <w:rPr>
                <w:rFonts w:hint="eastAsia" w:ascii="宋体" w:hAnsi="宋体" w:cs="宋体"/>
                <w:bCs/>
                <w:color w:val="auto"/>
                <w:sz w:val="24"/>
                <w:highlight w:val="none"/>
                <w:lang w:val="zh-CN"/>
              </w:rPr>
              <w:t>:037</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6161678</w:t>
            </w:r>
            <w:r>
              <w:rPr>
                <w:rFonts w:hint="eastAsia" w:ascii="宋体" w:hAnsi="宋体" w:cs="宋体"/>
                <w:bCs/>
                <w:color w:val="auto"/>
                <w:sz w:val="24"/>
                <w:highlight w:val="none"/>
                <w:lang w:val="zh-CN"/>
              </w:rPr>
              <w:t>；邮箱：hnhl160@126.com。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2268"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电子化采购模式</w:t>
            </w:r>
          </w:p>
        </w:tc>
        <w:tc>
          <w:tcPr>
            <w:tcW w:w="6813" w:type="dxa"/>
            <w:vAlign w:val="center"/>
          </w:tcPr>
          <w:p>
            <w:pPr>
              <w:autoSpaceDE w:val="0"/>
              <w:autoSpaceDN w:val="0"/>
              <w:adjustRightInd w:val="0"/>
              <w:spacing w:line="360" w:lineRule="auto"/>
              <w:contextualSpacing/>
              <w:rPr>
                <w:rFonts w:ascii="宋体" w:hAnsi="宋体" w:cs="宋体"/>
                <w:color w:val="auto"/>
                <w:kern w:val="0"/>
                <w:sz w:val="24"/>
                <w:highlight w:val="none"/>
              </w:rPr>
            </w:pPr>
            <w:r>
              <w:rPr>
                <w:rFonts w:ascii="宋体" w:hAnsi="宋体" w:cs="宋体"/>
                <w:color w:val="auto"/>
                <w:kern w:val="0"/>
                <w:sz w:val="24"/>
                <w:highlight w:val="none"/>
              </w:rPr>
              <w:fldChar w:fldCharType="begin"/>
            </w:r>
            <w:r>
              <w:rPr>
                <w:rFonts w:ascii="宋体" w:hAnsi="宋体" w:cs="宋体"/>
                <w:color w:val="auto"/>
                <w:kern w:val="0"/>
                <w:sz w:val="24"/>
                <w:highlight w:val="none"/>
              </w:rPr>
              <w:instrText xml:space="preserve"> </w:instrText>
            </w:r>
            <w:r>
              <w:rPr>
                <w:rFonts w:hint="eastAsia" w:ascii="宋体" w:hAnsi="宋体" w:cs="宋体"/>
                <w:color w:val="auto"/>
                <w:kern w:val="0"/>
                <w:sz w:val="24"/>
                <w:highlight w:val="none"/>
              </w:rPr>
              <w:instrText xml:space="preserve">eq \o\ac(□,√)</w:instrTex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是。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color w:val="auto"/>
                <w:sz w:val="24"/>
                <w:highlight w:val="none"/>
              </w:rPr>
            </w:pPr>
            <w:r>
              <w:rPr>
                <w:rFonts w:hint="eastAsia" w:ascii="ˎ̥" w:hAnsi="ˎ̥"/>
                <w:color w:val="auto"/>
                <w:sz w:val="24"/>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不同投标人电子投标文件记录的网卡MAC地址、CPU序号、硬盘序列号等硬件特征码均相同时，视为‘</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投标人的投标</w:t>
            </w:r>
            <w:r>
              <w:rPr>
                <w:rFonts w:asciiTheme="minorEastAsia" w:hAnsiTheme="minorEastAsia" w:eastAsiaTheme="minorEastAsia"/>
                <w:color w:val="auto"/>
                <w:sz w:val="24"/>
                <w:highlight w:val="none"/>
              </w:rPr>
              <w:t>文件由同一单位或者个人编制</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委托同一单位或者个人办理</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事宜</w:t>
            </w:r>
            <w:r>
              <w:rPr>
                <w:rFonts w:hint="eastAsia" w:asciiTheme="minorEastAsia" w:hAnsiTheme="minorEastAsia" w:eastAsiaTheme="minorEastAsia"/>
                <w:color w:val="auto"/>
                <w:sz w:val="24"/>
                <w:highlight w:val="none"/>
              </w:rPr>
              <w:t>’，其投标无效。</w:t>
            </w:r>
          </w:p>
          <w:p>
            <w:pPr>
              <w:pStyle w:val="2"/>
              <w:spacing w:line="360" w:lineRule="auto"/>
              <w:ind w:firstLine="0" w:firstLineChars="0"/>
              <w:rPr>
                <w:color w:val="auto"/>
                <w:highlight w:val="none"/>
              </w:rPr>
            </w:pPr>
            <w:r>
              <w:rPr>
                <w:rFonts w:hint="eastAsia" w:ascii="ˎ̥" w:hAnsi="ˎ̥" w:eastAsia="宋体"/>
                <w:color w:val="auto"/>
                <w:sz w:val="24"/>
                <w:highlight w:val="none"/>
              </w:rPr>
              <w:t>评审专家应严格按照要求查看“硬件特征码”相关信息并进行评审，在评审报告中显示“不同供应商电子响应文件制作硬件特征码”是否雷同的分析及判定结果。</w:t>
            </w:r>
          </w:p>
        </w:tc>
      </w:tr>
    </w:tbl>
    <w:p>
      <w:pPr>
        <w:bidi w:val="0"/>
        <w:rPr>
          <w:rFonts w:hint="eastAsia"/>
          <w:color w:val="auto"/>
          <w:highlight w:val="none"/>
        </w:rPr>
      </w:pPr>
    </w:p>
    <w:p>
      <w:pPr>
        <w:pStyle w:val="2"/>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第四章 投标人须知</w:t>
      </w:r>
    </w:p>
    <w:p>
      <w:pPr>
        <w:pStyle w:val="2"/>
        <w:ind w:firstLine="280"/>
        <w:rPr>
          <w:color w:val="auto"/>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一、概念释义</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1</w:t>
      </w:r>
      <w:r>
        <w:rPr>
          <w:rFonts w:ascii="宋体" w:hAnsi="宋体" w:cs="宋体"/>
          <w:b/>
          <w:color w:val="auto"/>
          <w:kern w:val="0"/>
          <w:sz w:val="24"/>
          <w:highlight w:val="none"/>
        </w:rPr>
        <w:t>.</w:t>
      </w:r>
      <w:r>
        <w:rPr>
          <w:rFonts w:hint="eastAsia" w:ascii="宋体" w:hAnsi="宋体" w:cs="宋体"/>
          <w:b/>
          <w:color w:val="auto"/>
          <w:kern w:val="0"/>
          <w:sz w:val="24"/>
          <w:highlight w:val="none"/>
        </w:rPr>
        <w:t>适用范围</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1.1  本招标文件仅适用于本次“投标邀请”中所述采购项目。</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1.2  本招标文件解释权属于“投标邀请”所述的采购人。</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ascii="宋体" w:hAnsi="宋体" w:cs="宋体"/>
          <w:b/>
          <w:color w:val="auto"/>
          <w:kern w:val="0"/>
          <w:sz w:val="24"/>
          <w:highlight w:val="none"/>
        </w:rPr>
        <w:t>2.</w:t>
      </w:r>
      <w:r>
        <w:rPr>
          <w:rFonts w:hint="eastAsia" w:ascii="宋体" w:hAnsi="宋体" w:cs="宋体"/>
          <w:b/>
          <w:color w:val="auto"/>
          <w:kern w:val="0"/>
          <w:sz w:val="24"/>
          <w:highlight w:val="none"/>
        </w:rPr>
        <w:t>定义</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2.1  “采购项目”：“投标人须知前附表”中所述的采购项目。</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2.2  “招标人”：“投标人须知前附表”中所述的组织本次招标的代理机构和采购人。</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2.3  “采购人”：是指依法进行政府采购的国家机关、事业单位、团体组织。采购人名称、地址、电话、联系人见“投标人须知前附表”。</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2.4  “代理机构”：接受采购人委托，代理采购项目的采购代理机构。代理机构名称、地址、电话、联系人见“投标人须知前附表”。</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2.7.1 招标文件列明不允许或未列明允许进口产品参加投标的，均视为拒绝进口产品参加投标。</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2.7.2 如招标文件中已说明，经财政部门审核同意，允许部分或全部产品采购进口产品，投标人既可提供本国产品，也可以提供进口产品。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2.8 招标文件中凡标有“★”的条款均系实质性要求条款。</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3.合格的投标人</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3.2  符合本项目“投标邀请”和“投标人须知前附表”中规定的合格投标人所必须具备的条件。</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（1）查询渠道：“信用中国”网站（www.creditchina.gov.cn）、“中国政府采购网”（www.ccgp.gov.cn）、“中国社会组织公共服务平台”网站（</w:t>
      </w:r>
      <w:r>
        <w:rPr>
          <w:rFonts w:ascii="宋体" w:hAnsi="宋体" w:cs="宋体"/>
          <w:color w:val="auto"/>
          <w:kern w:val="0"/>
          <w:sz w:val="24"/>
          <w:highlight w:val="none"/>
        </w:rPr>
        <w:t>www.chinanpo.gov.cn</w:t>
      </w:r>
      <w:r>
        <w:rPr>
          <w:rFonts w:hint="eastAsia" w:ascii="宋体" w:hAnsi="宋体" w:cs="宋体"/>
          <w:color w:val="auto"/>
          <w:kern w:val="0"/>
          <w:sz w:val="24"/>
          <w:highlight w:val="none"/>
        </w:rPr>
        <w:t>）；</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（2）截止时间：同投标截止时间；</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（3）信用信息查询记录和证据留存具体方式：</w:t>
      </w:r>
      <w:r>
        <w:rPr>
          <w:rFonts w:hint="eastAsia" w:cs="宋体" w:asciiTheme="minorEastAsia" w:hAnsiTheme="minorEastAsia"/>
          <w:color w:val="auto"/>
          <w:sz w:val="24"/>
          <w:szCs w:val="21"/>
          <w:highlight w:val="none"/>
        </w:rPr>
        <w:t>查询时要将查询网页内容进行截图，截图</w:t>
      </w:r>
      <w:r>
        <w:rPr>
          <w:rFonts w:hint="eastAsia" w:cs="宋体" w:asciiTheme="minorEastAsia" w:hAnsiTheme="minorEastAsia"/>
          <w:color w:val="auto"/>
          <w:kern w:val="0"/>
          <w:sz w:val="24"/>
          <w:szCs w:val="21"/>
          <w:highlight w:val="none"/>
        </w:rPr>
        <w:t>内容要完整清晰；</w:t>
      </w:r>
      <w:r>
        <w:rPr>
          <w:rFonts w:hint="eastAsia" w:ascii="宋体" w:hAnsi="宋体" w:cs="宋体"/>
          <w:color w:val="auto"/>
          <w:kern w:val="0"/>
          <w:sz w:val="24"/>
          <w:highlight w:val="none"/>
        </w:rPr>
        <w:t>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3.4  单位负责人为同一人或者存在直接控股、管理关系的不同供应商，不得参加同一合同项下的政府采购活动；</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3.5  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3.6  “投标邀请”和“投标人须知前附表”规定接受联合体投标的，除应符合本章第3.1项和3.2项要求外，还应遵守以下规定：</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（1）在投标文件中向采购人提交联合体协议书，明确联合体各方承担的工作和义务；</w:t>
      </w:r>
    </w:p>
    <w:p>
      <w:pPr>
        <w:autoSpaceDE w:val="0"/>
        <w:autoSpaceDN w:val="0"/>
        <w:spacing w:line="440" w:lineRule="exact"/>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（2）联合体中有同类资质的供应商按联合体分工承担相同工作的，应当按照资质等级较低的供应商确定资质等级；</w:t>
      </w:r>
    </w:p>
    <w:p>
      <w:pPr>
        <w:autoSpaceDE w:val="0"/>
        <w:autoSpaceDN w:val="0"/>
        <w:spacing w:line="440" w:lineRule="exact"/>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（3）招标人根据采购项目的特殊要求规定投标人特定条件的，联合体各方中至少应当有一方符合采购规定的特定条件。</w:t>
      </w:r>
    </w:p>
    <w:p>
      <w:pPr>
        <w:autoSpaceDE w:val="0"/>
        <w:autoSpaceDN w:val="0"/>
        <w:spacing w:line="440" w:lineRule="exact"/>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（4）联合体各方不得再单独参加或者与其他供应商另外组成联合体参加同一合同项下的政府采购活动。</w:t>
      </w:r>
    </w:p>
    <w:p>
      <w:pPr>
        <w:autoSpaceDE w:val="0"/>
        <w:autoSpaceDN w:val="0"/>
        <w:spacing w:line="440" w:lineRule="exact"/>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（5）联合体各方应当共同与采购人签订采购合同，就采购合同约定的事项对采购人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ascii="宋体" w:hAnsi="宋体" w:cs="宋体"/>
          <w:color w:val="auto"/>
          <w:kern w:val="0"/>
          <w:sz w:val="24"/>
          <w:highlight w:val="none"/>
        </w:rPr>
        <w:t>承担连带责任</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w:t>
      </w:r>
    </w:p>
    <w:p>
      <w:pPr>
        <w:autoSpaceDE w:val="0"/>
        <w:autoSpaceDN w:val="0"/>
        <w:spacing w:line="440" w:lineRule="exact"/>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3.7  法律、行政法规规定的其他条件。</w:t>
      </w:r>
    </w:p>
    <w:p>
      <w:pPr>
        <w:autoSpaceDE w:val="0"/>
        <w:autoSpaceDN w:val="0"/>
        <w:spacing w:line="440" w:lineRule="exact"/>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4．合格的货物和服务</w:t>
      </w:r>
    </w:p>
    <w:p>
      <w:pPr>
        <w:autoSpaceDE w:val="0"/>
        <w:autoSpaceDN w:val="0"/>
        <w:spacing w:line="440" w:lineRule="exact"/>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95"/>
        <w:numPr>
          <w:ilvl w:val="0"/>
          <w:numId w:val="0"/>
        </w:numPr>
        <w:autoSpaceDE w:val="0"/>
        <w:autoSpaceDN w:val="0"/>
        <w:spacing w:line="440" w:lineRule="exact"/>
        <w:ind w:left="480" w:leftChars="0"/>
        <w:contextualSpacing/>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4.2  </w:t>
      </w:r>
      <w:r>
        <w:rPr>
          <w:rFonts w:hint="eastAsia" w:ascii="宋体" w:hAnsi="宋体" w:cs="宋体"/>
          <w:color w:val="auto"/>
          <w:kern w:val="0"/>
          <w:sz w:val="24"/>
          <w:highlight w:val="none"/>
        </w:rPr>
        <w:t>投标人所提供的服务应当没有侵犯任何第三方的知识产权、技术秘密等合法权利。</w:t>
      </w:r>
    </w:p>
    <w:p>
      <w:pPr>
        <w:autoSpaceDE w:val="0"/>
        <w:autoSpaceDN w:val="0"/>
        <w:spacing w:line="440" w:lineRule="exact"/>
        <w:ind w:firstLine="480" w:firstLineChars="200"/>
        <w:contextualSpacing/>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440" w:lineRule="exact"/>
        <w:ind w:firstLine="480" w:firstLineChars="200"/>
        <w:contextualSpacing/>
        <w:rPr>
          <w:rFonts w:cs="宋体" w:asciiTheme="minorEastAsia" w:hAnsiTheme="minorEastAsia"/>
          <w:color w:val="auto"/>
          <w:kern w:val="0"/>
          <w:sz w:val="24"/>
          <w:highlight w:val="none"/>
        </w:rPr>
      </w:pPr>
      <w:r>
        <w:rPr>
          <w:rFonts w:hint="eastAsia"/>
          <w:color w:val="auto"/>
          <w:sz w:val="24"/>
          <w:highlight w:val="none"/>
          <w:shd w:val="clear" w:color="auto" w:fill="FFFFFF"/>
        </w:rPr>
        <w:t>4.4  根据《强制性产品认证管理规定》（质检总局第117号令）要求，</w:t>
      </w:r>
      <w:r>
        <w:rPr>
          <w:rFonts w:hint="eastAsia" w:cs="宋体" w:asciiTheme="minorEastAsia" w:hAnsiTheme="minorEastAsia"/>
          <w:color w:val="auto"/>
          <w:kern w:val="0"/>
          <w:sz w:val="24"/>
          <w:highlight w:val="none"/>
        </w:rPr>
        <w:t>如投标人所投产品被列入</w:t>
      </w:r>
      <w:r>
        <w:rPr>
          <w:rFonts w:cs="宋体" w:asciiTheme="minorEastAsia" w:hAnsiTheme="minorEastAsia"/>
          <w:color w:val="auto"/>
          <w:kern w:val="0"/>
          <w:sz w:val="24"/>
          <w:highlight w:val="none"/>
        </w:rPr>
        <w:t>《中华人民共和国实施强制性产品认证的产品目录》，</w:t>
      </w:r>
      <w:r>
        <w:rPr>
          <w:rFonts w:hint="eastAsia" w:cs="宋体" w:asciiTheme="minorEastAsia" w:hAnsiTheme="minorEastAsia"/>
          <w:color w:val="auto"/>
          <w:kern w:val="0"/>
          <w:sz w:val="24"/>
          <w:highlight w:val="none"/>
        </w:rPr>
        <w:t>则该产品应</w:t>
      </w:r>
      <w:r>
        <w:rPr>
          <w:rFonts w:cs="宋体" w:asciiTheme="minorEastAsia" w:hAnsiTheme="minorEastAsia"/>
          <w:color w:val="auto"/>
          <w:kern w:val="0"/>
          <w:sz w:val="24"/>
          <w:highlight w:val="none"/>
        </w:rPr>
        <w:t>具备国家认监委</w:t>
      </w:r>
      <w:r>
        <w:rPr>
          <w:rFonts w:hint="eastAsia" w:cs="宋体" w:asciiTheme="minorEastAsia" w:hAnsiTheme="minorEastAsia"/>
          <w:color w:val="auto"/>
          <w:kern w:val="0"/>
          <w:sz w:val="24"/>
          <w:highlight w:val="none"/>
        </w:rPr>
        <w:t>指定强制性产品认证机构</w:t>
      </w:r>
      <w:r>
        <w:rPr>
          <w:rFonts w:cs="宋体" w:asciiTheme="minorEastAsia" w:hAnsiTheme="minorEastAsia"/>
          <w:color w:val="auto"/>
          <w:kern w:val="0"/>
          <w:sz w:val="24"/>
          <w:highlight w:val="none"/>
        </w:rPr>
        <w:t>颁</w:t>
      </w:r>
      <w:r>
        <w:rPr>
          <w:rFonts w:hint="eastAsia" w:cs="宋体" w:asciiTheme="minorEastAsia" w:hAnsiTheme="minorEastAsia"/>
          <w:color w:val="auto"/>
          <w:kern w:val="0"/>
          <w:sz w:val="24"/>
          <w:highlight w:val="none"/>
        </w:rPr>
        <w:t>发的</w:t>
      </w:r>
      <w:r>
        <w:rPr>
          <w:rFonts w:cs="宋体" w:asciiTheme="minorEastAsia" w:hAnsiTheme="minorEastAsia"/>
          <w:color w:val="auto"/>
          <w:kern w:val="0"/>
          <w:sz w:val="24"/>
          <w:highlight w:val="none"/>
        </w:rPr>
        <w:t>《中国</w:t>
      </w:r>
      <w:r>
        <w:rPr>
          <w:rFonts w:hint="eastAsia" w:cs="宋体" w:asciiTheme="minorEastAsia" w:hAnsiTheme="minorEastAsia"/>
          <w:color w:val="auto"/>
          <w:kern w:val="0"/>
          <w:sz w:val="24"/>
          <w:highlight w:val="none"/>
        </w:rPr>
        <w:t>国家</w:t>
      </w:r>
      <w:r>
        <w:rPr>
          <w:rFonts w:cs="宋体" w:asciiTheme="minorEastAsia" w:hAnsiTheme="minorEastAsia"/>
          <w:color w:val="auto"/>
          <w:kern w:val="0"/>
          <w:sz w:val="24"/>
          <w:highlight w:val="none"/>
        </w:rPr>
        <w:t>强制</w:t>
      </w:r>
      <w:r>
        <w:rPr>
          <w:rFonts w:hint="eastAsia" w:cs="宋体" w:asciiTheme="minorEastAsia" w:hAnsiTheme="minorEastAsia"/>
          <w:color w:val="auto"/>
          <w:kern w:val="0"/>
          <w:sz w:val="24"/>
          <w:highlight w:val="none"/>
        </w:rPr>
        <w:t>性产品</w:t>
      </w:r>
      <w:r>
        <w:rPr>
          <w:rFonts w:cs="宋体" w:asciiTheme="minorEastAsia" w:hAnsiTheme="minorEastAsia"/>
          <w:color w:val="auto"/>
          <w:kern w:val="0"/>
          <w:sz w:val="24"/>
          <w:highlight w:val="none"/>
        </w:rPr>
        <w:t>认证</w:t>
      </w:r>
      <w:r>
        <w:rPr>
          <w:rFonts w:hint="eastAsia" w:cs="宋体" w:asciiTheme="minorEastAsia" w:hAnsiTheme="minorEastAsia"/>
          <w:color w:val="auto"/>
          <w:kern w:val="0"/>
          <w:sz w:val="24"/>
          <w:highlight w:val="none"/>
        </w:rPr>
        <w:t>证书</w:t>
      </w:r>
      <w:r>
        <w:rPr>
          <w:rFonts w:cs="宋体" w:asciiTheme="minorEastAsia" w:hAnsiTheme="minorEastAsia"/>
          <w:color w:val="auto"/>
          <w:kern w:val="0"/>
          <w:sz w:val="24"/>
          <w:highlight w:val="none"/>
        </w:rPr>
        <w:t>》（CCC 认证）。</w:t>
      </w:r>
      <w:r>
        <w:rPr>
          <w:rFonts w:hint="eastAsia" w:cs="宋体" w:asciiTheme="minorEastAsia" w:hAnsiTheme="minorEastAsia"/>
          <w:color w:val="auto"/>
          <w:kern w:val="0"/>
          <w:sz w:val="24"/>
          <w:highlight w:val="none"/>
        </w:rPr>
        <w:t>投标人</w:t>
      </w:r>
      <w:r>
        <w:rPr>
          <w:rFonts w:cs="宋体" w:asciiTheme="minorEastAsia" w:hAnsiTheme="minorEastAsia"/>
          <w:color w:val="auto"/>
          <w:kern w:val="0"/>
          <w:sz w:val="24"/>
          <w:highlight w:val="none"/>
        </w:rPr>
        <w:t>不能提供超出此目录范畴外的替代品</w:t>
      </w:r>
      <w:r>
        <w:rPr>
          <w:rFonts w:hint="eastAsia" w:cs="宋体" w:asciiTheme="minorEastAsia" w:hAnsiTheme="minorEastAsia"/>
          <w:color w:val="auto"/>
          <w:kern w:val="0"/>
          <w:sz w:val="24"/>
          <w:highlight w:val="none"/>
        </w:rPr>
        <w:t>。</w:t>
      </w:r>
    </w:p>
    <w:p>
      <w:pPr>
        <w:autoSpaceDE w:val="0"/>
        <w:autoSpaceDN w:val="0"/>
        <w:spacing w:line="440" w:lineRule="exact"/>
        <w:ind w:firstLine="48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 w:val="24"/>
          <w:highlight w:val="none"/>
        </w:rPr>
        <w:t>4.5  根据财政部、工业和信息化部、国家质检总局、国家认监委联合发布</w:t>
      </w:r>
      <w:bookmarkStart w:id="43" w:name="baidusnap0"/>
      <w:bookmarkEnd w:id="43"/>
      <w:r>
        <w:rPr>
          <w:rFonts w:hint="eastAsia" w:cs="宋体" w:asciiTheme="minorEastAsia" w:hAnsiTheme="minorEastAsia"/>
          <w:color w:val="auto"/>
          <w:kern w:val="0"/>
          <w:sz w:val="24"/>
          <w:highlight w:val="none"/>
        </w:rPr>
        <w:t>《关于信息安全产品实施政府采购的通知》（财库[2010]48号）要求，投标人所投产品如被列入</w:t>
      </w:r>
      <w:r>
        <w:rPr>
          <w:rFonts w:cs="宋体" w:asciiTheme="minorEastAsia" w:hAnsiTheme="minorEastAsia"/>
          <w:color w:val="auto"/>
          <w:kern w:val="0"/>
          <w:sz w:val="24"/>
          <w:highlight w:val="none"/>
        </w:rPr>
        <w:t>《信息安全产品强制性认证目录》，</w:t>
      </w:r>
      <w:r>
        <w:rPr>
          <w:rFonts w:hint="eastAsia" w:cs="宋体" w:asciiTheme="minorEastAsia" w:hAnsiTheme="minorEastAsia"/>
          <w:color w:val="auto"/>
          <w:kern w:val="0"/>
          <w:sz w:val="24"/>
          <w:highlight w:val="none"/>
        </w:rPr>
        <w:t>则该产品应</w:t>
      </w:r>
      <w:r>
        <w:rPr>
          <w:rFonts w:cs="宋体" w:asciiTheme="minorEastAsia" w:hAnsiTheme="minorEastAsia"/>
          <w:color w:val="auto"/>
          <w:kern w:val="0"/>
          <w:sz w:val="24"/>
          <w:highlight w:val="none"/>
        </w:rPr>
        <w:t>具备</w:t>
      </w:r>
      <w:r>
        <w:rPr>
          <w:rFonts w:hint="eastAsia" w:cs="宋体" w:asciiTheme="minorEastAsia" w:hAnsiTheme="minorEastAsia"/>
          <w:color w:val="auto"/>
          <w:kern w:val="0"/>
          <w:sz w:val="24"/>
          <w:highlight w:val="none"/>
        </w:rPr>
        <w:t>中国信息安全认证中心</w:t>
      </w:r>
      <w:r>
        <w:rPr>
          <w:rFonts w:cs="宋体" w:asciiTheme="minorEastAsia" w:hAnsiTheme="minorEastAsia"/>
          <w:color w:val="auto"/>
          <w:kern w:val="0"/>
          <w:sz w:val="24"/>
          <w:highlight w:val="none"/>
        </w:rPr>
        <w:t>颁</w:t>
      </w:r>
      <w:r>
        <w:rPr>
          <w:rFonts w:hint="eastAsia" w:cs="宋体" w:asciiTheme="minorEastAsia" w:hAnsiTheme="minorEastAsia"/>
          <w:color w:val="auto"/>
          <w:kern w:val="0"/>
          <w:sz w:val="24"/>
          <w:highlight w:val="none"/>
        </w:rPr>
        <w:t>发的</w:t>
      </w:r>
      <w:r>
        <w:rPr>
          <w:rFonts w:cs="宋体" w:asciiTheme="minorEastAsia" w:hAnsiTheme="minorEastAsia"/>
          <w:color w:val="auto"/>
          <w:kern w:val="0"/>
          <w:sz w:val="24"/>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 w:val="24"/>
          <w:highlight w:val="none"/>
        </w:rPr>
        <w:t>中国国家信息安全产品认证证书</w:t>
      </w:r>
      <w:r>
        <w:rPr>
          <w:rFonts w:hint="eastAsia" w:cs="宋体" w:asciiTheme="minorEastAsia" w:hAnsiTheme="minorEastAsia"/>
          <w:color w:val="auto"/>
          <w:kern w:val="0"/>
          <w:sz w:val="24"/>
          <w:highlight w:val="none"/>
        </w:rPr>
        <w:fldChar w:fldCharType="end"/>
      </w:r>
      <w:r>
        <w:rPr>
          <w:rFonts w:cs="宋体" w:asciiTheme="minorEastAsia" w:hAnsiTheme="minorEastAsia"/>
          <w:color w:val="auto"/>
          <w:kern w:val="0"/>
          <w:sz w:val="24"/>
          <w:highlight w:val="none"/>
        </w:rPr>
        <w:t>》。</w:t>
      </w:r>
      <w:r>
        <w:rPr>
          <w:rFonts w:hint="eastAsia" w:cs="宋体" w:asciiTheme="minorEastAsia" w:hAnsiTheme="minorEastAsia"/>
          <w:color w:val="auto"/>
          <w:kern w:val="0"/>
          <w:sz w:val="24"/>
          <w:highlight w:val="none"/>
        </w:rPr>
        <w:t>投标人</w:t>
      </w:r>
      <w:r>
        <w:rPr>
          <w:rFonts w:cs="宋体" w:asciiTheme="minorEastAsia" w:hAnsiTheme="minorEastAsia"/>
          <w:color w:val="auto"/>
          <w:kern w:val="0"/>
          <w:sz w:val="24"/>
          <w:highlight w:val="none"/>
        </w:rPr>
        <w:t>不能提供超出此目录范畴外的替代品</w:t>
      </w:r>
      <w:r>
        <w:rPr>
          <w:rFonts w:hint="eastAsia" w:cs="宋体" w:asciiTheme="minorEastAsia" w:hAnsiTheme="minorEastAsia"/>
          <w:color w:val="auto"/>
          <w:kern w:val="0"/>
          <w:sz w:val="24"/>
          <w:highlight w:val="none"/>
        </w:rPr>
        <w:t>。</w:t>
      </w:r>
    </w:p>
    <w:p>
      <w:pPr>
        <w:autoSpaceDE w:val="0"/>
        <w:autoSpaceDN w:val="0"/>
        <w:spacing w:line="440" w:lineRule="exact"/>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5．投标费用</w:t>
      </w:r>
    </w:p>
    <w:p>
      <w:pPr>
        <w:autoSpaceDE w:val="0"/>
        <w:autoSpaceDN w:val="0"/>
        <w:spacing w:line="440" w:lineRule="exact"/>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不论投标的结果如何，投标人均应自行承担所有与投标有关的全部费用，招标人在任何情况下均无义务和责任承担这些费用。</w:t>
      </w:r>
    </w:p>
    <w:p>
      <w:pPr>
        <w:autoSpaceDE w:val="0"/>
        <w:autoSpaceDN w:val="0"/>
        <w:spacing w:line="440" w:lineRule="exact"/>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6．信息发布</w:t>
      </w:r>
    </w:p>
    <w:p>
      <w:pPr>
        <w:autoSpaceDE w:val="0"/>
        <w:autoSpaceDN w:val="0"/>
        <w:spacing w:line="440" w:lineRule="exact"/>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highlight w:val="none"/>
        </w:rPr>
        <w:t>《河南省政府采购网》、《许昌市政府采购网》</w:t>
      </w:r>
      <w:r>
        <w:rPr>
          <w:rFonts w:hint="eastAsia" w:ascii="宋体" w:hAnsi="宋体" w:cs="宋体"/>
          <w:color w:val="auto"/>
          <w:kern w:val="0"/>
          <w:sz w:val="24"/>
          <w:highlight w:val="none"/>
        </w:rPr>
        <w:t>和《全国公共资源交易平台（河南省·许昌市）》公开发布。投标人在参与本采购项目招投标活动期间，请及时关注以上媒体上的相关信息，投标人因没有及时关注而未能如</w:t>
      </w:r>
      <w:r>
        <w:rPr>
          <w:rFonts w:hint="eastAsia" w:ascii="宋体" w:hAnsi="宋体" w:cs="宋体"/>
          <w:color w:val="auto"/>
          <w:kern w:val="0"/>
          <w:sz w:val="24"/>
          <w:highlight w:val="none"/>
        </w:rPr>
        <w:t>期获取相关信息，及因此所产生的一切后果和责任，由投标人自行承担，招标人在任何情况下均不对此承担任何责任。</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7.代理费用收取标准和方式</w:t>
      </w:r>
    </w:p>
    <w:p>
      <w:pPr>
        <w:autoSpaceDE w:val="0"/>
        <w:autoSpaceDN w:val="0"/>
        <w:spacing w:line="360" w:lineRule="auto"/>
        <w:ind w:firstLine="480" w:firstLineChars="200"/>
        <w:contextualSpacing/>
        <w:rPr>
          <w:rFonts w:ascii="宋体" w:hAnsi="宋体" w:cs="宋体"/>
          <w:color w:val="auto"/>
          <w:kern w:val="0"/>
          <w:sz w:val="24"/>
          <w:highlight w:val="none"/>
          <w:shd w:val="clear" w:color="040000" w:fill="FFFFFF"/>
        </w:rPr>
      </w:pPr>
      <w:r>
        <w:rPr>
          <w:rFonts w:hint="eastAsia" w:ascii="宋体" w:hAnsi="宋体" w:cs="宋体"/>
          <w:color w:val="auto"/>
          <w:kern w:val="0"/>
          <w:sz w:val="24"/>
          <w:highlight w:val="none"/>
          <w:shd w:val="clear" w:color="040000" w:fill="FFFFFF"/>
        </w:rPr>
        <w:t>投标人准备和参加投标活动发生的费用自理，代理服务费计取办法参考原国家发改委【2011】534号文和发改价格[2015]299号文件规定，由中标人支付。</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8. 其他</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auto"/>
          <w:kern w:val="0"/>
          <w:sz w:val="24"/>
          <w:highlight w:val="none"/>
        </w:rPr>
      </w:pPr>
    </w:p>
    <w:p>
      <w:pPr>
        <w:tabs>
          <w:tab w:val="left" w:pos="1260"/>
        </w:tabs>
        <w:autoSpaceDE w:val="0"/>
        <w:autoSpaceDN w:val="0"/>
        <w:spacing w:line="360" w:lineRule="auto"/>
        <w:contextualSpacing/>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二、招标文件说明</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9．招标文件构成</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9.1  招标文件由以下部分组成：</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（1）投标邀请（招标公告）</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（2）项目需求</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（3）投标人须知前附表</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（4）投标人须知</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（5）政府采购政策功能</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（6）资格审查与评标</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（7）合同条款及格式</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（8）投标文件有关格式</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（9）本项目招标文件的澄清、答复、修改、补充内容（如有的话）</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10.现场考察、开标前答疑会</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10.4  现场考察及参加开标前答疑会所发生的费用及一切责任由投标人自行承担。</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11.招标文件的澄清或修改</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11.4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cs="宋体"/>
          <w:b/>
          <w:color w:val="auto"/>
          <w:kern w:val="0"/>
          <w:sz w:val="28"/>
          <w:szCs w:val="28"/>
          <w:highlight w:val="none"/>
        </w:rPr>
      </w:pPr>
    </w:p>
    <w:p>
      <w:pPr>
        <w:tabs>
          <w:tab w:val="left" w:pos="1260"/>
        </w:tabs>
        <w:autoSpaceDE w:val="0"/>
        <w:autoSpaceDN w:val="0"/>
        <w:spacing w:line="360" w:lineRule="auto"/>
        <w:contextualSpacing/>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三、投标文件的编制</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12． 投标的语言及计量单位</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12.2  投标计量单位，招标文件已有明确规定的，使用招标文件规定的计量单位；招标文件没有规定的，一律采用中华人民共和国法定计量单位。</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13</w:t>
      </w:r>
      <w:r>
        <w:rPr>
          <w:rFonts w:ascii="宋体" w:hAnsi="宋体" w:cs="宋体"/>
          <w:b/>
          <w:color w:val="auto"/>
          <w:kern w:val="0"/>
          <w:sz w:val="24"/>
          <w:highlight w:val="none"/>
        </w:rPr>
        <w:t xml:space="preserve">. </w:t>
      </w:r>
      <w:r>
        <w:rPr>
          <w:rFonts w:hint="eastAsia" w:ascii="宋体" w:hAnsi="宋体" w:cs="宋体"/>
          <w:b/>
          <w:color w:val="auto"/>
          <w:kern w:val="0"/>
          <w:sz w:val="24"/>
          <w:highlight w:val="none"/>
        </w:rPr>
        <w:t>投标报价</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13.1  本次招标项目的投标均以人民币为计算单位。</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13.2  采购人不得向投标人索要或者接受其给予的赠品、回扣或者与采购无关的其他商品、服务。</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13.3  投标人应对项目要求的全部内容进行报价，少报漏报将导致其投标</w:t>
      </w:r>
      <w:r>
        <w:rPr>
          <w:rFonts w:hint="eastAsia" w:ascii="宋体" w:hAnsi="宋体" w:cs="宋体"/>
          <w:color w:val="auto"/>
          <w:kern w:val="0"/>
          <w:sz w:val="24"/>
          <w:highlight w:val="none"/>
          <w:lang w:val="en-GB"/>
        </w:rPr>
        <w:t>为非实质性响应予以拒绝。</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13.5  本项目所涉及的运输、施工、安装、集成、调试、验收、备品和工具等费用均包含在投标报价中。</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13.7  报价不得高于本项目最高限价，且不低于成本价。</w:t>
      </w:r>
      <w:r>
        <w:rPr>
          <w:rFonts w:hint="eastAsia" w:ascii="宋体" w:hAnsi="宋体" w:cs="宋体"/>
          <w:color w:val="auto"/>
          <w:kern w:val="0"/>
          <w:sz w:val="24"/>
          <w:highlight w:val="none"/>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13.8  最低报价不能作为中标的保证。</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14．投标有效期</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14.1 投标有效期从提交投标文件的截止之日起算。本项目投标有效期详</w:t>
      </w:r>
      <w:r>
        <w:rPr>
          <w:rFonts w:hint="eastAsia" w:ascii="宋体" w:hAnsi="宋体" w:cs="宋体"/>
          <w:color w:val="auto"/>
          <w:kern w:val="0"/>
          <w:sz w:val="24"/>
          <w:highlight w:val="none"/>
          <w:lang w:val="zh-CN"/>
        </w:rPr>
        <w:t>见投标人须知前附表。</w:t>
      </w:r>
      <w:r>
        <w:rPr>
          <w:rFonts w:hint="eastAsia" w:ascii="宋体" w:hAnsi="宋体" w:cs="宋体"/>
          <w:color w:val="auto"/>
          <w:kern w:val="0"/>
          <w:sz w:val="24"/>
          <w:highlight w:val="none"/>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80" w:firstLineChars="200"/>
        <w:contextualSpacing/>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14.2 投标有效期内投标人撤销投标文件的，投标人将承担违背投标承诺函的责任追究。</w:t>
      </w:r>
    </w:p>
    <w:p>
      <w:pPr>
        <w:autoSpaceDE w:val="0"/>
        <w:autoSpaceDN w:val="0"/>
        <w:spacing w:line="360" w:lineRule="auto"/>
        <w:ind w:firstLine="480" w:firstLineChars="200"/>
        <w:contextualSpacing/>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ind w:firstLine="480" w:firstLineChars="200"/>
        <w:contextualSpacing/>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14.4 中标人的投标文件作为项目合同的附件，其有效期至中标人全部合同义务履行完毕为止。</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15．投标文件构成</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15.1  投标文件的构成应符合法律法规及招标文件的要求。</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15.2  投标人应当按照招标文件的要求编制投标文件。投标文件应当对招标文件提出的要求和条件作出明确响应。</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15.3  投标文件由资格证明材料、符合性证明材料、其它材料等组成。</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15.5  投标人登录许昌公共资源交易系统下载“许昌投标文件制作系统SEARUN最新版本”，按招标文件要求根据所投标段制作电子投标文件。</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电子投标文件制作技术咨询：0374-2961598。</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16.投标文件格式</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16.2  投标人应按招标文件提供的格式编写投标文件。招标文件未提供标准格式的投标人可自行拟定。</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17.投标保证金</w:t>
      </w:r>
    </w:p>
    <w:p>
      <w:pPr>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17.1  本项目不收取投标保证金。</w:t>
      </w:r>
    </w:p>
    <w:p>
      <w:pPr>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17.2  投标人应提供投标承诺函。</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1</w:t>
      </w:r>
      <w:r>
        <w:rPr>
          <w:rFonts w:hint="eastAsia" w:ascii="宋体" w:hAnsi="宋体" w:cs="仿宋_GB2312"/>
          <w:b/>
          <w:color w:val="auto"/>
          <w:sz w:val="24"/>
          <w:highlight w:val="none"/>
        </w:rPr>
        <w:t>8</w:t>
      </w:r>
      <w:r>
        <w:rPr>
          <w:rFonts w:hint="eastAsia" w:ascii="宋体" w:hAnsi="宋体" w:cs="仿宋_GB2312"/>
          <w:b/>
          <w:color w:val="auto"/>
          <w:sz w:val="24"/>
          <w:highlight w:val="none"/>
          <w:lang w:val="zh-CN"/>
        </w:rPr>
        <w:t>. 投标文件的数量和签署盖章</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18.1 投标人应提交投标文件份数见“投标人须知前附表”。</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18.2 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18.4 纸质投标文件副本可以是纸质投标文件的正本复印而成。</w:t>
      </w:r>
    </w:p>
    <w:p>
      <w:pPr>
        <w:pStyle w:val="2"/>
        <w:ind w:firstLine="280"/>
        <w:rPr>
          <w:color w:val="auto"/>
          <w:highlight w:val="none"/>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四、投标文件的递交</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rPr>
        <w:t>19</w:t>
      </w:r>
      <w:r>
        <w:rPr>
          <w:rFonts w:hint="eastAsia" w:ascii="宋体" w:hAnsi="宋体" w:cs="仿宋_GB2312"/>
          <w:b/>
          <w:color w:val="auto"/>
          <w:sz w:val="24"/>
          <w:highlight w:val="none"/>
          <w:lang w:val="zh-CN"/>
        </w:rPr>
        <w:t>.投标文件的密封</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19.1 投标人应将纸质投标文件“正本”、“ 副本”密封包装。使用电子介质存储的投标文件单独密封包装，并随纸质投标文件一并提交。</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19.2 投标文件如果未按规定密封，招标人将拒绝接收。</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rPr>
        <w:t>20</w:t>
      </w:r>
      <w:r>
        <w:rPr>
          <w:rFonts w:hint="eastAsia" w:ascii="宋体" w:hAnsi="宋体" w:cs="仿宋_GB2312"/>
          <w:b/>
          <w:color w:val="auto"/>
          <w:sz w:val="24"/>
          <w:highlight w:val="none"/>
          <w:lang w:val="zh-CN"/>
        </w:rPr>
        <w:t>．投标截止时间</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20．1 投标人必须在“投标邀请”和“投标人须知前附表”中规定的投标截止时间前，将所有投标文件送达招标文件指定的开标地点。</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20.2 招标人收到投标文件后，应当如实记载投标文件的送达时间和密封情况，签收保存，并向投标人出具签收回执。任何单位和个人不得在开标前开启投标文件。</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rPr>
        <w:t>21</w:t>
      </w:r>
      <w:r>
        <w:rPr>
          <w:rFonts w:hint="eastAsia" w:ascii="宋体" w:hAnsi="宋体" w:cs="仿宋_GB2312"/>
          <w:b/>
          <w:color w:val="auto"/>
          <w:sz w:val="24"/>
          <w:highlight w:val="none"/>
          <w:lang w:val="zh-CN"/>
        </w:rPr>
        <w:t>. 迟交的投标文件</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投标截止时间之后送达/上传的投标文件，招标人将拒绝接收。</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2</w:t>
      </w:r>
      <w:r>
        <w:rPr>
          <w:rFonts w:hint="eastAsia" w:ascii="宋体" w:hAnsi="宋体" w:cs="仿宋_GB2312"/>
          <w:b/>
          <w:color w:val="auto"/>
          <w:sz w:val="24"/>
          <w:highlight w:val="none"/>
        </w:rPr>
        <w:t>2</w:t>
      </w:r>
      <w:r>
        <w:rPr>
          <w:rFonts w:hint="eastAsia" w:ascii="宋体" w:hAnsi="宋体" w:cs="仿宋_GB2312"/>
          <w:b/>
          <w:color w:val="auto"/>
          <w:sz w:val="24"/>
          <w:highlight w:val="none"/>
          <w:lang w:val="zh-CN"/>
        </w:rPr>
        <w:t>. 投标文件的修改和撤回</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22.1 投标人在投标截止时间前，对所递交的纸质投标文件进行补充、修改或者撤回的，须书面通知招标人。</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22.2 投标人补充、修改的内容并作为投标文件的组成部分。补充或修改应当按招标文件要求签署、盖章、密封、递交，并应注明“修改”或“补充”字样。</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22.3 投标人在递交投标文件后，可以撤回其投标，但投标人必须在规定的投标截止时间前以书面形式告知招标人。</w:t>
      </w:r>
    </w:p>
    <w:p>
      <w:pPr>
        <w:autoSpaceDE w:val="0"/>
        <w:autoSpaceDN w:val="0"/>
        <w:spacing w:line="360" w:lineRule="auto"/>
        <w:ind w:firstLine="480" w:firstLineChars="200"/>
        <w:contextualSpacing/>
        <w:rPr>
          <w:rFonts w:cs="宋体" w:asciiTheme="minorEastAsia" w:hAnsiTheme="minorEastAsia"/>
          <w:color w:val="auto"/>
          <w:kern w:val="0"/>
          <w:szCs w:val="21"/>
          <w:highlight w:val="none"/>
        </w:rPr>
      </w:pPr>
      <w:r>
        <w:rPr>
          <w:rFonts w:hint="eastAsia" w:ascii="宋体" w:hAnsi="宋体" w:cs="仿宋_GB2312"/>
          <w:color w:val="auto"/>
          <w:sz w:val="24"/>
          <w:highlight w:val="none"/>
          <w:lang w:val="zh-CN"/>
        </w:rPr>
        <w:t>22.4  投标人不得在投标有效期内撤销投标文件，否则投标人将承担违背投标承诺函的责任追究。</w:t>
      </w:r>
    </w:p>
    <w:p>
      <w:pPr>
        <w:autoSpaceDE w:val="0"/>
        <w:autoSpaceDN w:val="0"/>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23．</w:t>
      </w:r>
      <w:r>
        <w:rPr>
          <w:rFonts w:hint="eastAsia" w:hAnsi="宋体" w:cs="宋体"/>
          <w:b/>
          <w:color w:val="auto"/>
          <w:sz w:val="24"/>
          <w:highlight w:val="none"/>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highlight w:val="none"/>
        </w:rPr>
      </w:pPr>
    </w:p>
    <w:p>
      <w:pPr>
        <w:tabs>
          <w:tab w:val="left" w:pos="1260"/>
        </w:tabs>
        <w:autoSpaceDE w:val="0"/>
        <w:autoSpaceDN w:val="0"/>
        <w:spacing w:line="360" w:lineRule="auto"/>
        <w:contextualSpacing/>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五、开标和评标</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2</w:t>
      </w:r>
      <w:r>
        <w:rPr>
          <w:rFonts w:hint="eastAsia" w:ascii="宋体" w:hAnsi="宋体" w:cs="仿宋_GB2312"/>
          <w:b/>
          <w:color w:val="auto"/>
          <w:sz w:val="24"/>
          <w:highlight w:val="none"/>
        </w:rPr>
        <w:t>4</w:t>
      </w:r>
      <w:r>
        <w:rPr>
          <w:rFonts w:hint="eastAsia" w:ascii="宋体" w:hAnsi="宋体" w:cs="仿宋_GB2312"/>
          <w:b/>
          <w:color w:val="auto"/>
          <w:sz w:val="24"/>
          <w:highlight w:val="none"/>
          <w:lang w:val="zh-CN"/>
        </w:rPr>
        <w:t xml:space="preserve">. </w:t>
      </w:r>
      <w:r>
        <w:rPr>
          <w:rFonts w:hint="eastAsia" w:hAnsi="宋体" w:cs="宋体"/>
          <w:b/>
          <w:color w:val="auto"/>
          <w:sz w:val="24"/>
          <w:highlight w:val="none"/>
          <w:lang w:val="zh-CN"/>
        </w:rPr>
        <w:t>开标</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24.1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24.2  招标人应当对开标、评标现场活动进行全程录音录像。录音录像应当清晰可辨，音像资料作为采购文件一并存档。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24.3.1 电子投标文件的解密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（2）代理机构解密：代理机构按电子投标文件到达交易系统的先后顺序，使用本单位CA数字证书进行再次解密。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24.3.2 电子投标文件解密异常情况处理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（1）因电子交易系统异常无法解密电子投标文件的，使用纸质投标文件以人工方式进行。</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24.4 投标人不足3家的，不得开标。</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24.5 开标过程由采购代理机构负责记录，由参加开标的各投标人代表和相关工作人员签字确认后随采购文件一并存档。</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24.7 投标人未参加开标的，视同认可开标结果。</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2</w:t>
      </w:r>
      <w:r>
        <w:rPr>
          <w:rFonts w:hint="eastAsia" w:ascii="宋体" w:hAnsi="宋体" w:cs="仿宋_GB2312"/>
          <w:b/>
          <w:color w:val="auto"/>
          <w:sz w:val="24"/>
          <w:highlight w:val="none"/>
        </w:rPr>
        <w:t>5</w:t>
      </w:r>
      <w:r>
        <w:rPr>
          <w:rFonts w:hint="eastAsia" w:ascii="宋体" w:hAnsi="宋体" w:cs="仿宋_GB2312"/>
          <w:b/>
          <w:color w:val="auto"/>
          <w:sz w:val="24"/>
          <w:highlight w:val="none"/>
          <w:lang w:val="zh-CN"/>
        </w:rPr>
        <w:t>. 资格审查</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开标</w:t>
      </w:r>
      <w:r>
        <w:rPr>
          <w:rFonts w:hint="eastAsia" w:ascii="宋体" w:hAnsi="宋体"/>
          <w:bCs/>
          <w:color w:val="auto"/>
          <w:sz w:val="24"/>
          <w:highlight w:val="none"/>
        </w:rPr>
        <w:t>结束后，采购人依法对投标人的资格进行审查。</w:t>
      </w:r>
      <w:r>
        <w:rPr>
          <w:rFonts w:hint="eastAsia" w:ascii="宋体" w:hAnsi="宋体" w:cs="仿宋_GB2312"/>
          <w:color w:val="auto"/>
          <w:sz w:val="24"/>
          <w:highlight w:val="none"/>
          <w:lang w:val="zh-CN"/>
        </w:rPr>
        <w:t>合格投标人不足3家的，不得评标。</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2</w:t>
      </w:r>
      <w:r>
        <w:rPr>
          <w:rFonts w:hint="eastAsia" w:ascii="宋体" w:hAnsi="宋体" w:cs="仿宋_GB2312"/>
          <w:b/>
          <w:color w:val="auto"/>
          <w:sz w:val="24"/>
          <w:highlight w:val="none"/>
        </w:rPr>
        <w:t>6</w:t>
      </w:r>
      <w:r>
        <w:rPr>
          <w:rFonts w:hint="eastAsia" w:ascii="宋体" w:hAnsi="宋体" w:cs="仿宋_GB2312"/>
          <w:b/>
          <w:color w:val="auto"/>
          <w:sz w:val="24"/>
          <w:highlight w:val="none"/>
          <w:lang w:val="zh-CN"/>
        </w:rPr>
        <w:t>.评标委员会的组成</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26.1.1 采购项目符合下列情形之一的，评标委员会成员人数应当为7人以上单数：</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（一）采购预算金额在1000万元以上；</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（二）技术复杂；</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（三）社会影响较大。</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26.2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26.3 评审专家与投标人存在下列利害关系之一的,应当回避:</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(二)与供应商的法定代表人或者负责人有夫妻、直系血亲、三代以内旁系血亲或者近姻亲关系；</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(三)与供应商有其他可能影响政府采购活动公平、公正进行的关系。</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26.4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26.5 采购人不得担任评标小组长。</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26.6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26.7 评标委员会成员名单在评标结果公告前应当保密。</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2</w:t>
      </w:r>
      <w:r>
        <w:rPr>
          <w:rFonts w:hint="eastAsia" w:ascii="宋体" w:hAnsi="宋体" w:cs="仿宋_GB2312"/>
          <w:b/>
          <w:color w:val="auto"/>
          <w:sz w:val="24"/>
          <w:highlight w:val="none"/>
        </w:rPr>
        <w:t>7</w:t>
      </w:r>
      <w:r>
        <w:rPr>
          <w:rFonts w:hint="eastAsia" w:ascii="宋体" w:hAnsi="宋体" w:cs="仿宋_GB2312"/>
          <w:b/>
          <w:color w:val="auto"/>
          <w:sz w:val="24"/>
          <w:highlight w:val="none"/>
          <w:lang w:val="zh-CN"/>
        </w:rPr>
        <w:t>. 符合性审查</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27.1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27.2 审查、评价投标文件是否符合招标文件的商务、技术等实质性要求。</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27.3 可要求投标人对投标文件有关事项作出澄清或者说明。</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2</w:t>
      </w:r>
      <w:r>
        <w:rPr>
          <w:rFonts w:hint="eastAsia" w:ascii="宋体" w:hAnsi="宋体" w:cs="仿宋_GB2312"/>
          <w:b/>
          <w:color w:val="auto"/>
          <w:sz w:val="24"/>
          <w:highlight w:val="none"/>
        </w:rPr>
        <w:t>8</w:t>
      </w:r>
      <w:r>
        <w:rPr>
          <w:rFonts w:hint="eastAsia" w:ascii="宋体" w:hAnsi="宋体" w:cs="仿宋_GB2312"/>
          <w:b/>
          <w:color w:val="auto"/>
          <w:sz w:val="24"/>
          <w:highlight w:val="none"/>
          <w:lang w:val="zh-CN"/>
        </w:rPr>
        <w:t>. 投标文件的澄清</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28.1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28.2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28.3 投标人的澄清文件是其投标文件的组成部分。</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2</w:t>
      </w:r>
      <w:r>
        <w:rPr>
          <w:rFonts w:hint="eastAsia" w:ascii="宋体" w:hAnsi="宋体" w:cs="仿宋_GB2312"/>
          <w:b/>
          <w:color w:val="auto"/>
          <w:sz w:val="24"/>
          <w:highlight w:val="none"/>
        </w:rPr>
        <w:t>9</w:t>
      </w:r>
      <w:r>
        <w:rPr>
          <w:rFonts w:hint="eastAsia" w:ascii="宋体" w:hAnsi="宋体" w:cs="仿宋_GB2312"/>
          <w:b/>
          <w:color w:val="auto"/>
          <w:sz w:val="24"/>
          <w:highlight w:val="none"/>
          <w:lang w:val="zh-CN"/>
        </w:rPr>
        <w:t>. 投标文件报价出现前后不一致的修正</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29.1 投标文件中开标一览表(报价表)内容与投标文件中相应内容不一致的，以开标一览表(报价表)为准；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29.2 大写金额和小写金额不一致的，以大写金额为准；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29.3 单价金额小数点或者百分比有明显错位的，以开标一览表的总价为准，并修改单价；</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30.投标无效情形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30.1 投标文件属下列情况之一的，按照无效投标处理：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30.1.1 未按照招标文件的规定提交投标承诺函的；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30.1.2 投标文件未按招标文件要求签署、盖章的；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30.1.3 不具备招标文件中规定的资格要求的；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30.1.4 报价超过招标文件中规定的预算金额或者最高限价的；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30.1.5 投标文件含有采购人不能接受的附加条件的。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30.2 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30.2.1 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30.2.2 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30.2.3 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30.2.4 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30.2.5 不同投标人的投标文件相互混装；</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30.5 按照《关于推进全流程电子化交易和在线监管工作有关问题的通知》（许公管办[2019]3号）规定</w:t>
      </w:r>
      <w:r>
        <w:rPr>
          <w:rFonts w:hint="eastAsia" w:cs="仿宋_GB2312"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不同投标人电子投标文件记录的网卡MAC地址、CPU序号、硬盘序列号等硬件特征码均相同时，</w:t>
      </w:r>
      <w:r>
        <w:rPr>
          <w:rFonts w:hint="eastAsia" w:ascii="宋体" w:hAnsi="宋体" w:cs="仿宋_GB2312"/>
          <w:color w:val="auto"/>
          <w:sz w:val="24"/>
          <w:highlight w:val="none"/>
          <w:lang w:val="zh-CN"/>
        </w:rPr>
        <w:t>视为‘</w:t>
      </w:r>
      <w:r>
        <w:rPr>
          <w:rFonts w:ascii="宋体" w:hAnsi="宋体" w:cs="仿宋_GB2312"/>
          <w:color w:val="auto"/>
          <w:sz w:val="24"/>
          <w:highlight w:val="none"/>
          <w:lang w:val="zh-CN"/>
        </w:rPr>
        <w:t>不同</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的</w:t>
      </w:r>
      <w:r>
        <w:rPr>
          <w:rFonts w:hint="eastAsia" w:ascii="宋体" w:hAnsi="宋体" w:cs="仿宋_GB2312"/>
          <w:color w:val="auto"/>
          <w:sz w:val="24"/>
          <w:highlight w:val="none"/>
          <w:lang w:val="zh-CN"/>
        </w:rPr>
        <w:t>投标</w:t>
      </w:r>
      <w:r>
        <w:rPr>
          <w:rFonts w:ascii="宋体" w:hAnsi="宋体" w:cs="仿宋_GB2312"/>
          <w:color w:val="auto"/>
          <w:sz w:val="24"/>
          <w:highlight w:val="none"/>
          <w:lang w:val="zh-CN"/>
        </w:rPr>
        <w:t>文件由同一单位或者个人编制</w:t>
      </w:r>
      <w:r>
        <w:rPr>
          <w:rFonts w:hint="eastAsia" w:ascii="宋体" w:hAnsi="宋体" w:cs="仿宋_GB2312"/>
          <w:color w:val="auto"/>
          <w:sz w:val="24"/>
          <w:highlight w:val="none"/>
          <w:lang w:val="zh-CN"/>
        </w:rPr>
        <w:t>’或‘</w:t>
      </w:r>
      <w:r>
        <w:rPr>
          <w:rFonts w:ascii="宋体" w:hAnsi="宋体" w:cs="仿宋_GB2312"/>
          <w:color w:val="auto"/>
          <w:sz w:val="24"/>
          <w:highlight w:val="none"/>
          <w:lang w:val="zh-CN"/>
        </w:rPr>
        <w:t>不同</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委托同一单位或者个人办理</w:t>
      </w:r>
      <w:r>
        <w:rPr>
          <w:rFonts w:hint="eastAsia" w:ascii="宋体" w:hAnsi="宋体" w:cs="仿宋_GB2312"/>
          <w:color w:val="auto"/>
          <w:sz w:val="24"/>
          <w:highlight w:val="none"/>
          <w:lang w:val="zh-CN"/>
        </w:rPr>
        <w:t>投标</w:t>
      </w:r>
      <w:r>
        <w:rPr>
          <w:rFonts w:ascii="宋体" w:hAnsi="宋体" w:cs="仿宋_GB2312"/>
          <w:color w:val="auto"/>
          <w:sz w:val="24"/>
          <w:highlight w:val="none"/>
          <w:lang w:val="zh-CN"/>
        </w:rPr>
        <w:t>事宜</w:t>
      </w:r>
      <w:r>
        <w:rPr>
          <w:rFonts w:hint="eastAsia" w:ascii="宋体" w:hAnsi="宋体" w:cs="仿宋_GB2312"/>
          <w:color w:val="auto"/>
          <w:sz w:val="24"/>
          <w:highlight w:val="none"/>
          <w:lang w:val="zh-CN"/>
        </w:rPr>
        <w:t>’，其投标无效。</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30.6 法律、法规和招标文件规定的其他无效情形。</w:t>
      </w:r>
    </w:p>
    <w:p>
      <w:pPr>
        <w:autoSpaceDE w:val="0"/>
        <w:autoSpaceDN w:val="0"/>
        <w:spacing w:line="360" w:lineRule="auto"/>
        <w:ind w:firstLine="482" w:firstLineChars="200"/>
        <w:contextualSpacing/>
        <w:rPr>
          <w:rFonts w:ascii="宋体" w:hAnsi="宋体"/>
          <w:b/>
          <w:bCs/>
          <w:color w:val="auto"/>
          <w:sz w:val="24"/>
          <w:highlight w:val="none"/>
          <w:lang w:val="zh-CN"/>
        </w:rPr>
      </w:pPr>
      <w:r>
        <w:rPr>
          <w:rFonts w:hint="eastAsia" w:ascii="宋体" w:hAnsi="宋体" w:cs="仿宋_GB2312"/>
          <w:b/>
          <w:color w:val="auto"/>
          <w:sz w:val="24"/>
          <w:highlight w:val="none"/>
          <w:lang w:val="zh-CN"/>
        </w:rPr>
        <w:t xml:space="preserve">31. </w:t>
      </w:r>
      <w:r>
        <w:rPr>
          <w:rFonts w:hint="eastAsia" w:ascii="宋体" w:hAnsi="宋体"/>
          <w:b/>
          <w:bCs/>
          <w:color w:val="auto"/>
          <w:sz w:val="24"/>
          <w:highlight w:val="none"/>
          <w:lang w:val="zh-CN"/>
        </w:rPr>
        <w:t>相同</w:t>
      </w:r>
      <w:r>
        <w:rPr>
          <w:rFonts w:hint="eastAsia" w:ascii="宋体" w:hAnsi="宋体" w:cs="仿宋_GB2312"/>
          <w:b/>
          <w:color w:val="auto"/>
          <w:sz w:val="24"/>
          <w:highlight w:val="none"/>
          <w:lang w:val="zh-CN"/>
        </w:rPr>
        <w:t>品牌</w:t>
      </w:r>
      <w:r>
        <w:rPr>
          <w:rFonts w:hint="eastAsia" w:ascii="宋体" w:hAnsi="宋体"/>
          <w:b/>
          <w:bCs/>
          <w:color w:val="auto"/>
          <w:sz w:val="24"/>
          <w:highlight w:val="none"/>
          <w:lang w:val="zh-CN"/>
        </w:rPr>
        <w:t>投标人的认定（服务类项目不适用本条款规定）</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rPr>
        <w:t>32</w:t>
      </w:r>
      <w:r>
        <w:rPr>
          <w:rFonts w:hint="eastAsia" w:ascii="宋体" w:hAnsi="宋体" w:cs="仿宋_GB2312"/>
          <w:b/>
          <w:color w:val="auto"/>
          <w:sz w:val="24"/>
          <w:highlight w:val="none"/>
          <w:lang w:val="zh-CN"/>
        </w:rPr>
        <w:t>. 投标</w:t>
      </w:r>
      <w:r>
        <w:rPr>
          <w:rFonts w:hint="eastAsia" w:ascii="宋体" w:hAnsi="宋体"/>
          <w:b/>
          <w:bCs/>
          <w:color w:val="auto"/>
          <w:sz w:val="24"/>
          <w:highlight w:val="none"/>
          <w:lang w:val="zh-CN"/>
        </w:rPr>
        <w:t>文件</w:t>
      </w:r>
      <w:r>
        <w:rPr>
          <w:rFonts w:hint="eastAsia" w:ascii="宋体" w:hAnsi="宋体" w:cs="仿宋_GB2312"/>
          <w:b/>
          <w:color w:val="auto"/>
          <w:sz w:val="24"/>
          <w:highlight w:val="none"/>
          <w:lang w:val="zh-CN"/>
        </w:rPr>
        <w:t>的比较与评价</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评标委员会按照招标文件中规定的评标方法和标准，对符合性审查合格的投标文件进行商务和技术评估，综合比较与评价。</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33.评标方法、评标标准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33.1 评标方法分为最低评标价法和综合评分法。</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33.1.1 最低评标价法</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33.1.1.1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33.1.1.2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33.1.2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33.2 价格分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33.2.1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投标报价得分=(评标基准价/投标报价)×100</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评标总得分=F1×A1+F2×A2+……+Fn×An</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F1、F2……Fn分别为各项评审因素的得分;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A1、A2、……An 分别为各项评审因素所占的权重(A1+A2+……+An=1)。</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33.2.2 评标过程中，不得去掉报价中的最高报价和最低报价。</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33.2.3 因落实政府采购政策进行价格调整的，以调整后的价格计算评标基准价和投标报价。</w:t>
      </w:r>
    </w:p>
    <w:p>
      <w:pPr>
        <w:tabs>
          <w:tab w:val="left" w:pos="1260"/>
        </w:tabs>
        <w:autoSpaceDE w:val="0"/>
        <w:autoSpaceDN w:val="0"/>
        <w:spacing w:line="360" w:lineRule="auto"/>
        <w:ind w:firstLine="480" w:firstLineChars="200"/>
        <w:contextualSpacing/>
        <w:rPr>
          <w:rFonts w:ascii="宋体" w:hAnsi="宋体" w:cs="仿宋_GB2312"/>
          <w:b/>
          <w:bCs/>
          <w:color w:val="auto"/>
          <w:sz w:val="24"/>
          <w:highlight w:val="none"/>
          <w:lang w:val="zh-CN"/>
        </w:rPr>
      </w:pPr>
      <w:r>
        <w:rPr>
          <w:rFonts w:hint="eastAsia" w:ascii="宋体" w:hAnsi="宋体" w:cs="仿宋_GB2312"/>
          <w:color w:val="auto"/>
          <w:sz w:val="24"/>
          <w:highlight w:val="none"/>
          <w:lang w:val="zh-CN"/>
        </w:rPr>
        <w:t xml:space="preserve">33.3 </w:t>
      </w:r>
      <w:r>
        <w:rPr>
          <w:rFonts w:hint="eastAsia" w:ascii="宋体" w:hAnsi="宋体" w:cs="仿宋_GB2312"/>
          <w:b/>
          <w:bCs/>
          <w:color w:val="auto"/>
          <w:sz w:val="24"/>
          <w:highlight w:val="none"/>
          <w:lang w:val="zh-CN"/>
        </w:rPr>
        <w:t>本次评标具体评标方法、评标标准见（第六章 资格审查与评标）。</w:t>
      </w:r>
    </w:p>
    <w:p>
      <w:pPr>
        <w:autoSpaceDE w:val="0"/>
        <w:autoSpaceDN w:val="0"/>
        <w:spacing w:line="360" w:lineRule="auto"/>
        <w:ind w:firstLine="482" w:firstLineChars="200"/>
        <w:contextualSpacing/>
        <w:rPr>
          <w:rFonts w:ascii="宋体" w:hAnsi="宋体" w:cs="仿宋_GB2312"/>
          <w:color w:val="auto"/>
          <w:sz w:val="24"/>
          <w:highlight w:val="none"/>
          <w:lang w:val="zh-CN"/>
        </w:rPr>
      </w:pPr>
      <w:r>
        <w:rPr>
          <w:rFonts w:hint="eastAsia" w:ascii="宋体" w:hAnsi="宋体"/>
          <w:b/>
          <w:bCs/>
          <w:color w:val="auto"/>
          <w:sz w:val="24"/>
          <w:highlight w:val="none"/>
          <w:lang w:val="zh-CN"/>
        </w:rPr>
        <w:t>3</w:t>
      </w:r>
      <w:r>
        <w:rPr>
          <w:rFonts w:hint="eastAsia" w:ascii="宋体" w:hAnsi="宋体"/>
          <w:b/>
          <w:bCs/>
          <w:color w:val="auto"/>
          <w:sz w:val="24"/>
          <w:highlight w:val="none"/>
        </w:rPr>
        <w:t>4</w:t>
      </w:r>
      <w:r>
        <w:rPr>
          <w:rFonts w:hint="eastAsia" w:ascii="宋体" w:hAnsi="宋体"/>
          <w:b/>
          <w:bCs/>
          <w:color w:val="auto"/>
          <w:sz w:val="24"/>
          <w:highlight w:val="none"/>
          <w:lang w:val="zh-CN"/>
        </w:rPr>
        <w:t>. 推荐中标</w:t>
      </w:r>
      <w:r>
        <w:rPr>
          <w:rFonts w:hint="eastAsia" w:ascii="宋体" w:hAnsi="宋体" w:cs="仿宋_GB2312"/>
          <w:b/>
          <w:color w:val="auto"/>
          <w:sz w:val="24"/>
          <w:highlight w:val="none"/>
          <w:lang w:val="zh-CN"/>
        </w:rPr>
        <w:t>候选人</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34.1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3</w:t>
      </w:r>
      <w:r>
        <w:rPr>
          <w:rFonts w:hint="eastAsia" w:ascii="宋体" w:hAnsi="宋体" w:cs="仿宋_GB2312"/>
          <w:b/>
          <w:color w:val="auto"/>
          <w:sz w:val="24"/>
          <w:highlight w:val="none"/>
        </w:rPr>
        <w:t>5</w:t>
      </w:r>
      <w:r>
        <w:rPr>
          <w:rFonts w:hint="eastAsia" w:ascii="宋体" w:hAnsi="宋体" w:cs="仿宋_GB2312"/>
          <w:b/>
          <w:color w:val="auto"/>
          <w:sz w:val="24"/>
          <w:highlight w:val="none"/>
          <w:lang w:val="zh-CN"/>
        </w:rPr>
        <w:t>.评审意见无效情形</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评标委员会及其成员有下列行为之一的，其评审意见无效：</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35.1 确定参与评标至评标结束前私自接触投标人；</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35.2 接受投标人提出的与投标文件不一致的澄清或者说明，《投标人须知》26条规定的情形除外；</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35.3 违反评标纪律发表倾向性意见或者征询采购人的倾向性意见；</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35.4 对需要专业判断的主观评审因素协商评分；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35.5 在评标过程中擅离职守，影响评标程序正常进行的；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35.6 记录、复制或者带走任何评标资料；</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35.7 其他不遵守评标纪律的行为。</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3</w:t>
      </w:r>
      <w:r>
        <w:rPr>
          <w:rFonts w:hint="eastAsia" w:ascii="宋体" w:hAnsi="宋体" w:cs="仿宋_GB2312"/>
          <w:b/>
          <w:color w:val="auto"/>
          <w:sz w:val="24"/>
          <w:highlight w:val="none"/>
        </w:rPr>
        <w:t>6</w:t>
      </w:r>
      <w:r>
        <w:rPr>
          <w:rFonts w:hint="eastAsia" w:ascii="宋体" w:hAnsi="宋体" w:cs="仿宋_GB2312"/>
          <w:b/>
          <w:color w:val="auto"/>
          <w:sz w:val="24"/>
          <w:highlight w:val="none"/>
          <w:lang w:val="zh-CN"/>
        </w:rPr>
        <w:t>. 保密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36.1 评审专家应当遵守评审工作纪律，不得泄露评审文件、评审情况和评审中获悉的商业秘密。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36.2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六、定标和授予合同</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3</w:t>
      </w:r>
      <w:r>
        <w:rPr>
          <w:rFonts w:hint="eastAsia" w:ascii="宋体" w:hAnsi="宋体" w:cs="仿宋_GB2312"/>
          <w:b/>
          <w:color w:val="auto"/>
          <w:sz w:val="24"/>
          <w:highlight w:val="none"/>
        </w:rPr>
        <w:t>7</w:t>
      </w:r>
      <w:r>
        <w:rPr>
          <w:rFonts w:hint="eastAsia" w:ascii="宋体" w:hAnsi="宋体" w:cs="仿宋_GB2312"/>
          <w:b/>
          <w:color w:val="auto"/>
          <w:sz w:val="24"/>
          <w:highlight w:val="none"/>
          <w:lang w:val="zh-CN"/>
        </w:rPr>
        <w:t>. 确定中标人</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w:t>
      </w:r>
      <w:r>
        <w:rPr>
          <w:rFonts w:hint="eastAsia" w:ascii="宋体" w:hAnsi="宋体" w:cs="仿宋_GB2312"/>
          <w:color w:val="auto"/>
          <w:sz w:val="24"/>
          <w:highlight w:val="none"/>
          <w:lang w:val="zh-CN"/>
        </w:rPr>
        <w:t>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37.2 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3</w:t>
      </w:r>
      <w:r>
        <w:rPr>
          <w:rFonts w:hint="eastAsia" w:ascii="宋体" w:hAnsi="宋体" w:cs="仿宋_GB2312"/>
          <w:b/>
          <w:color w:val="auto"/>
          <w:sz w:val="24"/>
          <w:highlight w:val="none"/>
        </w:rPr>
        <w:t>8</w:t>
      </w:r>
      <w:r>
        <w:rPr>
          <w:rFonts w:hint="eastAsia" w:ascii="宋体" w:hAnsi="宋体" w:cs="仿宋_GB2312"/>
          <w:b/>
          <w:color w:val="auto"/>
          <w:sz w:val="24"/>
          <w:highlight w:val="none"/>
          <w:lang w:val="zh-CN"/>
        </w:rPr>
        <w:t>. 中标公告、发出中标通知书</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38.1 采购人确认中标人后，招标人在公告中标结果的同时，向中标人发出中标通知书。</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38.2 中标通知书发出后，采购人不得违法改变中标结果，中标人无正当理由不得放弃中标。</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38.3 </w:t>
      </w:r>
      <w:r>
        <w:rPr>
          <w:rFonts w:hint="eastAsia" w:ascii="宋体" w:hAnsi="宋体" w:cs="宋体"/>
          <w:bCs/>
          <w:color w:val="auto"/>
          <w:sz w:val="24"/>
          <w:highlight w:val="none"/>
          <w:lang w:val="zh-CN"/>
        </w:rPr>
        <w:t>中标人须在评标结束之时24小时内向河南慧霖工程管理服务有限公司发送最终分项报价一览表（包含主要中标标的的名称、规格型号、数量、单价、服务要求等）电子文档，</w:t>
      </w:r>
      <w:r>
        <w:rPr>
          <w:rFonts w:hint="eastAsia" w:ascii="宋体" w:hAnsi="宋体" w:cs="仿宋_GB2312"/>
          <w:color w:val="auto"/>
          <w:sz w:val="24"/>
          <w:highlight w:val="none"/>
          <w:lang w:val="zh-CN"/>
        </w:rPr>
        <w:t>并同时通知代理机构联系人。</w:t>
      </w:r>
    </w:p>
    <w:p>
      <w:pPr>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rPr>
        <w:t>39.</w:t>
      </w:r>
      <w:r>
        <w:rPr>
          <w:rFonts w:hint="eastAsia" w:ascii="宋体" w:hAnsi="宋体" w:cs="仿宋_GB2312"/>
          <w:b/>
          <w:color w:val="auto"/>
          <w:sz w:val="24"/>
          <w:highlight w:val="none"/>
          <w:lang w:val="zh-CN"/>
        </w:rPr>
        <w:t>质疑提出与答复</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39.1 供应商认为采购文件、采购过程和中标结果使自己的权益受到损害的，可以按照《政府采购质疑和投诉办法》（财政部令第94号）提出质疑。提出质疑的供应商应当是参与本项目采购活动的供应商。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39.1.1 对采购文件提出质疑的，</w:t>
      </w:r>
      <w:r>
        <w:rPr>
          <w:rFonts w:ascii="宋体" w:hAnsi="宋体" w:cs="仿宋_GB2312"/>
          <w:color w:val="auto"/>
          <w:sz w:val="24"/>
          <w:highlight w:val="none"/>
          <w:lang w:val="zh-CN"/>
        </w:rPr>
        <w:t>潜在</w:t>
      </w:r>
      <w:r>
        <w:rPr>
          <w:rFonts w:hint="eastAsia" w:ascii="宋体" w:hAnsi="宋体" w:cs="仿宋_GB2312"/>
          <w:color w:val="auto"/>
          <w:sz w:val="24"/>
          <w:highlight w:val="none"/>
          <w:lang w:val="zh-CN"/>
        </w:rPr>
        <w:t>投标人应</w:t>
      </w:r>
      <w:r>
        <w:rPr>
          <w:rFonts w:ascii="宋体" w:hAnsi="宋体" w:cs="仿宋_GB2312"/>
          <w:color w:val="auto"/>
          <w:sz w:val="24"/>
          <w:highlight w:val="none"/>
          <w:lang w:val="zh-CN"/>
        </w:rPr>
        <w:t>已依法获取采购文件</w:t>
      </w:r>
      <w:r>
        <w:rPr>
          <w:rFonts w:hint="eastAsia" w:ascii="宋体" w:hAnsi="宋体" w:cs="仿宋_GB2312"/>
          <w:color w:val="auto"/>
          <w:sz w:val="24"/>
          <w:highlight w:val="none"/>
          <w:lang w:val="zh-CN"/>
        </w:rPr>
        <w:t>，且应当在</w:t>
      </w:r>
      <w:r>
        <w:rPr>
          <w:rFonts w:ascii="宋体" w:hAnsi="宋体" w:cs="仿宋_GB2312"/>
          <w:color w:val="auto"/>
          <w:sz w:val="24"/>
          <w:highlight w:val="none"/>
          <w:lang w:val="zh-CN"/>
        </w:rPr>
        <w:t>获取采购文件或者采购文件公告期限届满之日起7个工作日内</w:t>
      </w:r>
      <w:r>
        <w:rPr>
          <w:rFonts w:hint="eastAsia" w:ascii="宋体" w:hAnsi="宋体" w:cs="仿宋_GB2312"/>
          <w:color w:val="auto"/>
          <w:sz w:val="24"/>
          <w:highlight w:val="none"/>
          <w:lang w:val="zh-CN"/>
        </w:rPr>
        <w:t>通过《全国公共资源交易平台（河南省·许昌市）》一次性提出，提出后联系招标公告中代理机构联系人查看，并同时将符合《政府采购质疑和投诉办法》第十二条规定的纸质质疑函和必要的证明材料一式两份送采购单位及代理机构，如未提出视为全面接受；</w:t>
      </w:r>
    </w:p>
    <w:p>
      <w:pPr>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39.1.2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39.2.2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firstLine="482" w:firstLineChars="200"/>
        <w:contextualSpacing/>
        <w:rPr>
          <w:rFonts w:ascii="宋体" w:hAnsi="宋体" w:cs="仿宋_GB2312"/>
          <w:b/>
          <w:color w:val="auto"/>
          <w:sz w:val="24"/>
          <w:highlight w:val="none"/>
        </w:rPr>
      </w:pPr>
      <w:r>
        <w:rPr>
          <w:rFonts w:hint="eastAsia" w:ascii="宋体" w:hAnsi="宋体" w:cs="仿宋_GB2312"/>
          <w:b/>
          <w:color w:val="auto"/>
          <w:sz w:val="24"/>
          <w:highlight w:val="none"/>
        </w:rPr>
        <w:t>40.</w:t>
      </w:r>
      <w:r>
        <w:rPr>
          <w:rFonts w:hint="eastAsia" w:ascii="宋体" w:hAnsi="宋体" w:cs="仿宋_GB2312"/>
          <w:b/>
          <w:color w:val="auto"/>
          <w:sz w:val="24"/>
          <w:highlight w:val="none"/>
          <w:lang w:val="zh-CN"/>
        </w:rPr>
        <w:t>签订合同</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采购人应当自中标通知书发出之日起30日内，按照招标文件和中标人投标文件的规定，与中标人签订书面合同。所签订的合同不得对招标文件确定的事项和</w:t>
      </w:r>
      <w:r>
        <w:rPr>
          <w:rFonts w:hint="eastAsia" w:ascii="宋体" w:hAnsi="宋体" w:cs="仿宋_GB2312"/>
          <w:color w:val="auto"/>
          <w:sz w:val="24"/>
          <w:highlight w:val="none"/>
          <w:lang w:val="zh-CN"/>
        </w:rPr>
        <w:t>中标人投标文件作实质性修改。</w:t>
      </w:r>
    </w:p>
    <w:p>
      <w:pPr>
        <w:autoSpaceDE w:val="0"/>
        <w:autoSpaceDN w:val="0"/>
        <w:spacing w:line="360" w:lineRule="auto"/>
        <w:ind w:firstLine="482" w:firstLineChars="200"/>
        <w:contextualSpacing/>
        <w:rPr>
          <w:rFonts w:ascii="宋体" w:hAnsi="宋体" w:cs="仿宋_GB2312"/>
          <w:b/>
          <w:color w:val="auto"/>
          <w:sz w:val="24"/>
          <w:highlight w:val="none"/>
        </w:rPr>
      </w:pPr>
      <w:r>
        <w:rPr>
          <w:rFonts w:hint="eastAsia" w:ascii="宋体" w:hAnsi="宋体" w:cs="仿宋_GB2312"/>
          <w:b/>
          <w:color w:val="auto"/>
          <w:sz w:val="24"/>
          <w:highlight w:val="none"/>
        </w:rPr>
        <w:t>41.履约</w:t>
      </w:r>
      <w:r>
        <w:rPr>
          <w:rFonts w:hint="eastAsia" w:ascii="宋体" w:hAnsi="宋体" w:cs="仿宋_GB2312"/>
          <w:b/>
          <w:color w:val="auto"/>
          <w:sz w:val="24"/>
          <w:highlight w:val="none"/>
          <w:lang w:val="zh-CN"/>
        </w:rPr>
        <w:t>保证金</w:t>
      </w:r>
    </w:p>
    <w:p>
      <w:pPr>
        <w:tabs>
          <w:tab w:val="left" w:pos="1260"/>
        </w:tabs>
        <w:autoSpaceDE w:val="0"/>
        <w:autoSpaceDN w:val="0"/>
        <w:spacing w:line="360" w:lineRule="auto"/>
        <w:ind w:firstLine="480" w:firstLineChars="200"/>
        <w:contextualSpacing/>
        <w:jc w:val="left"/>
        <w:rPr>
          <w:rFonts w:ascii="宋体" w:hAnsi="宋体" w:cs="宋体"/>
          <w:b/>
          <w:color w:val="auto"/>
          <w:kern w:val="0"/>
          <w:sz w:val="36"/>
          <w:szCs w:val="36"/>
          <w:highlight w:val="none"/>
        </w:rPr>
      </w:pPr>
      <w:r>
        <w:rPr>
          <w:rFonts w:hint="eastAsia" w:ascii="宋体" w:hAnsi="宋体" w:cs="宋体"/>
          <w:color w:val="auto"/>
          <w:kern w:val="0"/>
          <w:sz w:val="24"/>
          <w:highlight w:val="none"/>
        </w:rPr>
        <w:t>“投标人须知前附表”中规定</w:t>
      </w:r>
      <w:r>
        <w:rPr>
          <w:rFonts w:hint="eastAsia" w:ascii="宋体" w:hAnsi="宋体" w:cs="宋体"/>
          <w:color w:val="auto"/>
          <w:sz w:val="24"/>
          <w:highlight w:val="none"/>
        </w:rPr>
        <w:t>中标人提交履约保证金的，中标人应当以支票、汇票、本票或者金融机构、担保机构出具的保函等非现金形式向采购人提交。履约保证金的数额不得超过政府采购合同金额的10%。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第五章 政府采购政策功能</w:t>
      </w:r>
    </w:p>
    <w:p>
      <w:pPr>
        <w:pStyle w:val="2"/>
        <w:ind w:firstLine="280"/>
        <w:rPr>
          <w:color w:val="auto"/>
          <w:highlight w:val="none"/>
        </w:rPr>
      </w:pPr>
    </w:p>
    <w:p>
      <w:pPr>
        <w:pStyle w:val="17"/>
        <w:spacing w:line="360" w:lineRule="auto"/>
        <w:ind w:firstLine="480" w:firstLineChars="200"/>
        <w:contextualSpacing/>
        <w:rPr>
          <w:rFonts w:hAnsi="宋体" w:cs="仿宋_GB2312"/>
          <w:color w:val="auto"/>
          <w:kern w:val="2"/>
          <w:sz w:val="24"/>
          <w:szCs w:val="24"/>
          <w:highlight w:val="none"/>
          <w:lang w:val="zh-CN"/>
        </w:rPr>
      </w:pPr>
      <w:r>
        <w:rPr>
          <w:rFonts w:hint="eastAsia" w:hAnsi="宋体" w:cs="仿宋_GB2312"/>
          <w:color w:val="auto"/>
          <w:kern w:val="2"/>
          <w:sz w:val="24"/>
          <w:szCs w:val="24"/>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82" w:firstLineChars="200"/>
        <w:contextualSpacing/>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一、节能能源、保护环境</w:t>
      </w:r>
    </w:p>
    <w:p>
      <w:pPr>
        <w:pStyle w:val="17"/>
        <w:spacing w:line="360" w:lineRule="auto"/>
        <w:ind w:firstLine="480" w:firstLineChars="200"/>
        <w:contextualSpacing/>
        <w:rPr>
          <w:rFonts w:hAnsi="宋体" w:cs="仿宋_GB2312"/>
          <w:color w:val="auto"/>
          <w:kern w:val="2"/>
          <w:sz w:val="24"/>
          <w:szCs w:val="24"/>
          <w:highlight w:val="none"/>
          <w:lang w:val="zh-CN"/>
        </w:rPr>
      </w:pPr>
      <w:r>
        <w:rPr>
          <w:rFonts w:hint="eastAsia" w:hAnsi="宋体" w:cs="仿宋_GB2312"/>
          <w:color w:val="auto"/>
          <w:kern w:val="2"/>
          <w:sz w:val="24"/>
          <w:szCs w:val="24"/>
          <w:highlight w:val="none"/>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二、促进中小企业发展（不含民办非企业）</w:t>
      </w:r>
    </w:p>
    <w:p>
      <w:pPr>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三、支持监狱企业发展</w:t>
      </w:r>
    </w:p>
    <w:p>
      <w:pPr>
        <w:topLinePunct/>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按照财政部、司法部发布的《关于政府采购支持监狱企业发展有关问题的通知》（</w:t>
      </w:r>
      <w:bookmarkStart w:id="44" w:name="OLE_LINK6"/>
      <w:r>
        <w:rPr>
          <w:rFonts w:hint="eastAsia" w:ascii="宋体" w:hAnsi="宋体" w:cs="仿宋_GB2312"/>
          <w:color w:val="auto"/>
          <w:sz w:val="24"/>
          <w:highlight w:val="none"/>
          <w:lang w:val="zh-CN"/>
        </w:rPr>
        <w:t>财库[2014]68号</w:t>
      </w:r>
      <w:bookmarkEnd w:id="44"/>
      <w:r>
        <w:rPr>
          <w:rFonts w:hint="eastAsia" w:ascii="宋体" w:hAnsi="宋体" w:cs="仿宋_GB2312"/>
          <w:color w:val="auto"/>
          <w:sz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四、促进残疾人就业</w:t>
      </w:r>
    </w:p>
    <w:p>
      <w:pPr>
        <w:topLinePunct/>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3、中标人为残疾人福利性单位的，招标人应当随中标结果同时公告其《残疾人福利性单位声明函》，接受社会监督。</w:t>
      </w:r>
    </w:p>
    <w:p>
      <w:pPr>
        <w:spacing w:line="360" w:lineRule="auto"/>
        <w:ind w:firstLine="482" w:firstLineChars="200"/>
        <w:contextualSpacing/>
        <w:rPr>
          <w:rFonts w:cs="仿宋_GB2312" w:asciiTheme="minorEastAsia" w:hAnsiTheme="minorEastAsia"/>
          <w:b/>
          <w:color w:val="auto"/>
          <w:sz w:val="24"/>
          <w:highlight w:val="none"/>
          <w:lang w:val="zh-CN"/>
        </w:rPr>
      </w:pPr>
      <w:r>
        <w:rPr>
          <w:rFonts w:hint="eastAsia" w:cs="仿宋_GB2312" w:asciiTheme="minorEastAsia" w:hAnsiTheme="minorEastAsia"/>
          <w:b/>
          <w:color w:val="auto"/>
          <w:sz w:val="24"/>
          <w:highlight w:val="none"/>
          <w:lang w:val="zh-CN"/>
        </w:rPr>
        <w:t>五、支持脱贫攻坚（物业服务采购）</w:t>
      </w:r>
    </w:p>
    <w:p>
      <w:pPr>
        <w:topLinePunct/>
        <w:spacing w:line="360" w:lineRule="auto"/>
        <w:ind w:firstLine="480" w:firstLineChars="200"/>
        <w:contextualSpacing/>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2"/>
        <w:ind w:firstLine="280"/>
        <w:rPr>
          <w:color w:val="auto"/>
          <w:highlight w:val="none"/>
          <w:lang w:val="zh-CN"/>
        </w:rPr>
      </w:pPr>
    </w:p>
    <w:p>
      <w:pPr>
        <w:pStyle w:val="17"/>
        <w:spacing w:line="360" w:lineRule="auto"/>
        <w:ind w:firstLine="420" w:firstLineChars="200"/>
        <w:contextualSpacing/>
        <w:rPr>
          <w:rFonts w:hAnsi="宋体" w:cs="仿宋_GB2312"/>
          <w:color w:val="auto"/>
          <w:szCs w:val="24"/>
          <w:highlight w:val="none"/>
          <w:lang w:val="zh-CN"/>
        </w:rPr>
      </w:pPr>
    </w:p>
    <w:p>
      <w:pPr>
        <w:pStyle w:val="17"/>
        <w:spacing w:line="360" w:lineRule="auto"/>
        <w:contextualSpacing/>
        <w:rPr>
          <w:rFonts w:hAnsi="宋体" w:cs="宋体"/>
          <w:b/>
          <w:color w:val="auto"/>
          <w:sz w:val="36"/>
          <w:szCs w:val="36"/>
          <w:highlight w:val="none"/>
        </w:rPr>
      </w:pPr>
    </w:p>
    <w:p>
      <w:pPr>
        <w:pStyle w:val="17"/>
        <w:spacing w:line="360" w:lineRule="auto"/>
        <w:ind w:left="282" w:hanging="282" w:hangingChars="78"/>
        <w:contextualSpacing/>
        <w:jc w:val="center"/>
        <w:rPr>
          <w:rFonts w:hAnsi="宋体" w:cs="宋体"/>
          <w:b/>
          <w:color w:val="auto"/>
          <w:sz w:val="36"/>
          <w:szCs w:val="36"/>
          <w:highlight w:val="none"/>
        </w:rPr>
      </w:pPr>
      <w:r>
        <w:rPr>
          <w:rFonts w:hint="eastAsia" w:hAnsi="宋体" w:cs="宋体"/>
          <w:b/>
          <w:color w:val="auto"/>
          <w:sz w:val="36"/>
          <w:szCs w:val="36"/>
          <w:highlight w:val="none"/>
        </w:rPr>
        <w:br w:type="page"/>
      </w:r>
      <w:r>
        <w:rPr>
          <w:rFonts w:hint="eastAsia" w:hAnsi="宋体" w:cs="宋体"/>
          <w:b/>
          <w:color w:val="auto"/>
          <w:sz w:val="36"/>
          <w:szCs w:val="36"/>
          <w:highlight w:val="none"/>
        </w:rPr>
        <w:t>第六章 资格审查与评标</w:t>
      </w:r>
    </w:p>
    <w:p>
      <w:pPr>
        <w:pStyle w:val="17"/>
        <w:spacing w:line="360" w:lineRule="auto"/>
        <w:ind w:left="164" w:hanging="163" w:hangingChars="78"/>
        <w:contextualSpacing/>
        <w:jc w:val="center"/>
        <w:rPr>
          <w:rFonts w:hAnsi="宋体" w:cs="仿宋_GB2312"/>
          <w:color w:val="auto"/>
          <w:highlight w:val="none"/>
          <w:lang w:val="zh-CN"/>
        </w:rPr>
      </w:pPr>
    </w:p>
    <w:p>
      <w:pPr>
        <w:pStyle w:val="17"/>
        <w:spacing w:line="360" w:lineRule="auto"/>
        <w:contextualSpacing/>
        <w:jc w:val="center"/>
        <w:rPr>
          <w:rFonts w:hAnsi="宋体" w:cs="仿宋_GB2312"/>
          <w:b/>
          <w:color w:val="auto"/>
          <w:sz w:val="32"/>
          <w:szCs w:val="32"/>
          <w:highlight w:val="none"/>
          <w:lang w:val="zh-CN"/>
        </w:rPr>
      </w:pPr>
      <w:r>
        <w:rPr>
          <w:rFonts w:hAnsi="宋体" w:cs="仿宋_GB2312"/>
          <w:b/>
          <w:color w:val="auto"/>
          <w:sz w:val="32"/>
          <w:szCs w:val="32"/>
          <w:highlight w:val="none"/>
          <w:lang w:val="zh-CN"/>
        </w:rPr>
        <w:t>一、资格审查</w:t>
      </w:r>
    </w:p>
    <w:p>
      <w:pPr>
        <w:pStyle w:val="17"/>
        <w:spacing w:line="360" w:lineRule="auto"/>
        <w:ind w:firstLine="480" w:firstLineChars="200"/>
        <w:contextualSpacing/>
        <w:rPr>
          <w:rFonts w:hAnsi="宋体" w:cs="仿宋_GB2312"/>
          <w:color w:val="auto"/>
          <w:kern w:val="2"/>
          <w:sz w:val="24"/>
          <w:szCs w:val="24"/>
          <w:highlight w:val="none"/>
          <w:lang w:val="zh-CN"/>
        </w:rPr>
      </w:pPr>
      <w:r>
        <w:rPr>
          <w:rFonts w:hint="eastAsia" w:hAnsi="宋体" w:cs="仿宋_GB2312"/>
          <w:color w:val="auto"/>
          <w:kern w:val="2"/>
          <w:sz w:val="24"/>
          <w:szCs w:val="24"/>
          <w:highlight w:val="none"/>
          <w:lang w:val="zh-CN"/>
        </w:rPr>
        <w:t>（一）</w:t>
      </w:r>
      <w:r>
        <w:rPr>
          <w:rFonts w:hAnsi="宋体" w:cs="仿宋_GB2312"/>
          <w:color w:val="auto"/>
          <w:kern w:val="2"/>
          <w:sz w:val="24"/>
          <w:szCs w:val="24"/>
          <w:highlight w:val="none"/>
          <w:lang w:val="zh-CN"/>
        </w:rPr>
        <w:t>开标结束后，</w:t>
      </w:r>
      <w:r>
        <w:rPr>
          <w:rFonts w:hint="eastAsia" w:hAnsi="宋体" w:cs="仿宋_GB2312"/>
          <w:color w:val="auto"/>
          <w:kern w:val="2"/>
          <w:sz w:val="24"/>
          <w:szCs w:val="24"/>
          <w:highlight w:val="none"/>
          <w:lang w:val="zh-CN"/>
        </w:rPr>
        <w:t>采购人依法对投标人资格进行审查</w:t>
      </w:r>
      <w:r>
        <w:rPr>
          <w:rFonts w:hAnsi="宋体" w:cs="仿宋_GB2312"/>
          <w:color w:val="auto"/>
          <w:kern w:val="2"/>
          <w:sz w:val="24"/>
          <w:szCs w:val="24"/>
          <w:highlight w:val="none"/>
          <w:lang w:val="zh-CN"/>
        </w:rPr>
        <w:t>。</w:t>
      </w:r>
      <w:r>
        <w:rPr>
          <w:rFonts w:hint="eastAsia" w:hAnsi="宋体" w:cs="仿宋_GB2312"/>
          <w:color w:val="auto"/>
          <w:kern w:val="2"/>
          <w:sz w:val="24"/>
          <w:szCs w:val="24"/>
          <w:highlight w:val="none"/>
          <w:lang w:val="zh-CN"/>
        </w:rPr>
        <w:t>确定符合资格的投标人不少于3家的，将组织评标委员会进行评标。</w:t>
      </w:r>
    </w:p>
    <w:p>
      <w:pPr>
        <w:pStyle w:val="17"/>
        <w:spacing w:line="360" w:lineRule="auto"/>
        <w:ind w:firstLine="480" w:firstLineChars="200"/>
        <w:contextualSpacing/>
        <w:rPr>
          <w:rFonts w:hAnsi="宋体" w:cs="仿宋_GB2312"/>
          <w:color w:val="auto"/>
          <w:kern w:val="2"/>
          <w:sz w:val="24"/>
          <w:szCs w:val="24"/>
          <w:highlight w:val="none"/>
          <w:lang w:val="zh-CN"/>
        </w:rPr>
      </w:pPr>
      <w:r>
        <w:rPr>
          <w:rFonts w:hint="eastAsia" w:hAnsi="宋体" w:cs="仿宋_GB2312"/>
          <w:color w:val="auto"/>
          <w:kern w:val="2"/>
          <w:sz w:val="24"/>
          <w:szCs w:val="24"/>
          <w:highlight w:val="none"/>
          <w:lang w:val="zh-CN"/>
        </w:rPr>
        <w:t>（二）资格证明材料（本栏所列内容为本项目的资格审查条件，如有一项不符合要求，则不能进入下一步评审）。</w:t>
      </w:r>
    </w:p>
    <w:p>
      <w:pPr>
        <w:spacing w:line="360" w:lineRule="auto"/>
        <w:ind w:right="55" w:rightChars="26"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（三）资格审查中所涉及到的证书及材料，均须在电子投标文件中提供原件扫描件（或图片）。</w:t>
      </w:r>
    </w:p>
    <w:tbl>
      <w:tblPr>
        <w:tblStyle w:val="2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1</w:t>
            </w:r>
          </w:p>
        </w:tc>
        <w:tc>
          <w:tcPr>
            <w:tcW w:w="2410" w:type="dxa"/>
            <w:vAlign w:val="center"/>
          </w:tcPr>
          <w:p>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投标函</w:t>
            </w:r>
          </w:p>
        </w:tc>
        <w:tc>
          <w:tcPr>
            <w:tcW w:w="5954" w:type="dxa"/>
            <w:vAlign w:val="center"/>
          </w:tcPr>
          <w:p>
            <w:pPr>
              <w:spacing w:line="360" w:lineRule="auto"/>
              <w:rPr>
                <w:rFonts w:asciiTheme="minorEastAsia" w:hAnsiTheme="minorEastAsia"/>
                <w:b/>
                <w:color w:val="auto"/>
                <w:sz w:val="24"/>
                <w:highlight w:val="none"/>
              </w:rPr>
            </w:pPr>
            <w:r>
              <w:rPr>
                <w:rFonts w:hint="eastAsia" w:ascii="宋体" w:hAnsi="宋体" w:cs="微软雅黑"/>
                <w:bCs/>
                <w:color w:val="auto"/>
                <w:sz w:val="24"/>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2</w:t>
            </w:r>
          </w:p>
        </w:tc>
        <w:tc>
          <w:tcPr>
            <w:tcW w:w="2410" w:type="dxa"/>
            <w:vAlign w:val="center"/>
          </w:tcPr>
          <w:p>
            <w:pPr>
              <w:spacing w:line="360" w:lineRule="auto"/>
              <w:rPr>
                <w:rFonts w:asciiTheme="minorEastAsia" w:hAnsiTheme="minorEastAsia"/>
                <w:b/>
                <w:color w:val="auto"/>
                <w:sz w:val="24"/>
                <w:highlight w:val="none"/>
              </w:rPr>
            </w:pPr>
            <w:r>
              <w:rPr>
                <w:rFonts w:hint="eastAsia" w:asciiTheme="minorEastAsia" w:hAnsiTheme="minorEastAsia"/>
                <w:b/>
                <w:bCs/>
                <w:color w:val="auto"/>
                <w:sz w:val="24"/>
                <w:highlight w:val="none"/>
              </w:rPr>
              <w:t>法人或者其他组织的营业执照等证明文件，自然人的身份证明</w:t>
            </w:r>
          </w:p>
        </w:tc>
        <w:tc>
          <w:tcPr>
            <w:tcW w:w="5954" w:type="dxa"/>
            <w:vAlign w:val="center"/>
          </w:tcPr>
          <w:p>
            <w:pPr>
              <w:autoSpaceDE w:val="0"/>
              <w:autoSpaceDN w:val="0"/>
              <w:adjustRightInd w:val="0"/>
              <w:spacing w:line="360" w:lineRule="auto"/>
              <w:ind w:right="-11"/>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 w:val="24"/>
                <w:highlight w:val="none"/>
                <w:lang w:val="zh-CN"/>
              </w:rPr>
            </w:pPr>
            <w:r>
              <w:rPr>
                <w:rFonts w:hint="eastAsia" w:cs="宋体" w:asciiTheme="minorEastAsia" w:hAnsiTheme="minorEastAsia"/>
                <w:bCs/>
                <w:color w:val="auto"/>
                <w:sz w:val="24"/>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 w:val="24"/>
                <w:highlight w:val="none"/>
                <w:lang w:val="zh-CN"/>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3</w:t>
            </w:r>
          </w:p>
        </w:tc>
        <w:tc>
          <w:tcPr>
            <w:tcW w:w="2410" w:type="dxa"/>
            <w:vAlign w:val="center"/>
          </w:tcPr>
          <w:p>
            <w:pPr>
              <w:spacing w:line="360" w:lineRule="auto"/>
              <w:rPr>
                <w:rFonts w:asciiTheme="minorEastAsia" w:hAnsiTheme="minorEastAsia"/>
                <w:b/>
                <w:color w:val="auto"/>
                <w:sz w:val="24"/>
                <w:highlight w:val="none"/>
              </w:rPr>
            </w:pPr>
            <w:r>
              <w:rPr>
                <w:rFonts w:hint="eastAsia" w:asciiTheme="minorEastAsia" w:hAnsiTheme="minorEastAsia"/>
                <w:b/>
                <w:bCs/>
                <w:color w:val="auto"/>
                <w:sz w:val="24"/>
                <w:highlight w:val="none"/>
              </w:rPr>
              <w:t>财务状况报告相关材料</w:t>
            </w:r>
          </w:p>
        </w:tc>
        <w:tc>
          <w:tcPr>
            <w:tcW w:w="5954" w:type="dxa"/>
          </w:tcPr>
          <w:p>
            <w:pPr>
              <w:spacing w:line="360" w:lineRule="auto"/>
              <w:rPr>
                <w:rFonts w:hint="eastAsia" w:ascii="宋体" w:hAnsi="宋体"/>
                <w:bCs/>
                <w:color w:val="auto"/>
                <w:sz w:val="24"/>
                <w:highlight w:val="none"/>
              </w:rPr>
            </w:pPr>
            <w:r>
              <w:rPr>
                <w:rFonts w:hint="eastAsia" w:ascii="宋体" w:hAnsi="宋体"/>
                <w:bCs/>
                <w:color w:val="auto"/>
                <w:sz w:val="24"/>
                <w:highlight w:val="none"/>
              </w:rPr>
              <w:t>（1）投标人是法人（法人包括企业法人、机关法人、事业单位法人和社会团体法人），提供本单位：</w:t>
            </w:r>
          </w:p>
          <w:p>
            <w:pPr>
              <w:spacing w:line="360" w:lineRule="auto"/>
              <w:rPr>
                <w:rFonts w:hint="eastAsia" w:ascii="宋体" w:hAnsi="宋体"/>
                <w:bCs/>
                <w:color w:val="auto"/>
                <w:sz w:val="24"/>
                <w:highlight w:val="none"/>
              </w:rPr>
            </w:pPr>
            <w:r>
              <w:rPr>
                <w:rFonts w:hint="eastAsia" w:ascii="宋体" w:hAnsi="宋体"/>
                <w:bCs/>
                <w:color w:val="auto"/>
                <w:sz w:val="24"/>
                <w:highlight w:val="none"/>
              </w:rPr>
              <w:t>提供近三年内任意一年经会计师事务所审计的企业财务报告复印件或基本开户银行出具的资信证明原件。</w:t>
            </w:r>
          </w:p>
          <w:p>
            <w:pPr>
              <w:spacing w:line="360" w:lineRule="auto"/>
              <w:rPr>
                <w:rFonts w:hint="eastAsia" w:ascii="宋体" w:hAnsi="宋体"/>
                <w:bCs/>
                <w:color w:val="auto"/>
                <w:sz w:val="24"/>
                <w:highlight w:val="none"/>
              </w:rPr>
            </w:pPr>
            <w:r>
              <w:rPr>
                <w:rFonts w:hint="eastAsia" w:ascii="宋体" w:hAnsi="宋体"/>
                <w:bCs/>
                <w:color w:val="auto"/>
                <w:sz w:val="24"/>
                <w:highlight w:val="none"/>
              </w:rPr>
              <w:t>（2）投标人（其他组织和自然人）提供本单位：</w:t>
            </w:r>
          </w:p>
          <w:p>
            <w:pPr>
              <w:spacing w:line="360" w:lineRule="auto"/>
              <w:rPr>
                <w:rFonts w:ascii="宋体" w:hAnsi="宋体"/>
                <w:bCs/>
                <w:color w:val="auto"/>
                <w:sz w:val="24"/>
                <w:highlight w:val="none"/>
              </w:rPr>
            </w:pPr>
            <w:r>
              <w:rPr>
                <w:rFonts w:hint="eastAsia" w:ascii="宋体" w:hAnsi="宋体"/>
                <w:bCs/>
                <w:color w:val="auto"/>
                <w:sz w:val="24"/>
                <w:highlight w:val="none"/>
              </w:rPr>
              <w:t>提供近三年内任意一年经会计师事务所审计的企业财务报告复印件或基本开户银行出具的资信证明原件。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4</w:t>
            </w:r>
          </w:p>
        </w:tc>
        <w:tc>
          <w:tcPr>
            <w:tcW w:w="2410" w:type="dxa"/>
            <w:vAlign w:val="center"/>
          </w:tcPr>
          <w:p>
            <w:pPr>
              <w:spacing w:line="360" w:lineRule="auto"/>
              <w:rPr>
                <w:rFonts w:asciiTheme="minorEastAsia" w:hAnsiTheme="minorEastAsia"/>
                <w:b/>
                <w:color w:val="auto"/>
                <w:sz w:val="24"/>
                <w:highlight w:val="none"/>
              </w:rPr>
            </w:pPr>
            <w:r>
              <w:rPr>
                <w:rFonts w:hint="eastAsia" w:asciiTheme="minorEastAsia" w:hAnsiTheme="minorEastAsia"/>
                <w:b/>
                <w:bCs/>
                <w:color w:val="auto"/>
                <w:sz w:val="24"/>
                <w:highlight w:val="none"/>
              </w:rPr>
              <w:t>依法缴纳税收相关材料</w:t>
            </w:r>
          </w:p>
        </w:tc>
        <w:tc>
          <w:tcPr>
            <w:tcW w:w="5954" w:type="dxa"/>
          </w:tcPr>
          <w:p>
            <w:pPr>
              <w:spacing w:line="360" w:lineRule="auto"/>
              <w:rPr>
                <w:rFonts w:asciiTheme="minorEastAsia" w:hAnsiTheme="minorEastAsia"/>
                <w:b/>
                <w:bCs/>
                <w:color w:val="auto"/>
                <w:sz w:val="24"/>
                <w:highlight w:val="none"/>
              </w:rPr>
            </w:pPr>
            <w:r>
              <w:rPr>
                <w:rFonts w:ascii="宋体" w:hAnsi="宋体" w:eastAsia="宋体"/>
                <w:color w:val="auto"/>
                <w:sz w:val="24"/>
                <w:szCs w:val="24"/>
                <w:highlight w:val="none"/>
              </w:rPr>
              <w:t>提供投标人</w:t>
            </w:r>
            <w:r>
              <w:rPr>
                <w:rFonts w:hint="eastAsia" w:ascii="宋体" w:hAnsi="宋体" w:eastAsia="宋体"/>
                <w:color w:val="auto"/>
                <w:sz w:val="24"/>
                <w:szCs w:val="24"/>
                <w:highlight w:val="none"/>
              </w:rPr>
              <w:t>近一年内</w:t>
            </w:r>
            <w:r>
              <w:rPr>
                <w:rFonts w:ascii="宋体" w:hAnsi="宋体" w:eastAsia="宋体"/>
                <w:color w:val="auto"/>
                <w:sz w:val="24"/>
                <w:szCs w:val="24"/>
                <w:highlight w:val="none"/>
              </w:rPr>
              <w:t>任意月份缴税</w:t>
            </w:r>
            <w:r>
              <w:rPr>
                <w:rFonts w:hint="eastAsia" w:ascii="宋体" w:hAnsi="宋体" w:eastAsia="宋体"/>
                <w:color w:val="auto"/>
                <w:sz w:val="24"/>
                <w:szCs w:val="24"/>
                <w:highlight w:val="none"/>
              </w:rPr>
              <w:t>证明材料，如完税证明复印件、银行缴税划款凭证复印件</w:t>
            </w:r>
            <w:r>
              <w:rPr>
                <w:rFonts w:ascii="宋体" w:hAnsi="宋体" w:eastAsia="宋体"/>
                <w:color w:val="auto"/>
                <w:sz w:val="24"/>
                <w:szCs w:val="24"/>
                <w:highlight w:val="none"/>
              </w:rPr>
              <w:t>或</w:t>
            </w:r>
            <w:r>
              <w:rPr>
                <w:rFonts w:hint="eastAsia" w:ascii="宋体" w:hAnsi="宋体" w:eastAsia="宋体"/>
                <w:color w:val="auto"/>
                <w:sz w:val="24"/>
                <w:szCs w:val="24"/>
                <w:highlight w:val="none"/>
              </w:rPr>
              <w:t>者由税务部门出具的依法缴纳税收的证明原件等</w:t>
            </w:r>
            <w:r>
              <w:rPr>
                <w:rFonts w:hint="eastAsia" w:asciiTheme="minorEastAsia" w:hAnsiTheme="minorEastAsia"/>
                <w:bCs/>
                <w:color w:val="auto"/>
                <w:sz w:val="24"/>
                <w:highlight w:val="none"/>
              </w:rPr>
              <w:t>。（依法免税的投标人，应提供相应文件证明依法免税）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5</w:t>
            </w:r>
          </w:p>
        </w:tc>
        <w:tc>
          <w:tcPr>
            <w:tcW w:w="2410" w:type="dxa"/>
            <w:vAlign w:val="center"/>
          </w:tcPr>
          <w:p>
            <w:pPr>
              <w:spacing w:line="360" w:lineRule="auto"/>
              <w:rPr>
                <w:rFonts w:asciiTheme="minorEastAsia" w:hAnsiTheme="minorEastAsia"/>
                <w:bCs/>
                <w:color w:val="auto"/>
                <w:sz w:val="24"/>
                <w:highlight w:val="none"/>
              </w:rPr>
            </w:pPr>
            <w:r>
              <w:rPr>
                <w:rFonts w:hint="eastAsia" w:asciiTheme="minorEastAsia" w:hAnsiTheme="minorEastAsia"/>
                <w:b/>
                <w:bCs/>
                <w:color w:val="auto"/>
                <w:sz w:val="24"/>
                <w:highlight w:val="none"/>
              </w:rPr>
              <w:t>依法缴纳社会保障资金的证明材料</w:t>
            </w:r>
          </w:p>
        </w:tc>
        <w:tc>
          <w:tcPr>
            <w:tcW w:w="5954" w:type="dxa"/>
          </w:tcPr>
          <w:p>
            <w:pPr>
              <w:spacing w:line="360" w:lineRule="auto"/>
              <w:rPr>
                <w:rFonts w:asciiTheme="minorEastAsia" w:hAnsiTheme="minorEastAsia"/>
                <w:b/>
                <w:bCs/>
                <w:color w:val="auto"/>
                <w:sz w:val="24"/>
                <w:highlight w:val="none"/>
              </w:rPr>
            </w:pPr>
            <w:r>
              <w:rPr>
                <w:rFonts w:ascii="宋体" w:hAnsi="宋体" w:eastAsia="宋体"/>
                <w:color w:val="auto"/>
                <w:sz w:val="24"/>
                <w:szCs w:val="24"/>
                <w:highlight w:val="none"/>
              </w:rPr>
              <w:t>提供投标人</w:t>
            </w:r>
            <w:r>
              <w:rPr>
                <w:rFonts w:hint="eastAsia" w:ascii="宋体" w:hAnsi="宋体" w:eastAsia="宋体"/>
                <w:color w:val="auto"/>
                <w:sz w:val="24"/>
                <w:szCs w:val="24"/>
                <w:highlight w:val="none"/>
              </w:rPr>
              <w:t>近一年内</w:t>
            </w:r>
            <w:r>
              <w:rPr>
                <w:rFonts w:ascii="宋体" w:hAnsi="宋体" w:eastAsia="宋体"/>
                <w:color w:val="auto"/>
                <w:sz w:val="24"/>
                <w:szCs w:val="24"/>
                <w:highlight w:val="none"/>
              </w:rPr>
              <w:t>任意月份缴纳社会</w:t>
            </w:r>
            <w:r>
              <w:rPr>
                <w:rFonts w:hint="eastAsia" w:ascii="宋体" w:hAnsi="宋体" w:eastAsia="宋体"/>
                <w:color w:val="auto"/>
                <w:sz w:val="24"/>
                <w:szCs w:val="24"/>
                <w:highlight w:val="none"/>
              </w:rPr>
              <w:t>保险的证明材料，如凭据复印件（专用收据或社会保险交纳清单）、银行划款凭证复印件或社保经办机构出具的证明原件等</w:t>
            </w:r>
            <w:r>
              <w:rPr>
                <w:rFonts w:hint="eastAsia" w:asciiTheme="minorEastAsia" w:hAnsiTheme="minorEastAsia"/>
                <w:bCs/>
                <w:color w:val="auto"/>
                <w:sz w:val="24"/>
                <w:highlight w:val="none"/>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6</w:t>
            </w:r>
          </w:p>
        </w:tc>
        <w:tc>
          <w:tcPr>
            <w:tcW w:w="2410" w:type="dxa"/>
            <w:vAlign w:val="center"/>
          </w:tcPr>
          <w:p>
            <w:pPr>
              <w:spacing w:line="360" w:lineRule="auto"/>
              <w:rPr>
                <w:rFonts w:asciiTheme="minorEastAsia" w:hAnsiTheme="minorEastAsia"/>
                <w:b/>
                <w:color w:val="auto"/>
                <w:sz w:val="24"/>
                <w:highlight w:val="none"/>
              </w:rPr>
            </w:pPr>
            <w:r>
              <w:rPr>
                <w:rFonts w:hint="eastAsia" w:asciiTheme="minorEastAsia" w:hAnsiTheme="minorEastAsia"/>
                <w:b/>
                <w:bCs/>
                <w:color w:val="auto"/>
                <w:sz w:val="24"/>
                <w:highlight w:val="none"/>
              </w:rPr>
              <w:t>履行合同所必须的设备和专业技术能力的证明材料</w:t>
            </w:r>
          </w:p>
        </w:tc>
        <w:tc>
          <w:tcPr>
            <w:tcW w:w="5954" w:type="dxa"/>
          </w:tcPr>
          <w:p>
            <w:pPr>
              <w:spacing w:line="360" w:lineRule="auto"/>
              <w:rPr>
                <w:rFonts w:asciiTheme="minorEastAsia" w:hAnsiTheme="minorEastAsia"/>
                <w:b/>
                <w:bCs/>
                <w:color w:val="auto"/>
                <w:sz w:val="24"/>
                <w:highlight w:val="none"/>
              </w:rPr>
            </w:pPr>
            <w:r>
              <w:rPr>
                <w:rFonts w:hint="eastAsia" w:ascii="宋体" w:hAnsi="宋体" w:cs="宋体"/>
                <w:bCs/>
                <w:color w:val="auto"/>
                <w:sz w:val="24"/>
                <w:highlight w:val="none"/>
                <w:lang w:val="zh-CN"/>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7</w:t>
            </w:r>
          </w:p>
        </w:tc>
        <w:tc>
          <w:tcPr>
            <w:tcW w:w="2410" w:type="dxa"/>
            <w:vAlign w:val="center"/>
          </w:tcPr>
          <w:p>
            <w:pPr>
              <w:spacing w:line="360" w:lineRule="auto"/>
              <w:rPr>
                <w:rFonts w:asciiTheme="minorEastAsia" w:hAnsiTheme="minorEastAsia"/>
                <w:bCs/>
                <w:color w:val="auto"/>
                <w:sz w:val="24"/>
                <w:highlight w:val="none"/>
              </w:rPr>
            </w:pPr>
            <w:r>
              <w:rPr>
                <w:rFonts w:hint="eastAsia" w:asciiTheme="minorEastAsia" w:hAnsiTheme="minorEastAsia"/>
                <w:b/>
                <w:bCs/>
                <w:color w:val="auto"/>
                <w:sz w:val="24"/>
                <w:highlight w:val="none"/>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color w:val="auto"/>
                <w:sz w:val="24"/>
                <w:highlight w:val="none"/>
              </w:rPr>
            </w:pPr>
            <w:r>
              <w:rPr>
                <w:rFonts w:hint="eastAsia" w:ascii="宋体" w:hAnsi="宋体" w:cs="微软雅黑"/>
                <w:bCs/>
                <w:color w:val="auto"/>
                <w:sz w:val="24"/>
                <w:highlight w:val="none"/>
              </w:rPr>
              <w:t>按照招标文件提供格式填写。</w:t>
            </w:r>
            <w:r>
              <w:rPr>
                <w:rFonts w:hint="eastAsia" w:asciiTheme="minorEastAsia" w:hAnsiTheme="minorEastAsia"/>
                <w:bCs/>
                <w:color w:val="auto"/>
                <w:sz w:val="24"/>
                <w:highlight w:val="none"/>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8</w:t>
            </w:r>
          </w:p>
        </w:tc>
        <w:tc>
          <w:tcPr>
            <w:tcW w:w="2410" w:type="dxa"/>
            <w:vAlign w:val="center"/>
          </w:tcPr>
          <w:p>
            <w:pPr>
              <w:spacing w:line="360" w:lineRule="auto"/>
              <w:rPr>
                <w:rFonts w:asciiTheme="minorEastAsia" w:hAnsiTheme="minorEastAsia"/>
                <w:bCs/>
                <w:color w:val="auto"/>
                <w:sz w:val="24"/>
                <w:highlight w:val="none"/>
              </w:rPr>
            </w:pPr>
            <w:r>
              <w:rPr>
                <w:rFonts w:hint="eastAsia" w:asciiTheme="minorEastAsia" w:hAnsiTheme="minorEastAsia"/>
                <w:b/>
                <w:bCs/>
                <w:color w:val="auto"/>
                <w:sz w:val="24"/>
                <w:highlight w:val="none"/>
              </w:rPr>
              <w:t>信用记录查询及使用</w:t>
            </w:r>
          </w:p>
        </w:tc>
        <w:tc>
          <w:tcPr>
            <w:tcW w:w="5954" w:type="dxa"/>
          </w:tcPr>
          <w:p>
            <w:pPr>
              <w:autoSpaceDE w:val="0"/>
              <w:autoSpaceDN w:val="0"/>
              <w:spacing w:line="360" w:lineRule="auto"/>
              <w:contextualSpacing/>
              <w:jc w:val="left"/>
              <w:rPr>
                <w:rFonts w:cs="宋体" w:asciiTheme="minorEastAsia" w:hAnsiTheme="minorEastAsia"/>
                <w:color w:val="auto"/>
                <w:kern w:val="0"/>
                <w:sz w:val="24"/>
                <w:highlight w:val="none"/>
              </w:rPr>
            </w:pPr>
            <w:r>
              <w:rPr>
                <w:rFonts w:hint="eastAsia" w:ascii="宋体" w:hAnsi="宋体"/>
                <w:b/>
                <w:bCs/>
                <w:color w:val="auto"/>
                <w:sz w:val="24"/>
                <w:highlight w:val="none"/>
              </w:rPr>
              <w:t>投标人未被列入</w:t>
            </w:r>
            <w:r>
              <w:rPr>
                <w:rFonts w:ascii="宋体" w:hAnsi="宋体"/>
                <w:b/>
                <w:bCs/>
                <w:color w:val="auto"/>
                <w:sz w:val="24"/>
                <w:highlight w:val="none"/>
              </w:rPr>
              <w:t>“信用中国”网站</w:t>
            </w:r>
            <w:r>
              <w:rPr>
                <w:rFonts w:hint="eastAsia" w:ascii="宋体" w:hAnsi="宋体"/>
                <w:b/>
                <w:bCs/>
                <w:color w:val="auto"/>
                <w:sz w:val="24"/>
                <w:highlight w:val="none"/>
              </w:rPr>
              <w:t>失信被执行人、重大税收违法案件当事人名单、</w:t>
            </w:r>
            <w:r>
              <w:rPr>
                <w:rFonts w:ascii="宋体" w:hAnsi="宋体"/>
                <w:b/>
                <w:bCs/>
                <w:color w:val="auto"/>
                <w:sz w:val="24"/>
                <w:highlight w:val="none"/>
              </w:rPr>
              <w:t>政府采购严重违法失信名单</w:t>
            </w:r>
            <w:r>
              <w:rPr>
                <w:rFonts w:hint="eastAsia" w:ascii="宋体" w:hAnsi="宋体"/>
                <w:b/>
                <w:bCs/>
                <w:color w:val="auto"/>
                <w:sz w:val="24"/>
                <w:highlight w:val="none"/>
              </w:rPr>
              <w:t>、“</w:t>
            </w:r>
            <w:r>
              <w:rPr>
                <w:rFonts w:ascii="宋体" w:hAnsi="宋体"/>
                <w:b/>
                <w:bCs/>
                <w:color w:val="auto"/>
                <w:sz w:val="24"/>
                <w:highlight w:val="none"/>
              </w:rPr>
              <w:t>中国政府采购网</w:t>
            </w:r>
            <w:r>
              <w:rPr>
                <w:rFonts w:hint="eastAsia" w:ascii="宋体" w:hAnsi="宋体"/>
                <w:b/>
                <w:bCs/>
                <w:color w:val="auto"/>
                <w:sz w:val="24"/>
                <w:highlight w:val="none"/>
              </w:rPr>
              <w:t>”政府采购严重违法失信行为记录名单、“中国社会组织公共服务平台”网站严重违法失信社会组织名单的投标人；</w:t>
            </w:r>
            <w:r>
              <w:rPr>
                <w:rFonts w:hint="eastAsia" w:ascii="宋体" w:hAnsi="宋体" w:cs="宋体"/>
                <w:color w:val="auto"/>
                <w:kern w:val="0"/>
                <w:sz w:val="24"/>
                <w:highlight w:val="none"/>
              </w:rPr>
              <w:t>上述查询结果页面</w:t>
            </w:r>
            <w:r>
              <w:rPr>
                <w:rFonts w:ascii="宋体" w:hAnsi="宋体" w:cs="宋体"/>
                <w:color w:val="auto"/>
                <w:kern w:val="0"/>
                <w:sz w:val="24"/>
                <w:highlight w:val="none"/>
              </w:rPr>
              <w:t>截图查询时间应在本公告发布之</w:t>
            </w:r>
            <w:r>
              <w:rPr>
                <w:rFonts w:hint="eastAsia" w:ascii="宋体" w:hAnsi="宋体" w:cs="宋体"/>
                <w:color w:val="auto"/>
                <w:kern w:val="0"/>
                <w:sz w:val="24"/>
                <w:highlight w:val="none"/>
              </w:rPr>
              <w:t>起</w:t>
            </w:r>
            <w:r>
              <w:rPr>
                <w:rFonts w:ascii="宋体" w:hAnsi="宋体" w:cs="宋体"/>
                <w:color w:val="auto"/>
                <w:kern w:val="0"/>
                <w:sz w:val="24"/>
                <w:highlight w:val="none"/>
              </w:rPr>
              <w:t>至开</w:t>
            </w:r>
            <w:r>
              <w:rPr>
                <w:rFonts w:hint="eastAsia" w:ascii="宋体" w:hAnsi="宋体" w:cs="宋体"/>
                <w:color w:val="auto"/>
                <w:kern w:val="0"/>
                <w:sz w:val="24"/>
                <w:highlight w:val="none"/>
              </w:rPr>
              <w:t>标前</w:t>
            </w:r>
            <w:r>
              <w:rPr>
                <w:rFonts w:hint="eastAsia" w:cs="仿宋_GB2312" w:asciiTheme="minorEastAsia" w:hAnsiTheme="minorEastAsia"/>
                <w:color w:val="auto"/>
                <w:sz w:val="24"/>
                <w:highlight w:val="none"/>
                <w:shd w:val="clear" w:color="auto" w:fill="FFFFFF"/>
              </w:rPr>
              <w:t>（</w:t>
            </w:r>
            <w:r>
              <w:rPr>
                <w:rFonts w:hint="eastAsia" w:cs="宋体" w:asciiTheme="minorEastAsia" w:hAnsiTheme="minorEastAsia"/>
                <w:color w:val="auto"/>
                <w:kern w:val="0"/>
                <w:sz w:val="24"/>
                <w:highlight w:val="none"/>
              </w:rPr>
              <w:t>联合体形式投标的，联合体成员存在不良信用记录，视同联合体存在不良信用记录）。</w:t>
            </w:r>
          </w:p>
          <w:p>
            <w:pPr>
              <w:autoSpaceDE w:val="0"/>
              <w:autoSpaceDN w:val="0"/>
              <w:spacing w:line="360" w:lineRule="auto"/>
              <w:contextualSpacing/>
              <w:jc w:val="left"/>
              <w:rPr>
                <w:rFonts w:cs="宋体" w:asciiTheme="minorEastAsia" w:hAnsiTheme="minorEastAsia"/>
                <w:color w:val="auto"/>
                <w:kern w:val="0"/>
                <w:sz w:val="24"/>
                <w:highlight w:val="none"/>
              </w:rPr>
            </w:pPr>
            <w:r>
              <w:rPr>
                <w:rFonts w:hint="eastAsia" w:ascii="宋体" w:hAnsi="宋体"/>
                <w:color w:val="auto"/>
                <w:sz w:val="24"/>
                <w:highlight w:val="none"/>
              </w:rPr>
              <w:t>（1）查询渠道：</w:t>
            </w:r>
          </w:p>
          <w:p>
            <w:pPr>
              <w:spacing w:line="360" w:lineRule="auto"/>
              <w:rPr>
                <w:rFonts w:ascii="宋体" w:hAnsi="宋体"/>
                <w:color w:val="auto"/>
                <w:sz w:val="24"/>
                <w:highlight w:val="none"/>
              </w:rPr>
            </w:pPr>
            <w:r>
              <w:rPr>
                <w:rFonts w:hint="eastAsia" w:ascii="宋体" w:hAnsi="宋体"/>
                <w:color w:val="auto"/>
                <w:sz w:val="24"/>
                <w:highlight w:val="none"/>
              </w:rPr>
              <w:t>①“信用中国”网站（www.creditchina.gov.cn）</w:t>
            </w:r>
          </w:p>
          <w:p>
            <w:pPr>
              <w:spacing w:line="360" w:lineRule="auto"/>
              <w:rPr>
                <w:rFonts w:ascii="宋体" w:hAnsi="宋体"/>
                <w:color w:val="auto"/>
                <w:sz w:val="24"/>
                <w:highlight w:val="none"/>
              </w:rPr>
            </w:pPr>
            <w:r>
              <w:rPr>
                <w:rFonts w:hint="eastAsia" w:ascii="宋体" w:hAnsi="宋体"/>
                <w:color w:val="auto"/>
                <w:sz w:val="24"/>
                <w:highlight w:val="none"/>
              </w:rPr>
              <w:t>②“中国政府采购网”（www.ccgp.gov.cn）</w:t>
            </w:r>
          </w:p>
          <w:p>
            <w:pPr>
              <w:spacing w:line="360" w:lineRule="auto"/>
              <w:rPr>
                <w:rFonts w:ascii="宋体" w:hAnsi="宋体"/>
                <w:color w:val="auto"/>
                <w:sz w:val="24"/>
                <w:highlight w:val="none"/>
              </w:rPr>
            </w:pPr>
            <w:r>
              <w:rPr>
                <w:rFonts w:hint="eastAsia" w:ascii="宋体" w:hAnsi="宋体"/>
                <w:color w:val="auto"/>
                <w:sz w:val="24"/>
                <w:highlight w:val="none"/>
              </w:rPr>
              <w:t>③“中国社会组织公共服务平台”网站（</w:t>
            </w:r>
            <w:r>
              <w:rPr>
                <w:rFonts w:ascii="宋体" w:hAnsi="宋体"/>
                <w:color w:val="auto"/>
                <w:sz w:val="24"/>
                <w:highlight w:val="none"/>
              </w:rPr>
              <w:t>www.chinanpo.gov.cn</w:t>
            </w:r>
            <w:r>
              <w:rPr>
                <w:rFonts w:hint="eastAsia" w:ascii="宋体" w:hAnsi="宋体"/>
                <w:color w:val="auto"/>
                <w:sz w:val="24"/>
                <w:highlight w:val="none"/>
              </w:rPr>
              <w:t>）（仅查询社会组织）；</w:t>
            </w:r>
          </w:p>
          <w:p>
            <w:pPr>
              <w:spacing w:line="360" w:lineRule="auto"/>
              <w:rPr>
                <w:rFonts w:ascii="宋体" w:hAnsi="宋体"/>
                <w:color w:val="auto"/>
                <w:sz w:val="24"/>
                <w:highlight w:val="none"/>
              </w:rPr>
            </w:pPr>
            <w:r>
              <w:rPr>
                <w:rFonts w:hint="eastAsia" w:ascii="宋体" w:hAnsi="宋体"/>
                <w:color w:val="auto"/>
                <w:sz w:val="24"/>
                <w:highlight w:val="none"/>
              </w:rPr>
              <w:t>（2）截止时间：同投标截止时间；</w:t>
            </w:r>
          </w:p>
          <w:p>
            <w:pPr>
              <w:pStyle w:val="17"/>
              <w:spacing w:line="360" w:lineRule="auto"/>
              <w:contextualSpacing/>
              <w:rPr>
                <w:rFonts w:cs="宋体" w:asciiTheme="minorEastAsia" w:hAnsiTheme="minorEastAsia"/>
                <w:color w:val="auto"/>
                <w:sz w:val="24"/>
                <w:szCs w:val="21"/>
                <w:highlight w:val="none"/>
              </w:rPr>
            </w:pPr>
            <w:r>
              <w:rPr>
                <w:rFonts w:hint="eastAsia" w:hAnsi="宋体"/>
                <w:color w:val="auto"/>
                <w:sz w:val="24"/>
                <w:highlight w:val="none"/>
              </w:rPr>
              <w:t>（3）信用信息查询记录和证据留存具体方式：</w:t>
            </w:r>
            <w:r>
              <w:rPr>
                <w:rFonts w:hint="eastAsia" w:cs="宋体" w:asciiTheme="minorEastAsia" w:hAnsiTheme="minorEastAsia"/>
                <w:color w:val="auto"/>
                <w:sz w:val="24"/>
                <w:szCs w:val="21"/>
                <w:highlight w:val="none"/>
              </w:rPr>
              <w:t>查询时要将查询网页内容进行截图，截图内容要完整清晰</w:t>
            </w:r>
            <w:r>
              <w:rPr>
                <w:rFonts w:hint="eastAsia" w:cs="宋体" w:asciiTheme="minorEastAsia" w:hAnsiTheme="minorEastAsia"/>
                <w:color w:val="auto"/>
                <w:szCs w:val="21"/>
                <w:highlight w:val="none"/>
              </w:rPr>
              <w:t>；</w:t>
            </w:r>
            <w:r>
              <w:rPr>
                <w:rFonts w:cs="宋体" w:asciiTheme="minorEastAsia" w:hAnsiTheme="minorEastAsia"/>
                <w:color w:val="auto"/>
                <w:sz w:val="24"/>
                <w:szCs w:val="21"/>
                <w:highlight w:val="none"/>
              </w:rPr>
              <w:t xml:space="preserve"> </w:t>
            </w:r>
            <w:r>
              <w:rPr>
                <w:rFonts w:hint="eastAsia" w:hAnsi="宋体"/>
                <w:color w:val="auto"/>
                <w:sz w:val="24"/>
                <w:highlight w:val="none"/>
              </w:rPr>
              <w:t>经采购人确认的查询结果网页截图作为查询记录和证据，与其他采购文件一并保存；</w:t>
            </w:r>
          </w:p>
          <w:p>
            <w:pPr>
              <w:spacing w:line="360" w:lineRule="auto"/>
              <w:rPr>
                <w:rFonts w:ascii="宋体" w:hAnsi="宋体"/>
                <w:color w:val="auto"/>
                <w:sz w:val="24"/>
                <w:highlight w:val="none"/>
              </w:rPr>
            </w:pPr>
            <w:r>
              <w:rPr>
                <w:rFonts w:hint="eastAsia" w:ascii="宋体" w:hAnsi="宋体"/>
                <w:color w:val="auto"/>
                <w:sz w:val="24"/>
                <w:highlight w:val="none"/>
              </w:rPr>
              <w:t>（4）信用信息的使用原则：经采购人认定的被列入失信被执行人、重大税收违法案件当事人名单、</w:t>
            </w:r>
            <w:r>
              <w:rPr>
                <w:rFonts w:ascii="宋体" w:hAnsi="宋体"/>
                <w:color w:val="auto"/>
                <w:sz w:val="24"/>
                <w:highlight w:val="none"/>
              </w:rPr>
              <w:t>政府采购严重违法失信名单</w:t>
            </w:r>
            <w:r>
              <w:rPr>
                <w:rFonts w:hint="eastAsia" w:ascii="宋体" w:hAnsi="宋体"/>
                <w:color w:val="auto"/>
                <w:sz w:val="24"/>
                <w:highlight w:val="none"/>
              </w:rPr>
              <w:t>、政府采购严重违法失信行为记录名单的投标人，严重违法失信社会组织名单的投标人，将拒绝其参与本次政府采购活动。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9</w:t>
            </w:r>
          </w:p>
        </w:tc>
        <w:tc>
          <w:tcPr>
            <w:tcW w:w="2410" w:type="dxa"/>
            <w:vAlign w:val="center"/>
          </w:tcPr>
          <w:p>
            <w:pPr>
              <w:spacing w:line="360" w:lineRule="auto"/>
              <w:rPr>
                <w:rFonts w:asciiTheme="minorEastAsia" w:hAnsiTheme="minorEastAsia"/>
                <w:b/>
                <w:color w:val="auto"/>
                <w:sz w:val="24"/>
                <w:highlight w:val="none"/>
              </w:rPr>
            </w:pPr>
            <w:r>
              <w:rPr>
                <w:rFonts w:hint="eastAsia" w:asciiTheme="minorEastAsia" w:hAnsiTheme="minorEastAsia"/>
                <w:b/>
                <w:color w:val="auto"/>
                <w:sz w:val="24"/>
                <w:highlight w:val="none"/>
              </w:rPr>
              <w:t>投标人须具备的特殊</w:t>
            </w:r>
          </w:p>
          <w:p>
            <w:pPr>
              <w:spacing w:line="360" w:lineRule="auto"/>
              <w:rPr>
                <w:rFonts w:asciiTheme="minorEastAsia" w:hAnsiTheme="minorEastAsia"/>
                <w:b/>
                <w:bCs/>
                <w:color w:val="auto"/>
                <w:sz w:val="24"/>
                <w:highlight w:val="none"/>
              </w:rPr>
            </w:pPr>
            <w:r>
              <w:rPr>
                <w:rFonts w:hint="eastAsia" w:asciiTheme="minorEastAsia" w:hAnsiTheme="minorEastAsia"/>
                <w:b/>
                <w:color w:val="auto"/>
                <w:sz w:val="24"/>
                <w:highlight w:val="none"/>
              </w:rPr>
              <w:t>资质证书</w:t>
            </w:r>
          </w:p>
        </w:tc>
        <w:tc>
          <w:tcPr>
            <w:tcW w:w="5954" w:type="dxa"/>
            <w:vAlign w:val="center"/>
          </w:tcPr>
          <w:p>
            <w:pPr>
              <w:spacing w:line="360" w:lineRule="auto"/>
              <w:ind w:left="17" w:leftChars="8"/>
              <w:jc w:val="left"/>
              <w:rPr>
                <w:rFonts w:cs="仿宋" w:asciiTheme="minorEastAsia" w:hAnsiTheme="minorEastAsia" w:eastAsiaTheme="minorEastAsia"/>
                <w:bCs/>
                <w:color w:val="auto"/>
                <w:kern w:val="0"/>
                <w:sz w:val="24"/>
                <w:highlight w:val="none"/>
                <w:shd w:val="clear" w:color="auto" w:fill="FFFFFF"/>
              </w:rPr>
            </w:pPr>
            <w:r>
              <w:rPr>
                <w:rFonts w:hint="eastAsia" w:cs="仿宋" w:asciiTheme="minorEastAsia" w:hAnsiTheme="minorEastAsia" w:eastAsiaTheme="minorEastAsia"/>
                <w:bCs/>
                <w:color w:val="auto"/>
                <w:kern w:val="0"/>
                <w:sz w:val="24"/>
                <w:highlight w:val="none"/>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10</w:t>
            </w:r>
          </w:p>
        </w:tc>
        <w:tc>
          <w:tcPr>
            <w:tcW w:w="2410" w:type="dxa"/>
            <w:vAlign w:val="center"/>
          </w:tcPr>
          <w:p>
            <w:pPr>
              <w:spacing w:line="360" w:lineRule="auto"/>
              <w:rPr>
                <w:rFonts w:asciiTheme="minorEastAsia" w:hAnsiTheme="minorEastAsia"/>
                <w:b/>
                <w:bCs/>
                <w:color w:val="auto"/>
                <w:sz w:val="24"/>
                <w:highlight w:val="none"/>
              </w:rPr>
            </w:pPr>
            <w:r>
              <w:rPr>
                <w:rFonts w:hint="eastAsia" w:asciiTheme="minorEastAsia" w:hAnsiTheme="minorEastAsia"/>
                <w:b/>
                <w:bCs/>
                <w:color w:val="auto"/>
                <w:sz w:val="24"/>
                <w:highlight w:val="none"/>
              </w:rPr>
              <w:t>投标</w:t>
            </w:r>
            <w:r>
              <w:rPr>
                <w:rFonts w:hint="eastAsia" w:cs="仿宋_GB2312" w:asciiTheme="minorEastAsia" w:hAnsiTheme="minorEastAsia"/>
                <w:b/>
                <w:color w:val="auto"/>
                <w:sz w:val="24"/>
                <w:highlight w:val="none"/>
                <w:lang w:val="zh-CN"/>
              </w:rPr>
              <w:t>报价</w:t>
            </w:r>
          </w:p>
        </w:tc>
        <w:tc>
          <w:tcPr>
            <w:tcW w:w="5954" w:type="dxa"/>
          </w:tcPr>
          <w:p>
            <w:pPr>
              <w:spacing w:line="360" w:lineRule="auto"/>
              <w:rPr>
                <w:rFonts w:asciiTheme="minorEastAsia" w:hAnsiTheme="minorEastAsia"/>
                <w:b/>
                <w:bCs/>
                <w:color w:val="auto"/>
                <w:sz w:val="24"/>
                <w:highlight w:val="none"/>
              </w:rPr>
            </w:pPr>
            <w:r>
              <w:rPr>
                <w:rFonts w:hint="eastAsia" w:cs="仿宋_GB2312" w:asciiTheme="minorEastAsia" w:hAnsiTheme="minorEastAsia"/>
                <w:color w:val="auto"/>
                <w:sz w:val="24"/>
                <w:highlight w:val="none"/>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 w:val="24"/>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color w:val="auto"/>
                <w:sz w:val="24"/>
                <w:highlight w:val="none"/>
              </w:rPr>
            </w:pPr>
            <w:r>
              <w:rPr>
                <w:rFonts w:hint="eastAsia" w:asciiTheme="minorEastAsia" w:hAnsiTheme="minorEastAsia"/>
                <w:b/>
                <w:bCs/>
                <w:color w:val="auto"/>
                <w:sz w:val="24"/>
                <w:highlight w:val="none"/>
              </w:rPr>
              <w:t>11</w:t>
            </w:r>
          </w:p>
        </w:tc>
        <w:tc>
          <w:tcPr>
            <w:tcW w:w="2410" w:type="dxa"/>
            <w:vAlign w:val="center"/>
          </w:tcPr>
          <w:p>
            <w:pPr>
              <w:spacing w:line="360" w:lineRule="auto"/>
              <w:rPr>
                <w:rFonts w:asciiTheme="minorEastAsia" w:hAnsiTheme="minorEastAsia"/>
                <w:color w:val="auto"/>
                <w:sz w:val="24"/>
                <w:highlight w:val="none"/>
              </w:rPr>
            </w:pPr>
            <w:r>
              <w:rPr>
                <w:rFonts w:hint="eastAsia" w:asciiTheme="minorEastAsia" w:hAnsiTheme="minorEastAsia"/>
                <w:b/>
                <w:color w:val="auto"/>
                <w:sz w:val="24"/>
                <w:highlight w:val="none"/>
              </w:rPr>
              <w:t>投标承诺函</w:t>
            </w:r>
          </w:p>
        </w:tc>
        <w:tc>
          <w:tcPr>
            <w:tcW w:w="5954" w:type="dxa"/>
            <w:vAlign w:val="center"/>
          </w:tcPr>
          <w:p>
            <w:pPr>
              <w:spacing w:line="360" w:lineRule="auto"/>
              <w:rPr>
                <w:rFonts w:asciiTheme="minorEastAsia" w:hAnsiTheme="minorEastAsia"/>
                <w:b/>
                <w:color w:val="auto"/>
                <w:sz w:val="24"/>
                <w:highlight w:val="none"/>
              </w:rPr>
            </w:pPr>
            <w:r>
              <w:rPr>
                <w:rFonts w:hint="eastAsia" w:asciiTheme="minorEastAsia" w:hAnsiTheme="minorEastAsia"/>
                <w:color w:val="auto"/>
                <w:sz w:val="24"/>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color w:val="auto"/>
                <w:sz w:val="24"/>
                <w:highlight w:val="none"/>
              </w:rPr>
            </w:pPr>
            <w:r>
              <w:rPr>
                <w:rFonts w:hint="eastAsia" w:asciiTheme="minorEastAsia" w:hAnsiTheme="minorEastAsia"/>
                <w:b/>
                <w:color w:val="auto"/>
                <w:sz w:val="24"/>
                <w:highlight w:val="none"/>
              </w:rPr>
              <w:t>12</w:t>
            </w:r>
          </w:p>
        </w:tc>
        <w:tc>
          <w:tcPr>
            <w:tcW w:w="2410" w:type="dxa"/>
            <w:vAlign w:val="center"/>
          </w:tcPr>
          <w:p>
            <w:pPr>
              <w:spacing w:line="360" w:lineRule="auto"/>
              <w:rPr>
                <w:rFonts w:asciiTheme="minorEastAsia" w:hAnsiTheme="minorEastAsia"/>
                <w:b/>
                <w:bCs/>
                <w:color w:val="auto"/>
                <w:sz w:val="24"/>
                <w:highlight w:val="none"/>
              </w:rPr>
            </w:pPr>
            <w:r>
              <w:rPr>
                <w:rFonts w:hint="eastAsia" w:asciiTheme="minorEastAsia" w:hAnsiTheme="minorEastAsia"/>
                <w:b/>
                <w:bCs/>
                <w:color w:val="auto"/>
                <w:sz w:val="24"/>
                <w:highlight w:val="none"/>
              </w:rPr>
              <w:t>联合体协议</w:t>
            </w:r>
          </w:p>
        </w:tc>
        <w:tc>
          <w:tcPr>
            <w:tcW w:w="5954" w:type="dxa"/>
          </w:tcPr>
          <w:p>
            <w:pPr>
              <w:spacing w:line="360" w:lineRule="auto"/>
              <w:rPr>
                <w:rFonts w:asciiTheme="minorEastAsia" w:hAnsiTheme="minorEastAsia"/>
                <w:b/>
                <w:bCs/>
                <w:color w:val="auto"/>
                <w:sz w:val="24"/>
                <w:highlight w:val="none"/>
              </w:rPr>
            </w:pPr>
            <w:r>
              <w:rPr>
                <w:rFonts w:hint="eastAsia" w:asciiTheme="minorEastAsia" w:hAnsiTheme="minorEastAsia"/>
                <w:bCs/>
                <w:color w:val="auto"/>
                <w:sz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color w:val="auto"/>
                <w:sz w:val="24"/>
                <w:highlight w:val="none"/>
              </w:rPr>
            </w:pPr>
            <w:r>
              <w:rPr>
                <w:rFonts w:hint="eastAsia" w:asciiTheme="minorEastAsia" w:hAnsiTheme="minorEastAsia"/>
                <w:b/>
                <w:color w:val="auto"/>
                <w:sz w:val="24"/>
                <w:highlight w:val="none"/>
              </w:rPr>
              <w:t>13</w:t>
            </w:r>
          </w:p>
        </w:tc>
        <w:tc>
          <w:tcPr>
            <w:tcW w:w="2410" w:type="dxa"/>
            <w:vAlign w:val="center"/>
          </w:tcPr>
          <w:p>
            <w:pPr>
              <w:spacing w:line="360" w:lineRule="auto"/>
              <w:contextualSpacing/>
              <w:rPr>
                <w:rFonts w:asciiTheme="minorEastAsia" w:hAnsiTheme="minorEastAsia"/>
                <w:b/>
                <w:color w:val="auto"/>
                <w:sz w:val="24"/>
                <w:highlight w:val="none"/>
              </w:rPr>
            </w:pPr>
            <w:r>
              <w:rPr>
                <w:rFonts w:hint="eastAsia" w:asciiTheme="minorEastAsia" w:hAnsiTheme="minorEastAsia"/>
                <w:b/>
                <w:color w:val="auto"/>
                <w:sz w:val="24"/>
                <w:highlight w:val="none"/>
              </w:rPr>
              <w:t>投标人身份证明及授权</w:t>
            </w:r>
          </w:p>
        </w:tc>
        <w:tc>
          <w:tcPr>
            <w:tcW w:w="5954" w:type="dxa"/>
          </w:tcPr>
          <w:p>
            <w:pPr>
              <w:spacing w:line="360" w:lineRule="auto"/>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highlight w:val="none"/>
                <w:lang w:val="zh-CN"/>
              </w:rPr>
            </w:pPr>
            <w:r>
              <w:rPr>
                <w:rFonts w:hint="eastAsia" w:ascii="楷体" w:hAnsi="楷体" w:eastAsia="楷体" w:cs="仿宋_GB2312"/>
                <w:b/>
                <w:color w:val="auto"/>
                <w:sz w:val="24"/>
                <w:highlight w:val="none"/>
                <w:lang w:val="zh-CN"/>
              </w:rPr>
              <w:t>注：</w:t>
            </w:r>
          </w:p>
          <w:p>
            <w:pPr>
              <w:spacing w:line="360" w:lineRule="auto"/>
              <w:rPr>
                <w:rFonts w:asciiTheme="minorEastAsia" w:hAnsiTheme="minorEastAsia"/>
                <w:b/>
                <w:color w:val="auto"/>
                <w:sz w:val="24"/>
                <w:highlight w:val="none"/>
              </w:rPr>
            </w:pPr>
            <w:r>
              <w:rPr>
                <w:rFonts w:hint="eastAsia" w:ascii="楷体" w:hAnsi="楷体" w:eastAsia="楷体"/>
                <w:color w:val="auto"/>
                <w:sz w:val="24"/>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highlight w:val="none"/>
              </w:rPr>
            </w:pPr>
            <w:r>
              <w:rPr>
                <w:rFonts w:hint="eastAsia" w:ascii="楷体" w:hAnsi="楷体" w:eastAsia="楷体"/>
                <w:color w:val="auto"/>
                <w:sz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color w:val="auto"/>
                <w:sz w:val="24"/>
                <w:highlight w:val="none"/>
                <w:lang w:val="zh-CN"/>
              </w:rPr>
            </w:pPr>
            <w:r>
              <w:rPr>
                <w:rFonts w:hint="eastAsia" w:ascii="楷体" w:hAnsi="楷体" w:eastAsia="楷体"/>
                <w:color w:val="auto"/>
                <w:sz w:val="24"/>
                <w:highlight w:val="none"/>
              </w:rPr>
              <w:t>③</w:t>
            </w:r>
            <w:r>
              <w:rPr>
                <w:rFonts w:hint="eastAsia" w:ascii="楷体" w:hAnsi="楷体" w:eastAsia="楷体"/>
                <w:color w:val="auto"/>
                <w:kern w:val="0"/>
                <w:sz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color w:val="auto"/>
                <w:sz w:val="24"/>
                <w:highlight w:val="none"/>
              </w:rPr>
            </w:pPr>
            <w:r>
              <w:rPr>
                <w:rFonts w:hint="eastAsia" w:asciiTheme="minorEastAsia" w:hAnsiTheme="minorEastAsia"/>
                <w:b/>
                <w:color w:val="auto"/>
                <w:sz w:val="24"/>
                <w:highlight w:val="none"/>
              </w:rPr>
              <w:t>14</w:t>
            </w:r>
          </w:p>
        </w:tc>
        <w:tc>
          <w:tcPr>
            <w:tcW w:w="2410" w:type="dxa"/>
            <w:vAlign w:val="center"/>
          </w:tcPr>
          <w:p>
            <w:pPr>
              <w:spacing w:line="360" w:lineRule="auto"/>
              <w:rPr>
                <w:rFonts w:asciiTheme="minorEastAsia" w:hAnsiTheme="minorEastAsia"/>
                <w:b/>
                <w:bCs/>
                <w:color w:val="auto"/>
                <w:sz w:val="24"/>
                <w:highlight w:val="none"/>
              </w:rPr>
            </w:pPr>
            <w:r>
              <w:rPr>
                <w:rFonts w:hint="eastAsia" w:asciiTheme="minorEastAsia" w:hAnsiTheme="minorEastAsia"/>
                <w:b/>
                <w:bCs/>
                <w:color w:val="auto"/>
                <w:sz w:val="24"/>
                <w:highlight w:val="none"/>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color w:val="auto"/>
                <w:sz w:val="24"/>
                <w:highlight w:val="none"/>
              </w:rPr>
            </w:pPr>
            <w:r>
              <w:rPr>
                <w:rFonts w:hint="eastAsia" w:asciiTheme="minorEastAsia" w:hAnsiTheme="minorEastAsia"/>
                <w:b/>
                <w:color w:val="auto"/>
                <w:sz w:val="24"/>
                <w:highlight w:val="none"/>
              </w:rPr>
              <w:t>15</w:t>
            </w:r>
          </w:p>
        </w:tc>
        <w:tc>
          <w:tcPr>
            <w:tcW w:w="2410" w:type="dxa"/>
            <w:vAlign w:val="center"/>
          </w:tcPr>
          <w:p>
            <w:pPr>
              <w:spacing w:line="360" w:lineRule="auto"/>
              <w:rPr>
                <w:rFonts w:asciiTheme="minorEastAsia" w:hAnsiTheme="minorEastAsia"/>
                <w:b/>
                <w:bCs/>
                <w:color w:val="auto"/>
                <w:sz w:val="24"/>
                <w:highlight w:val="none"/>
              </w:rPr>
            </w:pPr>
            <w:r>
              <w:rPr>
                <w:rFonts w:hint="eastAsia" w:asciiTheme="minorEastAsia" w:hAnsiTheme="minorEastAsia"/>
                <w:b/>
                <w:bCs/>
                <w:color w:val="auto"/>
                <w:sz w:val="24"/>
                <w:highlight w:val="none"/>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 w:val="24"/>
                <w:highlight w:val="none"/>
              </w:rPr>
            </w:pPr>
          </w:p>
        </w:tc>
      </w:tr>
    </w:tbl>
    <w:p>
      <w:pPr>
        <w:pStyle w:val="17"/>
        <w:spacing w:line="360" w:lineRule="auto"/>
        <w:contextualSpacing/>
        <w:jc w:val="center"/>
        <w:rPr>
          <w:rFonts w:hAnsi="宋体" w:cs="仿宋_GB2312"/>
          <w:b/>
          <w:color w:val="auto"/>
          <w:sz w:val="32"/>
          <w:szCs w:val="32"/>
          <w:highlight w:val="none"/>
          <w:lang w:val="zh-CN"/>
        </w:rPr>
      </w:pPr>
      <w:r>
        <w:rPr>
          <w:rFonts w:hint="eastAsia" w:hAnsi="宋体" w:cs="仿宋_GB2312"/>
          <w:b/>
          <w:color w:val="auto"/>
          <w:sz w:val="32"/>
          <w:szCs w:val="32"/>
          <w:highlight w:val="none"/>
          <w:lang w:val="zh-CN"/>
        </w:rPr>
        <w:t>二、评标</w:t>
      </w:r>
    </w:p>
    <w:p>
      <w:pPr>
        <w:pStyle w:val="17"/>
        <w:spacing w:line="360" w:lineRule="auto"/>
        <w:ind w:firstLine="482" w:firstLineChars="200"/>
        <w:contextualSpacing/>
        <w:rPr>
          <w:rFonts w:hAnsi="宋体" w:cs="仿宋_GB2312"/>
          <w:b/>
          <w:color w:val="auto"/>
          <w:sz w:val="24"/>
          <w:szCs w:val="24"/>
          <w:highlight w:val="none"/>
          <w:lang w:val="zh-CN"/>
        </w:rPr>
      </w:pPr>
      <w:r>
        <w:rPr>
          <w:rFonts w:hint="eastAsia" w:hAnsi="宋体" w:cs="仿宋_GB2312"/>
          <w:b/>
          <w:color w:val="auto"/>
          <w:sz w:val="24"/>
          <w:szCs w:val="24"/>
          <w:highlight w:val="none"/>
          <w:lang w:val="zh-CN"/>
        </w:rPr>
        <w:t>（一）评标方法</w:t>
      </w:r>
    </w:p>
    <w:p>
      <w:pPr>
        <w:pStyle w:val="17"/>
        <w:spacing w:line="360" w:lineRule="auto"/>
        <w:ind w:firstLine="480" w:firstLineChars="200"/>
        <w:contextualSpacing/>
        <w:rPr>
          <w:rFonts w:hAnsi="宋体" w:cs="仿宋_GB2312"/>
          <w:color w:val="auto"/>
          <w:sz w:val="24"/>
          <w:szCs w:val="24"/>
          <w:highlight w:val="none"/>
          <w:lang w:val="zh-CN"/>
        </w:rPr>
      </w:pPr>
      <w:r>
        <w:rPr>
          <w:rFonts w:hint="eastAsia" w:hAnsi="宋体" w:cs="仿宋_GB2312"/>
          <w:color w:val="auto"/>
          <w:sz w:val="24"/>
          <w:szCs w:val="24"/>
          <w:highlight w:val="none"/>
          <w:lang w:val="zh-CN"/>
        </w:rPr>
        <w:t>本项目采用综合评分法。总分为100分。</w:t>
      </w:r>
    </w:p>
    <w:p>
      <w:pPr>
        <w:pStyle w:val="17"/>
        <w:spacing w:line="360" w:lineRule="auto"/>
        <w:ind w:firstLine="482" w:firstLineChars="200"/>
        <w:contextualSpacing/>
        <w:rPr>
          <w:rFonts w:hAnsi="宋体" w:cs="仿宋_GB2312"/>
          <w:b/>
          <w:color w:val="auto"/>
          <w:sz w:val="24"/>
          <w:szCs w:val="24"/>
          <w:highlight w:val="none"/>
          <w:lang w:val="zh-CN"/>
        </w:rPr>
      </w:pPr>
      <w:r>
        <w:rPr>
          <w:rFonts w:hint="eastAsia" w:hAnsi="宋体" w:cs="仿宋_GB2312"/>
          <w:b/>
          <w:color w:val="auto"/>
          <w:sz w:val="24"/>
          <w:szCs w:val="24"/>
          <w:highlight w:val="none"/>
          <w:lang w:val="zh-CN"/>
        </w:rPr>
        <w:t>（二）</w:t>
      </w:r>
      <w:r>
        <w:rPr>
          <w:rFonts w:hAnsi="宋体" w:cs="仿宋_GB2312"/>
          <w:b/>
          <w:color w:val="auto"/>
          <w:sz w:val="24"/>
          <w:szCs w:val="24"/>
          <w:highlight w:val="none"/>
          <w:lang w:val="zh-CN"/>
        </w:rPr>
        <w:t>评标委员会负责具体评标事务，并独立履行下列职责</w:t>
      </w:r>
    </w:p>
    <w:p>
      <w:pPr>
        <w:pStyle w:val="17"/>
        <w:spacing w:line="360" w:lineRule="auto"/>
        <w:ind w:firstLine="482" w:firstLineChars="200"/>
        <w:contextualSpacing/>
        <w:rPr>
          <w:rFonts w:hAnsi="宋体" w:cs="仿宋_GB2312"/>
          <w:b/>
          <w:color w:val="auto"/>
          <w:sz w:val="24"/>
          <w:szCs w:val="24"/>
          <w:highlight w:val="none"/>
          <w:lang w:val="zh-CN"/>
        </w:rPr>
      </w:pPr>
      <w:r>
        <w:rPr>
          <w:rFonts w:hint="eastAsia" w:hAnsi="宋体" w:cs="仿宋_GB2312"/>
          <w:b/>
          <w:color w:val="auto"/>
          <w:sz w:val="24"/>
          <w:szCs w:val="24"/>
          <w:highlight w:val="none"/>
          <w:lang w:val="zh-CN"/>
        </w:rPr>
        <w:t>1、</w:t>
      </w:r>
      <w:r>
        <w:rPr>
          <w:rFonts w:hAnsi="宋体" w:cs="仿宋_GB2312"/>
          <w:b/>
          <w:color w:val="auto"/>
          <w:sz w:val="24"/>
          <w:szCs w:val="24"/>
          <w:highlight w:val="none"/>
          <w:lang w:val="zh-CN"/>
        </w:rPr>
        <w:t>审查、评价投标文件是否符合招标文件的商务、技术等实质性要求；</w:t>
      </w:r>
    </w:p>
    <w:p>
      <w:pPr>
        <w:pStyle w:val="17"/>
        <w:spacing w:line="360" w:lineRule="auto"/>
        <w:ind w:firstLine="480" w:firstLineChars="200"/>
        <w:contextualSpacing/>
        <w:rPr>
          <w:rFonts w:hAnsi="宋体" w:cs="仿宋_GB2312"/>
          <w:color w:val="auto"/>
          <w:sz w:val="24"/>
          <w:szCs w:val="24"/>
          <w:highlight w:val="none"/>
          <w:lang w:val="zh-CN"/>
        </w:rPr>
      </w:pPr>
      <w:r>
        <w:rPr>
          <w:rFonts w:hint="eastAsia" w:hAnsi="宋体" w:cs="仿宋_GB2312"/>
          <w:color w:val="auto"/>
          <w:sz w:val="24"/>
          <w:szCs w:val="24"/>
          <w:highlight w:val="none"/>
          <w:lang w:val="zh-CN"/>
        </w:rPr>
        <w:t>评标委员会对符合资格的投标人的投标文件进行符合性审查，以确定其是否满足招标文件的商务、技术等实质性要求。</w:t>
      </w:r>
    </w:p>
    <w:p>
      <w:pPr>
        <w:spacing w:line="440" w:lineRule="exact"/>
        <w:ind w:firstLine="480" w:firstLineChars="200"/>
        <w:rPr>
          <w:rFonts w:hAnsi="宋体" w:cs="仿宋_GB2312"/>
          <w:color w:val="auto"/>
          <w:sz w:val="24"/>
          <w:highlight w:val="none"/>
          <w:lang w:val="zh-CN"/>
        </w:rPr>
      </w:pPr>
      <w:r>
        <w:rPr>
          <w:rFonts w:hint="eastAsia" w:hAnsi="宋体" w:cs="仿宋_GB2312"/>
          <w:color w:val="auto"/>
          <w:sz w:val="24"/>
          <w:highlight w:val="none"/>
          <w:lang w:val="zh-CN"/>
        </w:rPr>
        <w:t>注：符合性审查中所涉及到的证书及材料，均须在电子投标文件中提供原件扫描件（或图片）。</w:t>
      </w:r>
    </w:p>
    <w:p>
      <w:pPr>
        <w:pStyle w:val="17"/>
        <w:spacing w:line="360" w:lineRule="auto"/>
        <w:ind w:firstLine="482" w:firstLineChars="200"/>
        <w:contextualSpacing/>
        <w:rPr>
          <w:rFonts w:hAnsi="宋体" w:cs="仿宋_GB2312"/>
          <w:b/>
          <w:color w:val="auto"/>
          <w:sz w:val="24"/>
          <w:szCs w:val="24"/>
          <w:highlight w:val="none"/>
          <w:lang w:val="zh-CN"/>
        </w:rPr>
      </w:pPr>
      <w:r>
        <w:rPr>
          <w:rFonts w:hint="eastAsia" w:hAnsi="宋体" w:cs="仿宋_GB2312"/>
          <w:b/>
          <w:color w:val="auto"/>
          <w:sz w:val="24"/>
          <w:szCs w:val="24"/>
          <w:highlight w:val="none"/>
          <w:lang w:val="zh-CN"/>
        </w:rPr>
        <w:t>2、</w:t>
      </w:r>
      <w:r>
        <w:rPr>
          <w:rFonts w:hAnsi="宋体" w:cs="仿宋_GB2312"/>
          <w:b/>
          <w:color w:val="auto"/>
          <w:sz w:val="24"/>
          <w:szCs w:val="24"/>
          <w:highlight w:val="none"/>
          <w:lang w:val="zh-CN"/>
        </w:rPr>
        <w:t>要求投标人对投标文件有关事项作出澄清或者说明；</w:t>
      </w:r>
    </w:p>
    <w:p>
      <w:pPr>
        <w:pStyle w:val="17"/>
        <w:spacing w:line="360" w:lineRule="auto"/>
        <w:ind w:firstLine="480" w:firstLineChars="200"/>
        <w:contextualSpacing/>
        <w:rPr>
          <w:rFonts w:hAnsi="宋体" w:cs="仿宋_GB2312"/>
          <w:color w:val="auto"/>
          <w:sz w:val="24"/>
          <w:szCs w:val="24"/>
          <w:highlight w:val="none"/>
          <w:lang w:val="zh-CN"/>
        </w:rPr>
      </w:pPr>
      <w:r>
        <w:rPr>
          <w:rFonts w:hAnsi="宋体" w:cs="仿宋_GB2312"/>
          <w:color w:val="auto"/>
          <w:sz w:val="24"/>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80" w:firstLineChars="200"/>
        <w:contextualSpacing/>
        <w:rPr>
          <w:rFonts w:hAnsi="宋体" w:cs="仿宋_GB2312"/>
          <w:color w:val="auto"/>
          <w:sz w:val="24"/>
          <w:szCs w:val="24"/>
          <w:highlight w:val="none"/>
          <w:lang w:val="zh-CN"/>
        </w:rPr>
      </w:pPr>
      <w:r>
        <w:rPr>
          <w:rFonts w:hAnsi="宋体" w:cs="仿宋_GB2312"/>
          <w:color w:val="auto"/>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widowControl w:val="0"/>
        <w:numPr>
          <w:ilvl w:val="0"/>
          <w:numId w:val="4"/>
        </w:numPr>
        <w:overflowPunct/>
        <w:autoSpaceDE/>
        <w:autoSpaceDN/>
        <w:adjustRightInd/>
        <w:spacing w:line="360" w:lineRule="auto"/>
        <w:ind w:firstLine="465"/>
        <w:contextualSpacing/>
        <w:textAlignment w:val="auto"/>
        <w:rPr>
          <w:rFonts w:hAnsi="宋体" w:cs="仿宋_GB2312"/>
          <w:b/>
          <w:color w:val="auto"/>
          <w:sz w:val="24"/>
          <w:szCs w:val="24"/>
          <w:highlight w:val="none"/>
          <w:lang w:val="zh-CN"/>
        </w:rPr>
      </w:pPr>
      <w:r>
        <w:rPr>
          <w:rFonts w:hAnsi="宋体" w:cs="仿宋_GB2312"/>
          <w:b/>
          <w:color w:val="auto"/>
          <w:sz w:val="24"/>
          <w:szCs w:val="24"/>
          <w:highlight w:val="none"/>
          <w:lang w:val="zh-CN"/>
        </w:rPr>
        <w:t>对投标文件进行比较和评价；</w:t>
      </w:r>
    </w:p>
    <w:p>
      <w:pPr>
        <w:pStyle w:val="17"/>
        <w:spacing w:line="360" w:lineRule="auto"/>
        <w:ind w:firstLine="420" w:firstLineChars="175"/>
        <w:contextualSpacing/>
        <w:rPr>
          <w:rFonts w:hAnsi="宋体" w:cs="仿宋_GB2312"/>
          <w:color w:val="auto"/>
          <w:sz w:val="24"/>
          <w:szCs w:val="24"/>
          <w:highlight w:val="none"/>
          <w:lang w:val="zh-CN"/>
        </w:rPr>
      </w:pPr>
      <w:r>
        <w:rPr>
          <w:rFonts w:hint="eastAsia" w:hAnsi="宋体" w:cs="仿宋_GB2312"/>
          <w:color w:val="auto"/>
          <w:sz w:val="24"/>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7"/>
        <w:spacing w:line="360" w:lineRule="auto"/>
        <w:ind w:firstLine="480" w:firstLineChars="200"/>
        <w:contextualSpacing/>
        <w:rPr>
          <w:rFonts w:hAnsi="宋体" w:cs="仿宋_GB2312"/>
          <w:color w:val="auto"/>
          <w:sz w:val="24"/>
          <w:szCs w:val="24"/>
          <w:highlight w:val="none"/>
          <w:lang w:val="zh-CN"/>
        </w:rPr>
      </w:pPr>
      <w:r>
        <w:rPr>
          <w:rFonts w:hint="eastAsia" w:hAnsi="宋体" w:cs="仿宋_GB2312"/>
          <w:color w:val="auto"/>
          <w:sz w:val="24"/>
          <w:szCs w:val="24"/>
          <w:highlight w:val="none"/>
          <w:lang w:val="zh-CN"/>
        </w:rPr>
        <w:t>注：评标标准中所涉及到的证书及材料，均须在电子投标文件中提供原件的扫描件（或图片）。</w:t>
      </w:r>
    </w:p>
    <w:p>
      <w:pPr>
        <w:pStyle w:val="17"/>
        <w:spacing w:line="360" w:lineRule="auto"/>
        <w:ind w:firstLine="482" w:firstLineChars="200"/>
        <w:contextualSpacing/>
        <w:rPr>
          <w:rFonts w:hAnsi="宋体" w:cs="仿宋_GB2312"/>
          <w:b/>
          <w:color w:val="auto"/>
          <w:sz w:val="24"/>
          <w:szCs w:val="24"/>
          <w:highlight w:val="none"/>
          <w:lang w:val="zh-CN"/>
        </w:rPr>
      </w:pPr>
      <w:r>
        <w:rPr>
          <w:rFonts w:hint="eastAsia" w:hAnsi="宋体" w:cs="仿宋_GB2312"/>
          <w:b/>
          <w:color w:val="auto"/>
          <w:sz w:val="24"/>
          <w:szCs w:val="24"/>
          <w:highlight w:val="none"/>
          <w:lang w:val="zh-CN"/>
        </w:rPr>
        <w:t>（1）价格分计算</w:t>
      </w:r>
    </w:p>
    <w:p>
      <w:pPr>
        <w:pStyle w:val="17"/>
        <w:spacing w:line="360" w:lineRule="auto"/>
        <w:ind w:firstLine="480" w:firstLineChars="200"/>
        <w:contextualSpacing/>
        <w:rPr>
          <w:rFonts w:hAnsi="宋体" w:cs="仿宋_GB2312"/>
          <w:color w:val="auto"/>
          <w:sz w:val="24"/>
          <w:szCs w:val="24"/>
          <w:highlight w:val="none"/>
          <w:lang w:val="zh-CN"/>
        </w:rPr>
      </w:pPr>
      <w:r>
        <w:rPr>
          <w:rFonts w:hAnsi="宋体" w:cs="仿宋_GB2312"/>
          <w:color w:val="auto"/>
          <w:sz w:val="24"/>
          <w:szCs w:val="24"/>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80" w:firstLineChars="200"/>
        <w:contextualSpacing/>
        <w:rPr>
          <w:rFonts w:hAnsi="宋体" w:cs="仿宋_GB2312"/>
          <w:color w:val="auto"/>
          <w:sz w:val="24"/>
          <w:szCs w:val="24"/>
          <w:highlight w:val="none"/>
          <w:lang w:val="zh-CN"/>
        </w:rPr>
      </w:pPr>
      <w:r>
        <w:rPr>
          <w:rFonts w:hint="eastAsia" w:hAnsi="宋体" w:cs="仿宋_GB2312"/>
          <w:color w:val="auto"/>
          <w:sz w:val="24"/>
          <w:szCs w:val="24"/>
          <w:highlight w:val="none"/>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hAnsi="宋体"/>
          <w:color w:val="auto"/>
          <w:sz w:val="24"/>
          <w:szCs w:val="24"/>
          <w:highlight w:val="none"/>
        </w:rPr>
      </w:pPr>
      <w:r>
        <w:rPr>
          <w:rFonts w:hint="eastAsia" w:hAnsi="宋体" w:cs="仿宋_GB2312"/>
          <w:color w:val="auto"/>
          <w:sz w:val="24"/>
          <w:szCs w:val="24"/>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color w:val="auto"/>
          <w:sz w:val="24"/>
          <w:szCs w:val="24"/>
          <w:highlight w:val="none"/>
        </w:rPr>
        <w:t>残疾人福利性单位属于小型、微型企业的，不重复享受政策。</w:t>
      </w:r>
    </w:p>
    <w:p>
      <w:pPr>
        <w:pStyle w:val="17"/>
        <w:spacing w:line="360" w:lineRule="auto"/>
        <w:ind w:firstLine="482" w:firstLineChars="200"/>
        <w:contextualSpacing/>
        <w:rPr>
          <w:rFonts w:hAnsi="宋体" w:cs="仿宋_GB2312"/>
          <w:b/>
          <w:color w:val="auto"/>
          <w:sz w:val="24"/>
          <w:szCs w:val="24"/>
          <w:highlight w:val="none"/>
          <w:lang w:val="zh-CN"/>
        </w:rPr>
      </w:pPr>
      <w:r>
        <w:rPr>
          <w:rFonts w:hint="eastAsia" w:hAnsi="宋体" w:cs="仿宋_GB2312"/>
          <w:b/>
          <w:color w:val="auto"/>
          <w:sz w:val="24"/>
          <w:szCs w:val="24"/>
          <w:highlight w:val="none"/>
          <w:lang w:val="zh-CN"/>
        </w:rPr>
        <w:t>（2）</w:t>
      </w:r>
      <w:r>
        <w:rPr>
          <w:rFonts w:hAnsi="宋体" w:cs="仿宋_GB2312"/>
          <w:b/>
          <w:color w:val="auto"/>
          <w:sz w:val="24"/>
          <w:szCs w:val="24"/>
          <w:highlight w:val="none"/>
          <w:lang w:val="zh-CN"/>
        </w:rPr>
        <w:t>关于相同品牌产品</w:t>
      </w:r>
      <w:r>
        <w:rPr>
          <w:rFonts w:hint="eastAsia" w:hAnsi="宋体" w:cs="仿宋_GB2312"/>
          <w:b/>
          <w:color w:val="auto"/>
          <w:sz w:val="24"/>
          <w:szCs w:val="24"/>
          <w:highlight w:val="none"/>
          <w:lang w:val="zh-CN"/>
        </w:rPr>
        <w:t>(服务类项目不适用本条款规定)</w:t>
      </w:r>
    </w:p>
    <w:p>
      <w:pPr>
        <w:pStyle w:val="17"/>
        <w:spacing w:line="360" w:lineRule="auto"/>
        <w:ind w:firstLine="465"/>
        <w:contextualSpacing/>
        <w:rPr>
          <w:rFonts w:hAnsi="宋体" w:cs="仿宋_GB2312"/>
          <w:color w:val="auto"/>
          <w:sz w:val="24"/>
          <w:szCs w:val="24"/>
          <w:highlight w:val="none"/>
          <w:lang w:val="zh-CN"/>
        </w:rPr>
      </w:pPr>
      <w:r>
        <w:rPr>
          <w:rFonts w:hAnsi="宋体" w:cs="仿宋_GB2312"/>
          <w:color w:val="auto"/>
          <w:sz w:val="24"/>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hAnsi="宋体" w:cs="仿宋_GB2312"/>
          <w:color w:val="auto"/>
          <w:sz w:val="24"/>
          <w:szCs w:val="24"/>
          <w:highlight w:val="none"/>
          <w:lang w:val="zh-CN"/>
        </w:rPr>
        <w:t>采取随机抽取</w:t>
      </w:r>
      <w:r>
        <w:rPr>
          <w:rFonts w:hAnsi="宋体" w:cs="仿宋_GB2312"/>
          <w:color w:val="auto"/>
          <w:sz w:val="24"/>
          <w:szCs w:val="24"/>
          <w:highlight w:val="none"/>
          <w:lang w:val="zh-CN"/>
        </w:rPr>
        <w:t>方式确定一个参加评标的投标人，其他投标无效。</w:t>
      </w:r>
    </w:p>
    <w:p>
      <w:pPr>
        <w:pStyle w:val="17"/>
        <w:spacing w:line="360" w:lineRule="auto"/>
        <w:ind w:firstLine="465"/>
        <w:contextualSpacing/>
        <w:rPr>
          <w:rFonts w:hAnsi="宋体" w:cs="仿宋_GB2312"/>
          <w:color w:val="auto"/>
          <w:sz w:val="24"/>
          <w:szCs w:val="24"/>
          <w:highlight w:val="none"/>
          <w:lang w:val="zh-CN"/>
        </w:rPr>
      </w:pPr>
      <w:r>
        <w:rPr>
          <w:rFonts w:hAnsi="宋体" w:cs="仿宋_GB2312"/>
          <w:color w:val="auto"/>
          <w:sz w:val="24"/>
          <w:szCs w:val="24"/>
          <w:highlight w:val="none"/>
          <w:lang w:val="zh-CN"/>
        </w:rPr>
        <w:t>采用综合评分法的，提供相同品牌产品</w:t>
      </w:r>
      <w:r>
        <w:rPr>
          <w:rFonts w:hint="eastAsia" w:hAnsi="宋体" w:cs="仿宋_GB2312"/>
          <w:color w:val="auto"/>
          <w:sz w:val="24"/>
          <w:szCs w:val="24"/>
          <w:highlight w:val="none"/>
          <w:lang w:val="zh-CN"/>
        </w:rPr>
        <w:t>（</w:t>
      </w:r>
      <w:r>
        <w:rPr>
          <w:rFonts w:hAnsi="宋体" w:cs="仿宋_GB2312"/>
          <w:color w:val="auto"/>
          <w:sz w:val="24"/>
          <w:szCs w:val="24"/>
          <w:highlight w:val="none"/>
          <w:lang w:val="zh-CN"/>
        </w:rPr>
        <w:t>非单一产品采购项目，多家投标人提供的核心产品品牌相同</w:t>
      </w:r>
      <w:r>
        <w:rPr>
          <w:rFonts w:hint="eastAsia" w:hAnsi="宋体" w:cs="仿宋_GB2312"/>
          <w:color w:val="auto"/>
          <w:sz w:val="24"/>
          <w:szCs w:val="24"/>
          <w:highlight w:val="none"/>
          <w:lang w:val="zh-CN"/>
        </w:rPr>
        <w:t>）</w:t>
      </w:r>
      <w:r>
        <w:rPr>
          <w:rFonts w:hAnsi="宋体" w:cs="仿宋_GB2312"/>
          <w:color w:val="auto"/>
          <w:sz w:val="24"/>
          <w:szCs w:val="24"/>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hAnsi="宋体" w:cs="仿宋_GB2312"/>
          <w:color w:val="auto"/>
          <w:sz w:val="24"/>
          <w:szCs w:val="24"/>
          <w:highlight w:val="none"/>
          <w:lang w:val="zh-CN"/>
        </w:rPr>
        <w:t>由采购人或者采购人委托评标委员会</w:t>
      </w:r>
      <w:r>
        <w:rPr>
          <w:rFonts w:hAnsi="宋体" w:cs="仿宋_GB2312"/>
          <w:color w:val="auto"/>
          <w:sz w:val="24"/>
          <w:szCs w:val="24"/>
          <w:highlight w:val="none"/>
          <w:lang w:val="zh-CN"/>
        </w:rPr>
        <w:t>采取随机抽取方式确定</w:t>
      </w:r>
      <w:r>
        <w:rPr>
          <w:rFonts w:hint="eastAsia" w:hAnsi="宋体" w:cs="仿宋_GB2312"/>
          <w:color w:val="auto"/>
          <w:sz w:val="24"/>
          <w:szCs w:val="24"/>
          <w:highlight w:val="none"/>
          <w:lang w:val="zh-CN"/>
        </w:rPr>
        <w:t>一个投标人获得中标人推荐资格</w:t>
      </w:r>
      <w:r>
        <w:rPr>
          <w:rFonts w:hAnsi="宋体" w:cs="仿宋_GB2312"/>
          <w:color w:val="auto"/>
          <w:sz w:val="24"/>
          <w:szCs w:val="24"/>
          <w:highlight w:val="none"/>
          <w:lang w:val="zh-CN"/>
        </w:rPr>
        <w:t>，其他同品牌投标人不作为中标候选人。</w:t>
      </w:r>
    </w:p>
    <w:p>
      <w:pPr>
        <w:pStyle w:val="17"/>
        <w:spacing w:line="360" w:lineRule="auto"/>
        <w:ind w:firstLine="482" w:firstLineChars="200"/>
        <w:contextualSpacing/>
        <w:rPr>
          <w:rFonts w:cs="仿宋_GB2312" w:asciiTheme="minorEastAsia" w:hAnsiTheme="minorEastAsia" w:eastAsiaTheme="minorEastAsia"/>
          <w:b/>
          <w:color w:val="auto"/>
          <w:sz w:val="24"/>
          <w:szCs w:val="24"/>
          <w:highlight w:val="none"/>
          <w:lang w:val="zh-CN"/>
        </w:rPr>
      </w:pPr>
      <w:r>
        <w:rPr>
          <w:rFonts w:hint="eastAsia" w:asciiTheme="minorEastAsia" w:hAnsiTheme="minorEastAsia" w:eastAsiaTheme="minorEastAsia"/>
          <w:b/>
          <w:color w:val="auto"/>
          <w:sz w:val="24"/>
          <w:szCs w:val="24"/>
          <w:highlight w:val="none"/>
        </w:rPr>
        <w:t>（3）强制采购节能产品和优先采购节能产品、优先采购环保产品</w:t>
      </w:r>
    </w:p>
    <w:p>
      <w:pPr>
        <w:pStyle w:val="17"/>
        <w:spacing w:line="360" w:lineRule="auto"/>
        <w:ind w:firstLine="465"/>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1）对《节能产品政府采购品目清单》所列的政府强制采购节能产品</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投标人所投其他产品若属于《节能产品政府采购品目清单》优先采购产品，</w:t>
      </w:r>
      <w:r>
        <w:rPr>
          <w:rFonts w:hint="eastAsia" w:cs="仿宋_GB2312" w:asciiTheme="minorEastAsia" w:hAnsiTheme="minorEastAsia"/>
          <w:color w:val="auto"/>
          <w:sz w:val="24"/>
          <w:szCs w:val="24"/>
          <w:highlight w:val="none"/>
          <w:lang w:val="zh-CN"/>
        </w:rPr>
        <w:t>投标文件中应提供</w:t>
      </w:r>
      <w:r>
        <w:rPr>
          <w:rFonts w:hint="eastAsia" w:cs="仿宋_GB2312" w:asciiTheme="minorEastAsia" w:hAnsiTheme="minorEastAsia" w:eastAsiaTheme="minorEastAsia"/>
          <w:color w:val="auto"/>
          <w:sz w:val="24"/>
          <w:szCs w:val="24"/>
          <w:highlight w:val="none"/>
          <w:lang w:val="zh-CN"/>
        </w:rPr>
        <w:t>具有国家确定的认证机构出具的、处于有效期之内的节能产品认证证书</w:t>
      </w:r>
      <w:r>
        <w:rPr>
          <w:rFonts w:hint="eastAsia" w:cs="仿宋_GB2312" w:asciiTheme="minorEastAsia" w:hAnsiTheme="minorEastAsia"/>
          <w:color w:val="auto"/>
          <w:sz w:val="24"/>
          <w:szCs w:val="24"/>
          <w:highlight w:val="none"/>
          <w:lang w:val="zh-CN"/>
        </w:rPr>
        <w:t>，评标委员会根据本项目评标标准予以判定并赋分。</w:t>
      </w:r>
    </w:p>
    <w:p>
      <w:pPr>
        <w:pStyle w:val="17"/>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2）</w:t>
      </w:r>
      <w:r>
        <w:rPr>
          <w:rFonts w:hint="eastAsia" w:cs="仿宋_GB2312" w:asciiTheme="minorEastAsia" w:hAnsiTheme="minorEastAsia"/>
          <w:color w:val="auto"/>
          <w:sz w:val="24"/>
          <w:szCs w:val="24"/>
          <w:highlight w:val="none"/>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4"/>
          <w:szCs w:val="24"/>
          <w:highlight w:val="none"/>
          <w:lang w:val="zh-CN"/>
        </w:rPr>
        <w:t>具有国家确定的认证机构出具的、处于有效期之内的环境标志产品认证证书</w:t>
      </w:r>
      <w:r>
        <w:rPr>
          <w:rFonts w:hint="eastAsia" w:cs="仿宋_GB2312" w:asciiTheme="minorEastAsia" w:hAnsi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lang w:val="zh-CN"/>
        </w:rPr>
        <w:t>评标委员会根据本项目评标标准予以判定并赋分。</w:t>
      </w:r>
    </w:p>
    <w:p>
      <w:pPr>
        <w:pStyle w:val="17"/>
        <w:spacing w:line="360" w:lineRule="auto"/>
        <w:ind w:firstLine="482" w:firstLineChars="200"/>
        <w:contextualSpacing/>
        <w:rPr>
          <w:rFonts w:hAnsi="宋体"/>
          <w:b/>
          <w:color w:val="auto"/>
          <w:sz w:val="24"/>
          <w:szCs w:val="24"/>
          <w:highlight w:val="none"/>
          <w:lang w:val="zh-CN"/>
        </w:rPr>
      </w:pPr>
      <w:r>
        <w:rPr>
          <w:rFonts w:hint="eastAsia" w:hAnsi="宋体"/>
          <w:b/>
          <w:color w:val="auto"/>
          <w:sz w:val="24"/>
          <w:szCs w:val="24"/>
          <w:highlight w:val="none"/>
          <w:lang w:val="zh-CN"/>
        </w:rPr>
        <w:t>（4）关于强制性产品认证</w:t>
      </w:r>
    </w:p>
    <w:p>
      <w:pPr>
        <w:spacing w:line="360" w:lineRule="auto"/>
        <w:ind w:firstLine="480" w:firstLineChars="200"/>
        <w:contextualSpacing/>
        <w:rPr>
          <w:rFonts w:cs="宋体"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val="zh-CN"/>
        </w:rPr>
        <w:t>1）如投标人所投产品属于“中国强制性产品认证”（3C认证）范围内,则必须承诺采用</w:t>
      </w:r>
      <w:r>
        <w:rPr>
          <w:rFonts w:cs="仿宋_GB2312" w:asciiTheme="minorEastAsia" w:hAnsiTheme="minorEastAsia" w:eastAsiaTheme="minorEastAsia"/>
          <w:color w:val="auto"/>
          <w:sz w:val="24"/>
          <w:highlight w:val="none"/>
          <w:lang w:val="zh-CN"/>
        </w:rPr>
        <w:t>《中华人民共和国实施强制性产品认证的产品目录》</w:t>
      </w:r>
      <w:r>
        <w:rPr>
          <w:rFonts w:hint="eastAsia" w:cs="仿宋_GB2312" w:asciiTheme="minorEastAsia" w:hAnsiTheme="minorEastAsia" w:eastAsiaTheme="minorEastAsia"/>
          <w:color w:val="auto"/>
          <w:sz w:val="24"/>
          <w:highlight w:val="none"/>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kern w:val="0"/>
          <w:sz w:val="24"/>
          <w:highlight w:val="none"/>
        </w:rPr>
        <w:t>2)投标人所投产品如被列入</w:t>
      </w:r>
      <w:r>
        <w:rPr>
          <w:rFonts w:cs="宋体" w:asciiTheme="minorEastAsia" w:hAnsiTheme="minorEastAsia" w:eastAsiaTheme="minorEastAsia"/>
          <w:color w:val="auto"/>
          <w:kern w:val="0"/>
          <w:sz w:val="24"/>
          <w:highlight w:val="none"/>
        </w:rPr>
        <w:t>《信息安全产品强制性认证目录》，</w:t>
      </w:r>
      <w:r>
        <w:rPr>
          <w:rFonts w:hint="eastAsia" w:cs="仿宋_GB2312" w:asciiTheme="minorEastAsia" w:hAnsiTheme="minorEastAsia" w:eastAsiaTheme="minorEastAsia"/>
          <w:color w:val="auto"/>
          <w:sz w:val="24"/>
          <w:highlight w:val="none"/>
          <w:lang w:val="zh-CN"/>
        </w:rPr>
        <w:t>则投标文件中应根据本项目招标文件“第二章 项目需求”</w:t>
      </w:r>
      <w:r>
        <w:rPr>
          <w:rFonts w:cs="仿宋_GB2312" w:asciiTheme="minorEastAsia" w:hAnsiTheme="minorEastAsia" w:eastAsiaTheme="minorEastAsia"/>
          <w:color w:val="auto"/>
          <w:sz w:val="24"/>
          <w:highlight w:val="none"/>
          <w:lang w:val="zh-CN"/>
        </w:rPr>
        <w:t>提供</w:t>
      </w:r>
      <w:r>
        <w:rPr>
          <w:rFonts w:hint="eastAsia" w:cs="仿宋_GB2312" w:asciiTheme="minorEastAsia" w:hAnsiTheme="minorEastAsia" w:eastAsiaTheme="minorEastAsia"/>
          <w:color w:val="auto"/>
          <w:sz w:val="24"/>
          <w:highlight w:val="none"/>
          <w:lang w:val="zh-CN"/>
        </w:rPr>
        <w:t>：</w:t>
      </w:r>
    </w:p>
    <w:p>
      <w:pPr>
        <w:wordWrap w:val="0"/>
        <w:autoSpaceDE w:val="0"/>
        <w:autoSpaceDN w:val="0"/>
        <w:spacing w:line="360" w:lineRule="auto"/>
        <w:ind w:firstLine="480" w:firstLineChars="200"/>
        <w:contextualSpacing/>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①中国信息安全认证中心官网（</w:t>
      </w:r>
      <w:r>
        <w:rPr>
          <w:rFonts w:cs="宋体" w:asciiTheme="minorEastAsia" w:hAnsiTheme="minorEastAsia" w:eastAsiaTheme="minorEastAsia"/>
          <w:color w:val="auto"/>
          <w:kern w:val="0"/>
          <w:sz w:val="24"/>
          <w:highlight w:val="none"/>
        </w:rPr>
        <w:t>http://www.isccc.gov.cn/index.shtml</w:t>
      </w:r>
      <w:r>
        <w:rPr>
          <w:rFonts w:hint="eastAsia" w:cs="宋体" w:asciiTheme="minorEastAsia" w:hAnsiTheme="minorEastAsia" w:eastAsiaTheme="minorEastAsia"/>
          <w:color w:val="auto"/>
          <w:kern w:val="0"/>
          <w:sz w:val="24"/>
          <w:highlight w:val="none"/>
        </w:rPr>
        <w:t>）产品查询结果截图并加盖投标人公章；</w:t>
      </w:r>
    </w:p>
    <w:p>
      <w:pPr>
        <w:autoSpaceDE w:val="0"/>
        <w:autoSpaceDN w:val="0"/>
        <w:spacing w:line="360" w:lineRule="auto"/>
        <w:ind w:firstLine="480" w:firstLineChars="200"/>
        <w:contextualSpacing/>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kern w:val="0"/>
          <w:sz w:val="24"/>
          <w:highlight w:val="none"/>
        </w:rPr>
        <w:t>②中国信息安全认证中心</w:t>
      </w:r>
      <w:r>
        <w:rPr>
          <w:rFonts w:hint="eastAsia" w:cs="仿宋_GB2312" w:asciiTheme="minorEastAsia" w:hAnsiTheme="minorEastAsia" w:eastAsiaTheme="minorEastAsia"/>
          <w:color w:val="auto"/>
          <w:sz w:val="24"/>
          <w:highlight w:val="none"/>
          <w:lang w:val="zh-CN"/>
        </w:rPr>
        <w:t>颁发的《中国国家信息安全产品认证证书》加盖投标人公章的原件扫描件（或图片）。</w:t>
      </w:r>
    </w:p>
    <w:p>
      <w:pPr>
        <w:spacing w:line="360" w:lineRule="auto"/>
        <w:ind w:firstLine="480" w:firstLineChars="200"/>
        <w:contextualSpacing/>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注：仅需提供序号</w:t>
      </w:r>
      <w:r>
        <w:rPr>
          <w:rFonts w:hint="eastAsia" w:asciiTheme="minorEastAsia" w:hAnsiTheme="minorEastAsia" w:eastAsiaTheme="minorEastAsia"/>
          <w:color w:val="auto"/>
          <w:sz w:val="24"/>
          <w:highlight w:val="none"/>
        </w:rPr>
        <w:t>①～②其中之一即可。</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highlight w:val="none"/>
          <w:lang w:val="zh-CN"/>
        </w:rPr>
      </w:pPr>
      <w:r>
        <w:rPr>
          <w:rFonts w:hint="eastAsia" w:cs="仿宋_GB2312" w:asciiTheme="minorEastAsia" w:hAnsiTheme="minorEastAsia"/>
          <w:b/>
          <w:color w:val="auto"/>
          <w:sz w:val="24"/>
          <w:highlight w:val="none"/>
          <w:lang w:val="zh-CN"/>
        </w:rPr>
        <w:t>（5）支持脱贫攻坚（物业服务项目）</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highlight w:val="none"/>
          <w:lang w:val="zh-CN"/>
        </w:rPr>
      </w:pPr>
      <w:r>
        <w:rPr>
          <w:rFonts w:hint="eastAsia" w:cs="仿宋_GB2312" w:asciiTheme="minorEastAsia" w:hAnsiTheme="minorEastAsia"/>
          <w:color w:val="auto"/>
          <w:sz w:val="24"/>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（6）投标无效情形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e.不同投标人的投标文件相互混装。</w:t>
      </w:r>
    </w:p>
    <w:p>
      <w:pPr>
        <w:autoSpaceDE w:val="0"/>
        <w:autoSpaceDN w:val="0"/>
        <w:adjustRightInd w:val="0"/>
        <w:spacing w:line="360" w:lineRule="auto"/>
        <w:ind w:firstLine="482" w:firstLineChars="200"/>
        <w:contextualSpacing/>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zh-CN"/>
        </w:rPr>
        <w:t>f.</w:t>
      </w:r>
      <w:r>
        <w:rPr>
          <w:rFonts w:hint="eastAsia" w:asciiTheme="minorEastAsia" w:hAnsiTheme="minorEastAsia" w:eastAsiaTheme="minorEastAsia"/>
          <w:b/>
          <w:color w:val="auto"/>
          <w:sz w:val="24"/>
          <w:highlight w:val="none"/>
        </w:rPr>
        <w:t>不同投标人电子投标文件记录的网卡MAC地址、CPU序号、硬盘序列号等硬件特征码均相同时，视为‘</w:t>
      </w:r>
      <w:r>
        <w:rPr>
          <w:rFonts w:asciiTheme="minorEastAsia" w:hAnsiTheme="minorEastAsia" w:eastAsiaTheme="minorEastAsia"/>
          <w:b/>
          <w:color w:val="auto"/>
          <w:sz w:val="24"/>
          <w:highlight w:val="none"/>
        </w:rPr>
        <w:t>不同</w:t>
      </w:r>
      <w:r>
        <w:rPr>
          <w:rFonts w:hint="eastAsia" w:asciiTheme="minorEastAsia" w:hAnsiTheme="minorEastAsia" w:eastAsiaTheme="minorEastAsia"/>
          <w:b/>
          <w:color w:val="auto"/>
          <w:sz w:val="24"/>
          <w:highlight w:val="none"/>
        </w:rPr>
        <w:t>投标人的投标</w:t>
      </w:r>
      <w:r>
        <w:rPr>
          <w:rFonts w:asciiTheme="minorEastAsia" w:hAnsiTheme="minorEastAsia" w:eastAsiaTheme="minorEastAsia"/>
          <w:b/>
          <w:color w:val="auto"/>
          <w:sz w:val="24"/>
          <w:highlight w:val="none"/>
        </w:rPr>
        <w:t>文件由同一单位或者个人编制</w:t>
      </w:r>
      <w:r>
        <w:rPr>
          <w:rFonts w:hint="eastAsia" w:asciiTheme="minorEastAsia" w:hAnsiTheme="minorEastAsia" w:eastAsiaTheme="minorEastAsia"/>
          <w:b/>
          <w:color w:val="auto"/>
          <w:sz w:val="24"/>
          <w:highlight w:val="none"/>
        </w:rPr>
        <w:t>’或‘</w:t>
      </w:r>
      <w:r>
        <w:rPr>
          <w:rFonts w:asciiTheme="minorEastAsia" w:hAnsiTheme="minorEastAsia" w:eastAsiaTheme="minorEastAsia"/>
          <w:b/>
          <w:color w:val="auto"/>
          <w:sz w:val="24"/>
          <w:highlight w:val="none"/>
        </w:rPr>
        <w:t>不同</w:t>
      </w:r>
      <w:r>
        <w:rPr>
          <w:rFonts w:hint="eastAsia" w:asciiTheme="minorEastAsia" w:hAnsiTheme="minorEastAsia" w:eastAsiaTheme="minorEastAsia"/>
          <w:b/>
          <w:color w:val="auto"/>
          <w:sz w:val="24"/>
          <w:highlight w:val="none"/>
        </w:rPr>
        <w:t>投标人</w:t>
      </w:r>
      <w:r>
        <w:rPr>
          <w:rFonts w:asciiTheme="minorEastAsia" w:hAnsiTheme="minorEastAsia" w:eastAsiaTheme="minorEastAsia"/>
          <w:b/>
          <w:color w:val="auto"/>
          <w:sz w:val="24"/>
          <w:highlight w:val="none"/>
        </w:rPr>
        <w:t>委托同一单位或者个人办理</w:t>
      </w:r>
      <w:r>
        <w:rPr>
          <w:rFonts w:hint="eastAsia" w:asciiTheme="minorEastAsia" w:hAnsiTheme="minorEastAsia" w:eastAsiaTheme="minorEastAsia"/>
          <w:b/>
          <w:color w:val="auto"/>
          <w:sz w:val="24"/>
          <w:highlight w:val="none"/>
        </w:rPr>
        <w:t>投标</w:t>
      </w:r>
      <w:r>
        <w:rPr>
          <w:rFonts w:asciiTheme="minorEastAsia" w:hAnsiTheme="minorEastAsia" w:eastAsiaTheme="minorEastAsia"/>
          <w:b/>
          <w:color w:val="auto"/>
          <w:sz w:val="24"/>
          <w:highlight w:val="none"/>
        </w:rPr>
        <w:t>事宜</w:t>
      </w:r>
      <w:r>
        <w:rPr>
          <w:rFonts w:hint="eastAsia" w:asciiTheme="minorEastAsia" w:hAnsiTheme="minorEastAsia" w:eastAsiaTheme="minorEastAsia"/>
          <w:b/>
          <w:color w:val="auto"/>
          <w:sz w:val="24"/>
          <w:highlight w:val="none"/>
        </w:rPr>
        <w:t>’，其投标无效</w:t>
      </w:r>
      <w:r>
        <w:rPr>
          <w:rFonts w:hint="eastAsia" w:cs="仿宋_GB2312" w:asciiTheme="minorEastAsia" w:hAnsiTheme="minorEastAsia" w:eastAsiaTheme="minorEastAsia"/>
          <w:b/>
          <w:color w:val="auto"/>
          <w:sz w:val="24"/>
          <w:highlight w:val="none"/>
          <w:lang w:val="zh-CN"/>
        </w:rPr>
        <w:t>。</w:t>
      </w:r>
    </w:p>
    <w:p>
      <w:pPr>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5）</w:t>
      </w:r>
      <w:r>
        <w:rPr>
          <w:rFonts w:ascii="宋体" w:hAnsi="宋体" w:cs="仿宋_GB2312"/>
          <w:color w:val="auto"/>
          <w:sz w:val="24"/>
          <w:highlight w:val="none"/>
          <w:lang w:val="zh-CN"/>
        </w:rPr>
        <w:t>法律、法规和招标文件规定的其他无效情形。</w:t>
      </w:r>
    </w:p>
    <w:p>
      <w:pPr>
        <w:pStyle w:val="17"/>
        <w:spacing w:line="360" w:lineRule="auto"/>
        <w:ind w:firstLine="482" w:firstLineChars="200"/>
        <w:contextualSpacing/>
        <w:rPr>
          <w:rFonts w:hAnsi="宋体" w:cs="仿宋_GB2312"/>
          <w:b/>
          <w:color w:val="auto"/>
          <w:sz w:val="24"/>
          <w:szCs w:val="24"/>
          <w:highlight w:val="none"/>
          <w:lang w:val="zh-CN"/>
        </w:rPr>
      </w:pPr>
      <w:r>
        <w:rPr>
          <w:rFonts w:hint="eastAsia" w:hAnsi="宋体" w:cs="仿宋_GB2312"/>
          <w:b/>
          <w:color w:val="auto"/>
          <w:sz w:val="24"/>
          <w:szCs w:val="24"/>
          <w:highlight w:val="none"/>
          <w:lang w:val="zh-CN"/>
        </w:rPr>
        <w:t>（7）评标标准</w:t>
      </w:r>
    </w:p>
    <w:tbl>
      <w:tblPr>
        <w:tblStyle w:val="2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jc w:val="center"/>
        </w:trPr>
        <w:tc>
          <w:tcPr>
            <w:tcW w:w="2944" w:type="dxa"/>
            <w:gridSpan w:val="2"/>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分值构成</w:t>
            </w:r>
          </w:p>
          <w:p>
            <w:pPr>
              <w:snapToGrid w:val="0"/>
              <w:spacing w:beforeLines="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(总分100分)</w:t>
            </w:r>
          </w:p>
        </w:tc>
        <w:tc>
          <w:tcPr>
            <w:tcW w:w="6095" w:type="dxa"/>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价格分值：</w:t>
            </w:r>
            <w:r>
              <w:rPr>
                <w:rFonts w:hint="eastAsia" w:cs="宋体" w:asciiTheme="minorEastAsia" w:hAnsiTheme="minorEastAsia" w:eastAsiaTheme="minorEastAsia"/>
                <w:color w:val="auto"/>
                <w:sz w:val="24"/>
                <w:highlight w:val="none"/>
                <w:u w:val="single"/>
                <w:lang w:val="en-US" w:eastAsia="zh-CN"/>
              </w:rPr>
              <w:t>2</w:t>
            </w:r>
            <w:r>
              <w:rPr>
                <w:rFonts w:hint="eastAsia" w:cs="宋体" w:asciiTheme="minorEastAsia" w:hAnsiTheme="minorEastAsia" w:eastAsiaTheme="minorEastAsia"/>
                <w:color w:val="auto"/>
                <w:sz w:val="24"/>
                <w:highlight w:val="none"/>
                <w:u w:val="single"/>
              </w:rPr>
              <w:t>0</w:t>
            </w:r>
            <w:r>
              <w:rPr>
                <w:rFonts w:hint="eastAsia" w:cs="宋体" w:asciiTheme="minorEastAsia" w:hAnsiTheme="minorEastAsia" w:eastAsiaTheme="minorEastAsia"/>
                <w:color w:val="auto"/>
                <w:sz w:val="24"/>
                <w:highlight w:val="none"/>
              </w:rPr>
              <w:t>分</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商务部分：</w:t>
            </w:r>
            <w:r>
              <w:rPr>
                <w:rFonts w:hint="eastAsia" w:cs="宋体" w:asciiTheme="minorEastAsia" w:hAnsiTheme="minorEastAsia" w:eastAsiaTheme="minorEastAsia"/>
                <w:color w:val="auto"/>
                <w:sz w:val="24"/>
                <w:highlight w:val="none"/>
                <w:u w:val="single"/>
                <w:lang w:val="en-US" w:eastAsia="zh-CN"/>
              </w:rPr>
              <w:t>8</w:t>
            </w:r>
            <w:r>
              <w:rPr>
                <w:rFonts w:hint="eastAsia" w:cs="宋体" w:asciiTheme="minorEastAsia" w:hAnsiTheme="minorEastAsia" w:eastAsiaTheme="minorEastAsia"/>
                <w:color w:val="auto"/>
                <w:sz w:val="24"/>
                <w:highlight w:val="none"/>
              </w:rPr>
              <w:t>分</w:t>
            </w:r>
          </w:p>
          <w:p>
            <w:pPr>
              <w:spacing w:beforeLines="50"/>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技术部分：</w:t>
            </w:r>
            <w:r>
              <w:rPr>
                <w:rFonts w:hint="eastAsia" w:cs="宋体" w:asciiTheme="minorEastAsia" w:hAnsiTheme="minorEastAsia" w:eastAsiaTheme="minorEastAsia"/>
                <w:color w:val="auto"/>
                <w:sz w:val="24"/>
                <w:highlight w:val="none"/>
                <w:u w:val="single"/>
                <w:lang w:val="en-US" w:eastAsia="zh-CN"/>
              </w:rPr>
              <w:t>33</w:t>
            </w:r>
            <w:r>
              <w:rPr>
                <w:rFonts w:hint="eastAsia" w:cs="宋体" w:asciiTheme="minorEastAsia" w:hAnsiTheme="minorEastAsia" w:eastAsiaTheme="minorEastAsia"/>
                <w:color w:val="auto"/>
                <w:sz w:val="24"/>
                <w:highlight w:val="none"/>
              </w:rPr>
              <w:t>分</w:t>
            </w:r>
          </w:p>
          <w:p>
            <w:pPr>
              <w:spacing w:beforeLines="50"/>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服务部分：</w:t>
            </w:r>
            <w:r>
              <w:rPr>
                <w:rFonts w:hint="eastAsia" w:cs="宋体" w:asciiTheme="minorEastAsia" w:hAnsiTheme="minorEastAsia" w:eastAsiaTheme="minorEastAsia"/>
                <w:color w:val="auto"/>
                <w:sz w:val="24"/>
                <w:highlight w:val="none"/>
                <w:u w:val="single"/>
              </w:rPr>
              <w:t>3</w:t>
            </w:r>
            <w:r>
              <w:rPr>
                <w:rFonts w:hint="eastAsia" w:cs="宋体" w:asciiTheme="minorEastAsia" w:hAnsiTheme="minorEastAsia" w:eastAsiaTheme="minorEastAsia"/>
                <w:color w:val="auto"/>
                <w:sz w:val="24"/>
                <w:highlight w:val="none"/>
                <w:u w:val="single"/>
                <w:lang w:val="en-US" w:eastAsia="zh-CN"/>
              </w:rPr>
              <w:t>9</w:t>
            </w:r>
            <w:r>
              <w:rPr>
                <w:rFonts w:hint="eastAsia" w:cs="宋体" w:asciiTheme="minorEastAsia" w:hAnsiTheme="minorEastAsia" w:eastAsiaTheme="minorEastAsia"/>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84" w:type="dxa"/>
            <w:vAlign w:val="center"/>
          </w:tcPr>
          <w:p>
            <w:pPr>
              <w:snapToGrid w:val="0"/>
              <w:spacing w:beforeLines="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评审项</w:t>
            </w:r>
          </w:p>
        </w:tc>
        <w:tc>
          <w:tcPr>
            <w:tcW w:w="1560" w:type="dxa"/>
            <w:vAlign w:val="center"/>
          </w:tcPr>
          <w:p>
            <w:pPr>
              <w:snapToGrid w:val="0"/>
              <w:spacing w:beforeLines="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评分因素</w:t>
            </w:r>
          </w:p>
        </w:tc>
        <w:tc>
          <w:tcPr>
            <w:tcW w:w="6095" w:type="dxa"/>
            <w:vAlign w:val="center"/>
          </w:tcPr>
          <w:p>
            <w:pPr>
              <w:snapToGrid w:val="0"/>
              <w:spacing w:beforeLines="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384" w:type="dxa"/>
            <w:vAlign w:val="center"/>
          </w:tcPr>
          <w:p>
            <w:pPr>
              <w:snapToGrid w:val="0"/>
              <w:spacing w:beforeLines="50"/>
              <w:ind w:left="0" w:leftChars="-2" w:hanging="4" w:hangingChars="2"/>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报价部分</w:t>
            </w:r>
          </w:p>
          <w:p>
            <w:pPr>
              <w:snapToGrid w:val="0"/>
              <w:spacing w:beforeLines="50"/>
              <w:ind w:left="0" w:leftChars="-2" w:hanging="4" w:hangingChars="2"/>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20</w:t>
            </w:r>
            <w:r>
              <w:rPr>
                <w:rFonts w:hint="eastAsia" w:cs="宋体" w:asciiTheme="minorEastAsia" w:hAnsiTheme="minorEastAsia" w:eastAsiaTheme="minorEastAsia"/>
                <w:color w:val="auto"/>
                <w:sz w:val="24"/>
                <w:highlight w:val="none"/>
              </w:rPr>
              <w:t>分）</w:t>
            </w:r>
          </w:p>
        </w:tc>
        <w:tc>
          <w:tcPr>
            <w:tcW w:w="1560" w:type="dxa"/>
            <w:vAlign w:val="center"/>
          </w:tcPr>
          <w:p>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w:t>
            </w:r>
          </w:p>
          <w:p>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20</w:t>
            </w:r>
            <w:r>
              <w:rPr>
                <w:rFonts w:hint="eastAsia" w:cs="宋体" w:asciiTheme="minorEastAsia" w:hAnsiTheme="minorEastAsia" w:eastAsiaTheme="minorEastAsia"/>
                <w:color w:val="auto"/>
                <w:sz w:val="24"/>
                <w:highlight w:val="none"/>
              </w:rPr>
              <w:t>分）</w:t>
            </w:r>
          </w:p>
        </w:tc>
        <w:tc>
          <w:tcPr>
            <w:tcW w:w="6095" w:type="dxa"/>
            <w:vAlign w:val="center"/>
          </w:tcPr>
          <w:p>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价格分应当采用低价优先法计算，满足招标文件要求且投标价格最低的投标报价为评标基准价，其价格分为满分20分。</w:t>
            </w:r>
          </w:p>
          <w:p>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其他投标人的价格分统一按照下列公式计算：</w:t>
            </w:r>
          </w:p>
          <w:p>
            <w:pPr>
              <w:spacing w:line="360" w:lineRule="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投标报价得分=(评标基准价／投标报价)×20。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384" w:type="dxa"/>
            <w:vMerge w:val="restart"/>
            <w:vAlign w:val="center"/>
          </w:tcPr>
          <w:p>
            <w:pPr>
              <w:snapToGrid w:val="0"/>
              <w:spacing w:beforeLines="50"/>
              <w:ind w:left="0" w:leftChars="-2" w:hanging="4" w:hangingChars="2"/>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商务部分</w:t>
            </w:r>
          </w:p>
          <w:p>
            <w:pPr>
              <w:snapToGrid w:val="0"/>
              <w:spacing w:beforeLines="50"/>
              <w:ind w:left="0" w:leftChars="-2" w:hanging="4" w:hangingChars="2"/>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8</w:t>
            </w:r>
            <w:r>
              <w:rPr>
                <w:rFonts w:hint="eastAsia" w:cs="宋体" w:asciiTheme="minorEastAsia" w:hAnsiTheme="minorEastAsia" w:eastAsiaTheme="minorEastAsia"/>
                <w:color w:val="auto"/>
                <w:sz w:val="24"/>
                <w:highlight w:val="none"/>
              </w:rPr>
              <w:t>分）</w:t>
            </w:r>
          </w:p>
        </w:tc>
        <w:tc>
          <w:tcPr>
            <w:tcW w:w="1560" w:type="dxa"/>
            <w:vAlign w:val="center"/>
          </w:tcPr>
          <w:p>
            <w:pPr>
              <w:widowControl/>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w:t>
            </w:r>
          </w:p>
          <w:p>
            <w:pPr>
              <w:widowControl/>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4</w:t>
            </w:r>
            <w:r>
              <w:rPr>
                <w:rFonts w:hint="eastAsia" w:cs="宋体" w:asciiTheme="minorEastAsia" w:hAnsiTheme="minorEastAsia" w:eastAsiaTheme="minorEastAsia"/>
                <w:color w:val="auto"/>
                <w:sz w:val="24"/>
                <w:highlight w:val="none"/>
              </w:rPr>
              <w:t>分）</w:t>
            </w:r>
          </w:p>
        </w:tc>
        <w:tc>
          <w:tcPr>
            <w:tcW w:w="6095" w:type="dxa"/>
            <w:vAlign w:val="center"/>
          </w:tcPr>
          <w:p>
            <w:pPr>
              <w:tabs>
                <w:tab w:val="left" w:pos="1260"/>
              </w:tabs>
              <w:autoSpaceDE w:val="0"/>
              <w:autoSpaceDN w:val="0"/>
              <w:spacing w:line="360" w:lineRule="auto"/>
              <w:contextualSpacing/>
              <w:rPr>
                <w:rFonts w:cs="宋体" w:asciiTheme="minorEastAsia" w:hAnsiTheme="minorEastAsia" w:eastAsiaTheme="minorEastAsia"/>
                <w:color w:val="auto"/>
                <w:sz w:val="24"/>
                <w:highlight w:val="none"/>
                <w:lang w:val="zh-CN"/>
              </w:rPr>
            </w:pPr>
            <w:r>
              <w:rPr>
                <w:rFonts w:hint="eastAsia" w:ascii="宋体" w:hAnsi="宋体" w:eastAsia="宋体" w:cs="宋体"/>
                <w:color w:val="auto"/>
                <w:kern w:val="0"/>
                <w:sz w:val="24"/>
                <w:szCs w:val="24"/>
                <w:highlight w:val="none"/>
              </w:rPr>
              <w:t>投标人应具有医共体平台或医联体平台建设案例，每提供一份在投标截止日期前三个年度内签署的医共体平台或医联体平台合同原件（须为投标人自身与最终用户签订的合同）及中标通知书原件得1分，最高得4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384" w:type="dxa"/>
            <w:vMerge w:val="continue"/>
            <w:vAlign w:val="center"/>
          </w:tcPr>
          <w:p>
            <w:pPr>
              <w:snapToGrid w:val="0"/>
              <w:spacing w:beforeLines="50"/>
              <w:ind w:left="0" w:leftChars="-2" w:hanging="4" w:hangingChars="2"/>
              <w:jc w:val="center"/>
              <w:rPr>
                <w:rFonts w:cs="宋体" w:asciiTheme="minorEastAsia" w:hAnsiTheme="minorEastAsia" w:eastAsiaTheme="minorEastAsia"/>
                <w:color w:val="auto"/>
                <w:sz w:val="24"/>
                <w:highlight w:val="none"/>
              </w:rPr>
            </w:pPr>
          </w:p>
        </w:tc>
        <w:tc>
          <w:tcPr>
            <w:tcW w:w="1560" w:type="dxa"/>
            <w:vAlign w:val="center"/>
          </w:tcPr>
          <w:p>
            <w:pPr>
              <w:widowControl/>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管理体系认证（</w:t>
            </w:r>
            <w:r>
              <w:rPr>
                <w:rFonts w:hint="eastAsia" w:cs="宋体" w:asciiTheme="minorEastAsia" w:hAnsiTheme="minorEastAsia" w:eastAsiaTheme="minorEastAsia"/>
                <w:color w:val="auto"/>
                <w:sz w:val="24"/>
                <w:highlight w:val="none"/>
                <w:u w:val="single"/>
                <w:lang w:val="en-US" w:eastAsia="zh-CN"/>
              </w:rPr>
              <w:t>2</w:t>
            </w:r>
            <w:r>
              <w:rPr>
                <w:rFonts w:hint="eastAsia" w:cs="宋体" w:asciiTheme="minorEastAsia" w:hAnsiTheme="minorEastAsia" w:eastAsiaTheme="minorEastAsia"/>
                <w:color w:val="auto"/>
                <w:sz w:val="24"/>
                <w:highlight w:val="none"/>
              </w:rPr>
              <w:t>分）</w:t>
            </w:r>
          </w:p>
        </w:tc>
        <w:tc>
          <w:tcPr>
            <w:tcW w:w="6095" w:type="dxa"/>
            <w:vAlign w:val="center"/>
          </w:tcPr>
          <w:p>
            <w:pPr>
              <w:widowControl/>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投标人应具备ISO9001质量管理体系认证证书、ISO27001信息安全管理体系认证证书及ISO20000信息技术服务管理体系认证证书，提供全部三项证书得2分，提供任意二项证书得1分，否则不得分。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384" w:type="dxa"/>
            <w:vMerge w:val="continue"/>
            <w:vAlign w:val="center"/>
          </w:tcPr>
          <w:p>
            <w:pPr>
              <w:snapToGrid w:val="0"/>
              <w:spacing w:beforeLines="50"/>
              <w:ind w:left="0" w:leftChars="-2" w:hanging="4" w:hangingChars="2"/>
              <w:jc w:val="center"/>
              <w:rPr>
                <w:rFonts w:cs="宋体" w:asciiTheme="minorEastAsia" w:hAnsiTheme="minorEastAsia" w:eastAsiaTheme="minorEastAsia"/>
                <w:color w:val="auto"/>
                <w:sz w:val="24"/>
                <w:highlight w:val="none"/>
              </w:rPr>
            </w:pPr>
          </w:p>
        </w:tc>
        <w:tc>
          <w:tcPr>
            <w:tcW w:w="1560" w:type="dxa"/>
            <w:vAlign w:val="center"/>
          </w:tcPr>
          <w:p>
            <w:pPr>
              <w:widowControl/>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软件成熟度认证（</w:t>
            </w:r>
            <w:r>
              <w:rPr>
                <w:rFonts w:hint="eastAsia" w:cs="宋体" w:asciiTheme="minorEastAsia" w:hAnsiTheme="minorEastAsia" w:eastAsiaTheme="minorEastAsia"/>
                <w:color w:val="auto"/>
                <w:sz w:val="24"/>
                <w:highlight w:val="none"/>
                <w:u w:val="single"/>
                <w:lang w:val="en-US" w:eastAsia="zh-CN"/>
              </w:rPr>
              <w:t>2</w:t>
            </w:r>
            <w:r>
              <w:rPr>
                <w:rFonts w:hint="eastAsia" w:cs="宋体" w:asciiTheme="minorEastAsia" w:hAnsiTheme="minorEastAsia" w:eastAsiaTheme="minorEastAsia"/>
                <w:color w:val="auto"/>
                <w:sz w:val="24"/>
                <w:highlight w:val="none"/>
              </w:rPr>
              <w:t>分）</w:t>
            </w:r>
          </w:p>
        </w:tc>
        <w:tc>
          <w:tcPr>
            <w:tcW w:w="6095" w:type="dxa"/>
            <w:vAlign w:val="center"/>
          </w:tcPr>
          <w:p>
            <w:pPr>
              <w:widowControl/>
              <w:jc w:val="left"/>
              <w:rPr>
                <w:rFonts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投标人应具有软件成熟度认证证书，提供CMMI5（含）以上资质证书原件得2分，提供CMMI4资质证书原件得1分，其它不得分。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384" w:type="dxa"/>
            <w:vMerge w:val="restart"/>
            <w:tcBorders>
              <w:right w:val="single" w:color="auto" w:sz="4" w:space="0"/>
            </w:tcBorders>
            <w:vAlign w:val="center"/>
          </w:tcPr>
          <w:p>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技术部分</w:t>
            </w:r>
          </w:p>
          <w:p>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33</w:t>
            </w:r>
            <w:r>
              <w:rPr>
                <w:rFonts w:hint="eastAsia" w:cs="宋体" w:asciiTheme="minorEastAsia" w:hAnsiTheme="minorEastAsia" w:eastAsiaTheme="minorEastAsia"/>
                <w:color w:val="auto"/>
                <w:sz w:val="24"/>
                <w:highlight w:val="none"/>
              </w:rPr>
              <w:t>分）</w:t>
            </w:r>
          </w:p>
        </w:tc>
        <w:tc>
          <w:tcPr>
            <w:tcW w:w="1560" w:type="dxa"/>
            <w:tcBorders>
              <w:right w:val="single" w:color="auto" w:sz="4" w:space="0"/>
            </w:tcBorders>
            <w:vAlign w:val="center"/>
          </w:tcPr>
          <w:p>
            <w:pPr>
              <w:widowControl/>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对项目的整体理解</w:t>
            </w:r>
          </w:p>
          <w:p>
            <w:pPr>
              <w:widowControl/>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1</w:t>
            </w:r>
            <w:r>
              <w:rPr>
                <w:rFonts w:hint="eastAsia" w:cs="宋体" w:asciiTheme="minorEastAsia" w:hAnsiTheme="minorEastAsia" w:eastAsiaTheme="minorEastAsia"/>
                <w:color w:val="auto"/>
                <w:sz w:val="24"/>
                <w:highlight w:val="none"/>
                <w:u w:val="single"/>
                <w:lang w:val="en-US" w:eastAsia="zh-CN"/>
              </w:rPr>
              <w:t>2</w:t>
            </w:r>
            <w:r>
              <w:rPr>
                <w:rFonts w:hint="eastAsia" w:cs="宋体" w:asciiTheme="minorEastAsia" w:hAnsiTheme="minorEastAsia" w:eastAsiaTheme="minorEastAsia"/>
                <w:color w:val="auto"/>
                <w:sz w:val="24"/>
                <w:highlight w:val="none"/>
              </w:rPr>
              <w:t>分）</w:t>
            </w:r>
          </w:p>
        </w:tc>
        <w:tc>
          <w:tcPr>
            <w:tcW w:w="6095" w:type="dxa"/>
            <w:tcBorders>
              <w:right w:val="single" w:color="auto" w:sz="4" w:space="0"/>
            </w:tcBorders>
            <w:vAlign w:val="center"/>
          </w:tcPr>
          <w:p>
            <w:pPr>
              <w:snapToGrid w:val="0"/>
              <w:spacing w:beforeLines="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投标人对项目背景、现状、设计目标的整体理解和投标人项目总体设计方案的完整性、合理性、可行性进行打分：对项目背景、现状理解程度较深，设计目标针对性强，项目总体设计方案科学合理、可行性强，得12分；对项目背景、现状理解程度一般，设计目标针对性较强，项目总体设计方案较完整、可行性较强，得8分；对项目背景、现状理解程度不强，设计目标针对性弱，项目总体设计方案完整性、合理性、可行性较弱，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384" w:type="dxa"/>
            <w:vMerge w:val="continue"/>
            <w:tcBorders>
              <w:right w:val="single" w:color="auto" w:sz="4" w:space="0"/>
            </w:tcBorders>
            <w:vAlign w:val="center"/>
          </w:tcPr>
          <w:p>
            <w:pPr>
              <w:snapToGrid w:val="0"/>
              <w:spacing w:beforeLines="50"/>
              <w:jc w:val="center"/>
              <w:rPr>
                <w:rFonts w:hint="eastAsia" w:cs="宋体" w:asciiTheme="minorEastAsia" w:hAnsiTheme="minorEastAsia" w:eastAsiaTheme="minorEastAsia"/>
                <w:color w:val="auto"/>
                <w:sz w:val="24"/>
                <w:highlight w:val="none"/>
              </w:rPr>
            </w:pPr>
          </w:p>
        </w:tc>
        <w:tc>
          <w:tcPr>
            <w:tcW w:w="1560" w:type="dxa"/>
            <w:tcBorders>
              <w:right w:val="single" w:color="auto" w:sz="4" w:space="0"/>
            </w:tcBorders>
            <w:vAlign w:val="center"/>
          </w:tcPr>
          <w:p>
            <w:pPr>
              <w:widowControl/>
              <w:snapToGrid w:val="0"/>
              <w:spacing w:beforeLines="5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技术应用水平（</w:t>
            </w:r>
            <w:r>
              <w:rPr>
                <w:rFonts w:hint="eastAsia" w:cs="宋体" w:asciiTheme="minorEastAsia" w:hAnsiTheme="minorEastAsia" w:eastAsiaTheme="minorEastAsia"/>
                <w:color w:val="auto"/>
                <w:sz w:val="24"/>
                <w:highlight w:val="none"/>
                <w:u w:val="single"/>
                <w:lang w:val="en-US" w:eastAsia="zh-CN"/>
              </w:rPr>
              <w:t>2</w:t>
            </w:r>
            <w:r>
              <w:rPr>
                <w:rFonts w:hint="eastAsia" w:cs="宋体" w:asciiTheme="minorEastAsia" w:hAnsiTheme="minorEastAsia" w:eastAsiaTheme="minorEastAsia"/>
                <w:color w:val="auto"/>
                <w:sz w:val="24"/>
                <w:highlight w:val="none"/>
              </w:rPr>
              <w:t>分）</w:t>
            </w:r>
          </w:p>
        </w:tc>
        <w:tc>
          <w:tcPr>
            <w:tcW w:w="6095" w:type="dxa"/>
            <w:tcBorders>
              <w:right w:val="single" w:color="auto" w:sz="4" w:space="0"/>
            </w:tcBorders>
            <w:vAlign w:val="center"/>
          </w:tcPr>
          <w:p>
            <w:pPr>
              <w:snapToGrid w:val="0"/>
              <w:spacing w:beforeLines="50"/>
              <w:rPr>
                <w:rFonts w:hint="eastAsia"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为保障实现互联互通数据共享的需求，对于投标人所实施客户通过国家卫生健康委国家医疗卫生信息互联互通标准化成熟度等级测评，提供区域卫生信息互联互通标准化成熟度评测四级甲等及以上的案例得2分，提供区域卫生信息互联互通标准化成熟度评测四级乙等的案例得1分，其他不得分，最高得2分；需提供相应案例的合同原件及评级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384" w:type="dxa"/>
            <w:vMerge w:val="continue"/>
            <w:tcBorders>
              <w:right w:val="single" w:color="auto" w:sz="4" w:space="0"/>
            </w:tcBorders>
            <w:vAlign w:val="center"/>
          </w:tcPr>
          <w:p>
            <w:pPr>
              <w:snapToGrid w:val="0"/>
              <w:spacing w:beforeLines="50"/>
              <w:jc w:val="center"/>
              <w:rPr>
                <w:rFonts w:hint="eastAsia" w:cs="宋体" w:asciiTheme="minorEastAsia" w:hAnsiTheme="minorEastAsia" w:eastAsiaTheme="minorEastAsia"/>
                <w:color w:val="auto"/>
                <w:sz w:val="24"/>
                <w:highlight w:val="none"/>
              </w:rPr>
            </w:pPr>
          </w:p>
        </w:tc>
        <w:tc>
          <w:tcPr>
            <w:tcW w:w="1560" w:type="dxa"/>
            <w:tcBorders>
              <w:right w:val="single" w:color="auto" w:sz="4" w:space="0"/>
            </w:tcBorders>
            <w:vAlign w:val="center"/>
          </w:tcPr>
          <w:p>
            <w:pPr>
              <w:widowControl/>
              <w:snapToGrid w:val="0"/>
              <w:spacing w:beforeLines="50"/>
              <w:jc w:val="center"/>
              <w:rPr>
                <w:rFonts w:hint="eastAsia"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硬件设备技术规格、参数要求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4</w:t>
            </w:r>
            <w:r>
              <w:rPr>
                <w:rFonts w:hint="eastAsia" w:cs="宋体" w:asciiTheme="minorEastAsia" w:hAnsiTheme="minorEastAsia" w:eastAsiaTheme="minorEastAsia"/>
                <w:color w:val="auto"/>
                <w:sz w:val="24"/>
                <w:highlight w:val="none"/>
              </w:rPr>
              <w:t>分）</w:t>
            </w:r>
          </w:p>
        </w:tc>
        <w:tc>
          <w:tcPr>
            <w:tcW w:w="6095" w:type="dxa"/>
            <w:tcBorders>
              <w:right w:val="single" w:color="auto" w:sz="4" w:space="0"/>
            </w:tcBorders>
            <w:vAlign w:val="center"/>
          </w:tcPr>
          <w:p>
            <w:pPr>
              <w:snapToGrid w:val="0"/>
              <w:spacing w:beforeLines="50"/>
              <w:rPr>
                <w:rFonts w:hint="eastAsia"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投标人的硬件设备技术规格、参数应满足或优于招标文件要求，任意一项加“★”条款不满足扣</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分，其他任一不满足项扣</w:t>
            </w:r>
            <w:r>
              <w:rPr>
                <w:rFonts w:ascii="宋体" w:hAnsi="宋体" w:eastAsia="宋体" w:cs="宋体"/>
                <w:color w:val="auto"/>
                <w:kern w:val="0"/>
                <w:sz w:val="24"/>
                <w:szCs w:val="24"/>
                <w:highlight w:val="none"/>
              </w:rPr>
              <w:t>0.5</w:t>
            </w:r>
            <w:r>
              <w:rPr>
                <w:rFonts w:hint="eastAsia" w:ascii="宋体" w:hAnsi="宋体" w:eastAsia="宋体" w:cs="宋体"/>
                <w:color w:val="auto"/>
                <w:kern w:val="0"/>
                <w:sz w:val="24"/>
                <w:szCs w:val="24"/>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384" w:type="dxa"/>
            <w:vMerge w:val="continue"/>
            <w:tcBorders>
              <w:right w:val="single" w:color="auto" w:sz="4" w:space="0"/>
            </w:tcBorders>
            <w:vAlign w:val="center"/>
          </w:tcPr>
          <w:p>
            <w:pPr>
              <w:snapToGrid w:val="0"/>
              <w:spacing w:beforeLines="50"/>
              <w:jc w:val="center"/>
              <w:rPr>
                <w:rFonts w:hint="eastAsia" w:cs="宋体" w:asciiTheme="minorEastAsia" w:hAnsiTheme="minorEastAsia" w:eastAsiaTheme="minorEastAsia"/>
                <w:color w:val="auto"/>
                <w:sz w:val="24"/>
                <w:highlight w:val="none"/>
              </w:rPr>
            </w:pPr>
          </w:p>
        </w:tc>
        <w:tc>
          <w:tcPr>
            <w:tcW w:w="1560" w:type="dxa"/>
            <w:tcBorders>
              <w:right w:val="single" w:color="auto" w:sz="4" w:space="0"/>
            </w:tcBorders>
            <w:vAlign w:val="center"/>
          </w:tcPr>
          <w:p>
            <w:pPr>
              <w:widowControl/>
              <w:snapToGrid w:val="0"/>
              <w:spacing w:beforeLine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软件系统参数要求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6</w:t>
            </w:r>
            <w:r>
              <w:rPr>
                <w:rFonts w:hint="eastAsia" w:cs="宋体" w:asciiTheme="minorEastAsia" w:hAnsiTheme="minorEastAsia" w:eastAsiaTheme="minorEastAsia"/>
                <w:color w:val="auto"/>
                <w:sz w:val="24"/>
                <w:highlight w:val="none"/>
              </w:rPr>
              <w:t>分）</w:t>
            </w:r>
          </w:p>
        </w:tc>
        <w:tc>
          <w:tcPr>
            <w:tcW w:w="6095" w:type="dxa"/>
            <w:tcBorders>
              <w:right w:val="single" w:color="auto" w:sz="4" w:space="0"/>
            </w:tcBorders>
            <w:vAlign w:val="center"/>
          </w:tcPr>
          <w:p>
            <w:pPr>
              <w:snapToGrid w:val="0"/>
              <w:spacing w:beforeLines="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的软件参数应满足或优于招标文件中加“★”条款的要求，以投标文件中所附系统功能实景截图和投标人服务用户出具的证明材料原件（加盖投标人服务用户的公章）为准，任意一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384" w:type="dxa"/>
            <w:vMerge w:val="continue"/>
            <w:tcBorders>
              <w:right w:val="single" w:color="auto" w:sz="4" w:space="0"/>
            </w:tcBorders>
            <w:vAlign w:val="center"/>
          </w:tcPr>
          <w:p>
            <w:pPr>
              <w:snapToGrid w:val="0"/>
              <w:spacing w:beforeLines="50"/>
              <w:jc w:val="center"/>
              <w:rPr>
                <w:rFonts w:hint="eastAsia" w:cs="宋体" w:asciiTheme="minorEastAsia" w:hAnsiTheme="minorEastAsia" w:eastAsiaTheme="minorEastAsia"/>
                <w:color w:val="auto"/>
                <w:sz w:val="24"/>
                <w:highlight w:val="none"/>
              </w:rPr>
            </w:pPr>
          </w:p>
        </w:tc>
        <w:tc>
          <w:tcPr>
            <w:tcW w:w="1560" w:type="dxa"/>
            <w:tcBorders>
              <w:right w:val="single" w:color="auto" w:sz="4" w:space="0"/>
            </w:tcBorders>
            <w:vAlign w:val="center"/>
          </w:tcPr>
          <w:p>
            <w:pPr>
              <w:widowControl/>
              <w:snapToGrid w:val="0"/>
              <w:spacing w:beforeLine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数据对接能力</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1</w:t>
            </w:r>
            <w:r>
              <w:rPr>
                <w:rFonts w:hint="eastAsia" w:cs="宋体" w:asciiTheme="minorEastAsia" w:hAnsiTheme="minorEastAsia" w:eastAsiaTheme="minorEastAsia"/>
                <w:color w:val="auto"/>
                <w:sz w:val="24"/>
                <w:highlight w:val="none"/>
              </w:rPr>
              <w:t>分）</w:t>
            </w:r>
          </w:p>
        </w:tc>
        <w:tc>
          <w:tcPr>
            <w:tcW w:w="6095" w:type="dxa"/>
            <w:tcBorders>
              <w:right w:val="single" w:color="auto" w:sz="4" w:space="0"/>
            </w:tcBorders>
            <w:vAlign w:val="center"/>
          </w:tcPr>
          <w:p>
            <w:pPr>
              <w:snapToGrid w:val="0"/>
              <w:spacing w:beforeLines="50"/>
              <w:rPr>
                <w:rFonts w:hint="eastAsia"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投标人具有丰富的医疗卫生数据对接经验，具有自主知识产权医疗数据采集工具并提供相关著作权证书（著作权名称类似即可，无需名称一致）得1分，以提供证书原件为准，否则不得分。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384" w:type="dxa"/>
            <w:vMerge w:val="continue"/>
            <w:tcBorders>
              <w:right w:val="single" w:color="auto" w:sz="4" w:space="0"/>
            </w:tcBorders>
            <w:vAlign w:val="center"/>
          </w:tcPr>
          <w:p>
            <w:pPr>
              <w:snapToGrid w:val="0"/>
              <w:spacing w:beforeLines="50"/>
              <w:jc w:val="center"/>
              <w:rPr>
                <w:rFonts w:hint="eastAsia" w:cs="宋体" w:asciiTheme="minorEastAsia" w:hAnsiTheme="minorEastAsia" w:eastAsiaTheme="minorEastAsia"/>
                <w:color w:val="auto"/>
                <w:sz w:val="24"/>
                <w:highlight w:val="none"/>
              </w:rPr>
            </w:pPr>
          </w:p>
        </w:tc>
        <w:tc>
          <w:tcPr>
            <w:tcW w:w="1560" w:type="dxa"/>
            <w:tcBorders>
              <w:right w:val="single" w:color="auto" w:sz="4" w:space="0"/>
            </w:tcBorders>
            <w:vAlign w:val="center"/>
          </w:tcPr>
          <w:p>
            <w:pPr>
              <w:widowControl/>
              <w:snapToGrid w:val="0"/>
              <w:spacing w:beforeLine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软件著作权证书</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8</w:t>
            </w:r>
            <w:r>
              <w:rPr>
                <w:rFonts w:hint="eastAsia" w:cs="宋体" w:asciiTheme="minorEastAsia" w:hAnsiTheme="minorEastAsia" w:eastAsiaTheme="minorEastAsia"/>
                <w:color w:val="auto"/>
                <w:sz w:val="24"/>
                <w:highlight w:val="none"/>
              </w:rPr>
              <w:t>分）</w:t>
            </w:r>
          </w:p>
        </w:tc>
        <w:tc>
          <w:tcPr>
            <w:tcW w:w="6095" w:type="dxa"/>
            <w:tcBorders>
              <w:right w:val="single" w:color="auto" w:sz="4" w:space="0"/>
            </w:tcBorders>
            <w:vAlign w:val="center"/>
          </w:tcPr>
          <w:p>
            <w:pPr>
              <w:snapToGrid w:val="0"/>
              <w:spacing w:beforeLines="50"/>
              <w:rPr>
                <w:rFonts w:hint="eastAsia" w:eastAsia="宋体" w:cs="宋体" w:asciiTheme="minorEastAsia" w:hAnsiTheme="minorEastAsia"/>
                <w:color w:val="auto"/>
                <w:sz w:val="24"/>
                <w:highlight w:val="none"/>
                <w:lang w:eastAsia="zh-CN"/>
              </w:rPr>
            </w:pPr>
            <w:r>
              <w:rPr>
                <w:rFonts w:hint="eastAsia" w:ascii="宋体" w:hAnsi="宋体" w:eastAsia="宋体" w:cs="宋体"/>
                <w:color w:val="auto"/>
                <w:kern w:val="0"/>
                <w:sz w:val="24"/>
                <w:szCs w:val="24"/>
                <w:highlight w:val="none"/>
              </w:rPr>
              <w:t>根据投标人的后续研发能力及产品线进行综合评估，要求投标人具有持续的一体化开发能力，所研发的系统具有完全的自主知识产权（不接受企业代理或联合开发集成模式），并提供代表产品知识产权的资质证明（提供区域卫生平台系统、健康档案浏览器系统、健康一卡通系统、分级诊疗系统、远程会诊系统、远程影像诊断系统、办公平台系统、不良事件管理系统、家庭医生签约系统、慢病管理系统、高血压辅助诊疗系统、糖尿病辅助诊疗系统、公共卫生系统、HIS系统、LIS系统、PACS系统、电子病历系统、公共卫生考核结算系统、卫生统计决策分析系统、智能服务系统的软件系统著作权登记证书原件，著作权名称类似即可，无需名称一致），提供全部20个资质证书原件的得8分，提供10个</w:t>
            </w:r>
            <w:r>
              <w:rPr>
                <w:rFonts w:hint="eastAsia" w:ascii="宋体" w:hAnsi="宋体" w:cs="宋体"/>
                <w:color w:val="auto"/>
                <w:kern w:val="0"/>
                <w:sz w:val="24"/>
                <w:szCs w:val="24"/>
                <w:highlight w:val="none"/>
                <w:lang w:val="en-US" w:eastAsia="zh-CN"/>
              </w:rPr>
              <w:t>以上</w:t>
            </w:r>
            <w:r>
              <w:rPr>
                <w:rFonts w:hint="eastAsia" w:ascii="宋体" w:hAnsi="宋体" w:eastAsia="宋体" w:cs="宋体"/>
                <w:color w:val="auto"/>
                <w:kern w:val="0"/>
                <w:sz w:val="24"/>
                <w:szCs w:val="24"/>
                <w:highlight w:val="none"/>
              </w:rPr>
              <w:t>资质证书原件的得4分，提供</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个</w:t>
            </w:r>
            <w:r>
              <w:rPr>
                <w:rFonts w:hint="eastAsia" w:ascii="宋体" w:hAnsi="宋体" w:cs="宋体"/>
                <w:color w:val="auto"/>
                <w:kern w:val="0"/>
                <w:sz w:val="24"/>
                <w:szCs w:val="24"/>
                <w:highlight w:val="none"/>
                <w:lang w:val="en-US" w:eastAsia="zh-CN"/>
              </w:rPr>
              <w:t>以下</w:t>
            </w:r>
            <w:r>
              <w:rPr>
                <w:rFonts w:hint="eastAsia" w:ascii="宋体" w:hAnsi="宋体" w:eastAsia="宋体" w:cs="宋体"/>
                <w:color w:val="auto"/>
                <w:kern w:val="0"/>
                <w:sz w:val="24"/>
                <w:szCs w:val="24"/>
                <w:highlight w:val="none"/>
              </w:rPr>
              <w:t>资质证书原件的得2分，否则不得分。（注：以上得分以级别最高的单次计分，不累加、不重复计分。）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4" w:type="dxa"/>
            <w:vMerge w:val="restart"/>
            <w:tcBorders>
              <w:right w:val="single" w:color="auto" w:sz="4" w:space="0"/>
            </w:tcBorders>
            <w:vAlign w:val="center"/>
          </w:tcPr>
          <w:p>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服务部分</w:t>
            </w:r>
          </w:p>
          <w:p>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3</w:t>
            </w:r>
            <w:r>
              <w:rPr>
                <w:rFonts w:hint="eastAsia" w:cs="宋体" w:asciiTheme="minorEastAsia" w:hAnsiTheme="minorEastAsia" w:eastAsiaTheme="minorEastAsia"/>
                <w:color w:val="auto"/>
                <w:sz w:val="24"/>
                <w:highlight w:val="none"/>
                <w:u w:val="single"/>
                <w:lang w:val="en-US" w:eastAsia="zh-CN"/>
              </w:rPr>
              <w:t>9</w:t>
            </w:r>
            <w:r>
              <w:rPr>
                <w:rFonts w:hint="eastAsia" w:cs="宋体" w:asciiTheme="minorEastAsia" w:hAnsiTheme="minorEastAsia" w:eastAsiaTheme="minorEastAsia"/>
                <w:color w:val="auto"/>
                <w:sz w:val="24"/>
                <w:highlight w:val="none"/>
              </w:rPr>
              <w:t>分）</w:t>
            </w:r>
          </w:p>
        </w:tc>
        <w:tc>
          <w:tcPr>
            <w:tcW w:w="1560" w:type="dxa"/>
            <w:tcBorders>
              <w:top w:val="single" w:color="auto" w:sz="4" w:space="0"/>
              <w:left w:val="single" w:color="auto" w:sz="4" w:space="0"/>
              <w:right w:val="single" w:color="auto" w:sz="4" w:space="0"/>
            </w:tcBorders>
            <w:vAlign w:val="center"/>
          </w:tcPr>
          <w:p>
            <w:pPr>
              <w:widowControl/>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质量、进度保障措施（</w:t>
            </w:r>
            <w:r>
              <w:rPr>
                <w:rFonts w:hint="eastAsia" w:cs="宋体" w:asciiTheme="minorEastAsia" w:hAnsiTheme="minorEastAsia" w:eastAsiaTheme="minorEastAsia"/>
                <w:color w:val="auto"/>
                <w:sz w:val="24"/>
                <w:highlight w:val="none"/>
                <w:u w:val="single"/>
              </w:rPr>
              <w:t>1</w:t>
            </w:r>
            <w:r>
              <w:rPr>
                <w:rFonts w:hint="eastAsia" w:cs="宋体" w:asciiTheme="minorEastAsia" w:hAnsiTheme="minorEastAsia" w:eastAsiaTheme="minorEastAsia"/>
                <w:color w:val="auto"/>
                <w:sz w:val="24"/>
                <w:highlight w:val="none"/>
                <w:u w:val="single"/>
                <w:lang w:val="en-US" w:eastAsia="zh-CN"/>
              </w:rPr>
              <w:t>0</w:t>
            </w:r>
            <w:r>
              <w:rPr>
                <w:rFonts w:hint="eastAsia" w:cs="宋体" w:asciiTheme="minorEastAsia" w:hAnsiTheme="minorEastAsia" w:eastAsiaTheme="minorEastAsia"/>
                <w:color w:val="auto"/>
                <w:sz w:val="24"/>
                <w:highlight w:val="none"/>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根据投标人质量及进度相关保障措施，及相关人员配备进行综合评定得分。投标人提供的质量、进度保障措施详细、完善，人员配备情况合理得10分，提供的质量、进度保障措施较为详细、完善，人员配备情况较为合理得7分，提供的质量、进度保障措施一般，人员配备情况较差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384" w:type="dxa"/>
            <w:vMerge w:val="continue"/>
            <w:tcBorders>
              <w:right w:val="single" w:color="auto" w:sz="4" w:space="0"/>
            </w:tcBorders>
            <w:vAlign w:val="center"/>
          </w:tcPr>
          <w:p>
            <w:pPr>
              <w:pStyle w:val="5"/>
              <w:tabs>
                <w:tab w:val="left" w:pos="600"/>
              </w:tabs>
              <w:snapToGrid w:val="0"/>
              <w:spacing w:beforeLines="50" w:after="0"/>
              <w:ind w:firstLine="422"/>
              <w:rPr>
                <w:rFonts w:cs="宋体" w:asciiTheme="minorEastAsia" w:hAnsiTheme="minorEastAsia" w:eastAsiaTheme="minorEastAsia"/>
                <w:color w:val="auto"/>
                <w:sz w:val="24"/>
                <w:highlight w:val="none"/>
              </w:rPr>
            </w:pPr>
            <w:bookmarkStart w:id="45" w:name="_Hlk535157742"/>
          </w:p>
        </w:tc>
        <w:tc>
          <w:tcPr>
            <w:tcW w:w="1560" w:type="dxa"/>
            <w:tcBorders>
              <w:left w:val="single" w:color="auto" w:sz="4" w:space="0"/>
              <w:right w:val="single" w:color="auto" w:sz="4" w:space="0"/>
            </w:tcBorders>
            <w:vAlign w:val="center"/>
          </w:tcPr>
          <w:p>
            <w:pPr>
              <w:widowControl/>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实施计划和培训（</w:t>
            </w:r>
            <w:r>
              <w:rPr>
                <w:rFonts w:hint="eastAsia" w:cs="宋体" w:asciiTheme="minorEastAsia" w:hAnsiTheme="minorEastAsia" w:eastAsiaTheme="minorEastAsia"/>
                <w:color w:val="auto"/>
                <w:sz w:val="24"/>
                <w:highlight w:val="none"/>
                <w:u w:val="single"/>
                <w:lang w:val="en-US" w:eastAsia="zh-CN"/>
              </w:rPr>
              <w:t>10</w:t>
            </w:r>
            <w:r>
              <w:rPr>
                <w:rFonts w:hint="eastAsia" w:cs="宋体" w:asciiTheme="minorEastAsia" w:hAnsiTheme="minorEastAsia" w:eastAsiaTheme="minorEastAsia"/>
                <w:color w:val="auto"/>
                <w:sz w:val="24"/>
                <w:highlight w:val="none"/>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根据工程建设进度计划安排和培训方案进行综合评定得分：工程建设进度计划安排、培训方案完整、详细，满足业务要求，得10分；工程建设进度计划安排、培训方案较完整详细，基本满足业务要求，得7分；工程建设进度计划安排、培训方案不完整、不详细部分满足业务要求，得3分；未提供不得分。</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384" w:type="dxa"/>
            <w:vMerge w:val="continue"/>
            <w:tcBorders>
              <w:right w:val="single" w:color="auto" w:sz="4" w:space="0"/>
            </w:tcBorders>
          </w:tcPr>
          <w:p>
            <w:pPr>
              <w:snapToGrid w:val="0"/>
              <w:spacing w:beforeLines="50"/>
              <w:rPr>
                <w:rFonts w:cs="宋体" w:asciiTheme="minorEastAsia" w:hAnsiTheme="minorEastAsia" w:eastAsiaTheme="minorEastAsia"/>
                <w:color w:val="auto"/>
                <w:sz w:val="24"/>
                <w:highlight w:val="none"/>
              </w:rPr>
            </w:pPr>
          </w:p>
        </w:tc>
        <w:tc>
          <w:tcPr>
            <w:tcW w:w="1560" w:type="dxa"/>
            <w:tcBorders>
              <w:left w:val="single" w:color="auto" w:sz="4" w:space="0"/>
              <w:right w:val="single" w:color="auto" w:sz="4" w:space="0"/>
            </w:tcBorders>
            <w:vAlign w:val="center"/>
          </w:tcPr>
          <w:p>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系统维护方案（</w:t>
            </w:r>
            <w:r>
              <w:rPr>
                <w:rFonts w:hint="eastAsia" w:cs="宋体" w:asciiTheme="minorEastAsia" w:hAnsiTheme="minorEastAsia" w:eastAsiaTheme="minorEastAsia"/>
                <w:color w:val="auto"/>
                <w:sz w:val="24"/>
                <w:highlight w:val="none"/>
                <w:u w:val="single"/>
                <w:lang w:val="en-US" w:eastAsia="zh-CN"/>
              </w:rPr>
              <w:t>10</w:t>
            </w:r>
            <w:r>
              <w:rPr>
                <w:rFonts w:hint="eastAsia" w:cs="宋体" w:asciiTheme="minorEastAsia" w:hAnsiTheme="minorEastAsia" w:eastAsiaTheme="minorEastAsia"/>
                <w:color w:val="auto"/>
                <w:sz w:val="24"/>
                <w:highlight w:val="none"/>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根据投标人所提供的系统维护方案综合评定得分：包括服务方案完整性及合理性、服务响应情况等。系统维护方案完整，满足服务响应情况要求，得10分；系统维护方案较完整，基本满足服务响应情况要求，得7分；系统维护方案不完整，部分满足服务响应情况要求，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384" w:type="dxa"/>
            <w:vMerge w:val="continue"/>
            <w:tcBorders>
              <w:right w:val="single" w:color="auto" w:sz="4" w:space="0"/>
            </w:tcBorders>
          </w:tcPr>
          <w:p>
            <w:pPr>
              <w:snapToGrid w:val="0"/>
              <w:spacing w:beforeLines="50"/>
              <w:rPr>
                <w:rFonts w:cs="宋体" w:asciiTheme="minorEastAsia" w:hAnsiTheme="minorEastAsia" w:eastAsiaTheme="minorEastAsia"/>
                <w:color w:val="auto"/>
                <w:sz w:val="24"/>
                <w:highlight w:val="none"/>
              </w:rPr>
            </w:pPr>
          </w:p>
        </w:tc>
        <w:tc>
          <w:tcPr>
            <w:tcW w:w="1560" w:type="dxa"/>
            <w:tcBorders>
              <w:left w:val="single" w:color="auto" w:sz="4" w:space="0"/>
              <w:right w:val="single" w:color="auto" w:sz="4" w:space="0"/>
            </w:tcBorders>
            <w:vAlign w:val="center"/>
          </w:tcPr>
          <w:p>
            <w:pPr>
              <w:widowControl/>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服务承诺（</w:t>
            </w:r>
            <w:r>
              <w:rPr>
                <w:rFonts w:hint="eastAsia" w:cs="宋体" w:asciiTheme="minorEastAsia" w:hAnsiTheme="minorEastAsia" w:eastAsiaTheme="minorEastAsia"/>
                <w:color w:val="auto"/>
                <w:sz w:val="24"/>
                <w:highlight w:val="none"/>
                <w:u w:val="single"/>
                <w:lang w:val="en-US" w:eastAsia="zh-CN"/>
              </w:rPr>
              <w:t>9</w:t>
            </w:r>
            <w:r>
              <w:rPr>
                <w:rFonts w:hint="eastAsia" w:cs="宋体" w:asciiTheme="minorEastAsia" w:hAnsiTheme="minorEastAsia" w:eastAsiaTheme="minorEastAsia"/>
                <w:color w:val="auto"/>
                <w:sz w:val="24"/>
                <w:highlight w:val="none"/>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auto"/>
                <w:sz w:val="24"/>
                <w:highlight w:val="none"/>
              </w:rPr>
            </w:pPr>
            <w:r>
              <w:rPr>
                <w:rFonts w:hint="eastAsia" w:ascii="宋体" w:hAnsi="宋体" w:eastAsia="宋体" w:cs="宋体"/>
                <w:color w:val="auto"/>
                <w:kern w:val="0"/>
                <w:sz w:val="24"/>
                <w:szCs w:val="24"/>
                <w:highlight w:val="none"/>
              </w:rPr>
              <w:t>根据售后服务流程规范情况，服务方案完整性、合理性（如：免费质保期、售后服务响应时间、服务流程规范、售后服务体系等）等进行评定得分：服务流程规范、售后服务体系健全、满足服务要求，方案完整、合理、可行性强得9分；服务流程较规范、售后服务体系较健全、基本满足服务要求，方案较完整、合理、可行性较强得6 分；服务流程不规范、售后服务体系不健全、部分满足服务要求，方案完整性合理性、可行性较弱得3分；未提供不得分。</w:t>
            </w:r>
          </w:p>
        </w:tc>
      </w:tr>
    </w:tbl>
    <w:p>
      <w:pPr>
        <w:spacing w:line="360" w:lineRule="auto"/>
        <w:rPr>
          <w:rFonts w:ascii="宋体" w:hAnsi="宋体" w:cs="仿宋_GB2312"/>
          <w:b/>
          <w:color w:val="auto"/>
          <w:sz w:val="24"/>
          <w:highlight w:val="none"/>
        </w:rPr>
      </w:pPr>
    </w:p>
    <w:p>
      <w:pPr>
        <w:spacing w:line="360" w:lineRule="auto"/>
        <w:ind w:firstLine="482" w:firstLineChars="200"/>
        <w:rPr>
          <w:rFonts w:ascii="宋体" w:hAnsi="宋体" w:cs="仿宋_GB2312"/>
          <w:b/>
          <w:color w:val="auto"/>
          <w:sz w:val="24"/>
          <w:highlight w:val="none"/>
          <w:lang w:val="zh-CN"/>
        </w:rPr>
      </w:pPr>
      <w:r>
        <w:rPr>
          <w:rFonts w:hint="eastAsia" w:ascii="宋体" w:hAnsi="宋体" w:cs="仿宋_GB2312"/>
          <w:b/>
          <w:color w:val="auto"/>
          <w:sz w:val="24"/>
          <w:highlight w:val="none"/>
          <w:lang w:val="zh-CN"/>
        </w:rPr>
        <w:t>其中：价格分计算（落实政府采购政策价格调整部分）</w:t>
      </w:r>
    </w:p>
    <w:tbl>
      <w:tblPr>
        <w:tblStyle w:val="28"/>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072"/>
        <w:gridCol w:w="2673"/>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85"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序号</w:t>
            </w:r>
          </w:p>
        </w:tc>
        <w:tc>
          <w:tcPr>
            <w:tcW w:w="3072"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情形</w:t>
            </w:r>
          </w:p>
        </w:tc>
        <w:tc>
          <w:tcPr>
            <w:tcW w:w="2673" w:type="dxa"/>
            <w:vAlign w:val="center"/>
          </w:tcPr>
          <w:p>
            <w:pPr>
              <w:jc w:val="center"/>
              <w:rPr>
                <w:rFonts w:ascii="宋体" w:hAnsi="宋体"/>
                <w:b/>
                <w:color w:val="auto"/>
                <w:sz w:val="24"/>
                <w:highlight w:val="none"/>
                <w:lang w:val="en-GB"/>
              </w:rPr>
            </w:pPr>
            <w:r>
              <w:rPr>
                <w:rFonts w:hint="eastAsia" w:ascii="宋体" w:hAnsi="宋体"/>
                <w:b/>
                <w:color w:val="auto"/>
                <w:sz w:val="24"/>
                <w:highlight w:val="none"/>
              </w:rPr>
              <w:t>价格扣除</w:t>
            </w:r>
            <w:r>
              <w:rPr>
                <w:rFonts w:hint="eastAsia" w:ascii="宋体" w:hAnsi="宋体"/>
                <w:b/>
                <w:color w:val="auto"/>
                <w:sz w:val="24"/>
                <w:highlight w:val="none"/>
                <w:lang w:val="en-GB"/>
              </w:rPr>
              <w:t>比例</w:t>
            </w:r>
          </w:p>
        </w:tc>
        <w:tc>
          <w:tcPr>
            <w:tcW w:w="3190"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785"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1</w:t>
            </w:r>
          </w:p>
        </w:tc>
        <w:tc>
          <w:tcPr>
            <w:tcW w:w="3072"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非联合体投标人</w:t>
            </w:r>
          </w:p>
        </w:tc>
        <w:tc>
          <w:tcPr>
            <w:tcW w:w="2673" w:type="dxa"/>
            <w:vAlign w:val="center"/>
          </w:tcPr>
          <w:p>
            <w:pPr>
              <w:jc w:val="center"/>
              <w:rPr>
                <w:rFonts w:ascii="宋体" w:hAnsi="宋体"/>
                <w:b/>
                <w:color w:val="auto"/>
                <w:sz w:val="24"/>
                <w:highlight w:val="none"/>
                <w:lang w:val="en-GB"/>
              </w:rPr>
            </w:pPr>
            <w:r>
              <w:rPr>
                <w:rFonts w:hint="eastAsia" w:ascii="宋体" w:hAnsi="宋体"/>
                <w:color w:val="auto"/>
                <w:sz w:val="24"/>
                <w:highlight w:val="none"/>
              </w:rPr>
              <w:t>对小型和微型企业产品的价格扣除</w:t>
            </w:r>
            <w:r>
              <w:rPr>
                <w:rFonts w:ascii="宋体" w:hAnsi="宋体"/>
                <w:color w:val="auto"/>
                <w:sz w:val="24"/>
                <w:highlight w:val="none"/>
                <w:u w:val="single"/>
              </w:rPr>
              <w:t>6</w:t>
            </w:r>
            <w:r>
              <w:rPr>
                <w:rFonts w:hint="eastAsia" w:ascii="宋体" w:hAnsi="宋体"/>
                <w:color w:val="auto"/>
                <w:sz w:val="24"/>
                <w:highlight w:val="none"/>
              </w:rPr>
              <w:t>%</w:t>
            </w:r>
          </w:p>
        </w:tc>
        <w:tc>
          <w:tcPr>
            <w:tcW w:w="3190" w:type="dxa"/>
            <w:vMerge w:val="restart"/>
            <w:vAlign w:val="center"/>
          </w:tcPr>
          <w:p>
            <w:pPr>
              <w:jc w:val="center"/>
              <w:rPr>
                <w:color w:val="auto"/>
                <w:sz w:val="24"/>
                <w:highlight w:val="none"/>
                <w:lang w:val="en-GB"/>
              </w:rPr>
            </w:pPr>
            <w:r>
              <w:rPr>
                <w:rFonts w:hint="eastAsia"/>
                <w:color w:val="auto"/>
                <w:sz w:val="24"/>
                <w:highlight w:val="none"/>
                <w:lang w:val="en-GB"/>
              </w:rPr>
              <w:t>评标价格＝投标报价—</w:t>
            </w:r>
            <w:r>
              <w:rPr>
                <w:rFonts w:hint="eastAsia"/>
                <w:color w:val="auto"/>
                <w:sz w:val="24"/>
                <w:highlight w:val="none"/>
              </w:rPr>
              <w:t>小型和微型企业产品的价格</w:t>
            </w:r>
            <w:r>
              <w:rPr>
                <w:rFonts w:hint="eastAsia" w:ascii="宋体" w:hAnsi="宋体"/>
                <w:color w:val="auto"/>
                <w:sz w:val="24"/>
                <w:highlight w:val="none"/>
                <w:lang w:val="en-GB"/>
              </w:rPr>
              <w:t>×</w:t>
            </w:r>
            <w:r>
              <w:rPr>
                <w:rFonts w:hint="eastAsia"/>
                <w:color w:val="auto"/>
                <w:sz w:val="24"/>
                <w:highlight w:val="none"/>
                <w:lang w:val="en-GB"/>
              </w:rPr>
              <w:t>6%</w:t>
            </w:r>
          </w:p>
          <w:p>
            <w:pPr>
              <w:jc w:val="center"/>
              <w:rPr>
                <w:rFonts w:ascii="宋体" w:hAnsi="宋体"/>
                <w:b/>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785"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2</w:t>
            </w:r>
          </w:p>
        </w:tc>
        <w:tc>
          <w:tcPr>
            <w:tcW w:w="3072" w:type="dxa"/>
            <w:vAlign w:val="center"/>
          </w:tcPr>
          <w:p>
            <w:pPr>
              <w:jc w:val="center"/>
              <w:rPr>
                <w:rFonts w:ascii="宋体" w:hAnsi="宋体"/>
                <w:b/>
                <w:color w:val="auto"/>
                <w:sz w:val="24"/>
                <w:highlight w:val="none"/>
              </w:rPr>
            </w:pPr>
            <w:r>
              <w:rPr>
                <w:rFonts w:hint="eastAsia" w:ascii="宋体" w:hAnsi="宋体"/>
                <w:color w:val="auto"/>
                <w:sz w:val="24"/>
                <w:highlight w:val="none"/>
                <w:lang w:val="en-GB"/>
              </w:rPr>
              <w:t>联合体各方均为小型、微型企业</w:t>
            </w:r>
          </w:p>
        </w:tc>
        <w:tc>
          <w:tcPr>
            <w:tcW w:w="2673" w:type="dxa"/>
            <w:vAlign w:val="center"/>
          </w:tcPr>
          <w:p>
            <w:pPr>
              <w:jc w:val="center"/>
              <w:rPr>
                <w:rFonts w:ascii="宋体" w:hAnsi="宋体"/>
                <w:color w:val="auto"/>
                <w:sz w:val="24"/>
                <w:highlight w:val="none"/>
              </w:rPr>
            </w:pPr>
            <w:r>
              <w:rPr>
                <w:rFonts w:hint="eastAsia" w:ascii="宋体" w:hAnsi="宋体"/>
                <w:color w:val="auto"/>
                <w:sz w:val="24"/>
                <w:highlight w:val="none"/>
              </w:rPr>
              <w:t>对小型和微型企业产品的价格扣除</w:t>
            </w:r>
            <w:r>
              <w:rPr>
                <w:rFonts w:ascii="宋体" w:hAnsi="宋体"/>
                <w:color w:val="auto"/>
                <w:sz w:val="24"/>
                <w:highlight w:val="none"/>
                <w:u w:val="single"/>
              </w:rPr>
              <w:t>6</w:t>
            </w:r>
            <w:r>
              <w:rPr>
                <w:rFonts w:hint="eastAsia" w:ascii="宋体" w:hAnsi="宋体"/>
                <w:color w:val="auto"/>
                <w:sz w:val="24"/>
                <w:highlight w:val="none"/>
              </w:rPr>
              <w:t>%</w:t>
            </w:r>
          </w:p>
          <w:p>
            <w:pPr>
              <w:jc w:val="center"/>
              <w:rPr>
                <w:rFonts w:ascii="宋体" w:hAnsi="宋体"/>
                <w:b/>
                <w:color w:val="auto"/>
                <w:sz w:val="24"/>
                <w:highlight w:val="none"/>
                <w:lang w:val="en-GB"/>
              </w:rPr>
            </w:pPr>
            <w:r>
              <w:rPr>
                <w:rFonts w:hint="eastAsia" w:ascii="宋体" w:hAnsi="宋体"/>
                <w:color w:val="auto"/>
                <w:sz w:val="24"/>
                <w:highlight w:val="none"/>
              </w:rPr>
              <w:t>（不再享受序号3的价格折扣）</w:t>
            </w:r>
          </w:p>
        </w:tc>
        <w:tc>
          <w:tcPr>
            <w:tcW w:w="3190" w:type="dxa"/>
            <w:vMerge w:val="continue"/>
          </w:tcPr>
          <w:p>
            <w:pP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785"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3</w:t>
            </w:r>
          </w:p>
        </w:tc>
        <w:tc>
          <w:tcPr>
            <w:tcW w:w="3072" w:type="dxa"/>
            <w:vAlign w:val="center"/>
          </w:tcPr>
          <w:p>
            <w:pPr>
              <w:jc w:val="center"/>
              <w:rPr>
                <w:rFonts w:ascii="宋体" w:hAnsi="宋体"/>
                <w:b/>
                <w:color w:val="auto"/>
                <w:sz w:val="24"/>
                <w:highlight w:val="none"/>
                <w:lang w:val="en-GB"/>
              </w:rPr>
            </w:pPr>
            <w:r>
              <w:rPr>
                <w:rFonts w:hint="eastAsia" w:ascii="宋体" w:hAnsi="宋体"/>
                <w:color w:val="auto"/>
                <w:sz w:val="24"/>
                <w:highlight w:val="none"/>
                <w:lang w:val="en-GB"/>
              </w:rPr>
              <w:t>联合体一方为小型、微型企业且小型、微型企业协议合同金额占联合体协议合同总金额30%以上的</w:t>
            </w:r>
          </w:p>
        </w:tc>
        <w:tc>
          <w:tcPr>
            <w:tcW w:w="2673"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对联合体总金额扣除</w:t>
            </w:r>
          </w:p>
          <w:p>
            <w:pPr>
              <w:jc w:val="center"/>
              <w:rPr>
                <w:rFonts w:ascii="宋体" w:hAnsi="宋体"/>
                <w:b/>
                <w:color w:val="auto"/>
                <w:sz w:val="24"/>
                <w:highlight w:val="none"/>
                <w:lang w:val="en-GB"/>
              </w:rPr>
            </w:pPr>
            <w:r>
              <w:rPr>
                <w:rFonts w:ascii="宋体" w:hAnsi="宋体"/>
                <w:color w:val="auto"/>
                <w:sz w:val="24"/>
                <w:highlight w:val="none"/>
                <w:u w:val="single"/>
              </w:rPr>
              <w:t>2</w:t>
            </w:r>
            <w:r>
              <w:rPr>
                <w:rFonts w:hint="eastAsia" w:ascii="宋体" w:hAnsi="宋体"/>
                <w:color w:val="auto"/>
                <w:sz w:val="24"/>
                <w:highlight w:val="none"/>
              </w:rPr>
              <w:t>%</w:t>
            </w:r>
          </w:p>
        </w:tc>
        <w:tc>
          <w:tcPr>
            <w:tcW w:w="3190" w:type="dxa"/>
            <w:vAlign w:val="center"/>
          </w:tcPr>
          <w:p>
            <w:pPr>
              <w:jc w:val="center"/>
              <w:rPr>
                <w:rFonts w:ascii="宋体" w:hAnsi="宋体"/>
                <w:color w:val="auto"/>
                <w:sz w:val="24"/>
                <w:highlight w:val="none"/>
                <w:u w:val="single"/>
              </w:rPr>
            </w:pPr>
            <w:r>
              <w:rPr>
                <w:rFonts w:hint="eastAsia" w:ascii="宋体" w:hAnsi="宋体"/>
                <w:color w:val="auto"/>
                <w:sz w:val="24"/>
                <w:highlight w:val="none"/>
                <w:lang w:val="en-GB"/>
              </w:rPr>
              <w:t>评标价格＝投标报价×</w:t>
            </w:r>
            <w:r>
              <w:rPr>
                <w:rFonts w:hint="eastAsia" w:ascii="宋体" w:hAnsi="宋体"/>
                <w:color w:val="auto"/>
                <w:sz w:val="24"/>
                <w:highlight w:val="none"/>
              </w:rPr>
              <w:t>(1-</w:t>
            </w:r>
            <w:r>
              <w:rPr>
                <w:rFonts w:ascii="宋体" w:hAnsi="宋体"/>
                <w:color w:val="auto"/>
                <w:sz w:val="24"/>
                <w:highlight w:val="none"/>
                <w:u w:val="single"/>
              </w:rPr>
              <w:t>2</w:t>
            </w:r>
            <w:r>
              <w:rPr>
                <w:rFonts w:hint="eastAsia" w:ascii="宋体" w:hAnsi="宋体"/>
                <w:color w:val="auto"/>
                <w:sz w:val="24"/>
                <w:highlight w:val="none"/>
                <w:u w:val="single"/>
              </w:rPr>
              <w:t>%)</w:t>
            </w:r>
          </w:p>
          <w:p>
            <w:pPr>
              <w:jc w:val="center"/>
              <w:rPr>
                <w:rFonts w:ascii="宋体" w:hAnsi="宋体"/>
                <w:b/>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85"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4</w:t>
            </w:r>
          </w:p>
        </w:tc>
        <w:tc>
          <w:tcPr>
            <w:tcW w:w="3072"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监狱企业</w:t>
            </w:r>
          </w:p>
        </w:tc>
        <w:tc>
          <w:tcPr>
            <w:tcW w:w="2673"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视同小型、微型企业</w:t>
            </w:r>
          </w:p>
          <w:p>
            <w:pPr>
              <w:jc w:val="center"/>
              <w:rPr>
                <w:rFonts w:ascii="宋体" w:hAnsi="宋体"/>
                <w:color w:val="auto"/>
                <w:sz w:val="24"/>
                <w:highlight w:val="none"/>
                <w:lang w:val="en-GB"/>
              </w:rPr>
            </w:pPr>
            <w:r>
              <w:rPr>
                <w:rFonts w:hint="eastAsia" w:ascii="宋体" w:hAnsi="宋体"/>
                <w:color w:val="auto"/>
                <w:sz w:val="24"/>
                <w:highlight w:val="none"/>
                <w:lang w:val="en-GB"/>
              </w:rPr>
              <w:t>对监狱企业产品价格扣除</w:t>
            </w:r>
            <w:r>
              <w:rPr>
                <w:rFonts w:ascii="宋体" w:hAnsi="宋体"/>
                <w:color w:val="auto"/>
                <w:sz w:val="24"/>
                <w:highlight w:val="none"/>
                <w:u w:val="single"/>
              </w:rPr>
              <w:t>6</w:t>
            </w:r>
            <w:r>
              <w:rPr>
                <w:rFonts w:hint="eastAsia" w:ascii="宋体" w:hAnsi="宋体"/>
                <w:color w:val="auto"/>
                <w:sz w:val="24"/>
                <w:highlight w:val="none"/>
              </w:rPr>
              <w:t>%</w:t>
            </w:r>
          </w:p>
        </w:tc>
        <w:tc>
          <w:tcPr>
            <w:tcW w:w="3190" w:type="dxa"/>
            <w:vAlign w:val="center"/>
          </w:tcPr>
          <w:p>
            <w:pPr>
              <w:jc w:val="center"/>
              <w:rPr>
                <w:rFonts w:ascii="宋体" w:hAnsi="宋体"/>
                <w:color w:val="auto"/>
                <w:sz w:val="24"/>
                <w:highlight w:val="none"/>
                <w:lang w:val="en-GB"/>
              </w:rPr>
            </w:pPr>
            <w:r>
              <w:rPr>
                <w:rFonts w:hint="eastAsia"/>
                <w:color w:val="auto"/>
                <w:sz w:val="24"/>
                <w:highlight w:val="none"/>
                <w:lang w:val="en-GB"/>
              </w:rPr>
              <w:t>评标价格＝投标报价—</w:t>
            </w:r>
            <w:r>
              <w:rPr>
                <w:rFonts w:hint="eastAsia"/>
                <w:color w:val="auto"/>
                <w:sz w:val="24"/>
                <w:highlight w:val="none"/>
              </w:rPr>
              <w:t>监狱企业产品的价格</w:t>
            </w:r>
            <w:r>
              <w:rPr>
                <w:rFonts w:hint="eastAsia" w:ascii="宋体" w:hAnsi="宋体"/>
                <w:color w:val="auto"/>
                <w:sz w:val="24"/>
                <w:highlight w:val="none"/>
                <w:lang w:val="en-GB"/>
              </w:rPr>
              <w:t>×</w:t>
            </w:r>
            <w:r>
              <w:rPr>
                <w:rFonts w:hint="eastAsia"/>
                <w:color w:val="auto"/>
                <w:sz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85" w:type="dxa"/>
            <w:vAlign w:val="center"/>
          </w:tcPr>
          <w:p>
            <w:pPr>
              <w:jc w:val="center"/>
              <w:rPr>
                <w:rFonts w:ascii="宋体" w:hAnsi="宋体"/>
                <w:b/>
                <w:color w:val="auto"/>
                <w:sz w:val="24"/>
                <w:highlight w:val="none"/>
                <w:lang w:val="en-GB"/>
              </w:rPr>
            </w:pPr>
            <w:r>
              <w:rPr>
                <w:rFonts w:hint="eastAsia" w:ascii="宋体" w:hAnsi="宋体"/>
                <w:b/>
                <w:color w:val="auto"/>
                <w:sz w:val="24"/>
                <w:highlight w:val="none"/>
                <w:lang w:val="en-GB"/>
              </w:rPr>
              <w:t>5</w:t>
            </w:r>
          </w:p>
        </w:tc>
        <w:tc>
          <w:tcPr>
            <w:tcW w:w="3072"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残疾人福利性单位</w:t>
            </w:r>
          </w:p>
        </w:tc>
        <w:tc>
          <w:tcPr>
            <w:tcW w:w="2673" w:type="dxa"/>
            <w:vAlign w:val="center"/>
          </w:tcPr>
          <w:p>
            <w:pPr>
              <w:jc w:val="center"/>
              <w:rPr>
                <w:rFonts w:ascii="宋体" w:hAnsi="宋体"/>
                <w:color w:val="auto"/>
                <w:sz w:val="24"/>
                <w:highlight w:val="none"/>
                <w:lang w:val="en-GB"/>
              </w:rPr>
            </w:pPr>
            <w:r>
              <w:rPr>
                <w:rFonts w:hint="eastAsia" w:ascii="宋体" w:hAnsi="宋体"/>
                <w:color w:val="auto"/>
                <w:sz w:val="24"/>
                <w:highlight w:val="none"/>
                <w:lang w:val="en-GB"/>
              </w:rPr>
              <w:t>视同小型、微型企业</w:t>
            </w:r>
          </w:p>
          <w:p>
            <w:pPr>
              <w:jc w:val="center"/>
              <w:rPr>
                <w:rFonts w:ascii="宋体" w:hAnsi="宋体"/>
                <w:color w:val="auto"/>
                <w:sz w:val="24"/>
                <w:highlight w:val="none"/>
                <w:lang w:val="en-GB"/>
              </w:rPr>
            </w:pPr>
            <w:r>
              <w:rPr>
                <w:rFonts w:hint="eastAsia" w:ascii="宋体" w:hAnsi="宋体"/>
                <w:color w:val="auto"/>
                <w:sz w:val="24"/>
                <w:highlight w:val="none"/>
                <w:lang w:val="en-GB"/>
              </w:rPr>
              <w:t>对残疾人福利性单位产品价格扣除</w:t>
            </w:r>
            <w:r>
              <w:rPr>
                <w:rFonts w:ascii="宋体" w:hAnsi="宋体"/>
                <w:color w:val="auto"/>
                <w:sz w:val="24"/>
                <w:highlight w:val="none"/>
                <w:u w:val="single"/>
              </w:rPr>
              <w:t>6</w:t>
            </w:r>
            <w:r>
              <w:rPr>
                <w:rFonts w:hint="eastAsia" w:ascii="宋体" w:hAnsi="宋体"/>
                <w:color w:val="auto"/>
                <w:sz w:val="24"/>
                <w:highlight w:val="none"/>
              </w:rPr>
              <w:t>%</w:t>
            </w:r>
          </w:p>
        </w:tc>
        <w:tc>
          <w:tcPr>
            <w:tcW w:w="3190" w:type="dxa"/>
            <w:vAlign w:val="center"/>
          </w:tcPr>
          <w:p>
            <w:pPr>
              <w:jc w:val="center"/>
              <w:rPr>
                <w:color w:val="auto"/>
                <w:sz w:val="24"/>
                <w:highlight w:val="none"/>
                <w:lang w:val="en-GB"/>
              </w:rPr>
            </w:pPr>
            <w:r>
              <w:rPr>
                <w:rFonts w:hint="eastAsia"/>
                <w:color w:val="auto"/>
                <w:sz w:val="24"/>
                <w:highlight w:val="none"/>
                <w:lang w:val="en-GB"/>
              </w:rPr>
              <w:t>评标价格＝投标报价—</w:t>
            </w:r>
            <w:r>
              <w:rPr>
                <w:rFonts w:hint="eastAsia"/>
                <w:color w:val="auto"/>
                <w:sz w:val="24"/>
                <w:highlight w:val="none"/>
              </w:rPr>
              <w:t>残疾人福利性单位产品的价格</w:t>
            </w:r>
            <w:r>
              <w:rPr>
                <w:rFonts w:hint="eastAsia" w:ascii="宋体" w:hAnsi="宋体"/>
                <w:color w:val="auto"/>
                <w:sz w:val="24"/>
                <w:highlight w:val="none"/>
                <w:lang w:val="en-GB"/>
              </w:rPr>
              <w:t>×</w:t>
            </w:r>
            <w:r>
              <w:rPr>
                <w:rFonts w:hint="eastAsia"/>
                <w:color w:val="auto"/>
                <w:sz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9720" w:type="dxa"/>
            <w:gridSpan w:val="4"/>
            <w:vAlign w:val="center"/>
          </w:tcPr>
          <w:p>
            <w:pPr>
              <w:widowControl/>
              <w:adjustRightInd w:val="0"/>
              <w:spacing w:line="360" w:lineRule="auto"/>
              <w:ind w:left="-2" w:leftChars="-1" w:firstLine="480" w:firstLineChars="200"/>
              <w:jc w:val="left"/>
              <w:rPr>
                <w:rFonts w:ascii="宋体" w:hAnsi="宋体" w:cs="仿宋_GB2312"/>
                <w:color w:val="auto"/>
                <w:sz w:val="24"/>
                <w:highlight w:val="none"/>
                <w:lang w:val="zh-CN"/>
              </w:rPr>
            </w:pPr>
            <w:r>
              <w:rPr>
                <w:rFonts w:hint="eastAsia" w:ascii="宋体" w:hAnsi="宋体" w:cs="仿宋_GB2312"/>
                <w:color w:val="auto"/>
                <w:sz w:val="24"/>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color w:val="auto"/>
                <w:sz w:val="24"/>
                <w:highlight w:val="none"/>
                <w:lang w:val="zh-CN"/>
              </w:rPr>
            </w:pPr>
            <w:r>
              <w:rPr>
                <w:rFonts w:hint="eastAsia" w:ascii="宋体" w:hAnsi="宋体" w:cs="仿宋_GB2312"/>
                <w:color w:val="auto"/>
                <w:sz w:val="24"/>
                <w:highlight w:val="none"/>
                <w:lang w:val="zh-CN"/>
              </w:rPr>
              <w:t>2、</w:t>
            </w:r>
            <w:r>
              <w:rPr>
                <w:rFonts w:ascii="宋体" w:hAnsi="宋体" w:cs="仿宋_GB2312"/>
                <w:color w:val="auto"/>
                <w:sz w:val="24"/>
                <w:highlight w:val="none"/>
                <w:lang w:val="zh-CN"/>
              </w:rPr>
              <w:t>经评标委员会</w:t>
            </w:r>
            <w:r>
              <w:rPr>
                <w:rFonts w:hint="eastAsia" w:ascii="宋体" w:hAnsi="宋体" w:cs="仿宋_GB2312"/>
                <w:color w:val="auto"/>
                <w:sz w:val="24"/>
                <w:highlight w:val="none"/>
                <w:lang w:val="zh-CN"/>
              </w:rPr>
              <w:t>审查、评价</w:t>
            </w:r>
            <w:r>
              <w:rPr>
                <w:rFonts w:ascii="宋体" w:hAnsi="宋体" w:cs="仿宋_GB2312"/>
                <w:color w:val="auto"/>
                <w:sz w:val="24"/>
                <w:highlight w:val="none"/>
                <w:lang w:val="zh-CN"/>
              </w:rPr>
              <w:t>，</w:t>
            </w:r>
            <w:r>
              <w:rPr>
                <w:rFonts w:hint="eastAsia" w:ascii="宋体" w:hAnsi="宋体" w:cs="仿宋_GB2312"/>
                <w:color w:val="auto"/>
                <w:sz w:val="24"/>
                <w:highlight w:val="none"/>
                <w:lang w:val="zh-CN"/>
              </w:rPr>
              <w:t>投标文件符合</w:t>
            </w:r>
            <w:r>
              <w:rPr>
                <w:rFonts w:ascii="宋体" w:hAnsi="宋体" w:cs="仿宋_GB2312"/>
                <w:color w:val="auto"/>
                <w:sz w:val="24"/>
                <w:highlight w:val="none"/>
                <w:lang w:val="zh-CN"/>
              </w:rPr>
              <w:t>招标文件</w:t>
            </w:r>
            <w:r>
              <w:rPr>
                <w:rFonts w:hint="eastAsia" w:ascii="宋体" w:hAnsi="宋体" w:cs="仿宋_GB2312"/>
                <w:color w:val="auto"/>
                <w:sz w:val="24"/>
                <w:highlight w:val="none"/>
                <w:lang w:val="zh-CN"/>
              </w:rPr>
              <w:t>实质性</w:t>
            </w:r>
            <w:r>
              <w:rPr>
                <w:rFonts w:ascii="宋体" w:hAnsi="宋体" w:cs="仿宋_GB2312"/>
                <w:color w:val="auto"/>
                <w:sz w:val="24"/>
                <w:highlight w:val="none"/>
                <w:lang w:val="zh-CN"/>
              </w:rPr>
              <w:t>要求且</w:t>
            </w:r>
            <w:r>
              <w:rPr>
                <w:rFonts w:hint="eastAsia" w:ascii="宋体" w:hAnsi="宋体" w:cs="仿宋_GB2312"/>
                <w:color w:val="auto"/>
                <w:sz w:val="24"/>
                <w:highlight w:val="none"/>
                <w:lang w:val="zh-CN"/>
              </w:rPr>
              <w:t>进行了政策性价格扣除后，</w:t>
            </w:r>
            <w:r>
              <w:rPr>
                <w:rFonts w:ascii="宋体" w:hAnsi="宋体" w:cs="仿宋_GB2312"/>
                <w:color w:val="auto"/>
                <w:sz w:val="24"/>
                <w:highlight w:val="none"/>
                <w:lang w:val="zh-CN"/>
              </w:rPr>
              <w:t>以</w:t>
            </w:r>
            <w:r>
              <w:rPr>
                <w:rFonts w:hint="eastAsia" w:ascii="宋体" w:hAnsi="宋体" w:cs="仿宋_GB2312"/>
                <w:color w:val="auto"/>
                <w:sz w:val="24"/>
                <w:highlight w:val="none"/>
                <w:lang w:val="zh-CN"/>
              </w:rPr>
              <w:t>评标价格的</w:t>
            </w:r>
            <w:r>
              <w:rPr>
                <w:rFonts w:ascii="宋体" w:hAnsi="宋体" w:cs="仿宋_GB2312"/>
                <w:color w:val="auto"/>
                <w:sz w:val="24"/>
                <w:highlight w:val="none"/>
                <w:lang w:val="zh-CN"/>
              </w:rPr>
              <w:t>最低价者定为评标基准价，其价格分为满分。其他投标人的价格分统一按下列公式</w:t>
            </w:r>
            <w:r>
              <w:rPr>
                <w:rFonts w:hint="eastAsia" w:ascii="宋体" w:hAnsi="宋体" w:cs="仿宋_GB2312"/>
                <w:color w:val="auto"/>
                <w:sz w:val="24"/>
                <w:highlight w:val="none"/>
                <w:lang w:val="zh-CN"/>
              </w:rPr>
              <w:t>计算</w:t>
            </w:r>
            <w:r>
              <w:rPr>
                <w:rFonts w:ascii="宋体" w:hAnsi="宋体" w:cs="仿宋_GB2312"/>
                <w:color w:val="auto"/>
                <w:sz w:val="24"/>
                <w:highlight w:val="none"/>
                <w:lang w:val="zh-CN"/>
              </w:rPr>
              <w:t>。即：</w:t>
            </w:r>
          </w:p>
          <w:p>
            <w:pPr>
              <w:widowControl/>
              <w:adjustRightInd w:val="0"/>
              <w:spacing w:line="360" w:lineRule="auto"/>
              <w:ind w:left="-88" w:leftChars="-42" w:firstLine="513" w:firstLineChars="214"/>
              <w:jc w:val="left"/>
              <w:rPr>
                <w:rFonts w:ascii="宋体" w:hAnsi="宋体" w:cs="仿宋_GB2312"/>
                <w:color w:val="auto"/>
                <w:sz w:val="24"/>
                <w:highlight w:val="none"/>
                <w:lang w:val="zh-CN"/>
              </w:rPr>
            </w:pPr>
            <w:r>
              <w:rPr>
                <w:rFonts w:ascii="宋体" w:hAnsi="宋体" w:cs="仿宋_GB2312"/>
                <w:color w:val="auto"/>
                <w:sz w:val="24"/>
                <w:highlight w:val="none"/>
                <w:lang w:val="zh-CN"/>
              </w:rPr>
              <w:t>评标基准价</w:t>
            </w:r>
            <w:r>
              <w:rPr>
                <w:rFonts w:hint="eastAsia" w:ascii="宋体" w:hAnsi="宋体" w:cs="仿宋_GB2312"/>
                <w:color w:val="auto"/>
                <w:sz w:val="24"/>
                <w:highlight w:val="none"/>
                <w:lang w:val="zh-CN"/>
              </w:rPr>
              <w:t>=评标价格的最低价</w:t>
            </w:r>
          </w:p>
          <w:p>
            <w:pPr>
              <w:adjustRightInd w:val="0"/>
              <w:spacing w:line="360" w:lineRule="auto"/>
              <w:ind w:left="-88" w:leftChars="-42" w:firstLine="513" w:firstLineChars="214"/>
              <w:jc w:val="left"/>
              <w:rPr>
                <w:rFonts w:ascii="宋体" w:hAnsi="宋体" w:cs="仿宋_GB2312"/>
                <w:color w:val="auto"/>
                <w:sz w:val="24"/>
                <w:highlight w:val="none"/>
                <w:lang w:val="zh-CN"/>
              </w:rPr>
            </w:pPr>
            <w:r>
              <w:rPr>
                <w:rFonts w:ascii="宋体" w:hAnsi="宋体" w:cs="仿宋_GB2312"/>
                <w:color w:val="auto"/>
                <w:sz w:val="24"/>
                <w:highlight w:val="none"/>
                <w:lang w:val="zh-CN"/>
              </w:rPr>
              <w:t>其他投标报价得分</w:t>
            </w:r>
            <w:r>
              <w:rPr>
                <w:rFonts w:hint="eastAsia" w:ascii="宋体" w:hAnsi="宋体" w:cs="仿宋_GB2312"/>
                <w:color w:val="auto"/>
                <w:sz w:val="24"/>
                <w:highlight w:val="none"/>
                <w:lang w:val="zh-CN"/>
              </w:rPr>
              <w:t>=（</w:t>
            </w:r>
            <w:r>
              <w:rPr>
                <w:rFonts w:ascii="宋体" w:hAnsi="宋体" w:cs="仿宋_GB2312"/>
                <w:color w:val="auto"/>
                <w:sz w:val="24"/>
                <w:highlight w:val="none"/>
                <w:lang w:val="zh-CN"/>
              </w:rPr>
              <w:t>评标基准价</w:t>
            </w:r>
            <w:r>
              <w:rPr>
                <w:rFonts w:hint="eastAsia" w:ascii="宋体" w:hAnsi="宋体" w:cs="仿宋_GB2312"/>
                <w:color w:val="auto"/>
                <w:sz w:val="24"/>
                <w:highlight w:val="none"/>
                <w:lang w:val="zh-CN"/>
              </w:rPr>
              <w:t>/评标价格）</w:t>
            </w:r>
            <w:r>
              <w:rPr>
                <w:rFonts w:ascii="宋体" w:hAnsi="宋体" w:cs="仿宋_GB2312"/>
                <w:color w:val="auto"/>
                <w:sz w:val="24"/>
                <w:highlight w:val="none"/>
                <w:lang w:val="zh-CN"/>
              </w:rPr>
              <w:t>×</w:t>
            </w:r>
            <w:r>
              <w:rPr>
                <w:rFonts w:hint="eastAsia" w:ascii="宋体" w:hAnsi="宋体" w:cs="仿宋_GB2312"/>
                <w:color w:val="auto"/>
                <w:sz w:val="24"/>
                <w:highlight w:val="none"/>
                <w:lang w:val="zh-CN"/>
              </w:rPr>
              <w:t>评标标准中价格分值</w:t>
            </w:r>
          </w:p>
        </w:tc>
      </w:tr>
    </w:tbl>
    <w:p>
      <w:pPr>
        <w:spacing w:line="360" w:lineRule="auto"/>
        <w:rPr>
          <w:rFonts w:ascii="宋体" w:hAnsi="宋体"/>
          <w:bCs/>
          <w:color w:val="auto"/>
          <w:sz w:val="24"/>
          <w:highlight w:val="none"/>
          <w:lang w:val="en-GB"/>
        </w:rPr>
      </w:pPr>
      <w:r>
        <w:rPr>
          <w:rFonts w:hint="eastAsia" w:ascii="宋体" w:hAnsi="宋体"/>
          <w:bCs/>
          <w:color w:val="auto"/>
          <w:sz w:val="24"/>
          <w:highlight w:val="none"/>
          <w:lang w:val="en-GB"/>
        </w:rPr>
        <w:t>备注：</w:t>
      </w:r>
    </w:p>
    <w:p>
      <w:p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a、不接受联合体投标的项目，本表中第2项、第3项情形不适用。</w:t>
      </w:r>
    </w:p>
    <w:p>
      <w:p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b、小型和微型企业产品包括货物及其提供的服务与工程。</w:t>
      </w:r>
    </w:p>
    <w:p>
      <w:p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highlight w:val="none"/>
          <w:lang w:val="en-GB"/>
        </w:rPr>
      </w:pPr>
      <w:r>
        <w:rPr>
          <w:rFonts w:hint="eastAsia" w:ascii="宋体" w:hAnsi="宋体"/>
          <w:bCs/>
          <w:color w:val="auto"/>
          <w:sz w:val="24"/>
          <w:highlight w:val="none"/>
          <w:lang w:val="en-GB"/>
        </w:rPr>
        <w:t>d、残疾人福利性单位属于小型、微型企业的，不重复享受政策。</w:t>
      </w:r>
    </w:p>
    <w:p>
      <w:pPr>
        <w:spacing w:line="360" w:lineRule="auto"/>
        <w:ind w:firstLine="480" w:firstLineChars="200"/>
        <w:rPr>
          <w:rFonts w:ascii="宋体" w:hAnsi="宋体"/>
          <w:bCs/>
          <w:color w:val="auto"/>
          <w:sz w:val="24"/>
          <w:highlight w:val="none"/>
          <w:lang w:val="en-GB"/>
        </w:rPr>
      </w:pPr>
      <w:r>
        <w:rPr>
          <w:rFonts w:ascii="宋体" w:hAnsi="宋体"/>
          <w:bCs/>
          <w:color w:val="auto"/>
          <w:sz w:val="24"/>
          <w:highlight w:val="none"/>
          <w:lang w:val="en-GB"/>
        </w:rPr>
        <w:t>E</w:t>
      </w:r>
      <w:r>
        <w:rPr>
          <w:rFonts w:hint="eastAsia" w:ascii="宋体" w:hAnsi="宋体"/>
          <w:bCs/>
          <w:color w:val="auto"/>
          <w:sz w:val="24"/>
          <w:highlight w:val="none"/>
          <w:lang w:val="en-GB"/>
        </w:rPr>
        <w:t>、小型和微型企业不包括民办非企业单位。</w:t>
      </w:r>
    </w:p>
    <w:p>
      <w:pPr>
        <w:pStyle w:val="17"/>
        <w:spacing w:line="360" w:lineRule="auto"/>
        <w:ind w:firstLine="482" w:firstLineChars="200"/>
        <w:contextualSpacing/>
        <w:rPr>
          <w:rFonts w:hAnsi="宋体" w:cs="仿宋_GB2312"/>
          <w:color w:val="auto"/>
          <w:sz w:val="24"/>
          <w:szCs w:val="24"/>
          <w:highlight w:val="none"/>
          <w:lang w:val="zh-CN"/>
        </w:rPr>
      </w:pPr>
      <w:r>
        <w:rPr>
          <w:rFonts w:hint="eastAsia" w:hAnsi="宋体" w:cs="仿宋_GB2312"/>
          <w:b/>
          <w:color w:val="auto"/>
          <w:sz w:val="24"/>
          <w:szCs w:val="24"/>
          <w:highlight w:val="none"/>
          <w:lang w:val="zh-CN"/>
        </w:rPr>
        <w:t>（8）</w:t>
      </w:r>
      <w:r>
        <w:rPr>
          <w:rFonts w:hAnsi="宋体" w:cs="仿宋_GB2312"/>
          <w:b/>
          <w:color w:val="auto"/>
          <w:sz w:val="24"/>
          <w:szCs w:val="24"/>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1） </w:t>
      </w:r>
      <w:r>
        <w:rPr>
          <w:rFonts w:ascii="宋体" w:hAnsi="宋体" w:cs="仿宋_GB2312"/>
          <w:color w:val="auto"/>
          <w:sz w:val="24"/>
          <w:highlight w:val="none"/>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2） </w:t>
      </w:r>
      <w:r>
        <w:rPr>
          <w:rFonts w:ascii="宋体" w:hAnsi="宋体" w:cs="仿宋_GB2312"/>
          <w:color w:val="auto"/>
          <w:sz w:val="24"/>
          <w:highlight w:val="none"/>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3） </w:t>
      </w:r>
      <w:r>
        <w:rPr>
          <w:rFonts w:ascii="宋体" w:hAnsi="宋体" w:cs="仿宋_GB2312"/>
          <w:color w:val="auto"/>
          <w:sz w:val="24"/>
          <w:highlight w:val="none"/>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4） </w:t>
      </w:r>
      <w:r>
        <w:rPr>
          <w:rFonts w:ascii="宋体" w:hAnsi="宋体" w:cs="仿宋_GB2312"/>
          <w:color w:val="auto"/>
          <w:sz w:val="24"/>
          <w:highlight w:val="none"/>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ascii="宋体" w:hAnsi="宋体" w:cs="仿宋_GB2312"/>
          <w:color w:val="auto"/>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ascii="宋体" w:hAnsi="宋体" w:cs="仿宋_GB2312"/>
          <w:color w:val="auto"/>
          <w:sz w:val="24"/>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cs="仿宋_GB2312" w:asciiTheme="minorEastAsia" w:hAnsiTheme="minorEastAsia"/>
          <w:b/>
          <w:color w:val="auto"/>
          <w:sz w:val="24"/>
          <w:highlight w:val="none"/>
          <w:lang w:val="zh-CN"/>
        </w:rPr>
      </w:pPr>
      <w:r>
        <w:rPr>
          <w:rFonts w:hint="eastAsia" w:cs="仿宋_GB2312" w:asciiTheme="minorEastAsia" w:hAnsiTheme="minorEastAsia"/>
          <w:b/>
          <w:color w:val="auto"/>
          <w:sz w:val="24"/>
          <w:highlight w:val="none"/>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（10）</w:t>
      </w:r>
      <w:r>
        <w:rPr>
          <w:rFonts w:ascii="宋体" w:hAnsi="宋体" w:cs="仿宋_GB2312"/>
          <w:b/>
          <w:color w:val="auto"/>
          <w:sz w:val="24"/>
          <w:highlight w:val="none"/>
          <w:lang w:val="zh-CN"/>
        </w:rPr>
        <w:t>评标委员会</w:t>
      </w:r>
      <w:r>
        <w:rPr>
          <w:rFonts w:hint="eastAsia" w:ascii="宋体" w:hAnsi="宋体" w:cs="仿宋_GB2312"/>
          <w:b/>
          <w:color w:val="auto"/>
          <w:sz w:val="24"/>
          <w:highlight w:val="none"/>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ascii="宋体" w:hAnsi="宋体" w:cs="仿宋_GB2312"/>
          <w:color w:val="auto"/>
          <w:sz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highlight w:val="none"/>
          <w:lang w:val="zh-CN"/>
        </w:rPr>
      </w:pPr>
      <w:r>
        <w:rPr>
          <w:rFonts w:hint="eastAsia" w:ascii="宋体" w:hAnsi="宋体" w:cs="仿宋_GB2312"/>
          <w:b/>
          <w:color w:val="auto"/>
          <w:sz w:val="24"/>
          <w:highlight w:val="none"/>
          <w:lang w:val="zh-CN"/>
        </w:rPr>
        <w:t>4、</w:t>
      </w:r>
      <w:r>
        <w:rPr>
          <w:rFonts w:ascii="宋体" w:hAnsi="宋体" w:cs="仿宋_GB2312"/>
          <w:b/>
          <w:color w:val="auto"/>
          <w:sz w:val="24"/>
          <w:highlight w:val="none"/>
          <w:lang w:val="zh-CN"/>
        </w:rPr>
        <w:t>确定中标候选人名单，以及根据采购人委托直接确定中标人</w:t>
      </w:r>
      <w:r>
        <w:rPr>
          <w:rFonts w:hint="eastAsia" w:ascii="宋体" w:hAnsi="宋体" w:cs="仿宋_GB2312"/>
          <w:b/>
          <w:color w:val="auto"/>
          <w:sz w:val="24"/>
          <w:highlight w:val="none"/>
          <w:lang w:val="zh-CN"/>
        </w:rPr>
        <w:t>。</w:t>
      </w:r>
    </w:p>
    <w:p>
      <w:pPr>
        <w:tabs>
          <w:tab w:val="left" w:pos="1260"/>
        </w:tabs>
        <w:autoSpaceDE w:val="0"/>
        <w:autoSpaceDN w:val="0"/>
        <w:spacing w:line="360" w:lineRule="auto"/>
        <w:ind w:firstLine="480" w:firstLineChars="200"/>
        <w:contextualSpacing/>
        <w:rPr>
          <w:rFonts w:ascii="宋体" w:hAnsi="宋体" w:cs="仿宋_GB2312"/>
          <w:color w:val="auto"/>
          <w:sz w:val="24"/>
          <w:highlight w:val="none"/>
          <w:lang w:val="zh-CN"/>
        </w:rPr>
      </w:pPr>
      <w:r>
        <w:rPr>
          <w:rFonts w:hint="eastAsia" w:ascii="宋体" w:hAnsi="宋体" w:cs="仿宋_GB2312"/>
          <w:color w:val="auto"/>
          <w:sz w:val="24"/>
          <w:highlight w:val="none"/>
          <w:lang w:val="zh-CN"/>
        </w:rPr>
        <w:t>本项目评标委会员向采购人按得分由高到低的顺序推荐不少于3名中标候选人。</w:t>
      </w:r>
    </w:p>
    <w:p>
      <w:pPr>
        <w:widowControl/>
        <w:jc w:val="left"/>
        <w:rPr>
          <w:rFonts w:ascii="宋体" w:hAnsi="宋体" w:cs="宋体"/>
          <w:b/>
          <w:color w:val="auto"/>
          <w:kern w:val="0"/>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r>
        <w:rPr>
          <w:rFonts w:hint="eastAsia" w:hAnsi="宋体" w:cs="宋体"/>
          <w:b/>
          <w:color w:val="auto"/>
          <w:sz w:val="36"/>
          <w:szCs w:val="36"/>
          <w:highlight w:val="none"/>
        </w:rPr>
        <w:t>第七章合同条款及格式</w:t>
      </w:r>
    </w:p>
    <w:p>
      <w:pPr>
        <w:pStyle w:val="17"/>
        <w:spacing w:line="360" w:lineRule="auto"/>
        <w:contextualSpacing/>
        <w:jc w:val="center"/>
        <w:rPr>
          <w:rFonts w:hAnsi="宋体" w:cs="宋体"/>
          <w:b/>
          <w:color w:val="auto"/>
          <w:sz w:val="36"/>
          <w:szCs w:val="36"/>
          <w:highlight w:val="none"/>
        </w:rPr>
      </w:pPr>
    </w:p>
    <w:p>
      <w:pPr>
        <w:spacing w:line="360" w:lineRule="auto"/>
        <w:jc w:val="center"/>
        <w:rPr>
          <w:rFonts w:ascii="宋体" w:hAnsi="宋体" w:cs="微软雅黑"/>
          <w:b/>
          <w:bCs/>
          <w:color w:val="auto"/>
          <w:sz w:val="24"/>
          <w:highlight w:val="none"/>
        </w:rPr>
      </w:pPr>
      <w:r>
        <w:rPr>
          <w:rFonts w:hint="eastAsia" w:ascii="宋体" w:hAnsi="宋体" w:cs="微软雅黑"/>
          <w:b/>
          <w:bCs/>
          <w:color w:val="auto"/>
          <w:sz w:val="24"/>
          <w:highlight w:val="none"/>
        </w:rPr>
        <w:t>（此合同仅供参考。以最终采购人与中标人签定的合同条款为准，最终签定合同的主要条款不能与招标文件有冲突）</w:t>
      </w:r>
    </w:p>
    <w:p>
      <w:pPr>
        <w:spacing w:line="440" w:lineRule="exact"/>
        <w:rPr>
          <w:rFonts w:ascii="Arial" w:hAnsi="宋体" w:cs="Arial"/>
          <w:color w:val="auto"/>
          <w:sz w:val="24"/>
          <w:highlight w:val="none"/>
        </w:rPr>
      </w:pP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w:t>
      </w:r>
    </w:p>
    <w:p>
      <w:pPr>
        <w:spacing w:line="360" w:lineRule="auto"/>
        <w:rPr>
          <w:rFonts w:ascii="宋体" w:hAnsi="宋体" w:eastAsia="宋体"/>
          <w:color w:val="auto"/>
          <w:sz w:val="24"/>
          <w:szCs w:val="24"/>
          <w:highlight w:val="none"/>
        </w:rPr>
      </w:pP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甲、乙双方在真实、充分地表达各自意愿的基础上，经友好协商，</w:t>
      </w:r>
      <w:r>
        <w:rPr>
          <w:rFonts w:ascii="宋体" w:hAnsi="宋体" w:eastAsia="宋体"/>
          <w:color w:val="auto"/>
          <w:sz w:val="24"/>
          <w:szCs w:val="24"/>
          <w:highlight w:val="none"/>
        </w:rPr>
        <w:t>达成一致意见，根据《中华人民共和国合同法》及其他相关法律法规签订本合同。</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第一条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合同各方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甲方：_</w:t>
      </w:r>
      <w:r>
        <w:rPr>
          <w:rFonts w:ascii="宋体" w:hAnsi="宋体" w:eastAsia="宋体"/>
          <w:color w:val="auto"/>
          <w:sz w:val="24"/>
          <w:szCs w:val="24"/>
          <w:highlight w:val="none"/>
        </w:rPr>
        <w:t>___________</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联系人：_</w:t>
      </w:r>
      <w:r>
        <w:rPr>
          <w:rFonts w:ascii="宋体" w:hAnsi="宋体" w:eastAsia="宋体"/>
          <w:color w:val="auto"/>
          <w:sz w:val="24"/>
          <w:szCs w:val="24"/>
          <w:highlight w:val="none"/>
        </w:rPr>
        <w:t>___________</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电话：_</w:t>
      </w:r>
      <w:r>
        <w:rPr>
          <w:rFonts w:ascii="宋体" w:hAnsi="宋体" w:eastAsia="宋体"/>
          <w:color w:val="auto"/>
          <w:sz w:val="24"/>
          <w:szCs w:val="24"/>
          <w:highlight w:val="none"/>
        </w:rPr>
        <w:t xml:space="preserve">___________  </w:t>
      </w:r>
      <w:r>
        <w:rPr>
          <w:rFonts w:hint="eastAsia" w:ascii="宋体" w:hAnsi="宋体" w:eastAsia="宋体"/>
          <w:color w:val="auto"/>
          <w:sz w:val="24"/>
          <w:szCs w:val="24"/>
          <w:highlight w:val="none"/>
        </w:rPr>
        <w:t>传真：_</w:t>
      </w:r>
      <w:r>
        <w:rPr>
          <w:rFonts w:ascii="宋体" w:hAnsi="宋体" w:eastAsia="宋体"/>
          <w:color w:val="auto"/>
          <w:sz w:val="24"/>
          <w:szCs w:val="24"/>
          <w:highlight w:val="none"/>
        </w:rPr>
        <w:t xml:space="preserve">___________  </w:t>
      </w:r>
      <w:r>
        <w:rPr>
          <w:rFonts w:hint="eastAsia" w:ascii="宋体" w:hAnsi="宋体" w:eastAsia="宋体"/>
          <w:color w:val="auto"/>
          <w:sz w:val="24"/>
          <w:szCs w:val="24"/>
          <w:highlight w:val="none"/>
        </w:rPr>
        <w:t>邮编：_</w:t>
      </w:r>
      <w:r>
        <w:rPr>
          <w:rFonts w:ascii="宋体" w:hAnsi="宋体" w:eastAsia="宋体"/>
          <w:color w:val="auto"/>
          <w:sz w:val="24"/>
          <w:szCs w:val="24"/>
          <w:highlight w:val="none"/>
        </w:rPr>
        <w:t>___________</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单位地址：_</w:t>
      </w:r>
      <w:r>
        <w:rPr>
          <w:rFonts w:ascii="宋体" w:hAnsi="宋体" w:eastAsia="宋体"/>
          <w:color w:val="auto"/>
          <w:sz w:val="24"/>
          <w:szCs w:val="24"/>
          <w:highlight w:val="none"/>
        </w:rPr>
        <w:t>___________</w:t>
      </w:r>
    </w:p>
    <w:p>
      <w:pPr>
        <w:spacing w:line="360" w:lineRule="auto"/>
        <w:ind w:firstLine="480" w:firstLineChars="200"/>
        <w:rPr>
          <w:rFonts w:ascii="宋体" w:hAnsi="宋体" w:eastAsia="宋体"/>
          <w:color w:val="auto"/>
          <w:sz w:val="24"/>
          <w:szCs w:val="24"/>
          <w:highlight w:val="none"/>
        </w:rPr>
      </w:pP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乙方：_</w:t>
      </w:r>
      <w:r>
        <w:rPr>
          <w:rFonts w:ascii="宋体" w:hAnsi="宋体" w:eastAsia="宋体"/>
          <w:color w:val="auto"/>
          <w:sz w:val="24"/>
          <w:szCs w:val="24"/>
          <w:highlight w:val="none"/>
        </w:rPr>
        <w:t>___________</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联系人：_</w:t>
      </w:r>
      <w:r>
        <w:rPr>
          <w:rFonts w:ascii="宋体" w:hAnsi="宋体" w:eastAsia="宋体"/>
          <w:color w:val="auto"/>
          <w:sz w:val="24"/>
          <w:szCs w:val="24"/>
          <w:highlight w:val="none"/>
        </w:rPr>
        <w:t>___________</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电话：_</w:t>
      </w:r>
      <w:r>
        <w:rPr>
          <w:rFonts w:ascii="宋体" w:hAnsi="宋体" w:eastAsia="宋体"/>
          <w:color w:val="auto"/>
          <w:sz w:val="24"/>
          <w:szCs w:val="24"/>
          <w:highlight w:val="none"/>
        </w:rPr>
        <w:t xml:space="preserve">___________  </w:t>
      </w:r>
      <w:r>
        <w:rPr>
          <w:rFonts w:hint="eastAsia" w:ascii="宋体" w:hAnsi="宋体" w:eastAsia="宋体"/>
          <w:color w:val="auto"/>
          <w:sz w:val="24"/>
          <w:szCs w:val="24"/>
          <w:highlight w:val="none"/>
        </w:rPr>
        <w:t>传真：_</w:t>
      </w:r>
      <w:r>
        <w:rPr>
          <w:rFonts w:ascii="宋体" w:hAnsi="宋体" w:eastAsia="宋体"/>
          <w:color w:val="auto"/>
          <w:sz w:val="24"/>
          <w:szCs w:val="24"/>
          <w:highlight w:val="none"/>
        </w:rPr>
        <w:t xml:space="preserve">___________  </w:t>
      </w:r>
      <w:r>
        <w:rPr>
          <w:rFonts w:hint="eastAsia" w:ascii="宋体" w:hAnsi="宋体" w:eastAsia="宋体"/>
          <w:color w:val="auto"/>
          <w:sz w:val="24"/>
          <w:szCs w:val="24"/>
          <w:highlight w:val="none"/>
        </w:rPr>
        <w:t>邮编：_</w:t>
      </w:r>
      <w:r>
        <w:rPr>
          <w:rFonts w:ascii="宋体" w:hAnsi="宋体" w:eastAsia="宋体"/>
          <w:color w:val="auto"/>
          <w:sz w:val="24"/>
          <w:szCs w:val="24"/>
          <w:highlight w:val="none"/>
        </w:rPr>
        <w:t xml:space="preserve">___________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单位地址：_</w:t>
      </w:r>
      <w:r>
        <w:rPr>
          <w:rFonts w:ascii="宋体" w:hAnsi="宋体" w:eastAsia="宋体"/>
          <w:color w:val="auto"/>
          <w:sz w:val="24"/>
          <w:szCs w:val="24"/>
          <w:highlight w:val="none"/>
        </w:rPr>
        <w:t xml:space="preserve">___________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第二条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定义</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除非本合同另有特别约定，本合同所使用的术语、概念的含义如下：</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2.1 本合同：是指双方所签署的合同正文及所属附件；</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2.2 合同总价款：是指根据本合同约定，在乙方履行全部合同义务时甲方应支付给乙方的全部价款；</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2.3 许可：是指按本合同约定内容提供的软件项目调研、开发、培训、安装、调试、及质保期内的售后服务等项目成果的授权使用；</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2.4 现场：是指按本合同约定的软件许可项目实施、维护服务的场所；</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2.5 维护：是指按本合同约定内容提供技术服务的过程；</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2.6 成果:是指乙方按照本合同的约定所提供的项目工作成果，包括对所提供的软件项目调研、开发、培训、安装、调试、验收、交付、质保期内的售后服务及系统维护期内对系统进行的完善、修改和扩展而生成的应用软件、维护记录档案，各种数据、参数，以及乙方为履行本合同所搜集、使用、编制、创作的所有其他技术文档；</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2.7 交付：是指乙方将合同约定的成果提交给甲方使用；</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2.8 验收：是指甲方按照合同约定的范围对乙方的成果进行验证的过程，以双方签署后的验收报告为成果物；</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2.9 阶段确认：是指甲方按照合同约定的项目工作进度对乙方的阶段工作进行验证的过程，以双方签署后的阶段证明为成果物；</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第三条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合同标的及价格</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3.1 软件项目许可标的及价格</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3.1.1 乙方向甲方交付的软件项目许可标的及价格如下表格所示：</w:t>
      </w:r>
    </w:p>
    <w:tbl>
      <w:tblPr>
        <w:tblStyle w:val="28"/>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709"/>
        <w:gridCol w:w="1276"/>
        <w:gridCol w:w="70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9" w:type="dxa"/>
            <w:shd w:val="clear" w:color="auto" w:fill="E7E6E6"/>
          </w:tcPr>
          <w:p>
            <w:pPr>
              <w:spacing w:line="360" w:lineRule="auto"/>
              <w:ind w:firstLine="48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709" w:type="dxa"/>
            <w:shd w:val="clear" w:color="auto" w:fill="E7E6E6"/>
          </w:tcPr>
          <w:p>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276" w:type="dxa"/>
            <w:shd w:val="clear" w:color="auto" w:fill="E7E6E6"/>
          </w:tcPr>
          <w:p>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单价(万元)</w:t>
            </w:r>
          </w:p>
        </w:tc>
        <w:tc>
          <w:tcPr>
            <w:tcW w:w="709" w:type="dxa"/>
            <w:shd w:val="clear" w:color="auto" w:fill="E7E6E6"/>
          </w:tcPr>
          <w:p>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526" w:type="dxa"/>
            <w:shd w:val="clear" w:color="auto" w:fill="E7E6E6"/>
          </w:tcPr>
          <w:p>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4669" w:type="dxa"/>
          </w:tcPr>
          <w:p>
            <w:pPr>
              <w:spacing w:line="360" w:lineRule="auto"/>
              <w:jc w:val="center"/>
              <w:rPr>
                <w:rFonts w:ascii="宋体" w:hAnsi="宋体" w:eastAsia="宋体" w:cs="宋体"/>
                <w:color w:val="auto"/>
                <w:sz w:val="24"/>
                <w:szCs w:val="24"/>
                <w:highlight w:val="none"/>
              </w:rPr>
            </w:pPr>
          </w:p>
        </w:tc>
        <w:tc>
          <w:tcPr>
            <w:tcW w:w="709" w:type="dxa"/>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76" w:type="dxa"/>
          </w:tcPr>
          <w:p>
            <w:pPr>
              <w:spacing w:line="360" w:lineRule="auto"/>
              <w:jc w:val="center"/>
              <w:rPr>
                <w:rFonts w:ascii="宋体" w:hAnsi="宋体" w:eastAsia="宋体" w:cs="宋体"/>
                <w:color w:val="auto"/>
                <w:sz w:val="24"/>
                <w:szCs w:val="24"/>
                <w:highlight w:val="none"/>
              </w:rPr>
            </w:pPr>
          </w:p>
        </w:tc>
        <w:tc>
          <w:tcPr>
            <w:tcW w:w="709" w:type="dxa"/>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26" w:type="dxa"/>
          </w:tcPr>
          <w:p>
            <w:pPr>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8889" w:type="dxa"/>
            <w:gridSpan w:val="5"/>
            <w:shd w:val="clear" w:color="auto" w:fill="D9D9D9"/>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合计（人民币万元）</w:t>
            </w:r>
            <w:r>
              <w:rPr>
                <w:rFonts w:hint="eastAsia" w:ascii="宋体" w:hAnsi="宋体" w:eastAsia="宋体" w:cs="宋体"/>
                <w:color w:val="auto"/>
                <w:sz w:val="24"/>
                <w:szCs w:val="24"/>
                <w:highlight w:val="none"/>
              </w:rPr>
              <w:t>：¥    万元 （大写：人民币 万圆）</w:t>
            </w:r>
          </w:p>
        </w:tc>
      </w:tr>
    </w:tbl>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3.1.2 乙方提供的软件项目许可内容包括：</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1）负责软件项目的调研、开发工作；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2）负责软件项目的安装、调试工作；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3）负责软件项目的测试和文档建设工作；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4）负责软件项目的用户培训工作；</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5）辅助甲方完成软件项目的数据准备和导入工作；</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6）负责软件项目的客户化移植工作；</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7）负责软件项目的质保期内的售后服务工作。</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3.1.4 乙方提供的许可软件项目的免费质保期期限：壹年。</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3.1.5 </w:t>
      </w:r>
      <w:r>
        <w:rPr>
          <w:rFonts w:hint="eastAsia" w:ascii="宋体" w:hAnsi="宋体" w:eastAsia="宋体"/>
          <w:color w:val="auto"/>
          <w:sz w:val="24"/>
          <w:szCs w:val="24"/>
          <w:highlight w:val="none"/>
        </w:rPr>
        <w:t>乙方提供的核心硬件提供原厂质保三年。</w:t>
      </w:r>
      <w:r>
        <w:rPr>
          <w:rFonts w:ascii="宋体" w:hAnsi="宋体" w:eastAsia="宋体"/>
          <w:color w:val="auto"/>
          <w:sz w:val="24"/>
          <w:szCs w:val="24"/>
          <w:highlight w:val="none"/>
        </w:rPr>
        <w:t>VPN、切换器、机柜、PDU提供原厂质保一年。</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3.2 甲方自愿委托乙方进行软件系统免费维护工作。</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第四条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双方权利和义务</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4.1 甲方权利和义务</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4.1.1 甲方有权监督本项目实施过程，并指派授权人对于乙方按照合同约定所完成工作内容予以确认。</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4.1.2 甲方应按本合同第七条的约定按乙方提出的验收申请进行验收。</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4.2 乙方权利和义务</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4.2.1 乙方保证软件项目的许可及维护服务工作符合合同约定的质量要求。</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4.2.2 乙方保证其现场软件项目的许可及维护服务人员拥有从事本项目维护工作的资格水平。</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4.2.3 乙方应按照本合同第六条的约定向甲方交付软件项目的许可及维护服务成果。</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4.2.4 乙方保证在合同履行过程中不侵犯第三方知识产权。</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4.2.5 乙方人员在甲方现场工作期间,应严格遵守甲方的有关规章管理制度。</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第五条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付款及支付</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5.1 合同总价款:</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本合同总价款为</w:t>
      </w:r>
      <w:r>
        <w:rPr>
          <w:rFonts w:ascii="宋体" w:hAnsi="宋体" w:eastAsia="宋体"/>
          <w:color w:val="auto"/>
          <w:sz w:val="24"/>
          <w:szCs w:val="24"/>
          <w:highlight w:val="none"/>
        </w:rPr>
        <w:t>:________元人民币；大写：</w:t>
      </w:r>
      <w:r>
        <w:rPr>
          <w:rFonts w:hint="eastAsia" w:ascii="宋体" w:hAnsi="宋体" w:eastAsia="宋体"/>
          <w:color w:val="auto"/>
          <w:sz w:val="24"/>
          <w:szCs w:val="24"/>
          <w:highlight w:val="none"/>
        </w:rPr>
        <w:t>_</w:t>
      </w:r>
      <w:r>
        <w:rPr>
          <w:rFonts w:ascii="宋体" w:hAnsi="宋体" w:eastAsia="宋体"/>
          <w:color w:val="auto"/>
          <w:sz w:val="24"/>
          <w:szCs w:val="24"/>
          <w:highlight w:val="none"/>
        </w:rPr>
        <w:t>_______。该价格为包含全部相关税费的最终价格。</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5.2 付款方式</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 在乙方完成安装及调试工作后，软件整体上线正常运行（无重大问题，能保障正常使用，并对出现的问题及时调整和解决）之日起7个工作日内进行初期验收，初验通过后7工作日内甲方向乙方提供合同总款项的40%作为一期款。</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 在初期验收通过使用3个月后（无重大问题，能保障正常使用，并对出现的问题及时调整和解决）7个工作日内进行中期验收，中期验收通过后7个工作日内甲方向乙方提供合同总款项的50%作为二期款。</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 在中期验收通过使用12个月后（无重大问题，能保障正常使用，并对出现的问题及时调整和解决）7个工作日内进行最终验收，最终验收通过后7个工作日内甲方向乙方提供总款项10%作为尾款。</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第六条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交付</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6.1 乙方应将合同约定的软件项目的销售许可及维护服务成果按本合同第一条指定的地址或甲方书面通知的地址交付给甲方，甲方签署接收凭证。</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第七条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验收</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w:t>
      </w:r>
      <w:r>
        <w:rPr>
          <w:rFonts w:ascii="宋体" w:hAnsi="宋体" w:eastAsia="宋体"/>
          <w:color w:val="auto"/>
          <w:sz w:val="24"/>
          <w:szCs w:val="24"/>
          <w:highlight w:val="none"/>
        </w:rPr>
        <w:t xml:space="preserve">.1 </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 xml:space="preserve"> 在乙方完成安装及调试工作后，软件整体上线正常运行（无重大问题，</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能保障正常使用，并对出现的问题及时调整和解决）之日起7个工作日内进行初期验收，验收依据现行法律及国家标准，组建由采购人、供应商共同组成的履约验收小组，根据采购项目的具体内容和要求组织履约验收，并出具初期验收报告。</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初期验收通过使用3个月后（无重大问题，能保障正常使用，并对出现的问题及时调整和解决）7个工作日内进行中期验收，验收依据现行法律及国家标准，组建由采购人、供应商共同组成的履约验收小组，根据采购项目的具体内容和要求组织履约验收，并出具中期验收报告。</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在中期验收通过使用12个月后（无重大问题，能保障正常使用，并对出现的问题及时调整和解决）7个工作日内进行最终验收，验收依据现行法律及国家标准，组建由采购人、供应商共同组成的履约验收小组，根据采购项目的具体内容和要求组织履约验收，并出具最终验收报告。</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7.2乙方应当在验收前做好验收的必要准备并向甲方提交验收申请书，甲方应当在收到验收申请书后开始验收，验收后由双方签署验收报告并加盖公章。</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第八条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知识产权及保密</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8.1 乙方依照本合同第六条向甲方交付的工作成果的知识产权归乙方所有。甲方享有非独占且不可转让的内部使用权。</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第九条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违约责任</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9.1 甲乙双方任何一方不履行合同义务或者履行合同义务不符合合同约定的，均视为违约。违约方应当承担继续履行、采取补救措施或者赔偿损失等违约责任。</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9.2 甲乙双方在完成双方签署的书面确认事项后，任何一方提出变更要求，导致项目进度延迟的，不视为对方违约；因此而给对方造成损失的，由提出变更一方承担相应的责任。</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9.3 因甲乙双方任何一方的原因致使另一方遭受第三方追诉的，违约方应赔偿由此给另一方造成的损失。</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第十条 </w:t>
      </w:r>
      <w:r>
        <w:rPr>
          <w:rFonts w:ascii="宋体" w:hAnsi="宋体" w:eastAsia="宋体"/>
          <w:color w:val="auto"/>
          <w:sz w:val="24"/>
          <w:szCs w:val="24"/>
          <w:highlight w:val="none"/>
        </w:rPr>
        <w:t xml:space="preserve"> 承诺与保证</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10.1 数据安全</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乙方应确保软件系统安全可靠运行，保证系统数据完整可用、不丢失。</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10.2 施工安全</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乙方应贯彻执行国家有关安全生产的法律法规，并制定相应的安全管理制度。乙方在项目实施安装过程中应当严格按照安全管理制度执行，若乙方工作人员在项目实施安装过程中发生人身损害的，则损害责任由乙方全部负责。</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第十一条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法律适用及争议解决</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11.1 本合同按中华人民共和国法律解释，受中华人民共和国法律管辖。</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11.2 因本合同引起的或与本合同有关的任何争议，应本着友好合作的态度协商解决；如协商不成，均可提请仲裁委员会按照该会仲裁规则进行仲裁。仲裁裁决是终局的，对双方均有约束力。</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11.3 仲裁期间，除争议内容以外，双方均应继续履行合同约定的其他内容。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第十二条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不可抗力</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12.1 本合同中不可抗力指地震、台风、火灾、水灾、战争、罢工以及其他双方不能预见、不能避免并不能克服的客观情况。</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12.2 由于不可抗力致使合同无法履行的，受不可抗力影响一方应立即将不能履行本合同的事实书面通知对方，并在不可抗力发生之日起十五日内提供相关证明文件。</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12.3 本合同在不可抗力影响范围及其持续期间内将中止履行，本合同执行时间可根据中止的时间相应顺延，双方无须承担违约责任。不可抗力事件消除后，双方应就合同的履行及后续问题进行协商。如果不可抗力原因造成本合同中止履行超过______个工作日，任何一方均有权解除合同。</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12.4 一方迟延履行后发生不可抗力的，不能免除责任。</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第十三条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合同的变更、转让和终止</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13.1 本合同一经生效，非经甲乙双方书面同意，任何一方以任意方式对合同条款的增减及其他变更均无约束力。</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第十四条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其他</w:t>
      </w:r>
    </w:p>
    <w:p>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14.1 本合同书一式______份，甲方______份，乙方______份，自双方加盖公章或合同章之日起生效，原件、传真及扫描件具有同等法律效力。</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（以下无正文，为签字区）</w:t>
      </w:r>
    </w:p>
    <w:p>
      <w:pPr>
        <w:spacing w:line="360" w:lineRule="auto"/>
        <w:ind w:firstLine="480" w:firstLineChars="200"/>
        <w:rPr>
          <w:rFonts w:ascii="宋体" w:hAnsi="宋体" w:eastAsia="宋体"/>
          <w:color w:val="auto"/>
          <w:sz w:val="24"/>
          <w:szCs w:val="24"/>
          <w:highlight w:val="none"/>
        </w:rPr>
      </w:pP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甲方（盖章）：</w:t>
      </w:r>
      <w:r>
        <w:rPr>
          <w:rFonts w:ascii="宋体" w:hAnsi="宋体" w:eastAsia="宋体"/>
          <w:color w:val="auto"/>
          <w:sz w:val="24"/>
          <w:szCs w:val="24"/>
          <w:highlight w:val="none"/>
        </w:rPr>
        <w:t>____________</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法定代表人或授权代理人（签字）：</w:t>
      </w:r>
      <w:r>
        <w:rPr>
          <w:rFonts w:ascii="宋体" w:hAnsi="宋体" w:eastAsia="宋体"/>
          <w:color w:val="auto"/>
          <w:sz w:val="24"/>
          <w:szCs w:val="24"/>
          <w:highlight w:val="none"/>
        </w:rPr>
        <w:t>____________</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签订日期：</w:t>
      </w:r>
      <w:r>
        <w:rPr>
          <w:rFonts w:ascii="宋体" w:hAnsi="宋体" w:eastAsia="宋体"/>
          <w:color w:val="auto"/>
          <w:sz w:val="24"/>
          <w:szCs w:val="24"/>
          <w:highlight w:val="none"/>
        </w:rPr>
        <w:t>____________</w:t>
      </w:r>
    </w:p>
    <w:p>
      <w:pPr>
        <w:spacing w:line="360" w:lineRule="auto"/>
        <w:ind w:firstLine="480" w:firstLineChars="200"/>
        <w:rPr>
          <w:rFonts w:ascii="宋体" w:hAnsi="宋体" w:eastAsia="宋体"/>
          <w:color w:val="auto"/>
          <w:sz w:val="24"/>
          <w:szCs w:val="24"/>
          <w:highlight w:val="none"/>
        </w:rPr>
      </w:pP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乙方（盖章）：</w:t>
      </w:r>
      <w:r>
        <w:rPr>
          <w:rFonts w:ascii="宋体" w:hAnsi="宋体" w:eastAsia="宋体"/>
          <w:color w:val="auto"/>
          <w:sz w:val="24"/>
          <w:szCs w:val="24"/>
          <w:highlight w:val="none"/>
        </w:rPr>
        <w:t>____________</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法定代表人或授权代理人（签字）：</w:t>
      </w:r>
      <w:r>
        <w:rPr>
          <w:rFonts w:ascii="宋体" w:hAnsi="宋体" w:eastAsia="宋体"/>
          <w:color w:val="auto"/>
          <w:sz w:val="24"/>
          <w:szCs w:val="24"/>
          <w:highlight w:val="none"/>
        </w:rPr>
        <w:t>____________</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签订日期：</w:t>
      </w:r>
      <w:r>
        <w:rPr>
          <w:rFonts w:ascii="宋体" w:hAnsi="宋体" w:eastAsia="宋体"/>
          <w:color w:val="auto"/>
          <w:sz w:val="24"/>
          <w:szCs w:val="24"/>
          <w:highlight w:val="none"/>
        </w:rPr>
        <w:t>____________</w:t>
      </w:r>
    </w:p>
    <w:p>
      <w:pPr>
        <w:pStyle w:val="17"/>
        <w:spacing w:line="360" w:lineRule="auto"/>
        <w:contextualSpacing/>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p>
    <w:p>
      <w:pPr>
        <w:pStyle w:val="17"/>
        <w:spacing w:line="360" w:lineRule="auto"/>
        <w:contextualSpacing/>
        <w:jc w:val="center"/>
        <w:rPr>
          <w:rFonts w:hAnsi="宋体" w:cs="宋体"/>
          <w:b/>
          <w:color w:val="auto"/>
          <w:sz w:val="36"/>
          <w:szCs w:val="36"/>
          <w:highlight w:val="none"/>
        </w:rPr>
      </w:pPr>
      <w:r>
        <w:rPr>
          <w:rFonts w:hint="eastAsia" w:hAnsi="宋体" w:cs="宋体"/>
          <w:b/>
          <w:color w:val="auto"/>
          <w:sz w:val="36"/>
          <w:szCs w:val="36"/>
          <w:highlight w:val="none"/>
        </w:rPr>
        <w:t>第八章 投标文件有关格式</w:t>
      </w: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（如涉及本项目的提供）</w:t>
      </w:r>
      <w:bookmarkStart w:id="46" w:name="_Toc174185203"/>
      <w:bookmarkStart w:id="47" w:name="_Toc186274126"/>
      <w:bookmarkStart w:id="48" w:name="_Toc184023138"/>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                                    </w:t>
      </w: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Fonts w:cs="宋体" w:asciiTheme="majorEastAsia" w:hAnsiTheme="majorEastAsia" w:eastAsiaTheme="majorEastAsia"/>
          <w:b/>
          <w:color w:val="auto"/>
          <w:kern w:val="0"/>
          <w:sz w:val="36"/>
          <w:szCs w:val="36"/>
          <w:highlight w:val="none"/>
        </w:rPr>
      </w:pPr>
    </w:p>
    <w:p>
      <w:pPr>
        <w:autoSpaceDE w:val="0"/>
        <w:autoSpaceDN w:val="0"/>
        <w:adjustRightInd w:val="0"/>
        <w:spacing w:line="700" w:lineRule="exact"/>
        <w:jc w:val="center"/>
        <w:rPr>
          <w:rStyle w:val="39"/>
          <w:rFonts w:cs="宋体" w:asciiTheme="majorEastAsia" w:hAnsiTheme="majorEastAsia" w:eastAsiaTheme="majorEastAsia"/>
          <w:color w:val="auto"/>
          <w:sz w:val="36"/>
          <w:szCs w:val="36"/>
          <w:highlight w:val="none"/>
        </w:rPr>
      </w:pPr>
      <w:r>
        <w:rPr>
          <w:rFonts w:hint="eastAsia" w:cs="宋体" w:asciiTheme="majorEastAsia" w:hAnsiTheme="majorEastAsia" w:eastAsiaTheme="majorEastAsia"/>
          <w:b/>
          <w:color w:val="auto"/>
          <w:kern w:val="0"/>
          <w:sz w:val="36"/>
          <w:szCs w:val="36"/>
          <w:highlight w:val="none"/>
        </w:rPr>
        <w:t xml:space="preserve">                          </w:t>
      </w:r>
      <w:r>
        <w:rPr>
          <w:rStyle w:val="39"/>
          <w:rFonts w:hint="eastAsia" w:ascii="宋体" w:hAnsi="宋体"/>
          <w:color w:val="auto"/>
          <w:highlight w:val="none"/>
        </w:rPr>
        <w:t>正本或副本</w:t>
      </w:r>
    </w:p>
    <w:p>
      <w:pPr>
        <w:jc w:val="left"/>
        <w:rPr>
          <w:rStyle w:val="39"/>
          <w:rFonts w:ascii="宋体" w:hAnsi="宋体"/>
          <w:color w:val="auto"/>
          <w:highlight w:val="none"/>
        </w:rPr>
      </w:pPr>
    </w:p>
    <w:p>
      <w:pPr>
        <w:rPr>
          <w:rFonts w:ascii="宋体" w:hAnsi="宋体" w:cs="微软雅黑"/>
          <w:color w:val="auto"/>
          <w:sz w:val="28"/>
          <w:szCs w:val="28"/>
          <w:highlight w:val="none"/>
          <w:u w:val="single"/>
        </w:rPr>
      </w:pPr>
    </w:p>
    <w:p>
      <w:pPr>
        <w:spacing w:line="276" w:lineRule="auto"/>
        <w:jc w:val="center"/>
        <w:rPr>
          <w:rFonts w:ascii="宋体" w:hAnsi="宋体" w:cs="宋体"/>
          <w:b/>
          <w:bCs/>
          <w:color w:val="auto"/>
          <w:sz w:val="40"/>
          <w:szCs w:val="40"/>
          <w:highlight w:val="none"/>
          <w:u w:val="single"/>
        </w:rPr>
      </w:pPr>
      <w:r>
        <w:rPr>
          <w:rFonts w:hint="eastAsia" w:ascii="宋体" w:hAnsi="宋体" w:cs="宋体"/>
          <w:b/>
          <w:bCs/>
          <w:color w:val="auto"/>
          <w:sz w:val="40"/>
          <w:szCs w:val="40"/>
          <w:highlight w:val="none"/>
          <w:u w:val="single"/>
        </w:rPr>
        <w:t xml:space="preserve">                      （项目名称）</w:t>
      </w:r>
    </w:p>
    <w:p>
      <w:pPr>
        <w:jc w:val="center"/>
        <w:rPr>
          <w:rFonts w:ascii="宋体" w:hAnsi="宋体" w:cs="微软雅黑"/>
          <w:color w:val="auto"/>
          <w:sz w:val="28"/>
          <w:szCs w:val="28"/>
          <w:highlight w:val="none"/>
          <w:u w:val="single"/>
        </w:rPr>
      </w:pPr>
    </w:p>
    <w:p>
      <w:pPr>
        <w:rPr>
          <w:rFonts w:ascii="宋体" w:hAnsi="宋体" w:cs="微软雅黑"/>
          <w:color w:val="auto"/>
          <w:sz w:val="20"/>
          <w:szCs w:val="20"/>
          <w:highlight w:val="none"/>
        </w:rPr>
      </w:pPr>
    </w:p>
    <w:p>
      <w:pPr>
        <w:rPr>
          <w:rFonts w:ascii="宋体" w:hAnsi="宋体" w:cs="微软雅黑"/>
          <w:color w:val="auto"/>
          <w:sz w:val="20"/>
          <w:szCs w:val="20"/>
          <w:highlight w:val="none"/>
        </w:rPr>
      </w:pPr>
    </w:p>
    <w:p>
      <w:pPr>
        <w:jc w:val="center"/>
        <w:rPr>
          <w:rFonts w:ascii="宋体" w:hAnsi="宋体" w:cs="微软雅黑"/>
          <w:color w:val="auto"/>
          <w:sz w:val="72"/>
          <w:szCs w:val="72"/>
          <w:highlight w:val="none"/>
        </w:rPr>
      </w:pPr>
      <w:r>
        <w:rPr>
          <w:rFonts w:hint="eastAsia" w:ascii="宋体" w:hAnsi="宋体" w:cs="微软雅黑"/>
          <w:color w:val="auto"/>
          <w:sz w:val="72"/>
          <w:szCs w:val="72"/>
          <w:highlight w:val="none"/>
        </w:rPr>
        <w:t>投 标 文 件</w:t>
      </w:r>
    </w:p>
    <w:p>
      <w:pPr>
        <w:rPr>
          <w:rFonts w:ascii="宋体" w:hAnsi="宋体" w:cs="微软雅黑"/>
          <w:color w:val="auto"/>
          <w:sz w:val="28"/>
          <w:szCs w:val="28"/>
          <w:highlight w:val="none"/>
        </w:rPr>
      </w:pPr>
    </w:p>
    <w:p>
      <w:pPr>
        <w:ind w:firstLine="3080" w:firstLineChars="1100"/>
        <w:rPr>
          <w:rFonts w:ascii="宋体" w:hAnsi="宋体" w:cs="微软雅黑"/>
          <w:color w:val="auto"/>
          <w:sz w:val="28"/>
          <w:szCs w:val="28"/>
          <w:highlight w:val="none"/>
        </w:rPr>
      </w:pPr>
      <w:r>
        <w:rPr>
          <w:rFonts w:hint="eastAsia" w:ascii="宋体" w:hAnsi="宋体" w:cs="微软雅黑"/>
          <w:color w:val="auto"/>
          <w:sz w:val="28"/>
          <w:szCs w:val="28"/>
          <w:highlight w:val="none"/>
        </w:rPr>
        <w:t>项目编号：</w:t>
      </w:r>
    </w:p>
    <w:p>
      <w:pPr>
        <w:rPr>
          <w:rFonts w:ascii="宋体" w:hAnsi="宋体" w:cs="微软雅黑"/>
          <w:color w:val="auto"/>
          <w:sz w:val="28"/>
          <w:szCs w:val="28"/>
          <w:highlight w:val="none"/>
        </w:rPr>
      </w:pPr>
    </w:p>
    <w:p>
      <w:pPr>
        <w:rPr>
          <w:rFonts w:ascii="宋体" w:hAnsi="宋体" w:cs="微软雅黑"/>
          <w:color w:val="auto"/>
          <w:sz w:val="28"/>
          <w:szCs w:val="28"/>
          <w:highlight w:val="none"/>
        </w:rPr>
      </w:pPr>
    </w:p>
    <w:p>
      <w:pPr>
        <w:rPr>
          <w:rFonts w:ascii="宋体" w:hAnsi="宋体" w:cs="微软雅黑"/>
          <w:color w:val="auto"/>
          <w:sz w:val="28"/>
          <w:szCs w:val="28"/>
          <w:highlight w:val="none"/>
        </w:rPr>
      </w:pPr>
    </w:p>
    <w:p>
      <w:pPr>
        <w:pStyle w:val="2"/>
        <w:ind w:firstLine="280"/>
        <w:rPr>
          <w:rFonts w:hAnsi="宋体" w:cs="微软雅黑"/>
          <w:color w:val="auto"/>
          <w:szCs w:val="28"/>
          <w:highlight w:val="none"/>
        </w:rPr>
      </w:pPr>
    </w:p>
    <w:p>
      <w:pPr>
        <w:pStyle w:val="2"/>
        <w:ind w:firstLine="280"/>
        <w:rPr>
          <w:rFonts w:hAnsi="宋体" w:cs="微软雅黑"/>
          <w:color w:val="auto"/>
          <w:szCs w:val="28"/>
          <w:highlight w:val="none"/>
        </w:rPr>
      </w:pPr>
    </w:p>
    <w:p>
      <w:pPr>
        <w:pStyle w:val="2"/>
        <w:ind w:firstLine="280"/>
        <w:rPr>
          <w:rFonts w:hAnsi="宋体" w:cs="微软雅黑"/>
          <w:color w:val="auto"/>
          <w:szCs w:val="28"/>
          <w:highlight w:val="none"/>
        </w:rPr>
      </w:pPr>
    </w:p>
    <w:p>
      <w:pPr>
        <w:ind w:left="1079" w:leftChars="514"/>
        <w:jc w:val="left"/>
        <w:rPr>
          <w:rFonts w:ascii="宋体" w:hAnsi="宋体" w:cs="微软雅黑"/>
          <w:color w:val="auto"/>
          <w:sz w:val="28"/>
          <w:szCs w:val="28"/>
          <w:highlight w:val="none"/>
          <w:u w:val="single"/>
        </w:rPr>
      </w:pPr>
      <w:r>
        <w:rPr>
          <w:rFonts w:hint="eastAsia" w:ascii="宋体" w:hAnsi="宋体" w:cs="微软雅黑"/>
          <w:color w:val="auto"/>
          <w:sz w:val="28"/>
          <w:szCs w:val="28"/>
          <w:highlight w:val="none"/>
        </w:rPr>
        <w:t>投  标  人：</w:t>
      </w:r>
      <w:r>
        <w:rPr>
          <w:rFonts w:hint="eastAsia" w:ascii="宋体" w:hAnsi="宋体" w:cs="微软雅黑"/>
          <w:color w:val="auto"/>
          <w:sz w:val="28"/>
          <w:szCs w:val="28"/>
          <w:highlight w:val="none"/>
          <w:u w:val="single"/>
        </w:rPr>
        <w:t xml:space="preserve">                            </w:t>
      </w:r>
      <w:r>
        <w:rPr>
          <w:rFonts w:hint="eastAsia" w:ascii="宋体" w:hAnsi="宋体" w:cs="微软雅黑"/>
          <w:color w:val="auto"/>
          <w:sz w:val="28"/>
          <w:szCs w:val="28"/>
          <w:highlight w:val="none"/>
        </w:rPr>
        <w:t>（盖单位章）</w:t>
      </w:r>
    </w:p>
    <w:p>
      <w:pPr>
        <w:ind w:left="1079" w:leftChars="514"/>
        <w:jc w:val="left"/>
        <w:rPr>
          <w:rFonts w:ascii="宋体" w:hAnsi="宋体" w:cs="微软雅黑"/>
          <w:color w:val="auto"/>
          <w:sz w:val="28"/>
          <w:szCs w:val="28"/>
          <w:highlight w:val="none"/>
        </w:rPr>
      </w:pPr>
      <w:r>
        <w:rPr>
          <w:rFonts w:hint="eastAsia" w:ascii="宋体" w:hAnsi="宋体" w:cs="微软雅黑"/>
          <w:color w:val="auto"/>
          <w:sz w:val="28"/>
          <w:szCs w:val="28"/>
          <w:highlight w:val="none"/>
        </w:rPr>
        <w:t>法定代表人（单位负责人）或其委托代理人：</w:t>
      </w:r>
      <w:r>
        <w:rPr>
          <w:rFonts w:hint="eastAsia" w:ascii="宋体" w:hAnsi="宋体" w:cs="微软雅黑"/>
          <w:color w:val="auto"/>
          <w:sz w:val="28"/>
          <w:szCs w:val="28"/>
          <w:highlight w:val="none"/>
          <w:u w:val="single"/>
        </w:rPr>
        <w:t xml:space="preserve">               </w:t>
      </w:r>
      <w:r>
        <w:rPr>
          <w:rFonts w:hint="eastAsia" w:ascii="宋体" w:hAnsi="宋体" w:cs="微软雅黑"/>
          <w:color w:val="auto"/>
          <w:sz w:val="28"/>
          <w:szCs w:val="28"/>
          <w:highlight w:val="none"/>
        </w:rPr>
        <w:t>（签字）</w:t>
      </w:r>
    </w:p>
    <w:p>
      <w:pPr>
        <w:pStyle w:val="2"/>
        <w:ind w:firstLine="280"/>
        <w:rPr>
          <w:color w:val="auto"/>
          <w:highlight w:val="none"/>
        </w:rPr>
      </w:pPr>
    </w:p>
    <w:p>
      <w:pPr>
        <w:ind w:firstLine="3360" w:firstLineChars="1200"/>
        <w:rPr>
          <w:rFonts w:ascii="宋体" w:hAnsi="宋体" w:cs="微软雅黑"/>
          <w:color w:val="auto"/>
          <w:sz w:val="28"/>
          <w:szCs w:val="28"/>
          <w:highlight w:val="none"/>
        </w:rPr>
      </w:pPr>
      <w:r>
        <w:rPr>
          <w:rFonts w:hint="eastAsia" w:ascii="宋体" w:hAnsi="宋体" w:cs="微软雅黑"/>
          <w:color w:val="auto"/>
          <w:sz w:val="28"/>
          <w:szCs w:val="28"/>
          <w:highlight w:val="none"/>
        </w:rPr>
        <w:t>年   月   日</w:t>
      </w:r>
      <w:bookmarkEnd w:id="46"/>
      <w:bookmarkEnd w:id="47"/>
      <w:bookmarkEnd w:id="48"/>
    </w:p>
    <w:p>
      <w:pPr>
        <w:ind w:firstLine="3360" w:firstLineChars="1200"/>
        <w:rPr>
          <w:rFonts w:ascii="宋体" w:hAnsi="宋体" w:cs="微软雅黑"/>
          <w:color w:val="auto"/>
          <w:sz w:val="28"/>
          <w:szCs w:val="28"/>
          <w:highlight w:val="none"/>
        </w:rPr>
      </w:pPr>
    </w:p>
    <w:p>
      <w:pPr>
        <w:ind w:firstLine="3360" w:firstLineChars="1200"/>
        <w:rPr>
          <w:rFonts w:ascii="宋体" w:hAnsi="宋体" w:cs="微软雅黑"/>
          <w:color w:val="auto"/>
          <w:sz w:val="28"/>
          <w:szCs w:val="28"/>
          <w:highlight w:val="none"/>
        </w:rPr>
      </w:pPr>
    </w:p>
    <w:p>
      <w:pPr>
        <w:jc w:val="center"/>
        <w:rPr>
          <w:rFonts w:cs="黑体" w:asciiTheme="minorEastAsia" w:hAnsiTheme="minorEastAsia" w:eastAsiaTheme="minorEastAsia"/>
          <w:b/>
          <w:color w:val="auto"/>
          <w:sz w:val="28"/>
          <w:szCs w:val="28"/>
          <w:highlight w:val="none"/>
          <w:lang w:val="zh-CN"/>
        </w:rPr>
      </w:pPr>
      <w:r>
        <w:rPr>
          <w:rFonts w:hint="eastAsia" w:cs="黑体" w:asciiTheme="minorEastAsia" w:hAnsiTheme="minorEastAsia" w:eastAsiaTheme="minorEastAsia"/>
          <w:b/>
          <w:color w:val="auto"/>
          <w:sz w:val="28"/>
          <w:szCs w:val="28"/>
          <w:highlight w:val="none"/>
          <w:lang w:val="zh-CN"/>
        </w:rPr>
        <w:t>一、投标人应答索引表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gridSpan w:val="4"/>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投标人应答</w:t>
            </w:r>
          </w:p>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投标文件中所在页码</w:t>
            </w:r>
          </w:p>
        </w:tc>
        <w:tc>
          <w:tcPr>
            <w:tcW w:w="201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olor w:val="auto"/>
                <w:szCs w:val="21"/>
                <w:highlight w:val="none"/>
              </w:rPr>
              <w:t>投标人应答索引表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gridSpan w:val="4"/>
            <w:vAlign w:val="center"/>
          </w:tcPr>
          <w:p>
            <w:pPr>
              <w:pStyle w:val="17"/>
              <w:kinsoku w:val="0"/>
              <w:spacing w:line="320" w:lineRule="exact"/>
              <w:rPr>
                <w:rFonts w:hAnsi="宋体"/>
                <w:color w:val="auto"/>
                <w:szCs w:val="21"/>
                <w:highlight w:val="none"/>
              </w:rPr>
            </w:pPr>
            <w:r>
              <w:rPr>
                <w:rFonts w:hint="eastAsia" w:hAnsi="宋体"/>
                <w:color w:val="auto"/>
                <w:szCs w:val="21"/>
                <w:highlight w:val="none"/>
              </w:rPr>
              <w:t>开标一览表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olor w:val="auto"/>
                <w:szCs w:val="21"/>
                <w:highlight w:val="none"/>
              </w:rPr>
              <w:t>投标函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gridSpan w:val="4"/>
            <w:vAlign w:val="center"/>
          </w:tcPr>
          <w:p>
            <w:pPr>
              <w:pStyle w:val="17"/>
              <w:kinsoku w:val="0"/>
              <w:spacing w:line="320" w:lineRule="exact"/>
              <w:rPr>
                <w:rFonts w:hAnsi="宋体"/>
                <w:color w:val="auto"/>
                <w:szCs w:val="21"/>
                <w:highlight w:val="none"/>
              </w:rPr>
            </w:pPr>
            <w:r>
              <w:rPr>
                <w:rFonts w:hint="eastAsia" w:asciiTheme="majorEastAsia" w:hAnsiTheme="majorEastAsia" w:eastAsiaTheme="majorEastAsia" w:cstheme="majorEastAsia"/>
                <w:bCs/>
                <w:color w:val="auto"/>
                <w:szCs w:val="21"/>
                <w:highlight w:val="none"/>
                <w:lang w:val="zh-CN"/>
              </w:rPr>
              <w:t>法定代表人（单位负责人）</w:t>
            </w:r>
            <w:r>
              <w:rPr>
                <w:rFonts w:asciiTheme="majorEastAsia" w:hAnsiTheme="majorEastAsia" w:eastAsiaTheme="majorEastAsia" w:cstheme="majorEastAsia"/>
                <w:bCs/>
                <w:color w:val="auto"/>
                <w:szCs w:val="21"/>
                <w:highlight w:val="none"/>
                <w:lang w:val="zh-CN"/>
              </w:rPr>
              <w:t>资</w:t>
            </w:r>
            <w:r>
              <w:rPr>
                <w:rFonts w:hint="eastAsia" w:asciiTheme="majorEastAsia" w:hAnsiTheme="majorEastAsia" w:eastAsiaTheme="majorEastAsia" w:cstheme="majorEastAsia"/>
                <w:bCs/>
                <w:color w:val="auto"/>
                <w:szCs w:val="21"/>
                <w:highlight w:val="none"/>
                <w:lang w:val="zh-CN"/>
              </w:rPr>
              <w:t>格</w:t>
            </w:r>
            <w:r>
              <w:rPr>
                <w:rFonts w:asciiTheme="majorEastAsia" w:hAnsiTheme="majorEastAsia" w:eastAsiaTheme="majorEastAsia" w:cstheme="majorEastAsia"/>
                <w:bCs/>
                <w:color w:val="auto"/>
                <w:szCs w:val="21"/>
                <w:highlight w:val="none"/>
                <w:lang w:val="zh-CN"/>
              </w:rPr>
              <w:t>证</w:t>
            </w:r>
            <w:r>
              <w:rPr>
                <w:rFonts w:hint="eastAsia" w:asciiTheme="majorEastAsia" w:hAnsiTheme="majorEastAsia" w:eastAsiaTheme="majorEastAsia" w:cstheme="majorEastAsia"/>
                <w:bCs/>
                <w:color w:val="auto"/>
                <w:szCs w:val="21"/>
                <w:highlight w:val="none"/>
                <w:lang w:val="zh-CN"/>
              </w:rPr>
              <w:t>明</w:t>
            </w:r>
            <w:r>
              <w:rPr>
                <w:rFonts w:asciiTheme="majorEastAsia" w:hAnsiTheme="majorEastAsia" w:eastAsiaTheme="majorEastAsia" w:cstheme="majorEastAsia"/>
                <w:bCs/>
                <w:color w:val="auto"/>
                <w:szCs w:val="21"/>
                <w:highlight w:val="none"/>
                <w:lang w:val="zh-CN"/>
              </w:rPr>
              <w:t>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gridSpan w:val="4"/>
            <w:vAlign w:val="center"/>
          </w:tcPr>
          <w:p>
            <w:pPr>
              <w:pStyle w:val="17"/>
              <w:kinsoku w:val="0"/>
              <w:spacing w:line="320" w:lineRule="exact"/>
              <w:rPr>
                <w:rFonts w:hAnsi="宋体"/>
                <w:color w:val="auto"/>
                <w:szCs w:val="21"/>
                <w:highlight w:val="none"/>
              </w:rPr>
            </w:pPr>
            <w:r>
              <w:rPr>
                <w:rFonts w:hint="eastAsia" w:hAnsi="宋体"/>
                <w:color w:val="auto"/>
                <w:szCs w:val="21"/>
                <w:highlight w:val="none"/>
              </w:rPr>
              <w:t>法定代表人（单位负责人）授权书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gridSpan w:val="4"/>
            <w:vAlign w:val="center"/>
          </w:tcPr>
          <w:p>
            <w:pPr>
              <w:pStyle w:val="17"/>
              <w:kinsoku w:val="0"/>
              <w:spacing w:line="320" w:lineRule="exact"/>
              <w:rPr>
                <w:rFonts w:hAnsi="宋体"/>
                <w:color w:val="auto"/>
                <w:szCs w:val="21"/>
                <w:highlight w:val="none"/>
              </w:rPr>
            </w:pPr>
            <w:r>
              <w:rPr>
                <w:rFonts w:hint="eastAsia" w:hAnsi="宋体"/>
                <w:color w:val="auto"/>
                <w:szCs w:val="21"/>
                <w:highlight w:val="none"/>
              </w:rPr>
              <w:t>营业执照等证明</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gridSpan w:val="4"/>
            <w:vAlign w:val="center"/>
          </w:tcPr>
          <w:p>
            <w:pPr>
              <w:pStyle w:val="17"/>
              <w:kinsoku w:val="0"/>
              <w:spacing w:line="320" w:lineRule="exact"/>
              <w:rPr>
                <w:rFonts w:hAnsi="宋体"/>
                <w:color w:val="auto"/>
                <w:szCs w:val="21"/>
                <w:highlight w:val="none"/>
              </w:rPr>
            </w:pPr>
            <w:r>
              <w:rPr>
                <w:rFonts w:hint="eastAsia" w:asciiTheme="minorEastAsia" w:hAnsiTheme="minorEastAsia"/>
                <w:bCs/>
                <w:color w:val="auto"/>
                <w:szCs w:val="21"/>
                <w:highlight w:val="none"/>
              </w:rPr>
              <w:t>依法纳税凭据</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highlight w:val="none"/>
              </w:rPr>
            </w:pPr>
            <w:r>
              <w:rPr>
                <w:rFonts w:hint="eastAsia" w:ascii="宋体" w:hAnsi="宋体" w:cs="微软雅黑"/>
                <w:color w:val="auto"/>
                <w:szCs w:val="21"/>
                <w:highlight w:val="none"/>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资产负债表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利润表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现金流量表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所有者权益变动表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附注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基本开户银行资信证明</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银行资信证明</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政府采购投标担保函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3751" w:type="dxa"/>
            <w:gridSpan w:val="4"/>
            <w:vAlign w:val="center"/>
          </w:tcPr>
          <w:p>
            <w:pPr>
              <w:snapToGrid w:val="0"/>
              <w:spacing w:line="400" w:lineRule="exact"/>
              <w:rPr>
                <w:rFonts w:ascii="宋体" w:hAnsi="宋体" w:cs="微软雅黑"/>
                <w:color w:val="auto"/>
                <w:szCs w:val="21"/>
                <w:highlight w:val="none"/>
              </w:rPr>
            </w:pPr>
            <w:r>
              <w:rPr>
                <w:rFonts w:hint="eastAsia" w:asciiTheme="minorEastAsia" w:hAnsiTheme="minorEastAsia"/>
                <w:bCs/>
                <w:color w:val="auto"/>
                <w:szCs w:val="21"/>
                <w:highlight w:val="none"/>
              </w:rPr>
              <w:t>依法缴纳社会保险凭据</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highlight w:val="none"/>
              </w:rPr>
            </w:pPr>
            <w:r>
              <w:rPr>
                <w:rFonts w:hint="eastAsia" w:ascii="宋体" w:hAnsi="宋体" w:cs="微软雅黑"/>
                <w:color w:val="auto"/>
                <w:szCs w:val="21"/>
                <w:highlight w:val="none"/>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highlight w:val="none"/>
              </w:rPr>
            </w:pPr>
            <w:r>
              <w:rPr>
                <w:rFonts w:hint="eastAsia" w:ascii="宋体" w:hAnsi="宋体" w:cs="微软雅黑"/>
                <w:color w:val="auto"/>
                <w:szCs w:val="21"/>
                <w:highlight w:val="none"/>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设备购置发票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7"/>
              <w:kinsoku w:val="0"/>
              <w:spacing w:line="320" w:lineRule="exact"/>
              <w:rPr>
                <w:rFonts w:hAnsi="宋体" w:cs="微软雅黑"/>
                <w:bCs/>
                <w:color w:val="auto"/>
                <w:szCs w:val="21"/>
                <w:highlight w:val="none"/>
              </w:rPr>
            </w:pPr>
          </w:p>
        </w:tc>
        <w:tc>
          <w:tcPr>
            <w:tcW w:w="709" w:type="dxa"/>
            <w:gridSpan w:val="2"/>
            <w:vMerge w:val="continue"/>
            <w:tcBorders>
              <w:left w:val="single" w:color="auto" w:sz="6" w:space="0"/>
              <w:right w:val="single" w:color="auto" w:sz="6" w:space="0"/>
            </w:tcBorders>
            <w:vAlign w:val="center"/>
          </w:tcPr>
          <w:p>
            <w:pPr>
              <w:pStyle w:val="17"/>
              <w:kinsoku w:val="0"/>
              <w:spacing w:line="320" w:lineRule="exact"/>
              <w:rPr>
                <w:rFonts w:hAnsi="宋体" w:cs="微软雅黑"/>
                <w:bCs/>
                <w:color w:val="auto"/>
                <w:szCs w:val="21"/>
                <w:highlight w:val="none"/>
              </w:rPr>
            </w:pPr>
          </w:p>
        </w:tc>
        <w:tc>
          <w:tcPr>
            <w:tcW w:w="2268" w:type="dxa"/>
            <w:tcBorders>
              <w:left w:val="single" w:color="auto" w:sz="6" w:space="0"/>
            </w:tcBorders>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技术人员职称证书</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pStyle w:val="17"/>
              <w:kinsoku w:val="0"/>
              <w:spacing w:line="320" w:lineRule="exact"/>
              <w:rPr>
                <w:rFonts w:hAnsi="宋体" w:cs="微软雅黑"/>
                <w:bCs/>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7"/>
              <w:kinsoku w:val="0"/>
              <w:spacing w:line="320" w:lineRule="exact"/>
              <w:rPr>
                <w:rFonts w:hAnsi="宋体" w:cs="微软雅黑"/>
                <w:bCs/>
                <w:color w:val="auto"/>
                <w:szCs w:val="21"/>
                <w:highlight w:val="none"/>
              </w:rPr>
            </w:pPr>
          </w:p>
        </w:tc>
        <w:tc>
          <w:tcPr>
            <w:tcW w:w="709" w:type="dxa"/>
            <w:gridSpan w:val="2"/>
            <w:vMerge w:val="continue"/>
            <w:tcBorders>
              <w:left w:val="single" w:color="auto" w:sz="6" w:space="0"/>
              <w:right w:val="single" w:color="auto" w:sz="6" w:space="0"/>
            </w:tcBorders>
            <w:vAlign w:val="center"/>
          </w:tcPr>
          <w:p>
            <w:pPr>
              <w:pStyle w:val="17"/>
              <w:kinsoku w:val="0"/>
              <w:spacing w:line="320" w:lineRule="exact"/>
              <w:rPr>
                <w:rFonts w:hAnsi="宋体" w:cs="微软雅黑"/>
                <w:bCs/>
                <w:color w:val="auto"/>
                <w:szCs w:val="21"/>
                <w:highlight w:val="none"/>
              </w:rPr>
            </w:pPr>
          </w:p>
        </w:tc>
        <w:tc>
          <w:tcPr>
            <w:tcW w:w="2268" w:type="dxa"/>
            <w:tcBorders>
              <w:left w:val="single" w:color="auto" w:sz="6" w:space="0"/>
            </w:tcBorders>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用工合同</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pStyle w:val="17"/>
              <w:kinsoku w:val="0"/>
              <w:spacing w:line="320" w:lineRule="exact"/>
              <w:rPr>
                <w:rFonts w:hAnsi="宋体" w:cs="微软雅黑"/>
                <w:bCs/>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7"/>
              <w:kinsoku w:val="0"/>
              <w:spacing w:line="320" w:lineRule="exact"/>
              <w:rPr>
                <w:rFonts w:hAnsi="宋体" w:cs="微软雅黑"/>
                <w:bCs/>
                <w:color w:val="auto"/>
                <w:szCs w:val="21"/>
                <w:highlight w:val="none"/>
              </w:rPr>
            </w:pPr>
          </w:p>
        </w:tc>
        <w:tc>
          <w:tcPr>
            <w:tcW w:w="2977" w:type="dxa"/>
            <w:gridSpan w:val="3"/>
            <w:tcBorders>
              <w:left w:val="single" w:color="auto" w:sz="6" w:space="0"/>
            </w:tcBorders>
            <w:vAlign w:val="center"/>
          </w:tcPr>
          <w:p>
            <w:pPr>
              <w:pStyle w:val="17"/>
              <w:kinsoku w:val="0"/>
              <w:spacing w:line="320" w:lineRule="exact"/>
              <w:rPr>
                <w:rFonts w:hAnsi="宋体" w:cs="微软雅黑"/>
                <w:bCs/>
                <w:color w:val="auto"/>
                <w:szCs w:val="21"/>
                <w:highlight w:val="none"/>
              </w:rPr>
            </w:pPr>
            <w:r>
              <w:rPr>
                <w:rFonts w:hint="eastAsia" w:asciiTheme="minorEastAsia" w:hAnsiTheme="minorEastAsia"/>
                <w:bCs/>
                <w:color w:val="auto"/>
                <w:szCs w:val="21"/>
                <w:highlight w:val="none"/>
              </w:rPr>
              <w:t>投标人相关承诺函或声明</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olor w:val="auto"/>
                <w:szCs w:val="21"/>
                <w:highlight w:val="none"/>
              </w:rPr>
              <w:t>没有重大违法记录的声明</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gridSpan w:val="4"/>
            <w:vAlign w:val="center"/>
          </w:tcPr>
          <w:p>
            <w:pPr>
              <w:pStyle w:val="17"/>
              <w:kinsoku w:val="0"/>
              <w:spacing w:line="320" w:lineRule="exact"/>
              <w:rPr>
                <w:rFonts w:hAnsi="宋体"/>
                <w:color w:val="auto"/>
                <w:szCs w:val="21"/>
                <w:highlight w:val="none"/>
              </w:rPr>
            </w:pPr>
            <w:r>
              <w:rPr>
                <w:rFonts w:hint="eastAsia" w:hAnsi="宋体" w:cs="微软雅黑"/>
                <w:bCs/>
                <w:color w:val="auto"/>
                <w:szCs w:val="21"/>
                <w:highlight w:val="none"/>
              </w:rPr>
              <w:t>投标人须具备的特殊资质证书</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asciiTheme="majorEastAsia" w:hAnsiTheme="majorEastAsia" w:eastAsiaTheme="majorEastAsia" w:cstheme="majorEastAsia"/>
                <w:bCs/>
                <w:color w:val="auto"/>
                <w:szCs w:val="21"/>
                <w:highlight w:val="none"/>
                <w:lang w:val="zh-CN"/>
              </w:rPr>
              <w:t>投标承诺函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14</w:t>
            </w:r>
          </w:p>
        </w:tc>
        <w:tc>
          <w:tcPr>
            <w:tcW w:w="3751" w:type="dxa"/>
            <w:gridSpan w:val="4"/>
            <w:vAlign w:val="center"/>
          </w:tcPr>
          <w:p>
            <w:pPr>
              <w:pStyle w:val="17"/>
              <w:kinsoku w:val="0"/>
              <w:spacing w:line="320" w:lineRule="exact"/>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联合体协议</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15</w:t>
            </w:r>
          </w:p>
        </w:tc>
        <w:tc>
          <w:tcPr>
            <w:tcW w:w="3751" w:type="dxa"/>
            <w:gridSpan w:val="4"/>
            <w:vAlign w:val="center"/>
          </w:tcPr>
          <w:p>
            <w:pPr>
              <w:pStyle w:val="17"/>
              <w:kinsoku w:val="0"/>
              <w:spacing w:line="320" w:lineRule="exact"/>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16</w:t>
            </w:r>
          </w:p>
        </w:tc>
        <w:tc>
          <w:tcPr>
            <w:tcW w:w="3751" w:type="dxa"/>
            <w:gridSpan w:val="4"/>
            <w:vAlign w:val="center"/>
          </w:tcPr>
          <w:p>
            <w:pPr>
              <w:pStyle w:val="17"/>
              <w:kinsoku w:val="0"/>
              <w:spacing w:line="320" w:lineRule="exact"/>
              <w:rPr>
                <w:rFonts w:asciiTheme="majorEastAsia" w:hAnsiTheme="majorEastAsia" w:eastAsiaTheme="majorEastAsia" w:cstheme="majorEastAsia"/>
                <w:bCs/>
                <w:color w:val="auto"/>
                <w:szCs w:val="21"/>
                <w:highlight w:val="none"/>
                <w:lang w:val="zh-CN"/>
              </w:rPr>
            </w:pPr>
            <w:r>
              <w:rPr>
                <w:rFonts w:hint="eastAsia" w:cs="仿宋_GB2312" w:asciiTheme="minorEastAsia" w:hAnsiTheme="minorEastAsia"/>
                <w:color w:val="auto"/>
                <w:szCs w:val="21"/>
                <w:highlight w:val="none"/>
                <w:lang w:val="zh-CN"/>
              </w:rPr>
              <w:t>投标人未为本项目提供整体设计、规范编制或者项目管理、监理、检测等服务承诺函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gridSpan w:val="4"/>
            <w:tcBorders>
              <w:top w:val="double" w:color="auto" w:sz="4" w:space="0"/>
            </w:tcBorders>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投标分项报价表</w:t>
            </w:r>
          </w:p>
        </w:tc>
        <w:tc>
          <w:tcPr>
            <w:tcW w:w="1559" w:type="dxa"/>
            <w:tcBorders>
              <w:top w:val="double" w:color="auto" w:sz="4" w:space="0"/>
            </w:tcBorders>
            <w:vAlign w:val="center"/>
          </w:tcPr>
          <w:p>
            <w:pPr>
              <w:jc w:val="center"/>
              <w:rPr>
                <w:color w:val="auto"/>
                <w:szCs w:val="21"/>
                <w:highlight w:val="none"/>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技术规格偏离表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技术方案（实施方案）</w:t>
            </w:r>
          </w:p>
        </w:tc>
        <w:tc>
          <w:tcPr>
            <w:tcW w:w="1559" w:type="dxa"/>
            <w:vAlign w:val="center"/>
          </w:tcPr>
          <w:p>
            <w:pPr>
              <w:jc w:val="center"/>
              <w:rPr>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20</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售后服务方案</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21</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业绩情况表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22</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政府强制采购节能产品品目清单情况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23</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优先采购节能产品政府采购品目清单情况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24</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olor w:val="auto"/>
                <w:szCs w:val="21"/>
                <w:highlight w:val="none"/>
                <w:lang w:val="en-GB"/>
              </w:rPr>
              <w:t>优先采购环境标志产品政府采购品目清单情况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25</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中小企业声明函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26</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cs="仿宋_GB2312" w:asciiTheme="minorEastAsia" w:hAnsiTheme="minorEastAsia" w:eastAsiaTheme="minorEastAsia"/>
                <w:color w:val="auto"/>
                <w:szCs w:val="21"/>
                <w:highlight w:val="none"/>
                <w:lang w:val="zh-CN"/>
              </w:rPr>
              <w:t>残疾人福利性单位声明函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27</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监狱企业证明文件</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28</w:t>
            </w:r>
          </w:p>
        </w:tc>
        <w:tc>
          <w:tcPr>
            <w:tcW w:w="1200" w:type="dxa"/>
            <w:gridSpan w:val="2"/>
            <w:tcBorders>
              <w:right w:val="single" w:color="auto" w:sz="4" w:space="0"/>
            </w:tcBorders>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CCC强制性产品认证</w:t>
            </w:r>
          </w:p>
        </w:tc>
        <w:tc>
          <w:tcPr>
            <w:tcW w:w="2551" w:type="dxa"/>
            <w:gridSpan w:val="2"/>
            <w:tcBorders>
              <w:left w:val="single" w:color="auto" w:sz="4" w:space="0"/>
            </w:tcBorders>
            <w:vAlign w:val="center"/>
          </w:tcPr>
          <w:p>
            <w:pPr>
              <w:pStyle w:val="17"/>
              <w:kinsoku w:val="0"/>
              <w:spacing w:line="320" w:lineRule="exact"/>
              <w:rPr>
                <w:rFonts w:hAnsi="宋体" w:cs="微软雅黑"/>
                <w:bCs/>
                <w:color w:val="auto"/>
                <w:szCs w:val="21"/>
                <w:highlight w:val="none"/>
              </w:rPr>
            </w:pPr>
            <w:r>
              <w:rPr>
                <w:rFonts w:hint="eastAsia" w:asciiTheme="majorEastAsia" w:hAnsiTheme="majorEastAsia" w:eastAsiaTheme="majorEastAsia" w:cstheme="majorEastAsia"/>
                <w:bCs/>
                <w:color w:val="auto"/>
                <w:szCs w:val="21"/>
                <w:highlight w:val="none"/>
                <w:lang w:val="zh-CN"/>
              </w:rPr>
              <w:t>所投产品符合国家强制性要求承诺函</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29</w:t>
            </w:r>
          </w:p>
        </w:tc>
        <w:tc>
          <w:tcPr>
            <w:tcW w:w="1200" w:type="dxa"/>
            <w:gridSpan w:val="2"/>
            <w:vMerge w:val="restart"/>
            <w:tcBorders>
              <w:right w:val="single" w:color="auto" w:sz="4" w:space="0"/>
            </w:tcBorders>
            <w:vAlign w:val="center"/>
          </w:tcPr>
          <w:p>
            <w:pPr>
              <w:pStyle w:val="17"/>
              <w:kinsoku w:val="0"/>
              <w:spacing w:line="320" w:lineRule="exact"/>
              <w:rPr>
                <w:rFonts w:cs="宋体" w:asciiTheme="minorEastAsia" w:hAnsiTheme="minorEastAsia"/>
                <w:color w:val="auto"/>
                <w:szCs w:val="21"/>
                <w:highlight w:val="none"/>
              </w:rPr>
            </w:pPr>
            <w:r>
              <w:rPr>
                <w:rFonts w:cs="宋体" w:asciiTheme="minorEastAsia" w:hAnsiTheme="minorEastAsia"/>
                <w:color w:val="auto"/>
                <w:szCs w:val="21"/>
                <w:highlight w:val="none"/>
              </w:rPr>
              <w:t>信息安全产品强制性认证</w:t>
            </w:r>
          </w:p>
        </w:tc>
        <w:tc>
          <w:tcPr>
            <w:tcW w:w="2551" w:type="dxa"/>
            <w:gridSpan w:val="2"/>
            <w:tcBorders>
              <w:left w:val="single" w:color="auto" w:sz="4" w:space="0"/>
            </w:tcBorders>
            <w:vAlign w:val="center"/>
          </w:tcPr>
          <w:p>
            <w:pPr>
              <w:pStyle w:val="17"/>
              <w:kinsoku w:val="0"/>
              <w:spacing w:line="320" w:lineRule="exact"/>
              <w:rPr>
                <w:rFonts w:asciiTheme="majorEastAsia" w:hAnsiTheme="majorEastAsia" w:eastAsiaTheme="majorEastAsia" w:cstheme="majorEastAsia"/>
                <w:bCs/>
                <w:color w:val="auto"/>
                <w:szCs w:val="21"/>
                <w:highlight w:val="none"/>
                <w:lang w:val="zh-CN"/>
              </w:rPr>
            </w:pPr>
            <w:r>
              <w:rPr>
                <w:rFonts w:hint="eastAsia" w:cs="宋体" w:asciiTheme="minorEastAsia" w:hAnsiTheme="minorEastAsia"/>
                <w:color w:val="auto"/>
                <w:szCs w:val="21"/>
                <w:highlight w:val="none"/>
              </w:rPr>
              <w:t>认证机构颁发的认证证书</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highlight w:val="none"/>
              </w:rPr>
            </w:pPr>
          </w:p>
        </w:tc>
        <w:tc>
          <w:tcPr>
            <w:tcW w:w="1200" w:type="dxa"/>
            <w:gridSpan w:val="2"/>
            <w:vMerge w:val="continue"/>
            <w:tcBorders>
              <w:right w:val="single" w:color="auto" w:sz="4" w:space="0"/>
            </w:tcBorders>
            <w:vAlign w:val="center"/>
          </w:tcPr>
          <w:p>
            <w:pPr>
              <w:pStyle w:val="17"/>
              <w:kinsoku w:val="0"/>
              <w:spacing w:line="320" w:lineRule="exact"/>
              <w:rPr>
                <w:rFonts w:asciiTheme="majorEastAsia" w:hAnsiTheme="majorEastAsia" w:eastAsiaTheme="majorEastAsia" w:cstheme="majorEastAsia"/>
                <w:bCs/>
                <w:color w:val="auto"/>
                <w:szCs w:val="21"/>
                <w:highlight w:val="none"/>
                <w:lang w:val="zh-CN"/>
              </w:rPr>
            </w:pPr>
          </w:p>
        </w:tc>
        <w:tc>
          <w:tcPr>
            <w:tcW w:w="2551" w:type="dxa"/>
            <w:gridSpan w:val="2"/>
            <w:tcBorders>
              <w:left w:val="single" w:color="auto" w:sz="4" w:space="0"/>
            </w:tcBorders>
            <w:vAlign w:val="center"/>
          </w:tcPr>
          <w:p>
            <w:pPr>
              <w:pStyle w:val="17"/>
              <w:kinsoku w:val="0"/>
              <w:spacing w:line="320" w:lineRule="exact"/>
              <w:rPr>
                <w:rFonts w:asciiTheme="majorEastAsia" w:hAnsiTheme="majorEastAsia" w:eastAsiaTheme="majorEastAsia" w:cstheme="majorEastAsia"/>
                <w:bCs/>
                <w:color w:val="auto"/>
                <w:szCs w:val="21"/>
                <w:highlight w:val="none"/>
                <w:lang w:val="zh-CN"/>
              </w:rPr>
            </w:pPr>
            <w:r>
              <w:rPr>
                <w:rFonts w:hint="eastAsia" w:cs="宋体" w:asciiTheme="minorEastAsia" w:hAnsiTheme="minorEastAsia"/>
                <w:color w:val="auto"/>
                <w:szCs w:val="21"/>
                <w:highlight w:val="none"/>
              </w:rPr>
              <w:t>中国信息安全认证中心官网产品查询结果截图</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30</w:t>
            </w:r>
          </w:p>
        </w:tc>
        <w:tc>
          <w:tcPr>
            <w:tcW w:w="3751" w:type="dxa"/>
            <w:gridSpan w:val="4"/>
            <w:tcBorders>
              <w:bottom w:val="single" w:color="auto" w:sz="4" w:space="0"/>
            </w:tcBorders>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国家级贫困县域注册地证明材料</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31</w:t>
            </w:r>
          </w:p>
        </w:tc>
        <w:tc>
          <w:tcPr>
            <w:tcW w:w="3751" w:type="dxa"/>
            <w:gridSpan w:val="4"/>
            <w:tcBorders>
              <w:top w:val="single" w:color="auto" w:sz="4" w:space="0"/>
              <w:bottom w:val="single" w:color="auto" w:sz="4" w:space="0"/>
            </w:tcBorders>
            <w:vAlign w:val="center"/>
          </w:tcPr>
          <w:p>
            <w:pPr>
              <w:pStyle w:val="17"/>
              <w:kinsoku w:val="0"/>
              <w:spacing w:line="320" w:lineRule="exact"/>
              <w:rPr>
                <w:rFonts w:hAnsi="宋体" w:cs="微软雅黑"/>
                <w:bCs/>
                <w:color w:val="auto"/>
                <w:szCs w:val="21"/>
                <w:highlight w:val="none"/>
              </w:rPr>
            </w:pPr>
            <w:r>
              <w:rPr>
                <w:rFonts w:hint="eastAsia" w:hAnsi="宋体"/>
                <w:color w:val="auto"/>
                <w:szCs w:val="21"/>
                <w:highlight w:val="none"/>
                <w:lang w:val="en-GB"/>
              </w:rPr>
              <w:t>扶贫部门出具的聘用建档立卡贫困人员身份证明</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32</w:t>
            </w:r>
          </w:p>
        </w:tc>
        <w:tc>
          <w:tcPr>
            <w:tcW w:w="3751" w:type="dxa"/>
            <w:gridSpan w:val="4"/>
            <w:tcBorders>
              <w:top w:val="single" w:color="auto" w:sz="4" w:space="0"/>
            </w:tcBorders>
            <w:vAlign w:val="center"/>
          </w:tcPr>
          <w:p>
            <w:pPr>
              <w:pStyle w:val="17"/>
              <w:kinsoku w:val="0"/>
              <w:spacing w:line="320" w:lineRule="exact"/>
              <w:rPr>
                <w:rFonts w:hAnsi="宋体" w:cs="微软雅黑"/>
                <w:bCs/>
                <w:color w:val="auto"/>
                <w:szCs w:val="21"/>
                <w:highlight w:val="none"/>
              </w:rPr>
            </w:pPr>
            <w:r>
              <w:rPr>
                <w:rFonts w:hint="eastAsia" w:hAnsi="宋体"/>
                <w:color w:val="auto"/>
                <w:szCs w:val="21"/>
                <w:highlight w:val="none"/>
                <w:lang w:val="en-GB"/>
              </w:rPr>
              <w:t>建档立卡贫困人员社保材料</w:t>
            </w:r>
          </w:p>
        </w:tc>
        <w:tc>
          <w:tcPr>
            <w:tcW w:w="1559" w:type="dxa"/>
            <w:vAlign w:val="center"/>
          </w:tcPr>
          <w:p>
            <w:pPr>
              <w:pStyle w:val="17"/>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33</w:t>
            </w:r>
          </w:p>
        </w:tc>
        <w:tc>
          <w:tcPr>
            <w:tcW w:w="3751" w:type="dxa"/>
            <w:gridSpan w:val="4"/>
            <w:vAlign w:val="center"/>
          </w:tcPr>
          <w:p>
            <w:pPr>
              <w:pStyle w:val="17"/>
              <w:kinsoku w:val="0"/>
              <w:spacing w:line="320" w:lineRule="exact"/>
              <w:rPr>
                <w:rFonts w:hAnsi="宋体" w:cs="微软雅黑"/>
                <w:bCs/>
                <w:color w:val="auto"/>
                <w:szCs w:val="21"/>
                <w:highlight w:val="none"/>
              </w:rPr>
            </w:pPr>
            <w:r>
              <w:rPr>
                <w:rFonts w:hint="eastAsia" w:hAnsi="宋体" w:cs="微软雅黑"/>
                <w:bCs/>
                <w:color w:val="auto"/>
                <w:szCs w:val="21"/>
                <w:highlight w:val="none"/>
              </w:rPr>
              <w:t>其它资料</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highlight w:val="none"/>
        </w:rPr>
      </w:pPr>
      <w:r>
        <w:rPr>
          <w:rFonts w:hint="eastAsia" w:ascii="楷体" w:hAnsi="楷体" w:eastAsia="楷体"/>
          <w:color w:val="auto"/>
          <w:sz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highlight w:val="none"/>
        </w:rPr>
      </w:pPr>
      <w:r>
        <w:rPr>
          <w:rFonts w:hint="eastAsia" w:ascii="楷体" w:hAnsi="楷体" w:eastAsia="楷体"/>
          <w:color w:val="auto"/>
          <w:sz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highlight w:val="none"/>
        </w:rPr>
      </w:pPr>
      <w:r>
        <w:rPr>
          <w:rFonts w:hint="eastAsia" w:ascii="楷体" w:hAnsi="楷体" w:eastAsia="楷体"/>
          <w:color w:val="auto"/>
          <w:sz w:val="24"/>
          <w:highlight w:val="none"/>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highlight w:val="none"/>
        </w:rPr>
      </w:pPr>
      <w:r>
        <w:rPr>
          <w:rFonts w:ascii="楷体" w:hAnsi="楷体" w:eastAsia="楷体"/>
          <w:color w:val="auto"/>
          <w:sz w:val="24"/>
          <w:highlight w:val="none"/>
        </w:rPr>
        <w:fldChar w:fldCharType="begin"/>
      </w:r>
      <w:r>
        <w:rPr>
          <w:rFonts w:ascii="楷体" w:hAnsi="楷体" w:eastAsia="楷体"/>
          <w:color w:val="auto"/>
          <w:sz w:val="24"/>
          <w:highlight w:val="none"/>
        </w:rPr>
        <w:instrText xml:space="preserve"> </w:instrText>
      </w:r>
      <w:r>
        <w:rPr>
          <w:rFonts w:hint="eastAsia" w:ascii="楷体" w:hAnsi="楷体" w:eastAsia="楷体"/>
          <w:color w:val="auto"/>
          <w:sz w:val="24"/>
          <w:highlight w:val="none"/>
        </w:rPr>
        <w:instrText xml:space="preserve">= 4 \* GB3</w:instrText>
      </w:r>
      <w:r>
        <w:rPr>
          <w:rFonts w:ascii="楷体" w:hAnsi="楷体" w:eastAsia="楷体"/>
          <w:color w:val="auto"/>
          <w:sz w:val="24"/>
          <w:highlight w:val="none"/>
        </w:rPr>
        <w:instrText xml:space="preserve"> </w:instrText>
      </w:r>
      <w:r>
        <w:rPr>
          <w:rFonts w:ascii="楷体" w:hAnsi="楷体" w:eastAsia="楷体"/>
          <w:color w:val="auto"/>
          <w:sz w:val="24"/>
          <w:highlight w:val="none"/>
        </w:rPr>
        <w:fldChar w:fldCharType="separate"/>
      </w:r>
      <w:r>
        <w:rPr>
          <w:rFonts w:hint="eastAsia" w:ascii="楷体" w:hAnsi="楷体" w:eastAsia="楷体"/>
          <w:color w:val="auto"/>
          <w:sz w:val="24"/>
          <w:highlight w:val="none"/>
        </w:rPr>
        <w:t>④</w:t>
      </w:r>
      <w:r>
        <w:rPr>
          <w:rFonts w:ascii="楷体" w:hAnsi="楷体" w:eastAsia="楷体"/>
          <w:color w:val="auto"/>
          <w:sz w:val="24"/>
          <w:highlight w:val="none"/>
        </w:rPr>
        <w:fldChar w:fldCharType="end"/>
      </w:r>
      <w:r>
        <w:rPr>
          <w:rFonts w:hint="eastAsia" w:ascii="楷体" w:hAnsi="楷体" w:eastAsia="楷体"/>
          <w:color w:val="auto"/>
          <w:sz w:val="24"/>
          <w:highlight w:val="none"/>
        </w:rPr>
        <w:t>本表序号30～32仅适用于物业项目。</w:t>
      </w:r>
    </w:p>
    <w:p>
      <w:pPr>
        <w:pStyle w:val="17"/>
        <w:spacing w:line="360" w:lineRule="auto"/>
        <w:jc w:val="center"/>
        <w:rPr>
          <w:rFonts w:hAnsi="宋体"/>
          <w:b/>
          <w:snapToGrid w:val="0"/>
          <w:color w:val="auto"/>
          <w:sz w:val="32"/>
          <w:szCs w:val="32"/>
          <w:highlight w:val="none"/>
        </w:rPr>
      </w:pPr>
      <w:r>
        <w:rPr>
          <w:rFonts w:hAnsi="宋体"/>
          <w:b/>
          <w:snapToGrid w:val="0"/>
          <w:color w:val="auto"/>
          <w:sz w:val="36"/>
          <w:szCs w:val="36"/>
          <w:highlight w:val="none"/>
        </w:rPr>
        <w:br w:type="page"/>
      </w:r>
      <w:r>
        <w:rPr>
          <w:rFonts w:hint="eastAsia" w:hAnsi="宋体"/>
          <w:b/>
          <w:snapToGrid w:val="0"/>
          <w:color w:val="auto"/>
          <w:sz w:val="32"/>
          <w:szCs w:val="32"/>
          <w:highlight w:val="none"/>
        </w:rPr>
        <w:t>二、开标一览表</w:t>
      </w:r>
    </w:p>
    <w:p>
      <w:pPr>
        <w:spacing w:before="50" w:afterLines="50" w:line="360" w:lineRule="auto"/>
        <w:contextualSpacing/>
        <w:jc w:val="left"/>
        <w:rPr>
          <w:rFonts w:ascii="宋体" w:hAnsi="宋体"/>
          <w:color w:val="auto"/>
          <w:sz w:val="24"/>
          <w:highlight w:val="none"/>
        </w:rPr>
      </w:pPr>
    </w:p>
    <w:p>
      <w:pPr>
        <w:spacing w:before="50" w:afterLines="50" w:line="360" w:lineRule="auto"/>
        <w:contextualSpacing/>
        <w:jc w:val="left"/>
        <w:rPr>
          <w:rFonts w:ascii="宋体" w:hAnsi="宋体"/>
          <w:color w:val="auto"/>
          <w:sz w:val="24"/>
          <w:highlight w:val="none"/>
        </w:rPr>
      </w:pPr>
      <w:r>
        <w:rPr>
          <w:rFonts w:hint="eastAsia" w:ascii="宋体" w:hAnsi="宋体"/>
          <w:color w:val="auto"/>
          <w:sz w:val="24"/>
          <w:highlight w:val="none"/>
        </w:rPr>
        <w:t>项目编号：</w:t>
      </w:r>
    </w:p>
    <w:p>
      <w:pPr>
        <w:spacing w:line="360" w:lineRule="auto"/>
        <w:contextualSpacing/>
        <w:rPr>
          <w:rFonts w:ascii="宋体" w:hAnsi="宋体"/>
          <w:color w:val="auto"/>
          <w:sz w:val="24"/>
          <w:highlight w:val="none"/>
        </w:rPr>
      </w:pPr>
      <w:r>
        <w:rPr>
          <w:rFonts w:hint="eastAsia" w:ascii="宋体" w:hAnsi="宋体"/>
          <w:color w:val="auto"/>
          <w:sz w:val="24"/>
          <w:highlight w:val="none"/>
        </w:rPr>
        <w:t xml:space="preserve">项目名称：                                             </w:t>
      </w:r>
      <w:r>
        <w:rPr>
          <w:rFonts w:hint="eastAsia" w:ascii="宋体" w:hAnsi="宋体" w:cs="Arial"/>
          <w:color w:val="auto"/>
          <w:sz w:val="24"/>
          <w:highlight w:val="none"/>
        </w:rPr>
        <w:t>单位：元（人民币）</w:t>
      </w:r>
    </w:p>
    <w:tbl>
      <w:tblPr>
        <w:tblStyle w:val="28"/>
        <w:tblW w:w="9510" w:type="dxa"/>
        <w:tblInd w:w="114" w:type="dxa"/>
        <w:tblLayout w:type="fixed"/>
        <w:tblCellMar>
          <w:top w:w="0" w:type="dxa"/>
          <w:left w:w="108" w:type="dxa"/>
          <w:bottom w:w="0" w:type="dxa"/>
          <w:right w:w="108" w:type="dxa"/>
        </w:tblCellMar>
      </w:tblPr>
      <w:tblGrid>
        <w:gridCol w:w="845"/>
        <w:gridCol w:w="1843"/>
        <w:gridCol w:w="3685"/>
        <w:gridCol w:w="1843"/>
        <w:gridCol w:w="1294"/>
      </w:tblGrid>
      <w:tr>
        <w:tblPrEx>
          <w:tblLayout w:type="fixed"/>
          <w:tblCellMar>
            <w:top w:w="0" w:type="dxa"/>
            <w:left w:w="108" w:type="dxa"/>
            <w:bottom w:w="0" w:type="dxa"/>
            <w:right w:w="108" w:type="dxa"/>
          </w:tblCellMar>
        </w:tblPrEx>
        <w:trPr>
          <w:trHeight w:val="851" w:hRule="atLeast"/>
        </w:trPr>
        <w:tc>
          <w:tcPr>
            <w:tcW w:w="84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highlight w:val="none"/>
                <w:lang w:val="zh-CN"/>
              </w:rPr>
            </w:pPr>
            <w:r>
              <w:rPr>
                <w:rFonts w:hint="eastAsia" w:ascii="宋体" w:hAnsi="宋体" w:cs="宋体"/>
                <w:b/>
                <w:color w:val="auto"/>
                <w:sz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highlight w:val="none"/>
                <w:lang w:val="zh-CN"/>
              </w:rPr>
            </w:pPr>
            <w:r>
              <w:rPr>
                <w:rFonts w:hint="eastAsia" w:ascii="宋体" w:hAnsi="宋体" w:cs="宋体"/>
                <w:b/>
                <w:color w:val="auto"/>
                <w:sz w:val="24"/>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highlight w:val="none"/>
                <w:lang w:val="zh-CN"/>
              </w:rPr>
            </w:pPr>
            <w:r>
              <w:rPr>
                <w:rFonts w:hint="eastAsia" w:ascii="宋体" w:hAnsi="宋体" w:cs="宋体"/>
                <w:b/>
                <w:color w:val="auto"/>
                <w:sz w:val="24"/>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highlight w:val="none"/>
                <w:lang w:val="zh-CN"/>
              </w:rPr>
            </w:pPr>
            <w:r>
              <w:rPr>
                <w:rFonts w:hint="eastAsia" w:ascii="宋体" w:hAnsi="宋体" w:cs="宋体"/>
                <w:b/>
                <w:color w:val="auto"/>
                <w:sz w:val="24"/>
                <w:highlight w:val="none"/>
                <w:lang w:val="zh-CN"/>
              </w:rPr>
              <w:t>交付日期</w:t>
            </w:r>
          </w:p>
        </w:tc>
        <w:tc>
          <w:tcPr>
            <w:tcW w:w="129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highlight w:val="none"/>
                <w:lang w:val="zh-CN"/>
              </w:rPr>
            </w:pPr>
            <w:r>
              <w:rPr>
                <w:rFonts w:hint="eastAsia" w:ascii="宋体" w:hAnsi="宋体" w:cs="宋体"/>
                <w:b/>
                <w:color w:val="auto"/>
                <w:sz w:val="24"/>
                <w:highlight w:val="none"/>
                <w:lang w:val="zh-CN"/>
              </w:rPr>
              <w:t>备注</w:t>
            </w:r>
          </w:p>
        </w:tc>
      </w:tr>
      <w:tr>
        <w:tblPrEx>
          <w:tblLayout w:type="fixed"/>
          <w:tblCellMar>
            <w:top w:w="0" w:type="dxa"/>
            <w:left w:w="108" w:type="dxa"/>
            <w:bottom w:w="0" w:type="dxa"/>
            <w:right w:w="108" w:type="dxa"/>
          </w:tblCellMar>
        </w:tblPrEx>
        <w:trPr>
          <w:trHeight w:val="851" w:hRule="atLeast"/>
        </w:trPr>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highlight w:val="none"/>
                <w:lang w:val="zh-CN"/>
              </w:rPr>
            </w:pPr>
            <w:r>
              <w:rPr>
                <w:rFonts w:hint="eastAsia" w:ascii="宋体" w:hAnsi="宋体" w:cs="宋体"/>
                <w:color w:val="auto"/>
                <w:sz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highlight w:val="none"/>
                <w:lang w:val="zh-CN"/>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highlight w:val="none"/>
                <w:lang w:val="zh-CN"/>
              </w:rPr>
            </w:pPr>
          </w:p>
        </w:tc>
      </w:tr>
      <w:tr>
        <w:tblPrEx>
          <w:tblLayout w:type="fixed"/>
          <w:tblCellMar>
            <w:top w:w="0" w:type="dxa"/>
            <w:left w:w="108" w:type="dxa"/>
            <w:bottom w:w="0" w:type="dxa"/>
            <w:right w:w="108" w:type="dxa"/>
          </w:tblCellMar>
        </w:tblPrEx>
        <w:trPr>
          <w:trHeight w:val="851" w:hRule="atLeast"/>
        </w:trPr>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highlight w:val="none"/>
              </w:rPr>
            </w:pPr>
            <w:r>
              <w:rPr>
                <w:rFonts w:ascii="宋体" w:hAnsi="宋体" w:cs="Arial"/>
                <w:color w:val="auto"/>
                <w:sz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highlight w:val="none"/>
                <w:lang w:val="zh-CN"/>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highlight w:val="none"/>
                <w:lang w:val="zh-CN"/>
              </w:rPr>
            </w:pPr>
          </w:p>
        </w:tc>
      </w:tr>
    </w:tbl>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投标人名称：</w:t>
      </w:r>
      <w:r>
        <w:rPr>
          <w:rFonts w:hint="eastAsia" w:ascii="宋体" w:hAnsi="宋体" w:cs="宋体"/>
          <w:color w:val="auto"/>
          <w:sz w:val="24"/>
          <w:highlight w:val="none"/>
          <w:u w:val="single"/>
          <w:lang w:val="zh-CN"/>
        </w:rPr>
        <w:t xml:space="preserve">     （全称）     </w:t>
      </w:r>
      <w:r>
        <w:rPr>
          <w:rFonts w:hint="eastAsia" w:ascii="宋体" w:hAnsi="宋体" w:cs="宋体"/>
          <w:color w:val="auto"/>
          <w:sz w:val="24"/>
          <w:highlight w:val="none"/>
          <w:lang w:val="zh-CN"/>
        </w:rPr>
        <w:t>（公章）</w:t>
      </w:r>
    </w:p>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投标人法定代表人（单位负责人）或授权代表签字：</w:t>
      </w:r>
    </w:p>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日期：  年   月  日</w:t>
      </w:r>
    </w:p>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注：1、交付日期指完成该项目的最终时间（日历天）。</w:t>
      </w:r>
    </w:p>
    <w:p>
      <w:pPr>
        <w:autoSpaceDE w:val="0"/>
        <w:autoSpaceDN w:val="0"/>
        <w:adjustRightInd w:val="0"/>
        <w:spacing w:line="48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2、如招标公告明确项目交付日期以年为单位，本表应填写完成该项目的年限。</w:t>
      </w:r>
    </w:p>
    <w:p>
      <w:pPr>
        <w:pStyle w:val="2"/>
        <w:ind w:firstLine="280"/>
        <w:rPr>
          <w:color w:val="auto"/>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pStyle w:val="2"/>
        <w:ind w:firstLine="240"/>
        <w:rPr>
          <w:rFonts w:cs="宋体"/>
          <w:color w:val="auto"/>
          <w:sz w:val="24"/>
          <w:highlight w:val="none"/>
          <w:lang w:val="zh-CN"/>
        </w:rPr>
      </w:pPr>
    </w:p>
    <w:p>
      <w:pPr>
        <w:pStyle w:val="2"/>
        <w:ind w:firstLine="240"/>
        <w:rPr>
          <w:rFonts w:cs="宋体"/>
          <w:color w:val="auto"/>
          <w:sz w:val="24"/>
          <w:highlight w:val="none"/>
          <w:lang w:val="zh-CN"/>
        </w:rPr>
      </w:pPr>
    </w:p>
    <w:p>
      <w:pPr>
        <w:pStyle w:val="2"/>
        <w:ind w:firstLine="240"/>
        <w:rPr>
          <w:rFonts w:cs="宋体"/>
          <w:color w:val="auto"/>
          <w:sz w:val="24"/>
          <w:highlight w:val="none"/>
          <w:lang w:val="zh-CN"/>
        </w:rPr>
      </w:pPr>
    </w:p>
    <w:p>
      <w:pPr>
        <w:pStyle w:val="2"/>
        <w:ind w:firstLine="240"/>
        <w:rPr>
          <w:rFonts w:cs="宋体"/>
          <w:color w:val="auto"/>
          <w:sz w:val="24"/>
          <w:highlight w:val="none"/>
          <w:lang w:val="zh-CN"/>
        </w:rPr>
      </w:pPr>
    </w:p>
    <w:p>
      <w:pPr>
        <w:pStyle w:val="2"/>
        <w:ind w:firstLine="240"/>
        <w:rPr>
          <w:rFonts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hAnsi="宋体" w:cs="黑体"/>
          <w:b/>
          <w:bCs/>
          <w:color w:val="auto"/>
          <w:sz w:val="36"/>
          <w:szCs w:val="36"/>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b/>
          <w:snapToGrid w:val="0"/>
          <w:color w:val="auto"/>
          <w:kern w:val="0"/>
          <w:sz w:val="32"/>
          <w:szCs w:val="32"/>
          <w:highlight w:val="none"/>
        </w:rPr>
      </w:pPr>
      <w:r>
        <w:rPr>
          <w:rFonts w:hint="eastAsia" w:ascii="宋体" w:hAnsi="宋体" w:cs="黑体"/>
          <w:b/>
          <w:bCs/>
          <w:color w:val="auto"/>
          <w:sz w:val="32"/>
          <w:szCs w:val="32"/>
          <w:highlight w:val="none"/>
          <w:lang w:val="zh-CN"/>
        </w:rPr>
        <w:t>三、资格审查证明材料</w:t>
      </w: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p>
    <w:p>
      <w:pPr>
        <w:widowControl/>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3.1 投 标 函</w:t>
      </w:r>
    </w:p>
    <w:p>
      <w:pPr>
        <w:adjustRightInd w:val="0"/>
        <w:spacing w:line="360" w:lineRule="auto"/>
        <w:contextualSpacing/>
        <w:rPr>
          <w:rFonts w:hint="eastAsia" w:ascii="宋体" w:hAnsi="宋体" w:eastAsia="宋体"/>
          <w:b/>
          <w:snapToGrid w:val="0"/>
          <w:color w:val="auto"/>
          <w:kern w:val="0"/>
          <w:sz w:val="24"/>
          <w:highlight w:val="none"/>
          <w:lang w:eastAsia="zh-CN"/>
        </w:rPr>
      </w:pPr>
      <w:r>
        <w:rPr>
          <w:rFonts w:hint="eastAsia" w:ascii="宋体" w:hAnsi="宋体"/>
          <w:snapToGrid w:val="0"/>
          <w:color w:val="auto"/>
          <w:kern w:val="0"/>
          <w:sz w:val="24"/>
          <w:highlight w:val="none"/>
        </w:rPr>
        <w:t>致：</w:t>
      </w:r>
      <w:r>
        <w:rPr>
          <w:rFonts w:hint="eastAsia" w:ascii="宋体" w:hAnsi="宋体"/>
          <w:snapToGrid w:val="0"/>
          <w:color w:val="auto"/>
          <w:kern w:val="0"/>
          <w:sz w:val="24"/>
          <w:highlight w:val="none"/>
          <w:lang w:eastAsia="zh-CN"/>
        </w:rPr>
        <w:t>（采购人名称）</w:t>
      </w:r>
    </w:p>
    <w:p>
      <w:pPr>
        <w:adjustRightInd w:val="0"/>
        <w:spacing w:line="360" w:lineRule="auto"/>
        <w:ind w:firstLine="480" w:firstLineChars="200"/>
        <w:contextualSpacing/>
        <w:outlineLvl w:val="0"/>
        <w:rPr>
          <w:rFonts w:ascii="宋体" w:hAnsi="宋体"/>
          <w:snapToGrid w:val="0"/>
          <w:color w:val="auto"/>
          <w:kern w:val="0"/>
          <w:sz w:val="24"/>
          <w:highlight w:val="none"/>
        </w:rPr>
      </w:pPr>
      <w:r>
        <w:rPr>
          <w:rFonts w:hint="eastAsia" w:ascii="宋体" w:hAnsi="宋体"/>
          <w:snapToGrid w:val="0"/>
          <w:color w:val="auto"/>
          <w:kern w:val="0"/>
          <w:sz w:val="24"/>
          <w:highlight w:val="none"/>
        </w:rPr>
        <w:t>根据贵方</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（项目名称、招标编号）采购的招标公告及投标邀请，_______（姓名和职务）被正式授权并代表投标人</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（投标人名称、地址）提交。</w:t>
      </w:r>
    </w:p>
    <w:p>
      <w:pPr>
        <w:pStyle w:val="17"/>
        <w:spacing w:line="360" w:lineRule="auto"/>
        <w:ind w:firstLine="480" w:firstLineChars="200"/>
        <w:contextualSpacing/>
        <w:rPr>
          <w:rFonts w:hAnsi="宋体"/>
          <w:snapToGrid w:val="0"/>
          <w:color w:val="auto"/>
          <w:sz w:val="24"/>
          <w:szCs w:val="24"/>
          <w:highlight w:val="none"/>
        </w:rPr>
      </w:pPr>
      <w:r>
        <w:rPr>
          <w:rFonts w:hint="eastAsia" w:hAnsi="宋体"/>
          <w:snapToGrid w:val="0"/>
          <w:color w:val="auto"/>
          <w:sz w:val="24"/>
          <w:szCs w:val="24"/>
          <w:highlight w:val="none"/>
        </w:rPr>
        <w:t>我方确认收到贵方提供的</w:t>
      </w:r>
      <w:r>
        <w:rPr>
          <w:rFonts w:hint="eastAsia" w:hAnsi="宋体"/>
          <w:snapToGrid w:val="0"/>
          <w:color w:val="auto"/>
          <w:sz w:val="24"/>
          <w:szCs w:val="24"/>
          <w:highlight w:val="none"/>
          <w:u w:val="single"/>
        </w:rPr>
        <w:t xml:space="preserve">       </w:t>
      </w:r>
      <w:r>
        <w:rPr>
          <w:rFonts w:hint="eastAsia" w:hAnsi="宋体"/>
          <w:snapToGrid w:val="0"/>
          <w:color w:val="auto"/>
          <w:sz w:val="24"/>
          <w:szCs w:val="24"/>
          <w:highlight w:val="none"/>
        </w:rPr>
        <w:t>（项目名称、招标编号）招标文件的全部内容。</w:t>
      </w:r>
    </w:p>
    <w:p>
      <w:pPr>
        <w:pStyle w:val="17"/>
        <w:spacing w:line="360" w:lineRule="auto"/>
        <w:ind w:firstLine="480" w:firstLineChars="200"/>
        <w:contextualSpacing/>
        <w:rPr>
          <w:rFonts w:hAnsi="宋体"/>
          <w:snapToGrid w:val="0"/>
          <w:color w:val="auto"/>
          <w:sz w:val="24"/>
          <w:szCs w:val="24"/>
          <w:highlight w:val="none"/>
        </w:rPr>
      </w:pPr>
      <w:r>
        <w:rPr>
          <w:rFonts w:hint="eastAsia" w:hAnsi="宋体"/>
          <w:snapToGrid w:val="0"/>
          <w:color w:val="auto"/>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hAnsi="宋体"/>
          <w:color w:val="auto"/>
          <w:sz w:val="24"/>
          <w:szCs w:val="24"/>
          <w:highlight w:val="none"/>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highlight w:val="none"/>
        </w:rPr>
      </w:pPr>
      <w:r>
        <w:rPr>
          <w:rFonts w:hint="eastAsia" w:ascii="宋体" w:hAnsi="宋体"/>
          <w:i/>
          <w:snapToGrid w:val="0"/>
          <w:color w:val="auto"/>
          <w:kern w:val="0"/>
          <w:sz w:val="24"/>
          <w:highlight w:val="none"/>
          <w:u w:val="single"/>
        </w:rPr>
        <w:t xml:space="preserve">(投标人名称)   </w:t>
      </w:r>
      <w:r>
        <w:rPr>
          <w:rFonts w:hint="eastAsia" w:ascii="宋体" w:hAnsi="宋体"/>
          <w:snapToGrid w:val="0"/>
          <w:color w:val="auto"/>
          <w:kern w:val="0"/>
          <w:sz w:val="24"/>
          <w:highlight w:val="none"/>
        </w:rPr>
        <w:t>作为投标人正式授权</w:t>
      </w:r>
      <w:r>
        <w:rPr>
          <w:rFonts w:hint="eastAsia" w:ascii="宋体" w:hAnsi="宋体"/>
          <w:i/>
          <w:snapToGrid w:val="0"/>
          <w:color w:val="auto"/>
          <w:kern w:val="0"/>
          <w:sz w:val="24"/>
          <w:highlight w:val="none"/>
          <w:u w:val="single"/>
        </w:rPr>
        <w:t xml:space="preserve">(授权代表全名, 职务)   </w:t>
      </w:r>
      <w:r>
        <w:rPr>
          <w:rFonts w:hint="eastAsia" w:ascii="宋体" w:hAnsi="宋体"/>
          <w:snapToGrid w:val="0"/>
          <w:color w:val="auto"/>
          <w:kern w:val="0"/>
          <w:sz w:val="24"/>
          <w:highlight w:val="none"/>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highlight w:val="none"/>
        </w:rPr>
      </w:pPr>
      <w:r>
        <w:rPr>
          <w:rFonts w:hint="eastAsia" w:ascii="宋体" w:hAnsi="宋体"/>
          <w:snapToGrid w:val="0"/>
          <w:color w:val="auto"/>
          <w:kern w:val="0"/>
          <w:sz w:val="24"/>
          <w:highlight w:val="none"/>
        </w:rPr>
        <w:t>在此提交的投标文件，正本一份，副本</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份，</w:t>
      </w:r>
      <w:r>
        <w:rPr>
          <w:rFonts w:hint="eastAsia" w:cs="Arial"/>
          <w:color w:val="auto"/>
          <w:sz w:val="26"/>
          <w:szCs w:val="26"/>
          <w:highlight w:val="none"/>
        </w:rPr>
        <w:t>电子版文件</w:t>
      </w:r>
      <w:r>
        <w:rPr>
          <w:rFonts w:hint="eastAsia" w:cs="Arial"/>
          <w:color w:val="auto"/>
          <w:sz w:val="26"/>
          <w:szCs w:val="26"/>
          <w:highlight w:val="none"/>
          <w:u w:val="single"/>
        </w:rPr>
        <w:t xml:space="preserve">   </w:t>
      </w:r>
      <w:r>
        <w:rPr>
          <w:rFonts w:hint="eastAsia" w:cs="Arial"/>
          <w:color w:val="auto"/>
          <w:sz w:val="26"/>
          <w:szCs w:val="26"/>
          <w:highlight w:val="none"/>
        </w:rPr>
        <w:t>份</w:t>
      </w:r>
      <w:r>
        <w:rPr>
          <w:rFonts w:hint="eastAsia" w:ascii="宋体" w:hAnsi="宋体"/>
          <w:snapToGrid w:val="0"/>
          <w:color w:val="auto"/>
          <w:kern w:val="0"/>
          <w:sz w:val="24"/>
          <w:highlight w:val="none"/>
        </w:rPr>
        <w:t>。。</w:t>
      </w:r>
    </w:p>
    <w:p>
      <w:pPr>
        <w:adjustRightInd w:val="0"/>
        <w:spacing w:line="360" w:lineRule="auto"/>
        <w:ind w:firstLine="480" w:firstLineChars="200"/>
        <w:contextualSpacing/>
        <w:rPr>
          <w:rFonts w:ascii="宋体" w:hAnsi="宋体" w:cs="Courier New"/>
          <w:color w:val="auto"/>
          <w:sz w:val="24"/>
          <w:highlight w:val="none"/>
        </w:rPr>
      </w:pPr>
      <w:r>
        <w:rPr>
          <w:rFonts w:hint="eastAsia" w:ascii="宋体" w:hAnsi="宋体" w:cs="Courier New"/>
          <w:color w:val="auto"/>
          <w:sz w:val="24"/>
          <w:highlight w:val="none"/>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highlight w:val="none"/>
        </w:rPr>
      </w:pPr>
      <w:r>
        <w:rPr>
          <w:rFonts w:hint="eastAsia" w:ascii="宋体" w:hAnsi="宋体" w:cs="Courier New"/>
          <w:color w:val="auto"/>
          <w:sz w:val="24"/>
          <w:highlight w:val="none"/>
        </w:rPr>
        <w:t>一、按招标文件提供的全部货物与相关服务的投标总价</w:t>
      </w:r>
      <w:r>
        <w:rPr>
          <w:rFonts w:hint="eastAsia" w:cs="Arial"/>
          <w:color w:val="auto"/>
          <w:sz w:val="24"/>
          <w:highlight w:val="none"/>
        </w:rPr>
        <w:t>大写</w:t>
      </w:r>
      <w:r>
        <w:rPr>
          <w:rFonts w:hint="eastAsia" w:cs="Arial"/>
          <w:color w:val="auto"/>
          <w:sz w:val="24"/>
          <w:highlight w:val="none"/>
          <w:u w:val="single"/>
        </w:rPr>
        <w:t xml:space="preserve">     </w:t>
      </w:r>
      <w:r>
        <w:rPr>
          <w:rFonts w:hint="eastAsia" w:ascii="宋体" w:hAnsi="宋体" w:cs="Courier New"/>
          <w:color w:val="auto"/>
          <w:sz w:val="24"/>
          <w:highlight w:val="none"/>
        </w:rPr>
        <w:t>,小写</w:t>
      </w:r>
      <w:r>
        <w:rPr>
          <w:rFonts w:hint="eastAsia" w:ascii="宋体" w:hAnsi="宋体" w:cs="Courier New"/>
          <w:color w:val="auto"/>
          <w:sz w:val="24"/>
          <w:highlight w:val="none"/>
          <w:u w:val="single"/>
        </w:rPr>
        <w:t xml:space="preserve">     </w:t>
      </w:r>
    </w:p>
    <w:p>
      <w:pPr>
        <w:adjustRightInd w:val="0"/>
        <w:spacing w:line="360" w:lineRule="auto"/>
        <w:ind w:firstLine="480" w:firstLineChars="200"/>
        <w:contextualSpacing/>
        <w:rPr>
          <w:rFonts w:ascii="宋体" w:hAnsi="宋体" w:cs="Courier New"/>
          <w:color w:val="auto"/>
          <w:sz w:val="24"/>
          <w:highlight w:val="none"/>
        </w:rPr>
      </w:pPr>
      <w:r>
        <w:rPr>
          <w:rFonts w:hint="eastAsia" w:ascii="宋体" w:hAnsi="宋体" w:cs="Courier New"/>
          <w:color w:val="auto"/>
          <w:sz w:val="24"/>
          <w:highlight w:val="none"/>
        </w:rPr>
        <w:t>二、本投标文件的有效期为投标截止时间起</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80" w:firstLineChars="200"/>
        <w:contextualSpacing/>
        <w:rPr>
          <w:rFonts w:cs="Courier New"/>
          <w:color w:val="auto"/>
          <w:highlight w:val="none"/>
        </w:rPr>
      </w:pPr>
      <w:r>
        <w:rPr>
          <w:rFonts w:hint="eastAsia" w:cs="Courier New"/>
          <w:color w:val="auto"/>
          <w:highlight w:val="none"/>
        </w:rPr>
        <w:t>三、我方明白并同意，在规定的开标日之后，投标有效期之内撤销投标的，则我方承担违背投标承诺的责任追究。</w:t>
      </w:r>
    </w:p>
    <w:p>
      <w:pPr>
        <w:pStyle w:val="26"/>
        <w:adjustRightInd w:val="0"/>
        <w:spacing w:line="360" w:lineRule="auto"/>
        <w:ind w:firstLine="480" w:firstLineChars="200"/>
        <w:contextualSpacing/>
        <w:rPr>
          <w:rFonts w:cs="Courier New"/>
          <w:color w:val="auto"/>
          <w:highlight w:val="none"/>
        </w:rPr>
      </w:pPr>
      <w:r>
        <w:rPr>
          <w:rFonts w:hint="eastAsia" w:cs="Courier New"/>
          <w:color w:val="auto"/>
          <w:highlight w:val="none"/>
        </w:rPr>
        <w:t>四、我方同意按照贵方可能提出的要求而提供与投标有关的任何其它数据、信息或资料。</w:t>
      </w:r>
    </w:p>
    <w:p>
      <w:pPr>
        <w:pStyle w:val="26"/>
        <w:adjustRightInd w:val="0"/>
        <w:spacing w:line="360" w:lineRule="auto"/>
        <w:ind w:firstLine="480" w:firstLineChars="200"/>
        <w:contextualSpacing/>
        <w:rPr>
          <w:rFonts w:cs="Courier New"/>
          <w:color w:val="auto"/>
          <w:highlight w:val="none"/>
        </w:rPr>
      </w:pPr>
      <w:r>
        <w:rPr>
          <w:rFonts w:hint="eastAsia" w:cs="Courier New"/>
          <w:color w:val="auto"/>
          <w:highlight w:val="none"/>
        </w:rPr>
        <w:t>五、我方理解贵方不一定接受最低投标价或任何贵方可能收到的投标。</w:t>
      </w:r>
    </w:p>
    <w:p>
      <w:pPr>
        <w:pStyle w:val="26"/>
        <w:adjustRightInd w:val="0"/>
        <w:spacing w:line="360" w:lineRule="auto"/>
        <w:ind w:firstLine="480" w:firstLineChars="200"/>
        <w:contextualSpacing/>
        <w:rPr>
          <w:rFonts w:cs="Courier New"/>
          <w:color w:val="auto"/>
          <w:highlight w:val="none"/>
        </w:rPr>
      </w:pPr>
      <w:r>
        <w:rPr>
          <w:rFonts w:hint="eastAsia" w:cs="Courier New"/>
          <w:color w:val="auto"/>
          <w:highlight w:val="none"/>
        </w:rPr>
        <w:t>六、我方如果中标，将保证履行招标文件及其澄清、修改文件（如果有）中的全部责任和义务，按质、按量、按期完成《项目需求》及《合同书》中的全部任务。</w:t>
      </w:r>
    </w:p>
    <w:p>
      <w:pPr>
        <w:pStyle w:val="26"/>
        <w:adjustRightInd w:val="0"/>
        <w:spacing w:before="0" w:beforeAutospacing="0" w:after="0" w:afterAutospacing="0" w:line="360" w:lineRule="auto"/>
        <w:ind w:firstLine="480" w:firstLineChars="200"/>
        <w:contextualSpacing/>
        <w:rPr>
          <w:color w:val="auto"/>
          <w:highlight w:val="none"/>
        </w:rPr>
      </w:pPr>
      <w:r>
        <w:rPr>
          <w:rFonts w:hint="eastAsia" w:cs="Courier New"/>
          <w:color w:val="auto"/>
          <w:highlight w:val="none"/>
        </w:rPr>
        <w:t>七、我方在此保证所提交的所有文件和全部说明是真实的和正确的。</w:t>
      </w:r>
    </w:p>
    <w:p>
      <w:pPr>
        <w:pStyle w:val="17"/>
        <w:spacing w:line="360" w:lineRule="auto"/>
        <w:ind w:firstLine="480" w:firstLineChars="200"/>
        <w:contextualSpacing/>
        <w:rPr>
          <w:rFonts w:hAnsi="宋体"/>
          <w:color w:val="auto"/>
          <w:sz w:val="24"/>
          <w:szCs w:val="24"/>
          <w:highlight w:val="none"/>
        </w:rPr>
      </w:pPr>
      <w:r>
        <w:rPr>
          <w:rFonts w:hint="eastAsia" w:hAnsi="宋体"/>
          <w:color w:val="auto"/>
          <w:sz w:val="24"/>
          <w:szCs w:val="24"/>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7"/>
        <w:spacing w:line="360" w:lineRule="auto"/>
        <w:ind w:firstLine="480" w:firstLineChars="200"/>
        <w:contextualSpacing/>
        <w:rPr>
          <w:rFonts w:hAnsi="宋体" w:cs="Arial"/>
          <w:color w:val="auto"/>
          <w:sz w:val="24"/>
          <w:szCs w:val="24"/>
          <w:highlight w:val="none"/>
        </w:rPr>
      </w:pPr>
      <w:r>
        <w:rPr>
          <w:rFonts w:hint="eastAsia" w:hAnsi="宋体" w:cs="Arial"/>
          <w:color w:val="auto"/>
          <w:sz w:val="24"/>
          <w:szCs w:val="24"/>
          <w:highlight w:val="none"/>
        </w:rPr>
        <w:t>九、我方具备《政府采购法》第二十二条规定的条件；承诺如下：</w:t>
      </w:r>
    </w:p>
    <w:p>
      <w:pPr>
        <w:pStyle w:val="17"/>
        <w:spacing w:line="360" w:lineRule="auto"/>
        <w:ind w:firstLine="480" w:firstLineChars="200"/>
        <w:contextualSpacing/>
        <w:rPr>
          <w:rFonts w:hAnsi="宋体" w:cs="Arial"/>
          <w:color w:val="auto"/>
          <w:sz w:val="24"/>
          <w:szCs w:val="24"/>
          <w:highlight w:val="none"/>
        </w:rPr>
      </w:pPr>
      <w:r>
        <w:rPr>
          <w:rFonts w:hint="eastAsia" w:hAnsi="宋体" w:cs="Arial"/>
          <w:color w:val="auto"/>
          <w:sz w:val="24"/>
          <w:szCs w:val="24"/>
          <w:highlight w:val="none"/>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（5）符合法律、行政法规规定的其他条件。</w:t>
      </w:r>
    </w:p>
    <w:p>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宋体"/>
          <w:color w:val="auto"/>
          <w:sz w:val="24"/>
          <w:highlight w:val="none"/>
        </w:rPr>
        <w:t>以上内容如有虚假或与事实不符的，评审委员会可将</w:t>
      </w:r>
      <w:r>
        <w:rPr>
          <w:rFonts w:hint="eastAsia" w:ascii="宋体" w:hAnsi="宋体" w:cs="Arial"/>
          <w:color w:val="auto"/>
          <w:sz w:val="24"/>
          <w:highlight w:val="none"/>
        </w:rPr>
        <w:t>我方做无效投标处理，我方愿意承担相应的法律责任。</w:t>
      </w:r>
    </w:p>
    <w:p>
      <w:pPr>
        <w:pStyle w:val="17"/>
        <w:spacing w:line="360" w:lineRule="auto"/>
        <w:ind w:firstLine="480" w:firstLineChars="200"/>
        <w:contextualSpacing/>
        <w:rPr>
          <w:rFonts w:hAnsi="宋体"/>
          <w:color w:val="auto"/>
          <w:sz w:val="24"/>
          <w:szCs w:val="24"/>
          <w:highlight w:val="none"/>
        </w:rPr>
      </w:pPr>
      <w:r>
        <w:rPr>
          <w:rFonts w:hint="eastAsia" w:hAnsi="宋体"/>
          <w:color w:val="auto"/>
          <w:sz w:val="24"/>
          <w:szCs w:val="24"/>
          <w:highlight w:val="none"/>
        </w:rPr>
        <w:t>十、我方具备履行合同所必需的设备和专业技术能力。</w:t>
      </w:r>
    </w:p>
    <w:p>
      <w:pPr>
        <w:pStyle w:val="17"/>
        <w:spacing w:line="360" w:lineRule="auto"/>
        <w:ind w:firstLine="480" w:firstLineChars="200"/>
        <w:contextualSpacing/>
        <w:rPr>
          <w:rFonts w:hAnsi="宋体"/>
          <w:color w:val="auto"/>
          <w:sz w:val="24"/>
          <w:szCs w:val="24"/>
          <w:highlight w:val="none"/>
        </w:rPr>
      </w:pPr>
      <w:r>
        <w:rPr>
          <w:rFonts w:hint="eastAsia" w:hAnsi="宋体"/>
          <w:snapToGrid w:val="0"/>
          <w:color w:val="auto"/>
          <w:sz w:val="24"/>
          <w:szCs w:val="24"/>
          <w:highlight w:val="none"/>
        </w:rPr>
        <w:t>十一、</w:t>
      </w:r>
      <w:r>
        <w:rPr>
          <w:rFonts w:hint="eastAsia" w:hAnsi="宋体"/>
          <w:color w:val="auto"/>
          <w:sz w:val="24"/>
          <w:szCs w:val="24"/>
          <w:highlight w:val="none"/>
        </w:rPr>
        <w:t>我方对在本函及投标文件中所作的所有承诺承担法律责任。</w:t>
      </w:r>
    </w:p>
    <w:p>
      <w:pPr>
        <w:pStyle w:val="17"/>
        <w:snapToGrid w:val="0"/>
        <w:spacing w:line="360" w:lineRule="auto"/>
        <w:rPr>
          <w:rFonts w:hAnsi="宋体"/>
          <w:color w:val="auto"/>
          <w:szCs w:val="24"/>
          <w:highlight w:val="none"/>
        </w:rPr>
      </w:pPr>
    </w:p>
    <w:p>
      <w:pPr>
        <w:pStyle w:val="17"/>
        <w:snapToGrid w:val="0"/>
        <w:spacing w:line="360" w:lineRule="auto"/>
        <w:rPr>
          <w:rFonts w:hAnsi="宋体" w:cs="Courier New"/>
          <w:color w:val="auto"/>
          <w:kern w:val="2"/>
          <w:sz w:val="24"/>
          <w:szCs w:val="24"/>
          <w:highlight w:val="none"/>
        </w:rPr>
      </w:pPr>
      <w:r>
        <w:rPr>
          <w:rFonts w:hint="eastAsia" w:hAnsi="宋体" w:cs="Courier New"/>
          <w:color w:val="auto"/>
          <w:kern w:val="2"/>
          <w:sz w:val="24"/>
          <w:szCs w:val="24"/>
          <w:highlight w:val="none"/>
        </w:rPr>
        <w:t>所有与本招标有关的一切正式往来请寄：</w:t>
      </w:r>
    </w:p>
    <w:p>
      <w:pPr>
        <w:adjustRightInd w:val="0"/>
        <w:snapToGrid w:val="0"/>
        <w:spacing w:line="360" w:lineRule="auto"/>
        <w:rPr>
          <w:rFonts w:ascii="宋体" w:hAnsi="宋体" w:cs="Courier New"/>
          <w:color w:val="auto"/>
          <w:sz w:val="24"/>
          <w:highlight w:val="none"/>
        </w:rPr>
      </w:pPr>
      <w:r>
        <w:rPr>
          <w:rFonts w:hint="eastAsia" w:ascii="宋体" w:hAnsi="宋体" w:cs="Courier New"/>
          <w:color w:val="auto"/>
          <w:sz w:val="24"/>
          <w:highlight w:val="none"/>
        </w:rPr>
        <w:t>地    址：</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邮政编码：</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w:t>
      </w:r>
    </w:p>
    <w:p>
      <w:pPr>
        <w:adjustRightInd w:val="0"/>
        <w:snapToGrid w:val="0"/>
        <w:spacing w:line="360" w:lineRule="auto"/>
        <w:rPr>
          <w:rFonts w:ascii="宋体" w:hAnsi="宋体" w:cs="Courier New"/>
          <w:color w:val="auto"/>
          <w:sz w:val="24"/>
          <w:highlight w:val="none"/>
        </w:rPr>
      </w:pPr>
      <w:r>
        <w:rPr>
          <w:rFonts w:hint="eastAsia" w:ascii="宋体" w:hAnsi="宋体" w:cs="Courier New"/>
          <w:color w:val="auto"/>
          <w:sz w:val="24"/>
          <w:highlight w:val="none"/>
        </w:rPr>
        <w:t>电    话：</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传    真：</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w:t>
      </w:r>
    </w:p>
    <w:p>
      <w:pPr>
        <w:adjustRightInd w:val="0"/>
        <w:snapToGrid w:val="0"/>
        <w:spacing w:line="360" w:lineRule="auto"/>
        <w:rPr>
          <w:rFonts w:ascii="宋体" w:hAnsi="宋体" w:cs="Courier New"/>
          <w:color w:val="auto"/>
          <w:sz w:val="24"/>
          <w:highlight w:val="none"/>
        </w:rPr>
      </w:pPr>
      <w:r>
        <w:rPr>
          <w:rFonts w:hint="eastAsia" w:ascii="宋体" w:hAnsi="宋体" w:cs="Courier New"/>
          <w:color w:val="auto"/>
          <w:sz w:val="24"/>
          <w:highlight w:val="none"/>
        </w:rPr>
        <w:t>投标人代表姓名：</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职    务：</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w:t>
      </w:r>
    </w:p>
    <w:p>
      <w:pPr>
        <w:adjustRightInd w:val="0"/>
        <w:snapToGrid w:val="0"/>
        <w:spacing w:line="360" w:lineRule="auto"/>
        <w:rPr>
          <w:rFonts w:ascii="宋体" w:hAnsi="宋体" w:cs="Courier New"/>
          <w:color w:val="auto"/>
          <w:sz w:val="24"/>
          <w:highlight w:val="none"/>
        </w:rPr>
      </w:pPr>
    </w:p>
    <w:p>
      <w:pPr>
        <w:adjustRightInd w:val="0"/>
        <w:snapToGrid w:val="0"/>
        <w:spacing w:line="360" w:lineRule="auto"/>
        <w:rPr>
          <w:rFonts w:ascii="宋体" w:hAnsi="宋体" w:cs="Courier New"/>
          <w:color w:val="auto"/>
          <w:sz w:val="24"/>
          <w:highlight w:val="none"/>
        </w:rPr>
      </w:pPr>
    </w:p>
    <w:p>
      <w:pPr>
        <w:adjustRightInd w:val="0"/>
        <w:snapToGrid w:val="0"/>
        <w:spacing w:line="360" w:lineRule="auto"/>
        <w:rPr>
          <w:rFonts w:ascii="宋体" w:hAnsi="宋体" w:cs="Courier New"/>
          <w:color w:val="auto"/>
          <w:sz w:val="24"/>
          <w:highlight w:val="none"/>
        </w:rPr>
      </w:pPr>
      <w:r>
        <w:rPr>
          <w:rFonts w:hint="eastAsia" w:ascii="宋体" w:hAnsi="宋体" w:cs="Courier New"/>
          <w:color w:val="auto"/>
          <w:sz w:val="24"/>
          <w:highlight w:val="none"/>
        </w:rPr>
        <w:t>投标人法定代表人（单位负责人）或授权代表签字或盖章：</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w:t>
      </w:r>
    </w:p>
    <w:p>
      <w:pPr>
        <w:adjustRightInd w:val="0"/>
        <w:snapToGrid w:val="0"/>
        <w:spacing w:line="360" w:lineRule="auto"/>
        <w:rPr>
          <w:rFonts w:hint="eastAsia" w:ascii="宋体" w:hAnsi="宋体" w:cs="Courier New"/>
          <w:color w:val="auto"/>
          <w:sz w:val="24"/>
          <w:highlight w:val="none"/>
        </w:rPr>
      </w:pPr>
      <w:r>
        <w:rPr>
          <w:rFonts w:hint="eastAsia" w:ascii="宋体" w:hAnsi="宋体" w:cs="Courier New"/>
          <w:color w:val="auto"/>
          <w:sz w:val="24"/>
          <w:highlight w:val="none"/>
        </w:rPr>
        <w:t>投标人名称（盖章）：</w:t>
      </w:r>
      <w:r>
        <w:rPr>
          <w:rFonts w:hint="eastAsia" w:ascii="宋体" w:hAnsi="宋体" w:cs="Courier New"/>
          <w:color w:val="auto"/>
          <w:sz w:val="24"/>
          <w:highlight w:val="none"/>
          <w:u w:val="single"/>
        </w:rPr>
        <w:t xml:space="preserve">                    </w:t>
      </w:r>
      <w:r>
        <w:rPr>
          <w:rFonts w:hint="eastAsia" w:ascii="宋体" w:hAnsi="宋体" w:cs="Courier New"/>
          <w:color w:val="auto"/>
          <w:sz w:val="24"/>
          <w:highlight w:val="none"/>
        </w:rPr>
        <w:t xml:space="preserve">                   </w:t>
      </w:r>
    </w:p>
    <w:p>
      <w:pPr>
        <w:pStyle w:val="2"/>
        <w:ind w:firstLine="280"/>
        <w:rPr>
          <w:rFonts w:hint="eastAsia"/>
          <w:color w:val="auto"/>
          <w:highlight w:val="none"/>
        </w:rPr>
      </w:pPr>
    </w:p>
    <w:p>
      <w:pPr>
        <w:pStyle w:val="2"/>
        <w:ind w:firstLine="280"/>
        <w:rPr>
          <w:rFonts w:hint="eastAsia"/>
          <w:color w:val="auto"/>
          <w:highlight w:val="none"/>
        </w:rPr>
      </w:pPr>
    </w:p>
    <w:p>
      <w:pPr>
        <w:pStyle w:val="2"/>
        <w:ind w:firstLine="280"/>
        <w:rPr>
          <w:rFonts w:hint="eastAsia"/>
          <w:color w:val="auto"/>
          <w:highlight w:val="none"/>
        </w:rPr>
      </w:pPr>
    </w:p>
    <w:p>
      <w:pPr>
        <w:adjustRightInd w:val="0"/>
        <w:snapToGrid w:val="0"/>
        <w:spacing w:line="360" w:lineRule="auto"/>
        <w:ind w:firstLine="5760" w:firstLineChars="2400"/>
        <w:rPr>
          <w:rFonts w:ascii="宋体" w:hAnsi="宋体" w:cs="Courier New"/>
          <w:color w:val="auto"/>
          <w:sz w:val="24"/>
          <w:highlight w:val="none"/>
        </w:rPr>
      </w:pPr>
      <w:r>
        <w:rPr>
          <w:rFonts w:hint="eastAsia" w:ascii="宋体" w:hAnsi="宋体" w:cs="Courier New"/>
          <w:color w:val="auto"/>
          <w:sz w:val="24"/>
          <w:highlight w:val="none"/>
        </w:rPr>
        <w:t>日期：    年   月   日</w:t>
      </w:r>
    </w:p>
    <w:p>
      <w:pPr>
        <w:widowControl/>
        <w:jc w:val="center"/>
        <w:rPr>
          <w:rFonts w:ascii="宋体" w:hAnsi="宋体"/>
          <w:b/>
          <w:bCs/>
          <w:color w:val="auto"/>
          <w:sz w:val="32"/>
          <w:szCs w:val="32"/>
          <w:highlight w:val="none"/>
        </w:rPr>
      </w:pPr>
      <w:r>
        <w:rPr>
          <w:rFonts w:ascii="宋体" w:hAnsi="宋体"/>
          <w:b/>
          <w:bCs/>
          <w:color w:val="auto"/>
          <w:sz w:val="36"/>
          <w:szCs w:val="36"/>
          <w:highlight w:val="none"/>
        </w:rPr>
        <w:br w:type="page"/>
      </w:r>
      <w:r>
        <w:rPr>
          <w:rFonts w:hint="eastAsia" w:ascii="宋体" w:hAnsi="宋体"/>
          <w:b/>
          <w:bCs/>
          <w:color w:val="auto"/>
          <w:sz w:val="32"/>
          <w:szCs w:val="32"/>
          <w:highlight w:val="none"/>
        </w:rPr>
        <w:t>3.2 法定代表人（单位负责人）</w:t>
      </w:r>
      <w:r>
        <w:rPr>
          <w:rFonts w:ascii="宋体" w:hAnsi="宋体"/>
          <w:b/>
          <w:bCs/>
          <w:color w:val="auto"/>
          <w:sz w:val="32"/>
          <w:szCs w:val="32"/>
          <w:highlight w:val="none"/>
        </w:rPr>
        <w:t>资</w:t>
      </w:r>
      <w:r>
        <w:rPr>
          <w:rFonts w:hint="eastAsia" w:ascii="宋体" w:hAnsi="宋体"/>
          <w:b/>
          <w:bCs/>
          <w:color w:val="auto"/>
          <w:sz w:val="32"/>
          <w:szCs w:val="32"/>
          <w:highlight w:val="none"/>
        </w:rPr>
        <w:t>格</w:t>
      </w:r>
      <w:r>
        <w:rPr>
          <w:rFonts w:ascii="宋体" w:hAnsi="宋体"/>
          <w:b/>
          <w:bCs/>
          <w:color w:val="auto"/>
          <w:sz w:val="32"/>
          <w:szCs w:val="32"/>
          <w:highlight w:val="none"/>
        </w:rPr>
        <w:t>证</w:t>
      </w:r>
      <w:r>
        <w:rPr>
          <w:rFonts w:hint="eastAsia" w:ascii="宋体" w:hAnsi="宋体"/>
          <w:b/>
          <w:bCs/>
          <w:color w:val="auto"/>
          <w:sz w:val="32"/>
          <w:szCs w:val="32"/>
          <w:highlight w:val="none"/>
        </w:rPr>
        <w:t>明</w:t>
      </w:r>
      <w:r>
        <w:rPr>
          <w:rFonts w:ascii="宋体" w:hAnsi="宋体"/>
          <w:b/>
          <w:bCs/>
          <w:color w:val="auto"/>
          <w:sz w:val="32"/>
          <w:szCs w:val="32"/>
          <w:highlight w:val="none"/>
        </w:rPr>
        <w:t>书</w:t>
      </w:r>
    </w:p>
    <w:p>
      <w:pPr>
        <w:autoSpaceDE w:val="0"/>
        <w:autoSpaceDN w:val="0"/>
        <w:adjustRightInd w:val="0"/>
        <w:spacing w:line="480" w:lineRule="auto"/>
        <w:ind w:firstLine="616" w:firstLineChars="257"/>
        <w:rPr>
          <w:rFonts w:ascii="宋体" w:hAnsi="宋体"/>
          <w:color w:val="auto"/>
          <w:sz w:val="24"/>
          <w:highlight w:val="none"/>
        </w:rPr>
      </w:pPr>
    </w:p>
    <w:p>
      <w:pPr>
        <w:pStyle w:val="58"/>
        <w:spacing w:line="480" w:lineRule="auto"/>
        <w:ind w:firstLine="540" w:firstLineChars="225"/>
        <w:jc w:val="left"/>
        <w:rPr>
          <w:rFonts w:hAnsi="宋体"/>
          <w:color w:val="auto"/>
          <w:highlight w:val="none"/>
        </w:rPr>
      </w:pPr>
      <w:r>
        <w:rPr>
          <w:rFonts w:hAnsi="宋体"/>
          <w:color w:val="auto"/>
          <w:highlight w:val="none"/>
        </w:rPr>
        <w:t>单</w:t>
      </w:r>
      <w:r>
        <w:rPr>
          <w:rFonts w:hint="eastAsia" w:hAnsi="宋体"/>
          <w:color w:val="auto"/>
          <w:highlight w:val="none"/>
        </w:rPr>
        <w:t>位名</w:t>
      </w:r>
      <w:r>
        <w:rPr>
          <w:rFonts w:hAnsi="宋体"/>
          <w:color w:val="auto"/>
          <w:highlight w:val="none"/>
        </w:rPr>
        <w:t>称</w:t>
      </w:r>
      <w:r>
        <w:rPr>
          <w:rFonts w:hint="eastAsia" w:hAnsi="宋体"/>
          <w:color w:val="auto"/>
          <w:highlight w:val="none"/>
        </w:rPr>
        <w:t>：</w:t>
      </w:r>
    </w:p>
    <w:p>
      <w:pPr>
        <w:pStyle w:val="58"/>
        <w:spacing w:line="480" w:lineRule="auto"/>
        <w:ind w:firstLine="540" w:firstLineChars="225"/>
        <w:jc w:val="left"/>
        <w:rPr>
          <w:rFonts w:hAnsi="宋体"/>
          <w:color w:val="auto"/>
          <w:highlight w:val="none"/>
        </w:rPr>
      </w:pPr>
      <w:r>
        <w:rPr>
          <w:rFonts w:hint="eastAsia" w:hAnsi="宋体"/>
          <w:color w:val="auto"/>
          <w:highlight w:val="none"/>
        </w:rPr>
        <w:t>地址：</w:t>
      </w:r>
    </w:p>
    <w:p>
      <w:pPr>
        <w:pStyle w:val="58"/>
        <w:spacing w:line="480" w:lineRule="auto"/>
        <w:ind w:firstLine="540" w:firstLineChars="225"/>
        <w:jc w:val="left"/>
        <w:rPr>
          <w:rFonts w:hAnsi="宋体"/>
          <w:color w:val="auto"/>
          <w:highlight w:val="none"/>
        </w:rPr>
      </w:pPr>
      <w:r>
        <w:rPr>
          <w:rFonts w:hint="eastAsia" w:hAnsi="宋体"/>
          <w:color w:val="auto"/>
          <w:highlight w:val="none"/>
        </w:rPr>
        <w:t>姓名：       性</w:t>
      </w:r>
      <w:r>
        <w:rPr>
          <w:rFonts w:hAnsi="宋体"/>
          <w:color w:val="auto"/>
          <w:highlight w:val="none"/>
        </w:rPr>
        <w:t>别</w:t>
      </w:r>
      <w:r>
        <w:rPr>
          <w:rFonts w:hint="eastAsia" w:hAnsi="宋体"/>
          <w:color w:val="auto"/>
          <w:highlight w:val="none"/>
        </w:rPr>
        <w:t>：     年</w:t>
      </w:r>
      <w:r>
        <w:rPr>
          <w:rFonts w:hAnsi="宋体"/>
          <w:color w:val="auto"/>
          <w:highlight w:val="none"/>
        </w:rPr>
        <w:t>龄</w:t>
      </w:r>
      <w:r>
        <w:rPr>
          <w:rFonts w:hint="eastAsia" w:hAnsi="宋体"/>
          <w:color w:val="auto"/>
          <w:highlight w:val="none"/>
        </w:rPr>
        <w:t>：</w:t>
      </w:r>
      <w:r>
        <w:rPr>
          <w:rFonts w:hAnsi="宋体"/>
          <w:color w:val="auto"/>
          <w:highlight w:val="none"/>
        </w:rPr>
        <w:t xml:space="preserve">     职务</w:t>
      </w:r>
      <w:r>
        <w:rPr>
          <w:rFonts w:hint="eastAsia" w:hAnsi="宋体"/>
          <w:color w:val="auto"/>
          <w:highlight w:val="none"/>
        </w:rPr>
        <w:t xml:space="preserve">：        </w:t>
      </w:r>
    </w:p>
    <w:p>
      <w:pPr>
        <w:pStyle w:val="58"/>
        <w:spacing w:line="480" w:lineRule="auto"/>
        <w:ind w:firstLine="540" w:firstLineChars="225"/>
        <w:jc w:val="left"/>
        <w:rPr>
          <w:rFonts w:hAnsi="宋体"/>
          <w:color w:val="auto"/>
          <w:highlight w:val="none"/>
        </w:rPr>
      </w:pPr>
      <w:r>
        <w:rPr>
          <w:rFonts w:hint="eastAsia" w:hAnsi="宋体"/>
          <w:color w:val="auto"/>
          <w:highlight w:val="none"/>
        </w:rPr>
        <w:t>本人系</w:t>
      </w:r>
      <w:r>
        <w:rPr>
          <w:rFonts w:hint="eastAsia" w:hAnsi="宋体"/>
          <w:i/>
          <w:snapToGrid w:val="0"/>
          <w:color w:val="auto"/>
          <w:highlight w:val="none"/>
          <w:u w:val="single"/>
        </w:rPr>
        <w:t>投</w:t>
      </w:r>
      <w:r>
        <w:rPr>
          <w:rFonts w:hAnsi="宋体"/>
          <w:i/>
          <w:snapToGrid w:val="0"/>
          <w:color w:val="auto"/>
          <w:highlight w:val="none"/>
          <w:u w:val="single"/>
        </w:rPr>
        <w:t>标</w:t>
      </w:r>
      <w:r>
        <w:rPr>
          <w:rFonts w:hint="eastAsia" w:hAnsi="宋体"/>
          <w:i/>
          <w:snapToGrid w:val="0"/>
          <w:color w:val="auto"/>
          <w:highlight w:val="none"/>
          <w:u w:val="single"/>
        </w:rPr>
        <w:t>人名</w:t>
      </w:r>
      <w:r>
        <w:rPr>
          <w:rFonts w:hAnsi="宋体"/>
          <w:i/>
          <w:snapToGrid w:val="0"/>
          <w:color w:val="auto"/>
          <w:highlight w:val="none"/>
          <w:u w:val="single"/>
        </w:rPr>
        <w:t>称</w:t>
      </w:r>
      <w:r>
        <w:rPr>
          <w:rFonts w:hint="eastAsia" w:hAnsi="宋体"/>
          <w:color w:val="auto"/>
          <w:highlight w:val="none"/>
        </w:rPr>
        <w:t>的法定代表人（单位负责人）。就</w:t>
      </w:r>
      <w:r>
        <w:rPr>
          <w:rFonts w:hAnsi="宋体"/>
          <w:color w:val="auto"/>
          <w:highlight w:val="none"/>
        </w:rPr>
        <w:t>参</w:t>
      </w:r>
      <w:r>
        <w:rPr>
          <w:rFonts w:hint="eastAsia" w:hAnsi="宋体"/>
          <w:color w:val="auto"/>
          <w:highlight w:val="none"/>
        </w:rPr>
        <w:t>加贵方招</w:t>
      </w:r>
      <w:r>
        <w:rPr>
          <w:rFonts w:hAnsi="宋体"/>
          <w:color w:val="auto"/>
          <w:highlight w:val="none"/>
        </w:rPr>
        <w:t>标编号为</w:t>
      </w:r>
      <w:r>
        <w:rPr>
          <w:rFonts w:hAnsi="宋体"/>
          <w:i/>
          <w:color w:val="auto"/>
          <w:highlight w:val="none"/>
          <w:u w:val="single"/>
        </w:rPr>
        <w:t>项目编号</w:t>
      </w:r>
      <w:r>
        <w:rPr>
          <w:rFonts w:hint="eastAsia" w:hAnsi="宋体"/>
          <w:color w:val="auto"/>
          <w:highlight w:val="none"/>
        </w:rPr>
        <w:t>的</w:t>
      </w:r>
      <w:r>
        <w:rPr>
          <w:rFonts w:hAnsi="宋体"/>
          <w:i/>
          <w:color w:val="auto"/>
          <w:highlight w:val="none"/>
          <w:u w:val="single"/>
        </w:rPr>
        <w:t>项目</w:t>
      </w:r>
      <w:r>
        <w:rPr>
          <w:rFonts w:hint="eastAsia" w:hAnsi="宋体"/>
          <w:i/>
          <w:color w:val="auto"/>
          <w:highlight w:val="none"/>
          <w:u w:val="single"/>
        </w:rPr>
        <w:t>名</w:t>
      </w:r>
      <w:r>
        <w:rPr>
          <w:rFonts w:hAnsi="宋体"/>
          <w:i/>
          <w:color w:val="auto"/>
          <w:highlight w:val="none"/>
          <w:u w:val="single"/>
        </w:rPr>
        <w:t>称</w:t>
      </w:r>
      <w:r>
        <w:rPr>
          <w:rFonts w:hint="eastAsia" w:hAnsi="宋体"/>
          <w:color w:val="auto"/>
          <w:highlight w:val="none"/>
        </w:rPr>
        <w:t>公</w:t>
      </w:r>
      <w:r>
        <w:rPr>
          <w:rFonts w:hAnsi="宋体"/>
          <w:color w:val="auto"/>
          <w:highlight w:val="none"/>
        </w:rPr>
        <w:t>开</w:t>
      </w:r>
      <w:r>
        <w:rPr>
          <w:rFonts w:hint="eastAsia" w:hAnsi="宋体"/>
          <w:color w:val="auto"/>
          <w:highlight w:val="none"/>
        </w:rPr>
        <w:t>招</w:t>
      </w:r>
      <w:r>
        <w:rPr>
          <w:rFonts w:hAnsi="宋体"/>
          <w:color w:val="auto"/>
          <w:highlight w:val="none"/>
        </w:rPr>
        <w:t>标项目</w:t>
      </w:r>
      <w:r>
        <w:rPr>
          <w:rFonts w:hint="eastAsia" w:hAnsi="宋体"/>
          <w:color w:val="auto"/>
          <w:highlight w:val="none"/>
        </w:rPr>
        <w:t>的投</w:t>
      </w:r>
      <w:r>
        <w:rPr>
          <w:rFonts w:hAnsi="宋体"/>
          <w:color w:val="auto"/>
          <w:highlight w:val="none"/>
        </w:rPr>
        <w:t>标报价</w:t>
      </w:r>
      <w:r>
        <w:rPr>
          <w:rFonts w:hint="eastAsia" w:hAnsi="宋体"/>
          <w:color w:val="auto"/>
          <w:highlight w:val="none"/>
        </w:rPr>
        <w:t>，</w:t>
      </w:r>
      <w:r>
        <w:rPr>
          <w:rFonts w:hAnsi="宋体"/>
          <w:color w:val="auto"/>
          <w:highlight w:val="none"/>
        </w:rPr>
        <w:t>签</w:t>
      </w:r>
      <w:r>
        <w:rPr>
          <w:rFonts w:hint="eastAsia" w:hAnsi="宋体"/>
          <w:color w:val="auto"/>
          <w:highlight w:val="none"/>
        </w:rPr>
        <w:t>署上</w:t>
      </w:r>
      <w:r>
        <w:rPr>
          <w:rFonts w:hAnsi="宋体"/>
          <w:color w:val="auto"/>
          <w:highlight w:val="none"/>
        </w:rPr>
        <w:t>述项目</w:t>
      </w:r>
      <w:r>
        <w:rPr>
          <w:rFonts w:hint="eastAsia" w:hAnsi="宋体"/>
          <w:color w:val="auto"/>
          <w:highlight w:val="none"/>
        </w:rPr>
        <w:t>的投</w:t>
      </w:r>
      <w:r>
        <w:rPr>
          <w:rFonts w:hAnsi="宋体"/>
          <w:color w:val="auto"/>
          <w:highlight w:val="none"/>
        </w:rPr>
        <w:t>标</w:t>
      </w:r>
      <w:r>
        <w:rPr>
          <w:rFonts w:hint="eastAsia" w:hAnsi="宋体"/>
          <w:color w:val="auto"/>
          <w:highlight w:val="none"/>
        </w:rPr>
        <w:t>文件及合同的</w:t>
      </w:r>
      <w:r>
        <w:rPr>
          <w:rFonts w:hAnsi="宋体"/>
          <w:color w:val="auto"/>
          <w:highlight w:val="none"/>
        </w:rPr>
        <w:t>执</w:t>
      </w:r>
      <w:r>
        <w:rPr>
          <w:rFonts w:hint="eastAsia" w:hAnsi="宋体"/>
          <w:color w:val="auto"/>
          <w:highlight w:val="none"/>
        </w:rPr>
        <w:t>行、完成、服</w:t>
      </w:r>
      <w:r>
        <w:rPr>
          <w:rFonts w:hAnsi="宋体"/>
          <w:color w:val="auto"/>
          <w:highlight w:val="none"/>
        </w:rPr>
        <w:t>务</w:t>
      </w:r>
      <w:r>
        <w:rPr>
          <w:rFonts w:hint="eastAsia" w:hAnsi="宋体"/>
          <w:color w:val="auto"/>
          <w:highlight w:val="none"/>
        </w:rPr>
        <w:t>和保修，</w:t>
      </w:r>
      <w:r>
        <w:rPr>
          <w:rFonts w:hAnsi="宋体"/>
          <w:color w:val="auto"/>
          <w:highlight w:val="none"/>
        </w:rPr>
        <w:t>签</w:t>
      </w:r>
      <w:r>
        <w:rPr>
          <w:rFonts w:hint="eastAsia" w:hAnsi="宋体"/>
          <w:color w:val="auto"/>
          <w:highlight w:val="none"/>
        </w:rPr>
        <w:t>署合同和</w:t>
      </w:r>
      <w:r>
        <w:rPr>
          <w:rFonts w:hAnsi="宋体"/>
          <w:color w:val="auto"/>
          <w:highlight w:val="none"/>
        </w:rPr>
        <w:t>处</w:t>
      </w:r>
      <w:r>
        <w:rPr>
          <w:rFonts w:hint="eastAsia" w:hAnsi="宋体"/>
          <w:color w:val="auto"/>
          <w:highlight w:val="none"/>
        </w:rPr>
        <w:t>理与之有</w:t>
      </w:r>
      <w:r>
        <w:rPr>
          <w:rFonts w:hAnsi="宋体"/>
          <w:color w:val="auto"/>
          <w:highlight w:val="none"/>
        </w:rPr>
        <w:t>关的</w:t>
      </w:r>
      <w:r>
        <w:rPr>
          <w:rFonts w:hint="eastAsia" w:hAnsi="宋体"/>
          <w:color w:val="auto"/>
          <w:highlight w:val="none"/>
        </w:rPr>
        <w:t>一切事</w:t>
      </w:r>
      <w:r>
        <w:rPr>
          <w:rFonts w:hAnsi="宋体"/>
          <w:color w:val="auto"/>
          <w:highlight w:val="none"/>
        </w:rPr>
        <w:t>务</w:t>
      </w:r>
      <w:r>
        <w:rPr>
          <w:rFonts w:hint="eastAsia" w:hAnsi="宋体"/>
          <w:color w:val="auto"/>
          <w:highlight w:val="none"/>
        </w:rPr>
        <w:t>。</w:t>
      </w:r>
    </w:p>
    <w:p>
      <w:pPr>
        <w:pStyle w:val="58"/>
        <w:spacing w:line="480" w:lineRule="auto"/>
        <w:ind w:firstLine="540" w:firstLineChars="225"/>
        <w:jc w:val="left"/>
        <w:rPr>
          <w:rFonts w:hAnsi="宋体"/>
          <w:color w:val="auto"/>
          <w:highlight w:val="none"/>
        </w:rPr>
      </w:pPr>
      <w:r>
        <w:rPr>
          <w:rFonts w:hint="eastAsia" w:hAnsi="宋体"/>
          <w:color w:val="auto"/>
          <w:highlight w:val="none"/>
        </w:rPr>
        <w:t>特此</w:t>
      </w:r>
      <w:r>
        <w:rPr>
          <w:rFonts w:hAnsi="宋体"/>
          <w:color w:val="auto"/>
          <w:highlight w:val="none"/>
        </w:rPr>
        <w:t>证</w:t>
      </w:r>
      <w:r>
        <w:rPr>
          <w:rFonts w:hint="eastAsia" w:hAnsi="宋体"/>
          <w:color w:val="auto"/>
          <w:highlight w:val="none"/>
        </w:rPr>
        <w:t>明。</w:t>
      </w:r>
    </w:p>
    <w:p>
      <w:pPr>
        <w:pStyle w:val="58"/>
        <w:spacing w:line="480" w:lineRule="auto"/>
        <w:ind w:firstLine="540" w:firstLineChars="225"/>
        <w:jc w:val="left"/>
        <w:rPr>
          <w:rFonts w:hAnsi="宋体"/>
          <w:color w:val="auto"/>
          <w:highlight w:val="none"/>
        </w:rPr>
      </w:pPr>
    </w:p>
    <w:p>
      <w:pPr>
        <w:pStyle w:val="58"/>
        <w:spacing w:line="480" w:lineRule="auto"/>
        <w:ind w:firstLine="540" w:firstLineChars="225"/>
        <w:jc w:val="left"/>
        <w:rPr>
          <w:rFonts w:hAnsi="宋体"/>
          <w:color w:val="auto"/>
          <w:highlight w:val="none"/>
        </w:rPr>
      </w:pPr>
    </w:p>
    <w:p>
      <w:pPr>
        <w:pStyle w:val="58"/>
        <w:spacing w:line="480" w:lineRule="auto"/>
        <w:ind w:left="-538" w:leftChars="-256" w:firstLine="616" w:firstLineChars="257"/>
        <w:jc w:val="center"/>
        <w:rPr>
          <w:rFonts w:hAnsi="宋体"/>
          <w:bCs/>
          <w:color w:val="auto"/>
          <w:highlight w:val="none"/>
        </w:rPr>
      </w:pPr>
      <w:r>
        <w:rPr>
          <w:rFonts w:hint="eastAsia" w:hAnsi="宋体"/>
          <w:bCs/>
          <w:color w:val="auto"/>
          <w:highlight w:val="none"/>
        </w:rPr>
        <w:t>【此</w:t>
      </w:r>
      <w:r>
        <w:rPr>
          <w:rFonts w:hAnsi="宋体"/>
          <w:bCs/>
          <w:color w:val="auto"/>
          <w:highlight w:val="none"/>
        </w:rPr>
        <w:t>处请</w:t>
      </w:r>
      <w:r>
        <w:rPr>
          <w:rFonts w:hint="eastAsia" w:hAnsi="宋体"/>
          <w:bCs/>
          <w:color w:val="auto"/>
          <w:highlight w:val="none"/>
        </w:rPr>
        <w:t>粘</w:t>
      </w:r>
      <w:r>
        <w:rPr>
          <w:rFonts w:hAnsi="宋体"/>
          <w:bCs/>
          <w:color w:val="auto"/>
          <w:highlight w:val="none"/>
        </w:rPr>
        <w:t>贴</w:t>
      </w:r>
      <w:r>
        <w:rPr>
          <w:rFonts w:hint="eastAsia" w:hAnsi="宋体"/>
          <w:bCs/>
          <w:color w:val="auto"/>
          <w:highlight w:val="none"/>
        </w:rPr>
        <w:t>法定代表人（单位负责人）身份</w:t>
      </w:r>
      <w:r>
        <w:rPr>
          <w:rFonts w:hAnsi="宋体"/>
          <w:bCs/>
          <w:color w:val="auto"/>
          <w:highlight w:val="none"/>
        </w:rPr>
        <w:t>证复</w:t>
      </w:r>
      <w:r>
        <w:rPr>
          <w:rFonts w:hint="eastAsia" w:hAnsi="宋体"/>
          <w:bCs/>
          <w:color w:val="auto"/>
          <w:highlight w:val="none"/>
        </w:rPr>
        <w:t>印件，需清晰反映身份证有效期限】</w:t>
      </w:r>
    </w:p>
    <w:p>
      <w:pPr>
        <w:pStyle w:val="58"/>
        <w:spacing w:line="480" w:lineRule="auto"/>
        <w:ind w:left="-538" w:leftChars="-256" w:firstLine="616" w:firstLineChars="257"/>
        <w:jc w:val="center"/>
        <w:rPr>
          <w:rFonts w:hAnsi="宋体"/>
          <w:bCs/>
          <w:color w:val="auto"/>
          <w:highlight w:val="none"/>
        </w:rPr>
      </w:pPr>
    </w:p>
    <w:p>
      <w:pPr>
        <w:autoSpaceDE w:val="0"/>
        <w:autoSpaceDN w:val="0"/>
        <w:adjustRightInd w:val="0"/>
        <w:spacing w:line="360" w:lineRule="auto"/>
        <w:ind w:right="-11"/>
        <w:rPr>
          <w:rFonts w:ascii="宋体" w:hAnsi="宋体" w:cs="宋体"/>
          <w:color w:val="auto"/>
          <w:sz w:val="24"/>
          <w:highlight w:val="none"/>
          <w:lang w:val="zh-CN"/>
        </w:rPr>
      </w:pPr>
    </w:p>
    <w:p>
      <w:pPr>
        <w:autoSpaceDE w:val="0"/>
        <w:autoSpaceDN w:val="0"/>
        <w:adjustRightInd w:val="0"/>
        <w:spacing w:line="360" w:lineRule="auto"/>
        <w:ind w:right="-11"/>
        <w:rPr>
          <w:rFonts w:ascii="宋体" w:hAnsi="宋体" w:cs="宋体"/>
          <w:color w:val="auto"/>
          <w:sz w:val="24"/>
          <w:highlight w:val="none"/>
          <w:lang w:val="zh-CN"/>
        </w:rPr>
      </w:pPr>
    </w:p>
    <w:p>
      <w:pPr>
        <w:autoSpaceDE w:val="0"/>
        <w:autoSpaceDN w:val="0"/>
        <w:adjustRightInd w:val="0"/>
        <w:spacing w:line="360" w:lineRule="auto"/>
        <w:ind w:right="-11"/>
        <w:rPr>
          <w:rFonts w:ascii="宋体" w:hAnsi="宋体" w:cs="宋体"/>
          <w:color w:val="auto"/>
          <w:sz w:val="24"/>
          <w:highlight w:val="none"/>
          <w:lang w:val="zh-CN"/>
        </w:rPr>
      </w:pPr>
    </w:p>
    <w:p>
      <w:pPr>
        <w:spacing w:line="480" w:lineRule="auto"/>
        <w:ind w:firstLine="5100" w:firstLineChars="2125"/>
        <w:rPr>
          <w:rFonts w:ascii="宋体" w:hAnsi="宋体" w:cs="Arial"/>
          <w:color w:val="auto"/>
          <w:sz w:val="24"/>
          <w:highlight w:val="none"/>
          <w:u w:val="single"/>
        </w:rPr>
      </w:pPr>
      <w:r>
        <w:rPr>
          <w:rFonts w:hint="eastAsia" w:ascii="宋体" w:hAnsi="宋体" w:cs="Arial"/>
          <w:color w:val="auto"/>
          <w:sz w:val="24"/>
          <w:highlight w:val="none"/>
        </w:rPr>
        <w:t>投标人名称（并加盖公章）：</w:t>
      </w:r>
    </w:p>
    <w:p>
      <w:pPr>
        <w:pStyle w:val="60"/>
        <w:spacing w:before="60" w:line="480" w:lineRule="auto"/>
        <w:ind w:firstLine="5100" w:firstLineChars="2125"/>
        <w:rPr>
          <w:rFonts w:ascii="宋体" w:hAnsi="宋体" w:cs="Arial"/>
          <w:color w:val="auto"/>
          <w:szCs w:val="24"/>
          <w:highlight w:val="none"/>
        </w:rPr>
      </w:pPr>
      <w:r>
        <w:rPr>
          <w:rFonts w:hint="eastAsia" w:ascii="宋体" w:hAnsi="宋体" w:cs="Arial"/>
          <w:color w:val="auto"/>
          <w:szCs w:val="24"/>
          <w:highlight w:val="none"/>
        </w:rPr>
        <w:t>签署日期：   年   月  日</w:t>
      </w:r>
    </w:p>
    <w:p>
      <w:pPr>
        <w:pStyle w:val="61"/>
        <w:spacing w:line="480" w:lineRule="auto"/>
        <w:rPr>
          <w:rFonts w:ascii="宋体" w:hAnsi="宋体" w:cs="Arial"/>
          <w:color w:val="auto"/>
          <w:highlight w:val="none"/>
        </w:rPr>
      </w:pPr>
    </w:p>
    <w:p>
      <w:pPr>
        <w:rPr>
          <w:color w:val="auto"/>
          <w:highlight w:val="none"/>
        </w:rPr>
      </w:pPr>
    </w:p>
    <w:p>
      <w:pPr>
        <w:spacing w:line="360" w:lineRule="auto"/>
        <w:rPr>
          <w:rFonts w:ascii="宋体" w:hAnsi="宋体"/>
          <w:bCs/>
          <w:color w:val="auto"/>
          <w:kern w:val="12"/>
          <w:sz w:val="24"/>
          <w:highlight w:val="none"/>
        </w:rPr>
      </w:pPr>
      <w:r>
        <w:rPr>
          <w:rFonts w:hint="eastAsia" w:ascii="宋体" w:hAnsi="宋体"/>
          <w:bCs/>
          <w:color w:val="auto"/>
          <w:kern w:val="12"/>
          <w:sz w:val="24"/>
          <w:highlight w:val="none"/>
        </w:rPr>
        <w:t>备注：1.法定代表人（单位负责人）</w:t>
      </w:r>
      <w:r>
        <w:rPr>
          <w:rFonts w:ascii="宋体" w:hAnsi="宋体"/>
          <w:bCs/>
          <w:color w:val="auto"/>
          <w:kern w:val="12"/>
          <w:sz w:val="24"/>
          <w:highlight w:val="none"/>
        </w:rPr>
        <w:t>参</w:t>
      </w:r>
      <w:r>
        <w:rPr>
          <w:rFonts w:hint="eastAsia" w:ascii="宋体" w:hAnsi="宋体"/>
          <w:bCs/>
          <w:color w:val="auto"/>
          <w:kern w:val="12"/>
          <w:sz w:val="24"/>
          <w:highlight w:val="none"/>
        </w:rPr>
        <w:t>加本招</w:t>
      </w:r>
      <w:r>
        <w:rPr>
          <w:rFonts w:ascii="宋体" w:hAnsi="宋体"/>
          <w:bCs/>
          <w:color w:val="auto"/>
          <w:kern w:val="12"/>
          <w:sz w:val="24"/>
          <w:highlight w:val="none"/>
        </w:rPr>
        <w:t>标项目</w:t>
      </w:r>
      <w:r>
        <w:rPr>
          <w:rFonts w:hint="eastAsia" w:ascii="宋体" w:hAnsi="宋体"/>
          <w:bCs/>
          <w:color w:val="auto"/>
          <w:kern w:val="12"/>
          <w:sz w:val="24"/>
          <w:highlight w:val="none"/>
        </w:rPr>
        <w:t>投</w:t>
      </w:r>
      <w:r>
        <w:rPr>
          <w:rFonts w:ascii="宋体" w:hAnsi="宋体"/>
          <w:bCs/>
          <w:color w:val="auto"/>
          <w:kern w:val="12"/>
          <w:sz w:val="24"/>
          <w:highlight w:val="none"/>
        </w:rPr>
        <w:t>标</w:t>
      </w:r>
      <w:r>
        <w:rPr>
          <w:rFonts w:hint="eastAsia" w:ascii="宋体" w:hAnsi="宋体"/>
          <w:bCs/>
          <w:color w:val="auto"/>
          <w:kern w:val="12"/>
          <w:sz w:val="24"/>
          <w:highlight w:val="none"/>
        </w:rPr>
        <w:t>的，</w:t>
      </w:r>
      <w:r>
        <w:rPr>
          <w:rFonts w:ascii="宋体" w:hAnsi="宋体"/>
          <w:bCs/>
          <w:color w:val="auto"/>
          <w:kern w:val="12"/>
          <w:sz w:val="24"/>
          <w:highlight w:val="none"/>
        </w:rPr>
        <w:t>仅须</w:t>
      </w:r>
      <w:r>
        <w:rPr>
          <w:rFonts w:hint="eastAsia" w:ascii="宋体" w:hAnsi="宋体"/>
          <w:bCs/>
          <w:color w:val="auto"/>
          <w:kern w:val="12"/>
          <w:sz w:val="24"/>
          <w:highlight w:val="none"/>
        </w:rPr>
        <w:t>出具此</w:t>
      </w:r>
      <w:r>
        <w:rPr>
          <w:rFonts w:ascii="宋体" w:hAnsi="宋体"/>
          <w:bCs/>
          <w:color w:val="auto"/>
          <w:kern w:val="12"/>
          <w:sz w:val="24"/>
          <w:highlight w:val="none"/>
        </w:rPr>
        <w:t>证</w:t>
      </w:r>
      <w:r>
        <w:rPr>
          <w:rFonts w:hint="eastAsia" w:ascii="宋体" w:hAnsi="宋体"/>
          <w:bCs/>
          <w:color w:val="auto"/>
          <w:kern w:val="12"/>
          <w:sz w:val="24"/>
          <w:highlight w:val="none"/>
        </w:rPr>
        <w:t>明</w:t>
      </w:r>
      <w:r>
        <w:rPr>
          <w:rFonts w:ascii="宋体" w:hAnsi="宋体"/>
          <w:bCs/>
          <w:color w:val="auto"/>
          <w:kern w:val="12"/>
          <w:sz w:val="24"/>
          <w:highlight w:val="none"/>
        </w:rPr>
        <w:t>书</w:t>
      </w:r>
      <w:r>
        <w:rPr>
          <w:rFonts w:hint="eastAsia" w:ascii="宋体" w:hAnsi="宋体"/>
          <w:bCs/>
          <w:color w:val="auto"/>
          <w:kern w:val="12"/>
          <w:sz w:val="24"/>
          <w:highlight w:val="none"/>
        </w:rPr>
        <w:t>。</w:t>
      </w:r>
    </w:p>
    <w:p>
      <w:pPr>
        <w:pStyle w:val="2"/>
        <w:spacing w:line="360" w:lineRule="auto"/>
        <w:ind w:firstLine="720" w:firstLineChars="300"/>
        <w:rPr>
          <w:rFonts w:ascii="宋体" w:hAnsi="宋体" w:eastAsia="宋体"/>
          <w:bCs/>
          <w:color w:val="auto"/>
          <w:kern w:val="12"/>
          <w:sz w:val="24"/>
          <w:highlight w:val="none"/>
        </w:rPr>
      </w:pPr>
      <w:r>
        <w:rPr>
          <w:rFonts w:hint="eastAsia" w:ascii="宋体" w:hAnsi="宋体" w:eastAsia="宋体"/>
          <w:bCs/>
          <w:color w:val="auto"/>
          <w:kern w:val="12"/>
          <w:sz w:val="24"/>
          <w:highlight w:val="none"/>
        </w:rPr>
        <w:t>2.除投标文件外开标现场应单独提交一份供现场审查。</w:t>
      </w:r>
    </w:p>
    <w:p>
      <w:pPr>
        <w:spacing w:line="480" w:lineRule="exact"/>
        <w:jc w:val="center"/>
        <w:rPr>
          <w:rFonts w:ascii="宋体" w:hAnsi="宋体"/>
          <w:b/>
          <w:bCs/>
          <w:color w:val="auto"/>
          <w:sz w:val="36"/>
          <w:szCs w:val="36"/>
          <w:highlight w:val="none"/>
        </w:rPr>
      </w:pPr>
    </w:p>
    <w:p>
      <w:pPr>
        <w:spacing w:line="480" w:lineRule="exact"/>
        <w:rPr>
          <w:rFonts w:ascii="宋体" w:hAnsi="宋体"/>
          <w:b/>
          <w:bCs/>
          <w:color w:val="auto"/>
          <w:sz w:val="36"/>
          <w:szCs w:val="36"/>
          <w:highlight w:val="none"/>
        </w:rPr>
      </w:pPr>
    </w:p>
    <w:p>
      <w:pPr>
        <w:spacing w:line="48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3.3 法定代表人（单位负责人</w:t>
      </w:r>
      <w:r>
        <w:rPr>
          <w:rFonts w:ascii="宋体" w:hAnsi="宋体"/>
          <w:b/>
          <w:bCs/>
          <w:color w:val="auto"/>
          <w:sz w:val="32"/>
          <w:szCs w:val="32"/>
          <w:highlight w:val="none"/>
        </w:rPr>
        <w:t>）</w:t>
      </w:r>
      <w:r>
        <w:rPr>
          <w:rFonts w:hint="eastAsia" w:ascii="宋体" w:hAnsi="宋体"/>
          <w:b/>
          <w:bCs/>
          <w:color w:val="auto"/>
          <w:sz w:val="32"/>
          <w:szCs w:val="32"/>
          <w:highlight w:val="none"/>
        </w:rPr>
        <w:t>授权书</w:t>
      </w:r>
    </w:p>
    <w:p>
      <w:pPr>
        <w:spacing w:line="480" w:lineRule="exact"/>
        <w:jc w:val="center"/>
        <w:rPr>
          <w:rFonts w:ascii="宋体" w:hAnsi="宋体"/>
          <w:b/>
          <w:bCs/>
          <w:color w:val="auto"/>
          <w:sz w:val="36"/>
          <w:szCs w:val="36"/>
          <w:highlight w:val="none"/>
        </w:rPr>
      </w:pPr>
    </w:p>
    <w:p>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本人</w:t>
      </w:r>
      <w:r>
        <w:rPr>
          <w:rFonts w:hint="eastAsia" w:ascii="宋体" w:hAnsi="宋体" w:cs="Arial"/>
          <w:color w:val="auto"/>
          <w:sz w:val="24"/>
          <w:highlight w:val="none"/>
          <w:u w:val="single"/>
        </w:rPr>
        <w:t xml:space="preserve">　 </w:t>
      </w:r>
      <w:r>
        <w:rPr>
          <w:rFonts w:hint="eastAsia" w:ascii="宋体" w:hAnsi="宋体"/>
          <w:i/>
          <w:snapToGrid w:val="0"/>
          <w:color w:val="auto"/>
          <w:sz w:val="24"/>
          <w:highlight w:val="none"/>
          <w:u w:val="single"/>
        </w:rPr>
        <w:t>法人姓名</w:t>
      </w:r>
      <w:r>
        <w:rPr>
          <w:rFonts w:hint="eastAsia" w:ascii="宋体" w:hAnsi="宋体" w:cs="Arial"/>
          <w:color w:val="auto"/>
          <w:sz w:val="24"/>
          <w:highlight w:val="none"/>
        </w:rPr>
        <w:t>系</w:t>
      </w:r>
      <w:r>
        <w:rPr>
          <w:rFonts w:hint="eastAsia" w:ascii="宋体" w:hAnsi="宋体" w:cs="Arial"/>
          <w:color w:val="auto"/>
          <w:sz w:val="24"/>
          <w:highlight w:val="none"/>
          <w:u w:val="single"/>
        </w:rPr>
        <w:t>　</w:t>
      </w:r>
      <w:r>
        <w:rPr>
          <w:rFonts w:hint="eastAsia" w:ascii="宋体" w:hAnsi="宋体"/>
          <w:i/>
          <w:snapToGrid w:val="0"/>
          <w:color w:val="auto"/>
          <w:sz w:val="24"/>
          <w:highlight w:val="none"/>
          <w:u w:val="single"/>
        </w:rPr>
        <w:t xml:space="preserve">投标人名称  </w:t>
      </w:r>
      <w:r>
        <w:rPr>
          <w:rFonts w:hint="eastAsia" w:ascii="宋体" w:hAnsi="宋体" w:cs="Arial"/>
          <w:color w:val="auto"/>
          <w:sz w:val="24"/>
          <w:highlight w:val="none"/>
        </w:rPr>
        <w:t>的法定代表人(单位负责人)，现委托</w:t>
      </w:r>
      <w:r>
        <w:rPr>
          <w:rFonts w:hint="eastAsia" w:ascii="宋体" w:hAnsi="宋体" w:cs="Arial"/>
          <w:color w:val="auto"/>
          <w:sz w:val="24"/>
          <w:highlight w:val="none"/>
          <w:u w:val="single"/>
        </w:rPr>
        <w:t xml:space="preserve">　 </w:t>
      </w:r>
      <w:r>
        <w:rPr>
          <w:rFonts w:hint="eastAsia" w:ascii="宋体" w:hAnsi="宋体"/>
          <w:i/>
          <w:snapToGrid w:val="0"/>
          <w:color w:val="auto"/>
          <w:sz w:val="24"/>
          <w:highlight w:val="none"/>
          <w:u w:val="single"/>
        </w:rPr>
        <w:t>姓名，职务</w:t>
      </w:r>
      <w:r>
        <w:rPr>
          <w:rFonts w:hint="eastAsia" w:ascii="宋体" w:hAnsi="宋体" w:cs="Arial"/>
          <w:color w:val="auto"/>
          <w:sz w:val="24"/>
          <w:highlight w:val="none"/>
        </w:rPr>
        <w:t>以我方的名义参加贵方_________________项目的投标活动，并代表我方全权办理针对上述项目的投标、开标、投标文件澄清、签约等一切具体事务和签署相关文件。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我方对被授权人的签名事项负全部责任。</w:t>
      </w:r>
    </w:p>
    <w:p>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highlight w:val="none"/>
        </w:rPr>
      </w:pPr>
      <w:r>
        <w:rPr>
          <w:rFonts w:hint="eastAsia" w:ascii="宋体" w:hAnsi="宋体" w:cs="Arial"/>
          <w:color w:val="auto"/>
          <w:sz w:val="24"/>
          <w:highlight w:val="none"/>
        </w:rPr>
        <w:t>被授权人无转委托权，特此委托。</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投标人名称： </w:t>
      </w:r>
      <w:r>
        <w:rPr>
          <w:rFonts w:hint="eastAsia" w:ascii="宋体" w:hAnsi="宋体"/>
          <w:color w:val="auto"/>
          <w:sz w:val="24"/>
          <w:highlight w:val="none"/>
          <w:u w:val="single"/>
        </w:rPr>
        <w:t xml:space="preserve">       （全称）     </w:t>
      </w:r>
      <w:r>
        <w:rPr>
          <w:rFonts w:hint="eastAsia" w:ascii="宋体" w:hAnsi="宋体"/>
          <w:color w:val="auto"/>
          <w:sz w:val="24"/>
          <w:highlight w:val="none"/>
        </w:rPr>
        <w:t>（盖单位公章）</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法定代表人（单位负责人）：  （签字或加盖名章）</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法定代表人（单位负责人）授权代表：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highlight w:val="none"/>
              </w:rPr>
            </w:pPr>
            <w:r>
              <w:rPr>
                <w:rFonts w:hint="eastAsia" w:ascii="宋体" w:hAnsi="宋体"/>
                <w:color w:val="auto"/>
                <w:sz w:val="24"/>
                <w:highlight w:val="none"/>
              </w:rPr>
              <w:t>法定代表人（单位负责人）身份证（正面）</w:t>
            </w:r>
          </w:p>
        </w:tc>
        <w:tc>
          <w:tcPr>
            <w:tcW w:w="4485"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highlight w:val="none"/>
              </w:rPr>
            </w:pPr>
            <w:bookmarkStart w:id="49" w:name="_资格证明文件"/>
            <w:bookmarkEnd w:id="49"/>
            <w:bookmarkStart w:id="50" w:name="_Toc364329026"/>
            <w:r>
              <w:rPr>
                <w:rFonts w:hint="eastAsia" w:ascii="宋体" w:hAnsi="宋体"/>
                <w:color w:val="auto"/>
                <w:sz w:val="24"/>
                <w:highlight w:val="none"/>
              </w:rPr>
              <w:t>法定代表人（单位负责人）授权代表身份证（正面）</w:t>
            </w:r>
            <w:bookmarkEnd w:id="50"/>
          </w:p>
        </w:tc>
        <w:tc>
          <w:tcPr>
            <w:tcW w:w="4492" w:type="dxa"/>
            <w:gridSpan w:val="2"/>
            <w:vAlign w:val="center"/>
          </w:tcPr>
          <w:p>
            <w:pPr>
              <w:jc w:val="center"/>
              <w:rPr>
                <w:rFonts w:ascii="宋体" w:hAnsi="宋体"/>
                <w:color w:val="auto"/>
                <w:sz w:val="24"/>
                <w:highlight w:val="none"/>
              </w:rPr>
            </w:pPr>
            <w:bookmarkStart w:id="51" w:name="_Toc364329027"/>
            <w:r>
              <w:rPr>
                <w:rFonts w:hint="eastAsia" w:ascii="宋体" w:hAnsi="宋体"/>
                <w:color w:val="auto"/>
                <w:sz w:val="24"/>
                <w:highlight w:val="none"/>
              </w:rPr>
              <w:t>法定代表人（单位负责人）授权代表身份证（反面）</w:t>
            </w:r>
            <w:bookmarkEnd w:id="51"/>
          </w:p>
        </w:tc>
      </w:tr>
    </w:tbl>
    <w:p>
      <w:pPr>
        <w:spacing w:line="360" w:lineRule="auto"/>
        <w:rPr>
          <w:rFonts w:ascii="宋体" w:hAnsi="宋体"/>
          <w:bCs/>
          <w:color w:val="auto"/>
          <w:kern w:val="12"/>
          <w:sz w:val="24"/>
          <w:highlight w:val="none"/>
        </w:rPr>
      </w:pPr>
    </w:p>
    <w:p>
      <w:pPr>
        <w:spacing w:line="360" w:lineRule="auto"/>
        <w:rPr>
          <w:rFonts w:ascii="宋体" w:hAnsi="宋体"/>
          <w:bCs/>
          <w:color w:val="auto"/>
          <w:kern w:val="12"/>
          <w:sz w:val="24"/>
          <w:highlight w:val="none"/>
        </w:rPr>
      </w:pPr>
      <w:r>
        <w:rPr>
          <w:rFonts w:hint="eastAsia" w:ascii="宋体" w:hAnsi="宋体"/>
          <w:bCs/>
          <w:color w:val="auto"/>
          <w:kern w:val="12"/>
          <w:sz w:val="24"/>
          <w:highlight w:val="none"/>
        </w:rPr>
        <w:t>备注：除投标文件外开标现场应单独提交一份供现场审查。</w:t>
      </w:r>
    </w:p>
    <w:p>
      <w:pPr>
        <w:widowControl/>
        <w:spacing w:before="100" w:beforeAutospacing="1" w:after="100" w:afterAutospacing="1" w:line="360" w:lineRule="auto"/>
        <w:jc w:val="center"/>
        <w:rPr>
          <w:rFonts w:ascii="宋体" w:hAnsi="宋体"/>
          <w:b/>
          <w:bCs/>
          <w:color w:val="auto"/>
          <w:sz w:val="32"/>
          <w:szCs w:val="32"/>
          <w:highlight w:val="none"/>
        </w:rPr>
      </w:pPr>
    </w:p>
    <w:p>
      <w:pPr>
        <w:widowControl/>
        <w:spacing w:before="100" w:beforeAutospacing="1" w:after="100" w:afterAutospacing="1"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3.4 没有重大违法记录的声明</w:t>
      </w:r>
    </w:p>
    <w:p>
      <w:pPr>
        <w:spacing w:beforeLines="50" w:afterLines="50"/>
        <w:jc w:val="center"/>
        <w:rPr>
          <w:rFonts w:ascii="宋体" w:hAnsi="宋体" w:cs="Arial"/>
          <w:color w:val="auto"/>
          <w:kern w:val="0"/>
          <w:sz w:val="36"/>
          <w:szCs w:val="36"/>
          <w:highlight w:val="none"/>
        </w:rPr>
      </w:pPr>
      <w:r>
        <w:rPr>
          <w:rFonts w:hint="eastAsia" w:ascii="宋体" w:hAnsi="宋体" w:cs="Arial"/>
          <w:color w:val="auto"/>
          <w:kern w:val="0"/>
          <w:sz w:val="36"/>
          <w:szCs w:val="36"/>
          <w:highlight w:val="none"/>
        </w:rPr>
        <w:t>声　   明</w:t>
      </w:r>
    </w:p>
    <w:p>
      <w:pPr>
        <w:spacing w:beforeLines="50" w:afterLines="50"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pStyle w:val="2"/>
        <w:ind w:firstLine="280"/>
        <w:rPr>
          <w:color w:val="auto"/>
          <w:highlight w:val="none"/>
          <w:lang w:val="zh-CN"/>
        </w:rPr>
      </w:pPr>
    </w:p>
    <w:p>
      <w:pPr>
        <w:spacing w:beforeLines="50" w:afterLines="50"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特此声明。</w:t>
      </w:r>
    </w:p>
    <w:p>
      <w:pPr>
        <w:spacing w:beforeLines="50" w:afterLines="50" w:line="360" w:lineRule="auto"/>
        <w:ind w:firstLine="424" w:firstLineChars="177"/>
        <w:rPr>
          <w:rFonts w:ascii="宋体" w:hAnsi="宋体" w:cs="宋体"/>
          <w:color w:val="auto"/>
          <w:sz w:val="24"/>
          <w:highlight w:val="none"/>
          <w:lang w:val="zh-CN"/>
        </w:rPr>
      </w:pPr>
      <w:r>
        <w:rPr>
          <w:rFonts w:hint="eastAsia" w:ascii="宋体" w:hAnsi="宋体" w:cs="宋体"/>
          <w:color w:val="auto"/>
          <w:sz w:val="24"/>
          <w:highlight w:val="none"/>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highlight w:val="none"/>
          <w:lang w:val="zh-CN"/>
        </w:rPr>
      </w:pPr>
    </w:p>
    <w:p>
      <w:pPr>
        <w:spacing w:beforeLines="50" w:afterLines="50" w:line="360" w:lineRule="auto"/>
        <w:ind w:right="420" w:firstLine="5486" w:firstLineChars="2286"/>
        <w:rPr>
          <w:rFonts w:ascii="宋体" w:hAnsi="宋体" w:cs="宋体"/>
          <w:color w:val="auto"/>
          <w:sz w:val="24"/>
          <w:highlight w:val="none"/>
          <w:lang w:val="zh-CN"/>
        </w:rPr>
      </w:pPr>
      <w:r>
        <w:rPr>
          <w:rFonts w:hint="eastAsia" w:ascii="宋体" w:hAnsi="宋体" w:cs="宋体"/>
          <w:color w:val="auto"/>
          <w:sz w:val="24"/>
          <w:highlight w:val="none"/>
          <w:lang w:val="zh-CN"/>
        </w:rPr>
        <w:t>单位名称（盖章）：</w:t>
      </w:r>
    </w:p>
    <w:p>
      <w:pPr>
        <w:spacing w:beforeLines="50" w:afterLines="50" w:line="360" w:lineRule="auto"/>
        <w:ind w:right="420" w:firstLine="5486" w:firstLineChars="2286"/>
        <w:rPr>
          <w:rFonts w:ascii="宋体" w:hAnsi="宋体" w:cs="宋体"/>
          <w:color w:val="auto"/>
          <w:sz w:val="24"/>
          <w:highlight w:val="none"/>
          <w:lang w:val="zh-CN"/>
        </w:rPr>
      </w:pPr>
      <w:r>
        <w:rPr>
          <w:rFonts w:hint="eastAsia" w:ascii="宋体" w:hAnsi="宋体" w:cs="宋体"/>
          <w:color w:val="auto"/>
          <w:sz w:val="24"/>
          <w:highlight w:val="none"/>
          <w:lang w:val="zh-CN"/>
        </w:rPr>
        <w:t>日    期：   年   月   日</w:t>
      </w:r>
    </w:p>
    <w:p>
      <w:pPr>
        <w:pStyle w:val="2"/>
        <w:ind w:firstLine="280"/>
        <w:rPr>
          <w:color w:val="auto"/>
          <w:highlight w:val="none"/>
          <w:lang w:val="zh-CN"/>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r>
        <w:rPr>
          <w:rFonts w:hint="eastAsia" w:ascii="宋体" w:hAnsi="宋体"/>
          <w:b/>
          <w:bCs/>
          <w:color w:val="auto"/>
          <w:sz w:val="32"/>
          <w:szCs w:val="32"/>
          <w:highlight w:val="none"/>
        </w:rPr>
        <w:t>3.5 投标承诺函</w:t>
      </w:r>
    </w:p>
    <w:p>
      <w:pPr>
        <w:autoSpaceDE w:val="0"/>
        <w:autoSpaceDN w:val="0"/>
        <w:snapToGrid w:val="0"/>
        <w:spacing w:line="360" w:lineRule="auto"/>
        <w:jc w:val="center"/>
        <w:rPr>
          <w:rFonts w:ascii="宋体" w:hAnsi="宋体"/>
          <w:b/>
          <w:bCs/>
          <w:color w:val="auto"/>
          <w:sz w:val="24"/>
          <w:highlight w:val="none"/>
        </w:rPr>
      </w:pPr>
    </w:p>
    <w:p>
      <w:pPr>
        <w:spacing w:beforeLines="50" w:afterLines="50" w:line="360" w:lineRule="auto"/>
        <w:contextualSpacing/>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cs="宋体" w:asciiTheme="minorEastAsia" w:hAnsiTheme="minorEastAsia"/>
          <w:color w:val="auto"/>
          <w:sz w:val="24"/>
          <w:highlight w:val="none"/>
          <w:u w:val="single"/>
          <w:lang w:val="zh-CN"/>
        </w:rPr>
        <w:t xml:space="preserve">  </w:t>
      </w:r>
      <w:r>
        <w:rPr>
          <w:rFonts w:hint="eastAsia" w:ascii="宋体" w:hAnsi="宋体" w:cs="宋体"/>
          <w:color w:val="auto"/>
          <w:sz w:val="24"/>
          <w:highlight w:val="none"/>
          <w:u w:val="single"/>
          <w:lang w:val="zh-CN"/>
        </w:rPr>
        <w:t xml:space="preserve"> </w:t>
      </w:r>
      <w:r>
        <w:rPr>
          <w:rFonts w:hint="eastAsia" w:cs="宋体" w:asciiTheme="minorEastAsia" w:hAnsiTheme="minorEastAsia"/>
          <w:color w:val="auto"/>
          <w:sz w:val="24"/>
          <w:highlight w:val="none"/>
          <w:u w:val="single"/>
          <w:lang w:val="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zh-CN"/>
        </w:rPr>
        <w:t>（采购人名称）</w:t>
      </w:r>
      <w:r>
        <w:rPr>
          <w:rFonts w:ascii="宋体" w:hAnsi="宋体" w:cs="宋体"/>
          <w:color w:val="auto"/>
          <w:sz w:val="24"/>
          <w:highlight w:val="none"/>
          <w:lang w:val="zh-CN"/>
        </w:rPr>
        <w:t>：</w:t>
      </w:r>
    </w:p>
    <w:p>
      <w:pPr>
        <w:spacing w:beforeLines="50" w:afterLines="50" w:line="360" w:lineRule="auto"/>
        <w:ind w:firstLine="480" w:firstLineChars="200"/>
        <w:contextualSpacing/>
        <w:rPr>
          <w:rFonts w:cs="宋体" w:asciiTheme="minorEastAsia" w:hAnsiTheme="minorEastAsia"/>
          <w:color w:val="auto"/>
          <w:sz w:val="24"/>
          <w:highlight w:val="none"/>
          <w:lang w:val="zh-CN"/>
        </w:rPr>
      </w:pPr>
      <w:r>
        <w:rPr>
          <w:rFonts w:ascii="宋体" w:hAnsi="宋体" w:cs="宋体"/>
          <w:color w:val="auto"/>
          <w:sz w:val="24"/>
          <w:highlight w:val="none"/>
          <w:lang w:val="zh-CN"/>
        </w:rPr>
        <w:t>经研究，我</w:t>
      </w:r>
      <w:r>
        <w:rPr>
          <w:rFonts w:hint="eastAsia" w:cs="宋体" w:asciiTheme="minorEastAsia" w:hAnsiTheme="minorEastAsia"/>
          <w:color w:val="auto"/>
          <w:sz w:val="24"/>
          <w:highlight w:val="none"/>
          <w:lang w:val="zh-CN"/>
        </w:rPr>
        <w:t>方自愿参与贵方</w:t>
      </w:r>
      <w:r>
        <w:rPr>
          <w:rFonts w:hint="eastAsia" w:ascii="宋体" w:hAnsi="宋体" w:cs="宋体"/>
          <w:color w:val="auto"/>
          <w:sz w:val="24"/>
          <w:highlight w:val="none"/>
          <w:u w:val="single"/>
          <w:lang w:val="zh-CN"/>
        </w:rPr>
        <w:t xml:space="preserve"> </w:t>
      </w:r>
      <w:r>
        <w:rPr>
          <w:rFonts w:hint="eastAsia" w:cs="宋体" w:asciiTheme="minorEastAsia" w:hAnsiTheme="minorEastAsia"/>
          <w:color w:val="auto"/>
          <w:sz w:val="24"/>
          <w:highlight w:val="none"/>
          <w:u w:val="single"/>
          <w:lang w:val="zh-CN"/>
        </w:rPr>
        <w:t xml:space="preserve">  </w:t>
      </w:r>
      <w:r>
        <w:rPr>
          <w:rFonts w:hint="eastAsia" w:ascii="宋体" w:hAnsi="宋体" w:cs="宋体"/>
          <w:color w:val="auto"/>
          <w:sz w:val="24"/>
          <w:highlight w:val="none"/>
          <w:u w:val="single"/>
          <w:lang w:val="zh-CN"/>
        </w:rPr>
        <w:t xml:space="preserve"> </w:t>
      </w:r>
      <w:r>
        <w:rPr>
          <w:rFonts w:hint="eastAsia" w:cs="宋体" w:asciiTheme="minorEastAsia" w:hAnsiTheme="minorEastAsia"/>
          <w:color w:val="auto"/>
          <w:sz w:val="24"/>
          <w:highlight w:val="none"/>
          <w:u w:val="single"/>
          <w:lang w:val="zh-CN"/>
        </w:rPr>
        <w:t xml:space="preserve">  </w:t>
      </w:r>
      <w:r>
        <w:rPr>
          <w:rFonts w:hint="eastAsia" w:ascii="宋体" w:hAnsi="宋体" w:cs="宋体"/>
          <w:color w:val="auto"/>
          <w:sz w:val="24"/>
          <w:highlight w:val="none"/>
          <w:u w:val="single"/>
          <w:lang w:val="zh-CN"/>
        </w:rPr>
        <w:t xml:space="preserve"> </w:t>
      </w:r>
      <w:r>
        <w:rPr>
          <w:rFonts w:ascii="宋体" w:hAnsi="宋体" w:cs="宋体"/>
          <w:color w:val="auto"/>
          <w:sz w:val="24"/>
          <w:highlight w:val="none"/>
          <w:lang w:val="zh-CN"/>
        </w:rPr>
        <w:t>年____月</w:t>
      </w:r>
      <w:r>
        <w:rPr>
          <w:rFonts w:hint="eastAsia" w:cs="宋体" w:asciiTheme="minorEastAsia" w:hAnsiTheme="minorEastAsia"/>
          <w:color w:val="auto"/>
          <w:sz w:val="24"/>
          <w:highlight w:val="none"/>
          <w:u w:val="single"/>
          <w:lang w:val="zh-CN"/>
        </w:rPr>
        <w:t xml:space="preserve">    </w:t>
      </w:r>
      <w:r>
        <w:rPr>
          <w:rFonts w:hint="eastAsia" w:cs="宋体" w:asciiTheme="minorEastAsia" w:hAnsiTheme="minorEastAsia"/>
          <w:color w:val="auto"/>
          <w:sz w:val="24"/>
          <w:highlight w:val="none"/>
          <w:lang w:val="zh-CN"/>
        </w:rPr>
        <w:t xml:space="preserve"> </w:t>
      </w:r>
      <w:r>
        <w:rPr>
          <w:rFonts w:ascii="宋体" w:hAnsi="宋体" w:cs="宋体"/>
          <w:color w:val="auto"/>
          <w:sz w:val="24"/>
          <w:highlight w:val="none"/>
          <w:lang w:val="zh-CN"/>
        </w:rPr>
        <w:t>日</w:t>
      </w:r>
      <w:r>
        <w:rPr>
          <w:rFonts w:hint="eastAsia" w:cs="宋体" w:asciiTheme="minorEastAsia" w:hAnsiTheme="minorEastAsia"/>
          <w:color w:val="auto"/>
          <w:sz w:val="24"/>
          <w:highlight w:val="none"/>
          <w:lang w:val="zh-CN"/>
        </w:rPr>
        <w:t xml:space="preserve"> </w:t>
      </w:r>
      <w:r>
        <w:rPr>
          <w:rFonts w:hint="eastAsia" w:cs="宋体" w:asciiTheme="minorEastAsia" w:hAnsiTheme="minorEastAsia"/>
          <w:color w:val="auto"/>
          <w:sz w:val="24"/>
          <w:highlight w:val="none"/>
          <w:u w:val="single"/>
          <w:lang w:val="zh-CN"/>
        </w:rPr>
        <w:t xml:space="preserve">                    </w:t>
      </w:r>
      <w:r>
        <w:rPr>
          <w:rFonts w:hint="eastAsia" w:cs="宋体" w:asciiTheme="minorEastAsia" w:hAnsiTheme="minorEastAsia"/>
          <w:color w:val="auto"/>
          <w:sz w:val="24"/>
          <w:highlight w:val="none"/>
          <w:lang w:val="zh-CN"/>
        </w:rPr>
        <w:t>（招标编号、项目名称）的</w:t>
      </w:r>
      <w:r>
        <w:rPr>
          <w:rFonts w:ascii="宋体" w:hAnsi="宋体" w:cs="宋体"/>
          <w:color w:val="auto"/>
          <w:sz w:val="24"/>
          <w:highlight w:val="none"/>
          <w:lang w:val="zh-CN"/>
        </w:rPr>
        <w:t>投标，</w:t>
      </w:r>
      <w:r>
        <w:rPr>
          <w:rFonts w:hint="eastAsia" w:cs="宋体" w:asciiTheme="minorEastAsia" w:hAnsiTheme="minorEastAsia"/>
          <w:color w:val="auto"/>
          <w:sz w:val="24"/>
          <w:highlight w:val="none"/>
          <w:lang w:val="zh-CN"/>
        </w:rPr>
        <w:t>将</w:t>
      </w:r>
      <w:r>
        <w:rPr>
          <w:rFonts w:ascii="宋体" w:hAnsi="宋体" w:cs="宋体"/>
          <w:color w:val="auto"/>
          <w:sz w:val="24"/>
          <w:highlight w:val="none"/>
          <w:lang w:val="zh-CN"/>
        </w:rPr>
        <w:t>严格</w:t>
      </w:r>
      <w:r>
        <w:rPr>
          <w:rFonts w:hint="eastAsia" w:cs="宋体" w:asciiTheme="minorEastAsia" w:hAnsiTheme="minorEastAsia"/>
          <w:color w:val="auto"/>
          <w:sz w:val="24"/>
          <w:highlight w:val="none"/>
          <w:lang w:val="zh-CN"/>
        </w:rPr>
        <w:t>遵守</w:t>
      </w:r>
      <w:r>
        <w:rPr>
          <w:rFonts w:ascii="宋体" w:hAnsi="宋体" w:cs="宋体"/>
          <w:color w:val="auto"/>
          <w:sz w:val="24"/>
          <w:highlight w:val="none"/>
          <w:lang w:val="zh-CN"/>
        </w:rPr>
        <w:t>《</w:t>
      </w:r>
      <w:r>
        <w:rPr>
          <w:rFonts w:hint="eastAsia" w:cs="宋体" w:asciiTheme="minorEastAsia" w:hAnsiTheme="minorEastAsia"/>
          <w:color w:val="auto"/>
          <w:sz w:val="24"/>
          <w:highlight w:val="none"/>
          <w:lang w:val="zh-CN"/>
        </w:rPr>
        <w:t>中华人民共和国政府采购</w:t>
      </w:r>
      <w:r>
        <w:rPr>
          <w:rFonts w:ascii="宋体" w:hAnsi="宋体" w:cs="宋体"/>
          <w:color w:val="auto"/>
          <w:sz w:val="24"/>
          <w:highlight w:val="none"/>
          <w:lang w:val="zh-CN"/>
        </w:rPr>
        <w:t>法》等</w:t>
      </w:r>
      <w:r>
        <w:rPr>
          <w:rFonts w:hint="eastAsia" w:cs="宋体" w:asciiTheme="minorEastAsia" w:hAnsiTheme="minorEastAsia"/>
          <w:color w:val="auto"/>
          <w:sz w:val="24"/>
          <w:highlight w:val="none"/>
          <w:lang w:val="zh-CN"/>
        </w:rPr>
        <w:t>相关</w:t>
      </w:r>
      <w:r>
        <w:rPr>
          <w:rFonts w:ascii="宋体" w:hAnsi="宋体" w:cs="宋体"/>
          <w:color w:val="auto"/>
          <w:sz w:val="24"/>
          <w:highlight w:val="none"/>
          <w:lang w:val="zh-CN"/>
        </w:rPr>
        <w:t>法律法规</w:t>
      </w:r>
      <w:r>
        <w:rPr>
          <w:rFonts w:hint="eastAsia" w:cs="宋体" w:asciiTheme="minorEastAsia" w:hAnsiTheme="minorEastAsia"/>
          <w:color w:val="auto"/>
          <w:sz w:val="24"/>
          <w:highlight w:val="none"/>
          <w:lang w:val="zh-CN"/>
        </w:rPr>
        <w:t>规定</w:t>
      </w:r>
      <w:r>
        <w:rPr>
          <w:rFonts w:cs="宋体" w:asciiTheme="minorEastAsia" w:hAnsiTheme="minorEastAsia"/>
          <w:color w:val="auto"/>
          <w:sz w:val="24"/>
          <w:highlight w:val="none"/>
          <w:lang w:val="zh-CN"/>
        </w:rPr>
        <w:t>，并无条件地遵守本次采购活动各项规定。我们郑重承诺：</w:t>
      </w:r>
      <w:r>
        <w:rPr>
          <w:rFonts w:hint="eastAsia" w:cs="宋体" w:asciiTheme="minorEastAsia" w:hAnsiTheme="minorEastAsia"/>
          <w:color w:val="auto"/>
          <w:sz w:val="24"/>
          <w:highlight w:val="none"/>
          <w:lang w:val="zh-CN"/>
        </w:rPr>
        <w:t>我方</w:t>
      </w:r>
      <w:r>
        <w:rPr>
          <w:rFonts w:cs="宋体" w:asciiTheme="minorEastAsia" w:hAnsiTheme="minorEastAsia"/>
          <w:color w:val="auto"/>
          <w:sz w:val="24"/>
          <w:highlight w:val="none"/>
          <w:lang w:val="zh-CN"/>
        </w:rPr>
        <w:t>如果在本次</w:t>
      </w:r>
      <w:r>
        <w:rPr>
          <w:rFonts w:hint="eastAsia" w:cs="宋体" w:asciiTheme="minorEastAsia" w:hAnsiTheme="minorEastAsia"/>
          <w:color w:val="auto"/>
          <w:sz w:val="24"/>
          <w:highlight w:val="none"/>
          <w:lang w:val="zh-CN"/>
        </w:rPr>
        <w:t>投标</w:t>
      </w:r>
      <w:r>
        <w:rPr>
          <w:rFonts w:cs="宋体" w:asciiTheme="minorEastAsia" w:hAnsiTheme="minorEastAsia"/>
          <w:color w:val="auto"/>
          <w:sz w:val="24"/>
          <w:highlight w:val="none"/>
          <w:lang w:val="zh-CN"/>
        </w:rPr>
        <w:t>活动中有</w:t>
      </w:r>
      <w:r>
        <w:rPr>
          <w:rFonts w:hint="eastAsia" w:cs="宋体" w:asciiTheme="minorEastAsia" w:hAnsiTheme="minorEastAsia"/>
          <w:color w:val="auto"/>
          <w:sz w:val="24"/>
          <w:highlight w:val="none"/>
          <w:lang w:val="zh-CN"/>
        </w:rPr>
        <w:t>下列</w:t>
      </w:r>
      <w:r>
        <w:rPr>
          <w:rFonts w:cs="宋体" w:asciiTheme="minorEastAsia" w:hAnsiTheme="minorEastAsia"/>
          <w:color w:val="auto"/>
          <w:sz w:val="24"/>
          <w:highlight w:val="none"/>
          <w:lang w:val="zh-CN"/>
        </w:rPr>
        <w:t>情形</w:t>
      </w:r>
      <w:r>
        <w:rPr>
          <w:rFonts w:hint="eastAsia" w:cs="宋体" w:asciiTheme="minorEastAsia" w:hAnsiTheme="minorEastAsia"/>
          <w:color w:val="auto"/>
          <w:sz w:val="24"/>
          <w:highlight w:val="none"/>
          <w:lang w:val="zh-CN"/>
        </w:rPr>
        <w:t>之一</w:t>
      </w:r>
      <w:r>
        <w:rPr>
          <w:rFonts w:cs="宋体" w:asciiTheme="minorEastAsia" w:hAnsiTheme="minorEastAsia"/>
          <w:color w:val="auto"/>
          <w:sz w:val="24"/>
          <w:highlight w:val="none"/>
          <w:lang w:val="zh-CN"/>
        </w:rPr>
        <w:t>的，愿接受政府采购</w:t>
      </w:r>
      <w:r>
        <w:rPr>
          <w:rFonts w:hint="eastAsia" w:cs="宋体" w:asciiTheme="minorEastAsia" w:hAnsiTheme="minorEastAsia"/>
          <w:color w:val="auto"/>
          <w:sz w:val="24"/>
          <w:highlight w:val="none"/>
          <w:lang w:val="zh-CN"/>
        </w:rPr>
        <w:t>监督管理</w:t>
      </w:r>
      <w:r>
        <w:rPr>
          <w:rFonts w:cs="宋体" w:asciiTheme="minorEastAsia" w:hAnsiTheme="minorEastAsia"/>
          <w:color w:val="auto"/>
          <w:sz w:val="24"/>
          <w:highlight w:val="none"/>
          <w:lang w:val="zh-CN"/>
        </w:rPr>
        <w:t>部门给予相关处罚并</w:t>
      </w:r>
      <w:r>
        <w:rPr>
          <w:rFonts w:hint="eastAsia" w:cs="宋体" w:asciiTheme="minorEastAsia" w:hAnsiTheme="minorEastAsia"/>
          <w:color w:val="auto"/>
          <w:sz w:val="24"/>
          <w:highlight w:val="none"/>
          <w:lang w:val="zh-CN"/>
        </w:rPr>
        <w:t>承诺依法</w:t>
      </w:r>
      <w:r>
        <w:rPr>
          <w:rFonts w:cs="宋体" w:asciiTheme="minorEastAsia" w:hAnsiTheme="minorEastAsia"/>
          <w:color w:val="auto"/>
          <w:sz w:val="24"/>
          <w:highlight w:val="none"/>
          <w:lang w:val="zh-CN"/>
        </w:rPr>
        <w:t>承担</w:t>
      </w:r>
      <w:r>
        <w:rPr>
          <w:rFonts w:hint="eastAsia" w:cs="宋体" w:asciiTheme="minorEastAsia" w:hAnsiTheme="minorEastAsia"/>
          <w:color w:val="auto"/>
          <w:sz w:val="24"/>
          <w:highlight w:val="none"/>
          <w:lang w:val="zh-CN"/>
        </w:rPr>
        <w:t>相关的经济赔偿责任和</w:t>
      </w:r>
      <w:r>
        <w:rPr>
          <w:rFonts w:cs="宋体" w:asciiTheme="minorEastAsia" w:hAnsiTheme="minorEastAsia"/>
          <w:color w:val="auto"/>
          <w:sz w:val="24"/>
          <w:highlight w:val="none"/>
          <w:lang w:val="zh-CN"/>
        </w:rPr>
        <w:t>法律责任。</w:t>
      </w:r>
    </w:p>
    <w:p>
      <w:pPr>
        <w:spacing w:beforeLines="50" w:afterLines="50" w:line="360" w:lineRule="auto"/>
        <w:ind w:firstLine="480" w:firstLineChars="200"/>
        <w:contextualSpacing/>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一、在投标有效期内撤销投标文件；</w:t>
      </w:r>
    </w:p>
    <w:p>
      <w:pPr>
        <w:spacing w:beforeLines="50" w:afterLines="50" w:line="360" w:lineRule="auto"/>
        <w:ind w:firstLine="480" w:firstLineChars="200"/>
        <w:contextualSpacing/>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二、在投标文件中提供虚假材料；</w:t>
      </w:r>
    </w:p>
    <w:p>
      <w:pPr>
        <w:spacing w:beforeLines="50" w:afterLines="50" w:line="360" w:lineRule="auto"/>
        <w:ind w:firstLine="480" w:firstLineChars="200"/>
        <w:contextualSpacing/>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五、法律法规及本招标文件规定的其他严重违法行为。</w:t>
      </w:r>
    </w:p>
    <w:p>
      <w:pPr>
        <w:rPr>
          <w:color w:val="auto"/>
          <w:sz w:val="24"/>
          <w:highlight w:val="none"/>
          <w:u w:val="single"/>
        </w:rPr>
      </w:pPr>
    </w:p>
    <w:p>
      <w:pPr>
        <w:rPr>
          <w:color w:val="auto"/>
          <w:sz w:val="24"/>
          <w:highlight w:val="none"/>
          <w:u w:val="single"/>
        </w:rPr>
      </w:pPr>
    </w:p>
    <w:p>
      <w:pPr>
        <w:spacing w:line="480" w:lineRule="auto"/>
        <w:ind w:firstLine="4980" w:firstLineChars="2075"/>
        <w:rPr>
          <w:rFonts w:cs="Arial" w:asciiTheme="minorEastAsia" w:hAnsiTheme="minorEastAsia"/>
          <w:color w:val="auto"/>
          <w:sz w:val="24"/>
          <w:highlight w:val="none"/>
        </w:rPr>
      </w:pPr>
      <w:r>
        <w:rPr>
          <w:rFonts w:hint="eastAsia" w:cs="Arial" w:asciiTheme="minorEastAsia" w:hAnsiTheme="minorEastAsia"/>
          <w:color w:val="auto"/>
          <w:sz w:val="24"/>
          <w:highlight w:val="none"/>
        </w:rPr>
        <w:t>投标人名称（盖章）：　　　　　　　　　</w:t>
      </w:r>
    </w:p>
    <w:p>
      <w:pPr>
        <w:spacing w:line="480" w:lineRule="auto"/>
        <w:ind w:firstLine="4980" w:firstLineChars="2075"/>
        <w:rPr>
          <w:rFonts w:cs="Arial" w:asciiTheme="minorEastAsia" w:hAnsiTheme="minorEastAsia"/>
          <w:color w:val="auto"/>
          <w:sz w:val="24"/>
          <w:highlight w:val="none"/>
        </w:rPr>
      </w:pPr>
      <w:r>
        <w:rPr>
          <w:rFonts w:hint="eastAsia" w:cs="Arial" w:asciiTheme="minorEastAsia" w:hAnsiTheme="minorEastAsia"/>
          <w:color w:val="auto"/>
          <w:sz w:val="24"/>
          <w:highlight w:val="none"/>
        </w:rPr>
        <w:t>日　  期：      年    月    日</w:t>
      </w:r>
    </w:p>
    <w:p>
      <w:pPr>
        <w:widowControl/>
        <w:spacing w:before="100" w:beforeAutospacing="1" w:after="100" w:afterAutospacing="1" w:line="360" w:lineRule="auto"/>
        <w:rPr>
          <w:rFonts w:ascii="宋体" w:hAnsi="宋体"/>
          <w:b/>
          <w:bCs/>
          <w:color w:val="auto"/>
          <w:sz w:val="36"/>
          <w:szCs w:val="36"/>
          <w:highlight w:val="none"/>
        </w:rPr>
      </w:pPr>
    </w:p>
    <w:p>
      <w:pPr>
        <w:widowControl/>
        <w:spacing w:before="100" w:beforeAutospacing="1" w:after="100" w:afterAutospacing="1" w:line="360" w:lineRule="auto"/>
        <w:jc w:val="center"/>
        <w:rPr>
          <w:rFonts w:ascii="宋体" w:hAnsi="宋体"/>
          <w:b/>
          <w:bCs/>
          <w:color w:val="auto"/>
          <w:sz w:val="32"/>
          <w:szCs w:val="32"/>
          <w:highlight w:val="none"/>
        </w:rPr>
      </w:pPr>
    </w:p>
    <w:p>
      <w:pPr>
        <w:widowControl/>
        <w:spacing w:before="100" w:beforeAutospacing="1" w:after="100" w:afterAutospacing="1"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 xml:space="preserve">3.6 其他资格证书或材料 </w:t>
      </w: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四、符合性审查证明材料</w:t>
      </w: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r>
        <w:rPr>
          <w:rFonts w:hint="eastAsia" w:ascii="宋体" w:hAnsi="宋体"/>
          <w:b/>
          <w:bCs/>
          <w:color w:val="auto"/>
          <w:sz w:val="32"/>
          <w:szCs w:val="32"/>
          <w:highlight w:val="none"/>
        </w:rPr>
        <w:t>4.1 投标分项报价表</w:t>
      </w:r>
    </w:p>
    <w:p>
      <w:pPr>
        <w:spacing w:before="50" w:afterLines="50" w:line="360" w:lineRule="auto"/>
        <w:contextualSpacing/>
        <w:jc w:val="left"/>
        <w:rPr>
          <w:rFonts w:ascii="宋体" w:hAnsi="宋体"/>
          <w:color w:val="auto"/>
          <w:sz w:val="24"/>
          <w:highlight w:val="none"/>
        </w:rPr>
      </w:pPr>
      <w:r>
        <w:rPr>
          <w:rFonts w:hint="eastAsia" w:ascii="宋体" w:hAnsi="宋体"/>
          <w:color w:val="auto"/>
          <w:sz w:val="24"/>
          <w:highlight w:val="none"/>
        </w:rPr>
        <w:t>项目编号：</w:t>
      </w:r>
    </w:p>
    <w:p>
      <w:pPr>
        <w:autoSpaceDE w:val="0"/>
        <w:autoSpaceDN w:val="0"/>
        <w:adjustRightInd w:val="0"/>
        <w:spacing w:line="360" w:lineRule="auto"/>
        <w:outlineLvl w:val="0"/>
        <w:rPr>
          <w:rFonts w:hAnsi="宋体"/>
          <w:b/>
          <w:snapToGrid w:val="0"/>
          <w:color w:val="auto"/>
          <w:kern w:val="0"/>
          <w:sz w:val="36"/>
          <w:szCs w:val="36"/>
          <w:highlight w:val="none"/>
        </w:rPr>
      </w:pPr>
      <w:r>
        <w:rPr>
          <w:rFonts w:hint="eastAsia" w:ascii="宋体" w:hAnsi="宋体"/>
          <w:color w:val="auto"/>
          <w:sz w:val="24"/>
          <w:highlight w:val="none"/>
        </w:rPr>
        <w:t xml:space="preserve">项目名称：   </w:t>
      </w:r>
    </w:p>
    <w:tbl>
      <w:tblPr>
        <w:tblStyle w:val="28"/>
        <w:tblW w:w="9889" w:type="dxa"/>
        <w:tblInd w:w="0" w:type="dxa"/>
        <w:tblLayout w:type="fixed"/>
        <w:tblCellMar>
          <w:top w:w="0" w:type="dxa"/>
          <w:left w:w="108" w:type="dxa"/>
          <w:bottom w:w="0" w:type="dxa"/>
          <w:right w:w="108" w:type="dxa"/>
        </w:tblCellMar>
      </w:tblPr>
      <w:tblGrid>
        <w:gridCol w:w="534"/>
        <w:gridCol w:w="1134"/>
        <w:gridCol w:w="1500"/>
        <w:gridCol w:w="1260"/>
        <w:gridCol w:w="783"/>
        <w:gridCol w:w="851"/>
        <w:gridCol w:w="1066"/>
        <w:gridCol w:w="1080"/>
        <w:gridCol w:w="1681"/>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color w:val="auto"/>
                <w:sz w:val="24"/>
                <w:highlight w:val="none"/>
                <w:lang w:val="zh-CN"/>
              </w:rPr>
            </w:pPr>
            <w:r>
              <w:rPr>
                <w:rFonts w:hint="eastAsia" w:ascii="宋体" w:hAnsi="宋体" w:cs="宋体"/>
                <w:b/>
                <w:color w:val="auto"/>
                <w:sz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highlight w:val="none"/>
                <w:lang w:val="zh-CN"/>
              </w:rPr>
            </w:pPr>
            <w:r>
              <w:rPr>
                <w:rFonts w:hint="eastAsia" w:ascii="宋体" w:hAnsi="宋体" w:cs="宋体"/>
                <w:b/>
                <w:color w:val="auto"/>
                <w:sz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技术</w:t>
            </w:r>
          </w:p>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highlight w:val="none"/>
                <w:lang w:val="zh-CN"/>
              </w:rPr>
            </w:pPr>
            <w:r>
              <w:rPr>
                <w:rFonts w:hint="eastAsia" w:ascii="宋体" w:hAnsi="宋体" w:cs="宋体"/>
                <w:b/>
                <w:color w:val="auto"/>
                <w:sz w:val="24"/>
                <w:highlight w:val="none"/>
                <w:lang w:val="zh-CN"/>
              </w:rPr>
              <w:t>总价</w:t>
            </w:r>
          </w:p>
        </w:tc>
        <w:tc>
          <w:tcPr>
            <w:tcW w:w="168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color w:val="auto"/>
                <w:sz w:val="24"/>
                <w:highlight w:val="none"/>
                <w:lang w:val="zh-CN"/>
              </w:rPr>
            </w:pPr>
            <w:r>
              <w:rPr>
                <w:rFonts w:hint="eastAsia" w:ascii="宋体" w:hAnsi="宋体" w:cs="宋体"/>
                <w:b/>
                <w:color w:val="auto"/>
                <w:sz w:val="24"/>
                <w:highlight w:val="none"/>
                <w:lang w:val="zh-CN"/>
              </w:rPr>
              <w:t>产地及</w:t>
            </w:r>
          </w:p>
          <w:p>
            <w:pPr>
              <w:autoSpaceDE w:val="0"/>
              <w:autoSpaceDN w:val="0"/>
              <w:adjustRightInd w:val="0"/>
              <w:spacing w:line="360" w:lineRule="auto"/>
              <w:ind w:left="120" w:hanging="120"/>
              <w:jc w:val="center"/>
              <w:rPr>
                <w:rFonts w:ascii="宋体" w:hAnsi="宋体" w:cs="宋体"/>
                <w:b/>
                <w:color w:val="auto"/>
                <w:sz w:val="24"/>
                <w:highlight w:val="none"/>
                <w:lang w:val="zh-CN"/>
              </w:rPr>
            </w:pPr>
            <w:r>
              <w:rPr>
                <w:rFonts w:hint="eastAsia" w:ascii="宋体" w:hAnsi="宋体" w:cs="宋体"/>
                <w:b/>
                <w:color w:val="auto"/>
                <w:sz w:val="24"/>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olor w:val="auto"/>
                <w:sz w:val="24"/>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s="宋体"/>
                <w:color w:val="auto"/>
                <w:sz w:val="24"/>
                <w:highlight w:val="none"/>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color w:val="auto"/>
                <w:sz w:val="24"/>
                <w:highlight w:val="none"/>
                <w:lang w:val="zh-CN"/>
              </w:rPr>
            </w:pPr>
            <w:r>
              <w:rPr>
                <w:rFonts w:hint="eastAsia" w:ascii="宋体" w:hAnsi="宋体" w:cs="宋体"/>
                <w:color w:val="auto"/>
                <w:sz w:val="24"/>
                <w:highlight w:val="none"/>
                <w:lang w:val="zh-CN"/>
              </w:rPr>
              <w:t>大写：　　　　　　                    小写：</w:t>
            </w:r>
          </w:p>
        </w:tc>
      </w:tr>
    </w:tbl>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投标人（公章）：</w:t>
      </w:r>
    </w:p>
    <w:p>
      <w:pPr>
        <w:autoSpaceDE w:val="0"/>
        <w:autoSpaceDN w:val="0"/>
        <w:adjustRightInd w:val="0"/>
        <w:spacing w:line="480" w:lineRule="auto"/>
        <w:rPr>
          <w:rFonts w:ascii="宋体" w:hAnsi="宋体"/>
          <w:b/>
          <w:bCs/>
          <w:color w:val="auto"/>
          <w:sz w:val="36"/>
          <w:szCs w:val="36"/>
          <w:highlight w:val="none"/>
        </w:rPr>
      </w:pPr>
      <w:r>
        <w:rPr>
          <w:rFonts w:hint="eastAsia" w:ascii="宋体" w:hAnsi="宋体" w:cs="宋体"/>
          <w:color w:val="auto"/>
          <w:sz w:val="24"/>
          <w:highlight w:val="none"/>
          <w:lang w:val="zh-CN"/>
        </w:rPr>
        <w:t>投标人法定代表人（单位负责人）或授权代表签字：</w:t>
      </w:r>
    </w:p>
    <w:p>
      <w:pPr>
        <w:autoSpaceDE w:val="0"/>
        <w:autoSpaceDN w:val="0"/>
        <w:adjustRightInd w:val="0"/>
        <w:spacing w:line="360" w:lineRule="auto"/>
        <w:jc w:val="center"/>
        <w:outlineLvl w:val="0"/>
        <w:rPr>
          <w:rFonts w:ascii="宋体" w:hAnsi="宋体"/>
          <w:b/>
          <w:bCs/>
          <w:color w:val="auto"/>
          <w:sz w:val="36"/>
          <w:szCs w:val="36"/>
          <w:highlight w:val="none"/>
        </w:rPr>
      </w:pPr>
    </w:p>
    <w:p>
      <w:pPr>
        <w:autoSpaceDE w:val="0"/>
        <w:autoSpaceDN w:val="0"/>
        <w:adjustRightInd w:val="0"/>
        <w:spacing w:line="360" w:lineRule="auto"/>
        <w:jc w:val="center"/>
        <w:outlineLvl w:val="0"/>
        <w:rPr>
          <w:rFonts w:hAnsi="宋体"/>
          <w:b/>
          <w:snapToGrid w:val="0"/>
          <w:color w:val="auto"/>
          <w:kern w:val="0"/>
          <w:sz w:val="32"/>
          <w:szCs w:val="32"/>
          <w:highlight w:val="none"/>
        </w:rPr>
      </w:pPr>
      <w:r>
        <w:rPr>
          <w:rFonts w:hint="eastAsia" w:ascii="宋体" w:hAnsi="宋体"/>
          <w:b/>
          <w:bCs/>
          <w:color w:val="auto"/>
          <w:sz w:val="32"/>
          <w:szCs w:val="32"/>
          <w:highlight w:val="none"/>
        </w:rPr>
        <w:t xml:space="preserve">4.2 </w:t>
      </w:r>
      <w:r>
        <w:rPr>
          <w:rFonts w:hint="eastAsia" w:hAnsi="宋体"/>
          <w:b/>
          <w:snapToGrid w:val="0"/>
          <w:color w:val="auto"/>
          <w:kern w:val="0"/>
          <w:sz w:val="32"/>
          <w:szCs w:val="32"/>
          <w:highlight w:val="none"/>
        </w:rPr>
        <w:t>技术规格偏离表</w:t>
      </w:r>
    </w:p>
    <w:p>
      <w:pPr>
        <w:spacing w:before="50" w:afterLines="50" w:line="360" w:lineRule="auto"/>
        <w:contextualSpacing/>
        <w:jc w:val="left"/>
        <w:rPr>
          <w:rFonts w:ascii="宋体" w:hAnsi="宋体"/>
          <w:color w:val="auto"/>
          <w:sz w:val="24"/>
          <w:highlight w:val="none"/>
        </w:rPr>
      </w:pPr>
      <w:r>
        <w:rPr>
          <w:rFonts w:hint="eastAsia" w:ascii="宋体" w:hAnsi="宋体"/>
          <w:color w:val="auto"/>
          <w:sz w:val="24"/>
          <w:highlight w:val="none"/>
        </w:rPr>
        <w:t>项目编号：</w:t>
      </w:r>
    </w:p>
    <w:p>
      <w:pPr>
        <w:autoSpaceDE w:val="0"/>
        <w:autoSpaceDN w:val="0"/>
        <w:adjustRightInd w:val="0"/>
        <w:spacing w:line="360" w:lineRule="auto"/>
        <w:outlineLvl w:val="0"/>
        <w:rPr>
          <w:rFonts w:hAnsi="宋体"/>
          <w:b/>
          <w:snapToGrid w:val="0"/>
          <w:color w:val="auto"/>
          <w:kern w:val="0"/>
          <w:sz w:val="36"/>
          <w:szCs w:val="36"/>
          <w:highlight w:val="none"/>
        </w:rPr>
      </w:pPr>
      <w:r>
        <w:rPr>
          <w:rFonts w:hint="eastAsia" w:ascii="宋体" w:hAnsi="宋体"/>
          <w:color w:val="auto"/>
          <w:sz w:val="24"/>
          <w:highlight w:val="none"/>
        </w:rPr>
        <w:t xml:space="preserve">项目名称：   </w:t>
      </w:r>
    </w:p>
    <w:tbl>
      <w:tblPr>
        <w:tblStyle w:val="28"/>
        <w:tblW w:w="10031" w:type="dxa"/>
        <w:tblInd w:w="0" w:type="dxa"/>
        <w:tblLayout w:type="fixed"/>
        <w:tblCellMar>
          <w:top w:w="0" w:type="dxa"/>
          <w:left w:w="108" w:type="dxa"/>
          <w:bottom w:w="0" w:type="dxa"/>
          <w:right w:w="108" w:type="dxa"/>
        </w:tblCellMar>
      </w:tblPr>
      <w:tblGrid>
        <w:gridCol w:w="828"/>
        <w:gridCol w:w="1980"/>
        <w:gridCol w:w="1411"/>
        <w:gridCol w:w="1701"/>
        <w:gridCol w:w="1276"/>
        <w:gridCol w:w="1559"/>
        <w:gridCol w:w="1276"/>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11"/>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11"/>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11"/>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11"/>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11"/>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11"/>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11"/>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11"/>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p>
            <w:pPr>
              <w:rPr>
                <w:color w:val="auto"/>
                <w:highlight w:val="none"/>
              </w:rPr>
            </w:pPr>
            <w:r>
              <w:rPr>
                <w:rFonts w:hint="eastAsia" w:ascii="宋体" w:hAnsi="宋体" w:cs="宋体"/>
                <w:b/>
                <w:bCs/>
                <w:color w:val="auto"/>
                <w:szCs w:val="21"/>
                <w:highlight w:val="none"/>
              </w:rPr>
              <w:t>（无偏离/正偏离/负偏离）</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11"/>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偏离内容说明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highlight w:val="none"/>
              </w:rPr>
            </w:pPr>
            <w:r>
              <w:rPr>
                <w:rFonts w:hint="eastAsia" w:ascii="宋体" w:hAnsi="宋体"/>
                <w:bCs/>
                <w:color w:val="auto"/>
                <w:sz w:val="24"/>
                <w:highlight w:val="none"/>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highlight w:val="none"/>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highlight w:val="none"/>
              </w:rPr>
            </w:pPr>
            <w:r>
              <w:rPr>
                <w:rFonts w:hint="eastAsia" w:ascii="宋体" w:hAnsi="宋体"/>
                <w:color w:val="auto"/>
                <w:sz w:val="24"/>
                <w:highlight w:val="none"/>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highlight w:val="none"/>
              </w:rPr>
            </w:pPr>
          </w:p>
        </w:tc>
      </w:tr>
    </w:tbl>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投标人（公章）：</w:t>
      </w:r>
    </w:p>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投标人法定代表人（单位负责人）或授权代表签字：</w:t>
      </w:r>
    </w:p>
    <w:p>
      <w:pPr>
        <w:autoSpaceDE w:val="0"/>
        <w:autoSpaceDN w:val="0"/>
        <w:adjustRightInd w:val="0"/>
        <w:spacing w:line="360" w:lineRule="auto"/>
        <w:rPr>
          <w:rFonts w:ascii="宋体" w:hAnsi="宋体"/>
          <w:b/>
          <w:bCs/>
          <w:color w:val="auto"/>
          <w:sz w:val="36"/>
          <w:szCs w:val="36"/>
          <w:highlight w:val="none"/>
        </w:rPr>
      </w:pPr>
    </w:p>
    <w:p>
      <w:pPr>
        <w:autoSpaceDE w:val="0"/>
        <w:autoSpaceDN w:val="0"/>
        <w:adjustRightInd w:val="0"/>
        <w:spacing w:line="360" w:lineRule="auto"/>
        <w:jc w:val="center"/>
        <w:rPr>
          <w:rFonts w:ascii="宋体" w:hAnsi="宋体"/>
          <w:b/>
          <w:bCs/>
          <w:color w:val="auto"/>
          <w:sz w:val="32"/>
          <w:szCs w:val="32"/>
          <w:highlight w:val="none"/>
        </w:rPr>
      </w:pPr>
    </w:p>
    <w:p>
      <w:pPr>
        <w:autoSpaceDE w:val="0"/>
        <w:autoSpaceDN w:val="0"/>
        <w:adjustRightInd w:val="0"/>
        <w:spacing w:line="360" w:lineRule="auto"/>
        <w:jc w:val="center"/>
        <w:rPr>
          <w:rFonts w:ascii="宋体" w:hAnsi="宋体" w:cs="黑体"/>
          <w:b/>
          <w:bCs/>
          <w:color w:val="auto"/>
          <w:sz w:val="32"/>
          <w:szCs w:val="32"/>
          <w:highlight w:val="none"/>
          <w:lang w:val="zh-CN"/>
        </w:rPr>
      </w:pPr>
      <w:r>
        <w:rPr>
          <w:rFonts w:hint="eastAsia" w:ascii="宋体" w:hAnsi="宋体"/>
          <w:b/>
          <w:bCs/>
          <w:color w:val="auto"/>
          <w:sz w:val="32"/>
          <w:szCs w:val="32"/>
          <w:highlight w:val="none"/>
        </w:rPr>
        <w:t xml:space="preserve">4.3 </w:t>
      </w:r>
      <w:r>
        <w:rPr>
          <w:rFonts w:hint="eastAsia" w:hAnsi="宋体"/>
          <w:b/>
          <w:snapToGrid w:val="0"/>
          <w:color w:val="auto"/>
          <w:kern w:val="0"/>
          <w:sz w:val="32"/>
          <w:szCs w:val="32"/>
          <w:highlight w:val="none"/>
        </w:rPr>
        <w:t>技术方案（实施方案）</w:t>
      </w:r>
    </w:p>
    <w:p>
      <w:pPr>
        <w:snapToGrid w:val="0"/>
        <w:spacing w:line="360" w:lineRule="auto"/>
        <w:jc w:val="center"/>
        <w:rPr>
          <w:rFonts w:hAnsi="宋体"/>
          <w:b/>
          <w:snapToGrid w:val="0"/>
          <w:color w:val="auto"/>
          <w:kern w:val="0"/>
          <w:sz w:val="36"/>
          <w:szCs w:val="36"/>
          <w:highlight w:val="none"/>
        </w:rPr>
      </w:pP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（投标人根据招标文件要求自行编制）</w:t>
      </w:r>
    </w:p>
    <w:p>
      <w:pPr>
        <w:snapToGrid w:val="0"/>
        <w:spacing w:line="360" w:lineRule="auto"/>
        <w:jc w:val="center"/>
        <w:rPr>
          <w:rFonts w:hAnsi="宋体"/>
          <w:b/>
          <w:snapToGrid w:val="0"/>
          <w:color w:val="auto"/>
          <w:kern w:val="0"/>
          <w:sz w:val="36"/>
          <w:szCs w:val="36"/>
          <w:highlight w:val="none"/>
        </w:rPr>
      </w:pPr>
    </w:p>
    <w:p>
      <w:pPr>
        <w:snapToGrid w:val="0"/>
        <w:spacing w:line="360" w:lineRule="auto"/>
        <w:jc w:val="center"/>
        <w:rPr>
          <w:rFonts w:ascii="宋体" w:hAnsi="宋体"/>
          <w:b/>
          <w:bCs/>
          <w:color w:val="auto"/>
          <w:sz w:val="36"/>
          <w:szCs w:val="36"/>
          <w:highlight w:val="none"/>
        </w:rPr>
      </w:pPr>
    </w:p>
    <w:p>
      <w:pPr>
        <w:autoSpaceDE w:val="0"/>
        <w:autoSpaceDN w:val="0"/>
        <w:adjustRightInd w:val="0"/>
        <w:spacing w:line="360" w:lineRule="auto"/>
        <w:jc w:val="center"/>
        <w:rPr>
          <w:rFonts w:ascii="宋体" w:hAnsi="宋体"/>
          <w:b/>
          <w:bCs/>
          <w:color w:val="auto"/>
          <w:sz w:val="32"/>
          <w:szCs w:val="32"/>
          <w:highlight w:val="none"/>
        </w:rPr>
      </w:pPr>
    </w:p>
    <w:p>
      <w:pPr>
        <w:autoSpaceDE w:val="0"/>
        <w:autoSpaceDN w:val="0"/>
        <w:adjustRightInd w:val="0"/>
        <w:spacing w:line="360" w:lineRule="auto"/>
        <w:jc w:val="center"/>
        <w:rPr>
          <w:rFonts w:ascii="宋体" w:hAnsi="宋体"/>
          <w:b/>
          <w:bCs/>
          <w:color w:val="auto"/>
          <w:sz w:val="32"/>
          <w:szCs w:val="32"/>
          <w:highlight w:val="none"/>
        </w:rPr>
      </w:pPr>
    </w:p>
    <w:p>
      <w:pPr>
        <w:autoSpaceDE w:val="0"/>
        <w:autoSpaceDN w:val="0"/>
        <w:adjustRightIn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4.4 业绩情况表</w:t>
      </w:r>
    </w:p>
    <w:p>
      <w:pPr>
        <w:spacing w:before="50" w:afterLines="50" w:line="360" w:lineRule="auto"/>
        <w:contextualSpacing/>
        <w:jc w:val="left"/>
        <w:rPr>
          <w:rFonts w:ascii="宋体" w:hAnsi="宋体"/>
          <w:color w:val="auto"/>
          <w:sz w:val="24"/>
          <w:highlight w:val="none"/>
        </w:rPr>
      </w:pPr>
      <w:r>
        <w:rPr>
          <w:rFonts w:hint="eastAsia" w:ascii="宋体" w:hAnsi="宋体"/>
          <w:color w:val="auto"/>
          <w:sz w:val="24"/>
          <w:highlight w:val="none"/>
        </w:rPr>
        <w:t>项目编号：</w:t>
      </w:r>
    </w:p>
    <w:p>
      <w:pPr>
        <w:snapToGrid w:val="0"/>
        <w:spacing w:line="360" w:lineRule="auto"/>
        <w:rPr>
          <w:rFonts w:hAnsi="宋体"/>
          <w:b/>
          <w:snapToGrid w:val="0"/>
          <w:color w:val="auto"/>
          <w:kern w:val="0"/>
          <w:sz w:val="36"/>
          <w:szCs w:val="36"/>
          <w:highlight w:val="none"/>
        </w:rPr>
      </w:pPr>
      <w:r>
        <w:rPr>
          <w:rFonts w:hint="eastAsia" w:ascii="宋体" w:hAnsi="宋体"/>
          <w:color w:val="auto"/>
          <w:sz w:val="24"/>
          <w:highlight w:val="none"/>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11"/>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11"/>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11"/>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706" w:type="dxa"/>
            <w:shd w:val="clear" w:color="auto" w:fill="F3F3F3"/>
            <w:vAlign w:val="center"/>
          </w:tcPr>
          <w:p>
            <w:pPr>
              <w:pStyle w:val="11"/>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vAlign w:val="center"/>
          </w:tcPr>
          <w:p>
            <w:pPr>
              <w:pStyle w:val="11"/>
              <w:spacing w:line="360" w:lineRule="auto"/>
              <w:rPr>
                <w:rFonts w:ascii="宋体" w:hAnsi="宋体" w:eastAsia="宋体" w:cs="Times New Roman"/>
                <w:color w:val="auto"/>
                <w:sz w:val="24"/>
                <w:szCs w:val="24"/>
                <w:highlight w:val="none"/>
              </w:rPr>
            </w:pPr>
          </w:p>
        </w:tc>
        <w:tc>
          <w:tcPr>
            <w:tcW w:w="3579" w:type="dxa"/>
            <w:vAlign w:val="center"/>
          </w:tcPr>
          <w:p>
            <w:pPr>
              <w:pStyle w:val="11"/>
              <w:spacing w:line="360" w:lineRule="auto"/>
              <w:rPr>
                <w:rFonts w:ascii="宋体" w:hAnsi="宋体" w:eastAsia="宋体" w:cs="Times New Roman"/>
                <w:color w:val="auto"/>
                <w:sz w:val="24"/>
                <w:szCs w:val="24"/>
                <w:highlight w:val="none"/>
              </w:rPr>
            </w:pPr>
          </w:p>
        </w:tc>
        <w:tc>
          <w:tcPr>
            <w:tcW w:w="1440" w:type="dxa"/>
            <w:vAlign w:val="center"/>
          </w:tcPr>
          <w:p>
            <w:pPr>
              <w:pStyle w:val="11"/>
              <w:spacing w:line="360" w:lineRule="auto"/>
              <w:rPr>
                <w:rFonts w:ascii="宋体" w:hAnsi="宋体" w:eastAsia="宋体" w:cs="Times New Roman"/>
                <w:color w:val="auto"/>
                <w:sz w:val="24"/>
                <w:szCs w:val="24"/>
                <w:highlight w:val="none"/>
              </w:rPr>
            </w:pPr>
          </w:p>
        </w:tc>
        <w:tc>
          <w:tcPr>
            <w:tcW w:w="1706" w:type="dxa"/>
            <w:vAlign w:val="center"/>
          </w:tcPr>
          <w:p>
            <w:pPr>
              <w:pStyle w:val="11"/>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vAlign w:val="center"/>
          </w:tcPr>
          <w:p>
            <w:pPr>
              <w:pStyle w:val="11"/>
              <w:spacing w:line="360" w:lineRule="auto"/>
              <w:rPr>
                <w:rFonts w:ascii="宋体" w:hAnsi="宋体" w:eastAsia="宋体" w:cs="Times New Roman"/>
                <w:color w:val="auto"/>
                <w:sz w:val="24"/>
                <w:szCs w:val="24"/>
                <w:highlight w:val="none"/>
              </w:rPr>
            </w:pPr>
          </w:p>
        </w:tc>
        <w:tc>
          <w:tcPr>
            <w:tcW w:w="3579" w:type="dxa"/>
            <w:vAlign w:val="center"/>
          </w:tcPr>
          <w:p>
            <w:pPr>
              <w:pStyle w:val="11"/>
              <w:spacing w:line="360" w:lineRule="auto"/>
              <w:rPr>
                <w:rFonts w:ascii="宋体" w:hAnsi="宋体" w:eastAsia="宋体" w:cs="Times New Roman"/>
                <w:color w:val="auto"/>
                <w:sz w:val="24"/>
                <w:szCs w:val="24"/>
                <w:highlight w:val="none"/>
              </w:rPr>
            </w:pPr>
          </w:p>
        </w:tc>
        <w:tc>
          <w:tcPr>
            <w:tcW w:w="1440" w:type="dxa"/>
            <w:vAlign w:val="center"/>
          </w:tcPr>
          <w:p>
            <w:pPr>
              <w:pStyle w:val="11"/>
              <w:spacing w:line="360" w:lineRule="auto"/>
              <w:rPr>
                <w:rFonts w:ascii="宋体" w:hAnsi="宋体" w:eastAsia="宋体" w:cs="Times New Roman"/>
                <w:color w:val="auto"/>
                <w:sz w:val="24"/>
                <w:szCs w:val="24"/>
                <w:highlight w:val="none"/>
              </w:rPr>
            </w:pPr>
          </w:p>
        </w:tc>
        <w:tc>
          <w:tcPr>
            <w:tcW w:w="1706" w:type="dxa"/>
            <w:vAlign w:val="center"/>
          </w:tcPr>
          <w:p>
            <w:pPr>
              <w:pStyle w:val="11"/>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vAlign w:val="center"/>
          </w:tcPr>
          <w:p>
            <w:pPr>
              <w:pStyle w:val="11"/>
              <w:spacing w:line="360" w:lineRule="auto"/>
              <w:rPr>
                <w:rFonts w:ascii="宋体" w:hAnsi="宋体" w:eastAsia="宋体" w:cs="Times New Roman"/>
                <w:color w:val="auto"/>
                <w:sz w:val="24"/>
                <w:szCs w:val="24"/>
                <w:highlight w:val="none"/>
              </w:rPr>
            </w:pPr>
          </w:p>
        </w:tc>
        <w:tc>
          <w:tcPr>
            <w:tcW w:w="3579" w:type="dxa"/>
            <w:vAlign w:val="center"/>
          </w:tcPr>
          <w:p>
            <w:pPr>
              <w:pStyle w:val="11"/>
              <w:spacing w:line="360" w:lineRule="auto"/>
              <w:rPr>
                <w:rFonts w:ascii="宋体" w:hAnsi="宋体" w:eastAsia="宋体" w:cs="Times New Roman"/>
                <w:color w:val="auto"/>
                <w:sz w:val="24"/>
                <w:szCs w:val="24"/>
                <w:highlight w:val="none"/>
              </w:rPr>
            </w:pPr>
          </w:p>
        </w:tc>
        <w:tc>
          <w:tcPr>
            <w:tcW w:w="1440" w:type="dxa"/>
            <w:vAlign w:val="center"/>
          </w:tcPr>
          <w:p>
            <w:pPr>
              <w:pStyle w:val="11"/>
              <w:spacing w:line="360" w:lineRule="auto"/>
              <w:rPr>
                <w:rFonts w:ascii="宋体" w:hAnsi="宋体" w:eastAsia="宋体" w:cs="Times New Roman"/>
                <w:color w:val="auto"/>
                <w:sz w:val="24"/>
                <w:szCs w:val="24"/>
                <w:highlight w:val="none"/>
              </w:rPr>
            </w:pPr>
          </w:p>
        </w:tc>
        <w:tc>
          <w:tcPr>
            <w:tcW w:w="1706" w:type="dxa"/>
            <w:vAlign w:val="center"/>
          </w:tcPr>
          <w:p>
            <w:pPr>
              <w:pStyle w:val="11"/>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vAlign w:val="center"/>
          </w:tcPr>
          <w:p>
            <w:pPr>
              <w:rPr>
                <w:rFonts w:ascii="宋体"/>
                <w:color w:val="auto"/>
                <w:highlight w:val="none"/>
              </w:rPr>
            </w:pPr>
          </w:p>
        </w:tc>
        <w:tc>
          <w:tcPr>
            <w:tcW w:w="3579" w:type="dxa"/>
            <w:vAlign w:val="center"/>
          </w:tcPr>
          <w:p>
            <w:pPr>
              <w:rPr>
                <w:rFonts w:ascii="宋体"/>
                <w:color w:val="auto"/>
                <w:highlight w:val="none"/>
              </w:rPr>
            </w:pPr>
          </w:p>
        </w:tc>
        <w:tc>
          <w:tcPr>
            <w:tcW w:w="1440" w:type="dxa"/>
            <w:vAlign w:val="center"/>
          </w:tcPr>
          <w:p>
            <w:pPr>
              <w:rPr>
                <w:rFonts w:ascii="宋体"/>
                <w:color w:val="auto"/>
                <w:highlight w:val="none"/>
              </w:rPr>
            </w:pPr>
          </w:p>
        </w:tc>
        <w:tc>
          <w:tcPr>
            <w:tcW w:w="1706" w:type="dxa"/>
            <w:vAlign w:val="center"/>
          </w:tcPr>
          <w:p>
            <w:pP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ascii="宋体"/>
                <w:color w:val="auto"/>
                <w:highlight w:val="none"/>
              </w:rPr>
            </w:pPr>
          </w:p>
        </w:tc>
        <w:tc>
          <w:tcPr>
            <w:tcW w:w="3579" w:type="dxa"/>
            <w:vAlign w:val="center"/>
          </w:tcPr>
          <w:p>
            <w:pPr>
              <w:rPr>
                <w:rFonts w:ascii="宋体"/>
                <w:color w:val="auto"/>
                <w:highlight w:val="none"/>
              </w:rPr>
            </w:pPr>
          </w:p>
        </w:tc>
        <w:tc>
          <w:tcPr>
            <w:tcW w:w="1440" w:type="dxa"/>
            <w:vAlign w:val="center"/>
          </w:tcPr>
          <w:p>
            <w:pPr>
              <w:rPr>
                <w:rFonts w:ascii="宋体"/>
                <w:color w:val="auto"/>
                <w:highlight w:val="none"/>
              </w:rPr>
            </w:pPr>
          </w:p>
        </w:tc>
        <w:tc>
          <w:tcPr>
            <w:tcW w:w="1706" w:type="dxa"/>
            <w:vAlign w:val="center"/>
          </w:tcPr>
          <w:p>
            <w:pPr>
              <w:rPr>
                <w:rFonts w:ascii="宋体"/>
                <w:color w:val="auto"/>
                <w:highlight w:val="none"/>
              </w:rPr>
            </w:pPr>
          </w:p>
        </w:tc>
      </w:tr>
    </w:tbl>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投标人（公章）：</w:t>
      </w:r>
    </w:p>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投标人法定代表人（单位负责人）或授权代表签字：</w:t>
      </w:r>
    </w:p>
    <w:p>
      <w:pPr>
        <w:autoSpaceDE w:val="0"/>
        <w:autoSpaceDN w:val="0"/>
        <w:adjustRightInd w:val="0"/>
        <w:spacing w:line="480" w:lineRule="auto"/>
        <w:rPr>
          <w:rFonts w:ascii="宋体" w:hAnsi="宋体" w:cs="宋体"/>
          <w:color w:val="auto"/>
          <w:sz w:val="24"/>
          <w:highlight w:val="none"/>
          <w:lang w:val="zh-CN"/>
        </w:rPr>
      </w:pPr>
      <w:r>
        <w:rPr>
          <w:rFonts w:hint="eastAsia" w:ascii="宋体" w:hAnsi="宋体" w:cs="宋体"/>
          <w:color w:val="auto"/>
          <w:sz w:val="24"/>
          <w:highlight w:val="none"/>
          <w:lang w:val="zh-CN"/>
        </w:rPr>
        <w:t>（此表投标人如无业绩可不提供）</w:t>
      </w:r>
    </w:p>
    <w:p>
      <w:pPr>
        <w:autoSpaceDE w:val="0"/>
        <w:autoSpaceDN w:val="0"/>
        <w:adjustRightInd w:val="0"/>
        <w:spacing w:line="360" w:lineRule="auto"/>
        <w:jc w:val="center"/>
        <w:outlineLvl w:val="0"/>
        <w:rPr>
          <w:rFonts w:ascii="宋体" w:hAnsi="宋体"/>
          <w:b/>
          <w:bCs/>
          <w:color w:val="auto"/>
          <w:sz w:val="36"/>
          <w:szCs w:val="36"/>
          <w:highlight w:val="none"/>
        </w:rPr>
      </w:pPr>
    </w:p>
    <w:p>
      <w:pPr>
        <w:autoSpaceDE w:val="0"/>
        <w:autoSpaceDN w:val="0"/>
        <w:adjustRightInd w:val="0"/>
        <w:spacing w:line="360" w:lineRule="auto"/>
        <w:jc w:val="center"/>
        <w:rPr>
          <w:rFonts w:ascii="宋体" w:hAnsi="宋体"/>
          <w:b/>
          <w:bCs/>
          <w:color w:val="auto"/>
          <w:sz w:val="32"/>
          <w:szCs w:val="32"/>
          <w:highlight w:val="none"/>
        </w:rPr>
      </w:pPr>
    </w:p>
    <w:p>
      <w:pPr>
        <w:autoSpaceDE w:val="0"/>
        <w:autoSpaceDN w:val="0"/>
        <w:adjustRightInd w:val="0"/>
        <w:spacing w:line="360" w:lineRule="auto"/>
        <w:jc w:val="center"/>
        <w:rPr>
          <w:rFonts w:ascii="宋体" w:hAnsi="宋体"/>
          <w:b/>
          <w:bCs/>
          <w:color w:val="auto"/>
          <w:sz w:val="32"/>
          <w:szCs w:val="32"/>
          <w:highlight w:val="none"/>
        </w:rPr>
      </w:pPr>
    </w:p>
    <w:p>
      <w:pPr>
        <w:autoSpaceDE w:val="0"/>
        <w:autoSpaceDN w:val="0"/>
        <w:adjustRightIn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4.5 售后服务方案</w:t>
      </w:r>
    </w:p>
    <w:p>
      <w:pPr>
        <w:autoSpaceDE w:val="0"/>
        <w:autoSpaceDN w:val="0"/>
        <w:adjustRightInd w:val="0"/>
        <w:spacing w:line="360" w:lineRule="auto"/>
        <w:jc w:val="center"/>
        <w:outlineLvl w:val="0"/>
        <w:rPr>
          <w:rFonts w:ascii="宋体" w:hAnsi="宋体"/>
          <w:b/>
          <w:bCs/>
          <w:color w:val="auto"/>
          <w:sz w:val="36"/>
          <w:szCs w:val="36"/>
          <w:highlight w:val="none"/>
        </w:rPr>
      </w:pP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（投标人根据招标文件要求自行编制）</w:t>
      </w:r>
    </w:p>
    <w:p>
      <w:pPr>
        <w:pStyle w:val="2"/>
        <w:ind w:firstLine="280"/>
        <w:rPr>
          <w:color w:val="auto"/>
          <w:highlight w:val="none"/>
          <w:lang w:val="zh-CN"/>
        </w:rPr>
      </w:pPr>
    </w:p>
    <w:p>
      <w:pPr>
        <w:pStyle w:val="2"/>
        <w:ind w:firstLine="280"/>
        <w:rPr>
          <w:color w:val="auto"/>
          <w:highlight w:val="none"/>
          <w:lang w:val="zh-CN"/>
        </w:rPr>
      </w:pPr>
    </w:p>
    <w:p>
      <w:pPr>
        <w:pStyle w:val="2"/>
        <w:ind w:firstLine="280"/>
        <w:rPr>
          <w:color w:val="auto"/>
          <w:highlight w:val="none"/>
          <w:lang w:val="zh-CN"/>
        </w:rPr>
      </w:pPr>
    </w:p>
    <w:p>
      <w:pPr>
        <w:pStyle w:val="2"/>
        <w:ind w:firstLine="280"/>
        <w:rPr>
          <w:color w:val="auto"/>
          <w:highlight w:val="none"/>
          <w:lang w:val="zh-CN"/>
        </w:rPr>
      </w:pPr>
    </w:p>
    <w:p>
      <w:pPr>
        <w:pStyle w:val="2"/>
        <w:ind w:firstLine="280"/>
        <w:rPr>
          <w:color w:val="auto"/>
          <w:highlight w:val="none"/>
          <w:lang w:val="zh-CN"/>
        </w:rPr>
      </w:pPr>
    </w:p>
    <w:p>
      <w:pPr>
        <w:autoSpaceDE w:val="0"/>
        <w:autoSpaceDN w:val="0"/>
        <w:adjustRightInd w:val="0"/>
        <w:spacing w:line="360" w:lineRule="auto"/>
        <w:jc w:val="center"/>
        <w:outlineLvl w:val="0"/>
        <w:rPr>
          <w:rFonts w:ascii="宋体" w:hAnsi="宋体"/>
          <w:b/>
          <w:bCs/>
          <w:color w:val="auto"/>
          <w:sz w:val="32"/>
          <w:szCs w:val="32"/>
          <w:highlight w:val="none"/>
        </w:rPr>
      </w:pPr>
      <w:r>
        <w:rPr>
          <w:rFonts w:hint="eastAsia" w:ascii="宋体" w:hAnsi="宋体"/>
          <w:b/>
          <w:bCs/>
          <w:color w:val="auto"/>
          <w:sz w:val="32"/>
          <w:szCs w:val="32"/>
          <w:highlight w:val="none"/>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 w:val="24"/>
          <w:highlight w:val="none"/>
        </w:rPr>
      </w:pPr>
      <w:r>
        <w:rPr>
          <w:rFonts w:hint="eastAsia" w:asciiTheme="minorEastAsia" w:hAnsiTheme="minorEastAsia"/>
          <w:color w:val="auto"/>
          <w:sz w:val="24"/>
          <w:highlight w:val="none"/>
        </w:rPr>
        <w:t>项目编号：</w:t>
      </w:r>
    </w:p>
    <w:p>
      <w:pPr>
        <w:tabs>
          <w:tab w:val="left" w:pos="1800"/>
          <w:tab w:val="left" w:pos="5580"/>
        </w:tabs>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项目名称：</w:t>
      </w:r>
    </w:p>
    <w:tbl>
      <w:tblPr>
        <w:tblStyle w:val="28"/>
        <w:tblW w:w="10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510"/>
        <w:gridCol w:w="1668"/>
        <w:gridCol w:w="1363"/>
        <w:gridCol w:w="1811"/>
        <w:gridCol w:w="1758"/>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78"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10"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668"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363"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1811"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1758"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1557"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8"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1510" w:type="dxa"/>
            <w:vAlign w:val="center"/>
          </w:tcPr>
          <w:p>
            <w:pPr>
              <w:pStyle w:val="11"/>
              <w:spacing w:line="360" w:lineRule="auto"/>
              <w:rPr>
                <w:rFonts w:ascii="宋体" w:hAnsi="宋体" w:eastAsia="宋体" w:cs="Times New Roman"/>
                <w:color w:val="auto"/>
                <w:sz w:val="21"/>
                <w:szCs w:val="21"/>
                <w:highlight w:val="none"/>
              </w:rPr>
            </w:pPr>
          </w:p>
        </w:tc>
        <w:tc>
          <w:tcPr>
            <w:tcW w:w="1668" w:type="dxa"/>
            <w:vAlign w:val="center"/>
          </w:tcPr>
          <w:p>
            <w:pPr>
              <w:pStyle w:val="11"/>
              <w:spacing w:line="360" w:lineRule="auto"/>
              <w:rPr>
                <w:rFonts w:ascii="宋体" w:hAnsi="宋体" w:eastAsia="宋体" w:cs="Times New Roman"/>
                <w:color w:val="auto"/>
                <w:sz w:val="21"/>
                <w:szCs w:val="21"/>
                <w:highlight w:val="none"/>
              </w:rPr>
            </w:pPr>
          </w:p>
        </w:tc>
        <w:tc>
          <w:tcPr>
            <w:tcW w:w="1363" w:type="dxa"/>
          </w:tcPr>
          <w:p>
            <w:pPr>
              <w:pStyle w:val="11"/>
              <w:spacing w:line="360" w:lineRule="auto"/>
              <w:rPr>
                <w:rFonts w:ascii="宋体" w:hAnsi="宋体" w:eastAsia="宋体" w:cs="Times New Roman"/>
                <w:color w:val="auto"/>
                <w:sz w:val="21"/>
                <w:szCs w:val="21"/>
                <w:highlight w:val="none"/>
              </w:rPr>
            </w:pPr>
          </w:p>
        </w:tc>
        <w:tc>
          <w:tcPr>
            <w:tcW w:w="1811" w:type="dxa"/>
          </w:tcPr>
          <w:p>
            <w:pPr>
              <w:pStyle w:val="11"/>
              <w:spacing w:line="360" w:lineRule="auto"/>
              <w:rPr>
                <w:rFonts w:ascii="宋体" w:hAnsi="宋体" w:eastAsia="宋体" w:cs="Times New Roman"/>
                <w:color w:val="auto"/>
                <w:sz w:val="21"/>
                <w:szCs w:val="21"/>
                <w:highlight w:val="none"/>
              </w:rPr>
            </w:pPr>
          </w:p>
        </w:tc>
        <w:tc>
          <w:tcPr>
            <w:tcW w:w="1758" w:type="dxa"/>
          </w:tcPr>
          <w:p>
            <w:pPr>
              <w:pStyle w:val="11"/>
              <w:spacing w:line="360" w:lineRule="auto"/>
              <w:rPr>
                <w:rFonts w:ascii="宋体" w:hAnsi="宋体" w:eastAsia="宋体" w:cs="Times New Roman"/>
                <w:color w:val="auto"/>
                <w:sz w:val="21"/>
                <w:szCs w:val="21"/>
                <w:highlight w:val="none"/>
              </w:rPr>
            </w:pPr>
          </w:p>
        </w:tc>
        <w:tc>
          <w:tcPr>
            <w:tcW w:w="1557" w:type="dxa"/>
          </w:tcPr>
          <w:p>
            <w:pPr>
              <w:pStyle w:val="11"/>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8"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510" w:type="dxa"/>
            <w:vAlign w:val="center"/>
          </w:tcPr>
          <w:p>
            <w:pPr>
              <w:pStyle w:val="11"/>
              <w:spacing w:line="360" w:lineRule="auto"/>
              <w:rPr>
                <w:rFonts w:ascii="宋体" w:hAnsi="宋体" w:eastAsia="宋体" w:cs="Times New Roman"/>
                <w:color w:val="auto"/>
                <w:sz w:val="21"/>
                <w:szCs w:val="21"/>
                <w:highlight w:val="none"/>
              </w:rPr>
            </w:pPr>
          </w:p>
        </w:tc>
        <w:tc>
          <w:tcPr>
            <w:tcW w:w="1668" w:type="dxa"/>
            <w:vAlign w:val="center"/>
          </w:tcPr>
          <w:p>
            <w:pPr>
              <w:pStyle w:val="11"/>
              <w:spacing w:line="360" w:lineRule="auto"/>
              <w:rPr>
                <w:rFonts w:ascii="宋体" w:hAnsi="宋体" w:eastAsia="宋体" w:cs="Times New Roman"/>
                <w:color w:val="auto"/>
                <w:sz w:val="21"/>
                <w:szCs w:val="21"/>
                <w:highlight w:val="none"/>
              </w:rPr>
            </w:pPr>
          </w:p>
        </w:tc>
        <w:tc>
          <w:tcPr>
            <w:tcW w:w="1363" w:type="dxa"/>
          </w:tcPr>
          <w:p>
            <w:pPr>
              <w:pStyle w:val="11"/>
              <w:spacing w:line="360" w:lineRule="auto"/>
              <w:rPr>
                <w:rFonts w:ascii="宋体" w:hAnsi="宋体" w:eastAsia="宋体" w:cs="Times New Roman"/>
                <w:color w:val="auto"/>
                <w:sz w:val="21"/>
                <w:szCs w:val="21"/>
                <w:highlight w:val="none"/>
              </w:rPr>
            </w:pPr>
          </w:p>
        </w:tc>
        <w:tc>
          <w:tcPr>
            <w:tcW w:w="1811" w:type="dxa"/>
          </w:tcPr>
          <w:p>
            <w:pPr>
              <w:pStyle w:val="11"/>
              <w:spacing w:line="360" w:lineRule="auto"/>
              <w:rPr>
                <w:rFonts w:ascii="宋体" w:hAnsi="宋体" w:eastAsia="宋体" w:cs="Times New Roman"/>
                <w:color w:val="auto"/>
                <w:sz w:val="21"/>
                <w:szCs w:val="21"/>
                <w:highlight w:val="none"/>
              </w:rPr>
            </w:pPr>
          </w:p>
        </w:tc>
        <w:tc>
          <w:tcPr>
            <w:tcW w:w="1758" w:type="dxa"/>
          </w:tcPr>
          <w:p>
            <w:pPr>
              <w:pStyle w:val="11"/>
              <w:spacing w:line="360" w:lineRule="auto"/>
              <w:rPr>
                <w:rFonts w:ascii="宋体" w:hAnsi="宋体" w:eastAsia="宋体" w:cs="Times New Roman"/>
                <w:color w:val="auto"/>
                <w:sz w:val="21"/>
                <w:szCs w:val="21"/>
                <w:highlight w:val="none"/>
              </w:rPr>
            </w:pPr>
          </w:p>
        </w:tc>
        <w:tc>
          <w:tcPr>
            <w:tcW w:w="1557" w:type="dxa"/>
          </w:tcPr>
          <w:p>
            <w:pPr>
              <w:pStyle w:val="11"/>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8"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510" w:type="dxa"/>
            <w:vAlign w:val="center"/>
          </w:tcPr>
          <w:p>
            <w:pPr>
              <w:pStyle w:val="11"/>
              <w:spacing w:line="360" w:lineRule="auto"/>
              <w:rPr>
                <w:rFonts w:ascii="宋体" w:hAnsi="宋体" w:eastAsia="宋体" w:cs="Times New Roman"/>
                <w:color w:val="auto"/>
                <w:sz w:val="21"/>
                <w:szCs w:val="21"/>
                <w:highlight w:val="none"/>
              </w:rPr>
            </w:pPr>
          </w:p>
        </w:tc>
        <w:tc>
          <w:tcPr>
            <w:tcW w:w="1668" w:type="dxa"/>
            <w:vAlign w:val="center"/>
          </w:tcPr>
          <w:p>
            <w:pPr>
              <w:pStyle w:val="11"/>
              <w:spacing w:line="360" w:lineRule="auto"/>
              <w:rPr>
                <w:rFonts w:ascii="宋体" w:hAnsi="宋体" w:eastAsia="宋体" w:cs="Times New Roman"/>
                <w:color w:val="auto"/>
                <w:sz w:val="21"/>
                <w:szCs w:val="21"/>
                <w:highlight w:val="none"/>
              </w:rPr>
            </w:pPr>
          </w:p>
        </w:tc>
        <w:tc>
          <w:tcPr>
            <w:tcW w:w="1363" w:type="dxa"/>
          </w:tcPr>
          <w:p>
            <w:pPr>
              <w:pStyle w:val="11"/>
              <w:spacing w:line="360" w:lineRule="auto"/>
              <w:rPr>
                <w:rFonts w:ascii="宋体" w:hAnsi="宋体" w:eastAsia="宋体" w:cs="Times New Roman"/>
                <w:color w:val="auto"/>
                <w:sz w:val="21"/>
                <w:szCs w:val="21"/>
                <w:highlight w:val="none"/>
              </w:rPr>
            </w:pPr>
          </w:p>
        </w:tc>
        <w:tc>
          <w:tcPr>
            <w:tcW w:w="1811" w:type="dxa"/>
          </w:tcPr>
          <w:p>
            <w:pPr>
              <w:pStyle w:val="11"/>
              <w:spacing w:line="360" w:lineRule="auto"/>
              <w:rPr>
                <w:rFonts w:ascii="宋体" w:hAnsi="宋体" w:eastAsia="宋体" w:cs="Times New Roman"/>
                <w:color w:val="auto"/>
                <w:sz w:val="21"/>
                <w:szCs w:val="21"/>
                <w:highlight w:val="none"/>
              </w:rPr>
            </w:pPr>
          </w:p>
        </w:tc>
        <w:tc>
          <w:tcPr>
            <w:tcW w:w="1758" w:type="dxa"/>
          </w:tcPr>
          <w:p>
            <w:pPr>
              <w:pStyle w:val="11"/>
              <w:spacing w:line="360" w:lineRule="auto"/>
              <w:rPr>
                <w:rFonts w:ascii="宋体" w:hAnsi="宋体" w:eastAsia="宋体" w:cs="Times New Roman"/>
                <w:color w:val="auto"/>
                <w:sz w:val="21"/>
                <w:szCs w:val="21"/>
                <w:highlight w:val="none"/>
              </w:rPr>
            </w:pPr>
          </w:p>
        </w:tc>
        <w:tc>
          <w:tcPr>
            <w:tcW w:w="1557" w:type="dxa"/>
          </w:tcPr>
          <w:p>
            <w:pPr>
              <w:pStyle w:val="11"/>
              <w:spacing w:line="360" w:lineRule="auto"/>
              <w:rPr>
                <w:rFonts w:ascii="宋体" w:hAnsi="宋体" w:eastAsia="宋体" w:cs="Times New Roman"/>
                <w:color w:val="auto"/>
                <w:sz w:val="21"/>
                <w:szCs w:val="21"/>
                <w:highlight w:val="none"/>
              </w:rPr>
            </w:pPr>
          </w:p>
        </w:tc>
      </w:tr>
    </w:tbl>
    <w:p>
      <w:pPr>
        <w:autoSpaceDE w:val="0"/>
        <w:autoSpaceDN w:val="0"/>
        <w:adjustRightInd w:val="0"/>
        <w:spacing w:line="480" w:lineRule="auto"/>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投标人（公章）：</w:t>
      </w:r>
    </w:p>
    <w:p>
      <w:pPr>
        <w:autoSpaceDE w:val="0"/>
        <w:autoSpaceDN w:val="0"/>
        <w:adjustRightInd w:val="0"/>
        <w:spacing w:line="480" w:lineRule="auto"/>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投标人法定代表人（单位负责人）或授权代表签字：</w:t>
      </w:r>
      <w:r>
        <w:rPr>
          <w:rFonts w:cs="宋体" w:asciiTheme="minorEastAsia" w:hAnsiTheme="minorEastAsia"/>
          <w:color w:val="auto"/>
          <w:sz w:val="24"/>
          <w:highlight w:val="none"/>
          <w:lang w:val="zh-CN"/>
        </w:rPr>
        <w:t xml:space="preserve"> </w:t>
      </w:r>
    </w:p>
    <w:p>
      <w:pPr>
        <w:rPr>
          <w:rFonts w:cs="宋体" w:asciiTheme="minorEastAsia" w:hAnsiTheme="minorEastAsia"/>
          <w:color w:val="auto"/>
          <w:sz w:val="24"/>
          <w:highlight w:val="none"/>
          <w:lang w:val="zh-CN"/>
        </w:rPr>
      </w:pPr>
    </w:p>
    <w:p>
      <w:pPr>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highlight w:val="none"/>
        </w:rPr>
      </w:pPr>
    </w:p>
    <w:p>
      <w:pPr>
        <w:autoSpaceDE w:val="0"/>
        <w:autoSpaceDN w:val="0"/>
        <w:adjustRightInd w:val="0"/>
        <w:spacing w:line="360" w:lineRule="auto"/>
        <w:jc w:val="center"/>
        <w:outlineLvl w:val="0"/>
        <w:rPr>
          <w:rFonts w:ascii="宋体" w:hAnsi="宋体"/>
          <w:b/>
          <w:bCs/>
          <w:color w:val="auto"/>
          <w:sz w:val="24"/>
          <w:highlight w:val="none"/>
        </w:rPr>
      </w:pPr>
    </w:p>
    <w:p>
      <w:pPr>
        <w:pStyle w:val="2"/>
        <w:ind w:firstLine="280"/>
        <w:rPr>
          <w:color w:val="auto"/>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r>
        <w:rPr>
          <w:rFonts w:hint="eastAsia" w:ascii="宋体" w:hAnsi="宋体"/>
          <w:b/>
          <w:bCs/>
          <w:color w:val="auto"/>
          <w:sz w:val="32"/>
          <w:szCs w:val="32"/>
          <w:highlight w:val="none"/>
        </w:rPr>
        <w:t>4.7 “节能产品政府采购品目清单”优先采购产品情况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 w:val="24"/>
          <w:highlight w:val="none"/>
        </w:rPr>
      </w:pPr>
      <w:r>
        <w:rPr>
          <w:rFonts w:hint="eastAsia" w:asciiTheme="minorEastAsia" w:hAnsiTheme="minorEastAsia"/>
          <w:color w:val="auto"/>
          <w:sz w:val="24"/>
          <w:highlight w:val="none"/>
        </w:rPr>
        <w:t>项目编号：</w:t>
      </w:r>
    </w:p>
    <w:p>
      <w:pPr>
        <w:tabs>
          <w:tab w:val="left" w:pos="1800"/>
          <w:tab w:val="left" w:pos="5580"/>
        </w:tabs>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项目名称：</w:t>
      </w:r>
    </w:p>
    <w:tbl>
      <w:tblPr>
        <w:tblStyle w:val="28"/>
        <w:tblW w:w="10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510"/>
        <w:gridCol w:w="1668"/>
        <w:gridCol w:w="1363"/>
        <w:gridCol w:w="1811"/>
        <w:gridCol w:w="1758"/>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78"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10"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668"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363"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1811"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1758"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1557"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8"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1510" w:type="dxa"/>
            <w:vAlign w:val="center"/>
          </w:tcPr>
          <w:p>
            <w:pPr>
              <w:pStyle w:val="11"/>
              <w:spacing w:line="360" w:lineRule="auto"/>
              <w:rPr>
                <w:rFonts w:ascii="宋体" w:hAnsi="宋体" w:eastAsia="宋体" w:cs="Times New Roman"/>
                <w:color w:val="auto"/>
                <w:sz w:val="21"/>
                <w:szCs w:val="21"/>
                <w:highlight w:val="none"/>
              </w:rPr>
            </w:pPr>
          </w:p>
        </w:tc>
        <w:tc>
          <w:tcPr>
            <w:tcW w:w="1668" w:type="dxa"/>
            <w:vAlign w:val="center"/>
          </w:tcPr>
          <w:p>
            <w:pPr>
              <w:pStyle w:val="11"/>
              <w:spacing w:line="360" w:lineRule="auto"/>
              <w:rPr>
                <w:rFonts w:ascii="宋体" w:hAnsi="宋体" w:eastAsia="宋体" w:cs="Times New Roman"/>
                <w:color w:val="auto"/>
                <w:sz w:val="21"/>
                <w:szCs w:val="21"/>
                <w:highlight w:val="none"/>
              </w:rPr>
            </w:pPr>
          </w:p>
        </w:tc>
        <w:tc>
          <w:tcPr>
            <w:tcW w:w="1363" w:type="dxa"/>
          </w:tcPr>
          <w:p>
            <w:pPr>
              <w:pStyle w:val="11"/>
              <w:spacing w:line="360" w:lineRule="auto"/>
              <w:rPr>
                <w:rFonts w:ascii="宋体" w:hAnsi="宋体" w:eastAsia="宋体" w:cs="Times New Roman"/>
                <w:color w:val="auto"/>
                <w:sz w:val="21"/>
                <w:szCs w:val="21"/>
                <w:highlight w:val="none"/>
              </w:rPr>
            </w:pPr>
          </w:p>
        </w:tc>
        <w:tc>
          <w:tcPr>
            <w:tcW w:w="1811" w:type="dxa"/>
          </w:tcPr>
          <w:p>
            <w:pPr>
              <w:pStyle w:val="11"/>
              <w:spacing w:line="360" w:lineRule="auto"/>
              <w:rPr>
                <w:rFonts w:ascii="宋体" w:hAnsi="宋体" w:eastAsia="宋体" w:cs="Times New Roman"/>
                <w:color w:val="auto"/>
                <w:sz w:val="21"/>
                <w:szCs w:val="21"/>
                <w:highlight w:val="none"/>
              </w:rPr>
            </w:pPr>
          </w:p>
        </w:tc>
        <w:tc>
          <w:tcPr>
            <w:tcW w:w="1758" w:type="dxa"/>
          </w:tcPr>
          <w:p>
            <w:pPr>
              <w:pStyle w:val="11"/>
              <w:spacing w:line="360" w:lineRule="auto"/>
              <w:rPr>
                <w:rFonts w:ascii="宋体" w:hAnsi="宋体" w:eastAsia="宋体" w:cs="Times New Roman"/>
                <w:color w:val="auto"/>
                <w:sz w:val="21"/>
                <w:szCs w:val="21"/>
                <w:highlight w:val="none"/>
              </w:rPr>
            </w:pPr>
          </w:p>
        </w:tc>
        <w:tc>
          <w:tcPr>
            <w:tcW w:w="1557" w:type="dxa"/>
          </w:tcPr>
          <w:p>
            <w:pPr>
              <w:pStyle w:val="11"/>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8"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510" w:type="dxa"/>
            <w:vAlign w:val="center"/>
          </w:tcPr>
          <w:p>
            <w:pPr>
              <w:pStyle w:val="11"/>
              <w:spacing w:line="360" w:lineRule="auto"/>
              <w:rPr>
                <w:rFonts w:ascii="宋体" w:hAnsi="宋体" w:eastAsia="宋体" w:cs="Times New Roman"/>
                <w:color w:val="auto"/>
                <w:sz w:val="21"/>
                <w:szCs w:val="21"/>
                <w:highlight w:val="none"/>
              </w:rPr>
            </w:pPr>
          </w:p>
        </w:tc>
        <w:tc>
          <w:tcPr>
            <w:tcW w:w="1668" w:type="dxa"/>
            <w:vAlign w:val="center"/>
          </w:tcPr>
          <w:p>
            <w:pPr>
              <w:pStyle w:val="11"/>
              <w:spacing w:line="360" w:lineRule="auto"/>
              <w:rPr>
                <w:rFonts w:ascii="宋体" w:hAnsi="宋体" w:eastAsia="宋体" w:cs="Times New Roman"/>
                <w:color w:val="auto"/>
                <w:sz w:val="21"/>
                <w:szCs w:val="21"/>
                <w:highlight w:val="none"/>
              </w:rPr>
            </w:pPr>
          </w:p>
        </w:tc>
        <w:tc>
          <w:tcPr>
            <w:tcW w:w="1363" w:type="dxa"/>
          </w:tcPr>
          <w:p>
            <w:pPr>
              <w:pStyle w:val="11"/>
              <w:spacing w:line="360" w:lineRule="auto"/>
              <w:rPr>
                <w:rFonts w:ascii="宋体" w:hAnsi="宋体" w:eastAsia="宋体" w:cs="Times New Roman"/>
                <w:color w:val="auto"/>
                <w:sz w:val="21"/>
                <w:szCs w:val="21"/>
                <w:highlight w:val="none"/>
              </w:rPr>
            </w:pPr>
          </w:p>
        </w:tc>
        <w:tc>
          <w:tcPr>
            <w:tcW w:w="1811" w:type="dxa"/>
          </w:tcPr>
          <w:p>
            <w:pPr>
              <w:pStyle w:val="11"/>
              <w:spacing w:line="360" w:lineRule="auto"/>
              <w:rPr>
                <w:rFonts w:ascii="宋体" w:hAnsi="宋体" w:eastAsia="宋体" w:cs="Times New Roman"/>
                <w:color w:val="auto"/>
                <w:sz w:val="21"/>
                <w:szCs w:val="21"/>
                <w:highlight w:val="none"/>
              </w:rPr>
            </w:pPr>
          </w:p>
        </w:tc>
        <w:tc>
          <w:tcPr>
            <w:tcW w:w="1758" w:type="dxa"/>
          </w:tcPr>
          <w:p>
            <w:pPr>
              <w:pStyle w:val="11"/>
              <w:spacing w:line="360" w:lineRule="auto"/>
              <w:rPr>
                <w:rFonts w:ascii="宋体" w:hAnsi="宋体" w:eastAsia="宋体" w:cs="Times New Roman"/>
                <w:color w:val="auto"/>
                <w:sz w:val="21"/>
                <w:szCs w:val="21"/>
                <w:highlight w:val="none"/>
              </w:rPr>
            </w:pPr>
          </w:p>
        </w:tc>
        <w:tc>
          <w:tcPr>
            <w:tcW w:w="1557" w:type="dxa"/>
          </w:tcPr>
          <w:p>
            <w:pPr>
              <w:pStyle w:val="11"/>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8"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510" w:type="dxa"/>
            <w:vAlign w:val="center"/>
          </w:tcPr>
          <w:p>
            <w:pPr>
              <w:pStyle w:val="11"/>
              <w:spacing w:line="360" w:lineRule="auto"/>
              <w:rPr>
                <w:rFonts w:ascii="宋体" w:hAnsi="宋体" w:eastAsia="宋体" w:cs="Times New Roman"/>
                <w:color w:val="auto"/>
                <w:sz w:val="21"/>
                <w:szCs w:val="21"/>
                <w:highlight w:val="none"/>
              </w:rPr>
            </w:pPr>
          </w:p>
        </w:tc>
        <w:tc>
          <w:tcPr>
            <w:tcW w:w="1668" w:type="dxa"/>
            <w:vAlign w:val="center"/>
          </w:tcPr>
          <w:p>
            <w:pPr>
              <w:pStyle w:val="11"/>
              <w:spacing w:line="360" w:lineRule="auto"/>
              <w:rPr>
                <w:rFonts w:ascii="宋体" w:hAnsi="宋体" w:eastAsia="宋体" w:cs="Times New Roman"/>
                <w:color w:val="auto"/>
                <w:sz w:val="21"/>
                <w:szCs w:val="21"/>
                <w:highlight w:val="none"/>
              </w:rPr>
            </w:pPr>
          </w:p>
        </w:tc>
        <w:tc>
          <w:tcPr>
            <w:tcW w:w="1363" w:type="dxa"/>
          </w:tcPr>
          <w:p>
            <w:pPr>
              <w:pStyle w:val="11"/>
              <w:spacing w:line="360" w:lineRule="auto"/>
              <w:rPr>
                <w:rFonts w:ascii="宋体" w:hAnsi="宋体" w:eastAsia="宋体" w:cs="Times New Roman"/>
                <w:color w:val="auto"/>
                <w:sz w:val="21"/>
                <w:szCs w:val="21"/>
                <w:highlight w:val="none"/>
              </w:rPr>
            </w:pPr>
          </w:p>
        </w:tc>
        <w:tc>
          <w:tcPr>
            <w:tcW w:w="1811" w:type="dxa"/>
          </w:tcPr>
          <w:p>
            <w:pPr>
              <w:pStyle w:val="11"/>
              <w:spacing w:line="360" w:lineRule="auto"/>
              <w:rPr>
                <w:rFonts w:ascii="宋体" w:hAnsi="宋体" w:eastAsia="宋体" w:cs="Times New Roman"/>
                <w:color w:val="auto"/>
                <w:sz w:val="21"/>
                <w:szCs w:val="21"/>
                <w:highlight w:val="none"/>
              </w:rPr>
            </w:pPr>
          </w:p>
        </w:tc>
        <w:tc>
          <w:tcPr>
            <w:tcW w:w="1758" w:type="dxa"/>
          </w:tcPr>
          <w:p>
            <w:pPr>
              <w:pStyle w:val="11"/>
              <w:spacing w:line="360" w:lineRule="auto"/>
              <w:rPr>
                <w:rFonts w:ascii="宋体" w:hAnsi="宋体" w:eastAsia="宋体" w:cs="Times New Roman"/>
                <w:color w:val="auto"/>
                <w:sz w:val="21"/>
                <w:szCs w:val="21"/>
                <w:highlight w:val="none"/>
              </w:rPr>
            </w:pPr>
          </w:p>
        </w:tc>
        <w:tc>
          <w:tcPr>
            <w:tcW w:w="1557" w:type="dxa"/>
          </w:tcPr>
          <w:p>
            <w:pPr>
              <w:pStyle w:val="11"/>
              <w:spacing w:line="360" w:lineRule="auto"/>
              <w:rPr>
                <w:rFonts w:ascii="宋体" w:hAnsi="宋体" w:eastAsia="宋体" w:cs="Times New Roman"/>
                <w:color w:val="auto"/>
                <w:sz w:val="21"/>
                <w:szCs w:val="21"/>
                <w:highlight w:val="none"/>
              </w:rPr>
            </w:pPr>
          </w:p>
        </w:tc>
      </w:tr>
    </w:tbl>
    <w:p>
      <w:pPr>
        <w:autoSpaceDE w:val="0"/>
        <w:autoSpaceDN w:val="0"/>
        <w:adjustRightInd w:val="0"/>
        <w:spacing w:line="480" w:lineRule="auto"/>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投标人（公章）：</w:t>
      </w:r>
    </w:p>
    <w:p>
      <w:pPr>
        <w:autoSpaceDE w:val="0"/>
        <w:autoSpaceDN w:val="0"/>
        <w:adjustRightInd w:val="0"/>
        <w:spacing w:line="480" w:lineRule="auto"/>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投标人法定代表人（单位负责人）或授权代表签字：</w:t>
      </w:r>
      <w:r>
        <w:rPr>
          <w:rFonts w:cs="宋体" w:asciiTheme="minorEastAsia" w:hAnsiTheme="minorEastAsia"/>
          <w:color w:val="auto"/>
          <w:sz w:val="24"/>
          <w:highlight w:val="none"/>
          <w:lang w:val="zh-CN"/>
        </w:rPr>
        <w:t xml:space="preserve"> </w:t>
      </w:r>
    </w:p>
    <w:p>
      <w:pPr>
        <w:spacing w:line="360" w:lineRule="auto"/>
        <w:rPr>
          <w:rFonts w:cs="宋体" w:asciiTheme="minorEastAsia" w:hAnsiTheme="minorEastAsia"/>
          <w:color w:val="auto"/>
          <w:sz w:val="24"/>
          <w:highlight w:val="none"/>
          <w:lang w:val="zh-CN"/>
        </w:rPr>
      </w:pPr>
    </w:p>
    <w:p>
      <w:pPr>
        <w:spacing w:line="360" w:lineRule="auto"/>
        <w:rPr>
          <w:rFonts w:ascii="宋体" w:hAnsi="宋体"/>
          <w:b/>
          <w:bCs/>
          <w:color w:val="auto"/>
          <w:sz w:val="24"/>
          <w:highlight w:val="none"/>
        </w:rPr>
      </w:pPr>
      <w:r>
        <w:rPr>
          <w:rFonts w:hint="eastAsia" w:cs="宋体" w:asciiTheme="minorEastAsia" w:hAnsiTheme="minorEastAsia"/>
          <w:color w:val="auto"/>
          <w:sz w:val="24"/>
          <w:highlight w:val="none"/>
          <w:lang w:val="zh-CN"/>
        </w:rPr>
        <w:t>说明：所投产品节能认证证书须附后。</w:t>
      </w:r>
    </w:p>
    <w:p>
      <w:pPr>
        <w:pStyle w:val="2"/>
        <w:ind w:firstLine="280"/>
        <w:rPr>
          <w:color w:val="auto"/>
          <w:highlight w:val="none"/>
        </w:rPr>
      </w:pPr>
    </w:p>
    <w:p>
      <w:pPr>
        <w:pStyle w:val="2"/>
        <w:ind w:firstLine="280"/>
        <w:rPr>
          <w:color w:val="auto"/>
          <w:highlight w:val="none"/>
        </w:rPr>
      </w:pPr>
    </w:p>
    <w:p>
      <w:pPr>
        <w:pStyle w:val="2"/>
        <w:ind w:firstLine="280"/>
        <w:rPr>
          <w:color w:val="auto"/>
          <w:highlight w:val="none"/>
        </w:rPr>
      </w:pPr>
    </w:p>
    <w:p>
      <w:pPr>
        <w:pStyle w:val="2"/>
        <w:ind w:firstLine="280"/>
        <w:rPr>
          <w:color w:val="auto"/>
          <w:highlight w:val="none"/>
        </w:rPr>
      </w:pPr>
    </w:p>
    <w:p>
      <w:pPr>
        <w:pStyle w:val="2"/>
        <w:ind w:firstLine="280"/>
        <w:rPr>
          <w:color w:val="auto"/>
          <w:highlight w:val="none"/>
        </w:rPr>
      </w:pPr>
    </w:p>
    <w:p>
      <w:pPr>
        <w:pStyle w:val="2"/>
        <w:ind w:firstLine="280"/>
        <w:rPr>
          <w:color w:val="auto"/>
          <w:highlight w:val="none"/>
        </w:rPr>
      </w:pPr>
    </w:p>
    <w:p>
      <w:pPr>
        <w:pStyle w:val="2"/>
        <w:ind w:firstLine="280"/>
        <w:rPr>
          <w:color w:val="auto"/>
          <w:highlight w:val="none"/>
        </w:rPr>
      </w:pPr>
    </w:p>
    <w:p>
      <w:pPr>
        <w:pStyle w:val="2"/>
        <w:ind w:firstLine="280"/>
        <w:rPr>
          <w:color w:val="auto"/>
          <w:highlight w:val="none"/>
        </w:rPr>
      </w:pPr>
    </w:p>
    <w:p>
      <w:pPr>
        <w:pStyle w:val="2"/>
        <w:ind w:firstLine="280"/>
        <w:rPr>
          <w:color w:val="auto"/>
          <w:highlight w:val="none"/>
        </w:rPr>
      </w:pPr>
    </w:p>
    <w:p>
      <w:pPr>
        <w:autoSpaceDE w:val="0"/>
        <w:autoSpaceDN w:val="0"/>
        <w:adjustRightInd w:val="0"/>
        <w:spacing w:line="360" w:lineRule="auto"/>
        <w:outlineLvl w:val="0"/>
        <w:rPr>
          <w:rFonts w:ascii="宋体" w:hAnsi="宋体"/>
          <w:b/>
          <w:bCs/>
          <w:color w:val="auto"/>
          <w:sz w:val="32"/>
          <w:szCs w:val="32"/>
          <w:highlight w:val="none"/>
        </w:rPr>
      </w:pPr>
    </w:p>
    <w:p>
      <w:pPr>
        <w:autoSpaceDE w:val="0"/>
        <w:autoSpaceDN w:val="0"/>
        <w:adjustRightInd w:val="0"/>
        <w:spacing w:line="360" w:lineRule="auto"/>
        <w:jc w:val="center"/>
        <w:outlineLvl w:val="0"/>
        <w:rPr>
          <w:rFonts w:ascii="宋体" w:hAnsi="宋体"/>
          <w:b/>
          <w:bCs/>
          <w:color w:val="auto"/>
          <w:sz w:val="32"/>
          <w:szCs w:val="32"/>
          <w:highlight w:val="none"/>
        </w:rPr>
      </w:pPr>
      <w:r>
        <w:rPr>
          <w:rFonts w:hint="eastAsia" w:ascii="宋体" w:hAnsi="宋体"/>
          <w:b/>
          <w:bCs/>
          <w:color w:val="auto"/>
          <w:sz w:val="32"/>
          <w:szCs w:val="32"/>
          <w:highlight w:val="none"/>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 w:val="24"/>
          <w:highlight w:val="none"/>
        </w:rPr>
      </w:pPr>
      <w:r>
        <w:rPr>
          <w:rFonts w:hint="eastAsia" w:asciiTheme="minorEastAsia" w:hAnsiTheme="minorEastAsia"/>
          <w:color w:val="auto"/>
          <w:sz w:val="24"/>
          <w:highlight w:val="none"/>
        </w:rPr>
        <w:t>项目编号：</w:t>
      </w:r>
    </w:p>
    <w:p>
      <w:pPr>
        <w:tabs>
          <w:tab w:val="left" w:pos="1800"/>
          <w:tab w:val="left" w:pos="5580"/>
        </w:tabs>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项目名称：</w:t>
      </w:r>
    </w:p>
    <w:tbl>
      <w:tblPr>
        <w:tblStyle w:val="28"/>
        <w:tblW w:w="10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510"/>
        <w:gridCol w:w="1668"/>
        <w:gridCol w:w="1363"/>
        <w:gridCol w:w="1811"/>
        <w:gridCol w:w="1758"/>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78"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10"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668"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363"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1811"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1758"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1557" w:type="dxa"/>
            <w:shd w:val="clear" w:color="auto" w:fill="F1F1F1" w:themeFill="background1" w:themeFillShade="F2"/>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8"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1510" w:type="dxa"/>
            <w:vAlign w:val="center"/>
          </w:tcPr>
          <w:p>
            <w:pPr>
              <w:pStyle w:val="11"/>
              <w:spacing w:line="360" w:lineRule="auto"/>
              <w:rPr>
                <w:rFonts w:ascii="宋体" w:hAnsi="宋体" w:eastAsia="宋体" w:cs="Times New Roman"/>
                <w:color w:val="auto"/>
                <w:sz w:val="21"/>
                <w:szCs w:val="21"/>
                <w:highlight w:val="none"/>
              </w:rPr>
            </w:pPr>
          </w:p>
        </w:tc>
        <w:tc>
          <w:tcPr>
            <w:tcW w:w="1668" w:type="dxa"/>
            <w:vAlign w:val="center"/>
          </w:tcPr>
          <w:p>
            <w:pPr>
              <w:pStyle w:val="11"/>
              <w:spacing w:line="360" w:lineRule="auto"/>
              <w:rPr>
                <w:rFonts w:ascii="宋体" w:hAnsi="宋体" w:eastAsia="宋体" w:cs="Times New Roman"/>
                <w:color w:val="auto"/>
                <w:sz w:val="21"/>
                <w:szCs w:val="21"/>
                <w:highlight w:val="none"/>
              </w:rPr>
            </w:pPr>
          </w:p>
        </w:tc>
        <w:tc>
          <w:tcPr>
            <w:tcW w:w="1363" w:type="dxa"/>
          </w:tcPr>
          <w:p>
            <w:pPr>
              <w:pStyle w:val="11"/>
              <w:spacing w:line="360" w:lineRule="auto"/>
              <w:rPr>
                <w:rFonts w:ascii="宋体" w:hAnsi="宋体" w:eastAsia="宋体" w:cs="Times New Roman"/>
                <w:color w:val="auto"/>
                <w:sz w:val="21"/>
                <w:szCs w:val="21"/>
                <w:highlight w:val="none"/>
              </w:rPr>
            </w:pPr>
          </w:p>
        </w:tc>
        <w:tc>
          <w:tcPr>
            <w:tcW w:w="1811" w:type="dxa"/>
          </w:tcPr>
          <w:p>
            <w:pPr>
              <w:pStyle w:val="11"/>
              <w:spacing w:line="360" w:lineRule="auto"/>
              <w:rPr>
                <w:rFonts w:ascii="宋体" w:hAnsi="宋体" w:eastAsia="宋体" w:cs="Times New Roman"/>
                <w:color w:val="auto"/>
                <w:sz w:val="21"/>
                <w:szCs w:val="21"/>
                <w:highlight w:val="none"/>
              </w:rPr>
            </w:pPr>
          </w:p>
        </w:tc>
        <w:tc>
          <w:tcPr>
            <w:tcW w:w="1758" w:type="dxa"/>
          </w:tcPr>
          <w:p>
            <w:pPr>
              <w:pStyle w:val="11"/>
              <w:spacing w:line="360" w:lineRule="auto"/>
              <w:rPr>
                <w:rFonts w:ascii="宋体" w:hAnsi="宋体" w:eastAsia="宋体" w:cs="Times New Roman"/>
                <w:color w:val="auto"/>
                <w:sz w:val="21"/>
                <w:szCs w:val="21"/>
                <w:highlight w:val="none"/>
              </w:rPr>
            </w:pPr>
          </w:p>
        </w:tc>
        <w:tc>
          <w:tcPr>
            <w:tcW w:w="1557" w:type="dxa"/>
          </w:tcPr>
          <w:p>
            <w:pPr>
              <w:pStyle w:val="11"/>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8"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510" w:type="dxa"/>
            <w:vAlign w:val="center"/>
          </w:tcPr>
          <w:p>
            <w:pPr>
              <w:pStyle w:val="11"/>
              <w:spacing w:line="360" w:lineRule="auto"/>
              <w:rPr>
                <w:rFonts w:ascii="宋体" w:hAnsi="宋体" w:eastAsia="宋体" w:cs="Times New Roman"/>
                <w:color w:val="auto"/>
                <w:sz w:val="21"/>
                <w:szCs w:val="21"/>
                <w:highlight w:val="none"/>
              </w:rPr>
            </w:pPr>
          </w:p>
        </w:tc>
        <w:tc>
          <w:tcPr>
            <w:tcW w:w="1668" w:type="dxa"/>
            <w:vAlign w:val="center"/>
          </w:tcPr>
          <w:p>
            <w:pPr>
              <w:pStyle w:val="11"/>
              <w:spacing w:line="360" w:lineRule="auto"/>
              <w:rPr>
                <w:rFonts w:ascii="宋体" w:hAnsi="宋体" w:eastAsia="宋体" w:cs="Times New Roman"/>
                <w:color w:val="auto"/>
                <w:sz w:val="21"/>
                <w:szCs w:val="21"/>
                <w:highlight w:val="none"/>
              </w:rPr>
            </w:pPr>
          </w:p>
        </w:tc>
        <w:tc>
          <w:tcPr>
            <w:tcW w:w="1363" w:type="dxa"/>
          </w:tcPr>
          <w:p>
            <w:pPr>
              <w:pStyle w:val="11"/>
              <w:spacing w:line="360" w:lineRule="auto"/>
              <w:rPr>
                <w:rFonts w:ascii="宋体" w:hAnsi="宋体" w:eastAsia="宋体" w:cs="Times New Roman"/>
                <w:color w:val="auto"/>
                <w:sz w:val="21"/>
                <w:szCs w:val="21"/>
                <w:highlight w:val="none"/>
              </w:rPr>
            </w:pPr>
          </w:p>
        </w:tc>
        <w:tc>
          <w:tcPr>
            <w:tcW w:w="1811" w:type="dxa"/>
          </w:tcPr>
          <w:p>
            <w:pPr>
              <w:pStyle w:val="11"/>
              <w:spacing w:line="360" w:lineRule="auto"/>
              <w:rPr>
                <w:rFonts w:ascii="宋体" w:hAnsi="宋体" w:eastAsia="宋体" w:cs="Times New Roman"/>
                <w:color w:val="auto"/>
                <w:sz w:val="21"/>
                <w:szCs w:val="21"/>
                <w:highlight w:val="none"/>
              </w:rPr>
            </w:pPr>
          </w:p>
        </w:tc>
        <w:tc>
          <w:tcPr>
            <w:tcW w:w="1758" w:type="dxa"/>
          </w:tcPr>
          <w:p>
            <w:pPr>
              <w:pStyle w:val="11"/>
              <w:spacing w:line="360" w:lineRule="auto"/>
              <w:rPr>
                <w:rFonts w:ascii="宋体" w:hAnsi="宋体" w:eastAsia="宋体" w:cs="Times New Roman"/>
                <w:color w:val="auto"/>
                <w:sz w:val="21"/>
                <w:szCs w:val="21"/>
                <w:highlight w:val="none"/>
              </w:rPr>
            </w:pPr>
          </w:p>
        </w:tc>
        <w:tc>
          <w:tcPr>
            <w:tcW w:w="1557" w:type="dxa"/>
          </w:tcPr>
          <w:p>
            <w:pPr>
              <w:pStyle w:val="11"/>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78"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510" w:type="dxa"/>
            <w:vAlign w:val="center"/>
          </w:tcPr>
          <w:p>
            <w:pPr>
              <w:pStyle w:val="11"/>
              <w:spacing w:line="360" w:lineRule="auto"/>
              <w:rPr>
                <w:rFonts w:ascii="宋体" w:hAnsi="宋体" w:eastAsia="宋体" w:cs="Times New Roman"/>
                <w:color w:val="auto"/>
                <w:sz w:val="21"/>
                <w:szCs w:val="21"/>
                <w:highlight w:val="none"/>
              </w:rPr>
            </w:pPr>
          </w:p>
        </w:tc>
        <w:tc>
          <w:tcPr>
            <w:tcW w:w="1668" w:type="dxa"/>
            <w:vAlign w:val="center"/>
          </w:tcPr>
          <w:p>
            <w:pPr>
              <w:pStyle w:val="11"/>
              <w:spacing w:line="360" w:lineRule="auto"/>
              <w:rPr>
                <w:rFonts w:ascii="宋体" w:hAnsi="宋体" w:eastAsia="宋体" w:cs="Times New Roman"/>
                <w:color w:val="auto"/>
                <w:sz w:val="21"/>
                <w:szCs w:val="21"/>
                <w:highlight w:val="none"/>
              </w:rPr>
            </w:pPr>
          </w:p>
        </w:tc>
        <w:tc>
          <w:tcPr>
            <w:tcW w:w="1363" w:type="dxa"/>
          </w:tcPr>
          <w:p>
            <w:pPr>
              <w:pStyle w:val="11"/>
              <w:spacing w:line="360" w:lineRule="auto"/>
              <w:rPr>
                <w:rFonts w:ascii="宋体" w:hAnsi="宋体" w:eastAsia="宋体" w:cs="Times New Roman"/>
                <w:color w:val="auto"/>
                <w:sz w:val="21"/>
                <w:szCs w:val="21"/>
                <w:highlight w:val="none"/>
              </w:rPr>
            </w:pPr>
          </w:p>
        </w:tc>
        <w:tc>
          <w:tcPr>
            <w:tcW w:w="1811" w:type="dxa"/>
          </w:tcPr>
          <w:p>
            <w:pPr>
              <w:pStyle w:val="11"/>
              <w:spacing w:line="360" w:lineRule="auto"/>
              <w:rPr>
                <w:rFonts w:ascii="宋体" w:hAnsi="宋体" w:eastAsia="宋体" w:cs="Times New Roman"/>
                <w:color w:val="auto"/>
                <w:sz w:val="21"/>
                <w:szCs w:val="21"/>
                <w:highlight w:val="none"/>
              </w:rPr>
            </w:pPr>
          </w:p>
        </w:tc>
        <w:tc>
          <w:tcPr>
            <w:tcW w:w="1758" w:type="dxa"/>
          </w:tcPr>
          <w:p>
            <w:pPr>
              <w:pStyle w:val="11"/>
              <w:spacing w:line="360" w:lineRule="auto"/>
              <w:rPr>
                <w:rFonts w:ascii="宋体" w:hAnsi="宋体" w:eastAsia="宋体" w:cs="Times New Roman"/>
                <w:color w:val="auto"/>
                <w:sz w:val="21"/>
                <w:szCs w:val="21"/>
                <w:highlight w:val="none"/>
              </w:rPr>
            </w:pPr>
          </w:p>
        </w:tc>
        <w:tc>
          <w:tcPr>
            <w:tcW w:w="1557" w:type="dxa"/>
          </w:tcPr>
          <w:p>
            <w:pPr>
              <w:pStyle w:val="11"/>
              <w:spacing w:line="360" w:lineRule="auto"/>
              <w:rPr>
                <w:rFonts w:ascii="宋体" w:hAnsi="宋体" w:eastAsia="宋体" w:cs="Times New Roman"/>
                <w:color w:val="auto"/>
                <w:sz w:val="21"/>
                <w:szCs w:val="21"/>
                <w:highlight w:val="none"/>
              </w:rPr>
            </w:pPr>
          </w:p>
        </w:tc>
      </w:tr>
    </w:tbl>
    <w:p>
      <w:pPr>
        <w:autoSpaceDE w:val="0"/>
        <w:autoSpaceDN w:val="0"/>
        <w:adjustRightInd w:val="0"/>
        <w:spacing w:line="480" w:lineRule="auto"/>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投标人（公章）：</w:t>
      </w:r>
    </w:p>
    <w:p>
      <w:pPr>
        <w:autoSpaceDE w:val="0"/>
        <w:autoSpaceDN w:val="0"/>
        <w:adjustRightInd w:val="0"/>
        <w:spacing w:line="480" w:lineRule="auto"/>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投标人法定代表人（单位负责人）或授权代表签字：</w:t>
      </w:r>
      <w:r>
        <w:rPr>
          <w:rFonts w:cs="宋体" w:asciiTheme="minorEastAsia" w:hAnsiTheme="minorEastAsia"/>
          <w:color w:val="auto"/>
          <w:sz w:val="24"/>
          <w:highlight w:val="none"/>
          <w:lang w:val="zh-CN"/>
        </w:rPr>
        <w:t xml:space="preserve"> </w:t>
      </w:r>
    </w:p>
    <w:p>
      <w:pPr>
        <w:ind w:left="720" w:hanging="720" w:hangingChars="300"/>
        <w:rPr>
          <w:rFonts w:cs="宋体" w:asciiTheme="minorEastAsia" w:hAnsiTheme="minorEastAsia"/>
          <w:color w:val="auto"/>
          <w:sz w:val="24"/>
          <w:highlight w:val="none"/>
          <w:lang w:val="zh-CN"/>
        </w:rPr>
      </w:pPr>
    </w:p>
    <w:p>
      <w:pPr>
        <w:ind w:left="720" w:hanging="720" w:hangingChars="300"/>
        <w:rPr>
          <w:rFonts w:cs="宋体" w:asciiTheme="minorEastAsia" w:hAnsiTheme="minorEastAsia"/>
          <w:color w:val="auto"/>
          <w:sz w:val="24"/>
          <w:highlight w:val="none"/>
          <w:lang w:val="zh-CN"/>
        </w:rPr>
      </w:pPr>
      <w:r>
        <w:rPr>
          <w:rFonts w:hint="eastAsia" w:cs="宋体" w:asciiTheme="minorEastAsia" w:hAnsiTheme="minorEastAsia"/>
          <w:color w:val="auto"/>
          <w:sz w:val="24"/>
          <w:highlight w:val="none"/>
          <w:lang w:val="zh-CN"/>
        </w:rPr>
        <w:t>说明：所投产品节能认证证书须附后。</w:t>
      </w:r>
    </w:p>
    <w:p>
      <w:pPr>
        <w:ind w:left="630" w:hanging="630" w:hangingChars="300"/>
        <w:rPr>
          <w:rFonts w:cs="宋体" w:asciiTheme="minorEastAsia" w:hAnsiTheme="minorEastAsia"/>
          <w:color w:val="auto"/>
          <w:szCs w:val="21"/>
          <w:highlight w:val="none"/>
          <w:lang w:val="zh-CN"/>
        </w:rPr>
      </w:pPr>
    </w:p>
    <w:p>
      <w:pPr>
        <w:pStyle w:val="2"/>
        <w:ind w:firstLine="280"/>
        <w:rPr>
          <w:color w:val="auto"/>
          <w:highlight w:val="none"/>
          <w:lang w:val="zh-CN"/>
        </w:rPr>
      </w:pPr>
    </w:p>
    <w:p>
      <w:pPr>
        <w:pStyle w:val="2"/>
        <w:ind w:firstLine="280"/>
        <w:rPr>
          <w:color w:val="auto"/>
          <w:highlight w:val="none"/>
          <w:lang w:val="zh-CN"/>
        </w:rPr>
      </w:pPr>
    </w:p>
    <w:p>
      <w:pPr>
        <w:spacing w:line="360" w:lineRule="auto"/>
        <w:rPr>
          <w:rFonts w:ascii="宋体" w:hAnsi="宋体"/>
          <w:b/>
          <w:bCs/>
          <w:color w:val="auto"/>
          <w:sz w:val="36"/>
          <w:szCs w:val="36"/>
          <w:highlight w:val="none"/>
        </w:rPr>
      </w:pPr>
    </w:p>
    <w:p>
      <w:pPr>
        <w:spacing w:line="360" w:lineRule="auto"/>
        <w:jc w:val="center"/>
        <w:rPr>
          <w:rFonts w:ascii="宋体" w:hAnsi="宋体"/>
          <w:b/>
          <w:bCs/>
          <w:color w:val="auto"/>
          <w:sz w:val="32"/>
          <w:szCs w:val="32"/>
          <w:highlight w:val="none"/>
        </w:rPr>
      </w:pPr>
    </w:p>
    <w:p>
      <w:pPr>
        <w:spacing w:line="360" w:lineRule="auto"/>
        <w:jc w:val="center"/>
        <w:rPr>
          <w:rFonts w:ascii="宋体" w:hAnsi="宋体"/>
          <w:b/>
          <w:bCs/>
          <w:color w:val="auto"/>
          <w:sz w:val="32"/>
          <w:szCs w:val="32"/>
          <w:highlight w:val="none"/>
        </w:rPr>
      </w:pPr>
    </w:p>
    <w:p>
      <w:pPr>
        <w:spacing w:line="360" w:lineRule="auto"/>
        <w:jc w:val="center"/>
        <w:rPr>
          <w:rFonts w:ascii="宋体" w:hAnsi="宋体"/>
          <w:b/>
          <w:bCs/>
          <w:color w:val="auto"/>
          <w:sz w:val="32"/>
          <w:szCs w:val="32"/>
          <w:highlight w:val="none"/>
        </w:rPr>
      </w:pPr>
    </w:p>
    <w:p>
      <w:pPr>
        <w:spacing w:line="360" w:lineRule="auto"/>
        <w:jc w:val="center"/>
        <w:rPr>
          <w:rFonts w:ascii="宋体" w:hAnsi="宋体"/>
          <w:b/>
          <w:bCs/>
          <w:color w:val="auto"/>
          <w:sz w:val="32"/>
          <w:szCs w:val="32"/>
          <w:highlight w:val="none"/>
        </w:rPr>
      </w:pPr>
    </w:p>
    <w:p>
      <w:pPr>
        <w:spacing w:line="360" w:lineRule="auto"/>
        <w:jc w:val="center"/>
        <w:rPr>
          <w:rFonts w:ascii="宋体" w:hAnsi="宋体"/>
          <w:b/>
          <w:bCs/>
          <w:color w:val="auto"/>
          <w:sz w:val="32"/>
          <w:szCs w:val="32"/>
          <w:highlight w:val="none"/>
        </w:rPr>
      </w:pPr>
    </w:p>
    <w:p>
      <w:pPr>
        <w:spacing w:line="360" w:lineRule="auto"/>
        <w:jc w:val="center"/>
        <w:rPr>
          <w:rFonts w:ascii="宋体" w:hAnsi="宋体"/>
          <w:b/>
          <w:bCs/>
          <w:color w:val="auto"/>
          <w:sz w:val="32"/>
          <w:szCs w:val="32"/>
          <w:highlight w:val="none"/>
        </w:rPr>
      </w:pPr>
    </w:p>
    <w:p>
      <w:pPr>
        <w:spacing w:line="360" w:lineRule="auto"/>
        <w:jc w:val="center"/>
        <w:rPr>
          <w:rFonts w:ascii="宋体" w:hAnsi="宋体"/>
          <w:b/>
          <w:bCs/>
          <w:color w:val="auto"/>
          <w:sz w:val="32"/>
          <w:szCs w:val="32"/>
          <w:highlight w:val="none"/>
        </w:rPr>
      </w:pP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4.9 中小企业声明函</w:t>
      </w:r>
    </w:p>
    <w:p>
      <w:pPr>
        <w:spacing w:line="360" w:lineRule="auto"/>
        <w:jc w:val="center"/>
        <w:rPr>
          <w:rFonts w:ascii="宋体" w:hAnsi="宋体"/>
          <w:b/>
          <w:bCs/>
          <w:color w:val="auto"/>
          <w:sz w:val="36"/>
          <w:szCs w:val="36"/>
          <w:highlight w:val="none"/>
        </w:rPr>
      </w:pPr>
    </w:p>
    <w:p>
      <w:pPr>
        <w:widowControl/>
        <w:spacing w:before="100" w:beforeAutospacing="1" w:after="100" w:afterAutospacing="1" w:line="360" w:lineRule="auto"/>
        <w:ind w:firstLine="42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highlight w:val="none"/>
        </w:rPr>
        <w:br w:type="textWrapping"/>
      </w:r>
      <w:r>
        <w:rPr>
          <w:rFonts w:hint="eastAsia" w:ascii="宋体" w:hAnsi="宋体" w:cs="Arial"/>
          <w:color w:val="auto"/>
          <w:kern w:val="0"/>
          <w:sz w:val="24"/>
          <w:highlight w:val="none"/>
        </w:rPr>
        <w:t>　　1.根据《工业和信息化部、国家统计局、国家发展和改革委员会、财政部关于印发中小企业划型标准规定的通知》（工信部联企业[2011]300号）规定的划分标准，</w:t>
      </w:r>
      <w:r>
        <w:rPr>
          <w:rFonts w:hint="eastAsia"/>
          <w:color w:val="auto"/>
          <w:sz w:val="24"/>
          <w:highlight w:val="none"/>
        </w:rPr>
        <w:t>按照《国家统计局关于印发统计上大中小微型企业划分办法的通知》（国统字</w:t>
      </w:r>
      <w:r>
        <w:rPr>
          <w:color w:val="auto"/>
          <w:sz w:val="24"/>
          <w:highlight w:val="none"/>
        </w:rPr>
        <w:t>[2011] 75</w:t>
      </w:r>
      <w:r>
        <w:rPr>
          <w:rFonts w:hint="eastAsia"/>
          <w:color w:val="auto"/>
          <w:sz w:val="24"/>
          <w:highlight w:val="none"/>
        </w:rPr>
        <w:t>号）规定，本公司所属行业为</w:t>
      </w:r>
      <w:r>
        <w:rPr>
          <w:color w:val="auto"/>
          <w:sz w:val="24"/>
          <w:highlight w:val="none"/>
        </w:rPr>
        <w:t>______</w:t>
      </w:r>
      <w:r>
        <w:rPr>
          <w:rFonts w:hint="eastAsia"/>
          <w:color w:val="auto"/>
          <w:sz w:val="24"/>
          <w:highlight w:val="none"/>
        </w:rPr>
        <w:t>，截至上一财年末，公司资产总额</w:t>
      </w:r>
      <w:r>
        <w:rPr>
          <w:color w:val="auto"/>
          <w:sz w:val="24"/>
          <w:highlight w:val="none"/>
        </w:rPr>
        <w:t>______</w:t>
      </w:r>
      <w:r>
        <w:rPr>
          <w:rFonts w:hint="eastAsia"/>
          <w:color w:val="auto"/>
          <w:sz w:val="24"/>
          <w:highlight w:val="none"/>
        </w:rPr>
        <w:t>万元，营业收入</w:t>
      </w:r>
      <w:r>
        <w:rPr>
          <w:color w:val="auto"/>
          <w:sz w:val="24"/>
          <w:highlight w:val="none"/>
        </w:rPr>
        <w:t>______</w:t>
      </w:r>
      <w:r>
        <w:rPr>
          <w:rFonts w:hint="eastAsia"/>
          <w:color w:val="auto"/>
          <w:sz w:val="24"/>
          <w:highlight w:val="none"/>
        </w:rPr>
        <w:t>万元，从业人员</w:t>
      </w:r>
      <w:r>
        <w:rPr>
          <w:color w:val="auto"/>
          <w:sz w:val="24"/>
          <w:highlight w:val="none"/>
        </w:rPr>
        <w:t>______</w:t>
      </w:r>
      <w:r>
        <w:rPr>
          <w:rFonts w:hint="eastAsia"/>
          <w:color w:val="auto"/>
          <w:sz w:val="24"/>
          <w:highlight w:val="none"/>
        </w:rPr>
        <w:t>人，</w:t>
      </w:r>
      <w:r>
        <w:rPr>
          <w:rFonts w:hint="eastAsia" w:ascii="宋体" w:hAnsi="宋体" w:cs="Arial"/>
          <w:color w:val="auto"/>
          <w:kern w:val="0"/>
          <w:sz w:val="24"/>
          <w:highlight w:val="none"/>
        </w:rPr>
        <w:t>本公司为______（请填写：中型、小型、微型）企业。　　</w:t>
      </w:r>
    </w:p>
    <w:p>
      <w:pPr>
        <w:widowControl/>
        <w:spacing w:before="100" w:beforeAutospacing="1" w:after="100" w:afterAutospacing="1" w:line="360" w:lineRule="auto"/>
        <w:ind w:firstLine="420"/>
        <w:contextualSpacing/>
        <w:jc w:val="left"/>
        <w:rPr>
          <w:color w:val="auto"/>
          <w:sz w:val="24"/>
          <w:highlight w:val="none"/>
        </w:rPr>
      </w:pPr>
      <w:r>
        <w:rPr>
          <w:color w:val="auto"/>
          <w:sz w:val="24"/>
          <w:highlight w:val="none"/>
        </w:rPr>
        <w:t>2.</w:t>
      </w:r>
      <w:r>
        <w:rPr>
          <w:rFonts w:hint="eastAsia"/>
          <w:color w:val="auto"/>
          <w:sz w:val="24"/>
          <w:highlight w:val="none"/>
        </w:rPr>
        <w:t>本公司参加</w:t>
      </w:r>
      <w:r>
        <w:rPr>
          <w:color w:val="auto"/>
          <w:sz w:val="24"/>
          <w:highlight w:val="none"/>
        </w:rPr>
        <w:t>______</w:t>
      </w:r>
      <w:r>
        <w:rPr>
          <w:rFonts w:hint="eastAsia"/>
          <w:color w:val="auto"/>
          <w:sz w:val="24"/>
          <w:highlight w:val="none"/>
        </w:rPr>
        <w:t>单位的</w:t>
      </w:r>
      <w:r>
        <w:rPr>
          <w:color w:val="auto"/>
          <w:sz w:val="24"/>
          <w:highlight w:val="none"/>
        </w:rPr>
        <w:t>______</w:t>
      </w:r>
      <w:r>
        <w:rPr>
          <w:rFonts w:hint="eastAsia"/>
          <w:color w:val="auto"/>
          <w:sz w:val="24"/>
          <w:highlight w:val="none"/>
        </w:rPr>
        <w:t>项目采购活动提供本企业制造的货物，由本企业承担工程、提供服务，或者提供其他</w:t>
      </w:r>
      <w:r>
        <w:rPr>
          <w:color w:val="auto"/>
          <w:sz w:val="24"/>
          <w:highlight w:val="none"/>
        </w:rPr>
        <w:t>______</w:t>
      </w:r>
      <w:r>
        <w:rPr>
          <w:rFonts w:hint="eastAsia"/>
          <w:color w:val="auto"/>
          <w:sz w:val="24"/>
          <w:highlight w:val="none"/>
        </w:rPr>
        <w:t>（请填写：中型、小型、微型）企业制造的货物。本条所称货物不包括使用大型企业注册商标的货物;</w:t>
      </w:r>
      <w:r>
        <w:rPr>
          <w:color w:val="auto"/>
          <w:sz w:val="24"/>
          <w:highlight w:val="none"/>
        </w:rPr>
        <w:t>小型、微型企业提供中型企业制造的货物的，视同为中型企业。</w:t>
      </w:r>
    </w:p>
    <w:p>
      <w:pPr>
        <w:pStyle w:val="26"/>
        <w:snapToGrid w:val="0"/>
        <w:spacing w:before="0" w:beforeAutospacing="0" w:after="0" w:afterAutospacing="0" w:line="480" w:lineRule="auto"/>
        <w:ind w:firstLine="560"/>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本公司</w:t>
      </w:r>
      <w:r>
        <w:rPr>
          <w:rFonts w:ascii="Times New Roman" w:hAnsi="Times New Roman" w:cs="Times New Roman"/>
          <w:color w:val="auto"/>
          <w:kern w:val="2"/>
          <w:highlight w:val="none"/>
        </w:rPr>
        <w:t>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highlight w:val="none"/>
        </w:rPr>
      </w:pPr>
    </w:p>
    <w:p>
      <w:pPr>
        <w:widowControl/>
        <w:spacing w:before="100" w:beforeAutospacing="1" w:after="100" w:afterAutospacing="1" w:line="360" w:lineRule="auto"/>
        <w:ind w:left="5775" w:leftChars="2750"/>
        <w:jc w:val="left"/>
        <w:rPr>
          <w:rFonts w:ascii="宋体" w:hAnsi="宋体" w:cs="Arial"/>
          <w:color w:val="auto"/>
          <w:kern w:val="0"/>
          <w:sz w:val="24"/>
          <w:highlight w:val="none"/>
        </w:rPr>
      </w:pPr>
      <w:r>
        <w:rPr>
          <w:rFonts w:hint="eastAsia" w:ascii="宋体" w:hAnsi="宋体" w:cs="Arial"/>
          <w:color w:val="auto"/>
          <w:kern w:val="0"/>
          <w:sz w:val="24"/>
          <w:highlight w:val="none"/>
        </w:rPr>
        <w:t>企业名称（盖章）：　　　　　　　　　</w:t>
      </w:r>
      <w:r>
        <w:rPr>
          <w:rFonts w:hint="eastAsia" w:ascii="宋体" w:hAnsi="宋体" w:cs="Arial"/>
          <w:color w:val="auto"/>
          <w:kern w:val="0"/>
          <w:sz w:val="24"/>
          <w:highlight w:val="none"/>
        </w:rPr>
        <w:br w:type="textWrapping"/>
      </w:r>
      <w:r>
        <w:rPr>
          <w:rFonts w:hint="eastAsia" w:ascii="宋体" w:hAnsi="宋体" w:cs="Arial"/>
          <w:color w:val="auto"/>
          <w:kern w:val="0"/>
          <w:sz w:val="24"/>
          <w:highlight w:val="none"/>
        </w:rPr>
        <w:t>日　  期：   年   月   日</w:t>
      </w:r>
    </w:p>
    <w:p>
      <w:pPr>
        <w:widowControl/>
        <w:spacing w:before="100" w:beforeAutospacing="1" w:after="100" w:afterAutospacing="1" w:line="360" w:lineRule="auto"/>
        <w:jc w:val="left"/>
        <w:rPr>
          <w:rFonts w:ascii="宋体" w:hAnsi="宋体"/>
          <w:color w:val="auto"/>
          <w:sz w:val="24"/>
          <w:highlight w:val="none"/>
        </w:rPr>
      </w:pPr>
    </w:p>
    <w:p>
      <w:pPr>
        <w:widowControl/>
        <w:spacing w:before="100" w:beforeAutospacing="1" w:after="100" w:afterAutospacing="1" w:line="360" w:lineRule="auto"/>
        <w:contextualSpacing/>
        <w:jc w:val="left"/>
        <w:rPr>
          <w:rFonts w:ascii="宋体" w:hAnsi="宋体"/>
          <w:color w:val="auto"/>
          <w:sz w:val="24"/>
          <w:highlight w:val="none"/>
        </w:rPr>
      </w:pPr>
      <w:r>
        <w:rPr>
          <w:rFonts w:hint="eastAsia" w:ascii="宋体" w:hAnsi="宋体"/>
          <w:color w:val="auto"/>
          <w:sz w:val="24"/>
          <w:highlight w:val="none"/>
        </w:rPr>
        <w:t>说明：</w:t>
      </w:r>
    </w:p>
    <w:p>
      <w:pPr>
        <w:widowControl/>
        <w:spacing w:before="100" w:beforeAutospacing="1" w:after="100" w:afterAutospacing="1" w:line="360" w:lineRule="auto"/>
        <w:ind w:firstLine="424" w:firstLineChars="177"/>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1、不属于中小企业划型标准确定的中小企业，不得按《关于印发中小企业划型标准规定的通知》规定声明为中小微企业，也不适用《政府采购促进中小企业发展暂行办法》。</w:t>
      </w:r>
    </w:p>
    <w:p>
      <w:pPr>
        <w:widowControl/>
        <w:spacing w:line="360" w:lineRule="auto"/>
        <w:ind w:firstLine="424" w:firstLineChars="177"/>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2、如投标人为联合投标的，联合投标人需分别填写上述《中小企业声明函》。</w:t>
      </w:r>
    </w:p>
    <w:p>
      <w:pPr>
        <w:pStyle w:val="2"/>
        <w:spacing w:line="360" w:lineRule="auto"/>
        <w:ind w:firstLineChars="175"/>
        <w:rPr>
          <w:rFonts w:ascii="宋体" w:hAnsi="宋体" w:eastAsia="宋体" w:cs="Arial"/>
          <w:color w:val="auto"/>
          <w:kern w:val="0"/>
          <w:sz w:val="24"/>
          <w:highlight w:val="none"/>
        </w:rPr>
      </w:pPr>
      <w:r>
        <w:rPr>
          <w:rFonts w:hint="eastAsia" w:ascii="宋体" w:hAnsi="宋体" w:eastAsia="宋体" w:cs="Arial"/>
          <w:color w:val="auto"/>
          <w:kern w:val="0"/>
          <w:sz w:val="24"/>
          <w:highlight w:val="none"/>
        </w:rPr>
        <w:t>3、小型和微型企业不包括民办非企业</w:t>
      </w:r>
    </w:p>
    <w:p>
      <w:pPr>
        <w:autoSpaceDE w:val="0"/>
        <w:autoSpaceDN w:val="0"/>
        <w:adjustRightInd w:val="0"/>
        <w:spacing w:line="360" w:lineRule="auto"/>
        <w:jc w:val="center"/>
        <w:outlineLvl w:val="0"/>
        <w:rPr>
          <w:rFonts w:ascii="宋体" w:hAnsi="宋体" w:cs="Arial"/>
          <w:color w:val="auto"/>
          <w:kern w:val="0"/>
          <w:sz w:val="24"/>
          <w:highlight w:val="none"/>
        </w:rPr>
      </w:pPr>
    </w:p>
    <w:p>
      <w:pPr>
        <w:spacing w:line="360" w:lineRule="auto"/>
        <w:rPr>
          <w:rFonts w:ascii="宋体" w:hAnsi="宋体"/>
          <w:b/>
          <w:bCs/>
          <w:color w:val="auto"/>
          <w:sz w:val="36"/>
          <w:szCs w:val="36"/>
          <w:highlight w:val="none"/>
        </w:rPr>
      </w:pPr>
      <w:bookmarkStart w:id="52" w:name="OLE_LINK13"/>
      <w:bookmarkStart w:id="53" w:name="OLE_LINK14"/>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4.10 残疾人福利性单位声明函</w:t>
      </w:r>
    </w:p>
    <w:bookmarkEnd w:id="52"/>
    <w:bookmarkEnd w:id="53"/>
    <w:p>
      <w:pPr>
        <w:spacing w:line="360" w:lineRule="auto"/>
        <w:rPr>
          <w:rFonts w:ascii="宋体" w:hAnsi="宋体"/>
          <w:color w:val="auto"/>
          <w:szCs w:val="21"/>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单位名称（盖章）：</w:t>
      </w:r>
    </w:p>
    <w:p>
      <w:pPr>
        <w:spacing w:line="360" w:lineRule="auto"/>
        <w:rPr>
          <w:rFonts w:ascii="宋体" w:hAnsi="宋体"/>
          <w:color w:val="auto"/>
          <w:sz w:val="24"/>
          <w:highlight w:val="none"/>
        </w:rPr>
      </w:pPr>
      <w:r>
        <w:rPr>
          <w:rFonts w:hint="eastAsia" w:ascii="宋体" w:hAnsi="宋体"/>
          <w:color w:val="auto"/>
          <w:sz w:val="24"/>
          <w:highlight w:val="none"/>
        </w:rPr>
        <w:t xml:space="preserve">                                    日    期：    年   月    日</w:t>
      </w:r>
    </w:p>
    <w:p>
      <w:pPr>
        <w:rPr>
          <w:color w:val="auto"/>
          <w:sz w:val="24"/>
          <w:highlight w:val="none"/>
        </w:rPr>
      </w:pPr>
    </w:p>
    <w:p>
      <w:pPr>
        <w:rPr>
          <w:color w:val="auto"/>
          <w:sz w:val="24"/>
          <w:highlight w:val="none"/>
        </w:rPr>
      </w:pPr>
      <w:r>
        <w:rPr>
          <w:rFonts w:hint="eastAsia"/>
          <w:color w:val="auto"/>
          <w:sz w:val="24"/>
          <w:highlight w:val="none"/>
        </w:rPr>
        <w:t>（如有须提供，否则无须提供）</w:t>
      </w:r>
    </w:p>
    <w:p>
      <w:pPr>
        <w:rPr>
          <w:color w:val="auto"/>
          <w:highlight w:val="none"/>
        </w:rPr>
      </w:pPr>
    </w:p>
    <w:p>
      <w:pPr>
        <w:pStyle w:val="2"/>
        <w:ind w:firstLine="0" w:firstLineChars="0"/>
        <w:rPr>
          <w:color w:val="auto"/>
          <w:highlight w:val="none"/>
        </w:rPr>
      </w:pPr>
    </w:p>
    <w:p>
      <w:pPr>
        <w:rPr>
          <w:color w:val="auto"/>
          <w:highlight w:val="none"/>
        </w:rPr>
      </w:pPr>
    </w:p>
    <w:p>
      <w:pPr>
        <w:pStyle w:val="2"/>
        <w:ind w:firstLine="280"/>
        <w:rPr>
          <w:color w:val="auto"/>
          <w:highlight w:val="none"/>
        </w:rPr>
      </w:pPr>
    </w:p>
    <w:p>
      <w:pPr>
        <w:pStyle w:val="2"/>
        <w:ind w:firstLine="280"/>
        <w:rPr>
          <w:color w:val="auto"/>
          <w:highlight w:val="none"/>
        </w:rPr>
      </w:pPr>
    </w:p>
    <w:p>
      <w:pPr>
        <w:pStyle w:val="2"/>
        <w:ind w:firstLine="280"/>
        <w:rPr>
          <w:color w:val="auto"/>
          <w:highlight w:val="none"/>
        </w:rPr>
      </w:pPr>
    </w:p>
    <w:p>
      <w:pPr>
        <w:widowControl/>
        <w:spacing w:before="100" w:beforeAutospacing="1" w:after="100" w:afterAutospacing="1"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 xml:space="preserve">4.11 所投产品符合国家强制性要求承诺函 </w:t>
      </w:r>
    </w:p>
    <w:p>
      <w:pPr>
        <w:spacing w:line="360" w:lineRule="auto"/>
        <w:ind w:firstLine="480"/>
        <w:jc w:val="center"/>
        <w:rPr>
          <w:rFonts w:ascii="宋体" w:hAnsi="宋体" w:cs="Arial"/>
          <w:color w:val="auto"/>
          <w:kern w:val="0"/>
          <w:sz w:val="24"/>
          <w:highlight w:val="none"/>
        </w:rPr>
      </w:pPr>
      <w:r>
        <w:rPr>
          <w:rFonts w:hint="eastAsia" w:ascii="宋体" w:hAnsi="宋体" w:cs="Arial"/>
          <w:color w:val="auto"/>
          <w:kern w:val="0"/>
          <w:sz w:val="24"/>
          <w:highlight w:val="none"/>
        </w:rPr>
        <w:t>投标人所投产品涉及国家有属强制性规定的，须承诺其所投产品符合国家强制性要求。</w:t>
      </w:r>
    </w:p>
    <w:p>
      <w:pPr>
        <w:spacing w:line="360" w:lineRule="auto"/>
        <w:ind w:firstLine="480"/>
        <w:jc w:val="center"/>
        <w:rPr>
          <w:rFonts w:ascii="宋体" w:hAnsi="宋体" w:cs="Arial"/>
          <w:color w:val="auto"/>
          <w:kern w:val="0"/>
          <w:sz w:val="24"/>
          <w:highlight w:val="none"/>
        </w:rPr>
      </w:pPr>
      <w:r>
        <w:rPr>
          <w:rFonts w:hint="eastAsia" w:ascii="宋体" w:hAnsi="宋体" w:cs="Arial"/>
          <w:color w:val="auto"/>
          <w:kern w:val="0"/>
          <w:sz w:val="24"/>
          <w:highlight w:val="none"/>
        </w:rPr>
        <w:t>（</w:t>
      </w:r>
      <w:r>
        <w:rPr>
          <w:rFonts w:hint="eastAsia" w:ascii="宋体" w:hAnsi="宋体" w:cs="Arial"/>
          <w:color w:val="auto"/>
          <w:kern w:val="0"/>
          <w:szCs w:val="21"/>
          <w:highlight w:val="none"/>
        </w:rPr>
        <w:t>如CCC认证，</w:t>
      </w:r>
      <w:r>
        <w:rPr>
          <w:rFonts w:hint="eastAsia" w:ascii="宋体" w:hAnsi="宋体" w:cs="Arial"/>
          <w:color w:val="auto"/>
          <w:kern w:val="0"/>
          <w:sz w:val="24"/>
          <w:highlight w:val="none"/>
        </w:rPr>
        <w:t>格式自拟）</w:t>
      </w:r>
    </w:p>
    <w:p>
      <w:pPr>
        <w:widowControl/>
        <w:spacing w:before="100" w:beforeAutospacing="1" w:after="100" w:afterAutospacing="1" w:line="360" w:lineRule="auto"/>
        <w:jc w:val="center"/>
        <w:rPr>
          <w:rFonts w:ascii="宋体" w:hAnsi="宋体"/>
          <w:b/>
          <w:bCs/>
          <w:color w:val="auto"/>
          <w:sz w:val="36"/>
          <w:szCs w:val="36"/>
          <w:highlight w:val="none"/>
        </w:rPr>
      </w:pPr>
    </w:p>
    <w:p>
      <w:pPr>
        <w:autoSpaceDE w:val="0"/>
        <w:autoSpaceDN w:val="0"/>
        <w:adjustRightInd w:val="0"/>
        <w:spacing w:line="360" w:lineRule="auto"/>
        <w:jc w:val="center"/>
        <w:rPr>
          <w:rFonts w:ascii="宋体" w:hAnsi="宋体" w:cs="黑体"/>
          <w:b/>
          <w:bCs/>
          <w:color w:val="auto"/>
          <w:sz w:val="36"/>
          <w:szCs w:val="36"/>
          <w:highlight w:val="none"/>
          <w:lang w:val="zh-CN"/>
        </w:rPr>
      </w:pPr>
    </w:p>
    <w:p>
      <w:pPr>
        <w:pStyle w:val="2"/>
        <w:ind w:firstLine="280"/>
        <w:rPr>
          <w:color w:val="auto"/>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p>
    <w:p>
      <w:pPr>
        <w:autoSpaceDE w:val="0"/>
        <w:autoSpaceDN w:val="0"/>
        <w:adjustRightInd w:val="0"/>
        <w:spacing w:line="360" w:lineRule="auto"/>
        <w:jc w:val="center"/>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五、</w:t>
      </w:r>
      <w:r>
        <w:rPr>
          <w:rFonts w:ascii="宋体" w:hAnsi="宋体" w:cs="黑体"/>
          <w:b/>
          <w:color w:val="auto"/>
          <w:sz w:val="32"/>
          <w:szCs w:val="32"/>
          <w:highlight w:val="none"/>
          <w:lang w:val="zh-CN"/>
        </w:rPr>
        <w:t>其他资料（若有）</w:t>
      </w:r>
    </w:p>
    <w:p>
      <w:pPr>
        <w:rPr>
          <w:color w:val="auto"/>
          <w:highlight w:val="none"/>
        </w:rPr>
      </w:pPr>
    </w:p>
    <w:p>
      <w:pPr>
        <w:spacing w:line="360" w:lineRule="auto"/>
        <w:ind w:firstLine="482" w:firstLineChars="200"/>
        <w:jc w:val="left"/>
        <w:rPr>
          <w:rFonts w:ascii="宋体" w:hAnsi="宋体"/>
          <w:b/>
          <w:bCs/>
          <w:color w:val="auto"/>
          <w:sz w:val="24"/>
          <w:highlight w:val="none"/>
        </w:rPr>
      </w:pPr>
      <w:r>
        <w:rPr>
          <w:rFonts w:ascii="宋体" w:hAnsi="宋体"/>
          <w:b/>
          <w:bCs/>
          <w:color w:val="auto"/>
          <w:sz w:val="24"/>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1680" w:firstLineChars="700"/>
        <w:rPr>
          <w:rFonts w:ascii="宋体" w:hAnsi="宋体" w:cs="宋体"/>
          <w:color w:val="auto"/>
          <w:sz w:val="24"/>
          <w:highlight w:val="none"/>
        </w:rPr>
      </w:pPr>
    </w:p>
    <w:sectPr>
      <w:footerReference r:id="rId7"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ascii="宋体" w:hAnsi="宋体" w:eastAsia="宋体" w:cs="宋体"/>
        <w:sz w:val="24"/>
        <w:szCs w:val="24"/>
        <w:lang w:val="en-US" w:eastAsia="zh-CN"/>
      </w:rPr>
    </w:pPr>
    <w:r>
      <w:rPr>
        <w:rFonts w:hint="eastAsia" w:ascii="宋体" w:hAnsi="宋体" w:eastAsia="宋体" w:cs="宋体"/>
        <w:sz w:val="24"/>
        <w:szCs w:val="24"/>
        <w:lang w:eastAsia="zh-CN"/>
      </w:rPr>
      <w:t>河南慧霖工程管理服务有限公司</w:t>
    </w:r>
    <w:r>
      <w:rPr>
        <w:rFonts w:hint="eastAsia" w:ascii="宋体" w:hAnsi="宋体" w:eastAsia="宋体" w:cs="宋体"/>
        <w:sz w:val="24"/>
        <w:szCs w:val="24"/>
        <w:lang w:val="en-US" w:eastAsia="zh-CN"/>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idowControl w:val="0"/>
      <w:pBdr>
        <w:top w:val="single" w:color="auto" w:sz="4" w:space="1"/>
        <w:left w:val="none" w:color="auto" w:sz="0" w:space="4"/>
        <w:bottom w:val="none" w:color="auto" w:sz="0" w:space="1"/>
        <w:right w:val="none" w:color="auto" w:sz="0" w:space="4"/>
        <w:between w:val="none" w:color="auto" w:sz="0" w:space="0"/>
      </w:pBdr>
      <w:snapToGrid w:val="0"/>
      <w:jc w:val="left"/>
    </w:pPr>
    <w:r>
      <w:rPr>
        <w:sz w:val="24"/>
      </w:rPr>
      <w:pict>
        <v:shape id="_x0000_s4102" o:spid="_x0000_s4102" o:spt="202" type="#_x0000_t202" style="position:absolute;left:0pt;margin-left:239.1pt;margin-top:0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ascii="宋体" w:hAnsi="宋体" w:eastAsia="宋体" w:cs="宋体"/>
        <w:sz w:val="24"/>
        <w:szCs w:val="24"/>
        <w:lang w:eastAsia="zh-CN"/>
      </w:rPr>
      <w:t>河南慧霖工程管理服务有限公司</w:t>
    </w:r>
    <w:r>
      <w:rPr>
        <w:rFonts w:hint="eastAsia" w:ascii="宋体" w:hAnsi="宋体" w:eastAsia="宋体" w:cs="宋体"/>
        <w:sz w:val="24"/>
        <w:szCs w:val="24"/>
        <w:lang w:val="en-US" w:eastAsia="zh-CN"/>
      </w:rPr>
      <w:t xml:space="preserve">                                0375-6161678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eastAsia="宋体"/>
        <w:sz w:val="24"/>
        <w:szCs w:val="24"/>
        <w:lang w:val="en-US" w:eastAsia="zh-CN"/>
      </w:rPr>
    </w:pPr>
    <w:r>
      <w:rPr>
        <w:rFonts w:hint="eastAsia"/>
        <w:sz w:val="24"/>
        <w:szCs w:val="24"/>
      </w:rPr>
      <w:t>襄城县医疗健康集团区域信息化工程</w:t>
    </w:r>
    <w:r>
      <w:rPr>
        <w:rFonts w:hint="eastAsia"/>
        <w:sz w:val="24"/>
        <w:szCs w:val="24"/>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E734ED"/>
    <w:multiLevelType w:val="multilevel"/>
    <w:tmpl w:val="1AE734E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1986"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59F817E8"/>
    <w:multiLevelType w:val="singleLevel"/>
    <w:tmpl w:val="59F817E8"/>
    <w:lvl w:ilvl="0" w:tentative="0">
      <w:start w:val="1"/>
      <w:numFmt w:val="chineseCounting"/>
      <w:pStyle w:val="57"/>
      <w:suff w:val="nothing"/>
      <w:lvlText w:val="%1、"/>
      <w:lvlJc w:val="left"/>
    </w:lvl>
  </w:abstractNum>
  <w:abstractNum w:abstractNumId="3">
    <w:nsid w:val="5AA77FB2"/>
    <w:multiLevelType w:val="singleLevel"/>
    <w:tmpl w:val="5AA77FB2"/>
    <w:lvl w:ilvl="0" w:tentative="0">
      <w:start w:val="3"/>
      <w:numFmt w:val="decimal"/>
      <w:suff w:val="nothing"/>
      <w:lvlText w:val="%1、"/>
      <w:lvlJc w:val="left"/>
    </w:lvl>
  </w:abstractNum>
  <w:abstractNum w:abstractNumId="4">
    <w:nsid w:val="5EED06C2"/>
    <w:multiLevelType w:val="multilevel"/>
    <w:tmpl w:val="5EED06C2"/>
    <w:lvl w:ilvl="0" w:tentative="0">
      <w:start w:val="1"/>
      <w:numFmt w:val="decimal"/>
      <w:pStyle w:val="6"/>
      <w:lvlText w:val="%1"/>
      <w:lvlJc w:val="left"/>
      <w:pPr>
        <w:ind w:left="574" w:hanging="432"/>
      </w:pPr>
    </w:lvl>
    <w:lvl w:ilvl="1" w:tentative="0">
      <w:start w:val="1"/>
      <w:numFmt w:val="decimal"/>
      <w:lvlText w:val="%1.%2"/>
      <w:lvlJc w:val="left"/>
      <w:pPr>
        <w:ind w:left="576" w:hanging="576"/>
      </w:pPr>
    </w:lvl>
    <w:lvl w:ilvl="2" w:tentative="0">
      <w:start w:val="1"/>
      <w:numFmt w:val="decimal"/>
      <w:pStyle w:val="8"/>
      <w:lvlText w:val="%1.%2.%3"/>
      <w:lvlJc w:val="left"/>
      <w:pPr>
        <w:ind w:left="720" w:hanging="720"/>
      </w:pPr>
    </w:lvl>
    <w:lvl w:ilvl="3" w:tentative="0">
      <w:start w:val="1"/>
      <w:numFmt w:val="decimal"/>
      <w:pStyle w:val="9"/>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7EC2"/>
    <w:rsid w:val="000167FA"/>
    <w:rsid w:val="00017F37"/>
    <w:rsid w:val="000205F9"/>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30EC0"/>
    <w:rsid w:val="001341E6"/>
    <w:rsid w:val="001435FF"/>
    <w:rsid w:val="00143653"/>
    <w:rsid w:val="00145592"/>
    <w:rsid w:val="001479F1"/>
    <w:rsid w:val="00151316"/>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54"/>
    <w:rsid w:val="001F376C"/>
    <w:rsid w:val="001F61E1"/>
    <w:rsid w:val="0020019A"/>
    <w:rsid w:val="00212569"/>
    <w:rsid w:val="00213BF8"/>
    <w:rsid w:val="00225314"/>
    <w:rsid w:val="0022594E"/>
    <w:rsid w:val="00227EE4"/>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C29DC"/>
    <w:rsid w:val="002D31F9"/>
    <w:rsid w:val="002E3407"/>
    <w:rsid w:val="002F3D8B"/>
    <w:rsid w:val="002F659C"/>
    <w:rsid w:val="003004C3"/>
    <w:rsid w:val="00302D2E"/>
    <w:rsid w:val="003123CC"/>
    <w:rsid w:val="00316472"/>
    <w:rsid w:val="0032335C"/>
    <w:rsid w:val="0032592B"/>
    <w:rsid w:val="00330C3C"/>
    <w:rsid w:val="00331297"/>
    <w:rsid w:val="003434AF"/>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128D"/>
    <w:rsid w:val="003D746A"/>
    <w:rsid w:val="003E18AB"/>
    <w:rsid w:val="003E2F0E"/>
    <w:rsid w:val="003F156D"/>
    <w:rsid w:val="003F3CF0"/>
    <w:rsid w:val="003F5CFD"/>
    <w:rsid w:val="00401970"/>
    <w:rsid w:val="00403727"/>
    <w:rsid w:val="00407F2F"/>
    <w:rsid w:val="00416424"/>
    <w:rsid w:val="00416DDC"/>
    <w:rsid w:val="00425FE4"/>
    <w:rsid w:val="004539E3"/>
    <w:rsid w:val="00453E70"/>
    <w:rsid w:val="004556E0"/>
    <w:rsid w:val="0045778F"/>
    <w:rsid w:val="00460F3C"/>
    <w:rsid w:val="0046291C"/>
    <w:rsid w:val="00465FF4"/>
    <w:rsid w:val="004710AD"/>
    <w:rsid w:val="00472537"/>
    <w:rsid w:val="004739E2"/>
    <w:rsid w:val="004814FF"/>
    <w:rsid w:val="00487AB2"/>
    <w:rsid w:val="00490896"/>
    <w:rsid w:val="00496D0A"/>
    <w:rsid w:val="004B7FAC"/>
    <w:rsid w:val="004C0F31"/>
    <w:rsid w:val="004C78A2"/>
    <w:rsid w:val="004D529F"/>
    <w:rsid w:val="004D6F13"/>
    <w:rsid w:val="004D7CAE"/>
    <w:rsid w:val="004E0400"/>
    <w:rsid w:val="004E328B"/>
    <w:rsid w:val="004E462D"/>
    <w:rsid w:val="004E5DB6"/>
    <w:rsid w:val="00511304"/>
    <w:rsid w:val="00513984"/>
    <w:rsid w:val="00514FDA"/>
    <w:rsid w:val="00524499"/>
    <w:rsid w:val="00524C8B"/>
    <w:rsid w:val="005270E9"/>
    <w:rsid w:val="00527B80"/>
    <w:rsid w:val="005379DA"/>
    <w:rsid w:val="00560632"/>
    <w:rsid w:val="00560DF1"/>
    <w:rsid w:val="00565B2C"/>
    <w:rsid w:val="00572252"/>
    <w:rsid w:val="00580D12"/>
    <w:rsid w:val="00583E60"/>
    <w:rsid w:val="0058473E"/>
    <w:rsid w:val="00595E0E"/>
    <w:rsid w:val="005A49AB"/>
    <w:rsid w:val="005A62D3"/>
    <w:rsid w:val="005B1475"/>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2995"/>
    <w:rsid w:val="00643F50"/>
    <w:rsid w:val="00653442"/>
    <w:rsid w:val="0066677E"/>
    <w:rsid w:val="00667497"/>
    <w:rsid w:val="00671F2F"/>
    <w:rsid w:val="00672EE3"/>
    <w:rsid w:val="006835FE"/>
    <w:rsid w:val="00684810"/>
    <w:rsid w:val="0069043D"/>
    <w:rsid w:val="006A04A4"/>
    <w:rsid w:val="006C732C"/>
    <w:rsid w:val="006D43E2"/>
    <w:rsid w:val="006D658F"/>
    <w:rsid w:val="006D71DF"/>
    <w:rsid w:val="006E0A89"/>
    <w:rsid w:val="006E490C"/>
    <w:rsid w:val="00701235"/>
    <w:rsid w:val="007116C7"/>
    <w:rsid w:val="00717EC2"/>
    <w:rsid w:val="00720046"/>
    <w:rsid w:val="00724926"/>
    <w:rsid w:val="00731326"/>
    <w:rsid w:val="0075709F"/>
    <w:rsid w:val="0077601F"/>
    <w:rsid w:val="00781B58"/>
    <w:rsid w:val="007901F5"/>
    <w:rsid w:val="007A254D"/>
    <w:rsid w:val="007A3DAE"/>
    <w:rsid w:val="007B5143"/>
    <w:rsid w:val="007C1B3D"/>
    <w:rsid w:val="007C1C66"/>
    <w:rsid w:val="007D7567"/>
    <w:rsid w:val="007E13A3"/>
    <w:rsid w:val="007E214D"/>
    <w:rsid w:val="007F7993"/>
    <w:rsid w:val="008012DD"/>
    <w:rsid w:val="008014A5"/>
    <w:rsid w:val="008039C3"/>
    <w:rsid w:val="00815A50"/>
    <w:rsid w:val="00835D8B"/>
    <w:rsid w:val="00836154"/>
    <w:rsid w:val="00836DAC"/>
    <w:rsid w:val="00837F58"/>
    <w:rsid w:val="00845E5C"/>
    <w:rsid w:val="008508CA"/>
    <w:rsid w:val="008604D1"/>
    <w:rsid w:val="00872F5A"/>
    <w:rsid w:val="00876029"/>
    <w:rsid w:val="008A1E52"/>
    <w:rsid w:val="008A76BB"/>
    <w:rsid w:val="008B4826"/>
    <w:rsid w:val="008C65F5"/>
    <w:rsid w:val="008D2100"/>
    <w:rsid w:val="008D35EA"/>
    <w:rsid w:val="008F2A72"/>
    <w:rsid w:val="008F3DE1"/>
    <w:rsid w:val="008F7AC8"/>
    <w:rsid w:val="00902C6E"/>
    <w:rsid w:val="00906567"/>
    <w:rsid w:val="0091128C"/>
    <w:rsid w:val="00914F8B"/>
    <w:rsid w:val="0091656C"/>
    <w:rsid w:val="00920C65"/>
    <w:rsid w:val="00920E00"/>
    <w:rsid w:val="00925F20"/>
    <w:rsid w:val="00932BA8"/>
    <w:rsid w:val="00934B58"/>
    <w:rsid w:val="00935AE0"/>
    <w:rsid w:val="0094324B"/>
    <w:rsid w:val="009566CF"/>
    <w:rsid w:val="009635D9"/>
    <w:rsid w:val="00970866"/>
    <w:rsid w:val="009879FC"/>
    <w:rsid w:val="00991785"/>
    <w:rsid w:val="0099480F"/>
    <w:rsid w:val="009978AF"/>
    <w:rsid w:val="009A04D9"/>
    <w:rsid w:val="009B0622"/>
    <w:rsid w:val="009B4DE0"/>
    <w:rsid w:val="009C0815"/>
    <w:rsid w:val="009C7D02"/>
    <w:rsid w:val="009D55B1"/>
    <w:rsid w:val="009D74B2"/>
    <w:rsid w:val="009E65B2"/>
    <w:rsid w:val="009F0F67"/>
    <w:rsid w:val="009F3028"/>
    <w:rsid w:val="009F36BC"/>
    <w:rsid w:val="00A017F8"/>
    <w:rsid w:val="00A02F9E"/>
    <w:rsid w:val="00A05C92"/>
    <w:rsid w:val="00A17730"/>
    <w:rsid w:val="00A17A75"/>
    <w:rsid w:val="00A2547B"/>
    <w:rsid w:val="00A36825"/>
    <w:rsid w:val="00A4353B"/>
    <w:rsid w:val="00A52BE7"/>
    <w:rsid w:val="00A53FC4"/>
    <w:rsid w:val="00A55BAE"/>
    <w:rsid w:val="00A6721F"/>
    <w:rsid w:val="00A72373"/>
    <w:rsid w:val="00A723F8"/>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11EF"/>
    <w:rsid w:val="00B93135"/>
    <w:rsid w:val="00BA244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0D07"/>
    <w:rsid w:val="00C015B2"/>
    <w:rsid w:val="00C03153"/>
    <w:rsid w:val="00C1584A"/>
    <w:rsid w:val="00C25C51"/>
    <w:rsid w:val="00C26DEE"/>
    <w:rsid w:val="00C437BA"/>
    <w:rsid w:val="00C60856"/>
    <w:rsid w:val="00C63211"/>
    <w:rsid w:val="00C71B25"/>
    <w:rsid w:val="00C75F43"/>
    <w:rsid w:val="00C84739"/>
    <w:rsid w:val="00C92C4F"/>
    <w:rsid w:val="00C973FA"/>
    <w:rsid w:val="00C97F9B"/>
    <w:rsid w:val="00CB1DB0"/>
    <w:rsid w:val="00CB3CD0"/>
    <w:rsid w:val="00CB42C7"/>
    <w:rsid w:val="00CB7250"/>
    <w:rsid w:val="00CC085E"/>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4957"/>
    <w:rsid w:val="00D476CF"/>
    <w:rsid w:val="00D52012"/>
    <w:rsid w:val="00D5283F"/>
    <w:rsid w:val="00D53FCE"/>
    <w:rsid w:val="00D54ECA"/>
    <w:rsid w:val="00D606ED"/>
    <w:rsid w:val="00D747CC"/>
    <w:rsid w:val="00D77E94"/>
    <w:rsid w:val="00D77F0E"/>
    <w:rsid w:val="00D81713"/>
    <w:rsid w:val="00D83AF8"/>
    <w:rsid w:val="00D87E23"/>
    <w:rsid w:val="00DA4160"/>
    <w:rsid w:val="00DA5999"/>
    <w:rsid w:val="00DB6A2D"/>
    <w:rsid w:val="00DD53EF"/>
    <w:rsid w:val="00DD6224"/>
    <w:rsid w:val="00DE0C6A"/>
    <w:rsid w:val="00DE5CC7"/>
    <w:rsid w:val="00DE77E5"/>
    <w:rsid w:val="00DF124C"/>
    <w:rsid w:val="00DF1EDE"/>
    <w:rsid w:val="00DF2C4C"/>
    <w:rsid w:val="00E01286"/>
    <w:rsid w:val="00E01365"/>
    <w:rsid w:val="00E02DF5"/>
    <w:rsid w:val="00E046F7"/>
    <w:rsid w:val="00E06368"/>
    <w:rsid w:val="00E13591"/>
    <w:rsid w:val="00E135FE"/>
    <w:rsid w:val="00E31156"/>
    <w:rsid w:val="00E35F6C"/>
    <w:rsid w:val="00E36623"/>
    <w:rsid w:val="00E45B83"/>
    <w:rsid w:val="00E523D6"/>
    <w:rsid w:val="00E55F2D"/>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91716"/>
    <w:rsid w:val="00FA239E"/>
    <w:rsid w:val="00FB1B1D"/>
    <w:rsid w:val="00FC0B45"/>
    <w:rsid w:val="00FC66E6"/>
    <w:rsid w:val="00FD78B2"/>
    <w:rsid w:val="00FE1DCD"/>
    <w:rsid w:val="00FE2ED9"/>
    <w:rsid w:val="00FE423F"/>
    <w:rsid w:val="03B0042F"/>
    <w:rsid w:val="04A80C46"/>
    <w:rsid w:val="05C97598"/>
    <w:rsid w:val="05E01F9F"/>
    <w:rsid w:val="072A0BC4"/>
    <w:rsid w:val="08E304AE"/>
    <w:rsid w:val="090F4139"/>
    <w:rsid w:val="0A52091D"/>
    <w:rsid w:val="0C684552"/>
    <w:rsid w:val="0DF13C0A"/>
    <w:rsid w:val="0E385942"/>
    <w:rsid w:val="1256026D"/>
    <w:rsid w:val="15C8412E"/>
    <w:rsid w:val="15E338CB"/>
    <w:rsid w:val="17A72018"/>
    <w:rsid w:val="1C694849"/>
    <w:rsid w:val="1C6F412D"/>
    <w:rsid w:val="1FE03450"/>
    <w:rsid w:val="211750F0"/>
    <w:rsid w:val="215431EC"/>
    <w:rsid w:val="219F12A1"/>
    <w:rsid w:val="21A21113"/>
    <w:rsid w:val="2BD256A3"/>
    <w:rsid w:val="2BE672BD"/>
    <w:rsid w:val="2D9C4085"/>
    <w:rsid w:val="31B040F8"/>
    <w:rsid w:val="32120D69"/>
    <w:rsid w:val="34CE6D2E"/>
    <w:rsid w:val="35995D5C"/>
    <w:rsid w:val="368C6F32"/>
    <w:rsid w:val="38390F85"/>
    <w:rsid w:val="3A6E6635"/>
    <w:rsid w:val="3CC07FD1"/>
    <w:rsid w:val="3DB2558E"/>
    <w:rsid w:val="3F913D65"/>
    <w:rsid w:val="418B0C44"/>
    <w:rsid w:val="447F7420"/>
    <w:rsid w:val="462C5C43"/>
    <w:rsid w:val="47FE7ACB"/>
    <w:rsid w:val="49375749"/>
    <w:rsid w:val="4A663EF4"/>
    <w:rsid w:val="4AA77EAE"/>
    <w:rsid w:val="4DC67281"/>
    <w:rsid w:val="50073D81"/>
    <w:rsid w:val="54430652"/>
    <w:rsid w:val="54D458B9"/>
    <w:rsid w:val="56BF4704"/>
    <w:rsid w:val="587B03D0"/>
    <w:rsid w:val="58F419C5"/>
    <w:rsid w:val="5B3333C9"/>
    <w:rsid w:val="5D08444E"/>
    <w:rsid w:val="638A2B19"/>
    <w:rsid w:val="644870FB"/>
    <w:rsid w:val="68A43279"/>
    <w:rsid w:val="697F6D2A"/>
    <w:rsid w:val="6A2B7C8D"/>
    <w:rsid w:val="6B58470E"/>
    <w:rsid w:val="6CBF7319"/>
    <w:rsid w:val="6DD65FBA"/>
    <w:rsid w:val="6F007468"/>
    <w:rsid w:val="6F504B6D"/>
    <w:rsid w:val="738E02FB"/>
    <w:rsid w:val="746D424C"/>
    <w:rsid w:val="760F5C7F"/>
    <w:rsid w:val="78B95C90"/>
    <w:rsid w:val="7C74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0" w:name="annotation text"/>
    <w:lsdException w:qFormat="1"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qFormat="1" w:uiPriority="99"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iPriority="99"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8"/>
    <w:qFormat/>
    <w:uiPriority w:val="9"/>
    <w:pPr>
      <w:keepNext/>
      <w:keepLines/>
      <w:numPr>
        <w:ilvl w:val="0"/>
        <w:numId w:val="1"/>
      </w:numPr>
      <w:spacing w:before="160" w:after="160" w:line="360" w:lineRule="auto"/>
      <w:ind w:left="573" w:hanging="431"/>
      <w:outlineLvl w:val="0"/>
    </w:pPr>
    <w:rPr>
      <w:rFonts w:ascii="Arial" w:hAnsi="Arial" w:eastAsia="宋体" w:cs="黑体"/>
      <w:b/>
      <w:bCs/>
      <w:kern w:val="44"/>
      <w:sz w:val="30"/>
      <w:szCs w:val="44"/>
      <w:lang w:val="en-US" w:eastAsia="zh-CN" w:bidi="ar-SA"/>
    </w:rPr>
  </w:style>
  <w:style w:type="paragraph" w:styleId="7">
    <w:name w:val="heading 2"/>
    <w:basedOn w:val="1"/>
    <w:next w:val="1"/>
    <w:link w:val="39"/>
    <w:qFormat/>
    <w:uiPriority w:val="0"/>
    <w:pPr>
      <w:keepNext/>
      <w:keepLines/>
      <w:spacing w:before="260" w:after="260" w:line="413" w:lineRule="auto"/>
      <w:outlineLvl w:val="1"/>
    </w:pPr>
    <w:rPr>
      <w:rFonts w:ascii="Arial" w:hAnsi="Arial" w:eastAsia="黑体"/>
      <w:b/>
      <w:kern w:val="0"/>
      <w:sz w:val="32"/>
      <w:szCs w:val="20"/>
    </w:rPr>
  </w:style>
  <w:style w:type="paragraph" w:styleId="8">
    <w:name w:val="heading 3"/>
    <w:basedOn w:val="1"/>
    <w:next w:val="1"/>
    <w:link w:val="40"/>
    <w:unhideWhenUsed/>
    <w:qFormat/>
    <w:uiPriority w:val="0"/>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paragraph" w:styleId="9">
    <w:name w:val="heading 4"/>
    <w:basedOn w:val="1"/>
    <w:next w:val="1"/>
    <w:link w:val="41"/>
    <w:unhideWhenUsed/>
    <w:qFormat/>
    <w:uiPriority w:val="0"/>
    <w:pPr>
      <w:keepNext/>
      <w:keepLines/>
      <w:numPr>
        <w:ilvl w:val="3"/>
        <w:numId w:val="1"/>
      </w:numPr>
      <w:spacing w:before="60" w:after="60" w:line="360" w:lineRule="auto"/>
      <w:ind w:left="862" w:hanging="862"/>
      <w:outlineLvl w:val="3"/>
    </w:pPr>
    <w:rPr>
      <w:rFonts w:ascii="Arial" w:hAnsi="Arial" w:eastAsia="宋体" w:cs="黑体"/>
      <w:b/>
      <w:bCs/>
      <w:kern w:val="2"/>
      <w:sz w:val="24"/>
      <w:szCs w:val="28"/>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37"/>
    <w:unhideWhenUsed/>
    <w:qFormat/>
    <w:uiPriority w:val="99"/>
    <w:pPr>
      <w:ind w:firstLine="420" w:firstLineChars="100"/>
    </w:pPr>
    <w:rPr>
      <w:rFonts w:eastAsia="仿宋_GB2312"/>
      <w:sz w:val="28"/>
    </w:rPr>
  </w:style>
  <w:style w:type="paragraph" w:styleId="3">
    <w:name w:val="Body Text"/>
    <w:basedOn w:val="1"/>
    <w:link w:val="36"/>
    <w:unhideWhenUsed/>
    <w:qFormat/>
    <w:uiPriority w:val="99"/>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link w:val="101"/>
    <w:semiHidden/>
    <w:unhideWhenUsed/>
    <w:qFormat/>
    <w:uiPriority w:val="0"/>
    <w:pPr>
      <w:spacing w:after="120"/>
      <w:ind w:left="420" w:leftChars="200"/>
    </w:pPr>
  </w:style>
  <w:style w:type="paragraph" w:styleId="10">
    <w:name w:val="Normal Indent"/>
    <w:basedOn w:val="1"/>
    <w:unhideWhenUsed/>
    <w:qFormat/>
    <w:uiPriority w:val="0"/>
    <w:pPr>
      <w:ind w:firstLine="420"/>
    </w:pPr>
    <w:rPr>
      <w:szCs w:val="20"/>
    </w:rPr>
  </w:style>
  <w:style w:type="paragraph" w:styleId="11">
    <w:name w:val="caption"/>
    <w:basedOn w:val="1"/>
    <w:next w:val="1"/>
    <w:unhideWhenUsed/>
    <w:qFormat/>
    <w:uiPriority w:val="0"/>
    <w:rPr>
      <w:rFonts w:ascii="Arial" w:hAnsi="Arial" w:eastAsia="黑体" w:cs="Arial"/>
      <w:sz w:val="20"/>
      <w:szCs w:val="20"/>
    </w:rPr>
  </w:style>
  <w:style w:type="paragraph" w:styleId="12">
    <w:name w:val="Document Map"/>
    <w:basedOn w:val="1"/>
    <w:link w:val="94"/>
    <w:unhideWhenUsed/>
    <w:qFormat/>
    <w:uiPriority w:val="99"/>
    <w:rPr>
      <w:rFonts w:ascii="宋体" w:hAnsi="Calibri"/>
      <w:sz w:val="18"/>
      <w:szCs w:val="18"/>
    </w:rPr>
  </w:style>
  <w:style w:type="paragraph" w:styleId="13">
    <w:name w:val="annotation text"/>
    <w:basedOn w:val="1"/>
    <w:semiHidden/>
    <w:unhideWhenUsed/>
    <w:qFormat/>
    <w:uiPriority w:val="0"/>
    <w:pPr>
      <w:jc w:val="left"/>
    </w:pPr>
  </w:style>
  <w:style w:type="paragraph" w:styleId="14">
    <w:name w:val="Body Text 3"/>
    <w:basedOn w:val="1"/>
    <w:link w:val="92"/>
    <w:qFormat/>
    <w:uiPriority w:val="0"/>
    <w:rPr>
      <w:color w:val="FF0000"/>
      <w:kern w:val="0"/>
      <w:sz w:val="24"/>
    </w:rPr>
  </w:style>
  <w:style w:type="paragraph" w:styleId="15">
    <w:name w:val="toc 5"/>
    <w:basedOn w:val="1"/>
    <w:next w:val="1"/>
    <w:qFormat/>
    <w:uiPriority w:val="39"/>
    <w:pPr>
      <w:spacing w:line="276" w:lineRule="auto"/>
      <w:ind w:left="960"/>
      <w:jc w:val="center"/>
    </w:pPr>
    <w:rPr>
      <w:b/>
      <w:color w:val="000000"/>
      <w:sz w:val="36"/>
      <w:szCs w:val="36"/>
    </w:rPr>
  </w:style>
  <w:style w:type="paragraph" w:styleId="16">
    <w:name w:val="toc 3"/>
    <w:basedOn w:val="1"/>
    <w:next w:val="1"/>
    <w:qFormat/>
    <w:uiPriority w:val="39"/>
    <w:pPr>
      <w:ind w:left="480"/>
      <w:jc w:val="left"/>
    </w:pPr>
    <w:rPr>
      <w:i/>
      <w:iCs/>
      <w:color w:val="0000FF"/>
      <w:sz w:val="20"/>
      <w:szCs w:val="20"/>
    </w:rPr>
  </w:style>
  <w:style w:type="paragraph" w:styleId="17">
    <w:name w:val="Plain Text"/>
    <w:basedOn w:val="1"/>
    <w:link w:val="42"/>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8">
    <w:name w:val="Date"/>
    <w:basedOn w:val="1"/>
    <w:next w:val="1"/>
    <w:link w:val="88"/>
    <w:unhideWhenUsed/>
    <w:qFormat/>
    <w:uiPriority w:val="99"/>
    <w:pPr>
      <w:ind w:left="100" w:leftChars="2500"/>
    </w:pPr>
    <w:rPr>
      <w:rFonts w:ascii="Calibri" w:hAnsi="Calibri"/>
      <w:szCs w:val="22"/>
    </w:rPr>
  </w:style>
  <w:style w:type="paragraph" w:styleId="19">
    <w:name w:val="Body Text Indent 2"/>
    <w:basedOn w:val="1"/>
    <w:link w:val="100"/>
    <w:unhideWhenUsed/>
    <w:qFormat/>
    <w:uiPriority w:val="99"/>
    <w:pPr>
      <w:widowControl/>
      <w:adjustRightInd w:val="0"/>
      <w:snapToGrid w:val="0"/>
      <w:spacing w:after="200"/>
      <w:ind w:firstLine="570"/>
      <w:jc w:val="left"/>
    </w:pPr>
    <w:rPr>
      <w:rFonts w:ascii="Tahoma" w:hAnsi="Tahoma" w:eastAsia="仿宋" w:cs="宋体"/>
      <w:kern w:val="0"/>
      <w:sz w:val="32"/>
      <w:szCs w:val="22"/>
    </w:rPr>
  </w:style>
  <w:style w:type="paragraph" w:styleId="20">
    <w:name w:val="Balloon Text"/>
    <w:basedOn w:val="1"/>
    <w:link w:val="43"/>
    <w:qFormat/>
    <w:uiPriority w:val="99"/>
    <w:rPr>
      <w:sz w:val="18"/>
      <w:szCs w:val="18"/>
    </w:rPr>
  </w:style>
  <w:style w:type="paragraph" w:styleId="21">
    <w:name w:val="footer"/>
    <w:basedOn w:val="1"/>
    <w:link w:val="67"/>
    <w:qFormat/>
    <w:uiPriority w:val="99"/>
    <w:pPr>
      <w:tabs>
        <w:tab w:val="center" w:pos="4153"/>
        <w:tab w:val="right" w:pos="8306"/>
      </w:tabs>
      <w:snapToGrid w:val="0"/>
      <w:jc w:val="left"/>
    </w:pPr>
    <w:rPr>
      <w:rFonts w:ascii="Calibri" w:hAnsi="Calibri" w:cs="黑体"/>
      <w:sz w:val="18"/>
      <w:szCs w:val="18"/>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left" w:pos="851"/>
        <w:tab w:val="right" w:leader="dot" w:pos="8931"/>
      </w:tabs>
      <w:spacing w:line="360" w:lineRule="auto"/>
      <w:jc w:val="distribute"/>
    </w:pPr>
    <w:rPr>
      <w:rFonts w:ascii="Calibri" w:hAnsi="Calibri" w:cs="黑体"/>
      <w:b/>
    </w:rPr>
  </w:style>
  <w:style w:type="paragraph" w:styleId="24">
    <w:name w:val="Message Header"/>
    <w:basedOn w:val="1"/>
    <w:link w:val="9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2"/>
    </w:rPr>
  </w:style>
  <w:style w:type="paragraph" w:styleId="25">
    <w:name w:val="HTML Preformatted"/>
    <w:basedOn w:val="1"/>
    <w:link w:val="9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68"/>
    <w:qFormat/>
    <w:uiPriority w:val="0"/>
    <w:pPr>
      <w:spacing w:before="240" w:after="60"/>
      <w:jc w:val="center"/>
      <w:outlineLvl w:val="0"/>
    </w:pPr>
    <w:rPr>
      <w:rFonts w:ascii="Cambria" w:hAnsi="Cambria"/>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22"/>
    <w:rPr>
      <w:b/>
    </w:rPr>
  </w:style>
  <w:style w:type="character" w:styleId="32">
    <w:name w:val="page number"/>
    <w:basedOn w:val="30"/>
    <w:qFormat/>
    <w:uiPriority w:val="0"/>
  </w:style>
  <w:style w:type="character" w:styleId="33">
    <w:name w:val="FollowedHyperlink"/>
    <w:basedOn w:val="30"/>
    <w:unhideWhenUsed/>
    <w:qFormat/>
    <w:uiPriority w:val="99"/>
    <w:rPr>
      <w:color w:val="444444"/>
      <w:sz w:val="21"/>
      <w:szCs w:val="21"/>
      <w:u w:val="none"/>
    </w:rPr>
  </w:style>
  <w:style w:type="character" w:styleId="34">
    <w:name w:val="Emphasis"/>
    <w:basedOn w:val="30"/>
    <w:qFormat/>
    <w:uiPriority w:val="20"/>
  </w:style>
  <w:style w:type="character" w:styleId="35">
    <w:name w:val="Hyperlink"/>
    <w:basedOn w:val="30"/>
    <w:unhideWhenUsed/>
    <w:qFormat/>
    <w:uiPriority w:val="99"/>
    <w:rPr>
      <w:color w:val="444444"/>
      <w:sz w:val="21"/>
      <w:szCs w:val="21"/>
      <w:u w:val="none"/>
    </w:rPr>
  </w:style>
  <w:style w:type="character" w:customStyle="1" w:styleId="36">
    <w:name w:val="正文文本 Char"/>
    <w:basedOn w:val="30"/>
    <w:link w:val="3"/>
    <w:qFormat/>
    <w:uiPriority w:val="99"/>
    <w:rPr>
      <w:kern w:val="2"/>
      <w:sz w:val="21"/>
      <w:szCs w:val="24"/>
    </w:rPr>
  </w:style>
  <w:style w:type="character" w:customStyle="1" w:styleId="37">
    <w:name w:val="正文首行缩进 Char"/>
    <w:basedOn w:val="30"/>
    <w:link w:val="2"/>
    <w:qFormat/>
    <w:uiPriority w:val="99"/>
    <w:rPr>
      <w:rFonts w:eastAsia="仿宋_GB2312"/>
      <w:kern w:val="2"/>
      <w:sz w:val="28"/>
      <w:szCs w:val="24"/>
    </w:rPr>
  </w:style>
  <w:style w:type="character" w:customStyle="1" w:styleId="38">
    <w:name w:val="标题 1 Char"/>
    <w:basedOn w:val="30"/>
    <w:link w:val="6"/>
    <w:qFormat/>
    <w:uiPriority w:val="0"/>
    <w:rPr>
      <w:rFonts w:ascii="Arial" w:hAnsi="Arial" w:cs="黑体"/>
      <w:b/>
      <w:bCs/>
      <w:kern w:val="44"/>
      <w:sz w:val="30"/>
      <w:szCs w:val="44"/>
    </w:rPr>
  </w:style>
  <w:style w:type="character" w:customStyle="1" w:styleId="39">
    <w:name w:val="标题 2 Char"/>
    <w:basedOn w:val="30"/>
    <w:link w:val="7"/>
    <w:qFormat/>
    <w:uiPriority w:val="0"/>
    <w:rPr>
      <w:rFonts w:ascii="Arial" w:hAnsi="Arial" w:eastAsia="黑体" w:cs="Times New Roman"/>
      <w:b/>
      <w:kern w:val="0"/>
      <w:sz w:val="32"/>
      <w:szCs w:val="20"/>
    </w:rPr>
  </w:style>
  <w:style w:type="character" w:customStyle="1" w:styleId="40">
    <w:name w:val="标题 3 Char"/>
    <w:basedOn w:val="30"/>
    <w:link w:val="8"/>
    <w:qFormat/>
    <w:uiPriority w:val="0"/>
    <w:rPr>
      <w:rFonts w:ascii="Arial" w:hAnsi="Arial" w:cs="黑体"/>
      <w:b/>
      <w:bCs/>
      <w:kern w:val="2"/>
      <w:sz w:val="24"/>
      <w:szCs w:val="32"/>
    </w:rPr>
  </w:style>
  <w:style w:type="character" w:customStyle="1" w:styleId="41">
    <w:name w:val="标题 4 Char"/>
    <w:basedOn w:val="30"/>
    <w:link w:val="9"/>
    <w:qFormat/>
    <w:uiPriority w:val="0"/>
    <w:rPr>
      <w:rFonts w:ascii="Arial" w:hAnsi="Arial" w:cs="黑体"/>
      <w:b/>
      <w:bCs/>
      <w:kern w:val="2"/>
      <w:sz w:val="24"/>
      <w:szCs w:val="28"/>
    </w:rPr>
  </w:style>
  <w:style w:type="character" w:customStyle="1" w:styleId="42">
    <w:name w:val="纯文本 Char"/>
    <w:basedOn w:val="30"/>
    <w:link w:val="17"/>
    <w:qFormat/>
    <w:uiPriority w:val="0"/>
    <w:rPr>
      <w:rFonts w:ascii="宋体" w:hAnsi="Courier New"/>
      <w:sz w:val="21"/>
    </w:rPr>
  </w:style>
  <w:style w:type="character" w:customStyle="1" w:styleId="43">
    <w:name w:val="批注框文本 Char"/>
    <w:basedOn w:val="30"/>
    <w:link w:val="20"/>
    <w:qFormat/>
    <w:uiPriority w:val="99"/>
    <w:rPr>
      <w:kern w:val="2"/>
      <w:sz w:val="18"/>
      <w:szCs w:val="18"/>
    </w:rPr>
  </w:style>
  <w:style w:type="character" w:customStyle="1" w:styleId="44">
    <w:name w:val="页脚 Char"/>
    <w:basedOn w:val="30"/>
    <w:link w:val="21"/>
    <w:qFormat/>
    <w:uiPriority w:val="99"/>
    <w:rPr>
      <w:rFonts w:ascii="Times New Roman" w:hAnsi="Times New Roman" w:eastAsia="宋体" w:cs="Times New Roman"/>
      <w:sz w:val="18"/>
      <w:szCs w:val="18"/>
    </w:rPr>
  </w:style>
  <w:style w:type="character" w:customStyle="1" w:styleId="45">
    <w:name w:val="页眉 Char"/>
    <w:basedOn w:val="30"/>
    <w:link w:val="22"/>
    <w:qFormat/>
    <w:uiPriority w:val="99"/>
    <w:rPr>
      <w:rFonts w:ascii="Times New Roman" w:hAnsi="Times New Roman" w:eastAsia="宋体" w:cs="Times New Roman"/>
      <w:sz w:val="18"/>
      <w:szCs w:val="18"/>
    </w:rPr>
  </w:style>
  <w:style w:type="character" w:customStyle="1" w:styleId="46">
    <w:name w:val="标题 Char"/>
    <w:basedOn w:val="30"/>
    <w:link w:val="27"/>
    <w:qFormat/>
    <w:uiPriority w:val="10"/>
    <w:rPr>
      <w:rFonts w:ascii="Cambria" w:hAnsi="Cambria" w:eastAsia="宋体" w:cs="黑体"/>
      <w:b/>
      <w:bCs/>
      <w:sz w:val="32"/>
      <w:szCs w:val="32"/>
    </w:rPr>
  </w:style>
  <w:style w:type="paragraph" w:customStyle="1" w:styleId="47">
    <w:name w:val="p0"/>
    <w:basedOn w:val="1"/>
    <w:qFormat/>
    <w:uiPriority w:val="0"/>
    <w:pPr>
      <w:widowControl/>
    </w:pPr>
    <w:rPr>
      <w:kern w:val="0"/>
      <w:szCs w:val="21"/>
    </w:rPr>
  </w:style>
  <w:style w:type="paragraph" w:customStyle="1" w:styleId="48">
    <w:name w:val="p16"/>
    <w:basedOn w:val="1"/>
    <w:qFormat/>
    <w:uiPriority w:val="0"/>
    <w:pPr>
      <w:widowControl/>
      <w:spacing w:before="100" w:after="100"/>
      <w:jc w:val="left"/>
    </w:pPr>
    <w:rPr>
      <w:rFonts w:ascii="宋体" w:hAnsi="宋体" w:cs="宋体"/>
      <w:kern w:val="0"/>
      <w:sz w:val="24"/>
    </w:r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列出段落11"/>
    <w:basedOn w:val="1"/>
    <w:qFormat/>
    <w:uiPriority w:val="0"/>
    <w:pPr>
      <w:ind w:firstLine="420"/>
    </w:pPr>
    <w:rPr>
      <w:rFonts w:ascii="Calibri" w:hAnsi="Calibri"/>
    </w:rPr>
  </w:style>
  <w:style w:type="paragraph" w:customStyle="1" w:styleId="51">
    <w:name w:val="_Style 2"/>
    <w:basedOn w:val="1"/>
    <w:qFormat/>
    <w:uiPriority w:val="34"/>
    <w:pPr>
      <w:ind w:firstLine="420" w:firstLineChars="200"/>
    </w:pPr>
    <w:rPr>
      <w:rFonts w:ascii="Calibri" w:hAnsi="Calibri"/>
      <w:szCs w:val="22"/>
    </w:rPr>
  </w:style>
  <w:style w:type="paragraph" w:customStyle="1" w:styleId="52">
    <w:name w:val="_Style 1"/>
    <w:basedOn w:val="1"/>
    <w:qFormat/>
    <w:uiPriority w:val="99"/>
    <w:pPr>
      <w:ind w:firstLine="420" w:firstLineChars="200"/>
    </w:pPr>
    <w:rPr>
      <w:rFonts w:ascii="Calibri" w:hAnsi="Calibri"/>
      <w:szCs w:val="22"/>
    </w:rPr>
  </w:style>
  <w:style w:type="paragraph" w:customStyle="1" w:styleId="53">
    <w:name w:val="正文首行缩进两字符"/>
    <w:basedOn w:val="1"/>
    <w:qFormat/>
    <w:uiPriority w:val="0"/>
    <w:pPr>
      <w:spacing w:line="360" w:lineRule="auto"/>
      <w:ind w:firstLine="200" w:firstLineChars="200"/>
    </w:pPr>
  </w:style>
  <w:style w:type="paragraph" w:customStyle="1" w:styleId="54">
    <w:name w:val="列出段落31"/>
    <w:basedOn w:val="1"/>
    <w:qFormat/>
    <w:uiPriority w:val="0"/>
    <w:pPr>
      <w:ind w:firstLine="420" w:firstLineChars="200"/>
    </w:pPr>
  </w:style>
  <w:style w:type="paragraph" w:customStyle="1" w:styleId="55">
    <w:name w:val="列出段落2"/>
    <w:basedOn w:val="1"/>
    <w:qFormat/>
    <w:uiPriority w:val="99"/>
    <w:pPr>
      <w:ind w:firstLine="420" w:firstLineChars="200"/>
    </w:pPr>
    <w:rPr>
      <w:rFonts w:ascii="Calibri" w:hAnsi="Calibri"/>
      <w:szCs w:val="22"/>
    </w:rPr>
  </w:style>
  <w:style w:type="paragraph" w:customStyle="1" w:styleId="56">
    <w:name w:val="列出段落3"/>
    <w:basedOn w:val="1"/>
    <w:qFormat/>
    <w:uiPriority w:val="0"/>
    <w:pPr>
      <w:ind w:firstLine="420" w:firstLineChars="200"/>
    </w:pPr>
    <w:rPr>
      <w:rFonts w:ascii="Calibri" w:hAnsi="Calibri"/>
      <w:szCs w:val="22"/>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58">
    <w:name w:val="正文文本缩进1"/>
    <w:basedOn w:val="1"/>
    <w:link w:val="59"/>
    <w:qFormat/>
    <w:uiPriority w:val="0"/>
    <w:pPr>
      <w:spacing w:line="360" w:lineRule="auto"/>
      <w:ind w:firstLine="480" w:firstLineChars="200"/>
    </w:pPr>
    <w:rPr>
      <w:rFonts w:ascii="宋体"/>
      <w:sz w:val="24"/>
    </w:rPr>
  </w:style>
  <w:style w:type="character" w:customStyle="1" w:styleId="59">
    <w:name w:val="正文文本缩进 Char Char"/>
    <w:link w:val="58"/>
    <w:qFormat/>
    <w:uiPriority w:val="0"/>
    <w:rPr>
      <w:rFonts w:ascii="宋体"/>
      <w:kern w:val="2"/>
      <w:sz w:val="24"/>
      <w:szCs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61">
    <w:name w:val="日期1"/>
    <w:basedOn w:val="1"/>
    <w:next w:val="1"/>
    <w:link w:val="62"/>
    <w:qFormat/>
    <w:uiPriority w:val="0"/>
    <w:rPr>
      <w:sz w:val="24"/>
    </w:rPr>
  </w:style>
  <w:style w:type="character" w:customStyle="1" w:styleId="62">
    <w:name w:val="日期 Char Char"/>
    <w:link w:val="61"/>
    <w:qFormat/>
    <w:uiPriority w:val="0"/>
    <w:rPr>
      <w:kern w:val="2"/>
      <w:sz w:val="24"/>
      <w:szCs w:val="24"/>
    </w:rPr>
  </w:style>
  <w:style w:type="paragraph" w:customStyle="1" w:styleId="63">
    <w:name w:val="列出段落4"/>
    <w:basedOn w:val="1"/>
    <w:unhideWhenUsed/>
    <w:qFormat/>
    <w:uiPriority w:val="99"/>
    <w:pPr>
      <w:ind w:firstLine="420" w:firstLineChars="200"/>
    </w:p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表格文本"/>
    <w:basedOn w:val="1"/>
    <w:qFormat/>
    <w:uiPriority w:val="0"/>
    <w:pPr>
      <w:jc w:val="center"/>
    </w:pPr>
    <w:rPr>
      <w:rFonts w:ascii="宋体" w:hAnsi="宋体" w:cs="黑体"/>
      <w:bCs/>
      <w:szCs w:val="21"/>
    </w:rPr>
  </w:style>
  <w:style w:type="paragraph" w:customStyle="1" w:styleId="66">
    <w:name w:val="p15"/>
    <w:basedOn w:val="1"/>
    <w:qFormat/>
    <w:uiPriority w:val="0"/>
    <w:pPr>
      <w:widowControl/>
      <w:autoSpaceDN w:val="0"/>
      <w:jc w:val="left"/>
    </w:pPr>
    <w:rPr>
      <w:kern w:val="0"/>
      <w:szCs w:val="21"/>
    </w:rPr>
  </w:style>
  <w:style w:type="character" w:customStyle="1" w:styleId="67">
    <w:name w:val="页脚 Char Char"/>
    <w:basedOn w:val="30"/>
    <w:link w:val="21"/>
    <w:qFormat/>
    <w:uiPriority w:val="0"/>
    <w:rPr>
      <w:sz w:val="18"/>
      <w:szCs w:val="18"/>
    </w:rPr>
  </w:style>
  <w:style w:type="character" w:customStyle="1" w:styleId="68">
    <w:name w:val="标题 Char Char"/>
    <w:basedOn w:val="30"/>
    <w:link w:val="27"/>
    <w:qFormat/>
    <w:uiPriority w:val="0"/>
    <w:rPr>
      <w:rFonts w:ascii="Cambria" w:hAnsi="Cambria" w:cs="Times New Roman"/>
      <w:b/>
      <w:bCs/>
      <w:sz w:val="32"/>
      <w:szCs w:val="32"/>
    </w:rPr>
  </w:style>
  <w:style w:type="character" w:customStyle="1" w:styleId="69">
    <w:name w:val="gb-jt"/>
    <w:basedOn w:val="30"/>
    <w:qFormat/>
    <w:uiPriority w:val="0"/>
  </w:style>
  <w:style w:type="character" w:customStyle="1" w:styleId="70">
    <w:name w:val="hover"/>
    <w:basedOn w:val="30"/>
    <w:qFormat/>
    <w:uiPriority w:val="0"/>
  </w:style>
  <w:style w:type="character" w:customStyle="1" w:styleId="71">
    <w:name w:val="正文文本 3 Char"/>
    <w:basedOn w:val="30"/>
    <w:link w:val="14"/>
    <w:qFormat/>
    <w:uiPriority w:val="0"/>
    <w:rPr>
      <w:color w:val="FF0000"/>
      <w:sz w:val="24"/>
      <w:szCs w:val="24"/>
    </w:rPr>
  </w:style>
  <w:style w:type="character" w:customStyle="1" w:styleId="72">
    <w:name w:val="HTML 预设格式 Char"/>
    <w:basedOn w:val="30"/>
    <w:link w:val="25"/>
    <w:qFormat/>
    <w:uiPriority w:val="99"/>
    <w:rPr>
      <w:rFonts w:ascii="宋体" w:hAnsi="宋体" w:cs="宋体"/>
      <w:sz w:val="24"/>
      <w:szCs w:val="24"/>
    </w:rPr>
  </w:style>
  <w:style w:type="character" w:customStyle="1" w:styleId="73">
    <w:name w:val="纯文本 Char1"/>
    <w:qFormat/>
    <w:uiPriority w:val="0"/>
    <w:rPr>
      <w:rFonts w:eastAsia="宋体"/>
      <w:sz w:val="24"/>
    </w:rPr>
  </w:style>
  <w:style w:type="character" w:customStyle="1" w:styleId="74">
    <w:name w:val="font11"/>
    <w:qFormat/>
    <w:uiPriority w:val="0"/>
    <w:rPr>
      <w:rFonts w:hint="eastAsia" w:ascii="宋体" w:hAnsi="宋体" w:eastAsia="宋体" w:cs="宋体"/>
      <w:color w:val="000000"/>
      <w:sz w:val="28"/>
      <w:szCs w:val="28"/>
      <w:u w:val="none"/>
    </w:rPr>
  </w:style>
  <w:style w:type="character" w:customStyle="1" w:styleId="75">
    <w:name w:val="green1"/>
    <w:basedOn w:val="30"/>
    <w:qFormat/>
    <w:uiPriority w:val="0"/>
    <w:rPr>
      <w:color w:val="66AE00"/>
      <w:sz w:val="18"/>
      <w:szCs w:val="18"/>
    </w:rPr>
  </w:style>
  <w:style w:type="character" w:customStyle="1" w:styleId="76">
    <w:name w:val="hover25"/>
    <w:basedOn w:val="30"/>
    <w:qFormat/>
    <w:uiPriority w:val="0"/>
  </w:style>
  <w:style w:type="character" w:customStyle="1" w:styleId="77">
    <w:name w:val="日期 Char"/>
    <w:basedOn w:val="30"/>
    <w:link w:val="18"/>
    <w:qFormat/>
    <w:uiPriority w:val="99"/>
    <w:rPr>
      <w:rFonts w:ascii="Calibri" w:hAnsi="Calibri"/>
      <w:kern w:val="2"/>
      <w:sz w:val="21"/>
      <w:szCs w:val="22"/>
    </w:rPr>
  </w:style>
  <w:style w:type="character" w:customStyle="1" w:styleId="78">
    <w:name w:val="edittexttarea"/>
    <w:basedOn w:val="30"/>
    <w:qFormat/>
    <w:uiPriority w:val="0"/>
  </w:style>
  <w:style w:type="character" w:customStyle="1" w:styleId="79">
    <w:name w:val="文档结构图 Char"/>
    <w:basedOn w:val="30"/>
    <w:link w:val="12"/>
    <w:qFormat/>
    <w:uiPriority w:val="99"/>
    <w:rPr>
      <w:rFonts w:ascii="宋体" w:hAnsi="Calibri"/>
      <w:kern w:val="2"/>
      <w:sz w:val="18"/>
      <w:szCs w:val="18"/>
    </w:rPr>
  </w:style>
  <w:style w:type="character" w:customStyle="1" w:styleId="80">
    <w:name w:val="red1"/>
    <w:basedOn w:val="30"/>
    <w:qFormat/>
    <w:uiPriority w:val="0"/>
    <w:rPr>
      <w:color w:val="FF0000"/>
      <w:sz w:val="18"/>
      <w:szCs w:val="18"/>
    </w:rPr>
  </w:style>
  <w:style w:type="character" w:customStyle="1" w:styleId="81">
    <w:name w:val="right"/>
    <w:basedOn w:val="30"/>
    <w:qFormat/>
    <w:uiPriority w:val="0"/>
    <w:rPr>
      <w:color w:val="999999"/>
      <w:sz w:val="18"/>
      <w:szCs w:val="18"/>
    </w:rPr>
  </w:style>
  <w:style w:type="character" w:customStyle="1" w:styleId="82">
    <w:name w:val="red3"/>
    <w:basedOn w:val="30"/>
    <w:qFormat/>
    <w:uiPriority w:val="0"/>
    <w:rPr>
      <w:color w:val="FF0000"/>
    </w:rPr>
  </w:style>
  <w:style w:type="character" w:customStyle="1" w:styleId="83">
    <w:name w:val="green"/>
    <w:basedOn w:val="30"/>
    <w:qFormat/>
    <w:uiPriority w:val="0"/>
    <w:rPr>
      <w:color w:val="66AE00"/>
      <w:sz w:val="18"/>
      <w:szCs w:val="18"/>
    </w:rPr>
  </w:style>
  <w:style w:type="character" w:customStyle="1" w:styleId="84">
    <w:name w:val="red2"/>
    <w:basedOn w:val="30"/>
    <w:qFormat/>
    <w:uiPriority w:val="0"/>
    <w:rPr>
      <w:color w:val="CC0000"/>
    </w:rPr>
  </w:style>
  <w:style w:type="character" w:customStyle="1" w:styleId="85">
    <w:name w:val="red"/>
    <w:basedOn w:val="30"/>
    <w:qFormat/>
    <w:uiPriority w:val="0"/>
    <w:rPr>
      <w:color w:val="FF0000"/>
      <w:sz w:val="18"/>
      <w:szCs w:val="18"/>
    </w:rPr>
  </w:style>
  <w:style w:type="character" w:customStyle="1" w:styleId="86">
    <w:name w:val="blue"/>
    <w:basedOn w:val="30"/>
    <w:qFormat/>
    <w:uiPriority w:val="0"/>
    <w:rPr>
      <w:color w:val="0371C6"/>
      <w:sz w:val="21"/>
      <w:szCs w:val="21"/>
    </w:rPr>
  </w:style>
  <w:style w:type="paragraph" w:customStyle="1" w:styleId="87">
    <w:name w:val="样式1"/>
    <w:basedOn w:val="1"/>
    <w:qFormat/>
    <w:uiPriority w:val="0"/>
    <w:pPr>
      <w:tabs>
        <w:tab w:val="left" w:pos="709"/>
      </w:tabs>
      <w:adjustRightInd w:val="0"/>
      <w:ind w:left="574" w:hanging="432"/>
      <w:textAlignment w:val="baseline"/>
    </w:pPr>
    <w:rPr>
      <w:rFonts w:ascii="宋体" w:hAnsi="宋体"/>
      <w:kern w:val="0"/>
      <w:szCs w:val="21"/>
    </w:rPr>
  </w:style>
  <w:style w:type="character" w:customStyle="1" w:styleId="88">
    <w:name w:val="日期 Char1"/>
    <w:basedOn w:val="30"/>
    <w:link w:val="18"/>
    <w:semiHidden/>
    <w:qFormat/>
    <w:uiPriority w:val="0"/>
    <w:rPr>
      <w:kern w:val="2"/>
      <w:sz w:val="21"/>
      <w:szCs w:val="24"/>
    </w:rPr>
  </w:style>
  <w:style w:type="paragraph" w:customStyle="1" w:styleId="8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90">
    <w:name w:val="sa"/>
    <w:basedOn w:val="91"/>
    <w:qFormat/>
    <w:uiPriority w:val="0"/>
    <w:pPr>
      <w:tabs>
        <w:tab w:val="left" w:pos="525"/>
      </w:tabs>
      <w:ind w:left="0" w:firstLine="470" w:firstLineChars="196"/>
    </w:pPr>
    <w:rPr>
      <w:rFonts w:ascii="仿宋_GB2312" w:hAnsi="宋体" w:eastAsia="仿宋_GB2312"/>
      <w:kern w:val="24"/>
      <w:sz w:val="24"/>
      <w:szCs w:val="24"/>
    </w:rPr>
  </w:style>
  <w:style w:type="paragraph" w:customStyle="1" w:styleId="91">
    <w:name w:val="as"/>
    <w:basedOn w:val="1"/>
    <w:qFormat/>
    <w:uiPriority w:val="0"/>
    <w:pPr>
      <w:tabs>
        <w:tab w:val="left" w:pos="525"/>
      </w:tabs>
      <w:ind w:left="525" w:firstLine="315"/>
    </w:pPr>
    <w:rPr>
      <w:rFonts w:ascii="宋体" w:hAnsi="Calibri" w:cs="宋体"/>
      <w:sz w:val="28"/>
      <w:szCs w:val="28"/>
    </w:rPr>
  </w:style>
  <w:style w:type="character" w:customStyle="1" w:styleId="92">
    <w:name w:val="正文文本 3 Char1"/>
    <w:basedOn w:val="30"/>
    <w:link w:val="14"/>
    <w:semiHidden/>
    <w:qFormat/>
    <w:uiPriority w:val="0"/>
    <w:rPr>
      <w:kern w:val="2"/>
      <w:sz w:val="16"/>
      <w:szCs w:val="16"/>
    </w:rPr>
  </w:style>
  <w:style w:type="character" w:customStyle="1" w:styleId="93">
    <w:name w:val="HTML 预设格式 Char1"/>
    <w:basedOn w:val="30"/>
    <w:link w:val="25"/>
    <w:semiHidden/>
    <w:qFormat/>
    <w:uiPriority w:val="0"/>
    <w:rPr>
      <w:rFonts w:ascii="Courier New" w:hAnsi="Courier New" w:cs="Courier New"/>
      <w:kern w:val="2"/>
    </w:rPr>
  </w:style>
  <w:style w:type="character" w:customStyle="1" w:styleId="94">
    <w:name w:val="文档结构图 Char1"/>
    <w:basedOn w:val="30"/>
    <w:link w:val="12"/>
    <w:semiHidden/>
    <w:qFormat/>
    <w:uiPriority w:val="0"/>
    <w:rPr>
      <w:rFonts w:ascii="宋体"/>
      <w:kern w:val="2"/>
      <w:sz w:val="18"/>
      <w:szCs w:val="18"/>
    </w:rPr>
  </w:style>
  <w:style w:type="paragraph" w:styleId="95">
    <w:name w:val="List Paragraph"/>
    <w:basedOn w:val="1"/>
    <w:qFormat/>
    <w:uiPriority w:val="99"/>
    <w:pPr>
      <w:ind w:firstLine="420" w:firstLineChars="200"/>
    </w:pPr>
    <w:rPr>
      <w:rFonts w:ascii="Calibri" w:hAnsi="Calibri"/>
      <w:szCs w:val="22"/>
    </w:rPr>
  </w:style>
  <w:style w:type="character" w:customStyle="1" w:styleId="96">
    <w:name w:val="信息标题 Char"/>
    <w:basedOn w:val="30"/>
    <w:link w:val="24"/>
    <w:qFormat/>
    <w:uiPriority w:val="99"/>
    <w:rPr>
      <w:rFonts w:ascii="Arial" w:hAnsi="Arial"/>
      <w:kern w:val="2"/>
      <w:sz w:val="24"/>
      <w:szCs w:val="22"/>
      <w:shd w:val="pct20" w:color="auto" w:fill="auto"/>
    </w:rPr>
  </w:style>
  <w:style w:type="paragraph" w:customStyle="1" w:styleId="97">
    <w:name w:val="Table Paragraph"/>
    <w:basedOn w:val="1"/>
    <w:qFormat/>
    <w:uiPriority w:val="1"/>
    <w:rPr>
      <w:rFonts w:ascii="宋体" w:hAnsi="宋体" w:cs="宋体"/>
      <w:szCs w:val="20"/>
      <w:lang w:val="zh-CN" w:bidi="zh-CN"/>
    </w:rPr>
  </w:style>
  <w:style w:type="paragraph" w:customStyle="1" w:styleId="98">
    <w:name w:val="样式 标题 1 + 四号 居中 段前: 12 磅 段后: 12 磅 行距: 单倍行距"/>
    <w:basedOn w:val="6"/>
    <w:qFormat/>
    <w:uiPriority w:val="0"/>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99">
    <w:name w:val="图"/>
    <w:basedOn w:val="1"/>
    <w:qFormat/>
    <w:uiPriority w:val="0"/>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100">
    <w:name w:val="正文文本缩进 2 Char"/>
    <w:basedOn w:val="30"/>
    <w:link w:val="19"/>
    <w:qFormat/>
    <w:uiPriority w:val="99"/>
    <w:rPr>
      <w:rFonts w:ascii="Tahoma" w:hAnsi="Tahoma" w:eastAsia="仿宋" w:cs="宋体"/>
      <w:sz w:val="32"/>
      <w:szCs w:val="22"/>
    </w:rPr>
  </w:style>
  <w:style w:type="character" w:customStyle="1" w:styleId="101">
    <w:name w:val="正文文本缩进 Char"/>
    <w:basedOn w:val="30"/>
    <w:link w:val="5"/>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D2365-02BF-4C4D-9BF1-D9520694CF9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5738</Words>
  <Characters>32707</Characters>
  <Lines>272</Lines>
  <Paragraphs>76</Paragraphs>
  <TotalTime>3</TotalTime>
  <ScaleCrop>false</ScaleCrop>
  <LinksUpToDate>false</LinksUpToDate>
  <CharactersWithSpaces>38369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2019-06-03T08:36:00Z</dcterms:created>
  <dc:creator>Administrator</dc:creator>
  <cp:lastModifiedBy>河南慧霖工程管理服务有限公司:仲镠伟</cp:lastModifiedBy>
  <cp:lastPrinted>2019-10-10T07:43:00Z</cp:lastPrinted>
  <dcterms:modified xsi:type="dcterms:W3CDTF">2019-10-10T08:36:05Z</dcterms:modified>
  <dc:title>许昌经济管理学校汽车营销专业实验室</dc:title>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